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4BF5A6" w14:textId="3C1B16E1" w:rsidR="004D2547" w:rsidRPr="00E07CC2" w:rsidRDefault="008B51E5" w:rsidP="00E07CC2">
      <w:pPr>
        <w:pStyle w:val="Title"/>
      </w:pPr>
      <w:r w:rsidRPr="00E07CC2">
        <w:t>Submission to the Productivity Com</w:t>
      </w:r>
      <w:r w:rsidR="00E07CC2" w:rsidRPr="00E07CC2">
        <w:t>ission’s</w:t>
      </w:r>
      <w:r w:rsidRPr="00E07CC2">
        <w:t xml:space="preserve"> </w:t>
      </w:r>
      <w:r w:rsidR="00E07CC2" w:rsidRPr="00E07CC2">
        <w:rPr>
          <w:i/>
          <w:iCs/>
          <w:shd w:val="clear" w:color="auto" w:fill="FFFFFF"/>
        </w:rPr>
        <w:t>5-year Productivity Inquiry: A More Productive Labour Market Interim Report</w:t>
      </w:r>
      <w:r w:rsidR="008B12F4">
        <w:rPr>
          <w:i/>
          <w:iCs/>
          <w:shd w:val="clear" w:color="auto" w:fill="FFFFFF"/>
        </w:rPr>
        <w:t xml:space="preserve"> (‘Interim Report’)</w:t>
      </w:r>
    </w:p>
    <w:p w14:paraId="607BD2E0" w14:textId="78D76A87" w:rsidR="004D2547" w:rsidRPr="005438FC" w:rsidRDefault="004D2547" w:rsidP="003B1345">
      <w:pPr>
        <w:pStyle w:val="Heading2"/>
        <w:spacing w:beforeLines="60" w:before="144" w:line="300" w:lineRule="auto"/>
        <w:rPr>
          <w:rFonts w:ascii="Avenir Book" w:hAnsi="Avenir Book"/>
          <w:color w:val="9D825C"/>
          <w:sz w:val="24"/>
          <w:szCs w:val="24"/>
        </w:rPr>
      </w:pPr>
      <w:r w:rsidRPr="003B1345">
        <w:rPr>
          <w:rFonts w:ascii="Avenir Book" w:hAnsi="Avenir Book"/>
          <w:sz w:val="24"/>
          <w:szCs w:val="24"/>
        </w:rPr>
        <w:t>Per Capita</w:t>
      </w:r>
    </w:p>
    <w:p w14:paraId="27ECC680" w14:textId="0B381A9D" w:rsidR="005438FC" w:rsidRDefault="0077063A" w:rsidP="0088177C">
      <w:pPr>
        <w:pStyle w:val="Heading2"/>
        <w:spacing w:beforeLines="60" w:before="144" w:line="300" w:lineRule="auto"/>
        <w:rPr>
          <w:rFonts w:ascii="Avenir Book" w:hAnsi="Avenir Book"/>
          <w:sz w:val="24"/>
          <w:szCs w:val="24"/>
        </w:rPr>
      </w:pPr>
      <w:r w:rsidRPr="003B1345">
        <w:rPr>
          <w:rFonts w:ascii="Avenir Book" w:hAnsi="Avenir Book"/>
          <w:sz w:val="24"/>
          <w:szCs w:val="24"/>
        </w:rPr>
        <w:t>1</w:t>
      </w:r>
      <w:r w:rsidR="005438FC">
        <w:rPr>
          <w:rFonts w:ascii="Avenir Book" w:hAnsi="Avenir Book"/>
          <w:sz w:val="24"/>
          <w:szCs w:val="24"/>
        </w:rPr>
        <w:t>9</w:t>
      </w:r>
      <w:r w:rsidR="00221FF6" w:rsidRPr="003B1345">
        <w:rPr>
          <w:rFonts w:ascii="Avenir Book" w:hAnsi="Avenir Book"/>
          <w:sz w:val="24"/>
          <w:szCs w:val="24"/>
        </w:rPr>
        <w:t xml:space="preserve"> </w:t>
      </w:r>
      <w:r w:rsidRPr="003B1345">
        <w:rPr>
          <w:rFonts w:ascii="Avenir Book" w:hAnsi="Avenir Book"/>
          <w:sz w:val="24"/>
          <w:szCs w:val="24"/>
        </w:rPr>
        <w:t>October</w:t>
      </w:r>
      <w:r w:rsidR="004D2547" w:rsidRPr="003B1345">
        <w:rPr>
          <w:rFonts w:ascii="Avenir Book" w:hAnsi="Avenir Book"/>
          <w:sz w:val="24"/>
          <w:szCs w:val="24"/>
        </w:rPr>
        <w:t xml:space="preserve"> 2022</w:t>
      </w:r>
    </w:p>
    <w:p w14:paraId="0261B488" w14:textId="77777777" w:rsidR="0088177C" w:rsidRPr="0088177C" w:rsidRDefault="0088177C" w:rsidP="0088177C"/>
    <w:p w14:paraId="4187F1B2" w14:textId="31235446" w:rsidR="005438FC" w:rsidRPr="004676D2" w:rsidRDefault="008B51E5" w:rsidP="0088177C">
      <w:pPr>
        <w:pStyle w:val="NoSpacing"/>
        <w:spacing w:beforeLines="60" w:before="144" w:line="300" w:lineRule="auto"/>
        <w:rPr>
          <w:i/>
          <w:iCs/>
          <w:color w:val="000000" w:themeColor="text1"/>
          <w:shd w:val="clear" w:color="auto" w:fill="FFFFFF"/>
        </w:rPr>
      </w:pPr>
      <w:r w:rsidRPr="004676D2">
        <w:rPr>
          <w:i/>
          <w:iCs/>
          <w:color w:val="000000" w:themeColor="text1"/>
          <w:shd w:val="clear" w:color="auto" w:fill="FFFFFF"/>
        </w:rPr>
        <w:t>‘</w:t>
      </w:r>
      <w:r w:rsidR="005438FC" w:rsidRPr="004676D2">
        <w:rPr>
          <w:i/>
          <w:iCs/>
          <w:color w:val="000000" w:themeColor="text1"/>
          <w:shd w:val="clear" w:color="auto" w:fill="FFFFFF"/>
        </w:rPr>
        <w:t>[I]f human life is to be used for the purpose of profit it must not be used to its degradation; that after all it is our duty, as far as we can, in view of the fact that human life is the most valuable asset of any country, to see that that life, if used for the purposes of gain, is not so employed that the health and vitality of the community are lowered</w:t>
      </w:r>
      <w:r w:rsidR="00995063" w:rsidRPr="004676D2">
        <w:rPr>
          <w:i/>
          <w:iCs/>
          <w:color w:val="000000" w:themeColor="text1"/>
          <w:shd w:val="clear" w:color="auto" w:fill="FFFFFF"/>
        </w:rPr>
        <w:t>’</w:t>
      </w:r>
      <w:r w:rsidR="005438FC" w:rsidRPr="004676D2">
        <w:rPr>
          <w:i/>
          <w:iCs/>
          <w:color w:val="000000" w:themeColor="text1"/>
          <w:shd w:val="clear" w:color="auto" w:fill="FFFFFF"/>
        </w:rPr>
        <w:t>.</w:t>
      </w:r>
      <w:r w:rsidR="005438FC" w:rsidRPr="004676D2">
        <w:rPr>
          <w:rStyle w:val="FootnoteReference"/>
          <w:i/>
          <w:iCs/>
          <w:color w:val="000000" w:themeColor="text1"/>
          <w:shd w:val="clear" w:color="auto" w:fill="FFFFFF"/>
        </w:rPr>
        <w:footnoteReference w:id="1"/>
      </w:r>
    </w:p>
    <w:p w14:paraId="734E8CF5" w14:textId="61A3B23D" w:rsidR="005438FC" w:rsidRPr="0088177C" w:rsidRDefault="008B51E5" w:rsidP="008B51E5">
      <w:pPr>
        <w:pStyle w:val="NoSpacing"/>
        <w:spacing w:beforeLines="60" w:before="144" w:line="300" w:lineRule="auto"/>
        <w:jc w:val="right"/>
        <w:rPr>
          <w:color w:val="000000" w:themeColor="text1"/>
          <w:shd w:val="clear" w:color="auto" w:fill="FFFFFF"/>
        </w:rPr>
      </w:pPr>
      <w:r>
        <w:rPr>
          <w:color w:val="000000" w:themeColor="text1"/>
          <w:shd w:val="clear" w:color="auto" w:fill="FFFFFF"/>
        </w:rPr>
        <w:t>-</w:t>
      </w:r>
      <w:r w:rsidR="005438FC" w:rsidRPr="0088177C">
        <w:rPr>
          <w:color w:val="000000" w:themeColor="text1"/>
          <w:shd w:val="clear" w:color="auto" w:fill="FFFFFF"/>
        </w:rPr>
        <w:t>Henry Higgins, Commonwealth Parliament, Conciliation and Arbitration Bill</w:t>
      </w:r>
      <w:r>
        <w:rPr>
          <w:color w:val="000000" w:themeColor="text1"/>
          <w:shd w:val="clear" w:color="auto" w:fill="FFFFFF"/>
        </w:rPr>
        <w:t xml:space="preserve"> debate,</w:t>
      </w:r>
      <w:r w:rsidR="005438FC" w:rsidRPr="0088177C">
        <w:rPr>
          <w:color w:val="000000" w:themeColor="text1"/>
          <w:shd w:val="clear" w:color="auto" w:fill="FFFFFF"/>
        </w:rPr>
        <w:t xml:space="preserve"> 1904 </w:t>
      </w:r>
    </w:p>
    <w:p w14:paraId="3E8C2F82" w14:textId="77777777" w:rsidR="00C92473" w:rsidRDefault="00C92473" w:rsidP="005F5AC4">
      <w:pPr>
        <w:pStyle w:val="NoSpacing"/>
        <w:spacing w:beforeLines="60" w:before="144" w:line="300" w:lineRule="auto"/>
        <w:rPr>
          <w:rFonts w:cstheme="minorHAnsi"/>
        </w:rPr>
      </w:pPr>
    </w:p>
    <w:p w14:paraId="337AE58A" w14:textId="05D103D1" w:rsidR="00D51FAC" w:rsidRDefault="005F5AC4" w:rsidP="005F5AC4">
      <w:pPr>
        <w:pStyle w:val="NoSpacing"/>
        <w:spacing w:beforeLines="60" w:before="144" w:line="300" w:lineRule="auto"/>
        <w:rPr>
          <w:rFonts w:cstheme="minorHAnsi"/>
        </w:rPr>
      </w:pPr>
      <w:r w:rsidRPr="004D2547">
        <w:rPr>
          <w:rFonts w:cstheme="minorHAnsi"/>
        </w:rPr>
        <w:t>Per Capita welcomes the opportunity to provide this submission to the</w:t>
      </w:r>
      <w:r>
        <w:rPr>
          <w:rFonts w:cstheme="minorHAnsi"/>
        </w:rPr>
        <w:t xml:space="preserve"> Productivity Commission. </w:t>
      </w:r>
    </w:p>
    <w:p w14:paraId="05BC6FCF" w14:textId="6ECB5EDD" w:rsidR="00161F0A" w:rsidRDefault="008B12F4" w:rsidP="005F5AC4">
      <w:pPr>
        <w:pStyle w:val="NoSpacing"/>
        <w:spacing w:beforeLines="60" w:before="144" w:line="300" w:lineRule="auto"/>
        <w:rPr>
          <w:color w:val="000000" w:themeColor="text1"/>
        </w:rPr>
      </w:pPr>
      <w:r w:rsidRPr="0088177C">
        <w:rPr>
          <w:color w:val="000000" w:themeColor="text1"/>
        </w:rPr>
        <w:t xml:space="preserve">Per Capita has considered the </w:t>
      </w:r>
      <w:r w:rsidRPr="0088177C">
        <w:rPr>
          <w:i/>
          <w:iCs/>
          <w:color w:val="000000" w:themeColor="text1"/>
        </w:rPr>
        <w:t>Interim Report</w:t>
      </w:r>
      <w:r w:rsidR="00D51FAC">
        <w:rPr>
          <w:color w:val="000000" w:themeColor="text1"/>
        </w:rPr>
        <w:t xml:space="preserve"> and makes </w:t>
      </w:r>
      <w:r w:rsidR="0003518E">
        <w:rPr>
          <w:color w:val="000000" w:themeColor="text1"/>
        </w:rPr>
        <w:t>its</w:t>
      </w:r>
      <w:r w:rsidR="00D51FAC">
        <w:rPr>
          <w:color w:val="000000" w:themeColor="text1"/>
        </w:rPr>
        <w:t xml:space="preserve"> s</w:t>
      </w:r>
      <w:r w:rsidR="005F5AC4" w:rsidRPr="0088177C">
        <w:rPr>
          <w:color w:val="000000" w:themeColor="text1"/>
        </w:rPr>
        <w:t xml:space="preserve">ubmission </w:t>
      </w:r>
      <w:r w:rsidR="00C92473">
        <w:rPr>
          <w:color w:val="000000" w:themeColor="text1"/>
        </w:rPr>
        <w:t>regarding</w:t>
      </w:r>
      <w:r w:rsidR="00F56535">
        <w:rPr>
          <w:color w:val="000000" w:themeColor="text1"/>
        </w:rPr>
        <w:t xml:space="preserve"> </w:t>
      </w:r>
      <w:r w:rsidR="00161F0A">
        <w:rPr>
          <w:color w:val="000000" w:themeColor="text1"/>
        </w:rPr>
        <w:t>part two</w:t>
      </w:r>
      <w:r w:rsidR="00D51FAC">
        <w:rPr>
          <w:color w:val="000000" w:themeColor="text1"/>
        </w:rPr>
        <w:t xml:space="preserve"> of the report</w:t>
      </w:r>
      <w:r w:rsidR="00161F0A">
        <w:rPr>
          <w:color w:val="000000" w:themeColor="text1"/>
        </w:rPr>
        <w:t xml:space="preserve">, </w:t>
      </w:r>
      <w:r w:rsidR="005F5AC4" w:rsidRPr="0088177C">
        <w:rPr>
          <w:color w:val="000000" w:themeColor="text1"/>
        </w:rPr>
        <w:t xml:space="preserve">effective workplace relations: </w:t>
      </w:r>
    </w:p>
    <w:p w14:paraId="65FFABDF" w14:textId="6FCC4F54" w:rsidR="00161F0A" w:rsidRDefault="005F5AC4" w:rsidP="00161F0A">
      <w:pPr>
        <w:pStyle w:val="NoSpacing"/>
        <w:numPr>
          <w:ilvl w:val="0"/>
          <w:numId w:val="28"/>
        </w:numPr>
        <w:spacing w:beforeLines="60" w:before="144" w:line="300" w:lineRule="auto"/>
        <w:rPr>
          <w:color w:val="000000" w:themeColor="text1"/>
        </w:rPr>
      </w:pPr>
      <w:r w:rsidRPr="0088177C">
        <w:rPr>
          <w:color w:val="000000" w:themeColor="text1"/>
        </w:rPr>
        <w:t>creating more efficient enterprise bar</w:t>
      </w:r>
      <w:r w:rsidR="0003518E">
        <w:rPr>
          <w:color w:val="000000" w:themeColor="text1"/>
        </w:rPr>
        <w:t>gaining</w:t>
      </w:r>
      <w:r w:rsidRPr="0088177C">
        <w:rPr>
          <w:color w:val="000000" w:themeColor="text1"/>
        </w:rPr>
        <w:t xml:space="preserve">; and </w:t>
      </w:r>
    </w:p>
    <w:p w14:paraId="278296BB" w14:textId="5A490591" w:rsidR="005438FC" w:rsidRPr="005F426C" w:rsidRDefault="005F5AC4" w:rsidP="0088177C">
      <w:pPr>
        <w:pStyle w:val="NoSpacing"/>
        <w:numPr>
          <w:ilvl w:val="0"/>
          <w:numId w:val="28"/>
        </w:numPr>
        <w:spacing w:beforeLines="60" w:before="144" w:line="300" w:lineRule="auto"/>
        <w:rPr>
          <w:color w:val="000000" w:themeColor="text1"/>
        </w:rPr>
      </w:pPr>
      <w:r w:rsidRPr="0088177C">
        <w:rPr>
          <w:color w:val="000000" w:themeColor="text1"/>
        </w:rPr>
        <w:t xml:space="preserve">regulating digital platform work.  </w:t>
      </w:r>
    </w:p>
    <w:p w14:paraId="31EA12E8" w14:textId="4D94B3AD" w:rsidR="005438FC" w:rsidRPr="0088177C" w:rsidRDefault="00422F98" w:rsidP="0088177C">
      <w:pPr>
        <w:pStyle w:val="NoSpacing"/>
        <w:spacing w:beforeLines="60" w:before="144" w:line="300" w:lineRule="auto"/>
        <w:rPr>
          <w:color w:val="000000" w:themeColor="text1"/>
          <w:shd w:val="clear" w:color="auto" w:fill="FFFFFF"/>
        </w:rPr>
      </w:pPr>
      <w:r w:rsidRPr="0088177C">
        <w:rPr>
          <w:color w:val="000000" w:themeColor="text1"/>
          <w:shd w:val="clear" w:color="auto" w:fill="FFFFFF"/>
        </w:rPr>
        <w:t xml:space="preserve">The </w:t>
      </w:r>
      <w:r w:rsidRPr="0088177C">
        <w:rPr>
          <w:i/>
          <w:iCs/>
          <w:color w:val="000000" w:themeColor="text1"/>
          <w:shd w:val="clear" w:color="auto" w:fill="FFFFFF"/>
        </w:rPr>
        <w:t xml:space="preserve">Interim Report </w:t>
      </w:r>
      <w:r w:rsidRPr="0088177C">
        <w:rPr>
          <w:color w:val="000000" w:themeColor="text1"/>
          <w:shd w:val="clear" w:color="auto" w:fill="FFFFFF"/>
        </w:rPr>
        <w:t xml:space="preserve">‘attempts to take a </w:t>
      </w:r>
      <w:r w:rsidRPr="0088177C">
        <w:rPr>
          <w:i/>
          <w:iCs/>
          <w:color w:val="000000" w:themeColor="text1"/>
          <w:shd w:val="clear" w:color="auto" w:fill="FFFFFF"/>
        </w:rPr>
        <w:t>productivity</w:t>
      </w:r>
      <w:r w:rsidRPr="0088177C">
        <w:rPr>
          <w:color w:val="000000" w:themeColor="text1"/>
          <w:shd w:val="clear" w:color="auto" w:fill="FFFFFF"/>
        </w:rPr>
        <w:t xml:space="preserve"> lens to some contemporary issues in workplace </w:t>
      </w:r>
      <w:proofErr w:type="gramStart"/>
      <w:r w:rsidRPr="0088177C">
        <w:rPr>
          <w:color w:val="000000" w:themeColor="text1"/>
          <w:shd w:val="clear" w:color="auto" w:fill="FFFFFF"/>
        </w:rPr>
        <w:t>relations</w:t>
      </w:r>
      <w:r w:rsidR="00995063">
        <w:rPr>
          <w:color w:val="000000" w:themeColor="text1"/>
          <w:shd w:val="clear" w:color="auto" w:fill="FFFFFF"/>
        </w:rPr>
        <w:t>’</w:t>
      </w:r>
      <w:proofErr w:type="gramEnd"/>
      <w:r w:rsidR="00995063">
        <w:rPr>
          <w:color w:val="000000" w:themeColor="text1"/>
          <w:shd w:val="clear" w:color="auto" w:fill="FFFFFF"/>
        </w:rPr>
        <w:t>.</w:t>
      </w:r>
      <w:r w:rsidRPr="0088177C">
        <w:rPr>
          <w:rStyle w:val="FootnoteReference"/>
          <w:color w:val="000000" w:themeColor="text1"/>
          <w:shd w:val="clear" w:color="auto" w:fill="FFFFFF"/>
        </w:rPr>
        <w:footnoteReference w:id="2"/>
      </w:r>
      <w:r w:rsidR="009D0F33" w:rsidRPr="0088177C">
        <w:rPr>
          <w:color w:val="000000" w:themeColor="text1"/>
          <w:shd w:val="clear" w:color="auto" w:fill="FFFFFF"/>
        </w:rPr>
        <w:t xml:space="preserve"> Within the scope of this inquiry, the Commission </w:t>
      </w:r>
      <w:r w:rsidR="00751660" w:rsidRPr="0088177C">
        <w:rPr>
          <w:color w:val="000000" w:themeColor="text1"/>
          <w:shd w:val="clear" w:color="auto" w:fill="FFFFFF"/>
        </w:rPr>
        <w:t>was required to</w:t>
      </w:r>
      <w:r w:rsidR="008A37E0" w:rsidRPr="0088177C">
        <w:rPr>
          <w:color w:val="000000" w:themeColor="text1"/>
          <w:shd w:val="clear" w:color="auto" w:fill="FFFFFF"/>
        </w:rPr>
        <w:t>:</w:t>
      </w:r>
      <w:r w:rsidR="00751660" w:rsidRPr="0088177C">
        <w:rPr>
          <w:color w:val="000000" w:themeColor="text1"/>
          <w:shd w:val="clear" w:color="auto" w:fill="FFFFFF"/>
        </w:rPr>
        <w:t xml:space="preserve"> </w:t>
      </w:r>
    </w:p>
    <w:p w14:paraId="2127F5CB" w14:textId="599038BB" w:rsidR="008A37E0" w:rsidRPr="004676D2" w:rsidRDefault="008A37E0" w:rsidP="00D51FAC">
      <w:pPr>
        <w:pStyle w:val="NoSpacing"/>
        <w:spacing w:beforeLines="60" w:before="144" w:line="300" w:lineRule="auto"/>
        <w:ind w:left="720"/>
        <w:rPr>
          <w:i/>
          <w:iCs/>
          <w:color w:val="000000" w:themeColor="text1"/>
          <w:shd w:val="clear" w:color="auto" w:fill="FFFFFF"/>
        </w:rPr>
      </w:pPr>
      <w:proofErr w:type="spellStart"/>
      <w:r w:rsidRPr="004676D2">
        <w:rPr>
          <w:i/>
          <w:iCs/>
          <w:color w:val="000000" w:themeColor="text1"/>
        </w:rPr>
        <w:t>Prioritise</w:t>
      </w:r>
      <w:proofErr w:type="spellEnd"/>
      <w:r w:rsidRPr="004676D2">
        <w:rPr>
          <w:i/>
          <w:iCs/>
          <w:color w:val="000000" w:themeColor="text1"/>
        </w:rPr>
        <w:t xml:space="preserve"> and quantify the benefit of potential policy changes to improve Australian economic performance and the wellbeing of Australians by supporting greater productivity growth to set out a roadmap for reform.</w:t>
      </w:r>
      <w:r w:rsidR="006D23E9" w:rsidRPr="004676D2">
        <w:rPr>
          <w:rStyle w:val="FootnoteReference"/>
          <w:i/>
          <w:iCs/>
          <w:color w:val="000000" w:themeColor="text1"/>
        </w:rPr>
        <w:footnoteReference w:id="3"/>
      </w:r>
    </w:p>
    <w:p w14:paraId="789D1671" w14:textId="1D7A6839" w:rsidR="00422F98" w:rsidRPr="00596751" w:rsidRDefault="008B12F4" w:rsidP="0088177C">
      <w:pPr>
        <w:pStyle w:val="NoSpacing"/>
        <w:spacing w:beforeLines="60" w:before="144" w:line="300" w:lineRule="auto"/>
        <w:rPr>
          <w:color w:val="000000" w:themeColor="text1"/>
        </w:rPr>
      </w:pPr>
      <w:r>
        <w:rPr>
          <w:color w:val="000000" w:themeColor="text1"/>
        </w:rPr>
        <w:t xml:space="preserve">Our strong opinion is </w:t>
      </w:r>
      <w:r w:rsidR="00F04393" w:rsidRPr="0088177C">
        <w:rPr>
          <w:color w:val="000000" w:themeColor="text1"/>
        </w:rPr>
        <w:t xml:space="preserve">that </w:t>
      </w:r>
      <w:r w:rsidR="008D74BC" w:rsidRPr="0088177C">
        <w:rPr>
          <w:color w:val="000000" w:themeColor="text1"/>
        </w:rPr>
        <w:t>Australia</w:t>
      </w:r>
      <w:r w:rsidR="00596751">
        <w:rPr>
          <w:color w:val="000000" w:themeColor="text1"/>
        </w:rPr>
        <w:t>’s</w:t>
      </w:r>
      <w:r w:rsidR="008D74BC" w:rsidRPr="0088177C">
        <w:rPr>
          <w:color w:val="000000" w:themeColor="text1"/>
        </w:rPr>
        <w:t xml:space="preserve"> economic performance and the </w:t>
      </w:r>
      <w:r w:rsidR="00D66EA0" w:rsidRPr="0088177C">
        <w:rPr>
          <w:color w:val="000000" w:themeColor="text1"/>
        </w:rPr>
        <w:t>productivity</w:t>
      </w:r>
      <w:r w:rsidR="008D74BC" w:rsidRPr="0088177C">
        <w:rPr>
          <w:color w:val="000000" w:themeColor="text1"/>
        </w:rPr>
        <w:t xml:space="preserve"> of </w:t>
      </w:r>
      <w:r w:rsidR="00D66EA0" w:rsidRPr="0088177C">
        <w:rPr>
          <w:color w:val="000000" w:themeColor="text1"/>
        </w:rPr>
        <w:t>enterprises</w:t>
      </w:r>
      <w:r w:rsidR="008D74BC" w:rsidRPr="0088177C">
        <w:rPr>
          <w:color w:val="000000" w:themeColor="text1"/>
        </w:rPr>
        <w:t xml:space="preserve"> does not </w:t>
      </w:r>
      <w:r w:rsidR="00620D3F" w:rsidRPr="0088177C">
        <w:rPr>
          <w:color w:val="000000" w:themeColor="text1"/>
        </w:rPr>
        <w:t xml:space="preserve">necessarily </w:t>
      </w:r>
      <w:r w:rsidR="0092460B" w:rsidRPr="0088177C">
        <w:rPr>
          <w:color w:val="000000" w:themeColor="text1"/>
        </w:rPr>
        <w:t>guarantee the wellbeing of Australian</w:t>
      </w:r>
      <w:r w:rsidR="003F67BC">
        <w:rPr>
          <w:color w:val="000000" w:themeColor="text1"/>
        </w:rPr>
        <w:t>s</w:t>
      </w:r>
      <w:r w:rsidR="0092460B" w:rsidRPr="0088177C">
        <w:rPr>
          <w:color w:val="000000" w:themeColor="text1"/>
        </w:rPr>
        <w:t xml:space="preserve">. </w:t>
      </w:r>
      <w:r w:rsidR="00FD7390" w:rsidRPr="0088177C">
        <w:rPr>
          <w:color w:val="000000" w:themeColor="text1"/>
        </w:rPr>
        <w:t xml:space="preserve"> </w:t>
      </w:r>
      <w:r w:rsidR="00596751">
        <w:rPr>
          <w:color w:val="000000" w:themeColor="text1"/>
        </w:rPr>
        <w:t xml:space="preserve">Nor </w:t>
      </w:r>
      <w:r w:rsidR="003F67BC">
        <w:rPr>
          <w:color w:val="000000" w:themeColor="text1"/>
        </w:rPr>
        <w:t>do we believe that</w:t>
      </w:r>
      <w:r w:rsidR="00596751">
        <w:rPr>
          <w:color w:val="000000" w:themeColor="text1"/>
        </w:rPr>
        <w:t xml:space="preserve"> reform, based solely on what is </w:t>
      </w:r>
      <w:r w:rsidR="00596751" w:rsidRPr="00596751">
        <w:rPr>
          <w:i/>
          <w:iCs/>
          <w:color w:val="000000" w:themeColor="text1"/>
        </w:rPr>
        <w:t>productivity-enhancing</w:t>
      </w:r>
      <w:r w:rsidR="00596751">
        <w:rPr>
          <w:color w:val="000000" w:themeColor="text1"/>
        </w:rPr>
        <w:t>,</w:t>
      </w:r>
      <w:r w:rsidR="00A311CB">
        <w:rPr>
          <w:color w:val="000000" w:themeColor="text1"/>
        </w:rPr>
        <w:t xml:space="preserve"> </w:t>
      </w:r>
      <w:r w:rsidR="00A311CB" w:rsidRPr="0088177C">
        <w:rPr>
          <w:color w:val="000000" w:themeColor="text1"/>
        </w:rPr>
        <w:t>address</w:t>
      </w:r>
      <w:r w:rsidR="003F67BC">
        <w:rPr>
          <w:color w:val="000000" w:themeColor="text1"/>
        </w:rPr>
        <w:t>es</w:t>
      </w:r>
      <w:r w:rsidR="00A311CB" w:rsidRPr="0088177C">
        <w:rPr>
          <w:color w:val="000000" w:themeColor="text1"/>
        </w:rPr>
        <w:t xml:space="preserve"> the issues that this </w:t>
      </w:r>
      <w:r w:rsidR="00A311CB" w:rsidRPr="00A311CB">
        <w:rPr>
          <w:i/>
          <w:iCs/>
          <w:color w:val="000000" w:themeColor="text1"/>
        </w:rPr>
        <w:t>Interim Report</w:t>
      </w:r>
      <w:r w:rsidR="00A311CB" w:rsidRPr="0088177C">
        <w:rPr>
          <w:color w:val="000000" w:themeColor="text1"/>
        </w:rPr>
        <w:t xml:space="preserve"> elucidates</w:t>
      </w:r>
      <w:r w:rsidR="00A311CB">
        <w:rPr>
          <w:color w:val="000000" w:themeColor="text1"/>
        </w:rPr>
        <w:t>.</w:t>
      </w:r>
    </w:p>
    <w:p w14:paraId="31BC0FE7" w14:textId="05308AD9" w:rsidR="00AD6ED2" w:rsidRDefault="005438FC" w:rsidP="0088177C">
      <w:pPr>
        <w:pStyle w:val="NoSpacing"/>
        <w:spacing w:beforeLines="60" w:before="144" w:line="300" w:lineRule="auto"/>
        <w:rPr>
          <w:color w:val="000000" w:themeColor="text1"/>
        </w:rPr>
      </w:pPr>
      <w:r w:rsidRPr="0088177C">
        <w:rPr>
          <w:color w:val="000000" w:themeColor="text1"/>
        </w:rPr>
        <w:t xml:space="preserve">The object of the </w:t>
      </w:r>
      <w:r w:rsidRPr="0088177C">
        <w:rPr>
          <w:i/>
          <w:iCs/>
          <w:color w:val="000000" w:themeColor="text1"/>
        </w:rPr>
        <w:t>Fair Work Act 2009</w:t>
      </w:r>
      <w:r w:rsidRPr="0088177C">
        <w:rPr>
          <w:color w:val="000000" w:themeColor="text1"/>
        </w:rPr>
        <w:t xml:space="preserve"> (</w:t>
      </w:r>
      <w:proofErr w:type="spellStart"/>
      <w:r w:rsidRPr="0088177C">
        <w:rPr>
          <w:color w:val="000000" w:themeColor="text1"/>
        </w:rPr>
        <w:t>Cth</w:t>
      </w:r>
      <w:proofErr w:type="spellEnd"/>
      <w:r w:rsidRPr="0088177C">
        <w:rPr>
          <w:color w:val="000000" w:themeColor="text1"/>
        </w:rPr>
        <w:t>) (‘</w:t>
      </w:r>
      <w:r w:rsidRPr="0088177C">
        <w:rPr>
          <w:i/>
          <w:iCs/>
          <w:color w:val="000000" w:themeColor="text1"/>
        </w:rPr>
        <w:t>FWA</w:t>
      </w:r>
      <w:r w:rsidRPr="0088177C">
        <w:rPr>
          <w:color w:val="000000" w:themeColor="text1"/>
        </w:rPr>
        <w:t>’) is to ‘provide a balance framework for cooperative and productive workplace relations that promotes national economic prosperity and social inclusion for all Australians’.</w:t>
      </w:r>
      <w:r w:rsidRPr="0088177C">
        <w:rPr>
          <w:rStyle w:val="FootnoteReference"/>
          <w:color w:val="000000" w:themeColor="text1"/>
        </w:rPr>
        <w:footnoteReference w:id="4"/>
      </w:r>
      <w:r w:rsidRPr="0088177C">
        <w:rPr>
          <w:color w:val="000000" w:themeColor="text1"/>
          <w:shd w:val="clear" w:color="auto" w:fill="FFFFFF"/>
        </w:rPr>
        <w:t xml:space="preserve"> </w:t>
      </w:r>
      <w:r w:rsidR="00334C89">
        <w:rPr>
          <w:color w:val="000000" w:themeColor="text1"/>
          <w:shd w:val="clear" w:color="auto" w:fill="FFFFFF"/>
        </w:rPr>
        <w:t xml:space="preserve"> </w:t>
      </w:r>
      <w:r w:rsidR="004720B7" w:rsidRPr="0088177C">
        <w:rPr>
          <w:rFonts w:eastAsia="Verdana" w:cs="Verdana"/>
          <w:color w:val="000000" w:themeColor="text1"/>
        </w:rPr>
        <w:t>The primary concern of policy reform, should</w:t>
      </w:r>
      <w:r w:rsidR="00A311CB">
        <w:rPr>
          <w:rFonts w:eastAsia="Verdana" w:cs="Verdana"/>
          <w:color w:val="000000" w:themeColor="text1"/>
        </w:rPr>
        <w:t xml:space="preserve"> therefore, be </w:t>
      </w:r>
      <w:r w:rsidR="00BA222C" w:rsidRPr="0088177C">
        <w:rPr>
          <w:rFonts w:eastAsia="Verdana" w:cs="Verdana"/>
          <w:color w:val="000000" w:themeColor="text1"/>
        </w:rPr>
        <w:t>grounded</w:t>
      </w:r>
      <w:r w:rsidR="004720B7" w:rsidRPr="0088177C">
        <w:rPr>
          <w:rFonts w:eastAsia="Verdana" w:cs="Verdana"/>
          <w:color w:val="000000" w:themeColor="text1"/>
        </w:rPr>
        <w:t xml:space="preserve"> in fairness. </w:t>
      </w:r>
      <w:r w:rsidR="00BA222C" w:rsidRPr="0088177C">
        <w:rPr>
          <w:rFonts w:eastAsia="Verdana" w:cs="Verdana"/>
          <w:color w:val="000000" w:themeColor="text1"/>
        </w:rPr>
        <w:t xml:space="preserve"> I</w:t>
      </w:r>
      <w:r w:rsidR="004720B7" w:rsidRPr="0088177C">
        <w:rPr>
          <w:rFonts w:eastAsia="Verdana" w:cs="Verdana"/>
          <w:color w:val="000000" w:themeColor="text1"/>
        </w:rPr>
        <w:t xml:space="preserve">t should not assume that </w:t>
      </w:r>
      <w:r w:rsidR="00523BC1" w:rsidRPr="0088177C">
        <w:rPr>
          <w:rFonts w:eastAsia="Verdana" w:cs="Verdana"/>
          <w:color w:val="000000" w:themeColor="text1"/>
        </w:rPr>
        <w:t>gains for business</w:t>
      </w:r>
      <w:r w:rsidR="00334C89">
        <w:rPr>
          <w:rFonts w:eastAsia="Verdana" w:cs="Verdana"/>
          <w:color w:val="000000" w:themeColor="text1"/>
        </w:rPr>
        <w:t>es will automatically</w:t>
      </w:r>
      <w:r w:rsidR="00523BC1" w:rsidRPr="0088177C">
        <w:rPr>
          <w:rFonts w:eastAsia="Verdana" w:cs="Verdana"/>
          <w:color w:val="000000" w:themeColor="text1"/>
        </w:rPr>
        <w:t xml:space="preserve"> translate to gains for workers. </w:t>
      </w:r>
      <w:r w:rsidR="00A311CB">
        <w:rPr>
          <w:rFonts w:eastAsia="Verdana" w:cs="Verdana"/>
          <w:color w:val="000000" w:themeColor="text1"/>
        </w:rPr>
        <w:t>Its goal should be to</w:t>
      </w:r>
      <w:r w:rsidR="004720B7" w:rsidRPr="0088177C">
        <w:rPr>
          <w:rFonts w:eastAsia="Verdana" w:cs="Verdana"/>
          <w:color w:val="000000" w:themeColor="text1"/>
        </w:rPr>
        <w:t xml:space="preserve"> create a system that </w:t>
      </w:r>
      <w:r w:rsidR="004720B7" w:rsidRPr="0088177C">
        <w:rPr>
          <w:color w:val="000000" w:themeColor="text1"/>
        </w:rPr>
        <w:t>promotes and encourages harmony and co-operation between industrial parties while providing mechanisms to resolve their competing interests in an equitable manner.</w:t>
      </w:r>
      <w:r w:rsidR="004720B7" w:rsidRPr="0088177C">
        <w:rPr>
          <w:rStyle w:val="FootnoteReference"/>
          <w:color w:val="000000" w:themeColor="text1"/>
        </w:rPr>
        <w:footnoteReference w:id="5"/>
      </w:r>
      <w:r w:rsidR="004720B7" w:rsidRPr="0088177C">
        <w:rPr>
          <w:color w:val="000000" w:themeColor="text1"/>
        </w:rPr>
        <w:t xml:space="preserve"> </w:t>
      </w:r>
    </w:p>
    <w:p w14:paraId="44870546" w14:textId="3EDD4858" w:rsidR="005F426C" w:rsidRPr="005F426C" w:rsidRDefault="005F426C" w:rsidP="00DA3493">
      <w:pPr>
        <w:pStyle w:val="NoSpacing"/>
        <w:spacing w:beforeLines="60" w:before="144" w:line="300" w:lineRule="auto"/>
        <w:rPr>
          <w:rFonts w:eastAsia="Verdana" w:cs="Verdana"/>
          <w:b/>
          <w:bCs/>
          <w:color w:val="9D825C"/>
        </w:rPr>
      </w:pPr>
      <w:r w:rsidRPr="005F426C">
        <w:rPr>
          <w:rFonts w:eastAsia="Verdana" w:cs="Verdana"/>
          <w:b/>
          <w:bCs/>
          <w:color w:val="9D825C"/>
        </w:rPr>
        <w:t>Core elements</w:t>
      </w:r>
    </w:p>
    <w:p w14:paraId="6A63F241" w14:textId="6546D488" w:rsidR="00DA3493" w:rsidRPr="0088177C" w:rsidRDefault="00DA3493" w:rsidP="00DA3493">
      <w:pPr>
        <w:pStyle w:val="NoSpacing"/>
        <w:spacing w:beforeLines="60" w:before="144" w:line="300" w:lineRule="auto"/>
        <w:rPr>
          <w:rFonts w:eastAsia="Verdana" w:cs="Verdana"/>
          <w:color w:val="000000" w:themeColor="text1"/>
        </w:rPr>
      </w:pPr>
      <w:r>
        <w:rPr>
          <w:rFonts w:eastAsia="Verdana" w:cs="Verdana"/>
          <w:color w:val="000000" w:themeColor="text1"/>
        </w:rPr>
        <w:t>Australia</w:t>
      </w:r>
      <w:r w:rsidR="004676D2">
        <w:rPr>
          <w:rFonts w:eastAsia="Verdana" w:cs="Verdana"/>
          <w:color w:val="000000" w:themeColor="text1"/>
        </w:rPr>
        <w:t>’s</w:t>
      </w:r>
      <w:r>
        <w:rPr>
          <w:rFonts w:eastAsia="Verdana" w:cs="Verdana"/>
          <w:color w:val="000000" w:themeColor="text1"/>
        </w:rPr>
        <w:t xml:space="preserve"> i</w:t>
      </w:r>
      <w:r w:rsidRPr="0088177C">
        <w:rPr>
          <w:rFonts w:eastAsia="Verdana" w:cs="Verdana"/>
          <w:color w:val="000000" w:themeColor="text1"/>
        </w:rPr>
        <w:t xml:space="preserve">ndustrial relations </w:t>
      </w:r>
      <w:r w:rsidR="004676D2">
        <w:rPr>
          <w:rFonts w:eastAsia="Verdana" w:cs="Verdana"/>
          <w:color w:val="000000" w:themeColor="text1"/>
        </w:rPr>
        <w:t xml:space="preserve">system </w:t>
      </w:r>
      <w:r w:rsidRPr="0088177C">
        <w:rPr>
          <w:rFonts w:eastAsia="Verdana" w:cs="Verdana"/>
          <w:color w:val="000000" w:themeColor="text1"/>
        </w:rPr>
        <w:t>is a product of history</w:t>
      </w:r>
      <w:r w:rsidR="00B41976">
        <w:rPr>
          <w:rFonts w:eastAsia="Verdana" w:cs="Verdana"/>
          <w:color w:val="000000" w:themeColor="text1"/>
        </w:rPr>
        <w:t>.</w:t>
      </w:r>
      <w:r w:rsidR="00B41976">
        <w:rPr>
          <w:rStyle w:val="FootnoteReference"/>
          <w:rFonts w:eastAsia="Verdana" w:cs="Verdana"/>
          <w:color w:val="000000" w:themeColor="text1"/>
        </w:rPr>
        <w:footnoteReference w:id="6"/>
      </w:r>
      <w:r w:rsidRPr="0088177C">
        <w:rPr>
          <w:rFonts w:eastAsia="Verdana" w:cs="Verdana"/>
          <w:color w:val="000000" w:themeColor="text1"/>
        </w:rPr>
        <w:t xml:space="preserve"> </w:t>
      </w:r>
      <w:r w:rsidR="00B41976">
        <w:rPr>
          <w:rFonts w:eastAsia="Verdana" w:cs="Verdana"/>
          <w:color w:val="000000" w:themeColor="text1"/>
        </w:rPr>
        <w:t xml:space="preserve"> W</w:t>
      </w:r>
      <w:r w:rsidRPr="0088177C">
        <w:rPr>
          <w:rFonts w:eastAsia="Verdana" w:cs="Verdana"/>
          <w:color w:val="000000" w:themeColor="text1"/>
        </w:rPr>
        <w:t xml:space="preserve">hilst legislation has gone through periods of radical reform, </w:t>
      </w:r>
      <w:r>
        <w:rPr>
          <w:rFonts w:eastAsia="Verdana" w:cs="Verdana"/>
          <w:color w:val="000000" w:themeColor="text1"/>
        </w:rPr>
        <w:t>every</w:t>
      </w:r>
      <w:r w:rsidRPr="0088177C">
        <w:rPr>
          <w:rFonts w:eastAsia="Verdana" w:cs="Verdana"/>
          <w:color w:val="000000" w:themeColor="text1"/>
        </w:rPr>
        <w:t xml:space="preserve"> iter</w:t>
      </w:r>
      <w:r>
        <w:rPr>
          <w:rFonts w:eastAsia="Verdana" w:cs="Verdana"/>
          <w:color w:val="000000" w:themeColor="text1"/>
        </w:rPr>
        <w:t>ation</w:t>
      </w:r>
      <w:r w:rsidRPr="0088177C">
        <w:rPr>
          <w:rFonts w:eastAsia="Verdana" w:cs="Verdana"/>
          <w:color w:val="000000" w:themeColor="text1"/>
        </w:rPr>
        <w:t xml:space="preserve"> of our system ha</w:t>
      </w:r>
      <w:r w:rsidR="00B41976">
        <w:rPr>
          <w:rFonts w:eastAsia="Verdana" w:cs="Verdana"/>
          <w:color w:val="000000" w:themeColor="text1"/>
        </w:rPr>
        <w:t>s</w:t>
      </w:r>
      <w:r w:rsidRPr="0088177C">
        <w:rPr>
          <w:rFonts w:eastAsia="Verdana" w:cs="Verdana"/>
          <w:color w:val="000000" w:themeColor="text1"/>
        </w:rPr>
        <w:t xml:space="preserve"> contained a number of core elements. </w:t>
      </w:r>
      <w:r w:rsidR="00B41976">
        <w:rPr>
          <w:rFonts w:eastAsia="Verdana" w:cs="Verdana"/>
          <w:color w:val="000000" w:themeColor="text1"/>
        </w:rPr>
        <w:t xml:space="preserve"> </w:t>
      </w:r>
      <w:r>
        <w:rPr>
          <w:rFonts w:eastAsia="Verdana" w:cs="Verdana"/>
          <w:color w:val="000000" w:themeColor="text1"/>
        </w:rPr>
        <w:t xml:space="preserve">Per Capita submits that these core </w:t>
      </w:r>
      <w:r>
        <w:rPr>
          <w:rFonts w:eastAsia="Verdana" w:cs="Verdana"/>
          <w:color w:val="000000" w:themeColor="text1"/>
        </w:rPr>
        <w:lastRenderedPageBreak/>
        <w:t>elements</w:t>
      </w:r>
      <w:r w:rsidRPr="0088177C">
        <w:rPr>
          <w:rFonts w:eastAsia="Verdana" w:cs="Verdana"/>
          <w:color w:val="000000" w:themeColor="text1"/>
        </w:rPr>
        <w:t xml:space="preserve"> are essential for the smooth function</w:t>
      </w:r>
      <w:r w:rsidR="00B41976">
        <w:rPr>
          <w:rFonts w:eastAsia="Verdana" w:cs="Verdana"/>
          <w:color w:val="000000" w:themeColor="text1"/>
        </w:rPr>
        <w:t>ing</w:t>
      </w:r>
      <w:r w:rsidRPr="0088177C">
        <w:rPr>
          <w:rFonts w:eastAsia="Verdana" w:cs="Verdana"/>
          <w:color w:val="000000" w:themeColor="text1"/>
        </w:rPr>
        <w:t xml:space="preserve"> of the system</w:t>
      </w:r>
      <w:r w:rsidR="00B41976">
        <w:rPr>
          <w:rFonts w:eastAsia="Verdana" w:cs="Verdana"/>
          <w:color w:val="000000" w:themeColor="text1"/>
        </w:rPr>
        <w:t xml:space="preserve"> and</w:t>
      </w:r>
      <w:r w:rsidRPr="0088177C">
        <w:rPr>
          <w:rFonts w:eastAsia="Verdana" w:cs="Verdana"/>
          <w:color w:val="000000" w:themeColor="text1"/>
        </w:rPr>
        <w:t xml:space="preserve"> need to be considered</w:t>
      </w:r>
      <w:r w:rsidR="00B41976">
        <w:rPr>
          <w:rFonts w:eastAsia="Verdana" w:cs="Verdana"/>
          <w:color w:val="000000" w:themeColor="text1"/>
        </w:rPr>
        <w:t>, along with productivity gains,</w:t>
      </w:r>
      <w:r w:rsidRPr="0088177C">
        <w:rPr>
          <w:rFonts w:eastAsia="Verdana" w:cs="Verdana"/>
          <w:color w:val="000000" w:themeColor="text1"/>
        </w:rPr>
        <w:t xml:space="preserve"> when designing reform.</w:t>
      </w:r>
    </w:p>
    <w:p w14:paraId="17518B45" w14:textId="12BB76F6" w:rsidR="00DA3493" w:rsidRPr="0088177C" w:rsidRDefault="00DA3493" w:rsidP="00DA3493">
      <w:pPr>
        <w:pStyle w:val="NoSpacing"/>
        <w:spacing w:beforeLines="60" w:before="144" w:line="300" w:lineRule="auto"/>
        <w:rPr>
          <w:rFonts w:eastAsia="Verdana" w:cs="Verdana"/>
          <w:color w:val="000000" w:themeColor="text1"/>
        </w:rPr>
      </w:pPr>
      <w:r w:rsidRPr="0088177C">
        <w:rPr>
          <w:rFonts w:eastAsia="Verdana" w:cs="Verdana"/>
          <w:color w:val="000000" w:themeColor="text1"/>
        </w:rPr>
        <w:t>Richard Naught</w:t>
      </w:r>
      <w:r w:rsidR="00C92473">
        <w:rPr>
          <w:rFonts w:eastAsia="Verdana" w:cs="Verdana"/>
          <w:color w:val="000000" w:themeColor="text1"/>
        </w:rPr>
        <w:t>o</w:t>
      </w:r>
      <w:r w:rsidRPr="0088177C">
        <w:rPr>
          <w:rFonts w:eastAsia="Verdana" w:cs="Verdana"/>
          <w:color w:val="000000" w:themeColor="text1"/>
        </w:rPr>
        <w:t>n identifies the core elements of Australia’s industrial relations system</w:t>
      </w:r>
      <w:r w:rsidR="00B41976">
        <w:rPr>
          <w:rFonts w:eastAsia="Verdana" w:cs="Verdana"/>
          <w:color w:val="000000" w:themeColor="text1"/>
        </w:rPr>
        <w:t>,</w:t>
      </w:r>
      <w:r w:rsidRPr="0088177C">
        <w:rPr>
          <w:rFonts w:eastAsia="Verdana" w:cs="Verdana"/>
          <w:color w:val="000000" w:themeColor="text1"/>
        </w:rPr>
        <w:t xml:space="preserve"> as one which operate</w:t>
      </w:r>
      <w:r w:rsidR="00B41976">
        <w:rPr>
          <w:rFonts w:eastAsia="Verdana" w:cs="Verdana"/>
          <w:color w:val="000000" w:themeColor="text1"/>
        </w:rPr>
        <w:t>s</w:t>
      </w:r>
      <w:r w:rsidRPr="0088177C">
        <w:rPr>
          <w:rFonts w:eastAsia="Verdana" w:cs="Verdana"/>
          <w:color w:val="000000" w:themeColor="text1"/>
        </w:rPr>
        <w:t>:</w:t>
      </w:r>
    </w:p>
    <w:p w14:paraId="2E589FDF" w14:textId="5235AC30" w:rsidR="00DA3493" w:rsidRPr="0088177C" w:rsidRDefault="00B41976" w:rsidP="00DA3493">
      <w:pPr>
        <w:pStyle w:val="NoSpacing"/>
        <w:numPr>
          <w:ilvl w:val="0"/>
          <w:numId w:val="29"/>
        </w:numPr>
        <w:spacing w:beforeLines="60" w:before="144" w:line="300" w:lineRule="auto"/>
        <w:rPr>
          <w:rFonts w:eastAsia="Verdana" w:cs="Verdana"/>
          <w:color w:val="000000" w:themeColor="text1"/>
        </w:rPr>
      </w:pPr>
      <w:r>
        <w:rPr>
          <w:rFonts w:eastAsia="Verdana" w:cs="Verdana"/>
          <w:color w:val="000000" w:themeColor="text1"/>
        </w:rPr>
        <w:t>t</w:t>
      </w:r>
      <w:r w:rsidR="00DA3493" w:rsidRPr="0088177C">
        <w:rPr>
          <w:rFonts w:eastAsia="Verdana" w:cs="Verdana"/>
          <w:color w:val="000000" w:themeColor="text1"/>
        </w:rPr>
        <w:t xml:space="preserve">hrough an independent statutory tribunal, with compulsory </w:t>
      </w:r>
      <w:proofErr w:type="gramStart"/>
      <w:r w:rsidR="00DA3493" w:rsidRPr="0088177C">
        <w:rPr>
          <w:rFonts w:eastAsia="Verdana" w:cs="Verdana"/>
          <w:color w:val="000000" w:themeColor="text1"/>
        </w:rPr>
        <w:t>powers</w:t>
      </w:r>
      <w:r w:rsidR="00DA3493">
        <w:rPr>
          <w:rFonts w:eastAsia="Verdana" w:cs="Verdana"/>
          <w:color w:val="000000" w:themeColor="text1"/>
        </w:rPr>
        <w:t>;</w:t>
      </w:r>
      <w:proofErr w:type="gramEnd"/>
    </w:p>
    <w:p w14:paraId="18FA04A2" w14:textId="77777777" w:rsidR="00DA3493" w:rsidRPr="0088177C" w:rsidRDefault="00DA3493" w:rsidP="00DA3493">
      <w:pPr>
        <w:pStyle w:val="NoSpacing"/>
        <w:numPr>
          <w:ilvl w:val="0"/>
          <w:numId w:val="29"/>
        </w:numPr>
        <w:spacing w:beforeLines="60" w:before="144" w:line="300" w:lineRule="auto"/>
        <w:rPr>
          <w:rFonts w:eastAsia="Verdana" w:cs="Verdana"/>
          <w:color w:val="000000" w:themeColor="text1"/>
        </w:rPr>
      </w:pPr>
      <w:r>
        <w:rPr>
          <w:rFonts w:eastAsia="Verdana" w:cs="Verdana"/>
          <w:color w:val="000000" w:themeColor="text1"/>
        </w:rPr>
        <w:t>i</w:t>
      </w:r>
      <w:r w:rsidRPr="0088177C">
        <w:rPr>
          <w:rFonts w:eastAsia="Verdana" w:cs="Verdana"/>
          <w:color w:val="000000" w:themeColor="text1"/>
        </w:rPr>
        <w:t xml:space="preserve">n the public </w:t>
      </w:r>
      <w:proofErr w:type="gramStart"/>
      <w:r w:rsidRPr="0088177C">
        <w:rPr>
          <w:rFonts w:eastAsia="Verdana" w:cs="Verdana"/>
          <w:color w:val="000000" w:themeColor="text1"/>
        </w:rPr>
        <w:t>interest;</w:t>
      </w:r>
      <w:proofErr w:type="gramEnd"/>
    </w:p>
    <w:p w14:paraId="4A906D6E" w14:textId="77777777" w:rsidR="00DA3493" w:rsidRPr="0088177C" w:rsidRDefault="00DA3493" w:rsidP="00DA3493">
      <w:pPr>
        <w:pStyle w:val="NoSpacing"/>
        <w:numPr>
          <w:ilvl w:val="0"/>
          <w:numId w:val="29"/>
        </w:numPr>
        <w:spacing w:beforeLines="60" w:before="144" w:line="300" w:lineRule="auto"/>
        <w:rPr>
          <w:rFonts w:eastAsia="Verdana" w:cs="Verdana"/>
          <w:color w:val="000000" w:themeColor="text1"/>
        </w:rPr>
      </w:pPr>
      <w:r>
        <w:rPr>
          <w:rFonts w:eastAsia="Verdana" w:cs="Verdana"/>
          <w:color w:val="000000" w:themeColor="text1"/>
        </w:rPr>
        <w:t>t</w:t>
      </w:r>
      <w:r w:rsidRPr="0088177C">
        <w:rPr>
          <w:rFonts w:eastAsia="Verdana" w:cs="Verdana"/>
          <w:color w:val="000000" w:themeColor="text1"/>
        </w:rPr>
        <w:t>o protect the most vulnerable workers</w:t>
      </w:r>
      <w:r>
        <w:rPr>
          <w:rFonts w:eastAsia="Verdana" w:cs="Verdana"/>
          <w:color w:val="000000" w:themeColor="text1"/>
        </w:rPr>
        <w:t xml:space="preserve"> (including the low paid)</w:t>
      </w:r>
      <w:r w:rsidRPr="0088177C">
        <w:rPr>
          <w:rFonts w:eastAsia="Verdana" w:cs="Verdana"/>
          <w:color w:val="000000" w:themeColor="text1"/>
        </w:rPr>
        <w:t xml:space="preserve">; and </w:t>
      </w:r>
    </w:p>
    <w:p w14:paraId="21C2DFBE" w14:textId="77777777" w:rsidR="00DA3493" w:rsidRPr="0088177C" w:rsidRDefault="00DA3493" w:rsidP="00DA3493">
      <w:pPr>
        <w:pStyle w:val="NoSpacing"/>
        <w:numPr>
          <w:ilvl w:val="0"/>
          <w:numId w:val="29"/>
        </w:numPr>
        <w:spacing w:beforeLines="60" w:before="144" w:line="300" w:lineRule="auto"/>
        <w:rPr>
          <w:rFonts w:eastAsia="Times New Roman" w:cs="Times New Roman"/>
          <w:color w:val="000000" w:themeColor="text1"/>
        </w:rPr>
      </w:pPr>
      <w:r>
        <w:rPr>
          <w:rFonts w:eastAsia="Verdana" w:cs="Verdana"/>
          <w:color w:val="000000" w:themeColor="text1"/>
        </w:rPr>
        <w:t>w</w:t>
      </w:r>
      <w:r w:rsidRPr="0088177C">
        <w:rPr>
          <w:rFonts w:eastAsia="Verdana" w:cs="Verdana"/>
          <w:color w:val="000000" w:themeColor="text1"/>
        </w:rPr>
        <w:t>ith the necessarily privileged role of trade unions.</w:t>
      </w:r>
      <w:r w:rsidRPr="0088177C">
        <w:rPr>
          <w:rStyle w:val="FootnoteReference"/>
          <w:rFonts w:eastAsia="Verdana" w:cs="Verdana"/>
          <w:color w:val="000000" w:themeColor="text1"/>
        </w:rPr>
        <w:footnoteReference w:id="7"/>
      </w:r>
      <w:r w:rsidRPr="0088177C">
        <w:rPr>
          <w:rFonts w:eastAsia="Verdana" w:cs="Verdana"/>
          <w:color w:val="000000" w:themeColor="text1"/>
        </w:rPr>
        <w:t xml:space="preserve"> </w:t>
      </w:r>
    </w:p>
    <w:p w14:paraId="4C0E3A23" w14:textId="0CBC0071" w:rsidR="00DA3493" w:rsidRPr="0088177C" w:rsidRDefault="00D915A5" w:rsidP="00DA3493">
      <w:pPr>
        <w:pStyle w:val="NoSpacing"/>
        <w:spacing w:beforeLines="60" w:before="144" w:line="300" w:lineRule="auto"/>
        <w:rPr>
          <w:rFonts w:eastAsia="Verdana" w:cs="Verdana"/>
          <w:color w:val="000000" w:themeColor="text1"/>
        </w:rPr>
      </w:pPr>
      <w:r>
        <w:rPr>
          <w:rFonts w:eastAsia="Verdana" w:cs="Verdana"/>
          <w:color w:val="000000" w:themeColor="text1"/>
        </w:rPr>
        <w:t>T</w:t>
      </w:r>
      <w:r w:rsidR="00DA3493" w:rsidRPr="0088177C">
        <w:rPr>
          <w:rFonts w:eastAsia="Verdana" w:cs="Verdana"/>
          <w:color w:val="000000" w:themeColor="text1"/>
        </w:rPr>
        <w:t>he</w:t>
      </w:r>
      <w:r w:rsidR="00DA3493">
        <w:rPr>
          <w:rFonts w:eastAsia="Verdana" w:cs="Verdana"/>
          <w:color w:val="000000" w:themeColor="text1"/>
        </w:rPr>
        <w:t xml:space="preserve">se elements </w:t>
      </w:r>
      <w:r w:rsidR="00DA3493" w:rsidRPr="0088177C">
        <w:rPr>
          <w:rFonts w:eastAsia="Verdana" w:cs="Verdana"/>
          <w:color w:val="000000" w:themeColor="text1"/>
        </w:rPr>
        <w:t xml:space="preserve">support what can be considered the paramount objective of </w:t>
      </w:r>
      <w:r w:rsidR="00C92473">
        <w:rPr>
          <w:rFonts w:eastAsia="Verdana" w:cs="Verdana"/>
          <w:color w:val="000000" w:themeColor="text1"/>
        </w:rPr>
        <w:t>Australia</w:t>
      </w:r>
      <w:r w:rsidR="00BC2C5C">
        <w:rPr>
          <w:rFonts w:eastAsia="Verdana" w:cs="Verdana"/>
          <w:color w:val="000000" w:themeColor="text1"/>
        </w:rPr>
        <w:t>’s industrial relations regime</w:t>
      </w:r>
      <w:r w:rsidR="00DA3493" w:rsidRPr="0088177C">
        <w:rPr>
          <w:rFonts w:eastAsia="Verdana" w:cs="Verdana"/>
          <w:color w:val="000000" w:themeColor="text1"/>
        </w:rPr>
        <w:t>: fairness</w:t>
      </w:r>
      <w:r w:rsidR="00DA3493">
        <w:rPr>
          <w:rFonts w:eastAsia="Verdana" w:cs="Verdana"/>
          <w:color w:val="000000" w:themeColor="text1"/>
        </w:rPr>
        <w:t xml:space="preserve"> for all participants and the community at large. </w:t>
      </w:r>
      <w:r w:rsidR="00DA3493" w:rsidRPr="0088177C">
        <w:rPr>
          <w:rFonts w:eastAsia="Verdana" w:cs="Verdana"/>
          <w:color w:val="000000" w:themeColor="text1"/>
        </w:rPr>
        <w:t xml:space="preserve"> </w:t>
      </w:r>
    </w:p>
    <w:p w14:paraId="1102BE95" w14:textId="04161103" w:rsidR="004676D2" w:rsidRDefault="00DA3493" w:rsidP="00D254F7">
      <w:pPr>
        <w:pStyle w:val="NoSpacing"/>
        <w:spacing w:beforeLines="60" w:before="144" w:line="300" w:lineRule="auto"/>
        <w:rPr>
          <w:rFonts w:eastAsia="Verdana" w:cs="Verdana"/>
          <w:color w:val="000000" w:themeColor="text1"/>
        </w:rPr>
      </w:pPr>
      <w:r w:rsidRPr="0088177C">
        <w:rPr>
          <w:rFonts w:eastAsia="Verdana" w:cs="Verdana"/>
          <w:color w:val="000000" w:themeColor="text1"/>
        </w:rPr>
        <w:t xml:space="preserve">The </w:t>
      </w:r>
      <w:r w:rsidR="00B41976">
        <w:rPr>
          <w:rFonts w:eastAsia="Verdana" w:cs="Verdana"/>
          <w:color w:val="000000" w:themeColor="text1"/>
        </w:rPr>
        <w:t>J</w:t>
      </w:r>
      <w:r w:rsidRPr="0088177C">
        <w:rPr>
          <w:rFonts w:eastAsia="Verdana" w:cs="Verdana"/>
          <w:color w:val="000000" w:themeColor="text1"/>
        </w:rPr>
        <w:t xml:space="preserve">obs and </w:t>
      </w:r>
      <w:r w:rsidR="00B41976">
        <w:rPr>
          <w:rFonts w:eastAsia="Verdana" w:cs="Verdana"/>
          <w:color w:val="000000" w:themeColor="text1"/>
        </w:rPr>
        <w:t>S</w:t>
      </w:r>
      <w:r w:rsidRPr="0088177C">
        <w:rPr>
          <w:rFonts w:eastAsia="Verdana" w:cs="Verdana"/>
          <w:color w:val="000000" w:themeColor="text1"/>
        </w:rPr>
        <w:t xml:space="preserve">kills </w:t>
      </w:r>
      <w:r w:rsidR="00B41976">
        <w:rPr>
          <w:rFonts w:eastAsia="Verdana" w:cs="Verdana"/>
          <w:color w:val="000000" w:themeColor="text1"/>
        </w:rPr>
        <w:t>S</w:t>
      </w:r>
      <w:r w:rsidRPr="0088177C">
        <w:rPr>
          <w:rFonts w:eastAsia="Verdana" w:cs="Verdana"/>
          <w:color w:val="000000" w:themeColor="text1"/>
        </w:rPr>
        <w:t xml:space="preserve">ummit </w:t>
      </w:r>
      <w:r w:rsidR="005E5741">
        <w:rPr>
          <w:rFonts w:eastAsia="Verdana" w:cs="Verdana"/>
          <w:color w:val="000000" w:themeColor="text1"/>
        </w:rPr>
        <w:t xml:space="preserve">(September 2022) </w:t>
      </w:r>
      <w:r w:rsidRPr="0088177C">
        <w:rPr>
          <w:rFonts w:eastAsia="Verdana" w:cs="Verdana"/>
          <w:color w:val="000000" w:themeColor="text1"/>
        </w:rPr>
        <w:t xml:space="preserve">brought together participants representing employers, </w:t>
      </w:r>
      <w:proofErr w:type="gramStart"/>
      <w:r w:rsidRPr="0088177C">
        <w:rPr>
          <w:rFonts w:eastAsia="Verdana" w:cs="Verdana"/>
          <w:color w:val="000000" w:themeColor="text1"/>
        </w:rPr>
        <w:t>employees</w:t>
      </w:r>
      <w:proofErr w:type="gramEnd"/>
      <w:r w:rsidRPr="0088177C">
        <w:rPr>
          <w:rFonts w:eastAsia="Verdana" w:cs="Verdana"/>
          <w:color w:val="000000" w:themeColor="text1"/>
        </w:rPr>
        <w:t xml:space="preserve"> and the community at large. This cooperative approach was the right</w:t>
      </w:r>
      <w:r w:rsidR="00D915A5">
        <w:rPr>
          <w:rFonts w:eastAsia="Verdana" w:cs="Verdana"/>
          <w:color w:val="000000" w:themeColor="text1"/>
        </w:rPr>
        <w:t>,</w:t>
      </w:r>
      <w:r w:rsidRPr="0088177C">
        <w:rPr>
          <w:rFonts w:eastAsia="Verdana" w:cs="Verdana"/>
          <w:color w:val="000000" w:themeColor="text1"/>
        </w:rPr>
        <w:t xml:space="preserve"> first step towards securing community confidence. The ability of participants to agree on several immediate actions</w:t>
      </w:r>
      <w:r w:rsidR="00481D0B">
        <w:rPr>
          <w:rFonts w:eastAsia="Verdana" w:cs="Verdana"/>
          <w:color w:val="000000" w:themeColor="text1"/>
        </w:rPr>
        <w:t xml:space="preserve"> means that the </w:t>
      </w:r>
      <w:r w:rsidRPr="0088177C">
        <w:rPr>
          <w:rFonts w:eastAsia="Verdana" w:cs="Verdana"/>
          <w:color w:val="000000" w:themeColor="text1"/>
        </w:rPr>
        <w:t>question at hand is no longer</w:t>
      </w:r>
      <w:r w:rsidR="00481D0B">
        <w:rPr>
          <w:rFonts w:eastAsia="Verdana" w:cs="Verdana"/>
          <w:color w:val="000000" w:themeColor="text1"/>
        </w:rPr>
        <w:t>,</w:t>
      </w:r>
      <w:r>
        <w:rPr>
          <w:rFonts w:eastAsia="Verdana" w:cs="Verdana"/>
          <w:color w:val="000000" w:themeColor="text1"/>
        </w:rPr>
        <w:t xml:space="preserve"> </w:t>
      </w:r>
      <w:r w:rsidRPr="00E27781">
        <w:rPr>
          <w:rFonts w:eastAsia="Verdana" w:cs="Verdana"/>
          <w:i/>
          <w:iCs/>
          <w:color w:val="000000" w:themeColor="text1"/>
        </w:rPr>
        <w:t xml:space="preserve">should the </w:t>
      </w:r>
      <w:r w:rsidR="00D915A5">
        <w:rPr>
          <w:rFonts w:eastAsia="Verdana" w:cs="Verdana"/>
          <w:i/>
          <w:iCs/>
          <w:color w:val="000000" w:themeColor="text1"/>
        </w:rPr>
        <w:t>A</w:t>
      </w:r>
      <w:r w:rsidRPr="00E27781">
        <w:rPr>
          <w:rFonts w:eastAsia="Verdana" w:cs="Verdana"/>
          <w:i/>
          <w:iCs/>
          <w:color w:val="000000" w:themeColor="text1"/>
        </w:rPr>
        <w:t xml:space="preserve">ct be reformed to provide better agreement </w:t>
      </w:r>
      <w:proofErr w:type="gramStart"/>
      <w:r w:rsidRPr="00E27781">
        <w:rPr>
          <w:rFonts w:eastAsia="Verdana" w:cs="Verdana"/>
          <w:i/>
          <w:iCs/>
          <w:color w:val="000000" w:themeColor="text1"/>
        </w:rPr>
        <w:t>making</w:t>
      </w:r>
      <w:r w:rsidR="00481D0B">
        <w:rPr>
          <w:rFonts w:eastAsia="Verdana" w:cs="Verdana"/>
          <w:i/>
          <w:iCs/>
          <w:color w:val="000000" w:themeColor="text1"/>
        </w:rPr>
        <w:t>?</w:t>
      </w:r>
      <w:r w:rsidRPr="0088177C">
        <w:rPr>
          <w:rFonts w:eastAsia="Verdana" w:cs="Verdana"/>
          <w:color w:val="000000" w:themeColor="text1"/>
        </w:rPr>
        <w:t>;</w:t>
      </w:r>
      <w:proofErr w:type="gramEnd"/>
      <w:r w:rsidRPr="0088177C">
        <w:rPr>
          <w:rFonts w:eastAsia="Verdana" w:cs="Verdana"/>
          <w:color w:val="000000" w:themeColor="text1"/>
        </w:rPr>
        <w:t xml:space="preserve"> but instead, </w:t>
      </w:r>
      <w:r w:rsidRPr="00E27781">
        <w:rPr>
          <w:rFonts w:eastAsia="Verdana" w:cs="Verdana"/>
          <w:i/>
          <w:iCs/>
          <w:color w:val="000000" w:themeColor="text1"/>
        </w:rPr>
        <w:t>what reform would best achieve this</w:t>
      </w:r>
      <w:r w:rsidRPr="0088177C">
        <w:rPr>
          <w:rFonts w:eastAsia="Verdana" w:cs="Verdana"/>
          <w:color w:val="000000" w:themeColor="text1"/>
        </w:rPr>
        <w:t xml:space="preserve">? </w:t>
      </w:r>
    </w:p>
    <w:p w14:paraId="5E867317" w14:textId="104B6BE9" w:rsidR="005438FC" w:rsidRPr="005C0EDC" w:rsidRDefault="00AD6ED2" w:rsidP="0088177C">
      <w:pPr>
        <w:pStyle w:val="NoSpacing"/>
        <w:spacing w:beforeLines="60" w:before="144" w:line="300" w:lineRule="auto"/>
        <w:rPr>
          <w:b/>
          <w:bCs/>
          <w:color w:val="1E4D42"/>
          <w:sz w:val="24"/>
          <w:szCs w:val="24"/>
          <w:shd w:val="clear" w:color="auto" w:fill="FFFFFF"/>
        </w:rPr>
      </w:pPr>
      <w:r w:rsidRPr="005C0EDC">
        <w:rPr>
          <w:b/>
          <w:bCs/>
          <w:color w:val="1E4D42"/>
          <w:sz w:val="24"/>
          <w:szCs w:val="24"/>
        </w:rPr>
        <w:t>Creating more efficient enterprise bargaining</w:t>
      </w:r>
    </w:p>
    <w:p w14:paraId="66FA10F2" w14:textId="77777777" w:rsidR="005438FC" w:rsidRPr="00AD6ED2" w:rsidRDefault="005438FC" w:rsidP="0088177C">
      <w:pPr>
        <w:pStyle w:val="NoSpacing"/>
        <w:spacing w:beforeLines="60" w:before="144" w:line="300" w:lineRule="auto"/>
        <w:rPr>
          <w:b/>
          <w:bCs/>
          <w:color w:val="9D825C"/>
          <w:shd w:val="clear" w:color="auto" w:fill="FFFFFF"/>
        </w:rPr>
      </w:pPr>
      <w:r w:rsidRPr="00AD6ED2">
        <w:rPr>
          <w:b/>
          <w:bCs/>
          <w:color w:val="9D825C"/>
          <w:shd w:val="clear" w:color="auto" w:fill="FFFFFF"/>
        </w:rPr>
        <w:t xml:space="preserve">Productivity does not equal wage increases </w:t>
      </w:r>
    </w:p>
    <w:p w14:paraId="3067206A" w14:textId="4E0CBCB4" w:rsidR="005438FC" w:rsidRPr="0088177C" w:rsidRDefault="005438FC" w:rsidP="0088177C">
      <w:pPr>
        <w:pStyle w:val="NoSpacing"/>
        <w:spacing w:beforeLines="60" w:before="144" w:line="300" w:lineRule="auto"/>
        <w:rPr>
          <w:rFonts w:eastAsia="Verdana" w:cs="Verdana"/>
          <w:color w:val="000000" w:themeColor="text1"/>
        </w:rPr>
      </w:pPr>
      <w:r w:rsidRPr="0088177C">
        <w:rPr>
          <w:rFonts w:cs="Times New Roman"/>
          <w:color w:val="000000" w:themeColor="text1"/>
        </w:rPr>
        <w:t xml:space="preserve">The </w:t>
      </w:r>
      <w:r w:rsidRPr="0088177C">
        <w:rPr>
          <w:rFonts w:cs="Times New Roman"/>
          <w:i/>
          <w:iCs/>
          <w:color w:val="000000" w:themeColor="text1"/>
        </w:rPr>
        <w:t>Industrial Relations Reform Act 1993</w:t>
      </w:r>
      <w:r w:rsidR="00A311CB">
        <w:rPr>
          <w:rFonts w:cs="Times New Roman"/>
          <w:i/>
          <w:iCs/>
          <w:color w:val="000000" w:themeColor="text1"/>
        </w:rPr>
        <w:t xml:space="preserve"> </w:t>
      </w:r>
      <w:r w:rsidR="00A311CB" w:rsidRPr="00A311CB">
        <w:rPr>
          <w:rFonts w:cs="Times New Roman"/>
          <w:color w:val="000000" w:themeColor="text1"/>
        </w:rPr>
        <w:t>(‘</w:t>
      </w:r>
      <w:r w:rsidR="00A311CB" w:rsidRPr="00A311CB">
        <w:rPr>
          <w:rFonts w:cs="Times New Roman"/>
          <w:i/>
          <w:iCs/>
          <w:color w:val="000000" w:themeColor="text1"/>
        </w:rPr>
        <w:t>IRR Act</w:t>
      </w:r>
      <w:r w:rsidR="00A311CB" w:rsidRPr="00A311CB">
        <w:rPr>
          <w:rFonts w:cs="Times New Roman"/>
          <w:color w:val="000000" w:themeColor="text1"/>
        </w:rPr>
        <w:t>’)</w:t>
      </w:r>
      <w:r w:rsidRPr="00A311CB">
        <w:rPr>
          <w:rFonts w:cs="Times New Roman"/>
          <w:color w:val="000000" w:themeColor="text1"/>
        </w:rPr>
        <w:t>,</w:t>
      </w:r>
      <w:r w:rsidRPr="0088177C">
        <w:rPr>
          <w:rFonts w:cs="Times New Roman"/>
          <w:color w:val="000000" w:themeColor="text1"/>
        </w:rPr>
        <w:t xml:space="preserve"> which promote</w:t>
      </w:r>
      <w:r w:rsidR="00EA7E5A">
        <w:rPr>
          <w:rFonts w:cs="Times New Roman"/>
          <w:color w:val="000000" w:themeColor="text1"/>
        </w:rPr>
        <w:t>d</w:t>
      </w:r>
      <w:r w:rsidRPr="0088177C">
        <w:rPr>
          <w:rFonts w:cs="Times New Roman"/>
          <w:color w:val="000000" w:themeColor="text1"/>
        </w:rPr>
        <w:t xml:space="preserve"> </w:t>
      </w:r>
      <w:proofErr w:type="spellStart"/>
      <w:r w:rsidRPr="0088177C">
        <w:rPr>
          <w:rFonts w:cs="Times New Roman"/>
          <w:color w:val="000000" w:themeColor="text1"/>
        </w:rPr>
        <w:t>decentralised</w:t>
      </w:r>
      <w:proofErr w:type="spellEnd"/>
      <w:r w:rsidRPr="0088177C">
        <w:rPr>
          <w:rFonts w:cs="Times New Roman"/>
          <w:color w:val="000000" w:themeColor="text1"/>
        </w:rPr>
        <w:t xml:space="preserve"> firm-based bargaining, initially aimed to move</w:t>
      </w:r>
      <w:r w:rsidRPr="0088177C">
        <w:rPr>
          <w:rFonts w:eastAsia="Verdana" w:cs="Verdana"/>
          <w:color w:val="000000" w:themeColor="text1"/>
        </w:rPr>
        <w:t xml:space="preserve"> 100% of employees covered by federal awards onto enterprise agreements.</w:t>
      </w:r>
      <w:r w:rsidR="00EA7E5A">
        <w:rPr>
          <w:rStyle w:val="FootnoteReference"/>
          <w:rFonts w:eastAsia="Verdana" w:cs="Verdana"/>
          <w:color w:val="000000" w:themeColor="text1"/>
        </w:rPr>
        <w:footnoteReference w:id="8"/>
      </w:r>
      <w:r w:rsidRPr="0088177C">
        <w:rPr>
          <w:rFonts w:eastAsia="Verdana" w:cs="Verdana"/>
          <w:color w:val="000000" w:themeColor="text1"/>
        </w:rPr>
        <w:t xml:space="preserve"> The model promised </w:t>
      </w:r>
      <w:r w:rsidRPr="0088177C">
        <w:rPr>
          <w:rFonts w:eastAsia="Times New Roman" w:cs="Times New Roman"/>
          <w:color w:val="000000" w:themeColor="text1"/>
        </w:rPr>
        <w:t>improved productivity for enterprises, which</w:t>
      </w:r>
      <w:r w:rsidR="004676D2">
        <w:rPr>
          <w:rFonts w:eastAsia="Times New Roman" w:cs="Times New Roman"/>
          <w:color w:val="000000" w:themeColor="text1"/>
        </w:rPr>
        <w:t>,</w:t>
      </w:r>
      <w:r w:rsidRPr="0088177C">
        <w:rPr>
          <w:rFonts w:eastAsia="Times New Roman" w:cs="Times New Roman"/>
          <w:color w:val="000000" w:themeColor="text1"/>
        </w:rPr>
        <w:t xml:space="preserve"> in turn,</w:t>
      </w:r>
      <w:r w:rsidRPr="0088177C">
        <w:rPr>
          <w:rFonts w:eastAsia="Verdana" w:cs="Verdana"/>
          <w:color w:val="000000" w:themeColor="text1"/>
        </w:rPr>
        <w:t xml:space="preserve"> </w:t>
      </w:r>
      <w:r w:rsidRPr="0088177C">
        <w:rPr>
          <w:rFonts w:eastAsia="Times New Roman" w:cs="Times New Roman"/>
          <w:color w:val="000000" w:themeColor="text1"/>
        </w:rPr>
        <w:t>would</w:t>
      </w:r>
      <w:r w:rsidRPr="0088177C">
        <w:rPr>
          <w:rFonts w:eastAsia="Verdana" w:cs="Verdana"/>
          <w:color w:val="000000" w:themeColor="text1"/>
        </w:rPr>
        <w:t xml:space="preserve"> guarantee sustainable real wage increases.</w:t>
      </w:r>
      <w:r w:rsidRPr="0088177C">
        <w:rPr>
          <w:rStyle w:val="FootnoteReference"/>
          <w:rFonts w:eastAsia="Verdana" w:cs="Verdana"/>
          <w:color w:val="000000" w:themeColor="text1"/>
        </w:rPr>
        <w:footnoteReference w:id="9"/>
      </w:r>
      <w:r w:rsidRPr="0088177C">
        <w:rPr>
          <w:rFonts w:eastAsia="Verdana" w:cs="Verdana"/>
          <w:color w:val="000000" w:themeColor="text1"/>
        </w:rPr>
        <w:t xml:space="preserve"> </w:t>
      </w:r>
    </w:p>
    <w:p w14:paraId="4E65E35D" w14:textId="2E71BD21" w:rsidR="005438FC" w:rsidRDefault="005438FC" w:rsidP="0088177C">
      <w:pPr>
        <w:pStyle w:val="NoSpacing"/>
        <w:spacing w:beforeLines="60" w:before="144" w:line="300" w:lineRule="auto"/>
        <w:rPr>
          <w:color w:val="000000" w:themeColor="text1"/>
        </w:rPr>
      </w:pPr>
      <w:r w:rsidRPr="0088177C">
        <w:rPr>
          <w:rFonts w:eastAsia="Avenir Book" w:cs="Avenir Book"/>
          <w:color w:val="000000" w:themeColor="text1"/>
        </w:rPr>
        <w:t xml:space="preserve">It is not controversial to say that many of these goals have gone </w:t>
      </w:r>
      <w:proofErr w:type="spellStart"/>
      <w:r w:rsidRPr="0088177C">
        <w:rPr>
          <w:rFonts w:eastAsia="Avenir Book" w:cs="Avenir Book"/>
          <w:color w:val="000000" w:themeColor="text1"/>
        </w:rPr>
        <w:t>unrealised</w:t>
      </w:r>
      <w:proofErr w:type="spellEnd"/>
      <w:r w:rsidRPr="0088177C">
        <w:rPr>
          <w:rFonts w:eastAsia="Avenir Book" w:cs="Avenir Book"/>
          <w:color w:val="000000" w:themeColor="text1"/>
        </w:rPr>
        <w:t xml:space="preserve">. </w:t>
      </w:r>
      <w:r w:rsidR="00481D0B">
        <w:rPr>
          <w:rFonts w:eastAsia="Avenir Book" w:cs="Avenir Book"/>
          <w:color w:val="000000" w:themeColor="text1"/>
        </w:rPr>
        <w:t xml:space="preserve"> </w:t>
      </w:r>
      <w:r w:rsidR="00D85D7F" w:rsidRPr="0088177C">
        <w:rPr>
          <w:rFonts w:eastAsia="Avenir Book" w:cs="Avenir Book"/>
          <w:color w:val="000000" w:themeColor="text1"/>
        </w:rPr>
        <w:t>Whilst productivity</w:t>
      </w:r>
      <w:r w:rsidRPr="0088177C">
        <w:rPr>
          <w:rFonts w:eastAsia="Avenir Book" w:cs="Avenir Book"/>
          <w:color w:val="000000" w:themeColor="text1"/>
        </w:rPr>
        <w:t xml:space="preserve"> ha</w:t>
      </w:r>
      <w:r w:rsidR="00D85D7F">
        <w:rPr>
          <w:rFonts w:eastAsia="Avenir Book" w:cs="Avenir Book"/>
          <w:color w:val="000000" w:themeColor="text1"/>
        </w:rPr>
        <w:t>s</w:t>
      </w:r>
      <w:r w:rsidRPr="0088177C">
        <w:rPr>
          <w:rFonts w:eastAsia="Avenir Book" w:cs="Avenir Book"/>
          <w:color w:val="000000" w:themeColor="text1"/>
        </w:rPr>
        <w:t xml:space="preserve"> </w:t>
      </w:r>
      <w:r w:rsidRPr="0088177C">
        <w:rPr>
          <w:color w:val="000000" w:themeColor="text1"/>
          <w:shd w:val="clear" w:color="auto" w:fill="FFFFFF"/>
        </w:rPr>
        <w:t>steadily increased since 1993, neither real average weekly earnings or real average weekly ordinary time earnings have kept up.</w:t>
      </w:r>
      <w:r w:rsidRPr="0088177C">
        <w:rPr>
          <w:rStyle w:val="FootnoteReference"/>
          <w:color w:val="000000" w:themeColor="text1"/>
          <w:shd w:val="clear" w:color="auto" w:fill="FFFFFF"/>
        </w:rPr>
        <w:footnoteReference w:id="10"/>
      </w:r>
      <w:r w:rsidRPr="0088177C">
        <w:rPr>
          <w:color w:val="000000" w:themeColor="text1"/>
          <w:shd w:val="clear" w:color="auto" w:fill="FFFFFF"/>
        </w:rPr>
        <w:t xml:space="preserve">  In 2021-2022 the Australian economy experience</w:t>
      </w:r>
      <w:r w:rsidR="004676D2">
        <w:rPr>
          <w:color w:val="000000" w:themeColor="text1"/>
          <w:shd w:val="clear" w:color="auto" w:fill="FFFFFF"/>
        </w:rPr>
        <w:t>d</w:t>
      </w:r>
      <w:r w:rsidRPr="0088177C">
        <w:rPr>
          <w:color w:val="000000" w:themeColor="text1"/>
          <w:shd w:val="clear" w:color="auto" w:fill="FFFFFF"/>
        </w:rPr>
        <w:t xml:space="preserve"> the strongest year-on-year growth in ten years,</w:t>
      </w:r>
      <w:r w:rsidRPr="0088177C">
        <w:rPr>
          <w:rStyle w:val="FootnoteReference"/>
          <w:color w:val="000000" w:themeColor="text1"/>
          <w:shd w:val="clear" w:color="auto" w:fill="FFFFFF"/>
        </w:rPr>
        <w:footnoteReference w:id="11"/>
      </w:r>
      <w:r w:rsidRPr="0088177C">
        <w:rPr>
          <w:color w:val="000000" w:themeColor="text1"/>
          <w:shd w:val="clear" w:color="auto" w:fill="FFFFFF"/>
        </w:rPr>
        <w:t xml:space="preserve"> but growth and productivity ha</w:t>
      </w:r>
      <w:r w:rsidR="007373A2">
        <w:rPr>
          <w:color w:val="000000" w:themeColor="text1"/>
          <w:shd w:val="clear" w:color="auto" w:fill="FFFFFF"/>
        </w:rPr>
        <w:t>ve</w:t>
      </w:r>
      <w:r w:rsidRPr="0088177C">
        <w:rPr>
          <w:color w:val="000000" w:themeColor="text1"/>
          <w:shd w:val="clear" w:color="auto" w:fill="FFFFFF"/>
        </w:rPr>
        <w:t xml:space="preserve"> not translated into higher wages. </w:t>
      </w:r>
      <w:r w:rsidR="007373A2">
        <w:rPr>
          <w:color w:val="000000" w:themeColor="text1"/>
          <w:shd w:val="clear" w:color="auto" w:fill="FFFFFF"/>
        </w:rPr>
        <w:t xml:space="preserve"> </w:t>
      </w:r>
      <w:r w:rsidRPr="0088177C">
        <w:rPr>
          <w:color w:val="000000" w:themeColor="text1"/>
          <w:shd w:val="clear" w:color="auto" w:fill="FFFFFF"/>
        </w:rPr>
        <w:t>Instead,</w:t>
      </w:r>
      <w:r w:rsidR="007373A2">
        <w:rPr>
          <w:color w:val="000000" w:themeColor="text1"/>
          <w:shd w:val="clear" w:color="auto" w:fill="FFFFFF"/>
        </w:rPr>
        <w:t xml:space="preserve"> these productivity gains have</w:t>
      </w:r>
      <w:r w:rsidRPr="0088177C">
        <w:rPr>
          <w:color w:val="000000" w:themeColor="text1"/>
          <w:shd w:val="clear" w:color="auto" w:fill="FFFFFF"/>
        </w:rPr>
        <w:t xml:space="preserve"> been pocketed as profits</w:t>
      </w:r>
      <w:r w:rsidR="007373A2">
        <w:rPr>
          <w:color w:val="000000" w:themeColor="text1"/>
          <w:shd w:val="clear" w:color="auto" w:fill="FFFFFF"/>
        </w:rPr>
        <w:t>: the</w:t>
      </w:r>
      <w:r w:rsidRPr="0088177C">
        <w:rPr>
          <w:color w:val="000000" w:themeColor="text1"/>
          <w:shd w:val="clear" w:color="auto" w:fill="FFFFFF"/>
        </w:rPr>
        <w:t xml:space="preserve"> profit share of our national income has risen, whilst the wage share has dropped to a new low of 48.5%. </w:t>
      </w:r>
      <w:r w:rsidR="00481D0B">
        <w:rPr>
          <w:color w:val="000000" w:themeColor="text1"/>
          <w:shd w:val="clear" w:color="auto" w:fill="FFFFFF"/>
        </w:rPr>
        <w:t xml:space="preserve"> </w:t>
      </w:r>
      <w:r w:rsidRPr="0088177C">
        <w:rPr>
          <w:color w:val="000000" w:themeColor="text1"/>
          <w:shd w:val="clear" w:color="auto" w:fill="FFFFFF"/>
        </w:rPr>
        <w:t>In the last five years profits have grown three times faster than wages; last year they grew four times as much.</w:t>
      </w:r>
      <w:r w:rsidRPr="0088177C">
        <w:rPr>
          <w:rStyle w:val="FootnoteReference"/>
          <w:color w:val="000000" w:themeColor="text1"/>
          <w:shd w:val="clear" w:color="auto" w:fill="FFFFFF"/>
        </w:rPr>
        <w:footnoteReference w:id="12"/>
      </w:r>
      <w:r w:rsidRPr="0088177C">
        <w:rPr>
          <w:color w:val="000000" w:themeColor="text1"/>
          <w:shd w:val="clear" w:color="auto" w:fill="FFFFFF"/>
        </w:rPr>
        <w:t xml:space="preserve"> </w:t>
      </w:r>
      <w:r w:rsidR="00054519">
        <w:rPr>
          <w:color w:val="000000" w:themeColor="text1"/>
          <w:shd w:val="clear" w:color="auto" w:fill="FFFFFF"/>
        </w:rPr>
        <w:t xml:space="preserve"> Clearly, i</w:t>
      </w:r>
      <w:r w:rsidRPr="0088177C">
        <w:rPr>
          <w:color w:val="000000" w:themeColor="text1"/>
          <w:shd w:val="clear" w:color="auto" w:fill="FFFFFF"/>
        </w:rPr>
        <w:t xml:space="preserve">mproving productivity does not guarantee wage increases. </w:t>
      </w:r>
      <w:r w:rsidR="00481D0B">
        <w:rPr>
          <w:color w:val="000000" w:themeColor="text1"/>
          <w:shd w:val="clear" w:color="auto" w:fill="FFFFFF"/>
        </w:rPr>
        <w:t xml:space="preserve"> </w:t>
      </w:r>
      <w:r w:rsidR="00054519">
        <w:rPr>
          <w:color w:val="000000" w:themeColor="text1"/>
          <w:shd w:val="clear" w:color="auto" w:fill="FFFFFF"/>
        </w:rPr>
        <w:t>History has shown that p</w:t>
      </w:r>
      <w:r w:rsidRPr="0088177C">
        <w:rPr>
          <w:color w:val="000000" w:themeColor="text1"/>
          <w:shd w:val="clear" w:color="auto" w:fill="FFFFFF"/>
        </w:rPr>
        <w:t xml:space="preserve">olicy reform </w:t>
      </w:r>
      <w:r w:rsidR="00054519">
        <w:rPr>
          <w:color w:val="000000" w:themeColor="text1"/>
          <w:shd w:val="clear" w:color="auto" w:fill="FFFFFF"/>
        </w:rPr>
        <w:t xml:space="preserve">which </w:t>
      </w:r>
      <w:r w:rsidRPr="0088177C">
        <w:rPr>
          <w:color w:val="000000" w:themeColor="text1"/>
          <w:shd w:val="clear" w:color="auto" w:fill="FFFFFF"/>
        </w:rPr>
        <w:t>seeks primarily to increase productivit</w:t>
      </w:r>
      <w:r w:rsidR="004676D2">
        <w:rPr>
          <w:color w:val="000000" w:themeColor="text1"/>
          <w:shd w:val="clear" w:color="auto" w:fill="FFFFFF"/>
        </w:rPr>
        <w:t>y</w:t>
      </w:r>
      <w:r w:rsidRPr="0088177C">
        <w:rPr>
          <w:color w:val="000000" w:themeColor="text1"/>
          <w:shd w:val="clear" w:color="auto" w:fill="FFFFFF"/>
        </w:rPr>
        <w:t xml:space="preserve"> inevitably puts business </w:t>
      </w:r>
      <w:r w:rsidR="004676D2">
        <w:rPr>
          <w:color w:val="000000" w:themeColor="text1"/>
          <w:shd w:val="clear" w:color="auto" w:fill="FFFFFF"/>
        </w:rPr>
        <w:t xml:space="preserve">profits </w:t>
      </w:r>
      <w:r w:rsidRPr="0088177C">
        <w:rPr>
          <w:color w:val="000000" w:themeColor="text1"/>
          <w:shd w:val="clear" w:color="auto" w:fill="FFFFFF"/>
        </w:rPr>
        <w:t>first and people last.</w:t>
      </w:r>
      <w:r w:rsidR="00054519">
        <w:rPr>
          <w:rFonts w:eastAsia="Avenir Book" w:cs="Avenir Book"/>
          <w:color w:val="000000" w:themeColor="text1"/>
        </w:rPr>
        <w:t xml:space="preserve"> </w:t>
      </w:r>
      <w:r w:rsidR="00054519">
        <w:rPr>
          <w:color w:val="000000" w:themeColor="text1"/>
        </w:rPr>
        <w:t>Our</w:t>
      </w:r>
      <w:r w:rsidRPr="0088177C">
        <w:rPr>
          <w:color w:val="000000" w:themeColor="text1"/>
        </w:rPr>
        <w:t xml:space="preserve"> national prosperity is not </w:t>
      </w:r>
      <w:r w:rsidR="004676D2">
        <w:rPr>
          <w:color w:val="000000" w:themeColor="text1"/>
        </w:rPr>
        <w:t xml:space="preserve">being fairly shared with </w:t>
      </w:r>
      <w:r w:rsidRPr="0088177C">
        <w:rPr>
          <w:color w:val="000000" w:themeColor="text1"/>
        </w:rPr>
        <w:t>everyday Australians</w:t>
      </w:r>
      <w:r w:rsidR="004676D2">
        <w:rPr>
          <w:color w:val="000000" w:themeColor="text1"/>
        </w:rPr>
        <w:t xml:space="preserve"> </w:t>
      </w:r>
      <w:r w:rsidR="00481D0B">
        <w:rPr>
          <w:color w:val="000000" w:themeColor="text1"/>
        </w:rPr>
        <w:t>and</w:t>
      </w:r>
      <w:r w:rsidR="004676D2">
        <w:rPr>
          <w:color w:val="000000" w:themeColor="text1"/>
        </w:rPr>
        <w:t>,</w:t>
      </w:r>
      <w:r w:rsidR="00481D0B">
        <w:rPr>
          <w:color w:val="000000" w:themeColor="text1"/>
        </w:rPr>
        <w:t xml:space="preserve"> in</w:t>
      </w:r>
      <w:r w:rsidRPr="0088177C">
        <w:rPr>
          <w:color w:val="000000" w:themeColor="text1"/>
        </w:rPr>
        <w:t xml:space="preserve"> Phillip Lowe’s words, ‘slow wages growth is diminishing our sense of shared prosperity’.</w:t>
      </w:r>
      <w:r w:rsidRPr="0088177C">
        <w:rPr>
          <w:rStyle w:val="FootnoteReference"/>
          <w:color w:val="000000" w:themeColor="text1"/>
        </w:rPr>
        <w:footnoteReference w:id="13"/>
      </w:r>
    </w:p>
    <w:p w14:paraId="616FE8C7" w14:textId="27B0C4B1" w:rsidR="00481D0B" w:rsidRPr="00E955A7" w:rsidRDefault="00E955A7" w:rsidP="0088177C">
      <w:pPr>
        <w:pStyle w:val="NoSpacing"/>
        <w:spacing w:beforeLines="60" w:before="144" w:line="300" w:lineRule="auto"/>
        <w:rPr>
          <w:rFonts w:eastAsia="Verdana" w:cs="Verdana"/>
          <w:b/>
          <w:bCs/>
          <w:color w:val="9D825C"/>
        </w:rPr>
      </w:pPr>
      <w:r w:rsidRPr="00E955A7">
        <w:rPr>
          <w:rFonts w:eastAsia="Verdana" w:cs="Verdana"/>
          <w:b/>
          <w:bCs/>
          <w:color w:val="9D825C"/>
        </w:rPr>
        <w:t xml:space="preserve">Firm-only bargaining is too restrictive </w:t>
      </w:r>
    </w:p>
    <w:p w14:paraId="144E6924" w14:textId="09B04016" w:rsidR="005438FC" w:rsidRPr="0088177C" w:rsidRDefault="00054519" w:rsidP="0088177C">
      <w:pPr>
        <w:pStyle w:val="NoSpacing"/>
        <w:spacing w:beforeLines="60" w:before="144" w:line="300" w:lineRule="auto"/>
        <w:rPr>
          <w:rFonts w:eastAsia="Verdana" w:cs="Verdana"/>
          <w:color w:val="000000" w:themeColor="text1"/>
        </w:rPr>
      </w:pPr>
      <w:r>
        <w:rPr>
          <w:rFonts w:eastAsia="Verdana" w:cs="Verdana"/>
          <w:color w:val="000000" w:themeColor="text1"/>
        </w:rPr>
        <w:t>Australia’s</w:t>
      </w:r>
      <w:r w:rsidR="005438FC" w:rsidRPr="0088177C">
        <w:rPr>
          <w:rFonts w:eastAsia="Verdana" w:cs="Verdana"/>
          <w:color w:val="000000" w:themeColor="text1"/>
        </w:rPr>
        <w:t xml:space="preserve"> firm-based bargaining system</w:t>
      </w:r>
      <w:r w:rsidR="00481D0B">
        <w:rPr>
          <w:rFonts w:eastAsia="Verdana" w:cs="Verdana"/>
          <w:color w:val="000000" w:themeColor="text1"/>
        </w:rPr>
        <w:t xml:space="preserve"> </w:t>
      </w:r>
      <w:r w:rsidR="005438FC" w:rsidRPr="0088177C">
        <w:rPr>
          <w:rFonts w:eastAsia="Verdana" w:cs="Verdana"/>
          <w:color w:val="000000" w:themeColor="text1"/>
        </w:rPr>
        <w:t>is on the brink of collapse.</w:t>
      </w:r>
      <w:r w:rsidR="0095486E">
        <w:rPr>
          <w:rFonts w:eastAsia="Verdana" w:cs="Verdana"/>
          <w:color w:val="000000" w:themeColor="text1"/>
        </w:rPr>
        <w:t xml:space="preserve"> </w:t>
      </w:r>
      <w:r w:rsidR="005438FC" w:rsidRPr="0088177C">
        <w:rPr>
          <w:rFonts w:eastAsia="Verdana" w:cs="Verdana"/>
          <w:color w:val="000000" w:themeColor="text1"/>
        </w:rPr>
        <w:t xml:space="preserve"> At the end of the June 2022 quarter, 11,053 agreements were current, covering 1,743800 people.</w:t>
      </w:r>
      <w:r w:rsidR="005438FC" w:rsidRPr="0088177C">
        <w:rPr>
          <w:rStyle w:val="FootnoteReference"/>
          <w:rFonts w:eastAsia="Verdana" w:cs="Verdana"/>
          <w:color w:val="000000" w:themeColor="text1"/>
        </w:rPr>
        <w:footnoteReference w:id="14"/>
      </w:r>
      <w:r w:rsidR="005438FC" w:rsidRPr="0088177C">
        <w:rPr>
          <w:rFonts w:eastAsia="Verdana" w:cs="Verdana"/>
          <w:color w:val="000000" w:themeColor="text1"/>
        </w:rPr>
        <w:t xml:space="preserve"> </w:t>
      </w:r>
      <w:r w:rsidR="0095486E">
        <w:rPr>
          <w:rFonts w:eastAsia="Verdana" w:cs="Verdana"/>
          <w:color w:val="000000" w:themeColor="text1"/>
        </w:rPr>
        <w:t xml:space="preserve"> </w:t>
      </w:r>
      <w:r w:rsidR="005438FC" w:rsidRPr="0088177C">
        <w:rPr>
          <w:rFonts w:eastAsia="Verdana" w:cs="Verdana"/>
          <w:color w:val="000000" w:themeColor="text1"/>
        </w:rPr>
        <w:t>This represents only 12% of the total people employed in June 2022.</w:t>
      </w:r>
      <w:r w:rsidR="005438FC" w:rsidRPr="0088177C">
        <w:rPr>
          <w:rStyle w:val="FootnoteReference"/>
          <w:rFonts w:eastAsia="Verdana" w:cs="Verdana"/>
          <w:color w:val="000000" w:themeColor="text1"/>
        </w:rPr>
        <w:footnoteReference w:id="15"/>
      </w:r>
      <w:r w:rsidR="005438FC" w:rsidRPr="0088177C">
        <w:rPr>
          <w:rFonts w:eastAsia="Verdana" w:cs="Verdana"/>
          <w:color w:val="000000" w:themeColor="text1"/>
        </w:rPr>
        <w:t xml:space="preserve"> </w:t>
      </w:r>
      <w:r w:rsidR="00481D0B">
        <w:rPr>
          <w:rFonts w:eastAsia="Verdana" w:cs="Verdana"/>
          <w:color w:val="000000" w:themeColor="text1"/>
        </w:rPr>
        <w:t xml:space="preserve"> </w:t>
      </w:r>
      <w:r w:rsidR="005438FC" w:rsidRPr="0088177C">
        <w:rPr>
          <w:rFonts w:eastAsia="Verdana" w:cs="Verdana"/>
          <w:color w:val="000000" w:themeColor="text1"/>
        </w:rPr>
        <w:t>Whil</w:t>
      </w:r>
      <w:r w:rsidR="004676D2">
        <w:rPr>
          <w:rFonts w:eastAsia="Verdana" w:cs="Verdana"/>
          <w:color w:val="000000" w:themeColor="text1"/>
        </w:rPr>
        <w:t>e</w:t>
      </w:r>
      <w:r w:rsidR="005438FC" w:rsidRPr="0088177C">
        <w:rPr>
          <w:rFonts w:eastAsia="Verdana" w:cs="Verdana"/>
          <w:color w:val="000000" w:themeColor="text1"/>
        </w:rPr>
        <w:t xml:space="preserve"> ABS data indicates that 35% of employees have their method of pay set by enterprise agreement</w:t>
      </w:r>
      <w:r w:rsidR="00481D0B">
        <w:rPr>
          <w:rFonts w:eastAsia="Verdana" w:cs="Verdana"/>
          <w:color w:val="000000" w:themeColor="text1"/>
        </w:rPr>
        <w:t>s</w:t>
      </w:r>
      <w:r w:rsidR="005438FC" w:rsidRPr="0088177C">
        <w:rPr>
          <w:rFonts w:eastAsia="Verdana" w:cs="Verdana"/>
          <w:color w:val="000000" w:themeColor="text1"/>
        </w:rPr>
        <w:t>,</w:t>
      </w:r>
      <w:r w:rsidR="005438FC" w:rsidRPr="0088177C">
        <w:rPr>
          <w:rStyle w:val="FootnoteReference"/>
          <w:rFonts w:eastAsia="Verdana" w:cs="Verdana"/>
          <w:color w:val="000000" w:themeColor="text1"/>
        </w:rPr>
        <w:footnoteReference w:id="16"/>
      </w:r>
      <w:r w:rsidR="005438FC" w:rsidRPr="0088177C">
        <w:rPr>
          <w:rFonts w:eastAsia="Verdana" w:cs="Verdana"/>
          <w:color w:val="000000" w:themeColor="text1"/>
        </w:rPr>
        <w:t xml:space="preserve"> </w:t>
      </w:r>
      <w:r w:rsidR="004676D2">
        <w:rPr>
          <w:rFonts w:eastAsia="Verdana" w:cs="Verdana"/>
          <w:color w:val="000000" w:themeColor="text1"/>
        </w:rPr>
        <w:t>t</w:t>
      </w:r>
      <w:r w:rsidR="00DC1C58">
        <w:rPr>
          <w:rFonts w:eastAsia="Verdana" w:cs="Verdana"/>
          <w:color w:val="000000" w:themeColor="text1"/>
        </w:rPr>
        <w:t xml:space="preserve">he </w:t>
      </w:r>
      <w:r w:rsidR="00DC1C58" w:rsidRPr="00DC1C58">
        <w:rPr>
          <w:rFonts w:eastAsia="Verdana" w:cs="Verdana"/>
          <w:i/>
          <w:iCs/>
          <w:color w:val="000000" w:themeColor="text1"/>
        </w:rPr>
        <w:t>Interim Report</w:t>
      </w:r>
      <w:r w:rsidR="00DC1C58">
        <w:rPr>
          <w:rFonts w:eastAsia="Verdana" w:cs="Verdana"/>
          <w:color w:val="000000" w:themeColor="text1"/>
        </w:rPr>
        <w:t xml:space="preserve"> correctly notes that </w:t>
      </w:r>
      <w:r w:rsidR="005438FC" w:rsidRPr="0088177C">
        <w:rPr>
          <w:rFonts w:eastAsia="Verdana" w:cs="Verdana"/>
          <w:color w:val="000000" w:themeColor="text1"/>
        </w:rPr>
        <w:t>most of these employees are on expired agreements.</w:t>
      </w:r>
      <w:r w:rsidR="005438FC" w:rsidRPr="0088177C">
        <w:rPr>
          <w:rStyle w:val="FootnoteReference"/>
          <w:rFonts w:eastAsia="Verdana" w:cs="Verdana"/>
          <w:color w:val="000000" w:themeColor="text1"/>
        </w:rPr>
        <w:footnoteReference w:id="17"/>
      </w:r>
      <w:r w:rsidR="0095486E">
        <w:rPr>
          <w:rFonts w:eastAsia="Verdana" w:cs="Verdana"/>
          <w:color w:val="000000" w:themeColor="text1"/>
        </w:rPr>
        <w:t xml:space="preserve"> </w:t>
      </w:r>
      <w:r w:rsidR="005438FC" w:rsidRPr="0088177C">
        <w:rPr>
          <w:rFonts w:eastAsia="Verdana" w:cs="Verdana"/>
          <w:color w:val="000000" w:themeColor="text1"/>
        </w:rPr>
        <w:t xml:space="preserve"> It is not possible to determine whether rates of pay</w:t>
      </w:r>
      <w:r w:rsidR="009B0F7F">
        <w:rPr>
          <w:rFonts w:eastAsia="Verdana" w:cs="Verdana"/>
          <w:color w:val="000000" w:themeColor="text1"/>
        </w:rPr>
        <w:t xml:space="preserve"> for the entire 35% of employees have</w:t>
      </w:r>
      <w:r w:rsidR="005438FC" w:rsidRPr="0088177C">
        <w:rPr>
          <w:rFonts w:eastAsia="Verdana" w:cs="Verdana"/>
          <w:color w:val="000000" w:themeColor="text1"/>
        </w:rPr>
        <w:t xml:space="preserve"> remain</w:t>
      </w:r>
      <w:r w:rsidR="009B0F7F">
        <w:rPr>
          <w:rFonts w:eastAsia="Verdana" w:cs="Verdana"/>
          <w:color w:val="000000" w:themeColor="text1"/>
        </w:rPr>
        <w:t>ed</w:t>
      </w:r>
      <w:r w:rsidR="005438FC" w:rsidRPr="0088177C">
        <w:rPr>
          <w:rFonts w:eastAsia="Verdana" w:cs="Verdana"/>
          <w:color w:val="000000" w:themeColor="text1"/>
        </w:rPr>
        <w:t xml:space="preserve"> above the</w:t>
      </w:r>
      <w:r w:rsidR="00481D0B">
        <w:rPr>
          <w:rFonts w:eastAsia="Verdana" w:cs="Verdana"/>
          <w:color w:val="000000" w:themeColor="text1"/>
        </w:rPr>
        <w:t xml:space="preserve"> corresponding</w:t>
      </w:r>
      <w:r w:rsidR="009B0F7F">
        <w:rPr>
          <w:rFonts w:eastAsia="Verdana" w:cs="Verdana"/>
          <w:color w:val="000000" w:themeColor="text1"/>
        </w:rPr>
        <w:t xml:space="preserve"> </w:t>
      </w:r>
      <w:r w:rsidR="005438FC" w:rsidRPr="0088177C">
        <w:rPr>
          <w:rFonts w:eastAsia="Verdana" w:cs="Verdana"/>
          <w:color w:val="000000" w:themeColor="text1"/>
        </w:rPr>
        <w:t>award</w:t>
      </w:r>
      <w:r w:rsidR="009B0F7F">
        <w:rPr>
          <w:rFonts w:eastAsia="Verdana" w:cs="Verdana"/>
          <w:color w:val="000000" w:themeColor="text1"/>
        </w:rPr>
        <w:t xml:space="preserve"> minimums.</w:t>
      </w:r>
      <w:r w:rsidR="005438FC" w:rsidRPr="0088177C">
        <w:rPr>
          <w:rFonts w:eastAsia="Verdana" w:cs="Verdana"/>
          <w:color w:val="000000" w:themeColor="text1"/>
        </w:rPr>
        <w:t xml:space="preserve">  </w:t>
      </w:r>
    </w:p>
    <w:p w14:paraId="1F244533" w14:textId="0A9844B4" w:rsidR="005438FC" w:rsidRPr="0088177C" w:rsidRDefault="00C16758" w:rsidP="0088177C">
      <w:pPr>
        <w:pStyle w:val="NoSpacing"/>
        <w:spacing w:beforeLines="60" w:before="144" w:line="300" w:lineRule="auto"/>
        <w:rPr>
          <w:rFonts w:eastAsia="Verdana" w:cs="Verdana"/>
          <w:color w:val="000000" w:themeColor="text1"/>
        </w:rPr>
      </w:pPr>
      <w:r>
        <w:rPr>
          <w:rFonts w:eastAsia="Verdana" w:cs="Verdana"/>
          <w:color w:val="000000" w:themeColor="text1"/>
        </w:rPr>
        <w:t>The</w:t>
      </w:r>
      <w:r w:rsidR="005438FC" w:rsidRPr="0088177C">
        <w:rPr>
          <w:rFonts w:eastAsia="Verdana" w:cs="Verdana"/>
          <w:color w:val="000000" w:themeColor="text1"/>
        </w:rPr>
        <w:t xml:space="preserve"> </w:t>
      </w:r>
      <w:r w:rsidRPr="00C16758">
        <w:rPr>
          <w:rFonts w:eastAsia="Verdana" w:cs="Verdana"/>
          <w:i/>
          <w:iCs/>
          <w:color w:val="000000" w:themeColor="text1"/>
        </w:rPr>
        <w:t>I</w:t>
      </w:r>
      <w:r w:rsidR="005438FC" w:rsidRPr="00C16758">
        <w:rPr>
          <w:rFonts w:eastAsia="Verdana" w:cs="Verdana"/>
          <w:i/>
          <w:iCs/>
          <w:color w:val="000000" w:themeColor="text1"/>
        </w:rPr>
        <w:t xml:space="preserve">nterim </w:t>
      </w:r>
      <w:r w:rsidRPr="00C16758">
        <w:rPr>
          <w:rFonts w:eastAsia="Verdana" w:cs="Verdana"/>
          <w:i/>
          <w:iCs/>
          <w:color w:val="000000" w:themeColor="text1"/>
        </w:rPr>
        <w:t>R</w:t>
      </w:r>
      <w:r w:rsidR="005438FC" w:rsidRPr="00C16758">
        <w:rPr>
          <w:rFonts w:eastAsia="Verdana" w:cs="Verdana"/>
          <w:i/>
          <w:iCs/>
          <w:color w:val="000000" w:themeColor="text1"/>
        </w:rPr>
        <w:t>eport</w:t>
      </w:r>
      <w:r w:rsidR="005438FC" w:rsidRPr="0088177C">
        <w:rPr>
          <w:rFonts w:eastAsia="Verdana" w:cs="Verdana"/>
          <w:color w:val="000000" w:themeColor="text1"/>
        </w:rPr>
        <w:t xml:space="preserve"> </w:t>
      </w:r>
      <w:r w:rsidR="004676D2">
        <w:rPr>
          <w:rFonts w:eastAsia="Verdana" w:cs="Verdana"/>
          <w:color w:val="000000" w:themeColor="text1"/>
        </w:rPr>
        <w:t>acknowledges</w:t>
      </w:r>
      <w:r w:rsidR="005438FC" w:rsidRPr="0088177C">
        <w:rPr>
          <w:rFonts w:eastAsia="Verdana" w:cs="Verdana"/>
          <w:color w:val="000000" w:themeColor="text1"/>
        </w:rPr>
        <w:t xml:space="preserve"> that the cost and resource</w:t>
      </w:r>
      <w:r w:rsidR="004676D2">
        <w:rPr>
          <w:rFonts w:eastAsia="Verdana" w:cs="Verdana"/>
          <w:color w:val="000000" w:themeColor="text1"/>
        </w:rPr>
        <w:t>-</w:t>
      </w:r>
      <w:r w:rsidR="005438FC" w:rsidRPr="0088177C">
        <w:rPr>
          <w:rFonts w:eastAsia="Verdana" w:cs="Verdana"/>
          <w:color w:val="000000" w:themeColor="text1"/>
        </w:rPr>
        <w:t>intensive nature of bargaining can outweigh the benefits of flexibility</w:t>
      </w:r>
      <w:r w:rsidR="0002260D">
        <w:rPr>
          <w:rFonts w:eastAsia="Verdana" w:cs="Verdana"/>
          <w:color w:val="000000" w:themeColor="text1"/>
        </w:rPr>
        <w:t xml:space="preserve"> that the system</w:t>
      </w:r>
      <w:r w:rsidR="00481D0B">
        <w:rPr>
          <w:rFonts w:eastAsia="Verdana" w:cs="Verdana"/>
          <w:color w:val="000000" w:themeColor="text1"/>
        </w:rPr>
        <w:t xml:space="preserve"> was</w:t>
      </w:r>
      <w:r w:rsidR="0002260D">
        <w:rPr>
          <w:rFonts w:eastAsia="Verdana" w:cs="Verdana"/>
          <w:color w:val="000000" w:themeColor="text1"/>
        </w:rPr>
        <w:t xml:space="preserve"> intend</w:t>
      </w:r>
      <w:r w:rsidR="00481D0B">
        <w:rPr>
          <w:rFonts w:eastAsia="Verdana" w:cs="Verdana"/>
          <w:color w:val="000000" w:themeColor="text1"/>
        </w:rPr>
        <w:t>ed</w:t>
      </w:r>
      <w:r w:rsidR="0002260D">
        <w:rPr>
          <w:rFonts w:eastAsia="Verdana" w:cs="Verdana"/>
          <w:color w:val="000000" w:themeColor="text1"/>
        </w:rPr>
        <w:t xml:space="preserve"> to provide</w:t>
      </w:r>
      <w:r w:rsidR="004676D2">
        <w:rPr>
          <w:rFonts w:eastAsia="Verdana" w:cs="Verdana"/>
          <w:color w:val="000000" w:themeColor="text1"/>
        </w:rPr>
        <w:t>, a</w:t>
      </w:r>
      <w:r w:rsidR="005438FC" w:rsidRPr="0088177C">
        <w:rPr>
          <w:rFonts w:eastAsia="Verdana" w:cs="Verdana"/>
          <w:color w:val="000000" w:themeColor="text1"/>
        </w:rPr>
        <w:t>n issue exacerbated for smaller firms or those operating close to award wages and conditions.</w:t>
      </w:r>
      <w:r w:rsidR="00481D0B" w:rsidRPr="00481D0B">
        <w:rPr>
          <w:rStyle w:val="FootnoteReference"/>
          <w:rFonts w:eastAsia="Verdana" w:cs="Verdana"/>
          <w:color w:val="000000" w:themeColor="text1"/>
        </w:rPr>
        <w:t xml:space="preserve"> </w:t>
      </w:r>
      <w:r w:rsidR="00481D0B">
        <w:rPr>
          <w:rStyle w:val="FootnoteReference"/>
          <w:rFonts w:eastAsia="Verdana" w:cs="Verdana"/>
          <w:color w:val="000000" w:themeColor="text1"/>
        </w:rPr>
        <w:footnoteReference w:id="18"/>
      </w:r>
    </w:p>
    <w:p w14:paraId="766B540E" w14:textId="702D7560" w:rsidR="005438FC" w:rsidRDefault="00481D0B" w:rsidP="0088177C">
      <w:pPr>
        <w:pStyle w:val="NoSpacing"/>
        <w:spacing w:beforeLines="60" w:before="144" w:line="300" w:lineRule="auto"/>
        <w:rPr>
          <w:rFonts w:eastAsia="Verdana" w:cs="Verdana"/>
          <w:color w:val="000000" w:themeColor="text1"/>
        </w:rPr>
      </w:pPr>
      <w:r>
        <w:rPr>
          <w:rFonts w:eastAsia="Verdana" w:cs="Verdana"/>
          <w:color w:val="000000" w:themeColor="text1"/>
        </w:rPr>
        <w:t>Per Capita agrees that the</w:t>
      </w:r>
      <w:r w:rsidR="005438FC" w:rsidRPr="0088177C">
        <w:rPr>
          <w:rFonts w:eastAsia="Verdana" w:cs="Verdana"/>
          <w:color w:val="000000" w:themeColor="text1"/>
        </w:rPr>
        <w:t xml:space="preserve"> </w:t>
      </w:r>
      <w:r w:rsidR="005438FC" w:rsidRPr="00481D0B">
        <w:rPr>
          <w:rFonts w:eastAsia="Verdana" w:cs="Verdana"/>
          <w:i/>
          <w:iCs/>
          <w:color w:val="000000" w:themeColor="text1"/>
        </w:rPr>
        <w:t>FWA</w:t>
      </w:r>
      <w:r w:rsidR="005438FC" w:rsidRPr="0088177C">
        <w:rPr>
          <w:rFonts w:eastAsia="Verdana" w:cs="Verdana"/>
          <w:color w:val="000000" w:themeColor="text1"/>
        </w:rPr>
        <w:t xml:space="preserve"> </w:t>
      </w:r>
      <w:r w:rsidRPr="0088177C">
        <w:rPr>
          <w:rFonts w:eastAsia="Verdana" w:cs="Verdana"/>
          <w:color w:val="000000" w:themeColor="text1"/>
        </w:rPr>
        <w:t>needs</w:t>
      </w:r>
      <w:r w:rsidR="005438FC" w:rsidRPr="0088177C">
        <w:rPr>
          <w:rFonts w:eastAsia="Verdana" w:cs="Verdana"/>
          <w:color w:val="000000" w:themeColor="text1"/>
        </w:rPr>
        <w:t xml:space="preserve"> reform</w:t>
      </w:r>
      <w:r w:rsidR="004676D2">
        <w:rPr>
          <w:rFonts w:eastAsia="Verdana" w:cs="Verdana"/>
          <w:color w:val="000000" w:themeColor="text1"/>
        </w:rPr>
        <w:t xml:space="preserve">, </w:t>
      </w:r>
      <w:r w:rsidR="005438FC" w:rsidRPr="0088177C">
        <w:rPr>
          <w:rFonts w:eastAsia="Verdana" w:cs="Verdana"/>
          <w:color w:val="000000" w:themeColor="text1"/>
        </w:rPr>
        <w:t>but reform focused o</w:t>
      </w:r>
      <w:r w:rsidR="00D915A5">
        <w:rPr>
          <w:rFonts w:eastAsia="Verdana" w:cs="Verdana"/>
          <w:color w:val="000000" w:themeColor="text1"/>
        </w:rPr>
        <w:t>n</w:t>
      </w:r>
      <w:r w:rsidR="005438FC" w:rsidRPr="0088177C">
        <w:rPr>
          <w:rFonts w:eastAsia="Verdana" w:cs="Verdana"/>
          <w:color w:val="000000" w:themeColor="text1"/>
        </w:rPr>
        <w:t xml:space="preserve"> productivity gains in the first instance, rather than in the </w:t>
      </w:r>
      <w:r w:rsidR="005438FC" w:rsidRPr="0002260D">
        <w:rPr>
          <w:rFonts w:eastAsia="Verdana" w:cs="Verdana"/>
          <w:i/>
          <w:iCs/>
          <w:color w:val="000000" w:themeColor="text1"/>
        </w:rPr>
        <w:t>public interest</w:t>
      </w:r>
      <w:r w:rsidR="005438FC" w:rsidRPr="0088177C">
        <w:rPr>
          <w:rFonts w:eastAsia="Verdana" w:cs="Verdana"/>
          <w:color w:val="000000" w:themeColor="text1"/>
        </w:rPr>
        <w:t xml:space="preserve">, subverts the objectives of the </w:t>
      </w:r>
      <w:r w:rsidR="005438FC" w:rsidRPr="0002260D">
        <w:rPr>
          <w:rFonts w:eastAsia="Verdana" w:cs="Verdana"/>
          <w:i/>
          <w:iCs/>
          <w:color w:val="000000" w:themeColor="text1"/>
        </w:rPr>
        <w:t>FWA</w:t>
      </w:r>
      <w:r w:rsidR="0002260D">
        <w:rPr>
          <w:rFonts w:eastAsia="Verdana" w:cs="Verdana"/>
          <w:color w:val="000000" w:themeColor="text1"/>
        </w:rPr>
        <w:t xml:space="preserve"> </w:t>
      </w:r>
      <w:r w:rsidR="005438FC" w:rsidRPr="0088177C">
        <w:rPr>
          <w:rFonts w:eastAsia="Verdana" w:cs="Verdana"/>
          <w:color w:val="000000" w:themeColor="text1"/>
        </w:rPr>
        <w:t xml:space="preserve">and every Australian industrial relations legislation preceding it. </w:t>
      </w:r>
      <w:r w:rsidR="0002260D">
        <w:rPr>
          <w:rFonts w:eastAsia="Verdana" w:cs="Verdana"/>
          <w:color w:val="000000" w:themeColor="text1"/>
        </w:rPr>
        <w:t xml:space="preserve"> </w:t>
      </w:r>
      <w:r w:rsidR="005438FC" w:rsidRPr="0088177C">
        <w:rPr>
          <w:rFonts w:eastAsia="Verdana" w:cs="Verdana"/>
          <w:color w:val="000000" w:themeColor="text1"/>
        </w:rPr>
        <w:t xml:space="preserve">Australia is a rich nation, but more and more Australians are struggling with the cost of living. </w:t>
      </w:r>
      <w:r w:rsidR="00E95C28">
        <w:rPr>
          <w:rFonts w:eastAsia="Verdana" w:cs="Verdana"/>
          <w:color w:val="000000" w:themeColor="text1"/>
        </w:rPr>
        <w:t xml:space="preserve">Research conducted by </w:t>
      </w:r>
      <w:r w:rsidR="00E24380">
        <w:rPr>
          <w:rFonts w:eastAsia="Verdana" w:cs="Verdana"/>
          <w:color w:val="000000" w:themeColor="text1"/>
        </w:rPr>
        <w:t>University</w:t>
      </w:r>
      <w:r w:rsidR="00E95C28">
        <w:rPr>
          <w:rFonts w:eastAsia="Verdana" w:cs="Verdana"/>
          <w:color w:val="000000" w:themeColor="text1"/>
        </w:rPr>
        <w:t xml:space="preserve"> of New South Wales and </w:t>
      </w:r>
      <w:r w:rsidR="00E24380">
        <w:rPr>
          <w:rFonts w:eastAsia="Verdana" w:cs="Verdana"/>
          <w:color w:val="000000" w:themeColor="text1"/>
        </w:rPr>
        <w:t xml:space="preserve">the Australian Council of Social Services has found that more </w:t>
      </w:r>
      <w:r w:rsidR="005438FC" w:rsidRPr="0088177C">
        <w:rPr>
          <w:rFonts w:eastAsia="Verdana" w:cs="Verdana"/>
          <w:color w:val="000000" w:themeColor="text1"/>
        </w:rPr>
        <w:t xml:space="preserve">than three million </w:t>
      </w:r>
      <w:r w:rsidR="00832294">
        <w:rPr>
          <w:rFonts w:eastAsia="Verdana" w:cs="Verdana"/>
          <w:color w:val="000000" w:themeColor="text1"/>
        </w:rPr>
        <w:t>Australian</w:t>
      </w:r>
      <w:r>
        <w:rPr>
          <w:rFonts w:eastAsia="Verdana" w:cs="Verdana"/>
          <w:color w:val="000000" w:themeColor="text1"/>
        </w:rPr>
        <w:t>s</w:t>
      </w:r>
      <w:r w:rsidR="00832294">
        <w:rPr>
          <w:rFonts w:eastAsia="Verdana" w:cs="Verdana"/>
          <w:color w:val="000000" w:themeColor="text1"/>
        </w:rPr>
        <w:t xml:space="preserve"> </w:t>
      </w:r>
      <w:r w:rsidR="005438FC" w:rsidRPr="0088177C">
        <w:rPr>
          <w:rFonts w:eastAsia="Verdana" w:cs="Verdana"/>
          <w:color w:val="000000" w:themeColor="text1"/>
        </w:rPr>
        <w:t>live below the poverty line</w:t>
      </w:r>
      <w:r w:rsidR="00832294">
        <w:rPr>
          <w:rFonts w:eastAsia="Verdana" w:cs="Verdana"/>
          <w:color w:val="000000" w:themeColor="text1"/>
        </w:rPr>
        <w:t xml:space="preserve">: </w:t>
      </w:r>
      <w:r w:rsidR="005438FC" w:rsidRPr="0088177C">
        <w:rPr>
          <w:rFonts w:eastAsia="Verdana" w:cs="Verdana"/>
          <w:color w:val="000000" w:themeColor="text1"/>
        </w:rPr>
        <w:t>one in every eight people</w:t>
      </w:r>
      <w:r w:rsidR="00832294">
        <w:rPr>
          <w:rFonts w:eastAsia="Verdana" w:cs="Verdana"/>
          <w:color w:val="000000" w:themeColor="text1"/>
        </w:rPr>
        <w:t>,</w:t>
      </w:r>
      <w:r w:rsidR="005438FC" w:rsidRPr="0088177C">
        <w:rPr>
          <w:rFonts w:eastAsia="Verdana" w:cs="Verdana"/>
          <w:color w:val="000000" w:themeColor="text1"/>
        </w:rPr>
        <w:t xml:space="preserve"> including one in every six</w:t>
      </w:r>
      <w:r w:rsidR="00832294">
        <w:rPr>
          <w:rFonts w:eastAsia="Verdana" w:cs="Verdana"/>
          <w:color w:val="000000" w:themeColor="text1"/>
        </w:rPr>
        <w:t xml:space="preserve"> children</w:t>
      </w:r>
      <w:r w:rsidR="005438FC" w:rsidRPr="0088177C">
        <w:rPr>
          <w:rFonts w:eastAsia="Verdana" w:cs="Verdana"/>
          <w:color w:val="000000" w:themeColor="text1"/>
        </w:rPr>
        <w:t>.</w:t>
      </w:r>
      <w:r w:rsidR="005438FC" w:rsidRPr="0088177C">
        <w:rPr>
          <w:rStyle w:val="FootnoteReference"/>
          <w:rFonts w:eastAsia="Verdana" w:cs="Verdana"/>
          <w:color w:val="000000" w:themeColor="text1"/>
        </w:rPr>
        <w:footnoteReference w:id="19"/>
      </w:r>
      <w:r w:rsidR="005438FC" w:rsidRPr="0088177C">
        <w:rPr>
          <w:rFonts w:eastAsia="Verdana" w:cs="Verdana"/>
          <w:color w:val="000000" w:themeColor="text1"/>
        </w:rPr>
        <w:t xml:space="preserve"> </w:t>
      </w:r>
    </w:p>
    <w:p w14:paraId="0D8C7933" w14:textId="61E4E1CC" w:rsidR="00261660" w:rsidRPr="00261660" w:rsidRDefault="00261660" w:rsidP="0088177C">
      <w:pPr>
        <w:pStyle w:val="NoSpacing"/>
        <w:spacing w:beforeLines="60" w:before="144" w:line="300" w:lineRule="auto"/>
        <w:rPr>
          <w:rFonts w:eastAsia="Verdana" w:cs="Verdana"/>
          <w:b/>
          <w:bCs/>
          <w:color w:val="9D825C"/>
        </w:rPr>
      </w:pPr>
      <w:r w:rsidRPr="00E955A7">
        <w:rPr>
          <w:rFonts w:eastAsia="Verdana" w:cs="Verdana"/>
          <w:b/>
          <w:bCs/>
          <w:color w:val="9D825C"/>
        </w:rPr>
        <w:t>An argument for multi-enterprise bargaining reform</w:t>
      </w:r>
    </w:p>
    <w:p w14:paraId="556DDABD" w14:textId="3731D385" w:rsidR="005438FC" w:rsidRPr="0088177C" w:rsidRDefault="005438FC" w:rsidP="0088177C">
      <w:pPr>
        <w:pStyle w:val="NoSpacing"/>
        <w:spacing w:beforeLines="60" w:before="144" w:line="300" w:lineRule="auto"/>
        <w:rPr>
          <w:rFonts w:eastAsia="Verdana" w:cs="Verdana"/>
          <w:color w:val="000000" w:themeColor="text1"/>
        </w:rPr>
      </w:pPr>
      <w:r w:rsidRPr="0088177C">
        <w:rPr>
          <w:rFonts w:eastAsia="Verdana" w:cs="Verdana"/>
          <w:color w:val="000000" w:themeColor="text1"/>
        </w:rPr>
        <w:t xml:space="preserve">One way to increase </w:t>
      </w:r>
      <w:r w:rsidR="00EE0611" w:rsidRPr="0088177C">
        <w:rPr>
          <w:rFonts w:eastAsia="Verdana" w:cs="Verdana"/>
          <w:color w:val="000000" w:themeColor="text1"/>
        </w:rPr>
        <w:t>bar</w:t>
      </w:r>
      <w:r w:rsidR="00EE0611">
        <w:rPr>
          <w:rFonts w:eastAsia="Verdana" w:cs="Verdana"/>
          <w:color w:val="000000" w:themeColor="text1"/>
        </w:rPr>
        <w:t>gaini</w:t>
      </w:r>
      <w:r w:rsidR="00EE0611" w:rsidRPr="0088177C">
        <w:rPr>
          <w:rFonts w:eastAsia="Verdana" w:cs="Verdana"/>
          <w:color w:val="000000" w:themeColor="text1"/>
        </w:rPr>
        <w:t>ng</w:t>
      </w:r>
      <w:r w:rsidRPr="0088177C">
        <w:rPr>
          <w:rFonts w:eastAsia="Verdana" w:cs="Verdana"/>
          <w:color w:val="000000" w:themeColor="text1"/>
        </w:rPr>
        <w:t xml:space="preserve"> is </w:t>
      </w:r>
      <w:r w:rsidR="00E955A7">
        <w:rPr>
          <w:rFonts w:eastAsia="Verdana" w:cs="Verdana"/>
          <w:color w:val="000000" w:themeColor="text1"/>
        </w:rPr>
        <w:t>to permit</w:t>
      </w:r>
      <w:r w:rsidRPr="0088177C">
        <w:rPr>
          <w:rFonts w:eastAsia="Verdana" w:cs="Verdana"/>
          <w:color w:val="000000" w:themeColor="text1"/>
        </w:rPr>
        <w:t xml:space="preserve"> employers and employees to bargain at the level which best suits their needs. </w:t>
      </w:r>
    </w:p>
    <w:p w14:paraId="726D5C19" w14:textId="438E3221" w:rsidR="005438FC" w:rsidRPr="0088177C" w:rsidRDefault="00426A2C" w:rsidP="0088177C">
      <w:pPr>
        <w:pStyle w:val="NoSpacing"/>
        <w:spacing w:beforeLines="60" w:before="144" w:line="300" w:lineRule="auto"/>
        <w:rPr>
          <w:rFonts w:cs="Times New Roman"/>
          <w:i/>
          <w:iCs/>
          <w:color w:val="000000" w:themeColor="text1"/>
        </w:rPr>
      </w:pPr>
      <w:r>
        <w:rPr>
          <w:rFonts w:eastAsia="Avenir Book" w:cs="Avenir Book"/>
          <w:color w:val="000000" w:themeColor="text1"/>
        </w:rPr>
        <w:t xml:space="preserve">The traditional </w:t>
      </w:r>
      <w:proofErr w:type="spellStart"/>
      <w:r w:rsidRPr="00426A2C">
        <w:rPr>
          <w:rFonts w:eastAsia="Avenir Book" w:cs="Avenir Book"/>
          <w:i/>
          <w:iCs/>
          <w:color w:val="000000" w:themeColor="text1"/>
        </w:rPr>
        <w:t>centralised</w:t>
      </w:r>
      <w:proofErr w:type="spellEnd"/>
      <w:r>
        <w:rPr>
          <w:rFonts w:eastAsia="Avenir Book" w:cs="Avenir Book"/>
          <w:color w:val="000000" w:themeColor="text1"/>
        </w:rPr>
        <w:t xml:space="preserve"> system</w:t>
      </w:r>
      <w:r w:rsidR="00627C7C">
        <w:rPr>
          <w:rFonts w:eastAsia="Avenir Book" w:cs="Avenir Book"/>
          <w:color w:val="000000" w:themeColor="text1"/>
        </w:rPr>
        <w:t>, which commence</w:t>
      </w:r>
      <w:r w:rsidR="004676D2">
        <w:rPr>
          <w:rFonts w:eastAsia="Avenir Book" w:cs="Avenir Book"/>
          <w:color w:val="000000" w:themeColor="text1"/>
        </w:rPr>
        <w:t>d</w:t>
      </w:r>
      <w:r w:rsidR="00627C7C">
        <w:rPr>
          <w:rFonts w:eastAsia="Avenir Book" w:cs="Avenir Book"/>
          <w:color w:val="000000" w:themeColor="text1"/>
        </w:rPr>
        <w:t xml:space="preserve"> with the </w:t>
      </w:r>
      <w:r w:rsidR="00627C7C" w:rsidRPr="00627C7C">
        <w:rPr>
          <w:rFonts w:eastAsia="Avenir Book" w:cs="Avenir Book"/>
          <w:i/>
          <w:iCs/>
          <w:color w:val="000000" w:themeColor="text1"/>
        </w:rPr>
        <w:t>Conciliation and Arbitration Act 1904</w:t>
      </w:r>
      <w:r w:rsidR="004676D2">
        <w:rPr>
          <w:rFonts w:eastAsia="Avenir Book" w:cs="Avenir Book"/>
          <w:i/>
          <w:iCs/>
          <w:color w:val="000000" w:themeColor="text1"/>
        </w:rPr>
        <w:t>,</w:t>
      </w:r>
      <w:r w:rsidR="00627C7C">
        <w:rPr>
          <w:rFonts w:eastAsia="Avenir Book" w:cs="Avenir Book"/>
          <w:color w:val="000000" w:themeColor="text1"/>
        </w:rPr>
        <w:t xml:space="preserve"> did not</w:t>
      </w:r>
      <w:r w:rsidR="005438FC" w:rsidRPr="0088177C">
        <w:rPr>
          <w:rFonts w:eastAsia="Avenir Book" w:cs="Avenir Book"/>
          <w:color w:val="000000" w:themeColor="text1"/>
        </w:rPr>
        <w:t xml:space="preserve"> provide a formal legislative framework for collective bargaining</w:t>
      </w:r>
      <w:r w:rsidR="00CF0E23">
        <w:rPr>
          <w:rFonts w:eastAsia="Avenir Book" w:cs="Avenir Book"/>
          <w:color w:val="000000" w:themeColor="text1"/>
        </w:rPr>
        <w:t>. This did not occur until 90 years later. However,</w:t>
      </w:r>
      <w:r w:rsidR="005438FC" w:rsidRPr="0088177C">
        <w:rPr>
          <w:rFonts w:eastAsia="Avenir Book" w:cs="Avenir Book"/>
          <w:color w:val="000000" w:themeColor="text1"/>
        </w:rPr>
        <w:t xml:space="preserve"> the traditional system had always been collective in nature</w:t>
      </w:r>
      <w:r w:rsidR="004676D2">
        <w:rPr>
          <w:rFonts w:eastAsia="Avenir Book" w:cs="Avenir Book"/>
          <w:color w:val="000000" w:themeColor="text1"/>
        </w:rPr>
        <w:t xml:space="preserve">: </w:t>
      </w:r>
      <w:r w:rsidR="00CF0E23">
        <w:rPr>
          <w:rFonts w:eastAsia="Avenir Book" w:cs="Avenir Book"/>
          <w:color w:val="000000" w:themeColor="text1"/>
        </w:rPr>
        <w:t>c</w:t>
      </w:r>
      <w:r w:rsidR="005438FC" w:rsidRPr="0088177C">
        <w:rPr>
          <w:rFonts w:eastAsia="Avenir Book" w:cs="Avenir Book"/>
          <w:color w:val="000000" w:themeColor="text1"/>
        </w:rPr>
        <w:t xml:space="preserve">ollective bargaining was a central feature. </w:t>
      </w:r>
      <w:r w:rsidR="00CF0E23">
        <w:rPr>
          <w:rFonts w:cs="Times New Roman"/>
          <w:color w:val="000000" w:themeColor="text1"/>
        </w:rPr>
        <w:t>W</w:t>
      </w:r>
      <w:r w:rsidR="005438FC" w:rsidRPr="0088177C">
        <w:rPr>
          <w:rFonts w:cs="Times New Roman"/>
          <w:color w:val="000000" w:themeColor="text1"/>
        </w:rPr>
        <w:t>orkers and businesses could, and did, negotiate in the ways the best worked for them</w:t>
      </w:r>
      <w:r w:rsidR="004676D2">
        <w:rPr>
          <w:rFonts w:cs="Times New Roman"/>
          <w:color w:val="000000" w:themeColor="text1"/>
        </w:rPr>
        <w:t>, w</w:t>
      </w:r>
      <w:r w:rsidR="005438FC" w:rsidRPr="0088177C">
        <w:rPr>
          <w:rFonts w:cs="Times New Roman"/>
          <w:color w:val="000000" w:themeColor="text1"/>
        </w:rPr>
        <w:t xml:space="preserve">hether that be at the enterprise, sector, </w:t>
      </w:r>
      <w:proofErr w:type="gramStart"/>
      <w:r w:rsidR="005438FC" w:rsidRPr="0088177C">
        <w:rPr>
          <w:rFonts w:cs="Times New Roman"/>
          <w:color w:val="000000" w:themeColor="text1"/>
        </w:rPr>
        <w:t>industry</w:t>
      </w:r>
      <w:proofErr w:type="gramEnd"/>
      <w:r w:rsidR="005438FC" w:rsidRPr="0088177C">
        <w:rPr>
          <w:rFonts w:cs="Times New Roman"/>
          <w:color w:val="000000" w:themeColor="text1"/>
        </w:rPr>
        <w:t xml:space="preserve"> or geographical level.  It was extremely common for parties to negotiate at the firm-level, or with multiple businesses, to create </w:t>
      </w:r>
      <w:r w:rsidR="005438FC" w:rsidRPr="00E955A7">
        <w:rPr>
          <w:rFonts w:cs="Times New Roman"/>
          <w:i/>
          <w:iCs/>
          <w:color w:val="000000" w:themeColor="text1"/>
        </w:rPr>
        <w:t>over-award agreements</w:t>
      </w:r>
      <w:r w:rsidR="005438FC" w:rsidRPr="0088177C">
        <w:rPr>
          <w:rFonts w:cs="Times New Roman"/>
          <w:color w:val="000000" w:themeColor="text1"/>
        </w:rPr>
        <w:t xml:space="preserve">.  By the time the </w:t>
      </w:r>
      <w:r w:rsidR="005438FC" w:rsidRPr="0088177C">
        <w:rPr>
          <w:rFonts w:cs="Times New Roman"/>
          <w:i/>
          <w:iCs/>
          <w:color w:val="000000" w:themeColor="text1"/>
        </w:rPr>
        <w:t xml:space="preserve">IRR Act </w:t>
      </w:r>
      <w:r w:rsidR="005438FC" w:rsidRPr="0088177C">
        <w:rPr>
          <w:rFonts w:cs="Times New Roman"/>
          <w:color w:val="000000" w:themeColor="text1"/>
        </w:rPr>
        <w:t xml:space="preserve">was introduced in 1993, 80% of businesses employing 200-500 people had </w:t>
      </w:r>
      <w:r w:rsidR="005438FC" w:rsidRPr="00E955A7">
        <w:rPr>
          <w:rFonts w:cs="Times New Roman"/>
          <w:i/>
          <w:iCs/>
          <w:color w:val="000000" w:themeColor="text1"/>
        </w:rPr>
        <w:t>over-award agreements</w:t>
      </w:r>
      <w:r w:rsidR="005438FC" w:rsidRPr="0088177C">
        <w:rPr>
          <w:rFonts w:cs="Times New Roman"/>
          <w:color w:val="000000" w:themeColor="text1"/>
        </w:rPr>
        <w:t>.</w:t>
      </w:r>
      <w:r w:rsidR="005438FC" w:rsidRPr="0088177C">
        <w:rPr>
          <w:rStyle w:val="FootnoteReference"/>
          <w:rFonts w:cs="Times New Roman"/>
          <w:color w:val="000000" w:themeColor="text1"/>
        </w:rPr>
        <w:footnoteReference w:id="20"/>
      </w:r>
      <w:r w:rsidR="005438FC" w:rsidRPr="0088177C">
        <w:rPr>
          <w:rFonts w:cs="Times New Roman"/>
          <w:color w:val="000000" w:themeColor="text1"/>
        </w:rPr>
        <w:t xml:space="preserve">  </w:t>
      </w:r>
      <w:r w:rsidR="00692AFB">
        <w:rPr>
          <w:rFonts w:cs="Times New Roman"/>
          <w:color w:val="000000" w:themeColor="text1"/>
        </w:rPr>
        <w:t xml:space="preserve">There was also considerable collective </w:t>
      </w:r>
      <w:r w:rsidR="00E955A7" w:rsidRPr="0088177C">
        <w:rPr>
          <w:rFonts w:eastAsia="Avenir Book" w:cs="Avenir Book"/>
          <w:color w:val="000000" w:themeColor="text1"/>
        </w:rPr>
        <w:t>bargaining</w:t>
      </w:r>
      <w:r w:rsidR="00692AFB">
        <w:rPr>
          <w:rFonts w:cs="Times New Roman"/>
          <w:color w:val="000000" w:themeColor="text1"/>
        </w:rPr>
        <w:t xml:space="preserve"> involved in reaching </w:t>
      </w:r>
      <w:r w:rsidR="00692AFB" w:rsidRPr="00E955A7">
        <w:rPr>
          <w:rFonts w:cs="Times New Roman"/>
          <w:i/>
          <w:iCs/>
          <w:color w:val="000000" w:themeColor="text1"/>
        </w:rPr>
        <w:t>Consent Awards</w:t>
      </w:r>
      <w:r w:rsidR="00692AFB">
        <w:rPr>
          <w:rFonts w:cs="Times New Roman"/>
          <w:color w:val="000000" w:themeColor="text1"/>
        </w:rPr>
        <w:t xml:space="preserve"> and Arbitrated Awards.</w:t>
      </w:r>
      <w:r w:rsidR="00692AFB">
        <w:rPr>
          <w:rStyle w:val="FootnoteReference"/>
          <w:rFonts w:cs="Times New Roman"/>
          <w:color w:val="000000" w:themeColor="text1"/>
        </w:rPr>
        <w:footnoteReference w:id="21"/>
      </w:r>
    </w:p>
    <w:p w14:paraId="65C798DC" w14:textId="6685CC82" w:rsidR="005438FC" w:rsidRDefault="005438FC" w:rsidP="0088177C">
      <w:pPr>
        <w:pStyle w:val="NoSpacing"/>
        <w:spacing w:beforeLines="60" w:before="144" w:line="300" w:lineRule="auto"/>
        <w:rPr>
          <w:rFonts w:eastAsia="Verdana" w:cs="Verdana"/>
          <w:color w:val="000000" w:themeColor="text1"/>
        </w:rPr>
      </w:pPr>
      <w:r w:rsidRPr="0088177C">
        <w:rPr>
          <w:rFonts w:eastAsia="Verdana" w:cs="Verdana"/>
          <w:color w:val="000000" w:themeColor="text1"/>
        </w:rPr>
        <w:t xml:space="preserve">Whilst the </w:t>
      </w:r>
      <w:r w:rsidR="00D246E3" w:rsidRPr="00116FD4">
        <w:rPr>
          <w:rFonts w:eastAsia="Verdana" w:cs="Verdana"/>
          <w:i/>
          <w:iCs/>
          <w:color w:val="000000" w:themeColor="text1"/>
        </w:rPr>
        <w:t>I</w:t>
      </w:r>
      <w:r w:rsidRPr="00116FD4">
        <w:rPr>
          <w:rFonts w:eastAsia="Verdana" w:cs="Verdana"/>
          <w:i/>
          <w:iCs/>
          <w:color w:val="000000" w:themeColor="text1"/>
        </w:rPr>
        <w:t xml:space="preserve">nterim </w:t>
      </w:r>
      <w:r w:rsidR="00D246E3" w:rsidRPr="00116FD4">
        <w:rPr>
          <w:rFonts w:eastAsia="Verdana" w:cs="Verdana"/>
          <w:i/>
          <w:iCs/>
          <w:color w:val="000000" w:themeColor="text1"/>
        </w:rPr>
        <w:t>R</w:t>
      </w:r>
      <w:r w:rsidRPr="00116FD4">
        <w:rPr>
          <w:rFonts w:eastAsia="Verdana" w:cs="Verdana"/>
          <w:i/>
          <w:iCs/>
          <w:color w:val="000000" w:themeColor="text1"/>
        </w:rPr>
        <w:t>eport</w:t>
      </w:r>
      <w:r w:rsidRPr="0088177C">
        <w:rPr>
          <w:rFonts w:eastAsia="Verdana" w:cs="Verdana"/>
          <w:color w:val="000000" w:themeColor="text1"/>
        </w:rPr>
        <w:t xml:space="preserve"> cites evidence suggesting firm-level bar</w:t>
      </w:r>
      <w:r w:rsidR="00EE1223">
        <w:rPr>
          <w:rFonts w:eastAsia="Verdana" w:cs="Verdana"/>
          <w:color w:val="000000" w:themeColor="text1"/>
        </w:rPr>
        <w:t>gaining</w:t>
      </w:r>
      <w:r w:rsidRPr="0088177C">
        <w:rPr>
          <w:rFonts w:eastAsia="Verdana" w:cs="Verdana"/>
          <w:color w:val="000000" w:themeColor="text1"/>
        </w:rPr>
        <w:t xml:space="preserve"> is associated with high productivity,</w:t>
      </w:r>
      <w:r w:rsidR="00D246E3">
        <w:rPr>
          <w:rStyle w:val="FootnoteReference"/>
          <w:rFonts w:eastAsia="Verdana" w:cs="Verdana"/>
          <w:color w:val="000000" w:themeColor="text1"/>
        </w:rPr>
        <w:footnoteReference w:id="22"/>
      </w:r>
      <w:r w:rsidRPr="0088177C">
        <w:rPr>
          <w:rFonts w:eastAsia="Verdana" w:cs="Verdana"/>
          <w:color w:val="000000" w:themeColor="text1"/>
        </w:rPr>
        <w:t xml:space="preserve"> data from the ILO shows how multi-employer </w:t>
      </w:r>
      <w:r w:rsidR="00EE1223" w:rsidRPr="0088177C">
        <w:rPr>
          <w:rFonts w:eastAsia="Verdana" w:cs="Verdana"/>
          <w:color w:val="000000" w:themeColor="text1"/>
        </w:rPr>
        <w:t>bar</w:t>
      </w:r>
      <w:r w:rsidR="00EE1223">
        <w:rPr>
          <w:rFonts w:eastAsia="Verdana" w:cs="Verdana"/>
          <w:color w:val="000000" w:themeColor="text1"/>
        </w:rPr>
        <w:t>gaining can increase participation in agreement making</w:t>
      </w:r>
      <w:r w:rsidR="00122E8E">
        <w:rPr>
          <w:rFonts w:eastAsia="Verdana" w:cs="Verdana"/>
          <w:color w:val="000000" w:themeColor="text1"/>
        </w:rPr>
        <w:t xml:space="preserve"> because it</w:t>
      </w:r>
      <w:r w:rsidRPr="0088177C">
        <w:rPr>
          <w:rFonts w:eastAsia="Verdana" w:cs="Verdana"/>
          <w:color w:val="000000" w:themeColor="text1"/>
        </w:rPr>
        <w:t xml:space="preserve"> is the most inclusive form of </w:t>
      </w:r>
      <w:r w:rsidR="00122E8E" w:rsidRPr="0088177C">
        <w:rPr>
          <w:rFonts w:eastAsia="Verdana" w:cs="Verdana"/>
          <w:color w:val="000000" w:themeColor="text1"/>
        </w:rPr>
        <w:t>bar</w:t>
      </w:r>
      <w:r w:rsidR="00122E8E">
        <w:rPr>
          <w:rFonts w:eastAsia="Verdana" w:cs="Verdana"/>
          <w:color w:val="000000" w:themeColor="text1"/>
        </w:rPr>
        <w:t>gaining</w:t>
      </w:r>
      <w:r w:rsidRPr="0088177C">
        <w:rPr>
          <w:rFonts w:eastAsia="Verdana" w:cs="Verdana"/>
          <w:color w:val="000000" w:themeColor="text1"/>
        </w:rPr>
        <w:t xml:space="preserve">. It tends to be more inclusive of workers often excluded from </w:t>
      </w:r>
      <w:r w:rsidR="00122E8E" w:rsidRPr="0088177C">
        <w:rPr>
          <w:rFonts w:eastAsia="Verdana" w:cs="Verdana"/>
          <w:color w:val="000000" w:themeColor="text1"/>
        </w:rPr>
        <w:t>bar</w:t>
      </w:r>
      <w:r w:rsidR="00122E8E">
        <w:rPr>
          <w:rFonts w:eastAsia="Verdana" w:cs="Verdana"/>
          <w:color w:val="000000" w:themeColor="text1"/>
        </w:rPr>
        <w:t>gaining</w:t>
      </w:r>
      <w:r w:rsidRPr="0088177C">
        <w:rPr>
          <w:rFonts w:eastAsia="Verdana" w:cs="Verdana"/>
          <w:color w:val="000000" w:themeColor="text1"/>
        </w:rPr>
        <w:t xml:space="preserve"> provisions: </w:t>
      </w:r>
      <w:r w:rsidR="00122E8E" w:rsidRPr="0088177C">
        <w:rPr>
          <w:rFonts w:eastAsia="Verdana" w:cs="Verdana"/>
          <w:color w:val="000000" w:themeColor="text1"/>
        </w:rPr>
        <w:t>vulnerable</w:t>
      </w:r>
      <w:r w:rsidRPr="0088177C">
        <w:rPr>
          <w:rFonts w:eastAsia="Verdana" w:cs="Verdana"/>
          <w:color w:val="000000" w:themeColor="text1"/>
        </w:rPr>
        <w:t xml:space="preserve"> workers, migrant </w:t>
      </w:r>
      <w:proofErr w:type="gramStart"/>
      <w:r w:rsidRPr="0088177C">
        <w:rPr>
          <w:rFonts w:eastAsia="Verdana" w:cs="Verdana"/>
          <w:color w:val="000000" w:themeColor="text1"/>
        </w:rPr>
        <w:t>workers</w:t>
      </w:r>
      <w:proofErr w:type="gramEnd"/>
      <w:r w:rsidRPr="0088177C">
        <w:rPr>
          <w:rFonts w:eastAsia="Verdana" w:cs="Verdana"/>
          <w:color w:val="000000" w:themeColor="text1"/>
        </w:rPr>
        <w:t xml:space="preserve"> and those in small firms.</w:t>
      </w:r>
      <w:r w:rsidR="00261660">
        <w:rPr>
          <w:rStyle w:val="FootnoteReference"/>
          <w:rFonts w:eastAsia="Verdana" w:cs="Verdana"/>
          <w:color w:val="000000" w:themeColor="text1"/>
        </w:rPr>
        <w:footnoteReference w:id="23"/>
      </w:r>
      <w:r w:rsidRPr="0088177C">
        <w:rPr>
          <w:rFonts w:eastAsia="Verdana" w:cs="Verdana"/>
          <w:color w:val="000000" w:themeColor="text1"/>
        </w:rPr>
        <w:t xml:space="preserve">  </w:t>
      </w:r>
      <w:r w:rsidR="00122E8E">
        <w:rPr>
          <w:rFonts w:eastAsia="Verdana" w:cs="Verdana"/>
          <w:color w:val="000000" w:themeColor="text1"/>
        </w:rPr>
        <w:t>Benefits for</w:t>
      </w:r>
      <w:r w:rsidRPr="0088177C">
        <w:rPr>
          <w:rFonts w:eastAsia="Verdana" w:cs="Verdana"/>
          <w:color w:val="000000" w:themeColor="text1"/>
        </w:rPr>
        <w:t xml:space="preserve"> business</w:t>
      </w:r>
      <w:r w:rsidR="001E1AF1">
        <w:rPr>
          <w:rFonts w:eastAsia="Verdana" w:cs="Verdana"/>
          <w:color w:val="000000" w:themeColor="text1"/>
        </w:rPr>
        <w:t>es include</w:t>
      </w:r>
      <w:r w:rsidRPr="0088177C">
        <w:rPr>
          <w:rFonts w:eastAsia="Verdana" w:cs="Verdana"/>
          <w:color w:val="000000" w:themeColor="text1"/>
        </w:rPr>
        <w:t xml:space="preserve"> sav</w:t>
      </w:r>
      <w:r w:rsidR="001E1AF1">
        <w:rPr>
          <w:rFonts w:eastAsia="Verdana" w:cs="Verdana"/>
          <w:color w:val="000000" w:themeColor="text1"/>
        </w:rPr>
        <w:t>ings</w:t>
      </w:r>
      <w:r w:rsidRPr="0088177C">
        <w:rPr>
          <w:rFonts w:eastAsia="Verdana" w:cs="Verdana"/>
          <w:color w:val="000000" w:themeColor="text1"/>
        </w:rPr>
        <w:t xml:space="preserve"> on the costs and resources required for </w:t>
      </w:r>
      <w:r w:rsidR="001E1AF1" w:rsidRPr="0088177C">
        <w:rPr>
          <w:rFonts w:eastAsia="Verdana" w:cs="Verdana"/>
          <w:color w:val="000000" w:themeColor="text1"/>
        </w:rPr>
        <w:t>individual</w:t>
      </w:r>
      <w:r w:rsidRPr="0088177C">
        <w:rPr>
          <w:rFonts w:eastAsia="Verdana" w:cs="Verdana"/>
          <w:color w:val="000000" w:themeColor="text1"/>
        </w:rPr>
        <w:t xml:space="preserve"> </w:t>
      </w:r>
      <w:r w:rsidR="001E1AF1" w:rsidRPr="0088177C">
        <w:rPr>
          <w:rFonts w:eastAsia="Verdana" w:cs="Verdana"/>
          <w:color w:val="000000" w:themeColor="text1"/>
        </w:rPr>
        <w:t>bargains</w:t>
      </w:r>
      <w:r w:rsidRPr="0088177C">
        <w:rPr>
          <w:rFonts w:eastAsia="Verdana" w:cs="Verdana"/>
          <w:color w:val="000000" w:themeColor="text1"/>
        </w:rPr>
        <w:t>.</w:t>
      </w:r>
      <w:r w:rsidR="009F00B9">
        <w:rPr>
          <w:rStyle w:val="FootnoteReference"/>
          <w:rFonts w:eastAsia="Verdana" w:cs="Verdana"/>
          <w:color w:val="000000" w:themeColor="text1"/>
        </w:rPr>
        <w:footnoteReference w:id="24"/>
      </w:r>
      <w:r w:rsidRPr="0088177C">
        <w:rPr>
          <w:rFonts w:eastAsia="Verdana" w:cs="Verdana"/>
          <w:color w:val="000000" w:themeColor="text1"/>
        </w:rPr>
        <w:t xml:space="preserve"> </w:t>
      </w:r>
    </w:p>
    <w:p w14:paraId="2EAEB57E" w14:textId="3DE36FE9" w:rsidR="00261660" w:rsidRPr="00261660" w:rsidRDefault="00261660" w:rsidP="0088177C">
      <w:pPr>
        <w:pStyle w:val="NoSpacing"/>
        <w:spacing w:beforeLines="60" w:before="144" w:line="300" w:lineRule="auto"/>
        <w:rPr>
          <w:b/>
          <w:bCs/>
          <w:color w:val="9D825C"/>
        </w:rPr>
      </w:pPr>
      <w:r w:rsidRPr="00261660">
        <w:rPr>
          <w:rFonts w:eastAsia="Verdana" w:cs="Verdana"/>
          <w:b/>
          <w:bCs/>
          <w:color w:val="9D825C"/>
        </w:rPr>
        <w:t>Current provisions</w:t>
      </w:r>
    </w:p>
    <w:p w14:paraId="08E748A4" w14:textId="1A5E469D" w:rsidR="005438FC" w:rsidRPr="001D07CF" w:rsidRDefault="003C4EE8" w:rsidP="0088177C">
      <w:pPr>
        <w:pStyle w:val="NoSpacing"/>
        <w:spacing w:beforeLines="60" w:before="144" w:line="300" w:lineRule="auto"/>
        <w:rPr>
          <w:color w:val="000000" w:themeColor="text1"/>
        </w:rPr>
      </w:pPr>
      <w:r w:rsidRPr="0088177C">
        <w:rPr>
          <w:color w:val="000000" w:themeColor="text1"/>
        </w:rPr>
        <w:t>Under</w:t>
      </w:r>
      <w:r w:rsidR="005438FC" w:rsidRPr="0088177C">
        <w:rPr>
          <w:color w:val="000000" w:themeColor="text1"/>
        </w:rPr>
        <w:t xml:space="preserve"> the </w:t>
      </w:r>
      <w:r w:rsidR="005438FC" w:rsidRPr="003C4EE8">
        <w:rPr>
          <w:i/>
          <w:iCs/>
          <w:color w:val="000000" w:themeColor="text1"/>
        </w:rPr>
        <w:t>FWA</w:t>
      </w:r>
      <w:r>
        <w:rPr>
          <w:color w:val="000000" w:themeColor="text1"/>
        </w:rPr>
        <w:t xml:space="preserve"> t</w:t>
      </w:r>
      <w:r w:rsidR="005438FC" w:rsidRPr="0088177C">
        <w:rPr>
          <w:color w:val="000000" w:themeColor="text1"/>
        </w:rPr>
        <w:t xml:space="preserve">here are three </w:t>
      </w:r>
      <w:r w:rsidR="00AE4C21">
        <w:rPr>
          <w:color w:val="000000" w:themeColor="text1"/>
        </w:rPr>
        <w:t>avenues for</w:t>
      </w:r>
      <w:r w:rsidR="005438FC" w:rsidRPr="0088177C">
        <w:rPr>
          <w:color w:val="000000" w:themeColor="text1"/>
        </w:rPr>
        <w:t xml:space="preserve"> agreement making with multiple employers. Multi-enterprise agreements (</w:t>
      </w:r>
      <w:r w:rsidR="00286210">
        <w:rPr>
          <w:color w:val="000000" w:themeColor="text1"/>
        </w:rPr>
        <w:t>‘</w:t>
      </w:r>
      <w:r w:rsidR="005438FC" w:rsidRPr="0088177C">
        <w:rPr>
          <w:color w:val="000000" w:themeColor="text1"/>
        </w:rPr>
        <w:t>MEAs</w:t>
      </w:r>
      <w:r w:rsidR="00286210">
        <w:rPr>
          <w:color w:val="000000" w:themeColor="text1"/>
        </w:rPr>
        <w:t>’</w:t>
      </w:r>
      <w:r w:rsidR="005438FC" w:rsidRPr="0088177C">
        <w:rPr>
          <w:color w:val="000000" w:themeColor="text1"/>
        </w:rPr>
        <w:t>) can be made under the regular MEA stream</w:t>
      </w:r>
      <w:r w:rsidR="00AE4C21">
        <w:rPr>
          <w:rStyle w:val="FootnoteReference"/>
          <w:color w:val="000000" w:themeColor="text1"/>
        </w:rPr>
        <w:footnoteReference w:id="25"/>
      </w:r>
      <w:r w:rsidR="00AE4C21">
        <w:rPr>
          <w:color w:val="000000" w:themeColor="text1"/>
        </w:rPr>
        <w:t xml:space="preserve"> or</w:t>
      </w:r>
      <w:r w:rsidR="005438FC" w:rsidRPr="0088177C">
        <w:rPr>
          <w:color w:val="000000" w:themeColor="text1"/>
        </w:rPr>
        <w:t xml:space="preserve"> the low-paid MEA stream</w:t>
      </w:r>
      <w:r w:rsidR="00AE4C21">
        <w:rPr>
          <w:color w:val="000000" w:themeColor="text1"/>
        </w:rPr>
        <w:t>,</w:t>
      </w:r>
      <w:r w:rsidR="00AE4C21">
        <w:rPr>
          <w:rStyle w:val="FootnoteReference"/>
          <w:color w:val="000000" w:themeColor="text1"/>
        </w:rPr>
        <w:footnoteReference w:id="26"/>
      </w:r>
      <w:r w:rsidR="00AE4C21">
        <w:rPr>
          <w:color w:val="000000" w:themeColor="text1"/>
        </w:rPr>
        <w:t xml:space="preserve"> and </w:t>
      </w:r>
      <w:r w:rsidR="005438FC" w:rsidRPr="0088177C">
        <w:rPr>
          <w:color w:val="000000" w:themeColor="text1"/>
        </w:rPr>
        <w:t xml:space="preserve">single interest employer </w:t>
      </w:r>
      <w:proofErr w:type="spellStart"/>
      <w:r w:rsidR="005438FC" w:rsidRPr="0088177C">
        <w:rPr>
          <w:color w:val="000000" w:themeColor="text1"/>
        </w:rPr>
        <w:t>authorisations</w:t>
      </w:r>
      <w:proofErr w:type="spellEnd"/>
      <w:r w:rsidR="005438FC" w:rsidRPr="0088177C">
        <w:rPr>
          <w:color w:val="000000" w:themeColor="text1"/>
        </w:rPr>
        <w:t xml:space="preserve"> can be sought</w:t>
      </w:r>
      <w:r w:rsidR="00D915A5">
        <w:rPr>
          <w:color w:val="000000" w:themeColor="text1"/>
        </w:rPr>
        <w:t xml:space="preserve"> by employers</w:t>
      </w:r>
      <w:r w:rsidR="005438FC" w:rsidRPr="0088177C">
        <w:rPr>
          <w:color w:val="000000" w:themeColor="text1"/>
        </w:rPr>
        <w:t xml:space="preserve"> to allow multiple employers to make a single enterprise agreement (</w:t>
      </w:r>
      <w:r w:rsidR="00286210">
        <w:rPr>
          <w:color w:val="000000" w:themeColor="text1"/>
        </w:rPr>
        <w:t>‘</w:t>
      </w:r>
      <w:r w:rsidR="005438FC" w:rsidRPr="0088177C">
        <w:rPr>
          <w:color w:val="000000" w:themeColor="text1"/>
        </w:rPr>
        <w:t>SEA</w:t>
      </w:r>
      <w:r w:rsidR="00286210">
        <w:rPr>
          <w:color w:val="000000" w:themeColor="text1"/>
        </w:rPr>
        <w:t>’</w:t>
      </w:r>
      <w:r w:rsidR="0056146E">
        <w:rPr>
          <w:color w:val="000000" w:themeColor="text1"/>
        </w:rPr>
        <w:t>).</w:t>
      </w:r>
      <w:r w:rsidR="0056146E">
        <w:rPr>
          <w:rStyle w:val="FootnoteReference"/>
          <w:color w:val="000000" w:themeColor="text1"/>
        </w:rPr>
        <w:footnoteReference w:id="27"/>
      </w:r>
      <w:r w:rsidR="00D915A5">
        <w:rPr>
          <w:color w:val="000000" w:themeColor="text1"/>
        </w:rPr>
        <w:t xml:space="preserve"> </w:t>
      </w:r>
    </w:p>
    <w:p w14:paraId="2BDA6C5C" w14:textId="0FAD5368" w:rsidR="005438FC" w:rsidRPr="0088177C" w:rsidRDefault="005438FC" w:rsidP="0088177C">
      <w:pPr>
        <w:pStyle w:val="NoSpacing"/>
        <w:spacing w:beforeLines="60" w:before="144" w:line="300" w:lineRule="auto"/>
        <w:rPr>
          <w:rStyle w:val="Strong"/>
          <w:b w:val="0"/>
          <w:bCs w:val="0"/>
          <w:color w:val="000000" w:themeColor="text1"/>
        </w:rPr>
      </w:pPr>
      <w:r w:rsidRPr="0088177C">
        <w:rPr>
          <w:color w:val="000000" w:themeColor="text1"/>
        </w:rPr>
        <w:t xml:space="preserve">The </w:t>
      </w:r>
      <w:r w:rsidRPr="00D93524">
        <w:rPr>
          <w:i/>
          <w:iCs/>
          <w:color w:val="000000" w:themeColor="text1"/>
        </w:rPr>
        <w:t>FWA</w:t>
      </w:r>
      <w:r w:rsidRPr="0088177C">
        <w:rPr>
          <w:color w:val="000000" w:themeColor="text1"/>
        </w:rPr>
        <w:t xml:space="preserve"> repealed strict requirements for the making of MEAs</w:t>
      </w:r>
      <w:r w:rsidR="00D93524">
        <w:rPr>
          <w:color w:val="000000" w:themeColor="text1"/>
        </w:rPr>
        <w:t xml:space="preserve"> under the </w:t>
      </w:r>
      <w:r w:rsidR="00D93524" w:rsidRPr="005618DD">
        <w:rPr>
          <w:rStyle w:val="Strong"/>
          <w:b w:val="0"/>
          <w:bCs w:val="0"/>
          <w:i/>
          <w:iCs/>
          <w:szCs w:val="18"/>
        </w:rPr>
        <w:t>Workplace Relations Amendment (Work Choices) Act 2005</w:t>
      </w:r>
      <w:r w:rsidR="00D93524">
        <w:rPr>
          <w:rStyle w:val="Strong"/>
          <w:b w:val="0"/>
          <w:bCs w:val="0"/>
          <w:szCs w:val="18"/>
        </w:rPr>
        <w:t xml:space="preserve">. </w:t>
      </w:r>
      <w:r w:rsidRPr="0088177C">
        <w:rPr>
          <w:color w:val="000000" w:themeColor="text1"/>
        </w:rPr>
        <w:t xml:space="preserve"> Previously </w:t>
      </w:r>
      <w:r w:rsidRPr="0088177C">
        <w:rPr>
          <w:rStyle w:val="Strong"/>
          <w:b w:val="0"/>
          <w:bCs w:val="0"/>
          <w:i/>
          <w:iCs/>
          <w:color w:val="000000" w:themeColor="text1"/>
        </w:rPr>
        <w:t>multiple-business agreements</w:t>
      </w:r>
      <w:r w:rsidRPr="0088177C">
        <w:rPr>
          <w:rStyle w:val="Strong"/>
          <w:b w:val="0"/>
          <w:bCs w:val="0"/>
          <w:color w:val="000000" w:themeColor="text1"/>
        </w:rPr>
        <w:t xml:space="preserve"> were allowed to be made but required </w:t>
      </w:r>
      <w:proofErr w:type="spellStart"/>
      <w:r w:rsidRPr="0088177C">
        <w:rPr>
          <w:rStyle w:val="Strong"/>
          <w:b w:val="0"/>
          <w:bCs w:val="0"/>
          <w:color w:val="000000" w:themeColor="text1"/>
        </w:rPr>
        <w:t>authorisation</w:t>
      </w:r>
      <w:proofErr w:type="spellEnd"/>
      <w:r w:rsidRPr="0088177C">
        <w:rPr>
          <w:rStyle w:val="Strong"/>
          <w:b w:val="0"/>
          <w:bCs w:val="0"/>
          <w:color w:val="000000" w:themeColor="text1"/>
        </w:rPr>
        <w:t xml:space="preserve"> from the Workplace Authority on application from an employer.</w:t>
      </w:r>
      <w:r w:rsidRPr="0088177C">
        <w:rPr>
          <w:rStyle w:val="FootnoteReference"/>
          <w:color w:val="000000" w:themeColor="text1"/>
        </w:rPr>
        <w:footnoteReference w:id="28"/>
      </w:r>
    </w:p>
    <w:p w14:paraId="58139A22" w14:textId="3E3BE370" w:rsidR="00E95A46" w:rsidRDefault="005438FC" w:rsidP="0088177C">
      <w:pPr>
        <w:pStyle w:val="NoSpacing"/>
        <w:spacing w:beforeLines="60" w:before="144" w:line="300" w:lineRule="auto"/>
        <w:rPr>
          <w:rFonts w:cs="Times New Roman"/>
          <w:color w:val="000000" w:themeColor="text1"/>
          <w:lang w:val="en-GB"/>
        </w:rPr>
      </w:pPr>
      <w:r w:rsidRPr="0088177C">
        <w:rPr>
          <w:rFonts w:cs="Times New Roman"/>
          <w:color w:val="000000" w:themeColor="text1"/>
          <w:lang w:val="en-GB"/>
        </w:rPr>
        <w:t xml:space="preserve">Now, under the </w:t>
      </w:r>
      <w:r w:rsidRPr="00D93524">
        <w:rPr>
          <w:rFonts w:cs="Times New Roman"/>
          <w:i/>
          <w:iCs/>
          <w:color w:val="000000" w:themeColor="text1"/>
          <w:lang w:val="en-GB"/>
        </w:rPr>
        <w:t>FWA</w:t>
      </w:r>
      <w:r w:rsidRPr="0088177C">
        <w:rPr>
          <w:rFonts w:cs="Times New Roman"/>
          <w:color w:val="000000" w:themeColor="text1"/>
          <w:lang w:val="en-GB"/>
        </w:rPr>
        <w:t>, employees and employers</w:t>
      </w:r>
      <w:r w:rsidR="00D93524">
        <w:rPr>
          <w:rFonts w:cs="Times New Roman"/>
          <w:color w:val="000000" w:themeColor="text1"/>
          <w:lang w:val="en-GB"/>
        </w:rPr>
        <w:t xml:space="preserve"> who</w:t>
      </w:r>
      <w:r w:rsidRPr="0088177C">
        <w:rPr>
          <w:rFonts w:cs="Times New Roman"/>
          <w:color w:val="000000" w:themeColor="text1"/>
          <w:lang w:val="en-GB"/>
        </w:rPr>
        <w:t xml:space="preserve"> genuinely wish to bargain on a multi-employer basis</w:t>
      </w:r>
      <w:r w:rsidR="00261660">
        <w:rPr>
          <w:rFonts w:cs="Times New Roman"/>
          <w:color w:val="000000" w:themeColor="text1"/>
          <w:lang w:val="en-GB"/>
        </w:rPr>
        <w:t xml:space="preserve"> are free to do so. However,</w:t>
      </w:r>
      <w:r w:rsidRPr="0088177C">
        <w:rPr>
          <w:rFonts w:cs="Times New Roman"/>
          <w:color w:val="000000" w:themeColor="text1"/>
          <w:lang w:val="en-GB"/>
        </w:rPr>
        <w:t xml:space="preserve"> </w:t>
      </w:r>
      <w:r w:rsidR="005F09D9">
        <w:rPr>
          <w:rFonts w:cs="Times New Roman"/>
          <w:color w:val="000000" w:themeColor="text1"/>
          <w:lang w:val="en-GB"/>
        </w:rPr>
        <w:t>there are very few M</w:t>
      </w:r>
      <w:r w:rsidR="00B24AB5">
        <w:rPr>
          <w:rFonts w:cs="Times New Roman"/>
          <w:color w:val="000000" w:themeColor="text1"/>
          <w:lang w:val="en-GB"/>
        </w:rPr>
        <w:t>EAs currently in place</w:t>
      </w:r>
      <w:r w:rsidR="0029076F">
        <w:rPr>
          <w:rFonts w:cs="Times New Roman"/>
          <w:color w:val="000000" w:themeColor="text1"/>
          <w:lang w:val="en-GB"/>
        </w:rPr>
        <w:t>: o</w:t>
      </w:r>
      <w:r w:rsidR="00B24AB5">
        <w:rPr>
          <w:rFonts w:cs="Times New Roman"/>
          <w:color w:val="000000" w:themeColor="text1"/>
          <w:lang w:val="en-GB"/>
        </w:rPr>
        <w:t xml:space="preserve">nly </w:t>
      </w:r>
      <w:r w:rsidR="006C304E">
        <w:rPr>
          <w:rFonts w:cs="Times New Roman"/>
          <w:color w:val="000000" w:themeColor="text1"/>
          <w:lang w:val="en-GB"/>
        </w:rPr>
        <w:t>5</w:t>
      </w:r>
      <w:r w:rsidR="00E95A46">
        <w:rPr>
          <w:rFonts w:cs="Times New Roman"/>
          <w:color w:val="000000" w:themeColor="text1"/>
          <w:lang w:val="en-GB"/>
        </w:rPr>
        <w:t xml:space="preserve">1 at the end of the June quarter covering </w:t>
      </w:r>
      <w:r w:rsidR="0029076F">
        <w:rPr>
          <w:rFonts w:cs="Times New Roman"/>
          <w:color w:val="000000" w:themeColor="text1"/>
          <w:lang w:val="en-GB"/>
        </w:rPr>
        <w:t>just</w:t>
      </w:r>
      <w:r w:rsidR="00E95A46">
        <w:rPr>
          <w:rFonts w:cs="Times New Roman"/>
          <w:color w:val="000000" w:themeColor="text1"/>
          <w:lang w:val="en-GB"/>
        </w:rPr>
        <w:t xml:space="preserve"> 50,500 workers.</w:t>
      </w:r>
      <w:r w:rsidR="00286210">
        <w:rPr>
          <w:rStyle w:val="FootnoteReference"/>
          <w:rFonts w:cs="Times New Roman"/>
          <w:color w:val="000000" w:themeColor="text1"/>
          <w:lang w:val="en-GB"/>
        </w:rPr>
        <w:footnoteReference w:id="29"/>
      </w:r>
      <w:r w:rsidR="00E95A46">
        <w:rPr>
          <w:rFonts w:cs="Times New Roman"/>
          <w:color w:val="000000" w:themeColor="text1"/>
          <w:lang w:val="en-GB"/>
        </w:rPr>
        <w:t xml:space="preserve"> </w:t>
      </w:r>
    </w:p>
    <w:p w14:paraId="6FF94DCD" w14:textId="035C03F6" w:rsidR="00AB22C5" w:rsidRPr="00261660" w:rsidRDefault="002B1C56" w:rsidP="0088177C">
      <w:pPr>
        <w:pStyle w:val="NoSpacing"/>
        <w:spacing w:beforeLines="60" w:before="144" w:line="300" w:lineRule="auto"/>
        <w:rPr>
          <w:rFonts w:cs="Times New Roman"/>
          <w:color w:val="000000" w:themeColor="text1"/>
          <w:lang w:val="en-GB"/>
        </w:rPr>
      </w:pPr>
      <w:r>
        <w:rPr>
          <w:rFonts w:cs="Times New Roman"/>
          <w:color w:val="000000" w:themeColor="text1"/>
          <w:lang w:val="en-GB"/>
        </w:rPr>
        <w:t xml:space="preserve">This is likely due to the restrictions on the parties negotiating </w:t>
      </w:r>
      <w:proofErr w:type="spellStart"/>
      <w:r>
        <w:rPr>
          <w:rFonts w:cs="Times New Roman"/>
          <w:color w:val="000000" w:themeColor="text1"/>
          <w:lang w:val="en-GB"/>
        </w:rPr>
        <w:t>MEA</w:t>
      </w:r>
      <w:r w:rsidR="006004F6">
        <w:rPr>
          <w:rFonts w:cs="Times New Roman"/>
          <w:color w:val="000000" w:themeColor="text1"/>
          <w:lang w:val="en-GB"/>
        </w:rPr>
        <w:t>s</w:t>
      </w:r>
      <w:r w:rsidR="00DA77A6">
        <w:rPr>
          <w:rFonts w:cs="Times New Roman"/>
          <w:color w:val="000000" w:themeColor="text1"/>
          <w:lang w:val="en-GB"/>
        </w:rPr>
        <w:t>.</w:t>
      </w:r>
      <w:proofErr w:type="spellEnd"/>
      <w:r w:rsidR="00DA77A6">
        <w:rPr>
          <w:rFonts w:cs="Times New Roman"/>
          <w:color w:val="000000" w:themeColor="text1"/>
          <w:lang w:val="en-GB"/>
        </w:rPr>
        <w:t xml:space="preserve"> These include that</w:t>
      </w:r>
      <w:r w:rsidR="001D07CF">
        <w:rPr>
          <w:rFonts w:cs="Times New Roman"/>
          <w:color w:val="000000" w:themeColor="text1"/>
          <w:lang w:val="en-GB"/>
        </w:rPr>
        <w:t xml:space="preserve">: </w:t>
      </w:r>
    </w:p>
    <w:p w14:paraId="1A7C31B8" w14:textId="62CA02F6" w:rsidR="005438FC" w:rsidRPr="0088177C" w:rsidRDefault="005438FC" w:rsidP="00AB22C5">
      <w:pPr>
        <w:pStyle w:val="NoSpacing"/>
        <w:numPr>
          <w:ilvl w:val="0"/>
          <w:numId w:val="30"/>
        </w:numPr>
        <w:spacing w:beforeLines="60" w:before="144" w:line="300" w:lineRule="auto"/>
        <w:rPr>
          <w:rFonts w:cs="Times New Roman"/>
          <w:color w:val="000000" w:themeColor="text1"/>
          <w:lang w:val="en-GB"/>
        </w:rPr>
      </w:pPr>
      <w:r w:rsidRPr="0088177C">
        <w:rPr>
          <w:rFonts w:cs="Times New Roman"/>
          <w:color w:val="000000" w:themeColor="text1"/>
          <w:lang w:val="en-GB"/>
        </w:rPr>
        <w:t>t</w:t>
      </w:r>
      <w:r w:rsidR="006004F6">
        <w:rPr>
          <w:rFonts w:cs="Times New Roman"/>
          <w:color w:val="000000" w:themeColor="text1"/>
          <w:lang w:val="en-GB"/>
        </w:rPr>
        <w:t>he</w:t>
      </w:r>
      <w:r w:rsidRPr="0088177C">
        <w:rPr>
          <w:rFonts w:cs="Times New Roman"/>
          <w:color w:val="000000" w:themeColor="text1"/>
          <w:lang w:val="en-GB"/>
        </w:rPr>
        <w:t xml:space="preserve"> stream is entirely </w:t>
      </w:r>
      <w:proofErr w:type="gramStart"/>
      <w:r w:rsidRPr="0088177C">
        <w:rPr>
          <w:rFonts w:cs="Times New Roman"/>
          <w:color w:val="000000" w:themeColor="text1"/>
          <w:lang w:val="en-GB"/>
        </w:rPr>
        <w:t>voluntary</w:t>
      </w:r>
      <w:r w:rsidR="006004F6">
        <w:rPr>
          <w:rFonts w:cs="Times New Roman"/>
          <w:color w:val="000000" w:themeColor="text1"/>
          <w:lang w:val="en-GB"/>
        </w:rPr>
        <w:t>;</w:t>
      </w:r>
      <w:proofErr w:type="gramEnd"/>
      <w:r w:rsidRPr="0088177C">
        <w:rPr>
          <w:rFonts w:cs="Times New Roman"/>
          <w:color w:val="000000" w:themeColor="text1"/>
          <w:lang w:val="en-GB"/>
        </w:rPr>
        <w:t xml:space="preserve"> </w:t>
      </w:r>
    </w:p>
    <w:p w14:paraId="298C0E3A" w14:textId="7C98FAA1" w:rsidR="005438FC" w:rsidRPr="0088177C" w:rsidRDefault="005438FC" w:rsidP="00AB22C5">
      <w:pPr>
        <w:pStyle w:val="NoSpacing"/>
        <w:numPr>
          <w:ilvl w:val="0"/>
          <w:numId w:val="30"/>
        </w:numPr>
        <w:spacing w:beforeLines="60" w:before="144" w:line="300" w:lineRule="auto"/>
        <w:rPr>
          <w:rFonts w:cs="Times New Roman"/>
          <w:color w:val="000000" w:themeColor="text1"/>
          <w:lang w:val="en-GB"/>
        </w:rPr>
      </w:pPr>
      <w:r w:rsidRPr="0088177C">
        <w:rPr>
          <w:rFonts w:cs="Times New Roman"/>
          <w:color w:val="000000" w:themeColor="text1"/>
          <w:lang w:val="en-GB"/>
        </w:rPr>
        <w:t xml:space="preserve">protected action is not </w:t>
      </w:r>
      <w:proofErr w:type="gramStart"/>
      <w:r w:rsidRPr="0088177C">
        <w:rPr>
          <w:rFonts w:cs="Times New Roman"/>
          <w:color w:val="000000" w:themeColor="text1"/>
          <w:lang w:val="en-GB"/>
        </w:rPr>
        <w:t>available</w:t>
      </w:r>
      <w:r w:rsidR="006004F6">
        <w:rPr>
          <w:rFonts w:cs="Times New Roman"/>
          <w:color w:val="000000" w:themeColor="text1"/>
          <w:lang w:val="en-GB"/>
        </w:rPr>
        <w:t>;</w:t>
      </w:r>
      <w:proofErr w:type="gramEnd"/>
    </w:p>
    <w:p w14:paraId="7D0A8B40" w14:textId="13D3DA44" w:rsidR="005438FC" w:rsidRPr="0088177C" w:rsidRDefault="005438FC" w:rsidP="00AB22C5">
      <w:pPr>
        <w:pStyle w:val="NoSpacing"/>
        <w:numPr>
          <w:ilvl w:val="0"/>
          <w:numId w:val="30"/>
        </w:numPr>
        <w:spacing w:beforeLines="60" w:before="144" w:line="300" w:lineRule="auto"/>
        <w:rPr>
          <w:rFonts w:cs="Times New Roman"/>
          <w:color w:val="000000" w:themeColor="text1"/>
          <w:lang w:val="en-GB"/>
        </w:rPr>
      </w:pPr>
      <w:r w:rsidRPr="0088177C">
        <w:rPr>
          <w:rFonts w:cs="Times New Roman"/>
          <w:color w:val="000000" w:themeColor="text1"/>
          <w:lang w:val="en-GB"/>
        </w:rPr>
        <w:t xml:space="preserve">bargaining orders are not </w:t>
      </w:r>
      <w:proofErr w:type="gramStart"/>
      <w:r w:rsidRPr="0088177C">
        <w:rPr>
          <w:rFonts w:cs="Times New Roman"/>
          <w:color w:val="000000" w:themeColor="text1"/>
          <w:lang w:val="en-GB"/>
        </w:rPr>
        <w:t>available</w:t>
      </w:r>
      <w:r w:rsidR="006004F6">
        <w:rPr>
          <w:rFonts w:cs="Times New Roman"/>
          <w:color w:val="000000" w:themeColor="text1"/>
          <w:lang w:val="en-GB"/>
        </w:rPr>
        <w:t>;</w:t>
      </w:r>
      <w:proofErr w:type="gramEnd"/>
    </w:p>
    <w:p w14:paraId="188D21B2" w14:textId="41692C35" w:rsidR="005438FC" w:rsidRPr="0088177C" w:rsidRDefault="005438FC" w:rsidP="00AB22C5">
      <w:pPr>
        <w:pStyle w:val="NoSpacing"/>
        <w:numPr>
          <w:ilvl w:val="0"/>
          <w:numId w:val="30"/>
        </w:numPr>
        <w:spacing w:beforeLines="60" w:before="144" w:line="300" w:lineRule="auto"/>
        <w:rPr>
          <w:rFonts w:cs="Times New Roman"/>
          <w:color w:val="000000" w:themeColor="text1"/>
          <w:lang w:val="en-GB"/>
        </w:rPr>
      </w:pPr>
      <w:r w:rsidRPr="0088177C">
        <w:rPr>
          <w:rFonts w:cs="Times New Roman"/>
          <w:color w:val="000000" w:themeColor="text1"/>
          <w:lang w:val="en-GB"/>
        </w:rPr>
        <w:t xml:space="preserve">scope orders and majority support orders are not </w:t>
      </w:r>
      <w:proofErr w:type="gramStart"/>
      <w:r w:rsidRPr="0088177C">
        <w:rPr>
          <w:rFonts w:cs="Times New Roman"/>
          <w:color w:val="000000" w:themeColor="text1"/>
          <w:lang w:val="en-GB"/>
        </w:rPr>
        <w:t>available</w:t>
      </w:r>
      <w:r w:rsidR="006004F6">
        <w:rPr>
          <w:rFonts w:cs="Times New Roman"/>
          <w:color w:val="000000" w:themeColor="text1"/>
          <w:lang w:val="en-GB"/>
        </w:rPr>
        <w:t>;</w:t>
      </w:r>
      <w:proofErr w:type="gramEnd"/>
    </w:p>
    <w:p w14:paraId="79525E7C" w14:textId="6CEA861F" w:rsidR="005438FC" w:rsidRPr="0088177C" w:rsidRDefault="005438FC" w:rsidP="00AB22C5">
      <w:pPr>
        <w:pStyle w:val="NoSpacing"/>
        <w:numPr>
          <w:ilvl w:val="0"/>
          <w:numId w:val="30"/>
        </w:numPr>
        <w:spacing w:beforeLines="60" w:before="144" w:line="300" w:lineRule="auto"/>
        <w:rPr>
          <w:rFonts w:cs="Times New Roman"/>
          <w:color w:val="000000" w:themeColor="text1"/>
          <w:lang w:val="en-GB"/>
        </w:rPr>
      </w:pPr>
      <w:r w:rsidRPr="0088177C">
        <w:rPr>
          <w:rFonts w:cs="Times New Roman"/>
          <w:color w:val="000000" w:themeColor="text1"/>
          <w:lang w:val="en-GB"/>
        </w:rPr>
        <w:t>good faith requirements are applicable to MEAs but there is no mechanism to enforce them</w:t>
      </w:r>
      <w:r w:rsidR="006004F6">
        <w:rPr>
          <w:rFonts w:cs="Times New Roman"/>
          <w:color w:val="000000" w:themeColor="text1"/>
          <w:lang w:val="en-GB"/>
        </w:rPr>
        <w:t>; and</w:t>
      </w:r>
    </w:p>
    <w:p w14:paraId="3D96D0F4" w14:textId="29937483" w:rsidR="005438FC" w:rsidRPr="00AB22C5" w:rsidRDefault="005438FC" w:rsidP="0088177C">
      <w:pPr>
        <w:pStyle w:val="NoSpacing"/>
        <w:numPr>
          <w:ilvl w:val="0"/>
          <w:numId w:val="30"/>
        </w:numPr>
        <w:spacing w:beforeLines="60" w:before="144" w:line="300" w:lineRule="auto"/>
        <w:rPr>
          <w:rFonts w:cs="Times New Roman"/>
          <w:color w:val="000000" w:themeColor="text1"/>
          <w:lang w:val="en-GB"/>
        </w:rPr>
      </w:pPr>
      <w:r w:rsidRPr="0088177C">
        <w:rPr>
          <w:rFonts w:cs="Times New Roman"/>
          <w:color w:val="000000" w:themeColor="text1"/>
          <w:lang w:val="en-GB"/>
        </w:rPr>
        <w:t>the FWC must not approve an agreement unless it is satisfied it was genuinely agreed to by each employer.</w:t>
      </w:r>
    </w:p>
    <w:p w14:paraId="558A15F9" w14:textId="43841DC4" w:rsidR="005438FC" w:rsidRPr="00AB22C5" w:rsidRDefault="00AB22C5" w:rsidP="0088177C">
      <w:pPr>
        <w:pStyle w:val="NoSpacing"/>
        <w:spacing w:beforeLines="60" w:before="144" w:line="300" w:lineRule="auto"/>
        <w:rPr>
          <w:color w:val="000000" w:themeColor="text1"/>
        </w:rPr>
      </w:pPr>
      <w:r w:rsidRPr="00AB22C5">
        <w:rPr>
          <w:color w:val="000000" w:themeColor="text1"/>
        </w:rPr>
        <w:t>Whilst b</w:t>
      </w:r>
      <w:r w:rsidR="005438FC" w:rsidRPr="00AB22C5">
        <w:rPr>
          <w:color w:val="000000" w:themeColor="text1"/>
        </w:rPr>
        <w:t xml:space="preserve">argaining representatives </w:t>
      </w:r>
      <w:r w:rsidR="001D07CF">
        <w:rPr>
          <w:color w:val="000000" w:themeColor="text1"/>
        </w:rPr>
        <w:t>who are negotiating</w:t>
      </w:r>
      <w:r w:rsidR="005438FC" w:rsidRPr="00AB22C5">
        <w:rPr>
          <w:color w:val="000000" w:themeColor="text1"/>
        </w:rPr>
        <w:t xml:space="preserve"> both </w:t>
      </w:r>
      <w:r w:rsidRPr="00AB22C5">
        <w:rPr>
          <w:color w:val="000000" w:themeColor="text1"/>
        </w:rPr>
        <w:t>SEAs</w:t>
      </w:r>
      <w:r w:rsidR="005438FC" w:rsidRPr="00AB22C5">
        <w:rPr>
          <w:color w:val="000000" w:themeColor="text1"/>
        </w:rPr>
        <w:t xml:space="preserve"> and </w:t>
      </w:r>
      <w:r w:rsidRPr="00AB22C5">
        <w:rPr>
          <w:color w:val="000000" w:themeColor="text1"/>
        </w:rPr>
        <w:t>MEAs</w:t>
      </w:r>
      <w:r w:rsidR="005438FC" w:rsidRPr="00AB22C5">
        <w:rPr>
          <w:color w:val="000000" w:themeColor="text1"/>
        </w:rPr>
        <w:t xml:space="preserve"> must meet the good faith bargaining requirements</w:t>
      </w:r>
      <w:r w:rsidRPr="00AB22C5">
        <w:rPr>
          <w:color w:val="000000" w:themeColor="text1"/>
        </w:rPr>
        <w:t>,</w:t>
      </w:r>
      <w:r w:rsidR="005438FC" w:rsidRPr="00AB22C5">
        <w:rPr>
          <w:rStyle w:val="FootnoteReference"/>
          <w:color w:val="000000" w:themeColor="text1"/>
        </w:rPr>
        <w:footnoteReference w:id="30"/>
      </w:r>
      <w:r w:rsidR="005438FC" w:rsidRPr="00AB22C5">
        <w:rPr>
          <w:color w:val="000000" w:themeColor="text1"/>
        </w:rPr>
        <w:t xml:space="preserve"> apart from in the low-paid bargaining stream, a bargaining representative for a MEA cannot make an application for a bargaining order where there is a breach of good faith bargaining</w:t>
      </w:r>
      <w:r w:rsidRPr="00AB22C5">
        <w:rPr>
          <w:color w:val="000000" w:themeColor="text1"/>
        </w:rPr>
        <w:t>.</w:t>
      </w:r>
      <w:r w:rsidRPr="00AB22C5">
        <w:rPr>
          <w:rStyle w:val="FootnoteReference"/>
          <w:color w:val="000000" w:themeColor="text1"/>
        </w:rPr>
        <w:footnoteReference w:id="31"/>
      </w:r>
      <w:r w:rsidR="005438FC" w:rsidRPr="00AB22C5">
        <w:rPr>
          <w:color w:val="000000" w:themeColor="text1"/>
        </w:rPr>
        <w:t xml:space="preserve"> </w:t>
      </w:r>
    </w:p>
    <w:p w14:paraId="2D79E06D" w14:textId="7C285017" w:rsidR="005438FC" w:rsidRPr="0088177C" w:rsidRDefault="005438FC" w:rsidP="0088177C">
      <w:pPr>
        <w:pStyle w:val="NoSpacing"/>
        <w:spacing w:beforeLines="60" w:before="144" w:line="300" w:lineRule="auto"/>
        <w:rPr>
          <w:color w:val="000000" w:themeColor="text1"/>
        </w:rPr>
      </w:pPr>
      <w:r w:rsidRPr="00AB22C5">
        <w:rPr>
          <w:color w:val="000000" w:themeColor="text1"/>
        </w:rPr>
        <w:t>This means there is no support available</w:t>
      </w:r>
      <w:r w:rsidR="00AB22C5" w:rsidRPr="00AB22C5">
        <w:rPr>
          <w:color w:val="000000" w:themeColor="text1"/>
        </w:rPr>
        <w:t xml:space="preserve"> from the Fair Work Commission (‘FWC’)</w:t>
      </w:r>
      <w:r w:rsidRPr="00AB22C5">
        <w:rPr>
          <w:color w:val="000000" w:themeColor="text1"/>
        </w:rPr>
        <w:t xml:space="preserve"> </w:t>
      </w:r>
      <w:r w:rsidRPr="0088177C">
        <w:rPr>
          <w:color w:val="000000" w:themeColor="text1"/>
        </w:rPr>
        <w:t>where parties are not meeting these good-faith requirements.</w:t>
      </w:r>
      <w:r w:rsidR="00AB22C5">
        <w:rPr>
          <w:color w:val="000000" w:themeColor="text1"/>
        </w:rPr>
        <w:t xml:space="preserve"> The core element of a statutory tribunal with </w:t>
      </w:r>
      <w:r w:rsidR="00AB22C5" w:rsidRPr="006004F6">
        <w:rPr>
          <w:color w:val="000000" w:themeColor="text1"/>
          <w:u w:val="single"/>
        </w:rPr>
        <w:t>compulsory powers</w:t>
      </w:r>
      <w:r w:rsidR="00AB22C5">
        <w:rPr>
          <w:color w:val="000000" w:themeColor="text1"/>
        </w:rPr>
        <w:t xml:space="preserve"> is omitted from these provisions. </w:t>
      </w:r>
    </w:p>
    <w:p w14:paraId="3551F5A0" w14:textId="597D2CA4" w:rsidR="005438FC" w:rsidRDefault="00FE39D0" w:rsidP="0088177C">
      <w:pPr>
        <w:pStyle w:val="NoSpacing"/>
        <w:spacing w:beforeLines="60" w:before="144" w:line="300" w:lineRule="auto"/>
        <w:rPr>
          <w:color w:val="000000" w:themeColor="text1"/>
        </w:rPr>
      </w:pPr>
      <w:r>
        <w:rPr>
          <w:color w:val="000000" w:themeColor="text1"/>
        </w:rPr>
        <w:t>Workers are prohibited from taking</w:t>
      </w:r>
      <w:r w:rsidR="005438FC" w:rsidRPr="0088177C">
        <w:rPr>
          <w:color w:val="000000" w:themeColor="text1"/>
        </w:rPr>
        <w:t xml:space="preserve"> protected industrial action</w:t>
      </w:r>
      <w:r w:rsidR="00EE18D5">
        <w:rPr>
          <w:color w:val="000000" w:themeColor="text1"/>
        </w:rPr>
        <w:t xml:space="preserve"> in relation to an MEA</w:t>
      </w:r>
      <w:r w:rsidR="00DA11A7">
        <w:rPr>
          <w:color w:val="000000" w:themeColor="text1"/>
        </w:rPr>
        <w:t>,</w:t>
      </w:r>
      <w:r w:rsidR="00EE18D5" w:rsidRPr="00EE18D5">
        <w:rPr>
          <w:rStyle w:val="FootnoteReference"/>
          <w:color w:val="000000" w:themeColor="text1"/>
        </w:rPr>
        <w:t xml:space="preserve"> </w:t>
      </w:r>
      <w:r w:rsidR="00EE18D5" w:rsidRPr="0088177C">
        <w:rPr>
          <w:rStyle w:val="FootnoteReference"/>
          <w:color w:val="000000" w:themeColor="text1"/>
        </w:rPr>
        <w:footnoteReference w:id="32"/>
      </w:r>
      <w:r w:rsidR="00DA11A7">
        <w:rPr>
          <w:color w:val="000000" w:themeColor="text1"/>
        </w:rPr>
        <w:t xml:space="preserve"> meaning they have no final lever</w:t>
      </w:r>
      <w:r w:rsidR="00EE18D5">
        <w:rPr>
          <w:color w:val="000000" w:themeColor="text1"/>
        </w:rPr>
        <w:t xml:space="preserve"> to rely on in negotiations. </w:t>
      </w:r>
      <w:r w:rsidR="002C290B">
        <w:rPr>
          <w:color w:val="000000" w:themeColor="text1"/>
        </w:rPr>
        <w:t xml:space="preserve"> </w:t>
      </w:r>
      <w:r w:rsidR="00EE18D5">
        <w:rPr>
          <w:color w:val="000000" w:themeColor="text1"/>
        </w:rPr>
        <w:t xml:space="preserve">The right to strike is </w:t>
      </w:r>
      <w:proofErr w:type="spellStart"/>
      <w:r w:rsidR="00EE18D5">
        <w:rPr>
          <w:color w:val="000000" w:themeColor="text1"/>
        </w:rPr>
        <w:t>recogni</w:t>
      </w:r>
      <w:r w:rsidR="00236718">
        <w:rPr>
          <w:color w:val="000000" w:themeColor="text1"/>
        </w:rPr>
        <w:t>s</w:t>
      </w:r>
      <w:r w:rsidR="00EE18D5">
        <w:rPr>
          <w:color w:val="000000" w:themeColor="text1"/>
        </w:rPr>
        <w:t>ed</w:t>
      </w:r>
      <w:proofErr w:type="spellEnd"/>
      <w:r w:rsidR="00EE18D5">
        <w:rPr>
          <w:color w:val="000000" w:themeColor="text1"/>
        </w:rPr>
        <w:t xml:space="preserve"> by the ILO</w:t>
      </w:r>
      <w:r w:rsidR="00236718">
        <w:rPr>
          <w:color w:val="000000" w:themeColor="text1"/>
        </w:rPr>
        <w:t xml:space="preserve"> as an intrinsic corollary </w:t>
      </w:r>
      <w:r w:rsidR="009C3860">
        <w:rPr>
          <w:color w:val="000000" w:themeColor="text1"/>
        </w:rPr>
        <w:t>of</w:t>
      </w:r>
      <w:r w:rsidR="00236718">
        <w:rPr>
          <w:color w:val="000000" w:themeColor="text1"/>
        </w:rPr>
        <w:t xml:space="preserve"> the right to </w:t>
      </w:r>
      <w:r w:rsidR="005E4CEA">
        <w:rPr>
          <w:color w:val="000000" w:themeColor="text1"/>
        </w:rPr>
        <w:t>organi</w:t>
      </w:r>
      <w:r w:rsidR="009C3860">
        <w:rPr>
          <w:color w:val="000000" w:themeColor="text1"/>
        </w:rPr>
        <w:t>s</w:t>
      </w:r>
      <w:r w:rsidR="005E4CEA">
        <w:rPr>
          <w:color w:val="000000" w:themeColor="text1"/>
        </w:rPr>
        <w:t>e, protected under</w:t>
      </w:r>
      <w:r w:rsidR="00EE18D5">
        <w:rPr>
          <w:color w:val="000000" w:themeColor="text1"/>
        </w:rPr>
        <w:t xml:space="preserve"> </w:t>
      </w:r>
      <w:r w:rsidR="005E4CEA">
        <w:rPr>
          <w:color w:val="000000" w:themeColor="text1"/>
        </w:rPr>
        <w:t>art 11 of the</w:t>
      </w:r>
      <w:r w:rsidR="00EE18D5">
        <w:rPr>
          <w:color w:val="000000" w:themeColor="text1"/>
        </w:rPr>
        <w:t xml:space="preserve"> </w:t>
      </w:r>
      <w:r w:rsidR="00EE18D5" w:rsidRPr="005E4CEA">
        <w:rPr>
          <w:i/>
          <w:iCs/>
          <w:color w:val="000000" w:themeColor="text1"/>
        </w:rPr>
        <w:t>Freedom of Association and Protection of the Right to Organise Convention 1948</w:t>
      </w:r>
      <w:r w:rsidR="00EE18D5">
        <w:rPr>
          <w:color w:val="000000" w:themeColor="text1"/>
        </w:rPr>
        <w:t xml:space="preserve"> (No 87)</w:t>
      </w:r>
      <w:r w:rsidR="003D39B6">
        <w:rPr>
          <w:color w:val="000000" w:themeColor="text1"/>
        </w:rPr>
        <w:t>,</w:t>
      </w:r>
      <w:r w:rsidR="006F46D1">
        <w:rPr>
          <w:color w:val="000000" w:themeColor="text1"/>
        </w:rPr>
        <w:t xml:space="preserve"> </w:t>
      </w:r>
      <w:r w:rsidR="003D39B6">
        <w:rPr>
          <w:color w:val="000000" w:themeColor="text1"/>
        </w:rPr>
        <w:t>which Australia ratified in 1973</w:t>
      </w:r>
      <w:r w:rsidR="00674B63">
        <w:rPr>
          <w:color w:val="000000" w:themeColor="text1"/>
        </w:rPr>
        <w:t>.</w:t>
      </w:r>
      <w:r w:rsidR="005E4CEA">
        <w:rPr>
          <w:color w:val="000000" w:themeColor="text1"/>
        </w:rPr>
        <w:t xml:space="preserve"> </w:t>
      </w:r>
      <w:r w:rsidR="002C290B">
        <w:rPr>
          <w:color w:val="000000" w:themeColor="text1"/>
        </w:rPr>
        <w:t xml:space="preserve"> </w:t>
      </w:r>
      <w:r w:rsidR="005E4CEA">
        <w:rPr>
          <w:color w:val="000000" w:themeColor="text1"/>
        </w:rPr>
        <w:t>It is also provided for at art</w:t>
      </w:r>
      <w:r w:rsidR="0029076F">
        <w:rPr>
          <w:color w:val="000000" w:themeColor="text1"/>
        </w:rPr>
        <w:t>icle</w:t>
      </w:r>
      <w:r w:rsidR="005E4CEA">
        <w:rPr>
          <w:color w:val="000000" w:themeColor="text1"/>
        </w:rPr>
        <w:t xml:space="preserve"> 8(1)(d) of the </w:t>
      </w:r>
      <w:r w:rsidR="005E4CEA" w:rsidRPr="008941F6">
        <w:rPr>
          <w:i/>
          <w:iCs/>
          <w:color w:val="000000" w:themeColor="text1"/>
        </w:rPr>
        <w:t>International Covena</w:t>
      </w:r>
      <w:r w:rsidR="00D65ECB" w:rsidRPr="008941F6">
        <w:rPr>
          <w:i/>
          <w:iCs/>
          <w:color w:val="000000" w:themeColor="text1"/>
        </w:rPr>
        <w:t>nt on Economic, Social and Cultural Rights</w:t>
      </w:r>
      <w:r w:rsidR="008941F6">
        <w:rPr>
          <w:color w:val="000000" w:themeColor="text1"/>
        </w:rPr>
        <w:t xml:space="preserve">, ratified by Australia in 1975. </w:t>
      </w:r>
    </w:p>
    <w:p w14:paraId="2448D651" w14:textId="322675EE" w:rsidR="005438FC" w:rsidRPr="0088177C" w:rsidRDefault="00916BC9" w:rsidP="0088177C">
      <w:pPr>
        <w:pStyle w:val="NoSpacing"/>
        <w:spacing w:beforeLines="60" w:before="144" w:line="300" w:lineRule="auto"/>
        <w:rPr>
          <w:color w:val="000000" w:themeColor="text1"/>
        </w:rPr>
      </w:pPr>
      <w:r>
        <w:rPr>
          <w:color w:val="000000" w:themeColor="text1"/>
        </w:rPr>
        <w:t>There is no compelling evidence</w:t>
      </w:r>
      <w:r w:rsidR="002C290B">
        <w:rPr>
          <w:color w:val="000000" w:themeColor="text1"/>
        </w:rPr>
        <w:t xml:space="preserve"> to our knowledge</w:t>
      </w:r>
      <w:r>
        <w:rPr>
          <w:color w:val="000000" w:themeColor="text1"/>
        </w:rPr>
        <w:t xml:space="preserve"> that multi-employer </w:t>
      </w:r>
      <w:r w:rsidR="002C290B">
        <w:rPr>
          <w:color w:val="000000" w:themeColor="text1"/>
        </w:rPr>
        <w:t>bargaining</w:t>
      </w:r>
      <w:r w:rsidR="00265BEA">
        <w:rPr>
          <w:color w:val="000000" w:themeColor="text1"/>
        </w:rPr>
        <w:t xml:space="preserve"> under the </w:t>
      </w:r>
      <w:r w:rsidR="00265BEA" w:rsidRPr="00265BEA">
        <w:rPr>
          <w:i/>
          <w:iCs/>
          <w:color w:val="000000" w:themeColor="text1"/>
        </w:rPr>
        <w:t>FWA</w:t>
      </w:r>
      <w:r>
        <w:rPr>
          <w:color w:val="000000" w:themeColor="text1"/>
        </w:rPr>
        <w:t xml:space="preserve"> has a negative effect on productivity o</w:t>
      </w:r>
      <w:r w:rsidR="002C290B">
        <w:rPr>
          <w:color w:val="000000" w:themeColor="text1"/>
        </w:rPr>
        <w:t>r on</w:t>
      </w:r>
      <w:r>
        <w:rPr>
          <w:color w:val="000000" w:themeColor="text1"/>
        </w:rPr>
        <w:t xml:space="preserve"> the national economy. </w:t>
      </w:r>
      <w:r w:rsidR="002C290B">
        <w:rPr>
          <w:color w:val="000000" w:themeColor="text1"/>
        </w:rPr>
        <w:t xml:space="preserve"> </w:t>
      </w:r>
      <w:r w:rsidR="00787E5E">
        <w:rPr>
          <w:color w:val="000000" w:themeColor="text1"/>
        </w:rPr>
        <w:t xml:space="preserve">To allow MEAs to be more </w:t>
      </w:r>
      <w:r w:rsidR="008A0761">
        <w:rPr>
          <w:color w:val="000000" w:themeColor="text1"/>
        </w:rPr>
        <w:t>accessible</w:t>
      </w:r>
      <w:r w:rsidR="00787E5E">
        <w:rPr>
          <w:color w:val="000000" w:themeColor="text1"/>
        </w:rPr>
        <w:t>, and hence agreement making to be more inclusive</w:t>
      </w:r>
      <w:r w:rsidR="002C290B">
        <w:rPr>
          <w:color w:val="000000" w:themeColor="text1"/>
        </w:rPr>
        <w:t>,</w:t>
      </w:r>
      <w:r w:rsidR="00103563">
        <w:rPr>
          <w:color w:val="000000" w:themeColor="text1"/>
        </w:rPr>
        <w:t xml:space="preserve"> </w:t>
      </w:r>
      <w:r w:rsidR="005438FC" w:rsidRPr="0088177C">
        <w:rPr>
          <w:color w:val="000000" w:themeColor="text1"/>
        </w:rPr>
        <w:t xml:space="preserve">assistance from the FWC </w:t>
      </w:r>
      <w:r w:rsidR="00103563">
        <w:rPr>
          <w:color w:val="000000" w:themeColor="text1"/>
        </w:rPr>
        <w:t>should be the same as that provided for in the</w:t>
      </w:r>
      <w:r w:rsidR="005438FC" w:rsidRPr="0088177C">
        <w:rPr>
          <w:color w:val="000000" w:themeColor="text1"/>
        </w:rPr>
        <w:t xml:space="preserve"> SEA stream</w:t>
      </w:r>
      <w:r w:rsidR="002C290B">
        <w:rPr>
          <w:color w:val="000000" w:themeColor="text1"/>
        </w:rPr>
        <w:t>. This should include:</w:t>
      </w:r>
      <w:r w:rsidR="005438FC" w:rsidRPr="0088177C">
        <w:rPr>
          <w:color w:val="000000" w:themeColor="text1"/>
        </w:rPr>
        <w:t xml:space="preserve"> </w:t>
      </w:r>
    </w:p>
    <w:p w14:paraId="19529714" w14:textId="04571635" w:rsidR="005438FC" w:rsidRPr="0088177C" w:rsidRDefault="005438FC" w:rsidP="008A0761">
      <w:pPr>
        <w:pStyle w:val="NoSpacing"/>
        <w:numPr>
          <w:ilvl w:val="0"/>
          <w:numId w:val="31"/>
        </w:numPr>
        <w:spacing w:beforeLines="60" w:before="144" w:line="300" w:lineRule="auto"/>
        <w:rPr>
          <w:color w:val="000000" w:themeColor="text1"/>
        </w:rPr>
      </w:pPr>
      <w:r w:rsidRPr="0088177C">
        <w:rPr>
          <w:color w:val="000000" w:themeColor="text1"/>
        </w:rPr>
        <w:t>an ability to compel employers to bar</w:t>
      </w:r>
      <w:r w:rsidR="002C290B">
        <w:rPr>
          <w:color w:val="000000" w:themeColor="text1"/>
        </w:rPr>
        <w:t>gain</w:t>
      </w:r>
      <w:r w:rsidRPr="0088177C">
        <w:rPr>
          <w:color w:val="000000" w:themeColor="text1"/>
        </w:rPr>
        <w:t xml:space="preserve"> using a majority support </w:t>
      </w:r>
      <w:proofErr w:type="gramStart"/>
      <w:r w:rsidRPr="0088177C">
        <w:rPr>
          <w:color w:val="000000" w:themeColor="text1"/>
        </w:rPr>
        <w:t>petition</w:t>
      </w:r>
      <w:r w:rsidR="00103563">
        <w:rPr>
          <w:color w:val="000000" w:themeColor="text1"/>
        </w:rPr>
        <w:t>;</w:t>
      </w:r>
      <w:proofErr w:type="gramEnd"/>
      <w:r w:rsidRPr="0088177C">
        <w:rPr>
          <w:color w:val="000000" w:themeColor="text1"/>
        </w:rPr>
        <w:t xml:space="preserve"> </w:t>
      </w:r>
    </w:p>
    <w:p w14:paraId="107A8FD8" w14:textId="2B223B5D" w:rsidR="005438FC" w:rsidRPr="0088177C" w:rsidRDefault="005438FC" w:rsidP="008A0761">
      <w:pPr>
        <w:pStyle w:val="NoSpacing"/>
        <w:numPr>
          <w:ilvl w:val="0"/>
          <w:numId w:val="31"/>
        </w:numPr>
        <w:spacing w:beforeLines="60" w:before="144" w:line="300" w:lineRule="auto"/>
        <w:rPr>
          <w:color w:val="000000" w:themeColor="text1"/>
        </w:rPr>
      </w:pPr>
      <w:r w:rsidRPr="0088177C">
        <w:rPr>
          <w:color w:val="000000" w:themeColor="text1"/>
        </w:rPr>
        <w:t>the availability of bargaining order</w:t>
      </w:r>
      <w:r w:rsidR="00103563">
        <w:rPr>
          <w:color w:val="000000" w:themeColor="text1"/>
        </w:rPr>
        <w:t>s</w:t>
      </w:r>
      <w:r w:rsidR="00B808C9">
        <w:rPr>
          <w:color w:val="000000" w:themeColor="text1"/>
        </w:rPr>
        <w:t xml:space="preserve"> (under the FWC’s compulsory powers)</w:t>
      </w:r>
      <w:r w:rsidRPr="0088177C">
        <w:rPr>
          <w:color w:val="000000" w:themeColor="text1"/>
        </w:rPr>
        <w:t xml:space="preserve">; and </w:t>
      </w:r>
    </w:p>
    <w:p w14:paraId="76B8C3BA" w14:textId="088709F3" w:rsidR="005438FC" w:rsidRPr="0088177C" w:rsidRDefault="005438FC" w:rsidP="008A0761">
      <w:pPr>
        <w:pStyle w:val="NoSpacing"/>
        <w:numPr>
          <w:ilvl w:val="0"/>
          <w:numId w:val="31"/>
        </w:numPr>
        <w:spacing w:beforeLines="60" w:before="144" w:line="300" w:lineRule="auto"/>
        <w:rPr>
          <w:color w:val="000000" w:themeColor="text1"/>
        </w:rPr>
      </w:pPr>
      <w:r w:rsidRPr="0088177C">
        <w:rPr>
          <w:color w:val="000000" w:themeColor="text1"/>
        </w:rPr>
        <w:t>the availability of protected industrial action</w:t>
      </w:r>
      <w:r w:rsidR="005B0BF3">
        <w:rPr>
          <w:color w:val="000000" w:themeColor="text1"/>
        </w:rPr>
        <w:t xml:space="preserve"> to allow workers to defend their social and economic rights. </w:t>
      </w:r>
    </w:p>
    <w:p w14:paraId="2C83D14D" w14:textId="77777777" w:rsidR="00E8537F" w:rsidRDefault="00E8537F">
      <w:pPr>
        <w:rPr>
          <w:rFonts w:ascii="Avenir Book" w:eastAsiaTheme="minorEastAsia" w:hAnsi="Avenir Book" w:cs="Times New Roman (Body CS)"/>
          <w:b/>
          <w:bCs/>
          <w:color w:val="9D825C"/>
          <w:sz w:val="22"/>
          <w:szCs w:val="22"/>
          <w:lang w:val="en-GB" w:eastAsia="zh-CN"/>
        </w:rPr>
      </w:pPr>
      <w:r>
        <w:rPr>
          <w:b/>
          <w:bCs/>
          <w:color w:val="9D825C"/>
          <w:lang w:val="en-GB"/>
        </w:rPr>
        <w:br w:type="page"/>
      </w:r>
    </w:p>
    <w:p w14:paraId="24738F22" w14:textId="37D975AA" w:rsidR="005438FC" w:rsidRPr="00B23DAB" w:rsidRDefault="008A0761" w:rsidP="0088177C">
      <w:pPr>
        <w:pStyle w:val="NoSpacing"/>
        <w:spacing w:beforeLines="60" w:before="144" w:line="300" w:lineRule="auto"/>
        <w:rPr>
          <w:b/>
          <w:bCs/>
          <w:color w:val="9D825C"/>
          <w:lang w:val="en-GB"/>
        </w:rPr>
      </w:pPr>
      <w:r w:rsidRPr="00B23DAB">
        <w:rPr>
          <w:b/>
          <w:bCs/>
          <w:color w:val="9D825C"/>
          <w:lang w:val="en-GB"/>
        </w:rPr>
        <w:t xml:space="preserve">Low paid MEA stream </w:t>
      </w:r>
    </w:p>
    <w:p w14:paraId="1E48D584" w14:textId="43E6EAAD" w:rsidR="00BC094D" w:rsidRDefault="00CA3F30" w:rsidP="0088177C">
      <w:pPr>
        <w:pStyle w:val="NoSpacing"/>
        <w:spacing w:beforeLines="60" w:before="144" w:line="300" w:lineRule="auto"/>
        <w:rPr>
          <w:rFonts w:eastAsia="Times New Roman"/>
          <w:color w:val="000000" w:themeColor="text1"/>
          <w:lang w:eastAsia="en-GB"/>
        </w:rPr>
      </w:pPr>
      <w:r>
        <w:rPr>
          <w:color w:val="000000" w:themeColor="text1"/>
          <w:lang w:val="en-GB"/>
        </w:rPr>
        <w:t>As explained in the Fair Work Bill’s explanatory memorandum, w</w:t>
      </w:r>
      <w:r w:rsidR="00EB3FF1" w:rsidRPr="0088177C">
        <w:rPr>
          <w:color w:val="000000" w:themeColor="text1"/>
          <w:lang w:val="en-GB"/>
        </w:rPr>
        <w:t>hilst ‘</w:t>
      </w:r>
      <w:r w:rsidR="00EB3FF1" w:rsidRPr="0088177C">
        <w:rPr>
          <w:color w:val="000000" w:themeColor="text1"/>
        </w:rPr>
        <w:t xml:space="preserve">enterprise level bargaining has been a central feature of </w:t>
      </w:r>
      <w:r w:rsidR="00EB3FF1" w:rsidRPr="0088177C">
        <w:rPr>
          <w:rFonts w:eastAsia="Times New Roman"/>
          <w:color w:val="000000" w:themeColor="text1"/>
          <w:lang w:eastAsia="en-GB"/>
        </w:rPr>
        <w:t>workplace relations since the early 1990s</w:t>
      </w:r>
      <w:r w:rsidR="00EB3FF1" w:rsidRPr="0088177C">
        <w:rPr>
          <w:color w:val="000000" w:themeColor="text1"/>
        </w:rPr>
        <w:t>…</w:t>
      </w:r>
      <w:r w:rsidR="00EB3FF1" w:rsidRPr="0088177C">
        <w:rPr>
          <w:rFonts w:eastAsia="Times New Roman"/>
          <w:color w:val="000000" w:themeColor="text1"/>
          <w:lang w:eastAsia="en-GB"/>
        </w:rPr>
        <w:t>over that time not all employers and employees have participated in enterprise</w:t>
      </w:r>
      <w:r w:rsidR="00EB3FF1" w:rsidRPr="0088177C">
        <w:rPr>
          <w:color w:val="000000" w:themeColor="text1"/>
        </w:rPr>
        <w:t xml:space="preserve"> </w:t>
      </w:r>
      <w:r w:rsidR="00EB3FF1" w:rsidRPr="0088177C">
        <w:rPr>
          <w:rFonts w:eastAsia="Times New Roman"/>
          <w:color w:val="000000" w:themeColor="text1"/>
          <w:lang w:eastAsia="en-GB"/>
        </w:rPr>
        <w:t>bargaining</w:t>
      </w:r>
      <w:r w:rsidR="0029076F">
        <w:rPr>
          <w:rFonts w:eastAsia="Times New Roman"/>
          <w:color w:val="000000" w:themeColor="text1"/>
          <w:lang w:eastAsia="en-GB"/>
        </w:rPr>
        <w:t>’</w:t>
      </w:r>
      <w:r w:rsidR="00EB3FF1" w:rsidRPr="0088177C">
        <w:rPr>
          <w:rFonts w:eastAsia="Times New Roman"/>
          <w:color w:val="000000" w:themeColor="text1"/>
          <w:lang w:eastAsia="en-GB"/>
        </w:rPr>
        <w:t>.</w:t>
      </w:r>
      <w:r w:rsidR="00EB3FF1" w:rsidRPr="0088177C">
        <w:rPr>
          <w:rStyle w:val="FootnoteReference"/>
          <w:rFonts w:cs="Times New Roman"/>
          <w:color w:val="000000" w:themeColor="text1"/>
        </w:rPr>
        <w:footnoteReference w:id="33"/>
      </w:r>
      <w:r w:rsidR="00D83333">
        <w:rPr>
          <w:rFonts w:eastAsia="Times New Roman"/>
          <w:color w:val="000000" w:themeColor="text1"/>
          <w:lang w:eastAsia="en-GB"/>
        </w:rPr>
        <w:t xml:space="preserve"> The </w:t>
      </w:r>
      <w:r w:rsidR="002768B2">
        <w:rPr>
          <w:rFonts w:eastAsia="Times New Roman"/>
          <w:color w:val="000000" w:themeColor="text1"/>
          <w:lang w:eastAsia="en-GB"/>
        </w:rPr>
        <w:t>reasons</w:t>
      </w:r>
      <w:r w:rsidR="00D83333">
        <w:rPr>
          <w:rFonts w:eastAsia="Times New Roman"/>
          <w:color w:val="000000" w:themeColor="text1"/>
          <w:lang w:eastAsia="en-GB"/>
        </w:rPr>
        <w:t xml:space="preserve"> why workers</w:t>
      </w:r>
      <w:r w:rsidR="00D83333" w:rsidRPr="0088177C">
        <w:rPr>
          <w:color w:val="000000" w:themeColor="text1"/>
        </w:rPr>
        <w:t xml:space="preserve"> in low-paid sectors </w:t>
      </w:r>
      <w:r w:rsidR="002768B2">
        <w:rPr>
          <w:rFonts w:eastAsia="Times New Roman"/>
          <w:color w:val="000000" w:themeColor="text1"/>
          <w:lang w:eastAsia="en-GB"/>
        </w:rPr>
        <w:t>have been</w:t>
      </w:r>
      <w:r w:rsidR="00D83333">
        <w:rPr>
          <w:rFonts w:eastAsia="Times New Roman"/>
          <w:color w:val="000000" w:themeColor="text1"/>
          <w:lang w:eastAsia="en-GB"/>
        </w:rPr>
        <w:t xml:space="preserve"> excluded from participation</w:t>
      </w:r>
      <w:r w:rsidR="002768B2">
        <w:rPr>
          <w:rFonts w:eastAsia="Times New Roman"/>
          <w:color w:val="000000" w:themeColor="text1"/>
          <w:lang w:eastAsia="en-GB"/>
        </w:rPr>
        <w:t xml:space="preserve"> in enterprise bargaining </w:t>
      </w:r>
      <w:r w:rsidR="00265BEA">
        <w:rPr>
          <w:rFonts w:eastAsia="Times New Roman"/>
          <w:color w:val="000000" w:themeColor="text1"/>
          <w:lang w:eastAsia="en-GB"/>
        </w:rPr>
        <w:t>was suggested</w:t>
      </w:r>
      <w:r w:rsidR="009D32F8">
        <w:rPr>
          <w:rFonts w:eastAsia="Times New Roman"/>
          <w:color w:val="000000" w:themeColor="text1"/>
          <w:lang w:eastAsia="en-GB"/>
        </w:rPr>
        <w:t xml:space="preserve"> to be</w:t>
      </w:r>
      <w:r w:rsidR="00BC094D">
        <w:rPr>
          <w:rFonts w:eastAsia="Times New Roman"/>
          <w:color w:val="000000" w:themeColor="text1"/>
          <w:lang w:eastAsia="en-GB"/>
        </w:rPr>
        <w:t xml:space="preserve"> because they:</w:t>
      </w:r>
      <w:r w:rsidR="002C290B">
        <w:rPr>
          <w:rFonts w:eastAsia="Times New Roman"/>
          <w:color w:val="000000" w:themeColor="text1"/>
          <w:lang w:eastAsia="en-GB"/>
        </w:rPr>
        <w:t xml:space="preserve"> </w:t>
      </w:r>
      <w:r w:rsidR="002768B2">
        <w:rPr>
          <w:rFonts w:eastAsia="Times New Roman"/>
          <w:color w:val="000000" w:themeColor="text1"/>
          <w:lang w:eastAsia="en-GB"/>
        </w:rPr>
        <w:t xml:space="preserve"> </w:t>
      </w:r>
    </w:p>
    <w:p w14:paraId="3FA6492E" w14:textId="77777777" w:rsidR="00BC094D" w:rsidRDefault="002768B2" w:rsidP="00BC094D">
      <w:pPr>
        <w:pStyle w:val="NoSpacing"/>
        <w:numPr>
          <w:ilvl w:val="0"/>
          <w:numId w:val="34"/>
        </w:numPr>
        <w:spacing w:beforeLines="60" w:before="144" w:line="300" w:lineRule="auto"/>
        <w:rPr>
          <w:color w:val="000000" w:themeColor="text1"/>
        </w:rPr>
      </w:pPr>
      <w:r>
        <w:rPr>
          <w:rFonts w:eastAsia="Times New Roman"/>
          <w:color w:val="000000" w:themeColor="text1"/>
          <w:lang w:eastAsia="en-GB"/>
        </w:rPr>
        <w:t xml:space="preserve">may </w:t>
      </w:r>
      <w:r w:rsidR="00D83333" w:rsidRPr="0088177C">
        <w:rPr>
          <w:color w:val="000000" w:themeColor="text1"/>
        </w:rPr>
        <w:t xml:space="preserve">lack the skills and power to successfully negotiate at single enterprise levels; or </w:t>
      </w:r>
    </w:p>
    <w:p w14:paraId="2973056E" w14:textId="0CC5C671" w:rsidR="00EB3FF1" w:rsidRPr="00EF3432" w:rsidRDefault="00EF3432" w:rsidP="00BC094D">
      <w:pPr>
        <w:pStyle w:val="NoSpacing"/>
        <w:numPr>
          <w:ilvl w:val="0"/>
          <w:numId w:val="34"/>
        </w:numPr>
        <w:spacing w:beforeLines="60" w:before="144" w:line="300" w:lineRule="auto"/>
        <w:rPr>
          <w:color w:val="000000" w:themeColor="text1"/>
        </w:rPr>
      </w:pPr>
      <w:r>
        <w:rPr>
          <w:color w:val="000000" w:themeColor="text1"/>
        </w:rPr>
        <w:t xml:space="preserve">because their </w:t>
      </w:r>
      <w:r w:rsidR="00D83333" w:rsidRPr="0088177C">
        <w:rPr>
          <w:color w:val="000000" w:themeColor="text1"/>
        </w:rPr>
        <w:t xml:space="preserve">employers lacked the time, </w:t>
      </w:r>
      <w:proofErr w:type="gramStart"/>
      <w:r w:rsidR="00D83333" w:rsidRPr="0088177C">
        <w:rPr>
          <w:color w:val="000000" w:themeColor="text1"/>
        </w:rPr>
        <w:t>skill</w:t>
      </w:r>
      <w:r w:rsidR="0029076F">
        <w:rPr>
          <w:color w:val="000000" w:themeColor="text1"/>
        </w:rPr>
        <w:t>s</w:t>
      </w:r>
      <w:proofErr w:type="gramEnd"/>
      <w:r w:rsidR="00D83333" w:rsidRPr="0088177C">
        <w:rPr>
          <w:color w:val="000000" w:themeColor="text1"/>
        </w:rPr>
        <w:t xml:space="preserve"> and resources to negotiate with their employees.</w:t>
      </w:r>
      <w:r w:rsidR="00D83333" w:rsidRPr="0088177C">
        <w:rPr>
          <w:rStyle w:val="FootnoteReference"/>
          <w:rFonts w:cs="Times New Roman"/>
          <w:color w:val="000000" w:themeColor="text1"/>
        </w:rPr>
        <w:footnoteReference w:id="34"/>
      </w:r>
    </w:p>
    <w:p w14:paraId="6B30C957" w14:textId="1A5A9D7E" w:rsidR="005438FC" w:rsidRPr="00BC094D" w:rsidRDefault="005438FC" w:rsidP="0088177C">
      <w:pPr>
        <w:pStyle w:val="NoSpacing"/>
        <w:spacing w:beforeLines="60" w:before="144" w:line="300" w:lineRule="auto"/>
        <w:rPr>
          <w:color w:val="000000" w:themeColor="text1"/>
          <w:lang w:val="en-GB"/>
        </w:rPr>
      </w:pPr>
      <w:r w:rsidRPr="0088177C">
        <w:rPr>
          <w:color w:val="000000" w:themeColor="text1"/>
          <w:lang w:val="en-GB"/>
        </w:rPr>
        <w:t xml:space="preserve">This issue was recognised by the enactment of the </w:t>
      </w:r>
      <w:r w:rsidRPr="00CA3F30">
        <w:rPr>
          <w:i/>
          <w:iCs/>
          <w:color w:val="000000" w:themeColor="text1"/>
          <w:lang w:val="en-GB"/>
        </w:rPr>
        <w:t>FWA</w:t>
      </w:r>
      <w:r w:rsidRPr="0088177C">
        <w:rPr>
          <w:color w:val="000000" w:themeColor="text1"/>
          <w:lang w:val="en-GB"/>
        </w:rPr>
        <w:t xml:space="preserve"> providing for a low-paid MEA stream. </w:t>
      </w:r>
    </w:p>
    <w:p w14:paraId="49A8ECCA" w14:textId="40CEDF72" w:rsidR="005438FC" w:rsidRPr="0088177C" w:rsidRDefault="005438FC" w:rsidP="0088177C">
      <w:pPr>
        <w:pStyle w:val="NoSpacing"/>
        <w:spacing w:beforeLines="60" w:before="144" w:line="300" w:lineRule="auto"/>
        <w:rPr>
          <w:color w:val="000000" w:themeColor="text1"/>
        </w:rPr>
      </w:pPr>
      <w:r w:rsidRPr="0088177C">
        <w:rPr>
          <w:color w:val="000000" w:themeColor="text1"/>
        </w:rPr>
        <w:t>Representatives (unions or employer rep</w:t>
      </w:r>
      <w:r w:rsidR="0029076F">
        <w:rPr>
          <w:color w:val="000000" w:themeColor="text1"/>
        </w:rPr>
        <w:t>resentative</w:t>
      </w:r>
      <w:r w:rsidRPr="0088177C">
        <w:rPr>
          <w:color w:val="000000" w:themeColor="text1"/>
        </w:rPr>
        <w:t xml:space="preserve">s) are able to apply on behalf of employees or employers for a low paid </w:t>
      </w:r>
      <w:proofErr w:type="spellStart"/>
      <w:r w:rsidRPr="0088177C">
        <w:rPr>
          <w:color w:val="000000" w:themeColor="text1"/>
        </w:rPr>
        <w:t>authorisation</w:t>
      </w:r>
      <w:proofErr w:type="spellEnd"/>
      <w:r w:rsidRPr="0088177C">
        <w:rPr>
          <w:color w:val="000000" w:themeColor="text1"/>
        </w:rPr>
        <w:t>, placing them in a special list which would provide access to</w:t>
      </w:r>
      <w:r w:rsidR="00BC094D">
        <w:rPr>
          <w:color w:val="000000" w:themeColor="text1"/>
        </w:rPr>
        <w:t xml:space="preserve"> special support</w:t>
      </w:r>
      <w:r w:rsidRPr="0088177C">
        <w:rPr>
          <w:color w:val="000000" w:themeColor="text1"/>
        </w:rPr>
        <w:t xml:space="preserve"> from the FWC</w:t>
      </w:r>
      <w:r w:rsidR="00BC094D">
        <w:rPr>
          <w:color w:val="000000" w:themeColor="text1"/>
        </w:rPr>
        <w:t>.</w:t>
      </w:r>
    </w:p>
    <w:p w14:paraId="6EA69816" w14:textId="77777777" w:rsidR="005438FC" w:rsidRPr="0088177C" w:rsidRDefault="005438FC" w:rsidP="0088177C">
      <w:pPr>
        <w:pStyle w:val="NoSpacing"/>
        <w:spacing w:beforeLines="60" w:before="144" w:line="300" w:lineRule="auto"/>
        <w:rPr>
          <w:rFonts w:eastAsiaTheme="minorHAnsi"/>
          <w:color w:val="000000" w:themeColor="text1"/>
          <w:lang w:val="en-GB" w:eastAsia="en-US"/>
        </w:rPr>
      </w:pPr>
      <w:r w:rsidRPr="0088177C">
        <w:rPr>
          <w:rFonts w:eastAsiaTheme="minorHAnsi"/>
          <w:color w:val="000000" w:themeColor="text1"/>
          <w:lang w:val="en-GB" w:eastAsia="en-US"/>
        </w:rPr>
        <w:t xml:space="preserve">During the </w:t>
      </w:r>
      <w:r w:rsidRPr="0088177C">
        <w:rPr>
          <w:rFonts w:eastAsiaTheme="minorHAnsi"/>
          <w:i/>
          <w:iCs/>
          <w:color w:val="000000" w:themeColor="text1"/>
          <w:lang w:val="en-GB" w:eastAsia="en-US"/>
        </w:rPr>
        <w:t>Inquiry into the Fair Work Bill 2008</w:t>
      </w:r>
      <w:r w:rsidRPr="0088177C">
        <w:rPr>
          <w:rFonts w:eastAsiaTheme="minorHAnsi"/>
          <w:color w:val="000000" w:themeColor="text1"/>
          <w:lang w:val="en-GB" w:eastAsia="en-US"/>
        </w:rPr>
        <w:t xml:space="preserve">, low paid bargaining provisions attracted strong criticism from employer organisations. The Australian Industry Group submitted that: </w:t>
      </w:r>
    </w:p>
    <w:p w14:paraId="082577C3" w14:textId="3E10C72C" w:rsidR="005438FC" w:rsidRPr="0088177C" w:rsidRDefault="005438FC" w:rsidP="0029076F">
      <w:pPr>
        <w:pStyle w:val="NoSpacing"/>
        <w:spacing w:beforeLines="60" w:before="144" w:line="300" w:lineRule="auto"/>
        <w:ind w:left="720"/>
        <w:rPr>
          <w:rFonts w:eastAsiaTheme="minorHAnsi" w:cs="Times New Roman"/>
          <w:color w:val="000000" w:themeColor="text1"/>
          <w:lang w:val="en-GB" w:eastAsia="en-US"/>
        </w:rPr>
      </w:pPr>
      <w:r w:rsidRPr="0029076F">
        <w:rPr>
          <w:rFonts w:eastAsiaTheme="minorHAnsi" w:cs="Times New Roman"/>
          <w:i/>
          <w:iCs/>
          <w:color w:val="000000" w:themeColor="text1"/>
          <w:lang w:val="en-GB" w:eastAsia="en-US"/>
        </w:rPr>
        <w:t xml:space="preserve">The low paid bargaining stream, which would have the effect of reintroducing compulsory arbitration, would undermine Australia’s enterprise bargaining </w:t>
      </w:r>
      <w:proofErr w:type="gramStart"/>
      <w:r w:rsidRPr="0029076F">
        <w:rPr>
          <w:rFonts w:eastAsiaTheme="minorHAnsi" w:cs="Times New Roman"/>
          <w:i/>
          <w:iCs/>
          <w:color w:val="000000" w:themeColor="text1"/>
          <w:lang w:val="en-GB" w:eastAsia="en-US"/>
        </w:rPr>
        <w:t>system</w:t>
      </w:r>
      <w:proofErr w:type="gramEnd"/>
      <w:r w:rsidRPr="0029076F">
        <w:rPr>
          <w:rFonts w:eastAsiaTheme="minorHAnsi" w:cs="Times New Roman"/>
          <w:i/>
          <w:iCs/>
          <w:color w:val="000000" w:themeColor="text1"/>
          <w:lang w:val="en-GB" w:eastAsia="en-US"/>
        </w:rPr>
        <w:t xml:space="preserve"> and add a further layer of arbitrated employment conditions above the safety net</w:t>
      </w:r>
      <w:r w:rsidRPr="0088177C">
        <w:rPr>
          <w:rFonts w:eastAsiaTheme="minorHAnsi" w:cs="Times New Roman"/>
          <w:color w:val="000000" w:themeColor="text1"/>
          <w:lang w:val="en-GB" w:eastAsia="en-US"/>
        </w:rPr>
        <w:t>.</w:t>
      </w:r>
      <w:r w:rsidRPr="0088177C">
        <w:rPr>
          <w:rStyle w:val="FootnoteReference"/>
          <w:rFonts w:eastAsiaTheme="minorHAnsi" w:cs="Times New Roman"/>
          <w:color w:val="000000" w:themeColor="text1"/>
          <w:lang w:val="en-GB" w:eastAsia="en-US"/>
        </w:rPr>
        <w:footnoteReference w:id="35"/>
      </w:r>
    </w:p>
    <w:p w14:paraId="078A7828" w14:textId="7FB37667" w:rsidR="005438FC" w:rsidRPr="0088177C" w:rsidRDefault="00E70D0C" w:rsidP="0088177C">
      <w:pPr>
        <w:pStyle w:val="NoSpacing"/>
        <w:spacing w:beforeLines="60" w:before="144" w:line="300" w:lineRule="auto"/>
        <w:rPr>
          <w:color w:val="000000" w:themeColor="text1"/>
          <w:lang w:val="en-GB"/>
        </w:rPr>
      </w:pPr>
      <w:r>
        <w:rPr>
          <w:color w:val="000000" w:themeColor="text1"/>
          <w:lang w:val="en-GB"/>
        </w:rPr>
        <w:t xml:space="preserve">This misunderstands the provisions in the </w:t>
      </w:r>
      <w:r w:rsidRPr="00AF32C3">
        <w:rPr>
          <w:i/>
          <w:iCs/>
          <w:color w:val="000000" w:themeColor="text1"/>
          <w:lang w:val="en-GB"/>
        </w:rPr>
        <w:t>FWA</w:t>
      </w:r>
      <w:r w:rsidR="00AF32C3">
        <w:rPr>
          <w:color w:val="000000" w:themeColor="text1"/>
          <w:lang w:val="en-GB"/>
        </w:rPr>
        <w:t xml:space="preserve">. </w:t>
      </w:r>
      <w:r w:rsidR="00FF15CB">
        <w:rPr>
          <w:color w:val="000000" w:themeColor="text1"/>
          <w:lang w:val="en-GB"/>
        </w:rPr>
        <w:t xml:space="preserve"> </w:t>
      </w:r>
      <w:r w:rsidR="00AF32C3">
        <w:rPr>
          <w:color w:val="000000" w:themeColor="text1"/>
          <w:lang w:val="en-GB"/>
        </w:rPr>
        <w:t>C</w:t>
      </w:r>
      <w:r w:rsidR="005438FC" w:rsidRPr="0088177C">
        <w:rPr>
          <w:color w:val="000000" w:themeColor="text1"/>
          <w:lang w:val="en-GB"/>
        </w:rPr>
        <w:t xml:space="preserve">ompulsory arbitration is not allowed under this </w:t>
      </w:r>
      <w:proofErr w:type="gramStart"/>
      <w:r w:rsidR="005438FC" w:rsidRPr="0088177C">
        <w:rPr>
          <w:color w:val="000000" w:themeColor="text1"/>
          <w:lang w:val="en-GB"/>
        </w:rPr>
        <w:t xml:space="preserve">stream, </w:t>
      </w:r>
      <w:r w:rsidR="00FF15CB">
        <w:rPr>
          <w:color w:val="000000" w:themeColor="text1"/>
          <w:lang w:val="en-GB"/>
        </w:rPr>
        <w:t>unless</w:t>
      </w:r>
      <w:proofErr w:type="gramEnd"/>
      <w:r w:rsidR="00FF15CB">
        <w:rPr>
          <w:color w:val="000000" w:themeColor="text1"/>
          <w:lang w:val="en-GB"/>
        </w:rPr>
        <w:t xml:space="preserve"> parties</w:t>
      </w:r>
      <w:r w:rsidR="005438FC" w:rsidRPr="0088177C">
        <w:rPr>
          <w:color w:val="000000" w:themeColor="text1"/>
          <w:lang w:val="en-GB"/>
        </w:rPr>
        <w:t xml:space="preserve"> agree to arbitration.</w:t>
      </w:r>
      <w:r w:rsidR="00FF15CB">
        <w:rPr>
          <w:rStyle w:val="FootnoteReference"/>
          <w:color w:val="000000" w:themeColor="text1"/>
          <w:lang w:val="en-GB"/>
        </w:rPr>
        <w:footnoteReference w:id="36"/>
      </w:r>
      <w:r w:rsidR="005438FC" w:rsidRPr="0088177C">
        <w:rPr>
          <w:color w:val="000000" w:themeColor="text1"/>
          <w:lang w:val="en-GB"/>
        </w:rPr>
        <w:t xml:space="preserve"> </w:t>
      </w:r>
    </w:p>
    <w:p w14:paraId="47C430FA" w14:textId="1824BAB6" w:rsidR="00FD71DF" w:rsidRPr="0088177C" w:rsidRDefault="00FD71DF" w:rsidP="00FD71DF">
      <w:pPr>
        <w:pStyle w:val="NoSpacing"/>
        <w:spacing w:beforeLines="60" w:before="144" w:line="300" w:lineRule="auto"/>
        <w:rPr>
          <w:color w:val="000000" w:themeColor="text1"/>
        </w:rPr>
      </w:pPr>
      <w:r w:rsidRPr="0088177C">
        <w:rPr>
          <w:color w:val="000000" w:themeColor="text1"/>
          <w:lang w:val="en-GB"/>
        </w:rPr>
        <w:t>However</w:t>
      </w:r>
      <w:r>
        <w:rPr>
          <w:color w:val="000000" w:themeColor="text1"/>
          <w:lang w:val="en-GB"/>
        </w:rPr>
        <w:t xml:space="preserve">, since the passage of the </w:t>
      </w:r>
      <w:r w:rsidRPr="00FD71DF">
        <w:rPr>
          <w:i/>
          <w:iCs/>
          <w:color w:val="000000" w:themeColor="text1"/>
          <w:lang w:val="en-GB"/>
        </w:rPr>
        <w:t>FWA</w:t>
      </w:r>
      <w:r w:rsidRPr="0088177C">
        <w:rPr>
          <w:color w:val="000000" w:themeColor="text1"/>
          <w:lang w:val="en-GB"/>
        </w:rPr>
        <w:t xml:space="preserve">, there has </w:t>
      </w:r>
      <w:r>
        <w:rPr>
          <w:color w:val="000000" w:themeColor="text1"/>
          <w:lang w:val="en-GB"/>
        </w:rPr>
        <w:t xml:space="preserve">only </w:t>
      </w:r>
      <w:r w:rsidRPr="0088177C">
        <w:rPr>
          <w:color w:val="000000" w:themeColor="text1"/>
          <w:lang w:val="en-GB"/>
        </w:rPr>
        <w:t>been one successful authorisation for the low-paid stream</w:t>
      </w:r>
      <w:r w:rsidR="00FB69AD">
        <w:rPr>
          <w:color w:val="000000" w:themeColor="text1"/>
          <w:lang w:val="en-GB"/>
        </w:rPr>
        <w:t>,</w:t>
      </w:r>
      <w:r w:rsidRPr="0088177C">
        <w:rPr>
          <w:color w:val="000000" w:themeColor="text1"/>
          <w:lang w:val="en-GB"/>
        </w:rPr>
        <w:t xml:space="preserve"> where a low-paid authorisation was granted in respect to workers in the aged care industry.</w:t>
      </w:r>
      <w:r w:rsidRPr="0088177C">
        <w:rPr>
          <w:rStyle w:val="FootnoteReference"/>
          <w:color w:val="000000" w:themeColor="text1"/>
          <w:lang w:val="en-GB"/>
        </w:rPr>
        <w:footnoteReference w:id="37"/>
      </w:r>
      <w:r>
        <w:rPr>
          <w:color w:val="000000" w:themeColor="text1"/>
          <w:lang w:val="en-GB"/>
        </w:rPr>
        <w:t xml:space="preserve"> </w:t>
      </w:r>
      <w:r w:rsidRPr="0088177C">
        <w:rPr>
          <w:color w:val="000000" w:themeColor="text1"/>
        </w:rPr>
        <w:t>There have only been two other applications for the low-paid stream. Both have failed.</w:t>
      </w:r>
      <w:r w:rsidRPr="0088177C">
        <w:rPr>
          <w:rStyle w:val="FootnoteReference"/>
          <w:color w:val="000000" w:themeColor="text1"/>
        </w:rPr>
        <w:footnoteReference w:id="38"/>
      </w:r>
    </w:p>
    <w:p w14:paraId="71D13A64" w14:textId="68C2AB55" w:rsidR="005438FC" w:rsidRPr="0088177C" w:rsidRDefault="00AF32C3" w:rsidP="0088177C">
      <w:pPr>
        <w:pStyle w:val="NoSpacing"/>
        <w:spacing w:beforeLines="60" w:before="144" w:line="300" w:lineRule="auto"/>
        <w:rPr>
          <w:color w:val="000000" w:themeColor="text1"/>
        </w:rPr>
      </w:pPr>
      <w:r>
        <w:rPr>
          <w:color w:val="000000" w:themeColor="text1"/>
          <w:lang w:val="en-GB"/>
        </w:rPr>
        <w:t xml:space="preserve">This is </w:t>
      </w:r>
      <w:r w:rsidR="00FD71DF">
        <w:rPr>
          <w:color w:val="000000" w:themeColor="text1"/>
          <w:lang w:val="en-GB"/>
        </w:rPr>
        <w:t xml:space="preserve">likely </w:t>
      </w:r>
      <w:r>
        <w:rPr>
          <w:color w:val="000000" w:themeColor="text1"/>
          <w:lang w:val="en-GB"/>
        </w:rPr>
        <w:t xml:space="preserve">due to the very high bar required to </w:t>
      </w:r>
      <w:r w:rsidR="00FD71DF">
        <w:rPr>
          <w:color w:val="000000" w:themeColor="text1"/>
          <w:lang w:val="en-GB"/>
        </w:rPr>
        <w:t>obtain</w:t>
      </w:r>
      <w:r>
        <w:rPr>
          <w:color w:val="000000" w:themeColor="text1"/>
          <w:lang w:val="en-GB"/>
        </w:rPr>
        <w:t xml:space="preserve"> a</w:t>
      </w:r>
      <w:r>
        <w:rPr>
          <w:color w:val="000000" w:themeColor="text1"/>
        </w:rPr>
        <w:t xml:space="preserve"> </w:t>
      </w:r>
      <w:r w:rsidR="005438FC" w:rsidRPr="0088177C">
        <w:rPr>
          <w:color w:val="000000" w:themeColor="text1"/>
        </w:rPr>
        <w:t xml:space="preserve">low-paid </w:t>
      </w:r>
      <w:proofErr w:type="spellStart"/>
      <w:r w:rsidR="005438FC" w:rsidRPr="0088177C">
        <w:rPr>
          <w:color w:val="000000" w:themeColor="text1"/>
        </w:rPr>
        <w:t>authorisation</w:t>
      </w:r>
      <w:proofErr w:type="spellEnd"/>
      <w:r w:rsidR="005438FC" w:rsidRPr="0088177C">
        <w:rPr>
          <w:color w:val="000000" w:themeColor="text1"/>
        </w:rPr>
        <w:t>.</w:t>
      </w:r>
      <w:r w:rsidR="00154750" w:rsidRPr="00154750">
        <w:rPr>
          <w:color w:val="000000" w:themeColor="text1"/>
        </w:rPr>
        <w:t xml:space="preserve"> </w:t>
      </w:r>
      <w:r w:rsidR="00154750" w:rsidRPr="0088177C">
        <w:rPr>
          <w:color w:val="000000" w:themeColor="text1"/>
        </w:rPr>
        <w:t xml:space="preserve">When granting </w:t>
      </w:r>
      <w:r w:rsidR="00154750">
        <w:rPr>
          <w:color w:val="000000" w:themeColor="text1"/>
        </w:rPr>
        <w:t xml:space="preserve">an </w:t>
      </w:r>
      <w:proofErr w:type="spellStart"/>
      <w:r w:rsidR="00154750">
        <w:rPr>
          <w:color w:val="000000" w:themeColor="text1"/>
        </w:rPr>
        <w:t>authorisation</w:t>
      </w:r>
      <w:proofErr w:type="spellEnd"/>
      <w:r w:rsidR="00154750" w:rsidRPr="0088177C">
        <w:rPr>
          <w:color w:val="000000" w:themeColor="text1"/>
        </w:rPr>
        <w:t xml:space="preserve"> the FWC </w:t>
      </w:r>
      <w:r w:rsidR="00154750" w:rsidRPr="0029076F">
        <w:rPr>
          <w:color w:val="000000" w:themeColor="text1"/>
        </w:rPr>
        <w:t>must</w:t>
      </w:r>
      <w:r w:rsidR="00154750" w:rsidRPr="0088177C">
        <w:rPr>
          <w:color w:val="000000" w:themeColor="text1"/>
        </w:rPr>
        <w:t xml:space="preserve"> </w:t>
      </w:r>
      <w:r w:rsidR="00FB69AD" w:rsidRPr="0088177C">
        <w:rPr>
          <w:color w:val="000000" w:themeColor="text1"/>
        </w:rPr>
        <w:t>consider</w:t>
      </w:r>
      <w:r w:rsidR="00154750" w:rsidRPr="0088177C">
        <w:rPr>
          <w:color w:val="000000" w:themeColor="text1"/>
        </w:rPr>
        <w:t xml:space="preserve"> </w:t>
      </w:r>
      <w:r w:rsidR="00154750">
        <w:rPr>
          <w:color w:val="000000" w:themeColor="text1"/>
        </w:rPr>
        <w:t>a long list of matters when deciding whether to grant authorization.</w:t>
      </w:r>
      <w:r w:rsidR="00FB69AD">
        <w:rPr>
          <w:rStyle w:val="FootnoteReference"/>
          <w:color w:val="000000" w:themeColor="text1"/>
        </w:rPr>
        <w:footnoteReference w:id="39"/>
      </w:r>
      <w:r w:rsidR="00154750">
        <w:rPr>
          <w:color w:val="000000" w:themeColor="text1"/>
        </w:rPr>
        <w:t xml:space="preserve"> </w:t>
      </w:r>
    </w:p>
    <w:p w14:paraId="20AFDF1C" w14:textId="2133BA35" w:rsidR="005438FC" w:rsidRPr="0088177C" w:rsidRDefault="005438FC" w:rsidP="0088177C">
      <w:pPr>
        <w:pStyle w:val="NoSpacing"/>
        <w:spacing w:beforeLines="60" w:before="144" w:line="300" w:lineRule="auto"/>
        <w:rPr>
          <w:color w:val="000000" w:themeColor="text1"/>
        </w:rPr>
      </w:pPr>
      <w:r w:rsidRPr="0088177C">
        <w:rPr>
          <w:color w:val="000000" w:themeColor="text1"/>
        </w:rPr>
        <w:t>In May and June 2010 United Voice (UV) and the Australian Workers’ Union - Queensland Branch (AWUQ) (joint applicants), lodged</w:t>
      </w:r>
      <w:r w:rsidR="00345729">
        <w:rPr>
          <w:color w:val="000000" w:themeColor="text1"/>
        </w:rPr>
        <w:t xml:space="preserve">, and were successful </w:t>
      </w:r>
      <w:r w:rsidR="00154750">
        <w:rPr>
          <w:color w:val="000000" w:themeColor="text1"/>
        </w:rPr>
        <w:t>i</w:t>
      </w:r>
      <w:r w:rsidR="00345729">
        <w:rPr>
          <w:color w:val="000000" w:themeColor="text1"/>
        </w:rPr>
        <w:t>n obtaining</w:t>
      </w:r>
      <w:r w:rsidR="00154750">
        <w:rPr>
          <w:color w:val="000000" w:themeColor="text1"/>
        </w:rPr>
        <w:t>,</w:t>
      </w:r>
      <w:r w:rsidRPr="0088177C">
        <w:rPr>
          <w:color w:val="000000" w:themeColor="text1"/>
        </w:rPr>
        <w:t xml:space="preserve"> a low-paid </w:t>
      </w:r>
      <w:proofErr w:type="spellStart"/>
      <w:r w:rsidR="00345729">
        <w:rPr>
          <w:color w:val="000000" w:themeColor="text1"/>
        </w:rPr>
        <w:t>authori</w:t>
      </w:r>
      <w:r w:rsidR="0029076F">
        <w:rPr>
          <w:color w:val="000000" w:themeColor="text1"/>
        </w:rPr>
        <w:t>s</w:t>
      </w:r>
      <w:r w:rsidR="00345729">
        <w:rPr>
          <w:color w:val="000000" w:themeColor="text1"/>
        </w:rPr>
        <w:t>ation</w:t>
      </w:r>
      <w:proofErr w:type="spellEnd"/>
      <w:r w:rsidR="00345729">
        <w:rPr>
          <w:color w:val="000000" w:themeColor="text1"/>
        </w:rPr>
        <w:t xml:space="preserve">, but this </w:t>
      </w:r>
      <w:proofErr w:type="spellStart"/>
      <w:r w:rsidR="00345729">
        <w:rPr>
          <w:color w:val="000000" w:themeColor="text1"/>
        </w:rPr>
        <w:t>authori</w:t>
      </w:r>
      <w:r w:rsidR="0029076F">
        <w:rPr>
          <w:color w:val="000000" w:themeColor="text1"/>
        </w:rPr>
        <w:t>s</w:t>
      </w:r>
      <w:r w:rsidR="00345729">
        <w:rPr>
          <w:color w:val="000000" w:themeColor="text1"/>
        </w:rPr>
        <w:t>ation</w:t>
      </w:r>
      <w:proofErr w:type="spellEnd"/>
      <w:r w:rsidR="00345729">
        <w:rPr>
          <w:color w:val="000000" w:themeColor="text1"/>
        </w:rPr>
        <w:t xml:space="preserve"> excluded large </w:t>
      </w:r>
      <w:r w:rsidR="0029076F">
        <w:rPr>
          <w:color w:val="000000" w:themeColor="text1"/>
        </w:rPr>
        <w:t>proportions</w:t>
      </w:r>
      <w:r w:rsidR="00345729">
        <w:rPr>
          <w:color w:val="000000" w:themeColor="text1"/>
        </w:rPr>
        <w:t xml:space="preserve"> of the industry UV was seeking to cover.  This decision</w:t>
      </w:r>
      <w:r w:rsidR="00154750">
        <w:rPr>
          <w:color w:val="000000" w:themeColor="text1"/>
        </w:rPr>
        <w:t xml:space="preserve">, and the lack of </w:t>
      </w:r>
      <w:r w:rsidR="0029076F">
        <w:rPr>
          <w:color w:val="000000" w:themeColor="text1"/>
        </w:rPr>
        <w:t xml:space="preserve">other </w:t>
      </w:r>
      <w:r w:rsidR="00154750">
        <w:rPr>
          <w:color w:val="000000" w:themeColor="text1"/>
        </w:rPr>
        <w:t>successful applications,</w:t>
      </w:r>
      <w:r w:rsidR="00345729">
        <w:rPr>
          <w:color w:val="000000" w:themeColor="text1"/>
        </w:rPr>
        <w:t xml:space="preserve"> </w:t>
      </w:r>
      <w:r w:rsidRPr="0088177C">
        <w:rPr>
          <w:color w:val="000000" w:themeColor="text1"/>
        </w:rPr>
        <w:t>expose</w:t>
      </w:r>
      <w:r w:rsidR="00154750">
        <w:rPr>
          <w:color w:val="000000" w:themeColor="text1"/>
        </w:rPr>
        <w:t>s</w:t>
      </w:r>
      <w:r w:rsidRPr="0088177C">
        <w:rPr>
          <w:color w:val="000000" w:themeColor="text1"/>
        </w:rPr>
        <w:t xml:space="preserve"> a fundamental flaw in the</w:t>
      </w:r>
      <w:r w:rsidR="00345729">
        <w:rPr>
          <w:color w:val="000000" w:themeColor="text1"/>
        </w:rPr>
        <w:t xml:space="preserve"> </w:t>
      </w:r>
      <w:r w:rsidR="00154750">
        <w:rPr>
          <w:color w:val="000000" w:themeColor="text1"/>
        </w:rPr>
        <w:t>low</w:t>
      </w:r>
      <w:r w:rsidR="00FB69AD">
        <w:rPr>
          <w:color w:val="000000" w:themeColor="text1"/>
        </w:rPr>
        <w:t>-</w:t>
      </w:r>
      <w:r w:rsidR="00154750">
        <w:rPr>
          <w:color w:val="000000" w:themeColor="text1"/>
        </w:rPr>
        <w:t xml:space="preserve">paid MEA </w:t>
      </w:r>
      <w:r w:rsidR="00345729">
        <w:rPr>
          <w:color w:val="000000" w:themeColor="text1"/>
        </w:rPr>
        <w:t>provision</w:t>
      </w:r>
      <w:r w:rsidR="00FB69AD">
        <w:rPr>
          <w:color w:val="000000" w:themeColor="text1"/>
        </w:rPr>
        <w:t xml:space="preserve">: </w:t>
      </w:r>
      <w:r w:rsidR="00345729">
        <w:rPr>
          <w:color w:val="000000" w:themeColor="text1"/>
        </w:rPr>
        <w:t xml:space="preserve">its inability to protect vulnerable workers. </w:t>
      </w:r>
    </w:p>
    <w:p w14:paraId="160F08B8" w14:textId="587B4B2F" w:rsidR="005438FC" w:rsidRDefault="00FB69AD" w:rsidP="0088177C">
      <w:pPr>
        <w:pStyle w:val="NoSpacing"/>
        <w:spacing w:beforeLines="60" w:before="144" w:line="300" w:lineRule="auto"/>
        <w:rPr>
          <w:color w:val="000000" w:themeColor="text1"/>
        </w:rPr>
      </w:pPr>
      <w:r>
        <w:rPr>
          <w:color w:val="000000" w:themeColor="text1"/>
        </w:rPr>
        <w:t>Following this decision, UV</w:t>
      </w:r>
      <w:r w:rsidR="005438FC" w:rsidRPr="0088177C">
        <w:rPr>
          <w:color w:val="000000" w:themeColor="text1"/>
        </w:rPr>
        <w:t xml:space="preserve"> National Secretary, Louise Tarrant, said that the decision showed how the stream was an ineffective mechanism to lift workers out of low pay, and called on the government to amend the legislation or come up with other solutions to ‘ensure there is fairness for low-paid Australian </w:t>
      </w:r>
      <w:proofErr w:type="gramStart"/>
      <w:r w:rsidR="005438FC" w:rsidRPr="0088177C">
        <w:rPr>
          <w:color w:val="000000" w:themeColor="text1"/>
        </w:rPr>
        <w:t>workers’</w:t>
      </w:r>
      <w:proofErr w:type="gramEnd"/>
      <w:r w:rsidR="005438FC" w:rsidRPr="0088177C">
        <w:rPr>
          <w:color w:val="000000" w:themeColor="text1"/>
        </w:rPr>
        <w:t>.</w:t>
      </w:r>
      <w:r w:rsidR="005438FC" w:rsidRPr="0088177C">
        <w:rPr>
          <w:rStyle w:val="FootnoteReference"/>
          <w:color w:val="000000" w:themeColor="text1"/>
        </w:rPr>
        <w:footnoteReference w:id="40"/>
      </w:r>
    </w:p>
    <w:p w14:paraId="1C09A680" w14:textId="0D00324E" w:rsidR="005438FC" w:rsidRPr="0088177C" w:rsidRDefault="009D32F8" w:rsidP="0088177C">
      <w:pPr>
        <w:pStyle w:val="NoSpacing"/>
        <w:spacing w:beforeLines="60" w:before="144" w:line="300" w:lineRule="auto"/>
        <w:rPr>
          <w:color w:val="000000" w:themeColor="text1"/>
        </w:rPr>
      </w:pPr>
      <w:r>
        <w:rPr>
          <w:color w:val="000000" w:themeColor="text1"/>
        </w:rPr>
        <w:t xml:space="preserve">The scheme </w:t>
      </w:r>
      <w:proofErr w:type="gramStart"/>
      <w:r>
        <w:rPr>
          <w:color w:val="000000" w:themeColor="text1"/>
        </w:rPr>
        <w:t>takes into account</w:t>
      </w:r>
      <w:proofErr w:type="gramEnd"/>
      <w:r>
        <w:rPr>
          <w:color w:val="000000" w:themeColor="text1"/>
        </w:rPr>
        <w:t xml:space="preserve"> the public interest, but the high bar </w:t>
      </w:r>
      <w:r w:rsidR="005434BE">
        <w:rPr>
          <w:color w:val="000000" w:themeColor="text1"/>
        </w:rPr>
        <w:t xml:space="preserve">means </w:t>
      </w:r>
      <w:proofErr w:type="spellStart"/>
      <w:r w:rsidR="005434BE">
        <w:rPr>
          <w:color w:val="000000" w:themeColor="text1"/>
        </w:rPr>
        <w:t>authorisations</w:t>
      </w:r>
      <w:proofErr w:type="spellEnd"/>
      <w:r w:rsidR="005434BE">
        <w:rPr>
          <w:color w:val="000000" w:themeColor="text1"/>
        </w:rPr>
        <w:t xml:space="preserve"> can’t be made even if the</w:t>
      </w:r>
      <w:r w:rsidR="0029076F">
        <w:rPr>
          <w:color w:val="000000" w:themeColor="text1"/>
        </w:rPr>
        <w:t>y</w:t>
      </w:r>
      <w:r w:rsidR="005434BE">
        <w:rPr>
          <w:color w:val="000000" w:themeColor="text1"/>
        </w:rPr>
        <w:t xml:space="preserve"> meet the public interest test. </w:t>
      </w:r>
      <w:r w:rsidR="00FD704E">
        <w:rPr>
          <w:color w:val="000000" w:themeColor="text1"/>
        </w:rPr>
        <w:t xml:space="preserve">An amendment </w:t>
      </w:r>
      <w:r w:rsidR="001631B9">
        <w:rPr>
          <w:color w:val="000000" w:themeColor="text1"/>
        </w:rPr>
        <w:t>which changes the</w:t>
      </w:r>
      <w:r w:rsidR="005438FC" w:rsidRPr="0088177C">
        <w:rPr>
          <w:color w:val="000000" w:themeColor="text1"/>
        </w:rPr>
        <w:t xml:space="preserve"> matters the FWC ‘must’ consider</w:t>
      </w:r>
      <w:r w:rsidR="001631B9">
        <w:rPr>
          <w:color w:val="000000" w:themeColor="text1"/>
        </w:rPr>
        <w:t xml:space="preserve">, </w:t>
      </w:r>
      <w:r w:rsidR="005438FC" w:rsidRPr="0088177C">
        <w:rPr>
          <w:color w:val="000000" w:themeColor="text1"/>
        </w:rPr>
        <w:t>to matters they ‘may’ consider</w:t>
      </w:r>
      <w:r w:rsidR="00B23DAB">
        <w:rPr>
          <w:color w:val="000000" w:themeColor="text1"/>
        </w:rPr>
        <w:t>, may allow more workers to access this stream</w:t>
      </w:r>
      <w:r w:rsidR="005434BE">
        <w:rPr>
          <w:color w:val="000000" w:themeColor="text1"/>
        </w:rPr>
        <w:t xml:space="preserve">. </w:t>
      </w:r>
    </w:p>
    <w:p w14:paraId="25FD7501" w14:textId="4CA08F88" w:rsidR="005438FC" w:rsidRPr="00433B91" w:rsidRDefault="001B297C" w:rsidP="0088177C">
      <w:pPr>
        <w:pStyle w:val="NoSpacing"/>
        <w:spacing w:beforeLines="60" w:before="144" w:line="300" w:lineRule="auto"/>
        <w:rPr>
          <w:b/>
          <w:bCs/>
          <w:color w:val="1E4D42"/>
          <w:sz w:val="24"/>
          <w:szCs w:val="24"/>
        </w:rPr>
      </w:pPr>
      <w:r w:rsidRPr="001B297C">
        <w:rPr>
          <w:b/>
          <w:bCs/>
          <w:color w:val="1E4D42"/>
          <w:sz w:val="24"/>
          <w:szCs w:val="24"/>
        </w:rPr>
        <w:t xml:space="preserve">Regulating digital platform work  </w:t>
      </w:r>
    </w:p>
    <w:p w14:paraId="077E79DB" w14:textId="5B9680D9" w:rsidR="005438FC" w:rsidRPr="0088177C" w:rsidRDefault="00D33820" w:rsidP="0088177C">
      <w:pPr>
        <w:pStyle w:val="NoSpacing"/>
        <w:spacing w:beforeLines="60" w:before="144" w:line="300" w:lineRule="auto"/>
        <w:rPr>
          <w:rFonts w:eastAsia="Times New Roman" w:cs="Times New Roman"/>
          <w:color w:val="000000" w:themeColor="text1"/>
          <w:lang w:eastAsia="en-GB"/>
        </w:rPr>
      </w:pPr>
      <w:r>
        <w:rPr>
          <w:rFonts w:eastAsia="Times New Roman" w:cs="Tahoma"/>
          <w:color w:val="000000" w:themeColor="text1"/>
          <w:shd w:val="clear" w:color="auto" w:fill="FFFFFF"/>
          <w:lang w:eastAsia="en-GB"/>
        </w:rPr>
        <w:t>A primary</w:t>
      </w:r>
      <w:r w:rsidR="003B7A60">
        <w:rPr>
          <w:rFonts w:eastAsia="Times New Roman" w:cs="Tahoma"/>
          <w:color w:val="000000" w:themeColor="text1"/>
          <w:shd w:val="clear" w:color="auto" w:fill="FFFFFF"/>
          <w:lang w:eastAsia="en-GB"/>
        </w:rPr>
        <w:t xml:space="preserve"> object of the FWA</w:t>
      </w:r>
      <w:r w:rsidR="005438FC" w:rsidRPr="0088177C">
        <w:rPr>
          <w:rFonts w:eastAsia="Times New Roman" w:cs="Tahoma"/>
          <w:color w:val="000000" w:themeColor="text1"/>
          <w:shd w:val="clear" w:color="auto" w:fill="FFFFFF"/>
          <w:lang w:eastAsia="en-GB"/>
        </w:rPr>
        <w:t xml:space="preserve"> was the inclusion of ‘</w:t>
      </w:r>
      <w:r w:rsidR="005438FC" w:rsidRPr="0088177C">
        <w:rPr>
          <w:rFonts w:eastAsia="Times New Roman" w:cs="Times New Roman"/>
          <w:color w:val="000000" w:themeColor="text1"/>
          <w:lang w:eastAsia="en-GB"/>
        </w:rPr>
        <w:t>a fair and comprehensive safety net of minimum employment conditions that cannot be stripped away’</w:t>
      </w:r>
      <w:r w:rsidR="008A73D3">
        <w:rPr>
          <w:rFonts w:eastAsia="Times New Roman" w:cs="Times New Roman"/>
          <w:color w:val="000000" w:themeColor="text1"/>
          <w:lang w:eastAsia="en-GB"/>
        </w:rPr>
        <w:t>.</w:t>
      </w:r>
      <w:r w:rsidR="005438FC" w:rsidRPr="0088177C">
        <w:rPr>
          <w:rStyle w:val="FootnoteReference"/>
          <w:rFonts w:eastAsia="Times New Roman" w:cs="Times New Roman"/>
          <w:color w:val="000000" w:themeColor="text1"/>
          <w:lang w:eastAsia="en-GB"/>
        </w:rPr>
        <w:footnoteReference w:id="41"/>
      </w:r>
      <w:r w:rsidR="005438FC" w:rsidRPr="0088177C">
        <w:rPr>
          <w:rFonts w:eastAsia="Times New Roman" w:cs="Times New Roman"/>
          <w:color w:val="000000" w:themeColor="text1"/>
          <w:lang w:eastAsia="en-GB"/>
        </w:rPr>
        <w:t xml:space="preserve"> </w:t>
      </w:r>
      <w:r w:rsidR="00554F7E">
        <w:rPr>
          <w:rFonts w:eastAsia="Times New Roman" w:cs="Times New Roman"/>
          <w:color w:val="000000" w:themeColor="text1"/>
          <w:lang w:eastAsia="en-GB"/>
        </w:rPr>
        <w:t xml:space="preserve"> </w:t>
      </w:r>
      <w:r w:rsidR="005438FC" w:rsidRPr="0088177C">
        <w:rPr>
          <w:rFonts w:eastAsia="Times New Roman" w:cs="Times New Roman"/>
          <w:color w:val="000000" w:themeColor="text1"/>
          <w:lang w:eastAsia="en-GB"/>
        </w:rPr>
        <w:t xml:space="preserve">This is achieved through the National Employment Standards </w:t>
      </w:r>
      <w:r>
        <w:rPr>
          <w:rFonts w:eastAsia="Times New Roman" w:cs="Times New Roman"/>
          <w:color w:val="000000" w:themeColor="text1"/>
          <w:lang w:eastAsia="en-GB"/>
        </w:rPr>
        <w:t xml:space="preserve">(‘NES’) </w:t>
      </w:r>
      <w:r w:rsidR="005438FC" w:rsidRPr="0088177C">
        <w:rPr>
          <w:rFonts w:eastAsia="Times New Roman" w:cs="Times New Roman"/>
          <w:color w:val="000000" w:themeColor="text1"/>
          <w:lang w:eastAsia="en-GB"/>
        </w:rPr>
        <w:t xml:space="preserve">and Modern Awards. </w:t>
      </w:r>
      <w:r>
        <w:rPr>
          <w:rFonts w:eastAsia="Times New Roman" w:cs="Times New Roman"/>
          <w:color w:val="000000" w:themeColor="text1"/>
          <w:lang w:eastAsia="en-GB"/>
        </w:rPr>
        <w:t xml:space="preserve"> T</w:t>
      </w:r>
      <w:r w:rsidR="005438FC" w:rsidRPr="0088177C">
        <w:rPr>
          <w:rFonts w:eastAsia="Times New Roman" w:cs="Times New Roman"/>
          <w:color w:val="000000" w:themeColor="text1"/>
          <w:lang w:eastAsia="en-GB"/>
        </w:rPr>
        <w:t xml:space="preserve">here are now serious questions as to whether our workplace laws have kept pace with the rise in non-standard forms of work. </w:t>
      </w:r>
    </w:p>
    <w:p w14:paraId="4598D8FA" w14:textId="15EA2937" w:rsidR="00DD3455" w:rsidRDefault="005434BE" w:rsidP="0088177C">
      <w:pPr>
        <w:pStyle w:val="NoSpacing"/>
        <w:spacing w:beforeLines="60" w:before="144" w:line="300" w:lineRule="auto"/>
        <w:rPr>
          <w:rFonts w:eastAsia="Times New Roman" w:cs="Times New Roman"/>
          <w:color w:val="000000" w:themeColor="text1"/>
          <w:lang w:eastAsia="en-GB"/>
        </w:rPr>
      </w:pPr>
      <w:r>
        <w:rPr>
          <w:rFonts w:eastAsia="Times New Roman" w:cs="Times New Roman"/>
          <w:color w:val="000000" w:themeColor="text1"/>
          <w:lang w:eastAsia="en-GB"/>
        </w:rPr>
        <w:t>G</w:t>
      </w:r>
      <w:r w:rsidR="005438FC" w:rsidRPr="0088177C">
        <w:rPr>
          <w:rFonts w:eastAsia="Times New Roman" w:cs="Times New Roman"/>
          <w:color w:val="000000" w:themeColor="text1"/>
          <w:lang w:eastAsia="en-GB"/>
        </w:rPr>
        <w:t xml:space="preserve">ig economy workers are exactly the workers who most require the </w:t>
      </w:r>
      <w:r w:rsidR="005438FC" w:rsidRPr="0088177C">
        <w:rPr>
          <w:rFonts w:eastAsia="Times New Roman" w:cs="Times New Roman"/>
          <w:i/>
          <w:iCs/>
          <w:color w:val="000000" w:themeColor="text1"/>
          <w:lang w:eastAsia="en-GB"/>
        </w:rPr>
        <w:t>FWA</w:t>
      </w:r>
      <w:r w:rsidR="005438FC" w:rsidRPr="0088177C">
        <w:rPr>
          <w:rFonts w:eastAsia="Times New Roman" w:cs="Times New Roman"/>
          <w:color w:val="000000" w:themeColor="text1"/>
          <w:lang w:eastAsia="en-GB"/>
        </w:rPr>
        <w:t xml:space="preserve">’s </w:t>
      </w:r>
      <w:r w:rsidR="005438FC" w:rsidRPr="0088177C">
        <w:rPr>
          <w:rFonts w:eastAsia="Times New Roman" w:cs="Times New Roman"/>
          <w:i/>
          <w:iCs/>
          <w:color w:val="000000" w:themeColor="text1"/>
          <w:lang w:eastAsia="en-GB"/>
        </w:rPr>
        <w:t>safety net</w:t>
      </w:r>
      <w:r w:rsidR="005438FC" w:rsidRPr="0088177C">
        <w:rPr>
          <w:rFonts w:eastAsia="Times New Roman" w:cs="Times New Roman"/>
          <w:color w:val="000000" w:themeColor="text1"/>
          <w:lang w:eastAsia="en-GB"/>
        </w:rPr>
        <w:t xml:space="preserve">, but often these workers are classified in such a way as to deny them access to the basic rights and conditions </w:t>
      </w:r>
      <w:r w:rsidR="0029076F">
        <w:rPr>
          <w:rFonts w:eastAsia="Times New Roman" w:cs="Times New Roman"/>
          <w:color w:val="000000" w:themeColor="text1"/>
          <w:lang w:eastAsia="en-GB"/>
        </w:rPr>
        <w:t>that</w:t>
      </w:r>
      <w:r w:rsidR="005438FC" w:rsidRPr="0088177C">
        <w:rPr>
          <w:rFonts w:eastAsia="Times New Roman" w:cs="Times New Roman"/>
          <w:color w:val="000000" w:themeColor="text1"/>
          <w:lang w:eastAsia="en-GB"/>
        </w:rPr>
        <w:t xml:space="preserve"> the </w:t>
      </w:r>
      <w:r w:rsidR="005438FC" w:rsidRPr="0088177C">
        <w:rPr>
          <w:rFonts w:eastAsia="Times New Roman" w:cs="Times New Roman"/>
          <w:i/>
          <w:iCs/>
          <w:color w:val="000000" w:themeColor="text1"/>
          <w:lang w:eastAsia="en-GB"/>
        </w:rPr>
        <w:t>safety net</w:t>
      </w:r>
      <w:r w:rsidR="005438FC" w:rsidRPr="0088177C">
        <w:rPr>
          <w:rFonts w:eastAsia="Times New Roman" w:cs="Times New Roman"/>
          <w:color w:val="000000" w:themeColor="text1"/>
          <w:lang w:eastAsia="en-GB"/>
        </w:rPr>
        <w:t xml:space="preserve"> </w:t>
      </w:r>
      <w:r w:rsidR="00DD3455">
        <w:rPr>
          <w:rFonts w:eastAsia="Times New Roman" w:cs="Times New Roman"/>
          <w:color w:val="000000" w:themeColor="text1"/>
          <w:lang w:eastAsia="en-GB"/>
        </w:rPr>
        <w:t xml:space="preserve">exists to </w:t>
      </w:r>
      <w:r w:rsidR="005438FC" w:rsidRPr="0088177C">
        <w:rPr>
          <w:rFonts w:eastAsia="Times New Roman" w:cs="Times New Roman"/>
          <w:color w:val="000000" w:themeColor="text1"/>
          <w:lang w:eastAsia="en-GB"/>
        </w:rPr>
        <w:t xml:space="preserve">provides. This is not a new strategy to reduce worker’s rights, and recommendations of measures to protect these workers have been made to the Australian Government in </w:t>
      </w:r>
      <w:r w:rsidR="0029076F" w:rsidRPr="0088177C">
        <w:rPr>
          <w:rFonts w:eastAsia="Times New Roman" w:cs="Times New Roman"/>
          <w:color w:val="000000" w:themeColor="text1"/>
          <w:lang w:eastAsia="en-GB"/>
        </w:rPr>
        <w:t>several</w:t>
      </w:r>
      <w:r w:rsidR="005438FC" w:rsidRPr="0088177C">
        <w:rPr>
          <w:rFonts w:eastAsia="Times New Roman" w:cs="Times New Roman"/>
          <w:color w:val="000000" w:themeColor="text1"/>
          <w:lang w:eastAsia="en-GB"/>
        </w:rPr>
        <w:t xml:space="preserve"> reports and inquiries dating back to the 1985 </w:t>
      </w:r>
      <w:r w:rsidR="005438FC" w:rsidRPr="0088177C">
        <w:rPr>
          <w:rFonts w:eastAsia="Times New Roman" w:cs="Times New Roman"/>
          <w:i/>
          <w:iCs/>
          <w:color w:val="000000" w:themeColor="text1"/>
          <w:lang w:eastAsia="en-GB"/>
        </w:rPr>
        <w:t>Hancock Report</w:t>
      </w:r>
      <w:r w:rsidR="005438FC" w:rsidRPr="0088177C">
        <w:rPr>
          <w:rFonts w:eastAsia="Times New Roman" w:cs="Times New Roman"/>
          <w:color w:val="000000" w:themeColor="text1"/>
          <w:lang w:eastAsia="en-GB"/>
        </w:rPr>
        <w:t>.</w:t>
      </w:r>
      <w:r w:rsidR="005438FC" w:rsidRPr="0088177C">
        <w:rPr>
          <w:rStyle w:val="FootnoteReference"/>
          <w:rFonts w:eastAsia="Times New Roman" w:cs="Times New Roman"/>
          <w:color w:val="000000" w:themeColor="text1"/>
          <w:lang w:eastAsia="en-GB"/>
        </w:rPr>
        <w:footnoteReference w:id="42"/>
      </w:r>
      <w:r w:rsidR="005438FC" w:rsidRPr="0088177C">
        <w:rPr>
          <w:rFonts w:eastAsia="Times New Roman" w:cs="Times New Roman"/>
          <w:color w:val="000000" w:themeColor="text1"/>
          <w:lang w:eastAsia="en-GB"/>
        </w:rPr>
        <w:t xml:space="preserve">  Today the problem still exists but has been exacerbated by developments in technology.</w:t>
      </w:r>
    </w:p>
    <w:p w14:paraId="429A682A" w14:textId="77777777" w:rsidR="005438FC" w:rsidRPr="00433B91" w:rsidRDefault="005438FC" w:rsidP="0088177C">
      <w:pPr>
        <w:pStyle w:val="NoSpacing"/>
        <w:spacing w:beforeLines="60" w:before="144" w:line="300" w:lineRule="auto"/>
        <w:rPr>
          <w:rFonts w:eastAsia="Times New Roman" w:cs="Times New Roman"/>
          <w:b/>
          <w:bCs/>
          <w:color w:val="9D825C"/>
          <w:lang w:eastAsia="en-GB"/>
        </w:rPr>
      </w:pPr>
      <w:r w:rsidRPr="00433B91">
        <w:rPr>
          <w:rFonts w:eastAsia="Times New Roman" w:cs="Times New Roman"/>
          <w:b/>
          <w:bCs/>
          <w:color w:val="9D825C"/>
          <w:lang w:eastAsia="en-GB"/>
        </w:rPr>
        <w:t xml:space="preserve">What kinds of workers need protection?  </w:t>
      </w:r>
    </w:p>
    <w:p w14:paraId="2B1AB322" w14:textId="77777777" w:rsidR="005438FC" w:rsidRPr="00F8380E" w:rsidRDefault="005438FC" w:rsidP="0088177C">
      <w:pPr>
        <w:pStyle w:val="NoSpacing"/>
        <w:spacing w:beforeLines="60" w:before="144" w:line="300" w:lineRule="auto"/>
        <w:rPr>
          <w:rFonts w:eastAsia="Times New Roman" w:cs="Times New Roman"/>
          <w:b/>
          <w:bCs/>
          <w:color w:val="9D825C"/>
          <w:lang w:eastAsia="en-GB"/>
        </w:rPr>
      </w:pPr>
      <w:r w:rsidRPr="00F8380E">
        <w:rPr>
          <w:rFonts w:eastAsia="Times New Roman" w:cs="Times New Roman"/>
          <w:b/>
          <w:bCs/>
          <w:color w:val="9D825C"/>
          <w:lang w:eastAsia="en-GB"/>
        </w:rPr>
        <w:t>Self-employed workers</w:t>
      </w:r>
    </w:p>
    <w:p w14:paraId="3A56E7CF" w14:textId="533BE4FE" w:rsidR="005438FC" w:rsidRPr="0088177C" w:rsidRDefault="005438FC" w:rsidP="0088177C">
      <w:pPr>
        <w:pStyle w:val="NoSpacing"/>
        <w:spacing w:beforeLines="60" w:before="144" w:line="300" w:lineRule="auto"/>
        <w:rPr>
          <w:rFonts w:eastAsia="Times New Roman" w:cs="Times New Roman"/>
          <w:color w:val="000000" w:themeColor="text1"/>
          <w:lang w:eastAsia="en-GB"/>
        </w:rPr>
      </w:pPr>
      <w:r w:rsidRPr="0088177C">
        <w:rPr>
          <w:rFonts w:eastAsia="Times New Roman" w:cs="Times New Roman"/>
          <w:color w:val="000000" w:themeColor="text1"/>
          <w:lang w:eastAsia="en-GB"/>
        </w:rPr>
        <w:t>There are many reasons why self-employed workers would not want to be classified as employees, and instead be fre</w:t>
      </w:r>
      <w:r w:rsidR="00AA6BFC">
        <w:rPr>
          <w:rFonts w:eastAsia="Times New Roman" w:cs="Times New Roman"/>
          <w:color w:val="000000" w:themeColor="text1"/>
          <w:lang w:eastAsia="en-GB"/>
        </w:rPr>
        <w:t>e</w:t>
      </w:r>
      <w:r w:rsidRPr="0088177C">
        <w:rPr>
          <w:rFonts w:eastAsia="Times New Roman" w:cs="Times New Roman"/>
          <w:color w:val="000000" w:themeColor="text1"/>
          <w:lang w:eastAsia="en-GB"/>
        </w:rPr>
        <w:t xml:space="preserve"> from the confines of the employee-employer relationship (</w:t>
      </w:r>
      <w:proofErr w:type="spellStart"/>
      <w:r w:rsidRPr="0088177C">
        <w:rPr>
          <w:rFonts w:eastAsia="Times New Roman" w:cs="Times New Roman"/>
          <w:color w:val="000000" w:themeColor="text1"/>
          <w:lang w:eastAsia="en-GB"/>
        </w:rPr>
        <w:t>eg.</w:t>
      </w:r>
      <w:proofErr w:type="spellEnd"/>
      <w:r w:rsidRPr="0088177C">
        <w:rPr>
          <w:rFonts w:eastAsia="Times New Roman" w:cs="Times New Roman"/>
          <w:color w:val="000000" w:themeColor="text1"/>
          <w:lang w:eastAsia="en-GB"/>
        </w:rPr>
        <w:t xml:space="preserve"> the duty to follow lawful and reasonable orders,</w:t>
      </w:r>
      <w:r w:rsidRPr="0088177C">
        <w:rPr>
          <w:rStyle w:val="FootnoteReference"/>
          <w:rFonts w:eastAsia="Times New Roman" w:cs="Times New Roman"/>
          <w:color w:val="000000" w:themeColor="text1"/>
          <w:lang w:eastAsia="en-GB"/>
        </w:rPr>
        <w:footnoteReference w:id="43"/>
      </w:r>
      <w:r w:rsidRPr="0088177C">
        <w:rPr>
          <w:rFonts w:eastAsia="Times New Roman" w:cs="Times New Roman"/>
          <w:color w:val="000000" w:themeColor="text1"/>
          <w:lang w:eastAsia="en-GB"/>
        </w:rPr>
        <w:t xml:space="preserve"> implied duties of loyalty and control over intellectual property.</w:t>
      </w:r>
      <w:r w:rsidRPr="0088177C">
        <w:rPr>
          <w:rStyle w:val="FootnoteReference"/>
          <w:rFonts w:eastAsia="Times New Roman" w:cs="Times New Roman"/>
          <w:color w:val="000000" w:themeColor="text1"/>
          <w:lang w:eastAsia="en-GB"/>
        </w:rPr>
        <w:footnoteReference w:id="44"/>
      </w:r>
      <w:r w:rsidRPr="0088177C">
        <w:rPr>
          <w:rFonts w:eastAsia="Times New Roman" w:cs="Times New Roman"/>
          <w:color w:val="000000" w:themeColor="text1"/>
          <w:lang w:eastAsia="en-GB"/>
        </w:rPr>
        <w:t xml:space="preserve">) </w:t>
      </w:r>
    </w:p>
    <w:p w14:paraId="51281546" w14:textId="428CC5BD" w:rsidR="00433B91" w:rsidRDefault="00072A4A" w:rsidP="00433B91">
      <w:pPr>
        <w:pStyle w:val="NoSpacing"/>
        <w:spacing w:beforeLines="60" w:before="144" w:line="300" w:lineRule="auto"/>
        <w:rPr>
          <w:rFonts w:eastAsia="Verdana" w:cs="Verdana"/>
          <w:color w:val="000000" w:themeColor="text1"/>
        </w:rPr>
      </w:pPr>
      <w:r>
        <w:rPr>
          <w:rFonts w:eastAsia="Verdana" w:cs="Verdana"/>
          <w:color w:val="000000" w:themeColor="text1"/>
        </w:rPr>
        <w:t xml:space="preserve">However, </w:t>
      </w:r>
      <w:r w:rsidR="00433B91">
        <w:rPr>
          <w:rFonts w:eastAsia="Verdana" w:cs="Verdana"/>
          <w:color w:val="000000" w:themeColor="text1"/>
        </w:rPr>
        <w:t>Per Capita reject</w:t>
      </w:r>
      <w:r w:rsidR="00EA6C96">
        <w:rPr>
          <w:rFonts w:eastAsia="Verdana" w:cs="Verdana"/>
          <w:color w:val="000000" w:themeColor="text1"/>
        </w:rPr>
        <w:t>s</w:t>
      </w:r>
      <w:r w:rsidR="006C3973">
        <w:rPr>
          <w:rFonts w:eastAsia="Verdana" w:cs="Verdana"/>
          <w:color w:val="000000" w:themeColor="text1"/>
        </w:rPr>
        <w:t xml:space="preserve"> the </w:t>
      </w:r>
      <w:r w:rsidRPr="00072A4A">
        <w:rPr>
          <w:rFonts w:eastAsia="Verdana" w:cs="Verdana"/>
          <w:i/>
          <w:iCs/>
          <w:color w:val="000000" w:themeColor="text1"/>
        </w:rPr>
        <w:t>Interim</w:t>
      </w:r>
      <w:r w:rsidR="006C3973" w:rsidRPr="00072A4A">
        <w:rPr>
          <w:rFonts w:eastAsia="Verdana" w:cs="Verdana"/>
          <w:i/>
          <w:iCs/>
          <w:color w:val="000000" w:themeColor="text1"/>
        </w:rPr>
        <w:t xml:space="preserve"> Report</w:t>
      </w:r>
      <w:r w:rsidR="0029076F">
        <w:rPr>
          <w:rFonts w:eastAsia="Verdana" w:cs="Verdana"/>
          <w:i/>
          <w:iCs/>
          <w:color w:val="000000" w:themeColor="text1"/>
        </w:rPr>
        <w:t>’</w:t>
      </w:r>
      <w:r w:rsidR="006C3973" w:rsidRPr="00072A4A">
        <w:rPr>
          <w:rFonts w:eastAsia="Verdana" w:cs="Verdana"/>
          <w:i/>
          <w:iCs/>
          <w:color w:val="000000" w:themeColor="text1"/>
        </w:rPr>
        <w:t>s</w:t>
      </w:r>
      <w:r w:rsidR="006C3973">
        <w:rPr>
          <w:rFonts w:eastAsia="Verdana" w:cs="Verdana"/>
          <w:color w:val="000000" w:themeColor="text1"/>
        </w:rPr>
        <w:t xml:space="preserve"> assertion that</w:t>
      </w:r>
      <w:r w:rsidR="00C860C8">
        <w:rPr>
          <w:rFonts w:eastAsia="Verdana" w:cs="Verdana"/>
          <w:color w:val="000000" w:themeColor="text1"/>
        </w:rPr>
        <w:t xml:space="preserve"> </w:t>
      </w:r>
      <w:proofErr w:type="spellStart"/>
      <w:r>
        <w:rPr>
          <w:rFonts w:eastAsia="Verdana" w:cs="Verdana"/>
          <w:color w:val="000000" w:themeColor="text1"/>
        </w:rPr>
        <w:t>categorising</w:t>
      </w:r>
      <w:proofErr w:type="spellEnd"/>
      <w:r w:rsidR="00C860C8">
        <w:rPr>
          <w:rFonts w:eastAsia="Verdana" w:cs="Verdana"/>
          <w:color w:val="000000" w:themeColor="text1"/>
        </w:rPr>
        <w:t xml:space="preserve"> platform work</w:t>
      </w:r>
      <w:r w:rsidR="00AA6BFC">
        <w:rPr>
          <w:rFonts w:eastAsia="Verdana" w:cs="Verdana"/>
          <w:color w:val="000000" w:themeColor="text1"/>
        </w:rPr>
        <w:t>er</w:t>
      </w:r>
      <w:r w:rsidR="00C860C8">
        <w:rPr>
          <w:rFonts w:eastAsia="Verdana" w:cs="Verdana"/>
          <w:color w:val="000000" w:themeColor="text1"/>
        </w:rPr>
        <w:t>s as employees would remove key benefits to both efficiency and flexibility for workers</w:t>
      </w:r>
      <w:r w:rsidR="00B86EB0">
        <w:rPr>
          <w:rFonts w:eastAsia="Verdana" w:cs="Verdana"/>
          <w:color w:val="000000" w:themeColor="text1"/>
        </w:rPr>
        <w:t>.</w:t>
      </w:r>
      <w:r>
        <w:rPr>
          <w:rStyle w:val="FootnoteReference"/>
          <w:rFonts w:eastAsia="Verdana" w:cs="Verdana"/>
          <w:color w:val="000000" w:themeColor="text1"/>
        </w:rPr>
        <w:footnoteReference w:id="45"/>
      </w:r>
      <w:r w:rsidR="00B86EB0">
        <w:rPr>
          <w:rFonts w:eastAsia="Verdana" w:cs="Verdana"/>
          <w:color w:val="000000" w:themeColor="text1"/>
        </w:rPr>
        <w:t xml:space="preserve"> </w:t>
      </w:r>
      <w:r w:rsidR="00AA6BFC">
        <w:rPr>
          <w:rFonts w:eastAsia="Verdana" w:cs="Verdana"/>
          <w:color w:val="000000" w:themeColor="text1"/>
        </w:rPr>
        <w:t xml:space="preserve"> </w:t>
      </w:r>
      <w:r w:rsidR="00B86EB0">
        <w:rPr>
          <w:rFonts w:eastAsia="Verdana" w:cs="Verdana"/>
          <w:color w:val="000000" w:themeColor="text1"/>
        </w:rPr>
        <w:t xml:space="preserve">There is no </w:t>
      </w:r>
      <w:r w:rsidR="00644B22">
        <w:rPr>
          <w:rFonts w:eastAsia="Verdana" w:cs="Verdana"/>
          <w:color w:val="000000" w:themeColor="text1"/>
        </w:rPr>
        <w:t>substantive survey or research</w:t>
      </w:r>
      <w:r>
        <w:rPr>
          <w:rFonts w:eastAsia="Verdana" w:cs="Verdana"/>
          <w:color w:val="000000" w:themeColor="text1"/>
        </w:rPr>
        <w:t>,</w:t>
      </w:r>
      <w:r w:rsidR="00644B22">
        <w:rPr>
          <w:rFonts w:eastAsia="Verdana" w:cs="Verdana"/>
          <w:color w:val="000000" w:themeColor="text1"/>
        </w:rPr>
        <w:t xml:space="preserve"> to our knowledge</w:t>
      </w:r>
      <w:r>
        <w:rPr>
          <w:rFonts w:eastAsia="Verdana" w:cs="Verdana"/>
          <w:color w:val="000000" w:themeColor="text1"/>
        </w:rPr>
        <w:t>,</w:t>
      </w:r>
      <w:r w:rsidR="00644B22">
        <w:rPr>
          <w:rFonts w:eastAsia="Verdana" w:cs="Verdana"/>
          <w:color w:val="000000" w:themeColor="text1"/>
        </w:rPr>
        <w:t xml:space="preserve"> which indicates that platform workers do not wish to have the same protections </w:t>
      </w:r>
      <w:r w:rsidR="00EA6C96">
        <w:rPr>
          <w:rFonts w:eastAsia="Verdana" w:cs="Verdana"/>
          <w:color w:val="000000" w:themeColor="text1"/>
        </w:rPr>
        <w:t xml:space="preserve">that are </w:t>
      </w:r>
      <w:r w:rsidR="00644B22">
        <w:rPr>
          <w:rFonts w:eastAsia="Verdana" w:cs="Verdana"/>
          <w:color w:val="000000" w:themeColor="text1"/>
        </w:rPr>
        <w:t xml:space="preserve">available to </w:t>
      </w:r>
      <w:r w:rsidR="00EA6C96">
        <w:rPr>
          <w:rFonts w:eastAsia="Verdana" w:cs="Verdana"/>
          <w:color w:val="000000" w:themeColor="text1"/>
        </w:rPr>
        <w:t xml:space="preserve">other </w:t>
      </w:r>
      <w:r w:rsidR="00AA6BFC">
        <w:rPr>
          <w:rFonts w:eastAsia="Verdana" w:cs="Verdana"/>
          <w:color w:val="000000" w:themeColor="text1"/>
        </w:rPr>
        <w:t xml:space="preserve">Australian </w:t>
      </w:r>
      <w:r w:rsidR="00644B22">
        <w:rPr>
          <w:rFonts w:eastAsia="Verdana" w:cs="Verdana"/>
          <w:color w:val="000000" w:themeColor="text1"/>
        </w:rPr>
        <w:t xml:space="preserve">employees. </w:t>
      </w:r>
      <w:r w:rsidR="00433B91">
        <w:rPr>
          <w:rFonts w:eastAsia="Verdana" w:cs="Verdana"/>
          <w:color w:val="000000" w:themeColor="text1"/>
        </w:rPr>
        <w:t xml:space="preserve"> </w:t>
      </w:r>
      <w:r w:rsidR="00A45EA7">
        <w:rPr>
          <w:rFonts w:eastAsia="Verdana" w:cs="Verdana"/>
          <w:color w:val="000000" w:themeColor="text1"/>
        </w:rPr>
        <w:t xml:space="preserve">The main </w:t>
      </w:r>
      <w:r>
        <w:rPr>
          <w:rFonts w:eastAsia="Verdana" w:cs="Verdana"/>
          <w:color w:val="000000" w:themeColor="text1"/>
        </w:rPr>
        <w:t>benefits</w:t>
      </w:r>
      <w:r w:rsidR="00A45EA7">
        <w:rPr>
          <w:rFonts w:eastAsia="Verdana" w:cs="Verdana"/>
          <w:color w:val="000000" w:themeColor="text1"/>
        </w:rPr>
        <w:t xml:space="preserve"> in not </w:t>
      </w:r>
      <w:proofErr w:type="spellStart"/>
      <w:r>
        <w:rPr>
          <w:rFonts w:eastAsia="Verdana" w:cs="Verdana"/>
          <w:color w:val="000000" w:themeColor="text1"/>
        </w:rPr>
        <w:t>categori</w:t>
      </w:r>
      <w:r w:rsidR="001E622F">
        <w:rPr>
          <w:rFonts w:eastAsia="Verdana" w:cs="Verdana"/>
          <w:color w:val="000000" w:themeColor="text1"/>
        </w:rPr>
        <w:t>s</w:t>
      </w:r>
      <w:r>
        <w:rPr>
          <w:rFonts w:eastAsia="Verdana" w:cs="Verdana"/>
          <w:color w:val="000000" w:themeColor="text1"/>
        </w:rPr>
        <w:t>ing</w:t>
      </w:r>
      <w:proofErr w:type="spellEnd"/>
      <w:r w:rsidR="00A45EA7">
        <w:rPr>
          <w:rFonts w:eastAsia="Verdana" w:cs="Verdana"/>
          <w:color w:val="000000" w:themeColor="text1"/>
        </w:rPr>
        <w:t xml:space="preserve"> platform workers as employees would be </w:t>
      </w:r>
      <w:r w:rsidR="006D3C58">
        <w:rPr>
          <w:rFonts w:eastAsia="Verdana" w:cs="Verdana"/>
          <w:color w:val="000000" w:themeColor="text1"/>
        </w:rPr>
        <w:t>for the platform</w:t>
      </w:r>
      <w:r w:rsidR="00C312AA">
        <w:rPr>
          <w:rFonts w:eastAsia="Verdana" w:cs="Verdana"/>
          <w:color w:val="000000" w:themeColor="text1"/>
        </w:rPr>
        <w:t xml:space="preserve"> firms</w:t>
      </w:r>
      <w:r w:rsidR="0029076F">
        <w:rPr>
          <w:rFonts w:eastAsia="Verdana" w:cs="Verdana"/>
          <w:color w:val="000000" w:themeColor="text1"/>
        </w:rPr>
        <w:t xml:space="preserve"> who wish to reduce their liability</w:t>
      </w:r>
      <w:r w:rsidR="00EA6C96">
        <w:rPr>
          <w:rFonts w:eastAsia="Verdana" w:cs="Verdana"/>
          <w:color w:val="000000" w:themeColor="text1"/>
        </w:rPr>
        <w:t>, not the workers</w:t>
      </w:r>
      <w:r>
        <w:rPr>
          <w:rFonts w:eastAsia="Verdana" w:cs="Verdana"/>
          <w:color w:val="000000" w:themeColor="text1"/>
        </w:rPr>
        <w:t>.</w:t>
      </w:r>
    </w:p>
    <w:p w14:paraId="06ADF443" w14:textId="18160E5E" w:rsidR="00F8380E" w:rsidRPr="00F8380E" w:rsidRDefault="00F8380E" w:rsidP="00433B91">
      <w:pPr>
        <w:pStyle w:val="NoSpacing"/>
        <w:spacing w:beforeLines="60" w:before="144" w:line="300" w:lineRule="auto"/>
        <w:rPr>
          <w:rFonts w:eastAsia="Verdana" w:cs="Verdana"/>
          <w:b/>
          <w:bCs/>
          <w:color w:val="9D825C"/>
        </w:rPr>
      </w:pPr>
      <w:r w:rsidRPr="00F8380E">
        <w:rPr>
          <w:rFonts w:eastAsia="Verdana" w:cs="Verdana"/>
          <w:b/>
          <w:bCs/>
          <w:color w:val="9D825C"/>
        </w:rPr>
        <w:t xml:space="preserve">Platform workers </w:t>
      </w:r>
    </w:p>
    <w:p w14:paraId="630B81B2" w14:textId="06877042" w:rsidR="00AA6BFC" w:rsidRPr="00E10171" w:rsidRDefault="00AA6BFC" w:rsidP="0088177C">
      <w:pPr>
        <w:pStyle w:val="NoSpacing"/>
        <w:spacing w:beforeLines="60" w:before="144" w:line="300" w:lineRule="auto"/>
        <w:rPr>
          <w:rFonts w:eastAsia="Times New Roman" w:cs="Times New Roman"/>
          <w:color w:val="000000" w:themeColor="text1"/>
          <w:lang w:eastAsia="en-GB"/>
        </w:rPr>
      </w:pPr>
      <w:r>
        <w:rPr>
          <w:rFonts w:eastAsia="Times New Roman" w:cs="Times New Roman"/>
          <w:color w:val="000000" w:themeColor="text1"/>
          <w:lang w:eastAsia="en-GB"/>
        </w:rPr>
        <w:t xml:space="preserve">Per Capita agrees with the </w:t>
      </w:r>
      <w:r w:rsidRPr="0029076F">
        <w:rPr>
          <w:rFonts w:eastAsia="Times New Roman" w:cs="Times New Roman"/>
          <w:i/>
          <w:iCs/>
          <w:color w:val="000000" w:themeColor="text1"/>
          <w:lang w:eastAsia="en-GB"/>
        </w:rPr>
        <w:t>I</w:t>
      </w:r>
      <w:r w:rsidRPr="00B107D7">
        <w:rPr>
          <w:rFonts w:eastAsia="Times New Roman" w:cs="Times New Roman"/>
          <w:i/>
          <w:iCs/>
          <w:color w:val="000000" w:themeColor="text1"/>
          <w:lang w:eastAsia="en-GB"/>
        </w:rPr>
        <w:t>nterim Report</w:t>
      </w:r>
      <w:r>
        <w:rPr>
          <w:rFonts w:eastAsia="Times New Roman" w:cs="Times New Roman"/>
          <w:color w:val="000000" w:themeColor="text1"/>
          <w:lang w:eastAsia="en-GB"/>
        </w:rPr>
        <w:t xml:space="preserve"> in their finding that digital platform </w:t>
      </w:r>
      <w:r w:rsidR="0029076F">
        <w:rPr>
          <w:rFonts w:eastAsia="Times New Roman" w:cs="Times New Roman"/>
          <w:color w:val="000000" w:themeColor="text1"/>
          <w:lang w:eastAsia="en-GB"/>
        </w:rPr>
        <w:t xml:space="preserve">work </w:t>
      </w:r>
      <w:r>
        <w:rPr>
          <w:rFonts w:eastAsia="Times New Roman" w:cs="Times New Roman"/>
          <w:color w:val="000000" w:themeColor="text1"/>
          <w:lang w:eastAsia="en-GB"/>
        </w:rPr>
        <w:t>appears to be expanding, but data is limited.</w:t>
      </w:r>
      <w:r>
        <w:rPr>
          <w:rStyle w:val="FootnoteReference"/>
          <w:rFonts w:eastAsia="Times New Roman" w:cs="Times New Roman"/>
          <w:color w:val="000000" w:themeColor="text1"/>
          <w:lang w:eastAsia="en-GB"/>
        </w:rPr>
        <w:footnoteReference w:id="46"/>
      </w:r>
      <w:r>
        <w:rPr>
          <w:rFonts w:eastAsia="Times New Roman" w:cs="Times New Roman"/>
          <w:color w:val="000000" w:themeColor="text1"/>
          <w:lang w:eastAsia="en-GB"/>
        </w:rPr>
        <w:t xml:space="preserve">  </w:t>
      </w:r>
      <w:r w:rsidR="00DB4752" w:rsidRPr="0088177C">
        <w:rPr>
          <w:color w:val="000000" w:themeColor="text1"/>
        </w:rPr>
        <w:t>For this reason it is hard to say with any certainty that workers prefer this type of work</w:t>
      </w:r>
      <w:r w:rsidR="00DB4752">
        <w:rPr>
          <w:color w:val="000000" w:themeColor="text1"/>
        </w:rPr>
        <w:t xml:space="preserve"> for its f</w:t>
      </w:r>
      <w:r w:rsidR="00E10171">
        <w:rPr>
          <w:color w:val="000000" w:themeColor="text1"/>
        </w:rPr>
        <w:t>lexibility</w:t>
      </w:r>
      <w:r w:rsidR="00DB4752">
        <w:rPr>
          <w:color w:val="000000" w:themeColor="text1"/>
        </w:rPr>
        <w:t>.</w:t>
      </w:r>
      <w:r w:rsidR="00DB4752" w:rsidRPr="0088177C">
        <w:rPr>
          <w:color w:val="000000" w:themeColor="text1"/>
        </w:rPr>
        <w:t xml:space="preserve"> </w:t>
      </w:r>
      <w:r w:rsidR="00E10171">
        <w:rPr>
          <w:rFonts w:eastAsia="Times New Roman" w:cs="Times New Roman"/>
          <w:color w:val="000000" w:themeColor="text1"/>
          <w:lang w:eastAsia="en-GB"/>
        </w:rPr>
        <w:t>T</w:t>
      </w:r>
      <w:r>
        <w:rPr>
          <w:rFonts w:eastAsia="Times New Roman" w:cs="Times New Roman"/>
          <w:color w:val="000000" w:themeColor="text1"/>
          <w:lang w:eastAsia="en-GB"/>
        </w:rPr>
        <w:t xml:space="preserve">here are still some conclusions we can make about the sector with the available data and literature. </w:t>
      </w:r>
    </w:p>
    <w:p w14:paraId="35200554" w14:textId="6B1E15E8" w:rsidR="005438FC" w:rsidRPr="0088177C" w:rsidRDefault="0029076F" w:rsidP="0088177C">
      <w:pPr>
        <w:pStyle w:val="NoSpacing"/>
        <w:spacing w:beforeLines="60" w:before="144" w:line="300" w:lineRule="auto"/>
        <w:rPr>
          <w:rFonts w:eastAsia="Times New Roman" w:cs="Times New Roman"/>
          <w:color w:val="000000" w:themeColor="text1"/>
          <w:lang w:eastAsia="en-GB"/>
        </w:rPr>
      </w:pPr>
      <w:r>
        <w:rPr>
          <w:rFonts w:eastAsia="Times New Roman" w:cs="Times New Roman"/>
          <w:color w:val="000000" w:themeColor="text1"/>
          <w:lang w:eastAsia="en-GB"/>
        </w:rPr>
        <w:t>‘</w:t>
      </w:r>
      <w:r w:rsidR="005438FC" w:rsidRPr="0088177C">
        <w:rPr>
          <w:rFonts w:eastAsia="Times New Roman" w:cs="Times New Roman"/>
          <w:color w:val="000000" w:themeColor="text1"/>
          <w:lang w:eastAsia="en-GB"/>
        </w:rPr>
        <w:t>On demand</w:t>
      </w:r>
      <w:r>
        <w:rPr>
          <w:rFonts w:eastAsia="Times New Roman" w:cs="Times New Roman"/>
          <w:color w:val="000000" w:themeColor="text1"/>
          <w:lang w:eastAsia="en-GB"/>
        </w:rPr>
        <w:t>’</w:t>
      </w:r>
      <w:r w:rsidR="005438FC" w:rsidRPr="0088177C">
        <w:rPr>
          <w:rFonts w:eastAsia="Times New Roman" w:cs="Times New Roman"/>
          <w:color w:val="000000" w:themeColor="text1"/>
          <w:lang w:eastAsia="en-GB"/>
        </w:rPr>
        <w:t xml:space="preserve"> </w:t>
      </w:r>
      <w:r>
        <w:rPr>
          <w:rFonts w:eastAsia="Times New Roman" w:cs="Times New Roman"/>
          <w:color w:val="000000" w:themeColor="text1"/>
          <w:lang w:eastAsia="en-GB"/>
        </w:rPr>
        <w:t xml:space="preserve">employment </w:t>
      </w:r>
      <w:r w:rsidR="005438FC" w:rsidRPr="0088177C">
        <w:rPr>
          <w:rFonts w:eastAsia="Times New Roman" w:cs="Times New Roman"/>
          <w:color w:val="000000" w:themeColor="text1"/>
          <w:lang w:eastAsia="en-GB"/>
        </w:rPr>
        <w:t xml:space="preserve">is not a new </w:t>
      </w:r>
      <w:r>
        <w:rPr>
          <w:rFonts w:eastAsia="Times New Roman" w:cs="Times New Roman"/>
          <w:color w:val="000000" w:themeColor="text1"/>
          <w:lang w:eastAsia="en-GB"/>
        </w:rPr>
        <w:t xml:space="preserve">workplace </w:t>
      </w:r>
      <w:r w:rsidR="005438FC" w:rsidRPr="0088177C">
        <w:rPr>
          <w:rFonts w:eastAsia="Times New Roman" w:cs="Times New Roman"/>
          <w:color w:val="000000" w:themeColor="text1"/>
          <w:lang w:eastAsia="en-GB"/>
        </w:rPr>
        <w:t xml:space="preserve">phenomenon, what is new is the platform </w:t>
      </w:r>
      <w:r>
        <w:rPr>
          <w:rFonts w:eastAsia="Times New Roman" w:cs="Times New Roman"/>
          <w:color w:val="000000" w:themeColor="text1"/>
          <w:lang w:eastAsia="en-GB"/>
        </w:rPr>
        <w:t>o</w:t>
      </w:r>
      <w:r w:rsidR="005438FC" w:rsidRPr="0088177C">
        <w:rPr>
          <w:rFonts w:eastAsia="Times New Roman" w:cs="Times New Roman"/>
          <w:color w:val="000000" w:themeColor="text1"/>
          <w:lang w:eastAsia="en-GB"/>
        </w:rPr>
        <w:t>n which work is obtained</w:t>
      </w:r>
      <w:r>
        <w:rPr>
          <w:rFonts w:eastAsia="Times New Roman" w:cs="Times New Roman"/>
          <w:color w:val="000000" w:themeColor="text1"/>
          <w:lang w:eastAsia="en-GB"/>
        </w:rPr>
        <w:t>, n</w:t>
      </w:r>
      <w:r w:rsidR="005438FC" w:rsidRPr="0088177C">
        <w:rPr>
          <w:rFonts w:eastAsia="Times New Roman" w:cs="Times New Roman"/>
          <w:color w:val="000000" w:themeColor="text1"/>
          <w:lang w:eastAsia="en-GB"/>
        </w:rPr>
        <w:t>otably the emergence of digital platforms which source, sort, organise and deploy workers.</w:t>
      </w:r>
      <w:r w:rsidR="005438FC" w:rsidRPr="0088177C">
        <w:rPr>
          <w:rStyle w:val="FootnoteReference"/>
          <w:rFonts w:eastAsia="Times New Roman" w:cs="Times New Roman"/>
          <w:color w:val="000000" w:themeColor="text1"/>
          <w:lang w:eastAsia="en-GB"/>
        </w:rPr>
        <w:footnoteReference w:id="47"/>
      </w:r>
    </w:p>
    <w:p w14:paraId="287924CF" w14:textId="0F2547F3" w:rsidR="005438FC" w:rsidRPr="0088177C" w:rsidRDefault="005438FC" w:rsidP="0088177C">
      <w:pPr>
        <w:pStyle w:val="NoSpacing"/>
        <w:spacing w:beforeLines="60" w:before="144" w:line="300" w:lineRule="auto"/>
        <w:rPr>
          <w:rFonts w:cs="Times New Roman"/>
          <w:color w:val="000000" w:themeColor="text1"/>
        </w:rPr>
      </w:pPr>
      <w:r w:rsidRPr="0088177C">
        <w:rPr>
          <w:rFonts w:eastAsia="Times New Roman" w:cs="Tahoma"/>
          <w:color w:val="000000" w:themeColor="text1"/>
          <w:shd w:val="clear" w:color="auto" w:fill="FFFFFF"/>
          <w:lang w:eastAsia="en-GB"/>
        </w:rPr>
        <w:t xml:space="preserve">A helpful definition of gig economy workers </w:t>
      </w:r>
      <w:r w:rsidRPr="0088177C">
        <w:rPr>
          <w:rFonts w:cs="Times New Roman"/>
          <w:color w:val="000000" w:themeColor="text1"/>
        </w:rPr>
        <w:t xml:space="preserve">is one provided in the December 2020 Actuaries Institute Green Paper, </w:t>
      </w:r>
      <w:r w:rsidRPr="0088177C">
        <w:rPr>
          <w:rFonts w:cs="Times New Roman"/>
          <w:i/>
          <w:iCs/>
          <w:color w:val="000000" w:themeColor="text1"/>
        </w:rPr>
        <w:t xml:space="preserve">The Rise of the Gig </w:t>
      </w:r>
      <w:proofErr w:type="gramStart"/>
      <w:r w:rsidRPr="0088177C">
        <w:rPr>
          <w:rFonts w:cs="Times New Roman"/>
          <w:i/>
          <w:iCs/>
          <w:color w:val="000000" w:themeColor="text1"/>
        </w:rPr>
        <w:t>Economy</w:t>
      </w:r>
      <w:proofErr w:type="gramEnd"/>
      <w:r w:rsidRPr="0088177C">
        <w:rPr>
          <w:rFonts w:cs="Times New Roman"/>
          <w:i/>
          <w:iCs/>
          <w:color w:val="000000" w:themeColor="text1"/>
        </w:rPr>
        <w:t xml:space="preserve"> and I</w:t>
      </w:r>
      <w:r w:rsidR="0029076F">
        <w:rPr>
          <w:rFonts w:cs="Times New Roman"/>
          <w:i/>
          <w:iCs/>
          <w:color w:val="000000" w:themeColor="text1"/>
        </w:rPr>
        <w:t>t</w:t>
      </w:r>
      <w:r w:rsidRPr="0088177C">
        <w:rPr>
          <w:rFonts w:cs="Times New Roman"/>
          <w:i/>
          <w:iCs/>
          <w:color w:val="000000" w:themeColor="text1"/>
        </w:rPr>
        <w:t>s Impacts on the Australian Workforce</w:t>
      </w:r>
      <w:r w:rsidRPr="0088177C">
        <w:rPr>
          <w:rFonts w:cs="Times New Roman"/>
          <w:color w:val="000000" w:themeColor="text1"/>
        </w:rPr>
        <w:t xml:space="preserve">.  It characterizes the gig economy </w:t>
      </w:r>
      <w:r w:rsidR="0029076F">
        <w:rPr>
          <w:rFonts w:cs="Times New Roman"/>
          <w:color w:val="000000" w:themeColor="text1"/>
        </w:rPr>
        <w:t xml:space="preserve">as being </w:t>
      </w:r>
      <w:r w:rsidRPr="0088177C">
        <w:rPr>
          <w:rFonts w:cs="Times New Roman"/>
          <w:color w:val="000000" w:themeColor="text1"/>
        </w:rPr>
        <w:t>inclusive of all the following elements:</w:t>
      </w:r>
    </w:p>
    <w:p w14:paraId="4A85E301" w14:textId="77777777" w:rsidR="005438FC" w:rsidRPr="0088177C" w:rsidRDefault="005438FC" w:rsidP="00C312AA">
      <w:pPr>
        <w:pStyle w:val="NoSpacing"/>
        <w:numPr>
          <w:ilvl w:val="0"/>
          <w:numId w:val="36"/>
        </w:numPr>
        <w:spacing w:beforeLines="60" w:before="144" w:line="300" w:lineRule="auto"/>
        <w:rPr>
          <w:rFonts w:cs="Times New Roman"/>
          <w:color w:val="000000" w:themeColor="text1"/>
        </w:rPr>
      </w:pPr>
      <w:r w:rsidRPr="0088177C">
        <w:rPr>
          <w:rFonts w:cs="Times New Roman"/>
          <w:b/>
          <w:bCs/>
          <w:color w:val="000000" w:themeColor="text1"/>
        </w:rPr>
        <w:t>On-demand,</w:t>
      </w:r>
      <w:r w:rsidRPr="0088177C">
        <w:rPr>
          <w:rFonts w:cs="Times New Roman"/>
          <w:color w:val="000000" w:themeColor="text1"/>
        </w:rPr>
        <w:t xml:space="preserve"> meaning the worker provides on demand </w:t>
      </w:r>
      <w:proofErr w:type="gramStart"/>
      <w:r w:rsidRPr="0088177C">
        <w:rPr>
          <w:rFonts w:cs="Times New Roman"/>
          <w:color w:val="000000" w:themeColor="text1"/>
        </w:rPr>
        <w:t>services;</w:t>
      </w:r>
      <w:proofErr w:type="gramEnd"/>
    </w:p>
    <w:p w14:paraId="0D6273FC" w14:textId="77777777" w:rsidR="005438FC" w:rsidRPr="0088177C" w:rsidRDefault="005438FC" w:rsidP="00C312AA">
      <w:pPr>
        <w:pStyle w:val="NoSpacing"/>
        <w:numPr>
          <w:ilvl w:val="0"/>
          <w:numId w:val="36"/>
        </w:numPr>
        <w:spacing w:beforeLines="60" w:before="144" w:line="300" w:lineRule="auto"/>
        <w:rPr>
          <w:rFonts w:cs="Times New Roman"/>
          <w:color w:val="000000" w:themeColor="text1"/>
        </w:rPr>
      </w:pPr>
      <w:r w:rsidRPr="0088177C">
        <w:rPr>
          <w:rFonts w:cs="Times New Roman"/>
          <w:b/>
          <w:bCs/>
          <w:color w:val="000000" w:themeColor="text1"/>
        </w:rPr>
        <w:t>Independent Contractor</w:t>
      </w:r>
      <w:r w:rsidRPr="0088177C">
        <w:rPr>
          <w:rFonts w:cs="Times New Roman"/>
          <w:color w:val="000000" w:themeColor="text1"/>
        </w:rPr>
        <w:t xml:space="preserve">, meaning the worker is classified not as an ‘employee’ but rather as being in a </w:t>
      </w:r>
      <w:r w:rsidRPr="0088177C">
        <w:rPr>
          <w:rFonts w:cs="Times New Roman"/>
          <w:i/>
          <w:iCs/>
          <w:color w:val="000000" w:themeColor="text1"/>
        </w:rPr>
        <w:t>contract for service</w:t>
      </w:r>
      <w:r w:rsidRPr="0088177C">
        <w:rPr>
          <w:rFonts w:cs="Times New Roman"/>
          <w:color w:val="000000" w:themeColor="text1"/>
        </w:rPr>
        <w:t xml:space="preserve"> (although we think this classification is wrong for Australia); and</w:t>
      </w:r>
    </w:p>
    <w:p w14:paraId="15083D20" w14:textId="77777777" w:rsidR="005438FC" w:rsidRPr="0088177C" w:rsidRDefault="005438FC" w:rsidP="00C312AA">
      <w:pPr>
        <w:pStyle w:val="NoSpacing"/>
        <w:numPr>
          <w:ilvl w:val="0"/>
          <w:numId w:val="36"/>
        </w:numPr>
        <w:spacing w:beforeLines="60" w:before="144" w:line="300" w:lineRule="auto"/>
        <w:rPr>
          <w:rFonts w:cs="Times New Roman"/>
          <w:color w:val="000000" w:themeColor="text1"/>
        </w:rPr>
      </w:pPr>
      <w:r w:rsidRPr="0088177C">
        <w:rPr>
          <w:rFonts w:cs="Times New Roman"/>
          <w:b/>
          <w:bCs/>
          <w:color w:val="000000" w:themeColor="text1"/>
        </w:rPr>
        <w:t>Digital Platform</w:t>
      </w:r>
      <w:r w:rsidRPr="0088177C">
        <w:rPr>
          <w:rFonts w:cs="Times New Roman"/>
          <w:color w:val="000000" w:themeColor="text1"/>
        </w:rPr>
        <w:t>, which mediates the transaction where consumers and workers interact.</w:t>
      </w:r>
    </w:p>
    <w:p w14:paraId="781DBF66" w14:textId="77777777" w:rsidR="005438FC" w:rsidRPr="0088177C" w:rsidRDefault="005438FC" w:rsidP="0088177C">
      <w:pPr>
        <w:pStyle w:val="NoSpacing"/>
        <w:spacing w:beforeLines="60" w:before="144" w:line="300" w:lineRule="auto"/>
        <w:rPr>
          <w:rFonts w:cs="Times New Roman"/>
          <w:color w:val="000000" w:themeColor="text1"/>
        </w:rPr>
      </w:pPr>
      <w:r w:rsidRPr="0088177C">
        <w:rPr>
          <w:rFonts w:cs="Times New Roman"/>
          <w:color w:val="000000" w:themeColor="text1"/>
        </w:rPr>
        <w:t>This definition includes workers engaged in digital platforms for transport, meal delivery and other services (</w:t>
      </w:r>
      <w:r w:rsidRPr="0088177C">
        <w:rPr>
          <w:rFonts w:eastAsia="Times New Roman" w:cs="Times New Roman"/>
          <w:color w:val="000000" w:themeColor="text1"/>
          <w:lang w:eastAsia="en-GB"/>
        </w:rPr>
        <w:t xml:space="preserve">Uber, </w:t>
      </w:r>
      <w:proofErr w:type="spellStart"/>
      <w:r w:rsidRPr="0088177C">
        <w:rPr>
          <w:rFonts w:eastAsia="Times New Roman" w:cs="Times New Roman"/>
          <w:color w:val="000000" w:themeColor="text1"/>
          <w:lang w:eastAsia="en-GB"/>
        </w:rPr>
        <w:t>Airtasker</w:t>
      </w:r>
      <w:proofErr w:type="spellEnd"/>
      <w:r w:rsidRPr="0088177C">
        <w:rPr>
          <w:rFonts w:eastAsia="Times New Roman" w:cs="Times New Roman"/>
          <w:color w:val="000000" w:themeColor="text1"/>
          <w:lang w:eastAsia="en-GB"/>
        </w:rPr>
        <w:t xml:space="preserve">, Deliveroo and </w:t>
      </w:r>
      <w:proofErr w:type="spellStart"/>
      <w:r w:rsidRPr="0088177C">
        <w:rPr>
          <w:rFonts w:eastAsia="Times New Roman" w:cs="Times New Roman"/>
          <w:color w:val="000000" w:themeColor="text1"/>
          <w:lang w:eastAsia="en-GB"/>
        </w:rPr>
        <w:t>Foodora</w:t>
      </w:r>
      <w:proofErr w:type="spellEnd"/>
      <w:r w:rsidRPr="0088177C">
        <w:rPr>
          <w:rFonts w:eastAsia="Times New Roman" w:cs="Times New Roman"/>
          <w:color w:val="000000" w:themeColor="text1"/>
          <w:lang w:eastAsia="en-GB"/>
        </w:rPr>
        <w:t>)</w:t>
      </w:r>
      <w:r w:rsidRPr="0088177C">
        <w:rPr>
          <w:rFonts w:cs="Times New Roman"/>
          <w:color w:val="000000" w:themeColor="text1"/>
        </w:rPr>
        <w:t xml:space="preserve">. </w:t>
      </w:r>
    </w:p>
    <w:p w14:paraId="2844B6E6" w14:textId="77777777" w:rsidR="005438FC" w:rsidRPr="0088177C" w:rsidRDefault="005438FC" w:rsidP="0088177C">
      <w:pPr>
        <w:pStyle w:val="NoSpacing"/>
        <w:spacing w:beforeLines="60" w:before="144" w:line="300" w:lineRule="auto"/>
        <w:rPr>
          <w:rFonts w:cs="Times New Roman"/>
          <w:color w:val="000000" w:themeColor="text1"/>
        </w:rPr>
      </w:pPr>
      <w:r w:rsidRPr="0088177C">
        <w:rPr>
          <w:rFonts w:cs="Times New Roman"/>
          <w:color w:val="000000" w:themeColor="text1"/>
        </w:rPr>
        <w:t xml:space="preserve">It excludes: </w:t>
      </w:r>
    </w:p>
    <w:p w14:paraId="6F295F5B" w14:textId="5E42B4F9" w:rsidR="005438FC" w:rsidRPr="0088177C" w:rsidRDefault="005438FC" w:rsidP="00892D28">
      <w:pPr>
        <w:pStyle w:val="NoSpacing"/>
        <w:numPr>
          <w:ilvl w:val="0"/>
          <w:numId w:val="35"/>
        </w:numPr>
        <w:spacing w:beforeLines="60" w:before="144" w:line="300" w:lineRule="auto"/>
        <w:rPr>
          <w:rFonts w:cs="Times New Roman"/>
          <w:color w:val="000000" w:themeColor="text1"/>
        </w:rPr>
      </w:pPr>
      <w:r w:rsidRPr="0088177C">
        <w:rPr>
          <w:rFonts w:cs="Times New Roman"/>
          <w:color w:val="000000" w:themeColor="text1"/>
        </w:rPr>
        <w:t xml:space="preserve">sharing platforms like Airbnb or eBay, where there are no services provided by a </w:t>
      </w:r>
      <w:proofErr w:type="gramStart"/>
      <w:r w:rsidRPr="0088177C">
        <w:rPr>
          <w:rFonts w:cs="Times New Roman"/>
          <w:color w:val="000000" w:themeColor="text1"/>
        </w:rPr>
        <w:t>worker</w:t>
      </w:r>
      <w:r w:rsidR="00C312AA">
        <w:rPr>
          <w:rFonts w:cs="Times New Roman"/>
          <w:color w:val="000000" w:themeColor="text1"/>
        </w:rPr>
        <w:t>;</w:t>
      </w:r>
      <w:proofErr w:type="gramEnd"/>
      <w:r w:rsidRPr="0088177C">
        <w:rPr>
          <w:rFonts w:cs="Times New Roman"/>
          <w:color w:val="000000" w:themeColor="text1"/>
        </w:rPr>
        <w:t xml:space="preserve"> </w:t>
      </w:r>
    </w:p>
    <w:p w14:paraId="213C230B" w14:textId="77777777" w:rsidR="005438FC" w:rsidRPr="0088177C" w:rsidRDefault="005438FC" w:rsidP="00892D28">
      <w:pPr>
        <w:pStyle w:val="NoSpacing"/>
        <w:numPr>
          <w:ilvl w:val="0"/>
          <w:numId w:val="35"/>
        </w:numPr>
        <w:spacing w:beforeLines="60" w:before="144" w:line="300" w:lineRule="auto"/>
        <w:rPr>
          <w:rFonts w:cs="Times New Roman"/>
          <w:color w:val="000000" w:themeColor="text1"/>
        </w:rPr>
      </w:pPr>
      <w:r w:rsidRPr="0088177C">
        <w:rPr>
          <w:rFonts w:cs="Times New Roman"/>
          <w:color w:val="000000" w:themeColor="text1"/>
        </w:rPr>
        <w:t xml:space="preserve">grocery and food delivery services which may involve a digital platform but where delivery workers are employed by that company (e.g. Coles online shopping); and </w:t>
      </w:r>
    </w:p>
    <w:p w14:paraId="1B190F93" w14:textId="77777777" w:rsidR="005438FC" w:rsidRPr="0088177C" w:rsidRDefault="005438FC" w:rsidP="00892D28">
      <w:pPr>
        <w:pStyle w:val="NoSpacing"/>
        <w:numPr>
          <w:ilvl w:val="0"/>
          <w:numId w:val="35"/>
        </w:numPr>
        <w:spacing w:beforeLines="60" w:before="144" w:line="300" w:lineRule="auto"/>
        <w:rPr>
          <w:rFonts w:cs="Times New Roman"/>
          <w:color w:val="000000" w:themeColor="text1"/>
        </w:rPr>
      </w:pPr>
      <w:r w:rsidRPr="0088177C">
        <w:rPr>
          <w:rFonts w:cs="Times New Roman"/>
          <w:color w:val="000000" w:themeColor="text1"/>
        </w:rPr>
        <w:t>self-employed contractors such as tradespeople where their work is not mediated through a digital platform.</w:t>
      </w:r>
    </w:p>
    <w:p w14:paraId="2B77452F" w14:textId="4025A18E" w:rsidR="005438FC" w:rsidRDefault="005438FC" w:rsidP="0088177C">
      <w:pPr>
        <w:pStyle w:val="NoSpacing"/>
        <w:spacing w:beforeLines="60" w:before="144" w:line="300" w:lineRule="auto"/>
        <w:rPr>
          <w:color w:val="000000" w:themeColor="text1"/>
        </w:rPr>
      </w:pPr>
      <w:r w:rsidRPr="0088177C">
        <w:rPr>
          <w:rFonts w:cs="Times New Roman"/>
          <w:color w:val="000000" w:themeColor="text1"/>
        </w:rPr>
        <w:t xml:space="preserve">This is very similar to the definition of ‘platform work’ defined in </w:t>
      </w:r>
      <w:r w:rsidRPr="0088177C">
        <w:rPr>
          <w:rFonts w:cs="Times New Roman"/>
          <w:i/>
          <w:iCs/>
          <w:color w:val="000000" w:themeColor="text1"/>
        </w:rPr>
        <w:t xml:space="preserve">The </w:t>
      </w:r>
      <w:r w:rsidRPr="0088177C">
        <w:rPr>
          <w:i/>
          <w:iCs/>
          <w:color w:val="000000" w:themeColor="text1"/>
        </w:rPr>
        <w:t>Report of the Victorian Inquiry into the Victorian On-Demand Workforce</w:t>
      </w:r>
      <w:r w:rsidRPr="0088177C">
        <w:rPr>
          <w:color w:val="000000" w:themeColor="text1"/>
        </w:rPr>
        <w:t>, although this definition includes casual employees along with independent contractors.</w:t>
      </w:r>
      <w:r w:rsidRPr="0088177C">
        <w:rPr>
          <w:rStyle w:val="FootnoteReference"/>
          <w:color w:val="000000" w:themeColor="text1"/>
        </w:rPr>
        <w:footnoteReference w:id="48"/>
      </w:r>
      <w:r w:rsidRPr="0088177C">
        <w:rPr>
          <w:color w:val="000000" w:themeColor="text1"/>
        </w:rPr>
        <w:t xml:space="preserve"> </w:t>
      </w:r>
    </w:p>
    <w:p w14:paraId="7EB38A0A" w14:textId="77777777" w:rsidR="00C312AA" w:rsidRPr="0088177C" w:rsidRDefault="00C312AA" w:rsidP="0088177C">
      <w:pPr>
        <w:pStyle w:val="NoSpacing"/>
        <w:spacing w:beforeLines="60" w:before="144" w:line="300" w:lineRule="auto"/>
        <w:rPr>
          <w:color w:val="000000" w:themeColor="text1"/>
        </w:rPr>
      </w:pPr>
    </w:p>
    <w:p w14:paraId="0AB05389" w14:textId="77777777" w:rsidR="005438FC" w:rsidRPr="00C312AA" w:rsidRDefault="005438FC" w:rsidP="0088177C">
      <w:pPr>
        <w:pStyle w:val="NoSpacing"/>
        <w:spacing w:beforeLines="60" w:before="144" w:line="300" w:lineRule="auto"/>
        <w:rPr>
          <w:b/>
          <w:bCs/>
          <w:color w:val="9D825C"/>
        </w:rPr>
      </w:pPr>
      <w:r w:rsidRPr="00C312AA">
        <w:rPr>
          <w:b/>
          <w:bCs/>
          <w:color w:val="9D825C"/>
        </w:rPr>
        <w:t>Further categories of the ‘gig economy’</w:t>
      </w:r>
    </w:p>
    <w:p w14:paraId="67D7C341" w14:textId="77777777" w:rsidR="005438FC" w:rsidRPr="0088177C" w:rsidRDefault="005438FC" w:rsidP="0088177C">
      <w:pPr>
        <w:pStyle w:val="NoSpacing"/>
        <w:spacing w:beforeLines="60" w:before="144" w:line="300" w:lineRule="auto"/>
        <w:rPr>
          <w:rFonts w:cs="áÃ¸À˛"/>
          <w:color w:val="000000" w:themeColor="text1"/>
          <w:lang w:val="en-GB"/>
        </w:rPr>
      </w:pPr>
      <w:r w:rsidRPr="0088177C">
        <w:rPr>
          <w:rFonts w:cs="áÃ¸À˛"/>
          <w:color w:val="000000" w:themeColor="text1"/>
          <w:lang w:val="en-GB"/>
        </w:rPr>
        <w:t xml:space="preserve">When considering what sort of work should be regarded as encompassing an employment relationship for the purpose of Australian legislation, Stewart and McCrystal contend that this is dependent on the type of platform and type of business.  They further distinguish two broad groups: </w:t>
      </w:r>
    </w:p>
    <w:p w14:paraId="5B6A72F2" w14:textId="2B54EAE3" w:rsidR="005438FC" w:rsidRPr="0088177C" w:rsidRDefault="005438FC" w:rsidP="00C312AA">
      <w:pPr>
        <w:pStyle w:val="NoSpacing"/>
        <w:numPr>
          <w:ilvl w:val="0"/>
          <w:numId w:val="37"/>
        </w:numPr>
        <w:spacing w:beforeLines="60" w:before="144" w:line="300" w:lineRule="auto"/>
        <w:rPr>
          <w:rFonts w:cs="áÃ¸À˛"/>
          <w:color w:val="000000" w:themeColor="text1"/>
          <w:lang w:val="en-GB"/>
        </w:rPr>
      </w:pPr>
      <w:r w:rsidRPr="0088177C">
        <w:rPr>
          <w:rFonts w:cs="áÃ¸À˛"/>
          <w:color w:val="000000" w:themeColor="text1"/>
          <w:lang w:val="en-GB"/>
        </w:rPr>
        <w:t xml:space="preserve">The </w:t>
      </w:r>
      <w:r w:rsidRPr="0088177C">
        <w:rPr>
          <w:rFonts w:cs="áÃ¸À˛"/>
          <w:b/>
          <w:bCs/>
          <w:color w:val="000000" w:themeColor="text1"/>
          <w:lang w:val="en-GB"/>
        </w:rPr>
        <w:t xml:space="preserve">intermediary </w:t>
      </w:r>
      <w:r w:rsidRPr="0088177C">
        <w:rPr>
          <w:rFonts w:cs="áÃ¸À˛"/>
          <w:color w:val="000000" w:themeColor="text1"/>
          <w:lang w:val="en-GB"/>
        </w:rPr>
        <w:t xml:space="preserve">or </w:t>
      </w:r>
      <w:r w:rsidRPr="0088177C">
        <w:rPr>
          <w:rFonts w:cs="áÃ¸À˛"/>
          <w:b/>
          <w:bCs/>
          <w:color w:val="000000" w:themeColor="text1"/>
          <w:lang w:val="en-GB"/>
        </w:rPr>
        <w:t>matching service</w:t>
      </w:r>
      <w:r w:rsidRPr="0088177C">
        <w:rPr>
          <w:rFonts w:cs="áÃ¸À˛"/>
          <w:color w:val="000000" w:themeColor="text1"/>
          <w:lang w:val="en-GB"/>
        </w:rPr>
        <w:t xml:space="preserve"> which essentially functions analogously to a newspaper or job advert. Here, the platform exerts very little control over the worker, instead helping to match the</w:t>
      </w:r>
      <w:r w:rsidR="0029076F">
        <w:rPr>
          <w:rFonts w:cs="áÃ¸À˛"/>
          <w:color w:val="000000" w:themeColor="text1"/>
          <w:lang w:val="en-GB"/>
        </w:rPr>
        <w:t>m</w:t>
      </w:r>
      <w:r w:rsidRPr="0088177C">
        <w:rPr>
          <w:rFonts w:cs="áÃ¸À˛"/>
          <w:color w:val="000000" w:themeColor="text1"/>
          <w:lang w:val="en-GB"/>
        </w:rPr>
        <w:t xml:space="preserve"> with an individual consumer, where the resulting work may constitute employment, but if this is the case, the employment relationship would be between the consumer organisation and the worker seeking work (</w:t>
      </w:r>
      <w:proofErr w:type="spellStart"/>
      <w:proofErr w:type="gramStart"/>
      <w:r w:rsidRPr="0088177C">
        <w:rPr>
          <w:rFonts w:cs="áÃ¸À˛"/>
          <w:color w:val="000000" w:themeColor="text1"/>
          <w:lang w:val="en-GB"/>
        </w:rPr>
        <w:t>eg</w:t>
      </w:r>
      <w:proofErr w:type="spellEnd"/>
      <w:proofErr w:type="gramEnd"/>
      <w:r w:rsidRPr="0088177C">
        <w:rPr>
          <w:rFonts w:cs="áÃ¸À˛"/>
          <w:color w:val="000000" w:themeColor="text1"/>
          <w:lang w:val="en-GB"/>
        </w:rPr>
        <w:t xml:space="preserve"> Air Tasker). </w:t>
      </w:r>
    </w:p>
    <w:p w14:paraId="1DC8A20E" w14:textId="73C3D2AA" w:rsidR="005438FC" w:rsidRPr="0088177C" w:rsidRDefault="005438FC" w:rsidP="00C312AA">
      <w:pPr>
        <w:pStyle w:val="NoSpacing"/>
        <w:numPr>
          <w:ilvl w:val="0"/>
          <w:numId w:val="37"/>
        </w:numPr>
        <w:spacing w:beforeLines="60" w:before="144" w:line="300" w:lineRule="auto"/>
        <w:rPr>
          <w:rFonts w:cs="áÃ¸À˛"/>
          <w:color w:val="000000" w:themeColor="text1"/>
          <w:lang w:val="en-GB"/>
        </w:rPr>
      </w:pPr>
      <w:r w:rsidRPr="0088177C">
        <w:rPr>
          <w:rFonts w:cs="áÃ¸À˛"/>
          <w:color w:val="000000" w:themeColor="text1"/>
          <w:lang w:val="en-GB"/>
        </w:rPr>
        <w:t xml:space="preserve">The </w:t>
      </w:r>
      <w:proofErr w:type="gramStart"/>
      <w:r w:rsidRPr="0088177C">
        <w:rPr>
          <w:rFonts w:cs="áÃ¸À˛"/>
          <w:b/>
          <w:bCs/>
          <w:color w:val="000000" w:themeColor="text1"/>
          <w:lang w:val="en-GB"/>
        </w:rPr>
        <w:t>vertically-integrated</w:t>
      </w:r>
      <w:proofErr w:type="gramEnd"/>
      <w:r w:rsidRPr="0088177C">
        <w:rPr>
          <w:rFonts w:cs="áÃ¸À˛"/>
          <w:b/>
          <w:bCs/>
          <w:color w:val="000000" w:themeColor="text1"/>
          <w:lang w:val="en-GB"/>
        </w:rPr>
        <w:t xml:space="preserve"> firm</w:t>
      </w:r>
      <w:r w:rsidRPr="0088177C">
        <w:rPr>
          <w:rFonts w:cs="áÃ¸À˛"/>
          <w:color w:val="000000" w:themeColor="text1"/>
          <w:lang w:val="en-GB"/>
        </w:rPr>
        <w:t xml:space="preserve"> which offers services to its clients and supplies the necessary labour. This captures firms like Uber or </w:t>
      </w:r>
      <w:proofErr w:type="spellStart"/>
      <w:r w:rsidRPr="0088177C">
        <w:rPr>
          <w:rFonts w:cs="áÃ¸À˛"/>
          <w:color w:val="000000" w:themeColor="text1"/>
          <w:lang w:val="en-GB"/>
        </w:rPr>
        <w:t>Foodora</w:t>
      </w:r>
      <w:proofErr w:type="spellEnd"/>
      <w:r w:rsidRPr="0088177C">
        <w:rPr>
          <w:rFonts w:cs="áÃ¸À˛"/>
          <w:color w:val="000000" w:themeColor="text1"/>
          <w:lang w:val="en-GB"/>
        </w:rPr>
        <w:t>, where most of the litigation, local and international</w:t>
      </w:r>
      <w:r w:rsidR="0029076F">
        <w:rPr>
          <w:rFonts w:cs="áÃ¸À˛"/>
          <w:color w:val="000000" w:themeColor="text1"/>
          <w:lang w:val="en-GB"/>
        </w:rPr>
        <w:t>,</w:t>
      </w:r>
      <w:r w:rsidRPr="0088177C">
        <w:rPr>
          <w:rFonts w:cs="áÃ¸À˛"/>
          <w:color w:val="000000" w:themeColor="text1"/>
          <w:lang w:val="en-GB"/>
        </w:rPr>
        <w:t xml:space="preserve"> has turned on the status of the worker.</w:t>
      </w:r>
      <w:r w:rsidRPr="0088177C">
        <w:rPr>
          <w:rStyle w:val="FootnoteReference"/>
          <w:rFonts w:cs="áÃ¸À˛"/>
          <w:color w:val="000000" w:themeColor="text1"/>
          <w:lang w:val="en-GB"/>
        </w:rPr>
        <w:footnoteReference w:id="49"/>
      </w:r>
      <w:r w:rsidRPr="0088177C">
        <w:rPr>
          <w:rFonts w:cs="áÃ¸À˛"/>
          <w:color w:val="000000" w:themeColor="text1"/>
          <w:lang w:val="en-GB"/>
        </w:rPr>
        <w:t xml:space="preserve"> </w:t>
      </w:r>
    </w:p>
    <w:p w14:paraId="34FDBB65" w14:textId="515BF804" w:rsidR="005438FC" w:rsidRPr="0088177C" w:rsidRDefault="005E7B70" w:rsidP="0088177C">
      <w:pPr>
        <w:pStyle w:val="NoSpacing"/>
        <w:spacing w:beforeLines="60" w:before="144" w:line="300" w:lineRule="auto"/>
        <w:rPr>
          <w:rFonts w:cs="áÃ¸À˛"/>
          <w:color w:val="000000" w:themeColor="text1"/>
          <w:lang w:val="en-GB"/>
        </w:rPr>
      </w:pPr>
      <w:r>
        <w:rPr>
          <w:rFonts w:cs="áÃ¸À˛"/>
          <w:color w:val="000000" w:themeColor="text1"/>
          <w:lang w:val="en-GB"/>
        </w:rPr>
        <w:t>Per Capita believes that an extend</w:t>
      </w:r>
      <w:r w:rsidR="00C312AA">
        <w:rPr>
          <w:rFonts w:cs="áÃ¸À˛"/>
          <w:color w:val="000000" w:themeColor="text1"/>
          <w:lang w:val="en-GB"/>
        </w:rPr>
        <w:t>ing the</w:t>
      </w:r>
      <w:r>
        <w:rPr>
          <w:rFonts w:cs="áÃ¸À˛"/>
          <w:color w:val="000000" w:themeColor="text1"/>
          <w:lang w:val="en-GB"/>
        </w:rPr>
        <w:t xml:space="preserve"> definition</w:t>
      </w:r>
      <w:r w:rsidR="00C312AA">
        <w:rPr>
          <w:rFonts w:cs="áÃ¸À˛"/>
          <w:color w:val="000000" w:themeColor="text1"/>
          <w:lang w:val="en-GB"/>
        </w:rPr>
        <w:t xml:space="preserve"> of employee under the </w:t>
      </w:r>
      <w:r w:rsidR="00C312AA" w:rsidRPr="00C312AA">
        <w:rPr>
          <w:rFonts w:cs="áÃ¸À˛"/>
          <w:i/>
          <w:iCs/>
          <w:color w:val="000000" w:themeColor="text1"/>
          <w:lang w:val="en-GB"/>
        </w:rPr>
        <w:t>FWA</w:t>
      </w:r>
      <w:r>
        <w:rPr>
          <w:rFonts w:cs="áÃ¸À˛"/>
          <w:color w:val="000000" w:themeColor="text1"/>
          <w:lang w:val="en-GB"/>
        </w:rPr>
        <w:t xml:space="preserve"> to capture w</w:t>
      </w:r>
      <w:r w:rsidR="005438FC" w:rsidRPr="0088177C">
        <w:rPr>
          <w:rFonts w:cs="áÃ¸À˛"/>
          <w:color w:val="000000" w:themeColor="text1"/>
          <w:lang w:val="en-GB"/>
        </w:rPr>
        <w:t>orkers in the vertically integrated firms performing on-demand jobs</w:t>
      </w:r>
      <w:r>
        <w:rPr>
          <w:rFonts w:cs="áÃ¸À˛"/>
          <w:color w:val="000000" w:themeColor="text1"/>
          <w:lang w:val="en-GB"/>
        </w:rPr>
        <w:t xml:space="preserve"> is appropriate</w:t>
      </w:r>
      <w:r w:rsidR="0029076F">
        <w:rPr>
          <w:rFonts w:cs="áÃ¸À˛"/>
          <w:color w:val="000000" w:themeColor="text1"/>
          <w:lang w:val="en-GB"/>
        </w:rPr>
        <w:t>.</w:t>
      </w:r>
    </w:p>
    <w:p w14:paraId="050AD009" w14:textId="77777777" w:rsidR="005438FC" w:rsidRPr="005E7B70" w:rsidRDefault="005438FC" w:rsidP="0088177C">
      <w:pPr>
        <w:pStyle w:val="NoSpacing"/>
        <w:spacing w:beforeLines="60" w:before="144" w:line="300" w:lineRule="auto"/>
        <w:rPr>
          <w:b/>
          <w:bCs/>
          <w:color w:val="9D825C"/>
        </w:rPr>
      </w:pPr>
      <w:r w:rsidRPr="005E7B70">
        <w:rPr>
          <w:b/>
          <w:bCs/>
          <w:color w:val="9D825C"/>
        </w:rPr>
        <w:t xml:space="preserve">How many workers engage in gig work? </w:t>
      </w:r>
    </w:p>
    <w:p w14:paraId="0ADBA18B" w14:textId="77777777" w:rsidR="005438FC" w:rsidRPr="0088177C" w:rsidRDefault="005438FC" w:rsidP="0088177C">
      <w:pPr>
        <w:pStyle w:val="NoSpacing"/>
        <w:spacing w:beforeLines="60" w:before="144" w:line="300" w:lineRule="auto"/>
        <w:rPr>
          <w:rFonts w:cs="Times New Roman"/>
          <w:color w:val="000000" w:themeColor="text1"/>
          <w:lang w:val="en-GB"/>
        </w:rPr>
      </w:pPr>
      <w:r w:rsidRPr="0088177C">
        <w:rPr>
          <w:color w:val="000000" w:themeColor="text1"/>
        </w:rPr>
        <w:t>Measuring the participation of platform workers is difficult, due to insufficient data collection.</w:t>
      </w:r>
      <w:r w:rsidRPr="0088177C">
        <w:rPr>
          <w:rFonts w:cs="áÃ¸À˛"/>
          <w:color w:val="000000" w:themeColor="text1"/>
          <w:lang w:val="en-GB"/>
        </w:rPr>
        <w:t xml:space="preserve"> The best available data to our knowledge is from a Victorian Government commissioned national survey: </w:t>
      </w:r>
      <w:r w:rsidRPr="0088177C">
        <w:rPr>
          <w:rFonts w:cs="áÃ¸À˛"/>
          <w:i/>
          <w:iCs/>
          <w:color w:val="000000" w:themeColor="text1"/>
          <w:lang w:val="en-GB"/>
        </w:rPr>
        <w:t xml:space="preserve">Digital Platform Work in Australia- Prevalence, </w:t>
      </w:r>
      <w:proofErr w:type="gramStart"/>
      <w:r w:rsidRPr="0088177C">
        <w:rPr>
          <w:rFonts w:cs="áÃ¸À˛"/>
          <w:i/>
          <w:iCs/>
          <w:color w:val="000000" w:themeColor="text1"/>
          <w:lang w:val="en-GB"/>
        </w:rPr>
        <w:t>Nature</w:t>
      </w:r>
      <w:proofErr w:type="gramEnd"/>
      <w:r w:rsidRPr="0088177C">
        <w:rPr>
          <w:rFonts w:cs="áÃ¸À˛"/>
          <w:i/>
          <w:iCs/>
          <w:color w:val="000000" w:themeColor="text1"/>
          <w:lang w:val="en-GB"/>
        </w:rPr>
        <w:t xml:space="preserve"> and Impact</w:t>
      </w:r>
      <w:r w:rsidRPr="0088177C">
        <w:rPr>
          <w:rFonts w:cs="áÃ¸À˛"/>
          <w:color w:val="000000" w:themeColor="text1"/>
          <w:lang w:val="en-GB"/>
        </w:rPr>
        <w:t xml:space="preserve"> (‘</w:t>
      </w:r>
      <w:r w:rsidRPr="0088177C">
        <w:rPr>
          <w:rFonts w:cs="áÃ¸À˛"/>
          <w:i/>
          <w:iCs/>
          <w:color w:val="000000" w:themeColor="text1"/>
          <w:lang w:val="en-GB"/>
        </w:rPr>
        <w:t>National Platform Work Survey</w:t>
      </w:r>
      <w:r w:rsidRPr="0088177C">
        <w:rPr>
          <w:rFonts w:cs="áÃ¸À˛"/>
          <w:color w:val="000000" w:themeColor="text1"/>
          <w:lang w:val="en-GB"/>
        </w:rPr>
        <w:t xml:space="preserve">’) conducted by the </w:t>
      </w:r>
      <w:r w:rsidRPr="0088177C">
        <w:rPr>
          <w:rFonts w:cs="Times New Roman"/>
          <w:color w:val="000000" w:themeColor="text1"/>
          <w:lang w:val="en-GB"/>
        </w:rPr>
        <w:t xml:space="preserve">University of Adelaide, Queensland University of Technology and University of Technology Sydney. Over 14,000 people responded and of them: </w:t>
      </w:r>
    </w:p>
    <w:p w14:paraId="26D114C9" w14:textId="77777777" w:rsidR="005438FC" w:rsidRPr="0088177C" w:rsidRDefault="005438FC" w:rsidP="00734A87">
      <w:pPr>
        <w:pStyle w:val="NoSpacing"/>
        <w:numPr>
          <w:ilvl w:val="0"/>
          <w:numId w:val="32"/>
        </w:numPr>
        <w:spacing w:beforeLines="60" w:before="144" w:line="300" w:lineRule="auto"/>
        <w:rPr>
          <w:rFonts w:cs="Times New Roman"/>
          <w:color w:val="000000" w:themeColor="text1"/>
          <w:lang w:val="en-GB"/>
        </w:rPr>
      </w:pPr>
      <w:r w:rsidRPr="0088177C">
        <w:rPr>
          <w:rFonts w:cs="Times New Roman"/>
          <w:color w:val="000000" w:themeColor="text1"/>
          <w:lang w:val="en-GB"/>
        </w:rPr>
        <w:t xml:space="preserve">7.1% of respondents had participated in platform mediated work in the 12 months prior to the </w:t>
      </w:r>
      <w:proofErr w:type="gramStart"/>
      <w:r w:rsidRPr="0088177C">
        <w:rPr>
          <w:rFonts w:cs="Times New Roman"/>
          <w:color w:val="000000" w:themeColor="text1"/>
          <w:lang w:val="en-GB"/>
        </w:rPr>
        <w:t>survey;</w:t>
      </w:r>
      <w:proofErr w:type="gramEnd"/>
    </w:p>
    <w:p w14:paraId="3E171AD7" w14:textId="77777777" w:rsidR="005438FC" w:rsidRPr="0088177C" w:rsidRDefault="005438FC" w:rsidP="00734A87">
      <w:pPr>
        <w:pStyle w:val="NoSpacing"/>
        <w:numPr>
          <w:ilvl w:val="0"/>
          <w:numId w:val="32"/>
        </w:numPr>
        <w:spacing w:beforeLines="60" w:before="144" w:line="300" w:lineRule="auto"/>
        <w:rPr>
          <w:rFonts w:cs="Times New Roman"/>
          <w:color w:val="000000" w:themeColor="text1"/>
          <w:lang w:val="en-GB"/>
        </w:rPr>
      </w:pPr>
      <w:r w:rsidRPr="0088177C">
        <w:rPr>
          <w:rFonts w:cs="Times New Roman"/>
          <w:color w:val="000000" w:themeColor="text1"/>
          <w:lang w:val="en-GB"/>
        </w:rPr>
        <w:t xml:space="preserve">13.1 % had participated in platform mediated work at some </w:t>
      </w:r>
      <w:proofErr w:type="gramStart"/>
      <w:r w:rsidRPr="0088177C">
        <w:rPr>
          <w:rFonts w:cs="Times New Roman"/>
          <w:color w:val="000000" w:themeColor="text1"/>
          <w:lang w:val="en-GB"/>
        </w:rPr>
        <w:t>point;</w:t>
      </w:r>
      <w:proofErr w:type="gramEnd"/>
    </w:p>
    <w:p w14:paraId="176D904F" w14:textId="77777777" w:rsidR="005438FC" w:rsidRPr="0088177C" w:rsidRDefault="005438FC" w:rsidP="00734A87">
      <w:pPr>
        <w:pStyle w:val="NoSpacing"/>
        <w:numPr>
          <w:ilvl w:val="0"/>
          <w:numId w:val="32"/>
        </w:numPr>
        <w:spacing w:beforeLines="60" w:before="144" w:line="300" w:lineRule="auto"/>
        <w:rPr>
          <w:rFonts w:cs="Times New Roman"/>
          <w:color w:val="000000" w:themeColor="text1"/>
          <w:lang w:val="en-GB"/>
        </w:rPr>
      </w:pPr>
      <w:r w:rsidRPr="0088177C">
        <w:rPr>
          <w:rFonts w:cs="Times New Roman"/>
          <w:color w:val="000000" w:themeColor="text1"/>
          <w:lang w:val="en-GB"/>
        </w:rPr>
        <w:t>2.7% of those who participated in platform work earned all their income from platform work (showing that to many this is a secondary job); and</w:t>
      </w:r>
    </w:p>
    <w:p w14:paraId="6145F73F" w14:textId="77777777" w:rsidR="005438FC" w:rsidRPr="0088177C" w:rsidRDefault="005438FC" w:rsidP="00734A87">
      <w:pPr>
        <w:pStyle w:val="NoSpacing"/>
        <w:numPr>
          <w:ilvl w:val="0"/>
          <w:numId w:val="32"/>
        </w:numPr>
        <w:spacing w:beforeLines="60" w:before="144" w:line="300" w:lineRule="auto"/>
        <w:rPr>
          <w:rFonts w:eastAsiaTheme="minorHAnsi" w:cs="Times New Roman"/>
          <w:color w:val="000000" w:themeColor="text1"/>
          <w:lang w:val="en-GB"/>
        </w:rPr>
      </w:pPr>
      <w:r w:rsidRPr="0088177C">
        <w:rPr>
          <w:rFonts w:cs="Times New Roman"/>
          <w:color w:val="000000" w:themeColor="text1"/>
          <w:lang w:val="en-GB"/>
        </w:rPr>
        <w:t xml:space="preserve">more than a third were working across multiple platforms. </w:t>
      </w:r>
      <w:r w:rsidRPr="0088177C">
        <w:rPr>
          <w:rStyle w:val="FootnoteReference"/>
          <w:rFonts w:cs="Times New Roman"/>
          <w:color w:val="000000" w:themeColor="text1"/>
          <w:lang w:val="en-GB"/>
        </w:rPr>
        <w:footnoteReference w:id="50"/>
      </w:r>
    </w:p>
    <w:p w14:paraId="542B0FD7" w14:textId="35CC637A" w:rsidR="005438FC" w:rsidRDefault="005438FC" w:rsidP="0088177C">
      <w:pPr>
        <w:pStyle w:val="NoSpacing"/>
        <w:spacing w:beforeLines="60" w:before="144" w:line="300" w:lineRule="auto"/>
        <w:rPr>
          <w:rFonts w:eastAsia="Times New Roman" w:cs="Tahoma"/>
          <w:color w:val="000000" w:themeColor="text1"/>
          <w:shd w:val="clear" w:color="auto" w:fill="FFFFFF"/>
          <w:lang w:eastAsia="en-GB"/>
        </w:rPr>
      </w:pPr>
      <w:r w:rsidRPr="0088177C">
        <w:rPr>
          <w:rFonts w:eastAsia="Times New Roman" w:cs="Tahoma"/>
          <w:color w:val="000000" w:themeColor="text1"/>
          <w:shd w:val="clear" w:color="auto" w:fill="FFFFFF"/>
          <w:lang w:eastAsia="en-GB"/>
        </w:rPr>
        <w:t>This is a significant increase compared to most previous research, which estimated the number to be less than 1% of the workforce.</w:t>
      </w:r>
      <w:r w:rsidRPr="0088177C">
        <w:rPr>
          <w:rStyle w:val="FootnoteReference"/>
          <w:rFonts w:eastAsia="Times New Roman" w:cs="Tahoma"/>
          <w:color w:val="000000" w:themeColor="text1"/>
          <w:shd w:val="clear" w:color="auto" w:fill="FFFFFF"/>
          <w:lang w:eastAsia="en-GB"/>
        </w:rPr>
        <w:footnoteReference w:id="51"/>
      </w:r>
      <w:r w:rsidRPr="0088177C">
        <w:rPr>
          <w:rFonts w:eastAsia="Times New Roman" w:cs="Tahoma"/>
          <w:color w:val="000000" w:themeColor="text1"/>
          <w:shd w:val="clear" w:color="auto" w:fill="FFFFFF"/>
          <w:lang w:eastAsia="en-GB"/>
        </w:rPr>
        <w:t xml:space="preserve">  Result from this survey were released in 2019 prior to the COVID-19 pandemic. </w:t>
      </w:r>
      <w:r w:rsidR="00C312AA">
        <w:rPr>
          <w:rFonts w:eastAsia="Times New Roman" w:cs="Tahoma"/>
          <w:color w:val="000000" w:themeColor="text1"/>
          <w:shd w:val="clear" w:color="auto" w:fill="FFFFFF"/>
          <w:lang w:eastAsia="en-GB"/>
        </w:rPr>
        <w:t>The</w:t>
      </w:r>
      <w:r w:rsidR="004B014C">
        <w:rPr>
          <w:rFonts w:eastAsia="Times New Roman" w:cs="Tahoma"/>
          <w:color w:val="000000" w:themeColor="text1"/>
          <w:shd w:val="clear" w:color="auto" w:fill="FFFFFF"/>
          <w:lang w:eastAsia="en-GB"/>
        </w:rPr>
        <w:t xml:space="preserve"> number of workers in the gig economy has likely expanded since this survey was conducted. </w:t>
      </w:r>
    </w:p>
    <w:p w14:paraId="7D11097F" w14:textId="77777777" w:rsidR="004B014C" w:rsidRPr="0088177C" w:rsidRDefault="004B014C" w:rsidP="0088177C">
      <w:pPr>
        <w:pStyle w:val="NoSpacing"/>
        <w:spacing w:beforeLines="60" w:before="144" w:line="300" w:lineRule="auto"/>
        <w:rPr>
          <w:rFonts w:eastAsia="Times New Roman" w:cs="Tahoma"/>
          <w:color w:val="000000" w:themeColor="text1"/>
          <w:shd w:val="clear" w:color="auto" w:fill="FFFFFF"/>
          <w:lang w:eastAsia="en-GB"/>
        </w:rPr>
      </w:pPr>
    </w:p>
    <w:p w14:paraId="130B90C9" w14:textId="77777777" w:rsidR="005438FC" w:rsidRPr="005E7B70" w:rsidRDefault="005438FC" w:rsidP="0088177C">
      <w:pPr>
        <w:pStyle w:val="NoSpacing"/>
        <w:spacing w:beforeLines="60" w:before="144" w:line="300" w:lineRule="auto"/>
        <w:rPr>
          <w:rFonts w:eastAsia="Times New Roman" w:cs="Tahoma"/>
          <w:b/>
          <w:bCs/>
          <w:color w:val="9D825C"/>
          <w:shd w:val="clear" w:color="auto" w:fill="FFFFFF"/>
          <w:lang w:eastAsia="en-GB"/>
        </w:rPr>
      </w:pPr>
      <w:r w:rsidRPr="005E7B70">
        <w:rPr>
          <w:rFonts w:eastAsia="Times New Roman" w:cs="Tahoma"/>
          <w:b/>
          <w:bCs/>
          <w:color w:val="9D825C"/>
          <w:shd w:val="clear" w:color="auto" w:fill="FFFFFF"/>
          <w:lang w:eastAsia="en-GB"/>
        </w:rPr>
        <w:t xml:space="preserve">Why do platform workers need special protections? </w:t>
      </w:r>
    </w:p>
    <w:p w14:paraId="3DBE3527" w14:textId="11A64699" w:rsidR="005438FC" w:rsidRPr="0088177C" w:rsidRDefault="005438FC" w:rsidP="0088177C">
      <w:pPr>
        <w:pStyle w:val="NoSpacing"/>
        <w:spacing w:beforeLines="60" w:before="144" w:line="300" w:lineRule="auto"/>
        <w:rPr>
          <w:rFonts w:eastAsia="Times New Roman" w:cs="Tahoma"/>
          <w:color w:val="000000" w:themeColor="text1"/>
          <w:shd w:val="clear" w:color="auto" w:fill="FFFFFF"/>
          <w:lang w:eastAsia="en-GB"/>
        </w:rPr>
      </w:pPr>
      <w:r w:rsidRPr="0088177C">
        <w:rPr>
          <w:rFonts w:eastAsia="Times New Roman" w:cs="Tahoma"/>
          <w:color w:val="000000" w:themeColor="text1"/>
          <w:shd w:val="clear" w:color="auto" w:fill="FFFFFF"/>
          <w:lang w:eastAsia="en-GB"/>
        </w:rPr>
        <w:t xml:space="preserve">Platform workers are particularly vulnerable. The </w:t>
      </w:r>
      <w:r w:rsidRPr="0088177C">
        <w:rPr>
          <w:rFonts w:cs="áÃ¸À˛"/>
          <w:i/>
          <w:iCs/>
          <w:color w:val="000000" w:themeColor="text1"/>
          <w:lang w:val="en-GB"/>
        </w:rPr>
        <w:t>National Platform Work Survey</w:t>
      </w:r>
      <w:r w:rsidRPr="0088177C">
        <w:rPr>
          <w:rFonts w:eastAsia="Times New Roman" w:cs="Tahoma"/>
          <w:color w:val="000000" w:themeColor="text1"/>
          <w:shd w:val="clear" w:color="auto" w:fill="FFFFFF"/>
          <w:lang w:eastAsia="en-GB"/>
        </w:rPr>
        <w:t xml:space="preserve"> found that young people (18-34) are working th</w:t>
      </w:r>
      <w:r w:rsidR="004B014C">
        <w:rPr>
          <w:rFonts w:eastAsia="Times New Roman" w:cs="Tahoma"/>
          <w:color w:val="000000" w:themeColor="text1"/>
          <w:shd w:val="clear" w:color="auto" w:fill="FFFFFF"/>
          <w:lang w:eastAsia="en-GB"/>
        </w:rPr>
        <w:t>r</w:t>
      </w:r>
      <w:r w:rsidRPr="0088177C">
        <w:rPr>
          <w:rFonts w:eastAsia="Times New Roman" w:cs="Tahoma"/>
          <w:color w:val="000000" w:themeColor="text1"/>
          <w:shd w:val="clear" w:color="auto" w:fill="FFFFFF"/>
          <w:lang w:eastAsia="en-GB"/>
        </w:rPr>
        <w:t>ough digital platforms in higher proportions. Students are 1.3 times more likely to do platform work and there was a higher proportion in respondents who identified as living with a disability, temporary residents and those who spoke a language other than English at home.</w:t>
      </w:r>
      <w:r w:rsidRPr="0088177C">
        <w:rPr>
          <w:rStyle w:val="FootnoteReference"/>
          <w:rFonts w:eastAsia="Times New Roman" w:cs="Tahoma"/>
          <w:color w:val="000000" w:themeColor="text1"/>
          <w:shd w:val="clear" w:color="auto" w:fill="FFFFFF"/>
          <w:lang w:eastAsia="en-GB"/>
        </w:rPr>
        <w:footnoteReference w:id="52"/>
      </w:r>
      <w:r w:rsidRPr="0088177C">
        <w:rPr>
          <w:rFonts w:eastAsia="Times New Roman" w:cs="Tahoma"/>
          <w:color w:val="000000" w:themeColor="text1"/>
          <w:shd w:val="clear" w:color="auto" w:fill="FFFFFF"/>
          <w:lang w:eastAsia="en-GB"/>
        </w:rPr>
        <w:t xml:space="preserve"> </w:t>
      </w:r>
    </w:p>
    <w:p w14:paraId="1F580CB8" w14:textId="2CBC543F" w:rsidR="004B014C" w:rsidRDefault="005438FC" w:rsidP="0088177C">
      <w:pPr>
        <w:pStyle w:val="NoSpacing"/>
        <w:spacing w:beforeLines="60" w:before="144" w:line="300" w:lineRule="auto"/>
        <w:rPr>
          <w:rFonts w:eastAsia="Times New Roman" w:cs="Tahoma"/>
          <w:color w:val="000000" w:themeColor="text1"/>
          <w:shd w:val="clear" w:color="auto" w:fill="FFFFFF"/>
          <w:lang w:eastAsia="en-GB"/>
        </w:rPr>
      </w:pPr>
      <w:r w:rsidRPr="0088177C">
        <w:rPr>
          <w:rFonts w:eastAsia="Times New Roman" w:cs="Tahoma"/>
          <w:color w:val="000000" w:themeColor="text1"/>
          <w:shd w:val="clear" w:color="auto" w:fill="FFFFFF"/>
          <w:lang w:eastAsia="en-GB"/>
        </w:rPr>
        <w:t>Many o</w:t>
      </w:r>
      <w:r w:rsidR="004B014C">
        <w:rPr>
          <w:rFonts w:eastAsia="Times New Roman" w:cs="Tahoma"/>
          <w:color w:val="000000" w:themeColor="text1"/>
          <w:shd w:val="clear" w:color="auto" w:fill="FFFFFF"/>
          <w:lang w:eastAsia="en-GB"/>
        </w:rPr>
        <w:t>f</w:t>
      </w:r>
      <w:r w:rsidRPr="0088177C">
        <w:rPr>
          <w:rFonts w:eastAsia="Times New Roman" w:cs="Tahoma"/>
          <w:color w:val="000000" w:themeColor="text1"/>
          <w:shd w:val="clear" w:color="auto" w:fill="FFFFFF"/>
          <w:lang w:eastAsia="en-GB"/>
        </w:rPr>
        <w:t xml:space="preserve"> these workers are not aware of their workplace rights or their employment status. One third of platform workers did not know if the platform they worked under had a dispute resolution procedure, and a quarter of respondents reported that their main platform ‘treats’ them as employees.</w:t>
      </w:r>
      <w:r w:rsidRPr="0088177C">
        <w:rPr>
          <w:rStyle w:val="FootnoteReference"/>
          <w:rFonts w:eastAsia="Times New Roman" w:cs="Tahoma"/>
          <w:color w:val="000000" w:themeColor="text1"/>
          <w:shd w:val="clear" w:color="auto" w:fill="FFFFFF"/>
          <w:lang w:eastAsia="en-GB"/>
        </w:rPr>
        <w:footnoteReference w:id="53"/>
      </w:r>
      <w:r w:rsidRPr="0088177C">
        <w:rPr>
          <w:rFonts w:eastAsia="Times New Roman" w:cs="Tahoma"/>
          <w:color w:val="000000" w:themeColor="text1"/>
          <w:shd w:val="clear" w:color="auto" w:fill="FFFFFF"/>
          <w:lang w:eastAsia="en-GB"/>
        </w:rPr>
        <w:t xml:space="preserve"> </w:t>
      </w:r>
    </w:p>
    <w:p w14:paraId="4FF8B3C0" w14:textId="77777777" w:rsidR="0029076F" w:rsidRPr="005E7B70" w:rsidRDefault="0029076F" w:rsidP="0088177C">
      <w:pPr>
        <w:pStyle w:val="NoSpacing"/>
        <w:spacing w:beforeLines="60" w:before="144" w:line="300" w:lineRule="auto"/>
        <w:rPr>
          <w:rFonts w:eastAsia="Times New Roman" w:cs="Tahoma"/>
          <w:color w:val="000000" w:themeColor="text1"/>
          <w:shd w:val="clear" w:color="auto" w:fill="FFFFFF"/>
          <w:lang w:eastAsia="en-GB"/>
        </w:rPr>
      </w:pPr>
    </w:p>
    <w:p w14:paraId="2DBE2292" w14:textId="77777777" w:rsidR="005438FC" w:rsidRPr="005E7B70" w:rsidRDefault="005438FC" w:rsidP="0088177C">
      <w:pPr>
        <w:pStyle w:val="NoSpacing"/>
        <w:spacing w:beforeLines="60" w:before="144" w:line="300" w:lineRule="auto"/>
        <w:rPr>
          <w:rFonts w:eastAsia="Times New Roman" w:cs="Tahoma"/>
          <w:b/>
          <w:bCs/>
          <w:color w:val="9D825C"/>
          <w:shd w:val="clear" w:color="auto" w:fill="FFFFFF"/>
          <w:lang w:eastAsia="en-GB"/>
        </w:rPr>
      </w:pPr>
      <w:r w:rsidRPr="005E7B70">
        <w:rPr>
          <w:rFonts w:eastAsia="Times New Roman" w:cs="Tahoma"/>
          <w:b/>
          <w:bCs/>
          <w:color w:val="9D825C"/>
          <w:shd w:val="clear" w:color="auto" w:fill="FFFFFF"/>
          <w:lang w:eastAsia="en-GB"/>
        </w:rPr>
        <w:t>What are the solutions?</w:t>
      </w:r>
    </w:p>
    <w:p w14:paraId="390A5837" w14:textId="0583E11E" w:rsidR="005438FC" w:rsidRPr="0088177C" w:rsidRDefault="005438FC" w:rsidP="0088177C">
      <w:pPr>
        <w:pStyle w:val="NoSpacing"/>
        <w:spacing w:beforeLines="60" w:before="144" w:line="300" w:lineRule="auto"/>
        <w:rPr>
          <w:color w:val="000000" w:themeColor="text1"/>
        </w:rPr>
      </w:pPr>
      <w:r w:rsidRPr="0088177C">
        <w:rPr>
          <w:color w:val="000000" w:themeColor="text1"/>
        </w:rPr>
        <w:t xml:space="preserve">The problem lies in how this </w:t>
      </w:r>
      <w:r w:rsidR="004B014C" w:rsidRPr="004B014C">
        <w:rPr>
          <w:i/>
          <w:iCs/>
          <w:color w:val="000000" w:themeColor="text1"/>
        </w:rPr>
        <w:t>FWA</w:t>
      </w:r>
      <w:r w:rsidRPr="0088177C">
        <w:rPr>
          <w:color w:val="000000" w:themeColor="text1"/>
        </w:rPr>
        <w:t xml:space="preserve"> defines ‘employee’ and thus determines who is captured by the </w:t>
      </w:r>
      <w:r w:rsidRPr="0088177C">
        <w:rPr>
          <w:i/>
          <w:iCs/>
          <w:color w:val="000000" w:themeColor="text1"/>
        </w:rPr>
        <w:t>safety net</w:t>
      </w:r>
      <w:r w:rsidRPr="0088177C">
        <w:rPr>
          <w:color w:val="000000" w:themeColor="text1"/>
        </w:rPr>
        <w:t xml:space="preserve">. </w:t>
      </w:r>
      <w:r w:rsidR="00732EB5">
        <w:rPr>
          <w:color w:val="000000" w:themeColor="text1"/>
        </w:rPr>
        <w:t xml:space="preserve"> </w:t>
      </w:r>
      <w:r w:rsidRPr="0088177C">
        <w:rPr>
          <w:color w:val="000000" w:themeColor="text1"/>
        </w:rPr>
        <w:t>Quite typically for Australian legislation ‘employee’ is defined by reference to the common law.</w:t>
      </w:r>
    </w:p>
    <w:p w14:paraId="5CE6FFEF" w14:textId="537ABB2B" w:rsidR="005438FC" w:rsidRDefault="005438FC" w:rsidP="0088177C">
      <w:pPr>
        <w:pStyle w:val="NoSpacing"/>
        <w:spacing w:beforeLines="60" w:before="144" w:line="300" w:lineRule="auto"/>
        <w:rPr>
          <w:color w:val="000000" w:themeColor="text1"/>
        </w:rPr>
      </w:pPr>
      <w:r w:rsidRPr="0088177C">
        <w:rPr>
          <w:color w:val="000000" w:themeColor="text1"/>
        </w:rPr>
        <w:t xml:space="preserve">The statutory definition of employee is located a </w:t>
      </w:r>
      <w:r w:rsidR="00511592">
        <w:rPr>
          <w:color w:val="000000" w:themeColor="text1"/>
        </w:rPr>
        <w:t>Sections</w:t>
      </w:r>
      <w:r w:rsidRPr="0088177C">
        <w:rPr>
          <w:color w:val="000000" w:themeColor="text1"/>
        </w:rPr>
        <w:t xml:space="preserve"> 12 and 13 of the </w:t>
      </w:r>
      <w:r w:rsidRPr="0088177C">
        <w:rPr>
          <w:i/>
          <w:iCs/>
          <w:color w:val="000000" w:themeColor="text1"/>
        </w:rPr>
        <w:t>FWA</w:t>
      </w:r>
      <w:r w:rsidR="00732EB5">
        <w:rPr>
          <w:color w:val="000000" w:themeColor="text1"/>
        </w:rPr>
        <w:t>.</w:t>
      </w:r>
      <w:r w:rsidRPr="0088177C">
        <w:rPr>
          <w:color w:val="000000" w:themeColor="text1"/>
        </w:rPr>
        <w:t xml:space="preserve"> Most disputes concerning the definition relate to access to </w:t>
      </w:r>
      <w:r w:rsidR="003B570F">
        <w:rPr>
          <w:color w:val="000000" w:themeColor="text1"/>
        </w:rPr>
        <w:t xml:space="preserve">the </w:t>
      </w:r>
      <w:r w:rsidRPr="0088177C">
        <w:rPr>
          <w:color w:val="000000" w:themeColor="text1"/>
        </w:rPr>
        <w:t>NES, general protections; or disputes under an industrial agreement;</w:t>
      </w:r>
      <w:r w:rsidR="00511592">
        <w:rPr>
          <w:color w:val="000000" w:themeColor="text1"/>
        </w:rPr>
        <w:t xml:space="preserve"> or</w:t>
      </w:r>
      <w:r w:rsidRPr="0088177C">
        <w:rPr>
          <w:color w:val="000000" w:themeColor="text1"/>
        </w:rPr>
        <w:t xml:space="preserve"> the </w:t>
      </w:r>
      <w:r w:rsidRPr="0088177C">
        <w:rPr>
          <w:i/>
          <w:iCs/>
          <w:color w:val="000000" w:themeColor="text1"/>
        </w:rPr>
        <w:t>safety net</w:t>
      </w:r>
      <w:r w:rsidRPr="0088177C">
        <w:rPr>
          <w:color w:val="000000" w:themeColor="text1"/>
        </w:rPr>
        <w:t>.</w:t>
      </w:r>
    </w:p>
    <w:p w14:paraId="24F55861" w14:textId="77777777" w:rsidR="005438FC" w:rsidRPr="004272F4" w:rsidRDefault="005438FC" w:rsidP="0088177C">
      <w:pPr>
        <w:pStyle w:val="NoSpacing"/>
        <w:spacing w:beforeLines="60" w:before="144" w:line="300" w:lineRule="auto"/>
        <w:rPr>
          <w:b/>
          <w:bCs/>
          <w:color w:val="000000" w:themeColor="text1"/>
        </w:rPr>
      </w:pPr>
      <w:r w:rsidRPr="00042D6A">
        <w:rPr>
          <w:b/>
          <w:bCs/>
          <w:color w:val="9D825C"/>
        </w:rPr>
        <w:t xml:space="preserve">Employee? What is the </w:t>
      </w:r>
      <w:r w:rsidRPr="00042D6A">
        <w:rPr>
          <w:b/>
          <w:bCs/>
          <w:i/>
          <w:iCs/>
          <w:color w:val="9D825C"/>
        </w:rPr>
        <w:t>ordinary meaning</w:t>
      </w:r>
      <w:r w:rsidRPr="004B014C">
        <w:rPr>
          <w:b/>
          <w:bCs/>
          <w:i/>
          <w:iCs/>
          <w:color w:val="9D825C"/>
        </w:rPr>
        <w:t>?</w:t>
      </w:r>
      <w:r w:rsidRPr="004B014C">
        <w:rPr>
          <w:b/>
          <w:bCs/>
          <w:color w:val="9D825C"/>
        </w:rPr>
        <w:t xml:space="preserve"> </w:t>
      </w:r>
    </w:p>
    <w:p w14:paraId="734C51EF" w14:textId="7CF32E16" w:rsidR="005438FC" w:rsidRPr="0088177C" w:rsidRDefault="005438FC" w:rsidP="0088177C">
      <w:pPr>
        <w:pStyle w:val="NoSpacing"/>
        <w:spacing w:beforeLines="60" w:before="144" w:line="300" w:lineRule="auto"/>
        <w:rPr>
          <w:color w:val="000000" w:themeColor="text1"/>
        </w:rPr>
      </w:pPr>
      <w:r w:rsidRPr="0088177C">
        <w:rPr>
          <w:color w:val="000000" w:themeColor="text1"/>
        </w:rPr>
        <w:t xml:space="preserve">For the last three decades, courts and tribunals have applied the multifactorial test from </w:t>
      </w:r>
      <w:r w:rsidRPr="0088177C">
        <w:rPr>
          <w:i/>
          <w:iCs/>
          <w:color w:val="000000" w:themeColor="text1"/>
        </w:rPr>
        <w:t xml:space="preserve">Hollis v </w:t>
      </w:r>
      <w:proofErr w:type="spellStart"/>
      <w:r w:rsidRPr="0088177C">
        <w:rPr>
          <w:i/>
          <w:iCs/>
          <w:color w:val="000000" w:themeColor="text1"/>
        </w:rPr>
        <w:t>Vabu</w:t>
      </w:r>
      <w:proofErr w:type="spellEnd"/>
      <w:r w:rsidRPr="0088177C">
        <w:rPr>
          <w:rStyle w:val="FootnoteReference"/>
          <w:i/>
          <w:iCs/>
          <w:color w:val="000000" w:themeColor="text1"/>
        </w:rPr>
        <w:footnoteReference w:id="54"/>
      </w:r>
      <w:r w:rsidRPr="0088177C">
        <w:rPr>
          <w:color w:val="000000" w:themeColor="text1"/>
        </w:rPr>
        <w:t xml:space="preserve"> (‘</w:t>
      </w:r>
      <w:proofErr w:type="spellStart"/>
      <w:proofErr w:type="gramStart"/>
      <w:r w:rsidRPr="0088177C">
        <w:rPr>
          <w:i/>
          <w:iCs/>
          <w:color w:val="000000" w:themeColor="text1"/>
        </w:rPr>
        <w:t>Vabu</w:t>
      </w:r>
      <w:proofErr w:type="spellEnd"/>
      <w:r w:rsidRPr="0088177C">
        <w:rPr>
          <w:color w:val="000000" w:themeColor="text1"/>
        </w:rPr>
        <w:t>‘</w:t>
      </w:r>
      <w:proofErr w:type="gramEnd"/>
      <w:r w:rsidRPr="0088177C">
        <w:rPr>
          <w:color w:val="000000" w:themeColor="text1"/>
        </w:rPr>
        <w:t xml:space="preserve">) which requires them to have regard to the ‘totality of the relationship’. </w:t>
      </w:r>
      <w:r w:rsidR="00732EB5">
        <w:rPr>
          <w:color w:val="000000" w:themeColor="text1"/>
        </w:rPr>
        <w:t xml:space="preserve"> </w:t>
      </w:r>
      <w:r w:rsidRPr="0088177C">
        <w:rPr>
          <w:color w:val="000000" w:themeColor="text1"/>
        </w:rPr>
        <w:t>It is built on the previous ‘control’ and ‘business integration’ tests.</w:t>
      </w:r>
      <w:r w:rsidRPr="0088177C">
        <w:rPr>
          <w:rStyle w:val="FootnoteReference"/>
          <w:color w:val="000000" w:themeColor="text1"/>
        </w:rPr>
        <w:footnoteReference w:id="55"/>
      </w:r>
    </w:p>
    <w:p w14:paraId="51F02FB7" w14:textId="1BCB6463" w:rsidR="005438FC" w:rsidRPr="0088177C" w:rsidRDefault="005438FC" w:rsidP="0088177C">
      <w:pPr>
        <w:pStyle w:val="NoSpacing"/>
        <w:spacing w:beforeLines="60" w:before="144" w:line="300" w:lineRule="auto"/>
        <w:rPr>
          <w:color w:val="000000" w:themeColor="text1"/>
        </w:rPr>
      </w:pPr>
      <w:r w:rsidRPr="0088177C">
        <w:rPr>
          <w:color w:val="000000" w:themeColor="text1"/>
        </w:rPr>
        <w:t>The H</w:t>
      </w:r>
      <w:r w:rsidR="003B570F">
        <w:rPr>
          <w:color w:val="000000" w:themeColor="text1"/>
        </w:rPr>
        <w:t>igh Court</w:t>
      </w:r>
      <w:r w:rsidRPr="0088177C">
        <w:rPr>
          <w:color w:val="000000" w:themeColor="text1"/>
        </w:rPr>
        <w:t xml:space="preserve"> provided in </w:t>
      </w:r>
      <w:proofErr w:type="spellStart"/>
      <w:r w:rsidRPr="0088177C">
        <w:rPr>
          <w:i/>
          <w:iCs/>
          <w:color w:val="000000" w:themeColor="text1"/>
        </w:rPr>
        <w:t>Vabu</w:t>
      </w:r>
      <w:proofErr w:type="spellEnd"/>
      <w:r w:rsidRPr="0088177C">
        <w:rPr>
          <w:color w:val="000000" w:themeColor="text1"/>
        </w:rPr>
        <w:t xml:space="preserve"> (a case which concerned a courier rider found to be an employee) that:</w:t>
      </w:r>
    </w:p>
    <w:p w14:paraId="06635CEB" w14:textId="77777777" w:rsidR="005438FC" w:rsidRPr="0088177C" w:rsidRDefault="005438FC" w:rsidP="00732EB5">
      <w:pPr>
        <w:pStyle w:val="NoSpacing"/>
        <w:spacing w:beforeLines="60" w:before="144" w:line="300" w:lineRule="auto"/>
        <w:ind w:left="720"/>
        <w:rPr>
          <w:color w:val="000000" w:themeColor="text1"/>
        </w:rPr>
      </w:pPr>
      <w:r w:rsidRPr="0088177C">
        <w:rPr>
          <w:color w:val="000000" w:themeColor="text1"/>
        </w:rPr>
        <w:t xml:space="preserve">[T]he relationship between the parties, for the purpose of this litigation, is to be found </w:t>
      </w:r>
      <w:r w:rsidRPr="00732EB5">
        <w:rPr>
          <w:i/>
          <w:iCs/>
          <w:color w:val="000000" w:themeColor="text1"/>
        </w:rPr>
        <w:t>not merely from these contractual terms</w:t>
      </w:r>
      <w:r w:rsidRPr="0088177C">
        <w:rPr>
          <w:color w:val="000000" w:themeColor="text1"/>
        </w:rPr>
        <w:t xml:space="preserve">. The system, which was operated thereunder, and the work practices imposed by </w:t>
      </w:r>
      <w:proofErr w:type="spellStart"/>
      <w:r w:rsidRPr="0088177C">
        <w:rPr>
          <w:color w:val="000000" w:themeColor="text1"/>
        </w:rPr>
        <w:t>Vabu</w:t>
      </w:r>
      <w:proofErr w:type="spellEnd"/>
      <w:r w:rsidRPr="0088177C">
        <w:rPr>
          <w:color w:val="000000" w:themeColor="text1"/>
        </w:rPr>
        <w:t xml:space="preserve"> go to establishing “the totality of the relationship” between the parties.</w:t>
      </w:r>
      <w:r w:rsidRPr="0088177C">
        <w:rPr>
          <w:rStyle w:val="FootnoteReference"/>
          <w:color w:val="000000" w:themeColor="text1"/>
        </w:rPr>
        <w:footnoteReference w:id="56"/>
      </w:r>
      <w:r w:rsidRPr="0088177C">
        <w:rPr>
          <w:color w:val="000000" w:themeColor="text1"/>
        </w:rPr>
        <w:t xml:space="preserve"> </w:t>
      </w:r>
    </w:p>
    <w:p w14:paraId="2CF06A41" w14:textId="64D6E90D" w:rsidR="005438FC" w:rsidRDefault="005438FC" w:rsidP="0088177C">
      <w:pPr>
        <w:pStyle w:val="NoSpacing"/>
        <w:spacing w:beforeLines="60" w:before="144" w:line="300" w:lineRule="auto"/>
        <w:rPr>
          <w:color w:val="000000" w:themeColor="text1"/>
        </w:rPr>
      </w:pPr>
      <w:r w:rsidRPr="0088177C">
        <w:rPr>
          <w:color w:val="000000" w:themeColor="text1"/>
        </w:rPr>
        <w:t xml:space="preserve">The multifactorial test applied in </w:t>
      </w:r>
      <w:proofErr w:type="spellStart"/>
      <w:r w:rsidRPr="0088177C">
        <w:rPr>
          <w:i/>
          <w:iCs/>
          <w:color w:val="000000" w:themeColor="text1"/>
        </w:rPr>
        <w:t>Vabu</w:t>
      </w:r>
      <w:proofErr w:type="spellEnd"/>
      <w:r w:rsidRPr="0088177C">
        <w:rPr>
          <w:i/>
          <w:iCs/>
          <w:color w:val="000000" w:themeColor="text1"/>
        </w:rPr>
        <w:t xml:space="preserve"> </w:t>
      </w:r>
      <w:r w:rsidRPr="0088177C">
        <w:rPr>
          <w:color w:val="000000" w:themeColor="text1"/>
        </w:rPr>
        <w:t xml:space="preserve">has since been applied in many cases. </w:t>
      </w:r>
    </w:p>
    <w:p w14:paraId="1E291303" w14:textId="77777777" w:rsidR="005438FC" w:rsidRPr="00E9500E" w:rsidRDefault="005438FC" w:rsidP="0088177C">
      <w:pPr>
        <w:pStyle w:val="NoSpacing"/>
        <w:spacing w:beforeLines="60" w:before="144" w:line="300" w:lineRule="auto"/>
        <w:rPr>
          <w:rFonts w:cs="áÃ¸À˛"/>
          <w:b/>
          <w:bCs/>
          <w:color w:val="9D825C"/>
          <w:lang w:val="en-GB"/>
        </w:rPr>
      </w:pPr>
      <w:r w:rsidRPr="00E9500E">
        <w:rPr>
          <w:rFonts w:cs="áÃ¸À˛"/>
          <w:b/>
          <w:bCs/>
          <w:color w:val="9D825C"/>
          <w:lang w:val="en-GB"/>
        </w:rPr>
        <w:t xml:space="preserve">Litigation on the distinction between employee and independent contractor </w:t>
      </w:r>
    </w:p>
    <w:p w14:paraId="28CB13F0" w14:textId="77777777" w:rsidR="005438FC" w:rsidRPr="0088177C" w:rsidRDefault="005438FC" w:rsidP="0088177C">
      <w:pPr>
        <w:pStyle w:val="NoSpacing"/>
        <w:spacing w:beforeLines="60" w:before="144" w:line="300" w:lineRule="auto"/>
        <w:rPr>
          <w:rFonts w:cs="áÃ¸À˛"/>
          <w:color w:val="000000" w:themeColor="text1"/>
          <w:lang w:val="en-GB"/>
        </w:rPr>
      </w:pPr>
      <w:r w:rsidRPr="0088177C">
        <w:rPr>
          <w:rFonts w:cs="áÃ¸À˛"/>
          <w:color w:val="000000" w:themeColor="text1"/>
          <w:lang w:val="en-GB"/>
        </w:rPr>
        <w:t xml:space="preserve">Litigation has had varying outcomes depending on jurisdiction. </w:t>
      </w:r>
    </w:p>
    <w:p w14:paraId="57D6696D" w14:textId="1396FED2" w:rsidR="005438FC" w:rsidRPr="0088177C" w:rsidRDefault="005438FC" w:rsidP="0088177C">
      <w:pPr>
        <w:pStyle w:val="NoSpacing"/>
        <w:spacing w:beforeLines="60" w:before="144" w:line="300" w:lineRule="auto"/>
        <w:rPr>
          <w:rFonts w:eastAsiaTheme="minorHAnsi"/>
          <w:color w:val="000000" w:themeColor="text1"/>
          <w:lang w:val="en-GB" w:eastAsia="en-US"/>
        </w:rPr>
      </w:pPr>
      <w:r w:rsidRPr="0088177C">
        <w:rPr>
          <w:rFonts w:cs="áÃ¸À˛"/>
          <w:color w:val="000000" w:themeColor="text1"/>
          <w:lang w:val="en-GB"/>
        </w:rPr>
        <w:t>In Australia</w:t>
      </w:r>
      <w:r w:rsidR="00042D6A">
        <w:rPr>
          <w:rFonts w:cs="áÃ¸À˛"/>
          <w:color w:val="000000" w:themeColor="text1"/>
          <w:lang w:val="en-GB"/>
        </w:rPr>
        <w:t>,</w:t>
      </w:r>
      <w:r w:rsidRPr="0088177C">
        <w:rPr>
          <w:rFonts w:cs="áÃ¸À˛"/>
          <w:color w:val="000000" w:themeColor="text1"/>
          <w:lang w:val="en-GB"/>
        </w:rPr>
        <w:t xml:space="preserve"> in the cases of </w:t>
      </w:r>
      <w:proofErr w:type="spellStart"/>
      <w:r w:rsidRPr="0088177C">
        <w:rPr>
          <w:rFonts w:eastAsiaTheme="minorHAnsi"/>
          <w:i/>
          <w:iCs/>
          <w:color w:val="000000" w:themeColor="text1"/>
          <w:lang w:val="en-GB" w:eastAsia="en-US"/>
        </w:rPr>
        <w:t>Kaseris</w:t>
      </w:r>
      <w:proofErr w:type="spellEnd"/>
      <w:r w:rsidRPr="0088177C">
        <w:rPr>
          <w:rFonts w:eastAsiaTheme="minorHAnsi"/>
          <w:i/>
          <w:iCs/>
          <w:color w:val="000000" w:themeColor="text1"/>
          <w:lang w:val="en-GB" w:eastAsia="en-US"/>
        </w:rPr>
        <w:t xml:space="preserve"> v </w:t>
      </w:r>
      <w:proofErr w:type="spellStart"/>
      <w:r w:rsidRPr="0088177C">
        <w:rPr>
          <w:rFonts w:eastAsiaTheme="minorHAnsi"/>
          <w:i/>
          <w:iCs/>
          <w:color w:val="000000" w:themeColor="text1"/>
          <w:lang w:val="en-GB" w:eastAsia="en-US"/>
        </w:rPr>
        <w:t>Rasier</w:t>
      </w:r>
      <w:proofErr w:type="spellEnd"/>
      <w:r w:rsidRPr="0088177C">
        <w:rPr>
          <w:rFonts w:eastAsiaTheme="minorHAnsi"/>
          <w:i/>
          <w:iCs/>
          <w:color w:val="000000" w:themeColor="text1"/>
          <w:lang w:val="en-GB" w:eastAsia="en-US"/>
        </w:rPr>
        <w:t xml:space="preserve"> Pacific VOP</w:t>
      </w:r>
      <w:r w:rsidRPr="0088177C">
        <w:rPr>
          <w:rStyle w:val="FootnoteReference"/>
          <w:rFonts w:eastAsiaTheme="minorHAnsi"/>
          <w:color w:val="000000" w:themeColor="text1"/>
          <w:lang w:val="en-GB" w:eastAsia="en-US"/>
        </w:rPr>
        <w:footnoteReference w:id="57"/>
      </w:r>
      <w:r w:rsidRPr="0088177C">
        <w:rPr>
          <w:rFonts w:eastAsiaTheme="minorHAnsi"/>
          <w:color w:val="000000" w:themeColor="text1"/>
          <w:lang w:val="en-GB" w:eastAsia="en-US"/>
        </w:rPr>
        <w:t xml:space="preserve"> </w:t>
      </w:r>
      <w:r w:rsidRPr="0088177C">
        <w:rPr>
          <w:rFonts w:cs="áÃ¸À˛"/>
          <w:color w:val="000000" w:themeColor="text1"/>
          <w:lang w:val="en-GB"/>
        </w:rPr>
        <w:t>and</w:t>
      </w:r>
      <w:r w:rsidRPr="0088177C">
        <w:rPr>
          <w:rFonts w:cs="áÃ¸À˛"/>
          <w:i/>
          <w:iCs/>
          <w:color w:val="000000" w:themeColor="text1"/>
          <w:lang w:val="en-GB"/>
        </w:rPr>
        <w:t xml:space="preserve"> </w:t>
      </w:r>
      <w:r w:rsidRPr="0088177C">
        <w:rPr>
          <w:rFonts w:eastAsiaTheme="minorHAnsi"/>
          <w:i/>
          <w:iCs/>
          <w:color w:val="000000" w:themeColor="text1"/>
          <w:lang w:val="en-GB" w:eastAsia="en-US"/>
        </w:rPr>
        <w:t>Gupta v Portier Pacific Pty Ltd; Uber Australia Pty Ltd t/as Uber Eats</w:t>
      </w:r>
      <w:r w:rsidRPr="0088177C">
        <w:rPr>
          <w:rFonts w:eastAsiaTheme="minorHAnsi"/>
          <w:color w:val="000000" w:themeColor="text1"/>
          <w:lang w:val="en-GB" w:eastAsia="en-US"/>
        </w:rPr>
        <w:t>,</w:t>
      </w:r>
      <w:r w:rsidRPr="0088177C">
        <w:rPr>
          <w:rStyle w:val="FootnoteReference"/>
          <w:rFonts w:eastAsiaTheme="minorHAnsi"/>
          <w:color w:val="000000" w:themeColor="text1"/>
          <w:lang w:val="en-GB" w:eastAsia="en-US"/>
        </w:rPr>
        <w:footnoteReference w:id="58"/>
      </w:r>
      <w:r w:rsidRPr="0088177C">
        <w:rPr>
          <w:rFonts w:eastAsiaTheme="minorHAnsi"/>
          <w:color w:val="000000" w:themeColor="text1"/>
          <w:lang w:val="en-GB" w:eastAsia="en-US"/>
        </w:rPr>
        <w:t xml:space="preserve"> </w:t>
      </w:r>
      <w:r w:rsidRPr="0088177C">
        <w:rPr>
          <w:rFonts w:cs="áÃ¸À˛"/>
          <w:color w:val="000000" w:themeColor="text1"/>
          <w:lang w:val="en-GB"/>
        </w:rPr>
        <w:t xml:space="preserve">which concerned an uber driver and an uber eats food delivery driver, respectively, the </w:t>
      </w:r>
      <w:r w:rsidR="003B570F">
        <w:rPr>
          <w:rFonts w:cs="áÃ¸À˛"/>
          <w:color w:val="000000" w:themeColor="text1"/>
          <w:lang w:val="en-GB"/>
        </w:rPr>
        <w:t>FWC</w:t>
      </w:r>
      <w:r w:rsidRPr="0088177C">
        <w:rPr>
          <w:rFonts w:cs="áÃ¸À˛"/>
          <w:color w:val="000000" w:themeColor="text1"/>
          <w:lang w:val="en-GB"/>
        </w:rPr>
        <w:t xml:space="preserve"> applied the multifactorial test and found neither relationship was that of employment. </w:t>
      </w:r>
      <w:r w:rsidR="00042D6A">
        <w:rPr>
          <w:rFonts w:cs="áÃ¸À˛"/>
          <w:color w:val="000000" w:themeColor="text1"/>
          <w:lang w:val="en-GB"/>
        </w:rPr>
        <w:t xml:space="preserve"> </w:t>
      </w:r>
      <w:r w:rsidRPr="0088177C">
        <w:rPr>
          <w:rFonts w:cs="áÃ¸À˛"/>
          <w:color w:val="000000" w:themeColor="text1"/>
          <w:lang w:val="en-GB"/>
        </w:rPr>
        <w:t xml:space="preserve">In both, the FWC held that the level and degree of control is a significant factor affecting how a relationship ought </w:t>
      </w:r>
      <w:r w:rsidR="00511592">
        <w:rPr>
          <w:rFonts w:cs="áÃ¸À˛"/>
          <w:color w:val="000000" w:themeColor="text1"/>
          <w:lang w:val="en-GB"/>
        </w:rPr>
        <w:t xml:space="preserve">to </w:t>
      </w:r>
      <w:r w:rsidRPr="0088177C">
        <w:rPr>
          <w:rFonts w:cs="áÃ¸À˛"/>
          <w:color w:val="000000" w:themeColor="text1"/>
          <w:lang w:val="en-GB"/>
        </w:rPr>
        <w:t xml:space="preserve">be characterised. However, it should be noted that in neither of these cases were the workers represented. </w:t>
      </w:r>
    </w:p>
    <w:p w14:paraId="579768AB" w14:textId="4603A42B" w:rsidR="005438FC" w:rsidRPr="0088177C" w:rsidRDefault="005438FC" w:rsidP="0088177C">
      <w:pPr>
        <w:pStyle w:val="NoSpacing"/>
        <w:spacing w:beforeLines="60" w:before="144" w:line="300" w:lineRule="auto"/>
        <w:rPr>
          <w:rFonts w:cs="áÃ¸À˛"/>
          <w:color w:val="000000" w:themeColor="text1"/>
          <w:lang w:val="en-GB"/>
        </w:rPr>
      </w:pPr>
      <w:r w:rsidRPr="0088177C">
        <w:rPr>
          <w:rFonts w:cs="áÃ¸À˛"/>
          <w:color w:val="000000" w:themeColor="text1"/>
          <w:lang w:val="en-GB"/>
        </w:rPr>
        <w:t xml:space="preserve">In stark contrast to </w:t>
      </w:r>
      <w:proofErr w:type="spellStart"/>
      <w:r w:rsidRPr="0088177C">
        <w:rPr>
          <w:rFonts w:cs="áÃ¸À˛"/>
          <w:i/>
          <w:iCs/>
          <w:color w:val="000000" w:themeColor="text1"/>
          <w:lang w:val="en-GB"/>
        </w:rPr>
        <w:t>Kaseris</w:t>
      </w:r>
      <w:proofErr w:type="spellEnd"/>
      <w:r w:rsidRPr="0088177C">
        <w:rPr>
          <w:rFonts w:cs="áÃ¸À˛"/>
          <w:i/>
          <w:iCs/>
          <w:color w:val="000000" w:themeColor="text1"/>
          <w:lang w:val="en-GB"/>
        </w:rPr>
        <w:t xml:space="preserve"> </w:t>
      </w:r>
      <w:r w:rsidRPr="0088177C">
        <w:rPr>
          <w:rFonts w:cs="áÃ¸À˛"/>
          <w:color w:val="000000" w:themeColor="text1"/>
          <w:lang w:val="en-GB"/>
        </w:rPr>
        <w:t xml:space="preserve">and </w:t>
      </w:r>
      <w:r w:rsidRPr="0088177C">
        <w:rPr>
          <w:rFonts w:cs="áÃ¸À˛"/>
          <w:i/>
          <w:iCs/>
          <w:color w:val="000000" w:themeColor="text1"/>
          <w:lang w:val="en-GB"/>
        </w:rPr>
        <w:t>Gupta</w:t>
      </w:r>
      <w:r w:rsidRPr="0088177C">
        <w:rPr>
          <w:rFonts w:cs="áÃ¸À˛"/>
          <w:color w:val="000000" w:themeColor="text1"/>
          <w:lang w:val="en-GB"/>
        </w:rPr>
        <w:t xml:space="preserve">, in 2021 in </w:t>
      </w:r>
      <w:r w:rsidRPr="0088177C">
        <w:rPr>
          <w:rFonts w:eastAsiaTheme="minorHAnsi"/>
          <w:i/>
          <w:iCs/>
          <w:color w:val="000000" w:themeColor="text1"/>
          <w:lang w:val="en-GB" w:eastAsia="en-US"/>
        </w:rPr>
        <w:t>Franco v Deliveroo Australia Pty Ltd</w:t>
      </w:r>
      <w:r w:rsidRPr="0088177C">
        <w:rPr>
          <w:rStyle w:val="FootnoteReference"/>
          <w:rFonts w:eastAsiaTheme="minorHAnsi"/>
          <w:color w:val="000000" w:themeColor="text1"/>
          <w:lang w:val="en-GB" w:eastAsia="en-US"/>
        </w:rPr>
        <w:footnoteReference w:id="59"/>
      </w:r>
      <w:r w:rsidRPr="0088177C">
        <w:rPr>
          <w:rFonts w:eastAsiaTheme="minorHAnsi"/>
          <w:color w:val="000000" w:themeColor="text1"/>
          <w:lang w:val="en-GB" w:eastAsia="en-US"/>
        </w:rPr>
        <w:t xml:space="preserve"> (</w:t>
      </w:r>
      <w:r w:rsidRPr="0088177C">
        <w:rPr>
          <w:rFonts w:cs="áÃ¸À˛"/>
          <w:color w:val="000000" w:themeColor="text1"/>
          <w:lang w:val="en-GB"/>
        </w:rPr>
        <w:t xml:space="preserve">which concerned a food delivery rider claiming unfair dismissal pursuant to s 394 of the </w:t>
      </w:r>
      <w:r w:rsidRPr="003B570F">
        <w:rPr>
          <w:rFonts w:cs="áÃ¸À˛"/>
          <w:i/>
          <w:iCs/>
          <w:color w:val="000000" w:themeColor="text1"/>
          <w:lang w:val="en-GB"/>
        </w:rPr>
        <w:t>FWA</w:t>
      </w:r>
      <w:r w:rsidRPr="0088177C">
        <w:rPr>
          <w:rFonts w:cs="áÃ¸À˛"/>
          <w:color w:val="000000" w:themeColor="text1"/>
          <w:lang w:val="en-GB"/>
        </w:rPr>
        <w:t xml:space="preserve">), the commission found, applying the multifactorial test, that the relationship was one of employment </w:t>
      </w:r>
      <w:r w:rsidR="003B570F" w:rsidRPr="0088177C">
        <w:rPr>
          <w:rFonts w:cs="áÃ¸À˛"/>
          <w:color w:val="000000" w:themeColor="text1"/>
          <w:lang w:val="en-GB"/>
        </w:rPr>
        <w:t>owing</w:t>
      </w:r>
      <w:r w:rsidRPr="0088177C">
        <w:rPr>
          <w:rFonts w:cs="áÃ¸À˛"/>
          <w:color w:val="000000" w:themeColor="text1"/>
          <w:lang w:val="en-GB"/>
        </w:rPr>
        <w:t xml:space="preserve"> to a number of factors, importantly, that Deliveroo exercises significant control over Mr Franco through data which provides them with metrics under which control of engagement and performance of work could be exercised. </w:t>
      </w:r>
      <w:r w:rsidRPr="0088177C">
        <w:rPr>
          <w:rStyle w:val="FootnoteReference"/>
          <w:rFonts w:cs="áÃ¸À˛"/>
          <w:color w:val="000000" w:themeColor="text1"/>
          <w:lang w:val="en-GB"/>
        </w:rPr>
        <w:footnoteReference w:id="60"/>
      </w:r>
      <w:r w:rsidRPr="0088177C">
        <w:rPr>
          <w:rFonts w:cs="áÃ¸À˛"/>
          <w:color w:val="000000" w:themeColor="text1"/>
          <w:lang w:val="en-GB"/>
        </w:rPr>
        <w:t xml:space="preserve">  </w:t>
      </w:r>
    </w:p>
    <w:p w14:paraId="66973B70" w14:textId="34E3B604" w:rsidR="005438FC" w:rsidRPr="0088177C" w:rsidRDefault="005438FC" w:rsidP="0088177C">
      <w:pPr>
        <w:pStyle w:val="NoSpacing"/>
        <w:spacing w:beforeLines="60" w:before="144" w:line="300" w:lineRule="auto"/>
        <w:rPr>
          <w:rFonts w:cs="áÃ¸À˛"/>
          <w:color w:val="000000" w:themeColor="text1"/>
          <w:lang w:val="en-GB"/>
        </w:rPr>
      </w:pPr>
      <w:r w:rsidRPr="0088177C">
        <w:rPr>
          <w:rFonts w:cs="áÃ¸À˛"/>
          <w:color w:val="000000" w:themeColor="text1"/>
          <w:lang w:val="en-GB"/>
        </w:rPr>
        <w:t>There is little difference in the activities of Mr Franco and Ms Gupta. The significant difference in these cases is that Mr Franco was represented by the Transport Workers Union</w:t>
      </w:r>
      <w:r w:rsidR="003B570F">
        <w:rPr>
          <w:rFonts w:cs="áÃ¸À˛"/>
          <w:color w:val="000000" w:themeColor="text1"/>
          <w:lang w:val="en-GB"/>
        </w:rPr>
        <w:t xml:space="preserve"> (‘TWU’)</w:t>
      </w:r>
      <w:r w:rsidRPr="0088177C">
        <w:rPr>
          <w:rFonts w:cs="áÃ¸À˛"/>
          <w:color w:val="000000" w:themeColor="text1"/>
          <w:lang w:val="en-GB"/>
        </w:rPr>
        <w:t xml:space="preserve">, the others were not. The TWU put the view that the contract of supply was a contract of adhesion, </w:t>
      </w:r>
      <w:r w:rsidR="00511592">
        <w:rPr>
          <w:rFonts w:cs="áÃ¸À˛"/>
          <w:color w:val="000000" w:themeColor="text1"/>
          <w:lang w:val="en-GB"/>
        </w:rPr>
        <w:t xml:space="preserve">as </w:t>
      </w:r>
      <w:r w:rsidRPr="0088177C">
        <w:rPr>
          <w:rFonts w:cs="áÃ¸À˛"/>
          <w:color w:val="000000" w:themeColor="text1"/>
          <w:lang w:val="en-GB"/>
        </w:rPr>
        <w:t>it gave little room for Mr Franco to negotiate the terms.</w:t>
      </w:r>
      <w:r w:rsidRPr="0088177C">
        <w:rPr>
          <w:rStyle w:val="FootnoteReference"/>
          <w:rFonts w:cs="áÃ¸À˛"/>
          <w:color w:val="000000" w:themeColor="text1"/>
          <w:lang w:val="en-GB"/>
        </w:rPr>
        <w:footnoteReference w:id="61"/>
      </w:r>
      <w:r w:rsidRPr="0088177C">
        <w:rPr>
          <w:rFonts w:cs="áÃ¸À˛"/>
          <w:color w:val="000000" w:themeColor="text1"/>
          <w:lang w:val="en-GB"/>
        </w:rPr>
        <w:t xml:space="preserve"> The FWC agreed that ‘Deliveroo determined the terms unilaterally, and therefore any consideration of those terms needed to be cognisant of the circumstances under which the contracts were established’.</w:t>
      </w:r>
      <w:r w:rsidRPr="0088177C">
        <w:rPr>
          <w:rStyle w:val="FootnoteReference"/>
          <w:rFonts w:cs="áÃ¸À˛"/>
          <w:color w:val="000000" w:themeColor="text1"/>
          <w:lang w:val="en-GB"/>
        </w:rPr>
        <w:footnoteReference w:id="62"/>
      </w:r>
      <w:r w:rsidRPr="0088177C">
        <w:rPr>
          <w:rFonts w:cs="áÃ¸À˛"/>
          <w:color w:val="000000" w:themeColor="text1"/>
          <w:lang w:val="en-GB"/>
        </w:rPr>
        <w:t xml:space="preserve"> </w:t>
      </w:r>
    </w:p>
    <w:p w14:paraId="52D0374A" w14:textId="3808B3EB" w:rsidR="005438FC" w:rsidRPr="0088177C" w:rsidRDefault="005438FC" w:rsidP="0088177C">
      <w:pPr>
        <w:pStyle w:val="NoSpacing"/>
        <w:spacing w:beforeLines="60" w:before="144" w:line="300" w:lineRule="auto"/>
        <w:rPr>
          <w:rFonts w:cs="áÃ¸À˛"/>
          <w:color w:val="000000" w:themeColor="text1"/>
          <w:lang w:val="en-GB"/>
        </w:rPr>
      </w:pPr>
      <w:r w:rsidRPr="0088177C">
        <w:rPr>
          <w:rFonts w:cs="áÃ¸À˛"/>
          <w:color w:val="000000" w:themeColor="text1"/>
          <w:lang w:val="en-GB"/>
        </w:rPr>
        <w:t>Unfortunately, any hopes that this would provide a test case to expand the reach of the existing legal framework</w:t>
      </w:r>
      <w:r w:rsidR="008A4900">
        <w:rPr>
          <w:rFonts w:cs="áÃ¸À˛"/>
          <w:color w:val="000000" w:themeColor="text1"/>
          <w:lang w:val="en-GB"/>
        </w:rPr>
        <w:t>,</w:t>
      </w:r>
      <w:r w:rsidRPr="0088177C">
        <w:rPr>
          <w:rFonts w:cs="áÃ¸À˛"/>
          <w:color w:val="000000" w:themeColor="text1"/>
          <w:lang w:val="en-GB"/>
        </w:rPr>
        <w:t xml:space="preserve"> and to strengthen the level of protection for workers, was slashed by the 2022 High Court decisions in </w:t>
      </w:r>
      <w:r w:rsidRPr="0088177C">
        <w:rPr>
          <w:rFonts w:cs="áÃ¸À˛"/>
          <w:i/>
          <w:iCs/>
          <w:color w:val="000000" w:themeColor="text1"/>
          <w:lang w:val="en-GB"/>
        </w:rPr>
        <w:t>CFMMEU v Personal Contracting Pty Ltd</w:t>
      </w:r>
      <w:r w:rsidRPr="0088177C">
        <w:rPr>
          <w:rStyle w:val="FootnoteReference"/>
          <w:rFonts w:cs="áÃ¸À˛"/>
          <w:i/>
          <w:iCs/>
          <w:color w:val="000000" w:themeColor="text1"/>
          <w:lang w:val="en-GB"/>
        </w:rPr>
        <w:footnoteReference w:id="63"/>
      </w:r>
      <w:r w:rsidRPr="0088177C">
        <w:rPr>
          <w:rFonts w:cs="áÃ¸À˛"/>
          <w:color w:val="000000" w:themeColor="text1"/>
          <w:lang w:val="en-GB"/>
        </w:rPr>
        <w:t xml:space="preserve"> (‘CFMMEU’) and </w:t>
      </w:r>
      <w:r w:rsidRPr="0088177C">
        <w:rPr>
          <w:rFonts w:cs="áÃ¸À˛"/>
          <w:i/>
          <w:iCs/>
          <w:color w:val="000000" w:themeColor="text1"/>
          <w:lang w:val="en-GB"/>
        </w:rPr>
        <w:t xml:space="preserve">ZG Operations Australia Pty Ltd v </w:t>
      </w:r>
      <w:proofErr w:type="spellStart"/>
      <w:r w:rsidRPr="0088177C">
        <w:rPr>
          <w:rFonts w:cs="áÃ¸À˛"/>
          <w:i/>
          <w:iCs/>
          <w:color w:val="000000" w:themeColor="text1"/>
          <w:lang w:val="en-GB"/>
        </w:rPr>
        <w:t>Jamsek</w:t>
      </w:r>
      <w:proofErr w:type="spellEnd"/>
      <w:r w:rsidRPr="0088177C">
        <w:rPr>
          <w:rStyle w:val="FootnoteReference"/>
          <w:rFonts w:cs="áÃ¸À˛"/>
          <w:i/>
          <w:iCs/>
          <w:color w:val="000000" w:themeColor="text1"/>
          <w:lang w:val="en-GB"/>
        </w:rPr>
        <w:footnoteReference w:id="64"/>
      </w:r>
      <w:r w:rsidRPr="0088177C">
        <w:rPr>
          <w:rFonts w:cs="áÃ¸À˛"/>
          <w:color w:val="000000" w:themeColor="text1"/>
          <w:lang w:val="en-GB"/>
        </w:rPr>
        <w:t xml:space="preserve"> (‘</w:t>
      </w:r>
      <w:proofErr w:type="spellStart"/>
      <w:r w:rsidRPr="0088177C">
        <w:rPr>
          <w:rFonts w:cs="áÃ¸À˛"/>
          <w:color w:val="000000" w:themeColor="text1"/>
          <w:lang w:val="en-GB"/>
        </w:rPr>
        <w:t>Jamsek</w:t>
      </w:r>
      <w:proofErr w:type="spellEnd"/>
      <w:r w:rsidRPr="0088177C">
        <w:rPr>
          <w:rFonts w:cs="áÃ¸À˛"/>
          <w:color w:val="000000" w:themeColor="text1"/>
          <w:lang w:val="en-GB"/>
        </w:rPr>
        <w:t xml:space="preserve">’). Along with </w:t>
      </w:r>
      <w:proofErr w:type="spellStart"/>
      <w:r w:rsidRPr="0088177C">
        <w:rPr>
          <w:i/>
          <w:iCs/>
          <w:color w:val="000000" w:themeColor="text1"/>
        </w:rPr>
        <w:t>Workpac</w:t>
      </w:r>
      <w:proofErr w:type="spellEnd"/>
      <w:r w:rsidRPr="0088177C">
        <w:rPr>
          <w:i/>
          <w:iCs/>
          <w:color w:val="000000" w:themeColor="text1"/>
        </w:rPr>
        <w:t xml:space="preserve"> Pty Ltd v </w:t>
      </w:r>
      <w:proofErr w:type="spellStart"/>
      <w:r w:rsidRPr="0088177C">
        <w:rPr>
          <w:i/>
          <w:iCs/>
          <w:color w:val="000000" w:themeColor="text1"/>
        </w:rPr>
        <w:t>Rossato</w:t>
      </w:r>
      <w:proofErr w:type="spellEnd"/>
      <w:r w:rsidRPr="0088177C">
        <w:rPr>
          <w:rStyle w:val="FootnoteReference"/>
          <w:color w:val="000000" w:themeColor="text1"/>
        </w:rPr>
        <w:footnoteReference w:id="65"/>
      </w:r>
      <w:r w:rsidRPr="0088177C">
        <w:rPr>
          <w:color w:val="000000" w:themeColor="text1"/>
        </w:rPr>
        <w:t xml:space="preserve"> (‘</w:t>
      </w:r>
      <w:proofErr w:type="spellStart"/>
      <w:r w:rsidRPr="0088177C">
        <w:rPr>
          <w:i/>
          <w:iCs/>
          <w:color w:val="000000" w:themeColor="text1"/>
        </w:rPr>
        <w:t>Rossato</w:t>
      </w:r>
      <w:proofErr w:type="spellEnd"/>
      <w:r w:rsidRPr="0088177C">
        <w:rPr>
          <w:color w:val="000000" w:themeColor="text1"/>
        </w:rPr>
        <w:t xml:space="preserve">’) in 2021. </w:t>
      </w:r>
    </w:p>
    <w:p w14:paraId="18E5F88A" w14:textId="1D9A9FB8" w:rsidR="005438FC" w:rsidRDefault="005438FC" w:rsidP="0088177C">
      <w:pPr>
        <w:pStyle w:val="NoSpacing"/>
        <w:spacing w:beforeLines="60" w:before="144" w:line="300" w:lineRule="auto"/>
        <w:rPr>
          <w:color w:val="000000" w:themeColor="text1"/>
        </w:rPr>
      </w:pPr>
      <w:r w:rsidRPr="0088177C">
        <w:rPr>
          <w:rFonts w:cs="áÃ¸À˛"/>
          <w:color w:val="000000" w:themeColor="text1"/>
          <w:lang w:val="en-GB"/>
        </w:rPr>
        <w:t xml:space="preserve">These cases favoured and </w:t>
      </w:r>
      <w:r w:rsidRPr="0088177C">
        <w:rPr>
          <w:color w:val="000000" w:themeColor="text1"/>
        </w:rPr>
        <w:t xml:space="preserve">confirmed the orthodox approach that employment contracts are subject to the ordinary rules of interpreting contracts. </w:t>
      </w:r>
    </w:p>
    <w:p w14:paraId="4FEE22F2" w14:textId="16844752" w:rsidR="00EB38D1" w:rsidRPr="00EB38D1" w:rsidRDefault="00EB38D1" w:rsidP="0088177C">
      <w:pPr>
        <w:pStyle w:val="NoSpacing"/>
        <w:spacing w:beforeLines="60" w:before="144" w:line="300" w:lineRule="auto"/>
        <w:rPr>
          <w:color w:val="000000" w:themeColor="text1"/>
          <w:shd w:val="clear" w:color="auto" w:fill="FFFFFF"/>
        </w:rPr>
      </w:pPr>
      <w:r w:rsidRPr="0088177C">
        <w:rPr>
          <w:color w:val="000000" w:themeColor="text1"/>
          <w:shd w:val="clear" w:color="auto" w:fill="FFFFFF"/>
        </w:rPr>
        <w:t xml:space="preserve">As provided in </w:t>
      </w:r>
      <w:r>
        <w:rPr>
          <w:i/>
          <w:iCs/>
          <w:color w:val="000000" w:themeColor="text1"/>
          <w:shd w:val="clear" w:color="auto" w:fill="FFFFFF"/>
        </w:rPr>
        <w:t>CFMMEU</w:t>
      </w:r>
      <w:r w:rsidRPr="0088177C">
        <w:rPr>
          <w:color w:val="000000" w:themeColor="text1"/>
          <w:shd w:val="clear" w:color="auto" w:fill="FFFFFF"/>
        </w:rPr>
        <w:t>:</w:t>
      </w:r>
    </w:p>
    <w:p w14:paraId="497C73C4" w14:textId="77777777" w:rsidR="005438FC" w:rsidRPr="00511592" w:rsidRDefault="005438FC" w:rsidP="008A4900">
      <w:pPr>
        <w:pStyle w:val="NoSpacing"/>
        <w:spacing w:beforeLines="60" w:before="144" w:line="300" w:lineRule="auto"/>
        <w:ind w:left="720"/>
        <w:rPr>
          <w:i/>
          <w:iCs/>
          <w:color w:val="000000" w:themeColor="text1"/>
        </w:rPr>
      </w:pPr>
      <w:r w:rsidRPr="00511592">
        <w:rPr>
          <w:i/>
          <w:iCs/>
          <w:color w:val="000000" w:themeColor="text1"/>
        </w:rPr>
        <w:t>[W]here the terms of the parties’ relationship are comprehensively committed to a written contract, the validity of which is not challenged as a sham nor the terms of which otherwise varied, waived or the subject of an estoppel, there is no reason why the legal rights and obligations so established should not be decisive of the character of the relationship’.</w:t>
      </w:r>
      <w:r w:rsidRPr="00511592">
        <w:rPr>
          <w:rStyle w:val="FootnoteReference"/>
          <w:i/>
          <w:iCs/>
          <w:color w:val="000000" w:themeColor="text1"/>
        </w:rPr>
        <w:footnoteReference w:id="66"/>
      </w:r>
    </w:p>
    <w:p w14:paraId="1C47F0E4" w14:textId="30C95A90" w:rsidR="005438FC" w:rsidRPr="004272F4" w:rsidRDefault="005438FC" w:rsidP="0088177C">
      <w:pPr>
        <w:pStyle w:val="NoSpacing"/>
        <w:spacing w:beforeLines="60" w:before="144" w:line="300" w:lineRule="auto"/>
        <w:rPr>
          <w:color w:val="000000" w:themeColor="text1"/>
        </w:rPr>
      </w:pPr>
      <w:r w:rsidRPr="0088177C">
        <w:rPr>
          <w:color w:val="000000" w:themeColor="text1"/>
        </w:rPr>
        <w:t>The result is that now, at common law, employment contracts are no longer subject to differential treatment because of disparity in bargaining power between the parties.</w:t>
      </w:r>
      <w:r w:rsidRPr="0088177C">
        <w:rPr>
          <w:rStyle w:val="FootnoteReference"/>
          <w:color w:val="000000" w:themeColor="text1"/>
        </w:rPr>
        <w:footnoteReference w:id="67"/>
      </w:r>
    </w:p>
    <w:p w14:paraId="0EF10BD6" w14:textId="77777777" w:rsidR="005438FC" w:rsidRPr="0088177C" w:rsidRDefault="005438FC" w:rsidP="0088177C">
      <w:pPr>
        <w:pStyle w:val="NoSpacing"/>
        <w:spacing w:beforeLines="60" w:before="144" w:line="300" w:lineRule="auto"/>
        <w:rPr>
          <w:color w:val="000000" w:themeColor="text1"/>
          <w:shd w:val="clear" w:color="auto" w:fill="FFFFFF"/>
        </w:rPr>
      </w:pPr>
      <w:r w:rsidRPr="0088177C">
        <w:rPr>
          <w:color w:val="000000" w:themeColor="text1"/>
          <w:shd w:val="clear" w:color="auto" w:fill="FFFFFF"/>
        </w:rPr>
        <w:t xml:space="preserve">As provided in </w:t>
      </w:r>
      <w:proofErr w:type="spellStart"/>
      <w:r w:rsidRPr="0088177C">
        <w:rPr>
          <w:i/>
          <w:iCs/>
          <w:color w:val="000000" w:themeColor="text1"/>
          <w:shd w:val="clear" w:color="auto" w:fill="FFFFFF"/>
        </w:rPr>
        <w:t>Rossato</w:t>
      </w:r>
      <w:proofErr w:type="spellEnd"/>
      <w:r w:rsidRPr="0088177C">
        <w:rPr>
          <w:color w:val="000000" w:themeColor="text1"/>
          <w:shd w:val="clear" w:color="auto" w:fill="FFFFFF"/>
        </w:rPr>
        <w:t>:</w:t>
      </w:r>
    </w:p>
    <w:p w14:paraId="775BD1BE" w14:textId="1ECA926B" w:rsidR="00EB38D1" w:rsidRPr="00511592" w:rsidRDefault="005438FC" w:rsidP="00511592">
      <w:pPr>
        <w:pStyle w:val="NoSpacing"/>
        <w:spacing w:beforeLines="60" w:before="144" w:line="300" w:lineRule="auto"/>
        <w:ind w:left="720"/>
        <w:rPr>
          <w:i/>
          <w:iCs/>
          <w:color w:val="000000" w:themeColor="text1"/>
          <w:shd w:val="clear" w:color="auto" w:fill="FFFFFF"/>
        </w:rPr>
      </w:pPr>
      <w:r w:rsidRPr="00511592">
        <w:rPr>
          <w:i/>
          <w:iCs/>
          <w:color w:val="000000" w:themeColor="text1"/>
          <w:shd w:val="clear" w:color="auto" w:fill="FFFFFF"/>
        </w:rPr>
        <w:t>It is no part of the judicial function in relation to the construction of contracts to strain language and legal concepts in order to moderate a perceived unfairness resulting from a disparity in</w:t>
      </w:r>
      <w:r w:rsidRPr="00511592">
        <w:rPr>
          <w:rFonts w:cs="Cambria"/>
          <w:i/>
          <w:iCs/>
          <w:color w:val="000000" w:themeColor="text1"/>
          <w:shd w:val="clear" w:color="auto" w:fill="FFFFFF"/>
        </w:rPr>
        <w:t> </w:t>
      </w:r>
      <w:r w:rsidRPr="00511592">
        <w:rPr>
          <w:i/>
          <w:iCs/>
          <w:color w:val="000000" w:themeColor="text1"/>
          <w:shd w:val="clear" w:color="auto" w:fill="FFFFFF"/>
        </w:rPr>
        <w:t>bargaining</w:t>
      </w:r>
      <w:r w:rsidRPr="00511592">
        <w:rPr>
          <w:rFonts w:cs="Cambria"/>
          <w:i/>
          <w:iCs/>
          <w:color w:val="000000" w:themeColor="text1"/>
          <w:shd w:val="clear" w:color="auto" w:fill="FFFFFF"/>
        </w:rPr>
        <w:t> </w:t>
      </w:r>
      <w:r w:rsidRPr="00511592">
        <w:rPr>
          <w:i/>
          <w:iCs/>
          <w:color w:val="000000" w:themeColor="text1"/>
          <w:shd w:val="clear" w:color="auto" w:fill="FFFFFF"/>
        </w:rPr>
        <w:t>power between the parties so as to adjust their bargain. It has rightly been said that it is not a legitimate role for a court to force upon the words of the parties' bargain "a meaning which they cannot fairly bear [to] substitute for the bargain actually made one which the court believes could better have been made."</w:t>
      </w:r>
      <w:r w:rsidRPr="00511592">
        <w:rPr>
          <w:rStyle w:val="FootnoteReference"/>
          <w:i/>
          <w:iCs/>
          <w:color w:val="000000" w:themeColor="text1"/>
          <w:shd w:val="clear" w:color="auto" w:fill="FFFFFF"/>
        </w:rPr>
        <w:footnoteReference w:id="68"/>
      </w:r>
    </w:p>
    <w:p w14:paraId="6335CD75" w14:textId="77777777" w:rsidR="00E8537F" w:rsidRDefault="00E8537F">
      <w:pPr>
        <w:rPr>
          <w:rFonts w:ascii="Avenir Book" w:eastAsiaTheme="minorEastAsia" w:hAnsi="Avenir Book" w:cs="Times New Roman (Body CS)"/>
          <w:b/>
          <w:bCs/>
          <w:color w:val="9D825C"/>
          <w:sz w:val="22"/>
          <w:szCs w:val="22"/>
          <w:lang w:val="en-US" w:eastAsia="zh-CN"/>
        </w:rPr>
      </w:pPr>
      <w:r>
        <w:rPr>
          <w:b/>
          <w:bCs/>
          <w:color w:val="9D825C"/>
        </w:rPr>
        <w:br w:type="page"/>
      </w:r>
    </w:p>
    <w:p w14:paraId="03C6B7BA" w14:textId="7512899A" w:rsidR="005438FC" w:rsidRPr="008A4900" w:rsidRDefault="005438FC" w:rsidP="0088177C">
      <w:pPr>
        <w:pStyle w:val="NoSpacing"/>
        <w:spacing w:beforeLines="60" w:before="144" w:line="300" w:lineRule="auto"/>
        <w:rPr>
          <w:b/>
          <w:bCs/>
          <w:color w:val="9D825C"/>
        </w:rPr>
      </w:pPr>
      <w:r w:rsidRPr="008A4900">
        <w:rPr>
          <w:b/>
          <w:bCs/>
          <w:color w:val="9D825C"/>
        </w:rPr>
        <w:t xml:space="preserve">The </w:t>
      </w:r>
      <w:r w:rsidR="008A4900" w:rsidRPr="008A4900">
        <w:rPr>
          <w:b/>
          <w:bCs/>
          <w:color w:val="9D825C"/>
        </w:rPr>
        <w:t xml:space="preserve">consequences </w:t>
      </w:r>
      <w:r w:rsidRPr="008A4900">
        <w:rPr>
          <w:b/>
          <w:bCs/>
          <w:color w:val="9D825C"/>
        </w:rPr>
        <w:t xml:space="preserve">for Mr Franco </w:t>
      </w:r>
    </w:p>
    <w:p w14:paraId="79831C6E" w14:textId="767863DB" w:rsidR="005438FC" w:rsidRPr="0088177C" w:rsidRDefault="005438FC" w:rsidP="0088177C">
      <w:pPr>
        <w:pStyle w:val="NoSpacing"/>
        <w:spacing w:beforeLines="60" w:before="144" w:line="300" w:lineRule="auto"/>
        <w:rPr>
          <w:color w:val="000000" w:themeColor="text1"/>
        </w:rPr>
      </w:pPr>
      <w:r w:rsidRPr="0088177C">
        <w:rPr>
          <w:color w:val="000000" w:themeColor="text1"/>
        </w:rPr>
        <w:t>In response to these H</w:t>
      </w:r>
      <w:r w:rsidR="00EB38D1">
        <w:rPr>
          <w:color w:val="000000" w:themeColor="text1"/>
        </w:rPr>
        <w:t xml:space="preserve">igh </w:t>
      </w:r>
      <w:r w:rsidRPr="0088177C">
        <w:rPr>
          <w:color w:val="000000" w:themeColor="text1"/>
        </w:rPr>
        <w:t>C</w:t>
      </w:r>
      <w:r w:rsidR="00EB38D1">
        <w:rPr>
          <w:color w:val="000000" w:themeColor="text1"/>
        </w:rPr>
        <w:t>ourt</w:t>
      </w:r>
      <w:r w:rsidRPr="0088177C">
        <w:rPr>
          <w:color w:val="000000" w:themeColor="text1"/>
        </w:rPr>
        <w:t xml:space="preserve"> decisions, in </w:t>
      </w:r>
      <w:r w:rsidRPr="0088177C">
        <w:rPr>
          <w:i/>
          <w:iCs/>
          <w:color w:val="000000" w:themeColor="text1"/>
        </w:rPr>
        <w:t>Deliveroo Australia Pty Ltd v Franco</w:t>
      </w:r>
      <w:r w:rsidRPr="0088177C">
        <w:rPr>
          <w:color w:val="000000" w:themeColor="text1"/>
        </w:rPr>
        <w:t>,</w:t>
      </w:r>
      <w:r w:rsidRPr="0088177C">
        <w:rPr>
          <w:rStyle w:val="FootnoteReference"/>
          <w:color w:val="000000" w:themeColor="text1"/>
        </w:rPr>
        <w:footnoteReference w:id="69"/>
      </w:r>
      <w:r w:rsidRPr="0088177C">
        <w:rPr>
          <w:color w:val="000000" w:themeColor="text1"/>
        </w:rPr>
        <w:t xml:space="preserve"> an appeal of Cambridge C’s decision in </w:t>
      </w:r>
      <w:r w:rsidRPr="0088177C">
        <w:rPr>
          <w:i/>
          <w:iCs/>
          <w:color w:val="000000" w:themeColor="text1"/>
        </w:rPr>
        <w:t>Franco v Deliveroo Australia Pty Ltd</w:t>
      </w:r>
      <w:r w:rsidRPr="0088177C">
        <w:rPr>
          <w:color w:val="000000" w:themeColor="text1"/>
        </w:rPr>
        <w:t xml:space="preserve">, the Full Bench was compelled to find that the delivery rider was a contractor, not an employee. </w:t>
      </w:r>
    </w:p>
    <w:p w14:paraId="35E69B34" w14:textId="7E76B876" w:rsidR="005438FC" w:rsidRDefault="005438FC" w:rsidP="0088177C">
      <w:pPr>
        <w:pStyle w:val="NoSpacing"/>
        <w:spacing w:beforeLines="60" w:before="144" w:line="300" w:lineRule="auto"/>
        <w:rPr>
          <w:color w:val="000000" w:themeColor="text1"/>
        </w:rPr>
      </w:pPr>
      <w:r w:rsidRPr="0088177C">
        <w:rPr>
          <w:color w:val="000000" w:themeColor="text1"/>
        </w:rPr>
        <w:t>In this case the express written agreement in between the parties was not disputed to be comprehensive.</w:t>
      </w:r>
      <w:r w:rsidRPr="0088177C">
        <w:rPr>
          <w:rStyle w:val="FootnoteReference"/>
          <w:color w:val="000000" w:themeColor="text1"/>
        </w:rPr>
        <w:footnoteReference w:id="70"/>
      </w:r>
      <w:r w:rsidRPr="0088177C">
        <w:rPr>
          <w:color w:val="000000" w:themeColor="text1"/>
        </w:rPr>
        <w:t xml:space="preserve">  But it should be noted that the Full Bench seemed reluctant in the</w:t>
      </w:r>
      <w:r w:rsidR="00511592">
        <w:rPr>
          <w:color w:val="000000" w:themeColor="text1"/>
        </w:rPr>
        <w:t>ir</w:t>
      </w:r>
      <w:r w:rsidRPr="0088177C">
        <w:rPr>
          <w:color w:val="000000" w:themeColor="text1"/>
        </w:rPr>
        <w:t xml:space="preserve"> finding, stating that ‘plainly in our view, [there was] unfair treatment on the part of Deliveroo’;</w:t>
      </w:r>
      <w:r w:rsidRPr="0088177C">
        <w:rPr>
          <w:rStyle w:val="FootnoteReference"/>
          <w:color w:val="000000" w:themeColor="text1"/>
        </w:rPr>
        <w:footnoteReference w:id="71"/>
      </w:r>
      <w:r w:rsidRPr="0088177C">
        <w:rPr>
          <w:color w:val="000000" w:themeColor="text1"/>
        </w:rPr>
        <w:t xml:space="preserve"> there were ‘</w:t>
      </w:r>
      <w:r w:rsidR="00EB38D1" w:rsidRPr="0088177C">
        <w:rPr>
          <w:color w:val="000000" w:themeColor="text1"/>
        </w:rPr>
        <w:t>real</w:t>
      </w:r>
      <w:r w:rsidR="00EB38D1">
        <w:rPr>
          <w:color w:val="000000" w:themeColor="text1"/>
        </w:rPr>
        <w:t>it</w:t>
      </w:r>
      <w:r w:rsidR="00EB38D1" w:rsidRPr="0088177C">
        <w:rPr>
          <w:color w:val="000000" w:themeColor="text1"/>
        </w:rPr>
        <w:t>ies</w:t>
      </w:r>
      <w:r w:rsidRPr="0088177C">
        <w:rPr>
          <w:color w:val="000000" w:themeColor="text1"/>
        </w:rPr>
        <w:t xml:space="preserve"> [the court was] obliged to ignore;’</w:t>
      </w:r>
      <w:r w:rsidRPr="0088177C">
        <w:rPr>
          <w:rStyle w:val="FootnoteReference"/>
          <w:color w:val="000000" w:themeColor="text1"/>
        </w:rPr>
        <w:footnoteReference w:id="72"/>
      </w:r>
      <w:r w:rsidRPr="0088177C">
        <w:rPr>
          <w:color w:val="000000" w:themeColor="text1"/>
        </w:rPr>
        <w:t xml:space="preserve">  and had they been permitted to take into account the matters that the FWC did (under the now displaced </w:t>
      </w:r>
      <w:r w:rsidRPr="0088177C">
        <w:rPr>
          <w:rFonts w:cs="áÃ¸À˛"/>
          <w:color w:val="000000" w:themeColor="text1"/>
          <w:lang w:val="en-GB"/>
        </w:rPr>
        <w:t>multifactorial</w:t>
      </w:r>
      <w:r w:rsidRPr="0088177C">
        <w:rPr>
          <w:color w:val="000000" w:themeColor="text1"/>
        </w:rPr>
        <w:t xml:space="preserve"> test) the court ‘would have reached a different conclusion of this appeal’.</w:t>
      </w:r>
      <w:r w:rsidRPr="0088177C">
        <w:rPr>
          <w:rStyle w:val="FootnoteReference"/>
          <w:color w:val="000000" w:themeColor="text1"/>
        </w:rPr>
        <w:footnoteReference w:id="73"/>
      </w:r>
      <w:r w:rsidRPr="0088177C">
        <w:rPr>
          <w:color w:val="000000" w:themeColor="text1"/>
        </w:rPr>
        <w:t xml:space="preserve"> </w:t>
      </w:r>
    </w:p>
    <w:p w14:paraId="6ADCDB73" w14:textId="77777777" w:rsidR="005438FC" w:rsidRPr="00042D6A" w:rsidRDefault="005438FC" w:rsidP="0088177C">
      <w:pPr>
        <w:pStyle w:val="NoSpacing"/>
        <w:spacing w:beforeLines="60" w:before="144" w:line="300" w:lineRule="auto"/>
        <w:rPr>
          <w:b/>
          <w:bCs/>
          <w:color w:val="9D825C"/>
        </w:rPr>
      </w:pPr>
      <w:r w:rsidRPr="00042D6A">
        <w:rPr>
          <w:b/>
          <w:bCs/>
          <w:color w:val="9D825C"/>
        </w:rPr>
        <w:t>It is time to redefine</w:t>
      </w:r>
    </w:p>
    <w:p w14:paraId="35DBC882" w14:textId="00FF5984" w:rsidR="005438FC" w:rsidRPr="0088177C" w:rsidRDefault="005438FC" w:rsidP="0088177C">
      <w:pPr>
        <w:pStyle w:val="NoSpacing"/>
        <w:spacing w:beforeLines="60" w:before="144" w:line="300" w:lineRule="auto"/>
        <w:rPr>
          <w:color w:val="000000" w:themeColor="text1"/>
        </w:rPr>
      </w:pPr>
      <w:r w:rsidRPr="0088177C">
        <w:rPr>
          <w:color w:val="000000" w:themeColor="text1"/>
        </w:rPr>
        <w:t xml:space="preserve">Even before this </w:t>
      </w:r>
      <w:r w:rsidRPr="00042D6A">
        <w:rPr>
          <w:i/>
          <w:iCs/>
          <w:color w:val="000000" w:themeColor="text1"/>
        </w:rPr>
        <w:t>contract is king</w:t>
      </w:r>
      <w:r w:rsidRPr="0088177C">
        <w:rPr>
          <w:color w:val="000000" w:themeColor="text1"/>
        </w:rPr>
        <w:t xml:space="preserve"> approach </w:t>
      </w:r>
      <w:r w:rsidR="00EB38D1">
        <w:rPr>
          <w:color w:val="000000" w:themeColor="text1"/>
        </w:rPr>
        <w:t>taken by the High Court</w:t>
      </w:r>
      <w:r w:rsidRPr="0088177C">
        <w:rPr>
          <w:color w:val="000000" w:themeColor="text1"/>
        </w:rPr>
        <w:t xml:space="preserve">, there had been regular calls for the definition of employee to be redefined. </w:t>
      </w:r>
    </w:p>
    <w:p w14:paraId="5758ADFD" w14:textId="1DF89D53" w:rsidR="005438FC" w:rsidRPr="0088177C" w:rsidRDefault="005438FC" w:rsidP="0088177C">
      <w:pPr>
        <w:pStyle w:val="NoSpacing"/>
        <w:spacing w:beforeLines="60" w:before="144" w:line="300" w:lineRule="auto"/>
        <w:rPr>
          <w:color w:val="000000" w:themeColor="text1"/>
        </w:rPr>
      </w:pPr>
      <w:r w:rsidRPr="0088177C">
        <w:rPr>
          <w:color w:val="000000" w:themeColor="text1"/>
        </w:rPr>
        <w:t xml:space="preserve">One example of an expanded definition in Australian statute is the definition of worker in </w:t>
      </w:r>
      <w:r w:rsidR="00511592">
        <w:rPr>
          <w:color w:val="000000" w:themeColor="text1"/>
        </w:rPr>
        <w:t xml:space="preserve">Section </w:t>
      </w:r>
      <w:r w:rsidRPr="0088177C">
        <w:rPr>
          <w:color w:val="000000" w:themeColor="text1"/>
        </w:rPr>
        <w:t>7 of the model WHS laws.</w:t>
      </w:r>
      <w:r w:rsidRPr="0088177C">
        <w:rPr>
          <w:rStyle w:val="FootnoteReference"/>
          <w:color w:val="000000" w:themeColor="text1"/>
        </w:rPr>
        <w:footnoteReference w:id="74"/>
      </w:r>
      <w:r w:rsidRPr="0088177C">
        <w:rPr>
          <w:color w:val="000000" w:themeColor="text1"/>
        </w:rPr>
        <w:t xml:space="preserve">  This </w:t>
      </w:r>
      <w:r w:rsidR="00EB38D1">
        <w:rPr>
          <w:color w:val="000000" w:themeColor="text1"/>
        </w:rPr>
        <w:t>A</w:t>
      </w:r>
      <w:r w:rsidRPr="0088177C">
        <w:rPr>
          <w:color w:val="000000" w:themeColor="text1"/>
        </w:rPr>
        <w:t xml:space="preserve">ct adopts ‘a broad definition of ‘worker’ instead of ‘employee’ [for the purpose of recognizing] the changing nature of work relationships and to ensure health and safety protection is extended to all types of </w:t>
      </w:r>
      <w:proofErr w:type="gramStart"/>
      <w:r w:rsidRPr="0088177C">
        <w:rPr>
          <w:color w:val="000000" w:themeColor="text1"/>
        </w:rPr>
        <w:t>workers’</w:t>
      </w:r>
      <w:proofErr w:type="gramEnd"/>
      <w:r w:rsidRPr="0088177C">
        <w:rPr>
          <w:color w:val="000000" w:themeColor="text1"/>
        </w:rPr>
        <w:t>.</w:t>
      </w:r>
      <w:r w:rsidRPr="0088177C">
        <w:rPr>
          <w:rStyle w:val="FootnoteReference"/>
          <w:color w:val="000000" w:themeColor="text1"/>
        </w:rPr>
        <w:footnoteReference w:id="75"/>
      </w:r>
    </w:p>
    <w:p w14:paraId="24278BF6" w14:textId="65B83CBC" w:rsidR="005438FC" w:rsidRPr="0088177C" w:rsidRDefault="00314687" w:rsidP="0088177C">
      <w:pPr>
        <w:pStyle w:val="NoSpacing"/>
        <w:spacing w:beforeLines="60" w:before="144" w:line="300" w:lineRule="auto"/>
        <w:rPr>
          <w:color w:val="000000" w:themeColor="text1"/>
        </w:rPr>
      </w:pPr>
      <w:r>
        <w:rPr>
          <w:color w:val="000000" w:themeColor="text1"/>
        </w:rPr>
        <w:t>W</w:t>
      </w:r>
      <w:r w:rsidR="005438FC" w:rsidRPr="0088177C">
        <w:rPr>
          <w:color w:val="000000" w:themeColor="text1"/>
        </w:rPr>
        <w:t xml:space="preserve">hy shouldn’t other workplace rights, like those under the </w:t>
      </w:r>
      <w:r w:rsidR="005438FC" w:rsidRPr="00314687">
        <w:rPr>
          <w:i/>
          <w:iCs/>
          <w:color w:val="000000" w:themeColor="text1"/>
        </w:rPr>
        <w:t>FWA</w:t>
      </w:r>
      <w:r w:rsidR="00511592">
        <w:rPr>
          <w:i/>
          <w:iCs/>
          <w:color w:val="000000" w:themeColor="text1"/>
        </w:rPr>
        <w:t>,</w:t>
      </w:r>
      <w:r w:rsidR="005438FC" w:rsidRPr="0088177C">
        <w:rPr>
          <w:color w:val="000000" w:themeColor="text1"/>
        </w:rPr>
        <w:t xml:space="preserve"> also be extended? </w:t>
      </w:r>
      <w:r>
        <w:rPr>
          <w:color w:val="000000" w:themeColor="text1"/>
        </w:rPr>
        <w:t xml:space="preserve">The </w:t>
      </w:r>
      <w:r w:rsidRPr="00314687">
        <w:rPr>
          <w:i/>
          <w:iCs/>
          <w:color w:val="000000" w:themeColor="text1"/>
        </w:rPr>
        <w:t>FWA</w:t>
      </w:r>
      <w:r>
        <w:rPr>
          <w:color w:val="000000" w:themeColor="text1"/>
        </w:rPr>
        <w:t xml:space="preserve"> already </w:t>
      </w:r>
      <w:r w:rsidR="005438FC" w:rsidRPr="0088177C">
        <w:rPr>
          <w:color w:val="000000" w:themeColor="text1"/>
        </w:rPr>
        <w:t xml:space="preserve">extends the meaning of employee to ‘outworkers’ in textile clothing and footwear, who are deemed to be employees for the purpose of certain provisions of the </w:t>
      </w:r>
      <w:r w:rsidR="005438FC" w:rsidRPr="0088177C">
        <w:rPr>
          <w:i/>
          <w:iCs/>
          <w:color w:val="000000" w:themeColor="text1"/>
        </w:rPr>
        <w:t>FWA</w:t>
      </w:r>
      <w:r w:rsidR="005438FC" w:rsidRPr="0088177C">
        <w:rPr>
          <w:color w:val="000000" w:themeColor="text1"/>
        </w:rPr>
        <w:t xml:space="preserve"> even when they are not engaged under employment contracts.</w:t>
      </w:r>
      <w:r w:rsidR="005438FC" w:rsidRPr="0088177C">
        <w:rPr>
          <w:rStyle w:val="FootnoteReference"/>
          <w:color w:val="000000" w:themeColor="text1"/>
        </w:rPr>
        <w:footnoteReference w:id="76"/>
      </w:r>
    </w:p>
    <w:p w14:paraId="6A24D1DA" w14:textId="2551AE22" w:rsidR="005438FC" w:rsidRPr="00F43369" w:rsidRDefault="005438FC" w:rsidP="00646072">
      <w:pPr>
        <w:pStyle w:val="NoSpacing"/>
        <w:spacing w:beforeLines="60" w:before="144" w:line="300" w:lineRule="auto"/>
        <w:rPr>
          <w:color w:val="000000" w:themeColor="text1"/>
        </w:rPr>
      </w:pPr>
      <w:r w:rsidRPr="0088177C">
        <w:rPr>
          <w:color w:val="000000" w:themeColor="text1"/>
        </w:rPr>
        <w:t xml:space="preserve">Redefining ‘employee’ in industrial relations legislation has been proposed on a number of occasions. </w:t>
      </w:r>
      <w:r w:rsidR="00FE17A9">
        <w:rPr>
          <w:color w:val="000000" w:themeColor="text1"/>
        </w:rPr>
        <w:t xml:space="preserve"> </w:t>
      </w:r>
      <w:r w:rsidRPr="0088177C">
        <w:rPr>
          <w:color w:val="000000" w:themeColor="text1"/>
        </w:rPr>
        <w:t>A definition which presumes a worker is an employee unless it can be proved otherwise was first formed by Stewart in 2002,</w:t>
      </w:r>
      <w:r w:rsidRPr="0088177C">
        <w:rPr>
          <w:rStyle w:val="FootnoteReference"/>
          <w:color w:val="000000" w:themeColor="text1"/>
        </w:rPr>
        <w:footnoteReference w:id="77"/>
      </w:r>
      <w:r w:rsidRPr="0088177C">
        <w:rPr>
          <w:color w:val="000000" w:themeColor="text1"/>
        </w:rPr>
        <w:t xml:space="preserve"> and supported by members of the ALP in 2005</w:t>
      </w:r>
      <w:r w:rsidR="002D0782">
        <w:rPr>
          <w:color w:val="000000" w:themeColor="text1"/>
        </w:rPr>
        <w:t>.</w:t>
      </w:r>
      <w:r w:rsidRPr="0088177C">
        <w:rPr>
          <w:rStyle w:val="FootnoteReference"/>
          <w:color w:val="000000" w:themeColor="text1"/>
        </w:rPr>
        <w:footnoteReference w:id="78"/>
      </w:r>
      <w:r w:rsidRPr="0088177C">
        <w:rPr>
          <w:color w:val="000000" w:themeColor="text1"/>
        </w:rPr>
        <w:t xml:space="preserve"> </w:t>
      </w:r>
    </w:p>
    <w:p w14:paraId="5DFB6304" w14:textId="4F6E3E57" w:rsidR="005438FC" w:rsidRPr="0088177C" w:rsidRDefault="004E098F" w:rsidP="0088177C">
      <w:pPr>
        <w:pStyle w:val="NoSpacing"/>
        <w:spacing w:beforeLines="60" w:before="144" w:line="300" w:lineRule="auto"/>
        <w:rPr>
          <w:rFonts w:eastAsia="Times New Roman" w:cs="Tahoma"/>
          <w:color w:val="000000" w:themeColor="text1"/>
          <w:shd w:val="clear" w:color="auto" w:fill="FFFFFF"/>
          <w:lang w:eastAsia="en-GB"/>
        </w:rPr>
      </w:pPr>
      <w:r>
        <w:rPr>
          <w:color w:val="000000" w:themeColor="text1"/>
        </w:rPr>
        <w:t xml:space="preserve">Prior to this, </w:t>
      </w:r>
      <w:r w:rsidR="005438FC" w:rsidRPr="0088177C">
        <w:rPr>
          <w:rFonts w:eastAsia="Times New Roman" w:cs="Tahoma"/>
          <w:color w:val="000000" w:themeColor="text1"/>
          <w:shd w:val="clear" w:color="auto" w:fill="FFFFFF"/>
          <w:lang w:eastAsia="en-GB"/>
        </w:rPr>
        <w:t xml:space="preserve">the </w:t>
      </w:r>
      <w:r w:rsidR="005438FC" w:rsidRPr="0088177C">
        <w:rPr>
          <w:rFonts w:eastAsia="Times New Roman" w:cs="Tahoma"/>
          <w:i/>
          <w:iCs/>
          <w:color w:val="000000" w:themeColor="text1"/>
          <w:shd w:val="clear" w:color="auto" w:fill="FFFFFF"/>
          <w:lang w:eastAsia="en-GB"/>
        </w:rPr>
        <w:t>Hancock Report</w:t>
      </w:r>
      <w:r w:rsidR="005438FC" w:rsidRPr="0088177C">
        <w:rPr>
          <w:rFonts w:eastAsia="Times New Roman" w:cs="Tahoma"/>
          <w:color w:val="000000" w:themeColor="text1"/>
          <w:shd w:val="clear" w:color="auto" w:fill="FFFFFF"/>
          <w:lang w:eastAsia="en-GB"/>
        </w:rPr>
        <w:t xml:space="preserve"> devoted an entire section </w:t>
      </w:r>
      <w:r w:rsidR="00511592">
        <w:rPr>
          <w:rFonts w:eastAsia="Times New Roman" w:cs="Tahoma"/>
          <w:color w:val="000000" w:themeColor="text1"/>
          <w:shd w:val="clear" w:color="auto" w:fill="FFFFFF"/>
          <w:lang w:eastAsia="en-GB"/>
        </w:rPr>
        <w:t>to</w:t>
      </w:r>
      <w:r w:rsidR="005438FC" w:rsidRPr="0088177C">
        <w:rPr>
          <w:rFonts w:eastAsia="Times New Roman" w:cs="Tahoma"/>
          <w:color w:val="000000" w:themeColor="text1"/>
          <w:shd w:val="clear" w:color="auto" w:fill="FFFFFF"/>
          <w:lang w:eastAsia="en-GB"/>
        </w:rPr>
        <w:t xml:space="preserve"> ‘quasi-employees’.</w:t>
      </w:r>
      <w:r w:rsidR="007D62A0">
        <w:rPr>
          <w:rStyle w:val="FootnoteReference"/>
          <w:rFonts w:eastAsia="Times New Roman" w:cs="Tahoma"/>
          <w:color w:val="000000" w:themeColor="text1"/>
          <w:shd w:val="clear" w:color="auto" w:fill="FFFFFF"/>
          <w:lang w:eastAsia="en-GB"/>
        </w:rPr>
        <w:footnoteReference w:id="79"/>
      </w:r>
      <w:r w:rsidR="005438FC" w:rsidRPr="0088177C">
        <w:rPr>
          <w:rFonts w:eastAsia="Times New Roman" w:cs="Tahoma"/>
          <w:color w:val="000000" w:themeColor="text1"/>
          <w:shd w:val="clear" w:color="auto" w:fill="FFFFFF"/>
          <w:lang w:eastAsia="en-GB"/>
        </w:rPr>
        <w:t xml:space="preserve"> These are workers who are not ‘genuine independent contractors or small businessmen’ but rather they were: </w:t>
      </w:r>
    </w:p>
    <w:p w14:paraId="101273D0" w14:textId="4A124CB1" w:rsidR="005438FC" w:rsidRPr="00511592" w:rsidRDefault="005438FC" w:rsidP="00FE17A9">
      <w:pPr>
        <w:pStyle w:val="NoSpacing"/>
        <w:spacing w:beforeLines="60" w:before="144" w:line="300" w:lineRule="auto"/>
        <w:ind w:left="720"/>
        <w:rPr>
          <w:rFonts w:eastAsia="Times New Roman" w:cs="Tahoma"/>
          <w:i/>
          <w:iCs/>
          <w:color w:val="000000" w:themeColor="text1"/>
          <w:shd w:val="clear" w:color="auto" w:fill="FFFFFF"/>
          <w:lang w:eastAsia="en-GB"/>
        </w:rPr>
      </w:pPr>
      <w:r w:rsidRPr="00511592">
        <w:rPr>
          <w:rFonts w:eastAsia="Times New Roman" w:cs="Tahoma"/>
          <w:i/>
          <w:iCs/>
          <w:color w:val="000000" w:themeColor="text1"/>
          <w:shd w:val="clear" w:color="auto" w:fill="FFFFFF"/>
          <w:lang w:eastAsia="en-GB"/>
        </w:rPr>
        <w:t xml:space="preserve">persons who </w:t>
      </w:r>
      <w:proofErr w:type="gramStart"/>
      <w:r w:rsidRPr="00511592">
        <w:rPr>
          <w:rFonts w:eastAsia="Times New Roman" w:cs="Tahoma"/>
          <w:i/>
          <w:iCs/>
          <w:color w:val="000000" w:themeColor="text1"/>
          <w:shd w:val="clear" w:color="auto" w:fill="FFFFFF"/>
          <w:lang w:eastAsia="en-GB"/>
        </w:rPr>
        <w:t>make arrangements</w:t>
      </w:r>
      <w:proofErr w:type="gramEnd"/>
      <w:r w:rsidRPr="00511592">
        <w:rPr>
          <w:rFonts w:eastAsia="Times New Roman" w:cs="Tahoma"/>
          <w:i/>
          <w:iCs/>
          <w:color w:val="000000" w:themeColor="text1"/>
          <w:shd w:val="clear" w:color="auto" w:fill="FFFFFF"/>
          <w:lang w:eastAsia="en-GB"/>
        </w:rPr>
        <w:t xml:space="preserve"> to avoid a bona fide employer/employee relationship by entering into a contract or sub-contract with an employer for the service of their </w:t>
      </w:r>
      <w:proofErr w:type="spellStart"/>
      <w:r w:rsidRPr="00511592">
        <w:rPr>
          <w:rFonts w:eastAsia="Times New Roman" w:cs="Tahoma"/>
          <w:i/>
          <w:iCs/>
          <w:color w:val="000000" w:themeColor="text1"/>
          <w:shd w:val="clear" w:color="auto" w:fill="FFFFFF"/>
          <w:lang w:eastAsia="en-GB"/>
        </w:rPr>
        <w:t>labour</w:t>
      </w:r>
      <w:proofErr w:type="spellEnd"/>
      <w:r w:rsidRPr="00511592">
        <w:rPr>
          <w:rFonts w:eastAsia="Times New Roman" w:cs="Tahoma"/>
          <w:i/>
          <w:iCs/>
          <w:color w:val="000000" w:themeColor="text1"/>
          <w:shd w:val="clear" w:color="auto" w:fill="FFFFFF"/>
          <w:lang w:eastAsia="en-GB"/>
        </w:rPr>
        <w:t xml:space="preserve"> only or for the service of their </w:t>
      </w:r>
      <w:proofErr w:type="spellStart"/>
      <w:r w:rsidRPr="00511592">
        <w:rPr>
          <w:rFonts w:eastAsia="Times New Roman" w:cs="Tahoma"/>
          <w:i/>
          <w:iCs/>
          <w:color w:val="000000" w:themeColor="text1"/>
          <w:shd w:val="clear" w:color="auto" w:fill="FFFFFF"/>
          <w:lang w:eastAsia="en-GB"/>
        </w:rPr>
        <w:t>labour</w:t>
      </w:r>
      <w:proofErr w:type="spellEnd"/>
      <w:r w:rsidRPr="00511592">
        <w:rPr>
          <w:rFonts w:eastAsia="Times New Roman" w:cs="Tahoma"/>
          <w:i/>
          <w:iCs/>
          <w:color w:val="000000" w:themeColor="text1"/>
          <w:shd w:val="clear" w:color="auto" w:fill="FFFFFF"/>
          <w:lang w:eastAsia="en-GB"/>
        </w:rPr>
        <w:t xml:space="preserve"> and equipment to that employer.</w:t>
      </w:r>
      <w:r w:rsidR="00F623F6" w:rsidRPr="00511592">
        <w:rPr>
          <w:rStyle w:val="FootnoteReference"/>
          <w:rFonts w:eastAsia="Times New Roman" w:cs="Tahoma"/>
          <w:i/>
          <w:iCs/>
          <w:color w:val="000000" w:themeColor="text1"/>
          <w:shd w:val="clear" w:color="auto" w:fill="FFFFFF"/>
          <w:lang w:eastAsia="en-GB"/>
        </w:rPr>
        <w:footnoteReference w:id="80"/>
      </w:r>
      <w:r w:rsidRPr="00511592">
        <w:rPr>
          <w:rFonts w:eastAsia="Times New Roman" w:cs="Tahoma"/>
          <w:i/>
          <w:iCs/>
          <w:color w:val="000000" w:themeColor="text1"/>
          <w:shd w:val="clear" w:color="auto" w:fill="FFFFFF"/>
          <w:lang w:eastAsia="en-GB"/>
        </w:rPr>
        <w:t xml:space="preserve"> </w:t>
      </w:r>
    </w:p>
    <w:p w14:paraId="2EF1A07F" w14:textId="77777777" w:rsidR="005438FC" w:rsidRPr="0088177C" w:rsidRDefault="005438FC" w:rsidP="0088177C">
      <w:pPr>
        <w:pStyle w:val="NoSpacing"/>
        <w:spacing w:beforeLines="60" w:before="144" w:line="300" w:lineRule="auto"/>
        <w:rPr>
          <w:rFonts w:eastAsia="Times New Roman" w:cs="Tahoma"/>
          <w:color w:val="000000" w:themeColor="text1"/>
          <w:shd w:val="clear" w:color="auto" w:fill="FFFFFF"/>
          <w:lang w:eastAsia="en-GB"/>
        </w:rPr>
      </w:pPr>
      <w:r w:rsidRPr="0088177C">
        <w:rPr>
          <w:rFonts w:eastAsia="Times New Roman" w:cs="Tahoma"/>
          <w:color w:val="000000" w:themeColor="text1"/>
          <w:shd w:val="clear" w:color="auto" w:fill="FFFFFF"/>
          <w:lang w:eastAsia="en-GB"/>
        </w:rPr>
        <w:t xml:space="preserve">The Committee’s recommendation in the </w:t>
      </w:r>
      <w:r w:rsidRPr="001D76D2">
        <w:rPr>
          <w:rFonts w:eastAsia="Times New Roman" w:cs="Tahoma"/>
          <w:i/>
          <w:iCs/>
          <w:color w:val="000000" w:themeColor="text1"/>
          <w:shd w:val="clear" w:color="auto" w:fill="FFFFFF"/>
          <w:lang w:eastAsia="en-GB"/>
        </w:rPr>
        <w:t>Hancock Report</w:t>
      </w:r>
      <w:r w:rsidRPr="0088177C">
        <w:rPr>
          <w:rFonts w:eastAsia="Times New Roman" w:cs="Tahoma"/>
          <w:color w:val="000000" w:themeColor="text1"/>
          <w:shd w:val="clear" w:color="auto" w:fill="FFFFFF"/>
          <w:lang w:eastAsia="en-GB"/>
        </w:rPr>
        <w:t xml:space="preserve"> was that such workers ‘should be subject to the Commission’s authority and the definition of employee should encompass them’.</w:t>
      </w:r>
      <w:r w:rsidRPr="0088177C">
        <w:rPr>
          <w:rStyle w:val="FootnoteReference"/>
          <w:rFonts w:eastAsia="Times New Roman" w:cs="Tahoma"/>
          <w:color w:val="000000" w:themeColor="text1"/>
          <w:shd w:val="clear" w:color="auto" w:fill="FFFFFF"/>
          <w:lang w:eastAsia="en-GB"/>
        </w:rPr>
        <w:footnoteReference w:id="81"/>
      </w:r>
      <w:r w:rsidRPr="0088177C">
        <w:rPr>
          <w:rFonts w:eastAsia="Times New Roman" w:cs="Tahoma"/>
          <w:color w:val="000000" w:themeColor="text1"/>
          <w:shd w:val="clear" w:color="auto" w:fill="FFFFFF"/>
          <w:lang w:eastAsia="en-GB"/>
        </w:rPr>
        <w:t xml:space="preserve"> </w:t>
      </w:r>
    </w:p>
    <w:p w14:paraId="47A5EA91" w14:textId="608D04EC" w:rsidR="00077802" w:rsidRPr="0088177C" w:rsidRDefault="00364C53" w:rsidP="00077802">
      <w:pPr>
        <w:pStyle w:val="NoSpacing"/>
        <w:spacing w:beforeLines="60" w:before="144" w:line="300" w:lineRule="auto"/>
        <w:rPr>
          <w:color w:val="000000" w:themeColor="text1"/>
        </w:rPr>
      </w:pPr>
      <w:r>
        <w:rPr>
          <w:rFonts w:eastAsia="Times New Roman" w:cs="Times New Roman"/>
          <w:color w:val="000000" w:themeColor="text1"/>
          <w:lang w:eastAsia="en-GB"/>
        </w:rPr>
        <w:t>Additionally, in 2018, t</w:t>
      </w:r>
      <w:r w:rsidR="00077802" w:rsidRPr="0088177C">
        <w:rPr>
          <w:rFonts w:eastAsia="Times New Roman" w:cs="Times New Roman"/>
          <w:color w:val="000000" w:themeColor="text1"/>
          <w:lang w:eastAsia="en-GB"/>
        </w:rPr>
        <w:t xml:space="preserve">he </w:t>
      </w:r>
      <w:r w:rsidR="00077802" w:rsidRPr="0088177C">
        <w:rPr>
          <w:color w:val="000000" w:themeColor="text1"/>
        </w:rPr>
        <w:t>Select Committee on the Future of Work and Workers’</w:t>
      </w:r>
      <w:r w:rsidR="00CB48B6">
        <w:rPr>
          <w:color w:val="000000" w:themeColor="text1"/>
        </w:rPr>
        <w:t xml:space="preserve"> </w:t>
      </w:r>
      <w:r w:rsidR="00077802" w:rsidRPr="0088177C">
        <w:rPr>
          <w:color w:val="000000" w:themeColor="text1"/>
        </w:rPr>
        <w:t>Report</w:t>
      </w:r>
      <w:r w:rsidR="00F85537">
        <w:rPr>
          <w:color w:val="000000" w:themeColor="text1"/>
        </w:rPr>
        <w:t xml:space="preserve"> m</w:t>
      </w:r>
      <w:r w:rsidR="001D76D2" w:rsidRPr="001D76D2">
        <w:rPr>
          <w:color w:val="000000" w:themeColor="text1"/>
        </w:rPr>
        <w:t>ade recommendations</w:t>
      </w:r>
      <w:r w:rsidR="001D76D2">
        <w:rPr>
          <w:i/>
          <w:iCs/>
          <w:color w:val="000000" w:themeColor="text1"/>
        </w:rPr>
        <w:t xml:space="preserve"> </w:t>
      </w:r>
      <w:r w:rsidR="001D76D2">
        <w:rPr>
          <w:color w:val="000000" w:themeColor="text1"/>
        </w:rPr>
        <w:t>t</w:t>
      </w:r>
      <w:r w:rsidR="00077802" w:rsidRPr="0088177C">
        <w:rPr>
          <w:color w:val="000000" w:themeColor="text1"/>
        </w:rPr>
        <w:t xml:space="preserve">hat the Australian Government make </w:t>
      </w:r>
      <w:r w:rsidR="00077802" w:rsidRPr="0088177C">
        <w:rPr>
          <w:rFonts w:cs="Times New Roman"/>
          <w:color w:val="000000" w:themeColor="text1"/>
          <w:lang w:val="en-GB"/>
        </w:rPr>
        <w:t>legislative amendments</w:t>
      </w:r>
      <w:r w:rsidR="00077802" w:rsidRPr="0088177C">
        <w:rPr>
          <w:color w:val="000000" w:themeColor="text1"/>
        </w:rPr>
        <w:t xml:space="preserve">: </w:t>
      </w:r>
    </w:p>
    <w:p w14:paraId="6C05AAC3" w14:textId="68CE4668" w:rsidR="00077802" w:rsidRPr="00511592" w:rsidRDefault="00077802" w:rsidP="00CB48B6">
      <w:pPr>
        <w:pStyle w:val="NoSpacing"/>
        <w:spacing w:beforeLines="60" w:before="144" w:line="300" w:lineRule="auto"/>
        <w:ind w:left="720"/>
        <w:rPr>
          <w:rFonts w:cs="Times New Roman"/>
          <w:i/>
          <w:iCs/>
          <w:color w:val="000000" w:themeColor="text1"/>
          <w:lang w:val="en-GB"/>
        </w:rPr>
      </w:pPr>
      <w:r w:rsidRPr="00511592">
        <w:rPr>
          <w:rFonts w:cs="Times New Roman"/>
          <w:i/>
          <w:iCs/>
          <w:color w:val="000000" w:themeColor="text1"/>
          <w:lang w:val="en-GB"/>
        </w:rPr>
        <w:t>that broaden the definition of employee to capture gig workers and ensure that they have full access to protection under Australia's industrial relations system (recommendation 10).</w:t>
      </w:r>
      <w:r w:rsidR="00F85537" w:rsidRPr="00511592">
        <w:rPr>
          <w:rStyle w:val="FootnoteReference"/>
          <w:rFonts w:cs="Times New Roman"/>
          <w:i/>
          <w:iCs/>
          <w:color w:val="000000" w:themeColor="text1"/>
          <w:lang w:val="en-GB"/>
        </w:rPr>
        <w:footnoteReference w:id="82"/>
      </w:r>
    </w:p>
    <w:p w14:paraId="68CC1ACA" w14:textId="79BA0B6B" w:rsidR="005438FC" w:rsidRPr="0009328D" w:rsidRDefault="005438FC" w:rsidP="0088177C">
      <w:pPr>
        <w:pStyle w:val="NoSpacing"/>
        <w:spacing w:beforeLines="60" w:before="144" w:line="300" w:lineRule="auto"/>
        <w:rPr>
          <w:rFonts w:eastAsia="Times New Roman" w:cs="Tahoma"/>
          <w:b/>
          <w:bCs/>
          <w:color w:val="9D825C"/>
          <w:shd w:val="clear" w:color="auto" w:fill="FFFFFF"/>
          <w:lang w:eastAsia="en-GB"/>
        </w:rPr>
      </w:pPr>
      <w:r w:rsidRPr="0009328D">
        <w:rPr>
          <w:rFonts w:eastAsia="Times New Roman" w:cs="Tahoma"/>
          <w:b/>
          <w:bCs/>
          <w:color w:val="9D825C"/>
          <w:shd w:val="clear" w:color="auto" w:fill="FFFFFF"/>
          <w:lang w:eastAsia="en-GB"/>
        </w:rPr>
        <w:t xml:space="preserve">What would this definition provide for platform workers? </w:t>
      </w:r>
    </w:p>
    <w:p w14:paraId="792CA18E" w14:textId="40943AFE" w:rsidR="005438FC" w:rsidRPr="0088177C" w:rsidRDefault="005438FC" w:rsidP="0088177C">
      <w:pPr>
        <w:pStyle w:val="NoSpacing"/>
        <w:spacing w:beforeLines="60" w:before="144" w:line="300" w:lineRule="auto"/>
        <w:rPr>
          <w:rFonts w:eastAsia="Times New Roman" w:cs="Tahoma"/>
          <w:color w:val="000000" w:themeColor="text1"/>
          <w:shd w:val="clear" w:color="auto" w:fill="FFFFFF"/>
          <w:lang w:eastAsia="en-GB"/>
        </w:rPr>
      </w:pPr>
      <w:r w:rsidRPr="0088177C">
        <w:rPr>
          <w:rFonts w:eastAsia="Times New Roman" w:cs="Tahoma"/>
          <w:color w:val="000000" w:themeColor="text1"/>
          <w:shd w:val="clear" w:color="auto" w:fill="FFFFFF"/>
          <w:lang w:eastAsia="en-GB"/>
        </w:rPr>
        <w:t xml:space="preserve">Platform workers under this broad definition would be able to access many of the protections in the FWA that make it a statute focused on protecting the </w:t>
      </w:r>
      <w:r w:rsidR="00161991">
        <w:rPr>
          <w:rFonts w:eastAsia="Times New Roman" w:cs="Tahoma"/>
          <w:color w:val="000000" w:themeColor="text1"/>
          <w:shd w:val="clear" w:color="auto" w:fill="FFFFFF"/>
          <w:lang w:eastAsia="en-GB"/>
        </w:rPr>
        <w:t xml:space="preserve">most vulnerable workers. </w:t>
      </w:r>
    </w:p>
    <w:p w14:paraId="4FDAE688" w14:textId="0BCD48F2" w:rsidR="0009328D" w:rsidRDefault="005438FC" w:rsidP="0088177C">
      <w:pPr>
        <w:pStyle w:val="NoSpacing"/>
        <w:spacing w:beforeLines="60" w:before="144" w:line="300" w:lineRule="auto"/>
        <w:rPr>
          <w:rFonts w:eastAsia="Times New Roman" w:cs="Tahoma"/>
          <w:color w:val="000000" w:themeColor="text1"/>
          <w:shd w:val="clear" w:color="auto" w:fill="FFFFFF"/>
          <w:lang w:eastAsia="en-GB"/>
        </w:rPr>
      </w:pPr>
      <w:r w:rsidRPr="0088177C">
        <w:rPr>
          <w:rFonts w:eastAsia="Times New Roman" w:cs="Tahoma"/>
          <w:color w:val="000000" w:themeColor="text1"/>
          <w:shd w:val="clear" w:color="auto" w:fill="FFFFFF"/>
          <w:lang w:eastAsia="en-GB"/>
        </w:rPr>
        <w:t>This includes protection under the NES (which considering many would be deemed casual would not apply in its entire</w:t>
      </w:r>
      <w:r w:rsidR="00364C53">
        <w:rPr>
          <w:rFonts w:eastAsia="Times New Roman" w:cs="Tahoma"/>
          <w:color w:val="000000" w:themeColor="text1"/>
          <w:shd w:val="clear" w:color="auto" w:fill="FFFFFF"/>
          <w:lang w:eastAsia="en-GB"/>
        </w:rPr>
        <w:t>t</w:t>
      </w:r>
      <w:r w:rsidRPr="0088177C">
        <w:rPr>
          <w:rFonts w:eastAsia="Times New Roman" w:cs="Tahoma"/>
          <w:color w:val="000000" w:themeColor="text1"/>
          <w:shd w:val="clear" w:color="auto" w:fill="FFFFFF"/>
          <w:lang w:eastAsia="en-GB"/>
        </w:rPr>
        <w:t>y), modern awards to provide a base minimum rate, and protections against unfair employer actions, such as unfair dismissal. It would also allow them to collectively bargain</w:t>
      </w:r>
      <w:r w:rsidR="0009328D">
        <w:rPr>
          <w:rFonts w:eastAsia="Times New Roman" w:cs="Tahoma"/>
          <w:color w:val="000000" w:themeColor="text1"/>
          <w:shd w:val="clear" w:color="auto" w:fill="FFFFFF"/>
          <w:lang w:eastAsia="en-GB"/>
        </w:rPr>
        <w:t>.</w:t>
      </w:r>
    </w:p>
    <w:p w14:paraId="20F18EA3" w14:textId="1924952E" w:rsidR="00374A1A" w:rsidRPr="00374A1A" w:rsidRDefault="00374A1A" w:rsidP="0088177C">
      <w:pPr>
        <w:pStyle w:val="NoSpacing"/>
        <w:spacing w:beforeLines="60" w:before="144" w:line="300" w:lineRule="auto"/>
        <w:rPr>
          <w:rFonts w:eastAsia="Times New Roman" w:cs="Tahoma"/>
          <w:b/>
          <w:bCs/>
          <w:color w:val="9D825C"/>
          <w:shd w:val="clear" w:color="auto" w:fill="FFFFFF"/>
          <w:lang w:eastAsia="en-GB"/>
        </w:rPr>
      </w:pPr>
      <w:r w:rsidRPr="00374A1A">
        <w:rPr>
          <w:rFonts w:eastAsia="Times New Roman" w:cs="Tahoma"/>
          <w:b/>
          <w:bCs/>
          <w:color w:val="9D825C"/>
          <w:shd w:val="clear" w:color="auto" w:fill="FFFFFF"/>
          <w:lang w:eastAsia="en-GB"/>
        </w:rPr>
        <w:t>Ability to collectively bargain</w:t>
      </w:r>
    </w:p>
    <w:p w14:paraId="4E6A354C" w14:textId="146159F7" w:rsidR="0043532A" w:rsidRDefault="00350563" w:rsidP="00350563">
      <w:pPr>
        <w:pStyle w:val="NoSpacing"/>
        <w:spacing w:beforeLines="60" w:before="144" w:line="300" w:lineRule="auto"/>
        <w:rPr>
          <w:rFonts w:eastAsia="Verdana" w:cs="Verdana"/>
          <w:color w:val="000000" w:themeColor="text1"/>
        </w:rPr>
      </w:pPr>
      <w:r w:rsidRPr="0043532A">
        <w:rPr>
          <w:rFonts w:eastAsia="Times New Roman" w:cs="Times New Roman"/>
          <w:color w:val="000000" w:themeColor="text1"/>
          <w:lang w:eastAsia="en-GB"/>
        </w:rPr>
        <w:t xml:space="preserve">The </w:t>
      </w:r>
      <w:r w:rsidR="00374A1A" w:rsidRPr="00374A1A">
        <w:rPr>
          <w:rFonts w:eastAsia="Times New Roman" w:cs="Times New Roman"/>
          <w:i/>
          <w:iCs/>
          <w:color w:val="000000" w:themeColor="text1"/>
          <w:lang w:eastAsia="en-GB"/>
        </w:rPr>
        <w:t>I</w:t>
      </w:r>
      <w:r w:rsidRPr="00374A1A">
        <w:rPr>
          <w:rFonts w:eastAsia="Times New Roman" w:cs="Times New Roman"/>
          <w:i/>
          <w:iCs/>
          <w:color w:val="000000" w:themeColor="text1"/>
          <w:lang w:eastAsia="en-GB"/>
        </w:rPr>
        <w:t>nterim Report</w:t>
      </w:r>
      <w:r w:rsidRPr="0043532A">
        <w:rPr>
          <w:rFonts w:eastAsia="Times New Roman" w:cs="Times New Roman"/>
          <w:color w:val="000000" w:themeColor="text1"/>
          <w:lang w:eastAsia="en-GB"/>
        </w:rPr>
        <w:t xml:space="preserve"> contends that</w:t>
      </w:r>
      <w:r>
        <w:rPr>
          <w:rFonts w:eastAsia="Times New Roman" w:cs="Times New Roman"/>
          <w:b/>
          <w:bCs/>
          <w:color w:val="000000" w:themeColor="text1"/>
          <w:lang w:eastAsia="en-GB"/>
        </w:rPr>
        <w:t xml:space="preserve"> </w:t>
      </w:r>
      <w:r w:rsidRPr="0088177C">
        <w:rPr>
          <w:rFonts w:eastAsia="Verdana" w:cs="Verdana"/>
          <w:color w:val="000000" w:themeColor="text1"/>
        </w:rPr>
        <w:t xml:space="preserve">platforms workers who are </w:t>
      </w:r>
      <w:r>
        <w:rPr>
          <w:rFonts w:eastAsia="Verdana" w:cs="Verdana"/>
          <w:color w:val="000000" w:themeColor="text1"/>
        </w:rPr>
        <w:t xml:space="preserve">classified as </w:t>
      </w:r>
      <w:r w:rsidRPr="0088177C">
        <w:rPr>
          <w:rFonts w:eastAsia="Verdana" w:cs="Verdana"/>
          <w:color w:val="000000" w:themeColor="text1"/>
        </w:rPr>
        <w:t>i</w:t>
      </w:r>
      <w:r>
        <w:rPr>
          <w:rFonts w:eastAsia="Verdana" w:cs="Verdana"/>
          <w:color w:val="000000" w:themeColor="text1"/>
        </w:rPr>
        <w:t xml:space="preserve">ndependent </w:t>
      </w:r>
      <w:r w:rsidRPr="0088177C">
        <w:rPr>
          <w:rFonts w:eastAsia="Verdana" w:cs="Verdana"/>
          <w:color w:val="000000" w:themeColor="text1"/>
        </w:rPr>
        <w:t>contractors could theoretically collectively bargain with platforms to determine binding pay rates and conditions.</w:t>
      </w:r>
      <w:r w:rsidR="0043532A">
        <w:rPr>
          <w:rStyle w:val="FootnoteReference"/>
          <w:rFonts w:eastAsia="Verdana" w:cs="Verdana"/>
          <w:color w:val="000000" w:themeColor="text1"/>
        </w:rPr>
        <w:footnoteReference w:id="83"/>
      </w:r>
      <w:r w:rsidRPr="0088177C">
        <w:rPr>
          <w:rFonts w:eastAsia="Verdana" w:cs="Verdana"/>
          <w:color w:val="000000" w:themeColor="text1"/>
        </w:rPr>
        <w:t xml:space="preserve"> </w:t>
      </w:r>
    </w:p>
    <w:p w14:paraId="0B08CBF6" w14:textId="62D2D7FB" w:rsidR="00350563" w:rsidRPr="0088177C" w:rsidRDefault="00350563" w:rsidP="00350563">
      <w:pPr>
        <w:pStyle w:val="NoSpacing"/>
        <w:spacing w:beforeLines="60" w:before="144" w:line="300" w:lineRule="auto"/>
        <w:rPr>
          <w:rFonts w:eastAsia="Verdana" w:cs="Verdana"/>
          <w:color w:val="000000" w:themeColor="text1"/>
        </w:rPr>
      </w:pPr>
      <w:r w:rsidRPr="0088177C">
        <w:rPr>
          <w:rFonts w:eastAsia="Verdana" w:cs="Verdana"/>
          <w:color w:val="000000" w:themeColor="text1"/>
        </w:rPr>
        <w:t xml:space="preserve">We reject </w:t>
      </w:r>
      <w:r w:rsidR="0043532A">
        <w:rPr>
          <w:rFonts w:eastAsia="Verdana" w:cs="Verdana"/>
          <w:color w:val="000000" w:themeColor="text1"/>
        </w:rPr>
        <w:t xml:space="preserve">this assertion. </w:t>
      </w:r>
    </w:p>
    <w:p w14:paraId="3277E5EB" w14:textId="4F5715D9" w:rsidR="005438FC" w:rsidRPr="00C3657E" w:rsidRDefault="00C3657E" w:rsidP="0088177C">
      <w:pPr>
        <w:pStyle w:val="NoSpacing"/>
        <w:spacing w:beforeLines="60" w:before="144" w:line="300" w:lineRule="auto"/>
        <w:rPr>
          <w:rFonts w:eastAsia="Times New Roman" w:cs="Tahoma"/>
          <w:color w:val="000000" w:themeColor="text1"/>
          <w:shd w:val="clear" w:color="auto" w:fill="FFFFFF"/>
          <w:lang w:eastAsia="en-GB"/>
        </w:rPr>
      </w:pPr>
      <w:r>
        <w:rPr>
          <w:rFonts w:eastAsia="Times New Roman" w:cs="Tahoma"/>
          <w:color w:val="000000" w:themeColor="text1"/>
          <w:shd w:val="clear" w:color="auto" w:fill="FFFFFF"/>
          <w:lang w:eastAsia="en-GB"/>
        </w:rPr>
        <w:t>P</w:t>
      </w:r>
      <w:r w:rsidR="005438FC" w:rsidRPr="0088177C">
        <w:rPr>
          <w:rFonts w:eastAsia="Times New Roman" w:cs="Tahoma"/>
          <w:color w:val="000000" w:themeColor="text1"/>
          <w:shd w:val="clear" w:color="auto" w:fill="FFFFFF"/>
          <w:lang w:eastAsia="en-GB"/>
        </w:rPr>
        <w:t xml:space="preserve">ursuant to </w:t>
      </w:r>
      <w:r w:rsidR="00D254F7">
        <w:rPr>
          <w:rFonts w:eastAsia="Times New Roman" w:cs="Tahoma"/>
          <w:color w:val="000000" w:themeColor="text1"/>
          <w:shd w:val="clear" w:color="auto" w:fill="FFFFFF"/>
          <w:lang w:eastAsia="en-GB"/>
        </w:rPr>
        <w:t>Section</w:t>
      </w:r>
      <w:r w:rsidR="005438FC" w:rsidRPr="0088177C">
        <w:rPr>
          <w:rFonts w:eastAsia="Times New Roman" w:cs="Tahoma"/>
          <w:color w:val="000000" w:themeColor="text1"/>
          <w:shd w:val="clear" w:color="auto" w:fill="FFFFFF"/>
          <w:lang w:eastAsia="en-GB"/>
        </w:rPr>
        <w:t xml:space="preserve"> 45AF of the </w:t>
      </w:r>
      <w:r w:rsidR="005438FC" w:rsidRPr="0088177C">
        <w:rPr>
          <w:rFonts w:eastAsia="Times New Roman" w:cs="Tahoma"/>
          <w:i/>
          <w:iCs/>
          <w:color w:val="000000" w:themeColor="text1"/>
          <w:shd w:val="clear" w:color="auto" w:fill="FFFFFF"/>
          <w:lang w:eastAsia="en-GB"/>
        </w:rPr>
        <w:t>Competition and Consumer Act 2010</w:t>
      </w:r>
      <w:r w:rsidR="005438FC" w:rsidRPr="0088177C">
        <w:rPr>
          <w:rFonts w:eastAsia="Times New Roman" w:cs="Tahoma"/>
          <w:color w:val="000000" w:themeColor="text1"/>
          <w:shd w:val="clear" w:color="auto" w:fill="FFFFFF"/>
          <w:lang w:eastAsia="en-GB"/>
        </w:rPr>
        <w:t xml:space="preserve"> (</w:t>
      </w:r>
      <w:proofErr w:type="spellStart"/>
      <w:r w:rsidR="005438FC" w:rsidRPr="0088177C">
        <w:rPr>
          <w:rFonts w:eastAsia="Times New Roman" w:cs="Tahoma"/>
          <w:color w:val="000000" w:themeColor="text1"/>
          <w:shd w:val="clear" w:color="auto" w:fill="FFFFFF"/>
          <w:lang w:eastAsia="en-GB"/>
        </w:rPr>
        <w:t>Cth</w:t>
      </w:r>
      <w:proofErr w:type="spellEnd"/>
      <w:r w:rsidR="005438FC" w:rsidRPr="0088177C">
        <w:rPr>
          <w:rFonts w:eastAsia="Times New Roman" w:cs="Tahoma"/>
          <w:color w:val="000000" w:themeColor="text1"/>
          <w:shd w:val="clear" w:color="auto" w:fill="FFFFFF"/>
          <w:lang w:eastAsia="en-GB"/>
        </w:rPr>
        <w:t>)’s cartel provisions</w:t>
      </w:r>
      <w:r w:rsidR="005438FC" w:rsidRPr="0088177C">
        <w:rPr>
          <w:rStyle w:val="FootnoteReference"/>
          <w:rFonts w:eastAsia="Times New Roman" w:cs="Tahoma"/>
          <w:color w:val="000000" w:themeColor="text1"/>
          <w:shd w:val="clear" w:color="auto" w:fill="FFFFFF"/>
          <w:lang w:eastAsia="en-GB"/>
        </w:rPr>
        <w:footnoteReference w:id="84"/>
      </w:r>
      <w:r w:rsidR="005438FC" w:rsidRPr="0088177C">
        <w:rPr>
          <w:rFonts w:eastAsia="Times New Roman" w:cs="Tahoma"/>
          <w:color w:val="000000" w:themeColor="text1"/>
          <w:shd w:val="clear" w:color="auto" w:fill="FFFFFF"/>
          <w:lang w:eastAsia="en-GB"/>
        </w:rPr>
        <w:t xml:space="preserve"> (such as price fixing</w:t>
      </w:r>
      <w:r>
        <w:rPr>
          <w:rFonts w:eastAsia="Times New Roman" w:cs="Tahoma"/>
          <w:color w:val="000000" w:themeColor="text1"/>
          <w:shd w:val="clear" w:color="auto" w:fill="FFFFFF"/>
          <w:lang w:eastAsia="en-GB"/>
        </w:rPr>
        <w:t>) is</w:t>
      </w:r>
      <w:r w:rsidR="005438FC" w:rsidRPr="0088177C">
        <w:rPr>
          <w:rFonts w:eastAsia="Times New Roman" w:cs="Tahoma"/>
          <w:color w:val="000000" w:themeColor="text1"/>
          <w:shd w:val="clear" w:color="auto" w:fill="FFFFFF"/>
          <w:lang w:eastAsia="en-GB"/>
        </w:rPr>
        <w:t xml:space="preserve"> an offence</w:t>
      </w:r>
      <w:r>
        <w:rPr>
          <w:rFonts w:eastAsia="Times New Roman" w:cs="Tahoma"/>
          <w:color w:val="000000" w:themeColor="text1"/>
          <w:shd w:val="clear" w:color="auto" w:fill="FFFFFF"/>
          <w:lang w:eastAsia="en-GB"/>
        </w:rPr>
        <w:t xml:space="preserve">. </w:t>
      </w:r>
      <w:r w:rsidR="005438FC" w:rsidRPr="0088177C">
        <w:rPr>
          <w:rFonts w:eastAsia="Times New Roman" w:cs="Times New Roman"/>
          <w:color w:val="000000" w:themeColor="text1"/>
          <w:lang w:eastAsia="en-GB"/>
        </w:rPr>
        <w:t xml:space="preserve">Those prohibitions do not apply where the cartel provision has been described in a collective bargaining notice given to the Australian Competition and Consumer Commission under </w:t>
      </w:r>
      <w:r w:rsidR="00D254F7">
        <w:rPr>
          <w:rFonts w:eastAsia="Times New Roman" w:cs="Times New Roman"/>
          <w:color w:val="000000" w:themeColor="text1"/>
          <w:lang w:eastAsia="en-GB"/>
        </w:rPr>
        <w:t>Section</w:t>
      </w:r>
      <w:r w:rsidR="005438FC" w:rsidRPr="0088177C">
        <w:rPr>
          <w:rFonts w:eastAsia="Times New Roman" w:cs="Times New Roman"/>
          <w:color w:val="000000" w:themeColor="text1"/>
          <w:lang w:eastAsia="en-GB"/>
        </w:rPr>
        <w:t xml:space="preserve"> 93AB(1A)</w:t>
      </w:r>
      <w:r>
        <w:rPr>
          <w:rFonts w:eastAsia="Times New Roman" w:cs="Times New Roman"/>
          <w:color w:val="000000" w:themeColor="text1"/>
          <w:lang w:eastAsia="en-GB"/>
        </w:rPr>
        <w:t>. However,</w:t>
      </w:r>
      <w:r w:rsidR="005438FC" w:rsidRPr="0088177C">
        <w:rPr>
          <w:rFonts w:eastAsia="Times New Roman" w:cs="Times New Roman"/>
          <w:color w:val="000000" w:themeColor="text1"/>
          <w:lang w:eastAsia="en-GB"/>
        </w:rPr>
        <w:t xml:space="preserve"> such a notice is invalid pursuant to a 93</w:t>
      </w:r>
      <w:proofErr w:type="gramStart"/>
      <w:r w:rsidR="005438FC" w:rsidRPr="0088177C">
        <w:rPr>
          <w:rFonts w:eastAsia="Times New Roman" w:cs="Times New Roman"/>
          <w:color w:val="000000" w:themeColor="text1"/>
          <w:lang w:eastAsia="en-GB"/>
        </w:rPr>
        <w:t>AB(</w:t>
      </w:r>
      <w:proofErr w:type="gramEnd"/>
      <w:r w:rsidR="005438FC" w:rsidRPr="0088177C">
        <w:rPr>
          <w:rFonts w:eastAsia="Times New Roman" w:cs="Times New Roman"/>
          <w:color w:val="000000" w:themeColor="text1"/>
          <w:lang w:eastAsia="en-GB"/>
        </w:rPr>
        <w:t xml:space="preserve">9) if it is given on behalf of a corporation by a </w:t>
      </w:r>
      <w:r w:rsidR="005438FC" w:rsidRPr="00C3657E">
        <w:rPr>
          <w:rFonts w:eastAsia="Times New Roman" w:cs="Times New Roman"/>
          <w:color w:val="000000" w:themeColor="text1"/>
          <w:u w:val="single"/>
          <w:lang w:eastAsia="en-GB"/>
        </w:rPr>
        <w:t>trade union</w:t>
      </w:r>
      <w:r w:rsidR="005438FC" w:rsidRPr="0088177C">
        <w:rPr>
          <w:rFonts w:eastAsia="Times New Roman" w:cs="Times New Roman"/>
          <w:color w:val="000000" w:themeColor="text1"/>
          <w:lang w:eastAsia="en-GB"/>
        </w:rPr>
        <w:t xml:space="preserve">, </w:t>
      </w:r>
      <w:r w:rsidR="005438FC" w:rsidRPr="00C3657E">
        <w:rPr>
          <w:rFonts w:eastAsia="Times New Roman" w:cs="Times New Roman"/>
          <w:color w:val="000000" w:themeColor="text1"/>
          <w:u w:val="single"/>
          <w:lang w:eastAsia="en-GB"/>
        </w:rPr>
        <w:t>officer of a trade union</w:t>
      </w:r>
      <w:r>
        <w:rPr>
          <w:rFonts w:eastAsia="Times New Roman" w:cs="Times New Roman"/>
          <w:color w:val="000000" w:themeColor="text1"/>
          <w:lang w:eastAsia="en-GB"/>
        </w:rPr>
        <w:t xml:space="preserve">, </w:t>
      </w:r>
      <w:r w:rsidR="005438FC" w:rsidRPr="0088177C">
        <w:rPr>
          <w:rFonts w:eastAsia="Times New Roman" w:cs="Times New Roman"/>
          <w:color w:val="000000" w:themeColor="text1"/>
          <w:lang w:eastAsia="en-GB"/>
        </w:rPr>
        <w:t xml:space="preserve">or </w:t>
      </w:r>
      <w:r w:rsidR="005438FC" w:rsidRPr="00C3657E">
        <w:rPr>
          <w:rFonts w:eastAsia="Times New Roman" w:cs="Times New Roman"/>
          <w:color w:val="000000" w:themeColor="text1"/>
          <w:u w:val="single"/>
          <w:lang w:eastAsia="en-GB"/>
        </w:rPr>
        <w:t>person acting on the direction of a trade union</w:t>
      </w:r>
      <w:r w:rsidR="00D254F7">
        <w:rPr>
          <w:rFonts w:eastAsia="Times New Roman" w:cs="Times New Roman"/>
          <w:color w:val="000000" w:themeColor="text1"/>
          <w:lang w:eastAsia="en-GB"/>
        </w:rPr>
        <w:t>, e</w:t>
      </w:r>
      <w:r w:rsidR="005438FC" w:rsidRPr="0088177C">
        <w:rPr>
          <w:rFonts w:eastAsia="Times New Roman" w:cs="Times New Roman"/>
          <w:color w:val="000000" w:themeColor="text1"/>
          <w:lang w:eastAsia="en-GB"/>
        </w:rPr>
        <w:t xml:space="preserve">ssentially stripping these workers of their freedom of association rights if deemed to be contractors. </w:t>
      </w:r>
    </w:p>
    <w:p w14:paraId="4730DB1F" w14:textId="5488653B" w:rsidR="00180C29" w:rsidRDefault="005438FC" w:rsidP="0088177C">
      <w:pPr>
        <w:pStyle w:val="NoSpacing"/>
        <w:spacing w:beforeLines="60" w:before="144" w:line="300" w:lineRule="auto"/>
        <w:rPr>
          <w:rFonts w:eastAsia="Times New Roman" w:cs="Tahoma"/>
          <w:color w:val="000000" w:themeColor="text1"/>
          <w:shd w:val="clear" w:color="auto" w:fill="FFFFFF"/>
          <w:lang w:eastAsia="en-GB"/>
        </w:rPr>
      </w:pPr>
      <w:r w:rsidRPr="0088177C">
        <w:rPr>
          <w:rFonts w:eastAsia="Times New Roman" w:cs="Tahoma"/>
          <w:color w:val="000000" w:themeColor="text1"/>
          <w:shd w:val="clear" w:color="auto" w:fill="FFFFFF"/>
          <w:lang w:eastAsia="en-GB"/>
        </w:rPr>
        <w:t xml:space="preserve">Our strong opinion is that protection of platform workers would be best achieved through redefining the meaning of employment. </w:t>
      </w:r>
      <w:r w:rsidR="003E37C1">
        <w:rPr>
          <w:rFonts w:eastAsia="Times New Roman" w:cs="Tahoma"/>
          <w:color w:val="000000" w:themeColor="text1"/>
          <w:shd w:val="clear" w:color="auto" w:fill="FFFFFF"/>
          <w:lang w:eastAsia="en-GB"/>
        </w:rPr>
        <w:t>This would not stop genuinely self-employe</w:t>
      </w:r>
      <w:r w:rsidR="005C42DC">
        <w:rPr>
          <w:rFonts w:eastAsia="Times New Roman" w:cs="Tahoma"/>
          <w:color w:val="000000" w:themeColor="text1"/>
          <w:shd w:val="clear" w:color="auto" w:fill="FFFFFF"/>
          <w:lang w:eastAsia="en-GB"/>
        </w:rPr>
        <w:t>d</w:t>
      </w:r>
      <w:r w:rsidR="003E37C1">
        <w:rPr>
          <w:rFonts w:eastAsia="Times New Roman" w:cs="Tahoma"/>
          <w:color w:val="000000" w:themeColor="text1"/>
          <w:shd w:val="clear" w:color="auto" w:fill="FFFFFF"/>
          <w:lang w:eastAsia="en-GB"/>
        </w:rPr>
        <w:t xml:space="preserve"> workers from retaining their independent contractor status. </w:t>
      </w:r>
    </w:p>
    <w:p w14:paraId="7DD2F985" w14:textId="1840B6E0" w:rsidR="007767D3" w:rsidRDefault="00206998" w:rsidP="0088177C">
      <w:pPr>
        <w:pStyle w:val="NoSpacing"/>
        <w:spacing w:beforeLines="60" w:before="144" w:line="300" w:lineRule="auto"/>
        <w:rPr>
          <w:rFonts w:eastAsia="Times New Roman" w:cs="Tahoma"/>
          <w:color w:val="000000" w:themeColor="text1"/>
          <w:shd w:val="clear" w:color="auto" w:fill="FFFFFF"/>
          <w:lang w:eastAsia="en-GB"/>
        </w:rPr>
      </w:pPr>
      <w:r>
        <w:rPr>
          <w:rFonts w:eastAsia="Times New Roman" w:cs="Tahoma"/>
          <w:color w:val="000000" w:themeColor="text1"/>
          <w:shd w:val="clear" w:color="auto" w:fill="FFFFFF"/>
          <w:lang w:eastAsia="en-GB"/>
        </w:rPr>
        <w:t xml:space="preserve">If the </w:t>
      </w:r>
      <w:r w:rsidR="0017080D">
        <w:rPr>
          <w:rFonts w:eastAsia="Times New Roman" w:cs="Tahoma"/>
          <w:color w:val="000000" w:themeColor="text1"/>
          <w:shd w:val="clear" w:color="auto" w:fill="FFFFFF"/>
          <w:lang w:eastAsia="en-GB"/>
        </w:rPr>
        <w:t>business</w:t>
      </w:r>
      <w:r>
        <w:rPr>
          <w:rFonts w:eastAsia="Times New Roman" w:cs="Tahoma"/>
          <w:color w:val="000000" w:themeColor="text1"/>
          <w:shd w:val="clear" w:color="auto" w:fill="FFFFFF"/>
          <w:lang w:eastAsia="en-GB"/>
        </w:rPr>
        <w:t xml:space="preserve"> model</w:t>
      </w:r>
      <w:r w:rsidR="008C6BF3">
        <w:rPr>
          <w:rFonts w:eastAsia="Times New Roman" w:cs="Tahoma"/>
          <w:color w:val="000000" w:themeColor="text1"/>
          <w:shd w:val="clear" w:color="auto" w:fill="FFFFFF"/>
          <w:lang w:eastAsia="en-GB"/>
        </w:rPr>
        <w:t xml:space="preserve"> of these platforms </w:t>
      </w:r>
      <w:r w:rsidR="00180C29">
        <w:rPr>
          <w:rFonts w:eastAsia="Times New Roman" w:cs="Tahoma"/>
          <w:color w:val="000000" w:themeColor="text1"/>
          <w:shd w:val="clear" w:color="auto" w:fill="FFFFFF"/>
          <w:lang w:eastAsia="en-GB"/>
        </w:rPr>
        <w:t>relies</w:t>
      </w:r>
      <w:r w:rsidR="008C6BF3">
        <w:rPr>
          <w:rFonts w:eastAsia="Times New Roman" w:cs="Tahoma"/>
          <w:color w:val="000000" w:themeColor="text1"/>
          <w:shd w:val="clear" w:color="auto" w:fill="FFFFFF"/>
          <w:lang w:eastAsia="en-GB"/>
        </w:rPr>
        <w:t xml:space="preserve"> on exploiting workers, as </w:t>
      </w:r>
      <w:r w:rsidR="0017080D">
        <w:rPr>
          <w:rFonts w:eastAsia="Times New Roman" w:cs="Tahoma"/>
          <w:color w:val="000000" w:themeColor="text1"/>
          <w:shd w:val="clear" w:color="auto" w:fill="FFFFFF"/>
          <w:lang w:eastAsia="en-GB"/>
        </w:rPr>
        <w:t>P</w:t>
      </w:r>
      <w:r w:rsidR="008C6BF3">
        <w:rPr>
          <w:rFonts w:eastAsia="Times New Roman" w:cs="Tahoma"/>
          <w:color w:val="000000" w:themeColor="text1"/>
          <w:shd w:val="clear" w:color="auto" w:fill="FFFFFF"/>
          <w:lang w:eastAsia="en-GB"/>
        </w:rPr>
        <w:t xml:space="preserve">er </w:t>
      </w:r>
      <w:r w:rsidR="0017080D">
        <w:rPr>
          <w:rFonts w:eastAsia="Times New Roman" w:cs="Tahoma"/>
          <w:color w:val="000000" w:themeColor="text1"/>
          <w:shd w:val="clear" w:color="auto" w:fill="FFFFFF"/>
          <w:lang w:eastAsia="en-GB"/>
        </w:rPr>
        <w:t>C</w:t>
      </w:r>
      <w:r w:rsidR="008C6BF3">
        <w:rPr>
          <w:rFonts w:eastAsia="Times New Roman" w:cs="Tahoma"/>
          <w:color w:val="000000" w:themeColor="text1"/>
          <w:shd w:val="clear" w:color="auto" w:fill="FFFFFF"/>
          <w:lang w:eastAsia="en-GB"/>
        </w:rPr>
        <w:t xml:space="preserve">apita submits they often do, these </w:t>
      </w:r>
      <w:r w:rsidR="0017080D">
        <w:rPr>
          <w:rFonts w:eastAsia="Times New Roman" w:cs="Tahoma"/>
          <w:color w:val="000000" w:themeColor="text1"/>
          <w:shd w:val="clear" w:color="auto" w:fill="FFFFFF"/>
          <w:lang w:eastAsia="en-GB"/>
        </w:rPr>
        <w:t>businesses</w:t>
      </w:r>
      <w:r w:rsidR="008C6BF3">
        <w:rPr>
          <w:rFonts w:eastAsia="Times New Roman" w:cs="Tahoma"/>
          <w:color w:val="000000" w:themeColor="text1"/>
          <w:shd w:val="clear" w:color="auto" w:fill="FFFFFF"/>
          <w:lang w:eastAsia="en-GB"/>
        </w:rPr>
        <w:t xml:space="preserve"> </w:t>
      </w:r>
      <w:r w:rsidR="007E75FD">
        <w:rPr>
          <w:rFonts w:eastAsia="Times New Roman" w:cs="Tahoma"/>
          <w:color w:val="000000" w:themeColor="text1"/>
          <w:shd w:val="clear" w:color="auto" w:fill="FFFFFF"/>
          <w:lang w:eastAsia="en-GB"/>
        </w:rPr>
        <w:t>should not be permitted to exist</w:t>
      </w:r>
      <w:r w:rsidR="0017080D">
        <w:rPr>
          <w:rFonts w:eastAsia="Times New Roman" w:cs="Tahoma"/>
          <w:color w:val="000000" w:themeColor="text1"/>
          <w:shd w:val="clear" w:color="auto" w:fill="FFFFFF"/>
          <w:lang w:eastAsia="en-GB"/>
        </w:rPr>
        <w:t>.</w:t>
      </w:r>
      <w:r w:rsidR="00180C29">
        <w:rPr>
          <w:rFonts w:eastAsia="Times New Roman" w:cs="Tahoma"/>
          <w:color w:val="000000" w:themeColor="text1"/>
          <w:shd w:val="clear" w:color="auto" w:fill="FFFFFF"/>
          <w:lang w:eastAsia="en-GB"/>
        </w:rPr>
        <w:t xml:space="preserve"> </w:t>
      </w:r>
      <w:r w:rsidR="0017080D">
        <w:rPr>
          <w:rFonts w:eastAsia="Times New Roman" w:cs="Tahoma"/>
          <w:color w:val="000000" w:themeColor="text1"/>
          <w:shd w:val="clear" w:color="auto" w:fill="FFFFFF"/>
          <w:lang w:eastAsia="en-GB"/>
        </w:rPr>
        <w:t xml:space="preserve"> </w:t>
      </w:r>
    </w:p>
    <w:p w14:paraId="754B4659" w14:textId="5AFC3316" w:rsidR="00E1521A" w:rsidRPr="00E1521A" w:rsidRDefault="00E1521A" w:rsidP="0088177C">
      <w:pPr>
        <w:pStyle w:val="NoSpacing"/>
        <w:spacing w:beforeLines="60" w:before="144" w:line="300" w:lineRule="auto"/>
        <w:rPr>
          <w:rFonts w:eastAsia="Times New Roman" w:cs="Tahoma"/>
          <w:b/>
          <w:bCs/>
          <w:color w:val="9D825C"/>
          <w:shd w:val="clear" w:color="auto" w:fill="FFFFFF"/>
          <w:lang w:eastAsia="en-GB"/>
        </w:rPr>
      </w:pPr>
      <w:r w:rsidRPr="00E1521A">
        <w:rPr>
          <w:rFonts w:eastAsia="Times New Roman" w:cs="Tahoma"/>
          <w:b/>
          <w:bCs/>
          <w:color w:val="9D825C"/>
          <w:shd w:val="clear" w:color="auto" w:fill="FFFFFF"/>
          <w:lang w:eastAsia="en-GB"/>
        </w:rPr>
        <w:t xml:space="preserve">An intermediate category is not appropriate </w:t>
      </w:r>
    </w:p>
    <w:p w14:paraId="1B173C61" w14:textId="55532C61" w:rsidR="005438FC" w:rsidRDefault="005438FC" w:rsidP="0088177C">
      <w:pPr>
        <w:pStyle w:val="NoSpacing"/>
        <w:spacing w:beforeLines="60" w:before="144" w:line="300" w:lineRule="auto"/>
        <w:rPr>
          <w:rFonts w:eastAsia="Times New Roman" w:cs="Tahoma"/>
          <w:color w:val="000000" w:themeColor="text1"/>
          <w:shd w:val="clear" w:color="auto" w:fill="FFFFFF"/>
          <w:lang w:eastAsia="en-GB"/>
        </w:rPr>
      </w:pPr>
      <w:r w:rsidRPr="0088177C">
        <w:rPr>
          <w:rFonts w:eastAsia="Times New Roman" w:cs="Tahoma"/>
          <w:color w:val="000000" w:themeColor="text1"/>
          <w:shd w:val="clear" w:color="auto" w:fill="FFFFFF"/>
          <w:lang w:eastAsia="en-GB"/>
        </w:rPr>
        <w:t xml:space="preserve">Creating another classification to capture workers in the </w:t>
      </w:r>
      <w:r w:rsidR="00D254F7">
        <w:rPr>
          <w:rFonts w:eastAsia="Times New Roman" w:cs="Tahoma"/>
          <w:color w:val="000000" w:themeColor="text1"/>
          <w:shd w:val="clear" w:color="auto" w:fill="FFFFFF"/>
          <w:lang w:eastAsia="en-GB"/>
        </w:rPr>
        <w:t>‘</w:t>
      </w:r>
      <w:r w:rsidRPr="0088177C">
        <w:rPr>
          <w:rFonts w:eastAsia="Times New Roman" w:cs="Tahoma"/>
          <w:color w:val="000000" w:themeColor="text1"/>
          <w:shd w:val="clear" w:color="auto" w:fill="FFFFFF"/>
          <w:lang w:eastAsia="en-GB"/>
        </w:rPr>
        <w:t>grey area</w:t>
      </w:r>
      <w:r w:rsidR="00D254F7">
        <w:rPr>
          <w:rFonts w:eastAsia="Times New Roman" w:cs="Tahoma"/>
          <w:color w:val="000000" w:themeColor="text1"/>
          <w:shd w:val="clear" w:color="auto" w:fill="FFFFFF"/>
          <w:lang w:eastAsia="en-GB"/>
        </w:rPr>
        <w:t>’</w:t>
      </w:r>
      <w:r w:rsidRPr="0088177C">
        <w:rPr>
          <w:rFonts w:eastAsia="Times New Roman" w:cs="Tahoma"/>
          <w:color w:val="000000" w:themeColor="text1"/>
          <w:shd w:val="clear" w:color="auto" w:fill="FFFFFF"/>
          <w:lang w:eastAsia="en-GB"/>
        </w:rPr>
        <w:t xml:space="preserve"> would, in our opinion, act merely as a Band-Aid, and cause more issues with defining the employment relationship between workers and firms. </w:t>
      </w:r>
    </w:p>
    <w:p w14:paraId="6574287B" w14:textId="19026090" w:rsidR="005438FC" w:rsidRPr="0088177C" w:rsidRDefault="005438FC" w:rsidP="0088177C">
      <w:pPr>
        <w:pStyle w:val="NoSpacing"/>
        <w:spacing w:beforeLines="60" w:before="144" w:line="300" w:lineRule="auto"/>
        <w:rPr>
          <w:rFonts w:eastAsia="Times New Roman" w:cs="Tahoma"/>
          <w:color w:val="000000" w:themeColor="text1"/>
          <w:shd w:val="clear" w:color="auto" w:fill="FFFFFF"/>
          <w:lang w:eastAsia="en-GB"/>
        </w:rPr>
      </w:pPr>
      <w:r w:rsidRPr="0088177C">
        <w:rPr>
          <w:rFonts w:eastAsia="Times New Roman" w:cs="Tahoma"/>
          <w:color w:val="000000" w:themeColor="text1"/>
          <w:shd w:val="clear" w:color="auto" w:fill="FFFFFF"/>
          <w:lang w:eastAsia="en-GB"/>
        </w:rPr>
        <w:t xml:space="preserve">An intermediate category has been used in jurisdictions overseas. </w:t>
      </w:r>
      <w:r w:rsidR="00374A1A">
        <w:rPr>
          <w:rFonts w:eastAsia="Times New Roman" w:cs="Tahoma"/>
          <w:color w:val="000000" w:themeColor="text1"/>
          <w:shd w:val="clear" w:color="auto" w:fill="FFFFFF"/>
          <w:lang w:eastAsia="en-GB"/>
        </w:rPr>
        <w:t xml:space="preserve">Our opinion is that it has been unsuccessful.  </w:t>
      </w:r>
      <w:r w:rsidRPr="0088177C">
        <w:rPr>
          <w:rFonts w:eastAsia="Times New Roman" w:cs="Tahoma"/>
          <w:color w:val="000000" w:themeColor="text1"/>
          <w:shd w:val="clear" w:color="auto" w:fill="FFFFFF"/>
          <w:lang w:eastAsia="en-GB"/>
        </w:rPr>
        <w:t xml:space="preserve"> </w:t>
      </w:r>
    </w:p>
    <w:p w14:paraId="3441EF52" w14:textId="77777777" w:rsidR="005438FC" w:rsidRPr="0088177C" w:rsidRDefault="005438FC" w:rsidP="0088177C">
      <w:pPr>
        <w:pStyle w:val="NoSpacing"/>
        <w:spacing w:beforeLines="60" w:before="144" w:line="300" w:lineRule="auto"/>
        <w:rPr>
          <w:rFonts w:eastAsia="Times New Roman" w:cs="Tahoma"/>
          <w:color w:val="000000" w:themeColor="text1"/>
          <w:shd w:val="clear" w:color="auto" w:fill="FFFFFF"/>
          <w:lang w:eastAsia="en-GB"/>
        </w:rPr>
      </w:pPr>
      <w:r w:rsidRPr="0088177C">
        <w:rPr>
          <w:rFonts w:eastAsia="Times New Roman" w:cs="Tahoma"/>
          <w:color w:val="000000" w:themeColor="text1"/>
          <w:shd w:val="clear" w:color="auto" w:fill="FFFFFF"/>
          <w:lang w:eastAsia="en-GB"/>
        </w:rPr>
        <w:t xml:space="preserve">In some </w:t>
      </w:r>
      <w:r w:rsidRPr="00D254F7">
        <w:rPr>
          <w:rFonts w:eastAsia="Times New Roman" w:cs="Tahoma"/>
          <w:color w:val="000000" w:themeColor="text1"/>
          <w:shd w:val="clear" w:color="auto" w:fill="FFFFFF"/>
          <w:lang w:eastAsia="en-GB"/>
        </w:rPr>
        <w:t>Canadian jurisdictions</w:t>
      </w:r>
      <w:r w:rsidRPr="0088177C">
        <w:rPr>
          <w:rFonts w:eastAsia="Times New Roman" w:cs="Tahoma"/>
          <w:color w:val="000000" w:themeColor="text1"/>
          <w:shd w:val="clear" w:color="auto" w:fill="FFFFFF"/>
          <w:lang w:eastAsia="en-GB"/>
        </w:rPr>
        <w:t xml:space="preserve"> an ability to collectively bargain has been extended to ‘dependent </w:t>
      </w:r>
      <w:proofErr w:type="gramStart"/>
      <w:r w:rsidRPr="0088177C">
        <w:rPr>
          <w:rFonts w:eastAsia="Times New Roman" w:cs="Tahoma"/>
          <w:color w:val="000000" w:themeColor="text1"/>
          <w:shd w:val="clear" w:color="auto" w:fill="FFFFFF"/>
          <w:lang w:eastAsia="en-GB"/>
        </w:rPr>
        <w:t>contractors’</w:t>
      </w:r>
      <w:proofErr w:type="gramEnd"/>
      <w:r w:rsidRPr="0088177C">
        <w:rPr>
          <w:rFonts w:eastAsia="Times New Roman" w:cs="Tahoma"/>
          <w:color w:val="000000" w:themeColor="text1"/>
          <w:shd w:val="clear" w:color="auto" w:fill="FFFFFF"/>
          <w:lang w:eastAsia="en-GB"/>
        </w:rPr>
        <w:t xml:space="preserve">. For example, under the </w:t>
      </w:r>
      <w:r w:rsidRPr="0088177C">
        <w:rPr>
          <w:rFonts w:cs="Times New Roman"/>
          <w:color w:val="000000" w:themeColor="text1"/>
          <w:lang w:val="en-GB"/>
        </w:rPr>
        <w:t>Labour Relations Act 1995 (</w:t>
      </w:r>
      <w:proofErr w:type="spellStart"/>
      <w:r w:rsidRPr="0088177C">
        <w:rPr>
          <w:rFonts w:cs="Times New Roman"/>
          <w:color w:val="000000" w:themeColor="text1"/>
          <w:lang w:val="en-GB"/>
        </w:rPr>
        <w:t>Ont</w:t>
      </w:r>
      <w:proofErr w:type="spellEnd"/>
      <w:r w:rsidRPr="0088177C">
        <w:rPr>
          <w:rFonts w:cs="Times New Roman"/>
          <w:color w:val="000000" w:themeColor="text1"/>
          <w:lang w:val="en-GB"/>
        </w:rPr>
        <w:t>) s 1. In this act:</w:t>
      </w:r>
    </w:p>
    <w:p w14:paraId="6086E132" w14:textId="72DA6F2F" w:rsidR="005438FC" w:rsidRPr="00D254F7" w:rsidRDefault="005438FC" w:rsidP="00A956BE">
      <w:pPr>
        <w:pStyle w:val="NoSpacing"/>
        <w:spacing w:beforeLines="60" w:before="144" w:line="300" w:lineRule="auto"/>
        <w:ind w:left="720"/>
        <w:rPr>
          <w:rFonts w:eastAsia="Times New Roman" w:cs="Times New Roman"/>
          <w:i/>
          <w:iCs/>
          <w:color w:val="000000" w:themeColor="text1"/>
          <w:lang w:eastAsia="en-GB"/>
        </w:rPr>
      </w:pPr>
      <w:r w:rsidRPr="00D254F7">
        <w:rPr>
          <w:rFonts w:eastAsia="Times New Roman" w:cs="Times New Roman"/>
          <w:i/>
          <w:iCs/>
          <w:color w:val="000000" w:themeColor="text1"/>
          <w:lang w:eastAsia="en-GB"/>
        </w:rPr>
        <w:t>“dependent contractor” means a person, whether or not employed under a contract of employment, and whether or not furnishing tools, vehicles, equipment, machinery, material, or any other thing owned by the dependent contractor, who performs work or services for another person for compensation or reward on such terms and conditions that the dependent contractor is in a position of economic dependence upon, and under an obligation to perform duties for, that person more closely resembling the relationship of an employee than that of an independent contractor</w:t>
      </w:r>
      <w:r w:rsidR="00D254F7">
        <w:rPr>
          <w:rFonts w:eastAsia="Times New Roman" w:cs="Times New Roman"/>
          <w:i/>
          <w:iCs/>
          <w:color w:val="000000" w:themeColor="text1"/>
          <w:lang w:eastAsia="en-GB"/>
        </w:rPr>
        <w:t>.</w:t>
      </w:r>
    </w:p>
    <w:p w14:paraId="317A3526" w14:textId="141F2B9C" w:rsidR="005438FC" w:rsidRPr="0088177C" w:rsidRDefault="005438FC" w:rsidP="0088177C">
      <w:pPr>
        <w:pStyle w:val="NoSpacing"/>
        <w:spacing w:beforeLines="60" w:before="144" w:line="300" w:lineRule="auto"/>
        <w:rPr>
          <w:rFonts w:cs="Times New Roman"/>
          <w:color w:val="000000" w:themeColor="text1"/>
          <w:lang w:val="en-GB"/>
        </w:rPr>
      </w:pPr>
      <w:r w:rsidRPr="0088177C">
        <w:rPr>
          <w:rFonts w:eastAsia="Times New Roman" w:cs="Times New Roman"/>
          <w:color w:val="000000" w:themeColor="text1"/>
          <w:lang w:eastAsia="en-GB"/>
        </w:rPr>
        <w:t xml:space="preserve">This has given rise to extensive case law on the line between dependent and independent contractors, and only extends collective bargaining rights, not minimum standards.  The result </w:t>
      </w:r>
      <w:r w:rsidR="00D254F7">
        <w:rPr>
          <w:rFonts w:eastAsia="Times New Roman" w:cs="Times New Roman"/>
          <w:color w:val="000000" w:themeColor="text1"/>
          <w:lang w:eastAsia="en-GB"/>
        </w:rPr>
        <w:t>is</w:t>
      </w:r>
      <w:r w:rsidRPr="0088177C">
        <w:rPr>
          <w:rFonts w:eastAsia="Times New Roman" w:cs="Times New Roman"/>
          <w:color w:val="000000" w:themeColor="text1"/>
          <w:lang w:eastAsia="en-GB"/>
        </w:rPr>
        <w:t xml:space="preserve"> that</w:t>
      </w:r>
      <w:r w:rsidR="00D254F7">
        <w:rPr>
          <w:rFonts w:eastAsia="Times New Roman" w:cs="Times New Roman"/>
          <w:color w:val="000000" w:themeColor="text1"/>
          <w:lang w:eastAsia="en-GB"/>
        </w:rPr>
        <w:t>,</w:t>
      </w:r>
      <w:r w:rsidRPr="0088177C">
        <w:rPr>
          <w:rFonts w:eastAsia="Times New Roman" w:cs="Times New Roman"/>
          <w:color w:val="000000" w:themeColor="text1"/>
          <w:lang w:eastAsia="en-GB"/>
        </w:rPr>
        <w:t xml:space="preserve"> even if such workers engage in collective bargaining</w:t>
      </w:r>
      <w:r w:rsidR="00D254F7">
        <w:rPr>
          <w:rFonts w:eastAsia="Times New Roman" w:cs="Times New Roman"/>
          <w:color w:val="000000" w:themeColor="text1"/>
          <w:lang w:eastAsia="en-GB"/>
        </w:rPr>
        <w:t>,</w:t>
      </w:r>
      <w:r w:rsidRPr="0088177C">
        <w:rPr>
          <w:rFonts w:eastAsia="Times New Roman" w:cs="Times New Roman"/>
          <w:color w:val="000000" w:themeColor="text1"/>
          <w:lang w:eastAsia="en-GB"/>
        </w:rPr>
        <w:t xml:space="preserve"> they are not entitled to </w:t>
      </w:r>
      <w:r w:rsidR="005C42DC">
        <w:rPr>
          <w:rFonts w:eastAsia="Times New Roman" w:cs="Times New Roman"/>
          <w:color w:val="000000" w:themeColor="text1"/>
          <w:lang w:eastAsia="en-GB"/>
        </w:rPr>
        <w:t>the</w:t>
      </w:r>
      <w:r w:rsidRPr="0088177C">
        <w:rPr>
          <w:rFonts w:eastAsia="Times New Roman" w:cs="Times New Roman"/>
          <w:color w:val="000000" w:themeColor="text1"/>
          <w:lang w:eastAsia="en-GB"/>
        </w:rPr>
        <w:t xml:space="preserve"> ‘</w:t>
      </w:r>
      <w:r w:rsidRPr="0088177C">
        <w:rPr>
          <w:rFonts w:cs="Times New Roman"/>
          <w:color w:val="000000" w:themeColor="text1"/>
          <w:lang w:val="en-GB"/>
        </w:rPr>
        <w:t>safety net or minimum standards against which to bargain or set a benchmark.’</w:t>
      </w:r>
      <w:r w:rsidRPr="0088177C">
        <w:rPr>
          <w:rStyle w:val="FootnoteReference"/>
          <w:rFonts w:cs="Times New Roman"/>
          <w:color w:val="000000" w:themeColor="text1"/>
          <w:lang w:val="en-GB"/>
        </w:rPr>
        <w:footnoteReference w:id="85"/>
      </w:r>
    </w:p>
    <w:p w14:paraId="3855C18E" w14:textId="77777777" w:rsidR="005438FC" w:rsidRPr="0088177C" w:rsidRDefault="005438FC" w:rsidP="0088177C">
      <w:pPr>
        <w:pStyle w:val="NoSpacing"/>
        <w:spacing w:beforeLines="60" w:before="144" w:line="300" w:lineRule="auto"/>
        <w:rPr>
          <w:rFonts w:eastAsia="Times New Roman" w:cs="Tahoma"/>
          <w:color w:val="000000" w:themeColor="text1"/>
          <w:shd w:val="clear" w:color="auto" w:fill="FFFFFF"/>
          <w:lang w:eastAsia="en-GB"/>
        </w:rPr>
      </w:pPr>
      <w:r w:rsidRPr="00D254F7">
        <w:rPr>
          <w:rFonts w:eastAsia="Times New Roman" w:cs="Tahoma"/>
          <w:color w:val="000000" w:themeColor="text1"/>
          <w:shd w:val="clear" w:color="auto" w:fill="FFFFFF"/>
          <w:lang w:eastAsia="en-GB"/>
        </w:rPr>
        <w:t>Italy</w:t>
      </w:r>
      <w:r w:rsidRPr="0088177C">
        <w:rPr>
          <w:rFonts w:eastAsia="Times New Roman" w:cs="Tahoma"/>
          <w:color w:val="000000" w:themeColor="text1"/>
          <w:shd w:val="clear" w:color="auto" w:fill="FFFFFF"/>
          <w:lang w:eastAsia="en-GB"/>
        </w:rPr>
        <w:t xml:space="preserve"> has an intermediate category of ‘para-subordinate’ workers, created in 1973. This has been viewed as a ‘discounted alternative’</w:t>
      </w:r>
      <w:r w:rsidRPr="0088177C">
        <w:rPr>
          <w:rStyle w:val="FootnoteReference"/>
          <w:rFonts w:eastAsia="Times New Roman" w:cs="Tahoma"/>
          <w:color w:val="000000" w:themeColor="text1"/>
          <w:shd w:val="clear" w:color="auto" w:fill="FFFFFF"/>
          <w:lang w:eastAsia="en-GB"/>
        </w:rPr>
        <w:footnoteReference w:id="86"/>
      </w:r>
      <w:r w:rsidRPr="0088177C">
        <w:rPr>
          <w:rFonts w:eastAsia="Times New Roman" w:cs="Tahoma"/>
          <w:color w:val="000000" w:themeColor="text1"/>
          <w:shd w:val="clear" w:color="auto" w:fill="FFFFFF"/>
          <w:lang w:eastAsia="en-GB"/>
        </w:rPr>
        <w:t xml:space="preserve"> which has decreased rights of workers who would, but for this definition, be classified as employees.</w:t>
      </w:r>
      <w:r w:rsidRPr="0088177C">
        <w:rPr>
          <w:rStyle w:val="FootnoteReference"/>
          <w:rFonts w:eastAsia="Times New Roman" w:cs="Tahoma"/>
          <w:color w:val="000000" w:themeColor="text1"/>
          <w:shd w:val="clear" w:color="auto" w:fill="FFFFFF"/>
          <w:lang w:eastAsia="en-GB"/>
        </w:rPr>
        <w:footnoteReference w:id="87"/>
      </w:r>
    </w:p>
    <w:p w14:paraId="4CEF3AC1" w14:textId="77777777" w:rsidR="005438FC" w:rsidRPr="0088177C" w:rsidRDefault="005438FC" w:rsidP="0088177C">
      <w:pPr>
        <w:pStyle w:val="NoSpacing"/>
        <w:spacing w:beforeLines="60" w:before="144" w:line="300" w:lineRule="auto"/>
        <w:rPr>
          <w:rFonts w:eastAsia="Times New Roman" w:cs="Tahoma"/>
          <w:color w:val="000000" w:themeColor="text1"/>
          <w:shd w:val="clear" w:color="auto" w:fill="FFFFFF"/>
          <w:lang w:eastAsia="en-GB"/>
        </w:rPr>
      </w:pPr>
      <w:r w:rsidRPr="0088177C">
        <w:rPr>
          <w:rFonts w:eastAsia="Times New Roman" w:cs="Tahoma"/>
          <w:color w:val="000000" w:themeColor="text1"/>
          <w:shd w:val="clear" w:color="auto" w:fill="FFFFFF"/>
          <w:lang w:eastAsia="en-GB"/>
        </w:rPr>
        <w:t xml:space="preserve">In </w:t>
      </w:r>
      <w:r w:rsidRPr="00D254F7">
        <w:rPr>
          <w:rFonts w:eastAsia="Times New Roman" w:cs="Tahoma"/>
          <w:color w:val="000000" w:themeColor="text1"/>
          <w:shd w:val="clear" w:color="auto" w:fill="FFFFFF"/>
          <w:lang w:eastAsia="en-GB"/>
        </w:rPr>
        <w:t>Spain</w:t>
      </w:r>
      <w:r w:rsidRPr="0088177C">
        <w:rPr>
          <w:rFonts w:eastAsia="Times New Roman" w:cs="Tahoma"/>
          <w:b/>
          <w:bCs/>
          <w:color w:val="000000" w:themeColor="text1"/>
          <w:shd w:val="clear" w:color="auto" w:fill="FFFFFF"/>
          <w:lang w:eastAsia="en-GB"/>
        </w:rPr>
        <w:t xml:space="preserve"> </w:t>
      </w:r>
      <w:r w:rsidRPr="0088177C">
        <w:rPr>
          <w:rFonts w:eastAsia="Times New Roman" w:cs="Tahoma"/>
          <w:color w:val="000000" w:themeColor="text1"/>
          <w:shd w:val="clear" w:color="auto" w:fill="FFFFFF"/>
          <w:lang w:eastAsia="en-GB"/>
        </w:rPr>
        <w:t>the intermediate category is called TRADE.  To fall within this category workers are required to derive at least 75% of their income for services provided to a single client.</w:t>
      </w:r>
      <w:r w:rsidRPr="0088177C">
        <w:rPr>
          <w:rStyle w:val="FootnoteReference"/>
          <w:rFonts w:eastAsia="Times New Roman" w:cs="Tahoma"/>
          <w:color w:val="000000" w:themeColor="text1"/>
          <w:shd w:val="clear" w:color="auto" w:fill="FFFFFF"/>
          <w:lang w:eastAsia="en-GB"/>
        </w:rPr>
        <w:footnoteReference w:id="88"/>
      </w:r>
      <w:r w:rsidRPr="0088177C">
        <w:rPr>
          <w:rFonts w:eastAsia="Times New Roman" w:cs="Tahoma"/>
          <w:color w:val="000000" w:themeColor="text1"/>
          <w:shd w:val="clear" w:color="auto" w:fill="FFFFFF"/>
          <w:lang w:eastAsia="en-GB"/>
        </w:rPr>
        <w:t xml:space="preserve"> As shown by the </w:t>
      </w:r>
      <w:r w:rsidRPr="0088177C">
        <w:rPr>
          <w:rFonts w:cs="áÃ¸À˛"/>
          <w:i/>
          <w:iCs/>
          <w:color w:val="000000" w:themeColor="text1"/>
          <w:lang w:val="en-GB"/>
        </w:rPr>
        <w:t>National Platform Work Survey</w:t>
      </w:r>
      <w:r w:rsidRPr="0088177C">
        <w:rPr>
          <w:rFonts w:eastAsia="Times New Roman" w:cs="Tahoma"/>
          <w:color w:val="000000" w:themeColor="text1"/>
          <w:shd w:val="clear" w:color="auto" w:fill="FFFFFF"/>
          <w:lang w:eastAsia="en-GB"/>
        </w:rPr>
        <w:t xml:space="preserve">, this is not the norm in Australia. </w:t>
      </w:r>
    </w:p>
    <w:p w14:paraId="10ADD39C" w14:textId="5CB397BB" w:rsidR="005438FC" w:rsidRPr="0088177C" w:rsidRDefault="00FF1EBE" w:rsidP="0088177C">
      <w:pPr>
        <w:pStyle w:val="NoSpacing"/>
        <w:spacing w:beforeLines="60" w:before="144" w:line="300" w:lineRule="auto"/>
        <w:rPr>
          <w:rFonts w:eastAsia="Times New Roman" w:cs="Tahoma"/>
          <w:color w:val="000000" w:themeColor="text1"/>
          <w:shd w:val="clear" w:color="auto" w:fill="FFFFFF"/>
          <w:lang w:eastAsia="en-GB"/>
        </w:rPr>
      </w:pPr>
      <w:r>
        <w:rPr>
          <w:rFonts w:eastAsia="Times New Roman" w:cs="Tahoma"/>
          <w:color w:val="000000" w:themeColor="text1"/>
          <w:shd w:val="clear" w:color="auto" w:fill="FFFFFF"/>
          <w:lang w:eastAsia="en-GB"/>
        </w:rPr>
        <w:t>In</w:t>
      </w:r>
      <w:r w:rsidR="005438FC" w:rsidRPr="0088177C">
        <w:rPr>
          <w:rFonts w:eastAsia="Times New Roman" w:cs="Tahoma"/>
          <w:color w:val="000000" w:themeColor="text1"/>
          <w:shd w:val="clear" w:color="auto" w:fill="FFFFFF"/>
          <w:lang w:eastAsia="en-GB"/>
        </w:rPr>
        <w:t xml:space="preserve"> the</w:t>
      </w:r>
      <w:r w:rsidR="005438FC" w:rsidRPr="0088177C">
        <w:rPr>
          <w:rFonts w:eastAsia="Times New Roman" w:cs="Tahoma"/>
          <w:b/>
          <w:bCs/>
          <w:color w:val="000000" w:themeColor="text1"/>
          <w:shd w:val="clear" w:color="auto" w:fill="FFFFFF"/>
          <w:lang w:eastAsia="en-GB"/>
        </w:rPr>
        <w:t xml:space="preserve"> </w:t>
      </w:r>
      <w:r w:rsidR="005438FC" w:rsidRPr="00D254F7">
        <w:rPr>
          <w:rFonts w:eastAsia="Times New Roman" w:cs="Tahoma"/>
          <w:color w:val="000000" w:themeColor="text1"/>
          <w:shd w:val="clear" w:color="auto" w:fill="FFFFFF"/>
          <w:lang w:eastAsia="en-GB"/>
        </w:rPr>
        <w:t>UK</w:t>
      </w:r>
      <w:r w:rsidR="00D254F7">
        <w:rPr>
          <w:rFonts w:eastAsia="Times New Roman" w:cs="Tahoma"/>
          <w:color w:val="000000" w:themeColor="text1"/>
          <w:shd w:val="clear" w:color="auto" w:fill="FFFFFF"/>
          <w:lang w:eastAsia="en-GB"/>
        </w:rPr>
        <w:t>,</w:t>
      </w:r>
      <w:r w:rsidR="005438FC" w:rsidRPr="0088177C">
        <w:rPr>
          <w:rFonts w:eastAsia="Times New Roman" w:cs="Tahoma"/>
          <w:color w:val="000000" w:themeColor="text1"/>
          <w:shd w:val="clear" w:color="auto" w:fill="FFFFFF"/>
          <w:lang w:eastAsia="en-GB"/>
        </w:rPr>
        <w:t xml:space="preserve"> </w:t>
      </w:r>
      <w:r w:rsidR="00D254F7">
        <w:rPr>
          <w:rFonts w:eastAsia="Times New Roman" w:cs="Tahoma"/>
          <w:color w:val="000000" w:themeColor="text1"/>
          <w:shd w:val="clear" w:color="auto" w:fill="FFFFFF"/>
          <w:lang w:eastAsia="en-GB"/>
        </w:rPr>
        <w:t>Section</w:t>
      </w:r>
      <w:r w:rsidR="005438FC" w:rsidRPr="0088177C">
        <w:rPr>
          <w:rFonts w:eastAsia="Times New Roman" w:cs="Tahoma"/>
          <w:color w:val="000000" w:themeColor="text1"/>
          <w:shd w:val="clear" w:color="auto" w:fill="FFFFFF"/>
          <w:lang w:eastAsia="en-GB"/>
        </w:rPr>
        <w:t xml:space="preserve"> 230(3) of the </w:t>
      </w:r>
      <w:r w:rsidR="005438FC" w:rsidRPr="0088177C">
        <w:rPr>
          <w:rFonts w:eastAsia="Times New Roman" w:cs="Tahoma"/>
          <w:i/>
          <w:iCs/>
          <w:color w:val="000000" w:themeColor="text1"/>
          <w:shd w:val="clear" w:color="auto" w:fill="FFFFFF"/>
          <w:lang w:eastAsia="en-GB"/>
        </w:rPr>
        <w:t>Employment Rights Act 1996</w:t>
      </w:r>
      <w:r w:rsidR="005438FC" w:rsidRPr="0088177C">
        <w:rPr>
          <w:rFonts w:eastAsia="Times New Roman" w:cs="Tahoma"/>
          <w:color w:val="000000" w:themeColor="text1"/>
          <w:shd w:val="clear" w:color="auto" w:fill="FFFFFF"/>
          <w:lang w:eastAsia="en-GB"/>
        </w:rPr>
        <w:t xml:space="preserve"> (UK) defines </w:t>
      </w:r>
      <w:r w:rsidR="00D254F7">
        <w:rPr>
          <w:rFonts w:eastAsia="Times New Roman" w:cs="Tahoma"/>
          <w:color w:val="000000" w:themeColor="text1"/>
          <w:shd w:val="clear" w:color="auto" w:fill="FFFFFF"/>
          <w:lang w:eastAsia="en-GB"/>
        </w:rPr>
        <w:t xml:space="preserve">a </w:t>
      </w:r>
      <w:r w:rsidR="005438FC" w:rsidRPr="0088177C">
        <w:rPr>
          <w:rFonts w:eastAsia="Times New Roman" w:cs="Tahoma"/>
          <w:color w:val="000000" w:themeColor="text1"/>
          <w:shd w:val="clear" w:color="auto" w:fill="FFFFFF"/>
          <w:lang w:eastAsia="en-GB"/>
        </w:rPr>
        <w:t>worker</w:t>
      </w:r>
      <w:r>
        <w:rPr>
          <w:rFonts w:eastAsia="Times New Roman" w:cs="Tahoma"/>
          <w:color w:val="000000" w:themeColor="text1"/>
          <w:shd w:val="clear" w:color="auto" w:fill="FFFFFF"/>
          <w:lang w:eastAsia="en-GB"/>
        </w:rPr>
        <w:t>, to distinguish it from an employee,</w:t>
      </w:r>
      <w:r w:rsidR="005438FC" w:rsidRPr="0088177C">
        <w:rPr>
          <w:rFonts w:eastAsia="Times New Roman" w:cs="Tahoma"/>
          <w:color w:val="000000" w:themeColor="text1"/>
          <w:shd w:val="clear" w:color="auto" w:fill="FFFFFF"/>
          <w:lang w:eastAsia="en-GB"/>
        </w:rPr>
        <w:t xml:space="preserve"> as: </w:t>
      </w:r>
    </w:p>
    <w:p w14:paraId="779BC4CF" w14:textId="77777777" w:rsidR="005438FC" w:rsidRPr="00D254F7" w:rsidRDefault="005438FC" w:rsidP="00D254F7">
      <w:pPr>
        <w:pStyle w:val="NoSpacing"/>
        <w:spacing w:line="300" w:lineRule="auto"/>
        <w:ind w:left="720"/>
        <w:rPr>
          <w:rFonts w:cs="Times New Roman"/>
          <w:i/>
          <w:iCs/>
          <w:color w:val="000000" w:themeColor="text1"/>
          <w:lang w:val="en-GB"/>
        </w:rPr>
      </w:pPr>
      <w:r w:rsidRPr="00D254F7">
        <w:rPr>
          <w:rFonts w:cs="Times New Roman"/>
          <w:i/>
          <w:iCs/>
          <w:color w:val="000000" w:themeColor="text1"/>
          <w:lang w:val="en-GB"/>
        </w:rPr>
        <w:t xml:space="preserve">an individual who has </w:t>
      </w:r>
      <w:proofErr w:type="gramStart"/>
      <w:r w:rsidRPr="00D254F7">
        <w:rPr>
          <w:rFonts w:cs="Times New Roman"/>
          <w:i/>
          <w:iCs/>
          <w:color w:val="000000" w:themeColor="text1"/>
          <w:lang w:val="en-GB"/>
        </w:rPr>
        <w:t>entered into</w:t>
      </w:r>
      <w:proofErr w:type="gramEnd"/>
      <w:r w:rsidRPr="00D254F7">
        <w:rPr>
          <w:rFonts w:cs="Times New Roman"/>
          <w:i/>
          <w:iCs/>
          <w:color w:val="000000" w:themeColor="text1"/>
          <w:lang w:val="en-GB"/>
        </w:rPr>
        <w:t xml:space="preserve"> or works under (or, where the employment has ceased, worked under)-</w:t>
      </w:r>
    </w:p>
    <w:p w14:paraId="2DDA41CC" w14:textId="77777777" w:rsidR="005438FC" w:rsidRPr="00D254F7" w:rsidRDefault="005438FC" w:rsidP="00D254F7">
      <w:pPr>
        <w:pStyle w:val="NoSpacing"/>
        <w:spacing w:before="60" w:line="300" w:lineRule="auto"/>
        <w:ind w:left="1440"/>
        <w:rPr>
          <w:rFonts w:cs="Times New Roman"/>
          <w:i/>
          <w:iCs/>
          <w:color w:val="000000" w:themeColor="text1"/>
          <w:lang w:val="en-GB"/>
        </w:rPr>
      </w:pPr>
      <w:r w:rsidRPr="00D254F7">
        <w:rPr>
          <w:rFonts w:cs="Times New Roman"/>
          <w:i/>
          <w:iCs/>
          <w:color w:val="000000" w:themeColor="text1"/>
          <w:lang w:val="en-GB"/>
        </w:rPr>
        <w:t>(a) a contract of employment, or</w:t>
      </w:r>
    </w:p>
    <w:p w14:paraId="291AE7AF" w14:textId="77777777" w:rsidR="005438FC" w:rsidRPr="00D254F7" w:rsidRDefault="005438FC" w:rsidP="00FF1EBE">
      <w:pPr>
        <w:pStyle w:val="NoSpacing"/>
        <w:spacing w:beforeLines="60" w:before="144" w:line="300" w:lineRule="auto"/>
        <w:ind w:left="1440"/>
        <w:rPr>
          <w:rFonts w:cs="Times New Roman"/>
          <w:i/>
          <w:iCs/>
          <w:color w:val="000000" w:themeColor="text1"/>
          <w:lang w:val="en-GB"/>
        </w:rPr>
      </w:pPr>
      <w:r w:rsidRPr="00D254F7">
        <w:rPr>
          <w:rFonts w:cs="Times New Roman"/>
          <w:i/>
          <w:iCs/>
          <w:color w:val="000000" w:themeColor="text1"/>
          <w:lang w:val="en-GB"/>
        </w:rPr>
        <w:t xml:space="preserve">(b) any other contract, whether express or implied and (if it is express) whether oral or in writing, whereby the individual undertakes to do or </w:t>
      </w:r>
      <w:proofErr w:type="gramStart"/>
      <w:r w:rsidRPr="00D254F7">
        <w:rPr>
          <w:rFonts w:cs="Times New Roman"/>
          <w:i/>
          <w:iCs/>
          <w:color w:val="000000" w:themeColor="text1"/>
          <w:lang w:val="en-GB"/>
        </w:rPr>
        <w:t>perform personally</w:t>
      </w:r>
      <w:proofErr w:type="gramEnd"/>
      <w:r w:rsidRPr="00D254F7">
        <w:rPr>
          <w:rFonts w:cs="Times New Roman"/>
          <w:i/>
          <w:iCs/>
          <w:color w:val="000000" w:themeColor="text1"/>
          <w:lang w:val="en-GB"/>
        </w:rPr>
        <w:t xml:space="preserve"> any work or services for another party to the contract whose status is not by virtue of the contract that of a client or customer of any profession or business undertaking carried on by the individual.</w:t>
      </w:r>
    </w:p>
    <w:p w14:paraId="3BD75337" w14:textId="77777777" w:rsidR="005438FC" w:rsidRPr="0088177C" w:rsidRDefault="005438FC" w:rsidP="0088177C">
      <w:pPr>
        <w:pStyle w:val="NoSpacing"/>
        <w:spacing w:beforeLines="60" w:before="144" w:line="300" w:lineRule="auto"/>
        <w:rPr>
          <w:rFonts w:cs="Times New Roman"/>
          <w:color w:val="000000" w:themeColor="text1"/>
          <w:lang w:val="en-GB"/>
        </w:rPr>
      </w:pPr>
      <w:r w:rsidRPr="0088177C">
        <w:rPr>
          <w:rFonts w:cs="Times New Roman"/>
          <w:color w:val="000000" w:themeColor="text1"/>
          <w:lang w:val="en-GB"/>
        </w:rPr>
        <w:t xml:space="preserve">Stewart notes that in the leading case of </w:t>
      </w:r>
      <w:r w:rsidRPr="0088177C">
        <w:rPr>
          <w:rFonts w:cs="Times New Roman"/>
          <w:i/>
          <w:iCs/>
          <w:color w:val="000000" w:themeColor="text1"/>
          <w:lang w:val="en-GB"/>
        </w:rPr>
        <w:t>Byrne Brothers (Formwork) Ltd v Baird</w:t>
      </w:r>
      <w:r w:rsidRPr="0088177C">
        <w:rPr>
          <w:rFonts w:cs="Times New Roman"/>
          <w:color w:val="000000" w:themeColor="text1"/>
          <w:lang w:val="en-GB"/>
        </w:rPr>
        <w:t>,</w:t>
      </w:r>
      <w:r w:rsidRPr="0088177C">
        <w:rPr>
          <w:rStyle w:val="FootnoteReference"/>
          <w:rFonts w:cs="Times New Roman"/>
          <w:color w:val="000000" w:themeColor="text1"/>
          <w:lang w:val="en-GB"/>
        </w:rPr>
        <w:footnoteReference w:id="89"/>
      </w:r>
      <w:r w:rsidRPr="0088177C">
        <w:rPr>
          <w:rFonts w:cs="Times New Roman"/>
          <w:color w:val="000000" w:themeColor="text1"/>
          <w:lang w:val="en-GB"/>
        </w:rPr>
        <w:t xml:space="preserve"> the same logic used to conclude that the plaintiffs were workers could have been used to conclude they were employees </w:t>
      </w:r>
      <w:r w:rsidRPr="0088177C">
        <w:rPr>
          <w:rStyle w:val="FootnoteReference"/>
          <w:rFonts w:cs="Times New Roman"/>
          <w:color w:val="000000" w:themeColor="text1"/>
          <w:lang w:val="en-GB"/>
        </w:rPr>
        <w:footnoteReference w:id="90"/>
      </w:r>
    </w:p>
    <w:p w14:paraId="3C8492BD" w14:textId="28DBDBF7" w:rsidR="005438FC" w:rsidRPr="00D254F7" w:rsidRDefault="005438FC" w:rsidP="0088177C">
      <w:pPr>
        <w:pStyle w:val="NoSpacing"/>
        <w:spacing w:beforeLines="60" w:before="144" w:line="300" w:lineRule="auto"/>
        <w:rPr>
          <w:rFonts w:cs="Times New Roman"/>
          <w:color w:val="000000" w:themeColor="text1"/>
          <w:lang w:val="en-GB"/>
        </w:rPr>
      </w:pPr>
      <w:r w:rsidRPr="0088177C">
        <w:rPr>
          <w:rFonts w:cs="Times New Roman"/>
          <w:color w:val="000000" w:themeColor="text1"/>
          <w:lang w:val="en-GB"/>
        </w:rPr>
        <w:t xml:space="preserve">The application of this definition implies that such workers are not entitled to the same protections </w:t>
      </w:r>
      <w:r w:rsidR="00D254F7">
        <w:rPr>
          <w:rFonts w:cs="Times New Roman"/>
          <w:color w:val="000000" w:themeColor="text1"/>
          <w:lang w:val="en-GB"/>
        </w:rPr>
        <w:t>as</w:t>
      </w:r>
      <w:r w:rsidRPr="0088177C">
        <w:rPr>
          <w:rFonts w:cs="Times New Roman"/>
          <w:color w:val="000000" w:themeColor="text1"/>
          <w:lang w:val="en-GB"/>
        </w:rPr>
        <w:t xml:space="preserve"> employees. </w:t>
      </w:r>
      <w:r w:rsidR="00255780">
        <w:rPr>
          <w:rFonts w:cs="Times New Roman"/>
          <w:color w:val="000000" w:themeColor="text1"/>
          <w:lang w:val="en-GB"/>
        </w:rPr>
        <w:t xml:space="preserve"> </w:t>
      </w:r>
      <w:r w:rsidRPr="0088177C">
        <w:rPr>
          <w:rFonts w:cs="Times New Roman"/>
          <w:color w:val="000000" w:themeColor="text1"/>
          <w:lang w:val="en-GB"/>
        </w:rPr>
        <w:t>It</w:t>
      </w:r>
      <w:r w:rsidR="00255780">
        <w:rPr>
          <w:rFonts w:cs="Times New Roman"/>
          <w:color w:val="000000" w:themeColor="text1"/>
          <w:lang w:val="en-GB"/>
        </w:rPr>
        <w:t xml:space="preserve">s </w:t>
      </w:r>
      <w:r w:rsidRPr="0088177C">
        <w:rPr>
          <w:rFonts w:cs="Times New Roman"/>
          <w:color w:val="000000" w:themeColor="text1"/>
          <w:lang w:val="en-GB"/>
        </w:rPr>
        <w:t xml:space="preserve">starting assumption </w:t>
      </w:r>
      <w:r w:rsidR="00255780">
        <w:rPr>
          <w:rFonts w:cs="Times New Roman"/>
          <w:color w:val="000000" w:themeColor="text1"/>
          <w:lang w:val="en-GB"/>
        </w:rPr>
        <w:t xml:space="preserve">is </w:t>
      </w:r>
      <w:r w:rsidRPr="0088177C">
        <w:rPr>
          <w:rFonts w:cs="Times New Roman"/>
          <w:color w:val="000000" w:themeColor="text1"/>
          <w:lang w:val="en-GB"/>
        </w:rPr>
        <w:t xml:space="preserve">that they are not employees. </w:t>
      </w:r>
      <w:r w:rsidRPr="0088177C">
        <w:rPr>
          <w:rFonts w:eastAsia="Times New Roman" w:cs="Tahoma"/>
          <w:color w:val="000000" w:themeColor="text1"/>
          <w:shd w:val="clear" w:color="auto" w:fill="FFFFFF"/>
          <w:lang w:eastAsia="en-GB"/>
        </w:rPr>
        <w:t>Creating protection on the assumption that platform workers are not genuine workers does not fix the problem</w:t>
      </w:r>
      <w:r w:rsidR="00D254F7">
        <w:rPr>
          <w:rFonts w:eastAsia="Times New Roman" w:cs="Tahoma"/>
          <w:color w:val="000000" w:themeColor="text1"/>
          <w:shd w:val="clear" w:color="auto" w:fill="FFFFFF"/>
          <w:lang w:eastAsia="en-GB"/>
        </w:rPr>
        <w:t>;</w:t>
      </w:r>
      <w:r w:rsidRPr="0088177C">
        <w:rPr>
          <w:rFonts w:eastAsia="Times New Roman" w:cs="Tahoma"/>
          <w:color w:val="000000" w:themeColor="text1"/>
          <w:shd w:val="clear" w:color="auto" w:fill="FFFFFF"/>
          <w:lang w:eastAsia="en-GB"/>
        </w:rPr>
        <w:t xml:space="preserve"> in fact it may instead </w:t>
      </w:r>
      <w:r w:rsidR="00231A61" w:rsidRPr="0088177C">
        <w:rPr>
          <w:rFonts w:eastAsia="Times New Roman" w:cs="Tahoma"/>
          <w:color w:val="000000" w:themeColor="text1"/>
          <w:shd w:val="clear" w:color="auto" w:fill="FFFFFF"/>
          <w:lang w:eastAsia="en-GB"/>
        </w:rPr>
        <w:t>open</w:t>
      </w:r>
      <w:r w:rsidRPr="0088177C">
        <w:rPr>
          <w:rFonts w:eastAsia="Times New Roman" w:cs="Tahoma"/>
          <w:color w:val="000000" w:themeColor="text1"/>
          <w:shd w:val="clear" w:color="auto" w:fill="FFFFFF"/>
          <w:lang w:eastAsia="en-GB"/>
        </w:rPr>
        <w:t xml:space="preserve"> genuine employees to disputes about their employment</w:t>
      </w:r>
      <w:r w:rsidR="00D254F7">
        <w:rPr>
          <w:rFonts w:eastAsia="Times New Roman" w:cs="Tahoma"/>
          <w:color w:val="000000" w:themeColor="text1"/>
          <w:shd w:val="clear" w:color="auto" w:fill="FFFFFF"/>
          <w:lang w:eastAsia="en-GB"/>
        </w:rPr>
        <w:t xml:space="preserve"> status</w:t>
      </w:r>
      <w:r w:rsidRPr="0088177C">
        <w:rPr>
          <w:rFonts w:eastAsia="Times New Roman" w:cs="Tahoma"/>
          <w:color w:val="000000" w:themeColor="text1"/>
          <w:shd w:val="clear" w:color="auto" w:fill="FFFFFF"/>
          <w:lang w:eastAsia="en-GB"/>
        </w:rPr>
        <w:t xml:space="preserve">. </w:t>
      </w:r>
    </w:p>
    <w:p w14:paraId="135B07D5" w14:textId="622BB138" w:rsidR="000F4B43" w:rsidRPr="00D254F7" w:rsidRDefault="005438FC" w:rsidP="0088177C">
      <w:pPr>
        <w:pStyle w:val="NoSpacing"/>
        <w:spacing w:beforeLines="60" w:before="144" w:line="300" w:lineRule="auto"/>
        <w:rPr>
          <w:rFonts w:eastAsia="Times New Roman" w:cs="Tahoma"/>
          <w:color w:val="000000" w:themeColor="text1"/>
          <w:shd w:val="clear" w:color="auto" w:fill="FFFFFF"/>
          <w:lang w:eastAsia="en-GB"/>
        </w:rPr>
      </w:pPr>
      <w:r w:rsidRPr="0088177C">
        <w:rPr>
          <w:rFonts w:eastAsia="Times New Roman" w:cs="Tahoma"/>
          <w:color w:val="000000" w:themeColor="text1"/>
          <w:shd w:val="clear" w:color="auto" w:fill="FFFFFF"/>
          <w:lang w:eastAsia="en-GB"/>
        </w:rPr>
        <w:t>The H</w:t>
      </w:r>
      <w:r w:rsidR="001528FB">
        <w:rPr>
          <w:rFonts w:eastAsia="Times New Roman" w:cs="Tahoma"/>
          <w:color w:val="000000" w:themeColor="text1"/>
          <w:shd w:val="clear" w:color="auto" w:fill="FFFFFF"/>
          <w:lang w:eastAsia="en-GB"/>
        </w:rPr>
        <w:t xml:space="preserve">igh </w:t>
      </w:r>
      <w:r w:rsidRPr="0088177C">
        <w:rPr>
          <w:rFonts w:eastAsia="Times New Roman" w:cs="Tahoma"/>
          <w:color w:val="000000" w:themeColor="text1"/>
          <w:shd w:val="clear" w:color="auto" w:fill="FFFFFF"/>
          <w:lang w:eastAsia="en-GB"/>
        </w:rPr>
        <w:t>C</w:t>
      </w:r>
      <w:r w:rsidR="001528FB">
        <w:rPr>
          <w:rFonts w:eastAsia="Times New Roman" w:cs="Tahoma"/>
          <w:color w:val="000000" w:themeColor="text1"/>
          <w:shd w:val="clear" w:color="auto" w:fill="FFFFFF"/>
          <w:lang w:eastAsia="en-GB"/>
        </w:rPr>
        <w:t>ourt</w:t>
      </w:r>
      <w:r w:rsidRPr="0088177C">
        <w:rPr>
          <w:rFonts w:eastAsia="Times New Roman" w:cs="Tahoma"/>
          <w:color w:val="000000" w:themeColor="text1"/>
          <w:shd w:val="clear" w:color="auto" w:fill="FFFFFF"/>
          <w:lang w:eastAsia="en-GB"/>
        </w:rPr>
        <w:t xml:space="preserve"> may </w:t>
      </w:r>
      <w:r w:rsidR="00D254F7">
        <w:rPr>
          <w:rFonts w:eastAsia="Times New Roman" w:cs="Tahoma"/>
          <w:color w:val="000000" w:themeColor="text1"/>
          <w:shd w:val="clear" w:color="auto" w:fill="FFFFFF"/>
          <w:lang w:eastAsia="en-GB"/>
        </w:rPr>
        <w:t>say</w:t>
      </w:r>
      <w:r w:rsidRPr="0088177C">
        <w:rPr>
          <w:rFonts w:eastAsia="Times New Roman" w:cs="Tahoma"/>
          <w:color w:val="000000" w:themeColor="text1"/>
          <w:shd w:val="clear" w:color="auto" w:fill="FFFFFF"/>
          <w:lang w:eastAsia="en-GB"/>
        </w:rPr>
        <w:t xml:space="preserve"> </w:t>
      </w:r>
      <w:r w:rsidRPr="001528FB">
        <w:rPr>
          <w:rFonts w:eastAsia="Times New Roman" w:cs="Tahoma"/>
          <w:i/>
          <w:iCs/>
          <w:color w:val="000000" w:themeColor="text1"/>
          <w:shd w:val="clear" w:color="auto" w:fill="FFFFFF"/>
          <w:lang w:eastAsia="en-GB"/>
        </w:rPr>
        <w:t>contract is king</w:t>
      </w:r>
      <w:r w:rsidRPr="0088177C">
        <w:rPr>
          <w:rFonts w:eastAsia="Times New Roman" w:cs="Tahoma"/>
          <w:color w:val="000000" w:themeColor="text1"/>
          <w:shd w:val="clear" w:color="auto" w:fill="FFFFFF"/>
          <w:lang w:eastAsia="en-GB"/>
        </w:rPr>
        <w:t xml:space="preserve">, but </w:t>
      </w:r>
      <w:r w:rsidR="00D254F7">
        <w:rPr>
          <w:rFonts w:eastAsia="Times New Roman" w:cs="Tahoma"/>
          <w:color w:val="000000" w:themeColor="text1"/>
          <w:shd w:val="clear" w:color="auto" w:fill="FFFFFF"/>
          <w:lang w:eastAsia="en-GB"/>
        </w:rPr>
        <w:t>in truth, P</w:t>
      </w:r>
      <w:r w:rsidRPr="0088177C">
        <w:rPr>
          <w:rFonts w:eastAsia="Times New Roman" w:cs="Tahoma"/>
          <w:color w:val="000000" w:themeColor="text1"/>
          <w:shd w:val="clear" w:color="auto" w:fill="FFFFFF"/>
          <w:lang w:eastAsia="en-GB"/>
        </w:rPr>
        <w:t>arliament is king</w:t>
      </w:r>
      <w:r w:rsidR="00D254F7">
        <w:rPr>
          <w:rFonts w:eastAsia="Times New Roman" w:cs="Tahoma"/>
          <w:color w:val="000000" w:themeColor="text1"/>
          <w:shd w:val="clear" w:color="auto" w:fill="FFFFFF"/>
          <w:lang w:eastAsia="en-GB"/>
        </w:rPr>
        <w:t xml:space="preserve">: </w:t>
      </w:r>
      <w:r w:rsidRPr="0088177C">
        <w:rPr>
          <w:rFonts w:eastAsia="Times New Roman" w:cs="Tahoma"/>
          <w:color w:val="000000" w:themeColor="text1"/>
          <w:shd w:val="clear" w:color="auto" w:fill="FFFFFF"/>
          <w:lang w:eastAsia="en-GB"/>
        </w:rPr>
        <w:t xml:space="preserve">problems facing platform workers can be fixed by </w:t>
      </w:r>
      <w:r w:rsidR="00D254F7">
        <w:rPr>
          <w:rFonts w:eastAsia="Times New Roman" w:cs="Tahoma"/>
          <w:color w:val="000000" w:themeColor="text1"/>
          <w:shd w:val="clear" w:color="auto" w:fill="FFFFFF"/>
          <w:lang w:eastAsia="en-GB"/>
        </w:rPr>
        <w:t>legislation</w:t>
      </w:r>
      <w:r w:rsidRPr="0088177C">
        <w:rPr>
          <w:rFonts w:eastAsia="Times New Roman" w:cs="Tahoma"/>
          <w:color w:val="000000" w:themeColor="text1"/>
          <w:shd w:val="clear" w:color="auto" w:fill="FFFFFF"/>
          <w:lang w:eastAsia="en-GB"/>
        </w:rPr>
        <w:t xml:space="preserve">. </w:t>
      </w:r>
      <w:r w:rsidR="00D254F7">
        <w:rPr>
          <w:rFonts w:eastAsia="Times New Roman" w:cs="Tahoma"/>
          <w:color w:val="000000" w:themeColor="text1"/>
          <w:shd w:val="clear" w:color="auto" w:fill="FFFFFF"/>
          <w:lang w:eastAsia="en-GB"/>
        </w:rPr>
        <w:t xml:space="preserve">With </w:t>
      </w:r>
      <w:r w:rsidR="00DF0AB3">
        <w:rPr>
          <w:rFonts w:eastAsia="Times New Roman" w:cs="Tahoma"/>
          <w:color w:val="000000" w:themeColor="text1"/>
          <w:shd w:val="clear" w:color="auto" w:fill="FFFFFF"/>
          <w:lang w:eastAsia="en-GB"/>
        </w:rPr>
        <w:t>the ability</w:t>
      </w:r>
      <w:r w:rsidR="001528FB">
        <w:rPr>
          <w:rFonts w:eastAsia="Times New Roman" w:cs="Tahoma"/>
          <w:color w:val="000000" w:themeColor="text1"/>
          <w:shd w:val="clear" w:color="auto" w:fill="FFFFFF"/>
          <w:lang w:eastAsia="en-GB"/>
        </w:rPr>
        <w:t xml:space="preserve"> to</w:t>
      </w:r>
      <w:r w:rsidR="00DF0AB3">
        <w:rPr>
          <w:rFonts w:eastAsia="Times New Roman" w:cs="Tahoma"/>
          <w:color w:val="000000" w:themeColor="text1"/>
          <w:shd w:val="clear" w:color="auto" w:fill="FFFFFF"/>
          <w:lang w:eastAsia="en-GB"/>
        </w:rPr>
        <w:t xml:space="preserve"> negotiate collective agreement</w:t>
      </w:r>
      <w:r w:rsidR="00D254F7">
        <w:rPr>
          <w:rFonts w:eastAsia="Times New Roman" w:cs="Tahoma"/>
          <w:color w:val="000000" w:themeColor="text1"/>
          <w:shd w:val="clear" w:color="auto" w:fill="FFFFFF"/>
          <w:lang w:eastAsia="en-GB"/>
        </w:rPr>
        <w:t>s</w:t>
      </w:r>
      <w:r w:rsidR="00DF0AB3">
        <w:rPr>
          <w:rFonts w:eastAsia="Times New Roman" w:cs="Tahoma"/>
          <w:color w:val="000000" w:themeColor="text1"/>
          <w:shd w:val="clear" w:color="auto" w:fill="FFFFFF"/>
          <w:lang w:eastAsia="en-GB"/>
        </w:rPr>
        <w:t xml:space="preserve"> pursuant to the </w:t>
      </w:r>
      <w:r w:rsidR="00DF0AB3" w:rsidRPr="001528FB">
        <w:rPr>
          <w:rFonts w:eastAsia="Times New Roman" w:cs="Tahoma"/>
          <w:i/>
          <w:iCs/>
          <w:color w:val="000000" w:themeColor="text1"/>
          <w:shd w:val="clear" w:color="auto" w:fill="FFFFFF"/>
          <w:lang w:eastAsia="en-GB"/>
        </w:rPr>
        <w:t>FWA</w:t>
      </w:r>
      <w:r w:rsidR="00DF0AB3">
        <w:rPr>
          <w:rFonts w:eastAsia="Times New Roman" w:cs="Tahoma"/>
          <w:color w:val="000000" w:themeColor="text1"/>
          <w:shd w:val="clear" w:color="auto" w:fill="FFFFFF"/>
          <w:lang w:eastAsia="en-GB"/>
        </w:rPr>
        <w:t>, additional flexible working arrangement</w:t>
      </w:r>
      <w:r w:rsidR="00A60141">
        <w:rPr>
          <w:rFonts w:eastAsia="Times New Roman" w:cs="Tahoma"/>
          <w:color w:val="000000" w:themeColor="text1"/>
          <w:shd w:val="clear" w:color="auto" w:fill="FFFFFF"/>
          <w:lang w:eastAsia="en-GB"/>
        </w:rPr>
        <w:t xml:space="preserve"> for ‘</w:t>
      </w:r>
      <w:r w:rsidR="00874157">
        <w:rPr>
          <w:rFonts w:eastAsia="Times New Roman" w:cs="Tahoma"/>
          <w:color w:val="000000" w:themeColor="text1"/>
          <w:shd w:val="clear" w:color="auto" w:fill="FFFFFF"/>
          <w:lang w:eastAsia="en-GB"/>
        </w:rPr>
        <w:t>aspects</w:t>
      </w:r>
      <w:r w:rsidR="00A60141">
        <w:rPr>
          <w:rFonts w:eastAsia="Times New Roman" w:cs="Tahoma"/>
          <w:color w:val="000000" w:themeColor="text1"/>
          <w:shd w:val="clear" w:color="auto" w:fill="FFFFFF"/>
          <w:lang w:eastAsia="en-GB"/>
        </w:rPr>
        <w:t xml:space="preserve"> of the platform </w:t>
      </w:r>
      <w:r w:rsidR="00874157">
        <w:rPr>
          <w:rFonts w:eastAsia="Times New Roman" w:cs="Tahoma"/>
          <w:color w:val="000000" w:themeColor="text1"/>
          <w:shd w:val="clear" w:color="auto" w:fill="FFFFFF"/>
          <w:lang w:eastAsia="en-GB"/>
        </w:rPr>
        <w:t>preferred</w:t>
      </w:r>
      <w:r w:rsidR="00A60141">
        <w:rPr>
          <w:rFonts w:eastAsia="Times New Roman" w:cs="Tahoma"/>
          <w:color w:val="000000" w:themeColor="text1"/>
          <w:shd w:val="clear" w:color="auto" w:fill="FFFFFF"/>
          <w:lang w:eastAsia="en-GB"/>
        </w:rPr>
        <w:t xml:space="preserve"> by workers’</w:t>
      </w:r>
      <w:r w:rsidR="001528FB">
        <w:rPr>
          <w:rFonts w:eastAsia="Times New Roman" w:cs="Tahoma"/>
          <w:color w:val="000000" w:themeColor="text1"/>
          <w:shd w:val="clear" w:color="auto" w:fill="FFFFFF"/>
          <w:lang w:eastAsia="en-GB"/>
        </w:rPr>
        <w:t xml:space="preserve"> can be sought</w:t>
      </w:r>
      <w:r w:rsidR="00A60141">
        <w:rPr>
          <w:rFonts w:eastAsia="Times New Roman" w:cs="Tahoma"/>
          <w:color w:val="000000" w:themeColor="text1"/>
          <w:shd w:val="clear" w:color="auto" w:fill="FFFFFF"/>
          <w:lang w:eastAsia="en-GB"/>
        </w:rPr>
        <w:t>.</w:t>
      </w:r>
      <w:r w:rsidR="00A60141">
        <w:rPr>
          <w:rStyle w:val="FootnoteReference"/>
          <w:rFonts w:eastAsia="Times New Roman" w:cs="Tahoma"/>
          <w:color w:val="000000" w:themeColor="text1"/>
          <w:shd w:val="clear" w:color="auto" w:fill="FFFFFF"/>
          <w:lang w:eastAsia="en-GB"/>
        </w:rPr>
        <w:footnoteReference w:id="91"/>
      </w:r>
    </w:p>
    <w:sectPr w:rsidR="000F4B43" w:rsidRPr="00D254F7" w:rsidSect="00CA02E3">
      <w:headerReference w:type="default" r:id="rId8"/>
      <w:footerReference w:type="even" r:id="rId9"/>
      <w:footerReference w:type="default" r:id="rId10"/>
      <w:pgSz w:w="11900" w:h="16840"/>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F8C866" w14:textId="77777777" w:rsidR="00A066E0" w:rsidRDefault="00A066E0" w:rsidP="00D6126D">
      <w:r>
        <w:separator/>
      </w:r>
    </w:p>
  </w:endnote>
  <w:endnote w:type="continuationSeparator" w:id="0">
    <w:p w14:paraId="3DC1013E" w14:textId="77777777" w:rsidR="00A066E0" w:rsidRDefault="00A066E0" w:rsidP="00D612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venir Book">
    <w:altName w:val="Tw Cen MT"/>
    <w:charset w:val="00"/>
    <w:family w:val="auto"/>
    <w:pitch w:val="variable"/>
    <w:sig w:usb0="800000AF" w:usb1="5000204A" w:usb2="00000000" w:usb3="00000000" w:csb0="0000009B"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charset w:val="00"/>
    <w:family w:val="roman"/>
    <w:pitch w:val="variable"/>
    <w:sig w:usb0="E0002AEF" w:usb1="C0007841" w:usb2="00000009" w:usb3="00000000" w:csb0="000001FF" w:csb1="00000000"/>
  </w:font>
  <w:font w:name="Avenir">
    <w:altName w:val="Calibri"/>
    <w:charset w:val="4D"/>
    <w:family w:val="swiss"/>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áÃ¸À˛">
    <w:altName w:val="Calibri"/>
    <w:charset w:val="4D"/>
    <w:family w:val="auto"/>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51226747"/>
      <w:docPartObj>
        <w:docPartGallery w:val="Page Numbers (Bottom of Page)"/>
        <w:docPartUnique/>
      </w:docPartObj>
    </w:sdtPr>
    <w:sdtEndPr>
      <w:rPr>
        <w:rStyle w:val="PageNumber"/>
      </w:rPr>
    </w:sdtEndPr>
    <w:sdtContent>
      <w:p w14:paraId="1B53343F" w14:textId="77777777" w:rsidR="003B1345" w:rsidRDefault="003B1345" w:rsidP="00E9155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862597445"/>
      <w:docPartObj>
        <w:docPartGallery w:val="Page Numbers (Bottom of Page)"/>
        <w:docPartUnique/>
      </w:docPartObj>
    </w:sdtPr>
    <w:sdtEndPr>
      <w:rPr>
        <w:rStyle w:val="PageNumber"/>
      </w:rPr>
    </w:sdtEndPr>
    <w:sdtContent>
      <w:p w14:paraId="6208036A" w14:textId="77777777" w:rsidR="003B1345" w:rsidRDefault="003B1345" w:rsidP="00D6126D">
        <w:pPr>
          <w:pStyle w:val="Footer"/>
          <w:framePr w:wrap="none" w:vAnchor="text" w:hAnchor="margin" w:xAlign="center"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877F1FE" w14:textId="77777777" w:rsidR="003B1345" w:rsidRDefault="003B13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01017574"/>
      <w:docPartObj>
        <w:docPartGallery w:val="Page Numbers (Bottom of Page)"/>
        <w:docPartUnique/>
      </w:docPartObj>
    </w:sdtPr>
    <w:sdtEndPr>
      <w:rPr>
        <w:rStyle w:val="PageNumber"/>
        <w:rFonts w:ascii="Avenir Book" w:hAnsi="Avenir Book"/>
        <w:sz w:val="20"/>
        <w:szCs w:val="20"/>
      </w:rPr>
    </w:sdtEndPr>
    <w:sdtContent>
      <w:p w14:paraId="6DD86008" w14:textId="77777777" w:rsidR="003B1345" w:rsidRPr="00323996" w:rsidRDefault="003B1345" w:rsidP="00D6126D">
        <w:pPr>
          <w:pStyle w:val="Footer"/>
          <w:framePr w:wrap="none" w:vAnchor="text" w:hAnchor="margin" w:xAlign="right" w:y="1"/>
          <w:rPr>
            <w:rStyle w:val="PageNumber"/>
            <w:rFonts w:ascii="Avenir Book" w:hAnsi="Avenir Book"/>
            <w:sz w:val="20"/>
            <w:szCs w:val="20"/>
          </w:rPr>
        </w:pPr>
        <w:r w:rsidRPr="00323996">
          <w:rPr>
            <w:rStyle w:val="PageNumber"/>
            <w:rFonts w:ascii="Avenir Book" w:hAnsi="Avenir Book"/>
            <w:sz w:val="20"/>
            <w:szCs w:val="20"/>
          </w:rPr>
          <w:fldChar w:fldCharType="begin"/>
        </w:r>
        <w:r w:rsidRPr="00323996">
          <w:rPr>
            <w:rStyle w:val="PageNumber"/>
            <w:rFonts w:ascii="Avenir Book" w:hAnsi="Avenir Book"/>
            <w:sz w:val="20"/>
            <w:szCs w:val="20"/>
          </w:rPr>
          <w:instrText xml:space="preserve"> PAGE </w:instrText>
        </w:r>
        <w:r w:rsidRPr="00323996">
          <w:rPr>
            <w:rStyle w:val="PageNumber"/>
            <w:rFonts w:ascii="Avenir Book" w:hAnsi="Avenir Book"/>
            <w:sz w:val="20"/>
            <w:szCs w:val="20"/>
          </w:rPr>
          <w:fldChar w:fldCharType="separate"/>
        </w:r>
        <w:r w:rsidRPr="00323996">
          <w:rPr>
            <w:rStyle w:val="PageNumber"/>
            <w:rFonts w:ascii="Avenir Book" w:hAnsi="Avenir Book"/>
            <w:noProof/>
            <w:sz w:val="20"/>
            <w:szCs w:val="20"/>
          </w:rPr>
          <w:t>1</w:t>
        </w:r>
        <w:r w:rsidRPr="00323996">
          <w:rPr>
            <w:rStyle w:val="PageNumber"/>
            <w:rFonts w:ascii="Avenir Book" w:hAnsi="Avenir Book"/>
            <w:sz w:val="20"/>
            <w:szCs w:val="20"/>
          </w:rPr>
          <w:fldChar w:fldCharType="end"/>
        </w:r>
      </w:p>
    </w:sdtContent>
  </w:sdt>
  <w:p w14:paraId="20E90746" w14:textId="77777777" w:rsidR="003B1345" w:rsidRDefault="003B1345" w:rsidP="00D6126D">
    <w:pPr>
      <w:pStyle w:val="Footer"/>
      <w:ind w:right="360"/>
    </w:pPr>
    <w:r>
      <w:rPr>
        <w:noProof/>
        <w:lang w:val="en-US"/>
      </w:rPr>
      <w:drawing>
        <wp:anchor distT="0" distB="0" distL="114300" distR="114300" simplePos="0" relativeHeight="251660288" behindDoc="0" locked="0" layoutInCell="1" allowOverlap="1" wp14:anchorId="3F86BA60" wp14:editId="2EA8B949">
          <wp:simplePos x="0" y="0"/>
          <wp:positionH relativeFrom="margin">
            <wp:align>center</wp:align>
          </wp:positionH>
          <wp:positionV relativeFrom="paragraph">
            <wp:posOffset>6350</wp:posOffset>
          </wp:positionV>
          <wp:extent cx="1797050" cy="66992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C_LOGO_TRANSPARENT.png"/>
                  <pic:cNvPicPr/>
                </pic:nvPicPr>
                <pic:blipFill>
                  <a:blip r:embed="rId1">
                    <a:extLst>
                      <a:ext uri="{28A0092B-C50C-407E-A947-70E740481C1C}">
                        <a14:useLocalDpi xmlns:a14="http://schemas.microsoft.com/office/drawing/2010/main" val="0"/>
                      </a:ext>
                    </a:extLst>
                  </a:blip>
                  <a:stretch>
                    <a:fillRect/>
                  </a:stretch>
                </pic:blipFill>
                <pic:spPr>
                  <a:xfrm>
                    <a:off x="0" y="0"/>
                    <a:ext cx="1797050" cy="669925"/>
                  </a:xfrm>
                  <a:prstGeom prst="rect">
                    <a:avLst/>
                  </a:prstGeom>
                </pic:spPr>
              </pic:pic>
            </a:graphicData>
          </a:graphic>
          <wp14:sizeRelH relativeFrom="page">
            <wp14:pctWidth>0</wp14:pctWidth>
          </wp14:sizeRelH>
          <wp14:sizeRelV relativeFrom="page">
            <wp14:pctHeight>0</wp14:pctHeight>
          </wp14:sizeRelV>
        </wp:anchor>
      </w:drawing>
    </w:r>
  </w:p>
  <w:p w14:paraId="26C8BF5B" w14:textId="77777777" w:rsidR="003B1345" w:rsidRDefault="003B1345" w:rsidP="00D612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745124" w14:textId="77777777" w:rsidR="00A066E0" w:rsidRDefault="00A066E0" w:rsidP="00D6126D">
      <w:r>
        <w:separator/>
      </w:r>
    </w:p>
  </w:footnote>
  <w:footnote w:type="continuationSeparator" w:id="0">
    <w:p w14:paraId="54C5C9DB" w14:textId="77777777" w:rsidR="00A066E0" w:rsidRDefault="00A066E0" w:rsidP="00D6126D">
      <w:r>
        <w:continuationSeparator/>
      </w:r>
    </w:p>
  </w:footnote>
  <w:footnote w:id="1">
    <w:p w14:paraId="3E9ED5DA" w14:textId="4FFE295F" w:rsidR="005438FC" w:rsidRPr="006C17A0" w:rsidRDefault="005438FC" w:rsidP="005438FC">
      <w:pPr>
        <w:pStyle w:val="FootnoteText"/>
        <w:rPr>
          <w:color w:val="000000" w:themeColor="text1"/>
          <w:szCs w:val="18"/>
        </w:rPr>
      </w:pPr>
      <w:r>
        <w:rPr>
          <w:rStyle w:val="FootnoteReference"/>
        </w:rPr>
        <w:footnoteRef/>
      </w:r>
      <w:r>
        <w:t xml:space="preserve"> Co</w:t>
      </w:r>
      <w:r w:rsidRPr="006C17A0">
        <w:rPr>
          <w:color w:val="000000" w:themeColor="text1"/>
          <w:szCs w:val="18"/>
        </w:rPr>
        <w:t xml:space="preserve">mmonwealth, </w:t>
      </w:r>
      <w:r w:rsidRPr="006C17A0">
        <w:rPr>
          <w:i/>
          <w:iCs/>
          <w:color w:val="000000" w:themeColor="text1"/>
          <w:szCs w:val="18"/>
        </w:rPr>
        <w:t>Parliamentary Debates</w:t>
      </w:r>
      <w:r w:rsidRPr="006C17A0">
        <w:rPr>
          <w:color w:val="000000" w:themeColor="text1"/>
          <w:szCs w:val="18"/>
        </w:rPr>
        <w:t>, House of Representatives, 14 April 1904, 1027 (Henry Higgins).</w:t>
      </w:r>
    </w:p>
  </w:footnote>
  <w:footnote w:id="2">
    <w:p w14:paraId="5B196490" w14:textId="02870DA7" w:rsidR="00422F98" w:rsidRPr="006C17A0" w:rsidRDefault="00422F98" w:rsidP="00422F98">
      <w:pPr>
        <w:pStyle w:val="FootnoteText"/>
        <w:rPr>
          <w:color w:val="000000" w:themeColor="text1"/>
          <w:szCs w:val="18"/>
        </w:rPr>
      </w:pPr>
      <w:r w:rsidRPr="006C17A0">
        <w:rPr>
          <w:rStyle w:val="FootnoteReference"/>
          <w:color w:val="000000" w:themeColor="text1"/>
          <w:szCs w:val="18"/>
        </w:rPr>
        <w:footnoteRef/>
      </w:r>
      <w:r w:rsidRPr="006C17A0">
        <w:rPr>
          <w:color w:val="000000" w:themeColor="text1"/>
          <w:szCs w:val="18"/>
        </w:rPr>
        <w:t xml:space="preserve"> Productivity Commission, </w:t>
      </w:r>
      <w:r w:rsidRPr="006C17A0">
        <w:rPr>
          <w:i/>
          <w:iCs/>
          <w:color w:val="000000" w:themeColor="text1"/>
          <w:szCs w:val="18"/>
          <w:shd w:val="clear" w:color="auto" w:fill="FFFFFF"/>
        </w:rPr>
        <w:t xml:space="preserve">5-year Productivity Inquiry: A More Productive Labour Market, </w:t>
      </w:r>
      <w:r w:rsidRPr="006C17A0">
        <w:rPr>
          <w:color w:val="000000" w:themeColor="text1"/>
          <w:szCs w:val="18"/>
          <w:shd w:val="clear" w:color="auto" w:fill="FFFFFF"/>
        </w:rPr>
        <w:t>(Interim Report, 13 October 2022) 34</w:t>
      </w:r>
      <w:r w:rsidR="005D7CFC" w:rsidRPr="006C17A0">
        <w:rPr>
          <w:color w:val="000000" w:themeColor="text1"/>
          <w:szCs w:val="18"/>
          <w:shd w:val="clear" w:color="auto" w:fill="FFFFFF"/>
        </w:rPr>
        <w:t xml:space="preserve"> (‘</w:t>
      </w:r>
      <w:r w:rsidR="005D7CFC" w:rsidRPr="006C17A0">
        <w:rPr>
          <w:i/>
          <w:iCs/>
          <w:color w:val="000000" w:themeColor="text1"/>
          <w:szCs w:val="18"/>
          <w:shd w:val="clear" w:color="auto" w:fill="FFFFFF"/>
        </w:rPr>
        <w:t>Interim Report</w:t>
      </w:r>
      <w:r w:rsidR="005D7CFC" w:rsidRPr="006C17A0">
        <w:rPr>
          <w:color w:val="000000" w:themeColor="text1"/>
          <w:szCs w:val="18"/>
          <w:shd w:val="clear" w:color="auto" w:fill="FFFFFF"/>
        </w:rPr>
        <w:t>’)</w:t>
      </w:r>
      <w:r w:rsidRPr="006C17A0">
        <w:rPr>
          <w:color w:val="000000" w:themeColor="text1"/>
          <w:szCs w:val="18"/>
          <w:shd w:val="clear" w:color="auto" w:fill="FFFFFF"/>
        </w:rPr>
        <w:t xml:space="preserve">. </w:t>
      </w:r>
    </w:p>
  </w:footnote>
  <w:footnote w:id="3">
    <w:p w14:paraId="0CDD4005" w14:textId="286DC919" w:rsidR="006D23E9" w:rsidRPr="006C17A0" w:rsidRDefault="006D23E9">
      <w:pPr>
        <w:pStyle w:val="FootnoteText"/>
        <w:rPr>
          <w:color w:val="000000" w:themeColor="text1"/>
          <w:szCs w:val="18"/>
        </w:rPr>
      </w:pPr>
      <w:r w:rsidRPr="006C17A0">
        <w:rPr>
          <w:rStyle w:val="FootnoteReference"/>
          <w:color w:val="000000" w:themeColor="text1"/>
          <w:szCs w:val="18"/>
        </w:rPr>
        <w:footnoteRef/>
      </w:r>
      <w:r w:rsidRPr="006C17A0">
        <w:rPr>
          <w:color w:val="000000" w:themeColor="text1"/>
          <w:szCs w:val="18"/>
        </w:rPr>
        <w:t xml:space="preserve"> </w:t>
      </w:r>
      <w:r w:rsidR="00620D3F" w:rsidRPr="006C17A0">
        <w:rPr>
          <w:color w:val="000000" w:themeColor="text1"/>
          <w:szCs w:val="18"/>
        </w:rPr>
        <w:t xml:space="preserve">Ibid V [6]. </w:t>
      </w:r>
    </w:p>
  </w:footnote>
  <w:footnote w:id="4">
    <w:p w14:paraId="6E7EEDAD" w14:textId="2D52D1D2" w:rsidR="005438FC" w:rsidRPr="006C17A0" w:rsidRDefault="005438FC" w:rsidP="005438FC">
      <w:pPr>
        <w:pStyle w:val="FootnoteText"/>
        <w:rPr>
          <w:color w:val="000000" w:themeColor="text1"/>
          <w:szCs w:val="18"/>
        </w:rPr>
      </w:pPr>
      <w:r w:rsidRPr="006C17A0">
        <w:rPr>
          <w:rStyle w:val="FootnoteReference"/>
          <w:color w:val="000000" w:themeColor="text1"/>
          <w:szCs w:val="18"/>
        </w:rPr>
        <w:footnoteRef/>
      </w:r>
      <w:r w:rsidRPr="006C17A0">
        <w:rPr>
          <w:color w:val="000000" w:themeColor="text1"/>
          <w:szCs w:val="18"/>
        </w:rPr>
        <w:t xml:space="preserve"> </w:t>
      </w:r>
      <w:r w:rsidRPr="006C17A0">
        <w:rPr>
          <w:i/>
          <w:iCs/>
          <w:color w:val="000000" w:themeColor="text1"/>
          <w:szCs w:val="18"/>
        </w:rPr>
        <w:t>Fair Work Act 2009</w:t>
      </w:r>
      <w:r w:rsidRPr="006C17A0">
        <w:rPr>
          <w:color w:val="000000" w:themeColor="text1"/>
          <w:szCs w:val="18"/>
        </w:rPr>
        <w:t xml:space="preserve"> (</w:t>
      </w:r>
      <w:proofErr w:type="spellStart"/>
      <w:r w:rsidRPr="006C17A0">
        <w:rPr>
          <w:color w:val="000000" w:themeColor="text1"/>
          <w:szCs w:val="18"/>
        </w:rPr>
        <w:t>Cth</w:t>
      </w:r>
      <w:proofErr w:type="spellEnd"/>
      <w:r w:rsidRPr="006C17A0">
        <w:rPr>
          <w:color w:val="000000" w:themeColor="text1"/>
          <w:szCs w:val="18"/>
        </w:rPr>
        <w:t>) s 3</w:t>
      </w:r>
      <w:r w:rsidR="003F67BC" w:rsidRPr="006C17A0">
        <w:rPr>
          <w:color w:val="000000" w:themeColor="text1"/>
          <w:szCs w:val="18"/>
        </w:rPr>
        <w:t xml:space="preserve"> (‘</w:t>
      </w:r>
      <w:r w:rsidR="003F67BC" w:rsidRPr="006C17A0">
        <w:rPr>
          <w:i/>
          <w:iCs/>
          <w:color w:val="000000" w:themeColor="text1"/>
          <w:szCs w:val="18"/>
        </w:rPr>
        <w:t>FWA</w:t>
      </w:r>
      <w:r w:rsidR="003F67BC" w:rsidRPr="006C17A0">
        <w:rPr>
          <w:color w:val="000000" w:themeColor="text1"/>
          <w:szCs w:val="18"/>
        </w:rPr>
        <w:t>’)</w:t>
      </w:r>
      <w:r w:rsidRPr="006C17A0">
        <w:rPr>
          <w:color w:val="000000" w:themeColor="text1"/>
          <w:szCs w:val="18"/>
        </w:rPr>
        <w:t xml:space="preserve">. </w:t>
      </w:r>
    </w:p>
  </w:footnote>
  <w:footnote w:id="5">
    <w:p w14:paraId="468E9A9E" w14:textId="19588456" w:rsidR="004720B7" w:rsidRPr="006C17A0" w:rsidRDefault="004720B7" w:rsidP="004720B7">
      <w:pPr>
        <w:pStyle w:val="FootnoteText"/>
        <w:rPr>
          <w:color w:val="000000" w:themeColor="text1"/>
          <w:szCs w:val="18"/>
        </w:rPr>
      </w:pPr>
      <w:r w:rsidRPr="006C17A0">
        <w:rPr>
          <w:rStyle w:val="FootnoteReference"/>
          <w:color w:val="000000" w:themeColor="text1"/>
          <w:szCs w:val="18"/>
        </w:rPr>
        <w:footnoteRef/>
      </w:r>
      <w:r w:rsidRPr="006C17A0">
        <w:rPr>
          <w:color w:val="000000" w:themeColor="text1"/>
          <w:szCs w:val="18"/>
        </w:rPr>
        <w:t xml:space="preserve"> </w:t>
      </w:r>
      <w:r w:rsidR="008B3C52" w:rsidRPr="006C17A0">
        <w:rPr>
          <w:color w:val="000000" w:themeColor="text1"/>
          <w:szCs w:val="18"/>
        </w:rPr>
        <w:t xml:space="preserve">Keith Hancock, </w:t>
      </w:r>
      <w:r w:rsidR="008B3C52" w:rsidRPr="006C17A0">
        <w:rPr>
          <w:rFonts w:eastAsiaTheme="minorHAnsi"/>
          <w:i/>
          <w:iCs/>
          <w:color w:val="000000" w:themeColor="text1"/>
          <w:szCs w:val="18"/>
          <w:lang w:val="en-GB"/>
        </w:rPr>
        <w:t>Committee of Review into Australian Industrial Relations Law and Systems</w:t>
      </w:r>
      <w:r w:rsidR="008B3C52" w:rsidRPr="006C17A0">
        <w:rPr>
          <w:rFonts w:eastAsiaTheme="minorHAnsi"/>
          <w:color w:val="000000" w:themeColor="text1"/>
          <w:szCs w:val="18"/>
          <w:lang w:val="en-GB"/>
        </w:rPr>
        <w:t xml:space="preserve"> (Report, 1985, vol. 2, AGPS, Canberra)</w:t>
      </w:r>
      <w:r w:rsidR="00F76DC8" w:rsidRPr="006C17A0">
        <w:rPr>
          <w:rFonts w:eastAsiaTheme="minorHAnsi"/>
          <w:color w:val="000000" w:themeColor="text1"/>
          <w:szCs w:val="18"/>
          <w:lang w:val="en-GB"/>
        </w:rPr>
        <w:t xml:space="preserve"> </w:t>
      </w:r>
      <w:r w:rsidR="00404A9F" w:rsidRPr="006C17A0">
        <w:rPr>
          <w:rFonts w:eastAsiaTheme="minorHAnsi"/>
          <w:color w:val="000000" w:themeColor="text1"/>
          <w:szCs w:val="18"/>
          <w:lang w:val="en-GB"/>
        </w:rPr>
        <w:t>14</w:t>
      </w:r>
      <w:r w:rsidR="008B3C52" w:rsidRPr="006C17A0">
        <w:rPr>
          <w:rFonts w:eastAsiaTheme="minorHAnsi"/>
          <w:color w:val="000000" w:themeColor="text1"/>
          <w:szCs w:val="18"/>
          <w:lang w:val="en-GB"/>
        </w:rPr>
        <w:t xml:space="preserve"> (‘</w:t>
      </w:r>
      <w:r w:rsidR="008B3C52" w:rsidRPr="006C17A0">
        <w:rPr>
          <w:rFonts w:eastAsiaTheme="minorHAnsi"/>
          <w:i/>
          <w:iCs/>
          <w:color w:val="000000" w:themeColor="text1"/>
          <w:szCs w:val="18"/>
          <w:lang w:val="en-GB"/>
        </w:rPr>
        <w:t>Hancock Report</w:t>
      </w:r>
      <w:r w:rsidR="008B3C52" w:rsidRPr="006C17A0">
        <w:rPr>
          <w:rFonts w:eastAsiaTheme="minorHAnsi"/>
          <w:color w:val="000000" w:themeColor="text1"/>
          <w:szCs w:val="18"/>
          <w:lang w:val="en-GB"/>
        </w:rPr>
        <w:t>’).</w:t>
      </w:r>
    </w:p>
  </w:footnote>
  <w:footnote w:id="6">
    <w:p w14:paraId="79509EDA" w14:textId="01E91B8D" w:rsidR="00B41976" w:rsidRPr="006C17A0" w:rsidRDefault="00B41976">
      <w:pPr>
        <w:pStyle w:val="FootnoteText"/>
        <w:rPr>
          <w:color w:val="000000" w:themeColor="text1"/>
          <w:szCs w:val="18"/>
        </w:rPr>
      </w:pPr>
      <w:r w:rsidRPr="006C17A0">
        <w:rPr>
          <w:rStyle w:val="FootnoteReference"/>
          <w:color w:val="000000" w:themeColor="text1"/>
          <w:szCs w:val="18"/>
        </w:rPr>
        <w:footnoteRef/>
      </w:r>
      <w:r w:rsidRPr="006C17A0">
        <w:rPr>
          <w:color w:val="000000" w:themeColor="text1"/>
          <w:szCs w:val="18"/>
        </w:rPr>
        <w:t xml:space="preserve"> </w:t>
      </w:r>
      <w:r w:rsidR="00404A9F" w:rsidRPr="006C17A0">
        <w:rPr>
          <w:color w:val="000000" w:themeColor="text1"/>
          <w:szCs w:val="18"/>
        </w:rPr>
        <w:t xml:space="preserve">Ibid 18. </w:t>
      </w:r>
    </w:p>
  </w:footnote>
  <w:footnote w:id="7">
    <w:p w14:paraId="219814DA" w14:textId="106FCE8E" w:rsidR="00DA3493" w:rsidRPr="006C17A0" w:rsidRDefault="00DA3493" w:rsidP="00DA3493">
      <w:pPr>
        <w:pStyle w:val="FootnoteText"/>
        <w:rPr>
          <w:color w:val="000000" w:themeColor="text1"/>
          <w:szCs w:val="18"/>
        </w:rPr>
      </w:pPr>
      <w:r w:rsidRPr="006C17A0">
        <w:rPr>
          <w:rStyle w:val="FootnoteReference"/>
          <w:color w:val="000000" w:themeColor="text1"/>
          <w:szCs w:val="18"/>
        </w:rPr>
        <w:footnoteRef/>
      </w:r>
      <w:r w:rsidRPr="006C17A0">
        <w:rPr>
          <w:color w:val="000000" w:themeColor="text1"/>
          <w:szCs w:val="18"/>
        </w:rPr>
        <w:t xml:space="preserve"> </w:t>
      </w:r>
      <w:r w:rsidR="00404A9F" w:rsidRPr="006C17A0">
        <w:rPr>
          <w:color w:val="000000" w:themeColor="text1"/>
          <w:szCs w:val="18"/>
        </w:rPr>
        <w:t xml:space="preserve">Richard Naughton, </w:t>
      </w:r>
      <w:r w:rsidR="00404A9F" w:rsidRPr="006C17A0">
        <w:rPr>
          <w:i/>
          <w:iCs/>
          <w:color w:val="000000" w:themeColor="text1"/>
          <w:szCs w:val="18"/>
        </w:rPr>
        <w:t>The S</w:t>
      </w:r>
      <w:r w:rsidR="00D6462B" w:rsidRPr="006C17A0">
        <w:rPr>
          <w:i/>
          <w:iCs/>
          <w:color w:val="000000" w:themeColor="text1"/>
          <w:szCs w:val="18"/>
        </w:rPr>
        <w:t xml:space="preserve">haping of Labour Law Legislation: Underlying Element of Australia’s </w:t>
      </w:r>
      <w:r w:rsidR="000E4639" w:rsidRPr="006C17A0">
        <w:rPr>
          <w:i/>
          <w:iCs/>
          <w:color w:val="000000" w:themeColor="text1"/>
          <w:szCs w:val="18"/>
        </w:rPr>
        <w:t xml:space="preserve">Workplace Relations System </w:t>
      </w:r>
      <w:r w:rsidR="000E4639" w:rsidRPr="006C17A0">
        <w:rPr>
          <w:color w:val="000000" w:themeColor="text1"/>
          <w:szCs w:val="18"/>
        </w:rPr>
        <w:t>(</w:t>
      </w:r>
      <w:r w:rsidR="00D85417" w:rsidRPr="006C17A0">
        <w:rPr>
          <w:color w:val="000000" w:themeColor="text1"/>
          <w:szCs w:val="18"/>
        </w:rPr>
        <w:t xml:space="preserve">LexisNexis 2020). </w:t>
      </w:r>
      <w:r w:rsidRPr="006C17A0">
        <w:rPr>
          <w:color w:val="000000" w:themeColor="text1"/>
          <w:szCs w:val="18"/>
        </w:rPr>
        <w:t xml:space="preserve"> </w:t>
      </w:r>
    </w:p>
  </w:footnote>
  <w:footnote w:id="8">
    <w:p w14:paraId="2B092564" w14:textId="47B14F51" w:rsidR="00EA7E5A" w:rsidRPr="006C17A0" w:rsidRDefault="00EA7E5A">
      <w:pPr>
        <w:pStyle w:val="FootnoteText"/>
        <w:rPr>
          <w:color w:val="000000" w:themeColor="text1"/>
          <w:szCs w:val="18"/>
        </w:rPr>
      </w:pPr>
      <w:r w:rsidRPr="006C17A0">
        <w:rPr>
          <w:rStyle w:val="FootnoteReference"/>
          <w:color w:val="000000" w:themeColor="text1"/>
          <w:szCs w:val="18"/>
        </w:rPr>
        <w:footnoteRef/>
      </w:r>
      <w:r w:rsidRPr="006C17A0">
        <w:rPr>
          <w:color w:val="000000" w:themeColor="text1"/>
          <w:szCs w:val="18"/>
        </w:rPr>
        <w:t xml:space="preserve"> </w:t>
      </w:r>
      <w:r w:rsidR="005634C5" w:rsidRPr="006C17A0">
        <w:rPr>
          <w:rStyle w:val="normaltextrun"/>
          <w:color w:val="000000" w:themeColor="text1"/>
          <w:szCs w:val="18"/>
          <w:bdr w:val="none" w:sz="0" w:space="0" w:color="auto" w:frame="1"/>
        </w:rPr>
        <w:t>Paul Keating, ‘Speech to the Institute of Directors Luncheon’ (Speech, Australian Institute of Company Directors, 21 April 1993).</w:t>
      </w:r>
    </w:p>
  </w:footnote>
  <w:footnote w:id="9">
    <w:p w14:paraId="0510FFCB" w14:textId="03342F1E" w:rsidR="005438FC" w:rsidRPr="006C17A0" w:rsidRDefault="005438FC" w:rsidP="005438FC">
      <w:pPr>
        <w:pStyle w:val="FootnoteText"/>
        <w:rPr>
          <w:color w:val="000000" w:themeColor="text1"/>
          <w:szCs w:val="18"/>
        </w:rPr>
      </w:pPr>
      <w:r w:rsidRPr="006C17A0">
        <w:rPr>
          <w:rStyle w:val="FootnoteReference"/>
          <w:color w:val="000000" w:themeColor="text1"/>
          <w:szCs w:val="18"/>
        </w:rPr>
        <w:footnoteRef/>
      </w:r>
      <w:r w:rsidRPr="006C17A0">
        <w:rPr>
          <w:color w:val="000000" w:themeColor="text1"/>
          <w:szCs w:val="18"/>
        </w:rPr>
        <w:t xml:space="preserve"> </w:t>
      </w:r>
      <w:r w:rsidR="005C0EDC" w:rsidRPr="006C17A0">
        <w:rPr>
          <w:color w:val="000000" w:themeColor="text1"/>
          <w:szCs w:val="18"/>
        </w:rPr>
        <w:t>Ibid.</w:t>
      </w:r>
      <w:r w:rsidRPr="006C17A0">
        <w:rPr>
          <w:color w:val="000000" w:themeColor="text1"/>
          <w:szCs w:val="18"/>
        </w:rPr>
        <w:t xml:space="preserve"> </w:t>
      </w:r>
    </w:p>
  </w:footnote>
  <w:footnote w:id="10">
    <w:p w14:paraId="7831B674" w14:textId="09BA331B" w:rsidR="005438FC" w:rsidRPr="006C17A0" w:rsidRDefault="005438FC" w:rsidP="005438FC">
      <w:pPr>
        <w:pStyle w:val="FootnoteText"/>
        <w:rPr>
          <w:color w:val="000000" w:themeColor="text1"/>
          <w:szCs w:val="18"/>
        </w:rPr>
      </w:pPr>
      <w:r w:rsidRPr="006C17A0">
        <w:rPr>
          <w:rStyle w:val="FootnoteReference"/>
          <w:color w:val="000000" w:themeColor="text1"/>
          <w:szCs w:val="18"/>
        </w:rPr>
        <w:footnoteRef/>
      </w:r>
      <w:r w:rsidRPr="006C17A0">
        <w:rPr>
          <w:color w:val="000000" w:themeColor="text1"/>
          <w:szCs w:val="18"/>
        </w:rPr>
        <w:t xml:space="preserve"> </w:t>
      </w:r>
      <w:r w:rsidR="008855DD" w:rsidRPr="006C17A0">
        <w:rPr>
          <w:color w:val="000000" w:themeColor="text1"/>
          <w:szCs w:val="18"/>
        </w:rPr>
        <w:t xml:space="preserve">ACTU, </w:t>
      </w:r>
      <w:r w:rsidR="008855DD" w:rsidRPr="006C17A0">
        <w:rPr>
          <w:i/>
          <w:iCs/>
          <w:color w:val="000000" w:themeColor="text1"/>
          <w:szCs w:val="18"/>
        </w:rPr>
        <w:t>An Economy That Works for People</w:t>
      </w:r>
      <w:r w:rsidR="008855DD" w:rsidRPr="006C17A0">
        <w:rPr>
          <w:color w:val="000000" w:themeColor="text1"/>
          <w:szCs w:val="18"/>
        </w:rPr>
        <w:t xml:space="preserve"> (Report, August 2022).</w:t>
      </w:r>
    </w:p>
  </w:footnote>
  <w:footnote w:id="11">
    <w:p w14:paraId="26318AAF" w14:textId="7F73E86F" w:rsidR="005438FC" w:rsidRPr="006C17A0" w:rsidRDefault="005438FC" w:rsidP="005438FC">
      <w:pPr>
        <w:pStyle w:val="FootnoteText"/>
        <w:rPr>
          <w:color w:val="000000" w:themeColor="text1"/>
          <w:szCs w:val="18"/>
        </w:rPr>
      </w:pPr>
      <w:r w:rsidRPr="006C17A0">
        <w:rPr>
          <w:rStyle w:val="FootnoteReference"/>
          <w:color w:val="000000" w:themeColor="text1"/>
          <w:szCs w:val="18"/>
        </w:rPr>
        <w:footnoteRef/>
      </w:r>
      <w:r w:rsidRPr="006C17A0">
        <w:rPr>
          <w:color w:val="000000" w:themeColor="text1"/>
          <w:szCs w:val="18"/>
        </w:rPr>
        <w:t xml:space="preserve"> </w:t>
      </w:r>
      <w:r w:rsidR="00D328B4" w:rsidRPr="006C17A0">
        <w:rPr>
          <w:rStyle w:val="normaltextrun"/>
          <w:color w:val="000000" w:themeColor="text1"/>
          <w:szCs w:val="18"/>
          <w:shd w:val="clear" w:color="auto" w:fill="FFFFFF"/>
        </w:rPr>
        <w:t xml:space="preserve">Australian Bureau of Statistics, </w:t>
      </w:r>
      <w:r w:rsidR="00AE31FA" w:rsidRPr="006C17A0">
        <w:rPr>
          <w:rStyle w:val="normaltextrun"/>
          <w:i/>
          <w:iCs/>
          <w:color w:val="000000" w:themeColor="text1"/>
          <w:szCs w:val="18"/>
          <w:shd w:val="clear" w:color="auto" w:fill="FFFFFF"/>
        </w:rPr>
        <w:t>Australian National Account: National Income, Expenditure and Produc</w:t>
      </w:r>
      <w:r w:rsidR="007636A4" w:rsidRPr="006C17A0">
        <w:rPr>
          <w:rStyle w:val="normaltextrun"/>
          <w:i/>
          <w:iCs/>
          <w:color w:val="000000" w:themeColor="text1"/>
          <w:szCs w:val="18"/>
          <w:shd w:val="clear" w:color="auto" w:fill="FFFFFF"/>
        </w:rPr>
        <w:t>t</w:t>
      </w:r>
      <w:r w:rsidR="00D328B4" w:rsidRPr="006C17A0">
        <w:rPr>
          <w:rStyle w:val="normaltextrun"/>
          <w:i/>
          <w:iCs/>
          <w:color w:val="000000" w:themeColor="text1"/>
          <w:szCs w:val="18"/>
          <w:shd w:val="clear" w:color="auto" w:fill="FFFFFF"/>
        </w:rPr>
        <w:t xml:space="preserve">, </w:t>
      </w:r>
      <w:r w:rsidR="007636A4" w:rsidRPr="006C17A0">
        <w:rPr>
          <w:rStyle w:val="normaltextrun"/>
          <w:i/>
          <w:iCs/>
          <w:color w:val="000000" w:themeColor="text1"/>
          <w:szCs w:val="18"/>
          <w:shd w:val="clear" w:color="auto" w:fill="FFFFFF"/>
        </w:rPr>
        <w:t>June</w:t>
      </w:r>
      <w:r w:rsidR="00D328B4" w:rsidRPr="006C17A0">
        <w:rPr>
          <w:rStyle w:val="normaltextrun"/>
          <w:i/>
          <w:iCs/>
          <w:color w:val="000000" w:themeColor="text1"/>
          <w:szCs w:val="18"/>
          <w:shd w:val="clear" w:color="auto" w:fill="FFFFFF"/>
        </w:rPr>
        <w:t xml:space="preserve"> 202</w:t>
      </w:r>
      <w:r w:rsidR="007636A4" w:rsidRPr="006C17A0">
        <w:rPr>
          <w:rStyle w:val="normaltextrun"/>
          <w:i/>
          <w:iCs/>
          <w:color w:val="000000" w:themeColor="text1"/>
          <w:szCs w:val="18"/>
          <w:shd w:val="clear" w:color="auto" w:fill="FFFFFF"/>
        </w:rPr>
        <w:t>2</w:t>
      </w:r>
      <w:r w:rsidR="00D328B4" w:rsidRPr="006C17A0">
        <w:rPr>
          <w:rStyle w:val="normaltextrun"/>
          <w:color w:val="000000" w:themeColor="text1"/>
          <w:szCs w:val="18"/>
          <w:shd w:val="clear" w:color="auto" w:fill="FFFFFF"/>
        </w:rPr>
        <w:t xml:space="preserve"> (Catalogue number </w:t>
      </w:r>
      <w:r w:rsidR="007636A4" w:rsidRPr="006C17A0">
        <w:rPr>
          <w:rFonts w:cs="Segoe UI"/>
          <w:color w:val="000000" w:themeColor="text1"/>
          <w:szCs w:val="18"/>
          <w:shd w:val="clear" w:color="auto" w:fill="FFFFFF"/>
        </w:rPr>
        <w:t xml:space="preserve">5206.0, 7 September </w:t>
      </w:r>
      <w:r w:rsidR="00D328B4" w:rsidRPr="006C17A0">
        <w:rPr>
          <w:rStyle w:val="normaltextrun"/>
          <w:color w:val="000000" w:themeColor="text1"/>
          <w:szCs w:val="18"/>
          <w:shd w:val="clear" w:color="auto" w:fill="FFFFFF"/>
        </w:rPr>
        <w:t>2022)</w:t>
      </w:r>
      <w:r w:rsidR="007636A4" w:rsidRPr="006C17A0">
        <w:rPr>
          <w:rStyle w:val="normaltextrun"/>
          <w:color w:val="000000" w:themeColor="text1"/>
          <w:szCs w:val="18"/>
          <w:shd w:val="clear" w:color="auto" w:fill="FFFFFF"/>
        </w:rPr>
        <w:t>.</w:t>
      </w:r>
      <w:r w:rsidR="00D328B4" w:rsidRPr="006C17A0">
        <w:rPr>
          <w:rStyle w:val="eop"/>
          <w:color w:val="000000" w:themeColor="text1"/>
          <w:szCs w:val="18"/>
          <w:shd w:val="clear" w:color="auto" w:fill="FFFFFF"/>
        </w:rPr>
        <w:t> </w:t>
      </w:r>
    </w:p>
  </w:footnote>
  <w:footnote w:id="12">
    <w:p w14:paraId="55A22FDE" w14:textId="71CE8D0C" w:rsidR="005438FC" w:rsidRPr="006C17A0" w:rsidRDefault="005438FC" w:rsidP="005438FC">
      <w:pPr>
        <w:pStyle w:val="FootnoteText"/>
        <w:rPr>
          <w:color w:val="000000" w:themeColor="text1"/>
          <w:szCs w:val="18"/>
        </w:rPr>
      </w:pPr>
      <w:r w:rsidRPr="006C17A0">
        <w:rPr>
          <w:rStyle w:val="FootnoteReference"/>
          <w:color w:val="000000" w:themeColor="text1"/>
          <w:szCs w:val="18"/>
        </w:rPr>
        <w:footnoteRef/>
      </w:r>
      <w:r w:rsidRPr="006C17A0">
        <w:rPr>
          <w:color w:val="000000" w:themeColor="text1"/>
          <w:szCs w:val="18"/>
        </w:rPr>
        <w:t xml:space="preserve"> </w:t>
      </w:r>
      <w:r w:rsidR="007636A4" w:rsidRPr="006C17A0">
        <w:rPr>
          <w:rStyle w:val="normaltextrun"/>
          <w:color w:val="000000" w:themeColor="text1"/>
          <w:szCs w:val="18"/>
          <w:shd w:val="clear" w:color="auto" w:fill="FFFFFF"/>
        </w:rPr>
        <w:t xml:space="preserve">Australian Bureau of Statistics, </w:t>
      </w:r>
      <w:r w:rsidR="007636A4" w:rsidRPr="006C17A0">
        <w:rPr>
          <w:rStyle w:val="normaltextrun"/>
          <w:i/>
          <w:iCs/>
          <w:color w:val="000000" w:themeColor="text1"/>
          <w:szCs w:val="18"/>
          <w:shd w:val="clear" w:color="auto" w:fill="FFFFFF"/>
        </w:rPr>
        <w:t>Business Indicators</w:t>
      </w:r>
      <w:r w:rsidR="00113CF9" w:rsidRPr="006C17A0">
        <w:rPr>
          <w:rStyle w:val="normaltextrun"/>
          <w:i/>
          <w:iCs/>
          <w:color w:val="000000" w:themeColor="text1"/>
          <w:szCs w:val="18"/>
          <w:shd w:val="clear" w:color="auto" w:fill="FFFFFF"/>
        </w:rPr>
        <w:t>, Australia</w:t>
      </w:r>
      <w:r w:rsidR="007636A4" w:rsidRPr="006C17A0">
        <w:rPr>
          <w:rStyle w:val="normaltextrun"/>
          <w:i/>
          <w:iCs/>
          <w:color w:val="000000" w:themeColor="text1"/>
          <w:szCs w:val="18"/>
          <w:shd w:val="clear" w:color="auto" w:fill="FFFFFF"/>
        </w:rPr>
        <w:t>, June 2022</w:t>
      </w:r>
      <w:r w:rsidR="007636A4" w:rsidRPr="006C17A0">
        <w:rPr>
          <w:rStyle w:val="normaltextrun"/>
          <w:color w:val="000000" w:themeColor="text1"/>
          <w:szCs w:val="18"/>
          <w:shd w:val="clear" w:color="auto" w:fill="FFFFFF"/>
        </w:rPr>
        <w:t xml:space="preserve"> (Catalogue number </w:t>
      </w:r>
      <w:r w:rsidR="007636A4" w:rsidRPr="006C17A0">
        <w:rPr>
          <w:rFonts w:cs="Segoe UI"/>
          <w:color w:val="000000" w:themeColor="text1"/>
          <w:szCs w:val="18"/>
          <w:shd w:val="clear" w:color="auto" w:fill="FFFFFF"/>
        </w:rPr>
        <w:t xml:space="preserve">5676.0, </w:t>
      </w:r>
      <w:r w:rsidR="00113CF9" w:rsidRPr="006C17A0">
        <w:rPr>
          <w:rFonts w:cs="Segoe UI"/>
          <w:color w:val="000000" w:themeColor="text1"/>
          <w:szCs w:val="18"/>
          <w:shd w:val="clear" w:color="auto" w:fill="FFFFFF"/>
        </w:rPr>
        <w:t>5</w:t>
      </w:r>
      <w:r w:rsidR="007636A4" w:rsidRPr="006C17A0">
        <w:rPr>
          <w:rFonts w:cs="Segoe UI"/>
          <w:color w:val="000000" w:themeColor="text1"/>
          <w:szCs w:val="18"/>
          <w:shd w:val="clear" w:color="auto" w:fill="FFFFFF"/>
        </w:rPr>
        <w:t xml:space="preserve"> September </w:t>
      </w:r>
      <w:r w:rsidR="007636A4" w:rsidRPr="006C17A0">
        <w:rPr>
          <w:rStyle w:val="normaltextrun"/>
          <w:color w:val="000000" w:themeColor="text1"/>
          <w:szCs w:val="18"/>
          <w:shd w:val="clear" w:color="auto" w:fill="FFFFFF"/>
        </w:rPr>
        <w:t>2022).</w:t>
      </w:r>
      <w:r w:rsidR="007636A4" w:rsidRPr="006C17A0">
        <w:rPr>
          <w:rStyle w:val="eop"/>
          <w:color w:val="000000" w:themeColor="text1"/>
          <w:szCs w:val="18"/>
          <w:shd w:val="clear" w:color="auto" w:fill="FFFFFF"/>
        </w:rPr>
        <w:t> </w:t>
      </w:r>
      <w:r w:rsidRPr="006C17A0">
        <w:rPr>
          <w:rFonts w:cs="Segoe UI"/>
          <w:color w:val="000000" w:themeColor="text1"/>
          <w:szCs w:val="18"/>
          <w:shd w:val="clear" w:color="auto" w:fill="FFFFFF"/>
        </w:rPr>
        <w:t xml:space="preserve"> </w:t>
      </w:r>
    </w:p>
  </w:footnote>
  <w:footnote w:id="13">
    <w:p w14:paraId="5F5B2331" w14:textId="09AD162F" w:rsidR="005438FC" w:rsidRPr="006C17A0" w:rsidRDefault="005438FC" w:rsidP="005438FC">
      <w:pPr>
        <w:pStyle w:val="FootnoteText"/>
        <w:rPr>
          <w:color w:val="000000" w:themeColor="text1"/>
          <w:szCs w:val="18"/>
        </w:rPr>
      </w:pPr>
      <w:r w:rsidRPr="006C17A0">
        <w:rPr>
          <w:rStyle w:val="FootnoteReference"/>
          <w:color w:val="000000" w:themeColor="text1"/>
          <w:szCs w:val="18"/>
        </w:rPr>
        <w:footnoteRef/>
      </w:r>
      <w:r w:rsidRPr="006C17A0">
        <w:rPr>
          <w:color w:val="000000" w:themeColor="text1"/>
          <w:szCs w:val="18"/>
        </w:rPr>
        <w:t xml:space="preserve"> Phillip Lowe, </w:t>
      </w:r>
      <w:r w:rsidR="00113CF9" w:rsidRPr="006C17A0">
        <w:rPr>
          <w:color w:val="000000" w:themeColor="text1"/>
          <w:szCs w:val="18"/>
        </w:rPr>
        <w:t>‘</w:t>
      </w:r>
      <w:r w:rsidRPr="006C17A0">
        <w:rPr>
          <w:color w:val="000000" w:themeColor="text1"/>
          <w:szCs w:val="18"/>
        </w:rPr>
        <w:t>Address to Australian Industry Group</w:t>
      </w:r>
      <w:r w:rsidR="00113CF9" w:rsidRPr="006C17A0">
        <w:rPr>
          <w:color w:val="000000" w:themeColor="text1"/>
          <w:szCs w:val="18"/>
        </w:rPr>
        <w:t>’</w:t>
      </w:r>
      <w:r w:rsidRPr="006C17A0">
        <w:rPr>
          <w:color w:val="000000" w:themeColor="text1"/>
          <w:szCs w:val="18"/>
        </w:rPr>
        <w:t xml:space="preserve"> (Speech, Melbourne 13 June 2018)</w:t>
      </w:r>
      <w:r w:rsidR="00113CF9" w:rsidRPr="006C17A0">
        <w:rPr>
          <w:color w:val="000000" w:themeColor="text1"/>
          <w:szCs w:val="18"/>
        </w:rPr>
        <w:t>.</w:t>
      </w:r>
      <w:r w:rsidRPr="006C17A0">
        <w:rPr>
          <w:color w:val="000000" w:themeColor="text1"/>
          <w:szCs w:val="18"/>
        </w:rPr>
        <w:t xml:space="preserve"> </w:t>
      </w:r>
    </w:p>
  </w:footnote>
  <w:footnote w:id="14">
    <w:p w14:paraId="4661E7AA" w14:textId="0D04BC00" w:rsidR="005438FC" w:rsidRPr="006C17A0" w:rsidRDefault="005438FC" w:rsidP="005438FC">
      <w:pPr>
        <w:pStyle w:val="FootnoteText"/>
        <w:rPr>
          <w:color w:val="000000" w:themeColor="text1"/>
          <w:szCs w:val="18"/>
        </w:rPr>
      </w:pPr>
      <w:r w:rsidRPr="006C17A0">
        <w:rPr>
          <w:rStyle w:val="FootnoteReference"/>
          <w:color w:val="000000" w:themeColor="text1"/>
          <w:szCs w:val="18"/>
        </w:rPr>
        <w:footnoteRef/>
      </w:r>
      <w:r w:rsidRPr="006C17A0">
        <w:rPr>
          <w:color w:val="000000" w:themeColor="text1"/>
          <w:szCs w:val="18"/>
        </w:rPr>
        <w:t xml:space="preserve"> </w:t>
      </w:r>
      <w:r w:rsidR="00570DC3" w:rsidRPr="006C17A0">
        <w:rPr>
          <w:rStyle w:val="normaltextrun"/>
          <w:color w:val="000000" w:themeColor="text1"/>
          <w:szCs w:val="18"/>
          <w:shd w:val="clear" w:color="auto" w:fill="FFFFFF"/>
        </w:rPr>
        <w:t xml:space="preserve">Attorney-General’s Department, </w:t>
      </w:r>
      <w:r w:rsidR="00570DC3" w:rsidRPr="006C17A0">
        <w:rPr>
          <w:rStyle w:val="findhit"/>
          <w:i/>
          <w:iCs/>
          <w:color w:val="000000" w:themeColor="text1"/>
          <w:szCs w:val="18"/>
          <w:shd w:val="clear" w:color="auto" w:fill="FFFFFF"/>
        </w:rPr>
        <w:t>Trends</w:t>
      </w:r>
      <w:r w:rsidR="00570DC3" w:rsidRPr="006C17A0">
        <w:rPr>
          <w:rStyle w:val="normaltextrun"/>
          <w:i/>
          <w:iCs/>
          <w:color w:val="000000" w:themeColor="text1"/>
          <w:szCs w:val="18"/>
          <w:shd w:val="clear" w:color="auto" w:fill="FFFFFF"/>
        </w:rPr>
        <w:t xml:space="preserve"> in Federal Enterprise Bargaining</w:t>
      </w:r>
      <w:r w:rsidR="00570DC3" w:rsidRPr="006C17A0">
        <w:rPr>
          <w:rStyle w:val="normaltextrun"/>
          <w:color w:val="000000" w:themeColor="text1"/>
          <w:szCs w:val="18"/>
          <w:shd w:val="clear" w:color="auto" w:fill="FFFFFF"/>
        </w:rPr>
        <w:t xml:space="preserve"> (Report, June 2022).</w:t>
      </w:r>
      <w:r w:rsidR="00570DC3" w:rsidRPr="006C17A0">
        <w:rPr>
          <w:rStyle w:val="eop"/>
          <w:color w:val="000000" w:themeColor="text1"/>
          <w:szCs w:val="18"/>
          <w:shd w:val="clear" w:color="auto" w:fill="FFFFFF"/>
        </w:rPr>
        <w:t> </w:t>
      </w:r>
    </w:p>
  </w:footnote>
  <w:footnote w:id="15">
    <w:p w14:paraId="35014EEF" w14:textId="326DD8E1" w:rsidR="005438FC" w:rsidRPr="006C17A0" w:rsidRDefault="005438FC" w:rsidP="005438FC">
      <w:pPr>
        <w:pStyle w:val="FootnoteText"/>
        <w:rPr>
          <w:color w:val="000000" w:themeColor="text1"/>
          <w:szCs w:val="18"/>
        </w:rPr>
      </w:pPr>
      <w:r w:rsidRPr="006C17A0">
        <w:rPr>
          <w:rStyle w:val="FootnoteReference"/>
          <w:color w:val="000000" w:themeColor="text1"/>
          <w:szCs w:val="18"/>
        </w:rPr>
        <w:footnoteRef/>
      </w:r>
      <w:r w:rsidRPr="006C17A0">
        <w:rPr>
          <w:color w:val="000000" w:themeColor="text1"/>
          <w:szCs w:val="18"/>
        </w:rPr>
        <w:t xml:space="preserve"> </w:t>
      </w:r>
      <w:r w:rsidR="00A23AAF" w:rsidRPr="006C17A0">
        <w:rPr>
          <w:rStyle w:val="normaltextrun"/>
          <w:color w:val="000000" w:themeColor="text1"/>
          <w:szCs w:val="18"/>
          <w:shd w:val="clear" w:color="auto" w:fill="FFFFFF"/>
        </w:rPr>
        <w:t xml:space="preserve">Australian Bureau of Statistics, </w:t>
      </w:r>
      <w:r w:rsidR="00A23AAF" w:rsidRPr="006C17A0">
        <w:rPr>
          <w:rStyle w:val="normaltextrun"/>
          <w:i/>
          <w:iCs/>
          <w:color w:val="000000" w:themeColor="text1"/>
          <w:szCs w:val="18"/>
          <w:shd w:val="clear" w:color="auto" w:fill="FFFFFF"/>
        </w:rPr>
        <w:t>Labour Force, Australia, June 2022</w:t>
      </w:r>
      <w:r w:rsidR="00A23AAF" w:rsidRPr="006C17A0">
        <w:rPr>
          <w:rStyle w:val="normaltextrun"/>
          <w:color w:val="000000" w:themeColor="text1"/>
          <w:szCs w:val="18"/>
          <w:shd w:val="clear" w:color="auto" w:fill="FFFFFF"/>
        </w:rPr>
        <w:t xml:space="preserve"> (Catalogue number </w:t>
      </w:r>
      <w:r w:rsidR="00A23AAF" w:rsidRPr="006C17A0">
        <w:rPr>
          <w:rFonts w:cs="Segoe UI"/>
          <w:color w:val="000000" w:themeColor="text1"/>
          <w:szCs w:val="18"/>
          <w:shd w:val="clear" w:color="auto" w:fill="FFFFFF"/>
        </w:rPr>
        <w:t xml:space="preserve">6202.0, 14 July </w:t>
      </w:r>
      <w:r w:rsidR="00A23AAF" w:rsidRPr="006C17A0">
        <w:rPr>
          <w:rStyle w:val="normaltextrun"/>
          <w:color w:val="000000" w:themeColor="text1"/>
          <w:szCs w:val="18"/>
          <w:shd w:val="clear" w:color="auto" w:fill="FFFFFF"/>
        </w:rPr>
        <w:t>2022).</w:t>
      </w:r>
      <w:r w:rsidR="00A23AAF" w:rsidRPr="006C17A0">
        <w:rPr>
          <w:rStyle w:val="eop"/>
          <w:color w:val="000000" w:themeColor="text1"/>
          <w:szCs w:val="18"/>
          <w:shd w:val="clear" w:color="auto" w:fill="FFFFFF"/>
        </w:rPr>
        <w:t> </w:t>
      </w:r>
    </w:p>
  </w:footnote>
  <w:footnote w:id="16">
    <w:p w14:paraId="0E3DE910" w14:textId="173C6A11" w:rsidR="005438FC" w:rsidRPr="006C17A0" w:rsidRDefault="005438FC" w:rsidP="005438FC">
      <w:pPr>
        <w:pStyle w:val="FootnoteText"/>
        <w:rPr>
          <w:color w:val="000000" w:themeColor="text1"/>
          <w:szCs w:val="18"/>
        </w:rPr>
      </w:pPr>
      <w:r w:rsidRPr="006C17A0">
        <w:rPr>
          <w:rStyle w:val="FootnoteReference"/>
          <w:color w:val="000000" w:themeColor="text1"/>
          <w:szCs w:val="18"/>
        </w:rPr>
        <w:footnoteRef/>
      </w:r>
      <w:r w:rsidRPr="006C17A0">
        <w:rPr>
          <w:color w:val="000000" w:themeColor="text1"/>
          <w:szCs w:val="18"/>
        </w:rPr>
        <w:t xml:space="preserve"> </w:t>
      </w:r>
      <w:r w:rsidR="005D7CFC" w:rsidRPr="006C17A0">
        <w:rPr>
          <w:rStyle w:val="normaltextrun"/>
          <w:color w:val="000000" w:themeColor="text1"/>
          <w:szCs w:val="18"/>
          <w:shd w:val="clear" w:color="auto" w:fill="FFFFFF"/>
        </w:rPr>
        <w:t xml:space="preserve">Australian Bureau of Statistics, </w:t>
      </w:r>
      <w:r w:rsidR="005D7CFC" w:rsidRPr="006C17A0">
        <w:rPr>
          <w:rStyle w:val="normaltextrun"/>
          <w:i/>
          <w:iCs/>
          <w:color w:val="000000" w:themeColor="text1"/>
          <w:szCs w:val="18"/>
          <w:shd w:val="clear" w:color="auto" w:fill="FFFFFF"/>
        </w:rPr>
        <w:t>Employee Earnings and Hours, Australia, May 2021</w:t>
      </w:r>
      <w:r w:rsidR="005D7CFC" w:rsidRPr="006C17A0">
        <w:rPr>
          <w:rStyle w:val="normaltextrun"/>
          <w:color w:val="000000" w:themeColor="text1"/>
          <w:szCs w:val="18"/>
          <w:shd w:val="clear" w:color="auto" w:fill="FFFFFF"/>
        </w:rPr>
        <w:t xml:space="preserve"> (Catalogue number 6306.0, 19 January 2022)</w:t>
      </w:r>
      <w:r w:rsidR="005D7CFC" w:rsidRPr="006C17A0">
        <w:rPr>
          <w:rStyle w:val="eop"/>
          <w:color w:val="000000" w:themeColor="text1"/>
          <w:szCs w:val="18"/>
          <w:shd w:val="clear" w:color="auto" w:fill="FFFFFF"/>
        </w:rPr>
        <w:t>.</w:t>
      </w:r>
    </w:p>
  </w:footnote>
  <w:footnote w:id="17">
    <w:p w14:paraId="7822D42A" w14:textId="6C731D6A" w:rsidR="005438FC" w:rsidRPr="006C17A0" w:rsidRDefault="005438FC" w:rsidP="005438FC">
      <w:pPr>
        <w:pStyle w:val="FootnoteText"/>
        <w:rPr>
          <w:color w:val="000000" w:themeColor="text1"/>
          <w:szCs w:val="18"/>
        </w:rPr>
      </w:pPr>
      <w:r w:rsidRPr="006C17A0">
        <w:rPr>
          <w:rStyle w:val="FootnoteReference"/>
          <w:color w:val="000000" w:themeColor="text1"/>
          <w:szCs w:val="18"/>
        </w:rPr>
        <w:footnoteRef/>
      </w:r>
      <w:r w:rsidRPr="006C17A0">
        <w:rPr>
          <w:color w:val="000000" w:themeColor="text1"/>
          <w:szCs w:val="18"/>
        </w:rPr>
        <w:t xml:space="preserve"> </w:t>
      </w:r>
      <w:r w:rsidR="005D7CFC" w:rsidRPr="006C17A0">
        <w:rPr>
          <w:i/>
          <w:iCs/>
          <w:color w:val="000000" w:themeColor="text1"/>
          <w:szCs w:val="18"/>
          <w:shd w:val="clear" w:color="auto" w:fill="FFFFFF"/>
        </w:rPr>
        <w:t>Interim Report</w:t>
      </w:r>
      <w:r w:rsidR="005D7CFC" w:rsidRPr="006C17A0">
        <w:rPr>
          <w:color w:val="000000" w:themeColor="text1"/>
          <w:szCs w:val="18"/>
        </w:rPr>
        <w:t xml:space="preserve"> (n 2) 54</w:t>
      </w:r>
      <w:r w:rsidR="00E47123" w:rsidRPr="006C17A0">
        <w:rPr>
          <w:color w:val="000000" w:themeColor="text1"/>
          <w:szCs w:val="18"/>
        </w:rPr>
        <w:t>.</w:t>
      </w:r>
    </w:p>
  </w:footnote>
  <w:footnote w:id="18">
    <w:p w14:paraId="1522C022" w14:textId="038A51DC" w:rsidR="00481D0B" w:rsidRPr="006C17A0" w:rsidRDefault="00481D0B" w:rsidP="00481D0B">
      <w:pPr>
        <w:pStyle w:val="FootnoteText"/>
        <w:rPr>
          <w:color w:val="000000" w:themeColor="text1"/>
          <w:szCs w:val="18"/>
        </w:rPr>
      </w:pPr>
      <w:r w:rsidRPr="006C17A0">
        <w:rPr>
          <w:rStyle w:val="FootnoteReference"/>
          <w:color w:val="000000" w:themeColor="text1"/>
          <w:szCs w:val="18"/>
        </w:rPr>
        <w:footnoteRef/>
      </w:r>
      <w:r w:rsidRPr="006C17A0">
        <w:rPr>
          <w:color w:val="000000" w:themeColor="text1"/>
          <w:szCs w:val="18"/>
        </w:rPr>
        <w:t xml:space="preserve"> </w:t>
      </w:r>
      <w:r w:rsidR="005F33D8" w:rsidRPr="006C17A0">
        <w:rPr>
          <w:color w:val="000000" w:themeColor="text1"/>
          <w:szCs w:val="18"/>
        </w:rPr>
        <w:t xml:space="preserve">Ibid </w:t>
      </w:r>
      <w:r w:rsidR="00E47123" w:rsidRPr="006C17A0">
        <w:rPr>
          <w:color w:val="000000" w:themeColor="text1"/>
          <w:szCs w:val="18"/>
        </w:rPr>
        <w:t xml:space="preserve">53. </w:t>
      </w:r>
    </w:p>
  </w:footnote>
  <w:footnote w:id="19">
    <w:p w14:paraId="6B3248CA" w14:textId="2D4037CC" w:rsidR="005438FC" w:rsidRPr="006C17A0" w:rsidRDefault="005438FC" w:rsidP="005438FC">
      <w:pPr>
        <w:pStyle w:val="FootnoteText"/>
        <w:rPr>
          <w:color w:val="000000" w:themeColor="text1"/>
          <w:szCs w:val="18"/>
        </w:rPr>
      </w:pPr>
      <w:r w:rsidRPr="006C17A0">
        <w:rPr>
          <w:rStyle w:val="FootnoteReference"/>
          <w:color w:val="000000" w:themeColor="text1"/>
          <w:szCs w:val="18"/>
        </w:rPr>
        <w:footnoteRef/>
      </w:r>
      <w:r w:rsidRPr="006C17A0">
        <w:rPr>
          <w:color w:val="000000" w:themeColor="text1"/>
          <w:szCs w:val="18"/>
        </w:rPr>
        <w:t xml:space="preserve"> </w:t>
      </w:r>
      <w:r w:rsidR="00B97C94" w:rsidRPr="006C17A0">
        <w:rPr>
          <w:rFonts w:eastAsia="Verdana" w:cs="Verdana"/>
          <w:color w:val="000000" w:themeColor="text1"/>
          <w:szCs w:val="18"/>
        </w:rPr>
        <w:t>University of New South Wales and the Australian Council of Social Services</w:t>
      </w:r>
      <w:r w:rsidR="00B97C94" w:rsidRPr="006C17A0">
        <w:rPr>
          <w:color w:val="000000" w:themeColor="text1"/>
          <w:szCs w:val="18"/>
        </w:rPr>
        <w:t xml:space="preserve">, </w:t>
      </w:r>
      <w:r w:rsidRPr="006C17A0">
        <w:rPr>
          <w:i/>
          <w:iCs/>
          <w:color w:val="000000" w:themeColor="text1"/>
          <w:szCs w:val="18"/>
        </w:rPr>
        <w:t>Poverty in Australia 2022</w:t>
      </w:r>
      <w:r w:rsidR="00B97C94" w:rsidRPr="006C17A0">
        <w:rPr>
          <w:i/>
          <w:iCs/>
          <w:color w:val="000000" w:themeColor="text1"/>
          <w:szCs w:val="18"/>
        </w:rPr>
        <w:t>:</w:t>
      </w:r>
      <w:r w:rsidRPr="006C17A0">
        <w:rPr>
          <w:i/>
          <w:iCs/>
          <w:color w:val="000000" w:themeColor="text1"/>
          <w:szCs w:val="18"/>
        </w:rPr>
        <w:t xml:space="preserve"> </w:t>
      </w:r>
      <w:r w:rsidR="00B97C94" w:rsidRPr="006C17A0">
        <w:rPr>
          <w:i/>
          <w:iCs/>
          <w:color w:val="000000" w:themeColor="text1"/>
          <w:szCs w:val="18"/>
        </w:rPr>
        <w:t>A</w:t>
      </w:r>
      <w:r w:rsidRPr="006C17A0">
        <w:rPr>
          <w:i/>
          <w:iCs/>
          <w:color w:val="000000" w:themeColor="text1"/>
          <w:szCs w:val="18"/>
        </w:rPr>
        <w:t xml:space="preserve"> </w:t>
      </w:r>
      <w:r w:rsidR="00B97C94" w:rsidRPr="006C17A0">
        <w:rPr>
          <w:i/>
          <w:iCs/>
          <w:color w:val="000000" w:themeColor="text1"/>
          <w:szCs w:val="18"/>
        </w:rPr>
        <w:t>S</w:t>
      </w:r>
      <w:r w:rsidRPr="006C17A0">
        <w:rPr>
          <w:i/>
          <w:iCs/>
          <w:color w:val="000000" w:themeColor="text1"/>
          <w:szCs w:val="18"/>
        </w:rPr>
        <w:t>napshot</w:t>
      </w:r>
      <w:r w:rsidR="00B97C94" w:rsidRPr="006C17A0">
        <w:rPr>
          <w:color w:val="000000" w:themeColor="text1"/>
          <w:szCs w:val="18"/>
        </w:rPr>
        <w:t xml:space="preserve"> (Report, October 2022). </w:t>
      </w:r>
      <w:r w:rsidRPr="006C17A0">
        <w:rPr>
          <w:color w:val="000000" w:themeColor="text1"/>
          <w:szCs w:val="18"/>
        </w:rPr>
        <w:t xml:space="preserve"> </w:t>
      </w:r>
    </w:p>
  </w:footnote>
  <w:footnote w:id="20">
    <w:p w14:paraId="031F5F34" w14:textId="77777777" w:rsidR="005438FC" w:rsidRPr="006C17A0" w:rsidRDefault="005438FC" w:rsidP="005438FC">
      <w:pPr>
        <w:autoSpaceDE w:val="0"/>
        <w:autoSpaceDN w:val="0"/>
        <w:adjustRightInd w:val="0"/>
        <w:rPr>
          <w:rFonts w:ascii="Avenir Book" w:hAnsi="Avenir Book"/>
          <w:color w:val="000000" w:themeColor="text1"/>
          <w:sz w:val="18"/>
          <w:szCs w:val="18"/>
          <w:lang w:val="en-GB"/>
        </w:rPr>
      </w:pPr>
      <w:r w:rsidRPr="006C17A0">
        <w:rPr>
          <w:rStyle w:val="FootnoteReference"/>
          <w:rFonts w:ascii="Avenir Book" w:hAnsi="Avenir Book"/>
          <w:color w:val="000000" w:themeColor="text1"/>
          <w:sz w:val="18"/>
          <w:szCs w:val="18"/>
        </w:rPr>
        <w:footnoteRef/>
      </w:r>
      <w:r w:rsidRPr="006C17A0">
        <w:rPr>
          <w:rFonts w:ascii="Avenir Book" w:hAnsi="Avenir Book"/>
          <w:color w:val="000000" w:themeColor="text1"/>
          <w:sz w:val="18"/>
          <w:szCs w:val="18"/>
        </w:rPr>
        <w:t xml:space="preserve"> </w:t>
      </w:r>
      <w:r w:rsidRPr="006C17A0">
        <w:rPr>
          <w:rFonts w:ascii="Avenir Book" w:hAnsi="Avenir Book"/>
          <w:color w:val="000000" w:themeColor="text1"/>
          <w:sz w:val="18"/>
          <w:szCs w:val="18"/>
          <w:lang w:val="en-GB"/>
        </w:rPr>
        <w:t xml:space="preserve">Mark Short, Alison Preston and David </w:t>
      </w:r>
      <w:proofErr w:type="spellStart"/>
      <w:r w:rsidRPr="006C17A0">
        <w:rPr>
          <w:rFonts w:ascii="Avenir Book" w:hAnsi="Avenir Book"/>
          <w:color w:val="000000" w:themeColor="text1"/>
          <w:sz w:val="18"/>
          <w:szCs w:val="18"/>
          <w:lang w:val="en-GB"/>
        </w:rPr>
        <w:t>Peetz</w:t>
      </w:r>
      <w:proofErr w:type="spellEnd"/>
      <w:r w:rsidRPr="006C17A0">
        <w:rPr>
          <w:rFonts w:ascii="Avenir Book" w:hAnsi="Avenir Book"/>
          <w:color w:val="000000" w:themeColor="text1"/>
          <w:sz w:val="18"/>
          <w:szCs w:val="18"/>
          <w:lang w:val="en-GB"/>
        </w:rPr>
        <w:t xml:space="preserve">, </w:t>
      </w:r>
      <w:r w:rsidRPr="006C17A0">
        <w:rPr>
          <w:rFonts w:ascii="Avenir Book" w:hAnsi="Avenir Book"/>
          <w:i/>
          <w:iCs/>
          <w:color w:val="000000" w:themeColor="text1"/>
          <w:sz w:val="18"/>
          <w:szCs w:val="18"/>
          <w:lang w:val="en-GB"/>
        </w:rPr>
        <w:t xml:space="preserve">The </w:t>
      </w:r>
      <w:proofErr w:type="gramStart"/>
      <w:r w:rsidRPr="006C17A0">
        <w:rPr>
          <w:rFonts w:ascii="Avenir Book" w:hAnsi="Avenir Book"/>
          <w:i/>
          <w:iCs/>
          <w:color w:val="000000" w:themeColor="text1"/>
          <w:sz w:val="18"/>
          <w:szCs w:val="18"/>
          <w:lang w:val="en-GB"/>
        </w:rPr>
        <w:t>Spread</w:t>
      </w:r>
      <w:proofErr w:type="gramEnd"/>
      <w:r w:rsidRPr="006C17A0">
        <w:rPr>
          <w:rFonts w:ascii="Avenir Book" w:hAnsi="Avenir Book"/>
          <w:i/>
          <w:iCs/>
          <w:color w:val="000000" w:themeColor="text1"/>
          <w:sz w:val="18"/>
          <w:szCs w:val="18"/>
          <w:lang w:val="en-GB"/>
        </w:rPr>
        <w:t xml:space="preserve"> and Impact of Workplace Bargaining: Evidence from the Workplace Bargaining Research Project </w:t>
      </w:r>
      <w:r w:rsidRPr="006C17A0">
        <w:rPr>
          <w:rFonts w:ascii="Avenir Book" w:hAnsi="Avenir Book"/>
          <w:color w:val="000000" w:themeColor="text1"/>
          <w:sz w:val="18"/>
          <w:szCs w:val="18"/>
          <w:lang w:val="en-GB"/>
        </w:rPr>
        <w:t>(1993) 4-6.</w:t>
      </w:r>
    </w:p>
  </w:footnote>
  <w:footnote w:id="21">
    <w:p w14:paraId="2FAFE979" w14:textId="64956DB7" w:rsidR="00692AFB" w:rsidRPr="006C17A0" w:rsidRDefault="00692AFB">
      <w:pPr>
        <w:pStyle w:val="FootnoteText"/>
        <w:rPr>
          <w:color w:val="000000" w:themeColor="text1"/>
          <w:szCs w:val="18"/>
        </w:rPr>
      </w:pPr>
      <w:r w:rsidRPr="006C17A0">
        <w:rPr>
          <w:rStyle w:val="FootnoteReference"/>
          <w:color w:val="000000" w:themeColor="text1"/>
          <w:szCs w:val="18"/>
        </w:rPr>
        <w:footnoteRef/>
      </w:r>
      <w:r w:rsidRPr="006C17A0">
        <w:rPr>
          <w:color w:val="000000" w:themeColor="text1"/>
          <w:szCs w:val="18"/>
        </w:rPr>
        <w:t xml:space="preserve"> </w:t>
      </w:r>
      <w:r w:rsidR="00C94DF6" w:rsidRPr="006C17A0">
        <w:rPr>
          <w:i/>
          <w:iCs/>
          <w:color w:val="000000" w:themeColor="text1"/>
          <w:szCs w:val="18"/>
          <w:lang w:val="en-GB"/>
        </w:rPr>
        <w:t>Commonwealth Conciliation and Arbitration Act 1904</w:t>
      </w:r>
      <w:r w:rsidR="00C94DF6" w:rsidRPr="006C17A0">
        <w:rPr>
          <w:color w:val="000000" w:themeColor="text1"/>
          <w:szCs w:val="18"/>
          <w:lang w:val="en-GB"/>
        </w:rPr>
        <w:t xml:space="preserve"> (</w:t>
      </w:r>
      <w:proofErr w:type="spellStart"/>
      <w:r w:rsidR="00C94DF6" w:rsidRPr="006C17A0">
        <w:rPr>
          <w:color w:val="000000" w:themeColor="text1"/>
          <w:szCs w:val="18"/>
          <w:lang w:val="en-GB"/>
        </w:rPr>
        <w:t>Cth</w:t>
      </w:r>
      <w:proofErr w:type="spellEnd"/>
      <w:r w:rsidR="00C94DF6" w:rsidRPr="006C17A0">
        <w:rPr>
          <w:color w:val="000000" w:themeColor="text1"/>
          <w:szCs w:val="18"/>
          <w:lang w:val="en-GB"/>
        </w:rPr>
        <w:t xml:space="preserve">) </w:t>
      </w:r>
      <w:r w:rsidR="00C94DF6" w:rsidRPr="006C17A0">
        <w:rPr>
          <w:color w:val="000000" w:themeColor="text1"/>
          <w:szCs w:val="18"/>
        </w:rPr>
        <w:t xml:space="preserve">ss 23, 24(1), 24(3). See, also, </w:t>
      </w:r>
      <w:r w:rsidR="00C94DF6" w:rsidRPr="006C17A0">
        <w:rPr>
          <w:rFonts w:eastAsiaTheme="minorHAnsi"/>
          <w:color w:val="000000" w:themeColor="text1"/>
          <w:szCs w:val="18"/>
          <w:lang w:val="en-GB"/>
        </w:rPr>
        <w:t xml:space="preserve">Breen Creighton, 'One Hundred Years of the Conciliation and Arbitration Power: A Province Lost?' (2000) 24(3) </w:t>
      </w:r>
      <w:r w:rsidR="00C94DF6" w:rsidRPr="006C17A0">
        <w:rPr>
          <w:rFonts w:eastAsiaTheme="minorHAnsi"/>
          <w:i/>
          <w:iCs/>
          <w:color w:val="000000" w:themeColor="text1"/>
          <w:szCs w:val="18"/>
          <w:lang w:val="en-GB"/>
        </w:rPr>
        <w:t>Melbourne University Law Review</w:t>
      </w:r>
      <w:r w:rsidR="00C94DF6" w:rsidRPr="006C17A0">
        <w:rPr>
          <w:rFonts w:eastAsiaTheme="minorHAnsi"/>
          <w:color w:val="000000" w:themeColor="text1"/>
          <w:szCs w:val="18"/>
          <w:lang w:val="en-GB"/>
        </w:rPr>
        <w:t xml:space="preserve"> 839; Tom Roberts ‘Sector- wide bargaining: problems and prospects in the Australian case’ </w:t>
      </w:r>
      <w:r w:rsidR="00C94DF6" w:rsidRPr="006C17A0">
        <w:rPr>
          <w:color w:val="000000" w:themeColor="text1"/>
          <w:szCs w:val="18"/>
        </w:rPr>
        <w:t xml:space="preserve">(2021) 3 (13) </w:t>
      </w:r>
      <w:r w:rsidR="00C94DF6" w:rsidRPr="006C17A0">
        <w:rPr>
          <w:i/>
          <w:iCs/>
          <w:color w:val="000000" w:themeColor="text1"/>
          <w:szCs w:val="18"/>
        </w:rPr>
        <w:t xml:space="preserve">Labour &amp; Industry: </w:t>
      </w:r>
      <w:proofErr w:type="gramStart"/>
      <w:r w:rsidR="00C94DF6" w:rsidRPr="006C17A0">
        <w:rPr>
          <w:i/>
          <w:iCs/>
          <w:color w:val="000000" w:themeColor="text1"/>
          <w:szCs w:val="18"/>
        </w:rPr>
        <w:t>a</w:t>
      </w:r>
      <w:proofErr w:type="gramEnd"/>
      <w:r w:rsidR="00C94DF6" w:rsidRPr="006C17A0">
        <w:rPr>
          <w:i/>
          <w:iCs/>
          <w:color w:val="000000" w:themeColor="text1"/>
          <w:szCs w:val="18"/>
        </w:rPr>
        <w:t xml:space="preserve"> Journal of the Social and Economic Relations of Work</w:t>
      </w:r>
      <w:r w:rsidR="00C94DF6" w:rsidRPr="006C17A0">
        <w:rPr>
          <w:color w:val="000000" w:themeColor="text1"/>
          <w:szCs w:val="18"/>
        </w:rPr>
        <w:t xml:space="preserve"> 217.</w:t>
      </w:r>
    </w:p>
  </w:footnote>
  <w:footnote w:id="22">
    <w:p w14:paraId="12AF428B" w14:textId="173EF758" w:rsidR="00D246E3" w:rsidRPr="006C17A0" w:rsidRDefault="00D246E3">
      <w:pPr>
        <w:pStyle w:val="FootnoteText"/>
        <w:rPr>
          <w:color w:val="000000" w:themeColor="text1"/>
          <w:szCs w:val="18"/>
        </w:rPr>
      </w:pPr>
      <w:r w:rsidRPr="006C17A0">
        <w:rPr>
          <w:rStyle w:val="FootnoteReference"/>
          <w:color w:val="000000" w:themeColor="text1"/>
          <w:szCs w:val="18"/>
        </w:rPr>
        <w:footnoteRef/>
      </w:r>
      <w:r w:rsidRPr="006C17A0">
        <w:rPr>
          <w:color w:val="000000" w:themeColor="text1"/>
          <w:szCs w:val="18"/>
        </w:rPr>
        <w:t xml:space="preserve"> </w:t>
      </w:r>
      <w:r w:rsidR="0038233A" w:rsidRPr="006C17A0">
        <w:rPr>
          <w:i/>
          <w:iCs/>
          <w:color w:val="000000" w:themeColor="text1"/>
          <w:szCs w:val="18"/>
          <w:shd w:val="clear" w:color="auto" w:fill="FFFFFF"/>
        </w:rPr>
        <w:t>Interim Report</w:t>
      </w:r>
      <w:r w:rsidR="0038233A" w:rsidRPr="006C17A0">
        <w:rPr>
          <w:color w:val="000000" w:themeColor="text1"/>
          <w:szCs w:val="18"/>
        </w:rPr>
        <w:t xml:space="preserve"> (n 2) 54.</w:t>
      </w:r>
    </w:p>
  </w:footnote>
  <w:footnote w:id="23">
    <w:p w14:paraId="22A06A87" w14:textId="2BFF347E" w:rsidR="00261660" w:rsidRPr="006C17A0" w:rsidRDefault="00261660">
      <w:pPr>
        <w:pStyle w:val="FootnoteText"/>
        <w:rPr>
          <w:color w:val="000000" w:themeColor="text1"/>
          <w:szCs w:val="18"/>
        </w:rPr>
      </w:pPr>
      <w:r w:rsidRPr="006C17A0">
        <w:rPr>
          <w:rStyle w:val="FootnoteReference"/>
          <w:color w:val="000000" w:themeColor="text1"/>
          <w:szCs w:val="18"/>
        </w:rPr>
        <w:footnoteRef/>
      </w:r>
      <w:r w:rsidRPr="006C17A0">
        <w:rPr>
          <w:color w:val="000000" w:themeColor="text1"/>
          <w:szCs w:val="18"/>
        </w:rPr>
        <w:t xml:space="preserve"> </w:t>
      </w:r>
      <w:r w:rsidR="009D6EEA" w:rsidRPr="006C17A0">
        <w:rPr>
          <w:color w:val="000000" w:themeColor="text1"/>
          <w:szCs w:val="18"/>
        </w:rPr>
        <w:t xml:space="preserve">International Labour </w:t>
      </w:r>
      <w:r w:rsidR="00C23996" w:rsidRPr="006C17A0">
        <w:rPr>
          <w:color w:val="000000" w:themeColor="text1"/>
          <w:szCs w:val="18"/>
        </w:rPr>
        <w:t>Office</w:t>
      </w:r>
      <w:r w:rsidR="009D6EEA" w:rsidRPr="006C17A0">
        <w:rPr>
          <w:color w:val="000000" w:themeColor="text1"/>
          <w:szCs w:val="18"/>
        </w:rPr>
        <w:t xml:space="preserve">, </w:t>
      </w:r>
      <w:r w:rsidR="00015E3C" w:rsidRPr="006C17A0">
        <w:rPr>
          <w:i/>
          <w:iCs/>
          <w:color w:val="000000" w:themeColor="text1"/>
          <w:szCs w:val="18"/>
        </w:rPr>
        <w:t>Labour Relations and Collective Bargaining</w:t>
      </w:r>
      <w:r w:rsidR="00015E3C" w:rsidRPr="006C17A0">
        <w:rPr>
          <w:color w:val="000000" w:themeColor="text1"/>
          <w:szCs w:val="18"/>
        </w:rPr>
        <w:t xml:space="preserve"> (</w:t>
      </w:r>
      <w:r w:rsidRPr="006C17A0">
        <w:rPr>
          <w:color w:val="000000" w:themeColor="text1"/>
          <w:szCs w:val="18"/>
        </w:rPr>
        <w:t xml:space="preserve">Issue </w:t>
      </w:r>
      <w:r w:rsidR="00C23996" w:rsidRPr="006C17A0">
        <w:rPr>
          <w:color w:val="000000" w:themeColor="text1"/>
          <w:szCs w:val="18"/>
        </w:rPr>
        <w:t>Brief, No 1</w:t>
      </w:r>
      <w:r w:rsidR="00015E3C" w:rsidRPr="006C17A0">
        <w:rPr>
          <w:color w:val="000000" w:themeColor="text1"/>
          <w:szCs w:val="18"/>
        </w:rPr>
        <w:t xml:space="preserve">, </w:t>
      </w:r>
      <w:r w:rsidR="00C23996" w:rsidRPr="006C17A0">
        <w:rPr>
          <w:color w:val="000000" w:themeColor="text1"/>
          <w:szCs w:val="18"/>
        </w:rPr>
        <w:t>February</w:t>
      </w:r>
      <w:r w:rsidR="00015E3C" w:rsidRPr="006C17A0">
        <w:rPr>
          <w:color w:val="000000" w:themeColor="text1"/>
          <w:szCs w:val="18"/>
        </w:rPr>
        <w:t xml:space="preserve"> 2017). </w:t>
      </w:r>
    </w:p>
  </w:footnote>
  <w:footnote w:id="24">
    <w:p w14:paraId="2E6869BC" w14:textId="4E8E60BC" w:rsidR="009F00B9" w:rsidRPr="006C17A0" w:rsidRDefault="009F00B9">
      <w:pPr>
        <w:pStyle w:val="FootnoteText"/>
        <w:rPr>
          <w:color w:val="000000" w:themeColor="text1"/>
          <w:szCs w:val="18"/>
        </w:rPr>
      </w:pPr>
      <w:r w:rsidRPr="006C17A0">
        <w:rPr>
          <w:rStyle w:val="FootnoteReference"/>
          <w:color w:val="000000" w:themeColor="text1"/>
          <w:szCs w:val="18"/>
        </w:rPr>
        <w:footnoteRef/>
      </w:r>
      <w:r w:rsidRPr="006C17A0">
        <w:rPr>
          <w:color w:val="000000" w:themeColor="text1"/>
          <w:szCs w:val="18"/>
        </w:rPr>
        <w:t xml:space="preserve"> Ibid. </w:t>
      </w:r>
    </w:p>
  </w:footnote>
  <w:footnote w:id="25">
    <w:p w14:paraId="1317B812" w14:textId="418248A9" w:rsidR="00AE4C21" w:rsidRPr="006C17A0" w:rsidRDefault="00AE4C21">
      <w:pPr>
        <w:pStyle w:val="FootnoteText"/>
        <w:rPr>
          <w:color w:val="000000" w:themeColor="text1"/>
          <w:szCs w:val="18"/>
        </w:rPr>
      </w:pPr>
      <w:r w:rsidRPr="006C17A0">
        <w:rPr>
          <w:rStyle w:val="FootnoteReference"/>
          <w:color w:val="000000" w:themeColor="text1"/>
          <w:szCs w:val="18"/>
        </w:rPr>
        <w:footnoteRef/>
      </w:r>
      <w:r w:rsidRPr="006C17A0">
        <w:rPr>
          <w:color w:val="000000" w:themeColor="text1"/>
          <w:szCs w:val="18"/>
        </w:rPr>
        <w:t xml:space="preserve"> </w:t>
      </w:r>
      <w:r w:rsidR="009F00B9" w:rsidRPr="006C17A0">
        <w:rPr>
          <w:i/>
          <w:iCs/>
          <w:color w:val="000000" w:themeColor="text1"/>
          <w:szCs w:val="18"/>
        </w:rPr>
        <w:t>FWA</w:t>
      </w:r>
      <w:r w:rsidR="009F00B9" w:rsidRPr="006C17A0">
        <w:rPr>
          <w:color w:val="000000" w:themeColor="text1"/>
          <w:szCs w:val="18"/>
        </w:rPr>
        <w:t xml:space="preserve"> ( n 4) s</w:t>
      </w:r>
      <w:r w:rsidRPr="006C17A0">
        <w:rPr>
          <w:color w:val="000000" w:themeColor="text1"/>
          <w:szCs w:val="18"/>
        </w:rPr>
        <w:t xml:space="preserve"> 172(3)</w:t>
      </w:r>
      <w:r w:rsidR="009F00B9" w:rsidRPr="006C17A0">
        <w:rPr>
          <w:color w:val="000000" w:themeColor="text1"/>
          <w:szCs w:val="18"/>
        </w:rPr>
        <w:t>.</w:t>
      </w:r>
    </w:p>
  </w:footnote>
  <w:footnote w:id="26">
    <w:p w14:paraId="645118F4" w14:textId="0AA01337" w:rsidR="00AE4C21" w:rsidRPr="006C17A0" w:rsidRDefault="00AE4C21">
      <w:pPr>
        <w:pStyle w:val="FootnoteText"/>
        <w:rPr>
          <w:color w:val="000000" w:themeColor="text1"/>
          <w:szCs w:val="18"/>
        </w:rPr>
      </w:pPr>
      <w:r w:rsidRPr="006C17A0">
        <w:rPr>
          <w:rStyle w:val="FootnoteReference"/>
          <w:color w:val="000000" w:themeColor="text1"/>
          <w:szCs w:val="18"/>
        </w:rPr>
        <w:footnoteRef/>
      </w:r>
      <w:r w:rsidRPr="006C17A0">
        <w:rPr>
          <w:color w:val="000000" w:themeColor="text1"/>
          <w:szCs w:val="18"/>
        </w:rPr>
        <w:t xml:space="preserve"> </w:t>
      </w:r>
      <w:r w:rsidR="009F00B9" w:rsidRPr="006C17A0">
        <w:rPr>
          <w:color w:val="000000" w:themeColor="text1"/>
          <w:szCs w:val="18"/>
        </w:rPr>
        <w:t xml:space="preserve">Ibid </w:t>
      </w:r>
      <w:proofErr w:type="spellStart"/>
      <w:r w:rsidRPr="006C17A0">
        <w:rPr>
          <w:color w:val="000000" w:themeColor="text1"/>
          <w:szCs w:val="18"/>
          <w:lang w:val="en-GB"/>
        </w:rPr>
        <w:t>p</w:t>
      </w:r>
      <w:r w:rsidR="009F00B9" w:rsidRPr="006C17A0">
        <w:rPr>
          <w:color w:val="000000" w:themeColor="text1"/>
          <w:szCs w:val="18"/>
          <w:lang w:val="en-GB"/>
        </w:rPr>
        <w:t>t</w:t>
      </w:r>
      <w:proofErr w:type="spellEnd"/>
      <w:r w:rsidRPr="006C17A0">
        <w:rPr>
          <w:color w:val="000000" w:themeColor="text1"/>
          <w:szCs w:val="18"/>
          <w:lang w:val="en-GB"/>
        </w:rPr>
        <w:t xml:space="preserve"> 2-4, div 9</w:t>
      </w:r>
      <w:r w:rsidR="009F00B9" w:rsidRPr="006C17A0">
        <w:rPr>
          <w:color w:val="000000" w:themeColor="text1"/>
          <w:szCs w:val="18"/>
          <w:lang w:val="en-GB"/>
        </w:rPr>
        <w:t>.</w:t>
      </w:r>
    </w:p>
  </w:footnote>
  <w:footnote w:id="27">
    <w:p w14:paraId="2654E671" w14:textId="13CCF74E" w:rsidR="0056146E" w:rsidRPr="006C17A0" w:rsidRDefault="0056146E">
      <w:pPr>
        <w:pStyle w:val="FootnoteText"/>
        <w:rPr>
          <w:color w:val="000000" w:themeColor="text1"/>
          <w:szCs w:val="18"/>
        </w:rPr>
      </w:pPr>
      <w:r w:rsidRPr="006C17A0">
        <w:rPr>
          <w:rStyle w:val="FootnoteReference"/>
          <w:color w:val="000000" w:themeColor="text1"/>
          <w:szCs w:val="18"/>
        </w:rPr>
        <w:footnoteRef/>
      </w:r>
      <w:r w:rsidRPr="006C17A0">
        <w:rPr>
          <w:color w:val="000000" w:themeColor="text1"/>
          <w:szCs w:val="18"/>
        </w:rPr>
        <w:t xml:space="preserve"> </w:t>
      </w:r>
      <w:proofErr w:type="spellStart"/>
      <w:r w:rsidR="000D2D00" w:rsidRPr="006C17A0">
        <w:rPr>
          <w:color w:val="000000" w:themeColor="text1"/>
          <w:szCs w:val="18"/>
        </w:rPr>
        <w:t>Ibd</w:t>
      </w:r>
      <w:proofErr w:type="spellEnd"/>
      <w:r w:rsidR="000D2D00" w:rsidRPr="006C17A0">
        <w:rPr>
          <w:color w:val="000000" w:themeColor="text1"/>
          <w:szCs w:val="18"/>
        </w:rPr>
        <w:t xml:space="preserve"> </w:t>
      </w:r>
      <w:r w:rsidR="006F46D1" w:rsidRPr="006C17A0">
        <w:rPr>
          <w:color w:val="000000" w:themeColor="text1"/>
          <w:szCs w:val="18"/>
        </w:rPr>
        <w:t xml:space="preserve">ss </w:t>
      </w:r>
      <w:r w:rsidR="000D2D00" w:rsidRPr="006C17A0">
        <w:rPr>
          <w:color w:val="000000" w:themeColor="text1"/>
          <w:szCs w:val="18"/>
        </w:rPr>
        <w:t>2</w:t>
      </w:r>
      <w:r w:rsidR="006F46D1" w:rsidRPr="006C17A0">
        <w:rPr>
          <w:color w:val="000000" w:themeColor="text1"/>
          <w:szCs w:val="18"/>
        </w:rPr>
        <w:t xml:space="preserve">48-252. </w:t>
      </w:r>
      <w:r w:rsidRPr="006C17A0">
        <w:rPr>
          <w:color w:val="000000" w:themeColor="text1"/>
          <w:szCs w:val="18"/>
        </w:rPr>
        <w:t xml:space="preserve"> </w:t>
      </w:r>
    </w:p>
  </w:footnote>
  <w:footnote w:id="28">
    <w:p w14:paraId="6DF161CF" w14:textId="77777777" w:rsidR="005438FC" w:rsidRPr="006C17A0" w:rsidRDefault="005438FC" w:rsidP="005438FC">
      <w:pPr>
        <w:pStyle w:val="FootnoteText"/>
        <w:rPr>
          <w:color w:val="000000" w:themeColor="text1"/>
          <w:szCs w:val="18"/>
        </w:rPr>
      </w:pPr>
      <w:r w:rsidRPr="006C17A0">
        <w:rPr>
          <w:rStyle w:val="FootnoteReference"/>
          <w:color w:val="000000" w:themeColor="text1"/>
          <w:szCs w:val="18"/>
        </w:rPr>
        <w:footnoteRef/>
      </w:r>
      <w:r w:rsidRPr="006C17A0">
        <w:rPr>
          <w:color w:val="000000" w:themeColor="text1"/>
          <w:szCs w:val="18"/>
        </w:rPr>
        <w:t xml:space="preserve"> </w:t>
      </w:r>
      <w:r w:rsidRPr="006C17A0">
        <w:rPr>
          <w:rStyle w:val="Strong"/>
          <w:b w:val="0"/>
          <w:bCs w:val="0"/>
          <w:i/>
          <w:iCs/>
          <w:color w:val="000000" w:themeColor="text1"/>
          <w:szCs w:val="18"/>
        </w:rPr>
        <w:t>Workplace Relations Amendment (Work Choices) Act 2005</w:t>
      </w:r>
      <w:r w:rsidRPr="006C17A0">
        <w:rPr>
          <w:rStyle w:val="Strong"/>
          <w:b w:val="0"/>
          <w:bCs w:val="0"/>
          <w:color w:val="000000" w:themeColor="text1"/>
          <w:szCs w:val="18"/>
        </w:rPr>
        <w:t xml:space="preserve"> (</w:t>
      </w:r>
      <w:proofErr w:type="spellStart"/>
      <w:r w:rsidRPr="006C17A0">
        <w:rPr>
          <w:rStyle w:val="Strong"/>
          <w:b w:val="0"/>
          <w:bCs w:val="0"/>
          <w:color w:val="000000" w:themeColor="text1"/>
          <w:szCs w:val="18"/>
        </w:rPr>
        <w:t>Cth</w:t>
      </w:r>
      <w:proofErr w:type="spellEnd"/>
      <w:r w:rsidRPr="006C17A0">
        <w:rPr>
          <w:rStyle w:val="Strong"/>
          <w:b w:val="0"/>
          <w:bCs w:val="0"/>
          <w:color w:val="000000" w:themeColor="text1"/>
          <w:szCs w:val="18"/>
        </w:rPr>
        <w:t>)  ss 96E-96F.</w:t>
      </w:r>
    </w:p>
  </w:footnote>
  <w:footnote w:id="29">
    <w:p w14:paraId="62FA5063" w14:textId="2EE496EE" w:rsidR="00286210" w:rsidRDefault="00286210">
      <w:pPr>
        <w:pStyle w:val="FootnoteText"/>
      </w:pPr>
      <w:r>
        <w:rPr>
          <w:rStyle w:val="FootnoteReference"/>
        </w:rPr>
        <w:footnoteRef/>
      </w:r>
      <w:r>
        <w:t xml:space="preserve"> </w:t>
      </w:r>
      <w:r w:rsidR="00B54732" w:rsidRPr="006C17A0">
        <w:rPr>
          <w:rStyle w:val="normaltextrun"/>
          <w:color w:val="000000" w:themeColor="text1"/>
          <w:szCs w:val="18"/>
          <w:shd w:val="clear" w:color="auto" w:fill="FFFFFF"/>
        </w:rPr>
        <w:t xml:space="preserve">Attorney-General’s Department, </w:t>
      </w:r>
      <w:r w:rsidR="00B54732" w:rsidRPr="006C17A0">
        <w:rPr>
          <w:rStyle w:val="findhit"/>
          <w:i/>
          <w:iCs/>
          <w:color w:val="000000" w:themeColor="text1"/>
          <w:szCs w:val="18"/>
          <w:shd w:val="clear" w:color="auto" w:fill="FFFFFF"/>
        </w:rPr>
        <w:t>Trends</w:t>
      </w:r>
      <w:r w:rsidR="00B54732" w:rsidRPr="006C17A0">
        <w:rPr>
          <w:rStyle w:val="normaltextrun"/>
          <w:i/>
          <w:iCs/>
          <w:color w:val="000000" w:themeColor="text1"/>
          <w:szCs w:val="18"/>
          <w:shd w:val="clear" w:color="auto" w:fill="FFFFFF"/>
        </w:rPr>
        <w:t xml:space="preserve"> in Federal Enterprise Bargaining</w:t>
      </w:r>
      <w:r w:rsidR="00B54732" w:rsidRPr="006C17A0">
        <w:rPr>
          <w:rStyle w:val="normaltextrun"/>
          <w:color w:val="000000" w:themeColor="text1"/>
          <w:szCs w:val="18"/>
          <w:shd w:val="clear" w:color="auto" w:fill="FFFFFF"/>
        </w:rPr>
        <w:t xml:space="preserve"> (Report, June 2022).</w:t>
      </w:r>
      <w:r w:rsidR="00B54732" w:rsidRPr="006C17A0">
        <w:rPr>
          <w:rStyle w:val="eop"/>
          <w:color w:val="000000" w:themeColor="text1"/>
          <w:szCs w:val="18"/>
          <w:shd w:val="clear" w:color="auto" w:fill="FFFFFF"/>
        </w:rPr>
        <w:t> </w:t>
      </w:r>
    </w:p>
  </w:footnote>
  <w:footnote w:id="30">
    <w:p w14:paraId="604236A3" w14:textId="42E0E76B" w:rsidR="005438FC" w:rsidRPr="006C17A0" w:rsidRDefault="005438FC" w:rsidP="005438FC">
      <w:pPr>
        <w:pStyle w:val="FootnoteText"/>
        <w:rPr>
          <w:color w:val="000000" w:themeColor="text1"/>
          <w:szCs w:val="18"/>
        </w:rPr>
      </w:pPr>
      <w:r w:rsidRPr="006C17A0">
        <w:rPr>
          <w:rStyle w:val="FootnoteReference"/>
          <w:color w:val="000000" w:themeColor="text1"/>
          <w:szCs w:val="18"/>
        </w:rPr>
        <w:footnoteRef/>
      </w:r>
      <w:r w:rsidRPr="006C17A0">
        <w:rPr>
          <w:color w:val="000000" w:themeColor="text1"/>
          <w:szCs w:val="18"/>
        </w:rPr>
        <w:t xml:space="preserve"> </w:t>
      </w:r>
      <w:r w:rsidR="006F46D1" w:rsidRPr="006C17A0">
        <w:rPr>
          <w:i/>
          <w:iCs/>
          <w:color w:val="000000" w:themeColor="text1"/>
          <w:szCs w:val="18"/>
        </w:rPr>
        <w:t>FWA</w:t>
      </w:r>
      <w:r w:rsidR="006F46D1" w:rsidRPr="006C17A0">
        <w:rPr>
          <w:color w:val="000000" w:themeColor="text1"/>
          <w:szCs w:val="18"/>
        </w:rPr>
        <w:t xml:space="preserve"> (n 4) s </w:t>
      </w:r>
      <w:r w:rsidRPr="006C17A0">
        <w:rPr>
          <w:color w:val="000000" w:themeColor="text1"/>
          <w:szCs w:val="18"/>
        </w:rPr>
        <w:t>228</w:t>
      </w:r>
      <w:r w:rsidR="006F46D1" w:rsidRPr="006C17A0">
        <w:rPr>
          <w:color w:val="000000" w:themeColor="text1"/>
          <w:szCs w:val="18"/>
        </w:rPr>
        <w:t>.</w:t>
      </w:r>
    </w:p>
  </w:footnote>
  <w:footnote w:id="31">
    <w:p w14:paraId="45B88961" w14:textId="2CDEC7EE" w:rsidR="00AB22C5" w:rsidRPr="006C17A0" w:rsidRDefault="00AB22C5">
      <w:pPr>
        <w:pStyle w:val="FootnoteText"/>
        <w:rPr>
          <w:color w:val="000000" w:themeColor="text1"/>
          <w:szCs w:val="18"/>
        </w:rPr>
      </w:pPr>
      <w:r w:rsidRPr="006C17A0">
        <w:rPr>
          <w:rStyle w:val="FootnoteReference"/>
          <w:color w:val="000000" w:themeColor="text1"/>
          <w:szCs w:val="18"/>
        </w:rPr>
        <w:footnoteRef/>
      </w:r>
      <w:r w:rsidRPr="006C17A0">
        <w:rPr>
          <w:color w:val="000000" w:themeColor="text1"/>
          <w:szCs w:val="18"/>
        </w:rPr>
        <w:t xml:space="preserve"> </w:t>
      </w:r>
      <w:r w:rsidR="006F46D1" w:rsidRPr="006C17A0">
        <w:rPr>
          <w:color w:val="000000" w:themeColor="text1"/>
          <w:szCs w:val="18"/>
        </w:rPr>
        <w:t>ibid s</w:t>
      </w:r>
      <w:r w:rsidRPr="006C17A0">
        <w:rPr>
          <w:color w:val="000000" w:themeColor="text1"/>
          <w:szCs w:val="18"/>
        </w:rPr>
        <w:t xml:space="preserve"> 231(3).</w:t>
      </w:r>
    </w:p>
  </w:footnote>
  <w:footnote w:id="32">
    <w:p w14:paraId="0B99C580" w14:textId="77777777" w:rsidR="00EE18D5" w:rsidRPr="006C17A0" w:rsidRDefault="00EE18D5" w:rsidP="00EE18D5">
      <w:pPr>
        <w:pStyle w:val="FootnoteText"/>
        <w:rPr>
          <w:color w:val="000000" w:themeColor="text1"/>
          <w:szCs w:val="18"/>
        </w:rPr>
      </w:pPr>
      <w:r w:rsidRPr="006C17A0">
        <w:rPr>
          <w:rStyle w:val="FootnoteReference"/>
          <w:color w:val="000000" w:themeColor="text1"/>
          <w:szCs w:val="18"/>
        </w:rPr>
        <w:footnoteRef/>
      </w:r>
      <w:r w:rsidRPr="006C17A0">
        <w:rPr>
          <w:color w:val="000000" w:themeColor="text1"/>
          <w:szCs w:val="18"/>
        </w:rPr>
        <w:t xml:space="preserve"> Ibid s 413(2). </w:t>
      </w:r>
    </w:p>
  </w:footnote>
  <w:footnote w:id="33">
    <w:p w14:paraId="1267CF7D" w14:textId="6FEAB2E6" w:rsidR="00EB3FF1" w:rsidRPr="006C17A0" w:rsidRDefault="00EB3FF1" w:rsidP="00EB3FF1">
      <w:pPr>
        <w:pStyle w:val="FootnoteText"/>
        <w:rPr>
          <w:color w:val="000000" w:themeColor="text1"/>
          <w:szCs w:val="18"/>
        </w:rPr>
      </w:pPr>
      <w:r w:rsidRPr="006C17A0">
        <w:rPr>
          <w:rStyle w:val="FootnoteReference"/>
          <w:color w:val="000000" w:themeColor="text1"/>
          <w:szCs w:val="18"/>
        </w:rPr>
        <w:footnoteRef/>
      </w:r>
      <w:r w:rsidRPr="006C17A0">
        <w:rPr>
          <w:color w:val="000000" w:themeColor="text1"/>
          <w:szCs w:val="18"/>
        </w:rPr>
        <w:t xml:space="preserve"> </w:t>
      </w:r>
      <w:r w:rsidR="006F46D1" w:rsidRPr="006C17A0">
        <w:rPr>
          <w:color w:val="000000" w:themeColor="text1"/>
          <w:szCs w:val="18"/>
          <w:lang w:val="en-GB"/>
        </w:rPr>
        <w:t>E</w:t>
      </w:r>
      <w:r w:rsidRPr="006C17A0">
        <w:rPr>
          <w:color w:val="000000" w:themeColor="text1"/>
          <w:szCs w:val="18"/>
          <w:lang w:val="en-GB"/>
        </w:rPr>
        <w:t xml:space="preserve">xplanatory </w:t>
      </w:r>
      <w:r w:rsidR="006F46D1" w:rsidRPr="006C17A0">
        <w:rPr>
          <w:color w:val="000000" w:themeColor="text1"/>
          <w:szCs w:val="18"/>
          <w:lang w:val="en-GB"/>
        </w:rPr>
        <w:t>M</w:t>
      </w:r>
      <w:r w:rsidRPr="006C17A0">
        <w:rPr>
          <w:color w:val="000000" w:themeColor="text1"/>
          <w:szCs w:val="18"/>
          <w:lang w:val="en-GB"/>
        </w:rPr>
        <w:t>emorandum, Fair Work Bill 2008 (</w:t>
      </w:r>
      <w:proofErr w:type="spellStart"/>
      <w:r w:rsidRPr="006C17A0">
        <w:rPr>
          <w:color w:val="000000" w:themeColor="text1"/>
          <w:szCs w:val="18"/>
          <w:lang w:val="en-GB"/>
        </w:rPr>
        <w:t>Cth</w:t>
      </w:r>
      <w:proofErr w:type="spellEnd"/>
      <w:r w:rsidRPr="006C17A0">
        <w:rPr>
          <w:color w:val="000000" w:themeColor="text1"/>
          <w:szCs w:val="18"/>
          <w:lang w:val="en-GB"/>
        </w:rPr>
        <w:t xml:space="preserve">) </w:t>
      </w:r>
      <w:r w:rsidRPr="006C17A0">
        <w:rPr>
          <w:color w:val="000000" w:themeColor="text1"/>
          <w:szCs w:val="18"/>
        </w:rPr>
        <w:t>[170].</w:t>
      </w:r>
    </w:p>
  </w:footnote>
  <w:footnote w:id="34">
    <w:p w14:paraId="08C77D2B" w14:textId="046F984B" w:rsidR="00D83333" w:rsidRPr="006C17A0" w:rsidRDefault="00D83333" w:rsidP="00D83333">
      <w:pPr>
        <w:pStyle w:val="FootnoteText"/>
        <w:rPr>
          <w:color w:val="000000" w:themeColor="text1"/>
          <w:szCs w:val="18"/>
        </w:rPr>
      </w:pPr>
      <w:r w:rsidRPr="006C17A0">
        <w:rPr>
          <w:rStyle w:val="FootnoteReference"/>
          <w:color w:val="000000" w:themeColor="text1"/>
          <w:szCs w:val="18"/>
        </w:rPr>
        <w:footnoteRef/>
      </w:r>
      <w:r w:rsidRPr="006C17A0">
        <w:rPr>
          <w:color w:val="000000" w:themeColor="text1"/>
          <w:szCs w:val="18"/>
        </w:rPr>
        <w:t xml:space="preserve"> Ibid</w:t>
      </w:r>
      <w:r w:rsidR="006F46D1" w:rsidRPr="006C17A0">
        <w:rPr>
          <w:color w:val="000000" w:themeColor="text1"/>
          <w:szCs w:val="18"/>
        </w:rPr>
        <w:t>.</w:t>
      </w:r>
    </w:p>
  </w:footnote>
  <w:footnote w:id="35">
    <w:p w14:paraId="085E8E5A" w14:textId="77777777" w:rsidR="005438FC" w:rsidRPr="006C17A0" w:rsidRDefault="005438FC" w:rsidP="005438FC">
      <w:pPr>
        <w:pStyle w:val="FootnoteText"/>
        <w:rPr>
          <w:color w:val="000000" w:themeColor="text1"/>
          <w:szCs w:val="18"/>
        </w:rPr>
      </w:pPr>
      <w:r w:rsidRPr="006C17A0">
        <w:rPr>
          <w:rStyle w:val="FootnoteReference"/>
          <w:color w:val="000000" w:themeColor="text1"/>
          <w:szCs w:val="18"/>
        </w:rPr>
        <w:footnoteRef/>
      </w:r>
      <w:r w:rsidRPr="006C17A0">
        <w:rPr>
          <w:color w:val="000000" w:themeColor="text1"/>
          <w:szCs w:val="18"/>
        </w:rPr>
        <w:t xml:space="preserve"> The Senate standing Committee on Education Employment and Workplace Relations, Parliament of Australia, </w:t>
      </w:r>
      <w:r w:rsidRPr="006C17A0">
        <w:rPr>
          <w:i/>
          <w:iCs/>
          <w:color w:val="000000" w:themeColor="text1"/>
          <w:szCs w:val="18"/>
        </w:rPr>
        <w:t>Inquiry into the Fair Work Bill 2008</w:t>
      </w:r>
      <w:r w:rsidRPr="006C17A0">
        <w:rPr>
          <w:color w:val="000000" w:themeColor="text1"/>
          <w:szCs w:val="18"/>
        </w:rPr>
        <w:t xml:space="preserve"> </w:t>
      </w:r>
      <w:r w:rsidRPr="006C17A0">
        <w:rPr>
          <w:i/>
          <w:iCs/>
          <w:color w:val="000000" w:themeColor="text1"/>
          <w:szCs w:val="18"/>
        </w:rPr>
        <w:t>[provisions]</w:t>
      </w:r>
      <w:r w:rsidRPr="006C17A0">
        <w:rPr>
          <w:color w:val="000000" w:themeColor="text1"/>
          <w:szCs w:val="18"/>
        </w:rPr>
        <w:t xml:space="preserve"> (Report, February 2009) 146.</w:t>
      </w:r>
    </w:p>
  </w:footnote>
  <w:footnote w:id="36">
    <w:p w14:paraId="6C46945F" w14:textId="4FC90AD2" w:rsidR="00FF15CB" w:rsidRPr="006C17A0" w:rsidRDefault="00FF15CB">
      <w:pPr>
        <w:pStyle w:val="FootnoteText"/>
        <w:rPr>
          <w:color w:val="000000" w:themeColor="text1"/>
          <w:szCs w:val="18"/>
        </w:rPr>
      </w:pPr>
      <w:r w:rsidRPr="006C17A0">
        <w:rPr>
          <w:rStyle w:val="FootnoteReference"/>
          <w:color w:val="000000" w:themeColor="text1"/>
          <w:szCs w:val="18"/>
        </w:rPr>
        <w:footnoteRef/>
      </w:r>
      <w:r w:rsidRPr="006C17A0">
        <w:rPr>
          <w:color w:val="000000" w:themeColor="text1"/>
          <w:szCs w:val="18"/>
        </w:rPr>
        <w:t xml:space="preserve"> </w:t>
      </w:r>
      <w:r w:rsidR="00FA7E29" w:rsidRPr="006C17A0">
        <w:rPr>
          <w:i/>
          <w:iCs/>
          <w:color w:val="000000" w:themeColor="text1"/>
          <w:szCs w:val="18"/>
        </w:rPr>
        <w:t>FWA</w:t>
      </w:r>
      <w:r w:rsidR="00FA7E29" w:rsidRPr="006C17A0">
        <w:rPr>
          <w:color w:val="000000" w:themeColor="text1"/>
          <w:szCs w:val="18"/>
        </w:rPr>
        <w:t xml:space="preserve"> (n 4) </w:t>
      </w:r>
      <w:r w:rsidRPr="006C17A0">
        <w:rPr>
          <w:color w:val="000000" w:themeColor="text1"/>
          <w:szCs w:val="18"/>
        </w:rPr>
        <w:t>ss 246(1)-(2)</w:t>
      </w:r>
      <w:r w:rsidR="00FA7E29" w:rsidRPr="006C17A0">
        <w:rPr>
          <w:color w:val="000000" w:themeColor="text1"/>
          <w:szCs w:val="18"/>
        </w:rPr>
        <w:t>,</w:t>
      </w:r>
      <w:r w:rsidRPr="006C17A0">
        <w:rPr>
          <w:color w:val="000000" w:themeColor="text1"/>
          <w:szCs w:val="18"/>
        </w:rPr>
        <w:t xml:space="preserve"> </w:t>
      </w:r>
      <w:r w:rsidRPr="006C17A0">
        <w:rPr>
          <w:rFonts w:eastAsiaTheme="minorHAnsi"/>
          <w:color w:val="000000" w:themeColor="text1"/>
          <w:szCs w:val="18"/>
          <w:lang w:val="en-GB"/>
        </w:rPr>
        <w:t>595(3)</w:t>
      </w:r>
      <w:r w:rsidR="00FA7E29" w:rsidRPr="006C17A0">
        <w:rPr>
          <w:rFonts w:eastAsiaTheme="minorHAnsi"/>
          <w:color w:val="000000" w:themeColor="text1"/>
          <w:szCs w:val="18"/>
          <w:lang w:val="en-GB"/>
        </w:rPr>
        <w:t>.</w:t>
      </w:r>
    </w:p>
  </w:footnote>
  <w:footnote w:id="37">
    <w:p w14:paraId="46279990" w14:textId="77777777" w:rsidR="00FD71DF" w:rsidRPr="006C17A0" w:rsidRDefault="00FD71DF" w:rsidP="00FD71DF">
      <w:pPr>
        <w:pStyle w:val="NoSpacing"/>
        <w:rPr>
          <w:color w:val="000000" w:themeColor="text1"/>
          <w:sz w:val="18"/>
          <w:szCs w:val="18"/>
          <w:lang w:val="en-GB"/>
        </w:rPr>
      </w:pPr>
      <w:r w:rsidRPr="006C17A0">
        <w:rPr>
          <w:rStyle w:val="FootnoteReference"/>
          <w:color w:val="000000" w:themeColor="text1"/>
          <w:sz w:val="18"/>
          <w:szCs w:val="18"/>
        </w:rPr>
        <w:footnoteRef/>
      </w:r>
      <w:r w:rsidRPr="006C17A0">
        <w:rPr>
          <w:color w:val="000000" w:themeColor="text1"/>
          <w:sz w:val="18"/>
          <w:szCs w:val="18"/>
        </w:rPr>
        <w:t xml:space="preserve"> </w:t>
      </w:r>
      <w:r w:rsidRPr="006C17A0">
        <w:rPr>
          <w:i/>
          <w:iCs/>
          <w:color w:val="000000" w:themeColor="text1"/>
          <w:sz w:val="18"/>
          <w:szCs w:val="18"/>
          <w:lang w:val="en-GB"/>
        </w:rPr>
        <w:t xml:space="preserve">United Voice and the Australian Workers’ Union of Employees, Queensland </w:t>
      </w:r>
      <w:r w:rsidRPr="006C17A0">
        <w:rPr>
          <w:color w:val="000000" w:themeColor="text1"/>
          <w:sz w:val="18"/>
          <w:szCs w:val="18"/>
          <w:lang w:val="en-GB"/>
        </w:rPr>
        <w:t>[2011] FWAFB 2633 (</w:t>
      </w:r>
      <w:r w:rsidRPr="006C17A0">
        <w:rPr>
          <w:i/>
          <w:iCs/>
          <w:color w:val="000000" w:themeColor="text1"/>
          <w:sz w:val="18"/>
          <w:szCs w:val="18"/>
          <w:lang w:val="en-GB"/>
        </w:rPr>
        <w:t>Aged Care case</w:t>
      </w:r>
      <w:r w:rsidRPr="006C17A0">
        <w:rPr>
          <w:color w:val="000000" w:themeColor="text1"/>
          <w:sz w:val="18"/>
          <w:szCs w:val="18"/>
          <w:lang w:val="en-GB"/>
        </w:rPr>
        <w:t>).</w:t>
      </w:r>
    </w:p>
  </w:footnote>
  <w:footnote w:id="38">
    <w:p w14:paraId="1A9ED304" w14:textId="6028971F" w:rsidR="00FD71DF" w:rsidRPr="006C17A0" w:rsidRDefault="00FD71DF" w:rsidP="009425CA">
      <w:pPr>
        <w:pStyle w:val="Default"/>
        <w:rPr>
          <w:rFonts w:ascii="Avenir Book" w:hAnsi="Avenir Book"/>
          <w:color w:val="000000" w:themeColor="text1"/>
          <w:sz w:val="18"/>
          <w:szCs w:val="18"/>
        </w:rPr>
      </w:pPr>
      <w:r w:rsidRPr="006C17A0">
        <w:rPr>
          <w:rStyle w:val="FootnoteReference"/>
          <w:rFonts w:ascii="Avenir Book" w:hAnsi="Avenir Book"/>
          <w:color w:val="000000" w:themeColor="text1"/>
          <w:sz w:val="18"/>
          <w:szCs w:val="18"/>
        </w:rPr>
        <w:footnoteRef/>
      </w:r>
      <w:r w:rsidRPr="006C17A0">
        <w:rPr>
          <w:rFonts w:ascii="Avenir Book" w:hAnsi="Avenir Book"/>
          <w:color w:val="000000" w:themeColor="text1"/>
          <w:sz w:val="18"/>
          <w:szCs w:val="18"/>
        </w:rPr>
        <w:t xml:space="preserve"> </w:t>
      </w:r>
      <w:r w:rsidRPr="006C17A0">
        <w:rPr>
          <w:rFonts w:ascii="Avenir Book" w:hAnsi="Avenir Book"/>
          <w:i/>
          <w:iCs/>
          <w:color w:val="000000" w:themeColor="text1"/>
          <w:sz w:val="18"/>
          <w:szCs w:val="18"/>
        </w:rPr>
        <w:t>Re United Voice</w:t>
      </w:r>
      <w:r w:rsidRPr="006C17A0">
        <w:rPr>
          <w:rFonts w:ascii="Avenir Book" w:hAnsi="Avenir Book"/>
          <w:color w:val="000000" w:themeColor="text1"/>
          <w:sz w:val="18"/>
          <w:szCs w:val="18"/>
        </w:rPr>
        <w:t xml:space="preserve"> [2014] FWC 6441 (security industry); </w:t>
      </w:r>
      <w:r w:rsidRPr="006C17A0">
        <w:rPr>
          <w:rFonts w:ascii="Avenir Book" w:hAnsi="Avenir Book"/>
          <w:i/>
          <w:iCs/>
          <w:color w:val="000000" w:themeColor="text1"/>
          <w:sz w:val="18"/>
          <w:szCs w:val="18"/>
        </w:rPr>
        <w:t xml:space="preserve">Australian Nursing Federation v IPN Medical Centres Pty Limited and </w:t>
      </w:r>
      <w:proofErr w:type="spellStart"/>
      <w:r w:rsidRPr="006C17A0">
        <w:rPr>
          <w:rFonts w:ascii="Avenir Book" w:hAnsi="Avenir Book"/>
          <w:i/>
          <w:iCs/>
          <w:color w:val="000000" w:themeColor="text1"/>
          <w:sz w:val="18"/>
          <w:szCs w:val="18"/>
        </w:rPr>
        <w:t>Ors</w:t>
      </w:r>
      <w:proofErr w:type="spellEnd"/>
      <w:r w:rsidRPr="006C17A0">
        <w:rPr>
          <w:rFonts w:ascii="Avenir Book" w:hAnsi="Avenir Book"/>
          <w:i/>
          <w:iCs/>
          <w:color w:val="000000" w:themeColor="text1"/>
          <w:sz w:val="18"/>
          <w:szCs w:val="18"/>
        </w:rPr>
        <w:t xml:space="preserve"> </w:t>
      </w:r>
      <w:r w:rsidRPr="006C17A0">
        <w:rPr>
          <w:rFonts w:ascii="Avenir Book" w:hAnsi="Avenir Book"/>
          <w:color w:val="000000" w:themeColor="text1"/>
          <w:sz w:val="18"/>
          <w:szCs w:val="18"/>
        </w:rPr>
        <w:t xml:space="preserve">[2013] FWC 511 (Watson VP, 17 June 2013).  </w:t>
      </w:r>
    </w:p>
  </w:footnote>
  <w:footnote w:id="39">
    <w:p w14:paraId="0F33BD24" w14:textId="2B1A6B2A" w:rsidR="00FB69AD" w:rsidRPr="006C17A0" w:rsidRDefault="00FB69AD">
      <w:pPr>
        <w:pStyle w:val="FootnoteText"/>
        <w:rPr>
          <w:color w:val="000000" w:themeColor="text1"/>
          <w:szCs w:val="18"/>
        </w:rPr>
      </w:pPr>
      <w:r w:rsidRPr="006C17A0">
        <w:rPr>
          <w:rStyle w:val="FootnoteReference"/>
          <w:color w:val="000000" w:themeColor="text1"/>
          <w:szCs w:val="18"/>
        </w:rPr>
        <w:footnoteRef/>
      </w:r>
      <w:r w:rsidRPr="006C17A0">
        <w:rPr>
          <w:color w:val="000000" w:themeColor="text1"/>
          <w:szCs w:val="18"/>
        </w:rPr>
        <w:t xml:space="preserve"> </w:t>
      </w:r>
      <w:r w:rsidR="00730D5C" w:rsidRPr="006C17A0">
        <w:rPr>
          <w:i/>
          <w:iCs/>
          <w:color w:val="000000" w:themeColor="text1"/>
          <w:szCs w:val="18"/>
        </w:rPr>
        <w:t>FWA</w:t>
      </w:r>
      <w:r w:rsidR="00730D5C" w:rsidRPr="006C17A0">
        <w:rPr>
          <w:color w:val="000000" w:themeColor="text1"/>
          <w:szCs w:val="18"/>
        </w:rPr>
        <w:t xml:space="preserve"> (n 4) 243.</w:t>
      </w:r>
    </w:p>
  </w:footnote>
  <w:footnote w:id="40">
    <w:p w14:paraId="67712B2D" w14:textId="77777777" w:rsidR="005438FC" w:rsidRPr="006C17A0" w:rsidRDefault="005438FC" w:rsidP="005438FC">
      <w:pPr>
        <w:rPr>
          <w:rFonts w:ascii="Avenir Book" w:hAnsi="Avenir Book"/>
          <w:color w:val="000000" w:themeColor="text1"/>
          <w:sz w:val="18"/>
          <w:szCs w:val="18"/>
        </w:rPr>
      </w:pPr>
      <w:r w:rsidRPr="006C17A0">
        <w:rPr>
          <w:rStyle w:val="FootnoteReference"/>
          <w:rFonts w:ascii="Avenir Book" w:hAnsi="Avenir Book"/>
          <w:color w:val="000000" w:themeColor="text1"/>
          <w:sz w:val="18"/>
          <w:szCs w:val="18"/>
        </w:rPr>
        <w:footnoteRef/>
      </w:r>
      <w:r w:rsidRPr="006C17A0">
        <w:rPr>
          <w:rFonts w:ascii="Avenir Book" w:hAnsi="Avenir Book"/>
          <w:color w:val="000000" w:themeColor="text1"/>
          <w:sz w:val="18"/>
          <w:szCs w:val="18"/>
        </w:rPr>
        <w:t xml:space="preserve"> Rae Cooper, ‘ Low-paid Care Work, Bargaining and Employee Voice in Australia’ in Alan </w:t>
      </w:r>
      <w:proofErr w:type="spellStart"/>
      <w:r w:rsidRPr="006C17A0">
        <w:rPr>
          <w:rFonts w:ascii="Avenir Book" w:hAnsi="Avenir Book"/>
          <w:color w:val="000000" w:themeColor="text1"/>
          <w:sz w:val="18"/>
          <w:szCs w:val="18"/>
        </w:rPr>
        <w:t>Bogg</w:t>
      </w:r>
      <w:proofErr w:type="spellEnd"/>
      <w:r w:rsidRPr="006C17A0">
        <w:rPr>
          <w:rFonts w:ascii="Avenir Book" w:hAnsi="Avenir Book"/>
          <w:color w:val="000000" w:themeColor="text1"/>
          <w:sz w:val="18"/>
          <w:szCs w:val="18"/>
        </w:rPr>
        <w:t xml:space="preserve"> and Tonia </w:t>
      </w:r>
      <w:proofErr w:type="spellStart"/>
      <w:r w:rsidRPr="006C17A0">
        <w:rPr>
          <w:rFonts w:ascii="Avenir Book" w:hAnsi="Avenir Book"/>
          <w:color w:val="000000" w:themeColor="text1"/>
          <w:sz w:val="18"/>
          <w:szCs w:val="18"/>
        </w:rPr>
        <w:t>Novitz</w:t>
      </w:r>
      <w:proofErr w:type="spellEnd"/>
      <w:r w:rsidRPr="006C17A0">
        <w:rPr>
          <w:rFonts w:ascii="Avenir Book" w:hAnsi="Avenir Book"/>
          <w:color w:val="000000" w:themeColor="text1"/>
          <w:sz w:val="18"/>
          <w:szCs w:val="18"/>
        </w:rPr>
        <w:t xml:space="preserve"> (ed), </w:t>
      </w:r>
      <w:r w:rsidRPr="006C17A0">
        <w:rPr>
          <w:rFonts w:ascii="Avenir Book" w:hAnsi="Avenir Book"/>
          <w:i/>
          <w:iCs/>
          <w:color w:val="000000" w:themeColor="text1"/>
          <w:sz w:val="18"/>
          <w:szCs w:val="18"/>
        </w:rPr>
        <w:t>Voice at Work</w:t>
      </w:r>
      <w:r w:rsidRPr="006C17A0">
        <w:rPr>
          <w:rFonts w:ascii="Avenir Book" w:hAnsi="Avenir Book"/>
          <w:color w:val="000000" w:themeColor="text1"/>
          <w:sz w:val="18"/>
          <w:szCs w:val="18"/>
        </w:rPr>
        <w:t xml:space="preserve"> (Oxford University Press, 2014) 55, 64, citing United Voice, ‘Press release: Low-paid Bargaining Stream’ (United Voice National Office, 29 July 2011)</w:t>
      </w:r>
    </w:p>
  </w:footnote>
  <w:footnote w:id="41">
    <w:p w14:paraId="4D90EEB7" w14:textId="24CD939D" w:rsidR="005438FC" w:rsidRPr="006C17A0" w:rsidRDefault="005438FC" w:rsidP="005438FC">
      <w:pPr>
        <w:pStyle w:val="FootnoteText"/>
        <w:rPr>
          <w:color w:val="000000" w:themeColor="text1"/>
          <w:szCs w:val="18"/>
        </w:rPr>
      </w:pPr>
      <w:r w:rsidRPr="006C17A0">
        <w:rPr>
          <w:rStyle w:val="FootnoteReference"/>
          <w:color w:val="000000" w:themeColor="text1"/>
          <w:szCs w:val="18"/>
        </w:rPr>
        <w:footnoteRef/>
      </w:r>
      <w:r w:rsidRPr="006C17A0">
        <w:rPr>
          <w:color w:val="000000" w:themeColor="text1"/>
          <w:szCs w:val="18"/>
        </w:rPr>
        <w:t xml:space="preserve"> </w:t>
      </w:r>
      <w:r w:rsidR="00F8380E" w:rsidRPr="006C17A0">
        <w:rPr>
          <w:color w:val="000000" w:themeColor="text1"/>
          <w:szCs w:val="18"/>
        </w:rPr>
        <w:t xml:space="preserve">Commonwealth, </w:t>
      </w:r>
      <w:r w:rsidR="00F8380E" w:rsidRPr="006C17A0">
        <w:rPr>
          <w:i/>
          <w:iCs/>
          <w:color w:val="000000" w:themeColor="text1"/>
          <w:szCs w:val="18"/>
        </w:rPr>
        <w:t>Parliamentary Debates</w:t>
      </w:r>
      <w:r w:rsidR="00F8380E" w:rsidRPr="006C17A0">
        <w:rPr>
          <w:color w:val="000000" w:themeColor="text1"/>
          <w:szCs w:val="18"/>
        </w:rPr>
        <w:t>, House of Representatives, 25 November 2008, 11189 (Julia Gillard, Minister for Employment and Workplace Relations).</w:t>
      </w:r>
    </w:p>
  </w:footnote>
  <w:footnote w:id="42">
    <w:p w14:paraId="4C22C888" w14:textId="54B871C4" w:rsidR="005438FC" w:rsidRPr="006C17A0" w:rsidRDefault="005438FC" w:rsidP="005438FC">
      <w:pPr>
        <w:autoSpaceDE w:val="0"/>
        <w:autoSpaceDN w:val="0"/>
        <w:adjustRightInd w:val="0"/>
        <w:rPr>
          <w:rFonts w:ascii="Avenir Book" w:eastAsiaTheme="minorHAnsi" w:hAnsi="Avenir Book"/>
          <w:color w:val="000000" w:themeColor="text1"/>
          <w:sz w:val="18"/>
          <w:szCs w:val="18"/>
          <w:lang w:val="en-GB" w:eastAsia="en-US"/>
        </w:rPr>
      </w:pPr>
      <w:r w:rsidRPr="006C17A0">
        <w:rPr>
          <w:rStyle w:val="FootnoteReference"/>
          <w:rFonts w:ascii="Avenir Book" w:hAnsi="Avenir Book"/>
          <w:color w:val="000000" w:themeColor="text1"/>
          <w:sz w:val="18"/>
          <w:szCs w:val="18"/>
        </w:rPr>
        <w:footnoteRef/>
      </w:r>
      <w:r w:rsidRPr="006C17A0">
        <w:rPr>
          <w:rFonts w:ascii="Avenir Book" w:hAnsi="Avenir Book"/>
          <w:color w:val="000000" w:themeColor="text1"/>
          <w:sz w:val="18"/>
          <w:szCs w:val="18"/>
        </w:rPr>
        <w:t xml:space="preserve"> </w:t>
      </w:r>
      <w:r w:rsidRPr="006C17A0">
        <w:rPr>
          <w:rFonts w:ascii="Avenir Book" w:eastAsiaTheme="minorHAnsi" w:hAnsi="Avenir Book"/>
          <w:i/>
          <w:iCs/>
          <w:color w:val="000000" w:themeColor="text1"/>
          <w:sz w:val="18"/>
          <w:szCs w:val="18"/>
          <w:lang w:val="en-GB" w:eastAsia="en-US"/>
        </w:rPr>
        <w:t>Hancock Report</w:t>
      </w:r>
      <w:r w:rsidR="00F8380E" w:rsidRPr="006C17A0">
        <w:rPr>
          <w:rFonts w:ascii="Avenir Book" w:eastAsiaTheme="minorHAnsi" w:hAnsi="Avenir Book"/>
          <w:color w:val="000000" w:themeColor="text1"/>
          <w:sz w:val="18"/>
          <w:szCs w:val="18"/>
          <w:lang w:val="en-GB" w:eastAsia="en-US"/>
        </w:rPr>
        <w:t xml:space="preserve"> (n 5). </w:t>
      </w:r>
    </w:p>
  </w:footnote>
  <w:footnote w:id="43">
    <w:p w14:paraId="6D73F261" w14:textId="3D48DA29" w:rsidR="005438FC" w:rsidRPr="006C17A0" w:rsidRDefault="005438FC" w:rsidP="005438FC">
      <w:pPr>
        <w:pStyle w:val="FootnoteText"/>
        <w:rPr>
          <w:color w:val="000000" w:themeColor="text1"/>
          <w:szCs w:val="18"/>
        </w:rPr>
      </w:pPr>
      <w:r w:rsidRPr="006C17A0">
        <w:rPr>
          <w:rStyle w:val="FootnoteReference"/>
          <w:rFonts w:eastAsiaTheme="majorEastAsia"/>
          <w:color w:val="000000" w:themeColor="text1"/>
          <w:szCs w:val="18"/>
        </w:rPr>
        <w:footnoteRef/>
      </w:r>
      <w:r w:rsidRPr="006C17A0">
        <w:rPr>
          <w:color w:val="000000" w:themeColor="text1"/>
          <w:szCs w:val="18"/>
        </w:rPr>
        <w:t xml:space="preserve"> </w:t>
      </w:r>
      <w:proofErr w:type="spellStart"/>
      <w:r w:rsidRPr="006C17A0">
        <w:rPr>
          <w:rFonts w:cs="Arial"/>
          <w:color w:val="000000" w:themeColor="text1"/>
          <w:szCs w:val="18"/>
        </w:rPr>
        <w:t>Adami</w:t>
      </w:r>
      <w:proofErr w:type="spellEnd"/>
      <w:r w:rsidRPr="006C17A0">
        <w:rPr>
          <w:rFonts w:cs="Arial"/>
          <w:color w:val="000000" w:themeColor="text1"/>
          <w:szCs w:val="18"/>
        </w:rPr>
        <w:t xml:space="preserve"> v Maison De Luxe (1924)</w:t>
      </w:r>
      <w:r w:rsidR="005D2624" w:rsidRPr="006C17A0">
        <w:rPr>
          <w:rFonts w:cs="Arial"/>
          <w:color w:val="000000" w:themeColor="text1"/>
          <w:szCs w:val="18"/>
        </w:rPr>
        <w:t xml:space="preserve"> 35 CLR 143.</w:t>
      </w:r>
    </w:p>
  </w:footnote>
  <w:footnote w:id="44">
    <w:p w14:paraId="14265F70" w14:textId="46E2C37D" w:rsidR="005438FC" w:rsidRPr="006C17A0" w:rsidRDefault="005438FC" w:rsidP="005438FC">
      <w:pPr>
        <w:pStyle w:val="FootnoteText"/>
        <w:rPr>
          <w:color w:val="000000" w:themeColor="text1"/>
          <w:szCs w:val="18"/>
        </w:rPr>
      </w:pPr>
      <w:r w:rsidRPr="006C17A0">
        <w:rPr>
          <w:rStyle w:val="FootnoteReference"/>
          <w:rFonts w:eastAsiaTheme="majorEastAsia"/>
          <w:color w:val="000000" w:themeColor="text1"/>
          <w:szCs w:val="18"/>
        </w:rPr>
        <w:footnoteRef/>
      </w:r>
      <w:r w:rsidRPr="006C17A0">
        <w:rPr>
          <w:color w:val="000000" w:themeColor="text1"/>
          <w:szCs w:val="18"/>
        </w:rPr>
        <w:t xml:space="preserve"> </w:t>
      </w:r>
      <w:r w:rsidRPr="006C17A0">
        <w:rPr>
          <w:rFonts w:cs="Arial"/>
          <w:i/>
          <w:iCs/>
          <w:color w:val="000000" w:themeColor="text1"/>
          <w:szCs w:val="18"/>
        </w:rPr>
        <w:t>Victoria University of Technology v Wilson</w:t>
      </w:r>
      <w:r w:rsidRPr="006C17A0">
        <w:rPr>
          <w:rFonts w:cs="Arial"/>
          <w:color w:val="000000" w:themeColor="text1"/>
          <w:szCs w:val="18"/>
        </w:rPr>
        <w:t xml:space="preserve"> </w:t>
      </w:r>
      <w:r w:rsidR="003561AA" w:rsidRPr="006C17A0">
        <w:rPr>
          <w:rFonts w:cs="Arial"/>
          <w:color w:val="000000" w:themeColor="text1"/>
          <w:szCs w:val="18"/>
        </w:rPr>
        <w:t>[</w:t>
      </w:r>
      <w:r w:rsidRPr="006C17A0">
        <w:rPr>
          <w:rFonts w:cs="Arial"/>
          <w:color w:val="000000" w:themeColor="text1"/>
          <w:szCs w:val="18"/>
        </w:rPr>
        <w:t>2004</w:t>
      </w:r>
      <w:r w:rsidR="003561AA" w:rsidRPr="006C17A0">
        <w:rPr>
          <w:rFonts w:cs="Arial"/>
          <w:color w:val="000000" w:themeColor="text1"/>
          <w:szCs w:val="18"/>
        </w:rPr>
        <w:t>] VSC 33.</w:t>
      </w:r>
    </w:p>
  </w:footnote>
  <w:footnote w:id="45">
    <w:p w14:paraId="1ABED4D5" w14:textId="4BF941F9" w:rsidR="00072A4A" w:rsidRPr="006C17A0" w:rsidRDefault="00072A4A">
      <w:pPr>
        <w:pStyle w:val="FootnoteText"/>
        <w:rPr>
          <w:color w:val="000000" w:themeColor="text1"/>
          <w:szCs w:val="18"/>
        </w:rPr>
      </w:pPr>
      <w:r w:rsidRPr="006C17A0">
        <w:rPr>
          <w:rStyle w:val="FootnoteReference"/>
          <w:color w:val="000000" w:themeColor="text1"/>
          <w:szCs w:val="18"/>
        </w:rPr>
        <w:footnoteRef/>
      </w:r>
      <w:r w:rsidRPr="006C17A0">
        <w:rPr>
          <w:color w:val="000000" w:themeColor="text1"/>
          <w:szCs w:val="18"/>
        </w:rPr>
        <w:t xml:space="preserve"> </w:t>
      </w:r>
      <w:r w:rsidR="003561AA" w:rsidRPr="006C17A0">
        <w:rPr>
          <w:i/>
          <w:iCs/>
          <w:color w:val="000000" w:themeColor="text1"/>
          <w:szCs w:val="18"/>
          <w:shd w:val="clear" w:color="auto" w:fill="FFFFFF"/>
        </w:rPr>
        <w:t>Interim Report</w:t>
      </w:r>
      <w:r w:rsidR="003561AA" w:rsidRPr="006C17A0">
        <w:rPr>
          <w:color w:val="000000" w:themeColor="text1"/>
          <w:szCs w:val="18"/>
        </w:rPr>
        <w:t xml:space="preserve"> (n 2) </w:t>
      </w:r>
      <w:r w:rsidRPr="006C17A0">
        <w:rPr>
          <w:color w:val="000000" w:themeColor="text1"/>
          <w:szCs w:val="18"/>
        </w:rPr>
        <w:t>85</w:t>
      </w:r>
      <w:r w:rsidR="003561AA" w:rsidRPr="006C17A0">
        <w:rPr>
          <w:color w:val="000000" w:themeColor="text1"/>
          <w:szCs w:val="18"/>
        </w:rPr>
        <w:t>.</w:t>
      </w:r>
    </w:p>
  </w:footnote>
  <w:footnote w:id="46">
    <w:p w14:paraId="6C160CBA" w14:textId="11E37531" w:rsidR="00AA6BFC" w:rsidRPr="006C17A0" w:rsidRDefault="00AA6BFC" w:rsidP="00AA6BFC">
      <w:pPr>
        <w:pStyle w:val="FootnoteText"/>
        <w:rPr>
          <w:color w:val="000000" w:themeColor="text1"/>
          <w:szCs w:val="18"/>
        </w:rPr>
      </w:pPr>
      <w:r w:rsidRPr="006C17A0">
        <w:rPr>
          <w:rStyle w:val="FootnoteReference"/>
          <w:color w:val="000000" w:themeColor="text1"/>
          <w:szCs w:val="18"/>
        </w:rPr>
        <w:footnoteRef/>
      </w:r>
      <w:r w:rsidRPr="006C17A0">
        <w:rPr>
          <w:color w:val="000000" w:themeColor="text1"/>
          <w:szCs w:val="18"/>
        </w:rPr>
        <w:t xml:space="preserve"> </w:t>
      </w:r>
      <w:r w:rsidR="003561AA" w:rsidRPr="006C17A0">
        <w:rPr>
          <w:color w:val="000000" w:themeColor="text1"/>
          <w:szCs w:val="18"/>
        </w:rPr>
        <w:t>Ibid.</w:t>
      </w:r>
      <w:r w:rsidRPr="006C17A0">
        <w:rPr>
          <w:color w:val="000000" w:themeColor="text1"/>
          <w:szCs w:val="18"/>
        </w:rPr>
        <w:t xml:space="preserve"> 66</w:t>
      </w:r>
    </w:p>
  </w:footnote>
  <w:footnote w:id="47">
    <w:p w14:paraId="1F280A41" w14:textId="77777777" w:rsidR="005438FC" w:rsidRPr="006C17A0" w:rsidRDefault="005438FC" w:rsidP="005438FC">
      <w:pPr>
        <w:pStyle w:val="FootnoteText"/>
        <w:rPr>
          <w:color w:val="000000" w:themeColor="text1"/>
          <w:szCs w:val="18"/>
        </w:rPr>
      </w:pPr>
      <w:r w:rsidRPr="006C17A0">
        <w:rPr>
          <w:rStyle w:val="FootnoteReference"/>
          <w:rFonts w:eastAsiaTheme="majorEastAsia"/>
          <w:color w:val="000000" w:themeColor="text1"/>
          <w:szCs w:val="18"/>
        </w:rPr>
        <w:footnoteRef/>
      </w:r>
      <w:r w:rsidRPr="006C17A0">
        <w:rPr>
          <w:color w:val="000000" w:themeColor="text1"/>
          <w:szCs w:val="18"/>
        </w:rPr>
        <w:t xml:space="preserve"> Victorian Government, </w:t>
      </w:r>
      <w:r w:rsidRPr="006C17A0">
        <w:rPr>
          <w:i/>
          <w:iCs/>
          <w:color w:val="000000" w:themeColor="text1"/>
          <w:szCs w:val="18"/>
        </w:rPr>
        <w:t>The Report of the Victorian Inquiry into the Victorian On-Demand Workforce</w:t>
      </w:r>
      <w:r w:rsidRPr="006C17A0">
        <w:rPr>
          <w:color w:val="000000" w:themeColor="text1"/>
          <w:szCs w:val="18"/>
        </w:rPr>
        <w:t xml:space="preserve">, (Report, June 2020) 11. </w:t>
      </w:r>
    </w:p>
  </w:footnote>
  <w:footnote w:id="48">
    <w:p w14:paraId="5E1E2CCA" w14:textId="77777777" w:rsidR="005438FC" w:rsidRPr="006C17A0" w:rsidRDefault="005438FC" w:rsidP="005438FC">
      <w:pPr>
        <w:pStyle w:val="FootnoteText"/>
        <w:rPr>
          <w:color w:val="000000" w:themeColor="text1"/>
          <w:szCs w:val="18"/>
        </w:rPr>
      </w:pPr>
      <w:r w:rsidRPr="006C17A0">
        <w:rPr>
          <w:rStyle w:val="FootnoteReference"/>
          <w:color w:val="000000" w:themeColor="text1"/>
          <w:szCs w:val="18"/>
        </w:rPr>
        <w:footnoteRef/>
      </w:r>
      <w:r w:rsidRPr="006C17A0">
        <w:rPr>
          <w:color w:val="000000" w:themeColor="text1"/>
          <w:szCs w:val="18"/>
        </w:rPr>
        <w:t xml:space="preserve"> Ibid. </w:t>
      </w:r>
    </w:p>
  </w:footnote>
  <w:footnote w:id="49">
    <w:p w14:paraId="66E20899" w14:textId="77777777" w:rsidR="005438FC" w:rsidRPr="006C17A0" w:rsidRDefault="005438FC" w:rsidP="005438FC">
      <w:pPr>
        <w:pStyle w:val="FootnoteText"/>
        <w:rPr>
          <w:color w:val="000000" w:themeColor="text1"/>
          <w:szCs w:val="18"/>
        </w:rPr>
      </w:pPr>
      <w:r w:rsidRPr="006C17A0">
        <w:rPr>
          <w:rStyle w:val="FootnoteReference"/>
          <w:color w:val="000000" w:themeColor="text1"/>
          <w:szCs w:val="18"/>
        </w:rPr>
        <w:footnoteRef/>
      </w:r>
      <w:r w:rsidRPr="006C17A0">
        <w:rPr>
          <w:color w:val="000000" w:themeColor="text1"/>
          <w:szCs w:val="18"/>
        </w:rPr>
        <w:t xml:space="preserve"> Andrew Stewart and Shae McCrystal, ‘Labour Regulation and the Great Divide: Does the Gig Economy Require a New Category of Worker? (2019) 32 </w:t>
      </w:r>
      <w:r w:rsidRPr="006C17A0">
        <w:rPr>
          <w:i/>
          <w:iCs/>
          <w:color w:val="000000" w:themeColor="text1"/>
          <w:szCs w:val="18"/>
        </w:rPr>
        <w:t>Australian Journal of Labour Law</w:t>
      </w:r>
      <w:r w:rsidRPr="006C17A0">
        <w:rPr>
          <w:color w:val="000000" w:themeColor="text1"/>
          <w:szCs w:val="18"/>
        </w:rPr>
        <w:t xml:space="preserve"> 4, 9-10. </w:t>
      </w:r>
    </w:p>
  </w:footnote>
  <w:footnote w:id="50">
    <w:p w14:paraId="0870B50B" w14:textId="77777777" w:rsidR="005438FC" w:rsidRPr="006C17A0" w:rsidRDefault="005438FC" w:rsidP="005438FC">
      <w:pPr>
        <w:pStyle w:val="FootnoteText"/>
        <w:rPr>
          <w:color w:val="000000" w:themeColor="text1"/>
          <w:szCs w:val="18"/>
        </w:rPr>
      </w:pPr>
      <w:r w:rsidRPr="006C17A0">
        <w:rPr>
          <w:rStyle w:val="FootnoteReference"/>
          <w:rFonts w:eastAsiaTheme="majorEastAsia"/>
          <w:color w:val="000000" w:themeColor="text1"/>
          <w:szCs w:val="18"/>
        </w:rPr>
        <w:footnoteRef/>
      </w:r>
      <w:r w:rsidRPr="006C17A0">
        <w:rPr>
          <w:color w:val="000000" w:themeColor="text1"/>
          <w:szCs w:val="18"/>
        </w:rPr>
        <w:t xml:space="preserve"> Paula </w:t>
      </w:r>
      <w:r w:rsidRPr="006C17A0">
        <w:rPr>
          <w:color w:val="000000" w:themeColor="text1"/>
          <w:szCs w:val="18"/>
          <w:lang w:val="en-GB"/>
        </w:rPr>
        <w:t xml:space="preserve">McDonald et al, </w:t>
      </w:r>
      <w:r w:rsidRPr="006C17A0">
        <w:rPr>
          <w:i/>
          <w:iCs/>
          <w:color w:val="000000" w:themeColor="text1"/>
          <w:szCs w:val="18"/>
          <w:lang w:val="en-GB"/>
        </w:rPr>
        <w:t xml:space="preserve">Digital Platform Work </w:t>
      </w:r>
      <w:proofErr w:type="gramStart"/>
      <w:r w:rsidRPr="006C17A0">
        <w:rPr>
          <w:i/>
          <w:iCs/>
          <w:color w:val="000000" w:themeColor="text1"/>
          <w:szCs w:val="18"/>
          <w:lang w:val="en-GB"/>
        </w:rPr>
        <w:t>In</w:t>
      </w:r>
      <w:proofErr w:type="gramEnd"/>
      <w:r w:rsidRPr="006C17A0">
        <w:rPr>
          <w:i/>
          <w:iCs/>
          <w:color w:val="000000" w:themeColor="text1"/>
          <w:szCs w:val="18"/>
          <w:lang w:val="en-GB"/>
        </w:rPr>
        <w:t xml:space="preserve"> Australia: Prevalence, Nature and Impact</w:t>
      </w:r>
      <w:r w:rsidRPr="006C17A0">
        <w:rPr>
          <w:color w:val="000000" w:themeColor="text1"/>
          <w:szCs w:val="18"/>
          <w:lang w:val="en-GB"/>
        </w:rPr>
        <w:t xml:space="preserve"> (Report, November 2019) 5-10. </w:t>
      </w:r>
    </w:p>
  </w:footnote>
  <w:footnote w:id="51">
    <w:p w14:paraId="66DE2A34" w14:textId="77777777" w:rsidR="005438FC" w:rsidRPr="006C17A0" w:rsidRDefault="005438FC" w:rsidP="005438FC">
      <w:pPr>
        <w:pStyle w:val="FootnoteText"/>
        <w:rPr>
          <w:color w:val="000000" w:themeColor="text1"/>
          <w:szCs w:val="18"/>
        </w:rPr>
      </w:pPr>
      <w:r w:rsidRPr="006C17A0">
        <w:rPr>
          <w:rStyle w:val="FootnoteReference"/>
          <w:color w:val="000000" w:themeColor="text1"/>
          <w:szCs w:val="18"/>
        </w:rPr>
        <w:footnoteRef/>
      </w:r>
      <w:r w:rsidRPr="006C17A0">
        <w:rPr>
          <w:color w:val="000000" w:themeColor="text1"/>
          <w:szCs w:val="18"/>
        </w:rPr>
        <w:t xml:space="preserve"> Andrew Stewart and Jim Stanford, ‘</w:t>
      </w:r>
      <w:r w:rsidRPr="006C17A0">
        <w:rPr>
          <w:i/>
          <w:iCs/>
          <w:color w:val="000000" w:themeColor="text1"/>
          <w:szCs w:val="18"/>
        </w:rPr>
        <w:t>Regulating Work in the Gig Economy: What are the Options?</w:t>
      </w:r>
      <w:r w:rsidRPr="006C17A0">
        <w:rPr>
          <w:color w:val="000000" w:themeColor="text1"/>
          <w:szCs w:val="18"/>
        </w:rPr>
        <w:t xml:space="preserve">’ (2017) 28(3) The Economic and Labour Relations Review 420, 423. </w:t>
      </w:r>
    </w:p>
  </w:footnote>
  <w:footnote w:id="52">
    <w:p w14:paraId="74060A78" w14:textId="18F8D6BB" w:rsidR="005438FC" w:rsidRPr="006C17A0" w:rsidRDefault="005438FC" w:rsidP="005438FC">
      <w:pPr>
        <w:pStyle w:val="FootnoteText"/>
        <w:rPr>
          <w:color w:val="000000" w:themeColor="text1"/>
          <w:szCs w:val="18"/>
        </w:rPr>
      </w:pPr>
      <w:r w:rsidRPr="006C17A0">
        <w:rPr>
          <w:rStyle w:val="FootnoteReference"/>
          <w:color w:val="000000" w:themeColor="text1"/>
          <w:szCs w:val="18"/>
        </w:rPr>
        <w:footnoteRef/>
      </w:r>
      <w:r w:rsidRPr="006C17A0">
        <w:rPr>
          <w:color w:val="000000" w:themeColor="text1"/>
          <w:szCs w:val="18"/>
        </w:rPr>
        <w:t xml:space="preserve"> McDonald (n </w:t>
      </w:r>
      <w:r w:rsidR="00AD24C9">
        <w:rPr>
          <w:color w:val="000000" w:themeColor="text1"/>
          <w:szCs w:val="18"/>
        </w:rPr>
        <w:t>50</w:t>
      </w:r>
      <w:r w:rsidRPr="006C17A0">
        <w:rPr>
          <w:color w:val="000000" w:themeColor="text1"/>
          <w:szCs w:val="18"/>
        </w:rPr>
        <w:t xml:space="preserve">) 5-10. </w:t>
      </w:r>
    </w:p>
  </w:footnote>
  <w:footnote w:id="53">
    <w:p w14:paraId="26CC87EB" w14:textId="77777777" w:rsidR="005438FC" w:rsidRPr="006C17A0" w:rsidRDefault="005438FC" w:rsidP="005438FC">
      <w:pPr>
        <w:pStyle w:val="FootnoteText"/>
        <w:rPr>
          <w:color w:val="000000" w:themeColor="text1"/>
          <w:szCs w:val="18"/>
        </w:rPr>
      </w:pPr>
      <w:r w:rsidRPr="006C17A0">
        <w:rPr>
          <w:rStyle w:val="FootnoteReference"/>
          <w:rFonts w:eastAsiaTheme="majorEastAsia"/>
          <w:color w:val="000000" w:themeColor="text1"/>
          <w:szCs w:val="18"/>
        </w:rPr>
        <w:footnoteRef/>
      </w:r>
      <w:r w:rsidRPr="006C17A0">
        <w:rPr>
          <w:color w:val="000000" w:themeColor="text1"/>
          <w:szCs w:val="18"/>
        </w:rPr>
        <w:t xml:space="preserve"> Ibid.</w:t>
      </w:r>
    </w:p>
  </w:footnote>
  <w:footnote w:id="54">
    <w:p w14:paraId="3DD29F45" w14:textId="6E69DFE5" w:rsidR="005438FC" w:rsidRPr="006C17A0" w:rsidRDefault="005438FC" w:rsidP="005438FC">
      <w:pPr>
        <w:pStyle w:val="FootnoteText"/>
        <w:rPr>
          <w:color w:val="000000" w:themeColor="text1"/>
          <w:szCs w:val="18"/>
        </w:rPr>
      </w:pPr>
      <w:r w:rsidRPr="006C17A0">
        <w:rPr>
          <w:rStyle w:val="FootnoteReference"/>
          <w:color w:val="000000" w:themeColor="text1"/>
          <w:szCs w:val="18"/>
        </w:rPr>
        <w:footnoteRef/>
      </w:r>
      <w:r w:rsidRPr="006C17A0">
        <w:rPr>
          <w:color w:val="000000" w:themeColor="text1"/>
          <w:szCs w:val="18"/>
        </w:rPr>
        <w:t xml:space="preserve"> (2001) 207 CLR 21</w:t>
      </w:r>
      <w:r w:rsidR="00CF4189" w:rsidRPr="006C17A0">
        <w:rPr>
          <w:color w:val="000000" w:themeColor="text1"/>
          <w:szCs w:val="18"/>
        </w:rPr>
        <w:t xml:space="preserve"> (</w:t>
      </w:r>
      <w:r w:rsidR="00591437" w:rsidRPr="006C17A0">
        <w:rPr>
          <w:color w:val="000000" w:themeColor="text1"/>
          <w:szCs w:val="18"/>
        </w:rPr>
        <w:t>‘</w:t>
      </w:r>
      <w:proofErr w:type="spellStart"/>
      <w:r w:rsidR="00591437" w:rsidRPr="006C17A0">
        <w:rPr>
          <w:i/>
          <w:iCs/>
          <w:color w:val="000000" w:themeColor="text1"/>
          <w:szCs w:val="18"/>
        </w:rPr>
        <w:t>V</w:t>
      </w:r>
      <w:r w:rsidR="00CF4189" w:rsidRPr="006C17A0">
        <w:rPr>
          <w:i/>
          <w:iCs/>
          <w:color w:val="000000" w:themeColor="text1"/>
          <w:szCs w:val="18"/>
        </w:rPr>
        <w:t>a</w:t>
      </w:r>
      <w:r w:rsidR="00591437" w:rsidRPr="006C17A0">
        <w:rPr>
          <w:i/>
          <w:iCs/>
          <w:color w:val="000000" w:themeColor="text1"/>
          <w:szCs w:val="18"/>
        </w:rPr>
        <w:t>bu</w:t>
      </w:r>
      <w:proofErr w:type="spellEnd"/>
      <w:r w:rsidR="00591437" w:rsidRPr="006C17A0">
        <w:rPr>
          <w:color w:val="000000" w:themeColor="text1"/>
          <w:szCs w:val="18"/>
        </w:rPr>
        <w:t>’)</w:t>
      </w:r>
    </w:p>
  </w:footnote>
  <w:footnote w:id="55">
    <w:p w14:paraId="5434DEB3" w14:textId="77777777" w:rsidR="005438FC" w:rsidRPr="006C17A0" w:rsidRDefault="005438FC" w:rsidP="005438FC">
      <w:pPr>
        <w:pStyle w:val="FootnoteText"/>
        <w:rPr>
          <w:color w:val="000000" w:themeColor="text1"/>
          <w:szCs w:val="18"/>
        </w:rPr>
      </w:pPr>
      <w:r w:rsidRPr="006C17A0">
        <w:rPr>
          <w:rStyle w:val="FootnoteReference"/>
          <w:color w:val="000000" w:themeColor="text1"/>
          <w:szCs w:val="18"/>
        </w:rPr>
        <w:footnoteRef/>
      </w:r>
      <w:r w:rsidRPr="006C17A0">
        <w:rPr>
          <w:color w:val="000000" w:themeColor="text1"/>
          <w:szCs w:val="18"/>
        </w:rPr>
        <w:t xml:space="preserve"> See, </w:t>
      </w:r>
      <w:proofErr w:type="spellStart"/>
      <w:r w:rsidRPr="006C17A0">
        <w:rPr>
          <w:color w:val="000000" w:themeColor="text1"/>
          <w:szCs w:val="18"/>
        </w:rPr>
        <w:t>eg</w:t>
      </w:r>
      <w:proofErr w:type="spellEnd"/>
      <w:r w:rsidRPr="006C17A0">
        <w:rPr>
          <w:color w:val="000000" w:themeColor="text1"/>
          <w:szCs w:val="18"/>
        </w:rPr>
        <w:t xml:space="preserve">, </w:t>
      </w:r>
      <w:proofErr w:type="spellStart"/>
      <w:r w:rsidRPr="006C17A0">
        <w:rPr>
          <w:rFonts w:cs="Arial"/>
          <w:i/>
          <w:iCs/>
          <w:color w:val="000000" w:themeColor="text1"/>
          <w:szCs w:val="18"/>
        </w:rPr>
        <w:t>Zuijs</w:t>
      </w:r>
      <w:proofErr w:type="spellEnd"/>
      <w:r w:rsidRPr="006C17A0">
        <w:rPr>
          <w:rFonts w:cs="Arial"/>
          <w:i/>
          <w:iCs/>
          <w:color w:val="000000" w:themeColor="text1"/>
          <w:szCs w:val="18"/>
        </w:rPr>
        <w:t xml:space="preserve"> v Wirth Bros</w:t>
      </w:r>
      <w:r w:rsidRPr="006C17A0">
        <w:rPr>
          <w:rFonts w:cs="Arial"/>
          <w:color w:val="000000" w:themeColor="text1"/>
          <w:szCs w:val="18"/>
        </w:rPr>
        <w:t xml:space="preserve"> </w:t>
      </w:r>
      <w:r w:rsidRPr="006C17A0">
        <w:rPr>
          <w:rFonts w:cs="Arial"/>
          <w:color w:val="000000" w:themeColor="text1"/>
          <w:szCs w:val="18"/>
          <w:lang w:val="en-US"/>
        </w:rPr>
        <w:t xml:space="preserve">(1955); </w:t>
      </w:r>
      <w:r w:rsidRPr="006C17A0">
        <w:rPr>
          <w:rFonts w:cs="Arial"/>
          <w:i/>
          <w:iCs/>
          <w:color w:val="000000" w:themeColor="text1"/>
          <w:szCs w:val="18"/>
        </w:rPr>
        <w:t xml:space="preserve">Stevens v </w:t>
      </w:r>
      <w:proofErr w:type="spellStart"/>
      <w:r w:rsidRPr="006C17A0">
        <w:rPr>
          <w:rFonts w:cs="Arial"/>
          <w:i/>
          <w:iCs/>
          <w:color w:val="000000" w:themeColor="text1"/>
          <w:szCs w:val="18"/>
        </w:rPr>
        <w:t>Brodribb</w:t>
      </w:r>
      <w:proofErr w:type="spellEnd"/>
      <w:r w:rsidRPr="006C17A0">
        <w:rPr>
          <w:rFonts w:cs="Arial"/>
          <w:i/>
          <w:iCs/>
          <w:color w:val="000000" w:themeColor="text1"/>
          <w:szCs w:val="18"/>
        </w:rPr>
        <w:t xml:space="preserve"> Sawmilling </w:t>
      </w:r>
      <w:r w:rsidRPr="006C17A0">
        <w:rPr>
          <w:rFonts w:cs="Arial"/>
          <w:color w:val="000000" w:themeColor="text1"/>
          <w:szCs w:val="18"/>
        </w:rPr>
        <w:t xml:space="preserve">(1986). </w:t>
      </w:r>
    </w:p>
  </w:footnote>
  <w:footnote w:id="56">
    <w:p w14:paraId="0B50618E" w14:textId="00798049" w:rsidR="005438FC" w:rsidRPr="006C17A0" w:rsidRDefault="005438FC" w:rsidP="005438FC">
      <w:pPr>
        <w:pStyle w:val="FootnoteText"/>
        <w:rPr>
          <w:color w:val="000000" w:themeColor="text1"/>
          <w:szCs w:val="18"/>
        </w:rPr>
      </w:pPr>
      <w:r w:rsidRPr="006C17A0">
        <w:rPr>
          <w:rStyle w:val="FootnoteReference"/>
          <w:rFonts w:eastAsiaTheme="majorEastAsia"/>
          <w:color w:val="000000" w:themeColor="text1"/>
          <w:szCs w:val="18"/>
        </w:rPr>
        <w:footnoteRef/>
      </w:r>
      <w:r w:rsidRPr="006C17A0">
        <w:rPr>
          <w:color w:val="000000" w:themeColor="text1"/>
          <w:szCs w:val="18"/>
        </w:rPr>
        <w:t xml:space="preserve"> </w:t>
      </w:r>
      <w:proofErr w:type="spellStart"/>
      <w:r w:rsidR="00591437" w:rsidRPr="006C17A0">
        <w:rPr>
          <w:i/>
          <w:iCs/>
          <w:color w:val="000000" w:themeColor="text1"/>
          <w:szCs w:val="18"/>
        </w:rPr>
        <w:t>Vabu</w:t>
      </w:r>
      <w:proofErr w:type="spellEnd"/>
      <w:r w:rsidR="00591437" w:rsidRPr="006C17A0">
        <w:rPr>
          <w:color w:val="000000" w:themeColor="text1"/>
          <w:szCs w:val="18"/>
        </w:rPr>
        <w:t xml:space="preserve"> (n 5</w:t>
      </w:r>
      <w:r w:rsidR="00AD24C9">
        <w:rPr>
          <w:color w:val="000000" w:themeColor="text1"/>
          <w:szCs w:val="18"/>
        </w:rPr>
        <w:t>4</w:t>
      </w:r>
      <w:r w:rsidR="00591437" w:rsidRPr="006C17A0">
        <w:rPr>
          <w:color w:val="000000" w:themeColor="text1"/>
          <w:szCs w:val="18"/>
        </w:rPr>
        <w:t>)</w:t>
      </w:r>
      <w:r w:rsidRPr="006C17A0">
        <w:rPr>
          <w:color w:val="000000" w:themeColor="text1"/>
          <w:szCs w:val="18"/>
        </w:rPr>
        <w:t xml:space="preserve"> 33 [24] (Gleeson CJ, </w:t>
      </w:r>
      <w:proofErr w:type="spellStart"/>
      <w:r w:rsidRPr="006C17A0">
        <w:rPr>
          <w:color w:val="000000" w:themeColor="text1"/>
          <w:szCs w:val="18"/>
        </w:rPr>
        <w:t>Gaudron</w:t>
      </w:r>
      <w:proofErr w:type="spellEnd"/>
      <w:r w:rsidRPr="006C17A0">
        <w:rPr>
          <w:color w:val="000000" w:themeColor="text1"/>
          <w:szCs w:val="18"/>
        </w:rPr>
        <w:t xml:space="preserve">, </w:t>
      </w:r>
      <w:proofErr w:type="spellStart"/>
      <w:r w:rsidRPr="006C17A0">
        <w:rPr>
          <w:color w:val="000000" w:themeColor="text1"/>
          <w:szCs w:val="18"/>
        </w:rPr>
        <w:t>Gummow</w:t>
      </w:r>
      <w:proofErr w:type="spellEnd"/>
      <w:r w:rsidRPr="006C17A0">
        <w:rPr>
          <w:color w:val="000000" w:themeColor="text1"/>
          <w:szCs w:val="18"/>
        </w:rPr>
        <w:t>, Kirby and Hayne JJ)</w:t>
      </w:r>
      <w:r w:rsidR="00732EB5" w:rsidRPr="006C17A0">
        <w:rPr>
          <w:color w:val="000000" w:themeColor="text1"/>
          <w:szCs w:val="18"/>
        </w:rPr>
        <w:t xml:space="preserve"> (emphasis added). </w:t>
      </w:r>
    </w:p>
  </w:footnote>
  <w:footnote w:id="57">
    <w:p w14:paraId="1C9E95C0" w14:textId="77777777" w:rsidR="005438FC" w:rsidRPr="006C17A0" w:rsidRDefault="005438FC" w:rsidP="005438FC">
      <w:pPr>
        <w:pStyle w:val="FootnoteText"/>
        <w:rPr>
          <w:color w:val="000000" w:themeColor="text1"/>
          <w:szCs w:val="18"/>
        </w:rPr>
      </w:pPr>
      <w:r w:rsidRPr="006C17A0">
        <w:rPr>
          <w:rStyle w:val="FootnoteReference"/>
          <w:color w:val="000000" w:themeColor="text1"/>
          <w:szCs w:val="18"/>
        </w:rPr>
        <w:footnoteRef/>
      </w:r>
      <w:r w:rsidRPr="006C17A0">
        <w:rPr>
          <w:color w:val="000000" w:themeColor="text1"/>
          <w:szCs w:val="18"/>
        </w:rPr>
        <w:t xml:space="preserve"> </w:t>
      </w:r>
      <w:r w:rsidRPr="006C17A0">
        <w:rPr>
          <w:rFonts w:eastAsiaTheme="minorHAnsi"/>
          <w:color w:val="000000" w:themeColor="text1"/>
          <w:szCs w:val="18"/>
          <w:lang w:val="en-GB"/>
        </w:rPr>
        <w:t>(2017) 272 IR 289; [2017] FWC 6610.</w:t>
      </w:r>
    </w:p>
  </w:footnote>
  <w:footnote w:id="58">
    <w:p w14:paraId="0AE3B1AF" w14:textId="77777777" w:rsidR="005438FC" w:rsidRPr="006C17A0" w:rsidRDefault="005438FC" w:rsidP="005438FC">
      <w:pPr>
        <w:pStyle w:val="FootnoteText"/>
        <w:rPr>
          <w:color w:val="000000" w:themeColor="text1"/>
          <w:szCs w:val="18"/>
        </w:rPr>
      </w:pPr>
      <w:r w:rsidRPr="006C17A0">
        <w:rPr>
          <w:rStyle w:val="FootnoteReference"/>
          <w:color w:val="000000" w:themeColor="text1"/>
          <w:szCs w:val="18"/>
        </w:rPr>
        <w:footnoteRef/>
      </w:r>
      <w:r w:rsidRPr="006C17A0">
        <w:rPr>
          <w:color w:val="000000" w:themeColor="text1"/>
          <w:szCs w:val="18"/>
        </w:rPr>
        <w:t xml:space="preserve"> </w:t>
      </w:r>
      <w:r w:rsidRPr="006C17A0">
        <w:rPr>
          <w:rFonts w:eastAsiaTheme="minorHAnsi"/>
          <w:color w:val="000000" w:themeColor="text1"/>
          <w:szCs w:val="18"/>
          <w:lang w:val="en-GB"/>
        </w:rPr>
        <w:t>[2019] FWC 5008.</w:t>
      </w:r>
    </w:p>
  </w:footnote>
  <w:footnote w:id="59">
    <w:p w14:paraId="5C242C43" w14:textId="77777777" w:rsidR="005438FC" w:rsidRPr="006C17A0" w:rsidRDefault="005438FC" w:rsidP="005438FC">
      <w:pPr>
        <w:pStyle w:val="FootnoteText"/>
        <w:rPr>
          <w:color w:val="000000" w:themeColor="text1"/>
          <w:szCs w:val="18"/>
        </w:rPr>
      </w:pPr>
      <w:r w:rsidRPr="006C17A0">
        <w:rPr>
          <w:rStyle w:val="FootnoteReference"/>
          <w:color w:val="000000" w:themeColor="text1"/>
          <w:szCs w:val="18"/>
        </w:rPr>
        <w:footnoteRef/>
      </w:r>
      <w:r w:rsidRPr="006C17A0">
        <w:rPr>
          <w:color w:val="000000" w:themeColor="text1"/>
          <w:szCs w:val="18"/>
        </w:rPr>
        <w:t xml:space="preserve"> </w:t>
      </w:r>
      <w:r w:rsidRPr="006C17A0">
        <w:rPr>
          <w:rFonts w:eastAsiaTheme="minorHAnsi"/>
          <w:color w:val="000000" w:themeColor="text1"/>
          <w:szCs w:val="18"/>
          <w:lang w:val="en-GB"/>
        </w:rPr>
        <w:t>[2021] FWC 2818.</w:t>
      </w:r>
    </w:p>
  </w:footnote>
  <w:footnote w:id="60">
    <w:p w14:paraId="72C2EE30" w14:textId="77777777" w:rsidR="005438FC" w:rsidRPr="006C17A0" w:rsidRDefault="005438FC" w:rsidP="005438FC">
      <w:pPr>
        <w:pStyle w:val="FootnoteText"/>
        <w:rPr>
          <w:color w:val="000000" w:themeColor="text1"/>
          <w:szCs w:val="18"/>
        </w:rPr>
      </w:pPr>
      <w:r w:rsidRPr="006C17A0">
        <w:rPr>
          <w:rStyle w:val="FootnoteReference"/>
          <w:rFonts w:eastAsiaTheme="majorEastAsia"/>
          <w:color w:val="000000" w:themeColor="text1"/>
          <w:szCs w:val="18"/>
        </w:rPr>
        <w:footnoteRef/>
      </w:r>
      <w:r w:rsidRPr="006C17A0">
        <w:rPr>
          <w:color w:val="000000" w:themeColor="text1"/>
          <w:szCs w:val="18"/>
        </w:rPr>
        <w:t xml:space="preserve"> </w:t>
      </w:r>
      <w:proofErr w:type="gramStart"/>
      <w:r w:rsidRPr="006C17A0">
        <w:rPr>
          <w:color w:val="000000" w:themeColor="text1"/>
          <w:szCs w:val="18"/>
          <w:lang w:val="en-GB"/>
        </w:rPr>
        <w:t>Ibid  [</w:t>
      </w:r>
      <w:proofErr w:type="gramEnd"/>
      <w:r w:rsidRPr="006C17A0">
        <w:rPr>
          <w:color w:val="000000" w:themeColor="text1"/>
          <w:szCs w:val="18"/>
          <w:lang w:val="en-GB"/>
        </w:rPr>
        <w:t>122].</w:t>
      </w:r>
    </w:p>
  </w:footnote>
  <w:footnote w:id="61">
    <w:p w14:paraId="3B389E33" w14:textId="77777777" w:rsidR="005438FC" w:rsidRPr="006C17A0" w:rsidRDefault="005438FC" w:rsidP="005438FC">
      <w:pPr>
        <w:pStyle w:val="FootnoteText"/>
        <w:rPr>
          <w:color w:val="000000" w:themeColor="text1"/>
          <w:szCs w:val="18"/>
        </w:rPr>
      </w:pPr>
      <w:r w:rsidRPr="006C17A0">
        <w:rPr>
          <w:rStyle w:val="FootnoteReference"/>
          <w:color w:val="000000" w:themeColor="text1"/>
          <w:szCs w:val="18"/>
        </w:rPr>
        <w:footnoteRef/>
      </w:r>
      <w:r w:rsidRPr="006C17A0">
        <w:rPr>
          <w:color w:val="000000" w:themeColor="text1"/>
          <w:szCs w:val="18"/>
        </w:rPr>
        <w:t xml:space="preserve"> Ibid [40].</w:t>
      </w:r>
    </w:p>
  </w:footnote>
  <w:footnote w:id="62">
    <w:p w14:paraId="0619E0A0" w14:textId="77777777" w:rsidR="005438FC" w:rsidRPr="006C17A0" w:rsidRDefault="005438FC" w:rsidP="005438FC">
      <w:pPr>
        <w:pStyle w:val="FootnoteText"/>
        <w:rPr>
          <w:color w:val="000000" w:themeColor="text1"/>
          <w:szCs w:val="18"/>
        </w:rPr>
      </w:pPr>
      <w:r w:rsidRPr="006C17A0">
        <w:rPr>
          <w:rStyle w:val="FootnoteReference"/>
          <w:rFonts w:eastAsiaTheme="majorEastAsia"/>
          <w:color w:val="000000" w:themeColor="text1"/>
          <w:szCs w:val="18"/>
        </w:rPr>
        <w:footnoteRef/>
      </w:r>
      <w:r w:rsidRPr="006C17A0">
        <w:rPr>
          <w:color w:val="000000" w:themeColor="text1"/>
          <w:szCs w:val="18"/>
        </w:rPr>
        <w:t xml:space="preserve"> Ibid [120]. </w:t>
      </w:r>
    </w:p>
  </w:footnote>
  <w:footnote w:id="63">
    <w:p w14:paraId="29CB024A" w14:textId="77777777" w:rsidR="005438FC" w:rsidRPr="006C17A0" w:rsidRDefault="005438FC" w:rsidP="005438FC">
      <w:pPr>
        <w:pStyle w:val="FootnoteText"/>
        <w:rPr>
          <w:color w:val="000000" w:themeColor="text1"/>
          <w:szCs w:val="18"/>
        </w:rPr>
      </w:pPr>
      <w:r w:rsidRPr="006C17A0">
        <w:rPr>
          <w:rStyle w:val="FootnoteReference"/>
          <w:color w:val="000000" w:themeColor="text1"/>
          <w:szCs w:val="18"/>
        </w:rPr>
        <w:footnoteRef/>
      </w:r>
      <w:r w:rsidRPr="006C17A0">
        <w:rPr>
          <w:rFonts w:cs="áÃ¸À˛"/>
          <w:color w:val="000000" w:themeColor="text1"/>
          <w:szCs w:val="18"/>
          <w:lang w:val="en-GB"/>
        </w:rPr>
        <w:t>[2022] HCA 1 (‘</w:t>
      </w:r>
      <w:r w:rsidRPr="006C17A0">
        <w:rPr>
          <w:rFonts w:cs="áÃ¸À˛"/>
          <w:i/>
          <w:iCs/>
          <w:color w:val="000000" w:themeColor="text1"/>
          <w:szCs w:val="18"/>
          <w:lang w:val="en-GB"/>
        </w:rPr>
        <w:t>CFMMEU</w:t>
      </w:r>
      <w:r w:rsidRPr="006C17A0">
        <w:rPr>
          <w:rFonts w:cs="áÃ¸À˛"/>
          <w:color w:val="000000" w:themeColor="text1"/>
          <w:szCs w:val="18"/>
          <w:lang w:val="en-GB"/>
        </w:rPr>
        <w:t>’)</w:t>
      </w:r>
    </w:p>
  </w:footnote>
  <w:footnote w:id="64">
    <w:p w14:paraId="6C239225" w14:textId="77777777" w:rsidR="005438FC" w:rsidRPr="006C17A0" w:rsidRDefault="005438FC" w:rsidP="005438FC">
      <w:pPr>
        <w:pStyle w:val="FootnoteText"/>
        <w:rPr>
          <w:color w:val="000000" w:themeColor="text1"/>
          <w:szCs w:val="18"/>
        </w:rPr>
      </w:pPr>
      <w:r w:rsidRPr="006C17A0">
        <w:rPr>
          <w:rStyle w:val="FootnoteReference"/>
          <w:color w:val="000000" w:themeColor="text1"/>
          <w:szCs w:val="18"/>
        </w:rPr>
        <w:footnoteRef/>
      </w:r>
      <w:r w:rsidRPr="006C17A0">
        <w:rPr>
          <w:color w:val="000000" w:themeColor="text1"/>
          <w:szCs w:val="18"/>
        </w:rPr>
        <w:t xml:space="preserve"> [</w:t>
      </w:r>
      <w:r w:rsidRPr="006C17A0">
        <w:rPr>
          <w:rFonts w:cs="áÃ¸À˛"/>
          <w:color w:val="000000" w:themeColor="text1"/>
          <w:szCs w:val="18"/>
          <w:lang w:val="en-GB"/>
        </w:rPr>
        <w:t>2022] HCA 2 (‘</w:t>
      </w:r>
      <w:proofErr w:type="spellStart"/>
      <w:r w:rsidRPr="006C17A0">
        <w:rPr>
          <w:rFonts w:cs="áÃ¸À˛"/>
          <w:i/>
          <w:iCs/>
          <w:color w:val="000000" w:themeColor="text1"/>
          <w:szCs w:val="18"/>
          <w:lang w:val="en-GB"/>
        </w:rPr>
        <w:t>Jamsek</w:t>
      </w:r>
      <w:proofErr w:type="spellEnd"/>
      <w:r w:rsidRPr="006C17A0">
        <w:rPr>
          <w:rFonts w:cs="áÃ¸À˛"/>
          <w:color w:val="000000" w:themeColor="text1"/>
          <w:szCs w:val="18"/>
          <w:lang w:val="en-GB"/>
        </w:rPr>
        <w:t>’)</w:t>
      </w:r>
    </w:p>
  </w:footnote>
  <w:footnote w:id="65">
    <w:p w14:paraId="2BAA774D" w14:textId="77777777" w:rsidR="005438FC" w:rsidRPr="006C17A0" w:rsidRDefault="005438FC" w:rsidP="005438FC">
      <w:pPr>
        <w:pStyle w:val="FootnoteText"/>
        <w:rPr>
          <w:color w:val="000000" w:themeColor="text1"/>
          <w:szCs w:val="18"/>
        </w:rPr>
      </w:pPr>
      <w:r w:rsidRPr="006C17A0">
        <w:rPr>
          <w:rStyle w:val="FootnoteReference"/>
          <w:color w:val="000000" w:themeColor="text1"/>
          <w:szCs w:val="18"/>
        </w:rPr>
        <w:footnoteRef/>
      </w:r>
      <w:r w:rsidRPr="006C17A0">
        <w:rPr>
          <w:color w:val="000000" w:themeColor="text1"/>
          <w:szCs w:val="18"/>
        </w:rPr>
        <w:t xml:space="preserve"> (2021) 392 ALR 39 </w:t>
      </w:r>
      <w:r w:rsidRPr="006C17A0">
        <w:rPr>
          <w:rFonts w:cs="áÃ¸À˛"/>
          <w:color w:val="000000" w:themeColor="text1"/>
          <w:szCs w:val="18"/>
          <w:lang w:val="en-GB"/>
        </w:rPr>
        <w:t xml:space="preserve"> (‘</w:t>
      </w:r>
      <w:proofErr w:type="spellStart"/>
      <w:r w:rsidRPr="006C17A0">
        <w:rPr>
          <w:rFonts w:cs="áÃ¸À˛"/>
          <w:i/>
          <w:iCs/>
          <w:color w:val="000000" w:themeColor="text1"/>
          <w:szCs w:val="18"/>
          <w:lang w:val="en-GB"/>
        </w:rPr>
        <w:t>Rossato</w:t>
      </w:r>
      <w:proofErr w:type="spellEnd"/>
      <w:r w:rsidRPr="006C17A0">
        <w:rPr>
          <w:rFonts w:cs="áÃ¸À˛"/>
          <w:color w:val="000000" w:themeColor="text1"/>
          <w:szCs w:val="18"/>
          <w:lang w:val="en-GB"/>
        </w:rPr>
        <w:t>’)</w:t>
      </w:r>
    </w:p>
  </w:footnote>
  <w:footnote w:id="66">
    <w:p w14:paraId="45AF8124" w14:textId="10D8A941" w:rsidR="005438FC" w:rsidRPr="006C17A0" w:rsidRDefault="005438FC" w:rsidP="005438FC">
      <w:pPr>
        <w:pStyle w:val="FootnoteText"/>
        <w:rPr>
          <w:color w:val="000000" w:themeColor="text1"/>
          <w:szCs w:val="18"/>
        </w:rPr>
      </w:pPr>
      <w:r w:rsidRPr="006C17A0">
        <w:rPr>
          <w:rStyle w:val="FootnoteReference"/>
          <w:rFonts w:eastAsiaTheme="majorEastAsia"/>
          <w:color w:val="000000" w:themeColor="text1"/>
          <w:szCs w:val="18"/>
        </w:rPr>
        <w:footnoteRef/>
      </w:r>
      <w:r w:rsidRPr="006C17A0">
        <w:rPr>
          <w:color w:val="000000" w:themeColor="text1"/>
          <w:szCs w:val="18"/>
        </w:rPr>
        <w:t xml:space="preserve"> </w:t>
      </w:r>
      <w:r w:rsidRPr="006C17A0">
        <w:rPr>
          <w:i/>
          <w:iCs/>
          <w:color w:val="000000" w:themeColor="text1"/>
          <w:szCs w:val="18"/>
        </w:rPr>
        <w:t>CFMMEU</w:t>
      </w:r>
      <w:r w:rsidRPr="006C17A0">
        <w:rPr>
          <w:color w:val="000000" w:themeColor="text1"/>
          <w:szCs w:val="18"/>
        </w:rPr>
        <w:t xml:space="preserve"> (n </w:t>
      </w:r>
      <w:r w:rsidR="00AD24C9">
        <w:rPr>
          <w:color w:val="000000" w:themeColor="text1"/>
          <w:szCs w:val="18"/>
        </w:rPr>
        <w:t>63</w:t>
      </w:r>
      <w:r w:rsidRPr="006C17A0">
        <w:rPr>
          <w:color w:val="000000" w:themeColor="text1"/>
          <w:szCs w:val="18"/>
        </w:rPr>
        <w:t>) [43] (</w:t>
      </w:r>
      <w:proofErr w:type="spellStart"/>
      <w:r w:rsidRPr="006C17A0">
        <w:rPr>
          <w:color w:val="000000" w:themeColor="text1"/>
          <w:szCs w:val="18"/>
        </w:rPr>
        <w:t>Kiefel</w:t>
      </w:r>
      <w:proofErr w:type="spellEnd"/>
      <w:r w:rsidRPr="006C17A0">
        <w:rPr>
          <w:color w:val="000000" w:themeColor="text1"/>
          <w:szCs w:val="18"/>
        </w:rPr>
        <w:t xml:space="preserve"> CJ, Keane and Edelman JJ).</w:t>
      </w:r>
    </w:p>
  </w:footnote>
  <w:footnote w:id="67">
    <w:p w14:paraId="78FA1672" w14:textId="130677D1" w:rsidR="005438FC" w:rsidRPr="006C17A0" w:rsidRDefault="005438FC" w:rsidP="005438FC">
      <w:pPr>
        <w:pStyle w:val="FootnoteText"/>
        <w:rPr>
          <w:color w:val="000000" w:themeColor="text1"/>
          <w:szCs w:val="18"/>
        </w:rPr>
      </w:pPr>
      <w:r w:rsidRPr="006C17A0">
        <w:rPr>
          <w:rStyle w:val="FootnoteReference"/>
          <w:rFonts w:eastAsiaTheme="majorEastAsia"/>
          <w:color w:val="000000" w:themeColor="text1"/>
          <w:szCs w:val="18"/>
        </w:rPr>
        <w:footnoteRef/>
      </w:r>
      <w:r w:rsidRPr="006C17A0">
        <w:rPr>
          <w:color w:val="000000" w:themeColor="text1"/>
          <w:szCs w:val="18"/>
        </w:rPr>
        <w:t xml:space="preserve"> Ibid [59]; </w:t>
      </w:r>
      <w:proofErr w:type="spellStart"/>
      <w:r w:rsidRPr="006C17A0">
        <w:rPr>
          <w:i/>
          <w:iCs/>
          <w:color w:val="000000" w:themeColor="text1"/>
          <w:szCs w:val="18"/>
        </w:rPr>
        <w:t>Jamsek</w:t>
      </w:r>
      <w:proofErr w:type="spellEnd"/>
      <w:r w:rsidRPr="006C17A0">
        <w:rPr>
          <w:color w:val="000000" w:themeColor="text1"/>
          <w:szCs w:val="18"/>
        </w:rPr>
        <w:t xml:space="preserve"> (n </w:t>
      </w:r>
      <w:r w:rsidR="002C2046">
        <w:rPr>
          <w:color w:val="000000" w:themeColor="text1"/>
          <w:szCs w:val="18"/>
        </w:rPr>
        <w:t>64</w:t>
      </w:r>
      <w:r w:rsidRPr="006C17A0">
        <w:rPr>
          <w:color w:val="000000" w:themeColor="text1"/>
          <w:szCs w:val="18"/>
        </w:rPr>
        <w:t xml:space="preserve">) [6], [62]; </w:t>
      </w:r>
      <w:proofErr w:type="spellStart"/>
      <w:r w:rsidRPr="006C17A0">
        <w:rPr>
          <w:color w:val="000000" w:themeColor="text1"/>
          <w:szCs w:val="18"/>
        </w:rPr>
        <w:t>Rossato</w:t>
      </w:r>
      <w:proofErr w:type="spellEnd"/>
      <w:r w:rsidRPr="006C17A0">
        <w:rPr>
          <w:color w:val="000000" w:themeColor="text1"/>
          <w:szCs w:val="18"/>
        </w:rPr>
        <w:t xml:space="preserve"> (n </w:t>
      </w:r>
      <w:r w:rsidR="002C2046">
        <w:rPr>
          <w:color w:val="000000" w:themeColor="text1"/>
          <w:szCs w:val="18"/>
        </w:rPr>
        <w:t>65</w:t>
      </w:r>
      <w:r w:rsidRPr="006C17A0">
        <w:rPr>
          <w:color w:val="000000" w:themeColor="text1"/>
          <w:szCs w:val="18"/>
        </w:rPr>
        <w:t xml:space="preserve">) [62]-[63]. </w:t>
      </w:r>
    </w:p>
  </w:footnote>
  <w:footnote w:id="68">
    <w:p w14:paraId="2D3C017C" w14:textId="77777777" w:rsidR="005438FC" w:rsidRPr="006C17A0" w:rsidRDefault="005438FC" w:rsidP="005438FC">
      <w:pPr>
        <w:pStyle w:val="FootnoteText"/>
        <w:rPr>
          <w:color w:val="000000" w:themeColor="text1"/>
          <w:szCs w:val="18"/>
        </w:rPr>
      </w:pPr>
      <w:r w:rsidRPr="006C17A0">
        <w:rPr>
          <w:rStyle w:val="FootnoteReference"/>
          <w:color w:val="000000" w:themeColor="text1"/>
          <w:szCs w:val="18"/>
        </w:rPr>
        <w:footnoteRef/>
      </w:r>
      <w:r w:rsidRPr="006C17A0">
        <w:rPr>
          <w:color w:val="000000" w:themeColor="text1"/>
          <w:szCs w:val="18"/>
        </w:rPr>
        <w:t xml:space="preserve"> </w:t>
      </w:r>
      <w:proofErr w:type="spellStart"/>
      <w:r w:rsidRPr="006C17A0">
        <w:rPr>
          <w:color w:val="000000" w:themeColor="text1"/>
          <w:szCs w:val="18"/>
        </w:rPr>
        <w:t>Rossato</w:t>
      </w:r>
      <w:proofErr w:type="spellEnd"/>
      <w:r w:rsidRPr="006C17A0">
        <w:rPr>
          <w:color w:val="000000" w:themeColor="text1"/>
          <w:szCs w:val="18"/>
        </w:rPr>
        <w:t xml:space="preserve"> [63], citing </w:t>
      </w:r>
      <w:r w:rsidRPr="006C17A0">
        <w:rPr>
          <w:i/>
          <w:iCs/>
          <w:color w:val="000000" w:themeColor="text1"/>
          <w:szCs w:val="18"/>
        </w:rPr>
        <w:t>Charter Reinsurance Co Ltd v Fagan</w:t>
      </w:r>
      <w:r w:rsidRPr="006C17A0">
        <w:rPr>
          <w:color w:val="000000" w:themeColor="text1"/>
          <w:szCs w:val="18"/>
        </w:rPr>
        <w:t xml:space="preserve"> [1997] AC 313, 388. </w:t>
      </w:r>
    </w:p>
  </w:footnote>
  <w:footnote w:id="69">
    <w:p w14:paraId="7211C570" w14:textId="77777777" w:rsidR="005438FC" w:rsidRPr="006C17A0" w:rsidRDefault="005438FC" w:rsidP="005438FC">
      <w:pPr>
        <w:pStyle w:val="FootnoteText"/>
        <w:rPr>
          <w:color w:val="000000" w:themeColor="text1"/>
          <w:szCs w:val="18"/>
        </w:rPr>
      </w:pPr>
      <w:r w:rsidRPr="006C17A0">
        <w:rPr>
          <w:rStyle w:val="FootnoteReference"/>
          <w:color w:val="000000" w:themeColor="text1"/>
          <w:szCs w:val="18"/>
        </w:rPr>
        <w:footnoteRef/>
      </w:r>
      <w:r w:rsidRPr="006C17A0">
        <w:rPr>
          <w:color w:val="000000" w:themeColor="text1"/>
          <w:szCs w:val="18"/>
        </w:rPr>
        <w:t xml:space="preserve"> [2022] FWCFB 156.</w:t>
      </w:r>
    </w:p>
  </w:footnote>
  <w:footnote w:id="70">
    <w:p w14:paraId="2ED06043" w14:textId="77777777" w:rsidR="005438FC" w:rsidRPr="006C17A0" w:rsidRDefault="005438FC" w:rsidP="005438FC">
      <w:pPr>
        <w:pStyle w:val="FootnoteText"/>
        <w:rPr>
          <w:color w:val="000000" w:themeColor="text1"/>
          <w:szCs w:val="18"/>
        </w:rPr>
      </w:pPr>
      <w:r w:rsidRPr="006C17A0">
        <w:rPr>
          <w:rStyle w:val="FootnoteReference"/>
          <w:color w:val="000000" w:themeColor="text1"/>
          <w:szCs w:val="18"/>
        </w:rPr>
        <w:footnoteRef/>
      </w:r>
      <w:r w:rsidRPr="006C17A0">
        <w:rPr>
          <w:color w:val="000000" w:themeColor="text1"/>
          <w:szCs w:val="18"/>
        </w:rPr>
        <w:t xml:space="preserve"> Ibid [39]. </w:t>
      </w:r>
    </w:p>
  </w:footnote>
  <w:footnote w:id="71">
    <w:p w14:paraId="0B09A683" w14:textId="77777777" w:rsidR="005438FC" w:rsidRPr="006C17A0" w:rsidRDefault="005438FC" w:rsidP="005438FC">
      <w:pPr>
        <w:pStyle w:val="FootnoteText"/>
        <w:rPr>
          <w:color w:val="000000" w:themeColor="text1"/>
          <w:szCs w:val="18"/>
        </w:rPr>
      </w:pPr>
      <w:r w:rsidRPr="006C17A0">
        <w:rPr>
          <w:rStyle w:val="FootnoteReference"/>
          <w:color w:val="000000" w:themeColor="text1"/>
          <w:szCs w:val="18"/>
        </w:rPr>
        <w:footnoteRef/>
      </w:r>
      <w:r w:rsidRPr="006C17A0">
        <w:rPr>
          <w:color w:val="000000" w:themeColor="text1"/>
          <w:szCs w:val="18"/>
        </w:rPr>
        <w:t xml:space="preserve"> Ibid  [57].</w:t>
      </w:r>
    </w:p>
  </w:footnote>
  <w:footnote w:id="72">
    <w:p w14:paraId="0C459D99" w14:textId="77777777" w:rsidR="005438FC" w:rsidRPr="006C17A0" w:rsidRDefault="005438FC" w:rsidP="005438FC">
      <w:pPr>
        <w:pStyle w:val="FootnoteText"/>
        <w:rPr>
          <w:color w:val="000000" w:themeColor="text1"/>
          <w:szCs w:val="18"/>
        </w:rPr>
      </w:pPr>
      <w:r w:rsidRPr="006C17A0">
        <w:rPr>
          <w:rStyle w:val="FootnoteReference"/>
          <w:color w:val="000000" w:themeColor="text1"/>
          <w:szCs w:val="18"/>
        </w:rPr>
        <w:footnoteRef/>
      </w:r>
      <w:r w:rsidRPr="006C17A0">
        <w:rPr>
          <w:color w:val="000000" w:themeColor="text1"/>
          <w:szCs w:val="18"/>
        </w:rPr>
        <w:t xml:space="preserve"> Ibid [52]-[54].</w:t>
      </w:r>
    </w:p>
  </w:footnote>
  <w:footnote w:id="73">
    <w:p w14:paraId="65BBBE49" w14:textId="77777777" w:rsidR="005438FC" w:rsidRPr="006C17A0" w:rsidRDefault="005438FC" w:rsidP="005438FC">
      <w:pPr>
        <w:pStyle w:val="FootnoteText"/>
        <w:rPr>
          <w:color w:val="000000" w:themeColor="text1"/>
          <w:szCs w:val="18"/>
        </w:rPr>
      </w:pPr>
      <w:r w:rsidRPr="006C17A0">
        <w:rPr>
          <w:rStyle w:val="FootnoteReference"/>
          <w:color w:val="000000" w:themeColor="text1"/>
          <w:szCs w:val="18"/>
        </w:rPr>
        <w:footnoteRef/>
      </w:r>
      <w:r w:rsidRPr="006C17A0">
        <w:rPr>
          <w:color w:val="000000" w:themeColor="text1"/>
          <w:szCs w:val="18"/>
        </w:rPr>
        <w:t xml:space="preserve"> Ibid 54. </w:t>
      </w:r>
    </w:p>
  </w:footnote>
  <w:footnote w:id="74">
    <w:p w14:paraId="6E7FF033" w14:textId="77777777" w:rsidR="005438FC" w:rsidRPr="006C17A0" w:rsidRDefault="005438FC" w:rsidP="005438FC">
      <w:pPr>
        <w:pStyle w:val="FootnoteText"/>
        <w:rPr>
          <w:color w:val="000000" w:themeColor="text1"/>
          <w:szCs w:val="18"/>
        </w:rPr>
      </w:pPr>
      <w:r w:rsidRPr="006C17A0">
        <w:rPr>
          <w:rStyle w:val="FootnoteReference"/>
          <w:color w:val="000000" w:themeColor="text1"/>
          <w:szCs w:val="18"/>
        </w:rPr>
        <w:footnoteRef/>
      </w:r>
      <w:r w:rsidRPr="006C17A0">
        <w:rPr>
          <w:color w:val="000000" w:themeColor="text1"/>
          <w:szCs w:val="18"/>
        </w:rPr>
        <w:t xml:space="preserve"> </w:t>
      </w:r>
      <w:r w:rsidRPr="006C17A0">
        <w:rPr>
          <w:i/>
          <w:iCs/>
          <w:color w:val="000000" w:themeColor="text1"/>
          <w:szCs w:val="18"/>
        </w:rPr>
        <w:t>Work Health and Safety Act 2011</w:t>
      </w:r>
      <w:r w:rsidRPr="006C17A0">
        <w:rPr>
          <w:color w:val="000000" w:themeColor="text1"/>
          <w:szCs w:val="18"/>
        </w:rPr>
        <w:t xml:space="preserve"> (</w:t>
      </w:r>
      <w:proofErr w:type="spellStart"/>
      <w:r w:rsidRPr="006C17A0">
        <w:rPr>
          <w:color w:val="000000" w:themeColor="text1"/>
          <w:szCs w:val="18"/>
        </w:rPr>
        <w:t>Cth</w:t>
      </w:r>
      <w:proofErr w:type="spellEnd"/>
      <w:r w:rsidRPr="006C17A0">
        <w:rPr>
          <w:color w:val="000000" w:themeColor="text1"/>
          <w:szCs w:val="18"/>
        </w:rPr>
        <w:t xml:space="preserve">) s 7. </w:t>
      </w:r>
    </w:p>
  </w:footnote>
  <w:footnote w:id="75">
    <w:p w14:paraId="3D2ED421" w14:textId="77777777" w:rsidR="005438FC" w:rsidRPr="006C17A0" w:rsidRDefault="005438FC" w:rsidP="005438FC">
      <w:pPr>
        <w:pStyle w:val="FootnoteText"/>
        <w:rPr>
          <w:color w:val="000000" w:themeColor="text1"/>
          <w:szCs w:val="18"/>
        </w:rPr>
      </w:pPr>
      <w:r w:rsidRPr="006C17A0">
        <w:rPr>
          <w:rStyle w:val="FootnoteReference"/>
          <w:rFonts w:eastAsiaTheme="majorEastAsia"/>
          <w:color w:val="000000" w:themeColor="text1"/>
          <w:szCs w:val="18"/>
        </w:rPr>
        <w:footnoteRef/>
      </w:r>
      <w:r w:rsidRPr="006C17A0">
        <w:rPr>
          <w:color w:val="000000" w:themeColor="text1"/>
          <w:szCs w:val="18"/>
        </w:rPr>
        <w:t xml:space="preserve"> Explanatory memorandum, Model Work Health and Safety Bill (</w:t>
      </w:r>
      <w:proofErr w:type="spellStart"/>
      <w:r w:rsidRPr="006C17A0">
        <w:rPr>
          <w:color w:val="000000" w:themeColor="text1"/>
          <w:szCs w:val="18"/>
        </w:rPr>
        <w:t>Cth</w:t>
      </w:r>
      <w:proofErr w:type="spellEnd"/>
      <w:r w:rsidRPr="006C17A0">
        <w:rPr>
          <w:color w:val="000000" w:themeColor="text1"/>
          <w:szCs w:val="18"/>
        </w:rPr>
        <w:t xml:space="preserve">), 8.  </w:t>
      </w:r>
    </w:p>
  </w:footnote>
  <w:footnote w:id="76">
    <w:p w14:paraId="488CDCB7" w14:textId="195FCC15" w:rsidR="005438FC" w:rsidRPr="006C17A0" w:rsidRDefault="005438FC" w:rsidP="005438FC">
      <w:pPr>
        <w:pStyle w:val="FootnoteText"/>
        <w:rPr>
          <w:color w:val="000000" w:themeColor="text1"/>
          <w:szCs w:val="18"/>
        </w:rPr>
      </w:pPr>
      <w:r w:rsidRPr="006C17A0">
        <w:rPr>
          <w:rStyle w:val="FootnoteReference"/>
          <w:rFonts w:eastAsiaTheme="majorEastAsia"/>
          <w:color w:val="000000" w:themeColor="text1"/>
          <w:szCs w:val="18"/>
        </w:rPr>
        <w:footnoteRef/>
      </w:r>
      <w:r w:rsidRPr="006C17A0">
        <w:rPr>
          <w:color w:val="000000" w:themeColor="text1"/>
          <w:szCs w:val="18"/>
        </w:rPr>
        <w:t xml:space="preserve"> </w:t>
      </w:r>
      <w:r w:rsidRPr="006C17A0">
        <w:rPr>
          <w:i/>
          <w:iCs/>
          <w:color w:val="000000" w:themeColor="text1"/>
          <w:szCs w:val="18"/>
          <w:lang w:val="en-GB"/>
        </w:rPr>
        <w:t>FWA</w:t>
      </w:r>
      <w:r w:rsidRPr="006C17A0">
        <w:rPr>
          <w:color w:val="000000" w:themeColor="text1"/>
          <w:szCs w:val="18"/>
          <w:lang w:val="en-GB"/>
        </w:rPr>
        <w:t xml:space="preserve"> (n </w:t>
      </w:r>
      <w:r w:rsidR="00591437" w:rsidRPr="006C17A0">
        <w:rPr>
          <w:color w:val="000000" w:themeColor="text1"/>
          <w:szCs w:val="18"/>
          <w:lang w:val="en-GB"/>
        </w:rPr>
        <w:t>4</w:t>
      </w:r>
      <w:r w:rsidRPr="006C17A0">
        <w:rPr>
          <w:color w:val="000000" w:themeColor="text1"/>
          <w:szCs w:val="18"/>
          <w:lang w:val="en-GB"/>
        </w:rPr>
        <w:t>) ss 789BA–789BC.</w:t>
      </w:r>
    </w:p>
  </w:footnote>
  <w:footnote w:id="77">
    <w:p w14:paraId="5EFC3371" w14:textId="77777777" w:rsidR="005438FC" w:rsidRPr="006C17A0" w:rsidRDefault="005438FC" w:rsidP="005438FC">
      <w:pPr>
        <w:pStyle w:val="FootnoteText"/>
        <w:rPr>
          <w:color w:val="000000" w:themeColor="text1"/>
          <w:szCs w:val="18"/>
        </w:rPr>
      </w:pPr>
      <w:r w:rsidRPr="006C17A0">
        <w:rPr>
          <w:rStyle w:val="FootnoteReference"/>
          <w:color w:val="000000" w:themeColor="text1"/>
          <w:szCs w:val="18"/>
        </w:rPr>
        <w:footnoteRef/>
      </w:r>
      <w:r w:rsidRPr="006C17A0">
        <w:rPr>
          <w:color w:val="000000" w:themeColor="text1"/>
          <w:szCs w:val="18"/>
        </w:rPr>
        <w:t xml:space="preserve"> Andrew Stewart, ‘Redefining Employment? Meeting the Challenge of Contract and Agency Labour’ (2002) 15 </w:t>
      </w:r>
      <w:r w:rsidRPr="006C17A0">
        <w:rPr>
          <w:i/>
          <w:iCs/>
          <w:color w:val="000000" w:themeColor="text1"/>
          <w:szCs w:val="18"/>
        </w:rPr>
        <w:t xml:space="preserve">Australian Journal of Labour Law </w:t>
      </w:r>
      <w:r w:rsidRPr="006C17A0">
        <w:rPr>
          <w:color w:val="000000" w:themeColor="text1"/>
          <w:szCs w:val="18"/>
        </w:rPr>
        <w:t xml:space="preserve">235.  </w:t>
      </w:r>
    </w:p>
  </w:footnote>
  <w:footnote w:id="78">
    <w:p w14:paraId="0C4E6386" w14:textId="77777777" w:rsidR="005438FC" w:rsidRPr="006C17A0" w:rsidRDefault="005438FC" w:rsidP="005438FC">
      <w:pPr>
        <w:pStyle w:val="FootnoteText"/>
        <w:rPr>
          <w:color w:val="000000" w:themeColor="text1"/>
          <w:szCs w:val="18"/>
        </w:rPr>
      </w:pPr>
      <w:r w:rsidRPr="006C17A0">
        <w:rPr>
          <w:rStyle w:val="FootnoteReference"/>
          <w:color w:val="000000" w:themeColor="text1"/>
          <w:szCs w:val="18"/>
        </w:rPr>
        <w:footnoteRef/>
      </w:r>
      <w:r w:rsidRPr="006C17A0">
        <w:rPr>
          <w:color w:val="000000" w:themeColor="text1"/>
          <w:szCs w:val="18"/>
        </w:rPr>
        <w:t xml:space="preserve"> House of Representatives Standing Committee on Employment, Workplace relations and Workforce Participation, Parliament of Australia, </w:t>
      </w:r>
      <w:proofErr w:type="gramStart"/>
      <w:r w:rsidRPr="006C17A0">
        <w:rPr>
          <w:i/>
          <w:iCs/>
          <w:color w:val="000000" w:themeColor="text1"/>
          <w:szCs w:val="18"/>
        </w:rPr>
        <w:t>Making</w:t>
      </w:r>
      <w:proofErr w:type="gramEnd"/>
      <w:r w:rsidRPr="006C17A0">
        <w:rPr>
          <w:i/>
          <w:iCs/>
          <w:color w:val="000000" w:themeColor="text1"/>
          <w:szCs w:val="18"/>
        </w:rPr>
        <w:t xml:space="preserve"> it Work: Inquiry into Independent Contracting and Labour Hire Arrangements </w:t>
      </w:r>
      <w:r w:rsidRPr="006C17A0">
        <w:rPr>
          <w:color w:val="000000" w:themeColor="text1"/>
          <w:szCs w:val="18"/>
        </w:rPr>
        <w:t xml:space="preserve">(Report, August 2005).  </w:t>
      </w:r>
    </w:p>
  </w:footnote>
  <w:footnote w:id="79">
    <w:p w14:paraId="77EB423F" w14:textId="1DD04A18" w:rsidR="007D62A0" w:rsidRPr="006C17A0" w:rsidRDefault="007D62A0">
      <w:pPr>
        <w:pStyle w:val="FootnoteText"/>
        <w:rPr>
          <w:color w:val="000000" w:themeColor="text1"/>
          <w:szCs w:val="18"/>
        </w:rPr>
      </w:pPr>
      <w:r w:rsidRPr="006C17A0">
        <w:rPr>
          <w:rStyle w:val="FootnoteReference"/>
          <w:color w:val="000000" w:themeColor="text1"/>
          <w:szCs w:val="18"/>
        </w:rPr>
        <w:footnoteRef/>
      </w:r>
      <w:r w:rsidRPr="006C17A0">
        <w:rPr>
          <w:color w:val="000000" w:themeColor="text1"/>
          <w:szCs w:val="18"/>
        </w:rPr>
        <w:t xml:space="preserve"> </w:t>
      </w:r>
      <w:r w:rsidRPr="006C17A0">
        <w:rPr>
          <w:rFonts w:eastAsiaTheme="minorHAnsi"/>
          <w:i/>
          <w:iCs/>
          <w:color w:val="000000" w:themeColor="text1"/>
          <w:szCs w:val="18"/>
          <w:lang w:val="en-GB"/>
        </w:rPr>
        <w:t>Hancock Report</w:t>
      </w:r>
      <w:r w:rsidRPr="006C17A0">
        <w:rPr>
          <w:rFonts w:eastAsiaTheme="minorHAnsi"/>
          <w:color w:val="000000" w:themeColor="text1"/>
          <w:szCs w:val="18"/>
          <w:lang w:val="en-GB"/>
        </w:rPr>
        <w:t xml:space="preserve"> (n 5) </w:t>
      </w:r>
      <w:r w:rsidRPr="006C17A0">
        <w:rPr>
          <w:color w:val="000000" w:themeColor="text1"/>
          <w:szCs w:val="18"/>
        </w:rPr>
        <w:t>355-66</w:t>
      </w:r>
    </w:p>
  </w:footnote>
  <w:footnote w:id="80">
    <w:p w14:paraId="3B15013C" w14:textId="71DCFC83" w:rsidR="00F623F6" w:rsidRPr="006C17A0" w:rsidRDefault="00F623F6">
      <w:pPr>
        <w:pStyle w:val="FootnoteText"/>
        <w:rPr>
          <w:color w:val="000000" w:themeColor="text1"/>
          <w:szCs w:val="18"/>
        </w:rPr>
      </w:pPr>
      <w:r w:rsidRPr="006C17A0">
        <w:rPr>
          <w:rStyle w:val="FootnoteReference"/>
          <w:color w:val="000000" w:themeColor="text1"/>
          <w:szCs w:val="18"/>
        </w:rPr>
        <w:footnoteRef/>
      </w:r>
      <w:r w:rsidRPr="006C17A0">
        <w:rPr>
          <w:color w:val="000000" w:themeColor="text1"/>
          <w:szCs w:val="18"/>
        </w:rPr>
        <w:t xml:space="preserve"> </w:t>
      </w:r>
      <w:r w:rsidR="007D62A0" w:rsidRPr="006C17A0">
        <w:rPr>
          <w:color w:val="000000" w:themeColor="text1"/>
          <w:szCs w:val="18"/>
        </w:rPr>
        <w:t xml:space="preserve">Ibid </w:t>
      </w:r>
      <w:r w:rsidRPr="006C17A0">
        <w:rPr>
          <w:rFonts w:eastAsiaTheme="minorHAnsi"/>
          <w:color w:val="000000" w:themeColor="text1"/>
          <w:szCs w:val="18"/>
          <w:lang w:val="en-GB"/>
        </w:rPr>
        <w:t>363.</w:t>
      </w:r>
    </w:p>
  </w:footnote>
  <w:footnote w:id="81">
    <w:p w14:paraId="364CCD9E" w14:textId="7FF85806" w:rsidR="005438FC" w:rsidRPr="006C17A0" w:rsidRDefault="005438FC" w:rsidP="005438FC">
      <w:pPr>
        <w:pStyle w:val="FootnoteText"/>
        <w:rPr>
          <w:color w:val="000000" w:themeColor="text1"/>
          <w:szCs w:val="18"/>
        </w:rPr>
      </w:pPr>
      <w:r w:rsidRPr="006C17A0">
        <w:rPr>
          <w:rStyle w:val="FootnoteReference"/>
          <w:color w:val="000000" w:themeColor="text1"/>
          <w:szCs w:val="18"/>
        </w:rPr>
        <w:footnoteRef/>
      </w:r>
      <w:r w:rsidRPr="006C17A0">
        <w:rPr>
          <w:color w:val="000000" w:themeColor="text1"/>
          <w:szCs w:val="18"/>
        </w:rPr>
        <w:t xml:space="preserve"> </w:t>
      </w:r>
      <w:r w:rsidR="007D62A0" w:rsidRPr="006C17A0">
        <w:rPr>
          <w:color w:val="000000" w:themeColor="text1"/>
          <w:szCs w:val="18"/>
        </w:rPr>
        <w:t>Ibid.</w:t>
      </w:r>
      <w:r w:rsidR="007D62A0" w:rsidRPr="006C17A0">
        <w:rPr>
          <w:i/>
          <w:iCs/>
          <w:color w:val="000000" w:themeColor="text1"/>
          <w:szCs w:val="18"/>
        </w:rPr>
        <w:t xml:space="preserve"> </w:t>
      </w:r>
      <w:r w:rsidRPr="006C17A0">
        <w:rPr>
          <w:color w:val="000000" w:themeColor="text1"/>
          <w:szCs w:val="18"/>
        </w:rPr>
        <w:t xml:space="preserve"> </w:t>
      </w:r>
    </w:p>
  </w:footnote>
  <w:footnote w:id="82">
    <w:p w14:paraId="4C6FF0F4" w14:textId="14A3EA25" w:rsidR="00F85537" w:rsidRDefault="00F85537">
      <w:pPr>
        <w:pStyle w:val="FootnoteText"/>
      </w:pPr>
      <w:r>
        <w:rPr>
          <w:rStyle w:val="FootnoteReference"/>
        </w:rPr>
        <w:footnoteRef/>
      </w:r>
      <w:r>
        <w:t xml:space="preserve"> </w:t>
      </w:r>
      <w:r w:rsidRPr="00D67EC8">
        <w:rPr>
          <w:color w:val="000000" w:themeColor="text1"/>
          <w:szCs w:val="18"/>
        </w:rPr>
        <w:t xml:space="preserve">Select Committee on the Future of Work and Worker, Parliament of Australia, </w:t>
      </w:r>
      <w:r w:rsidRPr="00D67EC8">
        <w:rPr>
          <w:i/>
          <w:iCs/>
          <w:color w:val="000000" w:themeColor="text1"/>
          <w:szCs w:val="18"/>
        </w:rPr>
        <w:t>Hope is Not a Strategy- Our Shared Responsibility for the Future of Work and Workers (Report, February 2018)</w:t>
      </w:r>
      <w:r w:rsidR="00D67EC8" w:rsidRPr="00D67EC8">
        <w:rPr>
          <w:i/>
          <w:iCs/>
          <w:color w:val="000000" w:themeColor="text1"/>
          <w:szCs w:val="18"/>
        </w:rPr>
        <w:t>.</w:t>
      </w:r>
    </w:p>
  </w:footnote>
  <w:footnote w:id="83">
    <w:p w14:paraId="658C7849" w14:textId="1030C4AD" w:rsidR="0043532A" w:rsidRPr="006C17A0" w:rsidRDefault="0043532A">
      <w:pPr>
        <w:pStyle w:val="FootnoteText"/>
        <w:rPr>
          <w:color w:val="000000" w:themeColor="text1"/>
          <w:szCs w:val="18"/>
        </w:rPr>
      </w:pPr>
      <w:r w:rsidRPr="006C17A0">
        <w:rPr>
          <w:rStyle w:val="FootnoteReference"/>
          <w:color w:val="000000" w:themeColor="text1"/>
          <w:szCs w:val="18"/>
        </w:rPr>
        <w:footnoteRef/>
      </w:r>
      <w:r w:rsidRPr="006C17A0">
        <w:rPr>
          <w:color w:val="000000" w:themeColor="text1"/>
          <w:szCs w:val="18"/>
        </w:rPr>
        <w:t xml:space="preserve"> </w:t>
      </w:r>
      <w:r w:rsidR="007D62A0" w:rsidRPr="006C17A0">
        <w:rPr>
          <w:i/>
          <w:iCs/>
          <w:color w:val="000000" w:themeColor="text1"/>
          <w:szCs w:val="18"/>
          <w:shd w:val="clear" w:color="auto" w:fill="FFFFFF"/>
        </w:rPr>
        <w:t>Interim Report</w:t>
      </w:r>
      <w:r w:rsidR="007D62A0" w:rsidRPr="006C17A0">
        <w:rPr>
          <w:color w:val="000000" w:themeColor="text1"/>
          <w:szCs w:val="18"/>
        </w:rPr>
        <w:t xml:space="preserve"> (n 2)</w:t>
      </w:r>
      <w:r w:rsidRPr="006C17A0">
        <w:rPr>
          <w:color w:val="000000" w:themeColor="text1"/>
          <w:szCs w:val="18"/>
        </w:rPr>
        <w:t xml:space="preserve"> 81</w:t>
      </w:r>
      <w:r w:rsidR="007D62A0" w:rsidRPr="006C17A0">
        <w:rPr>
          <w:color w:val="000000" w:themeColor="text1"/>
          <w:szCs w:val="18"/>
        </w:rPr>
        <w:t>.</w:t>
      </w:r>
    </w:p>
  </w:footnote>
  <w:footnote w:id="84">
    <w:p w14:paraId="3B78FA3E" w14:textId="77777777" w:rsidR="005438FC" w:rsidRPr="006C17A0" w:rsidRDefault="005438FC" w:rsidP="005438FC">
      <w:pPr>
        <w:pStyle w:val="FootnoteText"/>
        <w:rPr>
          <w:color w:val="000000" w:themeColor="text1"/>
          <w:szCs w:val="18"/>
        </w:rPr>
      </w:pPr>
      <w:r w:rsidRPr="006C17A0">
        <w:rPr>
          <w:rStyle w:val="FootnoteReference"/>
          <w:color w:val="000000" w:themeColor="text1"/>
          <w:szCs w:val="18"/>
        </w:rPr>
        <w:footnoteRef/>
      </w:r>
      <w:r w:rsidRPr="006C17A0">
        <w:rPr>
          <w:color w:val="000000" w:themeColor="text1"/>
          <w:szCs w:val="18"/>
        </w:rPr>
        <w:t xml:space="preserve"> </w:t>
      </w:r>
      <w:r w:rsidRPr="006C17A0">
        <w:rPr>
          <w:rFonts w:cs="Tahoma"/>
          <w:i/>
          <w:iCs/>
          <w:color w:val="000000" w:themeColor="text1"/>
          <w:szCs w:val="18"/>
          <w:shd w:val="clear" w:color="auto" w:fill="FFFFFF"/>
          <w:lang w:eastAsia="en-GB"/>
        </w:rPr>
        <w:t>Competition and Consumer Act 2010</w:t>
      </w:r>
      <w:r w:rsidRPr="006C17A0">
        <w:rPr>
          <w:rFonts w:cs="Tahoma"/>
          <w:color w:val="000000" w:themeColor="text1"/>
          <w:szCs w:val="18"/>
          <w:shd w:val="clear" w:color="auto" w:fill="FFFFFF"/>
          <w:lang w:eastAsia="en-GB"/>
        </w:rPr>
        <w:t xml:space="preserve"> (</w:t>
      </w:r>
      <w:proofErr w:type="spellStart"/>
      <w:r w:rsidRPr="006C17A0">
        <w:rPr>
          <w:rFonts w:cs="Tahoma"/>
          <w:color w:val="000000" w:themeColor="text1"/>
          <w:szCs w:val="18"/>
          <w:shd w:val="clear" w:color="auto" w:fill="FFFFFF"/>
          <w:lang w:eastAsia="en-GB"/>
        </w:rPr>
        <w:t>Cth</w:t>
      </w:r>
      <w:proofErr w:type="spellEnd"/>
      <w:r w:rsidRPr="006C17A0">
        <w:rPr>
          <w:rFonts w:cs="Tahoma"/>
          <w:color w:val="000000" w:themeColor="text1"/>
          <w:szCs w:val="18"/>
          <w:shd w:val="clear" w:color="auto" w:fill="FFFFFF"/>
          <w:lang w:eastAsia="en-GB"/>
        </w:rPr>
        <w:t xml:space="preserve">) s 45AD. </w:t>
      </w:r>
    </w:p>
  </w:footnote>
  <w:footnote w:id="85">
    <w:p w14:paraId="2B25002E" w14:textId="19F8158A" w:rsidR="005438FC" w:rsidRPr="006C17A0" w:rsidRDefault="005438FC" w:rsidP="005438FC">
      <w:pPr>
        <w:autoSpaceDE w:val="0"/>
        <w:autoSpaceDN w:val="0"/>
        <w:adjustRightInd w:val="0"/>
        <w:rPr>
          <w:rFonts w:ascii="Avenir Book" w:hAnsi="Avenir Book"/>
          <w:color w:val="000000" w:themeColor="text1"/>
          <w:sz w:val="18"/>
          <w:szCs w:val="18"/>
          <w:lang w:val="en-GB"/>
        </w:rPr>
      </w:pPr>
      <w:r w:rsidRPr="006C17A0">
        <w:rPr>
          <w:rStyle w:val="FootnoteReference"/>
          <w:rFonts w:ascii="Avenir Book" w:eastAsiaTheme="majorEastAsia" w:hAnsi="Avenir Book"/>
          <w:color w:val="000000" w:themeColor="text1"/>
          <w:sz w:val="18"/>
          <w:szCs w:val="18"/>
        </w:rPr>
        <w:footnoteRef/>
      </w:r>
      <w:r w:rsidRPr="006C17A0">
        <w:rPr>
          <w:rFonts w:ascii="Avenir Book" w:hAnsi="Avenir Book"/>
          <w:color w:val="000000" w:themeColor="text1"/>
          <w:sz w:val="18"/>
          <w:szCs w:val="18"/>
        </w:rPr>
        <w:t xml:space="preserve"> Stewart (n</w:t>
      </w:r>
      <w:r w:rsidR="00F10212" w:rsidRPr="006C17A0">
        <w:rPr>
          <w:rFonts w:ascii="Avenir Book" w:hAnsi="Avenir Book"/>
          <w:color w:val="000000" w:themeColor="text1"/>
          <w:sz w:val="18"/>
          <w:szCs w:val="18"/>
        </w:rPr>
        <w:t xml:space="preserve"> </w:t>
      </w:r>
      <w:r w:rsidR="00943CC5" w:rsidRPr="006C17A0">
        <w:rPr>
          <w:rFonts w:ascii="Avenir Book" w:hAnsi="Avenir Book"/>
          <w:color w:val="000000" w:themeColor="text1"/>
          <w:sz w:val="18"/>
          <w:szCs w:val="18"/>
        </w:rPr>
        <w:t>4</w:t>
      </w:r>
      <w:r w:rsidR="002C2046">
        <w:rPr>
          <w:rFonts w:ascii="Avenir Book" w:hAnsi="Avenir Book"/>
          <w:color w:val="000000" w:themeColor="text1"/>
          <w:sz w:val="18"/>
          <w:szCs w:val="18"/>
        </w:rPr>
        <w:t>9</w:t>
      </w:r>
      <w:r w:rsidRPr="006C17A0">
        <w:rPr>
          <w:rFonts w:ascii="Avenir Book" w:hAnsi="Avenir Book"/>
          <w:color w:val="000000" w:themeColor="text1"/>
          <w:sz w:val="18"/>
          <w:szCs w:val="18"/>
        </w:rPr>
        <w:t xml:space="preserve">) 17; see also </w:t>
      </w:r>
      <w:r w:rsidRPr="006C17A0">
        <w:rPr>
          <w:rFonts w:ascii="Avenir Book" w:hAnsi="Avenir Book"/>
          <w:color w:val="000000" w:themeColor="text1"/>
          <w:sz w:val="18"/>
          <w:szCs w:val="18"/>
          <w:lang w:val="en-GB"/>
        </w:rPr>
        <w:t>Shae McCrystal, ‘Collective Bargaining Beyond the Boundaries of Employment: A</w:t>
      </w:r>
    </w:p>
    <w:p w14:paraId="4584AE84" w14:textId="77777777" w:rsidR="005438FC" w:rsidRPr="006C17A0" w:rsidRDefault="005438FC" w:rsidP="005438FC">
      <w:pPr>
        <w:pStyle w:val="FootnoteText"/>
        <w:rPr>
          <w:color w:val="000000" w:themeColor="text1"/>
          <w:szCs w:val="18"/>
        </w:rPr>
      </w:pPr>
      <w:r w:rsidRPr="006C17A0">
        <w:rPr>
          <w:color w:val="000000" w:themeColor="text1"/>
          <w:szCs w:val="18"/>
          <w:lang w:val="en-GB"/>
        </w:rPr>
        <w:t>Comparative Analysis’ (2014) 37 MULR 662 at 675.</w:t>
      </w:r>
    </w:p>
  </w:footnote>
  <w:footnote w:id="86">
    <w:p w14:paraId="2912BDFB" w14:textId="3158BB8F" w:rsidR="005438FC" w:rsidRPr="006C17A0" w:rsidRDefault="005438FC" w:rsidP="003A3A33">
      <w:pPr>
        <w:autoSpaceDE w:val="0"/>
        <w:autoSpaceDN w:val="0"/>
        <w:adjustRightInd w:val="0"/>
        <w:rPr>
          <w:rFonts w:ascii="Avenir Book" w:hAnsi="Avenir Book"/>
          <w:color w:val="000000" w:themeColor="text1"/>
          <w:sz w:val="18"/>
          <w:szCs w:val="18"/>
          <w:lang w:val="en-GB"/>
        </w:rPr>
      </w:pPr>
      <w:r w:rsidRPr="006C17A0">
        <w:rPr>
          <w:rStyle w:val="FootnoteReference"/>
          <w:rFonts w:ascii="Avenir Book" w:hAnsi="Avenir Book"/>
          <w:color w:val="000000" w:themeColor="text1"/>
          <w:sz w:val="18"/>
          <w:szCs w:val="18"/>
        </w:rPr>
        <w:footnoteRef/>
      </w:r>
      <w:r w:rsidRPr="006C17A0">
        <w:rPr>
          <w:rFonts w:ascii="Avenir Book" w:hAnsi="Avenir Book"/>
          <w:color w:val="000000" w:themeColor="text1"/>
          <w:sz w:val="18"/>
          <w:szCs w:val="18"/>
        </w:rPr>
        <w:t xml:space="preserve"> Miriam Cherry and Antonio </w:t>
      </w:r>
      <w:proofErr w:type="spellStart"/>
      <w:r w:rsidRPr="006C17A0">
        <w:rPr>
          <w:rFonts w:ascii="Avenir Book" w:hAnsi="Avenir Book"/>
          <w:color w:val="000000" w:themeColor="text1"/>
          <w:sz w:val="18"/>
          <w:szCs w:val="18"/>
        </w:rPr>
        <w:t>Aloisi</w:t>
      </w:r>
      <w:proofErr w:type="spellEnd"/>
      <w:r w:rsidRPr="006C17A0">
        <w:rPr>
          <w:rFonts w:ascii="Avenir Book" w:hAnsi="Avenir Book"/>
          <w:color w:val="000000" w:themeColor="text1"/>
          <w:sz w:val="18"/>
          <w:szCs w:val="18"/>
        </w:rPr>
        <w:t xml:space="preserve"> </w:t>
      </w:r>
      <w:r w:rsidRPr="006C17A0">
        <w:rPr>
          <w:rFonts w:ascii="Avenir Book" w:hAnsi="Avenir Book"/>
          <w:color w:val="000000" w:themeColor="text1"/>
          <w:sz w:val="18"/>
          <w:szCs w:val="18"/>
          <w:lang w:val="en-GB"/>
        </w:rPr>
        <w:t xml:space="preserve">‘“Dependent Contractors” in the Gig Economy: A </w:t>
      </w:r>
      <w:proofErr w:type="spellStart"/>
      <w:r w:rsidRPr="006C17A0">
        <w:rPr>
          <w:rFonts w:ascii="Avenir Book" w:hAnsi="Avenir Book"/>
          <w:color w:val="000000" w:themeColor="text1"/>
          <w:sz w:val="18"/>
          <w:szCs w:val="18"/>
          <w:lang w:val="en-GB"/>
        </w:rPr>
        <w:t>ComparativeApproach</w:t>
      </w:r>
      <w:proofErr w:type="spellEnd"/>
      <w:r w:rsidRPr="006C17A0">
        <w:rPr>
          <w:rFonts w:ascii="Avenir Book" w:hAnsi="Avenir Book"/>
          <w:color w:val="000000" w:themeColor="text1"/>
          <w:sz w:val="18"/>
          <w:szCs w:val="18"/>
          <w:lang w:val="en-GB"/>
        </w:rPr>
        <w:t xml:space="preserve">’ (2017) 66(3) </w:t>
      </w:r>
      <w:r w:rsidRPr="006C17A0">
        <w:rPr>
          <w:rFonts w:ascii="Avenir Book" w:hAnsi="Avenir Book"/>
          <w:i/>
          <w:iCs/>
          <w:color w:val="000000" w:themeColor="text1"/>
          <w:sz w:val="18"/>
          <w:szCs w:val="18"/>
          <w:lang w:val="en-GB"/>
        </w:rPr>
        <w:t>American University Law Review</w:t>
      </w:r>
      <w:r w:rsidRPr="006C17A0">
        <w:rPr>
          <w:rFonts w:ascii="Avenir Book" w:hAnsi="Avenir Book"/>
          <w:color w:val="000000" w:themeColor="text1"/>
          <w:sz w:val="18"/>
          <w:szCs w:val="18"/>
          <w:lang w:val="en-GB"/>
        </w:rPr>
        <w:t xml:space="preserve"> 635, 666.</w:t>
      </w:r>
    </w:p>
  </w:footnote>
  <w:footnote w:id="87">
    <w:p w14:paraId="4F0F10F6" w14:textId="7F7C5562" w:rsidR="005438FC" w:rsidRPr="006C17A0" w:rsidRDefault="005438FC" w:rsidP="005438FC">
      <w:pPr>
        <w:pStyle w:val="FootnoteText"/>
        <w:rPr>
          <w:color w:val="000000" w:themeColor="text1"/>
          <w:szCs w:val="18"/>
        </w:rPr>
      </w:pPr>
      <w:r w:rsidRPr="006C17A0">
        <w:rPr>
          <w:rStyle w:val="FootnoteReference"/>
          <w:rFonts w:eastAsiaTheme="majorEastAsia"/>
          <w:color w:val="000000" w:themeColor="text1"/>
          <w:szCs w:val="18"/>
        </w:rPr>
        <w:footnoteRef/>
      </w:r>
      <w:r w:rsidRPr="006C17A0">
        <w:rPr>
          <w:color w:val="000000" w:themeColor="text1"/>
          <w:szCs w:val="18"/>
        </w:rPr>
        <w:t xml:space="preserve"> Ibid</w:t>
      </w:r>
      <w:r w:rsidR="001B2845" w:rsidRPr="006C17A0">
        <w:rPr>
          <w:color w:val="000000" w:themeColor="text1"/>
          <w:szCs w:val="18"/>
        </w:rPr>
        <w:t>.</w:t>
      </w:r>
    </w:p>
  </w:footnote>
  <w:footnote w:id="88">
    <w:p w14:paraId="0089FB91" w14:textId="089537EB" w:rsidR="005438FC" w:rsidRPr="006C17A0" w:rsidRDefault="005438FC" w:rsidP="00F10212">
      <w:pPr>
        <w:autoSpaceDE w:val="0"/>
        <w:autoSpaceDN w:val="0"/>
        <w:adjustRightInd w:val="0"/>
        <w:rPr>
          <w:rFonts w:ascii="Avenir Book" w:hAnsi="Avenir Book"/>
          <w:color w:val="000000" w:themeColor="text1"/>
          <w:sz w:val="18"/>
          <w:szCs w:val="18"/>
          <w:lang w:val="en-GB"/>
        </w:rPr>
      </w:pPr>
      <w:r w:rsidRPr="006C17A0">
        <w:rPr>
          <w:rStyle w:val="FootnoteReference"/>
          <w:rFonts w:ascii="Avenir Book" w:eastAsiaTheme="majorEastAsia" w:hAnsi="Avenir Book"/>
          <w:color w:val="000000" w:themeColor="text1"/>
          <w:sz w:val="18"/>
          <w:szCs w:val="18"/>
        </w:rPr>
        <w:footnoteRef/>
      </w:r>
      <w:r w:rsidRPr="006C17A0">
        <w:rPr>
          <w:rFonts w:ascii="Avenir Book" w:hAnsi="Avenir Book"/>
          <w:color w:val="000000" w:themeColor="text1"/>
          <w:sz w:val="18"/>
          <w:szCs w:val="18"/>
        </w:rPr>
        <w:t xml:space="preserve"> </w:t>
      </w:r>
      <w:r w:rsidRPr="006C17A0">
        <w:rPr>
          <w:rFonts w:ascii="Avenir Book" w:hAnsi="Avenir Book"/>
          <w:color w:val="000000" w:themeColor="text1"/>
          <w:sz w:val="18"/>
          <w:szCs w:val="18"/>
          <w:lang w:val="en-GB"/>
        </w:rPr>
        <w:t xml:space="preserve">Cherry </w:t>
      </w:r>
      <w:r w:rsidR="00F10212" w:rsidRPr="006C17A0">
        <w:rPr>
          <w:rFonts w:ascii="Avenir Book" w:hAnsi="Avenir Book"/>
          <w:color w:val="000000" w:themeColor="text1"/>
          <w:sz w:val="18"/>
          <w:szCs w:val="18"/>
          <w:lang w:val="en-GB"/>
        </w:rPr>
        <w:t>(8</w:t>
      </w:r>
      <w:r w:rsidR="001528FB">
        <w:rPr>
          <w:rFonts w:ascii="Avenir Book" w:hAnsi="Avenir Book"/>
          <w:color w:val="000000" w:themeColor="text1"/>
          <w:sz w:val="18"/>
          <w:szCs w:val="18"/>
          <w:lang w:val="en-GB"/>
        </w:rPr>
        <w:t>6</w:t>
      </w:r>
      <w:r w:rsidR="00F10212" w:rsidRPr="006C17A0">
        <w:rPr>
          <w:rFonts w:ascii="Avenir Book" w:hAnsi="Avenir Book"/>
          <w:color w:val="000000" w:themeColor="text1"/>
          <w:sz w:val="18"/>
          <w:szCs w:val="18"/>
          <w:lang w:val="en-GB"/>
        </w:rPr>
        <w:t xml:space="preserve">) </w:t>
      </w:r>
      <w:r w:rsidRPr="006C17A0">
        <w:rPr>
          <w:rFonts w:ascii="Avenir Book" w:hAnsi="Avenir Book"/>
          <w:color w:val="000000" w:themeColor="text1"/>
          <w:sz w:val="18"/>
          <w:szCs w:val="18"/>
          <w:lang w:val="en-GB"/>
        </w:rPr>
        <w:t>660.</w:t>
      </w:r>
    </w:p>
  </w:footnote>
  <w:footnote w:id="89">
    <w:p w14:paraId="488492F6" w14:textId="77777777" w:rsidR="005438FC" w:rsidRPr="006C17A0" w:rsidRDefault="005438FC" w:rsidP="005438FC">
      <w:pPr>
        <w:pStyle w:val="FootnoteText"/>
        <w:rPr>
          <w:color w:val="000000" w:themeColor="text1"/>
          <w:szCs w:val="18"/>
        </w:rPr>
      </w:pPr>
      <w:r w:rsidRPr="006C17A0">
        <w:rPr>
          <w:rStyle w:val="FootnoteReference"/>
          <w:color w:val="000000" w:themeColor="text1"/>
          <w:szCs w:val="18"/>
        </w:rPr>
        <w:footnoteRef/>
      </w:r>
      <w:r w:rsidRPr="006C17A0">
        <w:rPr>
          <w:color w:val="000000" w:themeColor="text1"/>
          <w:szCs w:val="18"/>
        </w:rPr>
        <w:t xml:space="preserve"> </w:t>
      </w:r>
      <w:r w:rsidRPr="006C17A0">
        <w:rPr>
          <w:color w:val="000000" w:themeColor="text1"/>
          <w:szCs w:val="18"/>
          <w:lang w:val="en-GB"/>
        </w:rPr>
        <w:t>[2002] ICR 667.</w:t>
      </w:r>
    </w:p>
  </w:footnote>
  <w:footnote w:id="90">
    <w:p w14:paraId="2106C46E" w14:textId="046FC272" w:rsidR="005438FC" w:rsidRPr="006C17A0" w:rsidRDefault="005438FC" w:rsidP="005438FC">
      <w:pPr>
        <w:pStyle w:val="FootnoteText"/>
        <w:rPr>
          <w:color w:val="000000" w:themeColor="text1"/>
          <w:szCs w:val="18"/>
        </w:rPr>
      </w:pPr>
      <w:r w:rsidRPr="006C17A0">
        <w:rPr>
          <w:rStyle w:val="FootnoteReference"/>
          <w:rFonts w:eastAsiaTheme="majorEastAsia"/>
          <w:color w:val="000000" w:themeColor="text1"/>
          <w:szCs w:val="18"/>
        </w:rPr>
        <w:footnoteRef/>
      </w:r>
      <w:r w:rsidRPr="006C17A0">
        <w:rPr>
          <w:color w:val="000000" w:themeColor="text1"/>
          <w:szCs w:val="18"/>
        </w:rPr>
        <w:t xml:space="preserve"> Stewart (n</w:t>
      </w:r>
      <w:r w:rsidR="00F10212" w:rsidRPr="006C17A0">
        <w:rPr>
          <w:color w:val="000000" w:themeColor="text1"/>
          <w:szCs w:val="18"/>
        </w:rPr>
        <w:t xml:space="preserve"> 4</w:t>
      </w:r>
      <w:r w:rsidR="002C2046">
        <w:rPr>
          <w:color w:val="000000" w:themeColor="text1"/>
          <w:szCs w:val="18"/>
        </w:rPr>
        <w:t>9</w:t>
      </w:r>
      <w:r w:rsidRPr="006C17A0">
        <w:rPr>
          <w:color w:val="000000" w:themeColor="text1"/>
          <w:szCs w:val="18"/>
        </w:rPr>
        <w:t>) 19.</w:t>
      </w:r>
    </w:p>
  </w:footnote>
  <w:footnote w:id="91">
    <w:p w14:paraId="44CDD431" w14:textId="5D4470E9" w:rsidR="00A60141" w:rsidRDefault="00A60141">
      <w:pPr>
        <w:pStyle w:val="FootnoteText"/>
      </w:pPr>
      <w:r w:rsidRPr="006C17A0">
        <w:rPr>
          <w:rStyle w:val="FootnoteReference"/>
          <w:color w:val="000000" w:themeColor="text1"/>
          <w:szCs w:val="18"/>
        </w:rPr>
        <w:footnoteRef/>
      </w:r>
      <w:r w:rsidRPr="006C17A0">
        <w:rPr>
          <w:color w:val="000000" w:themeColor="text1"/>
          <w:szCs w:val="18"/>
        </w:rPr>
        <w:t xml:space="preserve"> </w:t>
      </w:r>
      <w:r w:rsidR="00F10212" w:rsidRPr="006C17A0">
        <w:rPr>
          <w:i/>
          <w:iCs/>
          <w:color w:val="000000" w:themeColor="text1"/>
          <w:szCs w:val="18"/>
          <w:shd w:val="clear" w:color="auto" w:fill="FFFFFF"/>
        </w:rPr>
        <w:t>Interim Report</w:t>
      </w:r>
      <w:r w:rsidR="00F10212" w:rsidRPr="006C17A0">
        <w:rPr>
          <w:color w:val="000000" w:themeColor="text1"/>
          <w:szCs w:val="18"/>
        </w:rPr>
        <w:t xml:space="preserve"> (n 2) </w:t>
      </w:r>
      <w:r w:rsidR="001D7C6D" w:rsidRPr="006C17A0">
        <w:rPr>
          <w:color w:val="000000" w:themeColor="text1"/>
          <w:szCs w:val="18"/>
        </w:rPr>
        <w:t xml:space="preserve"> 71</w:t>
      </w:r>
      <w:r w:rsidR="00F10212" w:rsidRPr="006C17A0">
        <w:rPr>
          <w:color w:val="000000" w:themeColor="text1"/>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5573A" w14:textId="77777777" w:rsidR="003B1345" w:rsidRDefault="003B1345">
    <w:pPr>
      <w:pStyle w:val="Header"/>
    </w:pPr>
    <w:r>
      <w:rPr>
        <w:noProof/>
        <w:lang w:val="en-US"/>
      </w:rPr>
      <mc:AlternateContent>
        <mc:Choice Requires="wps">
          <w:drawing>
            <wp:anchor distT="0" distB="0" distL="114300" distR="114300" simplePos="0" relativeHeight="251659264" behindDoc="0" locked="0" layoutInCell="1" allowOverlap="1" wp14:anchorId="42D49089" wp14:editId="7FE8CD1D">
              <wp:simplePos x="0" y="0"/>
              <wp:positionH relativeFrom="page">
                <wp:posOffset>170419</wp:posOffset>
              </wp:positionH>
              <wp:positionV relativeFrom="page">
                <wp:posOffset>320675</wp:posOffset>
              </wp:positionV>
              <wp:extent cx="914400" cy="283464"/>
              <wp:effectExtent l="0" t="0" r="1270" b="0"/>
              <wp:wrapNone/>
              <wp:docPr id="47" name="Rectangle 47" title="Document Title"/>
              <wp:cNvGraphicFramePr/>
              <a:graphic xmlns:a="http://schemas.openxmlformats.org/drawingml/2006/main">
                <a:graphicData uri="http://schemas.microsoft.com/office/word/2010/wordprocessingShape">
                  <wps:wsp>
                    <wps:cNvSpPr/>
                    <wps:spPr>
                      <a:xfrm>
                        <a:off x="0" y="0"/>
                        <a:ext cx="914400" cy="283464"/>
                      </a:xfrm>
                      <a:prstGeom prst="rect">
                        <a:avLst/>
                      </a:prstGeom>
                      <a:solidFill>
                        <a:srgbClr val="1E4E4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b/>
                              <w:caps/>
                              <w:spacing w:val="20"/>
                              <w:sz w:val="28"/>
                              <w:szCs w:val="28"/>
                            </w:rPr>
                            <w:alias w:val="Title"/>
                            <w:tag w:val=""/>
                            <w:id w:val="-155760336"/>
                            <w:dataBinding w:prefixMappings="xmlns:ns0='http://purl.org/dc/elements/1.1/' xmlns:ns1='http://schemas.openxmlformats.org/package/2006/metadata/core-properties' " w:xpath="/ns1:coreProperties[1]/ns0:title[1]" w:storeItemID="{6C3C8BC8-F283-45AE-878A-BAB7291924A1}"/>
                            <w15:appearance w15:val="hidden"/>
                            <w:text/>
                          </w:sdtPr>
                          <w:sdtEndPr/>
                          <w:sdtContent>
                            <w:p w14:paraId="19D8F924" w14:textId="36F6BE1D" w:rsidR="003B1345" w:rsidRDefault="00024B9F">
                              <w:pPr>
                                <w:pStyle w:val="NoSpacing"/>
                                <w:jc w:val="center"/>
                                <w:rPr>
                                  <w:b/>
                                  <w:caps/>
                                  <w:spacing w:val="20"/>
                                  <w:sz w:val="28"/>
                                  <w:szCs w:val="28"/>
                                </w:rPr>
                              </w:pPr>
                              <w:r>
                                <w:rPr>
                                  <w:b/>
                                  <w:caps/>
                                  <w:spacing w:val="20"/>
                                  <w:sz w:val="28"/>
                                  <w:szCs w:val="28"/>
                                </w:rPr>
                                <w:t>Submission 162 - Per Capita Australia - Productivity - Public inquiry</w:t>
                              </w:r>
                            </w:p>
                          </w:sdtContent>
                        </w:sdt>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page">
                <wp14:pctWidth>94100</wp14:pctWidth>
              </wp14:sizeRelH>
              <wp14:sizeRelV relativeFrom="margin">
                <wp14:pctHeight>0</wp14:pctHeight>
              </wp14:sizeRelV>
            </wp:anchor>
          </w:drawing>
        </mc:Choice>
        <mc:Fallback>
          <w:pict>
            <v:rect w14:anchorId="42D49089" id="Rectangle 47" o:spid="_x0000_s1026" alt="Title: Document Title" style="position:absolute;margin-left:13.4pt;margin-top:25.25pt;width:1in;height:22.3pt;z-index:251659264;visibility:visible;mso-wrap-style:square;mso-width-percent:941;mso-height-percent:0;mso-wrap-distance-left:9pt;mso-wrap-distance-top:0;mso-wrap-distance-right:9pt;mso-wrap-distance-bottom:0;mso-position-horizontal:absolute;mso-position-horizontal-relative:page;mso-position-vertical:absolute;mso-position-vertical-relative:page;mso-width-percent:941;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" fillcolor="#1e4e42" stroked="f" strokeweight="1pt">
              <v:textbox inset=",0,,0">
                <w:txbxContent>
                  <w:sdt>
                    <w:sdtPr>
                      <w:rPr>
                        <w:b/>
                        <w:caps/>
                        <w:spacing w:val="20"/>
                        <w:sz w:val="28"/>
                        <w:szCs w:val="28"/>
                      </w:rPr>
                      <w:alias w:val="Title"/>
                      <w:tag w:val=""/>
                      <w:id w:val="-155760336"/>
                      <w:dataBinding w:prefixMappings="xmlns:ns0='http://purl.org/dc/elements/1.1/' xmlns:ns1='http://schemas.openxmlformats.org/package/2006/metadata/core-properties' " w:xpath="/ns1:coreProperties[1]/ns0:title[1]" w:storeItemID="{6C3C8BC8-F283-45AE-878A-BAB7291924A1}"/>
                      <w15:appearance w15:val="hidden"/>
                      <w:text/>
                    </w:sdtPr>
                    <w:sdtEndPr/>
                    <w:sdtContent>
                      <w:p w14:paraId="19D8F924" w14:textId="36F6BE1D" w:rsidR="003B1345" w:rsidRDefault="00024B9F">
                        <w:pPr>
                          <w:pStyle w:val="NoSpacing"/>
                          <w:jc w:val="center"/>
                          <w:rPr>
                            <w:b/>
                            <w:caps/>
                            <w:spacing w:val="20"/>
                            <w:sz w:val="28"/>
                            <w:szCs w:val="28"/>
                          </w:rPr>
                        </w:pPr>
                        <w:r>
                          <w:rPr>
                            <w:b/>
                            <w:caps/>
                            <w:spacing w:val="20"/>
                            <w:sz w:val="28"/>
                            <w:szCs w:val="28"/>
                          </w:rPr>
                          <w:t>Submission 162 - Per Capita Australia - Productivity - Public inquiry</w:t>
                        </w:r>
                      </w:p>
                    </w:sdtContent>
                  </w:sdt>
                </w:txbxContent>
              </v:textbox>
              <w10:wrap anchorx="page" anchory="page"/>
            </v:rect>
          </w:pict>
        </mc:Fallback>
      </mc:AlternateContent>
    </w:r>
  </w:p>
  <w:p w14:paraId="274FF189" w14:textId="77777777" w:rsidR="003B1345" w:rsidRDefault="003B13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B594B"/>
    <w:multiLevelType w:val="hybridMultilevel"/>
    <w:tmpl w:val="A78E9B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A844E9"/>
    <w:multiLevelType w:val="hybridMultilevel"/>
    <w:tmpl w:val="C40C73C0"/>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CB4EB6"/>
    <w:multiLevelType w:val="hybridMultilevel"/>
    <w:tmpl w:val="AEFA58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294E1D"/>
    <w:multiLevelType w:val="hybridMultilevel"/>
    <w:tmpl w:val="EEAA7D4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C460D55"/>
    <w:multiLevelType w:val="hybridMultilevel"/>
    <w:tmpl w:val="2F2E435E"/>
    <w:lvl w:ilvl="0" w:tplc="B48C0E72">
      <w:start w:val="85"/>
      <w:numFmt w:val="bullet"/>
      <w:lvlText w:val="-"/>
      <w:lvlJc w:val="left"/>
      <w:pPr>
        <w:ind w:left="108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127014"/>
    <w:multiLevelType w:val="hybridMultilevel"/>
    <w:tmpl w:val="04184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7B6E3E"/>
    <w:multiLevelType w:val="hybridMultilevel"/>
    <w:tmpl w:val="21120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3D37D2"/>
    <w:multiLevelType w:val="hybridMultilevel"/>
    <w:tmpl w:val="5BDA2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7A0D8F"/>
    <w:multiLevelType w:val="multilevel"/>
    <w:tmpl w:val="CB145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BD6222E"/>
    <w:multiLevelType w:val="hybridMultilevel"/>
    <w:tmpl w:val="E6ACE908"/>
    <w:lvl w:ilvl="0" w:tplc="B48C0E72">
      <w:start w:val="85"/>
      <w:numFmt w:val="bullet"/>
      <w:lvlText w:val="-"/>
      <w:lvlJc w:val="left"/>
      <w:pPr>
        <w:ind w:left="108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734A7F"/>
    <w:multiLevelType w:val="hybridMultilevel"/>
    <w:tmpl w:val="53EAC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BE6DE7"/>
    <w:multiLevelType w:val="hybridMultilevel"/>
    <w:tmpl w:val="09126F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D253DB"/>
    <w:multiLevelType w:val="hybridMultilevel"/>
    <w:tmpl w:val="5A0859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7FE7A7F"/>
    <w:multiLevelType w:val="hybridMultilevel"/>
    <w:tmpl w:val="5C64F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2C410F"/>
    <w:multiLevelType w:val="hybridMultilevel"/>
    <w:tmpl w:val="42587B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A86779D"/>
    <w:multiLevelType w:val="hybridMultilevel"/>
    <w:tmpl w:val="415E27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C31739A"/>
    <w:multiLevelType w:val="hybridMultilevel"/>
    <w:tmpl w:val="A9885D98"/>
    <w:lvl w:ilvl="0" w:tplc="B48C0E72">
      <w:start w:val="85"/>
      <w:numFmt w:val="bullet"/>
      <w:lvlText w:val="-"/>
      <w:lvlJc w:val="left"/>
      <w:pPr>
        <w:ind w:left="1080" w:hanging="360"/>
      </w:pPr>
      <w:rPr>
        <w:rFonts w:ascii="Verdana" w:eastAsia="Times New Roman" w:hAnsi="Verdana"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3CD90210"/>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D5E0C9E"/>
    <w:multiLevelType w:val="hybridMultilevel"/>
    <w:tmpl w:val="5E624B9A"/>
    <w:lvl w:ilvl="0" w:tplc="B48C0E72">
      <w:start w:val="85"/>
      <w:numFmt w:val="bullet"/>
      <w:lvlText w:val="-"/>
      <w:lvlJc w:val="left"/>
      <w:pPr>
        <w:ind w:left="108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FA26318"/>
    <w:multiLevelType w:val="hybridMultilevel"/>
    <w:tmpl w:val="7F0682F0"/>
    <w:lvl w:ilvl="0" w:tplc="C400AA76">
      <w:start w:val="1"/>
      <w:numFmt w:val="decimal"/>
      <w:lvlText w:val="%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42980C38"/>
    <w:multiLevelType w:val="hybridMultilevel"/>
    <w:tmpl w:val="9424B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51B61C4"/>
    <w:multiLevelType w:val="hybridMultilevel"/>
    <w:tmpl w:val="C0003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57720FE"/>
    <w:multiLevelType w:val="hybridMultilevel"/>
    <w:tmpl w:val="B0B6D75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5E76915"/>
    <w:multiLevelType w:val="hybridMultilevel"/>
    <w:tmpl w:val="223229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CEB1076"/>
    <w:multiLevelType w:val="hybridMultilevel"/>
    <w:tmpl w:val="65ECA2D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FC75669"/>
    <w:multiLevelType w:val="hybridMultilevel"/>
    <w:tmpl w:val="77BCC38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4FD322D"/>
    <w:multiLevelType w:val="hybridMultilevel"/>
    <w:tmpl w:val="5A6E9D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687535E"/>
    <w:multiLevelType w:val="hybridMultilevel"/>
    <w:tmpl w:val="F4589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B9B05D5"/>
    <w:multiLevelType w:val="hybridMultilevel"/>
    <w:tmpl w:val="CC06C0AA"/>
    <w:lvl w:ilvl="0" w:tplc="B48C0E72">
      <w:start w:val="85"/>
      <w:numFmt w:val="bullet"/>
      <w:lvlText w:val="-"/>
      <w:lvlJc w:val="left"/>
      <w:pPr>
        <w:ind w:left="108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D2B7A67"/>
    <w:multiLevelType w:val="hybridMultilevel"/>
    <w:tmpl w:val="47F4B7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058495F"/>
    <w:multiLevelType w:val="hybridMultilevel"/>
    <w:tmpl w:val="0DDAB502"/>
    <w:lvl w:ilvl="0" w:tplc="B48C0E72">
      <w:start w:val="85"/>
      <w:numFmt w:val="bullet"/>
      <w:lvlText w:val="-"/>
      <w:lvlJc w:val="left"/>
      <w:pPr>
        <w:ind w:left="108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74C11B5"/>
    <w:multiLevelType w:val="hybridMultilevel"/>
    <w:tmpl w:val="F74CE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C537DC1"/>
    <w:multiLevelType w:val="hybridMultilevel"/>
    <w:tmpl w:val="64C448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16F7AD5"/>
    <w:multiLevelType w:val="hybridMultilevel"/>
    <w:tmpl w:val="FB64D1C8"/>
    <w:lvl w:ilvl="0" w:tplc="B48C0E72">
      <w:start w:val="85"/>
      <w:numFmt w:val="bullet"/>
      <w:lvlText w:val="-"/>
      <w:lvlJc w:val="left"/>
      <w:pPr>
        <w:ind w:left="108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67D63D9"/>
    <w:multiLevelType w:val="hybridMultilevel"/>
    <w:tmpl w:val="90CA1ED2"/>
    <w:lvl w:ilvl="0" w:tplc="B48C0E72">
      <w:start w:val="85"/>
      <w:numFmt w:val="bullet"/>
      <w:lvlText w:val="-"/>
      <w:lvlJc w:val="left"/>
      <w:pPr>
        <w:ind w:left="108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BF66D27"/>
    <w:multiLevelType w:val="hybridMultilevel"/>
    <w:tmpl w:val="7BEC7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F540C72"/>
    <w:multiLevelType w:val="hybridMultilevel"/>
    <w:tmpl w:val="35C66456"/>
    <w:lvl w:ilvl="0" w:tplc="B48C0E72">
      <w:start w:val="85"/>
      <w:numFmt w:val="bullet"/>
      <w:lvlText w:val="-"/>
      <w:lvlJc w:val="left"/>
      <w:pPr>
        <w:ind w:left="108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79070117">
    <w:abstractNumId w:val="27"/>
  </w:num>
  <w:num w:numId="2" w16cid:durableId="1783039655">
    <w:abstractNumId w:val="5"/>
  </w:num>
  <w:num w:numId="3" w16cid:durableId="454755704">
    <w:abstractNumId w:val="23"/>
  </w:num>
  <w:num w:numId="4" w16cid:durableId="659042427">
    <w:abstractNumId w:val="7"/>
  </w:num>
  <w:num w:numId="5" w16cid:durableId="406391072">
    <w:abstractNumId w:val="6"/>
  </w:num>
  <w:num w:numId="6" w16cid:durableId="1990204061">
    <w:abstractNumId w:val="11"/>
  </w:num>
  <w:num w:numId="7" w16cid:durableId="365106430">
    <w:abstractNumId w:val="25"/>
  </w:num>
  <w:num w:numId="8" w16cid:durableId="2057004205">
    <w:abstractNumId w:val="29"/>
  </w:num>
  <w:num w:numId="9" w16cid:durableId="1345933314">
    <w:abstractNumId w:val="31"/>
  </w:num>
  <w:num w:numId="10" w16cid:durableId="599609558">
    <w:abstractNumId w:val="2"/>
  </w:num>
  <w:num w:numId="11" w16cid:durableId="2031181704">
    <w:abstractNumId w:val="3"/>
  </w:num>
  <w:num w:numId="12" w16cid:durableId="1660230899">
    <w:abstractNumId w:val="21"/>
  </w:num>
  <w:num w:numId="13" w16cid:durableId="994072153">
    <w:abstractNumId w:val="8"/>
  </w:num>
  <w:num w:numId="14" w16cid:durableId="1646355200">
    <w:abstractNumId w:val="35"/>
  </w:num>
  <w:num w:numId="15" w16cid:durableId="1194077149">
    <w:abstractNumId w:val="22"/>
  </w:num>
  <w:num w:numId="16" w16cid:durableId="1717315185">
    <w:abstractNumId w:val="19"/>
  </w:num>
  <w:num w:numId="17" w16cid:durableId="1688210430">
    <w:abstractNumId w:val="32"/>
  </w:num>
  <w:num w:numId="18" w16cid:durableId="1115754356">
    <w:abstractNumId w:val="13"/>
  </w:num>
  <w:num w:numId="19" w16cid:durableId="306202236">
    <w:abstractNumId w:val="10"/>
  </w:num>
  <w:num w:numId="20" w16cid:durableId="1036781249">
    <w:abstractNumId w:val="24"/>
  </w:num>
  <w:num w:numId="21" w16cid:durableId="1116873050">
    <w:abstractNumId w:val="1"/>
  </w:num>
  <w:num w:numId="22" w16cid:durableId="1104501380">
    <w:abstractNumId w:val="17"/>
  </w:num>
  <w:num w:numId="23" w16cid:durableId="1363703116">
    <w:abstractNumId w:val="14"/>
  </w:num>
  <w:num w:numId="24" w16cid:durableId="1168977866">
    <w:abstractNumId w:val="26"/>
  </w:num>
  <w:num w:numId="25" w16cid:durableId="572932321">
    <w:abstractNumId w:val="12"/>
  </w:num>
  <w:num w:numId="26" w16cid:durableId="1209102636">
    <w:abstractNumId w:val="20"/>
  </w:num>
  <w:num w:numId="27" w16cid:durableId="800613164">
    <w:abstractNumId w:val="16"/>
  </w:num>
  <w:num w:numId="28" w16cid:durableId="119495365">
    <w:abstractNumId w:val="34"/>
  </w:num>
  <w:num w:numId="29" w16cid:durableId="1959993443">
    <w:abstractNumId w:val="15"/>
  </w:num>
  <w:num w:numId="30" w16cid:durableId="74715892">
    <w:abstractNumId w:val="30"/>
  </w:num>
  <w:num w:numId="31" w16cid:durableId="87392167">
    <w:abstractNumId w:val="4"/>
  </w:num>
  <w:num w:numId="32" w16cid:durableId="1381125467">
    <w:abstractNumId w:val="33"/>
  </w:num>
  <w:num w:numId="33" w16cid:durableId="1730424443">
    <w:abstractNumId w:val="28"/>
  </w:num>
  <w:num w:numId="34" w16cid:durableId="353044783">
    <w:abstractNumId w:val="36"/>
  </w:num>
  <w:num w:numId="35" w16cid:durableId="2027705554">
    <w:abstractNumId w:val="18"/>
  </w:num>
  <w:num w:numId="36" w16cid:durableId="1883520631">
    <w:abstractNumId w:val="9"/>
  </w:num>
  <w:num w:numId="37" w16cid:durableId="519860614">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547"/>
    <w:rsid w:val="00002902"/>
    <w:rsid w:val="00011504"/>
    <w:rsid w:val="00011A42"/>
    <w:rsid w:val="00013FA2"/>
    <w:rsid w:val="00014BB6"/>
    <w:rsid w:val="00015E3C"/>
    <w:rsid w:val="000174C6"/>
    <w:rsid w:val="000175F4"/>
    <w:rsid w:val="0002260D"/>
    <w:rsid w:val="00024B9F"/>
    <w:rsid w:val="0003115F"/>
    <w:rsid w:val="00033F60"/>
    <w:rsid w:val="0003518E"/>
    <w:rsid w:val="00041208"/>
    <w:rsid w:val="00042A22"/>
    <w:rsid w:val="00042D6A"/>
    <w:rsid w:val="00047FDC"/>
    <w:rsid w:val="00054519"/>
    <w:rsid w:val="00054B32"/>
    <w:rsid w:val="00060D3C"/>
    <w:rsid w:val="000668F4"/>
    <w:rsid w:val="00071003"/>
    <w:rsid w:val="00071820"/>
    <w:rsid w:val="00072A4A"/>
    <w:rsid w:val="00074639"/>
    <w:rsid w:val="00077802"/>
    <w:rsid w:val="0009328D"/>
    <w:rsid w:val="000B0D23"/>
    <w:rsid w:val="000C18E1"/>
    <w:rsid w:val="000D2D00"/>
    <w:rsid w:val="000E4639"/>
    <w:rsid w:val="000E4D23"/>
    <w:rsid w:val="000F3BD0"/>
    <w:rsid w:val="000F419B"/>
    <w:rsid w:val="000F4B43"/>
    <w:rsid w:val="0010107D"/>
    <w:rsid w:val="00101861"/>
    <w:rsid w:val="00103563"/>
    <w:rsid w:val="00103670"/>
    <w:rsid w:val="001044EB"/>
    <w:rsid w:val="0011218D"/>
    <w:rsid w:val="00113CF9"/>
    <w:rsid w:val="00116FD4"/>
    <w:rsid w:val="00122E8E"/>
    <w:rsid w:val="00127C47"/>
    <w:rsid w:val="00127CB6"/>
    <w:rsid w:val="00130B5B"/>
    <w:rsid w:val="0013690E"/>
    <w:rsid w:val="00141195"/>
    <w:rsid w:val="0014132F"/>
    <w:rsid w:val="001453AF"/>
    <w:rsid w:val="001528FB"/>
    <w:rsid w:val="00154750"/>
    <w:rsid w:val="00161991"/>
    <w:rsid w:val="00161F0A"/>
    <w:rsid w:val="001631B9"/>
    <w:rsid w:val="0016640C"/>
    <w:rsid w:val="0017080D"/>
    <w:rsid w:val="001729DA"/>
    <w:rsid w:val="00177439"/>
    <w:rsid w:val="00180C29"/>
    <w:rsid w:val="001816F0"/>
    <w:rsid w:val="00190216"/>
    <w:rsid w:val="00193E50"/>
    <w:rsid w:val="001A4158"/>
    <w:rsid w:val="001B2845"/>
    <w:rsid w:val="001B297C"/>
    <w:rsid w:val="001D07CF"/>
    <w:rsid w:val="001D17A8"/>
    <w:rsid w:val="001D3965"/>
    <w:rsid w:val="001D76D2"/>
    <w:rsid w:val="001D7C6D"/>
    <w:rsid w:val="001E1AF1"/>
    <w:rsid w:val="001E622F"/>
    <w:rsid w:val="001F510A"/>
    <w:rsid w:val="001F73C5"/>
    <w:rsid w:val="00200C9D"/>
    <w:rsid w:val="00206998"/>
    <w:rsid w:val="00214580"/>
    <w:rsid w:val="00221FF6"/>
    <w:rsid w:val="002247BC"/>
    <w:rsid w:val="00231A61"/>
    <w:rsid w:val="00236718"/>
    <w:rsid w:val="002466D3"/>
    <w:rsid w:val="00246D5D"/>
    <w:rsid w:val="00250C22"/>
    <w:rsid w:val="00251F01"/>
    <w:rsid w:val="00253439"/>
    <w:rsid w:val="00255780"/>
    <w:rsid w:val="00257BF1"/>
    <w:rsid w:val="00261660"/>
    <w:rsid w:val="002616C7"/>
    <w:rsid w:val="002635C6"/>
    <w:rsid w:val="002639C0"/>
    <w:rsid w:val="0026461C"/>
    <w:rsid w:val="00265BEA"/>
    <w:rsid w:val="00265F70"/>
    <w:rsid w:val="00272089"/>
    <w:rsid w:val="00275B5C"/>
    <w:rsid w:val="00275D43"/>
    <w:rsid w:val="002768B2"/>
    <w:rsid w:val="00286210"/>
    <w:rsid w:val="0028687D"/>
    <w:rsid w:val="002875BF"/>
    <w:rsid w:val="0029076F"/>
    <w:rsid w:val="00290E64"/>
    <w:rsid w:val="0029309F"/>
    <w:rsid w:val="002B1C56"/>
    <w:rsid w:val="002B5007"/>
    <w:rsid w:val="002B71AE"/>
    <w:rsid w:val="002C15D4"/>
    <w:rsid w:val="002C2046"/>
    <w:rsid w:val="002C290B"/>
    <w:rsid w:val="002D0782"/>
    <w:rsid w:val="002D3E27"/>
    <w:rsid w:val="002E16DB"/>
    <w:rsid w:val="002E73AD"/>
    <w:rsid w:val="002F1EB6"/>
    <w:rsid w:val="003017B7"/>
    <w:rsid w:val="0030180C"/>
    <w:rsid w:val="0031120D"/>
    <w:rsid w:val="003143C1"/>
    <w:rsid w:val="00314687"/>
    <w:rsid w:val="00321BF0"/>
    <w:rsid w:val="00323996"/>
    <w:rsid w:val="00334C89"/>
    <w:rsid w:val="00343100"/>
    <w:rsid w:val="0034319C"/>
    <w:rsid w:val="00345729"/>
    <w:rsid w:val="00350563"/>
    <w:rsid w:val="003513D9"/>
    <w:rsid w:val="003515B3"/>
    <w:rsid w:val="00354603"/>
    <w:rsid w:val="003561AA"/>
    <w:rsid w:val="003566AC"/>
    <w:rsid w:val="00362F9F"/>
    <w:rsid w:val="003633D6"/>
    <w:rsid w:val="00364C53"/>
    <w:rsid w:val="00374A1A"/>
    <w:rsid w:val="00377011"/>
    <w:rsid w:val="0038233A"/>
    <w:rsid w:val="00384B0F"/>
    <w:rsid w:val="003A3A33"/>
    <w:rsid w:val="003A7940"/>
    <w:rsid w:val="003B1345"/>
    <w:rsid w:val="003B4075"/>
    <w:rsid w:val="003B570F"/>
    <w:rsid w:val="003B711F"/>
    <w:rsid w:val="003B74D5"/>
    <w:rsid w:val="003B7A60"/>
    <w:rsid w:val="003C335A"/>
    <w:rsid w:val="003C4759"/>
    <w:rsid w:val="003C4EE8"/>
    <w:rsid w:val="003C54F3"/>
    <w:rsid w:val="003C6F26"/>
    <w:rsid w:val="003D39B6"/>
    <w:rsid w:val="003E37C1"/>
    <w:rsid w:val="003E612D"/>
    <w:rsid w:val="003E6366"/>
    <w:rsid w:val="003F31FF"/>
    <w:rsid w:val="003F486A"/>
    <w:rsid w:val="003F67BC"/>
    <w:rsid w:val="00401D3E"/>
    <w:rsid w:val="00404A9F"/>
    <w:rsid w:val="00417A0F"/>
    <w:rsid w:val="00422F98"/>
    <w:rsid w:val="0042326B"/>
    <w:rsid w:val="00426A2C"/>
    <w:rsid w:val="00426EE4"/>
    <w:rsid w:val="004272F4"/>
    <w:rsid w:val="0043110D"/>
    <w:rsid w:val="00433B91"/>
    <w:rsid w:val="0043532A"/>
    <w:rsid w:val="004405B2"/>
    <w:rsid w:val="00442CC4"/>
    <w:rsid w:val="00454868"/>
    <w:rsid w:val="004641C9"/>
    <w:rsid w:val="0046627B"/>
    <w:rsid w:val="004669D4"/>
    <w:rsid w:val="004676D2"/>
    <w:rsid w:val="004720B7"/>
    <w:rsid w:val="00481D0B"/>
    <w:rsid w:val="00483E13"/>
    <w:rsid w:val="0049352E"/>
    <w:rsid w:val="00497FFB"/>
    <w:rsid w:val="004B014C"/>
    <w:rsid w:val="004B13DF"/>
    <w:rsid w:val="004B1B20"/>
    <w:rsid w:val="004B296C"/>
    <w:rsid w:val="004B4BDA"/>
    <w:rsid w:val="004D0455"/>
    <w:rsid w:val="004D07FD"/>
    <w:rsid w:val="004D2547"/>
    <w:rsid w:val="004D6D7C"/>
    <w:rsid w:val="004E098F"/>
    <w:rsid w:val="004E5A5A"/>
    <w:rsid w:val="004F5A65"/>
    <w:rsid w:val="00502E85"/>
    <w:rsid w:val="0050452B"/>
    <w:rsid w:val="005061E3"/>
    <w:rsid w:val="00510224"/>
    <w:rsid w:val="00511592"/>
    <w:rsid w:val="005138C7"/>
    <w:rsid w:val="00513B5A"/>
    <w:rsid w:val="00514686"/>
    <w:rsid w:val="00517711"/>
    <w:rsid w:val="0052029E"/>
    <w:rsid w:val="005204C6"/>
    <w:rsid w:val="00523BC1"/>
    <w:rsid w:val="00524ACA"/>
    <w:rsid w:val="0052626C"/>
    <w:rsid w:val="005275DD"/>
    <w:rsid w:val="00530247"/>
    <w:rsid w:val="00531FA1"/>
    <w:rsid w:val="00540946"/>
    <w:rsid w:val="005434BE"/>
    <w:rsid w:val="005438FC"/>
    <w:rsid w:val="00554F7E"/>
    <w:rsid w:val="0055601A"/>
    <w:rsid w:val="00557F5C"/>
    <w:rsid w:val="00560598"/>
    <w:rsid w:val="005606C7"/>
    <w:rsid w:val="0056146E"/>
    <w:rsid w:val="00561477"/>
    <w:rsid w:val="005618DD"/>
    <w:rsid w:val="005634C5"/>
    <w:rsid w:val="00570DC3"/>
    <w:rsid w:val="005806F4"/>
    <w:rsid w:val="00581F76"/>
    <w:rsid w:val="00582D82"/>
    <w:rsid w:val="00587240"/>
    <w:rsid w:val="00591437"/>
    <w:rsid w:val="00592914"/>
    <w:rsid w:val="00595498"/>
    <w:rsid w:val="00596751"/>
    <w:rsid w:val="005B0BF3"/>
    <w:rsid w:val="005B5F3D"/>
    <w:rsid w:val="005B7897"/>
    <w:rsid w:val="005C0EDC"/>
    <w:rsid w:val="005C1548"/>
    <w:rsid w:val="005C42DC"/>
    <w:rsid w:val="005C685C"/>
    <w:rsid w:val="005D2624"/>
    <w:rsid w:val="005D66A8"/>
    <w:rsid w:val="005D7CFC"/>
    <w:rsid w:val="005E1E0B"/>
    <w:rsid w:val="005E444A"/>
    <w:rsid w:val="005E44B6"/>
    <w:rsid w:val="005E4CEA"/>
    <w:rsid w:val="005E53DD"/>
    <w:rsid w:val="005E5741"/>
    <w:rsid w:val="005E7B70"/>
    <w:rsid w:val="005F09D9"/>
    <w:rsid w:val="005F33D8"/>
    <w:rsid w:val="005F426C"/>
    <w:rsid w:val="005F44D6"/>
    <w:rsid w:val="005F5AC4"/>
    <w:rsid w:val="006004F6"/>
    <w:rsid w:val="006009E1"/>
    <w:rsid w:val="00601F5F"/>
    <w:rsid w:val="00604E7E"/>
    <w:rsid w:val="006075F7"/>
    <w:rsid w:val="00613CA7"/>
    <w:rsid w:val="00616CD4"/>
    <w:rsid w:val="00620D3F"/>
    <w:rsid w:val="00622971"/>
    <w:rsid w:val="00622D3A"/>
    <w:rsid w:val="00622DBE"/>
    <w:rsid w:val="0062388C"/>
    <w:rsid w:val="00625A0E"/>
    <w:rsid w:val="00627C7C"/>
    <w:rsid w:val="00644261"/>
    <w:rsid w:val="00644B22"/>
    <w:rsid w:val="00646072"/>
    <w:rsid w:val="00653C3C"/>
    <w:rsid w:val="00657990"/>
    <w:rsid w:val="006603B6"/>
    <w:rsid w:val="00667696"/>
    <w:rsid w:val="006720F4"/>
    <w:rsid w:val="006734F2"/>
    <w:rsid w:val="00674B63"/>
    <w:rsid w:val="00685096"/>
    <w:rsid w:val="0068617E"/>
    <w:rsid w:val="00687031"/>
    <w:rsid w:val="00692AFB"/>
    <w:rsid w:val="006A31A9"/>
    <w:rsid w:val="006B1928"/>
    <w:rsid w:val="006C001A"/>
    <w:rsid w:val="006C0C8E"/>
    <w:rsid w:val="006C17A0"/>
    <w:rsid w:val="006C1879"/>
    <w:rsid w:val="006C304E"/>
    <w:rsid w:val="006C3973"/>
    <w:rsid w:val="006C781A"/>
    <w:rsid w:val="006D084F"/>
    <w:rsid w:val="006D0DC1"/>
    <w:rsid w:val="006D23E9"/>
    <w:rsid w:val="006D3C58"/>
    <w:rsid w:val="006D6799"/>
    <w:rsid w:val="006E7481"/>
    <w:rsid w:val="006F149F"/>
    <w:rsid w:val="006F46D1"/>
    <w:rsid w:val="006F6580"/>
    <w:rsid w:val="00700671"/>
    <w:rsid w:val="00707E13"/>
    <w:rsid w:val="00716324"/>
    <w:rsid w:val="007231CB"/>
    <w:rsid w:val="00723DCE"/>
    <w:rsid w:val="007258B7"/>
    <w:rsid w:val="00730D5C"/>
    <w:rsid w:val="00732EB5"/>
    <w:rsid w:val="00734667"/>
    <w:rsid w:val="00734A87"/>
    <w:rsid w:val="007373A2"/>
    <w:rsid w:val="0074458E"/>
    <w:rsid w:val="00747242"/>
    <w:rsid w:val="00751660"/>
    <w:rsid w:val="007543CE"/>
    <w:rsid w:val="00755CD7"/>
    <w:rsid w:val="007561CC"/>
    <w:rsid w:val="007636A4"/>
    <w:rsid w:val="00763A65"/>
    <w:rsid w:val="0077063A"/>
    <w:rsid w:val="007767D3"/>
    <w:rsid w:val="00782B4F"/>
    <w:rsid w:val="007874F8"/>
    <w:rsid w:val="00787E5E"/>
    <w:rsid w:val="0079066E"/>
    <w:rsid w:val="007A2EDC"/>
    <w:rsid w:val="007B4943"/>
    <w:rsid w:val="007C4EF4"/>
    <w:rsid w:val="007C5B40"/>
    <w:rsid w:val="007C6D49"/>
    <w:rsid w:val="007C6D64"/>
    <w:rsid w:val="007D62A0"/>
    <w:rsid w:val="007E75FD"/>
    <w:rsid w:val="00803F1A"/>
    <w:rsid w:val="008062CB"/>
    <w:rsid w:val="00806610"/>
    <w:rsid w:val="00813B96"/>
    <w:rsid w:val="00816010"/>
    <w:rsid w:val="00823E7A"/>
    <w:rsid w:val="008306FB"/>
    <w:rsid w:val="00832294"/>
    <w:rsid w:val="0086243F"/>
    <w:rsid w:val="008727B6"/>
    <w:rsid w:val="00873BCC"/>
    <w:rsid w:val="00874157"/>
    <w:rsid w:val="0087426B"/>
    <w:rsid w:val="00875BA4"/>
    <w:rsid w:val="0088177C"/>
    <w:rsid w:val="008855DD"/>
    <w:rsid w:val="00891169"/>
    <w:rsid w:val="00892D28"/>
    <w:rsid w:val="00893C15"/>
    <w:rsid w:val="008941F6"/>
    <w:rsid w:val="00897A24"/>
    <w:rsid w:val="008A0761"/>
    <w:rsid w:val="008A37E0"/>
    <w:rsid w:val="008A4900"/>
    <w:rsid w:val="008A73D3"/>
    <w:rsid w:val="008A7A1C"/>
    <w:rsid w:val="008B12F4"/>
    <w:rsid w:val="008B3C52"/>
    <w:rsid w:val="008B3FF9"/>
    <w:rsid w:val="008B51E5"/>
    <w:rsid w:val="008B7F1F"/>
    <w:rsid w:val="008C6BF3"/>
    <w:rsid w:val="008D082C"/>
    <w:rsid w:val="008D74BC"/>
    <w:rsid w:val="008E5566"/>
    <w:rsid w:val="008F455B"/>
    <w:rsid w:val="008F482C"/>
    <w:rsid w:val="008F5D15"/>
    <w:rsid w:val="00906108"/>
    <w:rsid w:val="0090795C"/>
    <w:rsid w:val="00916BC9"/>
    <w:rsid w:val="00916CF5"/>
    <w:rsid w:val="00917F6C"/>
    <w:rsid w:val="00923E24"/>
    <w:rsid w:val="0092460B"/>
    <w:rsid w:val="00937585"/>
    <w:rsid w:val="009425CA"/>
    <w:rsid w:val="00943CC5"/>
    <w:rsid w:val="00944884"/>
    <w:rsid w:val="0095486E"/>
    <w:rsid w:val="009557B9"/>
    <w:rsid w:val="00961F84"/>
    <w:rsid w:val="00963C84"/>
    <w:rsid w:val="0096684C"/>
    <w:rsid w:val="0097158A"/>
    <w:rsid w:val="009743D3"/>
    <w:rsid w:val="00984706"/>
    <w:rsid w:val="009868EF"/>
    <w:rsid w:val="009928C6"/>
    <w:rsid w:val="00995063"/>
    <w:rsid w:val="00997910"/>
    <w:rsid w:val="00997C05"/>
    <w:rsid w:val="009B0300"/>
    <w:rsid w:val="009B0F7F"/>
    <w:rsid w:val="009C1E82"/>
    <w:rsid w:val="009C3860"/>
    <w:rsid w:val="009C4759"/>
    <w:rsid w:val="009D0F33"/>
    <w:rsid w:val="009D32F8"/>
    <w:rsid w:val="009D6EEA"/>
    <w:rsid w:val="009E7A15"/>
    <w:rsid w:val="009F00B9"/>
    <w:rsid w:val="009F4EF3"/>
    <w:rsid w:val="00A066E0"/>
    <w:rsid w:val="00A1051A"/>
    <w:rsid w:val="00A10B66"/>
    <w:rsid w:val="00A10E15"/>
    <w:rsid w:val="00A1197A"/>
    <w:rsid w:val="00A156E3"/>
    <w:rsid w:val="00A23AAF"/>
    <w:rsid w:val="00A24FBA"/>
    <w:rsid w:val="00A311CB"/>
    <w:rsid w:val="00A32192"/>
    <w:rsid w:val="00A33CB1"/>
    <w:rsid w:val="00A35A9F"/>
    <w:rsid w:val="00A45EA7"/>
    <w:rsid w:val="00A471C7"/>
    <w:rsid w:val="00A50DCE"/>
    <w:rsid w:val="00A555EB"/>
    <w:rsid w:val="00A60141"/>
    <w:rsid w:val="00A635E0"/>
    <w:rsid w:val="00A735CB"/>
    <w:rsid w:val="00A74F68"/>
    <w:rsid w:val="00A774C1"/>
    <w:rsid w:val="00A86C86"/>
    <w:rsid w:val="00A90858"/>
    <w:rsid w:val="00A956BE"/>
    <w:rsid w:val="00AA4111"/>
    <w:rsid w:val="00AA6BFC"/>
    <w:rsid w:val="00AB083F"/>
    <w:rsid w:val="00AB22C5"/>
    <w:rsid w:val="00AD24C9"/>
    <w:rsid w:val="00AD6ED2"/>
    <w:rsid w:val="00AE0FF4"/>
    <w:rsid w:val="00AE20FF"/>
    <w:rsid w:val="00AE31FA"/>
    <w:rsid w:val="00AE4C21"/>
    <w:rsid w:val="00AF32C3"/>
    <w:rsid w:val="00B06463"/>
    <w:rsid w:val="00B107D7"/>
    <w:rsid w:val="00B11496"/>
    <w:rsid w:val="00B11786"/>
    <w:rsid w:val="00B2370A"/>
    <w:rsid w:val="00B23DAB"/>
    <w:rsid w:val="00B24851"/>
    <w:rsid w:val="00B24AB5"/>
    <w:rsid w:val="00B2647A"/>
    <w:rsid w:val="00B32532"/>
    <w:rsid w:val="00B41976"/>
    <w:rsid w:val="00B45BD6"/>
    <w:rsid w:val="00B54732"/>
    <w:rsid w:val="00B55AEA"/>
    <w:rsid w:val="00B66160"/>
    <w:rsid w:val="00B66234"/>
    <w:rsid w:val="00B769B7"/>
    <w:rsid w:val="00B808C9"/>
    <w:rsid w:val="00B86EB0"/>
    <w:rsid w:val="00B90562"/>
    <w:rsid w:val="00B90564"/>
    <w:rsid w:val="00B9153D"/>
    <w:rsid w:val="00B942C8"/>
    <w:rsid w:val="00B96815"/>
    <w:rsid w:val="00B97C94"/>
    <w:rsid w:val="00BA0818"/>
    <w:rsid w:val="00BA222C"/>
    <w:rsid w:val="00BA31CA"/>
    <w:rsid w:val="00BB17FB"/>
    <w:rsid w:val="00BC094D"/>
    <w:rsid w:val="00BC2C5C"/>
    <w:rsid w:val="00BC7737"/>
    <w:rsid w:val="00BD4594"/>
    <w:rsid w:val="00BD70F4"/>
    <w:rsid w:val="00BE3A5E"/>
    <w:rsid w:val="00BF3B28"/>
    <w:rsid w:val="00C16758"/>
    <w:rsid w:val="00C23996"/>
    <w:rsid w:val="00C312AA"/>
    <w:rsid w:val="00C3593C"/>
    <w:rsid w:val="00C3657E"/>
    <w:rsid w:val="00C42F6F"/>
    <w:rsid w:val="00C56BD3"/>
    <w:rsid w:val="00C60FAE"/>
    <w:rsid w:val="00C64F6C"/>
    <w:rsid w:val="00C70C4A"/>
    <w:rsid w:val="00C756DE"/>
    <w:rsid w:val="00C75742"/>
    <w:rsid w:val="00C80B7C"/>
    <w:rsid w:val="00C860C8"/>
    <w:rsid w:val="00C86B83"/>
    <w:rsid w:val="00C87921"/>
    <w:rsid w:val="00C92473"/>
    <w:rsid w:val="00C94DF6"/>
    <w:rsid w:val="00C955E2"/>
    <w:rsid w:val="00CA02E3"/>
    <w:rsid w:val="00CA3F30"/>
    <w:rsid w:val="00CB2F78"/>
    <w:rsid w:val="00CB48B6"/>
    <w:rsid w:val="00CB5000"/>
    <w:rsid w:val="00CD0456"/>
    <w:rsid w:val="00CD4EE1"/>
    <w:rsid w:val="00CF0E23"/>
    <w:rsid w:val="00CF4189"/>
    <w:rsid w:val="00CF601E"/>
    <w:rsid w:val="00D121DE"/>
    <w:rsid w:val="00D148A0"/>
    <w:rsid w:val="00D154B2"/>
    <w:rsid w:val="00D20A98"/>
    <w:rsid w:val="00D246E3"/>
    <w:rsid w:val="00D254F7"/>
    <w:rsid w:val="00D25EAD"/>
    <w:rsid w:val="00D31578"/>
    <w:rsid w:val="00D32375"/>
    <w:rsid w:val="00D328B4"/>
    <w:rsid w:val="00D32FD5"/>
    <w:rsid w:val="00D33820"/>
    <w:rsid w:val="00D35BC1"/>
    <w:rsid w:val="00D51FAC"/>
    <w:rsid w:val="00D6126D"/>
    <w:rsid w:val="00D63A5B"/>
    <w:rsid w:val="00D6462B"/>
    <w:rsid w:val="00D64ABD"/>
    <w:rsid w:val="00D65ECB"/>
    <w:rsid w:val="00D66EA0"/>
    <w:rsid w:val="00D66ED9"/>
    <w:rsid w:val="00D67EC8"/>
    <w:rsid w:val="00D722ED"/>
    <w:rsid w:val="00D81A34"/>
    <w:rsid w:val="00D83333"/>
    <w:rsid w:val="00D85280"/>
    <w:rsid w:val="00D85417"/>
    <w:rsid w:val="00D855FF"/>
    <w:rsid w:val="00D85D7F"/>
    <w:rsid w:val="00D915A5"/>
    <w:rsid w:val="00D91D54"/>
    <w:rsid w:val="00D93524"/>
    <w:rsid w:val="00D9493E"/>
    <w:rsid w:val="00D95EBC"/>
    <w:rsid w:val="00DA11A7"/>
    <w:rsid w:val="00DA1FD4"/>
    <w:rsid w:val="00DA3493"/>
    <w:rsid w:val="00DA77A6"/>
    <w:rsid w:val="00DB11FD"/>
    <w:rsid w:val="00DB202D"/>
    <w:rsid w:val="00DB4752"/>
    <w:rsid w:val="00DB5233"/>
    <w:rsid w:val="00DC1C58"/>
    <w:rsid w:val="00DD3455"/>
    <w:rsid w:val="00DD61B0"/>
    <w:rsid w:val="00DD7827"/>
    <w:rsid w:val="00DE475E"/>
    <w:rsid w:val="00DF066E"/>
    <w:rsid w:val="00DF0AB3"/>
    <w:rsid w:val="00DF1FBC"/>
    <w:rsid w:val="00DF66A0"/>
    <w:rsid w:val="00DF77E0"/>
    <w:rsid w:val="00E07CC2"/>
    <w:rsid w:val="00E10171"/>
    <w:rsid w:val="00E1521A"/>
    <w:rsid w:val="00E24380"/>
    <w:rsid w:val="00E27781"/>
    <w:rsid w:val="00E42B97"/>
    <w:rsid w:val="00E432CC"/>
    <w:rsid w:val="00E43D33"/>
    <w:rsid w:val="00E4429C"/>
    <w:rsid w:val="00E47123"/>
    <w:rsid w:val="00E50C04"/>
    <w:rsid w:val="00E619C3"/>
    <w:rsid w:val="00E62BCB"/>
    <w:rsid w:val="00E70D0C"/>
    <w:rsid w:val="00E71775"/>
    <w:rsid w:val="00E8537F"/>
    <w:rsid w:val="00E9155E"/>
    <w:rsid w:val="00E9500E"/>
    <w:rsid w:val="00E955A7"/>
    <w:rsid w:val="00E95A46"/>
    <w:rsid w:val="00E95C28"/>
    <w:rsid w:val="00EA39F2"/>
    <w:rsid w:val="00EA6264"/>
    <w:rsid w:val="00EA6C96"/>
    <w:rsid w:val="00EA7AEF"/>
    <w:rsid w:val="00EA7E5A"/>
    <w:rsid w:val="00EB38D1"/>
    <w:rsid w:val="00EB3FF1"/>
    <w:rsid w:val="00EC72BD"/>
    <w:rsid w:val="00ED420A"/>
    <w:rsid w:val="00ED4402"/>
    <w:rsid w:val="00EE0611"/>
    <w:rsid w:val="00EE1223"/>
    <w:rsid w:val="00EE12B9"/>
    <w:rsid w:val="00EE18D5"/>
    <w:rsid w:val="00EE31DC"/>
    <w:rsid w:val="00EE5478"/>
    <w:rsid w:val="00EF3432"/>
    <w:rsid w:val="00F04393"/>
    <w:rsid w:val="00F045DC"/>
    <w:rsid w:val="00F10212"/>
    <w:rsid w:val="00F108CE"/>
    <w:rsid w:val="00F11127"/>
    <w:rsid w:val="00F17600"/>
    <w:rsid w:val="00F255E7"/>
    <w:rsid w:val="00F33104"/>
    <w:rsid w:val="00F43369"/>
    <w:rsid w:val="00F54EAE"/>
    <w:rsid w:val="00F56535"/>
    <w:rsid w:val="00F61B4C"/>
    <w:rsid w:val="00F623F6"/>
    <w:rsid w:val="00F71EF9"/>
    <w:rsid w:val="00F76DC8"/>
    <w:rsid w:val="00F77C05"/>
    <w:rsid w:val="00F8380E"/>
    <w:rsid w:val="00F85537"/>
    <w:rsid w:val="00F855F6"/>
    <w:rsid w:val="00F94049"/>
    <w:rsid w:val="00F94AD4"/>
    <w:rsid w:val="00F96B31"/>
    <w:rsid w:val="00F97221"/>
    <w:rsid w:val="00F973D6"/>
    <w:rsid w:val="00FA2AF5"/>
    <w:rsid w:val="00FA752F"/>
    <w:rsid w:val="00FA7E29"/>
    <w:rsid w:val="00FB6583"/>
    <w:rsid w:val="00FB69AD"/>
    <w:rsid w:val="00FB7A47"/>
    <w:rsid w:val="00FC35B5"/>
    <w:rsid w:val="00FD1CE6"/>
    <w:rsid w:val="00FD27F9"/>
    <w:rsid w:val="00FD704E"/>
    <w:rsid w:val="00FD71DF"/>
    <w:rsid w:val="00FD7390"/>
    <w:rsid w:val="00FE17A9"/>
    <w:rsid w:val="00FE39D0"/>
    <w:rsid w:val="00FE5FF1"/>
    <w:rsid w:val="00FE7678"/>
    <w:rsid w:val="00FF0222"/>
    <w:rsid w:val="00FF06D3"/>
    <w:rsid w:val="00FF15CB"/>
    <w:rsid w:val="00FF1EBE"/>
    <w:rsid w:val="00FF2CC6"/>
    <w:rsid w:val="00FF326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94F92F"/>
  <w15:chartTrackingRefBased/>
  <w15:docId w15:val="{54521ADB-39B9-E740-9078-F0BE7998A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venir Book" w:eastAsiaTheme="minorHAnsi" w:hAnsi="Avenir Book" w:cs="Times New Roman (Body CS)"/>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90562"/>
    <w:rPr>
      <w:rFonts w:ascii="Times New Roman" w:eastAsia="Times New Roman" w:hAnsi="Times New Roman" w:cs="Times New Roman"/>
      <w:lang w:eastAsia="en-GB"/>
    </w:rPr>
  </w:style>
  <w:style w:type="paragraph" w:styleId="Heading1">
    <w:name w:val="heading 1"/>
    <w:basedOn w:val="Normal"/>
    <w:next w:val="Normal"/>
    <w:link w:val="Heading1Char"/>
    <w:uiPriority w:val="9"/>
    <w:qFormat/>
    <w:rsid w:val="000F3BD0"/>
    <w:pPr>
      <w:keepNext/>
      <w:keepLines/>
      <w:spacing w:before="240"/>
      <w:outlineLvl w:val="0"/>
    </w:pPr>
    <w:rPr>
      <w:rFonts w:ascii="Avenir" w:eastAsiaTheme="majorEastAsia" w:hAnsi="Avenir" w:cstheme="majorBidi"/>
      <w:color w:val="1E4E42" w:themeColor="accent1"/>
      <w:sz w:val="32"/>
      <w:szCs w:val="32"/>
    </w:rPr>
  </w:style>
  <w:style w:type="paragraph" w:styleId="Heading2">
    <w:name w:val="heading 2"/>
    <w:basedOn w:val="Normal"/>
    <w:next w:val="Normal"/>
    <w:link w:val="Heading2Char"/>
    <w:uiPriority w:val="9"/>
    <w:unhideWhenUsed/>
    <w:qFormat/>
    <w:rsid w:val="00FE5FF1"/>
    <w:pPr>
      <w:keepNext/>
      <w:keepLines/>
      <w:spacing w:before="40"/>
      <w:outlineLvl w:val="1"/>
    </w:pPr>
    <w:rPr>
      <w:rFonts w:ascii="Avenir" w:eastAsiaTheme="majorEastAsia" w:hAnsi="Avenir" w:cstheme="majorBidi"/>
      <w:color w:val="95784E" w:themeColor="accent2"/>
      <w:sz w:val="26"/>
      <w:szCs w:val="26"/>
    </w:rPr>
  </w:style>
  <w:style w:type="paragraph" w:styleId="Heading3">
    <w:name w:val="heading 3"/>
    <w:basedOn w:val="Normal"/>
    <w:next w:val="Normal"/>
    <w:link w:val="Heading3Char"/>
    <w:uiPriority w:val="9"/>
    <w:unhideWhenUsed/>
    <w:qFormat/>
    <w:rsid w:val="00510224"/>
    <w:pPr>
      <w:keepNext/>
      <w:keepLines/>
      <w:spacing w:before="40"/>
      <w:outlineLvl w:val="2"/>
    </w:pPr>
    <w:rPr>
      <w:rFonts w:ascii="Avenir" w:eastAsiaTheme="majorEastAsia" w:hAnsi="Avenir" w:cstheme="majorBidi"/>
      <w:i/>
      <w:color w:val="1E4E42"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126D"/>
    <w:pPr>
      <w:tabs>
        <w:tab w:val="center" w:pos="4680"/>
        <w:tab w:val="right" w:pos="9360"/>
      </w:tabs>
    </w:pPr>
  </w:style>
  <w:style w:type="character" w:customStyle="1" w:styleId="HeaderChar">
    <w:name w:val="Header Char"/>
    <w:basedOn w:val="DefaultParagraphFont"/>
    <w:link w:val="Header"/>
    <w:uiPriority w:val="99"/>
    <w:rsid w:val="00D6126D"/>
  </w:style>
  <w:style w:type="paragraph" w:styleId="Footer">
    <w:name w:val="footer"/>
    <w:basedOn w:val="Normal"/>
    <w:link w:val="FooterChar"/>
    <w:uiPriority w:val="99"/>
    <w:unhideWhenUsed/>
    <w:rsid w:val="00D6126D"/>
    <w:pPr>
      <w:tabs>
        <w:tab w:val="center" w:pos="4680"/>
        <w:tab w:val="right" w:pos="9360"/>
      </w:tabs>
    </w:pPr>
  </w:style>
  <w:style w:type="character" w:customStyle="1" w:styleId="FooterChar">
    <w:name w:val="Footer Char"/>
    <w:basedOn w:val="DefaultParagraphFont"/>
    <w:link w:val="Footer"/>
    <w:uiPriority w:val="99"/>
    <w:rsid w:val="00D6126D"/>
  </w:style>
  <w:style w:type="paragraph" w:styleId="NoSpacing">
    <w:name w:val="No Spacing"/>
    <w:uiPriority w:val="1"/>
    <w:qFormat/>
    <w:rsid w:val="005138C7"/>
    <w:rPr>
      <w:rFonts w:eastAsiaTheme="minorEastAsia"/>
      <w:sz w:val="22"/>
      <w:szCs w:val="22"/>
      <w:lang w:val="en-US" w:eastAsia="zh-CN"/>
    </w:rPr>
  </w:style>
  <w:style w:type="character" w:styleId="PageNumber">
    <w:name w:val="page number"/>
    <w:basedOn w:val="DefaultParagraphFont"/>
    <w:uiPriority w:val="99"/>
    <w:semiHidden/>
    <w:unhideWhenUsed/>
    <w:rsid w:val="00D6126D"/>
  </w:style>
  <w:style w:type="character" w:customStyle="1" w:styleId="Heading1Char">
    <w:name w:val="Heading 1 Char"/>
    <w:basedOn w:val="DefaultParagraphFont"/>
    <w:link w:val="Heading1"/>
    <w:uiPriority w:val="9"/>
    <w:rsid w:val="000F3BD0"/>
    <w:rPr>
      <w:rFonts w:ascii="Avenir" w:eastAsiaTheme="majorEastAsia" w:hAnsi="Avenir" w:cstheme="majorBidi"/>
      <w:color w:val="1E4E42" w:themeColor="accent1"/>
      <w:sz w:val="32"/>
      <w:szCs w:val="32"/>
    </w:rPr>
  </w:style>
  <w:style w:type="character" w:customStyle="1" w:styleId="Heading2Char">
    <w:name w:val="Heading 2 Char"/>
    <w:basedOn w:val="DefaultParagraphFont"/>
    <w:link w:val="Heading2"/>
    <w:uiPriority w:val="9"/>
    <w:rsid w:val="00FE5FF1"/>
    <w:rPr>
      <w:rFonts w:ascii="Avenir" w:eastAsiaTheme="majorEastAsia" w:hAnsi="Avenir" w:cstheme="majorBidi"/>
      <w:color w:val="95784E" w:themeColor="accent2"/>
      <w:sz w:val="26"/>
      <w:szCs w:val="26"/>
    </w:rPr>
  </w:style>
  <w:style w:type="character" w:styleId="Hyperlink">
    <w:name w:val="Hyperlink"/>
    <w:basedOn w:val="DefaultParagraphFont"/>
    <w:uiPriority w:val="99"/>
    <w:unhideWhenUsed/>
    <w:rsid w:val="002875BF"/>
    <w:rPr>
      <w:rFonts w:ascii="Avenir Book" w:hAnsi="Avenir Book"/>
      <w:b w:val="0"/>
      <w:i w:val="0"/>
      <w:color w:val="CD7731" w:themeColor="hyperlink"/>
      <w:sz w:val="20"/>
      <w:u w:val="single"/>
    </w:rPr>
  </w:style>
  <w:style w:type="paragraph" w:styleId="Title">
    <w:name w:val="Title"/>
    <w:basedOn w:val="Normal"/>
    <w:link w:val="TitleChar"/>
    <w:autoRedefine/>
    <w:uiPriority w:val="2"/>
    <w:unhideWhenUsed/>
    <w:qFormat/>
    <w:rsid w:val="00E07CC2"/>
    <w:pPr>
      <w:pBdr>
        <w:left w:val="single" w:sz="48" w:space="10" w:color="1E4E42" w:themeColor="accent1"/>
      </w:pBdr>
      <w:spacing w:beforeLines="60" w:before="144" w:line="300" w:lineRule="auto"/>
      <w:contextualSpacing/>
    </w:pPr>
    <w:rPr>
      <w:rFonts w:ascii="Avenir Book" w:eastAsiaTheme="majorEastAsia" w:hAnsi="Avenir Book" w:cstheme="majorBidi"/>
      <w:caps/>
      <w:color w:val="1E4D42"/>
      <w:spacing w:val="6"/>
      <w:sz w:val="32"/>
      <w:szCs w:val="32"/>
      <w:lang w:val="en-US" w:eastAsia="ja-JP"/>
    </w:rPr>
  </w:style>
  <w:style w:type="character" w:customStyle="1" w:styleId="TitleChar">
    <w:name w:val="Title Char"/>
    <w:basedOn w:val="DefaultParagraphFont"/>
    <w:link w:val="Title"/>
    <w:uiPriority w:val="2"/>
    <w:rsid w:val="00E07CC2"/>
    <w:rPr>
      <w:rFonts w:eastAsiaTheme="majorEastAsia" w:cstheme="majorBidi"/>
      <w:caps/>
      <w:color w:val="1E4D42"/>
      <w:spacing w:val="6"/>
      <w:sz w:val="32"/>
      <w:szCs w:val="32"/>
      <w:lang w:val="en-US" w:eastAsia="ja-JP"/>
    </w:rPr>
  </w:style>
  <w:style w:type="character" w:styleId="IntenseEmphasis">
    <w:name w:val="Intense Emphasis"/>
    <w:basedOn w:val="DefaultParagraphFont"/>
    <w:uiPriority w:val="21"/>
    <w:qFormat/>
    <w:rsid w:val="00071820"/>
    <w:rPr>
      <w:rFonts w:ascii="Avenir" w:hAnsi="Avenir"/>
      <w:b w:val="0"/>
      <w:i/>
      <w:iCs/>
      <w:color w:val="1E4E42" w:themeColor="accent1"/>
      <w:sz w:val="22"/>
    </w:rPr>
  </w:style>
  <w:style w:type="character" w:customStyle="1" w:styleId="Heading3Char">
    <w:name w:val="Heading 3 Char"/>
    <w:basedOn w:val="DefaultParagraphFont"/>
    <w:link w:val="Heading3"/>
    <w:uiPriority w:val="9"/>
    <w:rsid w:val="00510224"/>
    <w:rPr>
      <w:rFonts w:ascii="Avenir" w:eastAsiaTheme="majorEastAsia" w:hAnsi="Avenir" w:cstheme="majorBidi"/>
      <w:i/>
      <w:color w:val="1E4E42" w:themeColor="accent1"/>
      <w:sz w:val="22"/>
    </w:rPr>
  </w:style>
  <w:style w:type="paragraph" w:styleId="ListParagraph">
    <w:name w:val="List Paragraph"/>
    <w:basedOn w:val="Normal"/>
    <w:uiPriority w:val="34"/>
    <w:qFormat/>
    <w:rsid w:val="004D2547"/>
    <w:pPr>
      <w:ind w:left="720"/>
      <w:contextualSpacing/>
    </w:pPr>
    <w:rPr>
      <w:rFonts w:ascii="Avenir Book" w:hAnsi="Avenir Book"/>
      <w:sz w:val="22"/>
      <w:lang w:eastAsia="en-US"/>
    </w:rPr>
  </w:style>
  <w:style w:type="paragraph" w:styleId="FootnoteText">
    <w:name w:val="footnote text"/>
    <w:basedOn w:val="Normal"/>
    <w:link w:val="FootnoteTextChar"/>
    <w:uiPriority w:val="99"/>
    <w:unhideWhenUsed/>
    <w:rsid w:val="004D2547"/>
    <w:rPr>
      <w:rFonts w:ascii="Avenir Book" w:hAnsi="Avenir Book"/>
      <w:sz w:val="18"/>
      <w:szCs w:val="20"/>
      <w:lang w:eastAsia="en-US"/>
    </w:rPr>
  </w:style>
  <w:style w:type="character" w:customStyle="1" w:styleId="FootnoteTextChar">
    <w:name w:val="Footnote Text Char"/>
    <w:basedOn w:val="DefaultParagraphFont"/>
    <w:link w:val="FootnoteText"/>
    <w:uiPriority w:val="99"/>
    <w:rsid w:val="004D2547"/>
    <w:rPr>
      <w:rFonts w:eastAsia="Times New Roman" w:cs="Times New Roman"/>
      <w:sz w:val="18"/>
      <w:szCs w:val="20"/>
    </w:rPr>
  </w:style>
  <w:style w:type="character" w:styleId="FootnoteReference">
    <w:name w:val="footnote reference"/>
    <w:basedOn w:val="DefaultParagraphFont"/>
    <w:uiPriority w:val="99"/>
    <w:unhideWhenUsed/>
    <w:rsid w:val="004D2547"/>
    <w:rPr>
      <w:vertAlign w:val="superscript"/>
    </w:rPr>
  </w:style>
  <w:style w:type="character" w:styleId="Emphasis">
    <w:name w:val="Emphasis"/>
    <w:basedOn w:val="DefaultParagraphFont"/>
    <w:uiPriority w:val="20"/>
    <w:qFormat/>
    <w:rsid w:val="004D2547"/>
    <w:rPr>
      <w:i/>
      <w:iCs/>
    </w:rPr>
  </w:style>
  <w:style w:type="character" w:customStyle="1" w:styleId="hps-normal1">
    <w:name w:val="hps-normal1"/>
    <w:basedOn w:val="DefaultParagraphFont"/>
    <w:rsid w:val="004D2547"/>
  </w:style>
  <w:style w:type="paragraph" w:customStyle="1" w:styleId="subsection">
    <w:name w:val="subsection"/>
    <w:basedOn w:val="Normal"/>
    <w:rsid w:val="004D2547"/>
    <w:pPr>
      <w:spacing w:before="100" w:beforeAutospacing="1" w:after="100" w:afterAutospacing="1"/>
    </w:pPr>
  </w:style>
  <w:style w:type="paragraph" w:customStyle="1" w:styleId="paragraph">
    <w:name w:val="paragraph"/>
    <w:basedOn w:val="Normal"/>
    <w:rsid w:val="004D2547"/>
    <w:pPr>
      <w:spacing w:before="100" w:beforeAutospacing="1" w:after="100" w:afterAutospacing="1"/>
    </w:pPr>
  </w:style>
  <w:style w:type="character" w:styleId="Strong">
    <w:name w:val="Strong"/>
    <w:basedOn w:val="DefaultParagraphFont"/>
    <w:uiPriority w:val="22"/>
    <w:qFormat/>
    <w:rsid w:val="003F486A"/>
    <w:rPr>
      <w:b/>
      <w:bCs/>
    </w:rPr>
  </w:style>
  <w:style w:type="paragraph" w:customStyle="1" w:styleId="dcr-xry7m2">
    <w:name w:val="dcr-xry7m2"/>
    <w:basedOn w:val="Normal"/>
    <w:rsid w:val="003F486A"/>
    <w:pPr>
      <w:spacing w:before="100" w:beforeAutospacing="1" w:after="100" w:afterAutospacing="1"/>
    </w:pPr>
  </w:style>
  <w:style w:type="paragraph" w:styleId="NormalWeb">
    <w:name w:val="Normal (Web)"/>
    <w:basedOn w:val="Normal"/>
    <w:uiPriority w:val="99"/>
    <w:unhideWhenUsed/>
    <w:rsid w:val="0029309F"/>
    <w:pPr>
      <w:spacing w:before="100" w:beforeAutospacing="1" w:after="100" w:afterAutospacing="1"/>
    </w:pPr>
  </w:style>
  <w:style w:type="table" w:styleId="TableGrid">
    <w:name w:val="Table Grid"/>
    <w:basedOn w:val="TableNormal"/>
    <w:uiPriority w:val="39"/>
    <w:rsid w:val="00DA1FD4"/>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8624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86243F"/>
    <w:rPr>
      <w:rFonts w:ascii="Courier New" w:eastAsia="Times New Roman" w:hAnsi="Courier New" w:cs="Courier New"/>
      <w:sz w:val="20"/>
      <w:szCs w:val="20"/>
      <w:lang w:eastAsia="en-GB"/>
    </w:rPr>
  </w:style>
  <w:style w:type="paragraph" w:customStyle="1" w:styleId="Default">
    <w:name w:val="Default"/>
    <w:rsid w:val="00275B5C"/>
    <w:pPr>
      <w:autoSpaceDE w:val="0"/>
      <w:autoSpaceDN w:val="0"/>
      <w:adjustRightInd w:val="0"/>
    </w:pPr>
    <w:rPr>
      <w:rFonts w:ascii="Arial" w:hAnsi="Arial" w:cs="Arial"/>
      <w:color w:val="000000"/>
      <w:lang w:val="en-GB"/>
    </w:rPr>
  </w:style>
  <w:style w:type="character" w:styleId="UnresolvedMention">
    <w:name w:val="Unresolved Mention"/>
    <w:basedOn w:val="DefaultParagraphFont"/>
    <w:uiPriority w:val="99"/>
    <w:unhideWhenUsed/>
    <w:rsid w:val="00257BF1"/>
    <w:rPr>
      <w:color w:val="605E5C"/>
      <w:shd w:val="clear" w:color="auto" w:fill="E1DFDD"/>
    </w:rPr>
  </w:style>
  <w:style w:type="character" w:customStyle="1" w:styleId="bnwrappedspan">
    <w:name w:val="bn_wrapped_span"/>
    <w:basedOn w:val="DefaultParagraphFont"/>
    <w:rsid w:val="00257BF1"/>
  </w:style>
  <w:style w:type="character" w:customStyle="1" w:styleId="charsectno">
    <w:name w:val="charsectno"/>
    <w:basedOn w:val="DefaultParagraphFont"/>
    <w:rsid w:val="00257BF1"/>
  </w:style>
  <w:style w:type="character" w:customStyle="1" w:styleId="ssleftalign">
    <w:name w:val="ss_leftalign"/>
    <w:basedOn w:val="DefaultParagraphFont"/>
    <w:rsid w:val="00257BF1"/>
  </w:style>
  <w:style w:type="character" w:customStyle="1" w:styleId="normaltextrun">
    <w:name w:val="normaltextrun"/>
    <w:basedOn w:val="DefaultParagraphFont"/>
    <w:rsid w:val="005634C5"/>
  </w:style>
  <w:style w:type="character" w:customStyle="1" w:styleId="eop">
    <w:name w:val="eop"/>
    <w:basedOn w:val="DefaultParagraphFont"/>
    <w:rsid w:val="00D328B4"/>
  </w:style>
  <w:style w:type="character" w:customStyle="1" w:styleId="findhit">
    <w:name w:val="findhit"/>
    <w:basedOn w:val="DefaultParagraphFont"/>
    <w:rsid w:val="00570D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133745">
      <w:bodyDiv w:val="1"/>
      <w:marLeft w:val="0"/>
      <w:marRight w:val="0"/>
      <w:marTop w:val="0"/>
      <w:marBottom w:val="0"/>
      <w:divBdr>
        <w:top w:val="none" w:sz="0" w:space="0" w:color="auto"/>
        <w:left w:val="none" w:sz="0" w:space="0" w:color="auto"/>
        <w:bottom w:val="none" w:sz="0" w:space="0" w:color="auto"/>
        <w:right w:val="none" w:sz="0" w:space="0" w:color="auto"/>
      </w:divBdr>
      <w:divsChild>
        <w:div w:id="10002772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75924902">
      <w:bodyDiv w:val="1"/>
      <w:marLeft w:val="0"/>
      <w:marRight w:val="0"/>
      <w:marTop w:val="0"/>
      <w:marBottom w:val="0"/>
      <w:divBdr>
        <w:top w:val="none" w:sz="0" w:space="0" w:color="auto"/>
        <w:left w:val="none" w:sz="0" w:space="0" w:color="auto"/>
        <w:bottom w:val="none" w:sz="0" w:space="0" w:color="auto"/>
        <w:right w:val="none" w:sz="0" w:space="0" w:color="auto"/>
      </w:divBdr>
    </w:div>
    <w:div w:id="838347456">
      <w:bodyDiv w:val="1"/>
      <w:marLeft w:val="0"/>
      <w:marRight w:val="0"/>
      <w:marTop w:val="0"/>
      <w:marBottom w:val="0"/>
      <w:divBdr>
        <w:top w:val="none" w:sz="0" w:space="0" w:color="auto"/>
        <w:left w:val="none" w:sz="0" w:space="0" w:color="auto"/>
        <w:bottom w:val="none" w:sz="0" w:space="0" w:color="auto"/>
        <w:right w:val="none" w:sz="0" w:space="0" w:color="auto"/>
      </w:divBdr>
    </w:div>
    <w:div w:id="1114054008">
      <w:bodyDiv w:val="1"/>
      <w:marLeft w:val="0"/>
      <w:marRight w:val="0"/>
      <w:marTop w:val="0"/>
      <w:marBottom w:val="0"/>
      <w:divBdr>
        <w:top w:val="none" w:sz="0" w:space="0" w:color="auto"/>
        <w:left w:val="none" w:sz="0" w:space="0" w:color="auto"/>
        <w:bottom w:val="none" w:sz="0" w:space="0" w:color="auto"/>
        <w:right w:val="none" w:sz="0" w:space="0" w:color="auto"/>
      </w:divBdr>
    </w:div>
    <w:div w:id="1281450063">
      <w:bodyDiv w:val="1"/>
      <w:marLeft w:val="0"/>
      <w:marRight w:val="0"/>
      <w:marTop w:val="0"/>
      <w:marBottom w:val="0"/>
      <w:divBdr>
        <w:top w:val="none" w:sz="0" w:space="0" w:color="auto"/>
        <w:left w:val="none" w:sz="0" w:space="0" w:color="auto"/>
        <w:bottom w:val="none" w:sz="0" w:space="0" w:color="auto"/>
        <w:right w:val="none" w:sz="0" w:space="0" w:color="auto"/>
      </w:divBdr>
    </w:div>
    <w:div w:id="1286891310">
      <w:bodyDiv w:val="1"/>
      <w:marLeft w:val="0"/>
      <w:marRight w:val="0"/>
      <w:marTop w:val="0"/>
      <w:marBottom w:val="0"/>
      <w:divBdr>
        <w:top w:val="none" w:sz="0" w:space="0" w:color="auto"/>
        <w:left w:val="none" w:sz="0" w:space="0" w:color="auto"/>
        <w:bottom w:val="none" w:sz="0" w:space="0" w:color="auto"/>
        <w:right w:val="none" w:sz="0" w:space="0" w:color="auto"/>
      </w:divBdr>
    </w:div>
    <w:div w:id="1450664818">
      <w:bodyDiv w:val="1"/>
      <w:marLeft w:val="0"/>
      <w:marRight w:val="0"/>
      <w:marTop w:val="0"/>
      <w:marBottom w:val="0"/>
      <w:divBdr>
        <w:top w:val="none" w:sz="0" w:space="0" w:color="auto"/>
        <w:left w:val="none" w:sz="0" w:space="0" w:color="auto"/>
        <w:bottom w:val="none" w:sz="0" w:space="0" w:color="auto"/>
        <w:right w:val="none" w:sz="0" w:space="0" w:color="auto"/>
      </w:divBdr>
    </w:div>
    <w:div w:id="1635136908">
      <w:bodyDiv w:val="1"/>
      <w:marLeft w:val="0"/>
      <w:marRight w:val="0"/>
      <w:marTop w:val="0"/>
      <w:marBottom w:val="0"/>
      <w:divBdr>
        <w:top w:val="none" w:sz="0" w:space="0" w:color="auto"/>
        <w:left w:val="none" w:sz="0" w:space="0" w:color="auto"/>
        <w:bottom w:val="none" w:sz="0" w:space="0" w:color="auto"/>
        <w:right w:val="none" w:sz="0" w:space="0" w:color="auto"/>
      </w:divBdr>
    </w:div>
    <w:div w:id="1699116765">
      <w:bodyDiv w:val="1"/>
      <w:marLeft w:val="0"/>
      <w:marRight w:val="0"/>
      <w:marTop w:val="0"/>
      <w:marBottom w:val="0"/>
      <w:divBdr>
        <w:top w:val="none" w:sz="0" w:space="0" w:color="auto"/>
        <w:left w:val="none" w:sz="0" w:space="0" w:color="auto"/>
        <w:bottom w:val="none" w:sz="0" w:space="0" w:color="auto"/>
        <w:right w:val="none" w:sz="0" w:space="0" w:color="auto"/>
      </w:divBdr>
    </w:div>
    <w:div w:id="1701855951">
      <w:bodyDiv w:val="1"/>
      <w:marLeft w:val="0"/>
      <w:marRight w:val="0"/>
      <w:marTop w:val="0"/>
      <w:marBottom w:val="0"/>
      <w:divBdr>
        <w:top w:val="none" w:sz="0" w:space="0" w:color="auto"/>
        <w:left w:val="none" w:sz="0" w:space="0" w:color="auto"/>
        <w:bottom w:val="none" w:sz="0" w:space="0" w:color="auto"/>
        <w:right w:val="none" w:sz="0" w:space="0" w:color="auto"/>
      </w:divBdr>
    </w:div>
    <w:div w:id="1802771532">
      <w:bodyDiv w:val="1"/>
      <w:marLeft w:val="0"/>
      <w:marRight w:val="0"/>
      <w:marTop w:val="0"/>
      <w:marBottom w:val="0"/>
      <w:divBdr>
        <w:top w:val="none" w:sz="0" w:space="0" w:color="auto"/>
        <w:left w:val="none" w:sz="0" w:space="0" w:color="auto"/>
        <w:bottom w:val="none" w:sz="0" w:space="0" w:color="auto"/>
        <w:right w:val="none" w:sz="0" w:space="0" w:color="auto"/>
      </w:divBdr>
    </w:div>
    <w:div w:id="1847012788">
      <w:bodyDiv w:val="1"/>
      <w:marLeft w:val="0"/>
      <w:marRight w:val="0"/>
      <w:marTop w:val="0"/>
      <w:marBottom w:val="0"/>
      <w:divBdr>
        <w:top w:val="none" w:sz="0" w:space="0" w:color="auto"/>
        <w:left w:val="none" w:sz="0" w:space="0" w:color="auto"/>
        <w:bottom w:val="none" w:sz="0" w:space="0" w:color="auto"/>
        <w:right w:val="none" w:sz="0" w:space="0" w:color="auto"/>
      </w:divBdr>
    </w:div>
    <w:div w:id="1908106378">
      <w:bodyDiv w:val="1"/>
      <w:marLeft w:val="0"/>
      <w:marRight w:val="0"/>
      <w:marTop w:val="0"/>
      <w:marBottom w:val="0"/>
      <w:divBdr>
        <w:top w:val="none" w:sz="0" w:space="0" w:color="auto"/>
        <w:left w:val="none" w:sz="0" w:space="0" w:color="auto"/>
        <w:bottom w:val="none" w:sz="0" w:space="0" w:color="auto"/>
        <w:right w:val="none" w:sz="0" w:space="0" w:color="auto"/>
      </w:divBdr>
    </w:div>
    <w:div w:id="1966348716">
      <w:bodyDiv w:val="1"/>
      <w:marLeft w:val="0"/>
      <w:marRight w:val="0"/>
      <w:marTop w:val="0"/>
      <w:marBottom w:val="0"/>
      <w:divBdr>
        <w:top w:val="none" w:sz="0" w:space="0" w:color="auto"/>
        <w:left w:val="none" w:sz="0" w:space="0" w:color="auto"/>
        <w:bottom w:val="none" w:sz="0" w:space="0" w:color="auto"/>
        <w:right w:val="none" w:sz="0" w:space="0" w:color="auto"/>
      </w:divBdr>
    </w:div>
    <w:div w:id="2026402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Per Capita">
      <a:dk1>
        <a:srgbClr val="000000"/>
      </a:dk1>
      <a:lt1>
        <a:srgbClr val="FFFFFF"/>
      </a:lt1>
      <a:dk2>
        <a:srgbClr val="787973"/>
      </a:dk2>
      <a:lt2>
        <a:srgbClr val="DDDCD3"/>
      </a:lt2>
      <a:accent1>
        <a:srgbClr val="1E4E42"/>
      </a:accent1>
      <a:accent2>
        <a:srgbClr val="95784E"/>
      </a:accent2>
      <a:accent3>
        <a:srgbClr val="9FC18F"/>
      </a:accent3>
      <a:accent4>
        <a:srgbClr val="CD302A"/>
      </a:accent4>
      <a:accent5>
        <a:srgbClr val="F8CEBC"/>
      </a:accent5>
      <a:accent6>
        <a:srgbClr val="263776"/>
      </a:accent6>
      <a:hlink>
        <a:srgbClr val="CD7731"/>
      </a:hlink>
      <a:folHlink>
        <a:srgbClr val="CD7731"/>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4661F0-A893-D449-85A3-FD4E459CB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12</Pages>
  <Words>5066</Words>
  <Characters>28878</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Submission 162 - Per Capita Australia - Productivity - Public inquiry</vt:lpstr>
    </vt:vector>
  </TitlesOfParts>
  <Company>Per Capita Australia</Company>
  <LinksUpToDate>false</LinksUpToDate>
  <CharactersWithSpaces>33877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162 - Per Capita Australia - Productivity - Public inquiry</dc:title>
  <dc:subject/>
  <dc:creator>Per Capita Australia</dc:creator>
  <cp:keywords/>
  <dc:description/>
  <cp:lastModifiedBy>Chris Alston</cp:lastModifiedBy>
  <cp:revision>6</cp:revision>
  <dcterms:created xsi:type="dcterms:W3CDTF">2022-10-21T03:59:00Z</dcterms:created>
  <dcterms:modified xsi:type="dcterms:W3CDTF">2022-10-25T23:22:00Z</dcterms:modified>
</cp:coreProperties>
</file>