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B788" w14:textId="77777777" w:rsidR="009138A3" w:rsidRDefault="00951EB1">
      <w:pPr>
        <w:pStyle w:val="ListParagraph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Suk Fung Ng</w:t>
      </w:r>
    </w:p>
    <w:p w14:paraId="1DC9B789" w14:textId="77777777" w:rsidR="009138A3" w:rsidRDefault="009138A3">
      <w:pPr>
        <w:pStyle w:val="ListParagraph"/>
        <w:ind w:left="0"/>
        <w:rPr>
          <w:rFonts w:ascii="Calibri" w:hAnsi="Calibri"/>
          <w:sz w:val="22"/>
          <w:szCs w:val="22"/>
        </w:rPr>
      </w:pPr>
    </w:p>
    <w:p w14:paraId="1DC9B78A" w14:textId="77777777" w:rsidR="009138A3" w:rsidRDefault="00951EB1">
      <w:pPr>
        <w:pStyle w:val="ListParagraph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 February 2024</w:t>
      </w:r>
    </w:p>
    <w:p w14:paraId="1DC9B78B" w14:textId="77777777" w:rsidR="009138A3" w:rsidRDefault="009138A3">
      <w:pPr>
        <w:pStyle w:val="ListParagraph"/>
        <w:ind w:left="0"/>
        <w:rPr>
          <w:rFonts w:ascii="Calibri" w:hAnsi="Calibri"/>
          <w:sz w:val="22"/>
          <w:szCs w:val="22"/>
        </w:rPr>
      </w:pPr>
    </w:p>
    <w:p w14:paraId="1DC9B78C" w14:textId="77777777" w:rsidR="009138A3" w:rsidRDefault="00951EB1">
      <w:pPr>
        <w:pStyle w:val="ListParagraph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Productivity Commission</w:t>
      </w:r>
    </w:p>
    <w:p w14:paraId="1DC9B78D" w14:textId="77777777" w:rsidR="009138A3" w:rsidRDefault="00951EB1">
      <w:pPr>
        <w:pStyle w:val="ListParagraph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Australian Government</w:t>
      </w:r>
    </w:p>
    <w:p w14:paraId="1DC9B78E" w14:textId="77777777" w:rsidR="009138A3" w:rsidRDefault="00951EB1">
      <w:pPr>
        <w:pStyle w:val="ListParagraph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Canberra ACT 2600</w:t>
      </w:r>
    </w:p>
    <w:p w14:paraId="1DC9B78F" w14:textId="77777777" w:rsidR="009138A3" w:rsidRDefault="009138A3">
      <w:pPr>
        <w:pStyle w:val="ListParagraph"/>
        <w:ind w:left="0"/>
        <w:rPr>
          <w:rFonts w:ascii="Calibri" w:hAnsi="Calibri"/>
          <w:sz w:val="22"/>
          <w:szCs w:val="22"/>
        </w:rPr>
      </w:pPr>
    </w:p>
    <w:p w14:paraId="1DC9B790" w14:textId="77777777" w:rsidR="009138A3" w:rsidRDefault="009138A3">
      <w:pPr>
        <w:pStyle w:val="ListParagraph"/>
        <w:ind w:left="0"/>
        <w:jc w:val="center"/>
        <w:rPr>
          <w:rFonts w:ascii="Calibri" w:hAnsi="Calibri"/>
          <w:b/>
          <w:bCs/>
          <w:sz w:val="28"/>
          <w:szCs w:val="28"/>
        </w:rPr>
      </w:pPr>
    </w:p>
    <w:p w14:paraId="1DC9B791" w14:textId="77777777" w:rsidR="009138A3" w:rsidRDefault="009138A3">
      <w:pPr>
        <w:pStyle w:val="ListParagraph"/>
        <w:ind w:left="0"/>
        <w:jc w:val="center"/>
        <w:rPr>
          <w:rFonts w:ascii="Calibri" w:hAnsi="Calibri"/>
          <w:b/>
          <w:bCs/>
          <w:sz w:val="28"/>
          <w:szCs w:val="28"/>
        </w:rPr>
      </w:pPr>
    </w:p>
    <w:p w14:paraId="1DC9B792" w14:textId="77777777" w:rsidR="009138A3" w:rsidRDefault="00951EB1">
      <w:pPr>
        <w:pStyle w:val="ListParagraph"/>
        <w:ind w:left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Opposition to the Removal of </w:t>
      </w:r>
      <w:proofErr w:type="gramStart"/>
      <w:r>
        <w:rPr>
          <w:rFonts w:ascii="Calibri" w:hAnsi="Calibri"/>
          <w:b/>
          <w:bCs/>
          <w:sz w:val="28"/>
          <w:szCs w:val="28"/>
        </w:rPr>
        <w:t>Tax Deductible</w:t>
      </w:r>
      <w:proofErr w:type="gramEnd"/>
      <w:r>
        <w:rPr>
          <w:rFonts w:ascii="Calibri" w:hAnsi="Calibri"/>
          <w:b/>
          <w:bCs/>
          <w:sz w:val="28"/>
          <w:szCs w:val="28"/>
        </w:rPr>
        <w:t xml:space="preserve"> Gift Recipient (DGR) Status for Religious Education</w:t>
      </w:r>
    </w:p>
    <w:p w14:paraId="1DC9B793" w14:textId="77777777" w:rsidR="009138A3" w:rsidRDefault="009138A3">
      <w:pPr>
        <w:pStyle w:val="ListParagraph"/>
        <w:ind w:left="0"/>
        <w:rPr>
          <w:rFonts w:hint="eastAsia"/>
          <w:sz w:val="22"/>
          <w:szCs w:val="22"/>
        </w:rPr>
      </w:pPr>
    </w:p>
    <w:p w14:paraId="1DC9B794" w14:textId="77777777" w:rsidR="009138A3" w:rsidRDefault="00951EB1">
      <w:pPr>
        <w:pStyle w:val="ListParagraph"/>
        <w:ind w:left="0"/>
        <w:rPr>
          <w:rFonts w:hint="eastAsia"/>
          <w:sz w:val="22"/>
          <w:szCs w:val="22"/>
        </w:rPr>
      </w:pPr>
      <w:r>
        <w:rPr>
          <w:sz w:val="22"/>
          <w:szCs w:val="22"/>
        </w:rPr>
        <w:t>Dear Productivity Commission,</w:t>
      </w:r>
    </w:p>
    <w:p w14:paraId="1DC9B795" w14:textId="77777777" w:rsidR="009138A3" w:rsidRDefault="009138A3">
      <w:pPr>
        <w:pStyle w:val="ListParagraph"/>
        <w:ind w:left="0"/>
        <w:rPr>
          <w:rFonts w:hint="eastAsia"/>
          <w:sz w:val="22"/>
          <w:szCs w:val="22"/>
        </w:rPr>
      </w:pPr>
    </w:p>
    <w:p w14:paraId="1DC9B796" w14:textId="77777777" w:rsidR="009138A3" w:rsidRDefault="009138A3">
      <w:pPr>
        <w:pStyle w:val="ListParagraph"/>
        <w:ind w:left="0"/>
        <w:rPr>
          <w:rFonts w:hint="eastAsia"/>
          <w:sz w:val="22"/>
          <w:szCs w:val="22"/>
        </w:rPr>
      </w:pPr>
    </w:p>
    <w:p w14:paraId="1DC9B797" w14:textId="77777777" w:rsidR="009138A3" w:rsidRDefault="00951EB1">
      <w:pPr>
        <w:pStyle w:val="ListParagraph"/>
        <w:ind w:left="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I am writing to </w:t>
      </w:r>
      <w:r>
        <w:rPr>
          <w:sz w:val="22"/>
          <w:szCs w:val="22"/>
        </w:rPr>
        <w:t xml:space="preserve">express my concern and opposition to the proposed removal of the </w:t>
      </w:r>
      <w:proofErr w:type="gramStart"/>
      <w:r>
        <w:rPr>
          <w:sz w:val="22"/>
          <w:szCs w:val="22"/>
        </w:rPr>
        <w:t>tax deductible</w:t>
      </w:r>
      <w:proofErr w:type="gramEnd"/>
      <w:r>
        <w:rPr>
          <w:sz w:val="22"/>
          <w:szCs w:val="22"/>
        </w:rPr>
        <w:t xml:space="preserve"> gift recipient (DGR) status for providing religious education in public schools. </w:t>
      </w:r>
    </w:p>
    <w:p w14:paraId="1DC9B798" w14:textId="77777777" w:rsidR="009138A3" w:rsidRDefault="009138A3">
      <w:pPr>
        <w:pStyle w:val="ListParagraph"/>
        <w:ind w:left="0"/>
        <w:rPr>
          <w:rFonts w:hint="eastAsia"/>
          <w:sz w:val="22"/>
          <w:szCs w:val="22"/>
        </w:rPr>
      </w:pPr>
    </w:p>
    <w:p w14:paraId="1DC9B799" w14:textId="77777777" w:rsidR="009138A3" w:rsidRDefault="009138A3">
      <w:pPr>
        <w:pStyle w:val="ListParagraph"/>
        <w:ind w:left="0"/>
        <w:rPr>
          <w:rFonts w:hint="eastAsia"/>
          <w:sz w:val="22"/>
          <w:szCs w:val="22"/>
        </w:rPr>
      </w:pPr>
    </w:p>
    <w:p w14:paraId="1DC9B79A" w14:textId="77777777" w:rsidR="009138A3" w:rsidRDefault="00951EB1">
      <w:pPr>
        <w:pStyle w:val="ListParagraph"/>
        <w:ind w:right="1080"/>
        <w:rPr>
          <w:rFonts w:hint="eastAsia"/>
          <w:sz w:val="20"/>
          <w:szCs w:val="20"/>
        </w:rPr>
      </w:pPr>
      <w:r>
        <w:rPr>
          <w:sz w:val="20"/>
          <w:szCs w:val="20"/>
        </w:rPr>
        <w:t>The Commission’s view is that converting a tax-deductible donation into a private benefit is, in principle, a substantial risk for primary and secondary education, religious education, and other forms of informal education, including school building funds. The potential for a donor to be able to convert a tax-deductible donation into a private benefit is especially apparent for primary and secondary education, particularly where students are charged fees. Potential donors are most likely to be people direct</w:t>
      </w:r>
      <w:r>
        <w:rPr>
          <w:sz w:val="20"/>
          <w:szCs w:val="20"/>
        </w:rPr>
        <w:t xml:space="preserve">ly involved with the school and benefit directly from donations, such as students, their </w:t>
      </w:r>
      <w:proofErr w:type="gramStart"/>
      <w:r>
        <w:rPr>
          <w:sz w:val="20"/>
          <w:szCs w:val="20"/>
        </w:rPr>
        <w:t>parents</w:t>
      </w:r>
      <w:proofErr w:type="gramEnd"/>
      <w:r>
        <w:rPr>
          <w:sz w:val="20"/>
          <w:szCs w:val="20"/>
        </w:rPr>
        <w:t xml:space="preserve"> or alumni. Most other classes of activities in the education charitable subtype, including formal higher education and research activities would remain within the scope of the DGR system.</w:t>
      </w:r>
    </w:p>
    <w:p w14:paraId="1DC9B79B" w14:textId="77777777" w:rsidR="009138A3" w:rsidRDefault="009138A3">
      <w:pPr>
        <w:pStyle w:val="ListParagraph"/>
        <w:rPr>
          <w:rFonts w:hint="eastAsia"/>
          <w:sz w:val="22"/>
          <w:szCs w:val="22"/>
        </w:rPr>
      </w:pPr>
    </w:p>
    <w:p w14:paraId="1DC9B79C" w14:textId="77777777" w:rsidR="009138A3" w:rsidRDefault="00951EB1">
      <w:pPr>
        <w:pStyle w:val="ListParagraph"/>
        <w:ind w:left="0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The commission suggests that charitable activities that have potential risk of converting a tax-deductible donation into a private benefit should have the </w:t>
      </w:r>
      <w:proofErr w:type="gramStart"/>
      <w:r>
        <w:rPr>
          <w:sz w:val="22"/>
          <w:szCs w:val="22"/>
        </w:rPr>
        <w:t>tax deductible</w:t>
      </w:r>
      <w:proofErr w:type="gramEnd"/>
      <w:r>
        <w:rPr>
          <w:sz w:val="22"/>
          <w:szCs w:val="22"/>
        </w:rPr>
        <w:t xml:space="preserve"> gift recipient (DGR) status removed. </w:t>
      </w:r>
      <w:proofErr w:type="gramStart"/>
      <w:r>
        <w:rPr>
          <w:sz w:val="22"/>
          <w:szCs w:val="22"/>
        </w:rPr>
        <w:t>However</w:t>
      </w:r>
      <w:proofErr w:type="gramEnd"/>
      <w:r>
        <w:rPr>
          <w:sz w:val="22"/>
          <w:szCs w:val="22"/>
        </w:rPr>
        <w:t xml:space="preserve"> I don’t see why religious education should be on the list. Religious education is often a school-wide program. Within a school of a typical size, donations from parents do not yield benefit specific to their children.  In addition, how do alumni obtain direct benefits from a school religious education program? In what ways are donations from alumni to primary and secondary schools different from donations to any Australian university? In tertiary e</w:t>
      </w:r>
      <w:r>
        <w:rPr>
          <w:sz w:val="22"/>
          <w:szCs w:val="22"/>
        </w:rPr>
        <w:t>ducation, it is common and encouraged to donate, both in Australia and around the world.</w:t>
      </w:r>
    </w:p>
    <w:p w14:paraId="1DC9B79D" w14:textId="77777777" w:rsidR="009138A3" w:rsidRDefault="009138A3">
      <w:pPr>
        <w:pStyle w:val="ListParagraph"/>
        <w:ind w:left="0"/>
        <w:rPr>
          <w:rFonts w:hint="eastAsia"/>
          <w:sz w:val="22"/>
          <w:szCs w:val="22"/>
        </w:rPr>
      </w:pPr>
    </w:p>
    <w:p w14:paraId="1DC9B79E" w14:textId="77777777" w:rsidR="009138A3" w:rsidRDefault="009138A3">
      <w:pPr>
        <w:pStyle w:val="ListParagraph"/>
        <w:ind w:left="0"/>
        <w:rPr>
          <w:rFonts w:hint="eastAsia"/>
          <w:sz w:val="22"/>
          <w:szCs w:val="22"/>
        </w:rPr>
      </w:pPr>
    </w:p>
    <w:p w14:paraId="1DC9B79F" w14:textId="77777777" w:rsidR="009138A3" w:rsidRDefault="00951EB1">
      <w:pPr>
        <w:pStyle w:val="ListParagraph"/>
        <w:ind w:left="0"/>
        <w:rPr>
          <w:rFonts w:hint="eastAsia"/>
          <w:sz w:val="22"/>
          <w:szCs w:val="22"/>
        </w:rPr>
      </w:pPr>
      <w:r>
        <w:rPr>
          <w:sz w:val="22"/>
          <w:szCs w:val="22"/>
        </w:rPr>
        <w:t>Sincerely,</w:t>
      </w:r>
    </w:p>
    <w:p w14:paraId="1DC9B7A0" w14:textId="77777777" w:rsidR="009138A3" w:rsidRDefault="009138A3">
      <w:pPr>
        <w:pStyle w:val="ListParagraph"/>
        <w:ind w:left="0"/>
        <w:rPr>
          <w:rFonts w:hint="eastAsia"/>
          <w:sz w:val="22"/>
          <w:szCs w:val="22"/>
        </w:rPr>
      </w:pPr>
    </w:p>
    <w:p w14:paraId="1DC9B7A1" w14:textId="77777777" w:rsidR="009138A3" w:rsidRDefault="00951EB1">
      <w:pPr>
        <w:pStyle w:val="ListParagraph"/>
        <w:ind w:left="0"/>
        <w:rPr>
          <w:rFonts w:hint="eastAsia"/>
          <w:sz w:val="22"/>
          <w:szCs w:val="22"/>
        </w:rPr>
      </w:pPr>
      <w:r>
        <w:rPr>
          <w:sz w:val="22"/>
          <w:szCs w:val="22"/>
        </w:rPr>
        <w:t>Suk Fung Ng</w:t>
      </w:r>
    </w:p>
    <w:sectPr w:rsidR="009138A3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Book">
    <w:altName w:val="Tw Cen MT"/>
    <w:charset w:val="00"/>
    <w:family w:val="roman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(Body)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A3"/>
    <w:rsid w:val="009138A3"/>
    <w:rsid w:val="00951EB1"/>
    <w:rsid w:val="00A16C8D"/>
    <w:rsid w:val="00F4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B788"/>
  <w15:docId w15:val="{7159D391-C29E-4F7B-BF6D-A82D9267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Book" w:eastAsiaTheme="minorEastAsia" w:hAnsi="Avenir Book" w:cs="Calibri (Body)"/>
        <w:sz w:val="24"/>
        <w:szCs w:val="24"/>
        <w:lang w:val="en-A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D54B69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54B69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54B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B5CFE"/>
    <w:rPr>
      <w:color w:val="0000FF"/>
      <w:u w:val="single"/>
    </w:rPr>
  </w:style>
  <w:style w:type="character" w:customStyle="1" w:styleId="sr-only">
    <w:name w:val="sr-only"/>
    <w:basedOn w:val="DefaultParagraphFont"/>
    <w:qFormat/>
    <w:rsid w:val="001B5CFE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2A7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D54B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54B69"/>
    <w:rPr>
      <w:b/>
      <w:bCs/>
    </w:rPr>
  </w:style>
  <w:style w:type="paragraph" w:styleId="Revision">
    <w:name w:val="Revision"/>
    <w:uiPriority w:val="99"/>
    <w:semiHidden/>
    <w:qFormat/>
    <w:rsid w:val="00847391"/>
  </w:style>
  <w:style w:type="table" w:styleId="TableGrid">
    <w:name w:val="Table Grid"/>
    <w:basedOn w:val="TableNormal"/>
    <w:uiPriority w:val="39"/>
    <w:rsid w:val="00124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 xsi:nil="true"/>
    <_dlc_DocIdUrl xmlns="20393cdf-440a-4521-8f19-00ba43423d00">
      <Url xsi:nil="true"/>
      <Description xsi:nil="true"/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a7ef830522c0d04c4cd9b7c531c06f60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4800aa1ec4903ccdd2269969b71d538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DE5CB9-C573-4F47-9C1C-7468488B30AB}">
  <ds:schemaRefs>
    <ds:schemaRef ds:uri="20393cdf-440a-4521-8f19-00ba43423d00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3d385984-9344-419b-a80b-49c06a2bdab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A426C16-80D9-4170-AAA9-867D3EEAE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2E4DA-2039-4BBB-ABD6-DC24493C8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FCEDC5-A576-4DFC-A49C-0D5429F767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6813F7-99F3-4593-8C63-947A2ED37C9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552 - Suk Fung Ng - Philanthropy - Public inquiry</vt:lpstr>
    </vt:vector>
  </TitlesOfParts>
  <Company>Suk Fung Ng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552 - Suk Fung Ng - Philanthropy - Public inquiry</dc:title>
  <dc:subject/>
  <dc:creator>Suk Fung Ng</dc:creator>
  <dc:description/>
  <cp:lastModifiedBy>Chris Alston</cp:lastModifiedBy>
  <cp:revision>18</cp:revision>
  <dcterms:created xsi:type="dcterms:W3CDTF">2023-07-14T07:20:00Z</dcterms:created>
  <dcterms:modified xsi:type="dcterms:W3CDTF">2024-02-26T22:38:00Z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2024-02-26T22:38:24Z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80d06f41-85d9-420a-9732-9978cfc56fe1</vt:lpwstr>
  </property>
  <property fmtid="{D5CDD505-2E9C-101B-9397-08002B2CF9AE}" pid="11" name="MSIP_Label_c1f2b1ce-4212-46db-a901-dd8453f57141_ContentBits">
    <vt:lpwstr>0</vt:lpwstr>
  </property>
</Properties>
</file>