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83263" w14:textId="3A8C2901" w:rsidR="003A5FBB" w:rsidRDefault="003A5FBB" w:rsidP="003F09D3"/>
    <w:p w14:paraId="5EEC9809" w14:textId="25CAFBCB" w:rsidR="003F09D3" w:rsidRPr="004E5C93" w:rsidRDefault="00B51FEC" w:rsidP="004E3C53">
      <w:pPr>
        <w:spacing w:before="0" w:after="0"/>
        <w:jc w:val="both"/>
        <w:rPr>
          <w:b/>
          <w:bCs/>
          <w:sz w:val="28"/>
          <w:szCs w:val="28"/>
        </w:rPr>
      </w:pPr>
      <w:r w:rsidRPr="004E5C93">
        <w:rPr>
          <w:b/>
          <w:bCs/>
          <w:sz w:val="28"/>
          <w:szCs w:val="28"/>
        </w:rPr>
        <w:t xml:space="preserve">Productivity Commission </w:t>
      </w:r>
      <w:r w:rsidR="003232DE" w:rsidRPr="004E5C93">
        <w:rPr>
          <w:b/>
          <w:bCs/>
          <w:sz w:val="28"/>
          <w:szCs w:val="28"/>
        </w:rPr>
        <w:t>review of philan</w:t>
      </w:r>
      <w:r w:rsidR="009E7EA4" w:rsidRPr="004E5C93">
        <w:rPr>
          <w:b/>
          <w:bCs/>
          <w:sz w:val="28"/>
          <w:szCs w:val="28"/>
        </w:rPr>
        <w:t xml:space="preserve">thropy </w:t>
      </w:r>
    </w:p>
    <w:p w14:paraId="2DE5086C" w14:textId="66EB5C8A" w:rsidR="009E7EA4" w:rsidRPr="004E5C93" w:rsidRDefault="009E7EA4" w:rsidP="004E3C53">
      <w:pPr>
        <w:spacing w:before="0" w:after="0"/>
        <w:jc w:val="both"/>
        <w:rPr>
          <w:b/>
          <w:bCs/>
          <w:sz w:val="28"/>
          <w:szCs w:val="28"/>
        </w:rPr>
      </w:pPr>
      <w:r w:rsidRPr="004E5C93">
        <w:rPr>
          <w:b/>
          <w:bCs/>
          <w:sz w:val="28"/>
          <w:szCs w:val="28"/>
        </w:rPr>
        <w:t>Draft Report – Future Foundations for Giving</w:t>
      </w:r>
    </w:p>
    <w:p w14:paraId="630CBFA8" w14:textId="6000971A" w:rsidR="00B51FEC" w:rsidRDefault="00B51FEC" w:rsidP="004E3C53">
      <w:pPr>
        <w:jc w:val="both"/>
        <w:rPr>
          <w:sz w:val="28"/>
          <w:szCs w:val="28"/>
        </w:rPr>
      </w:pPr>
    </w:p>
    <w:p w14:paraId="6A835A1F" w14:textId="22DBE263" w:rsidR="007C0078" w:rsidRDefault="007C0078" w:rsidP="004E3C53">
      <w:pPr>
        <w:spacing w:before="0" w:after="0"/>
        <w:jc w:val="both"/>
        <w:rPr>
          <w:b/>
          <w:bCs/>
          <w:sz w:val="28"/>
          <w:szCs w:val="28"/>
        </w:rPr>
      </w:pPr>
      <w:r w:rsidRPr="00BF3560">
        <w:rPr>
          <w:b/>
          <w:bCs/>
          <w:sz w:val="28"/>
          <w:szCs w:val="28"/>
        </w:rPr>
        <w:t>Submission - Canberra Grammar School</w:t>
      </w:r>
      <w:r w:rsidR="00F567DA">
        <w:rPr>
          <w:b/>
          <w:bCs/>
          <w:sz w:val="28"/>
          <w:szCs w:val="28"/>
        </w:rPr>
        <w:t xml:space="preserve"> </w:t>
      </w:r>
      <w:r w:rsidR="0091641E">
        <w:rPr>
          <w:b/>
          <w:bCs/>
          <w:sz w:val="28"/>
          <w:szCs w:val="28"/>
        </w:rPr>
        <w:t>/ Canberra Grammar School Foundation</w:t>
      </w:r>
    </w:p>
    <w:p w14:paraId="4D879547" w14:textId="77777777" w:rsidR="00264A1D" w:rsidRDefault="00264A1D" w:rsidP="004E3C53">
      <w:pPr>
        <w:spacing w:before="0" w:after="0"/>
        <w:jc w:val="both"/>
        <w:rPr>
          <w:b/>
          <w:bCs/>
          <w:sz w:val="28"/>
          <w:szCs w:val="28"/>
        </w:rPr>
      </w:pPr>
    </w:p>
    <w:p w14:paraId="135FD6A3" w14:textId="77777777" w:rsidR="00264A1D" w:rsidRDefault="00264A1D" w:rsidP="004E3C53">
      <w:pPr>
        <w:spacing w:before="0" w:after="0"/>
        <w:jc w:val="both"/>
        <w:rPr>
          <w:b/>
          <w:bCs/>
          <w:sz w:val="28"/>
          <w:szCs w:val="28"/>
        </w:rPr>
      </w:pPr>
    </w:p>
    <w:p w14:paraId="1E220123" w14:textId="2007ABB0" w:rsidR="00264A1D" w:rsidRDefault="00264A1D" w:rsidP="004E3C53">
      <w:pPr>
        <w:spacing w:before="0" w:after="0"/>
        <w:jc w:val="both"/>
        <w:rPr>
          <w:b/>
          <w:bCs/>
          <w:sz w:val="28"/>
          <w:szCs w:val="28"/>
        </w:rPr>
      </w:pPr>
      <w:r>
        <w:rPr>
          <w:b/>
          <w:bCs/>
          <w:sz w:val="28"/>
          <w:szCs w:val="28"/>
        </w:rPr>
        <w:t>BACKGROUND</w:t>
      </w:r>
    </w:p>
    <w:p w14:paraId="29567ED4" w14:textId="77777777" w:rsidR="00264A1D" w:rsidRDefault="00264A1D" w:rsidP="004E3C53">
      <w:pPr>
        <w:spacing w:before="0" w:after="0"/>
        <w:jc w:val="both"/>
        <w:rPr>
          <w:b/>
          <w:bCs/>
          <w:sz w:val="28"/>
          <w:szCs w:val="28"/>
        </w:rPr>
      </w:pPr>
    </w:p>
    <w:p w14:paraId="690B76A8" w14:textId="227A219C" w:rsidR="00264A1D" w:rsidRDefault="00B70C62" w:rsidP="004E3C53">
      <w:pPr>
        <w:spacing w:before="0" w:after="0"/>
        <w:jc w:val="both"/>
        <w:rPr>
          <w:sz w:val="24"/>
          <w:szCs w:val="24"/>
        </w:rPr>
      </w:pPr>
      <w:r>
        <w:rPr>
          <w:sz w:val="24"/>
          <w:szCs w:val="24"/>
        </w:rPr>
        <w:t>On 1 December 2023, the Federal Government released a draft report by the Productivity Commission called Future Foundations for Giving.</w:t>
      </w:r>
    </w:p>
    <w:p w14:paraId="30496F3E" w14:textId="77777777" w:rsidR="00B70C62" w:rsidRDefault="00B70C62" w:rsidP="004E3C53">
      <w:pPr>
        <w:spacing w:before="0" w:after="0"/>
        <w:jc w:val="both"/>
        <w:rPr>
          <w:sz w:val="24"/>
          <w:szCs w:val="24"/>
        </w:rPr>
      </w:pPr>
    </w:p>
    <w:p w14:paraId="2989C574" w14:textId="24BC5459" w:rsidR="00B70C62" w:rsidRDefault="00B70C62" w:rsidP="004E3C53">
      <w:pPr>
        <w:spacing w:before="0" w:after="0"/>
        <w:jc w:val="both"/>
        <w:rPr>
          <w:sz w:val="24"/>
          <w:szCs w:val="24"/>
        </w:rPr>
      </w:pPr>
      <w:r>
        <w:rPr>
          <w:sz w:val="24"/>
          <w:szCs w:val="24"/>
        </w:rPr>
        <w:t xml:space="preserve">One of the report’s recommendations is the removal of </w:t>
      </w:r>
      <w:r w:rsidR="00B30041">
        <w:rPr>
          <w:sz w:val="24"/>
          <w:szCs w:val="24"/>
        </w:rPr>
        <w:t>deductible gift recipient (DGR) status for school building funds.</w:t>
      </w:r>
    </w:p>
    <w:p w14:paraId="62C442BC" w14:textId="77777777" w:rsidR="00B30041" w:rsidRDefault="00B30041" w:rsidP="004E3C53">
      <w:pPr>
        <w:spacing w:before="0" w:after="0"/>
        <w:jc w:val="both"/>
        <w:rPr>
          <w:sz w:val="24"/>
          <w:szCs w:val="24"/>
        </w:rPr>
      </w:pPr>
    </w:p>
    <w:p w14:paraId="418C0F69" w14:textId="4C89D234" w:rsidR="00B30041" w:rsidRDefault="00B30041" w:rsidP="004E3C53">
      <w:pPr>
        <w:spacing w:before="0" w:after="0"/>
        <w:jc w:val="both"/>
        <w:rPr>
          <w:sz w:val="24"/>
          <w:szCs w:val="24"/>
        </w:rPr>
      </w:pPr>
      <w:r>
        <w:rPr>
          <w:sz w:val="24"/>
          <w:szCs w:val="24"/>
        </w:rPr>
        <w:t xml:space="preserve">If implemented, parents and donors would no longer receive a tax deduction </w:t>
      </w:r>
      <w:r w:rsidR="00242845">
        <w:rPr>
          <w:sz w:val="24"/>
          <w:szCs w:val="24"/>
        </w:rPr>
        <w:t>for the voluntary donations that they make to registered school building funds.  This would have the potential to substantially reduce such contributions</w:t>
      </w:r>
      <w:r w:rsidR="004F6A45">
        <w:rPr>
          <w:sz w:val="24"/>
          <w:szCs w:val="24"/>
        </w:rPr>
        <w:t xml:space="preserve"> and make it more difficult for schools to undertake much needed capital works. </w:t>
      </w:r>
    </w:p>
    <w:p w14:paraId="06B67F54" w14:textId="77777777" w:rsidR="004F6A45" w:rsidRDefault="004F6A45" w:rsidP="004E3C53">
      <w:pPr>
        <w:spacing w:before="0" w:after="0"/>
        <w:jc w:val="both"/>
        <w:rPr>
          <w:sz w:val="24"/>
          <w:szCs w:val="24"/>
        </w:rPr>
      </w:pPr>
    </w:p>
    <w:p w14:paraId="74931178" w14:textId="21F2D19D" w:rsidR="004F6A45" w:rsidRDefault="004F6A45" w:rsidP="004E3C53">
      <w:pPr>
        <w:spacing w:before="0" w:after="0"/>
        <w:jc w:val="both"/>
        <w:rPr>
          <w:sz w:val="24"/>
          <w:szCs w:val="24"/>
        </w:rPr>
      </w:pPr>
      <w:r>
        <w:rPr>
          <w:sz w:val="24"/>
          <w:szCs w:val="24"/>
        </w:rPr>
        <w:t>The draft report’s rationale for removing DGR status appears to be based on incorrect and outdated assumptions about non-government schools</w:t>
      </w:r>
      <w:r w:rsidR="00925593">
        <w:rPr>
          <w:sz w:val="24"/>
          <w:szCs w:val="24"/>
        </w:rPr>
        <w:t>.  For example.</w:t>
      </w:r>
    </w:p>
    <w:p w14:paraId="368D3396" w14:textId="77777777" w:rsidR="00925593" w:rsidRDefault="00925593" w:rsidP="004E3C53">
      <w:pPr>
        <w:spacing w:before="0" w:after="0"/>
        <w:jc w:val="both"/>
        <w:rPr>
          <w:sz w:val="24"/>
          <w:szCs w:val="24"/>
        </w:rPr>
      </w:pPr>
    </w:p>
    <w:p w14:paraId="5344BC12" w14:textId="58DC977F" w:rsidR="00925593" w:rsidRPr="004E3C53" w:rsidRDefault="00925593" w:rsidP="004E3C53">
      <w:pPr>
        <w:spacing w:before="0" w:after="0"/>
        <w:ind w:left="284"/>
        <w:jc w:val="both"/>
        <w:rPr>
          <w:i/>
          <w:iCs/>
          <w:sz w:val="24"/>
          <w:szCs w:val="24"/>
        </w:rPr>
      </w:pPr>
      <w:r w:rsidRPr="004E3C53">
        <w:rPr>
          <w:i/>
          <w:iCs/>
          <w:sz w:val="24"/>
          <w:szCs w:val="24"/>
        </w:rPr>
        <w:t>There are some charitable activities where the reasons for DGR status have lessened over time. School building funds – which are widely, but not exclusively</w:t>
      </w:r>
      <w:r w:rsidR="00892666" w:rsidRPr="004E3C53">
        <w:rPr>
          <w:i/>
          <w:iCs/>
          <w:sz w:val="24"/>
          <w:szCs w:val="24"/>
        </w:rPr>
        <w:t>, used by non-government schools – are a case in point.  School building funds were given DGR status in 1954 when government support</w:t>
      </w:r>
      <w:r w:rsidR="00180867" w:rsidRPr="004E3C53">
        <w:rPr>
          <w:i/>
          <w:iCs/>
          <w:sz w:val="24"/>
          <w:szCs w:val="24"/>
        </w:rPr>
        <w:t xml:space="preserve"> for non-government schools was very limited.  Since then, government support for non-government schools has expanded considerably</w:t>
      </w:r>
      <w:r w:rsidR="004E3C53" w:rsidRPr="004E3C53">
        <w:rPr>
          <w:i/>
          <w:iCs/>
          <w:sz w:val="24"/>
          <w:szCs w:val="24"/>
        </w:rPr>
        <w:t>. (p15)</w:t>
      </w:r>
    </w:p>
    <w:p w14:paraId="7D197AA0" w14:textId="77777777" w:rsidR="004E3C53" w:rsidRDefault="004E3C53" w:rsidP="004E3C53">
      <w:pPr>
        <w:spacing w:before="0" w:after="0"/>
        <w:jc w:val="both"/>
        <w:rPr>
          <w:sz w:val="24"/>
          <w:szCs w:val="24"/>
        </w:rPr>
      </w:pPr>
    </w:p>
    <w:p w14:paraId="7FDCE51C" w14:textId="33FBE5AB" w:rsidR="004E3C53" w:rsidRDefault="004E3C53" w:rsidP="004E3C53">
      <w:pPr>
        <w:spacing w:before="0" w:after="0"/>
        <w:jc w:val="both"/>
        <w:rPr>
          <w:sz w:val="24"/>
          <w:szCs w:val="24"/>
        </w:rPr>
      </w:pPr>
      <w:r>
        <w:rPr>
          <w:sz w:val="24"/>
          <w:szCs w:val="24"/>
        </w:rPr>
        <w:t xml:space="preserve">The report confuses the expansion of the recurrent Government funding – which all not-for-profit schools receive to help fund their annual operating </w:t>
      </w:r>
      <w:r w:rsidR="00C527F0">
        <w:rPr>
          <w:sz w:val="24"/>
          <w:szCs w:val="24"/>
        </w:rPr>
        <w:t>costs –</w:t>
      </w:r>
      <w:r w:rsidR="000E084A">
        <w:rPr>
          <w:sz w:val="24"/>
          <w:szCs w:val="24"/>
        </w:rPr>
        <w:t xml:space="preserve"> with capital grants, which are available to only a small number of</w:t>
      </w:r>
      <w:r w:rsidR="00964FF4">
        <w:rPr>
          <w:sz w:val="24"/>
          <w:szCs w:val="24"/>
        </w:rPr>
        <w:t xml:space="preserve"> the </w:t>
      </w:r>
      <w:proofErr w:type="gramStart"/>
      <w:r w:rsidR="00964FF4">
        <w:rPr>
          <w:sz w:val="24"/>
          <w:szCs w:val="24"/>
        </w:rPr>
        <w:t>most</w:t>
      </w:r>
      <w:r w:rsidR="000E084A">
        <w:rPr>
          <w:sz w:val="24"/>
          <w:szCs w:val="24"/>
        </w:rPr>
        <w:t xml:space="preserve"> needy</w:t>
      </w:r>
      <w:proofErr w:type="gramEnd"/>
      <w:r w:rsidR="000E084A">
        <w:rPr>
          <w:sz w:val="24"/>
          <w:szCs w:val="24"/>
        </w:rPr>
        <w:t xml:space="preserve"> non-government schools.  In 2023, the </w:t>
      </w:r>
      <w:r w:rsidR="00D53D2E">
        <w:rPr>
          <w:sz w:val="24"/>
          <w:szCs w:val="24"/>
        </w:rPr>
        <w:t>Australian Government Capital Grants Program</w:t>
      </w:r>
      <w:r w:rsidR="000C407B">
        <w:rPr>
          <w:sz w:val="24"/>
          <w:szCs w:val="24"/>
        </w:rPr>
        <w:t xml:space="preserve"> (CGP)</w:t>
      </w:r>
      <w:r w:rsidR="00D53D2E">
        <w:rPr>
          <w:sz w:val="24"/>
          <w:szCs w:val="24"/>
        </w:rPr>
        <w:t xml:space="preserve"> </w:t>
      </w:r>
      <w:r w:rsidR="000172BE">
        <w:rPr>
          <w:sz w:val="24"/>
          <w:szCs w:val="24"/>
        </w:rPr>
        <w:t>provided</w:t>
      </w:r>
      <w:r w:rsidR="00D53D2E">
        <w:rPr>
          <w:sz w:val="24"/>
          <w:szCs w:val="24"/>
        </w:rPr>
        <w:t xml:space="preserve"> </w:t>
      </w:r>
      <w:r w:rsidR="000172BE">
        <w:rPr>
          <w:sz w:val="24"/>
          <w:szCs w:val="24"/>
        </w:rPr>
        <w:t>just $4.3</w:t>
      </w:r>
      <w:r w:rsidR="00E54D31">
        <w:rPr>
          <w:sz w:val="24"/>
          <w:szCs w:val="24"/>
        </w:rPr>
        <w:t xml:space="preserve"> million</w:t>
      </w:r>
      <w:r w:rsidR="00D65487">
        <w:rPr>
          <w:rStyle w:val="FootnoteReference"/>
          <w:sz w:val="24"/>
          <w:szCs w:val="24"/>
        </w:rPr>
        <w:footnoteReference w:id="2"/>
      </w:r>
      <w:r w:rsidR="00E54D31">
        <w:rPr>
          <w:sz w:val="24"/>
          <w:szCs w:val="24"/>
        </w:rPr>
        <w:t xml:space="preserve"> in capital grants to be shared among the </w:t>
      </w:r>
      <w:r w:rsidR="00233ABC">
        <w:rPr>
          <w:sz w:val="24"/>
          <w:szCs w:val="24"/>
        </w:rPr>
        <w:t>entire 47 schools comprising the Catholic and Independent sectors</w:t>
      </w:r>
      <w:r w:rsidR="000C407B">
        <w:rPr>
          <w:sz w:val="24"/>
          <w:szCs w:val="24"/>
        </w:rPr>
        <w:t xml:space="preserve"> in the ACT</w:t>
      </w:r>
      <w:r w:rsidR="00252689">
        <w:rPr>
          <w:sz w:val="24"/>
          <w:szCs w:val="24"/>
        </w:rPr>
        <w:t xml:space="preserve"> (only 5 schools had successful submissions)</w:t>
      </w:r>
      <w:r w:rsidR="00233ABC">
        <w:rPr>
          <w:sz w:val="24"/>
          <w:szCs w:val="24"/>
        </w:rPr>
        <w:t xml:space="preserve">, which </w:t>
      </w:r>
      <w:r w:rsidR="00252689">
        <w:rPr>
          <w:sz w:val="24"/>
          <w:szCs w:val="24"/>
        </w:rPr>
        <w:t xml:space="preserve">according to the </w:t>
      </w:r>
      <w:r w:rsidR="003E24F7">
        <w:rPr>
          <w:sz w:val="24"/>
          <w:szCs w:val="24"/>
        </w:rPr>
        <w:t>2023 Census of ACT Schools (Feb 2023)</w:t>
      </w:r>
      <w:r w:rsidR="006613D3">
        <w:rPr>
          <w:rStyle w:val="FootnoteReference"/>
          <w:sz w:val="24"/>
          <w:szCs w:val="24"/>
        </w:rPr>
        <w:footnoteReference w:id="3"/>
      </w:r>
      <w:r w:rsidR="003E24F7">
        <w:rPr>
          <w:sz w:val="24"/>
          <w:szCs w:val="24"/>
        </w:rPr>
        <w:t xml:space="preserve"> </w:t>
      </w:r>
      <w:r w:rsidR="00C83A39">
        <w:rPr>
          <w:sz w:val="24"/>
          <w:szCs w:val="24"/>
        </w:rPr>
        <w:t>provide</w:t>
      </w:r>
      <w:r w:rsidR="00252689">
        <w:rPr>
          <w:sz w:val="24"/>
          <w:szCs w:val="24"/>
        </w:rPr>
        <w:t>d</w:t>
      </w:r>
      <w:r w:rsidR="00C83A39">
        <w:rPr>
          <w:sz w:val="24"/>
          <w:szCs w:val="24"/>
        </w:rPr>
        <w:t xml:space="preserve"> education to </w:t>
      </w:r>
      <w:r w:rsidR="003E24F7">
        <w:rPr>
          <w:sz w:val="24"/>
          <w:szCs w:val="24"/>
        </w:rPr>
        <w:t xml:space="preserve">some 38.6% of the Territories </w:t>
      </w:r>
      <w:r w:rsidR="009726D3">
        <w:rPr>
          <w:sz w:val="24"/>
          <w:szCs w:val="24"/>
        </w:rPr>
        <w:t>total school students.</w:t>
      </w:r>
    </w:p>
    <w:p w14:paraId="1AFF32A2" w14:textId="77777777" w:rsidR="00C83A39" w:rsidRDefault="00C83A39" w:rsidP="004E3C53">
      <w:pPr>
        <w:spacing w:before="0" w:after="0"/>
        <w:jc w:val="both"/>
        <w:rPr>
          <w:sz w:val="24"/>
          <w:szCs w:val="24"/>
        </w:rPr>
      </w:pPr>
    </w:p>
    <w:p w14:paraId="2759F02D" w14:textId="4D4ABFC0" w:rsidR="00C83A39" w:rsidRDefault="00C83A39" w:rsidP="004E3C53">
      <w:pPr>
        <w:spacing w:before="0" w:after="0"/>
        <w:jc w:val="both"/>
        <w:rPr>
          <w:sz w:val="24"/>
          <w:szCs w:val="24"/>
        </w:rPr>
      </w:pPr>
      <w:r>
        <w:rPr>
          <w:sz w:val="24"/>
          <w:szCs w:val="24"/>
        </w:rPr>
        <w:lastRenderedPageBreak/>
        <w:t>The report also states:</w:t>
      </w:r>
    </w:p>
    <w:p w14:paraId="094F6CD9" w14:textId="77777777" w:rsidR="00C83A39" w:rsidRDefault="00C83A39" w:rsidP="004E3C53">
      <w:pPr>
        <w:spacing w:before="0" w:after="0"/>
        <w:jc w:val="both"/>
        <w:rPr>
          <w:sz w:val="24"/>
          <w:szCs w:val="24"/>
        </w:rPr>
      </w:pPr>
    </w:p>
    <w:p w14:paraId="3508023A" w14:textId="4647A606" w:rsidR="00C83A39" w:rsidRDefault="00C83A39" w:rsidP="00553D82">
      <w:pPr>
        <w:spacing w:before="0" w:after="0"/>
        <w:ind w:left="720"/>
        <w:jc w:val="both"/>
        <w:rPr>
          <w:i/>
          <w:iCs/>
          <w:sz w:val="24"/>
          <w:szCs w:val="24"/>
        </w:rPr>
      </w:pPr>
      <w:r w:rsidRPr="001A6891">
        <w:rPr>
          <w:i/>
          <w:iCs/>
          <w:sz w:val="24"/>
          <w:szCs w:val="24"/>
        </w:rPr>
        <w:t>The potential for a donor to be able to convert a tax-deductible donation into a private benefit is especially apparent for primary and secondary education, particularly where students are charged fees.  Potential donors are most likely to be people directly involved with the school and benefit directly from donations, such as students, their parents or alumni. (p18)</w:t>
      </w:r>
    </w:p>
    <w:p w14:paraId="3912B199" w14:textId="77777777" w:rsidR="00553D82" w:rsidRDefault="00553D82" w:rsidP="001A6891">
      <w:pPr>
        <w:spacing w:before="0" w:after="0"/>
        <w:ind w:left="284"/>
        <w:jc w:val="both"/>
        <w:rPr>
          <w:i/>
          <w:iCs/>
          <w:sz w:val="24"/>
          <w:szCs w:val="24"/>
        </w:rPr>
      </w:pPr>
    </w:p>
    <w:p w14:paraId="3939C97C" w14:textId="17393EEE" w:rsidR="001A6891" w:rsidRDefault="001A6891" w:rsidP="001A6891">
      <w:pPr>
        <w:spacing w:before="0" w:after="0"/>
        <w:ind w:left="284"/>
        <w:jc w:val="both"/>
        <w:rPr>
          <w:sz w:val="24"/>
          <w:szCs w:val="24"/>
        </w:rPr>
      </w:pPr>
      <w:r>
        <w:rPr>
          <w:sz w:val="24"/>
          <w:szCs w:val="24"/>
        </w:rPr>
        <w:t xml:space="preserve">This is also an incorrect assumption </w:t>
      </w:r>
      <w:r w:rsidR="007B25BE">
        <w:rPr>
          <w:sz w:val="24"/>
          <w:szCs w:val="24"/>
        </w:rPr>
        <w:t xml:space="preserve">and dismisses the benefits provided by donors to future generations of students.  Schools seek donations to building funds </w:t>
      </w:r>
      <w:r w:rsidR="00DD6079">
        <w:rPr>
          <w:sz w:val="24"/>
          <w:szCs w:val="24"/>
        </w:rPr>
        <w:t xml:space="preserve">from a variety of people connected with their communities and this may include parents, alumni and </w:t>
      </w:r>
      <w:r w:rsidR="00733E2D">
        <w:rPr>
          <w:sz w:val="24"/>
          <w:szCs w:val="24"/>
        </w:rPr>
        <w:t xml:space="preserve">the wider community at large.  These donations are </w:t>
      </w:r>
      <w:proofErr w:type="gramStart"/>
      <w:r w:rsidR="00733E2D">
        <w:rPr>
          <w:sz w:val="24"/>
          <w:szCs w:val="24"/>
        </w:rPr>
        <w:t>often being sort</w:t>
      </w:r>
      <w:proofErr w:type="gramEnd"/>
      <w:r w:rsidR="00733E2D">
        <w:rPr>
          <w:sz w:val="24"/>
          <w:szCs w:val="24"/>
        </w:rPr>
        <w:t xml:space="preserve"> well before a specific development has been identified, </w:t>
      </w:r>
      <w:proofErr w:type="gramStart"/>
      <w:r w:rsidR="00733E2D">
        <w:rPr>
          <w:sz w:val="24"/>
          <w:szCs w:val="24"/>
        </w:rPr>
        <w:t>planned</w:t>
      </w:r>
      <w:proofErr w:type="gramEnd"/>
      <w:r w:rsidR="00733E2D">
        <w:rPr>
          <w:sz w:val="24"/>
          <w:szCs w:val="24"/>
        </w:rPr>
        <w:t xml:space="preserve"> and approved</w:t>
      </w:r>
      <w:r w:rsidR="00B8039E">
        <w:rPr>
          <w:sz w:val="24"/>
          <w:szCs w:val="24"/>
        </w:rPr>
        <w:t xml:space="preserve">.  In most cases, a new building is completed well after the </w:t>
      </w:r>
      <w:r w:rsidR="001D7222">
        <w:rPr>
          <w:sz w:val="24"/>
          <w:szCs w:val="24"/>
        </w:rPr>
        <w:t xml:space="preserve">child of the current parental community has left the </w:t>
      </w:r>
      <w:r w:rsidR="00553D82">
        <w:rPr>
          <w:sz w:val="24"/>
          <w:szCs w:val="24"/>
        </w:rPr>
        <w:t>school</w:t>
      </w:r>
      <w:r w:rsidR="001D7222">
        <w:rPr>
          <w:sz w:val="24"/>
          <w:szCs w:val="24"/>
        </w:rPr>
        <w:t>.</w:t>
      </w:r>
    </w:p>
    <w:p w14:paraId="31EB3ECB" w14:textId="77777777" w:rsidR="001D7222" w:rsidRDefault="001D7222" w:rsidP="001A6891">
      <w:pPr>
        <w:spacing w:before="0" w:after="0"/>
        <w:ind w:left="284"/>
        <w:jc w:val="both"/>
        <w:rPr>
          <w:sz w:val="24"/>
          <w:szCs w:val="24"/>
        </w:rPr>
      </w:pPr>
    </w:p>
    <w:p w14:paraId="0206DF8C" w14:textId="4AF2FA0F" w:rsidR="001D7222" w:rsidRDefault="001D7222" w:rsidP="001A6891">
      <w:pPr>
        <w:spacing w:before="0" w:after="0"/>
        <w:ind w:left="284"/>
        <w:jc w:val="both"/>
        <w:rPr>
          <w:sz w:val="24"/>
          <w:szCs w:val="24"/>
        </w:rPr>
      </w:pPr>
    </w:p>
    <w:p w14:paraId="6EFB638B" w14:textId="70DB098F" w:rsidR="00571C87" w:rsidRPr="00571C87" w:rsidRDefault="00571C87" w:rsidP="001A6891">
      <w:pPr>
        <w:spacing w:before="0" w:after="0"/>
        <w:ind w:left="284"/>
        <w:jc w:val="both"/>
        <w:rPr>
          <w:b/>
          <w:bCs/>
          <w:sz w:val="28"/>
          <w:szCs w:val="28"/>
        </w:rPr>
      </w:pPr>
      <w:r w:rsidRPr="00571C87">
        <w:rPr>
          <w:b/>
          <w:bCs/>
          <w:sz w:val="28"/>
          <w:szCs w:val="28"/>
        </w:rPr>
        <w:t>KEY POINTS</w:t>
      </w:r>
    </w:p>
    <w:p w14:paraId="1A9BFB86" w14:textId="77777777" w:rsidR="00571C87" w:rsidRDefault="00571C87" w:rsidP="001A6891">
      <w:pPr>
        <w:spacing w:before="0" w:after="0"/>
        <w:ind w:left="284"/>
        <w:jc w:val="both"/>
        <w:rPr>
          <w:sz w:val="24"/>
          <w:szCs w:val="24"/>
        </w:rPr>
      </w:pPr>
    </w:p>
    <w:p w14:paraId="2552ECA1" w14:textId="42E14F30" w:rsidR="00571C87" w:rsidRDefault="00101DB5" w:rsidP="001A6891">
      <w:pPr>
        <w:spacing w:before="0" w:after="0"/>
        <w:ind w:left="284"/>
        <w:jc w:val="both"/>
        <w:rPr>
          <w:sz w:val="24"/>
          <w:szCs w:val="24"/>
        </w:rPr>
      </w:pPr>
      <w:r>
        <w:rPr>
          <w:sz w:val="24"/>
          <w:szCs w:val="24"/>
        </w:rPr>
        <w:t xml:space="preserve">The recommendation of the Productivity Commission’s draft report, </w:t>
      </w:r>
      <w:r w:rsidRPr="00BA24DA">
        <w:rPr>
          <w:i/>
          <w:iCs/>
          <w:sz w:val="24"/>
          <w:szCs w:val="24"/>
        </w:rPr>
        <w:t>Future Foundations for Giving</w:t>
      </w:r>
      <w:r w:rsidR="0003041B">
        <w:rPr>
          <w:sz w:val="24"/>
          <w:szCs w:val="24"/>
        </w:rPr>
        <w:t>, to remove deductible gift recipient (DGR) status from school building funds is flawed and has caused significant anxiety for our school, foundation and those</w:t>
      </w:r>
      <w:r w:rsidR="00623CA9">
        <w:rPr>
          <w:sz w:val="24"/>
          <w:szCs w:val="24"/>
        </w:rPr>
        <w:t xml:space="preserve"> who support us.</w:t>
      </w:r>
    </w:p>
    <w:p w14:paraId="34DCCB3E" w14:textId="77777777" w:rsidR="00623CA9" w:rsidRDefault="00623CA9" w:rsidP="001A6891">
      <w:pPr>
        <w:spacing w:before="0" w:after="0"/>
        <w:ind w:left="284"/>
        <w:jc w:val="both"/>
        <w:rPr>
          <w:sz w:val="24"/>
          <w:szCs w:val="24"/>
        </w:rPr>
      </w:pPr>
    </w:p>
    <w:p w14:paraId="34423240" w14:textId="6627ACDA" w:rsidR="00623CA9" w:rsidRDefault="00623CA9" w:rsidP="001A6891">
      <w:pPr>
        <w:spacing w:before="0" w:after="0"/>
        <w:ind w:left="284"/>
        <w:jc w:val="both"/>
        <w:rPr>
          <w:sz w:val="24"/>
          <w:szCs w:val="24"/>
        </w:rPr>
      </w:pPr>
      <w:r w:rsidRPr="00623CA9">
        <w:rPr>
          <w:sz w:val="24"/>
          <w:szCs w:val="24"/>
        </w:rPr>
        <w:t>Canberra Grammar School</w:t>
      </w:r>
      <w:r>
        <w:rPr>
          <w:sz w:val="24"/>
          <w:szCs w:val="24"/>
        </w:rPr>
        <w:t xml:space="preserve"> </w:t>
      </w:r>
      <w:proofErr w:type="spellStart"/>
      <w:r>
        <w:rPr>
          <w:sz w:val="24"/>
          <w:szCs w:val="24"/>
        </w:rPr>
        <w:t>enrols</w:t>
      </w:r>
      <w:proofErr w:type="spellEnd"/>
      <w:r>
        <w:rPr>
          <w:sz w:val="24"/>
          <w:szCs w:val="24"/>
        </w:rPr>
        <w:t xml:space="preserve"> 2,2</w:t>
      </w:r>
      <w:r w:rsidR="00BC4A19">
        <w:rPr>
          <w:sz w:val="24"/>
          <w:szCs w:val="24"/>
        </w:rPr>
        <w:t>3</w:t>
      </w:r>
      <w:r>
        <w:rPr>
          <w:sz w:val="24"/>
          <w:szCs w:val="24"/>
        </w:rPr>
        <w:t>0 students and employs</w:t>
      </w:r>
      <w:r w:rsidR="00571506">
        <w:rPr>
          <w:sz w:val="24"/>
          <w:szCs w:val="24"/>
        </w:rPr>
        <w:t xml:space="preserve"> </w:t>
      </w:r>
      <w:r w:rsidR="00FF614B">
        <w:rPr>
          <w:sz w:val="24"/>
          <w:szCs w:val="24"/>
        </w:rPr>
        <w:t xml:space="preserve">425 </w:t>
      </w:r>
      <w:r w:rsidR="00BC4A19">
        <w:rPr>
          <w:sz w:val="24"/>
          <w:szCs w:val="24"/>
        </w:rPr>
        <w:t>teachers and other staff</w:t>
      </w:r>
      <w:r w:rsidR="00087A35">
        <w:rPr>
          <w:sz w:val="24"/>
          <w:szCs w:val="24"/>
        </w:rPr>
        <w:t>.  The school has contributed to social and economic life of the local community since its establishment is 1929.</w:t>
      </w:r>
    </w:p>
    <w:p w14:paraId="77EBD2D2" w14:textId="77777777" w:rsidR="0030188C" w:rsidRDefault="0030188C" w:rsidP="001A6891">
      <w:pPr>
        <w:spacing w:before="0" w:after="0"/>
        <w:ind w:left="284"/>
        <w:jc w:val="both"/>
        <w:rPr>
          <w:sz w:val="24"/>
          <w:szCs w:val="24"/>
        </w:rPr>
      </w:pPr>
    </w:p>
    <w:p w14:paraId="04602C7D" w14:textId="5EB6E47E" w:rsidR="0030188C" w:rsidRDefault="0030188C" w:rsidP="001A6891">
      <w:pPr>
        <w:spacing w:before="0" w:after="0"/>
        <w:ind w:left="284"/>
        <w:jc w:val="both"/>
        <w:rPr>
          <w:sz w:val="24"/>
          <w:szCs w:val="24"/>
        </w:rPr>
      </w:pPr>
      <w:r w:rsidRPr="0030188C">
        <w:rPr>
          <w:sz w:val="24"/>
          <w:szCs w:val="24"/>
        </w:rPr>
        <w:t>Canberra Grammar School</w:t>
      </w:r>
      <w:r>
        <w:rPr>
          <w:sz w:val="24"/>
          <w:szCs w:val="24"/>
        </w:rPr>
        <w:t xml:space="preserve"> has always taken the approach that it is an active participant in its local and wider Canberra community and as such provides venues for </w:t>
      </w:r>
      <w:proofErr w:type="gramStart"/>
      <w:r>
        <w:rPr>
          <w:sz w:val="24"/>
          <w:szCs w:val="24"/>
        </w:rPr>
        <w:t>a number of</w:t>
      </w:r>
      <w:proofErr w:type="gramEnd"/>
      <w:r>
        <w:rPr>
          <w:sz w:val="24"/>
          <w:szCs w:val="24"/>
        </w:rPr>
        <w:t xml:space="preserve"> community groups, many of which are vital not-for-profit organisations</w:t>
      </w:r>
      <w:r w:rsidR="00B27287">
        <w:rPr>
          <w:sz w:val="24"/>
          <w:szCs w:val="24"/>
        </w:rPr>
        <w:t>, at only a notional or in some cases at no cost.  These facilities are only available due to the generosity of</w:t>
      </w:r>
      <w:r w:rsidR="000B348A">
        <w:rPr>
          <w:sz w:val="24"/>
          <w:szCs w:val="24"/>
        </w:rPr>
        <w:t xml:space="preserve"> donors in years past.  If these facilities were not available at the </w:t>
      </w:r>
      <w:proofErr w:type="gramStart"/>
      <w:r w:rsidR="00342FBB">
        <w:rPr>
          <w:sz w:val="24"/>
          <w:szCs w:val="24"/>
        </w:rPr>
        <w:t>School</w:t>
      </w:r>
      <w:proofErr w:type="gramEnd"/>
      <w:r w:rsidR="00342FBB">
        <w:rPr>
          <w:sz w:val="24"/>
          <w:szCs w:val="24"/>
        </w:rPr>
        <w:t>,</w:t>
      </w:r>
      <w:r w:rsidR="000B348A">
        <w:rPr>
          <w:sz w:val="24"/>
          <w:szCs w:val="24"/>
        </w:rPr>
        <w:t xml:space="preserve"> then additional pressure would be placed on what are already stretched community facilities.</w:t>
      </w:r>
    </w:p>
    <w:p w14:paraId="1974776B" w14:textId="77777777" w:rsidR="00D956FA" w:rsidRDefault="00D956FA" w:rsidP="001A6891">
      <w:pPr>
        <w:spacing w:before="0" w:after="0"/>
        <w:ind w:left="284"/>
        <w:jc w:val="both"/>
        <w:rPr>
          <w:sz w:val="24"/>
          <w:szCs w:val="24"/>
        </w:rPr>
      </w:pPr>
    </w:p>
    <w:p w14:paraId="790CAB05" w14:textId="2299F0BB" w:rsidR="00D956FA" w:rsidRDefault="00D956FA" w:rsidP="001A6891">
      <w:pPr>
        <w:spacing w:before="0" w:after="0"/>
        <w:ind w:left="284"/>
        <w:jc w:val="both"/>
        <w:rPr>
          <w:sz w:val="24"/>
          <w:szCs w:val="24"/>
        </w:rPr>
      </w:pPr>
      <w:r>
        <w:rPr>
          <w:sz w:val="24"/>
          <w:szCs w:val="24"/>
        </w:rPr>
        <w:t xml:space="preserve">Like </w:t>
      </w:r>
      <w:proofErr w:type="gramStart"/>
      <w:r>
        <w:rPr>
          <w:sz w:val="24"/>
          <w:szCs w:val="24"/>
        </w:rPr>
        <w:t>the majority of</w:t>
      </w:r>
      <w:proofErr w:type="gramEnd"/>
      <w:r>
        <w:rPr>
          <w:sz w:val="24"/>
          <w:szCs w:val="24"/>
        </w:rPr>
        <w:t xml:space="preserve"> non-government schools, </w:t>
      </w:r>
      <w:r w:rsidRPr="00D956FA">
        <w:rPr>
          <w:sz w:val="24"/>
          <w:szCs w:val="24"/>
        </w:rPr>
        <w:t>Canberra Grammar School</w:t>
      </w:r>
      <w:r>
        <w:rPr>
          <w:sz w:val="24"/>
          <w:szCs w:val="24"/>
        </w:rPr>
        <w:t>, is a not-for-profit entity, registered with the Australian Charities</w:t>
      </w:r>
      <w:r w:rsidR="00FD263D">
        <w:rPr>
          <w:sz w:val="24"/>
          <w:szCs w:val="24"/>
        </w:rPr>
        <w:t xml:space="preserve"> and Not-for-Profits Commission (ACNC) with the charitable </w:t>
      </w:r>
      <w:r w:rsidR="00FF614B">
        <w:rPr>
          <w:sz w:val="24"/>
          <w:szCs w:val="24"/>
        </w:rPr>
        <w:t>purpose of ‘ad</w:t>
      </w:r>
      <w:r w:rsidR="00B30EC9">
        <w:rPr>
          <w:sz w:val="24"/>
          <w:szCs w:val="24"/>
        </w:rPr>
        <w:t xml:space="preserve">vancing education’.  This recognition of the importance and public benefit of non-government schools in educating Australia’s young </w:t>
      </w:r>
      <w:r w:rsidR="00541EA0">
        <w:rPr>
          <w:sz w:val="24"/>
          <w:szCs w:val="24"/>
        </w:rPr>
        <w:t>people underpins</w:t>
      </w:r>
      <w:r w:rsidR="00B30EC9">
        <w:rPr>
          <w:sz w:val="24"/>
          <w:szCs w:val="24"/>
        </w:rPr>
        <w:t xml:space="preserve"> the DGR status of the </w:t>
      </w:r>
      <w:r w:rsidR="00541EA0">
        <w:rPr>
          <w:sz w:val="24"/>
          <w:szCs w:val="24"/>
        </w:rPr>
        <w:t>school building fund at our school and others around Australia.</w:t>
      </w:r>
    </w:p>
    <w:p w14:paraId="65AA6FF8" w14:textId="77777777" w:rsidR="00541EA0" w:rsidRDefault="00541EA0" w:rsidP="001A6891">
      <w:pPr>
        <w:spacing w:before="0" w:after="0"/>
        <w:ind w:left="284"/>
        <w:jc w:val="both"/>
        <w:rPr>
          <w:sz w:val="24"/>
          <w:szCs w:val="24"/>
        </w:rPr>
      </w:pPr>
    </w:p>
    <w:p w14:paraId="53B5CE5E" w14:textId="77777777" w:rsidR="00DE3D0B" w:rsidRDefault="00541EA0" w:rsidP="001A6891">
      <w:pPr>
        <w:spacing w:before="0" w:after="0"/>
        <w:ind w:left="284"/>
        <w:jc w:val="both"/>
        <w:rPr>
          <w:sz w:val="24"/>
          <w:szCs w:val="24"/>
        </w:rPr>
      </w:pPr>
      <w:r w:rsidRPr="00541EA0">
        <w:rPr>
          <w:sz w:val="24"/>
          <w:szCs w:val="24"/>
        </w:rPr>
        <w:t>Canberra Grammar School</w:t>
      </w:r>
      <w:r>
        <w:rPr>
          <w:sz w:val="24"/>
          <w:szCs w:val="24"/>
        </w:rPr>
        <w:t xml:space="preserve"> </w:t>
      </w:r>
      <w:r w:rsidR="009A669C">
        <w:rPr>
          <w:sz w:val="24"/>
          <w:szCs w:val="24"/>
        </w:rPr>
        <w:t>relies on the school building fund to assist in financing its capital works projects, which are essential to meeting the demand from families for places and ensuring educational facilities are upgraded</w:t>
      </w:r>
      <w:r w:rsidR="004F060E">
        <w:rPr>
          <w:sz w:val="24"/>
          <w:szCs w:val="24"/>
        </w:rPr>
        <w:t xml:space="preserve"> to meet ever increasing level of regulatory requirements. </w:t>
      </w:r>
      <w:r w:rsidR="00685853">
        <w:rPr>
          <w:sz w:val="24"/>
          <w:szCs w:val="24"/>
        </w:rPr>
        <w:t xml:space="preserve"> </w:t>
      </w:r>
    </w:p>
    <w:p w14:paraId="186FAAE7" w14:textId="77777777" w:rsidR="00DE3D0B" w:rsidRDefault="00DE3D0B" w:rsidP="001A6891">
      <w:pPr>
        <w:spacing w:before="0" w:after="0"/>
        <w:ind w:left="284"/>
        <w:jc w:val="both"/>
        <w:rPr>
          <w:sz w:val="24"/>
          <w:szCs w:val="24"/>
        </w:rPr>
      </w:pPr>
    </w:p>
    <w:p w14:paraId="1D5FFC47" w14:textId="77777777" w:rsidR="00C01D84" w:rsidRDefault="00DE3D0B" w:rsidP="001A6891">
      <w:pPr>
        <w:spacing w:before="0" w:after="0"/>
        <w:ind w:left="284"/>
        <w:jc w:val="both"/>
        <w:rPr>
          <w:sz w:val="24"/>
          <w:szCs w:val="24"/>
        </w:rPr>
      </w:pPr>
      <w:r>
        <w:rPr>
          <w:sz w:val="24"/>
          <w:szCs w:val="24"/>
        </w:rPr>
        <w:t xml:space="preserve">In the ACT 38.6% of students attend a non-government school.  The </w:t>
      </w:r>
      <w:r w:rsidR="005A1573">
        <w:rPr>
          <w:sz w:val="24"/>
          <w:szCs w:val="24"/>
        </w:rPr>
        <w:t xml:space="preserve">Territory Government relies on schools like ours to ensure there are enough places </w:t>
      </w:r>
      <w:r w:rsidR="00C01D84">
        <w:rPr>
          <w:sz w:val="24"/>
          <w:szCs w:val="24"/>
        </w:rPr>
        <w:t>for all ACT students.</w:t>
      </w:r>
    </w:p>
    <w:p w14:paraId="5DAD7FAA" w14:textId="77777777" w:rsidR="00C01D84" w:rsidRDefault="00C01D84" w:rsidP="001A6891">
      <w:pPr>
        <w:spacing w:before="0" w:after="0"/>
        <w:ind w:left="284"/>
        <w:jc w:val="both"/>
        <w:rPr>
          <w:sz w:val="24"/>
          <w:szCs w:val="24"/>
        </w:rPr>
      </w:pPr>
    </w:p>
    <w:p w14:paraId="7D079EF3" w14:textId="77777777" w:rsidR="0019342B" w:rsidRDefault="00C01D84" w:rsidP="001A6891">
      <w:pPr>
        <w:spacing w:before="0" w:after="0"/>
        <w:ind w:left="284"/>
        <w:jc w:val="both"/>
        <w:rPr>
          <w:sz w:val="24"/>
          <w:szCs w:val="24"/>
        </w:rPr>
      </w:pPr>
      <w:r>
        <w:rPr>
          <w:sz w:val="24"/>
          <w:szCs w:val="24"/>
        </w:rPr>
        <w:t xml:space="preserve">To date, the buildings and resources needed to accommodate the growth of the school </w:t>
      </w:r>
      <w:r w:rsidR="005B43AE">
        <w:rPr>
          <w:sz w:val="24"/>
          <w:szCs w:val="24"/>
        </w:rPr>
        <w:t xml:space="preserve">– like almost all non-government schools – </w:t>
      </w:r>
      <w:proofErr w:type="gramStart"/>
      <w:r w:rsidR="005B43AE">
        <w:rPr>
          <w:sz w:val="24"/>
          <w:szCs w:val="24"/>
        </w:rPr>
        <w:t>has</w:t>
      </w:r>
      <w:proofErr w:type="gramEnd"/>
      <w:r w:rsidR="005B43AE">
        <w:rPr>
          <w:sz w:val="24"/>
          <w:szCs w:val="24"/>
        </w:rPr>
        <w:t xml:space="preserve"> been substantially funded by families, </w:t>
      </w:r>
      <w:proofErr w:type="gramStart"/>
      <w:r w:rsidR="005B43AE">
        <w:rPr>
          <w:sz w:val="24"/>
          <w:szCs w:val="24"/>
        </w:rPr>
        <w:t>alumni</w:t>
      </w:r>
      <w:proofErr w:type="gramEnd"/>
      <w:r w:rsidR="005B43AE">
        <w:rPr>
          <w:sz w:val="24"/>
          <w:szCs w:val="24"/>
        </w:rPr>
        <w:t xml:space="preserve"> and other donors through our school building fund.</w:t>
      </w:r>
    </w:p>
    <w:p w14:paraId="73E282CD" w14:textId="77777777" w:rsidR="000B0CC9" w:rsidRDefault="000B0CC9" w:rsidP="001A6891">
      <w:pPr>
        <w:spacing w:before="0" w:after="0"/>
        <w:ind w:left="284"/>
        <w:jc w:val="both"/>
        <w:rPr>
          <w:sz w:val="24"/>
          <w:szCs w:val="24"/>
        </w:rPr>
      </w:pPr>
    </w:p>
    <w:p w14:paraId="18999E07" w14:textId="71C19BFF" w:rsidR="00BE53B2" w:rsidRDefault="0019342B" w:rsidP="001A6891">
      <w:pPr>
        <w:spacing w:before="0" w:after="0"/>
        <w:ind w:left="284"/>
        <w:jc w:val="both"/>
        <w:rPr>
          <w:sz w:val="24"/>
          <w:szCs w:val="24"/>
        </w:rPr>
      </w:pPr>
      <w:r>
        <w:rPr>
          <w:sz w:val="24"/>
          <w:szCs w:val="24"/>
        </w:rPr>
        <w:t xml:space="preserve">Our school has received </w:t>
      </w:r>
      <w:r w:rsidR="000B0CC9">
        <w:rPr>
          <w:sz w:val="24"/>
          <w:szCs w:val="24"/>
        </w:rPr>
        <w:t>NO</w:t>
      </w:r>
      <w:r>
        <w:rPr>
          <w:sz w:val="24"/>
          <w:szCs w:val="24"/>
        </w:rPr>
        <w:t xml:space="preserve"> capital funding from government since the </w:t>
      </w:r>
      <w:r w:rsidR="008130F4">
        <w:rPr>
          <w:sz w:val="24"/>
          <w:szCs w:val="24"/>
        </w:rPr>
        <w:t>Building the Education Revolution (</w:t>
      </w:r>
      <w:r>
        <w:rPr>
          <w:sz w:val="24"/>
          <w:szCs w:val="24"/>
        </w:rPr>
        <w:t>BER</w:t>
      </w:r>
      <w:r w:rsidR="008130F4">
        <w:rPr>
          <w:sz w:val="24"/>
          <w:szCs w:val="24"/>
        </w:rPr>
        <w:t>)</w:t>
      </w:r>
      <w:r>
        <w:rPr>
          <w:sz w:val="24"/>
          <w:szCs w:val="24"/>
        </w:rPr>
        <w:t xml:space="preserve"> program</w:t>
      </w:r>
      <w:r w:rsidR="00046974">
        <w:rPr>
          <w:sz w:val="24"/>
          <w:szCs w:val="24"/>
        </w:rPr>
        <w:t xml:space="preserve"> over a decade ago.</w:t>
      </w:r>
    </w:p>
    <w:p w14:paraId="1667B8A3" w14:textId="77777777" w:rsidR="00BE53B2" w:rsidRDefault="00BE53B2" w:rsidP="001A6891">
      <w:pPr>
        <w:spacing w:before="0" w:after="0"/>
        <w:ind w:left="284"/>
        <w:jc w:val="both"/>
        <w:rPr>
          <w:sz w:val="24"/>
          <w:szCs w:val="24"/>
        </w:rPr>
      </w:pPr>
    </w:p>
    <w:p w14:paraId="1DED0EFA" w14:textId="0708681B" w:rsidR="00F71F2E" w:rsidRDefault="00BE53B2" w:rsidP="001A6891">
      <w:pPr>
        <w:spacing w:before="0" w:after="0"/>
        <w:ind w:left="284"/>
        <w:jc w:val="both"/>
        <w:rPr>
          <w:sz w:val="24"/>
          <w:szCs w:val="24"/>
        </w:rPr>
      </w:pPr>
      <w:r>
        <w:rPr>
          <w:sz w:val="24"/>
          <w:szCs w:val="24"/>
        </w:rPr>
        <w:t xml:space="preserve">The removal of DGR status from school building funds would, </w:t>
      </w:r>
      <w:proofErr w:type="gramStart"/>
      <w:r>
        <w:rPr>
          <w:sz w:val="24"/>
          <w:szCs w:val="24"/>
        </w:rPr>
        <w:t>therefore</w:t>
      </w:r>
      <w:proofErr w:type="gramEnd"/>
      <w:r>
        <w:rPr>
          <w:sz w:val="24"/>
          <w:szCs w:val="24"/>
        </w:rPr>
        <w:t xml:space="preserve"> have a significant negative impact on our school community and on thousands </w:t>
      </w:r>
      <w:r w:rsidR="001E59E6">
        <w:rPr>
          <w:sz w:val="24"/>
          <w:szCs w:val="24"/>
        </w:rPr>
        <w:t xml:space="preserve">of others around Australia.  It would significantly </w:t>
      </w:r>
      <w:proofErr w:type="spellStart"/>
      <w:r w:rsidR="001E59E6">
        <w:rPr>
          <w:sz w:val="24"/>
          <w:szCs w:val="24"/>
        </w:rPr>
        <w:t>jeopardise</w:t>
      </w:r>
      <w:proofErr w:type="spellEnd"/>
      <w:r w:rsidR="001E59E6">
        <w:rPr>
          <w:sz w:val="24"/>
          <w:szCs w:val="24"/>
        </w:rPr>
        <w:t xml:space="preserve"> our school</w:t>
      </w:r>
      <w:r w:rsidR="00046974">
        <w:rPr>
          <w:sz w:val="24"/>
          <w:szCs w:val="24"/>
        </w:rPr>
        <w:t>’</w:t>
      </w:r>
      <w:r w:rsidR="001E59E6">
        <w:rPr>
          <w:sz w:val="24"/>
          <w:szCs w:val="24"/>
        </w:rPr>
        <w:t xml:space="preserve">s ongoing ability to raise </w:t>
      </w:r>
      <w:r w:rsidR="00F71F2E">
        <w:rPr>
          <w:sz w:val="24"/>
          <w:szCs w:val="24"/>
        </w:rPr>
        <w:t>the funds necessary to provide and improve our teaching and learning infrastructure.</w:t>
      </w:r>
    </w:p>
    <w:p w14:paraId="63C40C9D" w14:textId="77777777" w:rsidR="00F71F2E" w:rsidRDefault="00F71F2E" w:rsidP="001A6891">
      <w:pPr>
        <w:spacing w:before="0" w:after="0"/>
        <w:ind w:left="284"/>
        <w:jc w:val="both"/>
        <w:rPr>
          <w:sz w:val="24"/>
          <w:szCs w:val="24"/>
        </w:rPr>
      </w:pPr>
    </w:p>
    <w:p w14:paraId="7F1AA64A" w14:textId="7E3407FA" w:rsidR="00B028A1" w:rsidRDefault="00F71F2E" w:rsidP="001A6891">
      <w:pPr>
        <w:spacing w:before="0" w:after="0"/>
        <w:ind w:left="284"/>
        <w:jc w:val="both"/>
        <w:rPr>
          <w:sz w:val="24"/>
          <w:szCs w:val="24"/>
        </w:rPr>
      </w:pPr>
      <w:r>
        <w:rPr>
          <w:sz w:val="24"/>
          <w:szCs w:val="24"/>
        </w:rPr>
        <w:t xml:space="preserve">In recent years </w:t>
      </w:r>
      <w:r w:rsidR="006E1343">
        <w:rPr>
          <w:sz w:val="24"/>
          <w:szCs w:val="24"/>
        </w:rPr>
        <w:t xml:space="preserve">the school building fund has been instrumental in assisting to fund significant </w:t>
      </w:r>
      <w:r w:rsidR="0097678B">
        <w:rPr>
          <w:sz w:val="24"/>
          <w:szCs w:val="24"/>
        </w:rPr>
        <w:t>projects in the school including a significant classroom</w:t>
      </w:r>
      <w:r w:rsidR="00EF08DF">
        <w:rPr>
          <w:sz w:val="24"/>
          <w:szCs w:val="24"/>
        </w:rPr>
        <w:t xml:space="preserve"> development</w:t>
      </w:r>
      <w:r w:rsidR="0097678B">
        <w:rPr>
          <w:sz w:val="24"/>
          <w:szCs w:val="24"/>
        </w:rPr>
        <w:t xml:space="preserve"> in the S</w:t>
      </w:r>
      <w:r w:rsidR="00EF08DF">
        <w:rPr>
          <w:sz w:val="24"/>
          <w:szCs w:val="24"/>
        </w:rPr>
        <w:t>econdary</w:t>
      </w:r>
      <w:r w:rsidR="00254242">
        <w:rPr>
          <w:sz w:val="24"/>
          <w:szCs w:val="24"/>
        </w:rPr>
        <w:t xml:space="preserve"> School (accommodating 300 students), a significant classroom development in the Primary School (accommodating 300 students), provid</w:t>
      </w:r>
      <w:r w:rsidR="00EF08DF">
        <w:rPr>
          <w:sz w:val="24"/>
          <w:szCs w:val="24"/>
        </w:rPr>
        <w:t>ing</w:t>
      </w:r>
      <w:r w:rsidR="00254242">
        <w:rPr>
          <w:sz w:val="24"/>
          <w:szCs w:val="24"/>
        </w:rPr>
        <w:t xml:space="preserve"> critical infrastructure required to meet the challenges of managing the COVID-19 </w:t>
      </w:r>
      <w:r w:rsidR="005024EB">
        <w:rPr>
          <w:sz w:val="24"/>
          <w:szCs w:val="24"/>
        </w:rPr>
        <w:t xml:space="preserve">pandemic, a new music classroom and practice room facility </w:t>
      </w:r>
      <w:r w:rsidR="003F5A7B">
        <w:rPr>
          <w:sz w:val="24"/>
          <w:szCs w:val="24"/>
        </w:rPr>
        <w:t>together with</w:t>
      </w:r>
      <w:r w:rsidR="005024EB">
        <w:rPr>
          <w:sz w:val="24"/>
          <w:szCs w:val="24"/>
        </w:rPr>
        <w:t xml:space="preserve"> a concert hall which can seat the </w:t>
      </w:r>
      <w:r w:rsidR="00B028A1">
        <w:rPr>
          <w:sz w:val="24"/>
          <w:szCs w:val="24"/>
        </w:rPr>
        <w:t>respective Se</w:t>
      </w:r>
      <w:r w:rsidR="003F5A7B">
        <w:rPr>
          <w:sz w:val="24"/>
          <w:szCs w:val="24"/>
        </w:rPr>
        <w:t>condary</w:t>
      </w:r>
      <w:r w:rsidR="00B028A1">
        <w:rPr>
          <w:sz w:val="24"/>
          <w:szCs w:val="24"/>
        </w:rPr>
        <w:t xml:space="preserve"> and Primary Schools for assemblies and other gatherings</w:t>
      </w:r>
      <w:r w:rsidR="00F527ED">
        <w:rPr>
          <w:sz w:val="24"/>
          <w:szCs w:val="24"/>
        </w:rPr>
        <w:t xml:space="preserve">, including </w:t>
      </w:r>
      <w:r w:rsidR="00010F05">
        <w:rPr>
          <w:sz w:val="24"/>
          <w:szCs w:val="24"/>
        </w:rPr>
        <w:t xml:space="preserve">public concerts for the </w:t>
      </w:r>
      <w:r w:rsidR="00DC79E8">
        <w:rPr>
          <w:sz w:val="24"/>
          <w:szCs w:val="24"/>
        </w:rPr>
        <w:t xml:space="preserve">broad </w:t>
      </w:r>
      <w:r w:rsidR="00010F05">
        <w:rPr>
          <w:sz w:val="24"/>
          <w:szCs w:val="24"/>
        </w:rPr>
        <w:t xml:space="preserve">community of </w:t>
      </w:r>
      <w:r w:rsidR="00DA6293">
        <w:rPr>
          <w:sz w:val="24"/>
          <w:szCs w:val="24"/>
        </w:rPr>
        <w:t>the capital city</w:t>
      </w:r>
      <w:r w:rsidR="00DC79E8">
        <w:rPr>
          <w:sz w:val="24"/>
          <w:szCs w:val="24"/>
        </w:rPr>
        <w:t>.</w:t>
      </w:r>
    </w:p>
    <w:p w14:paraId="55C69091" w14:textId="77777777" w:rsidR="00B028A1" w:rsidRDefault="00B028A1" w:rsidP="001A6891">
      <w:pPr>
        <w:spacing w:before="0" w:after="0"/>
        <w:ind w:left="284"/>
        <w:jc w:val="both"/>
        <w:rPr>
          <w:sz w:val="24"/>
          <w:szCs w:val="24"/>
        </w:rPr>
      </w:pPr>
    </w:p>
    <w:p w14:paraId="19A8C38C" w14:textId="77777777" w:rsidR="00E8303A" w:rsidRDefault="00214510" w:rsidP="00FE1550">
      <w:pPr>
        <w:spacing w:before="0" w:after="0"/>
        <w:ind w:left="284"/>
        <w:jc w:val="both"/>
        <w:rPr>
          <w:sz w:val="24"/>
          <w:szCs w:val="24"/>
        </w:rPr>
      </w:pPr>
      <w:r w:rsidRPr="00214510">
        <w:rPr>
          <w:sz w:val="24"/>
          <w:szCs w:val="24"/>
        </w:rPr>
        <w:t>Canberra Grammar School</w:t>
      </w:r>
      <w:r>
        <w:rPr>
          <w:sz w:val="24"/>
          <w:szCs w:val="24"/>
        </w:rPr>
        <w:t xml:space="preserve"> is </w:t>
      </w:r>
      <w:r w:rsidR="00092954">
        <w:rPr>
          <w:sz w:val="24"/>
          <w:szCs w:val="24"/>
        </w:rPr>
        <w:t>also a boarding school and is unique in that it provides boarding accommodation options for both boys and girls</w:t>
      </w:r>
      <w:r w:rsidR="003703F5">
        <w:rPr>
          <w:sz w:val="24"/>
          <w:szCs w:val="24"/>
        </w:rPr>
        <w:t>.  It has been a boarding school since its foundation in 1929 and the funding of the significant capital</w:t>
      </w:r>
      <w:r w:rsidR="003F5A7B">
        <w:rPr>
          <w:sz w:val="24"/>
          <w:szCs w:val="24"/>
        </w:rPr>
        <w:t xml:space="preserve"> investment</w:t>
      </w:r>
      <w:r w:rsidR="003703F5">
        <w:rPr>
          <w:sz w:val="24"/>
          <w:szCs w:val="24"/>
        </w:rPr>
        <w:t xml:space="preserve"> required to establish, maintain and redevelop </w:t>
      </w:r>
      <w:r w:rsidR="00930DC6">
        <w:rPr>
          <w:sz w:val="24"/>
          <w:szCs w:val="24"/>
        </w:rPr>
        <w:t xml:space="preserve">this infrastructure is largely underpinned by having a school building fund.  </w:t>
      </w:r>
    </w:p>
    <w:p w14:paraId="34C99611" w14:textId="77777777" w:rsidR="00E8303A" w:rsidRDefault="00E8303A" w:rsidP="00FE1550">
      <w:pPr>
        <w:spacing w:before="0" w:after="0"/>
        <w:ind w:left="284"/>
        <w:jc w:val="both"/>
        <w:rPr>
          <w:sz w:val="24"/>
          <w:szCs w:val="24"/>
        </w:rPr>
      </w:pPr>
    </w:p>
    <w:p w14:paraId="55D1E090" w14:textId="45F29CAE" w:rsidR="00FE1550" w:rsidRDefault="00930DC6" w:rsidP="00FE1550">
      <w:pPr>
        <w:spacing w:before="0" w:after="0"/>
        <w:ind w:left="284"/>
        <w:jc w:val="both"/>
        <w:rPr>
          <w:sz w:val="24"/>
          <w:szCs w:val="24"/>
        </w:rPr>
      </w:pPr>
      <w:r>
        <w:rPr>
          <w:sz w:val="24"/>
          <w:szCs w:val="24"/>
        </w:rPr>
        <w:t>This boarding infrastructure</w:t>
      </w:r>
      <w:r w:rsidR="00CB1DE5">
        <w:rPr>
          <w:sz w:val="24"/>
          <w:szCs w:val="24"/>
        </w:rPr>
        <w:t xml:space="preserve"> </w:t>
      </w:r>
      <w:r w:rsidR="00914496">
        <w:rPr>
          <w:sz w:val="24"/>
          <w:szCs w:val="24"/>
        </w:rPr>
        <w:t xml:space="preserve">is a critical factor in serving our rural communities, </w:t>
      </w:r>
      <w:proofErr w:type="spellStart"/>
      <w:r w:rsidR="00914496">
        <w:rPr>
          <w:sz w:val="24"/>
          <w:szCs w:val="24"/>
        </w:rPr>
        <w:t>defence</w:t>
      </w:r>
      <w:proofErr w:type="spellEnd"/>
      <w:r w:rsidR="00914496">
        <w:rPr>
          <w:sz w:val="24"/>
          <w:szCs w:val="24"/>
        </w:rPr>
        <w:t xml:space="preserve"> force</w:t>
      </w:r>
      <w:r w:rsidR="00987754">
        <w:rPr>
          <w:sz w:val="24"/>
          <w:szCs w:val="24"/>
        </w:rPr>
        <w:t xml:space="preserve"> (postings), DFAT (postings) and a growing Indigenous Scholarship program which is providing life changing opportunities </w:t>
      </w:r>
      <w:r w:rsidR="00E8303A">
        <w:rPr>
          <w:sz w:val="24"/>
          <w:szCs w:val="24"/>
        </w:rPr>
        <w:t xml:space="preserve">currently </w:t>
      </w:r>
      <w:r w:rsidR="00CC47B2">
        <w:rPr>
          <w:sz w:val="24"/>
          <w:szCs w:val="24"/>
        </w:rPr>
        <w:t xml:space="preserve">to </w:t>
      </w:r>
      <w:r w:rsidR="006C1E8B">
        <w:rPr>
          <w:sz w:val="24"/>
          <w:szCs w:val="24"/>
        </w:rPr>
        <w:t>25 current students</w:t>
      </w:r>
      <w:r w:rsidR="00FE1550">
        <w:rPr>
          <w:sz w:val="24"/>
          <w:szCs w:val="24"/>
        </w:rPr>
        <w:t>.  In providing this</w:t>
      </w:r>
      <w:r w:rsidR="00CC47B2">
        <w:rPr>
          <w:sz w:val="24"/>
          <w:szCs w:val="24"/>
        </w:rPr>
        <w:t xml:space="preserve"> critical boarding infrastructure</w:t>
      </w:r>
      <w:r w:rsidR="00FE1550">
        <w:rPr>
          <w:sz w:val="24"/>
          <w:szCs w:val="24"/>
        </w:rPr>
        <w:t xml:space="preserve"> we cannot justify charging the families of day students </w:t>
      </w:r>
      <w:r w:rsidR="00607A57">
        <w:rPr>
          <w:sz w:val="24"/>
          <w:szCs w:val="24"/>
        </w:rPr>
        <w:t xml:space="preserve">and </w:t>
      </w:r>
      <w:r w:rsidR="00CC47B2">
        <w:rPr>
          <w:sz w:val="24"/>
          <w:szCs w:val="24"/>
        </w:rPr>
        <w:t xml:space="preserve">the </w:t>
      </w:r>
      <w:r w:rsidR="00607A57">
        <w:rPr>
          <w:sz w:val="24"/>
          <w:szCs w:val="24"/>
        </w:rPr>
        <w:t>boarding families make a significant investment in sending their children to boarding school</w:t>
      </w:r>
      <w:r w:rsidR="00771110">
        <w:rPr>
          <w:sz w:val="24"/>
          <w:szCs w:val="24"/>
        </w:rPr>
        <w:t xml:space="preserve"> often out of the necessity of not having suitable schooling options in their local communities</w:t>
      </w:r>
      <w:r w:rsidR="00607A57">
        <w:rPr>
          <w:sz w:val="24"/>
          <w:szCs w:val="24"/>
        </w:rPr>
        <w:t>.  There is no Government funding available to assist w</w:t>
      </w:r>
      <w:r w:rsidR="00634359">
        <w:rPr>
          <w:sz w:val="24"/>
          <w:szCs w:val="24"/>
        </w:rPr>
        <w:t xml:space="preserve">ith any aspect of boarding provision and as such the only option is philanthropic giving – facilitated through </w:t>
      </w:r>
      <w:r w:rsidR="00556304">
        <w:rPr>
          <w:sz w:val="24"/>
          <w:szCs w:val="24"/>
        </w:rPr>
        <w:t>DGR funds such as the school building fund.</w:t>
      </w:r>
    </w:p>
    <w:p w14:paraId="72C6B8F6" w14:textId="77777777" w:rsidR="00556304" w:rsidRDefault="00556304" w:rsidP="00FE1550">
      <w:pPr>
        <w:spacing w:before="0" w:after="0"/>
        <w:ind w:left="284"/>
        <w:jc w:val="both"/>
        <w:rPr>
          <w:sz w:val="24"/>
          <w:szCs w:val="24"/>
        </w:rPr>
      </w:pPr>
    </w:p>
    <w:p w14:paraId="69B7C88A" w14:textId="77777777" w:rsidR="001F6D8E" w:rsidRDefault="001F6D8E" w:rsidP="00FE1550">
      <w:pPr>
        <w:spacing w:before="0" w:after="0"/>
        <w:ind w:left="284"/>
        <w:jc w:val="both"/>
        <w:rPr>
          <w:sz w:val="24"/>
          <w:szCs w:val="24"/>
        </w:rPr>
      </w:pPr>
    </w:p>
    <w:p w14:paraId="5D7A1A49" w14:textId="77777777" w:rsidR="001F6D8E" w:rsidRDefault="001F6D8E" w:rsidP="00FE1550">
      <w:pPr>
        <w:spacing w:before="0" w:after="0"/>
        <w:ind w:left="284"/>
        <w:jc w:val="both"/>
        <w:rPr>
          <w:sz w:val="24"/>
          <w:szCs w:val="24"/>
        </w:rPr>
      </w:pPr>
    </w:p>
    <w:p w14:paraId="6B6F3FB8" w14:textId="77777777" w:rsidR="001F6D8E" w:rsidRDefault="001F6D8E" w:rsidP="00FE1550">
      <w:pPr>
        <w:spacing w:before="0" w:after="0"/>
        <w:ind w:left="284"/>
        <w:jc w:val="both"/>
        <w:rPr>
          <w:sz w:val="24"/>
          <w:szCs w:val="24"/>
        </w:rPr>
      </w:pPr>
    </w:p>
    <w:p w14:paraId="7DD2C075" w14:textId="304F40A1" w:rsidR="00556304" w:rsidRDefault="00556304" w:rsidP="00FE1550">
      <w:pPr>
        <w:spacing w:before="0" w:after="0"/>
        <w:ind w:left="284"/>
        <w:jc w:val="both"/>
        <w:rPr>
          <w:sz w:val="24"/>
          <w:szCs w:val="24"/>
        </w:rPr>
      </w:pPr>
      <w:r>
        <w:rPr>
          <w:sz w:val="24"/>
          <w:szCs w:val="24"/>
        </w:rPr>
        <w:lastRenderedPageBreak/>
        <w:t xml:space="preserve">The Productivity Commission’s report alleges that in the case of school building funds “the potential for a donor to be able </w:t>
      </w:r>
      <w:r w:rsidR="00DF60A4">
        <w:rPr>
          <w:sz w:val="24"/>
          <w:szCs w:val="24"/>
        </w:rPr>
        <w:t xml:space="preserve">to convert a tax-deductible donation into a private benefit is especially apparent </w:t>
      </w:r>
      <w:r w:rsidR="004A2E35">
        <w:rPr>
          <w:sz w:val="24"/>
          <w:szCs w:val="24"/>
        </w:rPr>
        <w:t>for primary and secondary education, particularly where students are charged fees.”</w:t>
      </w:r>
    </w:p>
    <w:p w14:paraId="132A8501" w14:textId="77777777" w:rsidR="004A2E35" w:rsidRDefault="004A2E35" w:rsidP="00FE1550">
      <w:pPr>
        <w:spacing w:before="0" w:after="0"/>
        <w:ind w:left="284"/>
        <w:jc w:val="both"/>
        <w:rPr>
          <w:sz w:val="24"/>
          <w:szCs w:val="24"/>
        </w:rPr>
      </w:pPr>
    </w:p>
    <w:p w14:paraId="052AEE8E" w14:textId="53314B8E" w:rsidR="004A2E35" w:rsidRDefault="004A2E35" w:rsidP="00FE1550">
      <w:pPr>
        <w:spacing w:before="0" w:after="0"/>
        <w:ind w:left="284"/>
        <w:jc w:val="both"/>
        <w:rPr>
          <w:sz w:val="24"/>
          <w:szCs w:val="24"/>
        </w:rPr>
      </w:pPr>
      <w:r>
        <w:rPr>
          <w:sz w:val="24"/>
          <w:szCs w:val="24"/>
        </w:rPr>
        <w:t>This claim is not supported by any evidence or data – and it is highly unlikely that such a benefit would accrue to donors.  Obtaining a benefit from a donation is expressly excluded in the Australian Taxation Office rule</w:t>
      </w:r>
      <w:r w:rsidR="008B090A">
        <w:rPr>
          <w:sz w:val="24"/>
          <w:szCs w:val="24"/>
        </w:rPr>
        <w:t>s for Tax Deductible Gift Recipient Funds; if it did occur, it would be grounds to deregister the DGR fund through existing compliance mechanisms.</w:t>
      </w:r>
    </w:p>
    <w:p w14:paraId="364A86E5" w14:textId="77777777" w:rsidR="008B090A" w:rsidRDefault="008B090A" w:rsidP="00FE1550">
      <w:pPr>
        <w:spacing w:before="0" w:after="0"/>
        <w:ind w:left="284"/>
        <w:jc w:val="both"/>
        <w:rPr>
          <w:sz w:val="24"/>
          <w:szCs w:val="24"/>
        </w:rPr>
      </w:pPr>
    </w:p>
    <w:p w14:paraId="175AC3BE" w14:textId="63D9C205" w:rsidR="008B090A" w:rsidRDefault="008B090A" w:rsidP="00FE1550">
      <w:pPr>
        <w:spacing w:before="0" w:after="0"/>
        <w:ind w:left="284"/>
        <w:jc w:val="both"/>
        <w:rPr>
          <w:sz w:val="24"/>
          <w:szCs w:val="24"/>
        </w:rPr>
      </w:pPr>
      <w:r>
        <w:rPr>
          <w:sz w:val="24"/>
          <w:szCs w:val="24"/>
        </w:rPr>
        <w:t xml:space="preserve">The report’s concern for </w:t>
      </w:r>
      <w:r w:rsidR="00333AD1">
        <w:rPr>
          <w:sz w:val="24"/>
          <w:szCs w:val="24"/>
        </w:rPr>
        <w:t xml:space="preserve">‘potential’ </w:t>
      </w:r>
      <w:r w:rsidR="001E3D29">
        <w:rPr>
          <w:sz w:val="24"/>
          <w:szCs w:val="24"/>
        </w:rPr>
        <w:t xml:space="preserve">private benefits needs to be weighed up against the </w:t>
      </w:r>
      <w:r w:rsidR="001E3D29" w:rsidRPr="001E3D29">
        <w:rPr>
          <w:i/>
          <w:iCs/>
          <w:sz w:val="24"/>
          <w:szCs w:val="24"/>
        </w:rPr>
        <w:t>actual</w:t>
      </w:r>
      <w:r w:rsidR="001E3D29">
        <w:rPr>
          <w:sz w:val="24"/>
          <w:szCs w:val="24"/>
        </w:rPr>
        <w:t xml:space="preserve"> benefit of donations that have helped to deliver school infrastructure</w:t>
      </w:r>
      <w:r w:rsidR="0018143A">
        <w:rPr>
          <w:sz w:val="24"/>
          <w:szCs w:val="24"/>
        </w:rPr>
        <w:t xml:space="preserve"> with an effective lifespan of use that extends well beyond the 13 years a child spends at school.  In most cases</w:t>
      </w:r>
      <w:r w:rsidR="009C61A4">
        <w:rPr>
          <w:sz w:val="24"/>
          <w:szCs w:val="24"/>
        </w:rPr>
        <w:t>, an asset will be completed well after the child of the donor parent has finished their schooling.</w:t>
      </w:r>
    </w:p>
    <w:p w14:paraId="5FC5BA3F" w14:textId="77777777" w:rsidR="009C61A4" w:rsidRDefault="009C61A4" w:rsidP="00FE1550">
      <w:pPr>
        <w:spacing w:before="0" w:after="0"/>
        <w:ind w:left="284"/>
        <w:jc w:val="both"/>
        <w:rPr>
          <w:sz w:val="24"/>
          <w:szCs w:val="24"/>
        </w:rPr>
      </w:pPr>
    </w:p>
    <w:p w14:paraId="38F32203" w14:textId="19730791" w:rsidR="009C61A4" w:rsidRDefault="009C61A4" w:rsidP="00FE1550">
      <w:pPr>
        <w:spacing w:before="0" w:after="0"/>
        <w:ind w:left="284"/>
        <w:jc w:val="both"/>
        <w:rPr>
          <w:sz w:val="24"/>
          <w:szCs w:val="24"/>
        </w:rPr>
      </w:pPr>
      <w:r>
        <w:rPr>
          <w:sz w:val="24"/>
          <w:szCs w:val="24"/>
        </w:rPr>
        <w:t>It is not only the families of current students who contribute to school building funds</w:t>
      </w:r>
      <w:r w:rsidR="00E7230F">
        <w:rPr>
          <w:sz w:val="24"/>
          <w:szCs w:val="24"/>
        </w:rPr>
        <w:t xml:space="preserve"> but alumni, community groups, philanthropic donors and others through a range of fundraising activities.  It is therefore </w:t>
      </w:r>
      <w:r w:rsidR="00E939F6">
        <w:rPr>
          <w:sz w:val="24"/>
          <w:szCs w:val="24"/>
        </w:rPr>
        <w:t>extremely unlikely that a community member or a school alumnus – who may have left the school many years ago – could directly benefit from these donations.</w:t>
      </w:r>
    </w:p>
    <w:p w14:paraId="35C8634B" w14:textId="77777777" w:rsidR="00E939F6" w:rsidRDefault="00E939F6" w:rsidP="00FE1550">
      <w:pPr>
        <w:spacing w:before="0" w:after="0"/>
        <w:ind w:left="284"/>
        <w:jc w:val="both"/>
        <w:rPr>
          <w:sz w:val="24"/>
          <w:szCs w:val="24"/>
        </w:rPr>
      </w:pPr>
    </w:p>
    <w:p w14:paraId="0F482C6D" w14:textId="7768AD86" w:rsidR="00E939F6" w:rsidRDefault="00E939F6" w:rsidP="00FE1550">
      <w:pPr>
        <w:spacing w:before="0" w:after="0"/>
        <w:ind w:left="284"/>
        <w:jc w:val="both"/>
        <w:rPr>
          <w:sz w:val="24"/>
          <w:szCs w:val="24"/>
        </w:rPr>
      </w:pPr>
      <w:r>
        <w:rPr>
          <w:sz w:val="24"/>
          <w:szCs w:val="24"/>
        </w:rPr>
        <w:t>Removing DGR status for non-government sch</w:t>
      </w:r>
      <w:r w:rsidR="00F730F9">
        <w:rPr>
          <w:sz w:val="24"/>
          <w:szCs w:val="24"/>
        </w:rPr>
        <w:t>ool building funds will only reduce contributions from donors and restrict non-government schools</w:t>
      </w:r>
      <w:r w:rsidR="00357E1C">
        <w:rPr>
          <w:sz w:val="24"/>
          <w:szCs w:val="24"/>
        </w:rPr>
        <w:t>’ capacity to meet future demand for student places.</w:t>
      </w:r>
    </w:p>
    <w:p w14:paraId="770057B7" w14:textId="77777777" w:rsidR="00357E1C" w:rsidRDefault="00357E1C" w:rsidP="00FE1550">
      <w:pPr>
        <w:spacing w:before="0" w:after="0"/>
        <w:ind w:left="284"/>
        <w:jc w:val="both"/>
        <w:rPr>
          <w:sz w:val="24"/>
          <w:szCs w:val="24"/>
        </w:rPr>
      </w:pPr>
    </w:p>
    <w:p w14:paraId="20F985F3" w14:textId="77777777" w:rsidR="002A2623" w:rsidRDefault="002A2623" w:rsidP="00FE1550">
      <w:pPr>
        <w:spacing w:before="0" w:after="0"/>
        <w:ind w:left="284"/>
        <w:jc w:val="both"/>
        <w:rPr>
          <w:sz w:val="24"/>
          <w:szCs w:val="24"/>
        </w:rPr>
      </w:pPr>
    </w:p>
    <w:p w14:paraId="1D2D2AFE" w14:textId="77777777" w:rsidR="002A2623" w:rsidRDefault="002A2623" w:rsidP="00FE1550">
      <w:pPr>
        <w:spacing w:before="0" w:after="0"/>
        <w:ind w:left="284"/>
        <w:jc w:val="both"/>
        <w:rPr>
          <w:sz w:val="24"/>
          <w:szCs w:val="24"/>
        </w:rPr>
      </w:pPr>
    </w:p>
    <w:p w14:paraId="1760973A" w14:textId="56097EEF" w:rsidR="0014207D" w:rsidRPr="0014207D" w:rsidRDefault="0014207D" w:rsidP="00FE1550">
      <w:pPr>
        <w:spacing w:before="0" w:after="0"/>
        <w:ind w:left="284"/>
        <w:jc w:val="both"/>
        <w:rPr>
          <w:b/>
          <w:bCs/>
          <w:sz w:val="28"/>
          <w:szCs w:val="28"/>
        </w:rPr>
      </w:pPr>
      <w:r w:rsidRPr="0014207D">
        <w:rPr>
          <w:b/>
          <w:bCs/>
          <w:sz w:val="28"/>
          <w:szCs w:val="28"/>
        </w:rPr>
        <w:t>CONCLUSION</w:t>
      </w:r>
    </w:p>
    <w:p w14:paraId="454809EA" w14:textId="77777777" w:rsidR="0014207D" w:rsidRDefault="0014207D" w:rsidP="00FE1550">
      <w:pPr>
        <w:spacing w:before="0" w:after="0"/>
        <w:ind w:left="284"/>
        <w:jc w:val="both"/>
        <w:rPr>
          <w:sz w:val="24"/>
          <w:szCs w:val="24"/>
        </w:rPr>
      </w:pPr>
    </w:p>
    <w:p w14:paraId="7FE2429B" w14:textId="77777777" w:rsidR="0014207D" w:rsidRDefault="0014207D" w:rsidP="0014207D">
      <w:pPr>
        <w:spacing w:before="0" w:after="0"/>
        <w:ind w:left="284"/>
        <w:jc w:val="both"/>
        <w:rPr>
          <w:sz w:val="24"/>
          <w:szCs w:val="24"/>
        </w:rPr>
      </w:pPr>
      <w:r>
        <w:rPr>
          <w:sz w:val="24"/>
          <w:szCs w:val="24"/>
        </w:rPr>
        <w:t>The removal of DGR status will shift more of the financial burden of providing the necessary classroom places for our territories children onto governments, who will be forced to build new capacity in government schools at a higher cost to taxpayers than the current DGR system.</w:t>
      </w:r>
    </w:p>
    <w:p w14:paraId="63A22835" w14:textId="77777777" w:rsidR="0014207D" w:rsidRDefault="0014207D" w:rsidP="00FE1550">
      <w:pPr>
        <w:spacing w:before="0" w:after="0"/>
        <w:ind w:left="284"/>
        <w:jc w:val="both"/>
        <w:rPr>
          <w:sz w:val="24"/>
          <w:szCs w:val="24"/>
        </w:rPr>
      </w:pPr>
    </w:p>
    <w:p w14:paraId="22902440" w14:textId="738A42E4" w:rsidR="0014207D" w:rsidRDefault="0014207D" w:rsidP="00FE1550">
      <w:pPr>
        <w:spacing w:before="0" w:after="0"/>
        <w:ind w:left="284"/>
        <w:jc w:val="both"/>
        <w:rPr>
          <w:sz w:val="24"/>
          <w:szCs w:val="24"/>
        </w:rPr>
      </w:pPr>
      <w:r>
        <w:rPr>
          <w:sz w:val="24"/>
          <w:szCs w:val="24"/>
        </w:rPr>
        <w:t xml:space="preserve">On behalf of our students, </w:t>
      </w:r>
      <w:r w:rsidR="0091641E">
        <w:rPr>
          <w:sz w:val="24"/>
          <w:szCs w:val="24"/>
        </w:rPr>
        <w:t>families and</w:t>
      </w:r>
      <w:r>
        <w:rPr>
          <w:sz w:val="24"/>
          <w:szCs w:val="24"/>
        </w:rPr>
        <w:t xml:space="preserve"> the wider school community we </w:t>
      </w:r>
      <w:r w:rsidR="0091641E">
        <w:rPr>
          <w:sz w:val="24"/>
          <w:szCs w:val="24"/>
        </w:rPr>
        <w:t xml:space="preserve">respectfully </w:t>
      </w:r>
      <w:r>
        <w:rPr>
          <w:sz w:val="24"/>
          <w:szCs w:val="24"/>
        </w:rPr>
        <w:t>ask that the Productivity Commission withdraw this recommendation from its final report.</w:t>
      </w:r>
    </w:p>
    <w:p w14:paraId="53B9BC2A" w14:textId="77777777" w:rsidR="00483C60" w:rsidRDefault="00483C60" w:rsidP="00FE1550">
      <w:pPr>
        <w:spacing w:before="0" w:after="0"/>
        <w:ind w:left="284"/>
        <w:jc w:val="both"/>
        <w:rPr>
          <w:sz w:val="24"/>
          <w:szCs w:val="24"/>
        </w:rPr>
      </w:pPr>
    </w:p>
    <w:p w14:paraId="6979D9DF" w14:textId="77777777" w:rsidR="00483C60" w:rsidRDefault="00483C60" w:rsidP="00FE1550">
      <w:pPr>
        <w:spacing w:before="0" w:after="0"/>
        <w:ind w:left="284"/>
        <w:jc w:val="both"/>
        <w:rPr>
          <w:sz w:val="24"/>
          <w:szCs w:val="24"/>
        </w:rPr>
      </w:pPr>
    </w:p>
    <w:p w14:paraId="0A5B5F2D" w14:textId="6C12188A" w:rsidR="00483C60" w:rsidRPr="00771110" w:rsidRDefault="00483C60" w:rsidP="00FE1550">
      <w:pPr>
        <w:spacing w:before="0" w:after="0"/>
        <w:ind w:left="284"/>
        <w:jc w:val="both"/>
        <w:rPr>
          <w:b/>
          <w:bCs/>
          <w:sz w:val="24"/>
          <w:szCs w:val="24"/>
        </w:rPr>
      </w:pPr>
      <w:r w:rsidRPr="00771110">
        <w:rPr>
          <w:b/>
          <w:bCs/>
          <w:sz w:val="24"/>
          <w:szCs w:val="24"/>
        </w:rPr>
        <w:t>9</w:t>
      </w:r>
      <w:r w:rsidRPr="00771110">
        <w:rPr>
          <w:b/>
          <w:bCs/>
          <w:sz w:val="24"/>
          <w:szCs w:val="24"/>
          <w:vertAlign w:val="superscript"/>
        </w:rPr>
        <w:t>th</w:t>
      </w:r>
      <w:r w:rsidRPr="00771110">
        <w:rPr>
          <w:b/>
          <w:bCs/>
          <w:sz w:val="24"/>
          <w:szCs w:val="24"/>
        </w:rPr>
        <w:t xml:space="preserve"> February 2024</w:t>
      </w:r>
    </w:p>
    <w:p w14:paraId="3851F8CA" w14:textId="77777777" w:rsidR="00541EA0" w:rsidRPr="001A6891" w:rsidRDefault="00541EA0" w:rsidP="001A6891">
      <w:pPr>
        <w:spacing w:before="0" w:after="0"/>
        <w:ind w:left="284"/>
        <w:jc w:val="both"/>
        <w:rPr>
          <w:sz w:val="24"/>
          <w:szCs w:val="24"/>
        </w:rPr>
      </w:pPr>
    </w:p>
    <w:sectPr w:rsidR="00541EA0" w:rsidRPr="001A6891" w:rsidSect="007C6103">
      <w:footerReference w:type="default" r:id="rId12"/>
      <w:headerReference w:type="first" r:id="rId13"/>
      <w:footerReference w:type="first" r:id="rId14"/>
      <w:pgSz w:w="11906" w:h="16838"/>
      <w:pgMar w:top="1701" w:right="3402" w:bottom="1418" w:left="1134" w:header="0"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54888" w14:textId="77777777" w:rsidR="007C6103" w:rsidRDefault="007C6103" w:rsidP="00101A3E">
      <w:pPr>
        <w:spacing w:before="0" w:after="0" w:line="240" w:lineRule="auto"/>
      </w:pPr>
      <w:r>
        <w:separator/>
      </w:r>
    </w:p>
  </w:endnote>
  <w:endnote w:type="continuationSeparator" w:id="0">
    <w:p w14:paraId="4557811E" w14:textId="77777777" w:rsidR="007C6103" w:rsidRDefault="007C6103" w:rsidP="00101A3E">
      <w:pPr>
        <w:spacing w:before="0" w:after="0" w:line="240" w:lineRule="auto"/>
      </w:pPr>
      <w:r>
        <w:continuationSeparator/>
      </w:r>
    </w:p>
  </w:endnote>
  <w:endnote w:type="continuationNotice" w:id="1">
    <w:p w14:paraId="4CA89A27" w14:textId="77777777" w:rsidR="007C6103" w:rsidRDefault="007C61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Futura Std Book">
    <w:charset w:val="B1"/>
    <w:family w:val="swiss"/>
    <w:pitch w:val="variable"/>
    <w:sig w:usb0="80000867" w:usb1="00000000" w:usb2="00000000" w:usb3="00000000" w:csb0="000001FB" w:csb1="00000000"/>
  </w:font>
  <w:font w:name="DengXian Light">
    <w:altName w:val="等线 Light"/>
    <w:charset w:val="86"/>
    <w:family w:val="auto"/>
    <w:pitch w:val="variable"/>
    <w:sig w:usb0="A00002BF" w:usb1="38CF7CFA" w:usb2="00000016" w:usb3="00000000" w:csb0="0004000F" w:csb1="00000000"/>
  </w:font>
  <w:font w:name="Franklin Gothic Demi">
    <w:panose1 w:val="020B0703020102020204"/>
    <w:charset w:val="00"/>
    <w:family w:val="swiss"/>
    <w:pitch w:val="variable"/>
    <w:sig w:usb0="000002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FranklinGothicURWDem">
    <w:altName w:val="Calibri"/>
    <w:panose1 w:val="00000000000000000000"/>
    <w:charset w:val="4D"/>
    <w:family w:val="auto"/>
    <w:notTrueType/>
    <w:pitch w:val="variable"/>
    <w:sig w:usb0="00000007" w:usb1="00000001" w:usb2="00000000" w:usb3="00000000" w:csb0="00000093" w:csb1="00000000"/>
  </w:font>
  <w:font w:name="FranklinGothic URW">
    <w:altName w:val="Cambria"/>
    <w:panose1 w:val="00000000000000000000"/>
    <w:charset w:val="4D"/>
    <w:family w:val="auto"/>
    <w:notTrueType/>
    <w:pitch w:val="variable"/>
    <w:sig w:usb0="00000007" w:usb1="00000000" w:usb2="00000000" w:usb3="00000000" w:csb0="00000093" w:csb1="00000000"/>
  </w:font>
  <w:font w:name="Futura PT Bold">
    <w:altName w:val="Century Gothic"/>
    <w:panose1 w:val="00000000000000000000"/>
    <w:charset w:val="4D"/>
    <w:family w:val="swiss"/>
    <w:notTrueType/>
    <w:pitch w:val="variable"/>
    <w:sig w:usb0="A00002FF" w:usb1="5000204A" w:usb2="00000000" w:usb3="00000000" w:csb0="00000097" w:csb1="00000000"/>
  </w:font>
  <w:font w:name="FranklinGothicURWLig">
    <w:altName w:val="Calibri"/>
    <w:panose1 w:val="00000000000000000000"/>
    <w:charset w:val="4D"/>
    <w:family w:val="auto"/>
    <w:notTrueType/>
    <w:pitch w:val="variable"/>
    <w:sig w:usb0="00000007" w:usb1="00000000" w:usb2="00000000" w:usb3="00000000" w:csb0="00000093" w:csb1="00000000"/>
  </w:font>
  <w:font w:name="FranklinGothicURWBoo">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0F63" w14:textId="1D780A74" w:rsidR="003A5FBB" w:rsidRDefault="003A5FBB">
    <w:pPr>
      <w:pStyle w:val="Footer"/>
    </w:pPr>
    <w:r>
      <w:rPr>
        <w:noProof/>
      </w:rPr>
      <w:drawing>
        <wp:anchor distT="0" distB="0" distL="114300" distR="114300" simplePos="0" relativeHeight="251658241" behindDoc="1" locked="0" layoutInCell="1" allowOverlap="1" wp14:anchorId="2135D48A" wp14:editId="4B8CE732">
          <wp:simplePos x="0" y="0"/>
          <wp:positionH relativeFrom="column">
            <wp:posOffset>-706582</wp:posOffset>
          </wp:positionH>
          <wp:positionV relativeFrom="paragraph">
            <wp:posOffset>-509790</wp:posOffset>
          </wp:positionV>
          <wp:extent cx="7529830" cy="949325"/>
          <wp:effectExtent l="0" t="0" r="1270" b="317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830" cy="9493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3855" w14:textId="77777777" w:rsidR="00101A3E" w:rsidRDefault="00101A3E" w:rsidP="00101A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F55EE" w14:textId="77777777" w:rsidR="007C6103" w:rsidRDefault="007C6103" w:rsidP="00101A3E">
      <w:pPr>
        <w:spacing w:before="0" w:after="0" w:line="240" w:lineRule="auto"/>
      </w:pPr>
      <w:r>
        <w:separator/>
      </w:r>
    </w:p>
  </w:footnote>
  <w:footnote w:type="continuationSeparator" w:id="0">
    <w:p w14:paraId="3228A314" w14:textId="77777777" w:rsidR="007C6103" w:rsidRDefault="007C6103" w:rsidP="00101A3E">
      <w:pPr>
        <w:spacing w:before="0" w:after="0" w:line="240" w:lineRule="auto"/>
      </w:pPr>
      <w:r>
        <w:continuationSeparator/>
      </w:r>
    </w:p>
  </w:footnote>
  <w:footnote w:type="continuationNotice" w:id="1">
    <w:p w14:paraId="46DDA949" w14:textId="77777777" w:rsidR="007C6103" w:rsidRDefault="007C6103">
      <w:pPr>
        <w:spacing w:before="0" w:after="0" w:line="240" w:lineRule="auto"/>
      </w:pPr>
    </w:p>
  </w:footnote>
  <w:footnote w:id="2">
    <w:p w14:paraId="5B7F7035" w14:textId="1CAE6FE1" w:rsidR="00D65487" w:rsidRDefault="00D65487">
      <w:pPr>
        <w:pStyle w:val="FootnoteText"/>
      </w:pPr>
      <w:r>
        <w:rPr>
          <w:rStyle w:val="FootnoteReference"/>
        </w:rPr>
        <w:footnoteRef/>
      </w:r>
      <w:r>
        <w:t xml:space="preserve"> </w:t>
      </w:r>
      <w:hyperlink r:id="rId1" w:history="1">
        <w:r w:rsidR="00C86901" w:rsidRPr="003208E6">
          <w:rPr>
            <w:rStyle w:val="Hyperlink"/>
          </w:rPr>
          <w:t>https://www.education.gov.au/school-funding/resources/capital-grants-program-2022-approved-projects</w:t>
        </w:r>
      </w:hyperlink>
    </w:p>
    <w:p w14:paraId="694E2D79" w14:textId="77777777" w:rsidR="00C86901" w:rsidRPr="00D65487" w:rsidRDefault="00C86901">
      <w:pPr>
        <w:pStyle w:val="FootnoteText"/>
        <w:rPr>
          <w:lang w:val="en-AU"/>
        </w:rPr>
      </w:pPr>
    </w:p>
  </w:footnote>
  <w:footnote w:id="3">
    <w:p w14:paraId="6D126554" w14:textId="75E70087" w:rsidR="006613D3" w:rsidRPr="006613D3" w:rsidRDefault="006613D3">
      <w:pPr>
        <w:pStyle w:val="FootnoteText"/>
        <w:rPr>
          <w:lang w:val="en-AU"/>
        </w:rPr>
      </w:pPr>
      <w:r>
        <w:rPr>
          <w:rStyle w:val="FootnoteReference"/>
        </w:rPr>
        <w:footnoteRef/>
      </w:r>
      <w:r>
        <w:t xml:space="preserve"> </w:t>
      </w:r>
      <w:hyperlink r:id="rId2" w:history="1">
        <w:r w:rsidR="00F567DA" w:rsidRPr="003208E6">
          <w:rPr>
            <w:rStyle w:val="Hyperlink"/>
          </w:rPr>
          <w:t>https://www.data.act.gov.au/Education/Census-Data-for-all-ACT-Schools/8mi2-3658/about_data</w:t>
        </w:r>
      </w:hyperlink>
      <w:r w:rsidR="00F567D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86F2" w14:textId="6ACB6166" w:rsidR="00101A3E" w:rsidRDefault="003A5FBB" w:rsidP="00101A3E">
    <w:pPr>
      <w:pStyle w:val="Header"/>
      <w:ind w:left="-1440"/>
    </w:pPr>
    <w:r>
      <w:rPr>
        <w:noProof/>
      </w:rPr>
      <w:drawing>
        <wp:anchor distT="0" distB="0" distL="114300" distR="114300" simplePos="0" relativeHeight="251658240" behindDoc="1" locked="0" layoutInCell="1" allowOverlap="1" wp14:anchorId="17646451" wp14:editId="6719657E">
          <wp:simplePos x="0" y="0"/>
          <wp:positionH relativeFrom="column">
            <wp:posOffset>5049520</wp:posOffset>
          </wp:positionH>
          <wp:positionV relativeFrom="paragraph">
            <wp:posOffset>155863</wp:posOffset>
          </wp:positionV>
          <wp:extent cx="1774434" cy="10519860"/>
          <wp:effectExtent l="0" t="0" r="3810" b="0"/>
          <wp:wrapNone/>
          <wp:docPr id="25" name="Picture 2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434" cy="10519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C22A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9653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64B2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5643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7CF9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881C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BE20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A0A8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8097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76D4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A3AB6"/>
    <w:multiLevelType w:val="hybridMultilevel"/>
    <w:tmpl w:val="DBF86638"/>
    <w:lvl w:ilvl="0" w:tplc="DD2C8196">
      <w:start w:val="1"/>
      <w:numFmt w:val="bullet"/>
      <w:pStyle w:val="BulletIndents"/>
      <w:lvlText w:val=""/>
      <w:lvlJc w:val="left"/>
      <w:pPr>
        <w:ind w:left="360" w:hanging="360"/>
      </w:pPr>
      <w:rPr>
        <w:rFonts w:ascii="Symbol" w:hAnsi="Symbol" w:hint="default"/>
        <w:color w:val="8496B0" w:themeColor="text2" w:themeTint="99"/>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F81DFF"/>
    <w:multiLevelType w:val="hybridMultilevel"/>
    <w:tmpl w:val="704EE184"/>
    <w:lvl w:ilvl="0" w:tplc="2872008E">
      <w:start w:val="1"/>
      <w:numFmt w:val="bullet"/>
      <w:pStyle w:val="Bullets"/>
      <w:lvlText w:val=""/>
      <w:lvlJc w:val="left"/>
      <w:pPr>
        <w:ind w:left="-273" w:hanging="360"/>
      </w:pPr>
      <w:rPr>
        <w:rFonts w:ascii="Symbol" w:hAnsi="Symbol" w:hint="default"/>
      </w:rPr>
    </w:lvl>
    <w:lvl w:ilvl="1" w:tplc="04090003" w:tentative="1">
      <w:start w:val="1"/>
      <w:numFmt w:val="bullet"/>
      <w:lvlText w:val="o"/>
      <w:lvlJc w:val="left"/>
      <w:pPr>
        <w:ind w:left="447" w:hanging="360"/>
      </w:pPr>
      <w:rPr>
        <w:rFonts w:ascii="Courier New" w:hAnsi="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12" w15:restartNumberingAfterBreak="0">
    <w:nsid w:val="3EFB75CF"/>
    <w:multiLevelType w:val="multilevel"/>
    <w:tmpl w:val="F49002E4"/>
    <w:lvl w:ilvl="0">
      <w:start w:val="1"/>
      <w:numFmt w:val="decimal"/>
      <w:pStyle w:val="NumberedBullets"/>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88141326">
    <w:abstractNumId w:val="11"/>
  </w:num>
  <w:num w:numId="2" w16cid:durableId="701244635">
    <w:abstractNumId w:val="10"/>
  </w:num>
  <w:num w:numId="3" w16cid:durableId="568267149">
    <w:abstractNumId w:val="12"/>
  </w:num>
  <w:num w:numId="4" w16cid:durableId="1568570980">
    <w:abstractNumId w:val="0"/>
  </w:num>
  <w:num w:numId="5" w16cid:durableId="1419643213">
    <w:abstractNumId w:val="1"/>
  </w:num>
  <w:num w:numId="6" w16cid:durableId="1372539682">
    <w:abstractNumId w:val="2"/>
  </w:num>
  <w:num w:numId="7" w16cid:durableId="122121913">
    <w:abstractNumId w:val="3"/>
  </w:num>
  <w:num w:numId="8" w16cid:durableId="1270359530">
    <w:abstractNumId w:val="8"/>
  </w:num>
  <w:num w:numId="9" w16cid:durableId="1386174862">
    <w:abstractNumId w:val="4"/>
  </w:num>
  <w:num w:numId="10" w16cid:durableId="499658883">
    <w:abstractNumId w:val="5"/>
  </w:num>
  <w:num w:numId="11" w16cid:durableId="626086465">
    <w:abstractNumId w:val="6"/>
  </w:num>
  <w:num w:numId="12" w16cid:durableId="1210414057">
    <w:abstractNumId w:val="7"/>
  </w:num>
  <w:num w:numId="13" w16cid:durableId="913397092">
    <w:abstractNumId w:val="9"/>
  </w:num>
  <w:num w:numId="14" w16cid:durableId="637225944">
    <w:abstractNumId w:val="0"/>
  </w:num>
  <w:num w:numId="15" w16cid:durableId="1998730589">
    <w:abstractNumId w:val="1"/>
  </w:num>
  <w:num w:numId="16" w16cid:durableId="721245842">
    <w:abstractNumId w:val="2"/>
  </w:num>
  <w:num w:numId="17" w16cid:durableId="472984107">
    <w:abstractNumId w:val="3"/>
  </w:num>
  <w:num w:numId="18" w16cid:durableId="95176593">
    <w:abstractNumId w:val="8"/>
  </w:num>
  <w:num w:numId="19" w16cid:durableId="1051265945">
    <w:abstractNumId w:val="4"/>
  </w:num>
  <w:num w:numId="20" w16cid:durableId="1334257902">
    <w:abstractNumId w:val="5"/>
  </w:num>
  <w:num w:numId="21" w16cid:durableId="1968272033">
    <w:abstractNumId w:val="6"/>
  </w:num>
  <w:num w:numId="22" w16cid:durableId="1139955251">
    <w:abstractNumId w:val="7"/>
  </w:num>
  <w:num w:numId="23" w16cid:durableId="1333407594">
    <w:abstractNumId w:val="9"/>
  </w:num>
  <w:num w:numId="24" w16cid:durableId="1907639708">
    <w:abstractNumId w:val="0"/>
  </w:num>
  <w:num w:numId="25" w16cid:durableId="1893693085">
    <w:abstractNumId w:val="1"/>
  </w:num>
  <w:num w:numId="26" w16cid:durableId="1962615921">
    <w:abstractNumId w:val="2"/>
  </w:num>
  <w:num w:numId="27" w16cid:durableId="2089694809">
    <w:abstractNumId w:val="3"/>
  </w:num>
  <w:num w:numId="28" w16cid:durableId="1211188998">
    <w:abstractNumId w:val="8"/>
  </w:num>
  <w:num w:numId="29" w16cid:durableId="277420272">
    <w:abstractNumId w:val="4"/>
  </w:num>
  <w:num w:numId="30" w16cid:durableId="100346395">
    <w:abstractNumId w:val="5"/>
  </w:num>
  <w:num w:numId="31" w16cid:durableId="1294755439">
    <w:abstractNumId w:val="6"/>
  </w:num>
  <w:num w:numId="32" w16cid:durableId="1143698875">
    <w:abstractNumId w:val="7"/>
  </w:num>
  <w:num w:numId="33" w16cid:durableId="46111587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3E"/>
    <w:rsid w:val="000001D7"/>
    <w:rsid w:val="00004DA6"/>
    <w:rsid w:val="00010F05"/>
    <w:rsid w:val="00014026"/>
    <w:rsid w:val="000172BE"/>
    <w:rsid w:val="00027324"/>
    <w:rsid w:val="0003041B"/>
    <w:rsid w:val="00032B3C"/>
    <w:rsid w:val="00032BA0"/>
    <w:rsid w:val="00032EAE"/>
    <w:rsid w:val="00046974"/>
    <w:rsid w:val="00047126"/>
    <w:rsid w:val="000532DD"/>
    <w:rsid w:val="00054838"/>
    <w:rsid w:val="00087A35"/>
    <w:rsid w:val="00090D51"/>
    <w:rsid w:val="0009251B"/>
    <w:rsid w:val="00092954"/>
    <w:rsid w:val="000A779C"/>
    <w:rsid w:val="000B0CC9"/>
    <w:rsid w:val="000B348A"/>
    <w:rsid w:val="000C407B"/>
    <w:rsid w:val="000E084A"/>
    <w:rsid w:val="00101A3E"/>
    <w:rsid w:val="00101DB5"/>
    <w:rsid w:val="00102445"/>
    <w:rsid w:val="001056B5"/>
    <w:rsid w:val="00106ABC"/>
    <w:rsid w:val="00107CC9"/>
    <w:rsid w:val="001178C8"/>
    <w:rsid w:val="00132BDB"/>
    <w:rsid w:val="001330A9"/>
    <w:rsid w:val="0014207D"/>
    <w:rsid w:val="00155C03"/>
    <w:rsid w:val="001572F8"/>
    <w:rsid w:val="00180867"/>
    <w:rsid w:val="0018143A"/>
    <w:rsid w:val="0019342B"/>
    <w:rsid w:val="00193A26"/>
    <w:rsid w:val="001A4257"/>
    <w:rsid w:val="001A6891"/>
    <w:rsid w:val="001A7D37"/>
    <w:rsid w:val="001D7222"/>
    <w:rsid w:val="001E16B1"/>
    <w:rsid w:val="001E3D29"/>
    <w:rsid w:val="001E59E6"/>
    <w:rsid w:val="001F6D8E"/>
    <w:rsid w:val="00214510"/>
    <w:rsid w:val="00221A9F"/>
    <w:rsid w:val="00230CA9"/>
    <w:rsid w:val="00233ABC"/>
    <w:rsid w:val="00233C2C"/>
    <w:rsid w:val="00241AFF"/>
    <w:rsid w:val="00242845"/>
    <w:rsid w:val="00251057"/>
    <w:rsid w:val="00252689"/>
    <w:rsid w:val="00254242"/>
    <w:rsid w:val="00254FDC"/>
    <w:rsid w:val="00257CEA"/>
    <w:rsid w:val="00264A1D"/>
    <w:rsid w:val="002A2623"/>
    <w:rsid w:val="002A3624"/>
    <w:rsid w:val="002C0875"/>
    <w:rsid w:val="002C200B"/>
    <w:rsid w:val="002D0CE1"/>
    <w:rsid w:val="002E2EEE"/>
    <w:rsid w:val="002F4D38"/>
    <w:rsid w:val="00300F8A"/>
    <w:rsid w:val="00301506"/>
    <w:rsid w:val="0030188C"/>
    <w:rsid w:val="00301B9C"/>
    <w:rsid w:val="003232DE"/>
    <w:rsid w:val="00333AD1"/>
    <w:rsid w:val="00341274"/>
    <w:rsid w:val="00342FBB"/>
    <w:rsid w:val="00357780"/>
    <w:rsid w:val="00357E1C"/>
    <w:rsid w:val="003646A5"/>
    <w:rsid w:val="003703F5"/>
    <w:rsid w:val="00374F07"/>
    <w:rsid w:val="003834F9"/>
    <w:rsid w:val="003A00F3"/>
    <w:rsid w:val="003A5FBB"/>
    <w:rsid w:val="003C757F"/>
    <w:rsid w:val="003D37F8"/>
    <w:rsid w:val="003E0072"/>
    <w:rsid w:val="003E24F7"/>
    <w:rsid w:val="003F09D3"/>
    <w:rsid w:val="003F4F4D"/>
    <w:rsid w:val="003F5A7B"/>
    <w:rsid w:val="0040045D"/>
    <w:rsid w:val="00423D19"/>
    <w:rsid w:val="00433D30"/>
    <w:rsid w:val="00454CFD"/>
    <w:rsid w:val="004601B4"/>
    <w:rsid w:val="00481CE4"/>
    <w:rsid w:val="00483664"/>
    <w:rsid w:val="00483C60"/>
    <w:rsid w:val="004A0380"/>
    <w:rsid w:val="004A2E35"/>
    <w:rsid w:val="004B7D20"/>
    <w:rsid w:val="004E3C53"/>
    <w:rsid w:val="004E5C93"/>
    <w:rsid w:val="004F060E"/>
    <w:rsid w:val="004F6A45"/>
    <w:rsid w:val="005024EB"/>
    <w:rsid w:val="00540D6B"/>
    <w:rsid w:val="00541EA0"/>
    <w:rsid w:val="00553D82"/>
    <w:rsid w:val="00556304"/>
    <w:rsid w:val="00571506"/>
    <w:rsid w:val="00571C87"/>
    <w:rsid w:val="00586CE7"/>
    <w:rsid w:val="00592334"/>
    <w:rsid w:val="005A1573"/>
    <w:rsid w:val="005A3273"/>
    <w:rsid w:val="005A5F28"/>
    <w:rsid w:val="005B43AE"/>
    <w:rsid w:val="005B524A"/>
    <w:rsid w:val="005B5521"/>
    <w:rsid w:val="005B727B"/>
    <w:rsid w:val="005C2BBA"/>
    <w:rsid w:val="005F3C81"/>
    <w:rsid w:val="00600CBA"/>
    <w:rsid w:val="00607A57"/>
    <w:rsid w:val="00621D85"/>
    <w:rsid w:val="00623CA9"/>
    <w:rsid w:val="00634359"/>
    <w:rsid w:val="006613D3"/>
    <w:rsid w:val="00685853"/>
    <w:rsid w:val="00696200"/>
    <w:rsid w:val="006C1E8B"/>
    <w:rsid w:val="006C73B2"/>
    <w:rsid w:val="006D2DED"/>
    <w:rsid w:val="006E1343"/>
    <w:rsid w:val="00733E2D"/>
    <w:rsid w:val="00750F4B"/>
    <w:rsid w:val="00771110"/>
    <w:rsid w:val="00780D6C"/>
    <w:rsid w:val="00782C19"/>
    <w:rsid w:val="00794A4D"/>
    <w:rsid w:val="007A1FDA"/>
    <w:rsid w:val="007A7E57"/>
    <w:rsid w:val="007B25BE"/>
    <w:rsid w:val="007C0078"/>
    <w:rsid w:val="007C6103"/>
    <w:rsid w:val="007D7D63"/>
    <w:rsid w:val="00806688"/>
    <w:rsid w:val="008130F4"/>
    <w:rsid w:val="00821349"/>
    <w:rsid w:val="00836BF9"/>
    <w:rsid w:val="00852031"/>
    <w:rsid w:val="008718B8"/>
    <w:rsid w:val="008828EA"/>
    <w:rsid w:val="00891F76"/>
    <w:rsid w:val="00892666"/>
    <w:rsid w:val="008A1C68"/>
    <w:rsid w:val="008A4F6E"/>
    <w:rsid w:val="008B090A"/>
    <w:rsid w:val="008E795A"/>
    <w:rsid w:val="008F19B3"/>
    <w:rsid w:val="008F7CF0"/>
    <w:rsid w:val="00911001"/>
    <w:rsid w:val="00914496"/>
    <w:rsid w:val="00916065"/>
    <w:rsid w:val="0091641E"/>
    <w:rsid w:val="00925593"/>
    <w:rsid w:val="00930DC6"/>
    <w:rsid w:val="00957B02"/>
    <w:rsid w:val="00964FF4"/>
    <w:rsid w:val="009726D3"/>
    <w:rsid w:val="00975FE2"/>
    <w:rsid w:val="0097678B"/>
    <w:rsid w:val="009767DF"/>
    <w:rsid w:val="00977258"/>
    <w:rsid w:val="00984E82"/>
    <w:rsid w:val="00987754"/>
    <w:rsid w:val="009A669C"/>
    <w:rsid w:val="009C61A4"/>
    <w:rsid w:val="009E361D"/>
    <w:rsid w:val="009E7EA4"/>
    <w:rsid w:val="00A50C55"/>
    <w:rsid w:val="00A66AC4"/>
    <w:rsid w:val="00A93E2F"/>
    <w:rsid w:val="00B028A1"/>
    <w:rsid w:val="00B125FF"/>
    <w:rsid w:val="00B27287"/>
    <w:rsid w:val="00B30041"/>
    <w:rsid w:val="00B30AC4"/>
    <w:rsid w:val="00B30EC9"/>
    <w:rsid w:val="00B5106F"/>
    <w:rsid w:val="00B51FEC"/>
    <w:rsid w:val="00B67830"/>
    <w:rsid w:val="00B70C62"/>
    <w:rsid w:val="00B7225B"/>
    <w:rsid w:val="00B744B0"/>
    <w:rsid w:val="00B8039E"/>
    <w:rsid w:val="00B860DF"/>
    <w:rsid w:val="00B92EC5"/>
    <w:rsid w:val="00BA24DA"/>
    <w:rsid w:val="00BC4A19"/>
    <w:rsid w:val="00BE53B2"/>
    <w:rsid w:val="00BE7535"/>
    <w:rsid w:val="00BF3560"/>
    <w:rsid w:val="00BF66B7"/>
    <w:rsid w:val="00C01D84"/>
    <w:rsid w:val="00C11E14"/>
    <w:rsid w:val="00C1439D"/>
    <w:rsid w:val="00C174E6"/>
    <w:rsid w:val="00C26C26"/>
    <w:rsid w:val="00C31496"/>
    <w:rsid w:val="00C31C0B"/>
    <w:rsid w:val="00C527F0"/>
    <w:rsid w:val="00C722FF"/>
    <w:rsid w:val="00C8017F"/>
    <w:rsid w:val="00C83A39"/>
    <w:rsid w:val="00C86901"/>
    <w:rsid w:val="00CA638E"/>
    <w:rsid w:val="00CB1DE5"/>
    <w:rsid w:val="00CB24F1"/>
    <w:rsid w:val="00CC47B2"/>
    <w:rsid w:val="00CE0884"/>
    <w:rsid w:val="00CE24DB"/>
    <w:rsid w:val="00CF2F62"/>
    <w:rsid w:val="00CF4E73"/>
    <w:rsid w:val="00D07832"/>
    <w:rsid w:val="00D12C78"/>
    <w:rsid w:val="00D410B1"/>
    <w:rsid w:val="00D53D2E"/>
    <w:rsid w:val="00D65487"/>
    <w:rsid w:val="00D715D4"/>
    <w:rsid w:val="00D733EE"/>
    <w:rsid w:val="00D73997"/>
    <w:rsid w:val="00D76A6B"/>
    <w:rsid w:val="00D956FA"/>
    <w:rsid w:val="00DA6293"/>
    <w:rsid w:val="00DC79E8"/>
    <w:rsid w:val="00DD6079"/>
    <w:rsid w:val="00DD6A45"/>
    <w:rsid w:val="00DE3D0B"/>
    <w:rsid w:val="00DF60A4"/>
    <w:rsid w:val="00E01F6D"/>
    <w:rsid w:val="00E1087B"/>
    <w:rsid w:val="00E256E0"/>
    <w:rsid w:val="00E54D31"/>
    <w:rsid w:val="00E57E23"/>
    <w:rsid w:val="00E63451"/>
    <w:rsid w:val="00E7142F"/>
    <w:rsid w:val="00E7230F"/>
    <w:rsid w:val="00E8303A"/>
    <w:rsid w:val="00E86454"/>
    <w:rsid w:val="00E939F6"/>
    <w:rsid w:val="00EF08DF"/>
    <w:rsid w:val="00EF2E9E"/>
    <w:rsid w:val="00EF3BF6"/>
    <w:rsid w:val="00F16138"/>
    <w:rsid w:val="00F44EF2"/>
    <w:rsid w:val="00F45555"/>
    <w:rsid w:val="00F527ED"/>
    <w:rsid w:val="00F567DA"/>
    <w:rsid w:val="00F62DC7"/>
    <w:rsid w:val="00F6314D"/>
    <w:rsid w:val="00F64C24"/>
    <w:rsid w:val="00F66DD2"/>
    <w:rsid w:val="00F71F2E"/>
    <w:rsid w:val="00F730F9"/>
    <w:rsid w:val="00F73DD7"/>
    <w:rsid w:val="00F866C6"/>
    <w:rsid w:val="00F90B98"/>
    <w:rsid w:val="00FD263D"/>
    <w:rsid w:val="00FE1550"/>
    <w:rsid w:val="00FE465F"/>
    <w:rsid w:val="00FF614B"/>
    <w:rsid w:val="00FF78F1"/>
    <w:rsid w:val="51BF521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E5B8D"/>
  <w15:chartTrackingRefBased/>
  <w15:docId w15:val="{0E06CFE4-CB1F-4EC1-B578-FB70C5AE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
    <w:qFormat/>
    <w:rsid w:val="00CE24DB"/>
    <w:pPr>
      <w:tabs>
        <w:tab w:val="left" w:pos="284"/>
      </w:tabs>
      <w:spacing w:before="60" w:after="200" w:line="260" w:lineRule="exact"/>
    </w:pPr>
    <w:rPr>
      <w:rFonts w:ascii="Franklin Gothic Book" w:eastAsiaTheme="minorEastAsia" w:hAnsi="Franklin Gothic Book"/>
      <w:sz w:val="20"/>
      <w:szCs w:val="20"/>
      <w:lang w:val="en-US"/>
    </w:rPr>
  </w:style>
  <w:style w:type="paragraph" w:styleId="Heading1">
    <w:name w:val="heading 1"/>
    <w:link w:val="Heading1Char"/>
    <w:uiPriority w:val="9"/>
    <w:qFormat/>
    <w:rsid w:val="00F16138"/>
    <w:pPr>
      <w:keepNext/>
      <w:keepLines/>
      <w:spacing w:before="600" w:after="200" w:line="500" w:lineRule="exact"/>
      <w:contextualSpacing/>
      <w:outlineLvl w:val="0"/>
    </w:pPr>
    <w:rPr>
      <w:rFonts w:ascii="Futura Std Book" w:eastAsiaTheme="majorEastAsia" w:hAnsi="Futura Std Book" w:cstheme="majorBidi"/>
      <w:b/>
      <w:bCs/>
      <w:caps/>
      <w:color w:val="005892"/>
      <w:sz w:val="50"/>
      <w:szCs w:val="32"/>
      <w:lang w:val="en-US"/>
    </w:rPr>
  </w:style>
  <w:style w:type="paragraph" w:styleId="Heading2">
    <w:name w:val="heading 2"/>
    <w:basedOn w:val="Normal"/>
    <w:next w:val="Normal"/>
    <w:link w:val="Heading2Char"/>
    <w:uiPriority w:val="9"/>
    <w:unhideWhenUsed/>
    <w:qFormat/>
    <w:rsid w:val="009767DF"/>
    <w:pPr>
      <w:keepNext/>
      <w:keepLines/>
      <w:spacing w:before="360" w:after="60" w:line="460" w:lineRule="exact"/>
      <w:outlineLvl w:val="1"/>
    </w:pPr>
    <w:rPr>
      <w:rFonts w:eastAsiaTheme="majorEastAsia" w:cstheme="majorBidi"/>
      <w:color w:val="66A8D8"/>
      <w:sz w:val="40"/>
      <w:szCs w:val="26"/>
    </w:rPr>
  </w:style>
  <w:style w:type="paragraph" w:styleId="Heading3">
    <w:name w:val="heading 3"/>
    <w:basedOn w:val="Normal"/>
    <w:next w:val="Normal"/>
    <w:link w:val="Heading3Char"/>
    <w:uiPriority w:val="9"/>
    <w:unhideWhenUsed/>
    <w:qFormat/>
    <w:rsid w:val="009767DF"/>
    <w:pPr>
      <w:keepNext/>
      <w:keepLines/>
      <w:spacing w:before="120" w:after="40" w:line="300" w:lineRule="exact"/>
      <w:outlineLvl w:val="2"/>
    </w:pPr>
    <w:rPr>
      <w:rFonts w:ascii="Franklin Gothic Demi" w:eastAsiaTheme="majorEastAsia" w:hAnsi="Franklin Gothic Demi" w:cstheme="majorBidi"/>
      <w:b/>
      <w:color w:val="005892"/>
      <w:sz w:val="24"/>
      <w:szCs w:val="24"/>
    </w:rPr>
  </w:style>
  <w:style w:type="paragraph" w:styleId="Heading4">
    <w:name w:val="heading 4"/>
    <w:basedOn w:val="Normal"/>
    <w:next w:val="Normal"/>
    <w:link w:val="Heading4Char"/>
    <w:uiPriority w:val="9"/>
    <w:unhideWhenUsed/>
    <w:qFormat/>
    <w:rsid w:val="00EF2E9E"/>
    <w:pPr>
      <w:keepNext/>
      <w:keepLines/>
      <w:spacing w:after="20"/>
      <w:outlineLvl w:val="3"/>
    </w:pPr>
    <w:rPr>
      <w:rFonts w:ascii="Franklin Gothic Demi" w:eastAsiaTheme="majorEastAsia" w:hAnsi="Franklin Gothic Dem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A3E"/>
    <w:pPr>
      <w:tabs>
        <w:tab w:val="center" w:pos="4513"/>
        <w:tab w:val="right" w:pos="9026"/>
      </w:tabs>
    </w:pPr>
  </w:style>
  <w:style w:type="character" w:customStyle="1" w:styleId="HeaderChar">
    <w:name w:val="Header Char"/>
    <w:basedOn w:val="DefaultParagraphFont"/>
    <w:link w:val="Header"/>
    <w:uiPriority w:val="99"/>
    <w:rsid w:val="00101A3E"/>
  </w:style>
  <w:style w:type="paragraph" w:styleId="Footer">
    <w:name w:val="footer"/>
    <w:basedOn w:val="Normal"/>
    <w:link w:val="FooterChar"/>
    <w:uiPriority w:val="99"/>
    <w:unhideWhenUsed/>
    <w:rsid w:val="00101A3E"/>
    <w:pPr>
      <w:tabs>
        <w:tab w:val="center" w:pos="4513"/>
        <w:tab w:val="right" w:pos="9026"/>
      </w:tabs>
    </w:pPr>
  </w:style>
  <w:style w:type="character" w:customStyle="1" w:styleId="FooterChar">
    <w:name w:val="Footer Char"/>
    <w:basedOn w:val="DefaultParagraphFont"/>
    <w:link w:val="Footer"/>
    <w:uiPriority w:val="99"/>
    <w:rsid w:val="00101A3E"/>
  </w:style>
  <w:style w:type="paragraph" w:customStyle="1" w:styleId="NoParagraphStyle">
    <w:name w:val="[No Paragraph Style]"/>
    <w:rsid w:val="00101A3E"/>
    <w:pPr>
      <w:autoSpaceDE w:val="0"/>
      <w:autoSpaceDN w:val="0"/>
      <w:adjustRightInd w:val="0"/>
      <w:spacing w:line="288" w:lineRule="auto"/>
      <w:textAlignment w:val="center"/>
    </w:pPr>
    <w:rPr>
      <w:rFonts w:ascii="MinionPro-Regular" w:eastAsiaTheme="minorEastAsia" w:hAnsi="MinionPro-Regular" w:cs="MinionPro-Regular"/>
      <w:color w:val="000000"/>
      <w:lang w:val="en-GB"/>
    </w:rPr>
  </w:style>
  <w:style w:type="character" w:styleId="PageNumber">
    <w:name w:val="page number"/>
    <w:basedOn w:val="DefaultParagraphFont"/>
    <w:uiPriority w:val="99"/>
    <w:semiHidden/>
    <w:unhideWhenUsed/>
    <w:rsid w:val="00101A3E"/>
  </w:style>
  <w:style w:type="character" w:customStyle="1" w:styleId="Heading1Char">
    <w:name w:val="Heading 1 Char"/>
    <w:basedOn w:val="DefaultParagraphFont"/>
    <w:link w:val="Heading1"/>
    <w:uiPriority w:val="9"/>
    <w:rsid w:val="00F16138"/>
    <w:rPr>
      <w:rFonts w:ascii="Futura Std Book" w:eastAsiaTheme="majorEastAsia" w:hAnsi="Futura Std Book" w:cstheme="majorBidi"/>
      <w:b/>
      <w:bCs/>
      <w:caps/>
      <w:color w:val="005892"/>
      <w:sz w:val="50"/>
      <w:szCs w:val="32"/>
      <w:lang w:val="en-US"/>
    </w:rPr>
  </w:style>
  <w:style w:type="character" w:customStyle="1" w:styleId="Heading2Char">
    <w:name w:val="Heading 2 Char"/>
    <w:basedOn w:val="DefaultParagraphFont"/>
    <w:link w:val="Heading2"/>
    <w:uiPriority w:val="9"/>
    <w:rsid w:val="009767DF"/>
    <w:rPr>
      <w:rFonts w:ascii="Franklin Gothic Book" w:eastAsiaTheme="majorEastAsia" w:hAnsi="Franklin Gothic Book" w:cstheme="majorBidi"/>
      <w:color w:val="66A8D8"/>
      <w:sz w:val="40"/>
      <w:szCs w:val="26"/>
      <w:lang w:val="en-US"/>
    </w:rPr>
  </w:style>
  <w:style w:type="paragraph" w:customStyle="1" w:styleId="Bullets">
    <w:name w:val="Bullets"/>
    <w:basedOn w:val="Normal"/>
    <w:qFormat/>
    <w:rsid w:val="00047126"/>
    <w:pPr>
      <w:numPr>
        <w:numId w:val="1"/>
      </w:numPr>
      <w:spacing w:after="60"/>
      <w:ind w:left="284" w:hanging="284"/>
    </w:pPr>
  </w:style>
  <w:style w:type="character" w:customStyle="1" w:styleId="FGDemi">
    <w:name w:val="FG Demi"/>
    <w:uiPriority w:val="99"/>
    <w:rsid w:val="00101A3E"/>
    <w:rPr>
      <w:rFonts w:ascii="FranklinGothicURWDem" w:hAnsi="FranklinGothicURWDem" w:cs="FranklinGothicURWDem"/>
    </w:rPr>
  </w:style>
  <w:style w:type="paragraph" w:customStyle="1" w:styleId="TableParagraph">
    <w:name w:val="Table Paragraph"/>
    <w:basedOn w:val="Normal"/>
    <w:uiPriority w:val="1"/>
    <w:rsid w:val="00101A3E"/>
    <w:pPr>
      <w:widowControl w:val="0"/>
      <w:autoSpaceDE w:val="0"/>
      <w:autoSpaceDN w:val="0"/>
      <w:spacing w:before="0" w:after="0"/>
    </w:pPr>
    <w:rPr>
      <w:rFonts w:ascii="FranklinGothic URW" w:eastAsia="FranklinGothic URW" w:hAnsi="FranklinGothic URW" w:cs="FranklinGothic URW"/>
      <w:sz w:val="22"/>
      <w:szCs w:val="22"/>
    </w:rPr>
  </w:style>
  <w:style w:type="paragraph" w:customStyle="1" w:styleId="Pullout">
    <w:name w:val="Pull out"/>
    <w:basedOn w:val="Normal"/>
    <w:qFormat/>
    <w:rsid w:val="00CF4E73"/>
    <w:pPr>
      <w:autoSpaceDE w:val="0"/>
      <w:autoSpaceDN w:val="0"/>
      <w:adjustRightInd w:val="0"/>
      <w:spacing w:before="120" w:after="120" w:line="300" w:lineRule="exact"/>
    </w:pPr>
    <w:rPr>
      <w:rFonts w:ascii="Futura Std Book" w:hAnsi="Futura Std Book" w:cs="Times New Roman"/>
      <w:iCs/>
      <w:color w:val="67A9D9"/>
      <w:sz w:val="24"/>
      <w:lang w:val="en-GB"/>
    </w:rPr>
  </w:style>
  <w:style w:type="character" w:styleId="Hyperlink">
    <w:name w:val="Hyperlink"/>
    <w:basedOn w:val="DefaultParagraphFont"/>
    <w:uiPriority w:val="99"/>
    <w:unhideWhenUsed/>
    <w:rsid w:val="00101A3E"/>
    <w:rPr>
      <w:color w:val="0563C1" w:themeColor="hyperlink"/>
      <w:u w:val="single"/>
    </w:rPr>
  </w:style>
  <w:style w:type="paragraph" w:customStyle="1" w:styleId="Tableheader1">
    <w:name w:val="Table header 1"/>
    <w:basedOn w:val="NoParagraphStyle"/>
    <w:uiPriority w:val="99"/>
    <w:qFormat/>
    <w:rsid w:val="009767DF"/>
    <w:pPr>
      <w:keepNext/>
      <w:suppressAutoHyphens/>
      <w:spacing w:before="120" w:after="120" w:line="200" w:lineRule="atLeast"/>
      <w:jc w:val="center"/>
    </w:pPr>
    <w:rPr>
      <w:rFonts w:ascii="Futura Std Book" w:hAnsi="Futura Std Book" w:cs="Futura PT Bold"/>
      <w:b/>
      <w:bCs/>
      <w:caps/>
      <w:color w:val="FFFFFF"/>
      <w:sz w:val="20"/>
      <w:szCs w:val="20"/>
      <w:lang w:val="en-AU"/>
    </w:rPr>
  </w:style>
  <w:style w:type="paragraph" w:customStyle="1" w:styleId="Tableheader2">
    <w:name w:val="Table header 2"/>
    <w:basedOn w:val="NoParagraphStyle"/>
    <w:uiPriority w:val="99"/>
    <w:qFormat/>
    <w:rsid w:val="009767DF"/>
    <w:pPr>
      <w:keepNext/>
      <w:suppressAutoHyphens/>
      <w:spacing w:before="120" w:after="120" w:line="200" w:lineRule="atLeast"/>
      <w:jc w:val="center"/>
    </w:pPr>
    <w:rPr>
      <w:rFonts w:ascii="Franklin Gothic Book" w:hAnsi="Franklin Gothic Book" w:cs="FranklinGothicURWLig"/>
      <w:b/>
      <w:color w:val="FFFFFF"/>
      <w:sz w:val="18"/>
      <w:szCs w:val="18"/>
      <w:lang w:val="en-AU"/>
    </w:rPr>
  </w:style>
  <w:style w:type="paragraph" w:customStyle="1" w:styleId="Tablebody1">
    <w:name w:val="Table body 1"/>
    <w:basedOn w:val="NoParagraphStyle"/>
    <w:uiPriority w:val="99"/>
    <w:qFormat/>
    <w:rsid w:val="009767DF"/>
    <w:pPr>
      <w:tabs>
        <w:tab w:val="left" w:pos="454"/>
      </w:tabs>
      <w:suppressAutoHyphens/>
      <w:spacing w:before="120" w:after="120" w:line="220" w:lineRule="atLeast"/>
      <w:jc w:val="center"/>
    </w:pPr>
    <w:rPr>
      <w:rFonts w:ascii="Franklin Gothic Book" w:hAnsi="Franklin Gothic Book" w:cs="FranklinGothicURWBoo"/>
      <w:sz w:val="18"/>
      <w:szCs w:val="18"/>
    </w:rPr>
  </w:style>
  <w:style w:type="paragraph" w:customStyle="1" w:styleId="BodyCopy2">
    <w:name w:val="Body Copy 2"/>
    <w:basedOn w:val="Normal"/>
    <w:qFormat/>
    <w:rsid w:val="00957B02"/>
    <w:pPr>
      <w:spacing w:line="380" w:lineRule="exact"/>
    </w:pPr>
    <w:rPr>
      <w:color w:val="005892"/>
      <w:sz w:val="32"/>
    </w:rPr>
  </w:style>
  <w:style w:type="character" w:customStyle="1" w:styleId="Website">
    <w:name w:val="Website"/>
    <w:uiPriority w:val="99"/>
    <w:rsid w:val="008828EA"/>
    <w:rPr>
      <w:rFonts w:ascii="FranklinGothicURWDem" w:hAnsi="FranklinGothicURWDem" w:cs="FranklinGothicURWDem"/>
      <w:caps/>
      <w:color w:val="66A8D8"/>
    </w:rPr>
  </w:style>
  <w:style w:type="table" w:styleId="TableGrid">
    <w:name w:val="Table Grid"/>
    <w:basedOn w:val="TableNormal"/>
    <w:uiPriority w:val="59"/>
    <w:rsid w:val="008828EA"/>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2">
    <w:name w:val="Table body 2"/>
    <w:basedOn w:val="Tablebody1"/>
    <w:rsid w:val="008828EA"/>
    <w:pPr>
      <w:spacing w:before="60" w:after="60"/>
      <w:jc w:val="left"/>
    </w:pPr>
    <w:rPr>
      <w:sz w:val="16"/>
      <w:lang w:eastAsia="en-GB"/>
    </w:rPr>
  </w:style>
  <w:style w:type="paragraph" w:customStyle="1" w:styleId="TableHeader3">
    <w:name w:val="Table Header 3"/>
    <w:basedOn w:val="Tableheader2"/>
    <w:uiPriority w:val="99"/>
    <w:rsid w:val="008828EA"/>
    <w:pPr>
      <w:jc w:val="left"/>
    </w:pPr>
    <w:rPr>
      <w:color w:val="000000" w:themeColor="text1"/>
    </w:rPr>
  </w:style>
  <w:style w:type="paragraph" w:customStyle="1" w:styleId="Bulletpoints1">
    <w:name w:val="Bullet points 1"/>
    <w:basedOn w:val="Normal"/>
    <w:uiPriority w:val="99"/>
    <w:rsid w:val="008828EA"/>
    <w:pPr>
      <w:tabs>
        <w:tab w:val="clear" w:pos="284"/>
      </w:tabs>
      <w:suppressAutoHyphens/>
      <w:autoSpaceDE w:val="0"/>
      <w:autoSpaceDN w:val="0"/>
      <w:adjustRightInd w:val="0"/>
      <w:spacing w:before="57" w:after="57" w:line="260" w:lineRule="atLeast"/>
      <w:ind w:left="283" w:hanging="283"/>
      <w:textAlignment w:val="center"/>
    </w:pPr>
    <w:rPr>
      <w:rFonts w:ascii="FranklinGothicURWBoo" w:hAnsi="FranklinGothicURWBoo" w:cs="FranklinGothicURWBoo"/>
      <w:color w:val="000000"/>
      <w:lang w:val="en-GB"/>
    </w:rPr>
  </w:style>
  <w:style w:type="paragraph" w:customStyle="1" w:styleId="Tableheader2b">
    <w:name w:val="Table header 2b"/>
    <w:basedOn w:val="Tableheader2"/>
    <w:rsid w:val="008828EA"/>
  </w:style>
  <w:style w:type="character" w:customStyle="1" w:styleId="Heading3Char">
    <w:name w:val="Heading 3 Char"/>
    <w:basedOn w:val="DefaultParagraphFont"/>
    <w:link w:val="Heading3"/>
    <w:uiPriority w:val="9"/>
    <w:rsid w:val="009767DF"/>
    <w:rPr>
      <w:rFonts w:ascii="Franklin Gothic Demi" w:eastAsiaTheme="majorEastAsia" w:hAnsi="Franklin Gothic Demi" w:cstheme="majorBidi"/>
      <w:b/>
      <w:color w:val="005892"/>
      <w:lang w:val="en-US"/>
    </w:rPr>
  </w:style>
  <w:style w:type="paragraph" w:styleId="TOC1">
    <w:name w:val="toc 1"/>
    <w:basedOn w:val="Normal"/>
    <w:next w:val="Normal"/>
    <w:autoRedefine/>
    <w:uiPriority w:val="39"/>
    <w:unhideWhenUsed/>
    <w:rsid w:val="00E86454"/>
    <w:pPr>
      <w:tabs>
        <w:tab w:val="clear" w:pos="284"/>
      </w:tabs>
      <w:spacing w:before="120" w:after="120" w:line="300" w:lineRule="exact"/>
    </w:pPr>
    <w:rPr>
      <w:rFonts w:ascii="FranklinGothicURWBoo" w:hAnsi="FranklinGothicURWBoo" w:cstheme="minorHAnsi"/>
      <w:bCs/>
      <w:caps/>
      <w:color w:val="005892"/>
      <w:sz w:val="24"/>
    </w:rPr>
  </w:style>
  <w:style w:type="paragraph" w:styleId="TOC2">
    <w:name w:val="toc 2"/>
    <w:basedOn w:val="Normal"/>
    <w:next w:val="Normal"/>
    <w:autoRedefine/>
    <w:uiPriority w:val="39"/>
    <w:unhideWhenUsed/>
    <w:rsid w:val="00027324"/>
    <w:pPr>
      <w:tabs>
        <w:tab w:val="clear" w:pos="284"/>
      </w:tabs>
      <w:spacing w:before="0" w:after="0"/>
      <w:ind w:left="200"/>
    </w:pPr>
    <w:rPr>
      <w:rFonts w:asciiTheme="minorHAnsi" w:hAnsiTheme="minorHAnsi" w:cstheme="minorHAnsi"/>
      <w:smallCaps/>
    </w:rPr>
  </w:style>
  <w:style w:type="paragraph" w:styleId="TOC3">
    <w:name w:val="toc 3"/>
    <w:basedOn w:val="Normal"/>
    <w:next w:val="Normal"/>
    <w:autoRedefine/>
    <w:uiPriority w:val="39"/>
    <w:unhideWhenUsed/>
    <w:rsid w:val="00027324"/>
    <w:pPr>
      <w:tabs>
        <w:tab w:val="clear" w:pos="284"/>
      </w:tabs>
      <w:spacing w:before="0" w:after="0"/>
      <w:ind w:left="400"/>
    </w:pPr>
    <w:rPr>
      <w:rFonts w:asciiTheme="minorHAnsi" w:hAnsiTheme="minorHAnsi" w:cstheme="minorHAnsi"/>
      <w:i/>
      <w:iCs/>
    </w:rPr>
  </w:style>
  <w:style w:type="paragraph" w:styleId="TOC4">
    <w:name w:val="toc 4"/>
    <w:basedOn w:val="Normal"/>
    <w:next w:val="Normal"/>
    <w:autoRedefine/>
    <w:uiPriority w:val="39"/>
    <w:unhideWhenUsed/>
    <w:rsid w:val="00027324"/>
    <w:pPr>
      <w:tabs>
        <w:tab w:val="clear" w:pos="284"/>
      </w:tabs>
      <w:spacing w:before="0" w:after="0"/>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027324"/>
    <w:pPr>
      <w:tabs>
        <w:tab w:val="clear" w:pos="284"/>
      </w:tabs>
      <w:spacing w:before="0" w:after="0"/>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027324"/>
    <w:pPr>
      <w:tabs>
        <w:tab w:val="clear" w:pos="284"/>
      </w:tabs>
      <w:spacing w:before="0" w:after="0"/>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027324"/>
    <w:pPr>
      <w:tabs>
        <w:tab w:val="clear" w:pos="284"/>
      </w:tabs>
      <w:spacing w:before="0" w:after="0"/>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027324"/>
    <w:pPr>
      <w:tabs>
        <w:tab w:val="clear" w:pos="284"/>
      </w:tabs>
      <w:spacing w:before="0" w:after="0"/>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027324"/>
    <w:pPr>
      <w:tabs>
        <w:tab w:val="clear" w:pos="284"/>
      </w:tabs>
      <w:spacing w:before="0" w:after="0"/>
      <w:ind w:left="1600"/>
    </w:pPr>
    <w:rPr>
      <w:rFonts w:asciiTheme="minorHAnsi" w:hAnsiTheme="minorHAnsi" w:cstheme="minorHAnsi"/>
      <w:sz w:val="18"/>
      <w:szCs w:val="18"/>
    </w:rPr>
  </w:style>
  <w:style w:type="paragraph" w:customStyle="1" w:styleId="TableofContents">
    <w:name w:val="Table of Contents"/>
    <w:basedOn w:val="TOC1"/>
    <w:qFormat/>
    <w:rsid w:val="00F16138"/>
    <w:pPr>
      <w:tabs>
        <w:tab w:val="right" w:leader="dot" w:pos="9016"/>
      </w:tabs>
    </w:pPr>
    <w:rPr>
      <w:rFonts w:ascii="Franklin Gothic Book" w:hAnsi="Franklin Gothic Book"/>
      <w:noProof/>
    </w:rPr>
  </w:style>
  <w:style w:type="character" w:customStyle="1" w:styleId="Heading4Char">
    <w:name w:val="Heading 4 Char"/>
    <w:basedOn w:val="DefaultParagraphFont"/>
    <w:link w:val="Heading4"/>
    <w:uiPriority w:val="9"/>
    <w:rsid w:val="00EF2E9E"/>
    <w:rPr>
      <w:rFonts w:ascii="Franklin Gothic Demi" w:eastAsiaTheme="majorEastAsia" w:hAnsi="Franklin Gothic Demi" w:cstheme="majorBidi"/>
      <w:b/>
      <w:iCs/>
      <w:sz w:val="20"/>
      <w:szCs w:val="20"/>
      <w:lang w:val="en-US"/>
    </w:rPr>
  </w:style>
  <w:style w:type="paragraph" w:customStyle="1" w:styleId="NumberedBullets">
    <w:name w:val="Numbered Bullets"/>
    <w:basedOn w:val="Normal"/>
    <w:qFormat/>
    <w:rsid w:val="00047126"/>
    <w:pPr>
      <w:numPr>
        <w:numId w:val="3"/>
      </w:numPr>
      <w:tabs>
        <w:tab w:val="clear" w:pos="284"/>
      </w:tabs>
      <w:spacing w:after="60"/>
      <w:ind w:left="284" w:hanging="284"/>
      <w:contextualSpacing/>
    </w:pPr>
  </w:style>
  <w:style w:type="paragraph" w:customStyle="1" w:styleId="BulletIndents">
    <w:name w:val="Bullet Indents"/>
    <w:basedOn w:val="Normal"/>
    <w:qFormat/>
    <w:rsid w:val="00047126"/>
    <w:pPr>
      <w:numPr>
        <w:numId w:val="2"/>
      </w:numPr>
      <w:tabs>
        <w:tab w:val="clear" w:pos="284"/>
      </w:tabs>
      <w:spacing w:after="60"/>
      <w:ind w:left="568" w:hanging="284"/>
      <w:contextualSpacing/>
    </w:pPr>
  </w:style>
  <w:style w:type="paragraph" w:styleId="FootnoteText">
    <w:name w:val="footnote text"/>
    <w:basedOn w:val="Normal"/>
    <w:link w:val="FootnoteTextChar"/>
    <w:uiPriority w:val="99"/>
    <w:semiHidden/>
    <w:unhideWhenUsed/>
    <w:rsid w:val="00D65487"/>
    <w:pPr>
      <w:spacing w:before="0" w:after="0" w:line="240" w:lineRule="auto"/>
    </w:pPr>
  </w:style>
  <w:style w:type="character" w:customStyle="1" w:styleId="FootnoteTextChar">
    <w:name w:val="Footnote Text Char"/>
    <w:basedOn w:val="DefaultParagraphFont"/>
    <w:link w:val="FootnoteText"/>
    <w:uiPriority w:val="99"/>
    <w:semiHidden/>
    <w:rsid w:val="00D65487"/>
    <w:rPr>
      <w:rFonts w:ascii="Franklin Gothic Book" w:eastAsiaTheme="minorEastAsia" w:hAnsi="Franklin Gothic Book"/>
      <w:sz w:val="20"/>
      <w:szCs w:val="20"/>
      <w:lang w:val="en-US"/>
    </w:rPr>
  </w:style>
  <w:style w:type="character" w:styleId="FootnoteReference">
    <w:name w:val="footnote reference"/>
    <w:basedOn w:val="DefaultParagraphFont"/>
    <w:uiPriority w:val="99"/>
    <w:semiHidden/>
    <w:unhideWhenUsed/>
    <w:rsid w:val="00D65487"/>
    <w:rPr>
      <w:vertAlign w:val="superscript"/>
    </w:rPr>
  </w:style>
  <w:style w:type="character" w:styleId="UnresolvedMention">
    <w:name w:val="Unresolved Mention"/>
    <w:basedOn w:val="DefaultParagraphFont"/>
    <w:uiPriority w:val="99"/>
    <w:semiHidden/>
    <w:unhideWhenUsed/>
    <w:rsid w:val="00C86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data.act.gov.au/Education/Census-Data-for-all-ACT-Schools/8mi2-3658/about_data" TargetMode="External"/><Relationship Id="rId1" Type="http://schemas.openxmlformats.org/officeDocument/2006/relationships/hyperlink" Target="https://www.education.gov.au/school-funding/resources/capital-grants-program-2022-approved-proje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lcf76f155ced4ddcb4097134ff3c332f xmlns="3d385984-9344-419b-a80b-49c06a2bdab8">
      <Terms xmlns="http://schemas.microsoft.com/office/infopath/2007/PartnerControls"/>
    </lcf76f155ced4ddcb4097134ff3c332f>
    <SharedWithUsers xmlns="20393cdf-440a-4521-8f19-00ba43423d00">
      <UserInfo>
        <DisplayName>Justin Garrick</DisplayName>
        <AccountId>133</AccountId>
        <AccountType/>
      </UserInfo>
    </SharedWithUsers>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6cd7b42bb7d88a22ff522f53618adf4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9c198b4950899feb4374c929e40dc3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AF690-AE97-4D50-B77F-400CD18FEF66}">
  <ds:schemaRefs>
    <ds:schemaRef ds:uri="http://schemas.microsoft.com/office/2006/metadata/properties"/>
    <ds:schemaRef ds:uri="http://purl.org/dc/dcmitype/"/>
    <ds:schemaRef ds:uri="3d385984-9344-419b-a80b-49c06a2bdab8"/>
    <ds:schemaRef ds:uri="http://purl.org/dc/terms/"/>
    <ds:schemaRef ds:uri="http://www.w3.org/XML/1998/namespace"/>
    <ds:schemaRef ds:uri="20393cdf-440a-4521-8f19-00ba43423d00"/>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2C580B8-0E9B-4ABE-BBEC-B257DE060D1C}">
  <ds:schemaRefs>
    <ds:schemaRef ds:uri="http://schemas.microsoft.com/sharepoint/events"/>
  </ds:schemaRefs>
</ds:datastoreItem>
</file>

<file path=customXml/itemProps3.xml><?xml version="1.0" encoding="utf-8"?>
<ds:datastoreItem xmlns:ds="http://schemas.openxmlformats.org/officeDocument/2006/customXml" ds:itemID="{42C5DE23-C45D-4F74-B01B-5E0847364B57}">
  <ds:schemaRefs>
    <ds:schemaRef ds:uri="http://schemas.microsoft.com/sharepoint/v3/contenttype/forms"/>
  </ds:schemaRefs>
</ds:datastoreItem>
</file>

<file path=customXml/itemProps4.xml><?xml version="1.0" encoding="utf-8"?>
<ds:datastoreItem xmlns:ds="http://schemas.openxmlformats.org/officeDocument/2006/customXml" ds:itemID="{53469993-F59D-43F0-AD87-113954A07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DB74A2-CB0E-5B4F-BE28-9DCB960A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Submission 612 - Canberra Grammar School / Canberra Grammar School Foundation - Philanthropy - Public inquiry</vt:lpstr>
    </vt:vector>
  </TitlesOfParts>
  <Company>Canberra Grammar School / Canberra Grammar School Foundation</Company>
  <LinksUpToDate>false</LinksUpToDate>
  <CharactersWithSpaces>9405</CharactersWithSpaces>
  <SharedDoc>false</SharedDoc>
  <HLinks>
    <vt:vector size="12" baseType="variant">
      <vt:variant>
        <vt:i4>5570615</vt:i4>
      </vt:variant>
      <vt:variant>
        <vt:i4>3</vt:i4>
      </vt:variant>
      <vt:variant>
        <vt:i4>0</vt:i4>
      </vt:variant>
      <vt:variant>
        <vt:i4>5</vt:i4>
      </vt:variant>
      <vt:variant>
        <vt:lpwstr>https://www.data.act.gov.au/Education/Census-Data-for-all-ACT-Schools/8mi2-3658/about_data</vt:lpwstr>
      </vt:variant>
      <vt:variant>
        <vt:lpwstr/>
      </vt:variant>
      <vt:variant>
        <vt:i4>7143465</vt:i4>
      </vt:variant>
      <vt:variant>
        <vt:i4>0</vt:i4>
      </vt:variant>
      <vt:variant>
        <vt:i4>0</vt:i4>
      </vt:variant>
      <vt:variant>
        <vt:i4>5</vt:i4>
      </vt:variant>
      <vt:variant>
        <vt:lpwstr>https://www.education.gov.au/school-funding/resources/capital-grants-program-2022-approved-projects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612 - Canberra Grammar School / Canberra Grammar School Foundation - Philanthropy - Public inquiry</dc:title>
  <dc:subject/>
  <dc:creator>Canberra Grammar School / Canberra Grammar School Foundation</dc:creator>
  <cp:keywords/>
  <dc:description/>
  <cp:lastModifiedBy>Chris Alston</cp:lastModifiedBy>
  <cp:revision>120</cp:revision>
  <dcterms:created xsi:type="dcterms:W3CDTF">2024-02-09T20:51:00Z</dcterms:created>
  <dcterms:modified xsi:type="dcterms:W3CDTF">2024-02-28T04:11:00Z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30d9e911404513f10eae0c0ca131d0f37f3f86d03697517fe6bf8149199ecceb</vt:lpwstr>
  </property>
  <property fmtid="{D5CDD505-2E9C-101B-9397-08002B2CF9AE}" pid="3" name="MediaServiceImageTags">
    <vt:lpwstr/>
  </property>
  <property fmtid="{D5CDD505-2E9C-101B-9397-08002B2CF9AE}" pid="4" name="ContentTypeId">
    <vt:lpwstr>0x010100701643EB437E814B9F804656CD4347FE</vt:lpwstr>
  </property>
  <property fmtid="{D5CDD505-2E9C-101B-9397-08002B2CF9AE}" pid="5" name="RevIMBCS">
    <vt:lpwstr>1;#Unclassified|3955eeb1-2d18-4582-aeb2-00144ec3aaf5</vt:lpwstr>
  </property>
  <property fmtid="{D5CDD505-2E9C-101B-9397-08002B2CF9AE}" pid="6" name="MSIP_Label_c1f2b1ce-4212-46db-a901-dd8453f57141_Enabled">
    <vt:lpwstr>true</vt:lpwstr>
  </property>
  <property fmtid="{D5CDD505-2E9C-101B-9397-08002B2CF9AE}" pid="7" name="MSIP_Label_c1f2b1ce-4212-46db-a901-dd8453f57141_SetDate">
    <vt:lpwstr>2024-02-28T04:11:05Z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a3ff08cb-cc06-45ad-85b9-8229b6a5c0a9</vt:lpwstr>
  </property>
  <property fmtid="{D5CDD505-2E9C-101B-9397-08002B2CF9AE}" pid="12" name="MSIP_Label_c1f2b1ce-4212-46db-a901-dd8453f57141_ContentBits">
    <vt:lpwstr>0</vt:lpwstr>
  </property>
</Properties>
</file>