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F3308" w14:textId="77777777" w:rsidR="00AF6851" w:rsidRDefault="00AF6851" w:rsidP="00FE1393"/>
    <w:p w14:paraId="61A09EE2" w14:textId="77777777" w:rsidR="00962FFA" w:rsidRDefault="00962FFA" w:rsidP="00FE1393"/>
    <w:p w14:paraId="5E647218" w14:textId="57B5A88B" w:rsidR="00E375DD" w:rsidRPr="00F05672" w:rsidRDefault="006C6A2C" w:rsidP="00E375DD">
      <w:pPr>
        <w:pBdr>
          <w:top w:val="single" w:sz="4" w:space="0" w:color="auto"/>
          <w:left w:val="single" w:sz="4" w:space="4" w:color="auto"/>
          <w:bottom w:val="single" w:sz="4" w:space="1" w:color="auto"/>
          <w:right w:val="single" w:sz="4" w:space="4" w:color="auto"/>
        </w:pBdr>
        <w:shd w:val="clear" w:color="auto" w:fill="006A51"/>
        <w:spacing w:after="0" w:line="240" w:lineRule="auto"/>
        <w:rPr>
          <w:rFonts w:cstheme="minorHAnsi"/>
          <w:b/>
          <w:bCs/>
          <w:color w:val="FFFFFF" w:themeColor="background1"/>
          <w:sz w:val="28"/>
          <w:szCs w:val="28"/>
        </w:rPr>
      </w:pPr>
      <w:r w:rsidRPr="00F05672">
        <w:rPr>
          <w:rFonts w:cstheme="minorHAnsi"/>
          <w:b/>
          <w:bCs/>
          <w:color w:val="FFFFFF" w:themeColor="background1"/>
          <w:sz w:val="28"/>
          <w:szCs w:val="28"/>
        </w:rPr>
        <w:t>I</w:t>
      </w:r>
      <w:r w:rsidR="00EF2FB8" w:rsidRPr="00F05672">
        <w:rPr>
          <w:rFonts w:cstheme="minorHAnsi"/>
          <w:b/>
          <w:bCs/>
          <w:color w:val="FFFFFF" w:themeColor="background1"/>
          <w:sz w:val="28"/>
          <w:szCs w:val="28"/>
        </w:rPr>
        <w:t xml:space="preserve">nquiry into </w:t>
      </w:r>
      <w:r w:rsidR="00E375DD" w:rsidRPr="00F05672">
        <w:rPr>
          <w:rFonts w:cstheme="minorHAnsi"/>
          <w:b/>
          <w:bCs/>
          <w:color w:val="FFFFFF" w:themeColor="background1"/>
          <w:sz w:val="28"/>
          <w:szCs w:val="28"/>
        </w:rPr>
        <w:t>P</w:t>
      </w:r>
      <w:r w:rsidR="006D6C95" w:rsidRPr="00F05672">
        <w:rPr>
          <w:rFonts w:cstheme="minorHAnsi"/>
          <w:b/>
          <w:bCs/>
          <w:color w:val="FFFFFF" w:themeColor="background1"/>
          <w:sz w:val="28"/>
          <w:szCs w:val="28"/>
        </w:rPr>
        <w:t>hilanthropy</w:t>
      </w:r>
      <w:r w:rsidR="00EF2FB8" w:rsidRPr="00F05672">
        <w:rPr>
          <w:rFonts w:cstheme="minorHAnsi"/>
          <w:b/>
          <w:bCs/>
          <w:color w:val="FFFFFF" w:themeColor="background1"/>
          <w:sz w:val="28"/>
          <w:szCs w:val="28"/>
        </w:rPr>
        <w:t xml:space="preserve"> in Austra</w:t>
      </w:r>
      <w:r w:rsidR="006D6C95" w:rsidRPr="00F05672">
        <w:rPr>
          <w:rFonts w:cstheme="minorHAnsi"/>
          <w:b/>
          <w:bCs/>
          <w:color w:val="FFFFFF" w:themeColor="background1"/>
          <w:sz w:val="28"/>
          <w:szCs w:val="28"/>
        </w:rPr>
        <w:t xml:space="preserve">lia </w:t>
      </w:r>
      <w:r w:rsidR="005212DF">
        <w:rPr>
          <w:rFonts w:cstheme="minorHAnsi"/>
          <w:b/>
          <w:bCs/>
          <w:color w:val="FFFFFF" w:themeColor="background1"/>
          <w:sz w:val="28"/>
          <w:szCs w:val="28"/>
        </w:rPr>
        <w:t xml:space="preserve">– </w:t>
      </w:r>
      <w:r w:rsidR="005212DF" w:rsidRPr="000A30CF">
        <w:rPr>
          <w:rFonts w:cstheme="minorHAnsi"/>
          <w:b/>
          <w:bCs/>
          <w:i/>
          <w:iCs/>
          <w:color w:val="FFFFFF" w:themeColor="background1"/>
          <w:sz w:val="28"/>
          <w:szCs w:val="28"/>
        </w:rPr>
        <w:t>Future Foundations for Giving</w:t>
      </w:r>
    </w:p>
    <w:p w14:paraId="0C34CAAA" w14:textId="6DFB57CE" w:rsidR="00AF6851" w:rsidRPr="00F05672" w:rsidRDefault="00EF2FB8" w:rsidP="00E375DD">
      <w:pPr>
        <w:pBdr>
          <w:top w:val="single" w:sz="4" w:space="0" w:color="auto"/>
          <w:left w:val="single" w:sz="4" w:space="4" w:color="auto"/>
          <w:bottom w:val="single" w:sz="4" w:space="1" w:color="auto"/>
          <w:right w:val="single" w:sz="4" w:space="4" w:color="auto"/>
        </w:pBdr>
        <w:shd w:val="clear" w:color="auto" w:fill="006A51"/>
        <w:spacing w:after="0" w:line="240" w:lineRule="auto"/>
        <w:rPr>
          <w:rFonts w:cstheme="minorHAnsi"/>
          <w:b/>
          <w:bCs/>
          <w:color w:val="FFFFFF" w:themeColor="background1"/>
          <w:sz w:val="28"/>
          <w:szCs w:val="28"/>
        </w:rPr>
      </w:pPr>
      <w:r w:rsidRPr="00F05672">
        <w:rPr>
          <w:rFonts w:cstheme="minorHAnsi"/>
          <w:b/>
          <w:bCs/>
          <w:color w:val="FFFFFF" w:themeColor="background1"/>
          <w:sz w:val="28"/>
          <w:szCs w:val="28"/>
        </w:rPr>
        <w:t xml:space="preserve">Response to the </w:t>
      </w:r>
      <w:r w:rsidR="0059759C" w:rsidRPr="00F05672">
        <w:rPr>
          <w:rFonts w:cstheme="minorHAnsi"/>
          <w:b/>
          <w:bCs/>
          <w:color w:val="FFFFFF" w:themeColor="background1"/>
          <w:sz w:val="28"/>
          <w:szCs w:val="28"/>
        </w:rPr>
        <w:t>Draft</w:t>
      </w:r>
      <w:r w:rsidRPr="00F05672">
        <w:rPr>
          <w:rFonts w:cstheme="minorHAnsi"/>
          <w:b/>
          <w:bCs/>
          <w:color w:val="FFFFFF" w:themeColor="background1"/>
          <w:sz w:val="28"/>
          <w:szCs w:val="28"/>
        </w:rPr>
        <w:t xml:space="preserve"> </w:t>
      </w:r>
      <w:r w:rsidR="0059759C" w:rsidRPr="00F05672">
        <w:rPr>
          <w:rFonts w:cstheme="minorHAnsi"/>
          <w:b/>
          <w:bCs/>
          <w:color w:val="FFFFFF" w:themeColor="background1"/>
          <w:sz w:val="28"/>
          <w:szCs w:val="28"/>
        </w:rPr>
        <w:t>R</w:t>
      </w:r>
      <w:r w:rsidRPr="00F05672">
        <w:rPr>
          <w:rFonts w:cstheme="minorHAnsi"/>
          <w:b/>
          <w:bCs/>
          <w:color w:val="FFFFFF" w:themeColor="background1"/>
          <w:sz w:val="28"/>
          <w:szCs w:val="28"/>
        </w:rPr>
        <w:t xml:space="preserve">eport </w:t>
      </w:r>
    </w:p>
    <w:p w14:paraId="6EDF88CA" w14:textId="5211E9A1" w:rsidR="006D6C95" w:rsidRPr="00F05672" w:rsidRDefault="0059759C" w:rsidP="00E375DD">
      <w:pPr>
        <w:pBdr>
          <w:top w:val="single" w:sz="4" w:space="0" w:color="auto"/>
          <w:left w:val="single" w:sz="4" w:space="4" w:color="auto"/>
          <w:bottom w:val="single" w:sz="4" w:space="1" w:color="auto"/>
          <w:right w:val="single" w:sz="4" w:space="4" w:color="auto"/>
        </w:pBdr>
        <w:shd w:val="clear" w:color="auto" w:fill="006A51"/>
        <w:spacing w:after="0" w:line="240" w:lineRule="auto"/>
        <w:rPr>
          <w:rFonts w:cstheme="minorHAnsi"/>
          <w:b/>
          <w:bCs/>
          <w:color w:val="FFFFFF" w:themeColor="background1"/>
          <w:sz w:val="28"/>
          <w:szCs w:val="28"/>
        </w:rPr>
      </w:pPr>
      <w:r w:rsidRPr="00F05672">
        <w:rPr>
          <w:rFonts w:cstheme="minorHAnsi"/>
          <w:b/>
          <w:bCs/>
          <w:color w:val="FFFFFF" w:themeColor="background1"/>
          <w:sz w:val="28"/>
          <w:szCs w:val="28"/>
        </w:rPr>
        <w:t xml:space="preserve">9 </w:t>
      </w:r>
      <w:r w:rsidR="006D6C95" w:rsidRPr="00F05672">
        <w:rPr>
          <w:rFonts w:cstheme="minorHAnsi"/>
          <w:b/>
          <w:bCs/>
          <w:color w:val="FFFFFF" w:themeColor="background1"/>
          <w:sz w:val="28"/>
          <w:szCs w:val="28"/>
        </w:rPr>
        <w:t>February 2024</w:t>
      </w:r>
    </w:p>
    <w:p w14:paraId="604F8E8F" w14:textId="77777777" w:rsidR="00AF6851" w:rsidRDefault="00AF6851" w:rsidP="00AF6851"/>
    <w:p w14:paraId="619CA774" w14:textId="189DF6C3" w:rsidR="005808B9" w:rsidRDefault="00475880" w:rsidP="00854370">
      <w:pPr>
        <w:widowControl w:val="0"/>
        <w:spacing w:after="0" w:line="240" w:lineRule="auto"/>
        <w:rPr>
          <w:rFonts w:cstheme="minorHAnsi"/>
          <w:spacing w:val="6"/>
          <w:shd w:val="clear" w:color="auto" w:fill="FFFFFF"/>
        </w:rPr>
      </w:pPr>
      <w:r>
        <w:rPr>
          <w:rFonts w:cstheme="minorHAnsi"/>
          <w:b/>
          <w:bCs/>
          <w:spacing w:val="6"/>
          <w:shd w:val="clear" w:color="auto" w:fill="FFFFFF"/>
        </w:rPr>
        <w:t xml:space="preserve">Background </w:t>
      </w:r>
      <w:r w:rsidR="002B0DD3">
        <w:rPr>
          <w:rFonts w:cstheme="minorHAnsi"/>
          <w:b/>
          <w:bCs/>
          <w:spacing w:val="6"/>
          <w:shd w:val="clear" w:color="auto" w:fill="FFFFFF"/>
        </w:rPr>
        <w:t xml:space="preserve">- </w:t>
      </w:r>
      <w:r w:rsidR="00EF2FB8" w:rsidRPr="006D6C95">
        <w:rPr>
          <w:rFonts w:cstheme="minorHAnsi"/>
          <w:b/>
          <w:bCs/>
          <w:spacing w:val="6"/>
          <w:shd w:val="clear" w:color="auto" w:fill="FFFFFF"/>
        </w:rPr>
        <w:t>Why th</w:t>
      </w:r>
      <w:r w:rsidR="002B0DD3">
        <w:rPr>
          <w:rFonts w:cstheme="minorHAnsi"/>
          <w:b/>
          <w:bCs/>
          <w:spacing w:val="6"/>
          <w:shd w:val="clear" w:color="auto" w:fill="FFFFFF"/>
        </w:rPr>
        <w:t>is</w:t>
      </w:r>
      <w:r w:rsidR="00EF2FB8" w:rsidRPr="006D6C95">
        <w:rPr>
          <w:rFonts w:cstheme="minorHAnsi"/>
          <w:b/>
          <w:bCs/>
          <w:spacing w:val="6"/>
          <w:shd w:val="clear" w:color="auto" w:fill="FFFFFF"/>
        </w:rPr>
        <w:t xml:space="preserve"> </w:t>
      </w:r>
      <w:r w:rsidR="008267DC">
        <w:rPr>
          <w:rFonts w:cstheme="minorHAnsi"/>
          <w:b/>
          <w:bCs/>
          <w:spacing w:val="6"/>
          <w:shd w:val="clear" w:color="auto" w:fill="FFFFFF"/>
        </w:rPr>
        <w:t>I</w:t>
      </w:r>
      <w:r w:rsidR="00EF2FB8" w:rsidRPr="006D6C95">
        <w:rPr>
          <w:rFonts w:cstheme="minorHAnsi"/>
          <w:b/>
          <w:bCs/>
          <w:spacing w:val="6"/>
          <w:shd w:val="clear" w:color="auto" w:fill="FFFFFF"/>
        </w:rPr>
        <w:t>nquiry?</w:t>
      </w:r>
      <w:r w:rsidR="00EF2FB8">
        <w:rPr>
          <w:rFonts w:cstheme="minorHAnsi"/>
          <w:spacing w:val="6"/>
          <w:shd w:val="clear" w:color="auto" w:fill="FFFFFF"/>
        </w:rPr>
        <w:t xml:space="preserve"> </w:t>
      </w:r>
    </w:p>
    <w:p w14:paraId="5962C3BF" w14:textId="0107CC6C" w:rsidR="00EF2FB8" w:rsidRPr="000A30CF" w:rsidRDefault="005808B9" w:rsidP="009E4CDE">
      <w:pPr>
        <w:widowControl w:val="0"/>
        <w:spacing w:after="0" w:line="240" w:lineRule="auto"/>
        <w:rPr>
          <w:rFonts w:cstheme="minorHAnsi"/>
          <w:spacing w:val="6"/>
          <w:shd w:val="clear" w:color="auto" w:fill="FFFFFF"/>
        </w:rPr>
      </w:pPr>
      <w:r w:rsidRPr="000A30CF">
        <w:rPr>
          <w:rFonts w:cstheme="minorHAnsi"/>
          <w:spacing w:val="6"/>
          <w:shd w:val="clear" w:color="auto" w:fill="FFFFFF"/>
        </w:rPr>
        <w:t xml:space="preserve">According to the Draft Report </w:t>
      </w:r>
      <w:r w:rsidR="006A1A5F" w:rsidRPr="000A30CF">
        <w:rPr>
          <w:rFonts w:cstheme="minorHAnsi"/>
          <w:spacing w:val="6"/>
          <w:shd w:val="clear" w:color="auto" w:fill="FFFFFF"/>
        </w:rPr>
        <w:t>into</w:t>
      </w:r>
      <w:r w:rsidR="00B64B3F" w:rsidRPr="000A30CF">
        <w:rPr>
          <w:rFonts w:cstheme="minorHAnsi"/>
          <w:spacing w:val="6"/>
          <w:shd w:val="clear" w:color="auto" w:fill="FFFFFF"/>
        </w:rPr>
        <w:t xml:space="preserve"> the</w:t>
      </w:r>
      <w:r w:rsidR="006A1A5F" w:rsidRPr="000A30CF">
        <w:rPr>
          <w:rFonts w:cstheme="minorHAnsi"/>
          <w:spacing w:val="6"/>
          <w:shd w:val="clear" w:color="auto" w:fill="FFFFFF"/>
        </w:rPr>
        <w:t xml:space="preserve"> </w:t>
      </w:r>
      <w:r w:rsidR="00D34846" w:rsidRPr="000A30CF">
        <w:rPr>
          <w:rFonts w:cstheme="minorHAnsi"/>
          <w:i/>
          <w:iCs/>
          <w:spacing w:val="6"/>
          <w:shd w:val="clear" w:color="auto" w:fill="FFFFFF"/>
        </w:rPr>
        <w:t>Philanthropy Inquiry, Future foundations for givin</w:t>
      </w:r>
      <w:r w:rsidR="006A1A5F" w:rsidRPr="000A30CF">
        <w:rPr>
          <w:rFonts w:cstheme="minorHAnsi"/>
          <w:i/>
          <w:iCs/>
          <w:spacing w:val="6"/>
          <w:shd w:val="clear" w:color="auto" w:fill="FFFFFF"/>
        </w:rPr>
        <w:t>g</w:t>
      </w:r>
      <w:r w:rsidR="00D34846" w:rsidRPr="000A30CF">
        <w:rPr>
          <w:rFonts w:cstheme="minorHAnsi"/>
          <w:spacing w:val="6"/>
          <w:shd w:val="clear" w:color="auto" w:fill="FFFFFF"/>
        </w:rPr>
        <w:t xml:space="preserve"> </w:t>
      </w:r>
      <w:r w:rsidR="00B64B3F" w:rsidRPr="000A30CF">
        <w:rPr>
          <w:rFonts w:cstheme="minorHAnsi"/>
          <w:spacing w:val="6"/>
          <w:shd w:val="clear" w:color="auto" w:fill="FFFFFF"/>
        </w:rPr>
        <w:t xml:space="preserve">produced </w:t>
      </w:r>
      <w:r w:rsidR="0059759C" w:rsidRPr="000A30CF">
        <w:rPr>
          <w:rFonts w:cstheme="minorHAnsi"/>
          <w:spacing w:val="6"/>
          <w:shd w:val="clear" w:color="auto" w:fill="FFFFFF"/>
        </w:rPr>
        <w:t>in November 2023</w:t>
      </w:r>
      <w:r w:rsidRPr="000A30CF">
        <w:rPr>
          <w:rFonts w:cstheme="minorHAnsi"/>
          <w:spacing w:val="6"/>
          <w:shd w:val="clear" w:color="auto" w:fill="FFFFFF"/>
        </w:rPr>
        <w:t xml:space="preserve">, </w:t>
      </w:r>
      <w:r w:rsidR="00854370" w:rsidRPr="000A30CF">
        <w:rPr>
          <w:rFonts w:cstheme="minorHAnsi"/>
          <w:spacing w:val="6"/>
          <w:shd w:val="clear" w:color="auto" w:fill="FFFFFF"/>
        </w:rPr>
        <w:t>t</w:t>
      </w:r>
      <w:r w:rsidR="00EF2FB8" w:rsidRPr="000A30CF">
        <w:rPr>
          <w:rFonts w:cstheme="minorHAnsi"/>
        </w:rPr>
        <w:t xml:space="preserve">he Productivity Commission has been asked </w:t>
      </w:r>
      <w:r w:rsidR="000D5D33" w:rsidRPr="000A30CF">
        <w:rPr>
          <w:rFonts w:cstheme="minorHAnsi"/>
        </w:rPr>
        <w:t xml:space="preserve">by the Treasurer, </w:t>
      </w:r>
      <w:r w:rsidR="002F1749" w:rsidRPr="000A30CF">
        <w:rPr>
          <w:rFonts w:cstheme="minorHAnsi"/>
        </w:rPr>
        <w:t xml:space="preserve">Dr </w:t>
      </w:r>
      <w:r w:rsidR="000D5D33" w:rsidRPr="000A30CF">
        <w:rPr>
          <w:rFonts w:cstheme="minorHAnsi"/>
        </w:rPr>
        <w:t xml:space="preserve">Jim Chalmers, </w:t>
      </w:r>
      <w:r w:rsidR="00EF2FB8" w:rsidRPr="000A30CF">
        <w:rPr>
          <w:rFonts w:cstheme="minorHAnsi"/>
        </w:rPr>
        <w:t>to analyse motivations for philanthropic giving in Australia and identify opportunities to grow it further.</w:t>
      </w:r>
    </w:p>
    <w:p w14:paraId="4B357268" w14:textId="77777777" w:rsidR="006D6C95" w:rsidRDefault="006D6C95" w:rsidP="006D6C95">
      <w:pPr>
        <w:spacing w:after="0" w:line="240" w:lineRule="auto"/>
      </w:pPr>
    </w:p>
    <w:p w14:paraId="32328BD3" w14:textId="5E27FDF8" w:rsidR="00D42A05" w:rsidRPr="00D42A05" w:rsidRDefault="002B0DD3" w:rsidP="006D6C95">
      <w:pPr>
        <w:spacing w:after="0" w:line="240" w:lineRule="auto"/>
        <w:rPr>
          <w:b/>
          <w:bCs/>
        </w:rPr>
      </w:pPr>
      <w:r>
        <w:rPr>
          <w:b/>
          <w:bCs/>
        </w:rPr>
        <w:t>Educate Plus</w:t>
      </w:r>
      <w:r w:rsidR="00D42A05" w:rsidRPr="00D42A05">
        <w:rPr>
          <w:b/>
          <w:bCs/>
        </w:rPr>
        <w:t xml:space="preserve"> </w:t>
      </w:r>
      <w:r>
        <w:rPr>
          <w:b/>
          <w:bCs/>
        </w:rPr>
        <w:t>C</w:t>
      </w:r>
      <w:r w:rsidR="00D42A05" w:rsidRPr="00D42A05">
        <w:rPr>
          <w:b/>
          <w:bCs/>
        </w:rPr>
        <w:t>ontribution</w:t>
      </w:r>
    </w:p>
    <w:p w14:paraId="568B8F4F" w14:textId="00663416" w:rsidR="00FE1393" w:rsidRPr="00FE1393" w:rsidRDefault="0055628A" w:rsidP="006D6C95">
      <w:pPr>
        <w:spacing w:after="0" w:line="240" w:lineRule="auto"/>
      </w:pPr>
      <w:r>
        <w:t xml:space="preserve">This is an important piece of research that will frame future philanthropy in Australia and </w:t>
      </w:r>
      <w:r w:rsidR="00FE1393">
        <w:t xml:space="preserve">Educate Plus was delighted to contribute substantive recommendations </w:t>
      </w:r>
      <w:r w:rsidR="00C612A1">
        <w:t xml:space="preserve">and </w:t>
      </w:r>
      <w:r w:rsidR="00FE1393">
        <w:t xml:space="preserve">practical suggestions on how to achieve </w:t>
      </w:r>
      <w:r w:rsidR="00FE1393" w:rsidRPr="00FE1393">
        <w:t>the ambitious goal of</w:t>
      </w:r>
      <w:r w:rsidR="00712607">
        <w:t xml:space="preserve"> increasing</w:t>
      </w:r>
      <w:r w:rsidR="00FE1393" w:rsidRPr="00FE1393">
        <w:t xml:space="preserve"> </w:t>
      </w:r>
      <w:r w:rsidR="00FE1393">
        <w:t>philanthropic</w:t>
      </w:r>
      <w:r w:rsidR="00FE1393" w:rsidRPr="00FE1393">
        <w:t xml:space="preserve"> support</w:t>
      </w:r>
      <w:r w:rsidR="00712607">
        <w:t xml:space="preserve"> in Australia</w:t>
      </w:r>
      <w:r w:rsidR="00FE1393" w:rsidRPr="00FE1393">
        <w:t>.</w:t>
      </w:r>
    </w:p>
    <w:p w14:paraId="5A07E823" w14:textId="77777777" w:rsidR="006D6C95" w:rsidRDefault="006D6C95" w:rsidP="006D6C95">
      <w:pPr>
        <w:spacing w:after="0" w:line="240" w:lineRule="auto"/>
      </w:pPr>
    </w:p>
    <w:p w14:paraId="0283381F" w14:textId="0F671A81" w:rsidR="00A63CB8" w:rsidRDefault="00D42A05" w:rsidP="006D6C95">
      <w:pPr>
        <w:spacing w:after="0" w:line="240" w:lineRule="auto"/>
        <w:rPr>
          <w:b/>
          <w:bCs/>
        </w:rPr>
      </w:pPr>
      <w:r>
        <w:rPr>
          <w:b/>
          <w:bCs/>
        </w:rPr>
        <w:t>Areas of Agreement</w:t>
      </w:r>
    </w:p>
    <w:p w14:paraId="29A2EC25" w14:textId="737F3D63" w:rsidR="001D06CF" w:rsidRDefault="00791682" w:rsidP="006D6C95">
      <w:pPr>
        <w:spacing w:after="0" w:line="240" w:lineRule="auto"/>
      </w:pPr>
      <w:r>
        <w:t xml:space="preserve">The report </w:t>
      </w:r>
      <w:r w:rsidR="00314334">
        <w:t>highlight</w:t>
      </w:r>
      <w:r w:rsidR="00E62CEC">
        <w:t>s</w:t>
      </w:r>
      <w:r w:rsidR="00314334">
        <w:t xml:space="preserve"> various </w:t>
      </w:r>
      <w:r w:rsidR="00711DE1">
        <w:t xml:space="preserve">findings and </w:t>
      </w:r>
      <w:r w:rsidR="001631D1">
        <w:t xml:space="preserve">makes </w:t>
      </w:r>
      <w:r w:rsidR="00314334">
        <w:t xml:space="preserve">recommendations that would </w:t>
      </w:r>
      <w:r w:rsidR="00C53972">
        <w:t xml:space="preserve">potentially </w:t>
      </w:r>
      <w:r w:rsidR="00314334">
        <w:t>increase philanthropy</w:t>
      </w:r>
      <w:r w:rsidR="00225D3A">
        <w:t xml:space="preserve"> and achieve the brief as identified in this </w:t>
      </w:r>
      <w:r w:rsidR="00EC5E31">
        <w:t>I</w:t>
      </w:r>
      <w:r w:rsidR="00225D3A">
        <w:t>nquiry</w:t>
      </w:r>
      <w:r w:rsidR="001631D1">
        <w:t xml:space="preserve">. </w:t>
      </w:r>
    </w:p>
    <w:p w14:paraId="6D2FF9C2" w14:textId="77777777" w:rsidR="00F217B8" w:rsidRDefault="00F217B8" w:rsidP="006D6C95">
      <w:pPr>
        <w:spacing w:after="0" w:line="240" w:lineRule="auto"/>
      </w:pPr>
    </w:p>
    <w:p w14:paraId="36F830F9" w14:textId="32D55531" w:rsidR="00EC5E31" w:rsidRDefault="00914CE4" w:rsidP="006D6C95">
      <w:pPr>
        <w:spacing w:after="0" w:line="240" w:lineRule="auto"/>
      </w:pPr>
      <w:r>
        <w:t xml:space="preserve">Our </w:t>
      </w:r>
      <w:r w:rsidR="00DC0BC5">
        <w:t xml:space="preserve">members work in </w:t>
      </w:r>
      <w:r w:rsidR="00B80039">
        <w:t xml:space="preserve">Advancement in </w:t>
      </w:r>
      <w:r w:rsidR="00DC0BC5">
        <w:t>schools</w:t>
      </w:r>
      <w:r w:rsidR="00064105">
        <w:t xml:space="preserve">, residential </w:t>
      </w:r>
      <w:proofErr w:type="gramStart"/>
      <w:r w:rsidR="00064105">
        <w:t>colleges</w:t>
      </w:r>
      <w:proofErr w:type="gramEnd"/>
      <w:r w:rsidR="00064105">
        <w:t xml:space="preserve"> </w:t>
      </w:r>
      <w:r w:rsidR="00855446">
        <w:t xml:space="preserve">and universities </w:t>
      </w:r>
      <w:r w:rsidR="00DC0BC5">
        <w:t>and</w:t>
      </w:r>
      <w:r w:rsidR="00B80039">
        <w:t xml:space="preserve">, for the purpose of this </w:t>
      </w:r>
      <w:r w:rsidR="009C141A">
        <w:t xml:space="preserve">submission, we are </w:t>
      </w:r>
      <w:r w:rsidR="00E249DA">
        <w:t>p</w:t>
      </w:r>
      <w:r w:rsidR="00DC0BC5">
        <w:t xml:space="preserve">articularly </w:t>
      </w:r>
      <w:r w:rsidR="009C141A">
        <w:t xml:space="preserve">focussed on those working </w:t>
      </w:r>
      <w:r w:rsidR="00DC0BC5">
        <w:t>in fundraising</w:t>
      </w:r>
      <w:r w:rsidR="00785B06">
        <w:t xml:space="preserve"> in schools</w:t>
      </w:r>
      <w:r w:rsidR="009C141A">
        <w:t>.</w:t>
      </w:r>
      <w:r>
        <w:t xml:space="preserve"> </w:t>
      </w:r>
    </w:p>
    <w:p w14:paraId="22BE6894" w14:textId="77777777" w:rsidR="00EC5E31" w:rsidRDefault="00EC5E31" w:rsidP="006D6C95">
      <w:pPr>
        <w:spacing w:after="0" w:line="240" w:lineRule="auto"/>
      </w:pPr>
    </w:p>
    <w:p w14:paraId="17E37BDA" w14:textId="427B6B32" w:rsidR="003946E8" w:rsidRDefault="00CF0A8D" w:rsidP="006D6C95">
      <w:pPr>
        <w:spacing w:after="0" w:line="240" w:lineRule="auto"/>
      </w:pPr>
      <w:r>
        <w:t xml:space="preserve">We are in total agreement with the </w:t>
      </w:r>
      <w:r w:rsidR="00EC5E31">
        <w:t xml:space="preserve">following findings of the </w:t>
      </w:r>
      <w:r w:rsidR="00D62EE5">
        <w:t>R</w:t>
      </w:r>
      <w:r w:rsidR="003A761F">
        <w:t>eport</w:t>
      </w:r>
      <w:r w:rsidR="00EC5E31">
        <w:t>:</w:t>
      </w:r>
    </w:p>
    <w:p w14:paraId="21898D6B" w14:textId="527EF70E" w:rsidR="00031D9C" w:rsidRPr="00D62EE5" w:rsidRDefault="00EC5E31" w:rsidP="00D140D7">
      <w:pPr>
        <w:pStyle w:val="ListParagraph"/>
        <w:numPr>
          <w:ilvl w:val="0"/>
          <w:numId w:val="10"/>
        </w:numPr>
        <w:spacing w:after="0" w:line="240" w:lineRule="auto"/>
      </w:pPr>
      <w:r w:rsidRPr="00D62EE5">
        <w:t>Donors to education h</w:t>
      </w:r>
      <w:r w:rsidR="00031D9C" w:rsidRPr="00D62EE5">
        <w:t xml:space="preserve">ave increased their giving by </w:t>
      </w:r>
      <w:r w:rsidR="009C141A" w:rsidRPr="00D62EE5">
        <w:t xml:space="preserve">at least </w:t>
      </w:r>
      <w:r w:rsidR="00031D9C" w:rsidRPr="00D62EE5">
        <w:t>2</w:t>
      </w:r>
      <w:r w:rsidR="001B3C37" w:rsidRPr="00D62EE5">
        <w:t>6</w:t>
      </w:r>
      <w:r w:rsidR="00031D9C" w:rsidRPr="00D62EE5">
        <w:t xml:space="preserve">% since </w:t>
      </w:r>
      <w:proofErr w:type="gramStart"/>
      <w:r w:rsidR="00031D9C" w:rsidRPr="00D62EE5">
        <w:t>2017</w:t>
      </w:r>
      <w:proofErr w:type="gramEnd"/>
      <w:r w:rsidR="00CF0A8D" w:rsidRPr="00D62EE5">
        <w:t xml:space="preserve"> </w:t>
      </w:r>
    </w:p>
    <w:p w14:paraId="1C1AF380" w14:textId="49B00F7B" w:rsidR="00115848" w:rsidRPr="00D62EE5" w:rsidRDefault="00EC5E31" w:rsidP="00D140D7">
      <w:pPr>
        <w:pStyle w:val="ListParagraph"/>
        <w:numPr>
          <w:ilvl w:val="0"/>
          <w:numId w:val="10"/>
        </w:numPr>
        <w:spacing w:after="0" w:line="240" w:lineRule="auto"/>
      </w:pPr>
      <w:r w:rsidRPr="00D62EE5">
        <w:t>They t</w:t>
      </w:r>
      <w:r w:rsidR="00115848" w:rsidRPr="00D62EE5">
        <w:t xml:space="preserve">end to give more with increased </w:t>
      </w:r>
      <w:proofErr w:type="gramStart"/>
      <w:r w:rsidR="00115848" w:rsidRPr="00D62EE5">
        <w:t>income</w:t>
      </w:r>
      <w:proofErr w:type="gramEnd"/>
      <w:r w:rsidR="00EF7B27" w:rsidRPr="00D62EE5">
        <w:t xml:space="preserve"> </w:t>
      </w:r>
      <w:r w:rsidR="00617689" w:rsidRPr="00D62EE5">
        <w:t xml:space="preserve"> </w:t>
      </w:r>
      <w:r w:rsidR="00F96C02" w:rsidRPr="00D62EE5">
        <w:t xml:space="preserve"> </w:t>
      </w:r>
    </w:p>
    <w:p w14:paraId="1EAF4D1B" w14:textId="3EC5E46F" w:rsidR="00BD559D" w:rsidRPr="00D62EE5" w:rsidRDefault="00EC5E31" w:rsidP="00D140D7">
      <w:pPr>
        <w:pStyle w:val="ListParagraph"/>
        <w:numPr>
          <w:ilvl w:val="0"/>
          <w:numId w:val="10"/>
        </w:numPr>
        <w:spacing w:after="0" w:line="240" w:lineRule="auto"/>
        <w:rPr>
          <w:sz w:val="20"/>
          <w:szCs w:val="20"/>
        </w:rPr>
      </w:pPr>
      <w:r w:rsidRPr="00D62EE5">
        <w:t>Donors g</w:t>
      </w:r>
      <w:r w:rsidR="00BD559D" w:rsidRPr="00D62EE5">
        <w:t>ive for different reasons</w:t>
      </w:r>
      <w:r w:rsidR="00F17A00" w:rsidRPr="00D62EE5">
        <w:t xml:space="preserve"> to causes they believe in</w:t>
      </w:r>
      <w:r w:rsidR="00A63CB8" w:rsidRPr="00D62EE5">
        <w:t xml:space="preserve"> </w:t>
      </w:r>
      <w:r w:rsidR="009C141A" w:rsidRPr="00D62EE5">
        <w:t>(</w:t>
      </w:r>
      <w:r w:rsidR="00A63CB8" w:rsidRPr="00D62EE5">
        <w:t>education</w:t>
      </w:r>
      <w:r w:rsidR="00B4245A" w:rsidRPr="00D62EE5">
        <w:t xml:space="preserve"> </w:t>
      </w:r>
      <w:r w:rsidR="009C141A" w:rsidRPr="00D62EE5">
        <w:t xml:space="preserve">broadly </w:t>
      </w:r>
      <w:r w:rsidR="00B4245A" w:rsidRPr="00D62EE5">
        <w:t xml:space="preserve">and </w:t>
      </w:r>
      <w:r w:rsidR="00397B64" w:rsidRPr="00D62EE5">
        <w:t xml:space="preserve">directly to </w:t>
      </w:r>
      <w:r w:rsidR="00B4245A" w:rsidRPr="00D62EE5">
        <w:t>the community in which that educational institution finds itself</w:t>
      </w:r>
      <w:r w:rsidR="00A63CB8" w:rsidRPr="00D62EE5">
        <w:t>)</w:t>
      </w:r>
    </w:p>
    <w:p w14:paraId="60AEA16B" w14:textId="4978896C" w:rsidR="00F17A00" w:rsidRPr="00D62EE5" w:rsidRDefault="00F17A00" w:rsidP="00D140D7">
      <w:pPr>
        <w:pStyle w:val="ListParagraph"/>
        <w:numPr>
          <w:ilvl w:val="0"/>
          <w:numId w:val="10"/>
        </w:numPr>
        <w:spacing w:after="0" w:line="240" w:lineRule="auto"/>
      </w:pPr>
      <w:r w:rsidRPr="00D62EE5">
        <w:t>Their philanthropy contributes to a better society an</w:t>
      </w:r>
      <w:r w:rsidR="00A34B40" w:rsidRPr="00D62EE5">
        <w:t xml:space="preserve">d a better </w:t>
      </w:r>
      <w:proofErr w:type="gramStart"/>
      <w:r w:rsidR="00A34B40" w:rsidRPr="00D62EE5">
        <w:t>Australia</w:t>
      </w:r>
      <w:proofErr w:type="gramEnd"/>
    </w:p>
    <w:p w14:paraId="261C9333" w14:textId="024EBBAD" w:rsidR="00A34B40" w:rsidRPr="00D62EE5" w:rsidRDefault="00C84A31" w:rsidP="00D140D7">
      <w:pPr>
        <w:pStyle w:val="ListParagraph"/>
        <w:numPr>
          <w:ilvl w:val="0"/>
          <w:numId w:val="10"/>
        </w:numPr>
        <w:spacing w:after="0" w:line="240" w:lineRule="auto"/>
      </w:pPr>
      <w:r w:rsidRPr="00D62EE5">
        <w:t xml:space="preserve">Volunteering is decreasing and emphasis on supporting that </w:t>
      </w:r>
      <w:r w:rsidR="00D140D7" w:rsidRPr="00D62EE5">
        <w:t xml:space="preserve">is </w:t>
      </w:r>
      <w:proofErr w:type="gramStart"/>
      <w:r w:rsidRPr="00D62EE5">
        <w:t>crucial</w:t>
      </w:r>
      <w:proofErr w:type="gramEnd"/>
      <w:r w:rsidR="00617689" w:rsidRPr="00D62EE5">
        <w:t xml:space="preserve"> </w:t>
      </w:r>
    </w:p>
    <w:p w14:paraId="387B0785" w14:textId="63EAE0F9" w:rsidR="00C84A31" w:rsidRPr="00D62EE5" w:rsidRDefault="00C339BA" w:rsidP="00D140D7">
      <w:pPr>
        <w:pStyle w:val="ListParagraph"/>
        <w:numPr>
          <w:ilvl w:val="0"/>
          <w:numId w:val="10"/>
        </w:numPr>
        <w:spacing w:after="0" w:line="240" w:lineRule="auto"/>
      </w:pPr>
      <w:r w:rsidRPr="00D62EE5">
        <w:t>Donors a</w:t>
      </w:r>
      <w:r w:rsidR="0090514B" w:rsidRPr="00D62EE5">
        <w:t>re s</w:t>
      </w:r>
      <w:r w:rsidR="00C23D65" w:rsidRPr="00D62EE5">
        <w:t>eek</w:t>
      </w:r>
      <w:r w:rsidR="0090514B" w:rsidRPr="00D62EE5">
        <w:t>ing</w:t>
      </w:r>
      <w:r w:rsidR="00C23D65" w:rsidRPr="00D62EE5">
        <w:t xml:space="preserve"> less</w:t>
      </w:r>
      <w:r w:rsidR="00A52012" w:rsidRPr="00D62EE5">
        <w:t xml:space="preserve"> </w:t>
      </w:r>
      <w:r w:rsidR="00E31E99" w:rsidRPr="00D62EE5">
        <w:t>complexity</w:t>
      </w:r>
      <w:r w:rsidR="00A63CB8" w:rsidRPr="00D62EE5">
        <w:t xml:space="preserve"> in making a </w:t>
      </w:r>
      <w:proofErr w:type="gramStart"/>
      <w:r w:rsidR="00A63CB8" w:rsidRPr="00D62EE5">
        <w:t>gift</w:t>
      </w:r>
      <w:proofErr w:type="gramEnd"/>
    </w:p>
    <w:p w14:paraId="15EEC5D7" w14:textId="7CA9868F" w:rsidR="00C23D65" w:rsidRPr="00D62EE5" w:rsidRDefault="00C23D65" w:rsidP="00D140D7">
      <w:pPr>
        <w:pStyle w:val="ListParagraph"/>
        <w:numPr>
          <w:ilvl w:val="0"/>
          <w:numId w:val="10"/>
        </w:numPr>
        <w:spacing w:after="0" w:line="240" w:lineRule="auto"/>
      </w:pPr>
      <w:r w:rsidRPr="00D62EE5">
        <w:t>Tax incentives</w:t>
      </w:r>
      <w:r w:rsidR="00F96C02" w:rsidRPr="00D62EE5">
        <w:t xml:space="preserve"> directly impact on </w:t>
      </w:r>
      <w:proofErr w:type="gramStart"/>
      <w:r w:rsidR="00F96C02" w:rsidRPr="00D62EE5">
        <w:t>philanthropy</w:t>
      </w:r>
      <w:proofErr w:type="gramEnd"/>
    </w:p>
    <w:p w14:paraId="671C1057" w14:textId="24314F9D" w:rsidR="002E740E" w:rsidRPr="00A64415" w:rsidRDefault="003560E2" w:rsidP="00FC0BB6">
      <w:pPr>
        <w:pStyle w:val="ListParagraph"/>
        <w:numPr>
          <w:ilvl w:val="0"/>
          <w:numId w:val="10"/>
        </w:numPr>
        <w:spacing w:after="0" w:line="240" w:lineRule="auto"/>
      </w:pPr>
      <w:r w:rsidRPr="00D62EE5">
        <w:t>Reform</w:t>
      </w:r>
      <w:r w:rsidR="00353896" w:rsidRPr="00D62EE5">
        <w:t xml:space="preserve"> is needed to make it easier for donors to </w:t>
      </w:r>
      <w:proofErr w:type="gramStart"/>
      <w:r w:rsidR="00353896" w:rsidRPr="00D62EE5">
        <w:t>give</w:t>
      </w:r>
      <w:proofErr w:type="gramEnd"/>
      <w:r w:rsidR="00F80112" w:rsidRPr="00D62EE5">
        <w:rPr>
          <w:sz w:val="20"/>
          <w:szCs w:val="20"/>
        </w:rPr>
        <w:t xml:space="preserve"> </w:t>
      </w:r>
    </w:p>
    <w:p w14:paraId="5CE9E5B9" w14:textId="77777777" w:rsidR="00A64415" w:rsidRPr="00D62EE5" w:rsidRDefault="00A64415" w:rsidP="00A64415">
      <w:pPr>
        <w:pStyle w:val="ListParagraph"/>
        <w:spacing w:after="0" w:line="240" w:lineRule="auto"/>
      </w:pPr>
    </w:p>
    <w:p w14:paraId="5B5D2AE4" w14:textId="2A46CC10" w:rsidR="00E710BB" w:rsidRDefault="004C0D2C" w:rsidP="002E740E">
      <w:pPr>
        <w:spacing w:after="0" w:line="240" w:lineRule="auto"/>
      </w:pPr>
      <w:r>
        <w:t>Also worth noting, t</w:t>
      </w:r>
      <w:r w:rsidR="00E710BB">
        <w:t xml:space="preserve">rends indicate that </w:t>
      </w:r>
      <w:r w:rsidR="0084784D">
        <w:t>because fundraising as a profession</w:t>
      </w:r>
      <w:r w:rsidR="002731CB">
        <w:t xml:space="preserve">, particularly in schools, </w:t>
      </w:r>
      <w:r w:rsidR="0084784D">
        <w:t>is becoming more sophisticated</w:t>
      </w:r>
      <w:r w:rsidR="000B1CB2">
        <w:t xml:space="preserve"> with more investment in skilled fundraising practitioners</w:t>
      </w:r>
      <w:r w:rsidR="0084784D">
        <w:t xml:space="preserve">, the overall culture of philanthropy </w:t>
      </w:r>
      <w:r w:rsidR="00241816">
        <w:t>is becoming more entrenched at an earlier age th</w:t>
      </w:r>
      <w:r w:rsidR="002E740E">
        <w:t>u</w:t>
      </w:r>
      <w:r w:rsidR="00241816">
        <w:t>s contributing to the overall increase in philanthropy</w:t>
      </w:r>
      <w:r w:rsidR="002E740E">
        <w:t xml:space="preserve"> in Australia</w:t>
      </w:r>
      <w:r>
        <w:t>.</w:t>
      </w:r>
    </w:p>
    <w:p w14:paraId="36837464" w14:textId="77777777" w:rsidR="00162DC7" w:rsidRDefault="00162DC7" w:rsidP="002E740E">
      <w:pPr>
        <w:spacing w:after="0" w:line="240" w:lineRule="auto"/>
      </w:pPr>
    </w:p>
    <w:p w14:paraId="3646A633" w14:textId="77777777" w:rsidR="009A0FBE" w:rsidRPr="009D4FBC" w:rsidRDefault="009A0FBE" w:rsidP="009A0FBE">
      <w:pPr>
        <w:spacing w:after="0" w:line="240" w:lineRule="auto"/>
        <w:rPr>
          <w:b/>
          <w:bCs/>
        </w:rPr>
      </w:pPr>
      <w:r w:rsidRPr="009D4FBC">
        <w:rPr>
          <w:b/>
          <w:bCs/>
        </w:rPr>
        <w:t>Support for Recommendations</w:t>
      </w:r>
    </w:p>
    <w:p w14:paraId="63EC1156" w14:textId="29940883" w:rsidR="006F29CA" w:rsidRDefault="006F29CA" w:rsidP="002E740E">
      <w:pPr>
        <w:spacing w:after="0" w:line="240" w:lineRule="auto"/>
      </w:pPr>
      <w:r>
        <w:t xml:space="preserve">We are in </w:t>
      </w:r>
      <w:r w:rsidR="00C05D23">
        <w:t xml:space="preserve">broad </w:t>
      </w:r>
      <w:r>
        <w:t xml:space="preserve">support of the following </w:t>
      </w:r>
      <w:r w:rsidR="00162DC7">
        <w:t>recommendations</w:t>
      </w:r>
      <w:r w:rsidR="009B641A">
        <w:t xml:space="preserve"> and are willing to assist in providing </w:t>
      </w:r>
      <w:r w:rsidR="00FD5D70">
        <w:t>the information requests for those recommendations</w:t>
      </w:r>
      <w:r>
        <w:t>:</w:t>
      </w:r>
    </w:p>
    <w:p w14:paraId="4BBD7D51" w14:textId="77777777" w:rsidR="00426E01" w:rsidRDefault="00426E01" w:rsidP="002E740E">
      <w:pPr>
        <w:spacing w:after="0" w:line="240" w:lineRule="auto"/>
        <w:rPr>
          <w:b/>
          <w:bCs/>
        </w:rPr>
      </w:pPr>
    </w:p>
    <w:p w14:paraId="095D95D2" w14:textId="647A87ED" w:rsidR="00A331A1" w:rsidRDefault="00DE1332" w:rsidP="002E740E">
      <w:pPr>
        <w:spacing w:after="0" w:line="240" w:lineRule="auto"/>
      </w:pPr>
      <w:r w:rsidRPr="009B641A">
        <w:rPr>
          <w:b/>
          <w:bCs/>
        </w:rPr>
        <w:t>Draft recommendation 4.1</w:t>
      </w:r>
      <w:r>
        <w:tab/>
      </w:r>
      <w:r w:rsidR="00830F12" w:rsidRPr="00830F12">
        <w:t xml:space="preserve">Remove the $2 threshold for tax deductible </w:t>
      </w:r>
      <w:proofErr w:type="gramStart"/>
      <w:r w:rsidR="00830F12" w:rsidRPr="00830F12">
        <w:t>donations</w:t>
      </w:r>
      <w:proofErr w:type="gramEnd"/>
    </w:p>
    <w:p w14:paraId="0DA296B4" w14:textId="4AC44CC7" w:rsidR="00880829" w:rsidRDefault="00FE674A" w:rsidP="002E2F0A">
      <w:pPr>
        <w:spacing w:after="0" w:line="240" w:lineRule="auto"/>
        <w:ind w:left="2880" w:hanging="2880"/>
      </w:pPr>
      <w:r w:rsidRPr="009B641A">
        <w:rPr>
          <w:b/>
          <w:bCs/>
        </w:rPr>
        <w:t>Draft recommendation 6.</w:t>
      </w:r>
      <w:r w:rsidR="00D3266F" w:rsidRPr="009B641A">
        <w:rPr>
          <w:b/>
          <w:bCs/>
        </w:rPr>
        <w:t>2</w:t>
      </w:r>
      <w:r>
        <w:t xml:space="preserve"> </w:t>
      </w:r>
      <w:r>
        <w:tab/>
      </w:r>
      <w:r w:rsidR="00880829" w:rsidRPr="00880829">
        <w:t xml:space="preserve">Supporting reforms to improve </w:t>
      </w:r>
      <w:r w:rsidR="00E96DC6">
        <w:t xml:space="preserve">(and simplify) </w:t>
      </w:r>
      <w:r w:rsidR="00880829" w:rsidRPr="00880829">
        <w:t xml:space="preserve">the deductible gift recipient (DGR) </w:t>
      </w:r>
      <w:proofErr w:type="gramStart"/>
      <w:r w:rsidR="00880829" w:rsidRPr="00880829">
        <w:t>system</w:t>
      </w:r>
      <w:proofErr w:type="gramEnd"/>
    </w:p>
    <w:p w14:paraId="79C8AC92" w14:textId="04E18EBE" w:rsidR="00162DC7" w:rsidRPr="002731CB" w:rsidRDefault="002E2F0A" w:rsidP="002731CB">
      <w:pPr>
        <w:spacing w:after="0" w:line="240" w:lineRule="auto"/>
        <w:ind w:left="2880" w:hanging="2880"/>
      </w:pPr>
      <w:r>
        <w:tab/>
      </w:r>
      <w:r w:rsidR="002731CB">
        <w:rPr>
          <w:b/>
          <w:bCs/>
        </w:rPr>
        <w:t>N</w:t>
      </w:r>
      <w:r w:rsidRPr="001155CC">
        <w:rPr>
          <w:b/>
          <w:bCs/>
        </w:rPr>
        <w:t>ote:</w:t>
      </w:r>
      <w:r>
        <w:t xml:space="preserve"> </w:t>
      </w:r>
      <w:r w:rsidR="00C05D23">
        <w:t>W</w:t>
      </w:r>
      <w:r>
        <w:t>e do not support</w:t>
      </w:r>
      <w:r w:rsidR="00E02749">
        <w:t xml:space="preserve"> </w:t>
      </w:r>
      <w:r w:rsidR="00C05D23">
        <w:t xml:space="preserve">the Commission’s </w:t>
      </w:r>
      <w:r w:rsidR="00E02749">
        <w:t xml:space="preserve">application of the framework to </w:t>
      </w:r>
      <w:r w:rsidR="00AB527A">
        <w:t>s</w:t>
      </w:r>
      <w:r w:rsidR="00E02749">
        <w:t xml:space="preserve">chool </w:t>
      </w:r>
      <w:r w:rsidR="00AB527A">
        <w:t>b</w:t>
      </w:r>
      <w:r w:rsidR="00E02749">
        <w:t xml:space="preserve">uilding </w:t>
      </w:r>
      <w:r w:rsidR="00AB527A">
        <w:t>f</w:t>
      </w:r>
      <w:r w:rsidR="00E02749">
        <w:t>unds</w:t>
      </w:r>
      <w:r w:rsidR="00DE1332">
        <w:tab/>
      </w:r>
      <w:r w:rsidR="00162DC7">
        <w:t xml:space="preserve"> </w:t>
      </w:r>
    </w:p>
    <w:p w14:paraId="034857FF" w14:textId="448D71BE" w:rsidR="0050338E" w:rsidRDefault="001C031B" w:rsidP="00CB6616">
      <w:pPr>
        <w:spacing w:after="0" w:line="240" w:lineRule="auto"/>
        <w:ind w:left="2880" w:hanging="2880"/>
      </w:pPr>
      <w:r w:rsidRPr="009B641A">
        <w:rPr>
          <w:b/>
          <w:bCs/>
        </w:rPr>
        <w:t>Draft recommendation 7.5</w:t>
      </w:r>
      <w:r>
        <w:tab/>
      </w:r>
      <w:r w:rsidR="00CB6616" w:rsidRPr="00CB6616">
        <w:t xml:space="preserve">Explicitly consider the effects on volunteers when designing policies and </w:t>
      </w:r>
      <w:proofErr w:type="gramStart"/>
      <w:r w:rsidR="00CB6616" w:rsidRPr="00CB6616">
        <w:t>programs</w:t>
      </w:r>
      <w:proofErr w:type="gramEnd"/>
    </w:p>
    <w:p w14:paraId="6A91AB70" w14:textId="529F7E5B" w:rsidR="00D71F84" w:rsidRDefault="00D71F84" w:rsidP="00CB6616">
      <w:pPr>
        <w:spacing w:after="0" w:line="240" w:lineRule="auto"/>
        <w:ind w:left="2880" w:hanging="2880"/>
      </w:pPr>
      <w:r w:rsidRPr="009B641A">
        <w:rPr>
          <w:b/>
          <w:bCs/>
        </w:rPr>
        <w:t>Draft recommendation 9.1</w:t>
      </w:r>
      <w:r>
        <w:tab/>
      </w:r>
      <w:r w:rsidR="001B2446" w:rsidRPr="001B2446">
        <w:t xml:space="preserve">Creating more value from the data held by Australian Government </w:t>
      </w:r>
      <w:proofErr w:type="gramStart"/>
      <w:r w:rsidR="001B2446" w:rsidRPr="001B2446">
        <w:t>agencies</w:t>
      </w:r>
      <w:proofErr w:type="gramEnd"/>
    </w:p>
    <w:p w14:paraId="6F930768" w14:textId="731DF24D" w:rsidR="00574DCA" w:rsidRDefault="00574DCA" w:rsidP="00CB6616">
      <w:pPr>
        <w:spacing w:after="0" w:line="240" w:lineRule="auto"/>
        <w:ind w:left="2880" w:hanging="2880"/>
      </w:pPr>
      <w:r w:rsidRPr="009B641A">
        <w:rPr>
          <w:b/>
          <w:bCs/>
        </w:rPr>
        <w:t>Draft recommendation 9.5</w:t>
      </w:r>
      <w:r>
        <w:tab/>
      </w:r>
      <w:r w:rsidR="00AD31CC" w:rsidRPr="00AD31CC">
        <w:t xml:space="preserve">Improve the usefulness of public information sources on </w:t>
      </w:r>
      <w:proofErr w:type="gramStart"/>
      <w:r w:rsidR="00AD31CC" w:rsidRPr="00AD31CC">
        <w:t>volunteering</w:t>
      </w:r>
      <w:proofErr w:type="gramEnd"/>
    </w:p>
    <w:p w14:paraId="0B0DDEF9" w14:textId="0992BDEF" w:rsidR="00F74151" w:rsidRDefault="00F74151" w:rsidP="00CB6616">
      <w:pPr>
        <w:spacing w:after="0" w:line="240" w:lineRule="auto"/>
        <w:ind w:left="2880" w:hanging="2880"/>
      </w:pPr>
      <w:r w:rsidRPr="009B641A">
        <w:rPr>
          <w:b/>
          <w:bCs/>
        </w:rPr>
        <w:t>Draft recommendation 10.1</w:t>
      </w:r>
      <w:r>
        <w:tab/>
      </w:r>
      <w:r w:rsidR="009B641A" w:rsidRPr="009B641A">
        <w:t xml:space="preserve">Establishing an Aboriginal and Torres Strait Islander philanthropic </w:t>
      </w:r>
      <w:proofErr w:type="gramStart"/>
      <w:r w:rsidR="009B641A" w:rsidRPr="009B641A">
        <w:t>foundation</w:t>
      </w:r>
      <w:proofErr w:type="gramEnd"/>
    </w:p>
    <w:p w14:paraId="0EC4757B" w14:textId="77777777" w:rsidR="009B641A" w:rsidRDefault="009B641A" w:rsidP="00A63CB8">
      <w:pPr>
        <w:spacing w:after="0" w:line="240" w:lineRule="auto"/>
        <w:rPr>
          <w:b/>
          <w:bCs/>
        </w:rPr>
      </w:pPr>
    </w:p>
    <w:p w14:paraId="074D7C26" w14:textId="77777777" w:rsidR="00962FFA" w:rsidRDefault="00962FFA" w:rsidP="00A63CB8">
      <w:pPr>
        <w:spacing w:after="0" w:line="240" w:lineRule="auto"/>
        <w:rPr>
          <w:b/>
          <w:bCs/>
        </w:rPr>
      </w:pPr>
    </w:p>
    <w:p w14:paraId="222651CF" w14:textId="77777777" w:rsidR="00962FFA" w:rsidRDefault="00962FFA" w:rsidP="00A63CB8">
      <w:pPr>
        <w:spacing w:after="0" w:line="240" w:lineRule="auto"/>
        <w:rPr>
          <w:b/>
          <w:bCs/>
        </w:rPr>
      </w:pPr>
    </w:p>
    <w:p w14:paraId="0537761A" w14:textId="77777777" w:rsidR="00962FFA" w:rsidRDefault="00962FFA" w:rsidP="00A63CB8">
      <w:pPr>
        <w:spacing w:after="0" w:line="240" w:lineRule="auto"/>
        <w:rPr>
          <w:b/>
          <w:bCs/>
        </w:rPr>
      </w:pPr>
    </w:p>
    <w:p w14:paraId="7AF6FB03" w14:textId="331D46F2" w:rsidR="00BD332F" w:rsidRDefault="00892EC1" w:rsidP="00A63CB8">
      <w:pPr>
        <w:spacing w:after="0" w:line="240" w:lineRule="auto"/>
        <w:rPr>
          <w:b/>
          <w:bCs/>
        </w:rPr>
      </w:pPr>
      <w:r>
        <w:rPr>
          <w:b/>
          <w:bCs/>
        </w:rPr>
        <w:t>Areas of Disagreement</w:t>
      </w:r>
    </w:p>
    <w:p w14:paraId="4717ADD6" w14:textId="157A4D11" w:rsidR="009E2EA4" w:rsidRDefault="009E2EA4" w:rsidP="00A63CB8">
      <w:pPr>
        <w:spacing w:after="0" w:line="240" w:lineRule="auto"/>
      </w:pPr>
      <w:r>
        <w:t xml:space="preserve">It is </w:t>
      </w:r>
      <w:r w:rsidR="00A347A8">
        <w:t xml:space="preserve">an oft </w:t>
      </w:r>
      <w:r w:rsidR="008B4750">
        <w:t>assumed</w:t>
      </w:r>
      <w:r w:rsidR="00A347A8">
        <w:t xml:space="preserve"> premise </w:t>
      </w:r>
      <w:r w:rsidR="001B73C5">
        <w:t xml:space="preserve">when </w:t>
      </w:r>
      <w:r w:rsidR="008B4750">
        <w:t>discussing</w:t>
      </w:r>
      <w:r w:rsidR="001B73C5">
        <w:t xml:space="preserve"> </w:t>
      </w:r>
      <w:proofErr w:type="gramStart"/>
      <w:r w:rsidR="001B73C5">
        <w:t>Independent</w:t>
      </w:r>
      <w:proofErr w:type="gramEnd"/>
      <w:r w:rsidR="001B73C5">
        <w:t xml:space="preserve"> school</w:t>
      </w:r>
      <w:r w:rsidR="008B4750">
        <w:t>s</w:t>
      </w:r>
      <w:r w:rsidR="001B73C5">
        <w:t xml:space="preserve"> that they are </w:t>
      </w:r>
      <w:r w:rsidR="008B4750">
        <w:t xml:space="preserve">all alike - </w:t>
      </w:r>
      <w:r w:rsidR="001B73C5">
        <w:t>large, wealthy, well</w:t>
      </w:r>
      <w:r w:rsidR="008B4750">
        <w:t>-</w:t>
      </w:r>
      <w:r w:rsidR="001B73C5">
        <w:t>resource</w:t>
      </w:r>
      <w:r w:rsidR="008B4750">
        <w:t>d</w:t>
      </w:r>
      <w:r w:rsidR="001B73C5">
        <w:t xml:space="preserve"> and </w:t>
      </w:r>
      <w:r w:rsidR="008B4750">
        <w:t xml:space="preserve">that they </w:t>
      </w:r>
      <w:r w:rsidR="00C20419">
        <w:t xml:space="preserve">draw donors from the top end of philanthropy. </w:t>
      </w:r>
      <w:r w:rsidR="00B025E3">
        <w:t>Of course, these schools exist</w:t>
      </w:r>
      <w:r w:rsidR="00C51DE7">
        <w:t xml:space="preserve">, </w:t>
      </w:r>
      <w:r w:rsidR="00B025E3">
        <w:t xml:space="preserve">and they do exceedingly well in their philanthropy programs but </w:t>
      </w:r>
      <w:r w:rsidR="00542DA4">
        <w:t>as a membership organisation</w:t>
      </w:r>
      <w:r w:rsidR="00471FC0">
        <w:t>,</w:t>
      </w:r>
      <w:r w:rsidR="00542DA4">
        <w:t xml:space="preserve"> </w:t>
      </w:r>
      <w:r w:rsidR="00B025E3">
        <w:t>the vast majo</w:t>
      </w:r>
      <w:r w:rsidR="00542DA4">
        <w:t xml:space="preserve">rity of our </w:t>
      </w:r>
      <w:r w:rsidR="0038250B">
        <w:t xml:space="preserve">Educate Plus </w:t>
      </w:r>
      <w:r w:rsidR="00542DA4">
        <w:t xml:space="preserve">members </w:t>
      </w:r>
      <w:r w:rsidR="00471FC0">
        <w:t xml:space="preserve">are </w:t>
      </w:r>
      <w:r w:rsidR="00163FA5">
        <w:t xml:space="preserve">smaller </w:t>
      </w:r>
      <w:proofErr w:type="gramStart"/>
      <w:r w:rsidR="00163FA5">
        <w:t>Independent</w:t>
      </w:r>
      <w:proofErr w:type="gramEnd"/>
      <w:r w:rsidR="00163FA5">
        <w:t xml:space="preserve"> schools often based in the outskirts of cities, in regional Australia or </w:t>
      </w:r>
      <w:r w:rsidR="00E018CF">
        <w:t xml:space="preserve">are systemic faith based </w:t>
      </w:r>
      <w:r w:rsidR="00204A11">
        <w:t xml:space="preserve">schools that draw students from </w:t>
      </w:r>
      <w:r w:rsidR="00E76B8D">
        <w:t xml:space="preserve">a </w:t>
      </w:r>
      <w:r w:rsidR="00204A11">
        <w:t xml:space="preserve">wide SES </w:t>
      </w:r>
      <w:r w:rsidR="00706425">
        <w:t>landscape</w:t>
      </w:r>
      <w:r w:rsidR="00E76B8D">
        <w:t xml:space="preserve">. </w:t>
      </w:r>
      <w:r w:rsidR="008521C6">
        <w:t>If the Commission is taking a principles</w:t>
      </w:r>
      <w:r w:rsidR="00794127">
        <w:t>-</w:t>
      </w:r>
      <w:r w:rsidR="008521C6">
        <w:t xml:space="preserve">based approach to this </w:t>
      </w:r>
      <w:r w:rsidR="00B3572A">
        <w:t>R</w:t>
      </w:r>
      <w:r w:rsidR="008521C6">
        <w:t>eport and aiming for equity</w:t>
      </w:r>
      <w:r w:rsidR="00D62D04">
        <w:t xml:space="preserve">, it is important to consider the impact on smaller communities </w:t>
      </w:r>
      <w:r w:rsidR="00B3572A">
        <w:t xml:space="preserve">who will fall further and further behind in their philanthropic programs if the incentives to donate </w:t>
      </w:r>
      <w:r w:rsidR="00787688">
        <w:t>are</w:t>
      </w:r>
      <w:r w:rsidR="00B3572A">
        <w:t xml:space="preserve"> curtailed.</w:t>
      </w:r>
    </w:p>
    <w:p w14:paraId="7E83CD7C" w14:textId="77777777" w:rsidR="008521C6" w:rsidRDefault="008521C6" w:rsidP="00A63CB8">
      <w:pPr>
        <w:spacing w:after="0" w:line="240" w:lineRule="auto"/>
      </w:pPr>
    </w:p>
    <w:p w14:paraId="25F0B6B2" w14:textId="2081D84F" w:rsidR="00C81233" w:rsidRDefault="00C81233" w:rsidP="00C81233">
      <w:pPr>
        <w:spacing w:after="0" w:line="240" w:lineRule="auto"/>
      </w:pPr>
      <w:r w:rsidRPr="00E96DC6">
        <w:rPr>
          <w:b/>
          <w:bCs/>
        </w:rPr>
        <w:t>Draft Recommendation 6.1</w:t>
      </w:r>
      <w:r w:rsidRPr="00E96DC6">
        <w:t xml:space="preserve"> </w:t>
      </w:r>
    </w:p>
    <w:p w14:paraId="1E9D94FF" w14:textId="5005C787" w:rsidR="00C81233" w:rsidRDefault="00C81233" w:rsidP="00C81233">
      <w:pPr>
        <w:spacing w:after="0" w:line="240" w:lineRule="auto"/>
      </w:pPr>
      <w:r>
        <w:t xml:space="preserve">We fundamentally disagree and challenge the Commission’s recommendation that DGR status be withdrawn from school building funds.  </w:t>
      </w:r>
    </w:p>
    <w:p w14:paraId="4928311B" w14:textId="77777777" w:rsidR="00C81233" w:rsidRDefault="00C81233" w:rsidP="00A63CB8">
      <w:pPr>
        <w:spacing w:after="0" w:line="240" w:lineRule="auto"/>
      </w:pPr>
    </w:p>
    <w:p w14:paraId="2721EEF6" w14:textId="5BD91F0B" w:rsidR="00C10A7D" w:rsidRPr="00C10A7D" w:rsidRDefault="00C10A7D" w:rsidP="006D6C95">
      <w:pPr>
        <w:spacing w:after="0" w:line="240" w:lineRule="auto"/>
        <w:rPr>
          <w:b/>
          <w:bCs/>
        </w:rPr>
      </w:pPr>
      <w:r w:rsidRPr="00C10A7D">
        <w:rPr>
          <w:b/>
          <w:bCs/>
        </w:rPr>
        <w:t>Counterarguments</w:t>
      </w:r>
    </w:p>
    <w:p w14:paraId="34AA29D8" w14:textId="638CAEFC" w:rsidR="001D06CF" w:rsidRDefault="00A63CB8" w:rsidP="006D6C95">
      <w:pPr>
        <w:spacing w:after="0" w:line="240" w:lineRule="auto"/>
      </w:pPr>
      <w:r>
        <w:t xml:space="preserve">In our opinion, the rationale applied by the Productivity Commission </w:t>
      </w:r>
      <w:r w:rsidR="007B2753">
        <w:t xml:space="preserve">does not support the overall brief of this </w:t>
      </w:r>
      <w:r w:rsidR="00E06EA6">
        <w:t>I</w:t>
      </w:r>
      <w:r w:rsidR="007B2753">
        <w:t>nquiry</w:t>
      </w:r>
      <w:r w:rsidR="00BD332F">
        <w:t xml:space="preserve"> for the following reasons:</w:t>
      </w:r>
    </w:p>
    <w:p w14:paraId="1DED726E" w14:textId="77777777" w:rsidR="00E06EA6" w:rsidRDefault="00E06EA6" w:rsidP="006D6C95">
      <w:pPr>
        <w:spacing w:after="0" w:line="240" w:lineRule="auto"/>
      </w:pPr>
    </w:p>
    <w:p w14:paraId="55E4589C" w14:textId="4E9B0DC4" w:rsidR="005360BB" w:rsidRDefault="005360BB" w:rsidP="005360BB">
      <w:pPr>
        <w:pStyle w:val="ListParagraph"/>
        <w:numPr>
          <w:ilvl w:val="0"/>
          <w:numId w:val="11"/>
        </w:numPr>
        <w:spacing w:after="0" w:line="240" w:lineRule="auto"/>
      </w:pPr>
      <w:r>
        <w:t xml:space="preserve">According to the Commission’s </w:t>
      </w:r>
      <w:r w:rsidR="009A6C8C">
        <w:t>D</w:t>
      </w:r>
      <w:r>
        <w:t xml:space="preserve">raft </w:t>
      </w:r>
      <w:r w:rsidR="009A6C8C">
        <w:t>R</w:t>
      </w:r>
      <w:r>
        <w:t xml:space="preserve">eport, school or college building funds are the second largest concentration of DGR in Australia, and </w:t>
      </w:r>
      <w:r w:rsidR="00C735C5">
        <w:t>in 20</w:t>
      </w:r>
      <w:r w:rsidR="000E3AD2">
        <w:t>20 – 2021,</w:t>
      </w:r>
      <w:r w:rsidR="002E3592">
        <w:t xml:space="preserve"> </w:t>
      </w:r>
      <w:r>
        <w:t xml:space="preserve">over $4.4billion was donated through tax-deductible donations by individuals.  </w:t>
      </w:r>
    </w:p>
    <w:p w14:paraId="3428392E" w14:textId="77777777" w:rsidR="005360BB" w:rsidRDefault="005360BB" w:rsidP="005360BB">
      <w:pPr>
        <w:spacing w:after="0" w:line="240" w:lineRule="auto"/>
        <w:ind w:left="720"/>
      </w:pPr>
    </w:p>
    <w:p w14:paraId="062671C1" w14:textId="39D3D5A0" w:rsidR="005360BB" w:rsidRDefault="005360BB" w:rsidP="005360BB">
      <w:pPr>
        <w:spacing w:after="0" w:line="240" w:lineRule="auto"/>
        <w:ind w:left="720"/>
      </w:pPr>
      <w:r>
        <w:t xml:space="preserve">Limiting or withdrawing tax incentives which, according to the Commission’s </w:t>
      </w:r>
      <w:r w:rsidR="007D27D6">
        <w:t>D</w:t>
      </w:r>
      <w:r>
        <w:t xml:space="preserve">raft </w:t>
      </w:r>
      <w:r w:rsidR="007D27D6">
        <w:t>R</w:t>
      </w:r>
      <w:r>
        <w:t xml:space="preserve">eport, contribute to giving, will not be a positive enabler to doubling </w:t>
      </w:r>
      <w:r w:rsidR="002E3592">
        <w:t xml:space="preserve">or even increasing </w:t>
      </w:r>
      <w:r>
        <w:t>philanthropy by 2030. It will, in fact, have the adverse effect</w:t>
      </w:r>
      <w:r w:rsidR="00483119">
        <w:t>.</w:t>
      </w:r>
    </w:p>
    <w:p w14:paraId="0EC266E1" w14:textId="77777777" w:rsidR="006141E2" w:rsidRDefault="006141E2" w:rsidP="005360BB">
      <w:pPr>
        <w:spacing w:after="0" w:line="240" w:lineRule="auto"/>
        <w:ind w:left="720"/>
      </w:pPr>
    </w:p>
    <w:p w14:paraId="0A819211" w14:textId="673F6BED" w:rsidR="003E1FA8" w:rsidRDefault="003E1FA8" w:rsidP="005360BB">
      <w:pPr>
        <w:spacing w:after="0" w:line="240" w:lineRule="auto"/>
        <w:ind w:left="720"/>
      </w:pPr>
      <w:r w:rsidRPr="003E1FA8">
        <w:t xml:space="preserve">There is no evidence that if donations are not given to school building funds </w:t>
      </w:r>
      <w:r>
        <w:t>because</w:t>
      </w:r>
      <w:r w:rsidRPr="003E1FA8">
        <w:t xml:space="preserve"> there is no tax deductibility</w:t>
      </w:r>
      <w:r>
        <w:t>, that</w:t>
      </w:r>
      <w:r w:rsidRPr="003E1FA8">
        <w:t xml:space="preserve"> those donations will then be given to other causes. The </w:t>
      </w:r>
      <w:r>
        <w:t>outcome</w:t>
      </w:r>
      <w:r w:rsidRPr="003E1FA8">
        <w:t xml:space="preserve"> will</w:t>
      </w:r>
      <w:r>
        <w:t>,</w:t>
      </w:r>
      <w:r w:rsidRPr="003E1FA8">
        <w:t xml:space="preserve"> therefore</w:t>
      </w:r>
      <w:r>
        <w:t>,</w:t>
      </w:r>
      <w:r w:rsidRPr="003E1FA8">
        <w:t xml:space="preserve"> be a reduction in overall philanthropic giving in Australia and not the increase proposed by the Commission.</w:t>
      </w:r>
    </w:p>
    <w:p w14:paraId="0BE6BD00" w14:textId="77777777" w:rsidR="005360BB" w:rsidRDefault="005360BB" w:rsidP="005360BB">
      <w:pPr>
        <w:pStyle w:val="ListParagraph"/>
        <w:spacing w:after="0" w:line="240" w:lineRule="auto"/>
      </w:pPr>
    </w:p>
    <w:p w14:paraId="2DED7235" w14:textId="2C6CCD94" w:rsidR="005360BB" w:rsidRDefault="005360BB" w:rsidP="005360BB">
      <w:pPr>
        <w:pStyle w:val="ListParagraph"/>
        <w:numPr>
          <w:ilvl w:val="0"/>
          <w:numId w:val="11"/>
        </w:numPr>
        <w:rPr>
          <w:rFonts w:eastAsia="Times New Roman"/>
        </w:rPr>
      </w:pPr>
      <w:r>
        <w:t xml:space="preserve">The Commission states that its recommendations are based on data and research, yet the </w:t>
      </w:r>
      <w:r w:rsidR="007D27D6">
        <w:t>D</w:t>
      </w:r>
      <w:r>
        <w:t xml:space="preserve">raft </w:t>
      </w:r>
      <w:r w:rsidR="007D27D6">
        <w:t>R</w:t>
      </w:r>
      <w:r>
        <w:t xml:space="preserve">eport does not include </w:t>
      </w:r>
      <w:r w:rsidR="007D27D6">
        <w:t xml:space="preserve">any </w:t>
      </w:r>
      <w:r>
        <w:t xml:space="preserve">data around this recommendation. </w:t>
      </w:r>
      <w:r w:rsidR="007D27D6">
        <w:t>Please could you provide the</w:t>
      </w:r>
      <w:r>
        <w:t xml:space="preserve"> data that supports </w:t>
      </w:r>
      <w:r w:rsidRPr="00775EB1">
        <w:rPr>
          <w:rFonts w:eastAsia="Times New Roman"/>
        </w:rPr>
        <w:t>the Commission</w:t>
      </w:r>
      <w:r>
        <w:rPr>
          <w:rFonts w:eastAsia="Times New Roman"/>
        </w:rPr>
        <w:t>’s</w:t>
      </w:r>
      <w:r w:rsidRPr="00775EB1">
        <w:rPr>
          <w:rFonts w:eastAsia="Times New Roman"/>
        </w:rPr>
        <w:t xml:space="preserve"> premise that a </w:t>
      </w:r>
      <w:r w:rsidRPr="005930A0">
        <w:rPr>
          <w:rFonts w:eastAsia="Times New Roman"/>
          <w:u w:val="single"/>
        </w:rPr>
        <w:t>potential</w:t>
      </w:r>
      <w:r>
        <w:rPr>
          <w:rFonts w:eastAsia="Times New Roman"/>
        </w:rPr>
        <w:t xml:space="preserve"> </w:t>
      </w:r>
      <w:r w:rsidRPr="00775EB1">
        <w:rPr>
          <w:rFonts w:eastAsia="Times New Roman"/>
        </w:rPr>
        <w:t>risk exists that parents are being charged lower fees as a direct reward for giving to building funds</w:t>
      </w:r>
      <w:r>
        <w:rPr>
          <w:rFonts w:eastAsia="Times New Roman"/>
        </w:rPr>
        <w:t xml:space="preserve"> with DGR</w:t>
      </w:r>
      <w:r w:rsidRPr="00775EB1">
        <w:rPr>
          <w:rFonts w:eastAsia="Times New Roman"/>
        </w:rPr>
        <w:t xml:space="preserve">? </w:t>
      </w:r>
    </w:p>
    <w:p w14:paraId="0943207E" w14:textId="77777777" w:rsidR="005360BB" w:rsidRDefault="005360BB" w:rsidP="005360BB">
      <w:pPr>
        <w:pStyle w:val="ListParagraph"/>
      </w:pPr>
    </w:p>
    <w:p w14:paraId="6F422EF4" w14:textId="71FF90FE" w:rsidR="005360BB" w:rsidRDefault="005360BB" w:rsidP="005360BB">
      <w:pPr>
        <w:pStyle w:val="ListParagraph"/>
        <w:rPr>
          <w:rFonts w:eastAsia="Times New Roman"/>
        </w:rPr>
      </w:pPr>
      <w:r>
        <w:rPr>
          <w:rFonts w:eastAsia="Times New Roman"/>
        </w:rPr>
        <w:t>L</w:t>
      </w:r>
      <w:r w:rsidRPr="00775EB1">
        <w:rPr>
          <w:rFonts w:eastAsia="Times New Roman"/>
        </w:rPr>
        <w:t xml:space="preserve">egislation already exists to prevent donors receiving a substantive benefit </w:t>
      </w:r>
      <w:proofErr w:type="gramStart"/>
      <w:r w:rsidRPr="00775EB1">
        <w:rPr>
          <w:rFonts w:eastAsia="Times New Roman"/>
        </w:rPr>
        <w:t>as a result of</w:t>
      </w:r>
      <w:proofErr w:type="gramEnd"/>
      <w:r w:rsidRPr="00775EB1">
        <w:rPr>
          <w:rFonts w:eastAsia="Times New Roman"/>
        </w:rPr>
        <w:t xml:space="preserve"> their gift (ATO rules)</w:t>
      </w:r>
      <w:r>
        <w:rPr>
          <w:rFonts w:eastAsia="Times New Roman"/>
        </w:rPr>
        <w:t>. Additionally, schools who are actively fundraising have governance and ethics standards that they abide by so as NOT to deliberately create any personal gain to donors</w:t>
      </w:r>
      <w:r w:rsidRPr="00775EB1">
        <w:rPr>
          <w:rFonts w:eastAsia="Times New Roman"/>
        </w:rPr>
        <w:t>. </w:t>
      </w:r>
      <w:r w:rsidR="00170056">
        <w:rPr>
          <w:rFonts w:eastAsia="Times New Roman"/>
        </w:rPr>
        <w:sym w:font="Wingdings 2" w:char="F06B"/>
      </w:r>
      <w:r>
        <w:rPr>
          <w:rFonts w:eastAsia="Times New Roman"/>
        </w:rPr>
        <w:t xml:space="preserve"> </w:t>
      </w:r>
    </w:p>
    <w:p w14:paraId="274CF4CF" w14:textId="77777777" w:rsidR="00483119" w:rsidRDefault="00483119" w:rsidP="005360BB">
      <w:pPr>
        <w:pStyle w:val="ListParagraph"/>
        <w:rPr>
          <w:rFonts w:eastAsia="Times New Roman"/>
        </w:rPr>
      </w:pPr>
    </w:p>
    <w:p w14:paraId="5DC5DD75" w14:textId="14C9F2B6" w:rsidR="005360BB" w:rsidRDefault="005360BB" w:rsidP="005360BB">
      <w:pPr>
        <w:pStyle w:val="ListParagraph"/>
        <w:rPr>
          <w:rFonts w:eastAsia="Times New Roman"/>
        </w:rPr>
      </w:pPr>
      <w:r>
        <w:rPr>
          <w:rFonts w:eastAsia="Times New Roman"/>
        </w:rPr>
        <w:t xml:space="preserve">The </w:t>
      </w:r>
      <w:r w:rsidR="00205312">
        <w:rPr>
          <w:rFonts w:eastAsia="Times New Roman"/>
        </w:rPr>
        <w:t>construction</w:t>
      </w:r>
      <w:r>
        <w:rPr>
          <w:rFonts w:eastAsia="Times New Roman"/>
        </w:rPr>
        <w:t xml:space="preserve"> cycle of larger building projects often equals or extends beyond the school </w:t>
      </w:r>
      <w:proofErr w:type="gramStart"/>
      <w:r w:rsidR="00205312">
        <w:rPr>
          <w:rFonts w:eastAsia="Times New Roman"/>
        </w:rPr>
        <w:t>life-</w:t>
      </w:r>
      <w:r>
        <w:rPr>
          <w:rFonts w:eastAsia="Times New Roman"/>
        </w:rPr>
        <w:t>cycle</w:t>
      </w:r>
      <w:proofErr w:type="gramEnd"/>
      <w:r>
        <w:rPr>
          <w:rFonts w:eastAsia="Times New Roman"/>
        </w:rPr>
        <w:t xml:space="preserve"> of a student so </w:t>
      </w:r>
      <w:r w:rsidR="00A51706">
        <w:rPr>
          <w:rFonts w:eastAsia="Times New Roman"/>
        </w:rPr>
        <w:t>any</w:t>
      </w:r>
      <w:r>
        <w:rPr>
          <w:rFonts w:eastAsia="Times New Roman"/>
        </w:rPr>
        <w:t xml:space="preserve"> </w:t>
      </w:r>
      <w:r w:rsidR="00066E31">
        <w:rPr>
          <w:rFonts w:eastAsia="Times New Roman"/>
        </w:rPr>
        <w:t xml:space="preserve">personal </w:t>
      </w:r>
      <w:r>
        <w:rPr>
          <w:rFonts w:eastAsia="Times New Roman"/>
        </w:rPr>
        <w:t xml:space="preserve">benefit of a </w:t>
      </w:r>
      <w:r w:rsidR="00A51706">
        <w:rPr>
          <w:rFonts w:eastAsia="Times New Roman"/>
        </w:rPr>
        <w:t xml:space="preserve">newly constructed </w:t>
      </w:r>
      <w:r>
        <w:rPr>
          <w:rFonts w:eastAsia="Times New Roman"/>
        </w:rPr>
        <w:t>building is mostly felt and experienced by future generations. The notion of ‘paying it forward’ or providing for future</w:t>
      </w:r>
      <w:r w:rsidR="00D874CA">
        <w:rPr>
          <w:rFonts w:eastAsia="Times New Roman"/>
        </w:rPr>
        <w:t xml:space="preserve"> </w:t>
      </w:r>
      <w:r>
        <w:rPr>
          <w:rFonts w:eastAsia="Times New Roman"/>
        </w:rPr>
        <w:t xml:space="preserve">generations is a core focus for many building projects and is the foundation on which </w:t>
      </w:r>
      <w:r w:rsidR="00066E31">
        <w:rPr>
          <w:rFonts w:eastAsia="Times New Roman"/>
        </w:rPr>
        <w:t>more established</w:t>
      </w:r>
      <w:r>
        <w:rPr>
          <w:rFonts w:eastAsia="Times New Roman"/>
        </w:rPr>
        <w:t xml:space="preserve"> schools build their philanthropy programs.</w:t>
      </w:r>
    </w:p>
    <w:p w14:paraId="0ACDB490" w14:textId="77777777" w:rsidR="005360BB" w:rsidRPr="00316CC0" w:rsidRDefault="005360BB" w:rsidP="005360BB">
      <w:pPr>
        <w:pStyle w:val="ListParagraph"/>
        <w:rPr>
          <w:rFonts w:eastAsia="Times New Roman"/>
        </w:rPr>
      </w:pPr>
    </w:p>
    <w:p w14:paraId="74D9DC5F" w14:textId="4B87D5E2" w:rsidR="00C7501A" w:rsidRDefault="005360BB" w:rsidP="002E592F">
      <w:pPr>
        <w:pStyle w:val="ListParagraph"/>
        <w:numPr>
          <w:ilvl w:val="0"/>
          <w:numId w:val="11"/>
        </w:numPr>
        <w:rPr>
          <w:rFonts w:eastAsia="Times New Roman"/>
        </w:rPr>
      </w:pPr>
      <w:r w:rsidRPr="00580C69">
        <w:rPr>
          <w:rFonts w:eastAsia="Times New Roman"/>
        </w:rPr>
        <w:t xml:space="preserve">Scant </w:t>
      </w:r>
      <w:r w:rsidR="0099022E" w:rsidRPr="00580C69">
        <w:rPr>
          <w:rFonts w:eastAsia="Times New Roman"/>
        </w:rPr>
        <w:t>reference was made</w:t>
      </w:r>
      <w:r w:rsidRPr="00580C69">
        <w:rPr>
          <w:rFonts w:eastAsia="Times New Roman"/>
        </w:rPr>
        <w:t xml:space="preserve"> in the Report about the wider community benefit </w:t>
      </w:r>
      <w:r w:rsidR="00257934" w:rsidRPr="00580C69">
        <w:rPr>
          <w:rFonts w:eastAsia="Times New Roman"/>
        </w:rPr>
        <w:t xml:space="preserve">and impact </w:t>
      </w:r>
      <w:r w:rsidRPr="00580C69">
        <w:rPr>
          <w:rFonts w:eastAsia="Times New Roman"/>
        </w:rPr>
        <w:t xml:space="preserve">that projects delivered through school building funds have made possible. Many schools </w:t>
      </w:r>
      <w:r w:rsidR="005E2367" w:rsidRPr="00580C69">
        <w:rPr>
          <w:rFonts w:eastAsia="Times New Roman"/>
        </w:rPr>
        <w:t xml:space="preserve">have </w:t>
      </w:r>
      <w:r w:rsidRPr="00580C69">
        <w:rPr>
          <w:rFonts w:eastAsia="Times New Roman"/>
        </w:rPr>
        <w:t xml:space="preserve">more externally focussed engagement with and support of their local community </w:t>
      </w:r>
      <w:r w:rsidR="00F84E90" w:rsidRPr="00580C69">
        <w:rPr>
          <w:rFonts w:eastAsia="Times New Roman"/>
        </w:rPr>
        <w:t>as a strategic priority</w:t>
      </w:r>
      <w:r w:rsidR="00A51706" w:rsidRPr="00580C69">
        <w:rPr>
          <w:rFonts w:eastAsia="Times New Roman"/>
        </w:rPr>
        <w:t>.</w:t>
      </w:r>
      <w:r w:rsidR="00F84E90" w:rsidRPr="00580C69">
        <w:rPr>
          <w:rFonts w:eastAsia="Times New Roman"/>
        </w:rPr>
        <w:t xml:space="preserve"> </w:t>
      </w:r>
      <w:r w:rsidR="00A51706" w:rsidRPr="00580C69">
        <w:rPr>
          <w:rFonts w:eastAsia="Times New Roman"/>
        </w:rPr>
        <w:t>This</w:t>
      </w:r>
      <w:r w:rsidRPr="00580C69">
        <w:rPr>
          <w:rFonts w:eastAsia="Times New Roman"/>
        </w:rPr>
        <w:t xml:space="preserve"> would also be hugely impacted should </w:t>
      </w:r>
      <w:r w:rsidR="00FA79C7" w:rsidRPr="00580C69">
        <w:rPr>
          <w:rFonts w:eastAsia="Times New Roman"/>
        </w:rPr>
        <w:t>donating</w:t>
      </w:r>
      <w:r w:rsidRPr="00580C69">
        <w:rPr>
          <w:rFonts w:eastAsia="Times New Roman"/>
        </w:rPr>
        <w:t xml:space="preserve"> to school building funds decrease </w:t>
      </w:r>
      <w:proofErr w:type="gramStart"/>
      <w:r w:rsidRPr="00580C69">
        <w:rPr>
          <w:rFonts w:eastAsia="Times New Roman"/>
        </w:rPr>
        <w:t>as a result of</w:t>
      </w:r>
      <w:proofErr w:type="gramEnd"/>
      <w:r w:rsidRPr="00580C69">
        <w:rPr>
          <w:rFonts w:eastAsia="Times New Roman"/>
        </w:rPr>
        <w:t xml:space="preserve"> the withdrawal of DGR incentives. Many of these community focussed facilities benefit regional and Indigenous communities where larger philanthropic programs are more difficult to implement or take longer to complete</w:t>
      </w:r>
      <w:r w:rsidR="00580C69" w:rsidRPr="00580C69">
        <w:rPr>
          <w:rFonts w:eastAsia="Times New Roman"/>
        </w:rPr>
        <w:t>,</w:t>
      </w:r>
      <w:r w:rsidR="00580C69" w:rsidRPr="00580C69">
        <w:t xml:space="preserve"> </w:t>
      </w:r>
      <w:r w:rsidR="00580C69" w:rsidRPr="00580C69">
        <w:rPr>
          <w:rFonts w:eastAsia="Times New Roman"/>
        </w:rPr>
        <w:t>but where they also have very considerable impact across those communities.</w:t>
      </w:r>
    </w:p>
    <w:p w14:paraId="3B912D69" w14:textId="77777777" w:rsidR="00580C69" w:rsidRDefault="00580C69" w:rsidP="00580C69">
      <w:pPr>
        <w:pStyle w:val="ListParagraph"/>
        <w:rPr>
          <w:rFonts w:eastAsia="Times New Roman"/>
        </w:rPr>
      </w:pPr>
    </w:p>
    <w:p w14:paraId="6347A851" w14:textId="77777777" w:rsidR="00D874CA" w:rsidRDefault="00D874CA" w:rsidP="00580C69">
      <w:pPr>
        <w:pStyle w:val="ListParagraph"/>
        <w:rPr>
          <w:rFonts w:eastAsia="Times New Roman"/>
        </w:rPr>
      </w:pPr>
    </w:p>
    <w:p w14:paraId="5BB04B9D" w14:textId="77777777" w:rsidR="00D874CA" w:rsidRDefault="00D874CA" w:rsidP="00580C69">
      <w:pPr>
        <w:pStyle w:val="ListParagraph"/>
        <w:rPr>
          <w:rFonts w:eastAsia="Times New Roman"/>
        </w:rPr>
      </w:pPr>
    </w:p>
    <w:p w14:paraId="7A8E4217" w14:textId="77777777" w:rsidR="00D874CA" w:rsidRDefault="00D874CA" w:rsidP="00580C69">
      <w:pPr>
        <w:pStyle w:val="ListParagraph"/>
        <w:rPr>
          <w:rFonts w:eastAsia="Times New Roman"/>
        </w:rPr>
      </w:pPr>
    </w:p>
    <w:p w14:paraId="602B736B" w14:textId="77777777" w:rsidR="00D874CA" w:rsidRPr="00580C69" w:rsidRDefault="00D874CA" w:rsidP="00580C69">
      <w:pPr>
        <w:pStyle w:val="ListParagraph"/>
        <w:rPr>
          <w:rFonts w:eastAsia="Times New Roman"/>
        </w:rPr>
      </w:pPr>
    </w:p>
    <w:p w14:paraId="71A191ED" w14:textId="689D8DDF" w:rsidR="00C7501A" w:rsidRPr="00C7501A" w:rsidRDefault="00C04E22" w:rsidP="00C7501A">
      <w:pPr>
        <w:pStyle w:val="ListParagraph"/>
        <w:numPr>
          <w:ilvl w:val="0"/>
          <w:numId w:val="11"/>
        </w:numPr>
        <w:rPr>
          <w:rFonts w:eastAsia="Times New Roman"/>
        </w:rPr>
      </w:pPr>
      <w:r>
        <w:rPr>
          <w:rFonts w:eastAsia="Times New Roman"/>
        </w:rPr>
        <w:t xml:space="preserve">Creating state-of-the-art facilities for our young people to learn in not only benefits the individual students but contributes to the overall </w:t>
      </w:r>
      <w:r w:rsidR="00E32AE8">
        <w:rPr>
          <w:rFonts w:eastAsia="Times New Roman"/>
        </w:rPr>
        <w:t xml:space="preserve">quality of education in Australia. With over </w:t>
      </w:r>
      <w:r w:rsidR="005C1909">
        <w:rPr>
          <w:rFonts w:eastAsia="Times New Roman"/>
        </w:rPr>
        <w:t xml:space="preserve">776,657 additional enrolments </w:t>
      </w:r>
      <w:r w:rsidR="00DB6BE9">
        <w:rPr>
          <w:rFonts w:eastAsia="Times New Roman"/>
        </w:rPr>
        <w:t>in Government, Catholic and Independent schools between 2000 – 2022</w:t>
      </w:r>
      <w:r w:rsidR="00CD5CD4">
        <w:rPr>
          <w:rFonts w:eastAsia="Times New Roman"/>
        </w:rPr>
        <w:t xml:space="preserve"> </w:t>
      </w:r>
      <w:r w:rsidR="00385692">
        <w:rPr>
          <w:rFonts w:eastAsia="Times New Roman"/>
        </w:rPr>
        <w:sym w:font="Wingdings 2" w:char="F06A"/>
      </w:r>
      <w:r w:rsidR="00536E0D">
        <w:rPr>
          <w:rFonts w:eastAsia="Times New Roman"/>
        </w:rPr>
        <w:t>,</w:t>
      </w:r>
      <w:r w:rsidR="00DB6BE9">
        <w:rPr>
          <w:rFonts w:eastAsia="Times New Roman"/>
        </w:rPr>
        <w:t xml:space="preserve"> the Government </w:t>
      </w:r>
      <w:r w:rsidR="003525C4">
        <w:rPr>
          <w:rFonts w:eastAsia="Times New Roman"/>
        </w:rPr>
        <w:t xml:space="preserve">is unable </w:t>
      </w:r>
      <w:r w:rsidR="00DB6BE9">
        <w:rPr>
          <w:rFonts w:eastAsia="Times New Roman"/>
        </w:rPr>
        <w:t xml:space="preserve">to </w:t>
      </w:r>
      <w:r w:rsidR="00B85AD4">
        <w:rPr>
          <w:rFonts w:eastAsia="Times New Roman"/>
        </w:rPr>
        <w:t>keep pace with infrastructure</w:t>
      </w:r>
      <w:r w:rsidR="000F4967">
        <w:rPr>
          <w:rFonts w:eastAsia="Times New Roman"/>
        </w:rPr>
        <w:t xml:space="preserve"> </w:t>
      </w:r>
      <w:r w:rsidR="003525C4">
        <w:rPr>
          <w:rFonts w:eastAsia="Times New Roman"/>
        </w:rPr>
        <w:t>demands</w:t>
      </w:r>
      <w:r w:rsidR="000F4967">
        <w:rPr>
          <w:rFonts w:eastAsia="Times New Roman"/>
        </w:rPr>
        <w:t xml:space="preserve"> without </w:t>
      </w:r>
      <w:r w:rsidR="00B53EF7">
        <w:rPr>
          <w:rFonts w:eastAsia="Times New Roman"/>
        </w:rPr>
        <w:t>individual support through philanthropy</w:t>
      </w:r>
      <w:r w:rsidR="00536E0D">
        <w:rPr>
          <w:rFonts w:eastAsia="Times New Roman"/>
        </w:rPr>
        <w:t>.</w:t>
      </w:r>
    </w:p>
    <w:p w14:paraId="63C8F7C2" w14:textId="77777777" w:rsidR="00135798" w:rsidRDefault="00135798" w:rsidP="00135798">
      <w:pPr>
        <w:pStyle w:val="ListParagraph"/>
        <w:rPr>
          <w:rFonts w:eastAsia="Times New Roman"/>
        </w:rPr>
      </w:pPr>
    </w:p>
    <w:p w14:paraId="71A5614C" w14:textId="3F187365" w:rsidR="006D6C95" w:rsidRPr="007E4D8D" w:rsidRDefault="00D86386" w:rsidP="006D6C95">
      <w:pPr>
        <w:spacing w:after="0" w:line="240" w:lineRule="auto"/>
        <w:rPr>
          <w:b/>
          <w:bCs/>
        </w:rPr>
      </w:pPr>
      <w:r>
        <w:rPr>
          <w:b/>
          <w:bCs/>
        </w:rPr>
        <w:t>D</w:t>
      </w:r>
      <w:r w:rsidR="00511E67" w:rsidRPr="007E4D8D">
        <w:rPr>
          <w:b/>
          <w:bCs/>
        </w:rPr>
        <w:t xml:space="preserve">ata </w:t>
      </w:r>
      <w:r w:rsidR="00401C55">
        <w:rPr>
          <w:b/>
          <w:bCs/>
        </w:rPr>
        <w:t>and Feedback</w:t>
      </w:r>
    </w:p>
    <w:p w14:paraId="03EE8E80" w14:textId="7DF7B505" w:rsidR="009614C2" w:rsidRDefault="00536FBE" w:rsidP="00C04D67">
      <w:hyperlink r:id="rId10" w:history="1">
        <w:r w:rsidR="009614C2" w:rsidRPr="000E65AD">
          <w:rPr>
            <w:rStyle w:val="Hyperlink"/>
          </w:rPr>
          <w:t>Educate Plus</w:t>
        </w:r>
      </w:hyperlink>
      <w:r w:rsidR="009614C2">
        <w:t xml:space="preserve"> and </w:t>
      </w:r>
      <w:hyperlink r:id="rId11" w:history="1">
        <w:r w:rsidR="009614C2" w:rsidRPr="000E65AD">
          <w:rPr>
            <w:rStyle w:val="Hyperlink"/>
          </w:rPr>
          <w:t>CASE</w:t>
        </w:r>
      </w:hyperlink>
      <w:r w:rsidR="009614C2">
        <w:t xml:space="preserve"> (Council for Advancement and Support </w:t>
      </w:r>
      <w:r w:rsidR="007E4D8D">
        <w:t xml:space="preserve">of Education) </w:t>
      </w:r>
      <w:r w:rsidR="002415BF">
        <w:sym w:font="Wingdings 2" w:char="F06C"/>
      </w:r>
      <w:r w:rsidR="002415BF">
        <w:t xml:space="preserve"> </w:t>
      </w:r>
      <w:r w:rsidR="00E1419E">
        <w:t>are</w:t>
      </w:r>
      <w:r w:rsidR="004627EA">
        <w:t xml:space="preserve"> </w:t>
      </w:r>
      <w:r w:rsidR="00353CFF">
        <w:t>two of the largest membership organisations supporting those in education who handle fundraising in schools</w:t>
      </w:r>
      <w:r w:rsidR="002415BF">
        <w:t xml:space="preserve"> in Australia</w:t>
      </w:r>
      <w:r w:rsidR="00E1419E">
        <w:t xml:space="preserve">. </w:t>
      </w:r>
      <w:r w:rsidR="00CF07A8">
        <w:t>When the Draft Report was released, w</w:t>
      </w:r>
      <w:r w:rsidR="00E1419E">
        <w:t xml:space="preserve">e </w:t>
      </w:r>
      <w:r w:rsidR="00C261BB">
        <w:t xml:space="preserve">immediately </w:t>
      </w:r>
      <w:r w:rsidR="00353CFF">
        <w:t>collaborated</w:t>
      </w:r>
      <w:r w:rsidR="007E4D8D">
        <w:t xml:space="preserve"> </w:t>
      </w:r>
      <w:r w:rsidR="00C261BB">
        <w:t xml:space="preserve">and consulted with our members </w:t>
      </w:r>
      <w:r w:rsidR="00AC0C7D">
        <w:t xml:space="preserve">to gather data that could </w:t>
      </w:r>
      <w:r w:rsidR="0084339A">
        <w:t xml:space="preserve">better </w:t>
      </w:r>
      <w:r w:rsidR="00AC0C7D">
        <w:t xml:space="preserve">inform this </w:t>
      </w:r>
      <w:r w:rsidR="00DE009A">
        <w:t>discussion</w:t>
      </w:r>
      <w:r w:rsidR="00C261BB">
        <w:t xml:space="preserve">.  </w:t>
      </w:r>
      <w:r w:rsidR="00C04D67">
        <w:t xml:space="preserve">Our </w:t>
      </w:r>
      <w:r w:rsidR="00C261BB">
        <w:t xml:space="preserve">members </w:t>
      </w:r>
      <w:r w:rsidR="00C04D67">
        <w:t xml:space="preserve">are </w:t>
      </w:r>
      <w:r w:rsidR="00C261BB">
        <w:t xml:space="preserve">very keen </w:t>
      </w:r>
      <w:r w:rsidR="00C261BB" w:rsidRPr="00FE1393">
        <w:t>to engage in more profound discussions</w:t>
      </w:r>
      <w:r w:rsidR="00C261BB">
        <w:t xml:space="preserve"> with the Commission</w:t>
      </w:r>
      <w:r w:rsidR="00C261BB" w:rsidRPr="00FE1393">
        <w:t xml:space="preserve">, offer </w:t>
      </w:r>
      <w:r w:rsidR="00C261BB">
        <w:t>real-life</w:t>
      </w:r>
      <w:r w:rsidR="00C261BB" w:rsidRPr="00FE1393">
        <w:t xml:space="preserve"> insights and </w:t>
      </w:r>
      <w:r w:rsidR="00C261BB">
        <w:t xml:space="preserve">provide </w:t>
      </w:r>
      <w:r w:rsidR="00C261BB" w:rsidRPr="00FE1393">
        <w:t xml:space="preserve">data sourced </w:t>
      </w:r>
      <w:r w:rsidR="001E349F">
        <w:t xml:space="preserve">directly </w:t>
      </w:r>
      <w:r w:rsidR="00C261BB" w:rsidRPr="00FE1393">
        <w:t>from Australia</w:t>
      </w:r>
      <w:r w:rsidR="00C261BB">
        <w:t xml:space="preserve">n schools. </w:t>
      </w:r>
    </w:p>
    <w:p w14:paraId="1BBF8717" w14:textId="608E7F96" w:rsidR="00DE009A" w:rsidRDefault="00DE009A" w:rsidP="006D6C95">
      <w:pPr>
        <w:spacing w:after="0" w:line="240" w:lineRule="auto"/>
      </w:pPr>
      <w:r>
        <w:t>We held a webinar</w:t>
      </w:r>
      <w:r w:rsidR="00C04D67">
        <w:t>,</w:t>
      </w:r>
      <w:r>
        <w:t xml:space="preserve"> open to anyone working in fundraising in schools</w:t>
      </w:r>
      <w:r w:rsidR="00C04D67">
        <w:t>,</w:t>
      </w:r>
      <w:r>
        <w:t xml:space="preserve"> and </w:t>
      </w:r>
      <w:r w:rsidR="00977A49">
        <w:t xml:space="preserve">over 130 people registered including </w:t>
      </w:r>
      <w:r>
        <w:t>Heads of School, Director</w:t>
      </w:r>
      <w:r w:rsidR="00977A49">
        <w:t>s</w:t>
      </w:r>
      <w:r>
        <w:t xml:space="preserve"> of Philanthropy, Foundation Managers and </w:t>
      </w:r>
      <w:r w:rsidR="00977A49">
        <w:t>Business Managers.</w:t>
      </w:r>
    </w:p>
    <w:p w14:paraId="3DFBE41E" w14:textId="77777777" w:rsidR="00977A49" w:rsidRDefault="00977A49" w:rsidP="006D6C95">
      <w:pPr>
        <w:spacing w:after="0" w:line="240" w:lineRule="auto"/>
      </w:pPr>
    </w:p>
    <w:p w14:paraId="435DAC49" w14:textId="5A646102" w:rsidR="00977A49" w:rsidRDefault="00977A49" w:rsidP="006D6C95">
      <w:pPr>
        <w:spacing w:after="0" w:line="240" w:lineRule="auto"/>
      </w:pPr>
      <w:r>
        <w:t xml:space="preserve">We </w:t>
      </w:r>
      <w:r w:rsidR="002B1F34">
        <w:t xml:space="preserve">discussed the </w:t>
      </w:r>
      <w:r w:rsidR="00F43980">
        <w:t>D</w:t>
      </w:r>
      <w:r w:rsidR="002B1F34">
        <w:t xml:space="preserve">raft </w:t>
      </w:r>
      <w:r w:rsidR="00F43980">
        <w:t>R</w:t>
      </w:r>
      <w:r w:rsidR="002B1F34">
        <w:t xml:space="preserve">eport and stressed the need for real data to share with the </w:t>
      </w:r>
      <w:r w:rsidR="0008634E">
        <w:t>Commission.</w:t>
      </w:r>
    </w:p>
    <w:p w14:paraId="6C9F0ABC" w14:textId="77777777" w:rsidR="0008634E" w:rsidRDefault="0008634E" w:rsidP="006D6C95">
      <w:pPr>
        <w:spacing w:after="0" w:line="240" w:lineRule="auto"/>
      </w:pPr>
    </w:p>
    <w:p w14:paraId="3A154D57" w14:textId="7AFB31AE" w:rsidR="0008634E" w:rsidRDefault="0008634E" w:rsidP="006D6C95">
      <w:pPr>
        <w:spacing w:after="0" w:line="240" w:lineRule="auto"/>
      </w:pPr>
      <w:r>
        <w:t>Herewith the findings</w:t>
      </w:r>
      <w:r w:rsidR="00B82DE3">
        <w:t xml:space="preserve"> of a survey we distributed to our members</w:t>
      </w:r>
      <w:r>
        <w:t>:</w:t>
      </w:r>
      <w:r w:rsidR="00570B8E">
        <w:t xml:space="preserve"> (Survey results are available on request)</w:t>
      </w:r>
    </w:p>
    <w:p w14:paraId="2E1C5401" w14:textId="003BD366" w:rsidR="0008634E" w:rsidRDefault="0027557C" w:rsidP="00054013">
      <w:pPr>
        <w:pStyle w:val="ListParagraph"/>
        <w:numPr>
          <w:ilvl w:val="0"/>
          <w:numId w:val="12"/>
        </w:numPr>
        <w:spacing w:after="0" w:line="240" w:lineRule="auto"/>
      </w:pPr>
      <w:r>
        <w:t>Participants represented every state in Australia (except the ACT)</w:t>
      </w:r>
    </w:p>
    <w:p w14:paraId="5F378F53" w14:textId="0B820E1A" w:rsidR="0027557C" w:rsidRDefault="007E0382" w:rsidP="00054013">
      <w:pPr>
        <w:pStyle w:val="ListParagraph"/>
        <w:numPr>
          <w:ilvl w:val="0"/>
          <w:numId w:val="12"/>
        </w:numPr>
        <w:spacing w:after="0" w:line="240" w:lineRule="auto"/>
      </w:pPr>
      <w:r>
        <w:t xml:space="preserve">84.62% were from Independent K – 12 </w:t>
      </w:r>
      <w:proofErr w:type="gramStart"/>
      <w:r>
        <w:t>schools</w:t>
      </w:r>
      <w:proofErr w:type="gramEnd"/>
    </w:p>
    <w:p w14:paraId="66D87E4B" w14:textId="1A3F99E9" w:rsidR="007E0382" w:rsidRDefault="00F63832" w:rsidP="00054013">
      <w:pPr>
        <w:pStyle w:val="ListParagraph"/>
        <w:numPr>
          <w:ilvl w:val="0"/>
          <w:numId w:val="12"/>
        </w:numPr>
        <w:spacing w:after="0" w:line="240" w:lineRule="auto"/>
      </w:pPr>
      <w:r>
        <w:t xml:space="preserve">Over 30.77% </w:t>
      </w:r>
      <w:r w:rsidR="00EC0DD8">
        <w:t xml:space="preserve">have </w:t>
      </w:r>
      <w:r w:rsidR="0040740E">
        <w:t xml:space="preserve">raised </w:t>
      </w:r>
      <w:r w:rsidR="00161D79">
        <w:t>more than</w:t>
      </w:r>
      <w:r w:rsidR="0040740E">
        <w:t xml:space="preserve"> $5,000,000 </w:t>
      </w:r>
      <w:r w:rsidR="00EE549F">
        <w:t xml:space="preserve">philanthropically </w:t>
      </w:r>
      <w:r w:rsidR="0040740E">
        <w:t xml:space="preserve">in the past five </w:t>
      </w:r>
      <w:proofErr w:type="gramStart"/>
      <w:r w:rsidR="0040740E">
        <w:t>years</w:t>
      </w:r>
      <w:proofErr w:type="gramEnd"/>
    </w:p>
    <w:p w14:paraId="28E73B13" w14:textId="6A9D75CD" w:rsidR="0040740E" w:rsidRDefault="006C30E3" w:rsidP="00054013">
      <w:pPr>
        <w:pStyle w:val="ListParagraph"/>
        <w:numPr>
          <w:ilvl w:val="0"/>
          <w:numId w:val="12"/>
        </w:numPr>
        <w:spacing w:after="0" w:line="240" w:lineRule="auto"/>
      </w:pPr>
      <w:r>
        <w:t>73% indicated an increase in donors to the Building Fund</w:t>
      </w:r>
      <w:r w:rsidR="00460CDB">
        <w:t xml:space="preserve"> compared to </w:t>
      </w:r>
      <w:r w:rsidR="00173BBD">
        <w:t>no increase to the Library Fund and 61</w:t>
      </w:r>
      <w:r w:rsidR="0002205D">
        <w:t>.</w:t>
      </w:r>
      <w:r w:rsidR="00173BBD">
        <w:t>54% increase to the Scholarship Fund</w:t>
      </w:r>
    </w:p>
    <w:p w14:paraId="1BA14C41" w14:textId="77777777" w:rsidR="004B3F80" w:rsidRPr="004B3F80" w:rsidRDefault="004B3F80" w:rsidP="00054013">
      <w:pPr>
        <w:pStyle w:val="ListParagraph"/>
        <w:numPr>
          <w:ilvl w:val="0"/>
          <w:numId w:val="12"/>
        </w:numPr>
        <w:spacing w:after="0" w:line="240" w:lineRule="auto"/>
      </w:pPr>
      <w:r>
        <w:rPr>
          <w:rFonts w:eastAsia="Times New Roman"/>
        </w:rPr>
        <w:t xml:space="preserve">96% of their donors included tax deduction as one of their primary giving </w:t>
      </w:r>
      <w:proofErr w:type="gramStart"/>
      <w:r>
        <w:rPr>
          <w:rFonts w:eastAsia="Times New Roman"/>
        </w:rPr>
        <w:t>motivations</w:t>
      </w:r>
      <w:proofErr w:type="gramEnd"/>
    </w:p>
    <w:p w14:paraId="44FB7A93" w14:textId="7A127432" w:rsidR="00B22972" w:rsidRDefault="001200AF" w:rsidP="00054013">
      <w:pPr>
        <w:pStyle w:val="ListParagraph"/>
        <w:numPr>
          <w:ilvl w:val="0"/>
          <w:numId w:val="12"/>
        </w:numPr>
        <w:spacing w:after="0" w:line="240" w:lineRule="auto"/>
      </w:pPr>
      <w:r>
        <w:t xml:space="preserve">Over 80% of </w:t>
      </w:r>
      <w:r w:rsidR="00AD10B2">
        <w:t>survey participants</w:t>
      </w:r>
      <w:r w:rsidR="0047072F">
        <w:t xml:space="preserve"> </w:t>
      </w:r>
      <w:r w:rsidR="00802B0C">
        <w:t xml:space="preserve">believed </w:t>
      </w:r>
      <w:r w:rsidR="00B22972">
        <w:t xml:space="preserve">there would be </w:t>
      </w:r>
      <w:r w:rsidR="00532BB4">
        <w:t xml:space="preserve">at least a 75% </w:t>
      </w:r>
      <w:r w:rsidR="007E240A">
        <w:t xml:space="preserve">decline in gifts if DGR status were to be withdrawn from </w:t>
      </w:r>
      <w:r w:rsidR="00926BE0">
        <w:t>s</w:t>
      </w:r>
      <w:r w:rsidR="007E240A">
        <w:t xml:space="preserve">chool </w:t>
      </w:r>
      <w:r w:rsidR="00926BE0">
        <w:t>b</w:t>
      </w:r>
      <w:r w:rsidR="007E240A">
        <w:t xml:space="preserve">uilding </w:t>
      </w:r>
      <w:proofErr w:type="gramStart"/>
      <w:r w:rsidR="00926BE0">
        <w:t>f</w:t>
      </w:r>
      <w:r w:rsidR="007E240A">
        <w:t>unds</w:t>
      </w:r>
      <w:proofErr w:type="gramEnd"/>
    </w:p>
    <w:p w14:paraId="2465DB96" w14:textId="77777777" w:rsidR="002A49EE" w:rsidRDefault="0002205D" w:rsidP="00572036">
      <w:pPr>
        <w:pStyle w:val="ListParagraph"/>
        <w:numPr>
          <w:ilvl w:val="0"/>
          <w:numId w:val="12"/>
        </w:numPr>
        <w:spacing w:after="0" w:line="240" w:lineRule="auto"/>
      </w:pPr>
      <w:r>
        <w:t>On average</w:t>
      </w:r>
      <w:r w:rsidR="00416A48">
        <w:t>,</w:t>
      </w:r>
      <w:r>
        <w:t xml:space="preserve"> between 30 – </w:t>
      </w:r>
      <w:r w:rsidR="001D3592">
        <w:t>56</w:t>
      </w:r>
      <w:r>
        <w:t xml:space="preserve">% of donors to the Building Fund were current parents. The majority were </w:t>
      </w:r>
      <w:r w:rsidR="00CE5DE9">
        <w:t xml:space="preserve">Alumni </w:t>
      </w:r>
      <w:r w:rsidR="00702595">
        <w:t xml:space="preserve">or friends </w:t>
      </w:r>
      <w:r w:rsidR="00CE5DE9">
        <w:t>who ha</w:t>
      </w:r>
      <w:r w:rsidR="00750BD6">
        <w:t>ve</w:t>
      </w:r>
      <w:r w:rsidR="00CE5DE9">
        <w:t xml:space="preserve"> </w:t>
      </w:r>
      <w:r w:rsidR="00C21069" w:rsidRPr="00C21069">
        <w:t xml:space="preserve">no immediate and personal involvement in the </w:t>
      </w:r>
      <w:proofErr w:type="gramStart"/>
      <w:r w:rsidR="00C21069" w:rsidRPr="00C21069">
        <w:t>schoo</w:t>
      </w:r>
      <w:r w:rsidR="002A49EE">
        <w:t>l</w:t>
      </w:r>
      <w:proofErr w:type="gramEnd"/>
    </w:p>
    <w:p w14:paraId="4CB407C9" w14:textId="3EECFAFF" w:rsidR="00CE5DE9" w:rsidRDefault="00CE5DE9" w:rsidP="00572036">
      <w:pPr>
        <w:pStyle w:val="ListParagraph"/>
        <w:numPr>
          <w:ilvl w:val="0"/>
          <w:numId w:val="12"/>
        </w:numPr>
        <w:spacing w:after="0" w:line="240" w:lineRule="auto"/>
      </w:pPr>
      <w:r>
        <w:t xml:space="preserve">Community projects </w:t>
      </w:r>
      <w:r w:rsidR="00702595">
        <w:t xml:space="preserve">supported by building projects in the past five years </w:t>
      </w:r>
      <w:r>
        <w:t>included:</w:t>
      </w:r>
    </w:p>
    <w:p w14:paraId="1B8DA7C9" w14:textId="57028152" w:rsidR="00CE5DE9" w:rsidRDefault="00CE5DE9" w:rsidP="00CE5DE9">
      <w:pPr>
        <w:pStyle w:val="ListParagraph"/>
        <w:numPr>
          <w:ilvl w:val="1"/>
          <w:numId w:val="12"/>
        </w:numPr>
        <w:spacing w:after="0" w:line="240" w:lineRule="auto"/>
      </w:pPr>
      <w:r>
        <w:t>Community and Arts Precinct</w:t>
      </w:r>
      <w:r w:rsidR="00702595">
        <w:t>s</w:t>
      </w:r>
    </w:p>
    <w:p w14:paraId="4C11DB68" w14:textId="1FFE998B" w:rsidR="00CE5DE9" w:rsidRDefault="008D36E7" w:rsidP="00CE5DE9">
      <w:pPr>
        <w:pStyle w:val="ListParagraph"/>
        <w:numPr>
          <w:ilvl w:val="1"/>
          <w:numId w:val="12"/>
        </w:numPr>
        <w:spacing w:after="0" w:line="240" w:lineRule="auto"/>
      </w:pPr>
      <w:r>
        <w:t>Sport facilities</w:t>
      </w:r>
    </w:p>
    <w:p w14:paraId="51D20E21" w14:textId="77777777" w:rsidR="001822A1" w:rsidRDefault="008D36E7" w:rsidP="00CE5DE9">
      <w:pPr>
        <w:pStyle w:val="ListParagraph"/>
        <w:numPr>
          <w:ilvl w:val="1"/>
          <w:numId w:val="12"/>
        </w:numPr>
        <w:spacing w:after="0" w:line="240" w:lineRule="auto"/>
      </w:pPr>
      <w:r>
        <w:t xml:space="preserve">Boarding facilities </w:t>
      </w:r>
      <w:r w:rsidR="001822A1">
        <w:t>with bespoke support for regional and Indigenous students</w:t>
      </w:r>
    </w:p>
    <w:p w14:paraId="306FE9A9" w14:textId="25B2CB7E" w:rsidR="008D36E7" w:rsidRDefault="001822A1" w:rsidP="00CE5DE9">
      <w:pPr>
        <w:pStyle w:val="ListParagraph"/>
        <w:numPr>
          <w:ilvl w:val="1"/>
          <w:numId w:val="12"/>
        </w:numPr>
        <w:spacing w:after="0" w:line="240" w:lineRule="auto"/>
      </w:pPr>
      <w:r>
        <w:t xml:space="preserve">Boarding facilities </w:t>
      </w:r>
      <w:r w:rsidR="008D36E7">
        <w:t>to foster</w:t>
      </w:r>
      <w:r>
        <w:t xml:space="preserve"> international exchange </w:t>
      </w:r>
      <w:proofErr w:type="gramStart"/>
      <w:r>
        <w:t>programs</w:t>
      </w:r>
      <w:proofErr w:type="gramEnd"/>
    </w:p>
    <w:p w14:paraId="35553CC2" w14:textId="1989F198" w:rsidR="001822A1" w:rsidRDefault="00480BB3" w:rsidP="00CE5DE9">
      <w:pPr>
        <w:pStyle w:val="ListParagraph"/>
        <w:numPr>
          <w:ilvl w:val="1"/>
          <w:numId w:val="12"/>
        </w:numPr>
        <w:spacing w:after="0" w:line="240" w:lineRule="auto"/>
      </w:pPr>
      <w:r>
        <w:t>Community Centres</w:t>
      </w:r>
    </w:p>
    <w:p w14:paraId="6DE66EE5" w14:textId="780DF9DC" w:rsidR="00480BB3" w:rsidRDefault="001A01B2" w:rsidP="00CE5DE9">
      <w:pPr>
        <w:pStyle w:val="ListParagraph"/>
        <w:numPr>
          <w:ilvl w:val="1"/>
          <w:numId w:val="12"/>
        </w:numPr>
        <w:spacing w:after="0" w:line="240" w:lineRule="auto"/>
      </w:pPr>
      <w:r>
        <w:t>STEAM Centres</w:t>
      </w:r>
    </w:p>
    <w:p w14:paraId="55B4766A" w14:textId="383E9404" w:rsidR="00DF51B0" w:rsidRDefault="00DF51B0" w:rsidP="00CE5DE9">
      <w:pPr>
        <w:pStyle w:val="ListParagraph"/>
        <w:numPr>
          <w:ilvl w:val="1"/>
          <w:numId w:val="12"/>
        </w:numPr>
        <w:spacing w:after="0" w:line="240" w:lineRule="auto"/>
      </w:pPr>
      <w:r>
        <w:t>Music Centre</w:t>
      </w:r>
      <w:r w:rsidR="00CB3FB8">
        <w:t>s</w:t>
      </w:r>
    </w:p>
    <w:p w14:paraId="40967A6F" w14:textId="6C880A71" w:rsidR="00515C4A" w:rsidRDefault="00515C4A" w:rsidP="00CE5DE9">
      <w:pPr>
        <w:pStyle w:val="ListParagraph"/>
        <w:numPr>
          <w:ilvl w:val="1"/>
          <w:numId w:val="12"/>
        </w:numPr>
        <w:spacing w:after="0" w:line="240" w:lineRule="auto"/>
      </w:pPr>
      <w:r>
        <w:t>Car parks which reduce congestion on local streets</w:t>
      </w:r>
    </w:p>
    <w:p w14:paraId="0BB9A14E" w14:textId="0C266215" w:rsidR="00852F71" w:rsidRDefault="00095624" w:rsidP="00CE5DE9">
      <w:pPr>
        <w:pStyle w:val="ListParagraph"/>
        <w:numPr>
          <w:ilvl w:val="1"/>
          <w:numId w:val="12"/>
        </w:numPr>
        <w:spacing w:after="0" w:line="240" w:lineRule="auto"/>
      </w:pPr>
      <w:r>
        <w:t>Wellbeing studio</w:t>
      </w:r>
      <w:r w:rsidR="004E210E">
        <w:t xml:space="preserve"> </w:t>
      </w:r>
      <w:r w:rsidR="00852F71">
        <w:t xml:space="preserve">- </w:t>
      </w:r>
      <w:proofErr w:type="spellStart"/>
      <w:r w:rsidR="004E210E">
        <w:t>Purruna</w:t>
      </w:r>
      <w:proofErr w:type="spellEnd"/>
      <w:r w:rsidR="004E210E">
        <w:t xml:space="preserve"> Centre</w:t>
      </w:r>
      <w:r w:rsidR="00852F71">
        <w:t xml:space="preserve"> </w:t>
      </w:r>
      <w:r w:rsidR="00BC54AF">
        <w:t xml:space="preserve">(Scotch College, Adelaide) </w:t>
      </w:r>
      <w:r w:rsidR="00852F71">
        <w:t xml:space="preserve">opened in February 2023 and has been made available to the local community in a range of different contexts: </w:t>
      </w:r>
    </w:p>
    <w:p w14:paraId="5938A140" w14:textId="7D78ECDD" w:rsidR="00852F71" w:rsidRDefault="00852F71" w:rsidP="00852F71">
      <w:pPr>
        <w:pStyle w:val="ListParagraph"/>
        <w:numPr>
          <w:ilvl w:val="2"/>
          <w:numId w:val="12"/>
        </w:numPr>
        <w:spacing w:after="0" w:line="240" w:lineRule="auto"/>
      </w:pPr>
      <w:r>
        <w:t xml:space="preserve">Through partnership with the YMCA, the majority of the building is available for public use on a daily </w:t>
      </w:r>
      <w:proofErr w:type="gramStart"/>
      <w:r>
        <w:t>basis</w:t>
      </w:r>
      <w:proofErr w:type="gramEnd"/>
      <w:r>
        <w:t xml:space="preserve"> </w:t>
      </w:r>
    </w:p>
    <w:p w14:paraId="7980F861" w14:textId="2323D41F" w:rsidR="00852F71" w:rsidRDefault="00852F71" w:rsidP="00852F71">
      <w:pPr>
        <w:pStyle w:val="ListParagraph"/>
        <w:numPr>
          <w:ilvl w:val="2"/>
          <w:numId w:val="12"/>
        </w:numPr>
        <w:spacing w:after="0" w:line="240" w:lineRule="auto"/>
      </w:pPr>
      <w:r>
        <w:t xml:space="preserve">Local sporting clubs and associations use the facilities </w:t>
      </w:r>
      <w:proofErr w:type="gramStart"/>
      <w:r>
        <w:t>weekly</w:t>
      </w:r>
      <w:proofErr w:type="gramEnd"/>
    </w:p>
    <w:p w14:paraId="0D4D648C" w14:textId="77777777" w:rsidR="00852F71" w:rsidRDefault="00852F71" w:rsidP="00852F71">
      <w:pPr>
        <w:pStyle w:val="ListParagraph"/>
        <w:numPr>
          <w:ilvl w:val="2"/>
          <w:numId w:val="12"/>
        </w:numPr>
        <w:spacing w:after="0" w:line="240" w:lineRule="auto"/>
      </w:pPr>
      <w:r>
        <w:t xml:space="preserve">The aquatics facility is the largest provider of swimming lessons in the LGA, and the only pool available for public </w:t>
      </w:r>
      <w:proofErr w:type="gramStart"/>
      <w:r>
        <w:t>swimming</w:t>
      </w:r>
      <w:proofErr w:type="gramEnd"/>
      <w:r>
        <w:t xml:space="preserve"> </w:t>
      </w:r>
    </w:p>
    <w:p w14:paraId="44BC1B95" w14:textId="308D6A3A" w:rsidR="00852F71" w:rsidRDefault="00852F71" w:rsidP="00852F71">
      <w:pPr>
        <w:pStyle w:val="ListParagraph"/>
        <w:numPr>
          <w:ilvl w:val="2"/>
          <w:numId w:val="12"/>
        </w:numPr>
        <w:spacing w:after="0" w:line="240" w:lineRule="auto"/>
      </w:pPr>
      <w:r>
        <w:t xml:space="preserve">A range of external allied health professionals use the treatment and consulting rooms in the building, providing mental health, paediatric developmental and physiotherapy services to the local </w:t>
      </w:r>
      <w:proofErr w:type="gramStart"/>
      <w:r>
        <w:t>community</w:t>
      </w:r>
      <w:proofErr w:type="gramEnd"/>
    </w:p>
    <w:p w14:paraId="27B0B318" w14:textId="3C30F90E" w:rsidR="00095624" w:rsidRDefault="00852F71" w:rsidP="00852F71">
      <w:pPr>
        <w:pStyle w:val="ListParagraph"/>
        <w:numPr>
          <w:ilvl w:val="2"/>
          <w:numId w:val="12"/>
        </w:numPr>
        <w:spacing w:after="0" w:line="240" w:lineRule="auto"/>
      </w:pPr>
      <w:r>
        <w:t xml:space="preserve">The building has hosted community events, educational </w:t>
      </w:r>
      <w:proofErr w:type="gramStart"/>
      <w:r>
        <w:t>conferences</w:t>
      </w:r>
      <w:proofErr w:type="gramEnd"/>
      <w:r>
        <w:t xml:space="preserve"> and Adelaide-wide student events.</w:t>
      </w:r>
    </w:p>
    <w:p w14:paraId="203FCBF9" w14:textId="77777777" w:rsidR="007E4D8D" w:rsidRDefault="007E4D8D" w:rsidP="006D6C95">
      <w:pPr>
        <w:spacing w:after="0" w:line="240" w:lineRule="auto"/>
      </w:pPr>
    </w:p>
    <w:p w14:paraId="6FE42CE8" w14:textId="77777777" w:rsidR="00354862" w:rsidRDefault="00354862" w:rsidP="006D6C95">
      <w:pPr>
        <w:spacing w:after="0" w:line="240" w:lineRule="auto"/>
        <w:rPr>
          <w:b/>
          <w:bCs/>
        </w:rPr>
      </w:pPr>
    </w:p>
    <w:p w14:paraId="33E99598" w14:textId="77777777" w:rsidR="00354862" w:rsidRDefault="00354862" w:rsidP="006D6C95">
      <w:pPr>
        <w:spacing w:after="0" w:line="240" w:lineRule="auto"/>
        <w:rPr>
          <w:b/>
          <w:bCs/>
        </w:rPr>
      </w:pPr>
    </w:p>
    <w:p w14:paraId="1D84D6B5" w14:textId="77777777" w:rsidR="00354862" w:rsidRDefault="00354862" w:rsidP="006D6C95">
      <w:pPr>
        <w:spacing w:after="0" w:line="240" w:lineRule="auto"/>
        <w:rPr>
          <w:b/>
          <w:bCs/>
        </w:rPr>
      </w:pPr>
    </w:p>
    <w:p w14:paraId="4C40298F" w14:textId="77777777" w:rsidR="00354862" w:rsidRDefault="00354862" w:rsidP="006D6C95">
      <w:pPr>
        <w:spacing w:after="0" w:line="240" w:lineRule="auto"/>
        <w:rPr>
          <w:b/>
          <w:bCs/>
        </w:rPr>
      </w:pPr>
    </w:p>
    <w:p w14:paraId="64128D6B" w14:textId="77777777" w:rsidR="00354862" w:rsidRDefault="00354862" w:rsidP="006D6C95">
      <w:pPr>
        <w:spacing w:after="0" w:line="240" w:lineRule="auto"/>
        <w:rPr>
          <w:b/>
          <w:bCs/>
        </w:rPr>
      </w:pPr>
    </w:p>
    <w:p w14:paraId="00B8C7C4" w14:textId="54874297" w:rsidR="006D6C95" w:rsidRPr="003347F0" w:rsidRDefault="00F33B6E" w:rsidP="006D6C95">
      <w:pPr>
        <w:spacing w:after="0" w:line="240" w:lineRule="auto"/>
        <w:rPr>
          <w:b/>
          <w:bCs/>
        </w:rPr>
      </w:pPr>
      <w:r w:rsidRPr="003347F0">
        <w:rPr>
          <w:b/>
          <w:bCs/>
        </w:rPr>
        <w:t>Feedback</w:t>
      </w:r>
      <w:r w:rsidR="003347F0" w:rsidRPr="003347F0">
        <w:rPr>
          <w:b/>
          <w:bCs/>
        </w:rPr>
        <w:t xml:space="preserve"> from the participants</w:t>
      </w:r>
      <w:r w:rsidR="004B3F80">
        <w:rPr>
          <w:b/>
          <w:bCs/>
        </w:rPr>
        <w:t xml:space="preserve"> (</w:t>
      </w:r>
      <w:r w:rsidR="00B008DE">
        <w:rPr>
          <w:b/>
          <w:bCs/>
        </w:rPr>
        <w:t>actual quotes drawn from the survey)</w:t>
      </w:r>
    </w:p>
    <w:p w14:paraId="38BFCFBA" w14:textId="77777777" w:rsidR="001D1884" w:rsidRDefault="001D1884" w:rsidP="001D1884">
      <w:pPr>
        <w:pStyle w:val="ListParagraph"/>
        <w:numPr>
          <w:ilvl w:val="0"/>
          <w:numId w:val="13"/>
        </w:numPr>
        <w:spacing w:after="0" w:line="240" w:lineRule="auto"/>
      </w:pPr>
      <w:proofErr w:type="gramStart"/>
      <w:r>
        <w:t>All of</w:t>
      </w:r>
      <w:proofErr w:type="gramEnd"/>
      <w:r>
        <w:t xml:space="preserve"> our buildings are made available to our local community including our pool, </w:t>
      </w:r>
      <w:proofErr w:type="spellStart"/>
      <w:r>
        <w:t>aths</w:t>
      </w:r>
      <w:proofErr w:type="spellEnd"/>
      <w:r>
        <w:t xml:space="preserve"> track, gymnasium, soccer and hockey pitches, AFL oval, Science building, chapel, and the newly developed Community &amp; Arts </w:t>
      </w:r>
    </w:p>
    <w:p w14:paraId="0C7E3608" w14:textId="1CF6F0E3" w:rsidR="001D1884" w:rsidRDefault="001D1884" w:rsidP="00354862">
      <w:pPr>
        <w:pStyle w:val="ListParagraph"/>
        <w:spacing w:after="0" w:line="240" w:lineRule="auto"/>
      </w:pPr>
      <w:r>
        <w:t xml:space="preserve">Precinct. </w:t>
      </w:r>
      <w:proofErr w:type="gramStart"/>
      <w:r>
        <w:t>In particular, sporting</w:t>
      </w:r>
      <w:proofErr w:type="gramEnd"/>
      <w:r>
        <w:t xml:space="preserve"> clubs, dance schools and other local primary schools use our facilities on a regular basis as they are unable to access these types of facilities anywhere else in order to deliver their sporting/performing arts/dance programs. Without the use of our facilities, these clubs would not be able to sell or provide their products and services to our local community. This means they would cease to operate which would reduce the amount of co-curricular opportunities for all students and children on the Mornington Peninsula and negatively affect the local economy – </w:t>
      </w:r>
      <w:r>
        <w:rPr>
          <w:i/>
          <w:iCs/>
        </w:rPr>
        <w:t>School in</w:t>
      </w:r>
      <w:r w:rsidRPr="000B0FB8">
        <w:rPr>
          <w:i/>
          <w:iCs/>
        </w:rPr>
        <w:t xml:space="preserve"> VIC</w:t>
      </w:r>
      <w:r w:rsidRPr="000B0FB8">
        <w:t xml:space="preserve"> </w:t>
      </w:r>
    </w:p>
    <w:p w14:paraId="435CD72C" w14:textId="77777777" w:rsidR="001D1884" w:rsidRDefault="001D1884" w:rsidP="001D1884">
      <w:pPr>
        <w:pStyle w:val="ListParagraph"/>
        <w:spacing w:after="0" w:line="240" w:lineRule="auto"/>
      </w:pPr>
    </w:p>
    <w:p w14:paraId="297726ED" w14:textId="290F6938" w:rsidR="006828EC" w:rsidRPr="006828EC" w:rsidRDefault="006828EC" w:rsidP="00F33B6E">
      <w:pPr>
        <w:pStyle w:val="ListParagraph"/>
        <w:numPr>
          <w:ilvl w:val="0"/>
          <w:numId w:val="13"/>
        </w:numPr>
        <w:spacing w:after="0" w:line="240" w:lineRule="auto"/>
        <w:rPr>
          <w:i/>
          <w:iCs/>
        </w:rPr>
      </w:pPr>
      <w:r>
        <w:t xml:space="preserve">All new buildings at the school serve a public benefit - the school theatre is used full time every school </w:t>
      </w:r>
      <w:proofErr w:type="gramStart"/>
      <w:r>
        <w:t>holidays</w:t>
      </w:r>
      <w:proofErr w:type="gramEnd"/>
      <w:r>
        <w:t xml:space="preserve"> for community groups and school holiday camps as well as at the weekend and after hours during term time. The school is committed to ensuring any new building</w:t>
      </w:r>
      <w:r w:rsidR="00E374AD">
        <w:t>s</w:t>
      </w:r>
      <w:r>
        <w:t xml:space="preserve"> have the same public benefit. We highly value the community where our school is located and</w:t>
      </w:r>
      <w:r w:rsidR="006B44F5">
        <w:t>,</w:t>
      </w:r>
      <w:r>
        <w:t xml:space="preserve"> therefore</w:t>
      </w:r>
      <w:r w:rsidR="006B44F5">
        <w:t>,</w:t>
      </w:r>
      <w:r>
        <w:t xml:space="preserve"> we want to ensure they can benefit from our facilities </w:t>
      </w:r>
      <w:r w:rsidRPr="006828EC">
        <w:rPr>
          <w:i/>
          <w:iCs/>
        </w:rPr>
        <w:t xml:space="preserve">- </w:t>
      </w:r>
      <w:r w:rsidR="006F3536">
        <w:rPr>
          <w:i/>
          <w:iCs/>
        </w:rPr>
        <w:t>School in</w:t>
      </w:r>
      <w:r>
        <w:rPr>
          <w:i/>
          <w:iCs/>
        </w:rPr>
        <w:t xml:space="preserve"> NSW</w:t>
      </w:r>
    </w:p>
    <w:p w14:paraId="4F74C331" w14:textId="77777777" w:rsidR="001D1884" w:rsidRDefault="001D1884" w:rsidP="001D1884">
      <w:pPr>
        <w:pStyle w:val="ListParagraph"/>
      </w:pPr>
    </w:p>
    <w:p w14:paraId="1CBE7810" w14:textId="77777777" w:rsidR="001D1884" w:rsidRPr="009E15E8" w:rsidRDefault="001D1884" w:rsidP="001D1884">
      <w:pPr>
        <w:pStyle w:val="ListParagraph"/>
        <w:numPr>
          <w:ilvl w:val="0"/>
          <w:numId w:val="13"/>
        </w:numPr>
        <w:spacing w:after="0" w:line="240" w:lineRule="auto"/>
      </w:pPr>
      <w:r>
        <w:t xml:space="preserve">It is manifestly unfair to introduce a SES funding model for independent schools which quite rightly reduces government support for those schools deemed to have wealthier constituents, but then remove the ability of those schools to effectively raise funds from those constituents – </w:t>
      </w:r>
      <w:r w:rsidRPr="00C34B0F">
        <w:rPr>
          <w:i/>
          <w:iCs/>
        </w:rPr>
        <w:t>School in VIC</w:t>
      </w:r>
    </w:p>
    <w:p w14:paraId="5210AF57" w14:textId="77777777" w:rsidR="001D1884" w:rsidRDefault="001D1884" w:rsidP="001D1884">
      <w:pPr>
        <w:spacing w:after="0" w:line="240" w:lineRule="auto"/>
      </w:pPr>
    </w:p>
    <w:p w14:paraId="06E15294" w14:textId="6AB15C22" w:rsidR="006632F7" w:rsidRDefault="00321DDA" w:rsidP="00030044">
      <w:pPr>
        <w:pStyle w:val="ListParagraph"/>
        <w:numPr>
          <w:ilvl w:val="0"/>
          <w:numId w:val="13"/>
        </w:numPr>
        <w:spacing w:after="0" w:line="240" w:lineRule="auto"/>
      </w:pPr>
      <w:r>
        <w:t>T</w:t>
      </w:r>
      <w:r w:rsidR="00614C2F">
        <w:t xml:space="preserve">he presumption of material benefit by current families supporting the building fund is fundamentally flawed. In our experience, most donors who support these works will not see their </w:t>
      </w:r>
      <w:r>
        <w:t>children</w:t>
      </w:r>
      <w:r w:rsidR="00614C2F">
        <w:t xml:space="preserve"> experience the benefits of the new building, given the timeline of building works. Moreover, we have a substantial group of alumni </w:t>
      </w:r>
      <w:r w:rsidR="00670117">
        <w:t xml:space="preserve">(who are not current parents) </w:t>
      </w:r>
      <w:r w:rsidR="00614C2F">
        <w:t xml:space="preserve">who support the building fund and will not utilise these buildings. This support has been particularly essential over recent years, with declining government funding for our school and an increase to the cost of building works. </w:t>
      </w:r>
    </w:p>
    <w:p w14:paraId="7FC5C609" w14:textId="77777777" w:rsidR="00B92526" w:rsidRDefault="00B92526" w:rsidP="00B92526">
      <w:pPr>
        <w:pStyle w:val="ListParagraph"/>
      </w:pPr>
    </w:p>
    <w:p w14:paraId="3C0EAC8E" w14:textId="7102D6C6" w:rsidR="00C46ECB" w:rsidRPr="00FC1925" w:rsidRDefault="00614C2F" w:rsidP="00D93EFC">
      <w:pPr>
        <w:pStyle w:val="ListParagraph"/>
        <w:spacing w:after="0" w:line="240" w:lineRule="auto"/>
        <w:rPr>
          <w:i/>
          <w:iCs/>
        </w:rPr>
      </w:pPr>
      <w:r>
        <w:t>Finally, it does not appear evident, so far</w:t>
      </w:r>
      <w:r w:rsidR="009345F1">
        <w:t>,</w:t>
      </w:r>
      <w:r>
        <w:t xml:space="preserve"> that there has been a truly consultative process in the construction of this report with those who would otherwise be impacted by the recommendations. There is also a distinct lack of evidence, which provides a basis upon which some of these recommendations (particularly the removal of DGR status of school building funds) have been made. </w:t>
      </w:r>
      <w:r w:rsidR="00F47C91">
        <w:t xml:space="preserve">We want to grow philanthropy in Australia </w:t>
      </w:r>
      <w:r w:rsidR="00A40347">
        <w:t xml:space="preserve">together </w:t>
      </w:r>
      <w:r w:rsidR="00F47C91">
        <w:t>so</w:t>
      </w:r>
      <w:r>
        <w:t xml:space="preserve"> taking these proposed measures would be counter to this objective</w:t>
      </w:r>
      <w:r w:rsidR="00FC1925">
        <w:t xml:space="preserve"> </w:t>
      </w:r>
      <w:r w:rsidR="00A40347">
        <w:t>–</w:t>
      </w:r>
      <w:r w:rsidR="00FC1925">
        <w:t xml:space="preserve"> </w:t>
      </w:r>
      <w:r w:rsidR="00A40347">
        <w:rPr>
          <w:i/>
          <w:iCs/>
        </w:rPr>
        <w:t>School in</w:t>
      </w:r>
      <w:r w:rsidR="009C5B1C" w:rsidRPr="00FC1925">
        <w:rPr>
          <w:i/>
          <w:iCs/>
        </w:rPr>
        <w:t xml:space="preserve"> </w:t>
      </w:r>
      <w:r w:rsidR="00FC1925" w:rsidRPr="00FC1925">
        <w:rPr>
          <w:i/>
          <w:iCs/>
        </w:rPr>
        <w:t>NSW</w:t>
      </w:r>
    </w:p>
    <w:p w14:paraId="09DBCD15" w14:textId="77777777" w:rsidR="00FC1925" w:rsidRDefault="00FC1925" w:rsidP="00FC1925">
      <w:pPr>
        <w:pStyle w:val="ListParagraph"/>
        <w:spacing w:after="0" w:line="240" w:lineRule="auto"/>
      </w:pPr>
    </w:p>
    <w:p w14:paraId="232A33EF" w14:textId="1858F425" w:rsidR="00C46ECB" w:rsidRDefault="00C46ECB" w:rsidP="00C46ECB">
      <w:pPr>
        <w:pStyle w:val="ListParagraph"/>
        <w:numPr>
          <w:ilvl w:val="0"/>
          <w:numId w:val="13"/>
        </w:numPr>
        <w:spacing w:after="0" w:line="240" w:lineRule="auto"/>
      </w:pPr>
      <w:r>
        <w:t xml:space="preserve">Our parents pay </w:t>
      </w:r>
      <w:r w:rsidR="00A14625">
        <w:t>FULL</w:t>
      </w:r>
      <w:r>
        <w:t xml:space="preserve"> </w:t>
      </w:r>
      <w:proofErr w:type="gramStart"/>
      <w:r w:rsidR="00A14625">
        <w:t>fees</w:t>
      </w:r>
      <w:proofErr w:type="gramEnd"/>
      <w:r>
        <w:t xml:space="preserve"> and any Building Fund donation is on a purely OPTIONAL basis. It does </w:t>
      </w:r>
      <w:r w:rsidR="00A14625">
        <w:t>not</w:t>
      </w:r>
      <w:r>
        <w:t xml:space="preserve"> reduce the fees they pay, nor give them any other advantages. They donate on top of their fees as they know this is necessary to invest in the capital infrastructure of the school. What they donate today will not change the environment a lot for their kids during their stay at the school, the investment is over a much longer </w:t>
      </w:r>
      <w:proofErr w:type="gramStart"/>
      <w:r>
        <w:t>period</w:t>
      </w:r>
      <w:proofErr w:type="gramEnd"/>
      <w:r>
        <w:t xml:space="preserve"> and they recognise that the donations from decades ago have provided the buildings we see today, as their donations will build the future. The donations are an inherent investment in the future and NOT for immediate personal gain. The </w:t>
      </w:r>
      <w:r w:rsidR="006F1EAE">
        <w:t>only</w:t>
      </w:r>
      <w:r>
        <w:t xml:space="preserve"> gain they get immediately is the tax deduction of </w:t>
      </w:r>
      <w:r w:rsidR="006F1EAE">
        <w:t>their</w:t>
      </w:r>
      <w:r>
        <w:t xml:space="preserve"> donations</w:t>
      </w:r>
      <w:r w:rsidR="00D93EFC">
        <w:t xml:space="preserve"> </w:t>
      </w:r>
      <w:r w:rsidR="00A40347">
        <w:t>–</w:t>
      </w:r>
      <w:r w:rsidR="00D93EFC">
        <w:t xml:space="preserve"> </w:t>
      </w:r>
      <w:r w:rsidR="00A40347">
        <w:rPr>
          <w:i/>
          <w:iCs/>
        </w:rPr>
        <w:t>School in</w:t>
      </w:r>
      <w:r w:rsidRPr="00F10F26">
        <w:rPr>
          <w:i/>
          <w:iCs/>
        </w:rPr>
        <w:t xml:space="preserve"> QLD</w:t>
      </w:r>
    </w:p>
    <w:p w14:paraId="7A5CFCD4" w14:textId="77777777" w:rsidR="00D93EFC" w:rsidRDefault="00D93EFC" w:rsidP="00D93EFC">
      <w:pPr>
        <w:pStyle w:val="ListParagraph"/>
        <w:spacing w:after="0" w:line="240" w:lineRule="auto"/>
      </w:pPr>
    </w:p>
    <w:p w14:paraId="39588490" w14:textId="7FD5752B" w:rsidR="00750BD6" w:rsidRPr="00980F79" w:rsidRDefault="00750BD6" w:rsidP="00C46ECB">
      <w:pPr>
        <w:pStyle w:val="ListParagraph"/>
        <w:numPr>
          <w:ilvl w:val="0"/>
          <w:numId w:val="13"/>
        </w:numPr>
        <w:spacing w:after="0" w:line="240" w:lineRule="auto"/>
        <w:rPr>
          <w:i/>
          <w:iCs/>
        </w:rPr>
      </w:pPr>
      <w:r>
        <w:t>We are working hard to build a culture of giving at our school. Any impediment to continuing to raise funds for much needed capital facilities will negatively impact that objective. As a school we strongly object to any proposal that acts as a disincentive to giving/philanthropy</w:t>
      </w:r>
      <w:r w:rsidR="00980F79">
        <w:t xml:space="preserve"> </w:t>
      </w:r>
      <w:r w:rsidR="004B3F80">
        <w:t>–</w:t>
      </w:r>
      <w:r w:rsidR="00980F79">
        <w:t xml:space="preserve"> </w:t>
      </w:r>
      <w:r w:rsidRPr="00980F79">
        <w:rPr>
          <w:i/>
          <w:iCs/>
        </w:rPr>
        <w:t>School</w:t>
      </w:r>
      <w:r w:rsidR="004B3F80">
        <w:rPr>
          <w:i/>
          <w:iCs/>
        </w:rPr>
        <w:t xml:space="preserve"> in</w:t>
      </w:r>
      <w:r w:rsidRPr="00980F79">
        <w:rPr>
          <w:i/>
          <w:iCs/>
        </w:rPr>
        <w:t xml:space="preserve"> Tasmania</w:t>
      </w:r>
    </w:p>
    <w:p w14:paraId="42E6DAF7" w14:textId="77777777" w:rsidR="009079DD" w:rsidRDefault="009079DD" w:rsidP="009079DD">
      <w:pPr>
        <w:pStyle w:val="ListParagraph"/>
      </w:pPr>
    </w:p>
    <w:p w14:paraId="35C3B442" w14:textId="160E6C22" w:rsidR="00291B13" w:rsidRPr="00A1507E" w:rsidRDefault="006F1EAE" w:rsidP="00564140">
      <w:pPr>
        <w:pStyle w:val="ListParagraph"/>
        <w:numPr>
          <w:ilvl w:val="0"/>
          <w:numId w:val="13"/>
        </w:numPr>
        <w:spacing w:after="0" w:line="240" w:lineRule="auto"/>
        <w:rPr>
          <w:i/>
          <w:iCs/>
        </w:rPr>
      </w:pPr>
      <w:r>
        <w:t>Our school</w:t>
      </w:r>
      <w:r w:rsidR="00291B13">
        <w:t xml:space="preserve"> fundraise</w:t>
      </w:r>
      <w:r>
        <w:t>s</w:t>
      </w:r>
      <w:r w:rsidR="00291B13">
        <w:t xml:space="preserve"> to support </w:t>
      </w:r>
      <w:r>
        <w:t xml:space="preserve">our </w:t>
      </w:r>
      <w:r w:rsidR="00291B13">
        <w:t xml:space="preserve">capital projects as </w:t>
      </w:r>
      <w:r>
        <w:t>we</w:t>
      </w:r>
      <w:r w:rsidR="00291B13">
        <w:t xml:space="preserve"> are generally ineligible for Government grants or other community grants to support the building of large infrastructure. As a small, independent rural K-12 School, not having the ability to raise funds through community would impact the ability to complete projects</w:t>
      </w:r>
      <w:r w:rsidR="00980F79">
        <w:t xml:space="preserve"> </w:t>
      </w:r>
      <w:r w:rsidR="00291B13">
        <w:t>and we believe the incentive for families to be able to claim the tax. The amount that people would contribute would also be affected should the DGR status of these funds be removed</w:t>
      </w:r>
      <w:r w:rsidR="005D36DB">
        <w:t xml:space="preserve"> </w:t>
      </w:r>
      <w:proofErr w:type="gramStart"/>
      <w:r w:rsidR="005D36DB">
        <w:t xml:space="preserve">- </w:t>
      </w:r>
      <w:r w:rsidR="001B43A4">
        <w:t xml:space="preserve"> </w:t>
      </w:r>
      <w:r w:rsidR="00A1507E">
        <w:rPr>
          <w:i/>
          <w:iCs/>
        </w:rPr>
        <w:t>School</w:t>
      </w:r>
      <w:proofErr w:type="gramEnd"/>
      <w:r w:rsidR="00A1507E">
        <w:rPr>
          <w:i/>
          <w:iCs/>
        </w:rPr>
        <w:t xml:space="preserve"> in</w:t>
      </w:r>
      <w:r w:rsidR="001B43A4" w:rsidRPr="00A1507E">
        <w:rPr>
          <w:i/>
          <w:iCs/>
        </w:rPr>
        <w:t xml:space="preserve"> WA</w:t>
      </w:r>
    </w:p>
    <w:p w14:paraId="20CAD230" w14:textId="77777777" w:rsidR="00F74AD2" w:rsidRDefault="00F74AD2" w:rsidP="00F74AD2">
      <w:pPr>
        <w:pStyle w:val="ListParagraph"/>
        <w:spacing w:after="0" w:line="240" w:lineRule="auto"/>
      </w:pPr>
    </w:p>
    <w:p w14:paraId="7CE90642" w14:textId="77777777" w:rsidR="004D1077" w:rsidRDefault="004D1077" w:rsidP="004D1077">
      <w:pPr>
        <w:pStyle w:val="ListParagraph"/>
        <w:spacing w:after="0" w:line="240" w:lineRule="auto"/>
      </w:pPr>
    </w:p>
    <w:p w14:paraId="12A21122" w14:textId="77777777" w:rsidR="004D1077" w:rsidRDefault="004D1077" w:rsidP="004D1077">
      <w:pPr>
        <w:pStyle w:val="ListParagraph"/>
      </w:pPr>
    </w:p>
    <w:p w14:paraId="3F481F1C" w14:textId="77777777" w:rsidR="004D1077" w:rsidRDefault="004D1077" w:rsidP="004D1077">
      <w:pPr>
        <w:pStyle w:val="ListParagraph"/>
        <w:spacing w:after="0" w:line="240" w:lineRule="auto"/>
      </w:pPr>
    </w:p>
    <w:p w14:paraId="04BB5819" w14:textId="77777777" w:rsidR="004D1077" w:rsidRDefault="004D1077" w:rsidP="004D1077">
      <w:pPr>
        <w:pStyle w:val="ListParagraph"/>
        <w:spacing w:after="0" w:line="240" w:lineRule="auto"/>
      </w:pPr>
    </w:p>
    <w:p w14:paraId="51660E50" w14:textId="4CDE3C47" w:rsidR="00C37C4D" w:rsidRPr="00944D54" w:rsidRDefault="00C37C4D" w:rsidP="00C46ECB">
      <w:pPr>
        <w:pStyle w:val="ListParagraph"/>
        <w:numPr>
          <w:ilvl w:val="0"/>
          <w:numId w:val="13"/>
        </w:numPr>
        <w:spacing w:after="0" w:line="240" w:lineRule="auto"/>
      </w:pPr>
      <w:r>
        <w:t xml:space="preserve">Removing the Deductible Gift Recipient (DGR) status for non-government school building funds </w:t>
      </w:r>
      <w:r w:rsidR="00BD43CE">
        <w:t>will</w:t>
      </w:r>
      <w:r>
        <w:t xml:space="preserve"> </w:t>
      </w:r>
      <w:r w:rsidR="00BD43CE">
        <w:t>have</w:t>
      </w:r>
      <w:r>
        <w:t xml:space="preserve"> adverse consequences. Subsequent effects could include a downturn in the local economy, particularly as substantial construction endeavo</w:t>
      </w:r>
      <w:r w:rsidR="009345F1">
        <w:t>u</w:t>
      </w:r>
      <w:r>
        <w:t>rs tend to generate employment opportunities. Sectors like construction, transportation, catering, and accommodation may experience heightened demand during the construction phase. Institutional building projects typically entail the development or improvement of infrastructure in the neighbo</w:t>
      </w:r>
      <w:r w:rsidR="00A60052">
        <w:t>u</w:t>
      </w:r>
      <w:r>
        <w:t xml:space="preserve">ring area, such as roads, utilities, and public and community spaces. This, in turn, contributes to overall community development and enhances the quality of life for </w:t>
      </w:r>
      <w:proofErr w:type="gramStart"/>
      <w:r>
        <w:t>local residents</w:t>
      </w:r>
      <w:proofErr w:type="gramEnd"/>
      <w:r>
        <w:t xml:space="preserve"> and community groups. The elimination of DGR status threatens to have a detrimental impact on planned projects, thereby affecting the broader community negatively</w:t>
      </w:r>
      <w:r w:rsidR="00944D54">
        <w:t xml:space="preserve"> </w:t>
      </w:r>
      <w:r w:rsidR="00C37F6C">
        <w:t>–</w:t>
      </w:r>
      <w:r w:rsidR="00944D54">
        <w:t xml:space="preserve"> </w:t>
      </w:r>
      <w:r w:rsidRPr="00944D54">
        <w:rPr>
          <w:i/>
          <w:iCs/>
        </w:rPr>
        <w:t>School</w:t>
      </w:r>
      <w:r w:rsidR="00C37F6C">
        <w:rPr>
          <w:i/>
          <w:iCs/>
        </w:rPr>
        <w:t xml:space="preserve"> in</w:t>
      </w:r>
      <w:r w:rsidRPr="00944D54">
        <w:rPr>
          <w:i/>
          <w:iCs/>
        </w:rPr>
        <w:t xml:space="preserve"> VIC</w:t>
      </w:r>
    </w:p>
    <w:p w14:paraId="5D1E581D" w14:textId="77777777" w:rsidR="00944D54" w:rsidRDefault="00944D54" w:rsidP="00944D54">
      <w:pPr>
        <w:pStyle w:val="ListParagraph"/>
        <w:spacing w:after="0" w:line="240" w:lineRule="auto"/>
      </w:pPr>
    </w:p>
    <w:p w14:paraId="756857E4" w14:textId="4889FE59" w:rsidR="00FA0ADA" w:rsidRPr="00575EBB" w:rsidRDefault="00FA0ADA" w:rsidP="00C46ECB">
      <w:pPr>
        <w:pStyle w:val="ListParagraph"/>
        <w:numPr>
          <w:ilvl w:val="0"/>
          <w:numId w:val="13"/>
        </w:numPr>
        <w:spacing w:after="0" w:line="240" w:lineRule="auto"/>
      </w:pPr>
      <w:r>
        <w:t>Many of our building projects in recent years have been largely self-funded, with limited emphasis on fundraising. This is changing</w:t>
      </w:r>
      <w:r w:rsidR="00944D54">
        <w:t>,</w:t>
      </w:r>
      <w:r>
        <w:t xml:space="preserve"> however</w:t>
      </w:r>
      <w:r w:rsidR="00944D54">
        <w:t>,</w:t>
      </w:r>
      <w:r>
        <w:t xml:space="preserve"> as schools are hit with new legislation such as the payroll tax and other govt levies. Independent schools are by necessity having to diversify their revenue streams, thus the importance of tax deduct</w:t>
      </w:r>
      <w:r w:rsidR="00A84A51">
        <w:t>i</w:t>
      </w:r>
      <w:r>
        <w:t>ble giving into the future will be critical for the sustainability of many schools</w:t>
      </w:r>
      <w:r w:rsidR="00575EBB">
        <w:t xml:space="preserve"> – </w:t>
      </w:r>
      <w:r w:rsidR="00C37F6C">
        <w:rPr>
          <w:i/>
          <w:iCs/>
        </w:rPr>
        <w:t>School in</w:t>
      </w:r>
      <w:r w:rsidR="00DE7580">
        <w:rPr>
          <w:i/>
          <w:iCs/>
        </w:rPr>
        <w:t xml:space="preserve"> VIC</w:t>
      </w:r>
    </w:p>
    <w:p w14:paraId="30CBA929" w14:textId="77777777" w:rsidR="00104942" w:rsidRDefault="00104942" w:rsidP="00575EBB">
      <w:pPr>
        <w:pStyle w:val="ListParagraph"/>
      </w:pPr>
    </w:p>
    <w:p w14:paraId="0B88E40E" w14:textId="5A9B54E2" w:rsidR="009D03F9" w:rsidRPr="00575EBB" w:rsidRDefault="009D03F9" w:rsidP="00C46ECB">
      <w:pPr>
        <w:pStyle w:val="ListParagraph"/>
        <w:numPr>
          <w:ilvl w:val="0"/>
          <w:numId w:val="13"/>
        </w:numPr>
        <w:spacing w:after="0" w:line="240" w:lineRule="auto"/>
        <w:rPr>
          <w:i/>
          <w:iCs/>
        </w:rPr>
      </w:pPr>
      <w:r>
        <w:t xml:space="preserve">The </w:t>
      </w:r>
      <w:proofErr w:type="spellStart"/>
      <w:r>
        <w:t>Purruna</w:t>
      </w:r>
      <w:proofErr w:type="spellEnd"/>
      <w:r>
        <w:t xml:space="preserve"> Centre drove innovative design to make it one of the most environmentally sustainable facilities in the country. This has allowed other schools and systems to imagine what is possible, and become a lighthouse in the LGA for sustainable development</w:t>
      </w:r>
      <w:r w:rsidR="00575EBB">
        <w:t xml:space="preserve"> </w:t>
      </w:r>
      <w:r w:rsidR="00104942">
        <w:t>–</w:t>
      </w:r>
      <w:r w:rsidR="00575EBB">
        <w:t xml:space="preserve"> </w:t>
      </w:r>
      <w:r w:rsidR="00104942">
        <w:rPr>
          <w:i/>
          <w:iCs/>
        </w:rPr>
        <w:t>School in SA</w:t>
      </w:r>
    </w:p>
    <w:p w14:paraId="0F3717BE" w14:textId="77777777" w:rsidR="009D33A4" w:rsidRDefault="009D33A4" w:rsidP="009D33A4">
      <w:pPr>
        <w:spacing w:after="0" w:line="240" w:lineRule="auto"/>
      </w:pPr>
    </w:p>
    <w:p w14:paraId="5777EF72" w14:textId="33A27470" w:rsidR="009D33A4" w:rsidRPr="009B2DF7" w:rsidRDefault="009B2DF7" w:rsidP="009D33A4">
      <w:pPr>
        <w:spacing w:after="0" w:line="240" w:lineRule="auto"/>
        <w:rPr>
          <w:b/>
          <w:bCs/>
        </w:rPr>
      </w:pPr>
      <w:r w:rsidRPr="009B2DF7">
        <w:rPr>
          <w:b/>
          <w:bCs/>
        </w:rPr>
        <w:t>For the Commission’s consideration</w:t>
      </w:r>
    </w:p>
    <w:p w14:paraId="497A664A" w14:textId="3159BC2D" w:rsidR="00AB3FEA" w:rsidRDefault="00847196" w:rsidP="00BC3BB5">
      <w:pPr>
        <w:pStyle w:val="ListParagraph"/>
        <w:numPr>
          <w:ilvl w:val="0"/>
          <w:numId w:val="14"/>
        </w:numPr>
        <w:spacing w:after="0" w:line="240" w:lineRule="auto"/>
      </w:pPr>
      <w:r>
        <w:t>Philanthropic c</w:t>
      </w:r>
      <w:r w:rsidRPr="00FE1393">
        <w:t xml:space="preserve">ontributions from parents, </w:t>
      </w:r>
      <w:proofErr w:type="gramStart"/>
      <w:r w:rsidRPr="00FE1393">
        <w:t>alumni</w:t>
      </w:r>
      <w:proofErr w:type="gramEnd"/>
      <w:r w:rsidRPr="00FE1393">
        <w:t xml:space="preserve"> and supporters </w:t>
      </w:r>
      <w:r w:rsidR="002B2A15">
        <w:t xml:space="preserve">of </w:t>
      </w:r>
      <w:r>
        <w:t>education as a cause</w:t>
      </w:r>
      <w:r w:rsidR="007B5798">
        <w:t>,</w:t>
      </w:r>
      <w:r>
        <w:t xml:space="preserve"> </w:t>
      </w:r>
      <w:r w:rsidRPr="00FE1393">
        <w:t>serve as the financial backbone for capital projects</w:t>
      </w:r>
      <w:r>
        <w:t xml:space="preserve">. </w:t>
      </w:r>
      <w:r w:rsidR="007B5798">
        <w:t>This is a</w:t>
      </w:r>
      <w:r w:rsidRPr="00FE1393">
        <w:t xml:space="preserve"> critical area often overlooked by government funding</w:t>
      </w:r>
      <w:r w:rsidR="009F3086">
        <w:t xml:space="preserve"> </w:t>
      </w:r>
      <w:r w:rsidR="006C33C7">
        <w:t>which faces</w:t>
      </w:r>
      <w:r w:rsidR="009F3086">
        <w:t xml:space="preserve"> </w:t>
      </w:r>
      <w:r w:rsidR="007F0466">
        <w:t xml:space="preserve">other </w:t>
      </w:r>
      <w:r w:rsidR="009F3086">
        <w:t>pressing educational priorities</w:t>
      </w:r>
      <w:r w:rsidR="00060C15">
        <w:t xml:space="preserve">. This is </w:t>
      </w:r>
      <w:r w:rsidR="009F3086">
        <w:t>p</w:t>
      </w:r>
      <w:r w:rsidR="00732539">
        <w:t xml:space="preserve">articularly </w:t>
      </w:r>
      <w:r w:rsidR="00060C15">
        <w:t xml:space="preserve">true </w:t>
      </w:r>
      <w:r w:rsidR="00732539">
        <w:t xml:space="preserve">in </w:t>
      </w:r>
      <w:proofErr w:type="gramStart"/>
      <w:r w:rsidR="00732539">
        <w:t>Independent</w:t>
      </w:r>
      <w:proofErr w:type="gramEnd"/>
      <w:r w:rsidR="00732539">
        <w:t xml:space="preserve"> schools and</w:t>
      </w:r>
      <w:r w:rsidR="003457AF">
        <w:t xml:space="preserve"> </w:t>
      </w:r>
      <w:r w:rsidR="00060C15">
        <w:t xml:space="preserve">capital </w:t>
      </w:r>
      <w:r w:rsidR="00412EE1">
        <w:t xml:space="preserve">projects like this </w:t>
      </w:r>
      <w:r w:rsidR="003457AF">
        <w:t>are</w:t>
      </w:r>
      <w:r w:rsidRPr="00FE1393">
        <w:t xml:space="preserve"> </w:t>
      </w:r>
      <w:r>
        <w:t xml:space="preserve">impossible to </w:t>
      </w:r>
      <w:r w:rsidR="007B5798">
        <w:t xml:space="preserve">solely </w:t>
      </w:r>
      <w:r>
        <w:t xml:space="preserve">fund from </w:t>
      </w:r>
      <w:r w:rsidRPr="00FE1393">
        <w:t xml:space="preserve">school fees </w:t>
      </w:r>
    </w:p>
    <w:p w14:paraId="27D1BD2B" w14:textId="77777777" w:rsidR="00AB3FEA" w:rsidRDefault="00AB3FEA" w:rsidP="00AB3FEA">
      <w:pPr>
        <w:pStyle w:val="ListParagraph"/>
        <w:spacing w:after="0" w:line="240" w:lineRule="auto"/>
      </w:pPr>
    </w:p>
    <w:p w14:paraId="391D63D7" w14:textId="115F31B0" w:rsidR="00A210EB" w:rsidRDefault="00847196" w:rsidP="00BC3BB5">
      <w:pPr>
        <w:pStyle w:val="ListParagraph"/>
        <w:numPr>
          <w:ilvl w:val="0"/>
          <w:numId w:val="14"/>
        </w:numPr>
        <w:spacing w:after="0" w:line="240" w:lineRule="auto"/>
      </w:pPr>
      <w:r w:rsidRPr="00FE1393">
        <w:t xml:space="preserve">The benefits of </w:t>
      </w:r>
      <w:r w:rsidR="00AB3FEA">
        <w:t xml:space="preserve">this increasing </w:t>
      </w:r>
      <w:r w:rsidR="007B5798">
        <w:t xml:space="preserve">source of </w:t>
      </w:r>
      <w:r w:rsidR="00AB3FEA">
        <w:t>philanthropy</w:t>
      </w:r>
      <w:r w:rsidRPr="00FE1393">
        <w:t xml:space="preserve"> reverberate</w:t>
      </w:r>
      <w:r w:rsidR="00AB3FEA">
        <w:t>s</w:t>
      </w:r>
      <w:r w:rsidRPr="00FE1393">
        <w:t xml:space="preserve"> across entire school communit</w:t>
      </w:r>
      <w:r w:rsidR="00AB3FEA">
        <w:t>ies</w:t>
      </w:r>
      <w:r>
        <w:t xml:space="preserve"> for many decades, relieving the operational </w:t>
      </w:r>
      <w:r w:rsidR="007B5798">
        <w:t xml:space="preserve">school </w:t>
      </w:r>
      <w:r>
        <w:t>budgets to focus on recruitment</w:t>
      </w:r>
      <w:r w:rsidR="007B5798">
        <w:t xml:space="preserve"> of skilled staff</w:t>
      </w:r>
      <w:r>
        <w:t>, teaching and learning</w:t>
      </w:r>
      <w:r w:rsidR="00A210EB">
        <w:t xml:space="preserve"> and student </w:t>
      </w:r>
      <w:proofErr w:type="gramStart"/>
      <w:r w:rsidR="00A210EB">
        <w:t>wellbeing</w:t>
      </w:r>
      <w:proofErr w:type="gramEnd"/>
      <w:r w:rsidRPr="00FE1393">
        <w:t xml:space="preserve"> </w:t>
      </w:r>
    </w:p>
    <w:p w14:paraId="378C10BD" w14:textId="77777777" w:rsidR="00A210EB" w:rsidRDefault="00A210EB" w:rsidP="00A210EB">
      <w:pPr>
        <w:pStyle w:val="ListParagraph"/>
      </w:pPr>
    </w:p>
    <w:p w14:paraId="514D6148" w14:textId="3A233982" w:rsidR="00FE1393" w:rsidRDefault="009A2126" w:rsidP="00BC3BB5">
      <w:pPr>
        <w:pStyle w:val="ListParagraph"/>
        <w:numPr>
          <w:ilvl w:val="0"/>
          <w:numId w:val="14"/>
        </w:numPr>
        <w:spacing w:after="0" w:line="240" w:lineRule="auto"/>
      </w:pPr>
      <w:r>
        <w:t>As a nation</w:t>
      </w:r>
      <w:r w:rsidR="007B5798">
        <w:t>,</w:t>
      </w:r>
      <w:r w:rsidR="005E42FD">
        <w:t xml:space="preserve"> w</w:t>
      </w:r>
      <w:r w:rsidR="009F729C">
        <w:t xml:space="preserve">e need to </w:t>
      </w:r>
      <w:r w:rsidR="00AD13A6">
        <w:t xml:space="preserve">encourage </w:t>
      </w:r>
      <w:r>
        <w:t xml:space="preserve">philanthropy </w:t>
      </w:r>
      <w:r w:rsidR="00AD13A6">
        <w:t xml:space="preserve">and make it </w:t>
      </w:r>
      <w:r>
        <w:t xml:space="preserve">easy </w:t>
      </w:r>
      <w:r w:rsidR="00AD13A6">
        <w:t xml:space="preserve">by </w:t>
      </w:r>
      <w:r>
        <w:t>provid</w:t>
      </w:r>
      <w:r w:rsidR="00AD13A6">
        <w:t>ing</w:t>
      </w:r>
      <w:r>
        <w:t xml:space="preserve"> as ma</w:t>
      </w:r>
      <w:r w:rsidR="005E42FD">
        <w:t>n</w:t>
      </w:r>
      <w:r>
        <w:t>y options and incentives as possible to donors</w:t>
      </w:r>
      <w:r w:rsidR="000331A4">
        <w:t xml:space="preserve">. In so doing, we meet the brief of this </w:t>
      </w:r>
      <w:proofErr w:type="gramStart"/>
      <w:r w:rsidR="000331A4">
        <w:t>Inquiry</w:t>
      </w:r>
      <w:proofErr w:type="gramEnd"/>
    </w:p>
    <w:p w14:paraId="1C2A18B0" w14:textId="77777777" w:rsidR="00C53B0B" w:rsidRDefault="00C53B0B" w:rsidP="00C53B0B">
      <w:pPr>
        <w:pStyle w:val="ListParagraph"/>
      </w:pPr>
    </w:p>
    <w:p w14:paraId="33C88D64" w14:textId="4C4481AF" w:rsidR="005E7D07" w:rsidRDefault="006C36BE" w:rsidP="00BD0336">
      <w:pPr>
        <w:pStyle w:val="ListParagraph"/>
        <w:numPr>
          <w:ilvl w:val="0"/>
          <w:numId w:val="14"/>
        </w:numPr>
      </w:pPr>
      <w:r>
        <w:t xml:space="preserve">As per our </w:t>
      </w:r>
      <w:r w:rsidR="00C341F3">
        <w:t>initial submission</w:t>
      </w:r>
      <w:r w:rsidR="003457AF">
        <w:t xml:space="preserve"> on 23 May 2023</w:t>
      </w:r>
      <w:r w:rsidR="00C341F3">
        <w:t>, w</w:t>
      </w:r>
      <w:r w:rsidR="005E42FD">
        <w:t>e</w:t>
      </w:r>
      <w:r w:rsidR="005E193F">
        <w:t xml:space="preserve"> </w:t>
      </w:r>
      <w:r w:rsidR="00CF0314" w:rsidRPr="00FE1393">
        <w:t xml:space="preserve">emphatically urge the Commission to </w:t>
      </w:r>
      <w:r w:rsidR="003457AF" w:rsidRPr="00FE1393">
        <w:t xml:space="preserve">champion policies </w:t>
      </w:r>
      <w:r w:rsidR="003457AF">
        <w:t xml:space="preserve">that </w:t>
      </w:r>
      <w:r w:rsidR="003457AF" w:rsidRPr="00FE1393">
        <w:t>facilitat</w:t>
      </w:r>
      <w:r w:rsidR="003457AF">
        <w:t>e</w:t>
      </w:r>
      <w:r w:rsidR="003457AF" w:rsidRPr="00FE1393">
        <w:t xml:space="preserve"> increased private </w:t>
      </w:r>
      <w:r w:rsidR="003457AF">
        <w:t>philanthropy</w:t>
      </w:r>
      <w:r w:rsidR="003457AF" w:rsidRPr="00FE1393">
        <w:t xml:space="preserve"> for all schools </w:t>
      </w:r>
      <w:r w:rsidR="002A2121">
        <w:t>a</w:t>
      </w:r>
      <w:r w:rsidR="003457AF">
        <w:t xml:space="preserve">nd </w:t>
      </w:r>
      <w:r w:rsidR="00CF0314" w:rsidRPr="00FE1393">
        <w:t xml:space="preserve">advocate for the automatic </w:t>
      </w:r>
      <w:r w:rsidR="00CF0314" w:rsidRPr="00CF0314">
        <w:t>conferral of full DGR status to all Government and NFP schools</w:t>
      </w:r>
      <w:r w:rsidR="005E7D07">
        <w:t xml:space="preserve">. </w:t>
      </w:r>
      <w:r w:rsidR="005E7D07" w:rsidRPr="00FE1393">
        <w:t>This plea gains urgency in the face of diminishing government funding</w:t>
      </w:r>
      <w:r w:rsidR="005E7D07">
        <w:t xml:space="preserve"> and increased taxation such as the Payroll Tax in Victoria</w:t>
      </w:r>
    </w:p>
    <w:p w14:paraId="7390EE8B" w14:textId="77777777" w:rsidR="00C21FC8" w:rsidRDefault="00C21FC8" w:rsidP="002B2A15">
      <w:pPr>
        <w:pStyle w:val="ListParagraph"/>
      </w:pPr>
    </w:p>
    <w:p w14:paraId="4B141F38" w14:textId="1E2CF7C1" w:rsidR="00C21FC8" w:rsidRPr="00FE1393" w:rsidRDefault="00C21FC8" w:rsidP="002B2A15">
      <w:pPr>
        <w:pStyle w:val="ListParagraph"/>
      </w:pPr>
      <w:r>
        <w:t>In reading the Report</w:t>
      </w:r>
      <w:r w:rsidR="00913AC8">
        <w:t xml:space="preserve">, it is difficult to understand </w:t>
      </w:r>
      <w:r w:rsidR="008C204B">
        <w:t>why</w:t>
      </w:r>
      <w:r w:rsidR="00913AC8">
        <w:t xml:space="preserve"> the framework of DGR status applied to universities differs from th</w:t>
      </w:r>
      <w:r w:rsidR="00D03FCA">
        <w:t>at</w:t>
      </w:r>
      <w:r w:rsidR="00913AC8">
        <w:t xml:space="preserve"> applied to schools. If the aim is to </w:t>
      </w:r>
      <w:r w:rsidR="005746BB">
        <w:t xml:space="preserve">use a principles-based approach and to </w:t>
      </w:r>
      <w:r w:rsidR="00913AC8">
        <w:t xml:space="preserve">create more equity in the application of DGR status across all sectors, it </w:t>
      </w:r>
      <w:r w:rsidR="008F37DD">
        <w:t xml:space="preserve">would make sense for </w:t>
      </w:r>
      <w:r w:rsidR="008F37DD" w:rsidRPr="003E7E23">
        <w:rPr>
          <w:u w:val="single"/>
        </w:rPr>
        <w:t>all</w:t>
      </w:r>
      <w:r w:rsidR="008F37DD">
        <w:t xml:space="preserve"> educational institutions to have the same DGR </w:t>
      </w:r>
      <w:proofErr w:type="gramStart"/>
      <w:r w:rsidR="008F37DD">
        <w:t>status</w:t>
      </w:r>
      <w:proofErr w:type="gramEnd"/>
    </w:p>
    <w:p w14:paraId="55F4DA85" w14:textId="2FE50594" w:rsidR="00C341F3" w:rsidRDefault="00C341F3" w:rsidP="003457AF">
      <w:pPr>
        <w:pStyle w:val="ListParagraph"/>
      </w:pPr>
    </w:p>
    <w:p w14:paraId="50403C8A" w14:textId="29B69DBA" w:rsidR="00FE1393" w:rsidRPr="00FE1393" w:rsidRDefault="00FE1393" w:rsidP="0099485A">
      <w:pPr>
        <w:pStyle w:val="ListParagraph"/>
        <w:numPr>
          <w:ilvl w:val="0"/>
          <w:numId w:val="14"/>
        </w:numPr>
      </w:pPr>
      <w:r w:rsidRPr="00FE1393">
        <w:t>Primary and secondary education</w:t>
      </w:r>
      <w:r w:rsidR="00D17DFA">
        <w:t>al</w:t>
      </w:r>
      <w:r w:rsidRPr="00FE1393">
        <w:t xml:space="preserve"> institutions are pivotal in the education of Australians</w:t>
      </w:r>
      <w:r w:rsidR="00211EF4">
        <w:t>,</w:t>
      </w:r>
      <w:r w:rsidR="00931780">
        <w:t xml:space="preserve"> maintaining the high standards of </w:t>
      </w:r>
      <w:r w:rsidR="00274F3D">
        <w:t>life we aspire to</w:t>
      </w:r>
      <w:r w:rsidR="00211EF4">
        <w:t xml:space="preserve"> and </w:t>
      </w:r>
      <w:r w:rsidR="00B379F9">
        <w:t xml:space="preserve">in </w:t>
      </w:r>
      <w:r w:rsidR="00211EF4">
        <w:t>developing as a multi-cultural nation</w:t>
      </w:r>
      <w:r w:rsidRPr="00FE1393">
        <w:t>. If implemented, th</w:t>
      </w:r>
      <w:r w:rsidR="005E7D07">
        <w:t>is</w:t>
      </w:r>
      <w:r w:rsidRPr="00FE1393">
        <w:t xml:space="preserve"> </w:t>
      </w:r>
      <w:r w:rsidR="00274F3D">
        <w:t>recommendation</w:t>
      </w:r>
      <w:r w:rsidRPr="00FE1393">
        <w:t xml:space="preserve"> </w:t>
      </w:r>
      <w:r w:rsidR="005E7D07">
        <w:t xml:space="preserve">by the Commission </w:t>
      </w:r>
      <w:r w:rsidRPr="00FE1393">
        <w:t xml:space="preserve">would </w:t>
      </w:r>
      <w:r w:rsidR="00CF0314">
        <w:t>significantly reduce philanthropic giving which would be counter to the intent of the Inquiry</w:t>
      </w:r>
      <w:r w:rsidR="00AF6851">
        <w:t xml:space="preserve">, not to mention the </w:t>
      </w:r>
      <w:r w:rsidR="00D17DFA">
        <w:t>damaging</w:t>
      </w:r>
      <w:r w:rsidR="00AF6851">
        <w:t xml:space="preserve"> impact it would have on the educational landscape in Australia</w:t>
      </w:r>
      <w:r w:rsidR="00CF0314">
        <w:t>.</w:t>
      </w:r>
    </w:p>
    <w:p w14:paraId="32522358" w14:textId="77777777" w:rsidR="00371ADE" w:rsidRDefault="00371ADE" w:rsidP="00DA6848">
      <w:pPr>
        <w:spacing w:after="0" w:line="240" w:lineRule="auto"/>
        <w:rPr>
          <w:b/>
          <w:bCs/>
        </w:rPr>
      </w:pPr>
    </w:p>
    <w:p w14:paraId="7F0D2685" w14:textId="77777777" w:rsidR="00983707" w:rsidRDefault="00983707" w:rsidP="00DA6848">
      <w:pPr>
        <w:spacing w:after="0" w:line="240" w:lineRule="auto"/>
        <w:rPr>
          <w:b/>
          <w:bCs/>
        </w:rPr>
      </w:pPr>
    </w:p>
    <w:p w14:paraId="29B22D4E" w14:textId="77777777" w:rsidR="00983707" w:rsidRDefault="00983707" w:rsidP="00DA6848">
      <w:pPr>
        <w:spacing w:after="0" w:line="240" w:lineRule="auto"/>
        <w:rPr>
          <w:b/>
          <w:bCs/>
        </w:rPr>
      </w:pPr>
    </w:p>
    <w:p w14:paraId="6EACD427" w14:textId="77777777" w:rsidR="00983707" w:rsidRDefault="00983707" w:rsidP="00DA6848">
      <w:pPr>
        <w:spacing w:after="0" w:line="240" w:lineRule="auto"/>
        <w:rPr>
          <w:b/>
          <w:bCs/>
        </w:rPr>
      </w:pPr>
    </w:p>
    <w:p w14:paraId="643A7CB6" w14:textId="77777777" w:rsidR="00983707" w:rsidRDefault="00983707" w:rsidP="00DA6848">
      <w:pPr>
        <w:spacing w:after="0" w:line="240" w:lineRule="auto"/>
        <w:rPr>
          <w:b/>
          <w:bCs/>
        </w:rPr>
      </w:pPr>
    </w:p>
    <w:p w14:paraId="540B4523" w14:textId="77777777" w:rsidR="00983707" w:rsidRDefault="00983707" w:rsidP="00DA6848">
      <w:pPr>
        <w:spacing w:after="0" w:line="240" w:lineRule="auto"/>
        <w:rPr>
          <w:b/>
          <w:bCs/>
        </w:rPr>
      </w:pPr>
    </w:p>
    <w:p w14:paraId="4BD6EEC1" w14:textId="715B3B9F" w:rsidR="00DA6848" w:rsidRDefault="00DA6848" w:rsidP="00DA6848">
      <w:pPr>
        <w:spacing w:after="0" w:line="240" w:lineRule="auto"/>
        <w:rPr>
          <w:b/>
          <w:bCs/>
        </w:rPr>
      </w:pPr>
      <w:r w:rsidRPr="00BC3BB5">
        <w:rPr>
          <w:b/>
          <w:bCs/>
        </w:rPr>
        <w:t xml:space="preserve">How can we help </w:t>
      </w:r>
      <w:r>
        <w:rPr>
          <w:b/>
          <w:bCs/>
        </w:rPr>
        <w:t xml:space="preserve">to </w:t>
      </w:r>
      <w:r w:rsidRPr="00BC3BB5">
        <w:rPr>
          <w:b/>
          <w:bCs/>
        </w:rPr>
        <w:t>achieve the Commission’s objectives?</w:t>
      </w:r>
    </w:p>
    <w:p w14:paraId="60758279" w14:textId="7EF53873" w:rsidR="009B2DF7" w:rsidRDefault="009B2DF7" w:rsidP="009B2DF7">
      <w:pPr>
        <w:pStyle w:val="ListParagraph"/>
        <w:numPr>
          <w:ilvl w:val="0"/>
          <w:numId w:val="14"/>
        </w:numPr>
        <w:spacing w:after="0" w:line="240" w:lineRule="auto"/>
      </w:pPr>
      <w:r w:rsidRPr="009B2DF7">
        <w:t>We can conduct an</w:t>
      </w:r>
      <w:r>
        <w:t>y further res</w:t>
      </w:r>
      <w:r w:rsidR="00A34DDD">
        <w:t xml:space="preserve">earch that will assist the Commission </w:t>
      </w:r>
      <w:r w:rsidR="00F278E4">
        <w:t>to</w:t>
      </w:r>
      <w:r w:rsidR="00A34DDD">
        <w:t xml:space="preserve"> provide greater understanding of how implementation of this recommendation will truly </w:t>
      </w:r>
      <w:r w:rsidR="00CD5CD4">
        <w:t>impact</w:t>
      </w:r>
      <w:r w:rsidR="00A34DDD">
        <w:t xml:space="preserve"> the educational and philanthropic landscape in </w:t>
      </w:r>
      <w:proofErr w:type="gramStart"/>
      <w:r w:rsidR="00A34DDD">
        <w:t>Australia</w:t>
      </w:r>
      <w:proofErr w:type="gramEnd"/>
    </w:p>
    <w:p w14:paraId="210FE48E" w14:textId="77777777" w:rsidR="00F278E4" w:rsidRDefault="00F278E4" w:rsidP="00F278E4">
      <w:pPr>
        <w:pStyle w:val="ListParagraph"/>
        <w:spacing w:after="0" w:line="240" w:lineRule="auto"/>
      </w:pPr>
    </w:p>
    <w:p w14:paraId="54B2FB30" w14:textId="77777777" w:rsidR="00983707" w:rsidRDefault="00983707" w:rsidP="00F278E4">
      <w:pPr>
        <w:pStyle w:val="ListParagraph"/>
        <w:spacing w:after="0" w:line="240" w:lineRule="auto"/>
      </w:pPr>
    </w:p>
    <w:p w14:paraId="5C245F59" w14:textId="6E2A4213" w:rsidR="0083059E" w:rsidRDefault="0083059E" w:rsidP="0083059E">
      <w:r>
        <w:rPr>
          <w:b/>
          <w:bCs/>
        </w:rPr>
        <w:t>Conclusion</w:t>
      </w:r>
    </w:p>
    <w:p w14:paraId="3622C61B" w14:textId="7973F248" w:rsidR="003E2F80" w:rsidRDefault="006129B7" w:rsidP="00AF6851">
      <w:pPr>
        <w:spacing w:after="0" w:line="240" w:lineRule="auto"/>
      </w:pPr>
      <w:r w:rsidRPr="006129B7">
        <w:t>We are grateful for the</w:t>
      </w:r>
      <w:r w:rsidR="004B3D32">
        <w:t xml:space="preserve"> hard</w:t>
      </w:r>
      <w:r w:rsidRPr="006129B7">
        <w:t xml:space="preserve"> </w:t>
      </w:r>
      <w:r w:rsidR="00955F82">
        <w:t xml:space="preserve">work </w:t>
      </w:r>
      <w:r w:rsidRPr="006129B7">
        <w:t>by the Productivity Commission</w:t>
      </w:r>
      <w:r>
        <w:t xml:space="preserve"> to </w:t>
      </w:r>
      <w:r w:rsidR="003E2F80">
        <w:t>compile this Draft Report</w:t>
      </w:r>
      <w:r w:rsidR="0063644B">
        <w:t xml:space="preserve"> of the</w:t>
      </w:r>
      <w:r w:rsidR="0063644B" w:rsidRPr="0063644B">
        <w:t xml:space="preserve"> </w:t>
      </w:r>
      <w:r w:rsidR="0063644B" w:rsidRPr="0063644B">
        <w:rPr>
          <w:i/>
          <w:iCs/>
        </w:rPr>
        <w:t>Philanthropy Inquiry, Future foundations for giving</w:t>
      </w:r>
      <w:r w:rsidR="0063644B">
        <w:t xml:space="preserve"> </w:t>
      </w:r>
      <w:r w:rsidRPr="006129B7">
        <w:t>and we welcome the chance to provide our input</w:t>
      </w:r>
      <w:r w:rsidR="004B3D32">
        <w:t xml:space="preserve"> to achieve the intended outcome of the Inquiry – to increase philanthropy in Australia</w:t>
      </w:r>
      <w:r w:rsidRPr="006129B7">
        <w:t xml:space="preserve">. </w:t>
      </w:r>
    </w:p>
    <w:p w14:paraId="79D768F5" w14:textId="77777777" w:rsidR="005D5D4A" w:rsidRDefault="005D5D4A" w:rsidP="00AF6851">
      <w:pPr>
        <w:spacing w:after="0" w:line="240" w:lineRule="auto"/>
      </w:pPr>
    </w:p>
    <w:p w14:paraId="6A5F7AA2" w14:textId="77777777" w:rsidR="00983707" w:rsidRDefault="00983707" w:rsidP="00AF6851">
      <w:pPr>
        <w:spacing w:after="0" w:line="240" w:lineRule="auto"/>
      </w:pPr>
    </w:p>
    <w:p w14:paraId="080FC10E" w14:textId="77777777" w:rsidR="00983707" w:rsidRDefault="00983707" w:rsidP="00AF6851">
      <w:pPr>
        <w:spacing w:after="0" w:line="240" w:lineRule="auto"/>
      </w:pPr>
    </w:p>
    <w:p w14:paraId="5AD92C6E" w14:textId="270EF3E5" w:rsidR="003E2F80" w:rsidRDefault="00D936B9" w:rsidP="00C3264B">
      <w:pPr>
        <w:spacing w:after="0" w:line="240" w:lineRule="auto"/>
        <w:ind w:firstLine="360"/>
      </w:pPr>
      <w:r>
        <w:t>__________________________________________</w:t>
      </w:r>
    </w:p>
    <w:p w14:paraId="776F6B5C" w14:textId="77777777" w:rsidR="00C3264B" w:rsidRDefault="00C3264B" w:rsidP="00AF6851">
      <w:pPr>
        <w:spacing w:after="0" w:line="240" w:lineRule="auto"/>
      </w:pPr>
    </w:p>
    <w:p w14:paraId="063D9BAB" w14:textId="0624D3C4" w:rsidR="00E249DA" w:rsidRDefault="005D5D4A" w:rsidP="00385692">
      <w:pPr>
        <w:pStyle w:val="ListParagraph"/>
        <w:numPr>
          <w:ilvl w:val="0"/>
          <w:numId w:val="15"/>
        </w:numPr>
        <w:spacing w:after="0" w:line="240" w:lineRule="auto"/>
      </w:pPr>
      <w:r>
        <w:t xml:space="preserve">Independent Schools Australia – </w:t>
      </w:r>
      <w:r w:rsidR="00D20F66">
        <w:t xml:space="preserve">(2023) </w:t>
      </w:r>
      <w:r w:rsidRPr="00D20F66">
        <w:rPr>
          <w:i/>
          <w:iCs/>
        </w:rPr>
        <w:t>Snapshot</w:t>
      </w:r>
      <w:r>
        <w:t xml:space="preserve"> </w:t>
      </w:r>
      <w:r w:rsidR="00C11B5B">
        <w:t xml:space="preserve"> </w:t>
      </w:r>
      <w:hyperlink r:id="rId12" w:history="1">
        <w:r w:rsidR="00C11B5B" w:rsidRPr="00F359DE">
          <w:rPr>
            <w:rStyle w:val="Hyperlink"/>
          </w:rPr>
          <w:t>www.isa.edu.au</w:t>
        </w:r>
      </w:hyperlink>
    </w:p>
    <w:p w14:paraId="6AB40569" w14:textId="4A3814E9" w:rsidR="00247898" w:rsidRDefault="00461B93" w:rsidP="00247898">
      <w:pPr>
        <w:pStyle w:val="ListParagraph"/>
        <w:numPr>
          <w:ilvl w:val="0"/>
          <w:numId w:val="16"/>
        </w:numPr>
        <w:spacing w:after="0" w:line="240" w:lineRule="auto"/>
      </w:pPr>
      <w:r>
        <w:t xml:space="preserve">Fundraising Institute of Australia – </w:t>
      </w:r>
      <w:r w:rsidR="00955F60" w:rsidRPr="002C3EB9">
        <w:rPr>
          <w:i/>
          <w:iCs/>
        </w:rPr>
        <w:t>Code</w:t>
      </w:r>
      <w:r w:rsidR="00955F60">
        <w:t xml:space="preserve"> (</w:t>
      </w:r>
      <w:r>
        <w:t>Ethics and Standards</w:t>
      </w:r>
      <w:r w:rsidR="006C7B55">
        <w:t xml:space="preserve"> Framework</w:t>
      </w:r>
      <w:r w:rsidR="00955F60">
        <w:t>)</w:t>
      </w:r>
      <w:r w:rsidR="006C7B55">
        <w:t xml:space="preserve"> </w:t>
      </w:r>
      <w:r w:rsidR="00D834A6">
        <w:t xml:space="preserve"> </w:t>
      </w:r>
      <w:hyperlink r:id="rId13" w:history="1">
        <w:r w:rsidR="00700C84" w:rsidRPr="00F359DE">
          <w:rPr>
            <w:rStyle w:val="Hyperlink"/>
          </w:rPr>
          <w:t>www.fia.org.au</w:t>
        </w:r>
      </w:hyperlink>
    </w:p>
    <w:p w14:paraId="0BA4F4BC" w14:textId="2110B0BE" w:rsidR="00714BFD" w:rsidRDefault="00714BFD" w:rsidP="00714BFD">
      <w:pPr>
        <w:pStyle w:val="ListParagraph"/>
        <w:spacing w:after="0" w:line="240" w:lineRule="auto"/>
      </w:pPr>
      <w:r>
        <w:t xml:space="preserve">The Code is based on the International Statement of Ethical Principles in Fundraising. </w:t>
      </w:r>
    </w:p>
    <w:p w14:paraId="5F87DF2D" w14:textId="312E6B13" w:rsidR="004F377F" w:rsidRDefault="00714BFD" w:rsidP="00714BFD">
      <w:pPr>
        <w:pStyle w:val="ListParagraph"/>
        <w:spacing w:after="0" w:line="240" w:lineRule="auto"/>
      </w:pPr>
      <w:r>
        <w:t xml:space="preserve">All FIA members </w:t>
      </w:r>
      <w:r w:rsidR="005B5643">
        <w:t xml:space="preserve">(of which many are </w:t>
      </w:r>
      <w:r w:rsidR="008504F8">
        <w:t xml:space="preserve">from schools) </w:t>
      </w:r>
      <w:r>
        <w:t xml:space="preserve">agree to adhere to the Code and they undertake training in the Code. Over the past four years about 9,000 fundraisers, CEOs and directors have taken the training. The Code is recognised by State and Commonwealth regulators as an ethical best-practice framework for professional </w:t>
      </w:r>
      <w:proofErr w:type="gramStart"/>
      <w:r>
        <w:t>fundraising</w:t>
      </w:r>
      <w:proofErr w:type="gramEnd"/>
    </w:p>
    <w:p w14:paraId="0A6D9520" w14:textId="381659FE" w:rsidR="006C7B55" w:rsidRDefault="006C7B55" w:rsidP="006C7B55">
      <w:pPr>
        <w:pStyle w:val="ListParagraph"/>
        <w:numPr>
          <w:ilvl w:val="0"/>
          <w:numId w:val="17"/>
        </w:numPr>
        <w:spacing w:after="0" w:line="240" w:lineRule="auto"/>
      </w:pPr>
      <w:r>
        <w:t>CASE – Council for the Ad</w:t>
      </w:r>
      <w:r w:rsidR="00CB1AF9">
        <w:t>vancement and Support of Education</w:t>
      </w:r>
      <w:r w:rsidR="003E4624">
        <w:t xml:space="preserve"> is a </w:t>
      </w:r>
      <w:r w:rsidR="00DD463A">
        <w:t xml:space="preserve">global </w:t>
      </w:r>
      <w:r w:rsidR="003E4624">
        <w:t xml:space="preserve">membership organisation </w:t>
      </w:r>
      <w:r w:rsidR="00DD463A">
        <w:t xml:space="preserve">dedicated to </w:t>
      </w:r>
      <w:r w:rsidR="009061E4">
        <w:t>educational Advancement professionals</w:t>
      </w:r>
      <w:r w:rsidR="00D834A6">
        <w:t xml:space="preserve">, particularly those working in </w:t>
      </w:r>
      <w:proofErr w:type="gramStart"/>
      <w:r w:rsidR="00D834A6">
        <w:t>fundraising</w:t>
      </w:r>
      <w:proofErr w:type="gramEnd"/>
    </w:p>
    <w:p w14:paraId="79C9C182" w14:textId="7410D964" w:rsidR="00D834A6" w:rsidRDefault="00536FBE" w:rsidP="00D834A6">
      <w:pPr>
        <w:pStyle w:val="ListParagraph"/>
        <w:spacing w:after="0" w:line="240" w:lineRule="auto"/>
      </w:pPr>
      <w:hyperlink r:id="rId14" w:history="1">
        <w:r w:rsidR="00D834A6" w:rsidRPr="00F359DE">
          <w:rPr>
            <w:rStyle w:val="Hyperlink"/>
          </w:rPr>
          <w:t>www.case.org</w:t>
        </w:r>
      </w:hyperlink>
    </w:p>
    <w:p w14:paraId="3FAFBDE8" w14:textId="77777777" w:rsidR="00D834A6" w:rsidRDefault="00D834A6" w:rsidP="00D834A6">
      <w:pPr>
        <w:pStyle w:val="ListParagraph"/>
        <w:spacing w:after="0" w:line="240" w:lineRule="auto"/>
      </w:pPr>
    </w:p>
    <w:p w14:paraId="73A58C5B" w14:textId="77777777" w:rsidR="00CD5CD4" w:rsidRDefault="00CD5CD4" w:rsidP="00AF6851">
      <w:pPr>
        <w:spacing w:after="0" w:line="240" w:lineRule="auto"/>
        <w:rPr>
          <w:b/>
          <w:bCs/>
        </w:rPr>
      </w:pPr>
    </w:p>
    <w:p w14:paraId="6291D065" w14:textId="77777777" w:rsidR="00CD5CD4" w:rsidRDefault="00CD5CD4" w:rsidP="00AF6851">
      <w:pPr>
        <w:spacing w:after="0" w:line="240" w:lineRule="auto"/>
        <w:rPr>
          <w:b/>
          <w:bCs/>
        </w:rPr>
      </w:pPr>
    </w:p>
    <w:p w14:paraId="5F9A34A5" w14:textId="77777777" w:rsidR="003A1C4F" w:rsidRDefault="003A1C4F" w:rsidP="00AF6851">
      <w:pPr>
        <w:spacing w:after="0" w:line="240" w:lineRule="auto"/>
        <w:rPr>
          <w:b/>
          <w:bCs/>
        </w:rPr>
      </w:pPr>
    </w:p>
    <w:p w14:paraId="37763984" w14:textId="4832CAC8" w:rsidR="00AF6851" w:rsidRPr="004F79A1" w:rsidRDefault="00AF6851" w:rsidP="00AF6851">
      <w:pPr>
        <w:spacing w:after="0" w:line="240" w:lineRule="auto"/>
        <w:rPr>
          <w:b/>
          <w:bCs/>
        </w:rPr>
      </w:pPr>
      <w:r w:rsidRPr="004F79A1">
        <w:rPr>
          <w:b/>
          <w:bCs/>
        </w:rPr>
        <w:t>Submitted by:</w:t>
      </w:r>
    </w:p>
    <w:p w14:paraId="4D8943FC" w14:textId="77777777" w:rsidR="00AF6851" w:rsidRDefault="00AF6851" w:rsidP="00AF6851">
      <w:pPr>
        <w:spacing w:after="0" w:line="240" w:lineRule="auto"/>
      </w:pPr>
      <w:r>
        <w:t>Mandy McFarland</w:t>
      </w:r>
    </w:p>
    <w:p w14:paraId="2601FBE1" w14:textId="77777777" w:rsidR="00AF6851" w:rsidRDefault="00AF6851" w:rsidP="00AF6851">
      <w:pPr>
        <w:spacing w:after="0" w:line="240" w:lineRule="auto"/>
      </w:pPr>
      <w:r>
        <w:t>CEO: Educate Plus</w:t>
      </w:r>
    </w:p>
    <w:p w14:paraId="3528BEB5" w14:textId="6E0088F1" w:rsidR="00AF6851" w:rsidRDefault="00AF6851" w:rsidP="00AF6851">
      <w:pPr>
        <w:spacing w:after="0" w:line="240" w:lineRule="auto"/>
      </w:pPr>
    </w:p>
    <w:p w14:paraId="7728E2AB" w14:textId="77777777" w:rsidR="00AF6851" w:rsidRDefault="00AF6851" w:rsidP="00AF6851">
      <w:pPr>
        <w:spacing w:after="0" w:line="240" w:lineRule="auto"/>
      </w:pPr>
      <w:r>
        <w:t>ABN: 48 294 772 460</w:t>
      </w:r>
    </w:p>
    <w:p w14:paraId="72670762" w14:textId="1CA1091D" w:rsidR="00A80AB7" w:rsidRDefault="008267DC">
      <w:r>
        <w:t>9 February 2024</w:t>
      </w:r>
    </w:p>
    <w:sectPr w:rsidR="00A80AB7" w:rsidSect="00DD7B89">
      <w:headerReference w:type="default" r:id="rId15"/>
      <w:pgSz w:w="11906" w:h="16838"/>
      <w:pgMar w:top="567" w:right="720" w:bottom="720"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541AC" w14:textId="77777777" w:rsidR="00DD7B89" w:rsidRDefault="00DD7B89" w:rsidP="00AF6851">
      <w:pPr>
        <w:spacing w:after="0" w:line="240" w:lineRule="auto"/>
      </w:pPr>
      <w:r>
        <w:separator/>
      </w:r>
    </w:p>
  </w:endnote>
  <w:endnote w:type="continuationSeparator" w:id="0">
    <w:p w14:paraId="015D4AF6" w14:textId="77777777" w:rsidR="00DD7B89" w:rsidRDefault="00DD7B89" w:rsidP="00AF68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64919C" w14:textId="77777777" w:rsidR="00DD7B89" w:rsidRDefault="00DD7B89" w:rsidP="00AF6851">
      <w:pPr>
        <w:spacing w:after="0" w:line="240" w:lineRule="auto"/>
      </w:pPr>
      <w:r>
        <w:separator/>
      </w:r>
    </w:p>
  </w:footnote>
  <w:footnote w:type="continuationSeparator" w:id="0">
    <w:p w14:paraId="7CD4C1B2" w14:textId="77777777" w:rsidR="00DD7B89" w:rsidRDefault="00DD7B89" w:rsidP="00AF68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DF580" w14:textId="4B2EEDE0" w:rsidR="00AF6851" w:rsidRDefault="00AF6851">
    <w:pPr>
      <w:pStyle w:val="Header"/>
    </w:pPr>
    <w:r>
      <w:rPr>
        <w:noProof/>
      </w:rPr>
      <w:drawing>
        <wp:anchor distT="0" distB="0" distL="114300" distR="114300" simplePos="0" relativeHeight="251658240" behindDoc="1" locked="0" layoutInCell="1" allowOverlap="1" wp14:anchorId="244AFA95" wp14:editId="0E38E926">
          <wp:simplePos x="0" y="0"/>
          <wp:positionH relativeFrom="column">
            <wp:posOffset>3708400</wp:posOffset>
          </wp:positionH>
          <wp:positionV relativeFrom="paragraph">
            <wp:posOffset>-405130</wp:posOffset>
          </wp:positionV>
          <wp:extent cx="2286000" cy="1005840"/>
          <wp:effectExtent l="0" t="0" r="0" b="3810"/>
          <wp:wrapTight wrapText="bothSides">
            <wp:wrapPolygon edited="0">
              <wp:start x="0" y="0"/>
              <wp:lineTo x="0" y="21273"/>
              <wp:lineTo x="21420" y="21273"/>
              <wp:lineTo x="21420" y="0"/>
              <wp:lineTo x="0" y="0"/>
            </wp:wrapPolygon>
          </wp:wrapTight>
          <wp:docPr id="13734407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100584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90DC9"/>
    <w:multiLevelType w:val="hybridMultilevel"/>
    <w:tmpl w:val="D8F4BD90"/>
    <w:lvl w:ilvl="0" w:tplc="E40AF99E">
      <w:start w:val="1"/>
      <w:numFmt w:val="bullet"/>
      <w:lvlText w:val=""/>
      <w:lvlJc w:val="left"/>
      <w:pPr>
        <w:ind w:left="720" w:hanging="360"/>
      </w:pPr>
      <w:rPr>
        <w:rFonts w:ascii="Wingdings" w:hAnsi="Wingdings" w:hint="default"/>
        <w:color w:val="6AA343"/>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AD95DD7"/>
    <w:multiLevelType w:val="hybridMultilevel"/>
    <w:tmpl w:val="77964ACA"/>
    <w:lvl w:ilvl="0" w:tplc="E40AF99E">
      <w:start w:val="1"/>
      <w:numFmt w:val="bullet"/>
      <w:lvlText w:val=""/>
      <w:lvlJc w:val="left"/>
      <w:pPr>
        <w:ind w:left="720" w:hanging="360"/>
      </w:pPr>
      <w:rPr>
        <w:rFonts w:ascii="Wingdings" w:hAnsi="Wingdings" w:hint="default"/>
        <w:color w:val="6AA343"/>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F3E6C9D"/>
    <w:multiLevelType w:val="multilevel"/>
    <w:tmpl w:val="FF8069A4"/>
    <w:numStyleLink w:val="Bullets"/>
  </w:abstractNum>
  <w:abstractNum w:abstractNumId="3" w15:restartNumberingAfterBreak="0">
    <w:nsid w:val="0F6F37EA"/>
    <w:multiLevelType w:val="multilevel"/>
    <w:tmpl w:val="1FA8DC2A"/>
    <w:styleLink w:val="Numbering"/>
    <w:lvl w:ilvl="0">
      <w:start w:val="1"/>
      <w:numFmt w:val="decimal"/>
      <w:pStyle w:val="ListNumber"/>
      <w:lvlText w:val="%1."/>
      <w:lvlJc w:val="left"/>
      <w:pPr>
        <w:ind w:left="454" w:hanging="454"/>
      </w:pPr>
      <w:rPr>
        <w:rFonts w:hint="default"/>
      </w:rPr>
    </w:lvl>
    <w:lvl w:ilvl="1">
      <w:start w:val="1"/>
      <w:numFmt w:val="decimal"/>
      <w:pStyle w:val="ListNumber2"/>
      <w:lvlText w:val="%1.%2."/>
      <w:lvlJc w:val="left"/>
      <w:pPr>
        <w:ind w:left="680" w:hanging="680"/>
      </w:pPr>
      <w:rPr>
        <w:rFonts w:hint="default"/>
      </w:rPr>
    </w:lvl>
    <w:lvl w:ilvl="2">
      <w:start w:val="1"/>
      <w:numFmt w:val="decimal"/>
      <w:pStyle w:val="ListNumber3"/>
      <w:lvlText w:val="%1.%2.%3."/>
      <w:lvlJc w:val="left"/>
      <w:pPr>
        <w:ind w:left="907" w:hanging="907"/>
      </w:pPr>
      <w:rPr>
        <w:rFonts w:hint="default"/>
      </w:rPr>
    </w:lvl>
    <w:lvl w:ilvl="3">
      <w:start w:val="1"/>
      <w:numFmt w:val="decimal"/>
      <w:pStyle w:val="ListNumber4"/>
      <w:lvlText w:val="%1.%2.%3.%4."/>
      <w:lvlJc w:val="left"/>
      <w:pPr>
        <w:ind w:left="1134" w:hanging="1134"/>
      </w:pPr>
      <w:rPr>
        <w:rFonts w:hint="default"/>
      </w:rPr>
    </w:lvl>
    <w:lvl w:ilvl="4">
      <w:start w:val="1"/>
      <w:numFmt w:val="decimal"/>
      <w:pStyle w:val="ListNumber5"/>
      <w:lvlText w:val="%1.%2.%3.%4.%5"/>
      <w:lvlJc w:val="left"/>
      <w:pPr>
        <w:ind w:left="1361" w:hanging="1361"/>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4" w15:restartNumberingAfterBreak="0">
    <w:nsid w:val="24701850"/>
    <w:multiLevelType w:val="hybridMultilevel"/>
    <w:tmpl w:val="195C4A5E"/>
    <w:lvl w:ilvl="0" w:tplc="056C6752">
      <w:numFmt w:val="bullet"/>
      <w:lvlText w:val=""/>
      <w:lvlJc w:val="left"/>
      <w:pPr>
        <w:ind w:left="720" w:hanging="360"/>
      </w:pPr>
      <w:rPr>
        <w:rFonts w:ascii="Wingdings 2" w:eastAsiaTheme="minorHAnsi" w:hAnsi="Wingdings 2"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1FF35B6"/>
    <w:multiLevelType w:val="hybridMultilevel"/>
    <w:tmpl w:val="EBBA031C"/>
    <w:lvl w:ilvl="0" w:tplc="E40AF99E">
      <w:start w:val="1"/>
      <w:numFmt w:val="bullet"/>
      <w:lvlText w:val=""/>
      <w:lvlJc w:val="left"/>
      <w:pPr>
        <w:ind w:left="720" w:hanging="360"/>
      </w:pPr>
      <w:rPr>
        <w:rFonts w:ascii="Wingdings" w:hAnsi="Wingdings" w:hint="default"/>
        <w:color w:val="6AA343"/>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2D55F60"/>
    <w:multiLevelType w:val="hybridMultilevel"/>
    <w:tmpl w:val="84AAD910"/>
    <w:lvl w:ilvl="0" w:tplc="8D6A91EC">
      <w:start w:val="9"/>
      <w:numFmt w:val="bullet"/>
      <w:lvlText w:val=""/>
      <w:lvlJc w:val="left"/>
      <w:pPr>
        <w:ind w:left="720" w:hanging="360"/>
      </w:pPr>
      <w:rPr>
        <w:rFonts w:ascii="Wingdings 2" w:eastAsiaTheme="minorHAnsi" w:hAnsi="Wingdings 2"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618689F"/>
    <w:multiLevelType w:val="hybridMultilevel"/>
    <w:tmpl w:val="B4B40BA6"/>
    <w:lvl w:ilvl="0" w:tplc="E40AF99E">
      <w:start w:val="1"/>
      <w:numFmt w:val="bullet"/>
      <w:lvlText w:val=""/>
      <w:lvlJc w:val="left"/>
      <w:pPr>
        <w:ind w:left="720" w:hanging="360"/>
      </w:pPr>
      <w:rPr>
        <w:rFonts w:ascii="Wingdings" w:hAnsi="Wingdings" w:hint="default"/>
        <w:color w:val="6AA343"/>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55D3C92"/>
    <w:multiLevelType w:val="hybridMultilevel"/>
    <w:tmpl w:val="BD5A95C8"/>
    <w:lvl w:ilvl="0" w:tplc="E40AF99E">
      <w:start w:val="1"/>
      <w:numFmt w:val="bullet"/>
      <w:lvlText w:val=""/>
      <w:lvlJc w:val="left"/>
      <w:pPr>
        <w:ind w:left="720" w:hanging="360"/>
      </w:pPr>
      <w:rPr>
        <w:rFonts w:ascii="Wingdings" w:hAnsi="Wingdings" w:hint="default"/>
        <w:color w:val="6AA343"/>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9C84DC4"/>
    <w:multiLevelType w:val="hybridMultilevel"/>
    <w:tmpl w:val="42B21AA6"/>
    <w:lvl w:ilvl="0" w:tplc="E40AF99E">
      <w:start w:val="1"/>
      <w:numFmt w:val="bullet"/>
      <w:lvlText w:val=""/>
      <w:lvlJc w:val="left"/>
      <w:pPr>
        <w:ind w:left="720" w:hanging="360"/>
      </w:pPr>
      <w:rPr>
        <w:rFonts w:ascii="Wingdings" w:hAnsi="Wingdings" w:hint="default"/>
        <w:color w:val="6AA343"/>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09B5264"/>
    <w:multiLevelType w:val="hybridMultilevel"/>
    <w:tmpl w:val="FC92138A"/>
    <w:lvl w:ilvl="0" w:tplc="E40AF99E">
      <w:start w:val="1"/>
      <w:numFmt w:val="bullet"/>
      <w:lvlText w:val=""/>
      <w:lvlJc w:val="left"/>
      <w:pPr>
        <w:ind w:left="720" w:hanging="360"/>
      </w:pPr>
      <w:rPr>
        <w:rFonts w:ascii="Wingdings" w:hAnsi="Wingdings" w:hint="default"/>
        <w:color w:val="6AA343"/>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0E1502C"/>
    <w:multiLevelType w:val="multilevel"/>
    <w:tmpl w:val="FF8069A4"/>
    <w:styleLink w:val="Bullets"/>
    <w:lvl w:ilvl="0">
      <w:start w:val="1"/>
      <w:numFmt w:val="bullet"/>
      <w:pStyle w:val="ListBullet"/>
      <w:lvlText w:val="•"/>
      <w:lvlJc w:val="left"/>
      <w:pPr>
        <w:ind w:left="227" w:hanging="227"/>
      </w:pPr>
      <w:rPr>
        <w:rFonts w:ascii="Times New Roman" w:hAnsi="Times New Roman" w:cs="Times New Roman" w:hint="default"/>
        <w:color w:val="auto"/>
      </w:rPr>
    </w:lvl>
    <w:lvl w:ilvl="1">
      <w:start w:val="1"/>
      <w:numFmt w:val="bullet"/>
      <w:pStyle w:val="ListBullet2"/>
      <w:lvlText w:val="–"/>
      <w:lvlJc w:val="left"/>
      <w:pPr>
        <w:ind w:left="454" w:hanging="227"/>
      </w:pPr>
      <w:rPr>
        <w:rFonts w:ascii="Arial" w:hAnsi="Arial" w:hint="default"/>
        <w:color w:val="auto"/>
      </w:rPr>
    </w:lvl>
    <w:lvl w:ilvl="2">
      <w:start w:val="1"/>
      <w:numFmt w:val="bullet"/>
      <w:pStyle w:val="ListBullet3"/>
      <w:lvlText w:val="»"/>
      <w:lvlJc w:val="left"/>
      <w:pPr>
        <w:ind w:left="907" w:hanging="227"/>
      </w:pPr>
      <w:rPr>
        <w:rFonts w:ascii="Arial" w:hAnsi="Arial" w:hint="default"/>
        <w:color w:val="auto"/>
      </w:rPr>
    </w:lvl>
    <w:lvl w:ilvl="3">
      <w:start w:val="1"/>
      <w:numFmt w:val="bullet"/>
      <w:lvlText w:val="–"/>
      <w:lvlJc w:val="left"/>
      <w:pPr>
        <w:tabs>
          <w:tab w:val="num" w:pos="851"/>
        </w:tabs>
        <w:ind w:left="907" w:hanging="227"/>
      </w:pPr>
      <w:rPr>
        <w:rFonts w:ascii="Arial" w:hAnsi="Arial" w:hint="default"/>
        <w:color w:val="auto"/>
      </w:rPr>
    </w:lvl>
    <w:lvl w:ilvl="4">
      <w:start w:val="1"/>
      <w:numFmt w:val="bullet"/>
      <w:lvlText w:val="–"/>
      <w:lvlJc w:val="left"/>
      <w:pPr>
        <w:ind w:left="1134" w:hanging="227"/>
      </w:pPr>
      <w:rPr>
        <w:rFonts w:ascii="Arial" w:hAnsi="Arial" w:hint="default"/>
        <w:color w:val="auto"/>
      </w:rPr>
    </w:lvl>
    <w:lvl w:ilvl="5">
      <w:start w:val="1"/>
      <w:numFmt w:val="bullet"/>
      <w:lvlText w:val="–"/>
      <w:lvlJc w:val="left"/>
      <w:pPr>
        <w:ind w:left="1361" w:hanging="227"/>
      </w:pPr>
      <w:rPr>
        <w:rFonts w:ascii="Arial" w:hAnsi="Arial" w:hint="default"/>
      </w:rPr>
    </w:lvl>
    <w:lvl w:ilvl="6">
      <w:start w:val="1"/>
      <w:numFmt w:val="bullet"/>
      <w:lvlText w:val="–"/>
      <w:lvlJc w:val="left"/>
      <w:pPr>
        <w:ind w:left="1588" w:hanging="227"/>
      </w:pPr>
      <w:rPr>
        <w:rFonts w:ascii="Arial" w:hAnsi="Arial" w:hint="default"/>
      </w:rPr>
    </w:lvl>
    <w:lvl w:ilvl="7">
      <w:start w:val="1"/>
      <w:numFmt w:val="bullet"/>
      <w:lvlText w:val="–"/>
      <w:lvlJc w:val="left"/>
      <w:pPr>
        <w:ind w:left="1814" w:hanging="226"/>
      </w:pPr>
      <w:rPr>
        <w:rFonts w:ascii="Arial" w:hAnsi="Arial" w:hint="default"/>
      </w:rPr>
    </w:lvl>
    <w:lvl w:ilvl="8">
      <w:start w:val="1"/>
      <w:numFmt w:val="bullet"/>
      <w:lvlText w:val="–"/>
      <w:lvlJc w:val="left"/>
      <w:pPr>
        <w:tabs>
          <w:tab w:val="num" w:pos="2211"/>
        </w:tabs>
        <w:ind w:left="2041" w:hanging="227"/>
      </w:pPr>
      <w:rPr>
        <w:rFonts w:ascii="Arial" w:hAnsi="Arial" w:hint="default"/>
      </w:rPr>
    </w:lvl>
  </w:abstractNum>
  <w:abstractNum w:abstractNumId="12" w15:restartNumberingAfterBreak="0">
    <w:nsid w:val="6134636A"/>
    <w:multiLevelType w:val="multilevel"/>
    <w:tmpl w:val="1FA8DC2A"/>
    <w:numStyleLink w:val="Numbering"/>
  </w:abstractNum>
  <w:abstractNum w:abstractNumId="13" w15:restartNumberingAfterBreak="0">
    <w:nsid w:val="61611155"/>
    <w:multiLevelType w:val="hybridMultilevel"/>
    <w:tmpl w:val="D2EAF9CA"/>
    <w:lvl w:ilvl="0" w:tplc="A858CB2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FCB054E"/>
    <w:multiLevelType w:val="hybridMultilevel"/>
    <w:tmpl w:val="B838C458"/>
    <w:lvl w:ilvl="0" w:tplc="F8880D1E">
      <w:numFmt w:val="bullet"/>
      <w:lvlText w:val=""/>
      <w:lvlJc w:val="left"/>
      <w:pPr>
        <w:ind w:left="720" w:hanging="360"/>
      </w:pPr>
      <w:rPr>
        <w:rFonts w:ascii="Wingdings 2" w:eastAsiaTheme="minorHAnsi" w:hAnsi="Wingdings 2"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13885368">
    <w:abstractNumId w:val="3"/>
  </w:num>
  <w:num w:numId="2" w16cid:durableId="19002393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34234775">
    <w:abstractNumId w:val="13"/>
  </w:num>
  <w:num w:numId="4" w16cid:durableId="2147164343">
    <w:abstractNumId w:val="11"/>
  </w:num>
  <w:num w:numId="5" w16cid:durableId="87771295">
    <w:abstractNumId w:val="2"/>
  </w:num>
  <w:num w:numId="6" w16cid:durableId="108740380">
    <w:abstractNumId w:val="10"/>
  </w:num>
  <w:num w:numId="7" w16cid:durableId="1451900719">
    <w:abstractNumId w:val="7"/>
  </w:num>
  <w:num w:numId="8" w16cid:durableId="1410421137">
    <w:abstractNumId w:val="7"/>
  </w:num>
  <w:num w:numId="9" w16cid:durableId="642779907">
    <w:abstractNumId w:val="10"/>
  </w:num>
  <w:num w:numId="10" w16cid:durableId="1422532833">
    <w:abstractNumId w:val="1"/>
  </w:num>
  <w:num w:numId="11" w16cid:durableId="992369858">
    <w:abstractNumId w:val="9"/>
  </w:num>
  <w:num w:numId="12" w16cid:durableId="1905093850">
    <w:abstractNumId w:val="8"/>
  </w:num>
  <w:num w:numId="13" w16cid:durableId="18701632">
    <w:abstractNumId w:val="5"/>
  </w:num>
  <w:num w:numId="14" w16cid:durableId="1535456632">
    <w:abstractNumId w:val="0"/>
  </w:num>
  <w:num w:numId="15" w16cid:durableId="1018626929">
    <w:abstractNumId w:val="6"/>
  </w:num>
  <w:num w:numId="16" w16cid:durableId="923228168">
    <w:abstractNumId w:val="4"/>
  </w:num>
  <w:num w:numId="17" w16cid:durableId="1601227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393"/>
    <w:rsid w:val="00010A1E"/>
    <w:rsid w:val="0002205D"/>
    <w:rsid w:val="00023560"/>
    <w:rsid w:val="00031D9C"/>
    <w:rsid w:val="000331A4"/>
    <w:rsid w:val="000340B0"/>
    <w:rsid w:val="00036A90"/>
    <w:rsid w:val="00045305"/>
    <w:rsid w:val="000524EC"/>
    <w:rsid w:val="000530BA"/>
    <w:rsid w:val="00053AFC"/>
    <w:rsid w:val="00054013"/>
    <w:rsid w:val="000543E1"/>
    <w:rsid w:val="00060C15"/>
    <w:rsid w:val="00064105"/>
    <w:rsid w:val="0006654E"/>
    <w:rsid w:val="00066E31"/>
    <w:rsid w:val="00070C42"/>
    <w:rsid w:val="0008634E"/>
    <w:rsid w:val="00087182"/>
    <w:rsid w:val="00095624"/>
    <w:rsid w:val="00097D43"/>
    <w:rsid w:val="000A30CF"/>
    <w:rsid w:val="000B03FB"/>
    <w:rsid w:val="000B0C11"/>
    <w:rsid w:val="000B0FB8"/>
    <w:rsid w:val="000B1CB2"/>
    <w:rsid w:val="000D5D33"/>
    <w:rsid w:val="000E3AD2"/>
    <w:rsid w:val="000E65AD"/>
    <w:rsid w:val="000F0D4C"/>
    <w:rsid w:val="000F4967"/>
    <w:rsid w:val="00100364"/>
    <w:rsid w:val="00104942"/>
    <w:rsid w:val="00114203"/>
    <w:rsid w:val="001155CC"/>
    <w:rsid w:val="00115848"/>
    <w:rsid w:val="00116899"/>
    <w:rsid w:val="001200AF"/>
    <w:rsid w:val="00127272"/>
    <w:rsid w:val="00135798"/>
    <w:rsid w:val="001478B1"/>
    <w:rsid w:val="00155F5C"/>
    <w:rsid w:val="00161D79"/>
    <w:rsid w:val="00162DC7"/>
    <w:rsid w:val="001631D1"/>
    <w:rsid w:val="00163FA5"/>
    <w:rsid w:val="00170056"/>
    <w:rsid w:val="00173BBD"/>
    <w:rsid w:val="001744E8"/>
    <w:rsid w:val="001822A1"/>
    <w:rsid w:val="001A01B2"/>
    <w:rsid w:val="001B0886"/>
    <w:rsid w:val="001B2446"/>
    <w:rsid w:val="001B2892"/>
    <w:rsid w:val="001B3C37"/>
    <w:rsid w:val="001B43A4"/>
    <w:rsid w:val="001B66BF"/>
    <w:rsid w:val="001B73C5"/>
    <w:rsid w:val="001C031B"/>
    <w:rsid w:val="001C3634"/>
    <w:rsid w:val="001D06CF"/>
    <w:rsid w:val="001D1884"/>
    <w:rsid w:val="001D3592"/>
    <w:rsid w:val="001E349F"/>
    <w:rsid w:val="001E783D"/>
    <w:rsid w:val="001F2A3D"/>
    <w:rsid w:val="00204A11"/>
    <w:rsid w:val="00205312"/>
    <w:rsid w:val="00211EF4"/>
    <w:rsid w:val="00225D3A"/>
    <w:rsid w:val="0022654B"/>
    <w:rsid w:val="002415BF"/>
    <w:rsid w:val="00241816"/>
    <w:rsid w:val="00247430"/>
    <w:rsid w:val="00247898"/>
    <w:rsid w:val="0025416F"/>
    <w:rsid w:val="00257934"/>
    <w:rsid w:val="002675DA"/>
    <w:rsid w:val="002731CB"/>
    <w:rsid w:val="00274F3D"/>
    <w:rsid w:val="0027557C"/>
    <w:rsid w:val="00277AB5"/>
    <w:rsid w:val="002804B9"/>
    <w:rsid w:val="00291B13"/>
    <w:rsid w:val="002942A6"/>
    <w:rsid w:val="00296D05"/>
    <w:rsid w:val="002A2121"/>
    <w:rsid w:val="002A49EE"/>
    <w:rsid w:val="002B0DD3"/>
    <w:rsid w:val="002B1F34"/>
    <w:rsid w:val="002B2A15"/>
    <w:rsid w:val="002C3EB9"/>
    <w:rsid w:val="002D1AB4"/>
    <w:rsid w:val="002E0B3F"/>
    <w:rsid w:val="002E2F0A"/>
    <w:rsid w:val="002E3592"/>
    <w:rsid w:val="002E41C5"/>
    <w:rsid w:val="002E740E"/>
    <w:rsid w:val="002F16EE"/>
    <w:rsid w:val="002F1749"/>
    <w:rsid w:val="002F6C03"/>
    <w:rsid w:val="00314334"/>
    <w:rsid w:val="003151CC"/>
    <w:rsid w:val="00316CC0"/>
    <w:rsid w:val="00321DDA"/>
    <w:rsid w:val="00322D70"/>
    <w:rsid w:val="003347F0"/>
    <w:rsid w:val="003457AF"/>
    <w:rsid w:val="003525C4"/>
    <w:rsid w:val="00353896"/>
    <w:rsid w:val="00353CFF"/>
    <w:rsid w:val="003541A3"/>
    <w:rsid w:val="00354862"/>
    <w:rsid w:val="003560E2"/>
    <w:rsid w:val="00371ADE"/>
    <w:rsid w:val="0037756B"/>
    <w:rsid w:val="0038250B"/>
    <w:rsid w:val="00385692"/>
    <w:rsid w:val="00386F00"/>
    <w:rsid w:val="003946E8"/>
    <w:rsid w:val="00397B64"/>
    <w:rsid w:val="003A1C4F"/>
    <w:rsid w:val="003A761F"/>
    <w:rsid w:val="003E0268"/>
    <w:rsid w:val="003E1FA8"/>
    <w:rsid w:val="003E2F80"/>
    <w:rsid w:val="003E4624"/>
    <w:rsid w:val="003E68D4"/>
    <w:rsid w:val="003E7E23"/>
    <w:rsid w:val="003F3AAA"/>
    <w:rsid w:val="00401C55"/>
    <w:rsid w:val="0040740E"/>
    <w:rsid w:val="00412EE1"/>
    <w:rsid w:val="00416A48"/>
    <w:rsid w:val="00426E01"/>
    <w:rsid w:val="004346D4"/>
    <w:rsid w:val="00442658"/>
    <w:rsid w:val="00460CDB"/>
    <w:rsid w:val="00461B93"/>
    <w:rsid w:val="004627EA"/>
    <w:rsid w:val="0047072F"/>
    <w:rsid w:val="00471FC0"/>
    <w:rsid w:val="004730E5"/>
    <w:rsid w:val="00475880"/>
    <w:rsid w:val="00480BB3"/>
    <w:rsid w:val="00483119"/>
    <w:rsid w:val="004A2D1D"/>
    <w:rsid w:val="004B3D32"/>
    <w:rsid w:val="004B3F80"/>
    <w:rsid w:val="004B47E8"/>
    <w:rsid w:val="004C0D2C"/>
    <w:rsid w:val="004D1077"/>
    <w:rsid w:val="004D37C4"/>
    <w:rsid w:val="004E210E"/>
    <w:rsid w:val="004F377F"/>
    <w:rsid w:val="0050027C"/>
    <w:rsid w:val="00501264"/>
    <w:rsid w:val="00502700"/>
    <w:rsid w:val="0050338E"/>
    <w:rsid w:val="00504791"/>
    <w:rsid w:val="00511E67"/>
    <w:rsid w:val="00515C4A"/>
    <w:rsid w:val="005212DF"/>
    <w:rsid w:val="00522E4F"/>
    <w:rsid w:val="00532BB4"/>
    <w:rsid w:val="005360BB"/>
    <w:rsid w:val="00536E0D"/>
    <w:rsid w:val="00536FBE"/>
    <w:rsid w:val="00542DA4"/>
    <w:rsid w:val="0055628A"/>
    <w:rsid w:val="005563EA"/>
    <w:rsid w:val="00570B8E"/>
    <w:rsid w:val="00572508"/>
    <w:rsid w:val="005746BB"/>
    <w:rsid w:val="00574DCA"/>
    <w:rsid w:val="00575EBB"/>
    <w:rsid w:val="005808B9"/>
    <w:rsid w:val="00580C69"/>
    <w:rsid w:val="005930A0"/>
    <w:rsid w:val="0059759C"/>
    <w:rsid w:val="005A2F49"/>
    <w:rsid w:val="005B53A7"/>
    <w:rsid w:val="005B5643"/>
    <w:rsid w:val="005B6075"/>
    <w:rsid w:val="005C1909"/>
    <w:rsid w:val="005C6637"/>
    <w:rsid w:val="005D36DB"/>
    <w:rsid w:val="005D5D4A"/>
    <w:rsid w:val="005E193F"/>
    <w:rsid w:val="005E2367"/>
    <w:rsid w:val="005E42FD"/>
    <w:rsid w:val="005E7D07"/>
    <w:rsid w:val="005F4F72"/>
    <w:rsid w:val="00610457"/>
    <w:rsid w:val="006129B7"/>
    <w:rsid w:val="006141E2"/>
    <w:rsid w:val="00614C2F"/>
    <w:rsid w:val="00617689"/>
    <w:rsid w:val="006343C5"/>
    <w:rsid w:val="00634779"/>
    <w:rsid w:val="0063644B"/>
    <w:rsid w:val="00637EE5"/>
    <w:rsid w:val="00645633"/>
    <w:rsid w:val="006632F7"/>
    <w:rsid w:val="00670117"/>
    <w:rsid w:val="006828EC"/>
    <w:rsid w:val="00682E75"/>
    <w:rsid w:val="00690346"/>
    <w:rsid w:val="006907F7"/>
    <w:rsid w:val="006A1A5F"/>
    <w:rsid w:val="006B0B6F"/>
    <w:rsid w:val="006B436F"/>
    <w:rsid w:val="006B44F5"/>
    <w:rsid w:val="006C30E3"/>
    <w:rsid w:val="006C33C7"/>
    <w:rsid w:val="006C36BE"/>
    <w:rsid w:val="006C6A2C"/>
    <w:rsid w:val="006C7B55"/>
    <w:rsid w:val="006C7E1F"/>
    <w:rsid w:val="006D1BA2"/>
    <w:rsid w:val="006D6C95"/>
    <w:rsid w:val="006F1EAE"/>
    <w:rsid w:val="006F29CA"/>
    <w:rsid w:val="006F3536"/>
    <w:rsid w:val="006F6574"/>
    <w:rsid w:val="006F7F07"/>
    <w:rsid w:val="00700C84"/>
    <w:rsid w:val="00702595"/>
    <w:rsid w:val="00706425"/>
    <w:rsid w:val="00711DE1"/>
    <w:rsid w:val="00712607"/>
    <w:rsid w:val="00714BFD"/>
    <w:rsid w:val="00732539"/>
    <w:rsid w:val="00750BD6"/>
    <w:rsid w:val="00752E18"/>
    <w:rsid w:val="00775EB1"/>
    <w:rsid w:val="00785B06"/>
    <w:rsid w:val="00785F95"/>
    <w:rsid w:val="00787688"/>
    <w:rsid w:val="00791682"/>
    <w:rsid w:val="00794127"/>
    <w:rsid w:val="007B11AB"/>
    <w:rsid w:val="007B2753"/>
    <w:rsid w:val="007B5798"/>
    <w:rsid w:val="007D27D6"/>
    <w:rsid w:val="007D2F5D"/>
    <w:rsid w:val="007E0382"/>
    <w:rsid w:val="007E160F"/>
    <w:rsid w:val="007E240A"/>
    <w:rsid w:val="007E4D8D"/>
    <w:rsid w:val="007E5F9D"/>
    <w:rsid w:val="007F0466"/>
    <w:rsid w:val="007F1C69"/>
    <w:rsid w:val="00802B0C"/>
    <w:rsid w:val="0080553A"/>
    <w:rsid w:val="00807F73"/>
    <w:rsid w:val="008164CA"/>
    <w:rsid w:val="00816B7D"/>
    <w:rsid w:val="00821980"/>
    <w:rsid w:val="00826293"/>
    <w:rsid w:val="008267DC"/>
    <w:rsid w:val="0083059E"/>
    <w:rsid w:val="00830F12"/>
    <w:rsid w:val="0084339A"/>
    <w:rsid w:val="00847196"/>
    <w:rsid w:val="0084784D"/>
    <w:rsid w:val="008504F8"/>
    <w:rsid w:val="008521C6"/>
    <w:rsid w:val="00852F71"/>
    <w:rsid w:val="00854370"/>
    <w:rsid w:val="00855446"/>
    <w:rsid w:val="008639D8"/>
    <w:rsid w:val="00880829"/>
    <w:rsid w:val="0088496A"/>
    <w:rsid w:val="00892EC1"/>
    <w:rsid w:val="008B4750"/>
    <w:rsid w:val="008C204B"/>
    <w:rsid w:val="008C4CE4"/>
    <w:rsid w:val="008C70EB"/>
    <w:rsid w:val="008D00A8"/>
    <w:rsid w:val="008D36E7"/>
    <w:rsid w:val="008E7865"/>
    <w:rsid w:val="008E7C95"/>
    <w:rsid w:val="008F078B"/>
    <w:rsid w:val="008F37DD"/>
    <w:rsid w:val="008F7353"/>
    <w:rsid w:val="0090514B"/>
    <w:rsid w:val="009061E4"/>
    <w:rsid w:val="009079DD"/>
    <w:rsid w:val="00913AC8"/>
    <w:rsid w:val="00914CE4"/>
    <w:rsid w:val="00926BE0"/>
    <w:rsid w:val="00931780"/>
    <w:rsid w:val="009345F1"/>
    <w:rsid w:val="00944D54"/>
    <w:rsid w:val="00955F60"/>
    <w:rsid w:val="00955F82"/>
    <w:rsid w:val="009614C2"/>
    <w:rsid w:val="00962FFA"/>
    <w:rsid w:val="00977A49"/>
    <w:rsid w:val="00980F79"/>
    <w:rsid w:val="00983707"/>
    <w:rsid w:val="009842A9"/>
    <w:rsid w:val="0099022E"/>
    <w:rsid w:val="009A0FBE"/>
    <w:rsid w:val="009A2126"/>
    <w:rsid w:val="009A2F07"/>
    <w:rsid w:val="009A6C8C"/>
    <w:rsid w:val="009B2DF7"/>
    <w:rsid w:val="009B641A"/>
    <w:rsid w:val="009C141A"/>
    <w:rsid w:val="009C5B1C"/>
    <w:rsid w:val="009D03F9"/>
    <w:rsid w:val="009D33A4"/>
    <w:rsid w:val="009D4FBC"/>
    <w:rsid w:val="009E15E8"/>
    <w:rsid w:val="009E2EA4"/>
    <w:rsid w:val="009E4CDE"/>
    <w:rsid w:val="009F3086"/>
    <w:rsid w:val="009F729C"/>
    <w:rsid w:val="009F7B33"/>
    <w:rsid w:val="00A14625"/>
    <w:rsid w:val="00A1507E"/>
    <w:rsid w:val="00A1529A"/>
    <w:rsid w:val="00A210EB"/>
    <w:rsid w:val="00A322C4"/>
    <w:rsid w:val="00A331A1"/>
    <w:rsid w:val="00A347A8"/>
    <w:rsid w:val="00A34B40"/>
    <w:rsid w:val="00A34DDD"/>
    <w:rsid w:val="00A40347"/>
    <w:rsid w:val="00A51706"/>
    <w:rsid w:val="00A52012"/>
    <w:rsid w:val="00A523AE"/>
    <w:rsid w:val="00A60052"/>
    <w:rsid w:val="00A63CB8"/>
    <w:rsid w:val="00A64415"/>
    <w:rsid w:val="00A75202"/>
    <w:rsid w:val="00A75A06"/>
    <w:rsid w:val="00A80AB7"/>
    <w:rsid w:val="00A84A51"/>
    <w:rsid w:val="00A941BE"/>
    <w:rsid w:val="00AB1993"/>
    <w:rsid w:val="00AB3FEA"/>
    <w:rsid w:val="00AB527A"/>
    <w:rsid w:val="00AC0C7D"/>
    <w:rsid w:val="00AC63B8"/>
    <w:rsid w:val="00AD10B2"/>
    <w:rsid w:val="00AD13A6"/>
    <w:rsid w:val="00AD3081"/>
    <w:rsid w:val="00AD31CC"/>
    <w:rsid w:val="00AE5DC2"/>
    <w:rsid w:val="00AF1DA9"/>
    <w:rsid w:val="00AF6851"/>
    <w:rsid w:val="00B008DE"/>
    <w:rsid w:val="00B025E3"/>
    <w:rsid w:val="00B0272B"/>
    <w:rsid w:val="00B077AC"/>
    <w:rsid w:val="00B07C0F"/>
    <w:rsid w:val="00B21235"/>
    <w:rsid w:val="00B22972"/>
    <w:rsid w:val="00B304EE"/>
    <w:rsid w:val="00B3572A"/>
    <w:rsid w:val="00B379F9"/>
    <w:rsid w:val="00B4245A"/>
    <w:rsid w:val="00B47A7E"/>
    <w:rsid w:val="00B53EF7"/>
    <w:rsid w:val="00B648E0"/>
    <w:rsid w:val="00B64B3F"/>
    <w:rsid w:val="00B80039"/>
    <w:rsid w:val="00B82DE3"/>
    <w:rsid w:val="00B85AD4"/>
    <w:rsid w:val="00B92526"/>
    <w:rsid w:val="00BB1025"/>
    <w:rsid w:val="00BB6B6B"/>
    <w:rsid w:val="00BC0043"/>
    <w:rsid w:val="00BC3BB5"/>
    <w:rsid w:val="00BC54AF"/>
    <w:rsid w:val="00BC555E"/>
    <w:rsid w:val="00BD0FFB"/>
    <w:rsid w:val="00BD332F"/>
    <w:rsid w:val="00BD43CE"/>
    <w:rsid w:val="00BD559D"/>
    <w:rsid w:val="00BD57B4"/>
    <w:rsid w:val="00BE563E"/>
    <w:rsid w:val="00C04D67"/>
    <w:rsid w:val="00C04E22"/>
    <w:rsid w:val="00C05D23"/>
    <w:rsid w:val="00C10A7D"/>
    <w:rsid w:val="00C11B5B"/>
    <w:rsid w:val="00C20419"/>
    <w:rsid w:val="00C21069"/>
    <w:rsid w:val="00C21FC8"/>
    <w:rsid w:val="00C23D65"/>
    <w:rsid w:val="00C260A8"/>
    <w:rsid w:val="00C261BB"/>
    <w:rsid w:val="00C3264B"/>
    <w:rsid w:val="00C339BA"/>
    <w:rsid w:val="00C341F3"/>
    <w:rsid w:val="00C34B0F"/>
    <w:rsid w:val="00C35C7B"/>
    <w:rsid w:val="00C36B35"/>
    <w:rsid w:val="00C37C4D"/>
    <w:rsid w:val="00C37F6C"/>
    <w:rsid w:val="00C45072"/>
    <w:rsid w:val="00C46ECB"/>
    <w:rsid w:val="00C51DE7"/>
    <w:rsid w:val="00C53972"/>
    <w:rsid w:val="00C53B0B"/>
    <w:rsid w:val="00C612A1"/>
    <w:rsid w:val="00C70EF7"/>
    <w:rsid w:val="00C735C5"/>
    <w:rsid w:val="00C7501A"/>
    <w:rsid w:val="00C81233"/>
    <w:rsid w:val="00C84A31"/>
    <w:rsid w:val="00C867B9"/>
    <w:rsid w:val="00C91982"/>
    <w:rsid w:val="00CB1AF9"/>
    <w:rsid w:val="00CB3FB8"/>
    <w:rsid w:val="00CB6616"/>
    <w:rsid w:val="00CC2FCE"/>
    <w:rsid w:val="00CD5CD4"/>
    <w:rsid w:val="00CE5D99"/>
    <w:rsid w:val="00CE5DE9"/>
    <w:rsid w:val="00CF0314"/>
    <w:rsid w:val="00CF07A8"/>
    <w:rsid w:val="00CF0A8D"/>
    <w:rsid w:val="00CF18AE"/>
    <w:rsid w:val="00CF7B9F"/>
    <w:rsid w:val="00D03FCA"/>
    <w:rsid w:val="00D140D7"/>
    <w:rsid w:val="00D17DFA"/>
    <w:rsid w:val="00D20BF0"/>
    <w:rsid w:val="00D20F66"/>
    <w:rsid w:val="00D23C19"/>
    <w:rsid w:val="00D2518A"/>
    <w:rsid w:val="00D3266F"/>
    <w:rsid w:val="00D34846"/>
    <w:rsid w:val="00D42A05"/>
    <w:rsid w:val="00D62D04"/>
    <w:rsid w:val="00D62EE5"/>
    <w:rsid w:val="00D67DE0"/>
    <w:rsid w:val="00D71F84"/>
    <w:rsid w:val="00D834A6"/>
    <w:rsid w:val="00D86386"/>
    <w:rsid w:val="00D874CA"/>
    <w:rsid w:val="00D87A8C"/>
    <w:rsid w:val="00D936B9"/>
    <w:rsid w:val="00D93EFC"/>
    <w:rsid w:val="00D959FA"/>
    <w:rsid w:val="00DA6848"/>
    <w:rsid w:val="00DB20E4"/>
    <w:rsid w:val="00DB6BE9"/>
    <w:rsid w:val="00DC0BC5"/>
    <w:rsid w:val="00DC1BB0"/>
    <w:rsid w:val="00DD463A"/>
    <w:rsid w:val="00DD7B89"/>
    <w:rsid w:val="00DE009A"/>
    <w:rsid w:val="00DE1332"/>
    <w:rsid w:val="00DE57D8"/>
    <w:rsid w:val="00DE7580"/>
    <w:rsid w:val="00DF51B0"/>
    <w:rsid w:val="00E018CF"/>
    <w:rsid w:val="00E02749"/>
    <w:rsid w:val="00E06EA6"/>
    <w:rsid w:val="00E10D74"/>
    <w:rsid w:val="00E1419E"/>
    <w:rsid w:val="00E142F6"/>
    <w:rsid w:val="00E16DA2"/>
    <w:rsid w:val="00E17C33"/>
    <w:rsid w:val="00E21456"/>
    <w:rsid w:val="00E22FB7"/>
    <w:rsid w:val="00E249DA"/>
    <w:rsid w:val="00E31E99"/>
    <w:rsid w:val="00E32AE8"/>
    <w:rsid w:val="00E336E3"/>
    <w:rsid w:val="00E374AD"/>
    <w:rsid w:val="00E375DD"/>
    <w:rsid w:val="00E610B7"/>
    <w:rsid w:val="00E62CEC"/>
    <w:rsid w:val="00E710BB"/>
    <w:rsid w:val="00E750B6"/>
    <w:rsid w:val="00E76B8D"/>
    <w:rsid w:val="00E90211"/>
    <w:rsid w:val="00E95BE6"/>
    <w:rsid w:val="00E96DC6"/>
    <w:rsid w:val="00EC0DD8"/>
    <w:rsid w:val="00EC5E31"/>
    <w:rsid w:val="00EE21F3"/>
    <w:rsid w:val="00EE549F"/>
    <w:rsid w:val="00EF1B77"/>
    <w:rsid w:val="00EF29B9"/>
    <w:rsid w:val="00EF2FB8"/>
    <w:rsid w:val="00EF7B27"/>
    <w:rsid w:val="00F00CA4"/>
    <w:rsid w:val="00F05672"/>
    <w:rsid w:val="00F10F26"/>
    <w:rsid w:val="00F17A00"/>
    <w:rsid w:val="00F217B8"/>
    <w:rsid w:val="00F278E4"/>
    <w:rsid w:val="00F33B6E"/>
    <w:rsid w:val="00F43980"/>
    <w:rsid w:val="00F47C91"/>
    <w:rsid w:val="00F63832"/>
    <w:rsid w:val="00F74151"/>
    <w:rsid w:val="00F74AD2"/>
    <w:rsid w:val="00F80112"/>
    <w:rsid w:val="00F8432A"/>
    <w:rsid w:val="00F84E90"/>
    <w:rsid w:val="00F96C02"/>
    <w:rsid w:val="00FA0ADA"/>
    <w:rsid w:val="00FA1D53"/>
    <w:rsid w:val="00FA4237"/>
    <w:rsid w:val="00FA79C7"/>
    <w:rsid w:val="00FC029C"/>
    <w:rsid w:val="00FC1925"/>
    <w:rsid w:val="00FC2CB4"/>
    <w:rsid w:val="00FD5D70"/>
    <w:rsid w:val="00FE1393"/>
    <w:rsid w:val="00FE3898"/>
    <w:rsid w:val="00FE674A"/>
    <w:rsid w:val="00FF745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A4B33F"/>
  <w15:chartTrackingRefBased/>
  <w15:docId w15:val="{2D562CE7-481C-4338-80C5-295CC7F9D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qFormat="1"/>
    <w:lsdException w:name="List Bullet 3" w:semiHidden="1" w:uiPriority="1" w:unhideWhenUsed="1" w:qFormat="1"/>
    <w:lsdException w:name="List Bullet 4" w:semiHidden="1" w:unhideWhenUsed="1"/>
    <w:lsdException w:name="List Bullet 5" w:semiHidden="1" w:unhideWhenUsed="1"/>
    <w:lsdException w:name="List Number 2" w:semiHidden="1" w:uiPriority="13" w:unhideWhenUsed="1" w:qFormat="1"/>
    <w:lsdException w:name="List Number 3" w:semiHidden="1" w:uiPriority="13" w:unhideWhenUsed="1" w:qFormat="1"/>
    <w:lsdException w:name="List Number 4" w:semiHidden="1" w:uiPriority="13" w:unhideWhenUsed="1" w:qFormat="1"/>
    <w:lsdException w:name="List Number 5" w:semiHidden="1" w:uiPriority="13"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BodyText"/>
    <w:link w:val="Heading4Char"/>
    <w:uiPriority w:val="9"/>
    <w:qFormat/>
    <w:rsid w:val="006C7E1F"/>
    <w:pPr>
      <w:keepNext/>
      <w:keepLines/>
      <w:spacing w:before="240" w:after="120" w:line="264" w:lineRule="atLeast"/>
      <w:outlineLvl w:val="3"/>
    </w:pPr>
    <w:rPr>
      <w:rFonts w:asciiTheme="majorHAnsi" w:eastAsiaTheme="majorEastAsia" w:hAnsiTheme="majorHAnsi" w:cstheme="majorBidi"/>
      <w:iCs/>
      <w:color w:val="E7E6E6" w:themeColor="background2"/>
      <w:szCs w:val="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68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6851"/>
  </w:style>
  <w:style w:type="paragraph" w:styleId="Footer">
    <w:name w:val="footer"/>
    <w:basedOn w:val="Normal"/>
    <w:link w:val="FooterChar"/>
    <w:uiPriority w:val="99"/>
    <w:unhideWhenUsed/>
    <w:rsid w:val="00AF68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6851"/>
  </w:style>
  <w:style w:type="paragraph" w:styleId="BodyText">
    <w:name w:val="Body Text"/>
    <w:basedOn w:val="Normal"/>
    <w:link w:val="BodyTextChar"/>
    <w:qFormat/>
    <w:rsid w:val="003E68D4"/>
    <w:pPr>
      <w:spacing w:before="120" w:after="120" w:line="280" w:lineRule="atLeast"/>
    </w:pPr>
    <w:rPr>
      <w:sz w:val="20"/>
      <w:szCs w:val="20"/>
    </w:rPr>
  </w:style>
  <w:style w:type="character" w:customStyle="1" w:styleId="BodyTextChar">
    <w:name w:val="Body Text Char"/>
    <w:basedOn w:val="DefaultParagraphFont"/>
    <w:link w:val="BodyText"/>
    <w:rsid w:val="003E68D4"/>
    <w:rPr>
      <w:sz w:val="20"/>
      <w:szCs w:val="20"/>
    </w:rPr>
  </w:style>
  <w:style w:type="paragraph" w:styleId="ListNumber">
    <w:name w:val="List Number"/>
    <w:basedOn w:val="Normal"/>
    <w:uiPriority w:val="2"/>
    <w:qFormat/>
    <w:rsid w:val="00752E18"/>
    <w:pPr>
      <w:numPr>
        <w:numId w:val="2"/>
      </w:numPr>
      <w:spacing w:before="60" w:after="120" w:line="280" w:lineRule="atLeast"/>
      <w:contextualSpacing/>
    </w:pPr>
    <w:rPr>
      <w:sz w:val="20"/>
      <w:szCs w:val="20"/>
    </w:rPr>
  </w:style>
  <w:style w:type="paragraph" w:styleId="ListNumber2">
    <w:name w:val="List Number 2"/>
    <w:basedOn w:val="Normal"/>
    <w:uiPriority w:val="13"/>
    <w:semiHidden/>
    <w:qFormat/>
    <w:rsid w:val="00752E18"/>
    <w:pPr>
      <w:numPr>
        <w:ilvl w:val="1"/>
        <w:numId w:val="2"/>
      </w:numPr>
      <w:spacing w:before="60" w:after="120" w:line="280" w:lineRule="atLeast"/>
      <w:contextualSpacing/>
    </w:pPr>
    <w:rPr>
      <w:sz w:val="20"/>
      <w:szCs w:val="20"/>
    </w:rPr>
  </w:style>
  <w:style w:type="numbering" w:customStyle="1" w:styleId="Numbering">
    <w:name w:val="Numbering"/>
    <w:uiPriority w:val="99"/>
    <w:rsid w:val="00752E18"/>
    <w:pPr>
      <w:numPr>
        <w:numId w:val="1"/>
      </w:numPr>
    </w:pPr>
  </w:style>
  <w:style w:type="paragraph" w:styleId="ListNumber3">
    <w:name w:val="List Number 3"/>
    <w:basedOn w:val="Normal"/>
    <w:uiPriority w:val="13"/>
    <w:semiHidden/>
    <w:qFormat/>
    <w:rsid w:val="00752E18"/>
    <w:pPr>
      <w:numPr>
        <w:ilvl w:val="2"/>
        <w:numId w:val="2"/>
      </w:numPr>
      <w:spacing w:before="60" w:after="120" w:line="280" w:lineRule="atLeast"/>
      <w:contextualSpacing/>
    </w:pPr>
    <w:rPr>
      <w:sz w:val="20"/>
      <w:szCs w:val="20"/>
    </w:rPr>
  </w:style>
  <w:style w:type="paragraph" w:styleId="ListNumber4">
    <w:name w:val="List Number 4"/>
    <w:basedOn w:val="Normal"/>
    <w:uiPriority w:val="13"/>
    <w:semiHidden/>
    <w:qFormat/>
    <w:rsid w:val="00752E18"/>
    <w:pPr>
      <w:numPr>
        <w:ilvl w:val="3"/>
        <w:numId w:val="2"/>
      </w:numPr>
      <w:spacing w:before="120" w:after="200" w:line="293" w:lineRule="auto"/>
      <w:contextualSpacing/>
    </w:pPr>
    <w:rPr>
      <w:sz w:val="20"/>
      <w:szCs w:val="20"/>
    </w:rPr>
  </w:style>
  <w:style w:type="paragraph" w:styleId="ListNumber5">
    <w:name w:val="List Number 5"/>
    <w:basedOn w:val="Normal"/>
    <w:uiPriority w:val="13"/>
    <w:semiHidden/>
    <w:rsid w:val="00752E18"/>
    <w:pPr>
      <w:numPr>
        <w:ilvl w:val="4"/>
        <w:numId w:val="2"/>
      </w:numPr>
      <w:spacing w:before="120" w:after="200" w:line="293" w:lineRule="auto"/>
      <w:contextualSpacing/>
    </w:pPr>
    <w:rPr>
      <w:sz w:val="20"/>
      <w:szCs w:val="20"/>
    </w:rPr>
  </w:style>
  <w:style w:type="paragraph" w:customStyle="1" w:styleId="FigureTableHeading">
    <w:name w:val="Figure/Table Heading"/>
    <w:basedOn w:val="Caption"/>
    <w:uiPriority w:val="4"/>
    <w:qFormat/>
    <w:rsid w:val="00E142F6"/>
    <w:pPr>
      <w:keepNext/>
      <w:spacing w:before="240" w:after="40" w:line="280" w:lineRule="atLeast"/>
    </w:pPr>
    <w:rPr>
      <w:rFonts w:asciiTheme="majorHAnsi" w:hAnsiTheme="majorHAnsi"/>
      <w:i w:val="0"/>
      <w:color w:val="000000" w:themeColor="text1"/>
      <w:sz w:val="20"/>
    </w:rPr>
  </w:style>
  <w:style w:type="paragraph" w:customStyle="1" w:styleId="Note">
    <w:name w:val="Note"/>
    <w:basedOn w:val="Normal"/>
    <w:uiPriority w:val="9"/>
    <w:qFormat/>
    <w:rsid w:val="00E142F6"/>
    <w:pPr>
      <w:spacing w:before="80" w:after="20" w:line="216" w:lineRule="atLeast"/>
    </w:pPr>
    <w:rPr>
      <w:sz w:val="18"/>
      <w:szCs w:val="20"/>
    </w:rPr>
  </w:style>
  <w:style w:type="paragraph" w:styleId="Caption">
    <w:name w:val="caption"/>
    <w:basedOn w:val="Normal"/>
    <w:next w:val="Normal"/>
    <w:uiPriority w:val="35"/>
    <w:semiHidden/>
    <w:unhideWhenUsed/>
    <w:qFormat/>
    <w:rsid w:val="00E142F6"/>
    <w:pPr>
      <w:spacing w:after="200" w:line="240" w:lineRule="auto"/>
    </w:pPr>
    <w:rPr>
      <w:i/>
      <w:iCs/>
      <w:color w:val="44546A" w:themeColor="text2"/>
      <w:sz w:val="18"/>
      <w:szCs w:val="18"/>
    </w:rPr>
  </w:style>
  <w:style w:type="paragraph" w:styleId="ListBullet">
    <w:name w:val="List Bullet"/>
    <w:basedOn w:val="Normal"/>
    <w:link w:val="ListBulletChar"/>
    <w:uiPriority w:val="1"/>
    <w:qFormat/>
    <w:rsid w:val="00F00CA4"/>
    <w:pPr>
      <w:numPr>
        <w:numId w:val="5"/>
      </w:numPr>
      <w:spacing w:before="120" w:after="120" w:line="280" w:lineRule="atLeast"/>
      <w:contextualSpacing/>
    </w:pPr>
    <w:rPr>
      <w:sz w:val="20"/>
      <w:szCs w:val="20"/>
    </w:rPr>
  </w:style>
  <w:style w:type="paragraph" w:styleId="ListBullet2">
    <w:name w:val="List Bullet 2"/>
    <w:basedOn w:val="Normal"/>
    <w:uiPriority w:val="1"/>
    <w:qFormat/>
    <w:rsid w:val="00F00CA4"/>
    <w:pPr>
      <w:numPr>
        <w:ilvl w:val="1"/>
        <w:numId w:val="5"/>
      </w:numPr>
      <w:spacing w:before="120" w:after="120" w:line="280" w:lineRule="atLeast"/>
      <w:contextualSpacing/>
    </w:pPr>
    <w:rPr>
      <w:sz w:val="20"/>
      <w:szCs w:val="20"/>
    </w:rPr>
  </w:style>
  <w:style w:type="numbering" w:customStyle="1" w:styleId="Bullets">
    <w:name w:val="Bullets"/>
    <w:uiPriority w:val="99"/>
    <w:rsid w:val="00F00CA4"/>
    <w:pPr>
      <w:numPr>
        <w:numId w:val="4"/>
      </w:numPr>
    </w:pPr>
  </w:style>
  <w:style w:type="paragraph" w:styleId="ListBullet3">
    <w:name w:val="List Bullet 3"/>
    <w:basedOn w:val="Normal"/>
    <w:uiPriority w:val="1"/>
    <w:qFormat/>
    <w:rsid w:val="00F00CA4"/>
    <w:pPr>
      <w:numPr>
        <w:ilvl w:val="2"/>
        <w:numId w:val="5"/>
      </w:numPr>
      <w:spacing w:before="120" w:after="120" w:line="280" w:lineRule="atLeast"/>
      <w:contextualSpacing/>
    </w:pPr>
    <w:rPr>
      <w:sz w:val="20"/>
      <w:szCs w:val="20"/>
    </w:rPr>
  </w:style>
  <w:style w:type="character" w:customStyle="1" w:styleId="ListBulletChar">
    <w:name w:val="List Bullet Char"/>
    <w:basedOn w:val="DefaultParagraphFont"/>
    <w:link w:val="ListBullet"/>
    <w:uiPriority w:val="1"/>
    <w:rsid w:val="00F00CA4"/>
    <w:rPr>
      <w:sz w:val="20"/>
      <w:szCs w:val="20"/>
    </w:rPr>
  </w:style>
  <w:style w:type="table" w:styleId="TableGrid">
    <w:name w:val="Table Grid"/>
    <w:basedOn w:val="TableNormal"/>
    <w:uiPriority w:val="39"/>
    <w:rsid w:val="00785F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Spacing"/>
    <w:uiPriority w:val="4"/>
    <w:qFormat/>
    <w:rsid w:val="00785F95"/>
    <w:pPr>
      <w:spacing w:after="20" w:line="280" w:lineRule="atLeast"/>
      <w:ind w:left="57"/>
    </w:pPr>
    <w:rPr>
      <w:b/>
      <w:color w:val="E7E6E6" w:themeColor="background2"/>
      <w:sz w:val="18"/>
      <w:szCs w:val="20"/>
    </w:rPr>
  </w:style>
  <w:style w:type="paragraph" w:styleId="NoSpacing">
    <w:name w:val="No Spacing"/>
    <w:link w:val="NoSpacingChar"/>
    <w:uiPriority w:val="10"/>
    <w:qFormat/>
    <w:rsid w:val="00785F95"/>
    <w:pPr>
      <w:spacing w:after="0" w:line="240" w:lineRule="auto"/>
    </w:pPr>
  </w:style>
  <w:style w:type="character" w:customStyle="1" w:styleId="NoSpacingChar">
    <w:name w:val="No Spacing Char"/>
    <w:basedOn w:val="DefaultParagraphFont"/>
    <w:link w:val="NoSpacing"/>
    <w:uiPriority w:val="10"/>
    <w:rsid w:val="008E7C95"/>
  </w:style>
  <w:style w:type="character" w:customStyle="1" w:styleId="normaltextrun">
    <w:name w:val="normaltextrun"/>
    <w:basedOn w:val="DefaultParagraphFont"/>
    <w:rsid w:val="008E7C95"/>
  </w:style>
  <w:style w:type="character" w:customStyle="1" w:styleId="Heading4Char">
    <w:name w:val="Heading 4 Char"/>
    <w:basedOn w:val="DefaultParagraphFont"/>
    <w:link w:val="Heading4"/>
    <w:uiPriority w:val="9"/>
    <w:rsid w:val="006C7E1F"/>
    <w:rPr>
      <w:rFonts w:asciiTheme="majorHAnsi" w:eastAsiaTheme="majorEastAsia" w:hAnsiTheme="majorHAnsi" w:cstheme="majorBidi"/>
      <w:iCs/>
      <w:color w:val="E7E6E6" w:themeColor="background2"/>
      <w:szCs w:val="33"/>
    </w:rPr>
  </w:style>
  <w:style w:type="paragraph" w:styleId="Quote">
    <w:name w:val="Quote"/>
    <w:basedOn w:val="BodyText"/>
    <w:next w:val="BodyText"/>
    <w:link w:val="QuoteChar"/>
    <w:uiPriority w:val="1"/>
    <w:qFormat/>
    <w:rsid w:val="006C7E1F"/>
    <w:pPr>
      <w:spacing w:before="60"/>
      <w:ind w:left="113" w:right="851"/>
    </w:pPr>
    <w:rPr>
      <w:color w:val="58585B"/>
    </w:rPr>
  </w:style>
  <w:style w:type="character" w:customStyle="1" w:styleId="QuoteChar">
    <w:name w:val="Quote Char"/>
    <w:basedOn w:val="DefaultParagraphFont"/>
    <w:link w:val="Quote"/>
    <w:uiPriority w:val="1"/>
    <w:rsid w:val="006C7E1F"/>
    <w:rPr>
      <w:color w:val="58585B"/>
      <w:sz w:val="20"/>
      <w:szCs w:val="20"/>
    </w:rPr>
  </w:style>
  <w:style w:type="table" w:customStyle="1" w:styleId="Boxtable">
    <w:name w:val="Box table"/>
    <w:basedOn w:val="TableNormal"/>
    <w:uiPriority w:val="99"/>
    <w:rsid w:val="006C7E1F"/>
    <w:pPr>
      <w:spacing w:after="0" w:line="240" w:lineRule="auto"/>
    </w:pPr>
    <w:tblPr>
      <w:tblCellMar>
        <w:top w:w="170" w:type="dxa"/>
        <w:left w:w="170" w:type="dxa"/>
        <w:bottom w:w="170" w:type="dxa"/>
        <w:right w:w="170" w:type="dxa"/>
      </w:tblCellMar>
    </w:tblPr>
    <w:tcPr>
      <w:shd w:val="clear" w:color="auto" w:fill="F4F5F6"/>
    </w:tcPr>
  </w:style>
  <w:style w:type="paragraph" w:customStyle="1" w:styleId="BoxHeading1">
    <w:name w:val="Box Heading 1"/>
    <w:basedOn w:val="FigureTableHeading"/>
    <w:next w:val="BodyText"/>
    <w:uiPriority w:val="4"/>
    <w:qFormat/>
    <w:rsid w:val="006C7E1F"/>
    <w:pPr>
      <w:spacing w:after="0"/>
    </w:pPr>
  </w:style>
  <w:style w:type="character" w:customStyle="1" w:styleId="ui-provider">
    <w:name w:val="ui-provider"/>
    <w:basedOn w:val="DefaultParagraphFont"/>
    <w:rsid w:val="006C7E1F"/>
  </w:style>
  <w:style w:type="paragraph" w:styleId="ListParagraph">
    <w:name w:val="List Paragraph"/>
    <w:basedOn w:val="Normal"/>
    <w:uiPriority w:val="34"/>
    <w:qFormat/>
    <w:rsid w:val="00E10D74"/>
    <w:pPr>
      <w:ind w:left="720"/>
      <w:contextualSpacing/>
    </w:pPr>
  </w:style>
  <w:style w:type="character" w:styleId="Hyperlink">
    <w:name w:val="Hyperlink"/>
    <w:basedOn w:val="DefaultParagraphFont"/>
    <w:uiPriority w:val="99"/>
    <w:unhideWhenUsed/>
    <w:rsid w:val="000E65AD"/>
    <w:rPr>
      <w:color w:val="0563C1" w:themeColor="hyperlink"/>
      <w:u w:val="single"/>
    </w:rPr>
  </w:style>
  <w:style w:type="character" w:styleId="UnresolvedMention">
    <w:name w:val="Unresolved Mention"/>
    <w:basedOn w:val="DefaultParagraphFont"/>
    <w:uiPriority w:val="99"/>
    <w:semiHidden/>
    <w:unhideWhenUsed/>
    <w:rsid w:val="000E65AD"/>
    <w:rPr>
      <w:color w:val="605E5C"/>
      <w:shd w:val="clear" w:color="auto" w:fill="E1DFDD"/>
    </w:rPr>
  </w:style>
  <w:style w:type="character" w:styleId="CommentReference">
    <w:name w:val="annotation reference"/>
    <w:basedOn w:val="DefaultParagraphFont"/>
    <w:uiPriority w:val="99"/>
    <w:semiHidden/>
    <w:unhideWhenUsed/>
    <w:rsid w:val="005360BB"/>
    <w:rPr>
      <w:sz w:val="16"/>
      <w:szCs w:val="16"/>
    </w:rPr>
  </w:style>
  <w:style w:type="paragraph" w:styleId="CommentText">
    <w:name w:val="annotation text"/>
    <w:basedOn w:val="Normal"/>
    <w:link w:val="CommentTextChar"/>
    <w:uiPriority w:val="99"/>
    <w:unhideWhenUsed/>
    <w:rsid w:val="005360BB"/>
    <w:pPr>
      <w:spacing w:line="240" w:lineRule="auto"/>
    </w:pPr>
    <w:rPr>
      <w:sz w:val="20"/>
      <w:szCs w:val="20"/>
    </w:rPr>
  </w:style>
  <w:style w:type="character" w:customStyle="1" w:styleId="CommentTextChar">
    <w:name w:val="Comment Text Char"/>
    <w:basedOn w:val="DefaultParagraphFont"/>
    <w:link w:val="CommentText"/>
    <w:uiPriority w:val="99"/>
    <w:rsid w:val="005360B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094817">
      <w:bodyDiv w:val="1"/>
      <w:marLeft w:val="0"/>
      <w:marRight w:val="0"/>
      <w:marTop w:val="0"/>
      <w:marBottom w:val="0"/>
      <w:divBdr>
        <w:top w:val="none" w:sz="0" w:space="0" w:color="auto"/>
        <w:left w:val="none" w:sz="0" w:space="0" w:color="auto"/>
        <w:bottom w:val="none" w:sz="0" w:space="0" w:color="auto"/>
        <w:right w:val="none" w:sz="0" w:space="0" w:color="auto"/>
      </w:divBdr>
    </w:div>
    <w:div w:id="674958932">
      <w:bodyDiv w:val="1"/>
      <w:marLeft w:val="0"/>
      <w:marRight w:val="0"/>
      <w:marTop w:val="0"/>
      <w:marBottom w:val="0"/>
      <w:divBdr>
        <w:top w:val="none" w:sz="0" w:space="0" w:color="auto"/>
        <w:left w:val="none" w:sz="0" w:space="0" w:color="auto"/>
        <w:bottom w:val="none" w:sz="0" w:space="0" w:color="auto"/>
        <w:right w:val="none" w:sz="0" w:space="0" w:color="auto"/>
      </w:divBdr>
    </w:div>
    <w:div w:id="832988840">
      <w:bodyDiv w:val="1"/>
      <w:marLeft w:val="0"/>
      <w:marRight w:val="0"/>
      <w:marTop w:val="0"/>
      <w:marBottom w:val="0"/>
      <w:divBdr>
        <w:top w:val="none" w:sz="0" w:space="0" w:color="auto"/>
        <w:left w:val="none" w:sz="0" w:space="0" w:color="auto"/>
        <w:bottom w:val="none" w:sz="0" w:space="0" w:color="auto"/>
        <w:right w:val="none" w:sz="0" w:space="0" w:color="auto"/>
      </w:divBdr>
    </w:div>
    <w:div w:id="1752894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fia.org.a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sa.edu.a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ase.org/"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educateplus.edu.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case.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19" ma:contentTypeDescription="" ma:contentTypeScope="" ma:versionID="42c7a4b5dd0556e555ada761e525c736">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bc8bb63fa664bc1f2ea3da6f134c8aa8"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7E04FD-9520-4D0C-A479-0722B990DCEC}">
  <ds:schemaRefs>
    <ds:schemaRef ds:uri="http://schemas.microsoft.com/sharepoint/v3/contenttype/forms"/>
  </ds:schemaRefs>
</ds:datastoreItem>
</file>

<file path=customXml/itemProps2.xml><?xml version="1.0" encoding="utf-8"?>
<ds:datastoreItem xmlns:ds="http://schemas.openxmlformats.org/officeDocument/2006/customXml" ds:itemID="{C3D1C5D8-858D-4EBA-BDDE-21C9325357D6}">
  <ds:schemaRefs>
    <ds:schemaRef ds:uri="http://schemas.microsoft.com/sharepoint/events"/>
  </ds:schemaRefs>
</ds:datastoreItem>
</file>

<file path=customXml/itemProps3.xml><?xml version="1.0" encoding="utf-8"?>
<ds:datastoreItem xmlns:ds="http://schemas.openxmlformats.org/officeDocument/2006/customXml" ds:itemID="{41117227-5FDE-41A9-A8FA-DA51D2D742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2933</Words>
  <Characters>16719</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Submission 735 - Educate Plus - philanthropy - Public inquiry</vt:lpstr>
    </vt:vector>
  </TitlesOfParts>
  <Company>Educate Plus</Company>
  <LinksUpToDate>false</LinksUpToDate>
  <CharactersWithSpaces>19613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735 - Educate Plus - philanthropy - Public inquiry</dc:title>
  <dc:subject/>
  <dc:creator>Educate Plus</dc:creator>
  <cp:keywords/>
  <dc:description/>
  <cp:lastModifiedBy>Chris Alston</cp:lastModifiedBy>
  <cp:revision>5</cp:revision>
  <dcterms:created xsi:type="dcterms:W3CDTF">2024-02-09T01:35:00Z</dcterms:created>
  <dcterms:modified xsi:type="dcterms:W3CDTF">2024-03-04T00:08:00Z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f2b1ce-4212-46db-a901-dd8453f57141_Enabled">
    <vt:lpwstr>true</vt:lpwstr>
  </property>
  <property fmtid="{D5CDD505-2E9C-101B-9397-08002B2CF9AE}" pid="3" name="MSIP_Label_c1f2b1ce-4212-46db-a901-dd8453f57141_SetDate">
    <vt:lpwstr>2024-03-01T05:24:37Z</vt:lpwstr>
  </property>
  <property fmtid="{D5CDD505-2E9C-101B-9397-08002B2CF9AE}" pid="4" name="MSIP_Label_c1f2b1ce-4212-46db-a901-dd8453f57141_Method">
    <vt:lpwstr>Privileged</vt:lpwstr>
  </property>
  <property fmtid="{D5CDD505-2E9C-101B-9397-08002B2CF9AE}" pid="5" name="MSIP_Label_c1f2b1ce-4212-46db-a901-dd8453f57141_Name">
    <vt:lpwstr>Publish</vt:lpwstr>
  </property>
  <property fmtid="{D5CDD505-2E9C-101B-9397-08002B2CF9AE}" pid="6" name="MSIP_Label_c1f2b1ce-4212-46db-a901-dd8453f57141_SiteId">
    <vt:lpwstr>29f9330b-c0fe-4244-830e-ba9f275d6c34</vt:lpwstr>
  </property>
  <property fmtid="{D5CDD505-2E9C-101B-9397-08002B2CF9AE}" pid="7" name="MSIP_Label_c1f2b1ce-4212-46db-a901-dd8453f57141_ActionId">
    <vt:lpwstr>836c7322-bff8-4634-96d4-15ec415692ee</vt:lpwstr>
  </property>
  <property fmtid="{D5CDD505-2E9C-101B-9397-08002B2CF9AE}" pid="8" name="MSIP_Label_c1f2b1ce-4212-46db-a901-dd8453f57141_ContentBits">
    <vt:lpwstr>0</vt:lpwstr>
  </property>
</Properties>
</file>