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E8A35" w14:textId="4A093806" w:rsidR="00A668BF" w:rsidRDefault="008868BA" w:rsidP="00414677">
      <w:pPr>
        <w:ind w:left="709"/>
        <w:sectPr w:rsidR="00A668BF" w:rsidSect="005C5504">
          <w:headerReference w:type="even" r:id="rId12"/>
          <w:headerReference w:type="default" r:id="rId13"/>
          <w:footerReference w:type="default" r:id="rId14"/>
          <w:headerReference w:type="first" r:id="rId15"/>
          <w:type w:val="continuous"/>
          <w:pgSz w:w="11906" w:h="16838"/>
          <w:pgMar w:top="567" w:right="720" w:bottom="720" w:left="720" w:header="708" w:footer="708" w:gutter="0"/>
          <w:cols w:space="708"/>
          <w:docGrid w:linePitch="360"/>
        </w:sectPr>
      </w:pPr>
      <w:r>
        <w:rPr>
          <w:noProof/>
        </w:rPr>
        <w:drawing>
          <wp:anchor distT="0" distB="0" distL="114300" distR="114300" simplePos="0" relativeHeight="251659264" behindDoc="1" locked="0" layoutInCell="1" allowOverlap="1" wp14:anchorId="1CDF3D1D" wp14:editId="722C0729">
            <wp:simplePos x="0" y="0"/>
            <wp:positionH relativeFrom="page">
              <wp:align>right</wp:align>
            </wp:positionH>
            <wp:positionV relativeFrom="page">
              <wp:posOffset>-113665</wp:posOffset>
            </wp:positionV>
            <wp:extent cx="7558930" cy="2124075"/>
            <wp:effectExtent l="0" t="0" r="4445" b="0"/>
            <wp:wrapNone/>
            <wp:docPr id="2" name="Picture 2"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6"/>
                    <a:stretch>
                      <a:fillRect/>
                    </a:stretch>
                  </pic:blipFill>
                  <pic:spPr>
                    <a:xfrm>
                      <a:off x="0" y="0"/>
                      <a:ext cx="7563875" cy="212546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EB72CEC" wp14:editId="34434568">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7"/>
                    <a:stretch>
                      <a:fillRect/>
                    </a:stretch>
                  </pic:blipFill>
                  <pic:spPr>
                    <a:xfrm>
                      <a:off x="0" y="0"/>
                      <a:ext cx="2274570" cy="579120"/>
                    </a:xfrm>
                    <a:prstGeom prst="rect">
                      <a:avLst/>
                    </a:prstGeom>
                  </pic:spPr>
                </pic:pic>
              </a:graphicData>
            </a:graphic>
          </wp:inline>
        </w:drawing>
      </w:r>
    </w:p>
    <w:p w14:paraId="03E8FF74" w14:textId="28465546" w:rsidR="002B1CE5" w:rsidRPr="002854A2" w:rsidRDefault="00525352" w:rsidP="002854A2">
      <w:pPr>
        <w:pStyle w:val="Title"/>
        <w:spacing w:before="1560"/>
        <w:rPr>
          <w:sz w:val="44"/>
          <w:szCs w:val="40"/>
        </w:rPr>
      </w:pPr>
      <w:r w:rsidRPr="002854A2">
        <w:rPr>
          <w:sz w:val="44"/>
          <w:szCs w:val="40"/>
        </w:rPr>
        <w:t>Indigenous Education Consultative Meeting (IECM)</w:t>
      </w:r>
    </w:p>
    <w:p w14:paraId="450CC3EE" w14:textId="4025F91B" w:rsidR="002B1CE5" w:rsidRPr="00F51C18" w:rsidRDefault="00525352" w:rsidP="000A453D">
      <w:pPr>
        <w:pStyle w:val="Heading1"/>
      </w:pPr>
      <w:bookmarkStart w:id="0" w:name="_Hlk105587878"/>
      <w:r>
        <w:t>Background</w:t>
      </w:r>
    </w:p>
    <w:bookmarkEnd w:id="0"/>
    <w:p w14:paraId="418B4245" w14:textId="4985E00F" w:rsidR="00525352" w:rsidRDefault="00525352" w:rsidP="002854A2">
      <w:pPr>
        <w:jc w:val="both"/>
      </w:pPr>
      <w:r>
        <w:t>On 23 November 2016</w:t>
      </w:r>
      <w:r w:rsidR="000F4A6D">
        <w:t>,</w:t>
      </w:r>
      <w:r>
        <w:t xml:space="preserve"> </w:t>
      </w:r>
      <w:r w:rsidR="000F4A6D">
        <w:t>the</w:t>
      </w:r>
      <w:r w:rsidR="00672F37">
        <w:t>n</w:t>
      </w:r>
      <w:r w:rsidR="000F4A6D">
        <w:t xml:space="preserve"> Secretary, </w:t>
      </w:r>
      <w:r>
        <w:t xml:space="preserve">Dr Michele Bruniges </w:t>
      </w:r>
      <w:r w:rsidR="000F4A6D">
        <w:t xml:space="preserve">AM, </w:t>
      </w:r>
      <w:r>
        <w:t xml:space="preserve">agreed to establish a bi-annual Indigenous education </w:t>
      </w:r>
      <w:r w:rsidR="000F4A6D">
        <w:t xml:space="preserve">forum </w:t>
      </w:r>
      <w:r>
        <w:t>for state and territory Indigenous Education Consultative Bodies (IECBs)</w:t>
      </w:r>
      <w:r w:rsidR="000F4A6D">
        <w:t>, or related Indigenous education stakeholders</w:t>
      </w:r>
      <w:r>
        <w:t>. The Indigenous Education Consultative Meeting (IECM) was then formed in 2017</w:t>
      </w:r>
      <w:r w:rsidR="00BF415C">
        <w:t>,</w:t>
      </w:r>
      <w:r>
        <w:t xml:space="preserve"> hosted by the Secretary</w:t>
      </w:r>
      <w:r w:rsidR="00BF415C">
        <w:t xml:space="preserve"> and</w:t>
      </w:r>
      <w:r>
        <w:t xml:space="preserve"> involving relevant departmental staff and representatives of state and territory IECBs. Dr Ros Baxter PSM, </w:t>
      </w:r>
      <w:r w:rsidR="00672F37">
        <w:t xml:space="preserve">then </w:t>
      </w:r>
      <w:r>
        <w:t xml:space="preserve">Deputy Secretary, Schools Group, </w:t>
      </w:r>
      <w:r w:rsidR="002607BF">
        <w:t>became</w:t>
      </w:r>
      <w:r>
        <w:t xml:space="preserve"> </w:t>
      </w:r>
      <w:r w:rsidR="000F4A6D">
        <w:t>C</w:t>
      </w:r>
      <w:r>
        <w:t>hair</w:t>
      </w:r>
      <w:r w:rsidR="002607BF">
        <w:t xml:space="preserve"> in </w:t>
      </w:r>
      <w:r>
        <w:t>May 2021, as the lead for the Closing the Gap agenda across the department.</w:t>
      </w:r>
      <w:r w:rsidR="00756D37">
        <w:t xml:space="preserve"> </w:t>
      </w:r>
      <w:r w:rsidR="00672F37">
        <w:t>Ms Meg Brighton, Deputy Secretary, Schools Group, became Chair in June 2023.</w:t>
      </w:r>
    </w:p>
    <w:p w14:paraId="08B6A6D5" w14:textId="461EB893" w:rsidR="00525352" w:rsidRPr="00525352" w:rsidRDefault="00525352" w:rsidP="002854A2">
      <w:pPr>
        <w:jc w:val="both"/>
      </w:pPr>
      <w:r>
        <w:t>The IECM is an important engagement mechanism for the Department with Aboriginal and Torres Strait Islander stakeholders. It brings together a representative from each state and territory, drawing on IECBs where they exist, or longstanding identified stakeholders in other jurisdictions. It provides an opportunity for two-way information sharing and advice around the Department’s work in Aboriginal and Torres Strait Islander education. Representatives from the National Indigenous Australians Agency also attend the meeting, providing greater opportunities to collaborate across government. </w:t>
      </w:r>
    </w:p>
    <w:p w14:paraId="67375EAD" w14:textId="4E16FECD" w:rsidR="00525352" w:rsidRDefault="00525352" w:rsidP="002854A2">
      <w:pPr>
        <w:jc w:val="both"/>
      </w:pPr>
      <w:r w:rsidRPr="00525352">
        <w:t>The IECBs that form the IECM members are the peak community advocacy and advisory bodies for Aboriginal and Torres Strait Islander education within their jurisdictions, each being closely linked with local Aboriginal communities. The IECM</w:t>
      </w:r>
      <w:r w:rsidR="00EB630C">
        <w:t xml:space="preserve"> </w:t>
      </w:r>
      <w:r w:rsidRPr="00525352">
        <w:t xml:space="preserve">meets with the department </w:t>
      </w:r>
      <w:r w:rsidR="00756D37">
        <w:t>quarterly</w:t>
      </w:r>
      <w:r w:rsidRPr="00525352">
        <w:t xml:space="preserve"> and provides Aboriginal and Torres Strait Islander people with a voice in how national education policy is designed and delivered. It is a valuable and collaborative mechanism that enables participants to share their expertise and local perspectives in ways that bring diversity and cultural integrity to the </w:t>
      </w:r>
      <w:r w:rsidR="00672F37">
        <w:t>D</w:t>
      </w:r>
      <w:r w:rsidRPr="00525352">
        <w:t>epartment’s consideration of Aboriginal and Torres Strait Islander education policy.</w:t>
      </w:r>
    </w:p>
    <w:p w14:paraId="49CD0796" w14:textId="0C74F9D4" w:rsidR="00525352" w:rsidRDefault="00525352" w:rsidP="002854A2">
      <w:pPr>
        <w:jc w:val="both"/>
      </w:pPr>
      <w:r>
        <w:t xml:space="preserve">The </w:t>
      </w:r>
      <w:r w:rsidR="00672F37">
        <w:t>D</w:t>
      </w:r>
      <w:r>
        <w:t xml:space="preserve">epartment also invites representatives from external organisations </w:t>
      </w:r>
      <w:r w:rsidR="000F4A6D">
        <w:t xml:space="preserve">to </w:t>
      </w:r>
      <w:r>
        <w:t xml:space="preserve">attend to provide updates and/or seek advice on projects that are of interest to the members and relate to Aboriginal and Torres Strait Islander students. </w:t>
      </w:r>
    </w:p>
    <w:p w14:paraId="51DF8185" w14:textId="054C0466" w:rsidR="00861934" w:rsidRDefault="00525352" w:rsidP="002854A2">
      <w:pPr>
        <w:jc w:val="both"/>
      </w:pPr>
      <w:r>
        <w:t xml:space="preserve">In the spirit of the National Agreement on Closing the Gap, </w:t>
      </w:r>
      <w:r w:rsidR="00373B73">
        <w:t>t</w:t>
      </w:r>
      <w:r w:rsidR="00BF0B13">
        <w:t>he Department of Education</w:t>
      </w:r>
      <w:r>
        <w:t xml:space="preserve"> </w:t>
      </w:r>
      <w:r w:rsidR="000F4A6D">
        <w:t xml:space="preserve">is </w:t>
      </w:r>
      <w:r>
        <w:t xml:space="preserve">working with IECM members to support the establishment of a </w:t>
      </w:r>
      <w:r w:rsidR="00582944">
        <w:t xml:space="preserve">national </w:t>
      </w:r>
      <w:r>
        <w:t xml:space="preserve">Indigenous education </w:t>
      </w:r>
      <w:r w:rsidR="00582944">
        <w:t xml:space="preserve">peak </w:t>
      </w:r>
      <w:r w:rsidR="000F4A6D">
        <w:t>body</w:t>
      </w:r>
      <w:r>
        <w:t>, the National Aboriginal and Torres Strait Islander Education Council (NATSIEC). </w:t>
      </w:r>
      <w:r w:rsidR="00582944">
        <w:t xml:space="preserve">NATSIEC’s </w:t>
      </w:r>
      <w:r>
        <w:t>establishment will provide a national Aboriginal and Torres Strait Islander education voice that can ensure Indigenous communities’ educational aspirations are heard and acted on. </w:t>
      </w:r>
    </w:p>
    <w:p w14:paraId="688E3D71" w14:textId="33D800A7" w:rsidR="00373B73" w:rsidRPr="00373B73" w:rsidRDefault="00373B73" w:rsidP="00373B73"/>
    <w:p w14:paraId="009DD007" w14:textId="4142495A" w:rsidR="00373B73" w:rsidRPr="00373B73" w:rsidRDefault="00373B73" w:rsidP="00373B73"/>
    <w:p w14:paraId="2704CD00" w14:textId="77777777" w:rsidR="00373B73" w:rsidRPr="00373B73" w:rsidRDefault="00373B73" w:rsidP="00373B73">
      <w:pPr>
        <w:jc w:val="right"/>
      </w:pPr>
    </w:p>
    <w:p w14:paraId="0678B126" w14:textId="3C59A4D5" w:rsidR="00B100CC" w:rsidRPr="00520A33" w:rsidRDefault="002D7ADE" w:rsidP="002D7ADE">
      <w:pPr>
        <w:pStyle w:val="Heading1"/>
      </w:pPr>
      <w:r>
        <w:lastRenderedPageBreak/>
        <w:t xml:space="preserve"> IECM Representatives 202</w:t>
      </w:r>
      <w:r w:rsidR="00314419">
        <w:t>4</w:t>
      </w:r>
    </w:p>
    <w:tbl>
      <w:tblPr>
        <w:tblStyle w:val="DESE"/>
        <w:tblW w:w="0" w:type="auto"/>
        <w:tblLook w:val="04A0" w:firstRow="1" w:lastRow="0" w:firstColumn="1" w:lastColumn="0" w:noHBand="0" w:noVBand="1"/>
      </w:tblPr>
      <w:tblGrid>
        <w:gridCol w:w="3005"/>
        <w:gridCol w:w="3794"/>
        <w:gridCol w:w="2217"/>
      </w:tblGrid>
      <w:tr w:rsidR="00B100CC" w14:paraId="10CCD766" w14:textId="77777777" w:rsidTr="008004F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005" w:type="dxa"/>
          </w:tcPr>
          <w:p w14:paraId="5F30AC82" w14:textId="5820B78C" w:rsidR="00B100CC" w:rsidRPr="00B100CC" w:rsidRDefault="00525352" w:rsidP="00610A38">
            <w:pPr>
              <w:keepNext/>
              <w:spacing w:before="40" w:after="40"/>
            </w:pPr>
            <w:r>
              <w:t xml:space="preserve">Name </w:t>
            </w:r>
          </w:p>
        </w:tc>
        <w:tc>
          <w:tcPr>
            <w:tcW w:w="3794" w:type="dxa"/>
          </w:tcPr>
          <w:p w14:paraId="6956EFC9" w14:textId="5EB40C83" w:rsidR="00B100CC" w:rsidRPr="00B100CC" w:rsidRDefault="00525352" w:rsidP="00610A38">
            <w:pPr>
              <w:keepNext/>
              <w:spacing w:before="40" w:after="40"/>
              <w:cnfStyle w:val="100000000000" w:firstRow="1" w:lastRow="0" w:firstColumn="0" w:lastColumn="0" w:oddVBand="0" w:evenVBand="0" w:oddHBand="0" w:evenHBand="0" w:firstRowFirstColumn="0" w:firstRowLastColumn="0" w:lastRowFirstColumn="0" w:lastRowLastColumn="0"/>
            </w:pPr>
            <w:r>
              <w:t xml:space="preserve">Position </w:t>
            </w:r>
          </w:p>
        </w:tc>
        <w:tc>
          <w:tcPr>
            <w:tcW w:w="2217" w:type="dxa"/>
          </w:tcPr>
          <w:p w14:paraId="4739D5D3" w14:textId="21D74BF5" w:rsidR="00B100CC" w:rsidRPr="00B100CC" w:rsidRDefault="00525352" w:rsidP="00610A38">
            <w:pPr>
              <w:keepNext/>
              <w:spacing w:before="40" w:after="40"/>
              <w:cnfStyle w:val="100000000000" w:firstRow="1" w:lastRow="0" w:firstColumn="0" w:lastColumn="0" w:oddVBand="0" w:evenVBand="0" w:oddHBand="0" w:evenHBand="0" w:firstRowFirstColumn="0" w:firstRowLastColumn="0" w:lastRowFirstColumn="0" w:lastRowLastColumn="0"/>
            </w:pPr>
            <w:r>
              <w:t xml:space="preserve">State or Territory </w:t>
            </w:r>
          </w:p>
        </w:tc>
      </w:tr>
      <w:tr w:rsidR="00672F37" w14:paraId="725FAB4E" w14:textId="77777777" w:rsidTr="005F3EA1">
        <w:tc>
          <w:tcPr>
            <w:cnfStyle w:val="001000000000" w:firstRow="0" w:lastRow="0" w:firstColumn="1" w:lastColumn="0" w:oddVBand="0" w:evenVBand="0" w:oddHBand="0" w:evenHBand="0" w:firstRowFirstColumn="0" w:firstRowLastColumn="0" w:lastRowFirstColumn="0" w:lastRowLastColumn="0"/>
            <w:tcW w:w="3005" w:type="dxa"/>
          </w:tcPr>
          <w:p w14:paraId="245B6603" w14:textId="77777777" w:rsidR="00672F37" w:rsidRPr="00525352" w:rsidRDefault="00672F37" w:rsidP="005F3EA1">
            <w:pPr>
              <w:keepNext/>
              <w:spacing w:before="40" w:after="40"/>
              <w:rPr>
                <w:rFonts w:asciiTheme="majorHAnsi" w:hAnsiTheme="majorHAnsi" w:cstheme="majorHAnsi"/>
                <w:b/>
                <w:bCs/>
              </w:rPr>
            </w:pPr>
            <w:r w:rsidRPr="00525352">
              <w:rPr>
                <w:rFonts w:asciiTheme="majorHAnsi" w:hAnsiTheme="majorHAnsi" w:cstheme="majorHAnsi"/>
                <w:b/>
                <w:bCs/>
              </w:rPr>
              <w:t>Professor Peter Buckskin</w:t>
            </w:r>
          </w:p>
          <w:p w14:paraId="616537DC" w14:textId="77777777" w:rsidR="00672F37" w:rsidRPr="00525352" w:rsidRDefault="00672F37" w:rsidP="005F3EA1">
            <w:pPr>
              <w:keepNext/>
              <w:spacing w:before="40" w:after="40"/>
              <w:rPr>
                <w:rFonts w:asciiTheme="majorHAnsi" w:hAnsiTheme="majorHAnsi" w:cstheme="majorHAnsi"/>
                <w:b/>
                <w:bCs/>
              </w:rPr>
            </w:pPr>
          </w:p>
        </w:tc>
        <w:tc>
          <w:tcPr>
            <w:tcW w:w="3794" w:type="dxa"/>
          </w:tcPr>
          <w:p w14:paraId="031CEAA9" w14:textId="77777777" w:rsidR="00672F37" w:rsidRPr="00525352" w:rsidRDefault="00672F37" w:rsidP="005F3EA1">
            <w:pPr>
              <w:keepNext/>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25352">
              <w:rPr>
                <w:rFonts w:asciiTheme="majorHAnsi" w:hAnsiTheme="majorHAnsi" w:cstheme="majorHAnsi"/>
              </w:rPr>
              <w:t>Chair, South Australian Aboriginal Education and Training Consultative Council (SAAETCC)</w:t>
            </w:r>
          </w:p>
          <w:p w14:paraId="076312EA" w14:textId="77777777" w:rsidR="00672F37" w:rsidRPr="00525352" w:rsidRDefault="00000000" w:rsidP="005F3EA1">
            <w:pPr>
              <w:keepNext/>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hyperlink r:id="rId18" w:history="1">
              <w:r w:rsidR="00672F37" w:rsidRPr="00525352">
                <w:rPr>
                  <w:rStyle w:val="Hyperlink"/>
                  <w:rFonts w:asciiTheme="majorHAnsi" w:hAnsiTheme="majorHAnsi" w:cstheme="majorHAnsi"/>
                </w:rPr>
                <w:t>http://saaetcc.edu.au/</w:t>
              </w:r>
            </w:hyperlink>
          </w:p>
        </w:tc>
        <w:tc>
          <w:tcPr>
            <w:tcW w:w="2217" w:type="dxa"/>
          </w:tcPr>
          <w:p w14:paraId="7ED9535A" w14:textId="77777777" w:rsidR="00672F37" w:rsidRPr="00525352" w:rsidRDefault="00672F37" w:rsidP="005F3EA1">
            <w:pPr>
              <w:keepNext/>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25352">
              <w:rPr>
                <w:rFonts w:asciiTheme="majorHAnsi" w:hAnsiTheme="majorHAnsi" w:cstheme="majorHAnsi"/>
              </w:rPr>
              <w:t>SA</w:t>
            </w:r>
          </w:p>
        </w:tc>
      </w:tr>
      <w:tr w:rsidR="00672F37" w14:paraId="60BDA512" w14:textId="77777777" w:rsidTr="005F3EA1">
        <w:tc>
          <w:tcPr>
            <w:cnfStyle w:val="001000000000" w:firstRow="0" w:lastRow="0" w:firstColumn="1" w:lastColumn="0" w:oddVBand="0" w:evenVBand="0" w:oddHBand="0" w:evenHBand="0" w:firstRowFirstColumn="0" w:firstRowLastColumn="0" w:lastRowFirstColumn="0" w:lastRowLastColumn="0"/>
            <w:tcW w:w="3005" w:type="dxa"/>
          </w:tcPr>
          <w:p w14:paraId="5B3BB78F" w14:textId="77777777" w:rsidR="00672F37" w:rsidRPr="00525352" w:rsidRDefault="00672F37" w:rsidP="005F3EA1">
            <w:pPr>
              <w:keepNext/>
              <w:spacing w:before="40" w:after="40"/>
              <w:rPr>
                <w:rFonts w:asciiTheme="majorHAnsi" w:eastAsia="Calibri" w:hAnsiTheme="majorHAnsi" w:cstheme="majorHAnsi"/>
                <w:b/>
                <w:bCs/>
              </w:rPr>
            </w:pPr>
            <w:r w:rsidRPr="00525352">
              <w:rPr>
                <w:rFonts w:asciiTheme="majorHAnsi" w:eastAsia="Calibri" w:hAnsiTheme="majorHAnsi" w:cstheme="majorHAnsi"/>
                <w:b/>
                <w:bCs/>
              </w:rPr>
              <w:t>Ms Geraldine Atkinson</w:t>
            </w:r>
          </w:p>
          <w:p w14:paraId="1CFDDC44" w14:textId="77777777" w:rsidR="00672F37" w:rsidRPr="00525352" w:rsidRDefault="00672F37" w:rsidP="005F3EA1">
            <w:pPr>
              <w:keepNext/>
              <w:spacing w:before="40" w:after="40"/>
              <w:rPr>
                <w:rFonts w:asciiTheme="majorHAnsi" w:hAnsiTheme="majorHAnsi" w:cstheme="majorHAnsi"/>
                <w:b/>
                <w:bCs/>
              </w:rPr>
            </w:pPr>
          </w:p>
        </w:tc>
        <w:tc>
          <w:tcPr>
            <w:tcW w:w="3794" w:type="dxa"/>
          </w:tcPr>
          <w:p w14:paraId="51F7E515" w14:textId="77777777" w:rsidR="00672F37" w:rsidRPr="00525352" w:rsidRDefault="00672F37" w:rsidP="005F3EA1">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r w:rsidRPr="00525352">
              <w:rPr>
                <w:rFonts w:asciiTheme="majorHAnsi" w:eastAsia="Calibri" w:hAnsiTheme="majorHAnsi" w:cstheme="majorHAnsi"/>
              </w:rPr>
              <w:t>President, Victorian Aboriginal Education Association Incorporated (VAEAI)</w:t>
            </w:r>
          </w:p>
          <w:p w14:paraId="2E1C424D" w14:textId="77777777" w:rsidR="00672F37" w:rsidRPr="00525352" w:rsidRDefault="00000000" w:rsidP="005F3EA1">
            <w:pPr>
              <w:keepNext/>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hyperlink r:id="rId19" w:history="1">
              <w:r w:rsidR="00672F37" w:rsidRPr="00525352">
                <w:rPr>
                  <w:rStyle w:val="Hyperlink"/>
                  <w:rFonts w:asciiTheme="majorHAnsi" w:eastAsia="Calibri" w:hAnsiTheme="majorHAnsi" w:cstheme="majorHAnsi"/>
                </w:rPr>
                <w:t>https://www.vaeai.org.au/</w:t>
              </w:r>
            </w:hyperlink>
          </w:p>
        </w:tc>
        <w:tc>
          <w:tcPr>
            <w:tcW w:w="2217" w:type="dxa"/>
          </w:tcPr>
          <w:p w14:paraId="0D285E7D" w14:textId="77777777" w:rsidR="00672F37" w:rsidRPr="00525352" w:rsidRDefault="00672F37" w:rsidP="005F3EA1">
            <w:pPr>
              <w:keepNext/>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25352">
              <w:rPr>
                <w:rFonts w:asciiTheme="majorHAnsi" w:hAnsiTheme="majorHAnsi" w:cstheme="majorHAnsi"/>
              </w:rPr>
              <w:t>VIC</w:t>
            </w:r>
          </w:p>
        </w:tc>
      </w:tr>
      <w:tr w:rsidR="00B100CC" w14:paraId="483C023C" w14:textId="77777777" w:rsidTr="005F3EA1">
        <w:tc>
          <w:tcPr>
            <w:cnfStyle w:val="001000000000" w:firstRow="0" w:lastRow="0" w:firstColumn="1" w:lastColumn="0" w:oddVBand="0" w:evenVBand="0" w:oddHBand="0" w:evenHBand="0" w:firstRowFirstColumn="0" w:firstRowLastColumn="0" w:lastRowFirstColumn="0" w:lastRowLastColumn="0"/>
            <w:tcW w:w="3005" w:type="dxa"/>
          </w:tcPr>
          <w:p w14:paraId="71BC5D5E" w14:textId="7C238488" w:rsidR="00525352" w:rsidRPr="00525352" w:rsidRDefault="00672F37" w:rsidP="005F3EA1">
            <w:pPr>
              <w:keepNext/>
              <w:spacing w:before="40" w:after="40"/>
              <w:rPr>
                <w:rFonts w:asciiTheme="majorHAnsi" w:hAnsiTheme="majorHAnsi" w:cstheme="majorHAnsi"/>
                <w:b/>
                <w:bCs/>
              </w:rPr>
            </w:pPr>
            <w:r>
              <w:rPr>
                <w:rFonts w:asciiTheme="majorHAnsi" w:hAnsiTheme="majorHAnsi" w:cstheme="majorHAnsi"/>
                <w:b/>
                <w:bCs/>
              </w:rPr>
              <w:t xml:space="preserve">Mr </w:t>
            </w:r>
            <w:r w:rsidR="00314419">
              <w:rPr>
                <w:rFonts w:asciiTheme="majorHAnsi" w:hAnsiTheme="majorHAnsi" w:cstheme="majorHAnsi"/>
                <w:b/>
                <w:bCs/>
              </w:rPr>
              <w:t>Raymond Ingrey</w:t>
            </w:r>
          </w:p>
          <w:p w14:paraId="1D700C12" w14:textId="771074C5" w:rsidR="00B100CC" w:rsidRPr="00525352" w:rsidRDefault="00B100CC" w:rsidP="005F3EA1">
            <w:pPr>
              <w:keepNext/>
              <w:spacing w:before="40" w:after="40"/>
              <w:rPr>
                <w:rFonts w:asciiTheme="majorHAnsi" w:hAnsiTheme="majorHAnsi" w:cstheme="majorHAnsi"/>
                <w:b/>
                <w:bCs/>
              </w:rPr>
            </w:pPr>
          </w:p>
        </w:tc>
        <w:tc>
          <w:tcPr>
            <w:tcW w:w="3794" w:type="dxa"/>
          </w:tcPr>
          <w:p w14:paraId="42A8CA32" w14:textId="05752E6B" w:rsidR="00525352" w:rsidRPr="00525352" w:rsidRDefault="00001C91" w:rsidP="005F3EA1">
            <w:pPr>
              <w:keepNext/>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Interim</w:t>
            </w:r>
            <w:r w:rsidR="00672F37">
              <w:rPr>
                <w:rFonts w:asciiTheme="majorHAnsi" w:hAnsiTheme="majorHAnsi" w:cstheme="majorHAnsi"/>
              </w:rPr>
              <w:t xml:space="preserve"> </w:t>
            </w:r>
            <w:r w:rsidR="00525352" w:rsidRPr="00525352">
              <w:rPr>
                <w:rFonts w:asciiTheme="majorHAnsi" w:hAnsiTheme="majorHAnsi" w:cstheme="majorHAnsi"/>
              </w:rPr>
              <w:t>President, NSW Aboriginal Education Consultative Group (NSW AECG)</w:t>
            </w:r>
          </w:p>
          <w:p w14:paraId="6E8BC1DD" w14:textId="5C01AFB6" w:rsidR="00B100CC" w:rsidRPr="00525352" w:rsidRDefault="00000000" w:rsidP="005F3EA1">
            <w:pPr>
              <w:keepNext/>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hyperlink r:id="rId20" w:history="1">
              <w:r w:rsidR="00525352" w:rsidRPr="00525352">
                <w:rPr>
                  <w:rStyle w:val="Hyperlink"/>
                  <w:rFonts w:asciiTheme="majorHAnsi" w:hAnsiTheme="majorHAnsi" w:cstheme="majorHAnsi"/>
                </w:rPr>
                <w:t>https://www.aecg.nsw.edu.au/</w:t>
              </w:r>
            </w:hyperlink>
          </w:p>
        </w:tc>
        <w:tc>
          <w:tcPr>
            <w:tcW w:w="2217" w:type="dxa"/>
          </w:tcPr>
          <w:p w14:paraId="02992563" w14:textId="35BF0DDF" w:rsidR="00B100CC" w:rsidRPr="00525352" w:rsidRDefault="00525352" w:rsidP="005F3EA1">
            <w:pPr>
              <w:keepNext/>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25352">
              <w:rPr>
                <w:rFonts w:asciiTheme="majorHAnsi" w:hAnsiTheme="majorHAnsi" w:cstheme="majorHAnsi"/>
              </w:rPr>
              <w:t>NSW</w:t>
            </w:r>
          </w:p>
        </w:tc>
      </w:tr>
      <w:tr w:rsidR="00CB2743" w14:paraId="325272D6" w14:textId="77777777" w:rsidTr="005F3EA1">
        <w:tc>
          <w:tcPr>
            <w:cnfStyle w:val="001000000000" w:firstRow="0" w:lastRow="0" w:firstColumn="1" w:lastColumn="0" w:oddVBand="0" w:evenVBand="0" w:oddHBand="0" w:evenHBand="0" w:firstRowFirstColumn="0" w:firstRowLastColumn="0" w:lastRowFirstColumn="0" w:lastRowLastColumn="0"/>
            <w:tcW w:w="3005" w:type="dxa"/>
          </w:tcPr>
          <w:p w14:paraId="1D2D0AF5" w14:textId="7A6A1A3E" w:rsidR="00CB2743" w:rsidRDefault="00324089" w:rsidP="005F3EA1">
            <w:pPr>
              <w:keepNext/>
              <w:spacing w:before="40" w:after="40"/>
              <w:rPr>
                <w:rFonts w:asciiTheme="majorHAnsi" w:hAnsiTheme="majorHAnsi" w:cstheme="majorHAnsi"/>
                <w:b/>
                <w:bCs/>
              </w:rPr>
            </w:pPr>
            <w:r>
              <w:rPr>
                <w:rFonts w:asciiTheme="majorHAnsi" w:hAnsiTheme="majorHAnsi" w:cstheme="majorHAnsi"/>
                <w:b/>
                <w:bCs/>
              </w:rPr>
              <w:t>M</w:t>
            </w:r>
            <w:r w:rsidR="00314419">
              <w:rPr>
                <w:rFonts w:asciiTheme="majorHAnsi" w:hAnsiTheme="majorHAnsi" w:cstheme="majorHAnsi"/>
                <w:b/>
                <w:bCs/>
              </w:rPr>
              <w:t xml:space="preserve">r Leigh </w:t>
            </w:r>
            <w:r w:rsidR="00AE4693">
              <w:rPr>
                <w:rFonts w:asciiTheme="majorHAnsi" w:hAnsiTheme="majorHAnsi" w:cstheme="majorHAnsi"/>
                <w:b/>
                <w:bCs/>
              </w:rPr>
              <w:t>Ridgeway</w:t>
            </w:r>
            <w:r>
              <w:rPr>
                <w:rFonts w:asciiTheme="majorHAnsi" w:hAnsiTheme="majorHAnsi" w:cstheme="majorHAnsi"/>
                <w:b/>
                <w:bCs/>
              </w:rPr>
              <w:t xml:space="preserve"> </w:t>
            </w:r>
          </w:p>
        </w:tc>
        <w:tc>
          <w:tcPr>
            <w:tcW w:w="3794" w:type="dxa"/>
          </w:tcPr>
          <w:p w14:paraId="6B6FBB27" w14:textId="77777777" w:rsidR="00001C91" w:rsidRDefault="00001C91" w:rsidP="00001C91">
            <w:pPr>
              <w:keepNext/>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01C91">
              <w:rPr>
                <w:rFonts w:asciiTheme="majorHAnsi" w:hAnsiTheme="majorHAnsi" w:cstheme="majorHAnsi"/>
              </w:rPr>
              <w:t>Association Management Committee</w:t>
            </w:r>
            <w:r>
              <w:rPr>
                <w:rFonts w:asciiTheme="majorHAnsi" w:hAnsiTheme="majorHAnsi" w:cstheme="majorHAnsi"/>
              </w:rPr>
              <w:t xml:space="preserve"> (AMC) representative, </w:t>
            </w:r>
            <w:r w:rsidRPr="00001C91">
              <w:rPr>
                <w:rFonts w:asciiTheme="majorHAnsi" w:hAnsiTheme="majorHAnsi" w:cstheme="majorHAnsi"/>
              </w:rPr>
              <w:t>NSW Aboriginal Education Consultative Group (NSW AECG)</w:t>
            </w:r>
          </w:p>
          <w:p w14:paraId="640A2641" w14:textId="5E5606DE" w:rsidR="00324089" w:rsidRDefault="00000000" w:rsidP="00A74A5E">
            <w:pPr>
              <w:keepNext/>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hyperlink r:id="rId21" w:history="1">
              <w:r w:rsidR="00A74A5E" w:rsidRPr="00525352">
                <w:rPr>
                  <w:rStyle w:val="Hyperlink"/>
                  <w:rFonts w:asciiTheme="majorHAnsi" w:hAnsiTheme="majorHAnsi" w:cstheme="majorHAnsi"/>
                </w:rPr>
                <w:t>https://www.aecg.nsw.edu.au/</w:t>
              </w:r>
            </w:hyperlink>
          </w:p>
        </w:tc>
        <w:tc>
          <w:tcPr>
            <w:tcW w:w="2217" w:type="dxa"/>
          </w:tcPr>
          <w:p w14:paraId="746A6FDD" w14:textId="4C534F08" w:rsidR="00CB2743" w:rsidRPr="00525352" w:rsidRDefault="00001C91" w:rsidP="005F3EA1">
            <w:pPr>
              <w:keepNext/>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NSW</w:t>
            </w:r>
          </w:p>
        </w:tc>
      </w:tr>
      <w:tr w:rsidR="00525352" w14:paraId="2EEEF41D" w14:textId="77777777" w:rsidTr="005F3EA1">
        <w:tc>
          <w:tcPr>
            <w:cnfStyle w:val="001000000000" w:firstRow="0" w:lastRow="0" w:firstColumn="1" w:lastColumn="0" w:oddVBand="0" w:evenVBand="0" w:oddHBand="0" w:evenHBand="0" w:firstRowFirstColumn="0" w:firstRowLastColumn="0" w:lastRowFirstColumn="0" w:lastRowLastColumn="0"/>
            <w:tcW w:w="3005" w:type="dxa"/>
          </w:tcPr>
          <w:p w14:paraId="3DB71030" w14:textId="12D1CD81" w:rsidR="00525352" w:rsidRPr="00525352" w:rsidRDefault="00824610" w:rsidP="005F3EA1">
            <w:pPr>
              <w:keepNext/>
              <w:spacing w:before="40" w:after="40"/>
              <w:rPr>
                <w:rFonts w:asciiTheme="majorHAnsi" w:eastAsia="Calibri" w:hAnsiTheme="majorHAnsi" w:cstheme="majorHAnsi"/>
                <w:b/>
                <w:bCs/>
              </w:rPr>
            </w:pPr>
            <w:r>
              <w:rPr>
                <w:rFonts w:asciiTheme="majorHAnsi" w:eastAsia="Calibri" w:hAnsiTheme="majorHAnsi" w:cstheme="majorHAnsi"/>
                <w:b/>
                <w:bCs/>
              </w:rPr>
              <w:t>Mr</w:t>
            </w:r>
            <w:r w:rsidR="00276D05">
              <w:rPr>
                <w:rFonts w:asciiTheme="majorHAnsi" w:eastAsia="Calibri" w:hAnsiTheme="majorHAnsi" w:cstheme="majorHAnsi"/>
                <w:b/>
                <w:bCs/>
              </w:rPr>
              <w:t xml:space="preserve"> </w:t>
            </w:r>
            <w:r w:rsidR="00954DDE" w:rsidRPr="00954DDE">
              <w:rPr>
                <w:rFonts w:asciiTheme="majorHAnsi" w:eastAsia="Calibri" w:hAnsiTheme="majorHAnsi" w:cstheme="majorHAnsi"/>
                <w:b/>
                <w:bCs/>
              </w:rPr>
              <w:t>Maurice Walker</w:t>
            </w:r>
          </w:p>
        </w:tc>
        <w:tc>
          <w:tcPr>
            <w:tcW w:w="3794" w:type="dxa"/>
          </w:tcPr>
          <w:p w14:paraId="3C8409A8" w14:textId="42996525" w:rsidR="00525352" w:rsidRDefault="008868BA" w:rsidP="005F3E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Theme="majorHAnsi" w:eastAsia="Calibri" w:hAnsiTheme="majorHAnsi" w:cstheme="majorHAnsi"/>
              </w:rPr>
              <w:t xml:space="preserve">ACT </w:t>
            </w:r>
            <w:r w:rsidRPr="008868BA">
              <w:rPr>
                <w:rFonts w:asciiTheme="majorHAnsi" w:eastAsia="Calibri" w:hAnsiTheme="majorHAnsi" w:cstheme="majorHAnsi"/>
              </w:rPr>
              <w:t>Community Representative</w:t>
            </w:r>
          </w:p>
          <w:p w14:paraId="32F4CF4A" w14:textId="584A7C01" w:rsidR="00C14887" w:rsidRPr="00525352" w:rsidRDefault="00C14887" w:rsidP="005F3EA1">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p>
        </w:tc>
        <w:tc>
          <w:tcPr>
            <w:tcW w:w="2217" w:type="dxa"/>
          </w:tcPr>
          <w:p w14:paraId="74C11927" w14:textId="20E6969F" w:rsidR="00525352" w:rsidRPr="00525352" w:rsidRDefault="00525352" w:rsidP="005F3EA1">
            <w:pPr>
              <w:keepNext/>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ACT</w:t>
            </w:r>
          </w:p>
        </w:tc>
      </w:tr>
      <w:tr w:rsidR="00525352" w14:paraId="33E1826F" w14:textId="77777777" w:rsidTr="005F3EA1">
        <w:tc>
          <w:tcPr>
            <w:cnfStyle w:val="001000000000" w:firstRow="0" w:lastRow="0" w:firstColumn="1" w:lastColumn="0" w:oddVBand="0" w:evenVBand="0" w:oddHBand="0" w:evenHBand="0" w:firstRowFirstColumn="0" w:firstRowLastColumn="0" w:lastRowFirstColumn="0" w:lastRowLastColumn="0"/>
            <w:tcW w:w="3005" w:type="dxa"/>
          </w:tcPr>
          <w:p w14:paraId="2E1D59AC" w14:textId="185FA5D5" w:rsidR="00525352" w:rsidRPr="00525352" w:rsidRDefault="00525352" w:rsidP="005F3EA1">
            <w:pPr>
              <w:keepNext/>
              <w:spacing w:before="40" w:after="40"/>
              <w:rPr>
                <w:rFonts w:asciiTheme="majorHAnsi" w:eastAsia="Calibri" w:hAnsiTheme="majorHAnsi" w:cstheme="majorHAnsi"/>
                <w:b/>
                <w:bCs/>
              </w:rPr>
            </w:pPr>
            <w:r>
              <w:rPr>
                <w:rFonts w:asciiTheme="majorHAnsi" w:eastAsia="Calibri" w:hAnsiTheme="majorHAnsi" w:cstheme="majorHAnsi"/>
                <w:b/>
                <w:bCs/>
              </w:rPr>
              <w:t>Mr Leon Epong</w:t>
            </w:r>
          </w:p>
        </w:tc>
        <w:tc>
          <w:tcPr>
            <w:tcW w:w="3794" w:type="dxa"/>
          </w:tcPr>
          <w:p w14:paraId="0478DC98" w14:textId="77777777" w:rsidR="00525352" w:rsidRPr="00525352" w:rsidRDefault="00525352" w:rsidP="005F3EA1">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r w:rsidRPr="00525352">
              <w:rPr>
                <w:rFonts w:asciiTheme="majorHAnsi" w:eastAsia="Calibri" w:hAnsiTheme="majorHAnsi" w:cstheme="majorHAnsi"/>
              </w:rPr>
              <w:t>Chair, Queensland Aboriginal and Torres Strait Islander Education and Training Advisory Committee (QATSIETAC)</w:t>
            </w:r>
          </w:p>
          <w:p w14:paraId="3705D6E7" w14:textId="77777777" w:rsidR="00525352" w:rsidRPr="00525352" w:rsidRDefault="00525352" w:rsidP="005F3EA1">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p>
        </w:tc>
        <w:tc>
          <w:tcPr>
            <w:tcW w:w="2217" w:type="dxa"/>
          </w:tcPr>
          <w:p w14:paraId="76123754" w14:textId="097C7FA1" w:rsidR="00525352" w:rsidRPr="00525352" w:rsidRDefault="00525352" w:rsidP="005F3EA1">
            <w:pPr>
              <w:keepNext/>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QLD</w:t>
            </w:r>
          </w:p>
        </w:tc>
      </w:tr>
      <w:tr w:rsidR="00525352" w14:paraId="55EFA2E0" w14:textId="77777777" w:rsidTr="005F3EA1">
        <w:tc>
          <w:tcPr>
            <w:cnfStyle w:val="001000000000" w:firstRow="0" w:lastRow="0" w:firstColumn="1" w:lastColumn="0" w:oddVBand="0" w:evenVBand="0" w:oddHBand="0" w:evenHBand="0" w:firstRowFirstColumn="0" w:firstRowLastColumn="0" w:lastRowFirstColumn="0" w:lastRowLastColumn="0"/>
            <w:tcW w:w="3005" w:type="dxa"/>
          </w:tcPr>
          <w:p w14:paraId="2CF566DA" w14:textId="28699327" w:rsidR="00525352" w:rsidRDefault="00525352" w:rsidP="005F3EA1">
            <w:pPr>
              <w:keepNext/>
              <w:spacing w:before="40" w:after="40"/>
              <w:rPr>
                <w:rFonts w:asciiTheme="majorHAnsi" w:eastAsia="Calibri" w:hAnsiTheme="majorHAnsi" w:cstheme="majorHAnsi"/>
                <w:b/>
                <w:bCs/>
              </w:rPr>
            </w:pPr>
            <w:r>
              <w:rPr>
                <w:rFonts w:asciiTheme="majorHAnsi" w:eastAsia="Calibri" w:hAnsiTheme="majorHAnsi" w:cstheme="majorHAnsi"/>
                <w:b/>
                <w:bCs/>
              </w:rPr>
              <w:t>Ms Isabelle Adams</w:t>
            </w:r>
          </w:p>
        </w:tc>
        <w:tc>
          <w:tcPr>
            <w:tcW w:w="3794" w:type="dxa"/>
          </w:tcPr>
          <w:p w14:paraId="432E0A35" w14:textId="11CA0A25" w:rsidR="00525352" w:rsidRDefault="00C14887" w:rsidP="005F3EA1">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r>
              <w:rPr>
                <w:rFonts w:asciiTheme="majorHAnsi" w:eastAsia="Calibri" w:hAnsiTheme="majorHAnsi" w:cstheme="majorHAnsi"/>
                <w:lang w:val="en"/>
              </w:rPr>
              <w:t xml:space="preserve">WA </w:t>
            </w:r>
            <w:r w:rsidRPr="00C14887">
              <w:rPr>
                <w:rFonts w:asciiTheme="majorHAnsi" w:eastAsia="Calibri" w:hAnsiTheme="majorHAnsi" w:cstheme="majorHAnsi"/>
              </w:rPr>
              <w:t>Community Representative</w:t>
            </w:r>
          </w:p>
          <w:p w14:paraId="5D77743D" w14:textId="59984F7B" w:rsidR="00C14887" w:rsidRPr="00525352" w:rsidRDefault="00C14887" w:rsidP="005F3EA1">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p>
        </w:tc>
        <w:tc>
          <w:tcPr>
            <w:tcW w:w="2217" w:type="dxa"/>
          </w:tcPr>
          <w:p w14:paraId="4AB32718" w14:textId="467B9951" w:rsidR="00525352" w:rsidRDefault="00525352" w:rsidP="005F3EA1">
            <w:pPr>
              <w:keepNext/>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WA</w:t>
            </w:r>
          </w:p>
        </w:tc>
      </w:tr>
      <w:tr w:rsidR="00525352" w14:paraId="573D5219" w14:textId="77777777" w:rsidTr="005F3EA1">
        <w:tc>
          <w:tcPr>
            <w:cnfStyle w:val="001000000000" w:firstRow="0" w:lastRow="0" w:firstColumn="1" w:lastColumn="0" w:oddVBand="0" w:evenVBand="0" w:oddHBand="0" w:evenHBand="0" w:firstRowFirstColumn="0" w:firstRowLastColumn="0" w:lastRowFirstColumn="0" w:lastRowLastColumn="0"/>
            <w:tcW w:w="3005" w:type="dxa"/>
          </w:tcPr>
          <w:p w14:paraId="3B0E866B" w14:textId="77777777" w:rsidR="00525352" w:rsidRPr="00525352" w:rsidRDefault="00525352" w:rsidP="005F3EA1">
            <w:pPr>
              <w:keepNext/>
              <w:spacing w:before="40" w:after="40"/>
              <w:rPr>
                <w:rFonts w:asciiTheme="majorHAnsi" w:eastAsia="Calibri" w:hAnsiTheme="majorHAnsi" w:cstheme="majorHAnsi"/>
                <w:b/>
                <w:bCs/>
              </w:rPr>
            </w:pPr>
            <w:r w:rsidRPr="00525352">
              <w:rPr>
                <w:rFonts w:asciiTheme="majorHAnsi" w:eastAsia="Calibri" w:hAnsiTheme="majorHAnsi" w:cstheme="majorHAnsi"/>
                <w:b/>
                <w:bCs/>
              </w:rPr>
              <w:t>Associate Professor Clair Andersen</w:t>
            </w:r>
          </w:p>
          <w:p w14:paraId="2A0D858C" w14:textId="77777777" w:rsidR="00525352" w:rsidRDefault="00525352" w:rsidP="005F3EA1">
            <w:pPr>
              <w:keepNext/>
              <w:spacing w:before="40" w:after="40"/>
              <w:rPr>
                <w:rFonts w:asciiTheme="majorHAnsi" w:eastAsia="Calibri" w:hAnsiTheme="majorHAnsi" w:cstheme="majorHAnsi"/>
                <w:b/>
                <w:bCs/>
              </w:rPr>
            </w:pPr>
          </w:p>
        </w:tc>
        <w:tc>
          <w:tcPr>
            <w:tcW w:w="3794" w:type="dxa"/>
          </w:tcPr>
          <w:p w14:paraId="257D6174" w14:textId="0EF3EEC8" w:rsidR="00525352" w:rsidRDefault="00525352" w:rsidP="005F3EA1">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rPr>
            </w:pPr>
            <w:r w:rsidRPr="00525352">
              <w:rPr>
                <w:rFonts w:asciiTheme="majorHAnsi" w:eastAsia="Calibri" w:hAnsiTheme="majorHAnsi" w:cstheme="majorHAnsi"/>
                <w:bCs/>
              </w:rPr>
              <w:t xml:space="preserve">Aboriginal Higher Education Advisor, </w:t>
            </w:r>
            <w:r w:rsidRPr="00525352">
              <w:rPr>
                <w:rFonts w:asciiTheme="majorHAnsi" w:eastAsia="Calibri" w:hAnsiTheme="majorHAnsi" w:cstheme="majorHAnsi"/>
                <w:b/>
              </w:rPr>
              <w:br/>
            </w:r>
            <w:r w:rsidRPr="00525352">
              <w:rPr>
                <w:rFonts w:asciiTheme="majorHAnsi" w:eastAsia="Calibri" w:hAnsiTheme="majorHAnsi" w:cstheme="majorHAnsi"/>
                <w:bCs/>
              </w:rPr>
              <w:t>Tasmanian Institute of Learning and Teaching (TILT)</w:t>
            </w:r>
            <w:r w:rsidR="00EF3892">
              <w:rPr>
                <w:rFonts w:asciiTheme="majorHAnsi" w:eastAsia="Calibri" w:hAnsiTheme="majorHAnsi" w:cstheme="majorHAnsi"/>
                <w:bCs/>
              </w:rPr>
              <w:t>, Uni</w:t>
            </w:r>
            <w:r w:rsidR="002F5031">
              <w:rPr>
                <w:rFonts w:asciiTheme="majorHAnsi" w:eastAsia="Calibri" w:hAnsiTheme="majorHAnsi" w:cstheme="majorHAnsi"/>
                <w:bCs/>
              </w:rPr>
              <w:t>versity of Tasmania</w:t>
            </w:r>
          </w:p>
          <w:p w14:paraId="63C91D01" w14:textId="1D782703" w:rsidR="00525352" w:rsidRPr="00525352" w:rsidRDefault="00525352" w:rsidP="005F3EA1">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val="en"/>
              </w:rPr>
            </w:pPr>
          </w:p>
        </w:tc>
        <w:tc>
          <w:tcPr>
            <w:tcW w:w="2217" w:type="dxa"/>
          </w:tcPr>
          <w:p w14:paraId="356AA4B4" w14:textId="3F1C311E" w:rsidR="00525352" w:rsidRDefault="00525352" w:rsidP="005F3EA1">
            <w:pPr>
              <w:keepNext/>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TAS</w:t>
            </w:r>
          </w:p>
        </w:tc>
      </w:tr>
      <w:tr w:rsidR="00525352" w14:paraId="476D8C2A" w14:textId="77777777" w:rsidTr="005F3EA1">
        <w:tc>
          <w:tcPr>
            <w:cnfStyle w:val="001000000000" w:firstRow="0" w:lastRow="0" w:firstColumn="1" w:lastColumn="0" w:oddVBand="0" w:evenVBand="0" w:oddHBand="0" w:evenHBand="0" w:firstRowFirstColumn="0" w:firstRowLastColumn="0" w:lastRowFirstColumn="0" w:lastRowLastColumn="0"/>
            <w:tcW w:w="3005" w:type="dxa"/>
          </w:tcPr>
          <w:p w14:paraId="1539C68B" w14:textId="77777777" w:rsidR="00A74A5E" w:rsidRDefault="00A74A5E" w:rsidP="005F3EA1">
            <w:pPr>
              <w:keepNext/>
              <w:spacing w:before="40" w:after="40"/>
              <w:rPr>
                <w:rFonts w:asciiTheme="majorHAnsi" w:eastAsia="Calibri" w:hAnsiTheme="majorHAnsi" w:cstheme="majorHAnsi"/>
                <w:b/>
                <w:bCs/>
              </w:rPr>
            </w:pPr>
          </w:p>
          <w:p w14:paraId="06241059" w14:textId="71B05856" w:rsidR="00525352" w:rsidRDefault="005F3EA1" w:rsidP="005F3EA1">
            <w:pPr>
              <w:keepNext/>
              <w:spacing w:before="40" w:after="40"/>
              <w:rPr>
                <w:rFonts w:asciiTheme="majorHAnsi" w:eastAsia="Calibri" w:hAnsiTheme="majorHAnsi" w:cstheme="majorHAnsi"/>
                <w:b/>
                <w:bCs/>
              </w:rPr>
            </w:pPr>
            <w:r>
              <w:rPr>
                <w:rFonts w:asciiTheme="majorHAnsi" w:eastAsia="Calibri" w:hAnsiTheme="majorHAnsi" w:cstheme="majorHAnsi"/>
                <w:b/>
                <w:bCs/>
              </w:rPr>
              <w:t xml:space="preserve">Ms </w:t>
            </w:r>
            <w:r w:rsidR="008C5DD7" w:rsidRPr="00AE4693">
              <w:rPr>
                <w:rFonts w:asciiTheme="majorHAnsi" w:eastAsia="Calibri" w:hAnsiTheme="majorHAnsi" w:cstheme="majorHAnsi"/>
                <w:b/>
                <w:bCs/>
              </w:rPr>
              <w:t>Leeann Mick-Ramsay</w:t>
            </w:r>
          </w:p>
          <w:p w14:paraId="2058DB08" w14:textId="36701D62" w:rsidR="00525352" w:rsidRPr="00525352" w:rsidRDefault="00525352" w:rsidP="005F3EA1">
            <w:pPr>
              <w:keepNext/>
              <w:spacing w:before="40" w:after="40"/>
              <w:rPr>
                <w:rFonts w:asciiTheme="majorHAnsi" w:eastAsia="Calibri" w:hAnsiTheme="majorHAnsi" w:cstheme="majorHAnsi"/>
                <w:b/>
                <w:bCs/>
              </w:rPr>
            </w:pPr>
          </w:p>
        </w:tc>
        <w:tc>
          <w:tcPr>
            <w:tcW w:w="3794" w:type="dxa"/>
          </w:tcPr>
          <w:p w14:paraId="0BD775D6" w14:textId="4561E018" w:rsidR="00525352" w:rsidRPr="00525352" w:rsidRDefault="00314419" w:rsidP="005F3EA1">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rPr>
            </w:pPr>
            <w:r>
              <w:rPr>
                <w:rFonts w:asciiTheme="majorHAnsi" w:eastAsia="Calibri" w:hAnsiTheme="majorHAnsi" w:cstheme="majorHAnsi"/>
                <w:bCs/>
              </w:rPr>
              <w:t xml:space="preserve">CEO - </w:t>
            </w:r>
            <w:r w:rsidR="004066FE">
              <w:rPr>
                <w:rFonts w:asciiTheme="majorHAnsi" w:eastAsia="Calibri" w:hAnsiTheme="majorHAnsi" w:cstheme="majorHAnsi"/>
                <w:bCs/>
              </w:rPr>
              <w:t>Aboriginal Peak Organisations NT (APONT)</w:t>
            </w:r>
          </w:p>
        </w:tc>
        <w:tc>
          <w:tcPr>
            <w:tcW w:w="2217" w:type="dxa"/>
          </w:tcPr>
          <w:p w14:paraId="63D0417F" w14:textId="707F2DB3" w:rsidR="00525352" w:rsidRDefault="000F4A6D" w:rsidP="005F3EA1">
            <w:pPr>
              <w:keepNext/>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NT</w:t>
            </w:r>
          </w:p>
        </w:tc>
      </w:tr>
    </w:tbl>
    <w:p w14:paraId="49D94A16" w14:textId="155D66BA" w:rsidR="00A56FC7" w:rsidRPr="00A56FC7" w:rsidRDefault="00525352" w:rsidP="002D7ADE">
      <w:pPr>
        <w:tabs>
          <w:tab w:val="left" w:pos="3105"/>
        </w:tabs>
      </w:pPr>
      <w:r>
        <w:tab/>
      </w:r>
    </w:p>
    <w:sectPr w:rsidR="00A56FC7" w:rsidRPr="00A56FC7" w:rsidSect="005C550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13036" w14:textId="77777777" w:rsidR="005C5504" w:rsidRDefault="005C5504" w:rsidP="0051352E">
      <w:pPr>
        <w:spacing w:after="0" w:line="240" w:lineRule="auto"/>
      </w:pPr>
      <w:r>
        <w:separator/>
      </w:r>
    </w:p>
  </w:endnote>
  <w:endnote w:type="continuationSeparator" w:id="0">
    <w:p w14:paraId="6DA02304" w14:textId="77777777" w:rsidR="005C5504" w:rsidRDefault="005C5504"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0EC2" w14:textId="0BB4BD5E" w:rsidR="00525352" w:rsidRPr="002854A2" w:rsidRDefault="00DF04D6" w:rsidP="002854A2">
    <w:pPr>
      <w:pStyle w:val="Footer"/>
      <w:jc w:val="right"/>
      <w:rPr>
        <w:sz w:val="16"/>
        <w:szCs w:val="16"/>
      </w:rPr>
    </w:pPr>
    <w:r w:rsidRPr="00F32B06">
      <w:rPr>
        <w:sz w:val="16"/>
        <w:szCs w:val="16"/>
      </w:rPr>
      <w:t xml:space="preserve">Last Updated: </w:t>
    </w:r>
    <w:r w:rsidR="00A74A5E">
      <w:rPr>
        <w:sz w:val="16"/>
        <w:szCs w:val="16"/>
      </w:rPr>
      <w:t>7</w:t>
    </w:r>
    <w:r w:rsidR="00C439CB">
      <w:rPr>
        <w:sz w:val="16"/>
        <w:szCs w:val="16"/>
      </w:rPr>
      <w:t xml:space="preserve"> </w:t>
    </w:r>
    <w:r w:rsidR="00A74A5E">
      <w:rPr>
        <w:sz w:val="16"/>
        <w:szCs w:val="16"/>
      </w:rPr>
      <w:t>March</w:t>
    </w:r>
    <w:r w:rsidR="00C439CB">
      <w:rPr>
        <w:sz w:val="16"/>
        <w:szCs w:val="16"/>
      </w:rPr>
      <w:t xml:space="preserve"> 202</w:t>
    </w:r>
    <w:r w:rsidR="00A74A5E">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9DA7" w14:textId="77777777" w:rsidR="005C5504" w:rsidRDefault="005C5504" w:rsidP="0051352E">
      <w:pPr>
        <w:spacing w:after="0" w:line="240" w:lineRule="auto"/>
      </w:pPr>
      <w:r>
        <w:separator/>
      </w:r>
    </w:p>
  </w:footnote>
  <w:footnote w:type="continuationSeparator" w:id="0">
    <w:p w14:paraId="3C6ACEAA" w14:textId="77777777" w:rsidR="005C5504" w:rsidRDefault="005C5504"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B59F" w14:textId="77DBF195" w:rsidR="009F378B" w:rsidRDefault="009F378B">
    <w:pPr>
      <w:pStyle w:val="Header"/>
    </w:pPr>
    <w:r>
      <w:rPr>
        <w:noProof/>
      </w:rPr>
      <mc:AlternateContent>
        <mc:Choice Requires="wps">
          <w:drawing>
            <wp:anchor distT="0" distB="0" distL="0" distR="0" simplePos="0" relativeHeight="251659264" behindDoc="0" locked="0" layoutInCell="1" allowOverlap="1" wp14:anchorId="4BCFE959" wp14:editId="1952A1BB">
              <wp:simplePos x="635" y="635"/>
              <wp:positionH relativeFrom="page">
                <wp:align>center</wp:align>
              </wp:positionH>
              <wp:positionV relativeFrom="page">
                <wp:align>top</wp:align>
              </wp:positionV>
              <wp:extent cx="443865" cy="443865"/>
              <wp:effectExtent l="0" t="0" r="4445" b="14605"/>
              <wp:wrapNone/>
              <wp:docPr id="669699131"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C863BE" w14:textId="41A733FC" w:rsidR="009F378B" w:rsidRPr="009F378B" w:rsidRDefault="009F378B" w:rsidP="009F378B">
                          <w:pPr>
                            <w:spacing w:after="0"/>
                            <w:rPr>
                              <w:rFonts w:ascii="Calibri" w:eastAsia="Calibri" w:hAnsi="Calibri" w:cs="Calibri"/>
                              <w:noProof/>
                              <w:color w:val="000000"/>
                              <w:sz w:val="24"/>
                              <w:szCs w:val="24"/>
                            </w:rPr>
                          </w:pPr>
                          <w:r w:rsidRPr="009F378B">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FE959"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BC863BE" w14:textId="41A733FC" w:rsidR="009F378B" w:rsidRPr="009F378B" w:rsidRDefault="009F378B" w:rsidP="009F378B">
                    <w:pPr>
                      <w:spacing w:after="0"/>
                      <w:rPr>
                        <w:rFonts w:ascii="Calibri" w:eastAsia="Calibri" w:hAnsi="Calibri" w:cs="Calibri"/>
                        <w:noProof/>
                        <w:color w:val="000000"/>
                        <w:sz w:val="24"/>
                        <w:szCs w:val="24"/>
                      </w:rPr>
                    </w:pPr>
                    <w:r w:rsidRPr="009F378B">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8287" w14:textId="05719373" w:rsidR="009F378B" w:rsidRDefault="009F378B">
    <w:pPr>
      <w:pStyle w:val="Header"/>
    </w:pPr>
    <w:r>
      <w:rPr>
        <w:noProof/>
      </w:rPr>
      <mc:AlternateContent>
        <mc:Choice Requires="wps">
          <w:drawing>
            <wp:anchor distT="0" distB="0" distL="0" distR="0" simplePos="0" relativeHeight="251660288" behindDoc="0" locked="0" layoutInCell="1" allowOverlap="1" wp14:anchorId="713262C3" wp14:editId="6DE8A485">
              <wp:simplePos x="635" y="635"/>
              <wp:positionH relativeFrom="page">
                <wp:align>center</wp:align>
              </wp:positionH>
              <wp:positionV relativeFrom="page">
                <wp:align>top</wp:align>
              </wp:positionV>
              <wp:extent cx="443865" cy="443865"/>
              <wp:effectExtent l="0" t="0" r="4445" b="14605"/>
              <wp:wrapNone/>
              <wp:docPr id="554021337"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E9E49B" w14:textId="0CF3C948" w:rsidR="009F378B" w:rsidRPr="009F378B" w:rsidRDefault="009F378B" w:rsidP="009F378B">
                          <w:pPr>
                            <w:spacing w:after="0"/>
                            <w:rPr>
                              <w:rFonts w:ascii="Calibri" w:eastAsia="Calibri" w:hAnsi="Calibri" w:cs="Calibri"/>
                              <w:noProof/>
                              <w:color w:val="000000"/>
                              <w:sz w:val="24"/>
                              <w:szCs w:val="24"/>
                            </w:rPr>
                          </w:pPr>
                          <w:r w:rsidRPr="009F378B">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3262C3"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9E9E49B" w14:textId="0CF3C948" w:rsidR="009F378B" w:rsidRPr="009F378B" w:rsidRDefault="009F378B" w:rsidP="009F378B">
                    <w:pPr>
                      <w:spacing w:after="0"/>
                      <w:rPr>
                        <w:rFonts w:ascii="Calibri" w:eastAsia="Calibri" w:hAnsi="Calibri" w:cs="Calibri"/>
                        <w:noProof/>
                        <w:color w:val="000000"/>
                        <w:sz w:val="24"/>
                        <w:szCs w:val="24"/>
                      </w:rPr>
                    </w:pPr>
                    <w:r w:rsidRPr="009F378B">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3077" w14:textId="5EDBC602" w:rsidR="009F378B" w:rsidRDefault="009F378B">
    <w:pPr>
      <w:pStyle w:val="Header"/>
    </w:pPr>
    <w:r>
      <w:rPr>
        <w:noProof/>
      </w:rPr>
      <mc:AlternateContent>
        <mc:Choice Requires="wps">
          <w:drawing>
            <wp:anchor distT="0" distB="0" distL="0" distR="0" simplePos="0" relativeHeight="251658240" behindDoc="0" locked="0" layoutInCell="1" allowOverlap="1" wp14:anchorId="3048256D" wp14:editId="6D8B3818">
              <wp:simplePos x="635" y="635"/>
              <wp:positionH relativeFrom="page">
                <wp:align>center</wp:align>
              </wp:positionH>
              <wp:positionV relativeFrom="page">
                <wp:align>top</wp:align>
              </wp:positionV>
              <wp:extent cx="443865" cy="443865"/>
              <wp:effectExtent l="0" t="0" r="4445" b="14605"/>
              <wp:wrapNone/>
              <wp:docPr id="1635964210"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3C680E" w14:textId="5170BA1A" w:rsidR="009F378B" w:rsidRPr="009F378B" w:rsidRDefault="009F378B" w:rsidP="009F378B">
                          <w:pPr>
                            <w:spacing w:after="0"/>
                            <w:rPr>
                              <w:rFonts w:ascii="Calibri" w:eastAsia="Calibri" w:hAnsi="Calibri" w:cs="Calibri"/>
                              <w:noProof/>
                              <w:color w:val="000000"/>
                              <w:sz w:val="24"/>
                              <w:szCs w:val="24"/>
                            </w:rPr>
                          </w:pPr>
                          <w:r w:rsidRPr="009F378B">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48256D"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D3C680E" w14:textId="5170BA1A" w:rsidR="009F378B" w:rsidRPr="009F378B" w:rsidRDefault="009F378B" w:rsidP="009F378B">
                    <w:pPr>
                      <w:spacing w:after="0"/>
                      <w:rPr>
                        <w:rFonts w:ascii="Calibri" w:eastAsia="Calibri" w:hAnsi="Calibri" w:cs="Calibri"/>
                        <w:noProof/>
                        <w:color w:val="000000"/>
                        <w:sz w:val="24"/>
                        <w:szCs w:val="24"/>
                      </w:rPr>
                    </w:pPr>
                    <w:r w:rsidRPr="009F378B">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4968846">
    <w:abstractNumId w:val="9"/>
  </w:num>
  <w:num w:numId="2" w16cid:durableId="344207673">
    <w:abstractNumId w:val="7"/>
  </w:num>
  <w:num w:numId="3" w16cid:durableId="713386494">
    <w:abstractNumId w:val="6"/>
  </w:num>
  <w:num w:numId="4" w16cid:durableId="661399254">
    <w:abstractNumId w:val="5"/>
  </w:num>
  <w:num w:numId="5" w16cid:durableId="1351103183">
    <w:abstractNumId w:val="4"/>
  </w:num>
  <w:num w:numId="6" w16cid:durableId="283655031">
    <w:abstractNumId w:val="8"/>
  </w:num>
  <w:num w:numId="7" w16cid:durableId="48235736">
    <w:abstractNumId w:val="3"/>
  </w:num>
  <w:num w:numId="8" w16cid:durableId="574122373">
    <w:abstractNumId w:val="2"/>
  </w:num>
  <w:num w:numId="9" w16cid:durableId="1279215221">
    <w:abstractNumId w:val="1"/>
  </w:num>
  <w:num w:numId="10" w16cid:durableId="153109927">
    <w:abstractNumId w:val="0"/>
  </w:num>
  <w:num w:numId="11" w16cid:durableId="202789722">
    <w:abstractNumId w:val="10"/>
  </w:num>
  <w:num w:numId="12" w16cid:durableId="451940522">
    <w:abstractNumId w:val="11"/>
  </w:num>
  <w:num w:numId="13" w16cid:durableId="1006981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52"/>
    <w:rsid w:val="00001C91"/>
    <w:rsid w:val="00052BBC"/>
    <w:rsid w:val="000554DB"/>
    <w:rsid w:val="00074D64"/>
    <w:rsid w:val="000A453D"/>
    <w:rsid w:val="000F4A6D"/>
    <w:rsid w:val="0012130F"/>
    <w:rsid w:val="00157F35"/>
    <w:rsid w:val="00184A0C"/>
    <w:rsid w:val="001C72D7"/>
    <w:rsid w:val="00217EAB"/>
    <w:rsid w:val="0022498C"/>
    <w:rsid w:val="00232348"/>
    <w:rsid w:val="00242DF2"/>
    <w:rsid w:val="002607BF"/>
    <w:rsid w:val="002724D0"/>
    <w:rsid w:val="00276D05"/>
    <w:rsid w:val="002854A2"/>
    <w:rsid w:val="002A41C6"/>
    <w:rsid w:val="002A7840"/>
    <w:rsid w:val="002B1CE5"/>
    <w:rsid w:val="002D7ADE"/>
    <w:rsid w:val="002F4DB3"/>
    <w:rsid w:val="002F5031"/>
    <w:rsid w:val="00314419"/>
    <w:rsid w:val="00324089"/>
    <w:rsid w:val="00350FFA"/>
    <w:rsid w:val="00373B73"/>
    <w:rsid w:val="00382F07"/>
    <w:rsid w:val="003A2CFA"/>
    <w:rsid w:val="004066FE"/>
    <w:rsid w:val="00414677"/>
    <w:rsid w:val="00453C04"/>
    <w:rsid w:val="00497764"/>
    <w:rsid w:val="0051352E"/>
    <w:rsid w:val="00517DA7"/>
    <w:rsid w:val="00520A33"/>
    <w:rsid w:val="00525352"/>
    <w:rsid w:val="00527AE4"/>
    <w:rsid w:val="0055569D"/>
    <w:rsid w:val="00582944"/>
    <w:rsid w:val="005C5504"/>
    <w:rsid w:val="005D7CE7"/>
    <w:rsid w:val="005F3EA1"/>
    <w:rsid w:val="00610A38"/>
    <w:rsid w:val="00630DDF"/>
    <w:rsid w:val="00651A38"/>
    <w:rsid w:val="00672F37"/>
    <w:rsid w:val="00677781"/>
    <w:rsid w:val="006E5D6E"/>
    <w:rsid w:val="00721B03"/>
    <w:rsid w:val="00756D37"/>
    <w:rsid w:val="007570DC"/>
    <w:rsid w:val="007B1ABA"/>
    <w:rsid w:val="007B74C5"/>
    <w:rsid w:val="008004FE"/>
    <w:rsid w:val="00824610"/>
    <w:rsid w:val="008365E9"/>
    <w:rsid w:val="008507C1"/>
    <w:rsid w:val="00861934"/>
    <w:rsid w:val="008859C0"/>
    <w:rsid w:val="008868BA"/>
    <w:rsid w:val="008C5DD7"/>
    <w:rsid w:val="008F0AC9"/>
    <w:rsid w:val="0093473D"/>
    <w:rsid w:val="00944ECC"/>
    <w:rsid w:val="00954DDE"/>
    <w:rsid w:val="00972F57"/>
    <w:rsid w:val="00995280"/>
    <w:rsid w:val="009F378B"/>
    <w:rsid w:val="00A24E6E"/>
    <w:rsid w:val="00A43694"/>
    <w:rsid w:val="00A56FC7"/>
    <w:rsid w:val="00A668BF"/>
    <w:rsid w:val="00A72575"/>
    <w:rsid w:val="00A74071"/>
    <w:rsid w:val="00A74A5E"/>
    <w:rsid w:val="00A754E4"/>
    <w:rsid w:val="00A75AD3"/>
    <w:rsid w:val="00AA124A"/>
    <w:rsid w:val="00AA2A96"/>
    <w:rsid w:val="00AD4B68"/>
    <w:rsid w:val="00AE4693"/>
    <w:rsid w:val="00B01C9D"/>
    <w:rsid w:val="00B100CC"/>
    <w:rsid w:val="00B6689D"/>
    <w:rsid w:val="00B72368"/>
    <w:rsid w:val="00BF0B13"/>
    <w:rsid w:val="00BF415C"/>
    <w:rsid w:val="00C14887"/>
    <w:rsid w:val="00C439CB"/>
    <w:rsid w:val="00C54D58"/>
    <w:rsid w:val="00C573E1"/>
    <w:rsid w:val="00C60222"/>
    <w:rsid w:val="00C736D3"/>
    <w:rsid w:val="00C95DF6"/>
    <w:rsid w:val="00CB2743"/>
    <w:rsid w:val="00D47B20"/>
    <w:rsid w:val="00DA1B7B"/>
    <w:rsid w:val="00DB79DF"/>
    <w:rsid w:val="00DF04D6"/>
    <w:rsid w:val="00DF0674"/>
    <w:rsid w:val="00E70DB0"/>
    <w:rsid w:val="00EA32F7"/>
    <w:rsid w:val="00EB630C"/>
    <w:rsid w:val="00EF3892"/>
    <w:rsid w:val="00F230CD"/>
    <w:rsid w:val="00F51C18"/>
    <w:rsid w:val="00FA31E2"/>
    <w:rsid w:val="00FF5B70"/>
    <w:rsid w:val="00FF5BB9"/>
    <w:rsid w:val="7065F89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CC0C32"/>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table" w:customStyle="1" w:styleId="TableGrid1">
    <w:name w:val="Table Grid1"/>
    <w:basedOn w:val="TableNormal"/>
    <w:uiPriority w:val="59"/>
    <w:rsid w:val="005253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5352"/>
    <w:rPr>
      <w:color w:val="605E5C"/>
      <w:shd w:val="clear" w:color="auto" w:fill="E1DFDD"/>
    </w:rPr>
  </w:style>
  <w:style w:type="paragraph" w:styleId="Revision">
    <w:name w:val="Revision"/>
    <w:hidden/>
    <w:uiPriority w:val="99"/>
    <w:semiHidden/>
    <w:rsid w:val="00672F37"/>
    <w:pPr>
      <w:spacing w:after="0" w:line="240" w:lineRule="auto"/>
    </w:pPr>
  </w:style>
  <w:style w:type="character" w:customStyle="1" w:styleId="ui-provider">
    <w:name w:val="ui-provider"/>
    <w:basedOn w:val="DefaultParagraphFont"/>
    <w:rsid w:val="008C5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38976">
      <w:bodyDiv w:val="1"/>
      <w:marLeft w:val="0"/>
      <w:marRight w:val="0"/>
      <w:marTop w:val="0"/>
      <w:marBottom w:val="0"/>
      <w:divBdr>
        <w:top w:val="none" w:sz="0" w:space="0" w:color="auto"/>
        <w:left w:val="none" w:sz="0" w:space="0" w:color="auto"/>
        <w:bottom w:val="none" w:sz="0" w:space="0" w:color="auto"/>
        <w:right w:val="none" w:sz="0" w:space="0" w:color="auto"/>
      </w:divBdr>
    </w:div>
    <w:div w:id="97933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aaetcc.edu.au/" TargetMode="External"/><Relationship Id="rId3" Type="http://schemas.openxmlformats.org/officeDocument/2006/relationships/customXml" Target="../customXml/item3.xml"/><Relationship Id="rId21" Type="http://schemas.openxmlformats.org/officeDocument/2006/relationships/hyperlink" Target="https://www.aecg.nsw.edu.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aecg.nsw.edu.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vaeai.org.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lcf76f155ced4ddcb4097134ff3c332f xmlns="3d385984-9344-419b-a80b-49c06a2bdab8">
      <Terms xmlns="http://schemas.microsoft.com/office/infopath/2007/PartnerControls"/>
    </lcf76f155ced4ddcb4097134ff3c332f>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MPWT-2140667901-61425</_dlc_DocId>
    <_dlc_DocIdUrl xmlns="20393cdf-440a-4521-8f19-00ba43423d00">
      <Url>https://pcgov.sharepoint.com/sites/sceteam/_layouts/15/DocIdRedir.aspx?ID=MPWT-2140667901-61425</Url>
      <Description>MPWT-2140667901-61425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91ef4eebd3fcc5a609c96b13f9fedb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2164176763a1afe25f37df6f961fb87"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FAF93C53-BD58-4FA4-AEE4-1E97CCF45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94B167-C089-4F95-81CE-1E64BE5AD1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309 - Attachment: About the IECM - National Indigenous Education Consultative Meeting (IECM) – Members - Early Childhood Education and Care - Public inquiry</vt:lpstr>
    </vt:vector>
  </TitlesOfParts>
  <Manager/>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309 - Attachment: About the IECM - National Indigenous Education Consultative Meeting (IECM) – Members - Early Childhood Education and Care - Public inquiry</dc:title>
  <dc:subject/>
  <dc:creator/>
  <cp:keywords/>
  <dc:description/>
  <cp:lastModifiedBy/>
  <cp:revision>1</cp:revision>
  <dcterms:created xsi:type="dcterms:W3CDTF">2024-03-08T05:33:00Z</dcterms:created>
  <dcterms:modified xsi:type="dcterms:W3CDTF">2024-03-11T23:51:00Z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2022-06-08T03:36:29Z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9b39c43d-c902-4343-93c2-235b26e5e72e</vt:lpwstr>
  </property>
  <property fmtid="{D5CDD505-2E9C-101B-9397-08002B2CF9AE}" pid="12" name="MSIP_Label_79d889eb-932f-4752-8739-64d25806ef64_ContentBits">
    <vt:lpwstr>0</vt:lpwstr>
  </property>
  <property fmtid="{D5CDD505-2E9C-101B-9397-08002B2CF9AE}" pid="13" name="MediaServiceImageTags">
    <vt:lpwstr/>
  </property>
  <property fmtid="{D5CDD505-2E9C-101B-9397-08002B2CF9AE}" pid="14" name="ClassificationContentMarkingHeaderShapeIds">
    <vt:lpwstr>6182d532,27eacc3b,2105b1d9</vt:lpwstr>
  </property>
  <property fmtid="{D5CDD505-2E9C-101B-9397-08002B2CF9AE}" pid="15" name="ClassificationContentMarkingHeaderFontProps">
    <vt:lpwstr>#000000,12,Calibri</vt:lpwstr>
  </property>
  <property fmtid="{D5CDD505-2E9C-101B-9397-08002B2CF9AE}" pid="16" name="ClassificationContentMarkingHeaderText">
    <vt:lpwstr> OFFICIAL</vt:lpwstr>
  </property>
  <property fmtid="{D5CDD505-2E9C-101B-9397-08002B2CF9AE}" pid="17" name="MSIP_Label_f7467c1a-e0ed-413c-a72b-aac8e8e94f41_Enabled">
    <vt:lpwstr>true</vt:lpwstr>
  </property>
  <property fmtid="{D5CDD505-2E9C-101B-9397-08002B2CF9AE}" pid="18" name="MSIP_Label_f7467c1a-e0ed-413c-a72b-aac8e8e94f41_SetDate">
    <vt:lpwstr>2024-03-08T05:33:10Z</vt:lpwstr>
  </property>
  <property fmtid="{D5CDD505-2E9C-101B-9397-08002B2CF9AE}" pid="19" name="MSIP_Label_f7467c1a-e0ed-413c-a72b-aac8e8e94f41_Method">
    <vt:lpwstr>Privileged</vt:lpwstr>
  </property>
  <property fmtid="{D5CDD505-2E9C-101B-9397-08002B2CF9AE}" pid="20" name="MSIP_Label_f7467c1a-e0ed-413c-a72b-aac8e8e94f41_Name">
    <vt:lpwstr>OFFICIAL</vt:lpwstr>
  </property>
  <property fmtid="{D5CDD505-2E9C-101B-9397-08002B2CF9AE}" pid="21" name="MSIP_Label_f7467c1a-e0ed-413c-a72b-aac8e8e94f41_SiteId">
    <vt:lpwstr>29f9330b-c0fe-4244-830e-ba9f275d6c34</vt:lpwstr>
  </property>
  <property fmtid="{D5CDD505-2E9C-101B-9397-08002B2CF9AE}" pid="22" name="MSIP_Label_f7467c1a-e0ed-413c-a72b-aac8e8e94f41_ActionId">
    <vt:lpwstr>9a209d98-af2f-4968-9957-4d5830572147</vt:lpwstr>
  </property>
  <property fmtid="{D5CDD505-2E9C-101B-9397-08002B2CF9AE}" pid="23" name="MSIP_Label_f7467c1a-e0ed-413c-a72b-aac8e8e94f41_ContentBits">
    <vt:lpwstr>1</vt:lpwstr>
  </property>
  <property fmtid="{D5CDD505-2E9C-101B-9397-08002B2CF9AE}" pid="25" name="RevIMBCS">
    <vt:lpwstr>1;#Unclassified|3955eeb1-2d18-4582-aeb2-00144ec3aaf5</vt:lpwstr>
  </property>
  <property fmtid="{D5CDD505-2E9C-101B-9397-08002B2CF9AE}" pid="26" name="_dlc_DocIdItemGuid">
    <vt:lpwstr>8b9bca46-4265-4bee-a80e-ed43f5b64e2b</vt:lpwstr>
  </property>
</Properties>
</file>