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43573" w14:textId="74555EC8" w:rsidR="00B77C6C" w:rsidRPr="00B77C6C" w:rsidRDefault="00B77C6C" w:rsidP="00B77C6C">
      <w:pPr>
        <w:pStyle w:val="TOCHeading"/>
        <w:rPr>
          <w:rFonts w:ascii="Times New Roman" w:hAnsi="Times New Roman" w:cs="Times New Roman"/>
        </w:rPr>
      </w:pPr>
      <w:r>
        <w:rPr>
          <w:rFonts w:ascii="Times New Roman" w:hAnsi="Times New Roman" w:cs="Times New Roman"/>
        </w:rPr>
        <w:t>Overview</w:t>
      </w:r>
    </w:p>
    <w:p w14:paraId="48670E07" w14:textId="5BC2DF9E" w:rsidR="00653E7D" w:rsidRDefault="00653E7D" w:rsidP="00B77C6C">
      <w:pPr>
        <w:tabs>
          <w:tab w:val="left" w:pos="426"/>
          <w:tab w:val="left" w:pos="4537"/>
          <w:tab w:val="left" w:pos="4962"/>
        </w:tabs>
        <w:spacing w:before="360" w:after="120"/>
        <w:ind w:right="34"/>
        <w:jc w:val="both"/>
        <w:rPr>
          <w:lang w:val="en-AU"/>
        </w:rPr>
      </w:pPr>
      <w:r w:rsidRPr="00653E7D">
        <w:rPr>
          <w:lang w:val="en-AU"/>
        </w:rPr>
        <w:t>This submission focuses on one particular issue arising from the Productivity Commission’s Draft Report released on 4 August 2015</w:t>
      </w:r>
      <w:r>
        <w:rPr>
          <w:lang w:val="en-AU"/>
        </w:rPr>
        <w:t xml:space="preserve">: section 21 </w:t>
      </w:r>
      <w:r w:rsidR="000369DF">
        <w:rPr>
          <w:lang w:val="en-AU"/>
        </w:rPr>
        <w:t>(Migration Workers) and recommendation 21.1:</w:t>
      </w:r>
      <w:bookmarkStart w:id="0" w:name="_GoBack"/>
      <w:bookmarkEnd w:id="0"/>
    </w:p>
    <w:p w14:paraId="34921137" w14:textId="77777777" w:rsidR="00653E7D" w:rsidRDefault="00653E7D" w:rsidP="00B77C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AU"/>
        </w:rPr>
      </w:pPr>
    </w:p>
    <w:p w14:paraId="62AB2952" w14:textId="77777777" w:rsidR="00653E7D" w:rsidRPr="00653E7D" w:rsidRDefault="00653E7D" w:rsidP="00B77C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sz w:val="22"/>
        </w:rPr>
      </w:pPr>
      <w:r w:rsidRPr="00653E7D">
        <w:rPr>
          <w:sz w:val="22"/>
        </w:rPr>
        <w:t xml:space="preserve">The Fair Work Ombudsman should be given additional resources for investigation and audits of employers suspected of underpaying migrant workers (including those in breach of the </w:t>
      </w:r>
      <w:r w:rsidRPr="00653E7D">
        <w:rPr>
          <w:i/>
          <w:iCs/>
          <w:sz w:val="22"/>
        </w:rPr>
        <w:t xml:space="preserve">Migration Act 1958 </w:t>
      </w:r>
      <w:r w:rsidRPr="00653E7D">
        <w:rPr>
          <w:sz w:val="22"/>
        </w:rPr>
        <w:t>(Cth)).</w:t>
      </w:r>
    </w:p>
    <w:p w14:paraId="5B5D0D6C" w14:textId="77777777" w:rsidR="00653E7D" w:rsidRPr="00653E7D" w:rsidRDefault="00653E7D" w:rsidP="00B77C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20" w:hanging="960"/>
        <w:jc w:val="both"/>
        <w:rPr>
          <w:sz w:val="22"/>
        </w:rPr>
      </w:pPr>
      <w:r w:rsidRPr="00653E7D">
        <w:rPr>
          <w:sz w:val="22"/>
        </w:rPr>
        <w:t> </w:t>
      </w:r>
    </w:p>
    <w:p w14:paraId="1BD8D1E3" w14:textId="77777777" w:rsidR="00653E7D" w:rsidRDefault="00653E7D" w:rsidP="00B77C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sz w:val="22"/>
        </w:rPr>
      </w:pPr>
      <w:r w:rsidRPr="00653E7D">
        <w:rPr>
          <w:sz w:val="22"/>
        </w:rPr>
        <w:t>The Migration Act should be amended so that employers can be fined by at least the value of any unpaid wages and conditions to migrants working in breach of the Migration Act, in addition to the existing penalties under the Act.</w:t>
      </w:r>
    </w:p>
    <w:p w14:paraId="1FC8CD3D" w14:textId="77777777" w:rsidR="00B77C6C" w:rsidRDefault="00B77C6C" w:rsidP="00B77C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sz w:val="22"/>
        </w:rPr>
      </w:pPr>
    </w:p>
    <w:p w14:paraId="757664F0" w14:textId="77777777" w:rsidR="00B77C6C" w:rsidRDefault="00B77C6C" w:rsidP="00B77C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sdt>
      <w:sdtPr>
        <w:rPr>
          <w:rFonts w:ascii="Times New Roman" w:eastAsia="Arial Unicode MS" w:hAnsi="Times New Roman" w:cs="Times New Roman"/>
          <w:b w:val="0"/>
          <w:bCs w:val="0"/>
          <w:color w:val="auto"/>
          <w:sz w:val="24"/>
          <w:szCs w:val="24"/>
          <w:bdr w:val="nil"/>
        </w:rPr>
        <w:id w:val="-1340304337"/>
        <w:docPartObj>
          <w:docPartGallery w:val="Table of Contents"/>
          <w:docPartUnique/>
        </w:docPartObj>
      </w:sdtPr>
      <w:sdtEndPr>
        <w:rPr>
          <w:noProof/>
        </w:rPr>
      </w:sdtEndPr>
      <w:sdtContent>
        <w:p w14:paraId="4F1B4B43" w14:textId="76706C3E" w:rsidR="00B77C6C" w:rsidRPr="00B77C6C" w:rsidRDefault="00B77C6C">
          <w:pPr>
            <w:pStyle w:val="TOCHeading"/>
            <w:rPr>
              <w:rFonts w:ascii="Times New Roman" w:hAnsi="Times New Roman" w:cs="Times New Roman"/>
            </w:rPr>
          </w:pPr>
          <w:r w:rsidRPr="00B77C6C">
            <w:rPr>
              <w:rFonts w:ascii="Times New Roman" w:hAnsi="Times New Roman" w:cs="Times New Roman"/>
            </w:rPr>
            <w:t>Contents</w:t>
          </w:r>
        </w:p>
        <w:p w14:paraId="53BA99E0" w14:textId="77777777" w:rsidR="00B77C6C" w:rsidRDefault="00B77C6C" w:rsidP="00B77C6C">
          <w:pPr>
            <w:pStyle w:val="TOC1"/>
            <w:tabs>
              <w:tab w:val="left" w:pos="360"/>
              <w:tab w:val="right" w:leader="dot" w:pos="8290"/>
            </w:tabs>
            <w:spacing w:line="360" w:lineRule="auto"/>
            <w:rPr>
              <w:rFonts w:eastAsiaTheme="minorEastAsia" w:cstheme="minorBidi"/>
              <w:b w:val="0"/>
              <w:noProof/>
              <w:bdr w:val="none" w:sz="0" w:space="0" w:color="auto"/>
              <w:lang w:eastAsia="ja-JP"/>
            </w:rPr>
          </w:pPr>
          <w:r>
            <w:rPr>
              <w:b w:val="0"/>
            </w:rPr>
            <w:fldChar w:fldCharType="begin"/>
          </w:r>
          <w:r>
            <w:instrText xml:space="preserve"> TOC \o "1-3" \h \z \u </w:instrText>
          </w:r>
          <w:r>
            <w:rPr>
              <w:b w:val="0"/>
            </w:rPr>
            <w:fldChar w:fldCharType="separate"/>
          </w:r>
          <w:r w:rsidRPr="00DE4963">
            <w:rPr>
              <w:rFonts w:ascii="Times New Roman" w:hAnsi="Times New Roman"/>
              <w:noProof/>
              <w:lang w:val="en-AU"/>
            </w:rPr>
            <w:t>1</w:t>
          </w:r>
          <w:r>
            <w:rPr>
              <w:rFonts w:eastAsiaTheme="minorEastAsia" w:cstheme="minorBidi"/>
              <w:b w:val="0"/>
              <w:noProof/>
              <w:bdr w:val="none" w:sz="0" w:space="0" w:color="auto"/>
              <w:lang w:eastAsia="ja-JP"/>
            </w:rPr>
            <w:tab/>
          </w:r>
          <w:r w:rsidRPr="00DE4963">
            <w:rPr>
              <w:rFonts w:ascii="Times New Roman" w:hAnsi="Times New Roman"/>
              <w:noProof/>
              <w:lang w:val="en-AU"/>
            </w:rPr>
            <w:t>Introduction</w:t>
          </w:r>
          <w:r>
            <w:rPr>
              <w:noProof/>
            </w:rPr>
            <w:tab/>
          </w:r>
          <w:r>
            <w:rPr>
              <w:noProof/>
            </w:rPr>
            <w:fldChar w:fldCharType="begin"/>
          </w:r>
          <w:r>
            <w:rPr>
              <w:noProof/>
            </w:rPr>
            <w:instrText xml:space="preserve"> PAGEREF _Toc304710273 \h </w:instrText>
          </w:r>
          <w:r>
            <w:rPr>
              <w:noProof/>
            </w:rPr>
          </w:r>
          <w:r>
            <w:rPr>
              <w:noProof/>
            </w:rPr>
            <w:fldChar w:fldCharType="separate"/>
          </w:r>
          <w:r w:rsidR="00A022E7">
            <w:rPr>
              <w:noProof/>
            </w:rPr>
            <w:t>2</w:t>
          </w:r>
          <w:r>
            <w:rPr>
              <w:noProof/>
            </w:rPr>
            <w:fldChar w:fldCharType="end"/>
          </w:r>
        </w:p>
        <w:p w14:paraId="38AE17BE" w14:textId="77777777" w:rsidR="00B77C6C" w:rsidRDefault="00B77C6C" w:rsidP="00B77C6C">
          <w:pPr>
            <w:pStyle w:val="TOC2"/>
            <w:rPr>
              <w:rFonts w:eastAsiaTheme="minorEastAsia" w:cstheme="minorBidi"/>
              <w:b/>
              <w:sz w:val="24"/>
              <w:szCs w:val="24"/>
              <w:bdr w:val="none" w:sz="0" w:space="0" w:color="auto"/>
              <w:lang w:eastAsia="ja-JP"/>
            </w:rPr>
          </w:pPr>
          <w:r w:rsidRPr="00DE4963">
            <w:t>1.1</w:t>
          </w:r>
          <w:r>
            <w:rPr>
              <w:rFonts w:eastAsiaTheme="minorEastAsia" w:cstheme="minorBidi"/>
              <w:b/>
              <w:sz w:val="24"/>
              <w:szCs w:val="24"/>
              <w:bdr w:val="none" w:sz="0" w:space="0" w:color="auto"/>
              <w:lang w:eastAsia="ja-JP"/>
            </w:rPr>
            <w:tab/>
          </w:r>
          <w:r w:rsidRPr="00DE4963">
            <w:t>The situation of unauthorised migrant workers and the draft recommendation</w:t>
          </w:r>
          <w:r>
            <w:tab/>
          </w:r>
          <w:r>
            <w:fldChar w:fldCharType="begin"/>
          </w:r>
          <w:r>
            <w:instrText xml:space="preserve"> PAGEREF _Toc304710274 \h </w:instrText>
          </w:r>
          <w:r>
            <w:fldChar w:fldCharType="separate"/>
          </w:r>
          <w:r w:rsidR="00A022E7">
            <w:t>2</w:t>
          </w:r>
          <w:r>
            <w:fldChar w:fldCharType="end"/>
          </w:r>
        </w:p>
        <w:p w14:paraId="09D1A70C" w14:textId="77777777" w:rsidR="00B77C6C" w:rsidRDefault="00B77C6C" w:rsidP="00B77C6C">
          <w:pPr>
            <w:pStyle w:val="TOC1"/>
            <w:tabs>
              <w:tab w:val="left" w:pos="360"/>
              <w:tab w:val="right" w:leader="dot" w:pos="8290"/>
            </w:tabs>
            <w:spacing w:line="360" w:lineRule="auto"/>
            <w:rPr>
              <w:rFonts w:eastAsiaTheme="minorEastAsia" w:cstheme="minorBidi"/>
              <w:b w:val="0"/>
              <w:noProof/>
              <w:bdr w:val="none" w:sz="0" w:space="0" w:color="auto"/>
              <w:lang w:eastAsia="ja-JP"/>
            </w:rPr>
          </w:pPr>
          <w:r w:rsidRPr="00DE4963">
            <w:rPr>
              <w:rFonts w:ascii="Times New Roman" w:hAnsi="Times New Roman"/>
              <w:noProof/>
              <w:lang w:val="en-AU"/>
            </w:rPr>
            <w:t>2</w:t>
          </w:r>
          <w:r>
            <w:rPr>
              <w:rFonts w:eastAsiaTheme="minorEastAsia" w:cstheme="minorBidi"/>
              <w:b w:val="0"/>
              <w:noProof/>
              <w:bdr w:val="none" w:sz="0" w:space="0" w:color="auto"/>
              <w:lang w:eastAsia="ja-JP"/>
            </w:rPr>
            <w:tab/>
          </w:r>
          <w:r w:rsidRPr="00DE4963">
            <w:rPr>
              <w:rFonts w:ascii="Times New Roman" w:hAnsi="Times New Roman"/>
              <w:noProof/>
              <w:lang w:val="en-AU"/>
            </w:rPr>
            <w:t>Australia’s current position and the need for change</w:t>
          </w:r>
          <w:r>
            <w:rPr>
              <w:noProof/>
            </w:rPr>
            <w:tab/>
          </w:r>
          <w:r>
            <w:rPr>
              <w:noProof/>
            </w:rPr>
            <w:fldChar w:fldCharType="begin"/>
          </w:r>
          <w:r>
            <w:rPr>
              <w:noProof/>
            </w:rPr>
            <w:instrText xml:space="preserve"> PAGEREF _Toc304710275 \h </w:instrText>
          </w:r>
          <w:r>
            <w:rPr>
              <w:noProof/>
            </w:rPr>
          </w:r>
          <w:r>
            <w:rPr>
              <w:noProof/>
            </w:rPr>
            <w:fldChar w:fldCharType="separate"/>
          </w:r>
          <w:r w:rsidR="00A022E7">
            <w:rPr>
              <w:noProof/>
            </w:rPr>
            <w:t>3</w:t>
          </w:r>
          <w:r>
            <w:rPr>
              <w:noProof/>
            </w:rPr>
            <w:fldChar w:fldCharType="end"/>
          </w:r>
        </w:p>
        <w:p w14:paraId="4B0234BA" w14:textId="77777777" w:rsidR="00B77C6C" w:rsidRDefault="00B77C6C" w:rsidP="00B77C6C">
          <w:pPr>
            <w:pStyle w:val="TOC2"/>
            <w:rPr>
              <w:rFonts w:eastAsiaTheme="minorEastAsia" w:cstheme="minorBidi"/>
              <w:b/>
              <w:sz w:val="24"/>
              <w:szCs w:val="24"/>
              <w:bdr w:val="none" w:sz="0" w:space="0" w:color="auto"/>
              <w:lang w:eastAsia="ja-JP"/>
            </w:rPr>
          </w:pPr>
          <w:r w:rsidRPr="00DE4963">
            <w:rPr>
              <w:rFonts w:ascii="Times New Roman" w:hAnsi="Times New Roman"/>
            </w:rPr>
            <w:t>2.1</w:t>
          </w:r>
          <w:r>
            <w:rPr>
              <w:rFonts w:eastAsiaTheme="minorEastAsia" w:cstheme="minorBidi"/>
              <w:b/>
              <w:sz w:val="24"/>
              <w:szCs w:val="24"/>
              <w:bdr w:val="none" w:sz="0" w:space="0" w:color="auto"/>
              <w:lang w:eastAsia="ja-JP"/>
            </w:rPr>
            <w:tab/>
          </w:r>
          <w:r w:rsidRPr="00DE4963">
            <w:rPr>
              <w:rFonts w:ascii="Times New Roman" w:hAnsi="Times New Roman"/>
            </w:rPr>
            <w:t>The current direction</w:t>
          </w:r>
          <w:r>
            <w:tab/>
          </w:r>
          <w:r>
            <w:fldChar w:fldCharType="begin"/>
          </w:r>
          <w:r>
            <w:instrText xml:space="preserve"> PAGEREF _Toc304710276 \h </w:instrText>
          </w:r>
          <w:r>
            <w:fldChar w:fldCharType="separate"/>
          </w:r>
          <w:r w:rsidR="00A022E7">
            <w:t>3</w:t>
          </w:r>
          <w:r>
            <w:fldChar w:fldCharType="end"/>
          </w:r>
        </w:p>
        <w:p w14:paraId="2EAD9458" w14:textId="77777777" w:rsidR="00B77C6C" w:rsidRDefault="00B77C6C" w:rsidP="00B77C6C">
          <w:pPr>
            <w:pStyle w:val="TOC2"/>
            <w:rPr>
              <w:rFonts w:eastAsiaTheme="minorEastAsia" w:cstheme="minorBidi"/>
              <w:b/>
              <w:sz w:val="24"/>
              <w:szCs w:val="24"/>
              <w:bdr w:val="none" w:sz="0" w:space="0" w:color="auto"/>
              <w:lang w:eastAsia="ja-JP"/>
            </w:rPr>
          </w:pPr>
          <w:r w:rsidRPr="00DE4963">
            <w:t>2.2</w:t>
          </w:r>
          <w:r>
            <w:rPr>
              <w:rFonts w:eastAsiaTheme="minorEastAsia" w:cstheme="minorBidi"/>
              <w:b/>
              <w:sz w:val="24"/>
              <w:szCs w:val="24"/>
              <w:bdr w:val="none" w:sz="0" w:space="0" w:color="auto"/>
              <w:lang w:eastAsia="ja-JP"/>
            </w:rPr>
            <w:tab/>
          </w:r>
          <w:r w:rsidRPr="00DE4963">
            <w:t>Pinpointing the legal uncertainty</w:t>
          </w:r>
          <w:r>
            <w:tab/>
          </w:r>
          <w:r>
            <w:fldChar w:fldCharType="begin"/>
          </w:r>
          <w:r>
            <w:instrText xml:space="preserve"> PAGEREF _Toc304710277 \h </w:instrText>
          </w:r>
          <w:r>
            <w:fldChar w:fldCharType="separate"/>
          </w:r>
          <w:r w:rsidR="00A022E7">
            <w:t>3</w:t>
          </w:r>
          <w:r>
            <w:fldChar w:fldCharType="end"/>
          </w:r>
        </w:p>
        <w:p w14:paraId="5420C677" w14:textId="77777777" w:rsidR="00B77C6C" w:rsidRDefault="00B77C6C" w:rsidP="00B77C6C">
          <w:pPr>
            <w:pStyle w:val="TOC1"/>
            <w:tabs>
              <w:tab w:val="left" w:pos="360"/>
              <w:tab w:val="right" w:leader="dot" w:pos="8290"/>
            </w:tabs>
            <w:spacing w:line="360" w:lineRule="auto"/>
            <w:rPr>
              <w:rFonts w:eastAsiaTheme="minorEastAsia" w:cstheme="minorBidi"/>
              <w:b w:val="0"/>
              <w:noProof/>
              <w:bdr w:val="none" w:sz="0" w:space="0" w:color="auto"/>
              <w:lang w:eastAsia="ja-JP"/>
            </w:rPr>
          </w:pPr>
          <w:r w:rsidRPr="00DE4963">
            <w:rPr>
              <w:rFonts w:ascii="Times New Roman" w:hAnsi="Times New Roman"/>
              <w:noProof/>
              <w:lang w:val="en-AU"/>
            </w:rPr>
            <w:t>3</w:t>
          </w:r>
          <w:r>
            <w:rPr>
              <w:rFonts w:eastAsiaTheme="minorEastAsia" w:cstheme="minorBidi"/>
              <w:b w:val="0"/>
              <w:noProof/>
              <w:bdr w:val="none" w:sz="0" w:space="0" w:color="auto"/>
              <w:lang w:eastAsia="ja-JP"/>
            </w:rPr>
            <w:tab/>
          </w:r>
          <w:r w:rsidRPr="00DE4963">
            <w:rPr>
              <w:rFonts w:ascii="Times New Roman" w:hAnsi="Times New Roman"/>
              <w:noProof/>
              <w:lang w:val="en-AU"/>
            </w:rPr>
            <w:t>Why protect unauthorised migrant workers’ rights?</w:t>
          </w:r>
          <w:r>
            <w:rPr>
              <w:noProof/>
            </w:rPr>
            <w:tab/>
          </w:r>
          <w:r>
            <w:rPr>
              <w:noProof/>
            </w:rPr>
            <w:fldChar w:fldCharType="begin"/>
          </w:r>
          <w:r>
            <w:rPr>
              <w:noProof/>
            </w:rPr>
            <w:instrText xml:space="preserve"> PAGEREF _Toc304710278 \h </w:instrText>
          </w:r>
          <w:r>
            <w:rPr>
              <w:noProof/>
            </w:rPr>
          </w:r>
          <w:r>
            <w:rPr>
              <w:noProof/>
            </w:rPr>
            <w:fldChar w:fldCharType="separate"/>
          </w:r>
          <w:r w:rsidR="00A022E7">
            <w:rPr>
              <w:noProof/>
            </w:rPr>
            <w:t>4</w:t>
          </w:r>
          <w:r>
            <w:rPr>
              <w:noProof/>
            </w:rPr>
            <w:fldChar w:fldCharType="end"/>
          </w:r>
        </w:p>
        <w:p w14:paraId="086A9C8C" w14:textId="77777777" w:rsidR="00B77C6C" w:rsidRDefault="00B77C6C" w:rsidP="00B77C6C">
          <w:pPr>
            <w:pStyle w:val="TOC2"/>
            <w:rPr>
              <w:rFonts w:eastAsiaTheme="minorEastAsia" w:cstheme="minorBidi"/>
              <w:b/>
              <w:sz w:val="24"/>
              <w:szCs w:val="24"/>
              <w:bdr w:val="none" w:sz="0" w:space="0" w:color="auto"/>
              <w:lang w:eastAsia="ja-JP"/>
            </w:rPr>
          </w:pPr>
          <w:r w:rsidRPr="00DE4963">
            <w:rPr>
              <w:rFonts w:eastAsia="Times New Roman"/>
            </w:rPr>
            <w:t>3.1</w:t>
          </w:r>
          <w:r>
            <w:rPr>
              <w:rFonts w:eastAsiaTheme="minorEastAsia" w:cstheme="minorBidi"/>
              <w:b/>
              <w:sz w:val="24"/>
              <w:szCs w:val="24"/>
              <w:bdr w:val="none" w:sz="0" w:space="0" w:color="auto"/>
              <w:lang w:eastAsia="ja-JP"/>
            </w:rPr>
            <w:tab/>
          </w:r>
          <w:r w:rsidRPr="00DE4963">
            <w:t>Australia’s international obligations and standards for best practice</w:t>
          </w:r>
          <w:r>
            <w:tab/>
          </w:r>
          <w:r>
            <w:fldChar w:fldCharType="begin"/>
          </w:r>
          <w:r>
            <w:instrText xml:space="preserve"> PAGEREF _Toc304710279 \h </w:instrText>
          </w:r>
          <w:r>
            <w:fldChar w:fldCharType="separate"/>
          </w:r>
          <w:r w:rsidR="00A022E7">
            <w:t>4</w:t>
          </w:r>
          <w:r>
            <w:fldChar w:fldCharType="end"/>
          </w:r>
        </w:p>
        <w:p w14:paraId="7D046E1D" w14:textId="77777777" w:rsidR="00B77C6C" w:rsidRDefault="00B77C6C" w:rsidP="00B77C6C">
          <w:pPr>
            <w:pStyle w:val="TOC2"/>
            <w:rPr>
              <w:rFonts w:eastAsiaTheme="minorEastAsia" w:cstheme="minorBidi"/>
              <w:b/>
              <w:sz w:val="24"/>
              <w:szCs w:val="24"/>
              <w:bdr w:val="none" w:sz="0" w:space="0" w:color="auto"/>
              <w:lang w:eastAsia="ja-JP"/>
            </w:rPr>
          </w:pPr>
          <w:r w:rsidRPr="00DE4963">
            <w:rPr>
              <w:rFonts w:eastAsia="Times New Roman"/>
            </w:rPr>
            <w:t>3.2</w:t>
          </w:r>
          <w:r>
            <w:rPr>
              <w:rFonts w:eastAsiaTheme="minorEastAsia" w:cstheme="minorBidi"/>
              <w:b/>
              <w:sz w:val="24"/>
              <w:szCs w:val="24"/>
              <w:bdr w:val="none" w:sz="0" w:space="0" w:color="auto"/>
              <w:lang w:eastAsia="ja-JP"/>
            </w:rPr>
            <w:tab/>
          </w:r>
          <w:r w:rsidRPr="00DE4963">
            <w:t>Reducing the pull factor and containing negative spill over</w:t>
          </w:r>
          <w:r>
            <w:tab/>
          </w:r>
          <w:r>
            <w:fldChar w:fldCharType="begin"/>
          </w:r>
          <w:r>
            <w:instrText xml:space="preserve"> PAGEREF _Toc304710280 \h </w:instrText>
          </w:r>
          <w:r>
            <w:fldChar w:fldCharType="separate"/>
          </w:r>
          <w:r w:rsidR="00A022E7">
            <w:t>6</w:t>
          </w:r>
          <w:r>
            <w:fldChar w:fldCharType="end"/>
          </w:r>
        </w:p>
        <w:p w14:paraId="2E0144C6" w14:textId="77777777" w:rsidR="00B77C6C" w:rsidRDefault="00B77C6C" w:rsidP="00B77C6C">
          <w:pPr>
            <w:pStyle w:val="TOC1"/>
            <w:tabs>
              <w:tab w:val="left" w:pos="360"/>
              <w:tab w:val="right" w:leader="dot" w:pos="8290"/>
            </w:tabs>
            <w:spacing w:line="360" w:lineRule="auto"/>
            <w:rPr>
              <w:rFonts w:eastAsiaTheme="minorEastAsia" w:cstheme="minorBidi"/>
              <w:b w:val="0"/>
              <w:noProof/>
              <w:bdr w:val="none" w:sz="0" w:space="0" w:color="auto"/>
              <w:lang w:eastAsia="ja-JP"/>
            </w:rPr>
          </w:pPr>
          <w:r w:rsidRPr="00DE4963">
            <w:rPr>
              <w:rFonts w:ascii="Times New Roman" w:eastAsia="Times New Roman" w:hAnsi="Times New Roman"/>
              <w:noProof/>
              <w:lang w:val="en-AU"/>
            </w:rPr>
            <w:t>4</w:t>
          </w:r>
          <w:r>
            <w:rPr>
              <w:rFonts w:eastAsiaTheme="minorEastAsia" w:cstheme="minorBidi"/>
              <w:b w:val="0"/>
              <w:noProof/>
              <w:bdr w:val="none" w:sz="0" w:space="0" w:color="auto"/>
              <w:lang w:eastAsia="ja-JP"/>
            </w:rPr>
            <w:tab/>
          </w:r>
          <w:r w:rsidRPr="00DE4963">
            <w:rPr>
              <w:rFonts w:ascii="Times New Roman" w:hAnsi="Times New Roman"/>
              <w:noProof/>
              <w:lang w:val="en-AU"/>
            </w:rPr>
            <w:t>Better and smarter enforcement</w:t>
          </w:r>
          <w:r>
            <w:rPr>
              <w:noProof/>
            </w:rPr>
            <w:tab/>
          </w:r>
          <w:r>
            <w:rPr>
              <w:noProof/>
            </w:rPr>
            <w:fldChar w:fldCharType="begin"/>
          </w:r>
          <w:r>
            <w:rPr>
              <w:noProof/>
            </w:rPr>
            <w:instrText xml:space="preserve"> PAGEREF _Toc304710281 \h </w:instrText>
          </w:r>
          <w:r>
            <w:rPr>
              <w:noProof/>
            </w:rPr>
          </w:r>
          <w:r>
            <w:rPr>
              <w:noProof/>
            </w:rPr>
            <w:fldChar w:fldCharType="separate"/>
          </w:r>
          <w:r w:rsidR="00A022E7">
            <w:rPr>
              <w:noProof/>
            </w:rPr>
            <w:t>7</w:t>
          </w:r>
          <w:r>
            <w:rPr>
              <w:noProof/>
            </w:rPr>
            <w:fldChar w:fldCharType="end"/>
          </w:r>
        </w:p>
        <w:p w14:paraId="01B82BB0" w14:textId="77777777" w:rsidR="00B77C6C" w:rsidRPr="00B77C6C" w:rsidRDefault="00B77C6C" w:rsidP="00B77C6C">
          <w:pPr>
            <w:pStyle w:val="TOC2"/>
            <w:rPr>
              <w:rFonts w:eastAsiaTheme="minorEastAsia" w:cstheme="minorBidi"/>
              <w:sz w:val="24"/>
              <w:szCs w:val="24"/>
              <w:bdr w:val="none" w:sz="0" w:space="0" w:color="auto"/>
              <w:lang w:eastAsia="ja-JP"/>
            </w:rPr>
          </w:pPr>
          <w:r w:rsidRPr="00B77C6C">
            <w:t>4.1</w:t>
          </w:r>
          <w:r w:rsidRPr="00B77C6C">
            <w:rPr>
              <w:rFonts w:eastAsiaTheme="minorEastAsia" w:cstheme="minorBidi"/>
              <w:sz w:val="24"/>
              <w:szCs w:val="24"/>
              <w:bdr w:val="none" w:sz="0" w:space="0" w:color="auto"/>
              <w:lang w:eastAsia="ja-JP"/>
            </w:rPr>
            <w:tab/>
          </w:r>
          <w:r w:rsidRPr="00B77C6C">
            <w:t>The need for institutional independence</w:t>
          </w:r>
          <w:r w:rsidRPr="00B77C6C">
            <w:tab/>
          </w:r>
          <w:r w:rsidRPr="00B77C6C">
            <w:fldChar w:fldCharType="begin"/>
          </w:r>
          <w:r w:rsidRPr="00B77C6C">
            <w:instrText xml:space="preserve"> PAGEREF _Toc304710282 \h </w:instrText>
          </w:r>
          <w:r w:rsidRPr="00B77C6C">
            <w:fldChar w:fldCharType="separate"/>
          </w:r>
          <w:r w:rsidR="00A022E7">
            <w:t>7</w:t>
          </w:r>
          <w:r w:rsidRPr="00B77C6C">
            <w:fldChar w:fldCharType="end"/>
          </w:r>
        </w:p>
        <w:p w14:paraId="1170A48E" w14:textId="77777777" w:rsidR="00B77C6C" w:rsidRDefault="00B77C6C" w:rsidP="00B77C6C">
          <w:pPr>
            <w:pStyle w:val="TOC1"/>
            <w:tabs>
              <w:tab w:val="left" w:pos="360"/>
              <w:tab w:val="right" w:leader="dot" w:pos="8290"/>
            </w:tabs>
            <w:spacing w:line="360" w:lineRule="auto"/>
            <w:rPr>
              <w:rFonts w:eastAsiaTheme="minorEastAsia" w:cstheme="minorBidi"/>
              <w:b w:val="0"/>
              <w:noProof/>
              <w:bdr w:val="none" w:sz="0" w:space="0" w:color="auto"/>
              <w:lang w:eastAsia="ja-JP"/>
            </w:rPr>
          </w:pPr>
          <w:r w:rsidRPr="00DE4963">
            <w:rPr>
              <w:rFonts w:ascii="Times New Roman" w:hAnsi="Times New Roman"/>
              <w:noProof/>
              <w:lang w:val="en-AU"/>
            </w:rPr>
            <w:t>5</w:t>
          </w:r>
          <w:r>
            <w:rPr>
              <w:rFonts w:eastAsiaTheme="minorEastAsia" w:cstheme="minorBidi"/>
              <w:b w:val="0"/>
              <w:noProof/>
              <w:bdr w:val="none" w:sz="0" w:space="0" w:color="auto"/>
              <w:lang w:eastAsia="ja-JP"/>
            </w:rPr>
            <w:tab/>
          </w:r>
          <w:r w:rsidRPr="00DE4963">
            <w:rPr>
              <w:rFonts w:ascii="Times New Roman" w:hAnsi="Times New Roman"/>
              <w:noProof/>
              <w:lang w:val="en-AU"/>
            </w:rPr>
            <w:t>Conclusion</w:t>
          </w:r>
          <w:r>
            <w:rPr>
              <w:noProof/>
            </w:rPr>
            <w:tab/>
          </w:r>
          <w:r>
            <w:rPr>
              <w:noProof/>
            </w:rPr>
            <w:fldChar w:fldCharType="begin"/>
          </w:r>
          <w:r>
            <w:rPr>
              <w:noProof/>
            </w:rPr>
            <w:instrText xml:space="preserve"> PAGEREF _Toc304710283 \h </w:instrText>
          </w:r>
          <w:r>
            <w:rPr>
              <w:noProof/>
            </w:rPr>
          </w:r>
          <w:r>
            <w:rPr>
              <w:noProof/>
            </w:rPr>
            <w:fldChar w:fldCharType="separate"/>
          </w:r>
          <w:r w:rsidR="00A022E7">
            <w:rPr>
              <w:noProof/>
            </w:rPr>
            <w:t>8</w:t>
          </w:r>
          <w:r>
            <w:rPr>
              <w:noProof/>
            </w:rPr>
            <w:fldChar w:fldCharType="end"/>
          </w:r>
        </w:p>
        <w:p w14:paraId="2965961C" w14:textId="77777777" w:rsidR="00B77C6C" w:rsidRDefault="00B77C6C" w:rsidP="00B77C6C">
          <w:pPr>
            <w:pStyle w:val="TOC1"/>
            <w:tabs>
              <w:tab w:val="left" w:pos="360"/>
              <w:tab w:val="right" w:leader="dot" w:pos="8290"/>
            </w:tabs>
            <w:spacing w:line="360" w:lineRule="auto"/>
            <w:rPr>
              <w:rFonts w:eastAsiaTheme="minorEastAsia" w:cstheme="minorBidi"/>
              <w:b w:val="0"/>
              <w:noProof/>
              <w:bdr w:val="none" w:sz="0" w:space="0" w:color="auto"/>
              <w:lang w:eastAsia="ja-JP"/>
            </w:rPr>
          </w:pPr>
          <w:r w:rsidRPr="00DE4963">
            <w:rPr>
              <w:rFonts w:ascii="Times New Roman" w:hAnsi="Times New Roman"/>
              <w:noProof/>
              <w:lang w:val="en-AU"/>
            </w:rPr>
            <w:t>6</w:t>
          </w:r>
          <w:r>
            <w:rPr>
              <w:rFonts w:eastAsiaTheme="minorEastAsia" w:cstheme="minorBidi"/>
              <w:b w:val="0"/>
              <w:noProof/>
              <w:bdr w:val="none" w:sz="0" w:space="0" w:color="auto"/>
              <w:lang w:eastAsia="ja-JP"/>
            </w:rPr>
            <w:tab/>
          </w:r>
          <w:r w:rsidRPr="00DE4963">
            <w:rPr>
              <w:rFonts w:ascii="Times New Roman" w:hAnsi="Times New Roman"/>
              <w:noProof/>
              <w:lang w:val="en-AU"/>
            </w:rPr>
            <w:t>Bibliography</w:t>
          </w:r>
          <w:r>
            <w:rPr>
              <w:noProof/>
            </w:rPr>
            <w:tab/>
          </w:r>
          <w:r>
            <w:rPr>
              <w:noProof/>
            </w:rPr>
            <w:fldChar w:fldCharType="begin"/>
          </w:r>
          <w:r>
            <w:rPr>
              <w:noProof/>
            </w:rPr>
            <w:instrText xml:space="preserve"> PAGEREF _Toc304710284 \h </w:instrText>
          </w:r>
          <w:r>
            <w:rPr>
              <w:noProof/>
            </w:rPr>
          </w:r>
          <w:r>
            <w:rPr>
              <w:noProof/>
            </w:rPr>
            <w:fldChar w:fldCharType="separate"/>
          </w:r>
          <w:r w:rsidR="00A022E7">
            <w:rPr>
              <w:noProof/>
            </w:rPr>
            <w:t>10</w:t>
          </w:r>
          <w:r>
            <w:rPr>
              <w:noProof/>
            </w:rPr>
            <w:fldChar w:fldCharType="end"/>
          </w:r>
        </w:p>
        <w:p w14:paraId="439F3E06" w14:textId="39048DD0" w:rsidR="00B77C6C" w:rsidRPr="00653E7D" w:rsidRDefault="00B77C6C" w:rsidP="005030CC">
          <w:pPr>
            <w:spacing w:line="360" w:lineRule="auto"/>
          </w:pPr>
          <w:r>
            <w:rPr>
              <w:b/>
              <w:bCs/>
              <w:noProof/>
            </w:rPr>
            <w:fldChar w:fldCharType="end"/>
          </w:r>
        </w:p>
      </w:sdtContent>
    </w:sdt>
    <w:p w14:paraId="1BFC4C3C" w14:textId="77777777" w:rsidR="00A022E7" w:rsidRDefault="00A022E7">
      <w:pPr>
        <w:pBdr>
          <w:top w:val="none" w:sz="0" w:space="0" w:color="auto"/>
          <w:left w:val="none" w:sz="0" w:space="0" w:color="auto"/>
          <w:bottom w:val="none" w:sz="0" w:space="0" w:color="auto"/>
          <w:right w:val="none" w:sz="0" w:space="0" w:color="auto"/>
          <w:between w:val="none" w:sz="0" w:space="0" w:color="auto"/>
          <w:bar w:val="none" w:sz="0" w:color="auto"/>
        </w:pBdr>
        <w:rPr>
          <w:rFonts w:eastAsiaTheme="majorEastAsia"/>
          <w:b/>
          <w:bCs/>
          <w:color w:val="345A8A" w:themeColor="accent1" w:themeShade="B5"/>
          <w:sz w:val="32"/>
          <w:szCs w:val="32"/>
          <w:lang w:val="en-AU"/>
        </w:rPr>
      </w:pPr>
      <w:bookmarkStart w:id="1" w:name="_Toc304710246"/>
      <w:bookmarkStart w:id="2" w:name="_Toc304710273"/>
      <w:r>
        <w:rPr>
          <w:lang w:val="en-AU"/>
        </w:rPr>
        <w:br w:type="page"/>
      </w:r>
    </w:p>
    <w:p w14:paraId="67F8A949" w14:textId="3ABDBCAF" w:rsidR="004D51A4" w:rsidRPr="00653E7D" w:rsidRDefault="004D51A4" w:rsidP="005030CC">
      <w:pPr>
        <w:pStyle w:val="Heading1"/>
        <w:rPr>
          <w:rFonts w:ascii="Times New Roman" w:hAnsi="Times New Roman" w:cs="Times New Roman"/>
          <w:lang w:val="en-AU"/>
        </w:rPr>
      </w:pPr>
      <w:r w:rsidRPr="00653E7D">
        <w:rPr>
          <w:rFonts w:ascii="Times New Roman" w:hAnsi="Times New Roman" w:cs="Times New Roman"/>
          <w:lang w:val="en-AU"/>
        </w:rPr>
        <w:lastRenderedPageBreak/>
        <w:t>Introduction</w:t>
      </w:r>
      <w:bookmarkEnd w:id="1"/>
      <w:bookmarkEnd w:id="2"/>
    </w:p>
    <w:p w14:paraId="49833BB9" w14:textId="77777777" w:rsidR="004D51A4" w:rsidRDefault="004D51A4" w:rsidP="005030CC">
      <w:pPr>
        <w:pStyle w:val="Body"/>
        <w:spacing w:line="360" w:lineRule="auto"/>
        <w:jc w:val="both"/>
        <w:rPr>
          <w:rFonts w:ascii="Times New Roman" w:eastAsia="Times New Roman" w:hAnsi="Times New Roman" w:cs="Times New Roman"/>
          <w:b/>
          <w:sz w:val="24"/>
          <w:szCs w:val="24"/>
          <w:lang w:val="en-AU"/>
        </w:rPr>
      </w:pPr>
    </w:p>
    <w:p w14:paraId="4A96F8C1" w14:textId="77777777" w:rsidR="00653E7D" w:rsidRPr="00653E7D" w:rsidRDefault="00653E7D" w:rsidP="005030CC">
      <w:pPr>
        <w:pStyle w:val="Body"/>
        <w:spacing w:line="360" w:lineRule="auto"/>
        <w:jc w:val="both"/>
        <w:rPr>
          <w:rFonts w:ascii="Times New Roman" w:eastAsia="Times New Roman" w:hAnsi="Times New Roman" w:cs="Times New Roman"/>
          <w:sz w:val="24"/>
          <w:szCs w:val="24"/>
          <w:lang w:val="en-AU"/>
        </w:rPr>
      </w:pPr>
      <w:r w:rsidRPr="00653E7D">
        <w:rPr>
          <w:rFonts w:ascii="Times New Roman" w:hAnsi="Times New Roman" w:cs="Times New Roman"/>
          <w:sz w:val="24"/>
          <w:szCs w:val="24"/>
          <w:lang w:val="en-AU"/>
        </w:rPr>
        <w:t xml:space="preserve">This </w:t>
      </w:r>
      <w:r>
        <w:rPr>
          <w:rFonts w:ascii="Times New Roman" w:hAnsi="Times New Roman" w:cs="Times New Roman"/>
          <w:sz w:val="24"/>
          <w:szCs w:val="24"/>
          <w:lang w:val="en-AU"/>
        </w:rPr>
        <w:t>submission</w:t>
      </w:r>
      <w:r w:rsidRPr="00653E7D">
        <w:rPr>
          <w:rFonts w:ascii="Times New Roman" w:hAnsi="Times New Roman" w:cs="Times New Roman"/>
          <w:sz w:val="24"/>
          <w:szCs w:val="24"/>
          <w:lang w:val="en-AU"/>
        </w:rPr>
        <w:t xml:space="preserve"> takes recommendation 21.1 and the inquiry as an opportunity to re-examine the relationship between labour law and migration law in Australia in relation to unauthorised migrant workers. It argues for </w:t>
      </w:r>
      <w:r w:rsidR="000369DF">
        <w:rPr>
          <w:rFonts w:ascii="Times New Roman" w:hAnsi="Times New Roman" w:cs="Times New Roman"/>
          <w:sz w:val="24"/>
          <w:szCs w:val="24"/>
          <w:lang w:val="en-AU"/>
        </w:rPr>
        <w:t xml:space="preserve">the Productivity Commission to recommend </w:t>
      </w:r>
      <w:r w:rsidRPr="00653E7D">
        <w:rPr>
          <w:rFonts w:ascii="Times New Roman" w:hAnsi="Times New Roman" w:cs="Times New Roman"/>
          <w:sz w:val="24"/>
          <w:szCs w:val="24"/>
          <w:lang w:val="en-AU"/>
        </w:rPr>
        <w:t xml:space="preserve">legislative change, in response to </w:t>
      </w:r>
      <w:r w:rsidR="000369DF">
        <w:rPr>
          <w:rFonts w:ascii="Times New Roman" w:hAnsi="Times New Roman" w:cs="Times New Roman"/>
          <w:sz w:val="24"/>
          <w:szCs w:val="24"/>
          <w:lang w:val="en-AU"/>
        </w:rPr>
        <w:t>existing</w:t>
      </w:r>
      <w:r w:rsidRPr="00653E7D">
        <w:rPr>
          <w:rFonts w:ascii="Times New Roman" w:hAnsi="Times New Roman" w:cs="Times New Roman"/>
          <w:sz w:val="24"/>
          <w:szCs w:val="24"/>
          <w:lang w:val="en-AU"/>
        </w:rPr>
        <w:t xml:space="preserve"> legal uncertainty, which takes a ‘full protection’ approach, discouraging unauthorised migrant labour while guaranteeing the labour and human rights of the workers that sustain it.</w:t>
      </w:r>
      <w:r w:rsidRPr="00653E7D">
        <w:rPr>
          <w:rFonts w:ascii="Times New Roman" w:eastAsia="Times New Roman" w:hAnsi="Times New Roman" w:cs="Times New Roman"/>
          <w:sz w:val="24"/>
          <w:szCs w:val="24"/>
          <w:vertAlign w:val="superscript"/>
          <w:lang w:val="en-AU"/>
        </w:rPr>
        <w:endnoteReference w:id="1"/>
      </w:r>
      <w:r w:rsidRPr="00653E7D">
        <w:rPr>
          <w:rFonts w:ascii="Times New Roman" w:hAnsi="Times New Roman" w:cs="Times New Roman"/>
          <w:sz w:val="24"/>
          <w:szCs w:val="24"/>
          <w:lang w:val="en-AU"/>
        </w:rPr>
        <w:t xml:space="preserve"> </w:t>
      </w:r>
      <w:r w:rsidR="000369DF">
        <w:rPr>
          <w:rFonts w:ascii="Times New Roman" w:hAnsi="Times New Roman" w:cs="Times New Roman"/>
          <w:sz w:val="24"/>
          <w:szCs w:val="24"/>
          <w:lang w:val="en-AU"/>
        </w:rPr>
        <w:t>W</w:t>
      </w:r>
      <w:r w:rsidRPr="00653E7D">
        <w:rPr>
          <w:rFonts w:ascii="Times New Roman" w:hAnsi="Times New Roman" w:cs="Times New Roman"/>
          <w:sz w:val="24"/>
          <w:szCs w:val="24"/>
          <w:lang w:val="en-AU"/>
        </w:rPr>
        <w:t>hat may seem paradoxical can in fact be reconciled, starting with the recognition that enforcing immigration law need not, and should not, subject unauthorised migrant workers to poor conditions of work.</w:t>
      </w:r>
      <w:r w:rsidRPr="00653E7D">
        <w:rPr>
          <w:rFonts w:ascii="Times New Roman" w:eastAsia="Times New Roman" w:hAnsi="Times New Roman" w:cs="Times New Roman"/>
          <w:sz w:val="24"/>
          <w:szCs w:val="24"/>
          <w:vertAlign w:val="superscript"/>
          <w:lang w:val="en-AU"/>
        </w:rPr>
        <w:endnoteReference w:id="2"/>
      </w:r>
      <w:r w:rsidRPr="00653E7D">
        <w:rPr>
          <w:rFonts w:ascii="Times New Roman" w:hAnsi="Times New Roman" w:cs="Times New Roman"/>
          <w:sz w:val="24"/>
          <w:szCs w:val="24"/>
          <w:lang w:val="en-AU"/>
        </w:rPr>
        <w:t xml:space="preserve"> This is the approach that the Productivity Commission should incorporate into recommendation 21.1, and take through additional, importa</w:t>
      </w:r>
      <w:r w:rsidR="000369DF">
        <w:rPr>
          <w:rFonts w:ascii="Times New Roman" w:hAnsi="Times New Roman" w:cs="Times New Roman"/>
          <w:sz w:val="24"/>
          <w:szCs w:val="24"/>
          <w:lang w:val="en-AU"/>
        </w:rPr>
        <w:t>nt changes in its final report, highlighted below.</w:t>
      </w:r>
    </w:p>
    <w:p w14:paraId="1CD1E812" w14:textId="77777777" w:rsidR="00653E7D" w:rsidRDefault="00653E7D" w:rsidP="005030CC">
      <w:pPr>
        <w:pStyle w:val="Body"/>
        <w:spacing w:line="360" w:lineRule="auto"/>
        <w:jc w:val="both"/>
        <w:rPr>
          <w:rFonts w:ascii="Times New Roman" w:eastAsia="Times New Roman" w:hAnsi="Times New Roman" w:cs="Times New Roman"/>
          <w:b/>
          <w:sz w:val="24"/>
          <w:szCs w:val="24"/>
          <w:lang w:val="en-AU"/>
        </w:rPr>
      </w:pPr>
    </w:p>
    <w:p w14:paraId="3BC0B9DB" w14:textId="77777777" w:rsidR="00653E7D" w:rsidRPr="00653E7D" w:rsidRDefault="00653E7D" w:rsidP="005030CC">
      <w:pPr>
        <w:pStyle w:val="Heading2"/>
        <w:rPr>
          <w:rFonts w:ascii="Times New Roman" w:hAnsi="Times New Roman" w:cs="Times New Roman"/>
          <w:lang w:val="en-AU"/>
        </w:rPr>
      </w:pPr>
      <w:bookmarkStart w:id="3" w:name="_Toc304710247"/>
      <w:bookmarkStart w:id="4" w:name="_Toc304710274"/>
      <w:r w:rsidRPr="00653E7D">
        <w:rPr>
          <w:rFonts w:ascii="Times New Roman" w:hAnsi="Times New Roman" w:cs="Times New Roman"/>
          <w:lang w:val="en-AU"/>
        </w:rPr>
        <w:t>The situation of unauthorised migrant workers and the draft recommendation</w:t>
      </w:r>
      <w:bookmarkEnd w:id="3"/>
      <w:bookmarkEnd w:id="4"/>
      <w:r w:rsidRPr="00653E7D">
        <w:rPr>
          <w:rFonts w:ascii="Times New Roman" w:hAnsi="Times New Roman" w:cs="Times New Roman"/>
          <w:lang w:val="en-AU"/>
        </w:rPr>
        <w:t xml:space="preserve"> </w:t>
      </w:r>
    </w:p>
    <w:p w14:paraId="6BA6CCB0" w14:textId="77777777" w:rsidR="00653E7D" w:rsidRPr="00653E7D" w:rsidRDefault="00653E7D" w:rsidP="005030CC"/>
    <w:p w14:paraId="2F4941CB" w14:textId="42C8A23D" w:rsidR="004D51A4" w:rsidRPr="00653E7D" w:rsidRDefault="004D51A4" w:rsidP="005030CC">
      <w:pPr>
        <w:pStyle w:val="Body"/>
        <w:spacing w:line="360" w:lineRule="auto"/>
        <w:jc w:val="both"/>
        <w:rPr>
          <w:rFonts w:ascii="Times New Roman" w:eastAsia="Times New Roman" w:hAnsi="Times New Roman" w:cs="Times New Roman"/>
          <w:sz w:val="24"/>
          <w:szCs w:val="24"/>
          <w:lang w:val="en-AU"/>
        </w:rPr>
      </w:pPr>
      <w:r w:rsidRPr="00653E7D">
        <w:rPr>
          <w:rFonts w:ascii="Times New Roman" w:hAnsi="Times New Roman" w:cs="Times New Roman"/>
          <w:sz w:val="24"/>
          <w:szCs w:val="24"/>
          <w:lang w:val="en-AU"/>
        </w:rPr>
        <w:t>Despite all efforts to secure the contrary, irregular or unauthorised migrants remain a feature of Australia’s labour landscape.</w:t>
      </w:r>
      <w:r w:rsidRPr="00653E7D">
        <w:rPr>
          <w:rFonts w:ascii="Times New Roman" w:eastAsia="Times New Roman" w:hAnsi="Times New Roman" w:cs="Times New Roman"/>
          <w:sz w:val="24"/>
          <w:szCs w:val="24"/>
          <w:vertAlign w:val="superscript"/>
          <w:lang w:val="en-AU"/>
        </w:rPr>
        <w:endnoteReference w:id="3"/>
      </w:r>
      <w:r w:rsidRPr="00653E7D">
        <w:rPr>
          <w:rFonts w:ascii="Times New Roman" w:hAnsi="Times New Roman" w:cs="Times New Roman"/>
          <w:sz w:val="24"/>
          <w:szCs w:val="24"/>
          <w:lang w:val="en-AU"/>
        </w:rPr>
        <w:t xml:space="preserve"> These workers, sitting beyond the realm of any regulation, are especially vulnerable to exploitation by unscrupulous employers through unpaid wages, harassment and unsafe workplace conditions.</w:t>
      </w:r>
      <w:r w:rsidRPr="00653E7D">
        <w:rPr>
          <w:rFonts w:ascii="Times New Roman" w:eastAsia="Times New Roman" w:hAnsi="Times New Roman" w:cs="Times New Roman"/>
          <w:sz w:val="24"/>
          <w:szCs w:val="24"/>
          <w:vertAlign w:val="superscript"/>
          <w:lang w:val="en-AU"/>
        </w:rPr>
        <w:endnoteReference w:id="4"/>
      </w:r>
      <w:r w:rsidRPr="00653E7D">
        <w:rPr>
          <w:rFonts w:ascii="Times New Roman" w:hAnsi="Times New Roman" w:cs="Times New Roman"/>
          <w:sz w:val="24"/>
          <w:szCs w:val="24"/>
          <w:lang w:val="en-AU"/>
        </w:rPr>
        <w:t xml:space="preserve"> Without substantial protections and avenues for redress, their legal position is characterised by its sheer ‘precariousness’.</w:t>
      </w:r>
      <w:r w:rsidRPr="00653E7D">
        <w:rPr>
          <w:rFonts w:ascii="Times New Roman" w:eastAsia="Times New Roman" w:hAnsi="Times New Roman" w:cs="Times New Roman"/>
          <w:sz w:val="24"/>
          <w:szCs w:val="24"/>
          <w:vertAlign w:val="superscript"/>
          <w:lang w:val="en-AU"/>
        </w:rPr>
        <w:endnoteReference w:id="5"/>
      </w:r>
      <w:r w:rsidRPr="00653E7D">
        <w:rPr>
          <w:rFonts w:ascii="Times New Roman" w:hAnsi="Times New Roman" w:cs="Times New Roman"/>
          <w:sz w:val="24"/>
          <w:szCs w:val="24"/>
          <w:lang w:val="en-AU"/>
        </w:rPr>
        <w:t xml:space="preserve"> And yet, policy reviews, recommendations and legislative changes continue to run parallel to, but separate from their plight. </w:t>
      </w:r>
      <w:r w:rsidR="000369DF">
        <w:rPr>
          <w:rFonts w:ascii="Times New Roman" w:hAnsi="Times New Roman" w:cs="Times New Roman"/>
          <w:sz w:val="24"/>
          <w:szCs w:val="24"/>
          <w:lang w:val="en-AU"/>
        </w:rPr>
        <w:t>This is reflected in the</w:t>
      </w:r>
      <w:r w:rsidRPr="00653E7D">
        <w:rPr>
          <w:rFonts w:ascii="Times New Roman" w:hAnsi="Times New Roman" w:cs="Times New Roman"/>
          <w:sz w:val="24"/>
          <w:szCs w:val="24"/>
          <w:lang w:val="en-AU"/>
        </w:rPr>
        <w:t xml:space="preserve"> draft Workplace Relations Inquiry report (‘</w:t>
      </w:r>
      <w:r w:rsidRPr="00653E7D">
        <w:rPr>
          <w:rFonts w:ascii="Times New Roman" w:hAnsi="Times New Roman" w:cs="Times New Roman"/>
          <w:b/>
          <w:bCs/>
          <w:sz w:val="24"/>
          <w:szCs w:val="24"/>
          <w:lang w:val="en-AU"/>
        </w:rPr>
        <w:t>Workplace Relations Report</w:t>
      </w:r>
      <w:r w:rsidRPr="00653E7D">
        <w:rPr>
          <w:rFonts w:ascii="Times New Roman" w:hAnsi="Times New Roman" w:cs="Times New Roman"/>
          <w:sz w:val="24"/>
          <w:szCs w:val="24"/>
          <w:lang w:val="en-AU"/>
        </w:rPr>
        <w:t>’).</w:t>
      </w:r>
      <w:r w:rsidRPr="00653E7D">
        <w:rPr>
          <w:rFonts w:ascii="Times New Roman" w:eastAsia="Times New Roman" w:hAnsi="Times New Roman" w:cs="Times New Roman"/>
          <w:sz w:val="24"/>
          <w:szCs w:val="24"/>
          <w:vertAlign w:val="superscript"/>
          <w:lang w:val="en-AU"/>
        </w:rPr>
        <w:endnoteReference w:id="6"/>
      </w:r>
      <w:r w:rsidRPr="00653E7D">
        <w:rPr>
          <w:rFonts w:ascii="Times New Roman" w:hAnsi="Times New Roman" w:cs="Times New Roman"/>
          <w:sz w:val="24"/>
          <w:szCs w:val="24"/>
          <w:lang w:val="en-AU"/>
        </w:rPr>
        <w:t xml:space="preserve"> The report includes a two-pronged recommendation (21.1) in relation to migrant workers that is short, but its implications are far from sweet. At first blush, the changes seem to be a step in the right direction: they </w:t>
      </w:r>
      <w:proofErr w:type="spellStart"/>
      <w:r w:rsidRPr="00653E7D">
        <w:rPr>
          <w:rFonts w:ascii="Times New Roman" w:hAnsi="Times New Roman" w:cs="Times New Roman"/>
          <w:sz w:val="24"/>
          <w:szCs w:val="24"/>
          <w:lang w:val="en-AU"/>
        </w:rPr>
        <w:t>disincentivise</w:t>
      </w:r>
      <w:proofErr w:type="spellEnd"/>
      <w:r w:rsidRPr="00653E7D">
        <w:rPr>
          <w:rFonts w:ascii="Times New Roman" w:hAnsi="Times New Roman" w:cs="Times New Roman"/>
          <w:sz w:val="24"/>
          <w:szCs w:val="24"/>
          <w:lang w:val="en-AU"/>
        </w:rPr>
        <w:t xml:space="preserve"> unauthorised migrant labour through increased sanctions on employers, while bolstering protections for unauthorised workers by better-resourcing the Fair Work Ombudsman (‘</w:t>
      </w:r>
      <w:proofErr w:type="spellStart"/>
      <w:r w:rsidRPr="00653E7D">
        <w:rPr>
          <w:rFonts w:ascii="Times New Roman" w:hAnsi="Times New Roman" w:cs="Times New Roman"/>
          <w:b/>
          <w:bCs/>
          <w:sz w:val="24"/>
          <w:szCs w:val="24"/>
          <w:lang w:val="en-AU"/>
        </w:rPr>
        <w:t>FWO</w:t>
      </w:r>
      <w:proofErr w:type="spellEnd"/>
      <w:r w:rsidRPr="00653E7D">
        <w:rPr>
          <w:rFonts w:ascii="Times New Roman" w:hAnsi="Times New Roman" w:cs="Times New Roman"/>
          <w:sz w:val="24"/>
          <w:szCs w:val="24"/>
          <w:lang w:val="en-AU"/>
        </w:rPr>
        <w:t>’) to investigate employers suspected of underpaying them. However, on closer examination, it becomes apparent that recommendation 21.1 risks simply adding to the tension and uncertainty between migration law and labour law without any positive, meaningful impact on the v</w:t>
      </w:r>
      <w:r w:rsidR="000369DF">
        <w:rPr>
          <w:rFonts w:ascii="Times New Roman" w:hAnsi="Times New Roman" w:cs="Times New Roman"/>
          <w:sz w:val="24"/>
          <w:szCs w:val="24"/>
          <w:lang w:val="en-AU"/>
        </w:rPr>
        <w:t>ulnerability of migrant workers through their protection.</w:t>
      </w:r>
    </w:p>
    <w:p w14:paraId="286DC836" w14:textId="77777777" w:rsidR="004D51A4" w:rsidRPr="00653E7D" w:rsidRDefault="004D51A4" w:rsidP="005030CC">
      <w:pPr>
        <w:pStyle w:val="Heading1"/>
        <w:rPr>
          <w:rFonts w:ascii="Times New Roman" w:hAnsi="Times New Roman" w:cs="Times New Roman"/>
          <w:lang w:val="en-AU"/>
        </w:rPr>
      </w:pPr>
      <w:bookmarkStart w:id="5" w:name="_Toc304710248"/>
      <w:bookmarkStart w:id="6" w:name="_Toc304710275"/>
      <w:r w:rsidRPr="00653E7D">
        <w:rPr>
          <w:rFonts w:ascii="Times New Roman" w:hAnsi="Times New Roman" w:cs="Times New Roman"/>
          <w:lang w:val="en-AU"/>
        </w:rPr>
        <w:lastRenderedPageBreak/>
        <w:t>Australia’s current position and the need for change</w:t>
      </w:r>
      <w:bookmarkEnd w:id="5"/>
      <w:bookmarkEnd w:id="6"/>
    </w:p>
    <w:p w14:paraId="16A693B1" w14:textId="77777777" w:rsidR="004D51A4" w:rsidRPr="00653E7D" w:rsidRDefault="004D51A4" w:rsidP="005030CC">
      <w:pPr>
        <w:pStyle w:val="Body"/>
        <w:spacing w:line="360" w:lineRule="auto"/>
        <w:jc w:val="both"/>
        <w:rPr>
          <w:rFonts w:ascii="Times New Roman" w:hAnsi="Times New Roman" w:cs="Times New Roman"/>
          <w:sz w:val="24"/>
          <w:szCs w:val="24"/>
          <w:lang w:val="en-AU"/>
        </w:rPr>
      </w:pPr>
    </w:p>
    <w:p w14:paraId="0F7C9923" w14:textId="77777777" w:rsidR="000369DF" w:rsidRDefault="004D51A4" w:rsidP="005030CC">
      <w:pPr>
        <w:pStyle w:val="Body"/>
        <w:spacing w:line="360" w:lineRule="auto"/>
        <w:jc w:val="both"/>
        <w:rPr>
          <w:rFonts w:ascii="Times New Roman" w:hAnsi="Times New Roman" w:cs="Times New Roman"/>
          <w:sz w:val="24"/>
          <w:szCs w:val="24"/>
          <w:lang w:val="en-AU"/>
        </w:rPr>
      </w:pPr>
      <w:r w:rsidRPr="00653E7D">
        <w:rPr>
          <w:rFonts w:ascii="Times New Roman" w:hAnsi="Times New Roman" w:cs="Times New Roman"/>
          <w:sz w:val="24"/>
          <w:szCs w:val="24"/>
          <w:lang w:val="en-AU"/>
        </w:rPr>
        <w:t xml:space="preserve">For virtually all </w:t>
      </w:r>
      <w:r w:rsidR="000369DF">
        <w:rPr>
          <w:rFonts w:ascii="Times New Roman" w:hAnsi="Times New Roman" w:cs="Times New Roman"/>
          <w:sz w:val="24"/>
          <w:szCs w:val="24"/>
          <w:lang w:val="en-AU"/>
        </w:rPr>
        <w:t>countries</w:t>
      </w:r>
      <w:r w:rsidRPr="00653E7D">
        <w:rPr>
          <w:rFonts w:ascii="Times New Roman" w:hAnsi="Times New Roman" w:cs="Times New Roman"/>
          <w:sz w:val="24"/>
          <w:szCs w:val="24"/>
          <w:lang w:val="en-AU"/>
        </w:rPr>
        <w:t>, the allocation of labour rights is first and foremost a matter of domestic law.</w:t>
      </w:r>
      <w:r w:rsidRPr="00653E7D">
        <w:rPr>
          <w:rFonts w:ascii="Times New Roman" w:eastAsia="Times New Roman" w:hAnsi="Times New Roman" w:cs="Times New Roman"/>
          <w:sz w:val="24"/>
          <w:szCs w:val="24"/>
          <w:vertAlign w:val="superscript"/>
          <w:lang w:val="en-AU"/>
        </w:rPr>
        <w:endnoteReference w:id="7"/>
      </w:r>
      <w:r w:rsidRPr="00653E7D">
        <w:rPr>
          <w:rFonts w:ascii="Times New Roman" w:hAnsi="Times New Roman" w:cs="Times New Roman"/>
          <w:sz w:val="24"/>
          <w:szCs w:val="24"/>
          <w:lang w:val="en-AU"/>
        </w:rPr>
        <w:t xml:space="preserve"> In Australia, it has historically come second to immigration priorities. These priorities, in turn, have been guided by the belief that ‘rights for illegal migrants [against] prevention of illegal migration’ are irreconcilable concepts.</w:t>
      </w:r>
      <w:r w:rsidRPr="00653E7D">
        <w:rPr>
          <w:rFonts w:ascii="Times New Roman" w:eastAsia="Times New Roman" w:hAnsi="Times New Roman" w:cs="Times New Roman"/>
          <w:sz w:val="24"/>
          <w:szCs w:val="24"/>
          <w:vertAlign w:val="superscript"/>
          <w:lang w:val="en-AU"/>
        </w:rPr>
        <w:endnoteReference w:id="8"/>
      </w:r>
      <w:r w:rsidRPr="00653E7D">
        <w:rPr>
          <w:rFonts w:ascii="Times New Roman" w:hAnsi="Times New Roman" w:cs="Times New Roman"/>
          <w:sz w:val="24"/>
          <w:szCs w:val="24"/>
          <w:lang w:val="en-AU"/>
        </w:rPr>
        <w:t xml:space="preserve"> Ensuring that the legal framework is appropriate for the growing phenomenon of migrant labour (authorised or otherwise) must involve a review and reversal of that belief. </w:t>
      </w:r>
      <w:r w:rsidR="000369DF">
        <w:rPr>
          <w:rFonts w:ascii="Times New Roman" w:hAnsi="Times New Roman" w:cs="Times New Roman"/>
          <w:sz w:val="24"/>
          <w:szCs w:val="24"/>
          <w:lang w:val="en-AU"/>
        </w:rPr>
        <w:t>The Productivity Commission can take this opportunity to lead that change to resolve uncertainty in the right direction.</w:t>
      </w:r>
    </w:p>
    <w:p w14:paraId="3A0B9128" w14:textId="77777777" w:rsidR="000369DF" w:rsidRDefault="000369DF" w:rsidP="005030CC">
      <w:pPr>
        <w:pStyle w:val="Body"/>
        <w:spacing w:line="360" w:lineRule="auto"/>
        <w:jc w:val="both"/>
        <w:rPr>
          <w:rFonts w:ascii="Times New Roman" w:hAnsi="Times New Roman" w:cs="Times New Roman"/>
          <w:sz w:val="24"/>
          <w:szCs w:val="24"/>
          <w:lang w:val="en-AU"/>
        </w:rPr>
      </w:pPr>
    </w:p>
    <w:p w14:paraId="68CC8345" w14:textId="77777777" w:rsidR="000369DF" w:rsidRPr="000369DF" w:rsidRDefault="000369DF" w:rsidP="005030CC">
      <w:pPr>
        <w:pStyle w:val="Heading2"/>
        <w:rPr>
          <w:rFonts w:ascii="Times New Roman" w:hAnsi="Times New Roman" w:cs="Times New Roman"/>
          <w:lang w:val="en-AU"/>
        </w:rPr>
      </w:pPr>
      <w:bookmarkStart w:id="7" w:name="_Toc304710249"/>
      <w:bookmarkStart w:id="8" w:name="_Toc304710276"/>
      <w:r>
        <w:rPr>
          <w:rFonts w:ascii="Times New Roman" w:hAnsi="Times New Roman" w:cs="Times New Roman"/>
          <w:lang w:val="en-AU"/>
        </w:rPr>
        <w:t>The current direction</w:t>
      </w:r>
      <w:bookmarkEnd w:id="7"/>
      <w:bookmarkEnd w:id="8"/>
      <w:r>
        <w:rPr>
          <w:rFonts w:ascii="Times New Roman" w:hAnsi="Times New Roman" w:cs="Times New Roman"/>
          <w:lang w:val="en-AU"/>
        </w:rPr>
        <w:t xml:space="preserve"> </w:t>
      </w:r>
    </w:p>
    <w:p w14:paraId="08D4E2CF" w14:textId="77777777" w:rsidR="000369DF" w:rsidRDefault="000369DF" w:rsidP="005030CC">
      <w:pPr>
        <w:pStyle w:val="Body"/>
        <w:spacing w:line="360" w:lineRule="auto"/>
        <w:jc w:val="both"/>
        <w:rPr>
          <w:rFonts w:ascii="Times New Roman" w:hAnsi="Times New Roman" w:cs="Times New Roman"/>
          <w:sz w:val="24"/>
          <w:szCs w:val="24"/>
          <w:lang w:val="en-AU"/>
        </w:rPr>
      </w:pPr>
    </w:p>
    <w:p w14:paraId="6A0DD286" w14:textId="77777777" w:rsidR="004D51A4" w:rsidRDefault="004D51A4" w:rsidP="005030CC">
      <w:pPr>
        <w:pStyle w:val="Body"/>
        <w:spacing w:line="360" w:lineRule="auto"/>
        <w:jc w:val="both"/>
        <w:rPr>
          <w:rFonts w:ascii="Times New Roman" w:hAnsi="Times New Roman" w:cs="Times New Roman"/>
          <w:sz w:val="24"/>
          <w:szCs w:val="24"/>
          <w:lang w:val="en-AU"/>
        </w:rPr>
      </w:pPr>
      <w:r w:rsidRPr="00653E7D">
        <w:rPr>
          <w:rFonts w:ascii="Times New Roman" w:hAnsi="Times New Roman" w:cs="Times New Roman"/>
          <w:sz w:val="24"/>
          <w:szCs w:val="24"/>
          <w:lang w:val="en-AU"/>
        </w:rPr>
        <w:t>The dominant approach of both the courts and policy-makers in Australia has been to prioritise migration law and superimpose it onto the labour law framework.</w:t>
      </w:r>
      <w:r w:rsidRPr="00653E7D">
        <w:rPr>
          <w:rFonts w:ascii="Times New Roman" w:eastAsia="Times New Roman" w:hAnsi="Times New Roman" w:cs="Times New Roman"/>
          <w:sz w:val="24"/>
          <w:szCs w:val="24"/>
          <w:vertAlign w:val="superscript"/>
          <w:lang w:val="en-AU"/>
        </w:rPr>
        <w:endnoteReference w:id="9"/>
      </w:r>
      <w:r w:rsidRPr="00653E7D">
        <w:rPr>
          <w:rFonts w:ascii="Times New Roman" w:hAnsi="Times New Roman" w:cs="Times New Roman"/>
          <w:sz w:val="24"/>
          <w:szCs w:val="24"/>
          <w:lang w:val="en-AU"/>
        </w:rPr>
        <w:t xml:space="preserve"> This is characteristic of what Elaine Dewhurst terms the ‘non-protective’ approach to the basic labour rights of unauthorised migrant workers.</w:t>
      </w:r>
      <w:r w:rsidRPr="00653E7D">
        <w:rPr>
          <w:rFonts w:ascii="Times New Roman" w:eastAsia="Times New Roman" w:hAnsi="Times New Roman" w:cs="Times New Roman"/>
          <w:sz w:val="24"/>
          <w:szCs w:val="24"/>
          <w:vertAlign w:val="superscript"/>
          <w:lang w:val="en-AU"/>
        </w:rPr>
        <w:endnoteReference w:id="10"/>
      </w:r>
      <w:r w:rsidRPr="00653E7D">
        <w:rPr>
          <w:rFonts w:ascii="Times New Roman" w:hAnsi="Times New Roman" w:cs="Times New Roman"/>
          <w:sz w:val="24"/>
          <w:szCs w:val="24"/>
          <w:lang w:val="en-AU"/>
        </w:rPr>
        <w:t xml:space="preserve"> From this control-based perspective, any protection of unauthorised migrants’ rights may incentivise coming to and working in Australia unlawfully.</w:t>
      </w:r>
      <w:r w:rsidRPr="00653E7D">
        <w:rPr>
          <w:rFonts w:ascii="Times New Roman" w:eastAsia="Times New Roman" w:hAnsi="Times New Roman" w:cs="Times New Roman"/>
          <w:sz w:val="24"/>
          <w:szCs w:val="24"/>
          <w:vertAlign w:val="superscript"/>
          <w:lang w:val="en-AU"/>
        </w:rPr>
        <w:endnoteReference w:id="11"/>
      </w:r>
      <w:r w:rsidRPr="00653E7D">
        <w:rPr>
          <w:rFonts w:ascii="Times New Roman" w:hAnsi="Times New Roman" w:cs="Times New Roman"/>
          <w:sz w:val="24"/>
          <w:szCs w:val="24"/>
          <w:lang w:val="en-AU"/>
        </w:rPr>
        <w:t xml:space="preserve"> Protection has, for that reason, been firmly avoided. This is echoed in the Workplace Relations Report, with the Productivity Commission dismissing any ‘guarantee of appropriate pay and conditions associated with enhanced workplace rights’ for unauthorised migrant workers on those grounds.</w:t>
      </w:r>
      <w:r w:rsidRPr="00653E7D">
        <w:rPr>
          <w:rFonts w:ascii="Times New Roman" w:eastAsia="Times New Roman" w:hAnsi="Times New Roman" w:cs="Times New Roman"/>
          <w:sz w:val="24"/>
          <w:szCs w:val="24"/>
          <w:vertAlign w:val="superscript"/>
          <w:lang w:val="en-AU"/>
        </w:rPr>
        <w:endnoteReference w:id="12"/>
      </w:r>
    </w:p>
    <w:p w14:paraId="2F5248C8" w14:textId="77777777" w:rsidR="000369DF" w:rsidRDefault="000369DF" w:rsidP="005030CC">
      <w:pPr>
        <w:pStyle w:val="Body"/>
        <w:spacing w:line="360" w:lineRule="auto"/>
        <w:jc w:val="both"/>
        <w:rPr>
          <w:rFonts w:ascii="Times New Roman" w:hAnsi="Times New Roman" w:cs="Times New Roman"/>
          <w:sz w:val="24"/>
          <w:szCs w:val="24"/>
          <w:lang w:val="en-AU"/>
        </w:rPr>
      </w:pPr>
    </w:p>
    <w:p w14:paraId="02BEDBEE" w14:textId="77777777" w:rsidR="004D51A4" w:rsidRPr="000369DF" w:rsidRDefault="000369DF" w:rsidP="005030CC">
      <w:pPr>
        <w:pStyle w:val="Heading2"/>
        <w:rPr>
          <w:rFonts w:ascii="Times New Roman" w:hAnsi="Times New Roman" w:cs="Times New Roman"/>
          <w:lang w:val="en-AU"/>
        </w:rPr>
      </w:pPr>
      <w:bookmarkStart w:id="9" w:name="_Toc304710250"/>
      <w:bookmarkStart w:id="10" w:name="_Toc304710277"/>
      <w:r w:rsidRPr="000369DF">
        <w:rPr>
          <w:rFonts w:ascii="Times New Roman" w:hAnsi="Times New Roman" w:cs="Times New Roman"/>
          <w:lang w:val="en-AU"/>
        </w:rPr>
        <w:t>Pinpointing the legal uncertainty</w:t>
      </w:r>
      <w:bookmarkEnd w:id="9"/>
      <w:bookmarkEnd w:id="10"/>
    </w:p>
    <w:p w14:paraId="6F07E092" w14:textId="77777777" w:rsidR="000369DF" w:rsidRDefault="000369DF" w:rsidP="005030CC">
      <w:pPr>
        <w:pStyle w:val="Body"/>
        <w:spacing w:line="360" w:lineRule="auto"/>
        <w:jc w:val="both"/>
        <w:rPr>
          <w:rFonts w:ascii="Times New Roman" w:hAnsi="Times New Roman" w:cs="Times New Roman"/>
          <w:sz w:val="24"/>
          <w:szCs w:val="24"/>
          <w:lang w:val="en-AU"/>
        </w:rPr>
      </w:pPr>
    </w:p>
    <w:p w14:paraId="1C3F3A34" w14:textId="77777777" w:rsidR="004D51A4" w:rsidRPr="00653E7D" w:rsidRDefault="004D51A4" w:rsidP="005030CC">
      <w:pPr>
        <w:pStyle w:val="Body"/>
        <w:spacing w:line="360" w:lineRule="auto"/>
        <w:jc w:val="both"/>
        <w:rPr>
          <w:rFonts w:ascii="Times New Roman" w:eastAsia="Times New Roman" w:hAnsi="Times New Roman" w:cs="Times New Roman"/>
          <w:sz w:val="24"/>
          <w:szCs w:val="24"/>
          <w:lang w:val="en-AU"/>
        </w:rPr>
      </w:pPr>
      <w:r w:rsidRPr="00653E7D">
        <w:rPr>
          <w:rFonts w:ascii="Times New Roman" w:hAnsi="Times New Roman" w:cs="Times New Roman"/>
          <w:sz w:val="24"/>
          <w:szCs w:val="24"/>
          <w:lang w:val="en-AU"/>
        </w:rPr>
        <w:t xml:space="preserve">Access to most of the labour entitlements under the </w:t>
      </w:r>
      <w:r w:rsidRPr="00653E7D">
        <w:rPr>
          <w:rFonts w:ascii="Times New Roman" w:hAnsi="Times New Roman" w:cs="Times New Roman"/>
          <w:i/>
          <w:iCs/>
          <w:sz w:val="24"/>
          <w:szCs w:val="24"/>
          <w:lang w:val="en-AU"/>
        </w:rPr>
        <w:t xml:space="preserve">Fair Work Act 2009 </w:t>
      </w:r>
      <w:r w:rsidRPr="00653E7D">
        <w:rPr>
          <w:rFonts w:ascii="Times New Roman" w:hAnsi="Times New Roman" w:cs="Times New Roman"/>
          <w:sz w:val="24"/>
          <w:szCs w:val="24"/>
          <w:lang w:val="en-AU"/>
        </w:rPr>
        <w:t>(Cth) (‘</w:t>
      </w:r>
      <w:r w:rsidRPr="00653E7D">
        <w:rPr>
          <w:rFonts w:ascii="Times New Roman" w:hAnsi="Times New Roman" w:cs="Times New Roman"/>
          <w:b/>
          <w:bCs/>
          <w:sz w:val="24"/>
          <w:szCs w:val="24"/>
          <w:lang w:val="en-AU"/>
        </w:rPr>
        <w:t>FW Act</w:t>
      </w:r>
      <w:r w:rsidRPr="00653E7D">
        <w:rPr>
          <w:rFonts w:ascii="Times New Roman" w:hAnsi="Times New Roman" w:cs="Times New Roman"/>
          <w:sz w:val="24"/>
          <w:szCs w:val="24"/>
          <w:lang w:val="en-AU"/>
        </w:rPr>
        <w:t>’) is reserved for ‘national system employees’, with the term ‘employees’ given its ordinary meaning and typically requiring a valid and enforceable employment contract.</w:t>
      </w:r>
      <w:r w:rsidRPr="00653E7D">
        <w:rPr>
          <w:rFonts w:ascii="Times New Roman" w:eastAsia="Times New Roman" w:hAnsi="Times New Roman" w:cs="Times New Roman"/>
          <w:sz w:val="24"/>
          <w:szCs w:val="24"/>
          <w:vertAlign w:val="superscript"/>
          <w:lang w:val="en-AU"/>
        </w:rPr>
        <w:endnoteReference w:id="13"/>
      </w:r>
      <w:r w:rsidRPr="00653E7D">
        <w:rPr>
          <w:rFonts w:ascii="Times New Roman" w:hAnsi="Times New Roman" w:cs="Times New Roman"/>
          <w:sz w:val="24"/>
          <w:szCs w:val="24"/>
          <w:lang w:val="en-AU"/>
        </w:rPr>
        <w:t xml:space="preserve"> The operation of the </w:t>
      </w:r>
      <w:r w:rsidRPr="00653E7D">
        <w:rPr>
          <w:rFonts w:ascii="Times New Roman" w:hAnsi="Times New Roman" w:cs="Times New Roman"/>
          <w:i/>
          <w:iCs/>
          <w:sz w:val="24"/>
          <w:szCs w:val="24"/>
          <w:lang w:val="en-AU"/>
        </w:rPr>
        <w:t xml:space="preserve">Migration Act 1958 </w:t>
      </w:r>
      <w:r w:rsidRPr="00653E7D">
        <w:rPr>
          <w:rFonts w:ascii="Times New Roman" w:hAnsi="Times New Roman" w:cs="Times New Roman"/>
          <w:sz w:val="24"/>
          <w:szCs w:val="24"/>
          <w:lang w:val="en-AU"/>
        </w:rPr>
        <w:t>(Cth) (‘</w:t>
      </w:r>
      <w:r w:rsidRPr="00653E7D">
        <w:rPr>
          <w:rFonts w:ascii="Times New Roman" w:hAnsi="Times New Roman" w:cs="Times New Roman"/>
          <w:b/>
          <w:bCs/>
          <w:sz w:val="24"/>
          <w:szCs w:val="24"/>
          <w:lang w:val="en-AU"/>
        </w:rPr>
        <w:t>Migration Act</w:t>
      </w:r>
      <w:r w:rsidRPr="00653E7D">
        <w:rPr>
          <w:rFonts w:ascii="Times New Roman" w:hAnsi="Times New Roman" w:cs="Times New Roman"/>
          <w:sz w:val="24"/>
          <w:szCs w:val="24"/>
          <w:lang w:val="en-AU"/>
        </w:rPr>
        <w:t>’), in its present form</w:t>
      </w:r>
      <w:r w:rsidR="00653E7D">
        <w:rPr>
          <w:rFonts w:ascii="Times New Roman" w:hAnsi="Times New Roman" w:cs="Times New Roman"/>
          <w:sz w:val="24"/>
          <w:szCs w:val="24"/>
          <w:lang w:val="en-AU"/>
        </w:rPr>
        <w:t xml:space="preserve"> under </w:t>
      </w:r>
      <w:r w:rsidR="00653E7D" w:rsidRPr="00653E7D">
        <w:rPr>
          <w:rFonts w:ascii="Times New Roman" w:hAnsi="Times New Roman" w:cs="Times New Roman"/>
          <w:b/>
          <w:sz w:val="24"/>
          <w:szCs w:val="24"/>
          <w:lang w:val="en-AU"/>
        </w:rPr>
        <w:t>s 235</w:t>
      </w:r>
      <w:r w:rsidR="00653E7D">
        <w:rPr>
          <w:rFonts w:ascii="Times New Roman" w:hAnsi="Times New Roman" w:cs="Times New Roman"/>
          <w:sz w:val="24"/>
          <w:szCs w:val="24"/>
          <w:lang w:val="en-AU"/>
        </w:rPr>
        <w:t xml:space="preserve"> (offences in relation to work)</w:t>
      </w:r>
      <w:r w:rsidRPr="00653E7D">
        <w:rPr>
          <w:rFonts w:ascii="Times New Roman" w:hAnsi="Times New Roman" w:cs="Times New Roman"/>
          <w:sz w:val="24"/>
          <w:szCs w:val="24"/>
          <w:lang w:val="en-AU"/>
        </w:rPr>
        <w:t>, denies these rights to ‘unlawful non-citizens’</w:t>
      </w:r>
      <w:r w:rsidRPr="00653E7D">
        <w:rPr>
          <w:rFonts w:ascii="Times New Roman" w:eastAsia="Times New Roman" w:hAnsi="Times New Roman" w:cs="Times New Roman"/>
          <w:sz w:val="24"/>
          <w:szCs w:val="24"/>
          <w:vertAlign w:val="superscript"/>
          <w:lang w:val="en-AU"/>
        </w:rPr>
        <w:endnoteReference w:id="14"/>
      </w:r>
      <w:r w:rsidRPr="00653E7D">
        <w:rPr>
          <w:rFonts w:ascii="Times New Roman" w:hAnsi="Times New Roman" w:cs="Times New Roman"/>
          <w:sz w:val="24"/>
          <w:szCs w:val="24"/>
          <w:lang w:val="en-AU"/>
        </w:rPr>
        <w:t xml:space="preserve"> as well as those migrants that are lawfully present, but working without entitlements in their visa to do so.</w:t>
      </w:r>
      <w:r w:rsidRPr="00653E7D">
        <w:rPr>
          <w:rFonts w:ascii="Times New Roman" w:eastAsia="Times New Roman" w:hAnsi="Times New Roman" w:cs="Times New Roman"/>
          <w:sz w:val="24"/>
          <w:szCs w:val="24"/>
          <w:vertAlign w:val="superscript"/>
          <w:lang w:val="en-AU"/>
        </w:rPr>
        <w:endnoteReference w:id="15"/>
      </w:r>
      <w:r w:rsidRPr="00653E7D">
        <w:rPr>
          <w:rFonts w:ascii="Times New Roman" w:hAnsi="Times New Roman" w:cs="Times New Roman"/>
          <w:sz w:val="24"/>
          <w:szCs w:val="24"/>
          <w:lang w:val="en-AU"/>
        </w:rPr>
        <w:t xml:space="preserve"> This is because, while the High Court of Australia is yet to directly address the issue, lower-level courts have </w:t>
      </w:r>
      <w:r w:rsidRPr="00653E7D">
        <w:rPr>
          <w:rFonts w:ascii="Times New Roman" w:hAnsi="Times New Roman" w:cs="Times New Roman"/>
          <w:sz w:val="24"/>
          <w:szCs w:val="24"/>
          <w:lang w:val="en-AU"/>
        </w:rPr>
        <w:lastRenderedPageBreak/>
        <w:t>increasingly denied the legality of employment contracts th</w:t>
      </w:r>
      <w:r w:rsidR="00653E7D">
        <w:rPr>
          <w:rFonts w:ascii="Times New Roman" w:hAnsi="Times New Roman" w:cs="Times New Roman"/>
          <w:sz w:val="24"/>
          <w:szCs w:val="24"/>
          <w:lang w:val="en-AU"/>
        </w:rPr>
        <w:t>at are made in breach of s 235</w:t>
      </w:r>
      <w:r w:rsidRPr="00653E7D">
        <w:rPr>
          <w:rFonts w:ascii="Times New Roman" w:hAnsi="Times New Roman" w:cs="Times New Roman"/>
          <w:sz w:val="24"/>
          <w:szCs w:val="24"/>
          <w:lang w:val="en-AU"/>
        </w:rPr>
        <w:t>.</w:t>
      </w:r>
      <w:r w:rsidRPr="00653E7D">
        <w:rPr>
          <w:rFonts w:ascii="Times New Roman" w:eastAsia="Times New Roman" w:hAnsi="Times New Roman" w:cs="Times New Roman"/>
          <w:sz w:val="24"/>
          <w:szCs w:val="24"/>
          <w:vertAlign w:val="superscript"/>
          <w:lang w:val="en-AU"/>
        </w:rPr>
        <w:endnoteReference w:id="16"/>
      </w:r>
      <w:r w:rsidRPr="00653E7D">
        <w:rPr>
          <w:rFonts w:ascii="Times New Roman" w:hAnsi="Times New Roman" w:cs="Times New Roman"/>
          <w:sz w:val="24"/>
          <w:szCs w:val="24"/>
          <w:lang w:val="en-AU"/>
        </w:rPr>
        <w:t xml:space="preserve"> Most recently, the Fair Work Commission in </w:t>
      </w:r>
      <w:r w:rsidRPr="00653E7D">
        <w:rPr>
          <w:rFonts w:ascii="Times New Roman" w:hAnsi="Times New Roman" w:cs="Times New Roman"/>
          <w:i/>
          <w:iCs/>
          <w:sz w:val="24"/>
          <w:szCs w:val="24"/>
          <w:lang w:val="en-AU"/>
        </w:rPr>
        <w:t>Smallwood v Ergo Asia Pty Ltd</w:t>
      </w:r>
      <w:r w:rsidRPr="00653E7D">
        <w:rPr>
          <w:rFonts w:ascii="Times New Roman" w:eastAsia="Times New Roman" w:hAnsi="Times New Roman" w:cs="Times New Roman"/>
          <w:sz w:val="24"/>
          <w:szCs w:val="24"/>
          <w:vertAlign w:val="superscript"/>
          <w:lang w:val="en-AU"/>
        </w:rPr>
        <w:endnoteReference w:id="17"/>
      </w:r>
      <w:r w:rsidRPr="00653E7D">
        <w:rPr>
          <w:rFonts w:ascii="Times New Roman" w:hAnsi="Times New Roman" w:cs="Times New Roman"/>
          <w:sz w:val="24"/>
          <w:szCs w:val="24"/>
          <w:lang w:val="en-AU"/>
        </w:rPr>
        <w:t xml:space="preserve"> applied the finding in </w:t>
      </w:r>
      <w:r w:rsidRPr="00653E7D">
        <w:rPr>
          <w:rFonts w:ascii="Times New Roman" w:hAnsi="Times New Roman" w:cs="Times New Roman"/>
          <w:i/>
          <w:iCs/>
          <w:sz w:val="24"/>
          <w:szCs w:val="24"/>
          <w:lang w:val="en-AU"/>
        </w:rPr>
        <w:t xml:space="preserve">Australian Meat Holdings v </w:t>
      </w:r>
      <w:proofErr w:type="spellStart"/>
      <w:r w:rsidRPr="00653E7D">
        <w:rPr>
          <w:rFonts w:ascii="Times New Roman" w:hAnsi="Times New Roman" w:cs="Times New Roman"/>
          <w:i/>
          <w:iCs/>
          <w:sz w:val="24"/>
          <w:szCs w:val="24"/>
          <w:lang w:val="en-AU"/>
        </w:rPr>
        <w:t>Kazi</w:t>
      </w:r>
      <w:proofErr w:type="spellEnd"/>
      <w:r w:rsidRPr="00653E7D">
        <w:rPr>
          <w:rFonts w:ascii="Times New Roman" w:eastAsia="Times New Roman" w:hAnsi="Times New Roman" w:cs="Times New Roman"/>
          <w:sz w:val="24"/>
          <w:szCs w:val="24"/>
          <w:vertAlign w:val="superscript"/>
          <w:lang w:val="en-AU"/>
        </w:rPr>
        <w:endnoteReference w:id="18"/>
      </w:r>
      <w:r w:rsidRPr="00653E7D">
        <w:rPr>
          <w:rFonts w:ascii="Times New Roman" w:hAnsi="Times New Roman" w:cs="Times New Roman"/>
          <w:sz w:val="24"/>
          <w:szCs w:val="24"/>
          <w:lang w:val="en-AU"/>
        </w:rPr>
        <w:t xml:space="preserve"> that an employment contract is invalidated if entered in breach of s 235.</w:t>
      </w:r>
      <w:r w:rsidRPr="00653E7D">
        <w:rPr>
          <w:rFonts w:ascii="Times New Roman" w:eastAsia="Times New Roman" w:hAnsi="Times New Roman" w:cs="Times New Roman"/>
          <w:sz w:val="24"/>
          <w:szCs w:val="24"/>
          <w:vertAlign w:val="superscript"/>
          <w:lang w:val="en-AU"/>
        </w:rPr>
        <w:endnoteReference w:id="19"/>
      </w:r>
      <w:r w:rsidRPr="00653E7D">
        <w:rPr>
          <w:rFonts w:ascii="Times New Roman" w:hAnsi="Times New Roman" w:cs="Times New Roman"/>
          <w:sz w:val="24"/>
          <w:szCs w:val="24"/>
          <w:lang w:val="en-AU"/>
        </w:rPr>
        <w:t xml:space="preserve"> This approach stands in contrast to </w:t>
      </w:r>
      <w:proofErr w:type="spellStart"/>
      <w:r w:rsidRPr="00653E7D">
        <w:rPr>
          <w:rFonts w:ascii="Times New Roman" w:hAnsi="Times New Roman" w:cs="Times New Roman"/>
          <w:i/>
          <w:iCs/>
          <w:sz w:val="24"/>
          <w:szCs w:val="24"/>
          <w:lang w:val="en-AU"/>
        </w:rPr>
        <w:t>Nonferral</w:t>
      </w:r>
      <w:proofErr w:type="spellEnd"/>
      <w:r w:rsidRPr="00653E7D">
        <w:rPr>
          <w:rFonts w:ascii="Times New Roman" w:hAnsi="Times New Roman" w:cs="Times New Roman"/>
          <w:i/>
          <w:iCs/>
          <w:sz w:val="24"/>
          <w:szCs w:val="24"/>
          <w:lang w:val="en-AU"/>
        </w:rPr>
        <w:t xml:space="preserve"> (NSW) Pty Ltd v </w:t>
      </w:r>
      <w:proofErr w:type="spellStart"/>
      <w:r w:rsidRPr="00653E7D">
        <w:rPr>
          <w:rFonts w:ascii="Times New Roman" w:hAnsi="Times New Roman" w:cs="Times New Roman"/>
          <w:i/>
          <w:iCs/>
          <w:sz w:val="24"/>
          <w:szCs w:val="24"/>
          <w:lang w:val="en-AU"/>
        </w:rPr>
        <w:t>Taufia</w:t>
      </w:r>
      <w:proofErr w:type="spellEnd"/>
      <w:r w:rsidRPr="00653E7D">
        <w:rPr>
          <w:rFonts w:ascii="Times New Roman" w:hAnsi="Times New Roman" w:cs="Times New Roman"/>
          <w:sz w:val="24"/>
          <w:szCs w:val="24"/>
          <w:lang w:val="en-AU"/>
        </w:rPr>
        <w:t>,</w:t>
      </w:r>
      <w:r w:rsidRPr="00653E7D">
        <w:rPr>
          <w:rFonts w:ascii="Times New Roman" w:eastAsia="Times New Roman" w:hAnsi="Times New Roman" w:cs="Times New Roman"/>
          <w:sz w:val="24"/>
          <w:szCs w:val="24"/>
          <w:vertAlign w:val="superscript"/>
          <w:lang w:val="en-AU"/>
        </w:rPr>
        <w:endnoteReference w:id="20"/>
      </w:r>
      <w:r w:rsidRPr="00653E7D">
        <w:rPr>
          <w:rFonts w:ascii="Times New Roman" w:hAnsi="Times New Roman" w:cs="Times New Roman"/>
          <w:sz w:val="24"/>
          <w:szCs w:val="24"/>
          <w:lang w:val="en-AU"/>
        </w:rPr>
        <w:t xml:space="preserve"> where neither the object nor the intention of the predecessor to s 235 was found to have required the employment contract to be invalid; a penalty alone sufficed.</w:t>
      </w:r>
      <w:r w:rsidRPr="00653E7D">
        <w:rPr>
          <w:rFonts w:ascii="Times New Roman" w:eastAsia="Times New Roman" w:hAnsi="Times New Roman" w:cs="Times New Roman"/>
          <w:sz w:val="24"/>
          <w:szCs w:val="24"/>
          <w:vertAlign w:val="superscript"/>
          <w:lang w:val="en-AU"/>
        </w:rPr>
        <w:endnoteReference w:id="21"/>
      </w:r>
      <w:r w:rsidRPr="00653E7D">
        <w:rPr>
          <w:rFonts w:ascii="Times New Roman" w:hAnsi="Times New Roman" w:cs="Times New Roman"/>
          <w:sz w:val="24"/>
          <w:szCs w:val="24"/>
          <w:lang w:val="en-AU"/>
        </w:rPr>
        <w:t xml:space="preserve"> Although the court in </w:t>
      </w:r>
      <w:proofErr w:type="spellStart"/>
      <w:r w:rsidRPr="00653E7D">
        <w:rPr>
          <w:rFonts w:ascii="Times New Roman" w:hAnsi="Times New Roman" w:cs="Times New Roman"/>
          <w:i/>
          <w:iCs/>
          <w:sz w:val="24"/>
          <w:szCs w:val="24"/>
          <w:lang w:val="en-AU"/>
        </w:rPr>
        <w:t>Kazi</w:t>
      </w:r>
      <w:proofErr w:type="spellEnd"/>
      <w:r w:rsidRPr="00653E7D">
        <w:rPr>
          <w:rFonts w:ascii="Times New Roman" w:hAnsi="Times New Roman" w:cs="Times New Roman"/>
          <w:i/>
          <w:iCs/>
          <w:sz w:val="24"/>
          <w:szCs w:val="24"/>
          <w:lang w:val="en-AU"/>
        </w:rPr>
        <w:t xml:space="preserve"> had </w:t>
      </w:r>
      <w:r w:rsidRPr="00653E7D">
        <w:rPr>
          <w:rFonts w:ascii="Times New Roman" w:hAnsi="Times New Roman" w:cs="Times New Roman"/>
          <w:sz w:val="24"/>
          <w:szCs w:val="24"/>
          <w:lang w:val="en-AU"/>
        </w:rPr>
        <w:t>rejected this on the basis of changes in the provision,</w:t>
      </w:r>
      <w:r w:rsidRPr="00653E7D">
        <w:rPr>
          <w:rFonts w:ascii="Times New Roman" w:eastAsia="Times New Roman" w:hAnsi="Times New Roman" w:cs="Times New Roman"/>
          <w:sz w:val="24"/>
          <w:szCs w:val="24"/>
          <w:vertAlign w:val="superscript"/>
          <w:lang w:val="en-AU"/>
        </w:rPr>
        <w:endnoteReference w:id="22"/>
      </w:r>
      <w:r w:rsidRPr="00653E7D">
        <w:rPr>
          <w:rFonts w:ascii="Times New Roman" w:hAnsi="Times New Roman" w:cs="Times New Roman"/>
          <w:sz w:val="24"/>
          <w:szCs w:val="24"/>
          <w:lang w:val="en-AU"/>
        </w:rPr>
        <w:t xml:space="preserve"> it is worth noting that the higher threshold for illegality in </w:t>
      </w:r>
      <w:proofErr w:type="spellStart"/>
      <w:r w:rsidRPr="00653E7D">
        <w:rPr>
          <w:rFonts w:ascii="Times New Roman" w:hAnsi="Times New Roman" w:cs="Times New Roman"/>
          <w:i/>
          <w:iCs/>
          <w:sz w:val="24"/>
          <w:szCs w:val="24"/>
          <w:lang w:val="en-AU"/>
        </w:rPr>
        <w:t>Taufia</w:t>
      </w:r>
      <w:proofErr w:type="spellEnd"/>
      <w:r w:rsidRPr="00653E7D">
        <w:rPr>
          <w:rFonts w:ascii="Times New Roman" w:hAnsi="Times New Roman" w:cs="Times New Roman"/>
          <w:sz w:val="24"/>
          <w:szCs w:val="24"/>
          <w:lang w:val="en-AU"/>
        </w:rPr>
        <w:t xml:space="preserve"> continues to enjoy support from several scholars who are likely to prefer its reasoning to that in </w:t>
      </w:r>
      <w:proofErr w:type="spellStart"/>
      <w:r w:rsidRPr="00653E7D">
        <w:rPr>
          <w:rFonts w:ascii="Times New Roman" w:hAnsi="Times New Roman" w:cs="Times New Roman"/>
          <w:i/>
          <w:iCs/>
          <w:sz w:val="24"/>
          <w:szCs w:val="24"/>
          <w:lang w:val="en-AU"/>
        </w:rPr>
        <w:t>Kazi</w:t>
      </w:r>
      <w:proofErr w:type="spellEnd"/>
      <w:r w:rsidRPr="00653E7D">
        <w:rPr>
          <w:rFonts w:ascii="Times New Roman" w:hAnsi="Times New Roman" w:cs="Times New Roman"/>
          <w:i/>
          <w:iCs/>
          <w:sz w:val="24"/>
          <w:szCs w:val="24"/>
          <w:lang w:val="en-AU"/>
        </w:rPr>
        <w:t xml:space="preserve"> </w:t>
      </w:r>
      <w:r w:rsidRPr="00653E7D">
        <w:rPr>
          <w:rFonts w:ascii="Times New Roman" w:hAnsi="Times New Roman" w:cs="Times New Roman"/>
          <w:sz w:val="24"/>
          <w:szCs w:val="24"/>
          <w:lang w:val="en-AU"/>
        </w:rPr>
        <w:t xml:space="preserve">and </w:t>
      </w:r>
      <w:r w:rsidRPr="00653E7D">
        <w:rPr>
          <w:rFonts w:ascii="Times New Roman" w:hAnsi="Times New Roman" w:cs="Times New Roman"/>
          <w:i/>
          <w:iCs/>
          <w:sz w:val="24"/>
          <w:szCs w:val="24"/>
          <w:lang w:val="en-AU"/>
        </w:rPr>
        <w:t>Smallwood</w:t>
      </w:r>
      <w:r w:rsidRPr="00653E7D">
        <w:rPr>
          <w:rFonts w:ascii="Times New Roman" w:hAnsi="Times New Roman" w:cs="Times New Roman"/>
          <w:sz w:val="24"/>
          <w:szCs w:val="24"/>
          <w:lang w:val="en-AU"/>
        </w:rPr>
        <w:t>.</w:t>
      </w:r>
      <w:r w:rsidRPr="00653E7D">
        <w:rPr>
          <w:rFonts w:ascii="Times New Roman" w:eastAsia="Times New Roman" w:hAnsi="Times New Roman" w:cs="Times New Roman"/>
          <w:sz w:val="24"/>
          <w:szCs w:val="24"/>
          <w:vertAlign w:val="superscript"/>
          <w:lang w:val="en-AU"/>
        </w:rPr>
        <w:endnoteReference w:id="23"/>
      </w:r>
      <w:r w:rsidRPr="00653E7D">
        <w:rPr>
          <w:rFonts w:ascii="Times New Roman" w:hAnsi="Times New Roman" w:cs="Times New Roman"/>
          <w:sz w:val="24"/>
          <w:szCs w:val="24"/>
          <w:lang w:val="en-AU"/>
        </w:rPr>
        <w:t xml:space="preserve"> This adds to the impetus for legislative change to clarify the issue, while demonstrating that there is considerable support for a full-protection approach even for the courts. Nevertheless, under the dominant application of the illegality doctrine, no</w:t>
      </w:r>
      <w:r w:rsidRPr="00653E7D">
        <w:rPr>
          <w:rFonts w:ascii="Times New Roman" w:hAnsi="Times New Roman" w:cs="Times New Roman"/>
          <w:i/>
          <w:iCs/>
          <w:sz w:val="24"/>
          <w:szCs w:val="24"/>
          <w:lang w:val="en-AU"/>
        </w:rPr>
        <w:t xml:space="preserve"> </w:t>
      </w:r>
      <w:r w:rsidRPr="00653E7D">
        <w:rPr>
          <w:rFonts w:ascii="Times New Roman" w:hAnsi="Times New Roman" w:cs="Times New Roman"/>
          <w:sz w:val="24"/>
          <w:szCs w:val="24"/>
          <w:lang w:val="en-AU"/>
        </w:rPr>
        <w:t>unauthorised migrant worker could access the rights and protections in the FW Act including the minimum wage, the National Employment Standards and unfair dismissal.</w:t>
      </w:r>
      <w:r w:rsidRPr="00653E7D">
        <w:rPr>
          <w:rFonts w:ascii="Times New Roman" w:eastAsia="Times New Roman" w:hAnsi="Times New Roman" w:cs="Times New Roman"/>
          <w:sz w:val="24"/>
          <w:szCs w:val="24"/>
          <w:vertAlign w:val="superscript"/>
          <w:lang w:val="en-AU"/>
        </w:rPr>
        <w:endnoteReference w:id="24"/>
      </w:r>
      <w:r w:rsidRPr="00653E7D">
        <w:rPr>
          <w:rFonts w:ascii="Times New Roman" w:hAnsi="Times New Roman" w:cs="Times New Roman"/>
          <w:sz w:val="24"/>
          <w:szCs w:val="24"/>
          <w:lang w:val="en-AU"/>
        </w:rPr>
        <w:t xml:space="preserve"> The </w:t>
      </w:r>
      <w:proofErr w:type="spellStart"/>
      <w:r w:rsidRPr="00653E7D">
        <w:rPr>
          <w:rFonts w:ascii="Times New Roman" w:hAnsi="Times New Roman" w:cs="Times New Roman"/>
          <w:sz w:val="24"/>
          <w:szCs w:val="24"/>
          <w:lang w:val="en-AU"/>
        </w:rPr>
        <w:t>FWO</w:t>
      </w:r>
      <w:proofErr w:type="spellEnd"/>
      <w:r w:rsidRPr="00653E7D">
        <w:rPr>
          <w:rFonts w:ascii="Times New Roman" w:hAnsi="Times New Roman" w:cs="Times New Roman"/>
          <w:sz w:val="24"/>
          <w:szCs w:val="24"/>
          <w:lang w:val="en-AU"/>
        </w:rPr>
        <w:t xml:space="preserve"> could also offer no assistance in enforcing such rights to, for example, recover unpaid wages.</w:t>
      </w:r>
      <w:r w:rsidRPr="00653E7D">
        <w:rPr>
          <w:rFonts w:ascii="Times New Roman" w:eastAsia="Times New Roman" w:hAnsi="Times New Roman" w:cs="Times New Roman"/>
          <w:sz w:val="24"/>
          <w:szCs w:val="24"/>
          <w:vertAlign w:val="superscript"/>
          <w:lang w:val="en-AU"/>
        </w:rPr>
        <w:endnoteReference w:id="25"/>
      </w:r>
      <w:r w:rsidRPr="00653E7D">
        <w:rPr>
          <w:rFonts w:ascii="Times New Roman" w:hAnsi="Times New Roman" w:cs="Times New Roman"/>
          <w:sz w:val="24"/>
          <w:szCs w:val="24"/>
          <w:lang w:val="en-AU"/>
        </w:rPr>
        <w:t xml:space="preserve"> The courts have enlivened the non-protective elements of s 235 and with it, illuminated the vulnerability </w:t>
      </w:r>
      <w:r w:rsidR="000369DF">
        <w:rPr>
          <w:rFonts w:ascii="Times New Roman" w:hAnsi="Times New Roman" w:cs="Times New Roman"/>
          <w:sz w:val="24"/>
          <w:szCs w:val="24"/>
          <w:lang w:val="en-AU"/>
        </w:rPr>
        <w:t>of unauthorised migrant workers under existing legislation.</w:t>
      </w:r>
    </w:p>
    <w:p w14:paraId="40A89C5B" w14:textId="77777777" w:rsidR="004D51A4" w:rsidRPr="00653E7D" w:rsidRDefault="004D51A4" w:rsidP="005030CC">
      <w:pPr>
        <w:pStyle w:val="Body"/>
        <w:spacing w:line="360" w:lineRule="auto"/>
        <w:jc w:val="both"/>
        <w:rPr>
          <w:rFonts w:ascii="Times New Roman" w:eastAsia="Times New Roman" w:hAnsi="Times New Roman" w:cs="Times New Roman"/>
          <w:sz w:val="24"/>
          <w:szCs w:val="24"/>
          <w:lang w:val="en-AU"/>
        </w:rPr>
      </w:pPr>
    </w:p>
    <w:p w14:paraId="1F832321" w14:textId="77777777" w:rsidR="004D51A4" w:rsidRPr="00653E7D" w:rsidRDefault="004D51A4" w:rsidP="005030CC">
      <w:pPr>
        <w:pStyle w:val="Heading1"/>
        <w:rPr>
          <w:rFonts w:ascii="Times New Roman" w:hAnsi="Times New Roman" w:cs="Times New Roman"/>
          <w:lang w:val="en-AU"/>
        </w:rPr>
      </w:pPr>
      <w:bookmarkStart w:id="11" w:name="_Toc304710251"/>
      <w:bookmarkStart w:id="12" w:name="_Toc304710278"/>
      <w:r w:rsidRPr="00653E7D">
        <w:rPr>
          <w:rFonts w:ascii="Times New Roman" w:hAnsi="Times New Roman" w:cs="Times New Roman"/>
          <w:lang w:val="en-AU"/>
        </w:rPr>
        <w:t>Why protect unauthorised migrant workers’ rights?</w:t>
      </w:r>
      <w:bookmarkEnd w:id="11"/>
      <w:bookmarkEnd w:id="12"/>
    </w:p>
    <w:p w14:paraId="04E77B30" w14:textId="77777777" w:rsidR="004D51A4" w:rsidRPr="00653E7D" w:rsidRDefault="004D51A4" w:rsidP="005030CC">
      <w:pPr>
        <w:pStyle w:val="Body"/>
        <w:spacing w:line="360" w:lineRule="auto"/>
        <w:jc w:val="both"/>
        <w:rPr>
          <w:rFonts w:ascii="Times New Roman" w:hAnsi="Times New Roman" w:cs="Times New Roman"/>
          <w:sz w:val="24"/>
          <w:szCs w:val="24"/>
          <w:lang w:val="en-AU"/>
        </w:rPr>
      </w:pPr>
    </w:p>
    <w:p w14:paraId="3F6D9DE1" w14:textId="77777777" w:rsidR="004D51A4" w:rsidRPr="00653E7D" w:rsidRDefault="004D51A4" w:rsidP="005030CC">
      <w:pPr>
        <w:pStyle w:val="Body"/>
        <w:spacing w:line="360" w:lineRule="auto"/>
        <w:jc w:val="both"/>
        <w:rPr>
          <w:rFonts w:ascii="Times New Roman" w:eastAsia="Times New Roman" w:hAnsi="Times New Roman" w:cs="Times New Roman"/>
          <w:sz w:val="24"/>
          <w:szCs w:val="24"/>
          <w:lang w:val="en-AU"/>
        </w:rPr>
      </w:pPr>
      <w:r w:rsidRPr="00653E7D">
        <w:rPr>
          <w:rFonts w:ascii="Times New Roman" w:hAnsi="Times New Roman" w:cs="Times New Roman"/>
          <w:sz w:val="24"/>
          <w:szCs w:val="24"/>
          <w:lang w:val="en-AU"/>
        </w:rPr>
        <w:t xml:space="preserve">This </w:t>
      </w:r>
      <w:r w:rsidR="000369DF">
        <w:rPr>
          <w:rFonts w:ascii="Times New Roman" w:hAnsi="Times New Roman" w:cs="Times New Roman"/>
          <w:sz w:val="24"/>
          <w:szCs w:val="24"/>
          <w:lang w:val="en-AU"/>
        </w:rPr>
        <w:t xml:space="preserve">submission </w:t>
      </w:r>
      <w:r w:rsidRPr="00653E7D">
        <w:rPr>
          <w:rFonts w:ascii="Times New Roman" w:hAnsi="Times New Roman" w:cs="Times New Roman"/>
          <w:sz w:val="24"/>
          <w:szCs w:val="24"/>
          <w:lang w:val="en-AU"/>
        </w:rPr>
        <w:t xml:space="preserve">advances </w:t>
      </w:r>
      <w:r w:rsidR="000369DF">
        <w:rPr>
          <w:rFonts w:ascii="Times New Roman" w:hAnsi="Times New Roman" w:cs="Times New Roman"/>
          <w:sz w:val="24"/>
          <w:szCs w:val="24"/>
          <w:lang w:val="en-AU"/>
        </w:rPr>
        <w:t xml:space="preserve">the widely-held belief </w:t>
      </w:r>
      <w:r w:rsidRPr="00653E7D">
        <w:rPr>
          <w:rFonts w:ascii="Times New Roman" w:hAnsi="Times New Roman" w:cs="Times New Roman"/>
          <w:sz w:val="24"/>
          <w:szCs w:val="24"/>
          <w:lang w:val="en-AU"/>
        </w:rPr>
        <w:t>that any incentive effect promoted by the non-protective approach is still not enough to deny to unauthorised workers what have been classified as basic human rights.</w:t>
      </w:r>
      <w:r w:rsidRPr="00653E7D">
        <w:rPr>
          <w:rFonts w:ascii="Times New Roman" w:eastAsia="Times New Roman" w:hAnsi="Times New Roman" w:cs="Times New Roman"/>
          <w:sz w:val="24"/>
          <w:szCs w:val="24"/>
          <w:vertAlign w:val="superscript"/>
          <w:lang w:val="en-AU"/>
        </w:rPr>
        <w:endnoteReference w:id="26"/>
      </w:r>
      <w:r w:rsidRPr="00653E7D">
        <w:rPr>
          <w:rFonts w:ascii="Times New Roman" w:hAnsi="Times New Roman" w:cs="Times New Roman"/>
          <w:sz w:val="24"/>
          <w:szCs w:val="24"/>
          <w:lang w:val="en-AU"/>
        </w:rPr>
        <w:t xml:space="preserve"> Instead, it advocates for Australia to move to Dewhurst’s ‘full protection’ approach, and extend labour protections to unauthorised migrant workers on the basis of equality and non-discrimination.</w:t>
      </w:r>
      <w:r w:rsidRPr="00653E7D">
        <w:rPr>
          <w:rFonts w:ascii="Times New Roman" w:eastAsia="Times New Roman" w:hAnsi="Times New Roman" w:cs="Times New Roman"/>
          <w:sz w:val="24"/>
          <w:szCs w:val="24"/>
          <w:vertAlign w:val="superscript"/>
          <w:lang w:val="en-AU"/>
        </w:rPr>
        <w:endnoteReference w:id="27"/>
      </w:r>
    </w:p>
    <w:p w14:paraId="6B4E987A" w14:textId="77777777" w:rsidR="004D51A4" w:rsidRPr="00653E7D" w:rsidRDefault="004D51A4" w:rsidP="005030CC">
      <w:pPr>
        <w:pStyle w:val="Body"/>
        <w:spacing w:line="360" w:lineRule="auto"/>
        <w:jc w:val="both"/>
        <w:rPr>
          <w:rFonts w:ascii="Times New Roman" w:eastAsia="Times New Roman" w:hAnsi="Times New Roman" w:cs="Times New Roman"/>
          <w:sz w:val="24"/>
          <w:szCs w:val="24"/>
          <w:lang w:val="en-AU"/>
        </w:rPr>
      </w:pPr>
    </w:p>
    <w:p w14:paraId="413C750F" w14:textId="77777777" w:rsidR="004D51A4" w:rsidRPr="00653E7D" w:rsidRDefault="004D51A4" w:rsidP="005030CC">
      <w:pPr>
        <w:pStyle w:val="Heading2"/>
        <w:rPr>
          <w:rFonts w:ascii="Times New Roman" w:eastAsia="Times New Roman" w:hAnsi="Times New Roman" w:cs="Times New Roman"/>
          <w:lang w:val="en-AU"/>
        </w:rPr>
      </w:pPr>
      <w:bookmarkStart w:id="13" w:name="_Toc304710252"/>
      <w:bookmarkStart w:id="14" w:name="_Toc304710279"/>
      <w:r w:rsidRPr="00653E7D">
        <w:rPr>
          <w:rFonts w:ascii="Times New Roman" w:hAnsi="Times New Roman" w:cs="Times New Roman"/>
          <w:lang w:val="en-AU"/>
        </w:rPr>
        <w:t>Australia’s international obligations and standards for best practice</w:t>
      </w:r>
      <w:bookmarkEnd w:id="13"/>
      <w:bookmarkEnd w:id="14"/>
    </w:p>
    <w:p w14:paraId="47639A4A" w14:textId="77777777" w:rsidR="004D51A4" w:rsidRPr="00653E7D" w:rsidRDefault="004D51A4" w:rsidP="005030CC">
      <w:pPr>
        <w:pStyle w:val="Body"/>
        <w:spacing w:line="360" w:lineRule="auto"/>
        <w:jc w:val="both"/>
        <w:rPr>
          <w:rFonts w:ascii="Times New Roman" w:eastAsia="Times New Roman" w:hAnsi="Times New Roman" w:cs="Times New Roman"/>
          <w:sz w:val="24"/>
          <w:szCs w:val="24"/>
          <w:lang w:val="en-AU"/>
        </w:rPr>
      </w:pPr>
    </w:p>
    <w:p w14:paraId="5322DA8E" w14:textId="77777777" w:rsidR="000369DF" w:rsidRDefault="004D51A4" w:rsidP="005030CC">
      <w:pPr>
        <w:pStyle w:val="Body"/>
        <w:spacing w:line="360" w:lineRule="auto"/>
        <w:jc w:val="both"/>
        <w:rPr>
          <w:rFonts w:ascii="Times New Roman" w:hAnsi="Times New Roman" w:cs="Times New Roman"/>
          <w:sz w:val="24"/>
          <w:szCs w:val="24"/>
          <w:lang w:val="en-AU"/>
        </w:rPr>
      </w:pPr>
      <w:r w:rsidRPr="00653E7D">
        <w:rPr>
          <w:rFonts w:ascii="Times New Roman" w:hAnsi="Times New Roman" w:cs="Times New Roman"/>
          <w:sz w:val="24"/>
          <w:szCs w:val="24"/>
          <w:lang w:val="en-AU"/>
        </w:rPr>
        <w:t>The international human rights framework mandates the equal protection of fundamental rights for citizens and non-citizens alike, irrespective of their residency status.</w:t>
      </w:r>
      <w:r w:rsidRPr="00653E7D">
        <w:rPr>
          <w:rFonts w:ascii="Times New Roman" w:eastAsia="Times New Roman" w:hAnsi="Times New Roman" w:cs="Times New Roman"/>
          <w:sz w:val="24"/>
          <w:szCs w:val="24"/>
          <w:vertAlign w:val="superscript"/>
          <w:lang w:val="en-AU"/>
        </w:rPr>
        <w:endnoteReference w:id="28"/>
      </w:r>
      <w:r w:rsidRPr="00653E7D">
        <w:rPr>
          <w:rFonts w:ascii="Times New Roman" w:hAnsi="Times New Roman" w:cs="Times New Roman"/>
          <w:sz w:val="24"/>
          <w:szCs w:val="24"/>
          <w:lang w:val="en-AU"/>
        </w:rPr>
        <w:t xml:space="preserve"> A notable tenet of this is in the </w:t>
      </w:r>
      <w:r w:rsidRPr="00653E7D">
        <w:rPr>
          <w:rFonts w:ascii="Times New Roman" w:hAnsi="Times New Roman" w:cs="Times New Roman"/>
          <w:i/>
          <w:iCs/>
          <w:sz w:val="24"/>
          <w:szCs w:val="24"/>
          <w:lang w:val="en-AU"/>
        </w:rPr>
        <w:t xml:space="preserve">International Covenant on Economic, Social and Cultural Rights </w:t>
      </w:r>
      <w:r w:rsidRPr="00653E7D">
        <w:rPr>
          <w:rFonts w:ascii="Times New Roman" w:hAnsi="Times New Roman" w:cs="Times New Roman"/>
          <w:sz w:val="24"/>
          <w:szCs w:val="24"/>
          <w:lang w:val="en-AU"/>
        </w:rPr>
        <w:t>(ratified by Australia),</w:t>
      </w:r>
      <w:r w:rsidRPr="00653E7D">
        <w:rPr>
          <w:rFonts w:ascii="Times New Roman" w:eastAsia="Times New Roman" w:hAnsi="Times New Roman" w:cs="Times New Roman"/>
          <w:sz w:val="24"/>
          <w:szCs w:val="24"/>
          <w:vertAlign w:val="superscript"/>
          <w:lang w:val="en-AU"/>
        </w:rPr>
        <w:endnoteReference w:id="29"/>
      </w:r>
      <w:r w:rsidRPr="00653E7D">
        <w:rPr>
          <w:rFonts w:ascii="Times New Roman" w:hAnsi="Times New Roman" w:cs="Times New Roman"/>
          <w:sz w:val="24"/>
          <w:szCs w:val="24"/>
          <w:lang w:val="en-AU"/>
        </w:rPr>
        <w:t xml:space="preserve"> which makes no distinction between </w:t>
      </w:r>
      <w:r w:rsidRPr="00653E7D">
        <w:rPr>
          <w:rFonts w:ascii="Times New Roman" w:hAnsi="Times New Roman" w:cs="Times New Roman"/>
          <w:sz w:val="24"/>
          <w:szCs w:val="24"/>
          <w:lang w:val="en-AU"/>
        </w:rPr>
        <w:lastRenderedPageBreak/>
        <w:t>individuals based on their immigration status, when it grants them the right to ‘just and favourable conditions of work’ such as fair wages,</w:t>
      </w:r>
      <w:r w:rsidRPr="00653E7D">
        <w:rPr>
          <w:rFonts w:ascii="Times New Roman" w:eastAsia="Times New Roman" w:hAnsi="Times New Roman" w:cs="Times New Roman"/>
          <w:sz w:val="24"/>
          <w:szCs w:val="24"/>
          <w:vertAlign w:val="superscript"/>
          <w:lang w:val="en-AU"/>
        </w:rPr>
        <w:endnoteReference w:id="30"/>
      </w:r>
      <w:r w:rsidRPr="00653E7D">
        <w:rPr>
          <w:rFonts w:ascii="Times New Roman" w:hAnsi="Times New Roman" w:cs="Times New Roman"/>
          <w:sz w:val="24"/>
          <w:szCs w:val="24"/>
          <w:lang w:val="en-AU"/>
        </w:rPr>
        <w:t xml:space="preserve"> and other related rights.</w:t>
      </w:r>
      <w:r w:rsidRPr="00653E7D">
        <w:rPr>
          <w:rFonts w:ascii="Times New Roman" w:eastAsia="Times New Roman" w:hAnsi="Times New Roman" w:cs="Times New Roman"/>
          <w:sz w:val="24"/>
          <w:szCs w:val="24"/>
          <w:vertAlign w:val="superscript"/>
          <w:lang w:val="en-AU"/>
        </w:rPr>
        <w:endnoteReference w:id="31"/>
      </w:r>
      <w:r w:rsidRPr="00653E7D">
        <w:rPr>
          <w:rFonts w:ascii="Times New Roman" w:hAnsi="Times New Roman" w:cs="Times New Roman"/>
          <w:sz w:val="24"/>
          <w:szCs w:val="24"/>
          <w:lang w:val="en-AU"/>
        </w:rPr>
        <w:t xml:space="preserve"> This is echoed by several United Nations committees, which have pushed for an end to inequality between authorised and unauthorised migrant workers.</w:t>
      </w:r>
      <w:r w:rsidRPr="00653E7D">
        <w:rPr>
          <w:rFonts w:ascii="Times New Roman" w:eastAsia="Times New Roman" w:hAnsi="Times New Roman" w:cs="Times New Roman"/>
          <w:sz w:val="24"/>
          <w:szCs w:val="24"/>
          <w:vertAlign w:val="superscript"/>
          <w:lang w:val="en-AU"/>
        </w:rPr>
        <w:endnoteReference w:id="32"/>
      </w:r>
      <w:r w:rsidRPr="00653E7D">
        <w:rPr>
          <w:rFonts w:ascii="Times New Roman" w:hAnsi="Times New Roman" w:cs="Times New Roman"/>
          <w:sz w:val="24"/>
          <w:szCs w:val="24"/>
          <w:lang w:val="en-AU"/>
        </w:rPr>
        <w:t xml:space="preserve"> </w:t>
      </w:r>
    </w:p>
    <w:p w14:paraId="7B2752F9" w14:textId="77777777" w:rsidR="000369DF" w:rsidRDefault="000369DF" w:rsidP="005030CC">
      <w:pPr>
        <w:pStyle w:val="Body"/>
        <w:spacing w:line="360" w:lineRule="auto"/>
        <w:jc w:val="both"/>
        <w:rPr>
          <w:rFonts w:ascii="Times New Roman" w:hAnsi="Times New Roman" w:cs="Times New Roman"/>
          <w:sz w:val="24"/>
          <w:szCs w:val="24"/>
          <w:lang w:val="en-AU"/>
        </w:rPr>
      </w:pPr>
    </w:p>
    <w:p w14:paraId="2EA70F0C"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lang w:val="en-AU"/>
        </w:rPr>
      </w:pPr>
      <w:r w:rsidRPr="00653E7D">
        <w:rPr>
          <w:rFonts w:ascii="Times New Roman" w:hAnsi="Times New Roman" w:cs="Times New Roman"/>
          <w:sz w:val="24"/>
          <w:szCs w:val="24"/>
          <w:lang w:val="en-AU"/>
        </w:rPr>
        <w:t xml:space="preserve">A similar push is found in the </w:t>
      </w:r>
      <w:r w:rsidRPr="00653E7D">
        <w:rPr>
          <w:rFonts w:ascii="Times New Roman" w:hAnsi="Times New Roman" w:cs="Times New Roman"/>
          <w:i/>
          <w:sz w:val="24"/>
          <w:szCs w:val="24"/>
          <w:lang w:val="en-AU"/>
        </w:rPr>
        <w:t>Convention on the Protection of the Rights of all Migrant Workers and Members of their Families</w:t>
      </w:r>
      <w:r w:rsidRPr="00653E7D">
        <w:rPr>
          <w:rFonts w:ascii="Times New Roman" w:eastAsia="Times New Roman" w:hAnsi="Times New Roman" w:cs="Times New Roman"/>
          <w:sz w:val="24"/>
          <w:szCs w:val="24"/>
          <w:vertAlign w:val="superscript"/>
          <w:lang w:val="en-AU"/>
        </w:rPr>
        <w:endnoteReference w:id="33"/>
      </w:r>
      <w:r w:rsidRPr="00653E7D">
        <w:rPr>
          <w:rFonts w:ascii="Times New Roman" w:hAnsi="Times New Roman" w:cs="Times New Roman"/>
          <w:sz w:val="24"/>
          <w:szCs w:val="24"/>
          <w:lang w:val="en-AU"/>
        </w:rPr>
        <w:t xml:space="preserve"> which extends the protection of equal treatment in respect of remuneration, hours of work, health and safety, and other employment conditions to unauthorised workers, and provides that their employers should be relieved of any </w:t>
      </w:r>
      <w:proofErr w:type="spellStart"/>
      <w:r w:rsidRPr="00653E7D">
        <w:rPr>
          <w:rFonts w:ascii="Times New Roman" w:hAnsi="Times New Roman" w:cs="Times New Roman"/>
          <w:sz w:val="24"/>
          <w:szCs w:val="24"/>
          <w:lang w:val="en-AU"/>
        </w:rPr>
        <w:t>contractual</w:t>
      </w:r>
      <w:proofErr w:type="spellEnd"/>
      <w:r w:rsidRPr="00653E7D">
        <w:rPr>
          <w:rFonts w:ascii="Times New Roman" w:hAnsi="Times New Roman" w:cs="Times New Roman"/>
          <w:sz w:val="24"/>
          <w:szCs w:val="24"/>
          <w:lang w:val="en-AU"/>
        </w:rPr>
        <w:t xml:space="preserve"> obligations because of any irregularity.</w:t>
      </w:r>
      <w:r w:rsidRPr="00653E7D">
        <w:rPr>
          <w:rFonts w:ascii="Times New Roman" w:eastAsia="Times New Roman" w:hAnsi="Times New Roman" w:cs="Times New Roman"/>
          <w:sz w:val="24"/>
          <w:szCs w:val="24"/>
          <w:vertAlign w:val="superscript"/>
          <w:lang w:val="en-AU"/>
        </w:rPr>
        <w:endnoteReference w:id="34"/>
      </w:r>
      <w:r w:rsidRPr="00653E7D">
        <w:rPr>
          <w:rFonts w:ascii="Times New Roman" w:hAnsi="Times New Roman" w:cs="Times New Roman"/>
          <w:sz w:val="24"/>
          <w:szCs w:val="24"/>
          <w:lang w:val="en-AU"/>
        </w:rPr>
        <w:t xml:space="preserve"> While not ratified by Australia, this can still provide guidance on how the law should be developed.</w:t>
      </w:r>
      <w:r w:rsidRPr="00653E7D">
        <w:rPr>
          <w:rFonts w:ascii="Times New Roman" w:eastAsia="Times New Roman" w:hAnsi="Times New Roman" w:cs="Times New Roman"/>
          <w:sz w:val="24"/>
          <w:szCs w:val="24"/>
          <w:vertAlign w:val="superscript"/>
          <w:lang w:val="en-AU"/>
        </w:rPr>
        <w:endnoteReference w:id="35"/>
      </w:r>
      <w:r w:rsidRPr="00653E7D">
        <w:rPr>
          <w:rFonts w:ascii="Times New Roman" w:hAnsi="Times New Roman" w:cs="Times New Roman"/>
          <w:sz w:val="24"/>
          <w:szCs w:val="24"/>
          <w:lang w:val="en-AU"/>
        </w:rPr>
        <w:t xml:space="preserve"> Ratified or not, when taken together these norms provide an indication of how migration labour law will develop, and to some extent already has developed, around the world. This was seen when the Inter-American Court of Human Rights found that rights such as fair working conditions and freedom of association were inalienable and possessed by all workers ‘irrespective of their migratory status’,</w:t>
      </w:r>
      <w:r w:rsidRPr="00653E7D">
        <w:rPr>
          <w:rFonts w:ascii="Times New Roman" w:eastAsia="Times New Roman" w:hAnsi="Times New Roman" w:cs="Times New Roman"/>
          <w:sz w:val="24"/>
          <w:szCs w:val="24"/>
          <w:vertAlign w:val="superscript"/>
          <w:lang w:val="en-AU"/>
        </w:rPr>
        <w:endnoteReference w:id="36"/>
      </w:r>
      <w:r w:rsidRPr="00653E7D">
        <w:rPr>
          <w:rFonts w:ascii="Times New Roman" w:hAnsi="Times New Roman" w:cs="Times New Roman"/>
          <w:sz w:val="24"/>
          <w:szCs w:val="24"/>
          <w:lang w:val="en-AU"/>
        </w:rPr>
        <w:t xml:space="preserve"> and had to be guaranteed once an employment relationship was established.</w:t>
      </w:r>
      <w:r w:rsidRPr="00653E7D">
        <w:rPr>
          <w:rFonts w:ascii="Times New Roman" w:eastAsia="Times New Roman" w:hAnsi="Times New Roman" w:cs="Times New Roman"/>
          <w:sz w:val="24"/>
          <w:szCs w:val="24"/>
          <w:vertAlign w:val="superscript"/>
          <w:lang w:val="en-AU"/>
        </w:rPr>
        <w:endnoteReference w:id="37"/>
      </w:r>
      <w:r w:rsidRPr="00653E7D">
        <w:rPr>
          <w:rFonts w:ascii="Times New Roman" w:hAnsi="Times New Roman" w:cs="Times New Roman"/>
          <w:sz w:val="24"/>
          <w:szCs w:val="24"/>
          <w:lang w:val="en-AU"/>
        </w:rPr>
        <w:t xml:space="preserve"> The opinion is of particular relevance to Australia as the court went further, and found that the principles of equalit</w:t>
      </w:r>
      <w:r w:rsidR="000369DF">
        <w:rPr>
          <w:rFonts w:ascii="Times New Roman" w:hAnsi="Times New Roman" w:cs="Times New Roman"/>
          <w:sz w:val="24"/>
          <w:szCs w:val="24"/>
          <w:lang w:val="en-AU"/>
        </w:rPr>
        <w:t>y and non</w:t>
      </w:r>
      <w:r w:rsidR="001744AA">
        <w:rPr>
          <w:rFonts w:ascii="Times New Roman" w:hAnsi="Times New Roman" w:cs="Times New Roman"/>
          <w:sz w:val="24"/>
          <w:szCs w:val="24"/>
          <w:lang w:val="en-AU"/>
        </w:rPr>
        <w:t>-</w:t>
      </w:r>
      <w:r w:rsidR="000369DF">
        <w:rPr>
          <w:rFonts w:ascii="Times New Roman" w:hAnsi="Times New Roman" w:cs="Times New Roman"/>
          <w:sz w:val="24"/>
          <w:szCs w:val="24"/>
          <w:lang w:val="en-AU"/>
        </w:rPr>
        <w:t>discrimination enjoyed</w:t>
      </w:r>
      <w:r w:rsidRPr="00653E7D">
        <w:rPr>
          <w:rFonts w:ascii="Times New Roman" w:hAnsi="Times New Roman" w:cs="Times New Roman"/>
          <w:sz w:val="24"/>
          <w:szCs w:val="24"/>
          <w:lang w:val="en-AU"/>
        </w:rPr>
        <w:t xml:space="preserve"> </w:t>
      </w:r>
      <w:r w:rsidRPr="00653E7D">
        <w:rPr>
          <w:rFonts w:ascii="Times New Roman" w:hAnsi="Times New Roman" w:cs="Times New Roman"/>
          <w:i/>
          <w:iCs/>
          <w:sz w:val="24"/>
          <w:szCs w:val="24"/>
          <w:lang w:val="en-AU"/>
        </w:rPr>
        <w:t xml:space="preserve">jus </w:t>
      </w:r>
      <w:proofErr w:type="spellStart"/>
      <w:r w:rsidRPr="00653E7D">
        <w:rPr>
          <w:rFonts w:ascii="Times New Roman" w:hAnsi="Times New Roman" w:cs="Times New Roman"/>
          <w:i/>
          <w:iCs/>
          <w:sz w:val="24"/>
          <w:szCs w:val="24"/>
          <w:lang w:val="en-AU"/>
        </w:rPr>
        <w:t>cogens</w:t>
      </w:r>
      <w:proofErr w:type="spellEnd"/>
      <w:r w:rsidR="000369DF" w:rsidRPr="001744AA">
        <w:rPr>
          <w:rStyle w:val="EndnoteReference"/>
          <w:rFonts w:ascii="Times New Roman" w:hAnsi="Times New Roman" w:cs="Times New Roman"/>
          <w:iCs/>
          <w:sz w:val="24"/>
          <w:szCs w:val="24"/>
          <w:lang w:val="en-AU"/>
        </w:rPr>
        <w:endnoteReference w:id="38"/>
      </w:r>
      <w:r w:rsidRPr="00653E7D">
        <w:rPr>
          <w:rFonts w:ascii="Times New Roman" w:hAnsi="Times New Roman" w:cs="Times New Roman"/>
          <w:sz w:val="24"/>
          <w:szCs w:val="24"/>
          <w:lang w:val="en-AU"/>
        </w:rPr>
        <w:t xml:space="preserve"> status as peremptory human rights norms, imposing obligations on all states (including Australia).</w:t>
      </w:r>
      <w:r w:rsidRPr="00653E7D">
        <w:rPr>
          <w:rFonts w:ascii="Times New Roman" w:eastAsia="Times New Roman" w:hAnsi="Times New Roman" w:cs="Times New Roman"/>
          <w:sz w:val="24"/>
          <w:szCs w:val="24"/>
          <w:vertAlign w:val="superscript"/>
          <w:lang w:val="en-AU"/>
        </w:rPr>
        <w:endnoteReference w:id="39"/>
      </w:r>
    </w:p>
    <w:p w14:paraId="59F90B1C"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lang w:val="en-AU"/>
        </w:rPr>
      </w:pPr>
    </w:p>
    <w:p w14:paraId="422C2383"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lang w:val="en-AU"/>
        </w:rPr>
      </w:pPr>
      <w:r w:rsidRPr="00653E7D">
        <w:rPr>
          <w:rFonts w:ascii="Times New Roman" w:hAnsi="Times New Roman" w:cs="Times New Roman"/>
          <w:sz w:val="24"/>
          <w:szCs w:val="24"/>
          <w:lang w:val="en-AU"/>
        </w:rPr>
        <w:t xml:space="preserve">Extending these rights to unauthorised migrants in Australia </w:t>
      </w:r>
      <w:r w:rsidR="001744AA">
        <w:rPr>
          <w:rFonts w:ascii="Times New Roman" w:hAnsi="Times New Roman" w:cs="Times New Roman"/>
          <w:sz w:val="24"/>
          <w:szCs w:val="24"/>
          <w:lang w:val="en-AU"/>
        </w:rPr>
        <w:t>requires</w:t>
      </w:r>
      <w:r w:rsidRPr="00653E7D">
        <w:rPr>
          <w:rFonts w:ascii="Times New Roman" w:hAnsi="Times New Roman" w:cs="Times New Roman"/>
          <w:sz w:val="24"/>
          <w:szCs w:val="24"/>
          <w:lang w:val="en-AU"/>
        </w:rPr>
        <w:t xml:space="preserve"> removing the discrimination between classes of workers </w:t>
      </w:r>
      <w:r w:rsidR="001744AA">
        <w:rPr>
          <w:rFonts w:ascii="Times New Roman" w:hAnsi="Times New Roman" w:cs="Times New Roman"/>
          <w:sz w:val="24"/>
          <w:szCs w:val="24"/>
          <w:lang w:val="en-AU"/>
        </w:rPr>
        <w:t xml:space="preserve">(lawful and unlawful) </w:t>
      </w:r>
      <w:r w:rsidRPr="00653E7D">
        <w:rPr>
          <w:rFonts w:ascii="Times New Roman" w:hAnsi="Times New Roman" w:cs="Times New Roman"/>
          <w:sz w:val="24"/>
          <w:szCs w:val="24"/>
          <w:lang w:val="en-AU"/>
        </w:rPr>
        <w:t>that the current legislation perpetuates.</w:t>
      </w:r>
      <w:r w:rsidRPr="00653E7D">
        <w:rPr>
          <w:rFonts w:ascii="Times New Roman" w:eastAsia="Times New Roman" w:hAnsi="Times New Roman" w:cs="Times New Roman"/>
          <w:sz w:val="24"/>
          <w:szCs w:val="24"/>
          <w:vertAlign w:val="superscript"/>
          <w:lang w:val="en-AU"/>
        </w:rPr>
        <w:endnoteReference w:id="40"/>
      </w:r>
      <w:r w:rsidRPr="00653E7D">
        <w:rPr>
          <w:rFonts w:ascii="Times New Roman" w:hAnsi="Times New Roman" w:cs="Times New Roman"/>
          <w:sz w:val="24"/>
          <w:szCs w:val="24"/>
          <w:lang w:val="en-AU"/>
        </w:rPr>
        <w:t xml:space="preserve"> Increasing employer sanctions (as in recommendat</w:t>
      </w:r>
      <w:r w:rsidR="001744AA">
        <w:rPr>
          <w:rFonts w:ascii="Times New Roman" w:hAnsi="Times New Roman" w:cs="Times New Roman"/>
          <w:sz w:val="24"/>
          <w:szCs w:val="24"/>
          <w:lang w:val="en-AU"/>
        </w:rPr>
        <w:t>ion 21.1) is a positive step, because</w:t>
      </w:r>
      <w:r w:rsidRPr="00653E7D">
        <w:rPr>
          <w:rFonts w:ascii="Times New Roman" w:hAnsi="Times New Roman" w:cs="Times New Roman"/>
          <w:sz w:val="24"/>
          <w:szCs w:val="24"/>
          <w:lang w:val="en-AU"/>
        </w:rPr>
        <w:t xml:space="preserve"> it furthers the principle of unjust enrichment that Professor Graeme Orr has identified as a potentially useful but practically difficult argument for an unauthorised worker to make in a claim against its employer.</w:t>
      </w:r>
      <w:r w:rsidRPr="00653E7D">
        <w:rPr>
          <w:rFonts w:ascii="Times New Roman" w:eastAsia="Times New Roman" w:hAnsi="Times New Roman" w:cs="Times New Roman"/>
          <w:sz w:val="24"/>
          <w:szCs w:val="24"/>
          <w:vertAlign w:val="superscript"/>
          <w:lang w:val="en-AU"/>
        </w:rPr>
        <w:endnoteReference w:id="41"/>
      </w:r>
      <w:r w:rsidRPr="00653E7D">
        <w:rPr>
          <w:rFonts w:ascii="Times New Roman" w:hAnsi="Times New Roman" w:cs="Times New Roman"/>
          <w:sz w:val="24"/>
          <w:szCs w:val="24"/>
          <w:lang w:val="en-AU"/>
        </w:rPr>
        <w:t xml:space="preserve"> However, by having those wages and entitlements go to the government, not the worker, the law would continue to prioritise migration law and policy over important labour law protections including the right to unpaid wages - the most basic of all labour rights.</w:t>
      </w:r>
      <w:r w:rsidRPr="00653E7D">
        <w:rPr>
          <w:rFonts w:ascii="Times New Roman" w:eastAsia="Times New Roman" w:hAnsi="Times New Roman" w:cs="Times New Roman"/>
          <w:sz w:val="24"/>
          <w:szCs w:val="24"/>
          <w:vertAlign w:val="superscript"/>
          <w:lang w:val="en-AU"/>
        </w:rPr>
        <w:endnoteReference w:id="42"/>
      </w:r>
      <w:r w:rsidRPr="00653E7D">
        <w:rPr>
          <w:rFonts w:ascii="Times New Roman" w:hAnsi="Times New Roman" w:cs="Times New Roman"/>
          <w:sz w:val="24"/>
          <w:szCs w:val="24"/>
          <w:lang w:val="en-AU"/>
        </w:rPr>
        <w:t xml:space="preserve"> It is surprising that the recommendation ends here, particularly in light of similar changes in other jurisdictions - for example, the European Union and the United States - that impose penalties on employers engaging unauthorised migrant workers but make them liable to pay any unpaid wages </w:t>
      </w:r>
      <w:r w:rsidRPr="00653E7D">
        <w:rPr>
          <w:rFonts w:ascii="Times New Roman" w:hAnsi="Times New Roman" w:cs="Times New Roman"/>
          <w:i/>
          <w:sz w:val="24"/>
          <w:szCs w:val="24"/>
          <w:lang w:val="en-AU"/>
        </w:rPr>
        <w:t>to the unauthorised worker</w:t>
      </w:r>
      <w:r w:rsidRPr="00653E7D">
        <w:rPr>
          <w:rFonts w:ascii="Times New Roman" w:hAnsi="Times New Roman" w:cs="Times New Roman"/>
          <w:sz w:val="24"/>
          <w:szCs w:val="24"/>
          <w:lang w:val="en-AU"/>
        </w:rPr>
        <w:t>.</w:t>
      </w:r>
      <w:r w:rsidRPr="00653E7D">
        <w:rPr>
          <w:rFonts w:ascii="Times New Roman" w:eastAsia="Times New Roman" w:hAnsi="Times New Roman" w:cs="Times New Roman"/>
          <w:sz w:val="24"/>
          <w:szCs w:val="24"/>
          <w:vertAlign w:val="superscript"/>
          <w:lang w:val="en-AU"/>
        </w:rPr>
        <w:endnoteReference w:id="43"/>
      </w:r>
      <w:r w:rsidRPr="00653E7D">
        <w:rPr>
          <w:rFonts w:ascii="Times New Roman" w:hAnsi="Times New Roman" w:cs="Times New Roman"/>
          <w:sz w:val="24"/>
          <w:szCs w:val="24"/>
          <w:lang w:val="en-AU"/>
        </w:rPr>
        <w:t xml:space="preserve"> Denying </w:t>
      </w:r>
      <w:r w:rsidRPr="00653E7D">
        <w:rPr>
          <w:rFonts w:ascii="Times New Roman" w:hAnsi="Times New Roman" w:cs="Times New Roman"/>
          <w:sz w:val="24"/>
          <w:szCs w:val="24"/>
          <w:lang w:val="en-AU"/>
        </w:rPr>
        <w:lastRenderedPageBreak/>
        <w:t>remuneration suggests that Australia ‘effectively abandons [its] responsibility to prevent [unauthorised migrant workers] from being robbed’ of their basic human right to receive pay.</w:t>
      </w:r>
      <w:r w:rsidRPr="00653E7D">
        <w:rPr>
          <w:rFonts w:ascii="Times New Roman" w:eastAsia="Times New Roman" w:hAnsi="Times New Roman" w:cs="Times New Roman"/>
          <w:sz w:val="24"/>
          <w:szCs w:val="24"/>
          <w:vertAlign w:val="superscript"/>
          <w:lang w:val="en-AU"/>
        </w:rPr>
        <w:endnoteReference w:id="44"/>
      </w:r>
      <w:r w:rsidRPr="00653E7D">
        <w:rPr>
          <w:rFonts w:ascii="Times New Roman" w:hAnsi="Times New Roman" w:cs="Times New Roman"/>
          <w:sz w:val="24"/>
          <w:szCs w:val="24"/>
          <w:lang w:val="en-AU"/>
        </w:rPr>
        <w:t xml:space="preserve"> The simple proposition here is that migrants working without official authorisation still work and, by that, still deserve key employment rights.</w:t>
      </w:r>
      <w:r w:rsidRPr="00653E7D">
        <w:rPr>
          <w:rFonts w:ascii="Times New Roman" w:eastAsia="Times New Roman" w:hAnsi="Times New Roman" w:cs="Times New Roman"/>
          <w:sz w:val="24"/>
          <w:szCs w:val="24"/>
          <w:vertAlign w:val="superscript"/>
          <w:lang w:val="en-AU"/>
        </w:rPr>
        <w:endnoteReference w:id="45"/>
      </w:r>
      <w:r w:rsidRPr="00653E7D">
        <w:rPr>
          <w:rFonts w:ascii="Times New Roman" w:hAnsi="Times New Roman" w:cs="Times New Roman"/>
          <w:sz w:val="24"/>
          <w:szCs w:val="24"/>
          <w:lang w:val="en-AU"/>
        </w:rPr>
        <w:t xml:space="preserve"> In line with this, several commentators have suggested that the FW Act extend to unauthorised migrant workers the same minimum employment standards and protections given to national system employees, including temporary migrant workers under the </w:t>
      </w:r>
      <w:r w:rsidRPr="001744AA">
        <w:rPr>
          <w:rFonts w:ascii="Times New Roman" w:hAnsi="Times New Roman" w:cs="Times New Roman"/>
          <w:sz w:val="24"/>
          <w:szCs w:val="24"/>
          <w:lang w:val="en-AU"/>
        </w:rPr>
        <w:t xml:space="preserve">subclass </w:t>
      </w:r>
      <w:r w:rsidR="001744AA" w:rsidRPr="001744AA">
        <w:rPr>
          <w:rFonts w:ascii="Times New Roman" w:hAnsi="Times New Roman" w:cs="Times New Roman"/>
          <w:sz w:val="24"/>
          <w:szCs w:val="24"/>
          <w:lang w:val="en-AU"/>
        </w:rPr>
        <w:t>457</w:t>
      </w:r>
      <w:r w:rsidR="001744AA" w:rsidRPr="00653E7D">
        <w:rPr>
          <w:rFonts w:ascii="Times New Roman" w:hAnsi="Times New Roman" w:cs="Times New Roman"/>
          <w:sz w:val="24"/>
          <w:szCs w:val="24"/>
          <w:lang w:val="en-AU"/>
        </w:rPr>
        <w:t>-visa</w:t>
      </w:r>
      <w:r w:rsidRPr="00653E7D">
        <w:rPr>
          <w:rFonts w:ascii="Times New Roman" w:hAnsi="Times New Roman" w:cs="Times New Roman"/>
          <w:sz w:val="24"/>
          <w:szCs w:val="24"/>
          <w:lang w:val="en-AU"/>
        </w:rPr>
        <w:t xml:space="preserve"> scheme.</w:t>
      </w:r>
      <w:r w:rsidRPr="00653E7D">
        <w:rPr>
          <w:rFonts w:ascii="Times New Roman" w:eastAsia="Times New Roman" w:hAnsi="Times New Roman" w:cs="Times New Roman"/>
          <w:sz w:val="24"/>
          <w:szCs w:val="24"/>
          <w:vertAlign w:val="superscript"/>
          <w:lang w:val="en-AU"/>
        </w:rPr>
        <w:endnoteReference w:id="46"/>
      </w:r>
      <w:r w:rsidRPr="00653E7D">
        <w:rPr>
          <w:rFonts w:ascii="Times New Roman" w:hAnsi="Times New Roman" w:cs="Times New Roman"/>
          <w:sz w:val="24"/>
          <w:szCs w:val="24"/>
          <w:lang w:val="en-AU"/>
        </w:rPr>
        <w:t xml:space="preserve"> For these reasons, s 235 should be amended to clarify that employment rights remain enforceable under a valid contract despite a breach of the Migration Act, so that unauthorised workers are not precluded from obtaining statutory benefits.</w:t>
      </w:r>
      <w:r w:rsidRPr="00653E7D">
        <w:rPr>
          <w:rFonts w:ascii="Times New Roman" w:eastAsia="Times New Roman" w:hAnsi="Times New Roman" w:cs="Times New Roman"/>
          <w:sz w:val="24"/>
          <w:szCs w:val="24"/>
          <w:vertAlign w:val="superscript"/>
          <w:lang w:val="en-AU"/>
        </w:rPr>
        <w:endnoteReference w:id="47"/>
      </w:r>
      <w:r w:rsidRPr="00653E7D">
        <w:rPr>
          <w:rFonts w:ascii="Times New Roman" w:hAnsi="Times New Roman" w:cs="Times New Roman"/>
          <w:sz w:val="24"/>
          <w:szCs w:val="24"/>
          <w:lang w:val="en-AU"/>
        </w:rPr>
        <w:t xml:space="preserve"> While the Federal Government has migration law within its strict preserve,</w:t>
      </w:r>
      <w:r w:rsidRPr="00653E7D">
        <w:rPr>
          <w:rFonts w:ascii="Times New Roman" w:eastAsia="Times New Roman" w:hAnsi="Times New Roman" w:cs="Times New Roman"/>
          <w:sz w:val="24"/>
          <w:szCs w:val="24"/>
          <w:vertAlign w:val="superscript"/>
          <w:lang w:val="en-AU"/>
        </w:rPr>
        <w:endnoteReference w:id="48"/>
      </w:r>
      <w:r w:rsidRPr="00653E7D">
        <w:rPr>
          <w:rFonts w:ascii="Times New Roman" w:hAnsi="Times New Roman" w:cs="Times New Roman"/>
          <w:sz w:val="24"/>
          <w:szCs w:val="24"/>
          <w:lang w:val="en-AU"/>
        </w:rPr>
        <w:t xml:space="preserve"> it shares the responsibility for employment and industrial laws with State Governments.</w:t>
      </w:r>
      <w:r w:rsidRPr="00653E7D">
        <w:rPr>
          <w:rFonts w:ascii="Times New Roman" w:eastAsia="Times New Roman" w:hAnsi="Times New Roman" w:cs="Times New Roman"/>
          <w:sz w:val="24"/>
          <w:szCs w:val="24"/>
          <w:vertAlign w:val="superscript"/>
          <w:lang w:val="en-AU"/>
        </w:rPr>
        <w:endnoteReference w:id="49"/>
      </w:r>
      <w:r w:rsidRPr="00653E7D">
        <w:rPr>
          <w:rFonts w:ascii="Times New Roman" w:hAnsi="Times New Roman" w:cs="Times New Roman"/>
          <w:sz w:val="24"/>
          <w:szCs w:val="24"/>
          <w:lang w:val="en-AU"/>
        </w:rPr>
        <w:t xml:space="preserve"> In light of this as well as the case law on the illegality doctrine, s 235 provides the best option to effect change and ensure that </w:t>
      </w:r>
      <w:r w:rsidRPr="00653E7D">
        <w:rPr>
          <w:rFonts w:ascii="Times New Roman" w:hAnsi="Times New Roman" w:cs="Times New Roman"/>
          <w:i/>
          <w:iCs/>
          <w:sz w:val="24"/>
          <w:szCs w:val="24"/>
          <w:lang w:val="en-AU"/>
        </w:rPr>
        <w:t xml:space="preserve">unauthorised </w:t>
      </w:r>
      <w:r w:rsidRPr="00653E7D">
        <w:rPr>
          <w:rFonts w:ascii="Times New Roman" w:hAnsi="Times New Roman" w:cs="Times New Roman"/>
          <w:sz w:val="24"/>
          <w:szCs w:val="24"/>
          <w:lang w:val="en-AU"/>
        </w:rPr>
        <w:t>migrant workers will still be given the protections of employment law as arising from the FW Act.</w:t>
      </w:r>
      <w:r w:rsidRPr="00653E7D">
        <w:rPr>
          <w:rFonts w:ascii="Times New Roman" w:eastAsia="Times New Roman" w:hAnsi="Times New Roman" w:cs="Times New Roman"/>
          <w:sz w:val="24"/>
          <w:szCs w:val="24"/>
          <w:vertAlign w:val="superscript"/>
          <w:lang w:val="en-AU"/>
        </w:rPr>
        <w:endnoteReference w:id="50"/>
      </w:r>
    </w:p>
    <w:p w14:paraId="70B8AB79"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lang w:val="en-AU"/>
        </w:rPr>
      </w:pPr>
    </w:p>
    <w:p w14:paraId="77973CF6" w14:textId="0FFBB388" w:rsidR="004D51A4" w:rsidRPr="00653E7D" w:rsidRDefault="004D51A4" w:rsidP="004D51A4">
      <w:pPr>
        <w:pStyle w:val="Heading2"/>
        <w:rPr>
          <w:rFonts w:ascii="Times New Roman" w:eastAsia="Times New Roman" w:hAnsi="Times New Roman" w:cs="Times New Roman"/>
          <w:lang w:val="en-AU"/>
        </w:rPr>
      </w:pPr>
      <w:bookmarkStart w:id="15" w:name="_Toc304710253"/>
      <w:bookmarkStart w:id="16" w:name="_Toc304710280"/>
      <w:r w:rsidRPr="00653E7D">
        <w:rPr>
          <w:rFonts w:ascii="Times New Roman" w:hAnsi="Times New Roman" w:cs="Times New Roman"/>
          <w:lang w:val="en-AU"/>
        </w:rPr>
        <w:t xml:space="preserve">Reducing the pull factor </w:t>
      </w:r>
      <w:r w:rsidR="00B77C6C">
        <w:rPr>
          <w:rFonts w:ascii="Times New Roman" w:hAnsi="Times New Roman" w:cs="Times New Roman"/>
          <w:lang w:val="en-AU"/>
        </w:rPr>
        <w:t>and containing negative spill over</w:t>
      </w:r>
      <w:bookmarkEnd w:id="15"/>
      <w:bookmarkEnd w:id="16"/>
    </w:p>
    <w:p w14:paraId="000A9AE3"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lang w:val="en-AU"/>
        </w:rPr>
      </w:pPr>
    </w:p>
    <w:p w14:paraId="31E4B123"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lang w:val="en-AU"/>
        </w:rPr>
      </w:pPr>
      <w:r w:rsidRPr="00653E7D">
        <w:rPr>
          <w:rFonts w:ascii="Times New Roman" w:hAnsi="Times New Roman" w:cs="Times New Roman"/>
          <w:sz w:val="24"/>
          <w:szCs w:val="24"/>
          <w:lang w:val="en-AU"/>
        </w:rPr>
        <w:t>There may be some concern about the negative spill over effects of extending employment protections to unauthorised migrant workers, on the rest of the workforce. And yet, it is increasingly recognised that denying basic employment rights to migrant workers inevitably lowers the standards by which local or authorised workers are employed.</w:t>
      </w:r>
      <w:r w:rsidRPr="00653E7D">
        <w:rPr>
          <w:rFonts w:ascii="Times New Roman" w:eastAsia="Times New Roman" w:hAnsi="Times New Roman" w:cs="Times New Roman"/>
          <w:sz w:val="24"/>
          <w:szCs w:val="24"/>
          <w:vertAlign w:val="superscript"/>
          <w:lang w:val="en-AU"/>
        </w:rPr>
        <w:endnoteReference w:id="51"/>
      </w:r>
      <w:r w:rsidRPr="00653E7D">
        <w:rPr>
          <w:rFonts w:ascii="Times New Roman" w:hAnsi="Times New Roman" w:cs="Times New Roman"/>
          <w:sz w:val="24"/>
          <w:szCs w:val="24"/>
          <w:lang w:val="en-AU"/>
        </w:rPr>
        <w:t xml:space="preserve"> There is also little to substantiate the claim that labour rights and protections will motivate unauthorised migrants to move to and seek work in another state.</w:t>
      </w:r>
      <w:r w:rsidRPr="00653E7D">
        <w:rPr>
          <w:rFonts w:ascii="Times New Roman" w:eastAsia="Times New Roman" w:hAnsi="Times New Roman" w:cs="Times New Roman"/>
          <w:sz w:val="24"/>
          <w:szCs w:val="24"/>
          <w:vertAlign w:val="superscript"/>
          <w:lang w:val="en-AU"/>
        </w:rPr>
        <w:endnoteReference w:id="52"/>
      </w:r>
      <w:r w:rsidRPr="00653E7D">
        <w:rPr>
          <w:rFonts w:ascii="Times New Roman" w:hAnsi="Times New Roman" w:cs="Times New Roman"/>
          <w:sz w:val="24"/>
          <w:szCs w:val="24"/>
          <w:lang w:val="en-AU"/>
        </w:rPr>
        <w:t xml:space="preserve"> Instead, overly restrictive migration laws are kno</w:t>
      </w:r>
      <w:r w:rsidR="001744AA">
        <w:rPr>
          <w:rFonts w:ascii="Times New Roman" w:hAnsi="Times New Roman" w:cs="Times New Roman"/>
          <w:sz w:val="24"/>
          <w:szCs w:val="24"/>
          <w:lang w:val="en-AU"/>
        </w:rPr>
        <w:t xml:space="preserve">wn to incentivise </w:t>
      </w:r>
      <w:r w:rsidRPr="00653E7D">
        <w:rPr>
          <w:rFonts w:ascii="Times New Roman" w:hAnsi="Times New Roman" w:cs="Times New Roman"/>
          <w:sz w:val="24"/>
          <w:szCs w:val="24"/>
          <w:lang w:val="en-AU"/>
        </w:rPr>
        <w:t>unauthorised employment, with the continued denial of labour protection to unauthorised workers adding to their vulnerability.</w:t>
      </w:r>
      <w:r w:rsidRPr="00653E7D">
        <w:rPr>
          <w:rFonts w:ascii="Times New Roman" w:eastAsia="Times New Roman" w:hAnsi="Times New Roman" w:cs="Times New Roman"/>
          <w:sz w:val="24"/>
          <w:szCs w:val="24"/>
          <w:vertAlign w:val="superscript"/>
          <w:lang w:val="en-AU"/>
        </w:rPr>
        <w:endnoteReference w:id="53"/>
      </w:r>
      <w:r w:rsidRPr="00653E7D">
        <w:rPr>
          <w:rFonts w:ascii="Times New Roman" w:hAnsi="Times New Roman" w:cs="Times New Roman"/>
          <w:sz w:val="24"/>
          <w:szCs w:val="24"/>
          <w:lang w:val="en-AU"/>
        </w:rPr>
        <w:t xml:space="preserve"> On the other hand, recognising the ‘fundamental human rights of all migrant workers’ is often seen as an important step towards discouraging it.</w:t>
      </w:r>
      <w:r w:rsidRPr="00653E7D">
        <w:rPr>
          <w:rFonts w:ascii="Times New Roman" w:eastAsia="Times New Roman" w:hAnsi="Times New Roman" w:cs="Times New Roman"/>
          <w:sz w:val="24"/>
          <w:szCs w:val="24"/>
          <w:vertAlign w:val="superscript"/>
          <w:lang w:val="en-AU"/>
        </w:rPr>
        <w:endnoteReference w:id="54"/>
      </w:r>
      <w:r w:rsidRPr="00653E7D">
        <w:rPr>
          <w:rFonts w:ascii="Times New Roman" w:hAnsi="Times New Roman" w:cs="Times New Roman"/>
          <w:sz w:val="24"/>
          <w:szCs w:val="24"/>
          <w:lang w:val="en-AU"/>
        </w:rPr>
        <w:t xml:space="preserve"> Affording unauthorised migrant workers the employment protections that they would have if they were authorised offers a further disincentive to employers and reduces the pull factor drawing in unauthorised workers in the first place.</w:t>
      </w:r>
      <w:r w:rsidRPr="00653E7D">
        <w:rPr>
          <w:rFonts w:ascii="Times New Roman" w:eastAsia="Times New Roman" w:hAnsi="Times New Roman" w:cs="Times New Roman"/>
          <w:sz w:val="24"/>
          <w:szCs w:val="24"/>
          <w:vertAlign w:val="superscript"/>
          <w:lang w:val="en-AU"/>
        </w:rPr>
        <w:endnoteReference w:id="55"/>
      </w:r>
      <w:r w:rsidRPr="00653E7D">
        <w:rPr>
          <w:rFonts w:ascii="Times New Roman" w:hAnsi="Times New Roman" w:cs="Times New Roman"/>
          <w:sz w:val="24"/>
          <w:szCs w:val="24"/>
          <w:lang w:val="en-AU"/>
        </w:rPr>
        <w:t xml:space="preserve"> </w:t>
      </w:r>
    </w:p>
    <w:p w14:paraId="2D6C47CF"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lang w:val="en-AU"/>
        </w:rPr>
      </w:pPr>
    </w:p>
    <w:p w14:paraId="10B5113D" w14:textId="46231224" w:rsidR="004D51A4" w:rsidRPr="00653E7D" w:rsidRDefault="004D51A4" w:rsidP="004D51A4">
      <w:pPr>
        <w:pStyle w:val="Body"/>
        <w:spacing w:line="360" w:lineRule="auto"/>
        <w:jc w:val="both"/>
        <w:rPr>
          <w:rFonts w:ascii="Times New Roman" w:eastAsia="Times New Roman" w:hAnsi="Times New Roman" w:cs="Times New Roman"/>
          <w:sz w:val="24"/>
          <w:szCs w:val="24"/>
          <w:lang w:val="en-AU"/>
        </w:rPr>
      </w:pPr>
      <w:r w:rsidRPr="00653E7D">
        <w:rPr>
          <w:rFonts w:ascii="Times New Roman" w:hAnsi="Times New Roman" w:cs="Times New Roman"/>
          <w:sz w:val="24"/>
          <w:szCs w:val="24"/>
          <w:lang w:val="en-AU"/>
        </w:rPr>
        <w:lastRenderedPageBreak/>
        <w:t>A full-protection approach thus both protects fundamental human rights, and acts as a disincentive to employers by making it easier for workers to enforce those rights.</w:t>
      </w:r>
      <w:r w:rsidRPr="00653E7D">
        <w:rPr>
          <w:rFonts w:ascii="Times New Roman" w:eastAsia="Times New Roman" w:hAnsi="Times New Roman" w:cs="Times New Roman"/>
          <w:sz w:val="24"/>
          <w:szCs w:val="24"/>
          <w:vertAlign w:val="superscript"/>
          <w:lang w:val="en-AU"/>
        </w:rPr>
        <w:endnoteReference w:id="56"/>
      </w:r>
      <w:r w:rsidRPr="00653E7D">
        <w:rPr>
          <w:rFonts w:ascii="Times New Roman" w:hAnsi="Times New Roman" w:cs="Times New Roman"/>
          <w:sz w:val="24"/>
          <w:szCs w:val="24"/>
          <w:lang w:val="en-AU"/>
        </w:rPr>
        <w:t xml:space="preserve"> This, in turn, addresses state concern over unauthorised migrant labour more effectively than the present approach, and better resolves the ‘jurisprudential uncertainty’ around those workers’ rights.</w:t>
      </w:r>
      <w:r w:rsidRPr="00653E7D">
        <w:rPr>
          <w:rFonts w:ascii="Times New Roman" w:eastAsia="Times New Roman" w:hAnsi="Times New Roman" w:cs="Times New Roman"/>
          <w:sz w:val="24"/>
          <w:szCs w:val="24"/>
          <w:vertAlign w:val="superscript"/>
          <w:lang w:val="en-AU"/>
        </w:rPr>
        <w:endnoteReference w:id="57"/>
      </w:r>
    </w:p>
    <w:p w14:paraId="0D630EFB" w14:textId="77777777" w:rsidR="004D51A4" w:rsidRPr="00653E7D" w:rsidRDefault="004D51A4" w:rsidP="004D51A4">
      <w:pPr>
        <w:pStyle w:val="Heading1"/>
        <w:rPr>
          <w:rFonts w:ascii="Times New Roman" w:eastAsia="Times New Roman" w:hAnsi="Times New Roman" w:cs="Times New Roman"/>
          <w:lang w:val="en-AU"/>
        </w:rPr>
      </w:pPr>
      <w:bookmarkStart w:id="17" w:name="_Toc304710254"/>
      <w:bookmarkStart w:id="18" w:name="_Toc304710281"/>
      <w:r w:rsidRPr="00653E7D">
        <w:rPr>
          <w:rFonts w:ascii="Times New Roman" w:hAnsi="Times New Roman" w:cs="Times New Roman"/>
          <w:lang w:val="en-AU"/>
        </w:rPr>
        <w:t>Better and smart</w:t>
      </w:r>
      <w:r w:rsidR="001744AA">
        <w:rPr>
          <w:rFonts w:ascii="Times New Roman" w:hAnsi="Times New Roman" w:cs="Times New Roman"/>
          <w:lang w:val="en-AU"/>
        </w:rPr>
        <w:t>er</w:t>
      </w:r>
      <w:r w:rsidRPr="00653E7D">
        <w:rPr>
          <w:rFonts w:ascii="Times New Roman" w:hAnsi="Times New Roman" w:cs="Times New Roman"/>
          <w:lang w:val="en-AU"/>
        </w:rPr>
        <w:t xml:space="preserve"> enforcement</w:t>
      </w:r>
      <w:bookmarkEnd w:id="17"/>
      <w:bookmarkEnd w:id="18"/>
    </w:p>
    <w:p w14:paraId="2C42610B" w14:textId="77777777" w:rsidR="004D51A4" w:rsidRPr="00653E7D" w:rsidRDefault="004D51A4" w:rsidP="004D51A4">
      <w:pPr>
        <w:pStyle w:val="Body"/>
        <w:spacing w:line="360" w:lineRule="auto"/>
        <w:jc w:val="both"/>
        <w:rPr>
          <w:rFonts w:ascii="Times New Roman" w:hAnsi="Times New Roman" w:cs="Times New Roman"/>
          <w:sz w:val="24"/>
          <w:szCs w:val="24"/>
          <w:lang w:val="en-AU"/>
        </w:rPr>
      </w:pPr>
    </w:p>
    <w:p w14:paraId="09919CC5"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lang w:val="en-AU"/>
        </w:rPr>
      </w:pPr>
      <w:r w:rsidRPr="00653E7D">
        <w:rPr>
          <w:rFonts w:ascii="Times New Roman" w:hAnsi="Times New Roman" w:cs="Times New Roman"/>
          <w:sz w:val="24"/>
          <w:szCs w:val="24"/>
          <w:lang w:val="en-AU"/>
        </w:rPr>
        <w:t>The courts, and the broader policy debate, assume worker agency in unauthorised labour. However, as Berg has stated, the state has a significant role in ‘constructing the conditions of precariousness within which workers exercise agency’</w:t>
      </w:r>
      <w:r w:rsidRPr="00653E7D">
        <w:rPr>
          <w:rFonts w:ascii="Times New Roman" w:eastAsia="Times New Roman" w:hAnsi="Times New Roman" w:cs="Times New Roman"/>
          <w:sz w:val="24"/>
          <w:szCs w:val="24"/>
          <w:vertAlign w:val="superscript"/>
          <w:lang w:val="en-AU"/>
        </w:rPr>
        <w:endnoteReference w:id="58"/>
      </w:r>
      <w:r w:rsidRPr="00653E7D">
        <w:rPr>
          <w:rFonts w:ascii="Times New Roman" w:hAnsi="Times New Roman" w:cs="Times New Roman"/>
          <w:sz w:val="24"/>
          <w:szCs w:val="24"/>
          <w:lang w:val="en-AU"/>
        </w:rPr>
        <w:t xml:space="preserve"> if at all. These conditions are shaped by the enforcement mechanisms available to unauthorised migrant workers, and any reforms </w:t>
      </w:r>
      <w:r w:rsidRPr="001744AA">
        <w:rPr>
          <w:rFonts w:ascii="Times New Roman" w:hAnsi="Times New Roman" w:cs="Times New Roman"/>
          <w:sz w:val="24"/>
          <w:szCs w:val="24"/>
          <w:lang w:val="en-AU"/>
        </w:rPr>
        <w:t xml:space="preserve">introduced to better protect </w:t>
      </w:r>
      <w:r w:rsidR="001744AA" w:rsidRPr="001744AA">
        <w:rPr>
          <w:rFonts w:ascii="Times New Roman" w:hAnsi="Times New Roman" w:cs="Times New Roman"/>
          <w:sz w:val="24"/>
          <w:szCs w:val="24"/>
          <w:lang w:val="en-AU"/>
        </w:rPr>
        <w:t xml:space="preserve">those workers </w:t>
      </w:r>
      <w:r w:rsidRPr="001744AA">
        <w:rPr>
          <w:rFonts w:ascii="Times New Roman" w:hAnsi="Times New Roman" w:cs="Times New Roman"/>
          <w:sz w:val="24"/>
          <w:szCs w:val="24"/>
          <w:lang w:val="en-AU"/>
        </w:rPr>
        <w:t xml:space="preserve">will continue to </w:t>
      </w:r>
      <w:r w:rsidR="001744AA">
        <w:rPr>
          <w:rFonts w:ascii="Times New Roman" w:hAnsi="Times New Roman" w:cs="Times New Roman"/>
          <w:sz w:val="24"/>
          <w:szCs w:val="24"/>
          <w:lang w:val="en-AU"/>
        </w:rPr>
        <w:t>depend</w:t>
      </w:r>
      <w:r w:rsidRPr="001744AA">
        <w:rPr>
          <w:rFonts w:ascii="Times New Roman" w:hAnsi="Times New Roman" w:cs="Times New Roman"/>
          <w:sz w:val="24"/>
          <w:szCs w:val="24"/>
          <w:lang w:val="en-AU"/>
        </w:rPr>
        <w:t xml:space="preserve"> on </w:t>
      </w:r>
      <w:r w:rsidR="001744AA" w:rsidRPr="001744AA">
        <w:rPr>
          <w:rFonts w:ascii="Times New Roman" w:hAnsi="Times New Roman" w:cs="Times New Roman"/>
          <w:sz w:val="24"/>
          <w:szCs w:val="24"/>
          <w:lang w:val="en-AU"/>
        </w:rPr>
        <w:t>enforcement</w:t>
      </w:r>
      <w:r w:rsidRPr="001744AA">
        <w:rPr>
          <w:rFonts w:ascii="Times New Roman" w:hAnsi="Times New Roman" w:cs="Times New Roman"/>
          <w:sz w:val="24"/>
          <w:szCs w:val="24"/>
          <w:lang w:val="en-AU"/>
        </w:rPr>
        <w:t xml:space="preserve"> for their effectiveness.</w:t>
      </w:r>
      <w:r w:rsidRPr="00653E7D">
        <w:rPr>
          <w:rFonts w:ascii="Times New Roman" w:hAnsi="Times New Roman" w:cs="Times New Roman"/>
          <w:sz w:val="24"/>
          <w:szCs w:val="24"/>
          <w:lang w:val="en-AU"/>
        </w:rPr>
        <w:t xml:space="preserve"> </w:t>
      </w:r>
    </w:p>
    <w:p w14:paraId="3237E6C4"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u w:val="single"/>
          <w:lang w:val="en-AU"/>
        </w:rPr>
      </w:pPr>
    </w:p>
    <w:p w14:paraId="259CC5B2" w14:textId="77777777" w:rsidR="004D51A4" w:rsidRPr="00653E7D" w:rsidRDefault="004D51A4" w:rsidP="004D51A4">
      <w:pPr>
        <w:pStyle w:val="Heading2"/>
        <w:rPr>
          <w:rFonts w:ascii="Times New Roman" w:hAnsi="Times New Roman" w:cs="Times New Roman"/>
          <w:lang w:val="en-AU"/>
        </w:rPr>
      </w:pPr>
      <w:bookmarkStart w:id="19" w:name="_Toc304710255"/>
      <w:bookmarkStart w:id="20" w:name="_Toc304710282"/>
      <w:r w:rsidRPr="00653E7D">
        <w:rPr>
          <w:rFonts w:ascii="Times New Roman" w:hAnsi="Times New Roman" w:cs="Times New Roman"/>
          <w:lang w:val="en-AU"/>
        </w:rPr>
        <w:t>The need for institutional independence</w:t>
      </w:r>
      <w:bookmarkEnd w:id="19"/>
      <w:bookmarkEnd w:id="20"/>
      <w:r w:rsidRPr="00653E7D">
        <w:rPr>
          <w:rFonts w:ascii="Times New Roman" w:hAnsi="Times New Roman" w:cs="Times New Roman"/>
          <w:lang w:val="en-AU"/>
        </w:rPr>
        <w:t xml:space="preserve"> </w:t>
      </w:r>
    </w:p>
    <w:p w14:paraId="0A590500"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u w:val="single"/>
          <w:lang w:val="en-AU"/>
        </w:rPr>
      </w:pPr>
    </w:p>
    <w:p w14:paraId="1421817B" w14:textId="77777777" w:rsidR="001744AA" w:rsidRDefault="004D51A4" w:rsidP="004D51A4">
      <w:pPr>
        <w:pStyle w:val="Body"/>
        <w:spacing w:line="360" w:lineRule="auto"/>
        <w:jc w:val="both"/>
        <w:rPr>
          <w:rFonts w:ascii="Times New Roman" w:hAnsi="Times New Roman" w:cs="Times New Roman"/>
          <w:sz w:val="24"/>
          <w:szCs w:val="24"/>
          <w:lang w:val="en-AU"/>
        </w:rPr>
      </w:pPr>
      <w:r w:rsidRPr="00653E7D">
        <w:rPr>
          <w:rFonts w:ascii="Times New Roman" w:hAnsi="Times New Roman" w:cs="Times New Roman"/>
          <w:sz w:val="24"/>
          <w:szCs w:val="24"/>
          <w:lang w:val="en-AU"/>
        </w:rPr>
        <w:t xml:space="preserve">In recent years, the promotion and enforcement of minimum employment standards in Australia has moved away from conciliation and arbitration to focus instead on the </w:t>
      </w:r>
      <w:proofErr w:type="spellStart"/>
      <w:r w:rsidRPr="00653E7D">
        <w:rPr>
          <w:rFonts w:ascii="Times New Roman" w:hAnsi="Times New Roman" w:cs="Times New Roman"/>
          <w:sz w:val="24"/>
          <w:szCs w:val="24"/>
          <w:lang w:val="en-AU"/>
        </w:rPr>
        <w:t>FWO</w:t>
      </w:r>
      <w:proofErr w:type="spellEnd"/>
      <w:r w:rsidRPr="00653E7D">
        <w:rPr>
          <w:rFonts w:ascii="Times New Roman" w:hAnsi="Times New Roman" w:cs="Times New Roman"/>
          <w:sz w:val="24"/>
          <w:szCs w:val="24"/>
          <w:lang w:val="en-AU"/>
        </w:rPr>
        <w:t>.</w:t>
      </w:r>
      <w:r w:rsidRPr="00653E7D">
        <w:rPr>
          <w:rFonts w:ascii="Times New Roman" w:eastAsia="Times New Roman" w:hAnsi="Times New Roman" w:cs="Times New Roman"/>
          <w:sz w:val="24"/>
          <w:szCs w:val="24"/>
          <w:vertAlign w:val="superscript"/>
          <w:lang w:val="en-AU"/>
        </w:rPr>
        <w:endnoteReference w:id="59"/>
      </w:r>
      <w:r w:rsidRPr="00653E7D">
        <w:rPr>
          <w:rFonts w:ascii="Times New Roman" w:hAnsi="Times New Roman" w:cs="Times New Roman"/>
          <w:sz w:val="24"/>
          <w:szCs w:val="24"/>
          <w:lang w:val="en-AU"/>
        </w:rPr>
        <w:t xml:space="preserve"> The Productivity Commission notes, in the Workplace Relations Report, that closer co-operation between the Department of Immigration and Border Protection (‘</w:t>
      </w:r>
      <w:proofErr w:type="spellStart"/>
      <w:r w:rsidRPr="00653E7D">
        <w:rPr>
          <w:rFonts w:ascii="Times New Roman" w:hAnsi="Times New Roman" w:cs="Times New Roman"/>
          <w:b/>
          <w:bCs/>
          <w:sz w:val="24"/>
          <w:szCs w:val="24"/>
          <w:lang w:val="en-AU"/>
        </w:rPr>
        <w:t>DIBP</w:t>
      </w:r>
      <w:proofErr w:type="spellEnd"/>
      <w:r w:rsidRPr="00653E7D">
        <w:rPr>
          <w:rFonts w:ascii="Times New Roman" w:hAnsi="Times New Roman" w:cs="Times New Roman"/>
          <w:sz w:val="24"/>
          <w:szCs w:val="24"/>
          <w:lang w:val="en-AU"/>
        </w:rPr>
        <w:t xml:space="preserve">’) and the </w:t>
      </w:r>
      <w:proofErr w:type="spellStart"/>
      <w:r w:rsidRPr="00653E7D">
        <w:rPr>
          <w:rFonts w:ascii="Times New Roman" w:hAnsi="Times New Roman" w:cs="Times New Roman"/>
          <w:sz w:val="24"/>
          <w:szCs w:val="24"/>
          <w:lang w:val="en-AU"/>
        </w:rPr>
        <w:t>FWO</w:t>
      </w:r>
      <w:proofErr w:type="spellEnd"/>
      <w:r w:rsidRPr="00653E7D">
        <w:rPr>
          <w:rFonts w:ascii="Times New Roman" w:hAnsi="Times New Roman" w:cs="Times New Roman"/>
          <w:sz w:val="24"/>
          <w:szCs w:val="24"/>
          <w:lang w:val="en-AU"/>
        </w:rPr>
        <w:t xml:space="preserve"> would be beneficial by avoiding a duplication of efforts, and securing financial savings where investigation duties could be shared. Accordingly, it recommends that the </w:t>
      </w:r>
      <w:proofErr w:type="spellStart"/>
      <w:r w:rsidRPr="00653E7D">
        <w:rPr>
          <w:rFonts w:ascii="Times New Roman" w:hAnsi="Times New Roman" w:cs="Times New Roman"/>
          <w:sz w:val="24"/>
          <w:szCs w:val="24"/>
          <w:lang w:val="en-AU"/>
        </w:rPr>
        <w:t>FWO</w:t>
      </w:r>
      <w:proofErr w:type="spellEnd"/>
      <w:r w:rsidRPr="00653E7D">
        <w:rPr>
          <w:rFonts w:ascii="Times New Roman" w:hAnsi="Times New Roman" w:cs="Times New Roman"/>
          <w:sz w:val="24"/>
          <w:szCs w:val="24"/>
          <w:lang w:val="en-AU"/>
        </w:rPr>
        <w:t xml:space="preserve"> ask about workers’ visa statuses ‘in the course of their investigations into the payment of wages and the provision of conditions’ as a matter of efficiency.</w:t>
      </w:r>
      <w:r w:rsidRPr="00653E7D">
        <w:rPr>
          <w:rFonts w:ascii="Times New Roman" w:eastAsia="Times New Roman" w:hAnsi="Times New Roman" w:cs="Times New Roman"/>
          <w:sz w:val="24"/>
          <w:szCs w:val="24"/>
          <w:vertAlign w:val="superscript"/>
          <w:lang w:val="en-AU"/>
        </w:rPr>
        <w:endnoteReference w:id="60"/>
      </w:r>
      <w:r w:rsidRPr="00653E7D">
        <w:rPr>
          <w:rFonts w:ascii="Times New Roman" w:hAnsi="Times New Roman" w:cs="Times New Roman"/>
          <w:sz w:val="24"/>
          <w:szCs w:val="24"/>
          <w:lang w:val="en-AU"/>
        </w:rPr>
        <w:t xml:space="preserve"> This recommendation may undermine any protection of vulnerable unauthorised workers that the inquiry m</w:t>
      </w:r>
      <w:r w:rsidR="000369DF">
        <w:rPr>
          <w:rFonts w:ascii="Times New Roman" w:hAnsi="Times New Roman" w:cs="Times New Roman"/>
          <w:sz w:val="24"/>
          <w:szCs w:val="24"/>
          <w:lang w:val="en-AU"/>
        </w:rPr>
        <w:t>ay otherwise achieve. This submission</w:t>
      </w:r>
      <w:r w:rsidRPr="00653E7D">
        <w:rPr>
          <w:rFonts w:ascii="Times New Roman" w:hAnsi="Times New Roman" w:cs="Times New Roman"/>
          <w:sz w:val="24"/>
          <w:szCs w:val="24"/>
          <w:lang w:val="en-AU"/>
        </w:rPr>
        <w:t xml:space="preserve"> agrees with Stephen </w:t>
      </w:r>
      <w:proofErr w:type="spellStart"/>
      <w:r w:rsidRPr="00653E7D">
        <w:rPr>
          <w:rFonts w:ascii="Times New Roman" w:hAnsi="Times New Roman" w:cs="Times New Roman"/>
          <w:sz w:val="24"/>
          <w:szCs w:val="24"/>
          <w:lang w:val="en-AU"/>
        </w:rPr>
        <w:t>Clibborn</w:t>
      </w:r>
      <w:proofErr w:type="spellEnd"/>
      <w:r w:rsidRPr="00653E7D">
        <w:rPr>
          <w:rFonts w:ascii="Times New Roman" w:hAnsi="Times New Roman" w:cs="Times New Roman"/>
          <w:sz w:val="24"/>
          <w:szCs w:val="24"/>
          <w:lang w:val="en-AU"/>
        </w:rPr>
        <w:t xml:space="preserve"> that the </w:t>
      </w:r>
      <w:proofErr w:type="spellStart"/>
      <w:r w:rsidRPr="00653E7D">
        <w:rPr>
          <w:rFonts w:ascii="Times New Roman" w:hAnsi="Times New Roman" w:cs="Times New Roman"/>
          <w:sz w:val="24"/>
          <w:szCs w:val="24"/>
          <w:lang w:val="en-AU"/>
        </w:rPr>
        <w:t>FWO</w:t>
      </w:r>
      <w:proofErr w:type="spellEnd"/>
      <w:r w:rsidRPr="00653E7D">
        <w:rPr>
          <w:rFonts w:ascii="Times New Roman" w:hAnsi="Times New Roman" w:cs="Times New Roman"/>
          <w:sz w:val="24"/>
          <w:szCs w:val="24"/>
          <w:lang w:val="en-AU"/>
        </w:rPr>
        <w:t xml:space="preserve"> should operate independently of the DIBP.</w:t>
      </w:r>
      <w:r w:rsidRPr="00653E7D">
        <w:rPr>
          <w:rFonts w:ascii="Times New Roman" w:eastAsia="Times New Roman" w:hAnsi="Times New Roman" w:cs="Times New Roman"/>
          <w:sz w:val="24"/>
          <w:szCs w:val="24"/>
          <w:vertAlign w:val="superscript"/>
          <w:lang w:val="en-AU"/>
        </w:rPr>
        <w:endnoteReference w:id="61"/>
      </w:r>
      <w:r w:rsidRPr="00653E7D">
        <w:rPr>
          <w:rFonts w:ascii="Times New Roman" w:hAnsi="Times New Roman" w:cs="Times New Roman"/>
          <w:sz w:val="24"/>
          <w:szCs w:val="24"/>
          <w:lang w:val="en-AU"/>
        </w:rPr>
        <w:t xml:space="preserve"> At present, </w:t>
      </w:r>
      <w:proofErr w:type="spellStart"/>
      <w:r w:rsidRPr="00653E7D">
        <w:rPr>
          <w:rFonts w:ascii="Times New Roman" w:hAnsi="Times New Roman" w:cs="Times New Roman"/>
          <w:sz w:val="24"/>
          <w:szCs w:val="24"/>
          <w:lang w:val="en-AU"/>
        </w:rPr>
        <w:t>FWO</w:t>
      </w:r>
      <w:proofErr w:type="spellEnd"/>
      <w:r w:rsidRPr="00653E7D">
        <w:rPr>
          <w:rFonts w:ascii="Times New Roman" w:hAnsi="Times New Roman" w:cs="Times New Roman"/>
          <w:sz w:val="24"/>
          <w:szCs w:val="24"/>
          <w:lang w:val="en-AU"/>
        </w:rPr>
        <w:t xml:space="preserve"> inspectors act under a dual mandate: to investigate breaches of the FW Act; and to investigate breaches of subclass 457 temporary worker visa conditions.</w:t>
      </w:r>
      <w:r w:rsidRPr="00653E7D">
        <w:rPr>
          <w:rFonts w:ascii="Times New Roman" w:eastAsia="Times New Roman" w:hAnsi="Times New Roman" w:cs="Times New Roman"/>
          <w:sz w:val="24"/>
          <w:szCs w:val="24"/>
          <w:vertAlign w:val="superscript"/>
          <w:lang w:val="en-AU"/>
        </w:rPr>
        <w:endnoteReference w:id="62"/>
      </w:r>
      <w:r w:rsidRPr="00653E7D">
        <w:rPr>
          <w:rFonts w:ascii="Times New Roman" w:hAnsi="Times New Roman" w:cs="Times New Roman"/>
          <w:sz w:val="24"/>
          <w:szCs w:val="24"/>
          <w:lang w:val="en-AU"/>
        </w:rPr>
        <w:t xml:space="preserve"> It is well established that unauthorised migrants’ fear of detection is heightened when countries impose duties on service providers (here, the </w:t>
      </w:r>
      <w:proofErr w:type="spellStart"/>
      <w:r w:rsidRPr="00653E7D">
        <w:rPr>
          <w:rFonts w:ascii="Times New Roman" w:hAnsi="Times New Roman" w:cs="Times New Roman"/>
          <w:sz w:val="24"/>
          <w:szCs w:val="24"/>
          <w:lang w:val="en-AU"/>
        </w:rPr>
        <w:t>FWO</w:t>
      </w:r>
      <w:proofErr w:type="spellEnd"/>
      <w:r w:rsidRPr="00653E7D">
        <w:rPr>
          <w:rFonts w:ascii="Times New Roman" w:hAnsi="Times New Roman" w:cs="Times New Roman"/>
          <w:sz w:val="24"/>
          <w:szCs w:val="24"/>
          <w:lang w:val="en-AU"/>
        </w:rPr>
        <w:t xml:space="preserve"> inspectors) to report such migrants to immigration authorities.</w:t>
      </w:r>
      <w:r w:rsidRPr="00653E7D">
        <w:rPr>
          <w:rFonts w:ascii="Times New Roman" w:eastAsia="Times New Roman" w:hAnsi="Times New Roman" w:cs="Times New Roman"/>
          <w:sz w:val="24"/>
          <w:szCs w:val="24"/>
          <w:vertAlign w:val="superscript"/>
          <w:lang w:val="en-AU"/>
        </w:rPr>
        <w:endnoteReference w:id="63"/>
      </w:r>
      <w:r w:rsidRPr="00653E7D">
        <w:rPr>
          <w:rFonts w:ascii="Times New Roman" w:hAnsi="Times New Roman" w:cs="Times New Roman"/>
          <w:sz w:val="24"/>
          <w:szCs w:val="24"/>
          <w:lang w:val="en-AU"/>
        </w:rPr>
        <w:t xml:space="preserve"> This fear, in turn, </w:t>
      </w:r>
      <w:proofErr w:type="spellStart"/>
      <w:r w:rsidRPr="00653E7D">
        <w:rPr>
          <w:rFonts w:ascii="Times New Roman" w:hAnsi="Times New Roman" w:cs="Times New Roman"/>
          <w:sz w:val="24"/>
          <w:szCs w:val="24"/>
          <w:lang w:val="en-AU"/>
        </w:rPr>
        <w:t>disincentivises</w:t>
      </w:r>
      <w:proofErr w:type="spellEnd"/>
      <w:r w:rsidRPr="00653E7D">
        <w:rPr>
          <w:rFonts w:ascii="Times New Roman" w:hAnsi="Times New Roman" w:cs="Times New Roman"/>
          <w:sz w:val="24"/>
          <w:szCs w:val="24"/>
          <w:lang w:val="en-AU"/>
        </w:rPr>
        <w:t xml:space="preserve"> unauthorised migrants from seeking protection. The continued link between the </w:t>
      </w:r>
      <w:proofErr w:type="spellStart"/>
      <w:r w:rsidRPr="00653E7D">
        <w:rPr>
          <w:rFonts w:ascii="Times New Roman" w:hAnsi="Times New Roman" w:cs="Times New Roman"/>
          <w:sz w:val="24"/>
          <w:szCs w:val="24"/>
          <w:lang w:val="en-AU"/>
        </w:rPr>
        <w:t>FWO</w:t>
      </w:r>
      <w:proofErr w:type="spellEnd"/>
      <w:r w:rsidRPr="00653E7D">
        <w:rPr>
          <w:rFonts w:ascii="Times New Roman" w:hAnsi="Times New Roman" w:cs="Times New Roman"/>
          <w:sz w:val="24"/>
          <w:szCs w:val="24"/>
          <w:lang w:val="en-AU"/>
        </w:rPr>
        <w:t xml:space="preserve"> </w:t>
      </w:r>
      <w:r w:rsidRPr="00653E7D">
        <w:rPr>
          <w:rFonts w:ascii="Times New Roman" w:hAnsi="Times New Roman" w:cs="Times New Roman"/>
          <w:sz w:val="24"/>
          <w:szCs w:val="24"/>
          <w:lang w:val="en-AU"/>
        </w:rPr>
        <w:lastRenderedPageBreak/>
        <w:t xml:space="preserve">and the </w:t>
      </w:r>
      <w:proofErr w:type="spellStart"/>
      <w:r w:rsidRPr="00653E7D">
        <w:rPr>
          <w:rFonts w:ascii="Times New Roman" w:hAnsi="Times New Roman" w:cs="Times New Roman"/>
          <w:sz w:val="24"/>
          <w:szCs w:val="24"/>
          <w:lang w:val="en-AU"/>
        </w:rPr>
        <w:t>DIBP</w:t>
      </w:r>
      <w:proofErr w:type="spellEnd"/>
      <w:r w:rsidRPr="00653E7D">
        <w:rPr>
          <w:rFonts w:ascii="Times New Roman" w:hAnsi="Times New Roman" w:cs="Times New Roman"/>
          <w:sz w:val="24"/>
          <w:szCs w:val="24"/>
          <w:lang w:val="en-AU"/>
        </w:rPr>
        <w:t xml:space="preserve"> means that any rights cannot be enforced without consequences such as deportation.</w:t>
      </w:r>
      <w:r w:rsidRPr="00653E7D">
        <w:rPr>
          <w:rFonts w:ascii="Times New Roman" w:eastAsia="Times New Roman" w:hAnsi="Times New Roman" w:cs="Times New Roman"/>
          <w:sz w:val="24"/>
          <w:szCs w:val="24"/>
          <w:vertAlign w:val="superscript"/>
          <w:lang w:val="en-AU"/>
        </w:rPr>
        <w:endnoteReference w:id="64"/>
      </w:r>
      <w:r w:rsidRPr="00653E7D">
        <w:rPr>
          <w:rFonts w:ascii="Times New Roman" w:hAnsi="Times New Roman" w:cs="Times New Roman"/>
          <w:sz w:val="24"/>
          <w:szCs w:val="24"/>
          <w:lang w:val="en-AU"/>
        </w:rPr>
        <w:t xml:space="preserve"> This position sits between a non-protection approach on the one hand and a full-protection approach on the other, guaranteeing only ‘protection with consequences’ that limits unauthorised migrant workers’ ability to enforce their rights, and undermines any incentives under the protectionist approach.</w:t>
      </w:r>
      <w:r w:rsidRPr="00653E7D">
        <w:rPr>
          <w:rFonts w:ascii="Times New Roman" w:eastAsia="Times New Roman" w:hAnsi="Times New Roman" w:cs="Times New Roman"/>
          <w:sz w:val="24"/>
          <w:szCs w:val="24"/>
          <w:vertAlign w:val="superscript"/>
          <w:lang w:val="en-AU"/>
        </w:rPr>
        <w:endnoteReference w:id="65"/>
      </w:r>
      <w:r w:rsidRPr="00653E7D">
        <w:rPr>
          <w:rFonts w:ascii="Times New Roman" w:hAnsi="Times New Roman" w:cs="Times New Roman"/>
          <w:sz w:val="24"/>
          <w:szCs w:val="24"/>
          <w:lang w:val="en-AU"/>
        </w:rPr>
        <w:t xml:space="preserve"> Where a fear of deportation prevents them from asserting their rights, migrant workers’ right to judicial protection is violated.</w:t>
      </w:r>
      <w:r w:rsidRPr="00653E7D">
        <w:rPr>
          <w:rFonts w:ascii="Times New Roman" w:eastAsia="Times New Roman" w:hAnsi="Times New Roman" w:cs="Times New Roman"/>
          <w:sz w:val="24"/>
          <w:szCs w:val="24"/>
          <w:vertAlign w:val="superscript"/>
          <w:lang w:val="en-AU"/>
        </w:rPr>
        <w:endnoteReference w:id="66"/>
      </w:r>
      <w:r w:rsidRPr="00653E7D">
        <w:rPr>
          <w:rFonts w:ascii="Times New Roman" w:hAnsi="Times New Roman" w:cs="Times New Roman"/>
          <w:sz w:val="24"/>
          <w:szCs w:val="24"/>
          <w:lang w:val="en-AU"/>
        </w:rPr>
        <w:t xml:space="preserve"> The fear of visa cancellation,</w:t>
      </w:r>
      <w:r w:rsidRPr="00653E7D">
        <w:rPr>
          <w:rFonts w:ascii="Times New Roman" w:eastAsia="Times New Roman" w:hAnsi="Times New Roman" w:cs="Times New Roman"/>
          <w:sz w:val="24"/>
          <w:szCs w:val="24"/>
          <w:vertAlign w:val="superscript"/>
          <w:lang w:val="en-AU"/>
        </w:rPr>
        <w:endnoteReference w:id="67"/>
      </w:r>
      <w:r w:rsidRPr="00653E7D">
        <w:rPr>
          <w:rFonts w:ascii="Times New Roman" w:hAnsi="Times New Roman" w:cs="Times New Roman"/>
          <w:sz w:val="24"/>
          <w:szCs w:val="24"/>
          <w:lang w:val="en-AU"/>
        </w:rPr>
        <w:t xml:space="preserve"> deportation and sanctions under the Migration Act will continue to discourage unauthorised workers from pursuing the legal protections and remedies they are entitled to, as a matter of basic human rights.</w:t>
      </w:r>
      <w:r w:rsidRPr="00653E7D">
        <w:rPr>
          <w:rFonts w:ascii="Times New Roman" w:eastAsia="Times New Roman" w:hAnsi="Times New Roman" w:cs="Times New Roman"/>
          <w:sz w:val="24"/>
          <w:szCs w:val="24"/>
          <w:vertAlign w:val="superscript"/>
          <w:lang w:val="en-AU"/>
        </w:rPr>
        <w:endnoteReference w:id="68"/>
      </w:r>
      <w:r w:rsidRPr="00653E7D">
        <w:rPr>
          <w:rFonts w:ascii="Times New Roman" w:hAnsi="Times New Roman" w:cs="Times New Roman"/>
          <w:sz w:val="24"/>
          <w:szCs w:val="24"/>
          <w:lang w:val="en-AU"/>
        </w:rPr>
        <w:t xml:space="preserve"> Unauthorised migrant workers should have access to remedies to access their pay without exposure to immigration authorities, to allow them to realise their basic human right to that pay.</w:t>
      </w:r>
      <w:r w:rsidRPr="00653E7D">
        <w:rPr>
          <w:rFonts w:ascii="Times New Roman" w:eastAsia="Times New Roman" w:hAnsi="Times New Roman" w:cs="Times New Roman"/>
          <w:sz w:val="24"/>
          <w:szCs w:val="24"/>
          <w:vertAlign w:val="superscript"/>
          <w:lang w:val="en-AU"/>
        </w:rPr>
        <w:endnoteReference w:id="69"/>
      </w:r>
      <w:r w:rsidRPr="00653E7D">
        <w:rPr>
          <w:rFonts w:ascii="Times New Roman" w:hAnsi="Times New Roman" w:cs="Times New Roman"/>
          <w:sz w:val="24"/>
          <w:szCs w:val="24"/>
          <w:lang w:val="en-AU"/>
        </w:rPr>
        <w:t xml:space="preserve"> </w:t>
      </w:r>
    </w:p>
    <w:p w14:paraId="6471132A" w14:textId="77777777" w:rsidR="001744AA" w:rsidRDefault="001744AA" w:rsidP="004D51A4">
      <w:pPr>
        <w:pStyle w:val="Body"/>
        <w:spacing w:line="360" w:lineRule="auto"/>
        <w:jc w:val="both"/>
        <w:rPr>
          <w:rFonts w:ascii="Times New Roman" w:hAnsi="Times New Roman" w:cs="Times New Roman"/>
          <w:sz w:val="24"/>
          <w:szCs w:val="24"/>
          <w:lang w:val="en-AU"/>
        </w:rPr>
      </w:pPr>
    </w:p>
    <w:p w14:paraId="0AD78589" w14:textId="092A9CA9" w:rsidR="00B77C6C" w:rsidRPr="00B77C6C" w:rsidRDefault="004D51A4" w:rsidP="004D51A4">
      <w:pPr>
        <w:pStyle w:val="Body"/>
        <w:spacing w:line="360" w:lineRule="auto"/>
        <w:jc w:val="both"/>
        <w:rPr>
          <w:rFonts w:ascii="Times New Roman" w:hAnsi="Times New Roman" w:cs="Times New Roman"/>
          <w:sz w:val="24"/>
          <w:szCs w:val="24"/>
          <w:lang w:val="en-AU"/>
        </w:rPr>
      </w:pPr>
      <w:r w:rsidRPr="00653E7D">
        <w:rPr>
          <w:rFonts w:ascii="Times New Roman" w:hAnsi="Times New Roman" w:cs="Times New Roman"/>
          <w:sz w:val="24"/>
          <w:szCs w:val="24"/>
          <w:lang w:val="en-AU"/>
        </w:rPr>
        <w:t>It is also worth nothing Australia’s international legal obligation to ensure that ‘any further duties which may be entrusted to labour inspectors shall not…interfere with the effective discharge of their primary duties’ as well as their authority and impartiality.</w:t>
      </w:r>
      <w:r w:rsidRPr="00653E7D">
        <w:rPr>
          <w:rFonts w:ascii="Times New Roman" w:eastAsia="Times New Roman" w:hAnsi="Times New Roman" w:cs="Times New Roman"/>
          <w:sz w:val="24"/>
          <w:szCs w:val="24"/>
          <w:vertAlign w:val="superscript"/>
          <w:lang w:val="en-AU"/>
        </w:rPr>
        <w:endnoteReference w:id="70"/>
      </w:r>
      <w:r w:rsidRPr="00653E7D">
        <w:rPr>
          <w:rFonts w:ascii="Times New Roman" w:hAnsi="Times New Roman" w:cs="Times New Roman"/>
          <w:sz w:val="24"/>
          <w:szCs w:val="24"/>
          <w:lang w:val="en-AU"/>
        </w:rPr>
        <w:t xml:space="preserve"> This is jeopardised when </w:t>
      </w:r>
      <w:proofErr w:type="spellStart"/>
      <w:r w:rsidRPr="00653E7D">
        <w:rPr>
          <w:rFonts w:ascii="Times New Roman" w:hAnsi="Times New Roman" w:cs="Times New Roman"/>
          <w:sz w:val="24"/>
          <w:szCs w:val="24"/>
          <w:lang w:val="en-AU"/>
        </w:rPr>
        <w:t>FWO</w:t>
      </w:r>
      <w:proofErr w:type="spellEnd"/>
      <w:r w:rsidRPr="00653E7D">
        <w:rPr>
          <w:rFonts w:ascii="Times New Roman" w:hAnsi="Times New Roman" w:cs="Times New Roman"/>
          <w:sz w:val="24"/>
          <w:szCs w:val="24"/>
          <w:lang w:val="en-AU"/>
        </w:rPr>
        <w:t xml:space="preserve"> inspectors are tasked with monitoring migration compliance as it negatively impacts their protective (primary) function for unauthorised workers that are exploited. An increase in resources fo</w:t>
      </w:r>
      <w:r w:rsidR="001744AA">
        <w:rPr>
          <w:rFonts w:ascii="Times New Roman" w:hAnsi="Times New Roman" w:cs="Times New Roman"/>
          <w:sz w:val="24"/>
          <w:szCs w:val="24"/>
          <w:lang w:val="en-AU"/>
        </w:rPr>
        <w:t xml:space="preserve">r the </w:t>
      </w:r>
      <w:proofErr w:type="spellStart"/>
      <w:r w:rsidR="001744AA">
        <w:rPr>
          <w:rFonts w:ascii="Times New Roman" w:hAnsi="Times New Roman" w:cs="Times New Roman"/>
          <w:sz w:val="24"/>
          <w:szCs w:val="24"/>
          <w:lang w:val="en-AU"/>
        </w:rPr>
        <w:t>FWO</w:t>
      </w:r>
      <w:proofErr w:type="spellEnd"/>
      <w:r w:rsidR="001744AA">
        <w:rPr>
          <w:rFonts w:ascii="Times New Roman" w:hAnsi="Times New Roman" w:cs="Times New Roman"/>
          <w:sz w:val="24"/>
          <w:szCs w:val="24"/>
          <w:lang w:val="en-AU"/>
        </w:rPr>
        <w:t xml:space="preserve"> (as in recommendation</w:t>
      </w:r>
      <w:r w:rsidRPr="00653E7D">
        <w:rPr>
          <w:rFonts w:ascii="Times New Roman" w:hAnsi="Times New Roman" w:cs="Times New Roman"/>
          <w:sz w:val="24"/>
          <w:szCs w:val="24"/>
          <w:lang w:val="en-AU"/>
        </w:rPr>
        <w:t xml:space="preserve"> 21.1) is a positive step to improve enforcement, but institutional independence will let that enforcement be smarter, more effective and fundamentally more protective. Separating the operations of the DIBP from those of the </w:t>
      </w:r>
      <w:proofErr w:type="spellStart"/>
      <w:r w:rsidRPr="00653E7D">
        <w:rPr>
          <w:rFonts w:ascii="Times New Roman" w:hAnsi="Times New Roman" w:cs="Times New Roman"/>
          <w:sz w:val="24"/>
          <w:szCs w:val="24"/>
          <w:lang w:val="en-AU"/>
        </w:rPr>
        <w:t>FWO</w:t>
      </w:r>
      <w:proofErr w:type="spellEnd"/>
      <w:r w:rsidRPr="00653E7D">
        <w:rPr>
          <w:rFonts w:ascii="Times New Roman" w:hAnsi="Times New Roman" w:cs="Times New Roman"/>
          <w:sz w:val="24"/>
          <w:szCs w:val="24"/>
          <w:lang w:val="en-AU"/>
        </w:rPr>
        <w:t xml:space="preserve"> recognises the need for a balance to be struck between the restrictive tendencies of migration law, and labour law’s protective tendencies.</w:t>
      </w:r>
      <w:r w:rsidRPr="00653E7D">
        <w:rPr>
          <w:rFonts w:ascii="Times New Roman" w:eastAsia="Times New Roman" w:hAnsi="Times New Roman" w:cs="Times New Roman"/>
          <w:sz w:val="24"/>
          <w:szCs w:val="24"/>
          <w:vertAlign w:val="superscript"/>
          <w:lang w:val="en-AU"/>
        </w:rPr>
        <w:endnoteReference w:id="71"/>
      </w:r>
      <w:r w:rsidRPr="00653E7D">
        <w:rPr>
          <w:rFonts w:ascii="Times New Roman" w:hAnsi="Times New Roman" w:cs="Times New Roman"/>
          <w:sz w:val="24"/>
          <w:szCs w:val="24"/>
          <w:lang w:val="en-AU"/>
        </w:rPr>
        <w:t xml:space="preserve"> This does not mean that the two frameworks of migration law and labour law are discrete and inc</w:t>
      </w:r>
      <w:r w:rsidR="000369DF">
        <w:rPr>
          <w:rFonts w:ascii="Times New Roman" w:hAnsi="Times New Roman" w:cs="Times New Roman"/>
          <w:sz w:val="24"/>
          <w:szCs w:val="24"/>
          <w:lang w:val="en-AU"/>
        </w:rPr>
        <w:t>ompatible; rather, as this submission</w:t>
      </w:r>
      <w:r w:rsidRPr="00653E7D">
        <w:rPr>
          <w:rFonts w:ascii="Times New Roman" w:hAnsi="Times New Roman" w:cs="Times New Roman"/>
          <w:sz w:val="24"/>
          <w:szCs w:val="24"/>
          <w:lang w:val="en-AU"/>
        </w:rPr>
        <w:t xml:space="preserve"> has shown, their connection is one that a ‘fully protective’ approach can foster more strategically to both protect workers and better discourage their cause.</w:t>
      </w:r>
      <w:r w:rsidRPr="00653E7D">
        <w:rPr>
          <w:rFonts w:ascii="Times New Roman" w:eastAsia="Times New Roman" w:hAnsi="Times New Roman" w:cs="Times New Roman"/>
          <w:sz w:val="24"/>
          <w:szCs w:val="24"/>
          <w:vertAlign w:val="superscript"/>
          <w:lang w:val="en-AU"/>
        </w:rPr>
        <w:endnoteReference w:id="72"/>
      </w:r>
    </w:p>
    <w:p w14:paraId="3F1CE58A" w14:textId="77777777" w:rsidR="004D51A4" w:rsidRPr="00653E7D" w:rsidRDefault="004D51A4" w:rsidP="004D51A4">
      <w:pPr>
        <w:pStyle w:val="Heading1"/>
        <w:rPr>
          <w:rFonts w:ascii="Times New Roman" w:hAnsi="Times New Roman" w:cs="Times New Roman"/>
          <w:lang w:val="en-AU"/>
        </w:rPr>
      </w:pPr>
      <w:bookmarkStart w:id="21" w:name="_Toc304710256"/>
      <w:bookmarkStart w:id="22" w:name="_Toc304710283"/>
      <w:r w:rsidRPr="00653E7D">
        <w:rPr>
          <w:rFonts w:ascii="Times New Roman" w:hAnsi="Times New Roman" w:cs="Times New Roman"/>
          <w:lang w:val="en-AU"/>
        </w:rPr>
        <w:t>Conclusion</w:t>
      </w:r>
      <w:bookmarkEnd w:id="21"/>
      <w:bookmarkEnd w:id="22"/>
      <w:r w:rsidRPr="00653E7D">
        <w:rPr>
          <w:rFonts w:ascii="Times New Roman" w:hAnsi="Times New Roman" w:cs="Times New Roman"/>
          <w:lang w:val="en-AU"/>
        </w:rPr>
        <w:t xml:space="preserve"> </w:t>
      </w:r>
    </w:p>
    <w:p w14:paraId="529EBDB1"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lang w:val="en-AU"/>
        </w:rPr>
      </w:pPr>
    </w:p>
    <w:p w14:paraId="2EE011FC"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lang w:val="en-AU"/>
        </w:rPr>
      </w:pPr>
      <w:r w:rsidRPr="00653E7D">
        <w:rPr>
          <w:rFonts w:ascii="Times New Roman" w:hAnsi="Times New Roman" w:cs="Times New Roman"/>
          <w:sz w:val="24"/>
          <w:szCs w:val="24"/>
          <w:lang w:val="en-AU"/>
        </w:rPr>
        <w:t xml:space="preserve">Recommendation 21.1 suggests legislative changes that would alone not further the policy objective of reducing unauthorised migrant labour as they would in tandem with the other </w:t>
      </w:r>
      <w:r w:rsidR="000369DF">
        <w:rPr>
          <w:rFonts w:ascii="Times New Roman" w:hAnsi="Times New Roman" w:cs="Times New Roman"/>
          <w:sz w:val="24"/>
          <w:szCs w:val="24"/>
          <w:lang w:val="en-AU"/>
        </w:rPr>
        <w:t>changes identified in this submission</w:t>
      </w:r>
      <w:r w:rsidRPr="00653E7D">
        <w:rPr>
          <w:rFonts w:ascii="Times New Roman" w:hAnsi="Times New Roman" w:cs="Times New Roman"/>
          <w:sz w:val="24"/>
          <w:szCs w:val="24"/>
          <w:lang w:val="en-AU"/>
        </w:rPr>
        <w:t xml:space="preserve">. The Productivity Commission accepts that ‘…broader legislative changes would be required to reconcile the </w:t>
      </w:r>
      <w:r w:rsidRPr="00653E7D">
        <w:rPr>
          <w:rFonts w:ascii="Times New Roman" w:hAnsi="Times New Roman" w:cs="Times New Roman"/>
          <w:sz w:val="24"/>
          <w:szCs w:val="24"/>
          <w:lang w:val="en-AU"/>
        </w:rPr>
        <w:lastRenderedPageBreak/>
        <w:t>[Migration Act and FW Act].’</w:t>
      </w:r>
      <w:r w:rsidRPr="00653E7D">
        <w:rPr>
          <w:rFonts w:ascii="Times New Roman" w:eastAsia="Times New Roman" w:hAnsi="Times New Roman" w:cs="Times New Roman"/>
          <w:sz w:val="24"/>
          <w:szCs w:val="24"/>
          <w:vertAlign w:val="superscript"/>
          <w:lang w:val="en-AU"/>
        </w:rPr>
        <w:endnoteReference w:id="73"/>
      </w:r>
      <w:r w:rsidRPr="00653E7D">
        <w:rPr>
          <w:rFonts w:ascii="Times New Roman" w:hAnsi="Times New Roman" w:cs="Times New Roman"/>
          <w:sz w:val="24"/>
          <w:szCs w:val="24"/>
          <w:lang w:val="en-AU"/>
        </w:rPr>
        <w:t xml:space="preserve"> Indeed, this report provides an opportunity to carefully begin just that. The changes to the law at the intersection of migration and labour can and should be more prospective, and be more principled in their approach for the future position of migration labour in Australia.</w:t>
      </w:r>
      <w:r w:rsidRPr="00653E7D">
        <w:rPr>
          <w:rFonts w:ascii="Times New Roman" w:eastAsia="Times New Roman" w:hAnsi="Times New Roman" w:cs="Times New Roman"/>
          <w:sz w:val="24"/>
          <w:szCs w:val="24"/>
          <w:vertAlign w:val="superscript"/>
          <w:lang w:val="en-AU"/>
        </w:rPr>
        <w:endnoteReference w:id="74"/>
      </w:r>
      <w:r w:rsidRPr="00653E7D">
        <w:rPr>
          <w:rFonts w:ascii="Times New Roman" w:hAnsi="Times New Roman" w:cs="Times New Roman"/>
          <w:sz w:val="24"/>
          <w:szCs w:val="24"/>
          <w:lang w:val="en-AU"/>
        </w:rPr>
        <w:t xml:space="preserve"> The recommendation to increase sanctions rightly targets the pull factors of unauthorised immigration,</w:t>
      </w:r>
      <w:r w:rsidRPr="00653E7D">
        <w:rPr>
          <w:rFonts w:ascii="Times New Roman" w:eastAsia="Times New Roman" w:hAnsi="Times New Roman" w:cs="Times New Roman"/>
          <w:sz w:val="24"/>
          <w:szCs w:val="24"/>
          <w:vertAlign w:val="superscript"/>
          <w:lang w:val="en-AU"/>
        </w:rPr>
        <w:endnoteReference w:id="75"/>
      </w:r>
      <w:r w:rsidRPr="00653E7D">
        <w:rPr>
          <w:rFonts w:ascii="Times New Roman" w:hAnsi="Times New Roman" w:cs="Times New Roman"/>
          <w:sz w:val="24"/>
          <w:szCs w:val="24"/>
          <w:lang w:val="en-AU"/>
        </w:rPr>
        <w:t xml:space="preserve"> but it should be directed at remedying breaches of unauthorised migrant workers’ general labour and human rights. Fully protecting these workers, and improving the enforcement options available to them is likelier to achieve the policy objective of current immigration law, while respecting Australia’s human rights-based obligations to all migrants, irrespective of their </w:t>
      </w:r>
      <w:r w:rsidR="001744AA">
        <w:rPr>
          <w:rFonts w:ascii="Times New Roman" w:hAnsi="Times New Roman" w:cs="Times New Roman"/>
          <w:sz w:val="24"/>
          <w:szCs w:val="24"/>
          <w:lang w:val="en-AU"/>
        </w:rPr>
        <w:t xml:space="preserve">migration status. </w:t>
      </w:r>
    </w:p>
    <w:p w14:paraId="651EAC7D"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u w:val="single"/>
          <w:lang w:val="en-AU"/>
        </w:rPr>
      </w:pPr>
    </w:p>
    <w:p w14:paraId="64CC1D3C"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AU"/>
        </w:rPr>
        <w:sectPr w:rsidR="004D51A4" w:rsidRPr="00653E7D" w:rsidSect="00A022E7">
          <w:footerReference w:type="even" r:id="rId9"/>
          <w:footerReference w:type="default" r:id="rId10"/>
          <w:endnotePr>
            <w:numFmt w:val="decimal"/>
          </w:endnotePr>
          <w:pgSz w:w="11900" w:h="16840"/>
          <w:pgMar w:top="1440" w:right="1800" w:bottom="851" w:left="1800" w:header="708" w:footer="708" w:gutter="0"/>
          <w:pgNumType w:start="1"/>
          <w:cols w:space="708"/>
          <w:docGrid w:linePitch="360"/>
        </w:sectPr>
      </w:pPr>
    </w:p>
    <w:p w14:paraId="058A813C" w14:textId="77777777" w:rsidR="004D51A4" w:rsidRPr="00653E7D" w:rsidRDefault="004D51A4" w:rsidP="004D51A4">
      <w:pPr>
        <w:pStyle w:val="Heading1"/>
        <w:rPr>
          <w:rFonts w:ascii="Times New Roman" w:hAnsi="Times New Roman" w:cs="Times New Roman"/>
          <w:lang w:val="en-AU"/>
        </w:rPr>
      </w:pPr>
      <w:bookmarkStart w:id="23" w:name="_Toc304710257"/>
      <w:bookmarkStart w:id="24" w:name="_Toc304710284"/>
      <w:r w:rsidRPr="00653E7D">
        <w:rPr>
          <w:rFonts w:ascii="Times New Roman" w:hAnsi="Times New Roman" w:cs="Times New Roman"/>
          <w:lang w:val="en-AU"/>
        </w:rPr>
        <w:lastRenderedPageBreak/>
        <w:t>Bibliography</w:t>
      </w:r>
      <w:bookmarkEnd w:id="23"/>
      <w:bookmarkEnd w:id="24"/>
    </w:p>
    <w:p w14:paraId="2D8C86A2"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n-AU"/>
        </w:rPr>
      </w:pPr>
    </w:p>
    <w:p w14:paraId="0315B24C" w14:textId="77777777" w:rsidR="004D51A4" w:rsidRPr="00653E7D" w:rsidRDefault="004D51A4" w:rsidP="004D51A4">
      <w:pPr>
        <w:pStyle w:val="Heading2"/>
        <w:rPr>
          <w:rFonts w:ascii="Times New Roman" w:hAnsi="Times New Roman" w:cs="Times New Roman"/>
          <w:lang w:val="en-AU"/>
        </w:rPr>
      </w:pPr>
      <w:bookmarkStart w:id="25" w:name="_Toc304710258"/>
      <w:bookmarkStart w:id="26" w:name="_Toc304710285"/>
      <w:r w:rsidRPr="00653E7D">
        <w:rPr>
          <w:rFonts w:ascii="Times New Roman" w:hAnsi="Times New Roman" w:cs="Times New Roman"/>
          <w:lang w:val="en-AU"/>
        </w:rPr>
        <w:t>Articles/books/reports</w:t>
      </w:r>
      <w:bookmarkEnd w:id="25"/>
      <w:bookmarkEnd w:id="26"/>
    </w:p>
    <w:p w14:paraId="7265BEFC"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445CBE4A"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lang w:val="en-AU"/>
        </w:rPr>
        <w:t xml:space="preserve">Berg, Laurie, </w:t>
      </w:r>
      <w:r w:rsidRPr="00653E7D">
        <w:rPr>
          <w:i/>
          <w:iCs/>
          <w:lang w:val="en-AU"/>
        </w:rPr>
        <w:t>Migrant Rights at Work: Law's Precariousness at the Intersection of Immigration and Labour</w:t>
      </w:r>
      <w:r w:rsidRPr="00653E7D">
        <w:rPr>
          <w:lang w:val="en-AU"/>
        </w:rPr>
        <w:t xml:space="preserve"> (Routledge, 2015)</w:t>
      </w:r>
    </w:p>
    <w:p w14:paraId="34FCE74A"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6541C385"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roofErr w:type="spellStart"/>
      <w:r w:rsidRPr="00653E7D">
        <w:rPr>
          <w:lang w:val="en-AU"/>
        </w:rPr>
        <w:t>Carens</w:t>
      </w:r>
      <w:proofErr w:type="spellEnd"/>
      <w:r w:rsidRPr="00653E7D">
        <w:rPr>
          <w:lang w:val="en-AU"/>
        </w:rPr>
        <w:t xml:space="preserve">, Joseph H, ’The Rights of Irregular Migrants’(2008) 22(2) </w:t>
      </w:r>
      <w:r w:rsidRPr="00653E7D">
        <w:rPr>
          <w:i/>
          <w:iCs/>
          <w:lang w:val="en-AU"/>
        </w:rPr>
        <w:t xml:space="preserve">Ethics &amp; International Affairs </w:t>
      </w:r>
      <w:r w:rsidRPr="00653E7D">
        <w:rPr>
          <w:lang w:val="en-AU"/>
        </w:rPr>
        <w:t>163</w:t>
      </w:r>
    </w:p>
    <w:p w14:paraId="26F6A3A7"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5EF10B71"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lang w:val="en-AU"/>
        </w:rPr>
        <w:t xml:space="preserve">Cleveland, Sarah H., ‘Legal Status and Rights of Undocumented Workers. Advisory Opinion OC-18/03’ (2005) 99(2) </w:t>
      </w:r>
      <w:r w:rsidRPr="00653E7D">
        <w:rPr>
          <w:i/>
          <w:iCs/>
          <w:lang w:val="en-AU"/>
        </w:rPr>
        <w:t xml:space="preserve">The American Journal of International Law </w:t>
      </w:r>
      <w:r w:rsidRPr="00653E7D">
        <w:rPr>
          <w:lang w:val="en-AU"/>
        </w:rPr>
        <w:t>460</w:t>
      </w:r>
    </w:p>
    <w:p w14:paraId="6050DCB8"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1930638D"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roofErr w:type="spellStart"/>
      <w:r w:rsidRPr="00653E7D">
        <w:rPr>
          <w:lang w:val="en-AU"/>
        </w:rPr>
        <w:t>Clibborn</w:t>
      </w:r>
      <w:proofErr w:type="spellEnd"/>
      <w:r w:rsidRPr="00653E7D">
        <w:rPr>
          <w:lang w:val="en-AU"/>
        </w:rPr>
        <w:t xml:space="preserve">, Stephen, ‘Why undocumented immigrant workers should have workplace rights’ (2015) </w:t>
      </w:r>
      <w:r w:rsidRPr="00653E7D">
        <w:rPr>
          <w:i/>
          <w:iCs/>
          <w:lang w:val="en-AU"/>
        </w:rPr>
        <w:t xml:space="preserve">The Economic and Labour Relations Review </w:t>
      </w:r>
      <w:r w:rsidRPr="00653E7D">
        <w:rPr>
          <w:lang w:val="en-AU"/>
        </w:rPr>
        <w:t>1</w:t>
      </w:r>
    </w:p>
    <w:p w14:paraId="7067D07E"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59B65B6C"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lang w:val="en-AU"/>
        </w:rPr>
        <w:t>Crock, Mary, Sean Howe, Ron McCallum</w:t>
      </w:r>
      <w:r w:rsidRPr="00653E7D">
        <w:rPr>
          <w:i/>
          <w:iCs/>
          <w:lang w:val="en-AU"/>
        </w:rPr>
        <w:t xml:space="preserve"> </w:t>
      </w:r>
      <w:r w:rsidRPr="00653E7D">
        <w:rPr>
          <w:lang w:val="en-AU"/>
        </w:rPr>
        <w:t xml:space="preserve">‘Conflicted priorities? Enforcing fairness for temporary migrant workers in Australia’ in </w:t>
      </w:r>
      <w:proofErr w:type="spellStart"/>
      <w:r w:rsidRPr="00653E7D">
        <w:rPr>
          <w:lang w:val="en-AU"/>
        </w:rPr>
        <w:t>Cathryn</w:t>
      </w:r>
      <w:proofErr w:type="spellEnd"/>
      <w:r w:rsidRPr="00653E7D">
        <w:rPr>
          <w:lang w:val="en-AU"/>
        </w:rPr>
        <w:t xml:space="preserve"> Costello, Mark </w:t>
      </w:r>
      <w:proofErr w:type="spellStart"/>
      <w:r w:rsidRPr="00653E7D">
        <w:rPr>
          <w:lang w:val="en-AU"/>
        </w:rPr>
        <w:t>Freedland</w:t>
      </w:r>
      <w:proofErr w:type="spellEnd"/>
      <w:r w:rsidRPr="00653E7D">
        <w:rPr>
          <w:lang w:val="en-AU"/>
        </w:rPr>
        <w:t xml:space="preserve"> (</w:t>
      </w:r>
      <w:proofErr w:type="spellStart"/>
      <w:r w:rsidRPr="00653E7D">
        <w:rPr>
          <w:lang w:val="en-AU"/>
        </w:rPr>
        <w:t>eds</w:t>
      </w:r>
      <w:proofErr w:type="spellEnd"/>
      <w:r w:rsidRPr="00653E7D">
        <w:rPr>
          <w:lang w:val="en-AU"/>
        </w:rPr>
        <w:t xml:space="preserve">), </w:t>
      </w:r>
      <w:r w:rsidRPr="00653E7D">
        <w:rPr>
          <w:i/>
          <w:iCs/>
          <w:lang w:val="en-AU"/>
        </w:rPr>
        <w:t xml:space="preserve">Migrants at Work: Immigration and Vulnerability in Labour Law </w:t>
      </w:r>
      <w:r w:rsidRPr="00653E7D">
        <w:rPr>
          <w:lang w:val="en-AU"/>
        </w:rPr>
        <w:t>(Oxford University Press, 2014) 422</w:t>
      </w:r>
    </w:p>
    <w:p w14:paraId="43DE1C92"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3AFADAD1"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lang w:val="en-AU"/>
        </w:rPr>
        <w:t xml:space="preserve">Department of Immigration and Citizenship and the Office of the Fair Work Ombudsman, </w:t>
      </w:r>
      <w:r w:rsidRPr="00653E7D">
        <w:rPr>
          <w:i/>
          <w:iCs/>
          <w:lang w:val="en-AU"/>
        </w:rPr>
        <w:t xml:space="preserve">Memorandum of Understanding </w:t>
      </w:r>
      <w:r w:rsidRPr="00653E7D">
        <w:rPr>
          <w:lang w:val="en-AU"/>
        </w:rPr>
        <w:t>(2 July 2013)</w:t>
      </w:r>
    </w:p>
    <w:p w14:paraId="44A94C3B"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2DDE5823"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lang w:val="en-AU"/>
        </w:rPr>
        <w:t xml:space="preserve">Dewhurst, Elaine, ‘Models of Protection of the Right of Irregular Immigrants to Back Pay: The Impact of the Interconnection between Immigration Law and </w:t>
      </w:r>
      <w:proofErr w:type="spellStart"/>
      <w:r w:rsidRPr="00653E7D">
        <w:rPr>
          <w:lang w:val="en-AU"/>
        </w:rPr>
        <w:t>Labor</w:t>
      </w:r>
      <w:proofErr w:type="spellEnd"/>
      <w:r w:rsidRPr="00653E7D">
        <w:rPr>
          <w:lang w:val="en-AU"/>
        </w:rPr>
        <w:t xml:space="preserve"> Law’ (2013) 35(2) </w:t>
      </w:r>
      <w:r w:rsidRPr="00653E7D">
        <w:rPr>
          <w:i/>
          <w:iCs/>
          <w:lang w:val="en-AU"/>
        </w:rPr>
        <w:t xml:space="preserve">Comparative </w:t>
      </w:r>
      <w:proofErr w:type="spellStart"/>
      <w:r w:rsidRPr="00653E7D">
        <w:rPr>
          <w:i/>
          <w:iCs/>
          <w:lang w:val="en-AU"/>
        </w:rPr>
        <w:t>Labor</w:t>
      </w:r>
      <w:proofErr w:type="spellEnd"/>
      <w:r w:rsidRPr="00653E7D">
        <w:rPr>
          <w:i/>
          <w:iCs/>
          <w:lang w:val="en-AU"/>
        </w:rPr>
        <w:t xml:space="preserve"> Law and Policy Journal </w:t>
      </w:r>
      <w:r w:rsidRPr="00653E7D">
        <w:rPr>
          <w:lang w:val="en-AU"/>
        </w:rPr>
        <w:t>101</w:t>
      </w:r>
    </w:p>
    <w:p w14:paraId="45E81559"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7387E0FA"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lang w:val="en-AU"/>
        </w:rPr>
        <w:t xml:space="preserve">Guthrie, Robert and Rebecca </w:t>
      </w:r>
      <w:proofErr w:type="spellStart"/>
      <w:r w:rsidRPr="00653E7D">
        <w:rPr>
          <w:lang w:val="en-AU"/>
        </w:rPr>
        <w:t>Taseff</w:t>
      </w:r>
      <w:proofErr w:type="spellEnd"/>
      <w:r w:rsidRPr="00653E7D">
        <w:rPr>
          <w:lang w:val="en-AU"/>
        </w:rPr>
        <w:t xml:space="preserve">, 'Dismissal and Discrimination: Illegal Workers in England and Australia' (2008) 24(1) </w:t>
      </w:r>
      <w:r w:rsidRPr="00653E7D">
        <w:rPr>
          <w:i/>
          <w:iCs/>
          <w:lang w:val="en-AU"/>
        </w:rPr>
        <w:t>International Journal of Comparative Labour Law and Industrial Relations</w:t>
      </w:r>
      <w:r w:rsidRPr="00653E7D">
        <w:rPr>
          <w:lang w:val="en-AU"/>
        </w:rPr>
        <w:t xml:space="preserve"> 31</w:t>
      </w:r>
    </w:p>
    <w:p w14:paraId="3ECEDB5E"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20C28B6E"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lang w:val="en-AU"/>
        </w:rPr>
        <w:t xml:space="preserve">Hardy, Tess, John Howe, Sean Cooney, ‘Less Energetic but More Enlightened? </w:t>
      </w:r>
      <w:r w:rsidRPr="00653E7D">
        <w:rPr>
          <w:lang w:val="en-AU"/>
        </w:rPr>
        <w:lastRenderedPageBreak/>
        <w:t xml:space="preserve">Exploring the Fair Work Ombudsman’s Use of Litigation in Regulatory Enforcement’ (2013) 35 </w:t>
      </w:r>
      <w:r w:rsidRPr="00653E7D">
        <w:rPr>
          <w:i/>
          <w:iCs/>
          <w:lang w:val="en-AU"/>
        </w:rPr>
        <w:t xml:space="preserve">Sydney Law Review </w:t>
      </w:r>
      <w:r w:rsidRPr="00653E7D">
        <w:rPr>
          <w:lang w:val="en-AU"/>
        </w:rPr>
        <w:t>565</w:t>
      </w:r>
    </w:p>
    <w:p w14:paraId="626BAC1D"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57B6B45E"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lang w:val="en-AU"/>
        </w:rPr>
        <w:t xml:space="preserve">International Labour Organisation, </w:t>
      </w:r>
      <w:r w:rsidRPr="00653E7D">
        <w:rPr>
          <w:i/>
          <w:iCs/>
          <w:lang w:val="en-AU"/>
        </w:rPr>
        <w:t xml:space="preserve">How International Labour Standards are used </w:t>
      </w:r>
      <w:r w:rsidRPr="00653E7D">
        <w:rPr>
          <w:lang w:val="en-AU"/>
        </w:rPr>
        <w:t>(2015) &lt;http://www.ilo.org/global/standards/introduction-to-international-labour-standards/international-labour-standards-use/lang--en/index.htm&gt;</w:t>
      </w:r>
    </w:p>
    <w:p w14:paraId="17326034"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02A16D82"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lang w:val="en-AU"/>
        </w:rPr>
        <w:t xml:space="preserve">Lee, Jane, ‘Migrant workers' unpaid wages should go to government: Productivity Commission’ </w:t>
      </w:r>
      <w:r w:rsidRPr="00653E7D">
        <w:rPr>
          <w:i/>
          <w:iCs/>
          <w:lang w:val="en-AU"/>
        </w:rPr>
        <w:t>Sydney Morning Herald</w:t>
      </w:r>
      <w:r w:rsidRPr="00653E7D">
        <w:rPr>
          <w:lang w:val="en-AU"/>
        </w:rPr>
        <w:t xml:space="preserve"> (online) 5 August 2015</w:t>
      </w:r>
      <w:r w:rsidRPr="00653E7D">
        <w:rPr>
          <w:i/>
          <w:iCs/>
          <w:lang w:val="en-AU"/>
        </w:rPr>
        <w:t xml:space="preserve"> </w:t>
      </w:r>
      <w:r w:rsidRPr="00653E7D">
        <w:rPr>
          <w:lang w:val="en-AU"/>
        </w:rPr>
        <w:t xml:space="preserve"> &lt;http://www.smh.com.au/federal-politics/political-news/migrant-workers-unpaid-wages-should-go-to-government-productivity-commission-20150805-gisbf2.html&gt;</w:t>
      </w:r>
    </w:p>
    <w:p w14:paraId="05F2B3B3"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4AE49898"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roofErr w:type="spellStart"/>
      <w:r w:rsidRPr="00653E7D">
        <w:rPr>
          <w:lang w:val="en-AU"/>
        </w:rPr>
        <w:t>Mantouvalou</w:t>
      </w:r>
      <w:proofErr w:type="spellEnd"/>
      <w:r w:rsidRPr="00653E7D">
        <w:rPr>
          <w:lang w:val="en-AU"/>
        </w:rPr>
        <w:t>, Virginia, ’Are Labour Rights Human Rights? (Working Paper, University College London Labour Rights Institute, 2012)</w:t>
      </w:r>
    </w:p>
    <w:p w14:paraId="3EBEE364"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3C263843"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lang w:val="en-AU"/>
        </w:rPr>
        <w:t xml:space="preserve">Olivier, Marius and </w:t>
      </w:r>
      <w:proofErr w:type="spellStart"/>
      <w:r w:rsidRPr="00653E7D">
        <w:rPr>
          <w:lang w:val="en-AU"/>
        </w:rPr>
        <w:t>Avinash</w:t>
      </w:r>
      <w:proofErr w:type="spellEnd"/>
      <w:r w:rsidRPr="00653E7D">
        <w:rPr>
          <w:lang w:val="en-AU"/>
        </w:rPr>
        <w:t xml:space="preserve"> </w:t>
      </w:r>
      <w:proofErr w:type="spellStart"/>
      <w:r w:rsidRPr="00653E7D">
        <w:rPr>
          <w:lang w:val="en-AU"/>
        </w:rPr>
        <w:t>Govindjee</w:t>
      </w:r>
      <w:proofErr w:type="spellEnd"/>
      <w:r w:rsidRPr="00653E7D">
        <w:rPr>
          <w:lang w:val="en-AU"/>
        </w:rPr>
        <w:t>, ‘Labour Rights and Social Protections of Migrant Workers: In search of a Coordinated Legal Response’ (Paper presented at the Inaugural conference of the Labour Law Research Network, Barcelona, Spain, 13-15 June 2013)</w:t>
      </w:r>
    </w:p>
    <w:p w14:paraId="21494061"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lang w:val="en-AU"/>
        </w:rPr>
      </w:pPr>
    </w:p>
    <w:p w14:paraId="12377B25"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lang w:val="en-AU"/>
        </w:rPr>
      </w:pPr>
      <w:r w:rsidRPr="00653E7D">
        <w:rPr>
          <w:lang w:val="en-AU"/>
        </w:rPr>
        <w:t xml:space="preserve">Productivity Commission, </w:t>
      </w:r>
      <w:r w:rsidRPr="00653E7D">
        <w:rPr>
          <w:i/>
          <w:iCs/>
          <w:lang w:val="en-AU"/>
        </w:rPr>
        <w:t>Workplace Relations Framework</w:t>
      </w:r>
      <w:r w:rsidRPr="00653E7D">
        <w:rPr>
          <w:lang w:val="en-AU"/>
        </w:rPr>
        <w:t>, Draft Report, Canberra</w:t>
      </w:r>
    </w:p>
    <w:p w14:paraId="757BECDD"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lang w:val="en-AU"/>
        </w:rPr>
      </w:pPr>
    </w:p>
    <w:p w14:paraId="2E3AE3DB"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lang w:val="en-AU"/>
        </w:rPr>
      </w:pPr>
      <w:r w:rsidRPr="00653E7D">
        <w:rPr>
          <w:lang w:val="en-AU"/>
        </w:rPr>
        <w:t xml:space="preserve">Reilly, Alex, ‘Protecting Vulnerable Migrant Workers: The Case of International Students’ (2012) 25 </w:t>
      </w:r>
      <w:r w:rsidRPr="00653E7D">
        <w:rPr>
          <w:i/>
          <w:iCs/>
          <w:lang w:val="en-AU"/>
        </w:rPr>
        <w:t>Australian Journal of Labour Law</w:t>
      </w:r>
      <w:r w:rsidRPr="00653E7D">
        <w:rPr>
          <w:lang w:val="en-AU"/>
        </w:rPr>
        <w:t xml:space="preserve"> 181</w:t>
      </w:r>
    </w:p>
    <w:p w14:paraId="24440EEB"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lang w:val="en-AU"/>
        </w:rPr>
      </w:pPr>
    </w:p>
    <w:p w14:paraId="61FD1659"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lang w:val="en-AU"/>
        </w:rPr>
      </w:pPr>
      <w:r w:rsidRPr="00653E7D">
        <w:rPr>
          <w:lang w:val="en-AU"/>
        </w:rPr>
        <w:t xml:space="preserve">Riches, Lachlan, ‘Migration and Labour Laws - A Collision at the Crossroads’ (2013) 3 </w:t>
      </w:r>
      <w:r w:rsidRPr="00653E7D">
        <w:rPr>
          <w:i/>
          <w:iCs/>
          <w:lang w:val="en-AU"/>
        </w:rPr>
        <w:t xml:space="preserve">Migration Australia </w:t>
      </w:r>
      <w:r w:rsidRPr="00653E7D">
        <w:rPr>
          <w:lang w:val="en-AU"/>
        </w:rPr>
        <w:t>68</w:t>
      </w:r>
    </w:p>
    <w:p w14:paraId="454F5163"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0EF222E0"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lang w:val="en-AU"/>
        </w:rPr>
        <w:t xml:space="preserve">Stewart, Andrew, ‘Stewart’s Guide to Employment Law’ (The Federation Press, 5th </w:t>
      </w:r>
      <w:proofErr w:type="spellStart"/>
      <w:r w:rsidRPr="00653E7D">
        <w:rPr>
          <w:lang w:val="en-AU"/>
        </w:rPr>
        <w:t>ed</w:t>
      </w:r>
      <w:proofErr w:type="spellEnd"/>
      <w:r w:rsidRPr="00653E7D">
        <w:rPr>
          <w:lang w:val="en-AU"/>
        </w:rPr>
        <w:t>, 2015)</w:t>
      </w:r>
    </w:p>
    <w:p w14:paraId="7A30B207"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392AC1C3"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roofErr w:type="spellStart"/>
      <w:r w:rsidRPr="00653E7D">
        <w:rPr>
          <w:lang w:val="en-AU"/>
        </w:rPr>
        <w:t>Tham</w:t>
      </w:r>
      <w:proofErr w:type="spellEnd"/>
      <w:r w:rsidRPr="00653E7D">
        <w:rPr>
          <w:lang w:val="en-AU"/>
        </w:rPr>
        <w:t xml:space="preserve">, </w:t>
      </w:r>
      <w:proofErr w:type="spellStart"/>
      <w:r w:rsidRPr="00653E7D">
        <w:rPr>
          <w:lang w:val="en-AU"/>
        </w:rPr>
        <w:t>Joo</w:t>
      </w:r>
      <w:proofErr w:type="spellEnd"/>
      <w:r w:rsidRPr="00653E7D">
        <w:rPr>
          <w:lang w:val="en-AU"/>
        </w:rPr>
        <w:t xml:space="preserve">-Cheong and Iain Campbell, ‘Equal treatment for temporary migrant </w:t>
      </w:r>
      <w:r w:rsidRPr="00653E7D">
        <w:rPr>
          <w:lang w:val="en-AU"/>
        </w:rPr>
        <w:lastRenderedPageBreak/>
        <w:t>workers and the challenge of their precariousness’ (Paper presented at the 16th World Congress of the International Labour and Employment Relations Association, Philadelphia, USA, July 2012)</w:t>
      </w:r>
    </w:p>
    <w:p w14:paraId="38581C33"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273E9982"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roofErr w:type="spellStart"/>
      <w:r w:rsidRPr="00653E7D">
        <w:rPr>
          <w:lang w:val="en-AU"/>
        </w:rPr>
        <w:t>Tham</w:t>
      </w:r>
      <w:proofErr w:type="spellEnd"/>
      <w:r w:rsidRPr="00653E7D">
        <w:rPr>
          <w:lang w:val="en-AU"/>
        </w:rPr>
        <w:t xml:space="preserve">, </w:t>
      </w:r>
      <w:proofErr w:type="spellStart"/>
      <w:r w:rsidRPr="00653E7D">
        <w:rPr>
          <w:lang w:val="en-AU"/>
        </w:rPr>
        <w:t>Joo</w:t>
      </w:r>
      <w:proofErr w:type="spellEnd"/>
      <w:r w:rsidRPr="00653E7D">
        <w:rPr>
          <w:lang w:val="en-AU"/>
        </w:rPr>
        <w:t>-Cheong and Iain Campbell, ‘Temporary Migrant Labour in Australia: The 457 Visa Scheme and Challenges for Labour Regulation’ (Working Paper No 50, Melbourne Law School Centre for Employment and Labour Relations Law, March 2011)</w:t>
      </w:r>
    </w:p>
    <w:p w14:paraId="2793E6EC"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700EA547"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lang w:val="en-AU"/>
        </w:rPr>
        <w:t xml:space="preserve">United Nations Treaty Collection,  </w:t>
      </w:r>
      <w:r w:rsidRPr="00653E7D">
        <w:rPr>
          <w:i/>
          <w:iCs/>
          <w:lang w:val="en-AU"/>
        </w:rPr>
        <w:t>International Covenant on Economic, Social and Cultural Rights</w:t>
      </w:r>
      <w:r w:rsidRPr="00653E7D">
        <w:rPr>
          <w:lang w:val="en-AU"/>
        </w:rPr>
        <w:t xml:space="preserve"> (20 September 2015) &lt;https://treaties.un.org/Pages/ViewDetails.aspx?src=TREATY&amp;mtdsg_no=IV-3&amp;chapter=4&amp;lang=en&gt;</w:t>
      </w:r>
    </w:p>
    <w:p w14:paraId="7CE781CF"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586BED7D" w14:textId="77777777" w:rsidR="004D51A4" w:rsidRPr="00653E7D" w:rsidRDefault="004D51A4" w:rsidP="004D51A4">
      <w:pPr>
        <w:pStyle w:val="Heading2"/>
        <w:rPr>
          <w:rFonts w:ascii="Times New Roman" w:hAnsi="Times New Roman" w:cs="Times New Roman"/>
          <w:lang w:val="en-AU"/>
        </w:rPr>
      </w:pPr>
      <w:bookmarkStart w:id="27" w:name="_Toc304710259"/>
      <w:bookmarkStart w:id="28" w:name="_Toc304710286"/>
      <w:r w:rsidRPr="00653E7D">
        <w:rPr>
          <w:rFonts w:ascii="Times New Roman" w:hAnsi="Times New Roman" w:cs="Times New Roman"/>
          <w:lang w:val="en-AU"/>
        </w:rPr>
        <w:t>Cases</w:t>
      </w:r>
      <w:bookmarkEnd w:id="27"/>
      <w:bookmarkEnd w:id="28"/>
    </w:p>
    <w:p w14:paraId="3F82C806"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
          <w:iCs/>
          <w:lang w:val="en-AU"/>
        </w:rPr>
      </w:pPr>
    </w:p>
    <w:p w14:paraId="17407270"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i/>
          <w:iCs/>
          <w:lang w:val="en-AU"/>
        </w:rPr>
        <w:t xml:space="preserve">Australian Meat Holdings v </w:t>
      </w:r>
      <w:proofErr w:type="spellStart"/>
      <w:r w:rsidRPr="00653E7D">
        <w:rPr>
          <w:i/>
          <w:iCs/>
          <w:lang w:val="en-AU"/>
        </w:rPr>
        <w:t>Kazi</w:t>
      </w:r>
      <w:proofErr w:type="spellEnd"/>
      <w:r w:rsidRPr="00653E7D">
        <w:rPr>
          <w:i/>
          <w:iCs/>
          <w:lang w:val="en-AU"/>
        </w:rPr>
        <w:t xml:space="preserve"> </w:t>
      </w:r>
      <w:r w:rsidRPr="00653E7D">
        <w:rPr>
          <w:lang w:val="en-AU"/>
        </w:rPr>
        <w:t xml:space="preserve">(2004) </w:t>
      </w:r>
      <w:proofErr w:type="spellStart"/>
      <w:r w:rsidRPr="00653E7D">
        <w:rPr>
          <w:lang w:val="en-AU"/>
        </w:rPr>
        <w:t>QCA</w:t>
      </w:r>
      <w:proofErr w:type="spellEnd"/>
      <w:r w:rsidRPr="00653E7D">
        <w:rPr>
          <w:lang w:val="en-AU"/>
        </w:rPr>
        <w:t xml:space="preserve"> 147</w:t>
      </w:r>
    </w:p>
    <w:p w14:paraId="1E72E784"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3928689A"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
          <w:iCs/>
          <w:lang w:val="en-AU"/>
        </w:rPr>
      </w:pPr>
      <w:r w:rsidRPr="00653E7D">
        <w:rPr>
          <w:i/>
          <w:iCs/>
          <w:lang w:val="en-AU"/>
        </w:rPr>
        <w:t xml:space="preserve">Juridical Condition and Rights of the Undocumented Migrants (Advisory Opinion) </w:t>
      </w:r>
      <w:r w:rsidRPr="00653E7D">
        <w:rPr>
          <w:lang w:val="en-AU"/>
        </w:rPr>
        <w:t xml:space="preserve">[2003] Inter-Am Ct </w:t>
      </w:r>
      <w:proofErr w:type="spellStart"/>
      <w:r w:rsidRPr="00653E7D">
        <w:rPr>
          <w:lang w:val="en-AU"/>
        </w:rPr>
        <w:t>HR</w:t>
      </w:r>
      <w:proofErr w:type="spellEnd"/>
      <w:r w:rsidRPr="00653E7D">
        <w:rPr>
          <w:lang w:val="en-AU"/>
        </w:rPr>
        <w:t xml:space="preserve"> OC- 18/03</w:t>
      </w:r>
    </w:p>
    <w:p w14:paraId="5E41B7E1"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
          <w:iCs/>
          <w:lang w:val="en-AU"/>
        </w:rPr>
      </w:pPr>
    </w:p>
    <w:p w14:paraId="1A382E13"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
          <w:iCs/>
          <w:lang w:val="en-AU"/>
        </w:rPr>
      </w:pPr>
      <w:proofErr w:type="spellStart"/>
      <w:r w:rsidRPr="00653E7D">
        <w:rPr>
          <w:i/>
          <w:iCs/>
          <w:lang w:val="en-AU"/>
        </w:rPr>
        <w:t>Nonferral</w:t>
      </w:r>
      <w:proofErr w:type="spellEnd"/>
      <w:r w:rsidRPr="00653E7D">
        <w:rPr>
          <w:i/>
          <w:iCs/>
          <w:lang w:val="en-AU"/>
        </w:rPr>
        <w:t xml:space="preserve"> (NSW) Pty Ltd v </w:t>
      </w:r>
      <w:proofErr w:type="spellStart"/>
      <w:r w:rsidRPr="00653E7D">
        <w:rPr>
          <w:i/>
          <w:iCs/>
          <w:lang w:val="en-AU"/>
        </w:rPr>
        <w:t>Taufia</w:t>
      </w:r>
      <w:proofErr w:type="spellEnd"/>
      <w:r w:rsidRPr="00653E7D">
        <w:rPr>
          <w:i/>
          <w:iCs/>
          <w:lang w:val="en-AU"/>
        </w:rPr>
        <w:t xml:space="preserve"> </w:t>
      </w:r>
      <w:r w:rsidRPr="00653E7D">
        <w:rPr>
          <w:lang w:val="en-AU"/>
        </w:rPr>
        <w:t xml:space="preserve">[1998] </w:t>
      </w:r>
      <w:proofErr w:type="spellStart"/>
      <w:r w:rsidRPr="00653E7D">
        <w:rPr>
          <w:lang w:val="en-AU"/>
        </w:rPr>
        <w:t>NSWSC</w:t>
      </w:r>
      <w:proofErr w:type="spellEnd"/>
      <w:r w:rsidRPr="00653E7D">
        <w:rPr>
          <w:lang w:val="en-AU"/>
        </w:rPr>
        <w:t xml:space="preserve"> 49</w:t>
      </w:r>
    </w:p>
    <w:p w14:paraId="784C41A0"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
          <w:iCs/>
          <w:lang w:val="en-AU"/>
        </w:rPr>
      </w:pPr>
    </w:p>
    <w:p w14:paraId="207E9635"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i/>
          <w:iCs/>
          <w:lang w:val="en-AU"/>
        </w:rPr>
        <w:t xml:space="preserve">Smallwood v Ergo Asia Pty Ltd </w:t>
      </w:r>
      <w:r w:rsidRPr="00653E7D">
        <w:rPr>
          <w:lang w:val="en-AU"/>
        </w:rPr>
        <w:t>[2014] FWC 964</w:t>
      </w:r>
    </w:p>
    <w:p w14:paraId="33552521"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647E2D77" w14:textId="77777777" w:rsidR="004D51A4" w:rsidRPr="00653E7D" w:rsidRDefault="004D51A4" w:rsidP="004D51A4">
      <w:pPr>
        <w:pStyle w:val="Heading2"/>
        <w:rPr>
          <w:rFonts w:ascii="Times New Roman" w:hAnsi="Times New Roman" w:cs="Times New Roman"/>
          <w:lang w:val="en-AU"/>
        </w:rPr>
      </w:pPr>
      <w:bookmarkStart w:id="29" w:name="_Toc304710260"/>
      <w:bookmarkStart w:id="30" w:name="_Toc304710287"/>
      <w:r w:rsidRPr="00653E7D">
        <w:rPr>
          <w:rFonts w:ascii="Times New Roman" w:hAnsi="Times New Roman" w:cs="Times New Roman"/>
          <w:lang w:val="en-AU"/>
        </w:rPr>
        <w:t>Legislation</w:t>
      </w:r>
      <w:bookmarkEnd w:id="29"/>
      <w:bookmarkEnd w:id="30"/>
    </w:p>
    <w:p w14:paraId="57A31D33"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27A407BE"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
          <w:iCs/>
          <w:lang w:val="en-AU"/>
        </w:rPr>
      </w:pPr>
      <w:r w:rsidRPr="00653E7D">
        <w:rPr>
          <w:i/>
          <w:iCs/>
          <w:lang w:val="en-AU"/>
        </w:rPr>
        <w:t xml:space="preserve">Australian Constitution </w:t>
      </w:r>
    </w:p>
    <w:p w14:paraId="5AC9D22C"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
          <w:iCs/>
          <w:lang w:val="en-AU"/>
        </w:rPr>
      </w:pPr>
    </w:p>
    <w:p w14:paraId="0B90CD23"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i/>
          <w:iCs/>
          <w:lang w:val="en-AU"/>
        </w:rPr>
        <w:t>Council Directive 2009/52/EC of 18 June 2009 on Employer Sanctions</w:t>
      </w:r>
      <w:r w:rsidRPr="00653E7D">
        <w:rPr>
          <w:lang w:val="en-AU"/>
        </w:rPr>
        <w:t xml:space="preserve">, (2009) </w:t>
      </w:r>
      <w:proofErr w:type="spellStart"/>
      <w:r w:rsidRPr="00653E7D">
        <w:rPr>
          <w:lang w:val="en-AU"/>
        </w:rPr>
        <w:t>OJ</w:t>
      </w:r>
      <w:proofErr w:type="spellEnd"/>
      <w:r w:rsidRPr="00653E7D">
        <w:rPr>
          <w:lang w:val="en-AU"/>
        </w:rPr>
        <w:t xml:space="preserve"> L 168/24</w:t>
      </w:r>
    </w:p>
    <w:p w14:paraId="4D1A6173"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0819594A"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i/>
          <w:iCs/>
          <w:lang w:val="en-AU"/>
        </w:rPr>
        <w:t xml:space="preserve">Fair Work Act 2009 </w:t>
      </w:r>
      <w:r w:rsidRPr="00653E7D">
        <w:rPr>
          <w:lang w:val="en-AU"/>
        </w:rPr>
        <w:t>(Cth)</w:t>
      </w:r>
    </w:p>
    <w:p w14:paraId="4F831D8F"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7411E132"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i/>
          <w:iCs/>
          <w:lang w:val="en-AU"/>
        </w:rPr>
        <w:t xml:space="preserve">Migration Act 1958 </w:t>
      </w:r>
      <w:r w:rsidRPr="00653E7D">
        <w:rPr>
          <w:lang w:val="en-AU"/>
        </w:rPr>
        <w:t>(Cth)</w:t>
      </w:r>
    </w:p>
    <w:p w14:paraId="6CF92ABB"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2DE9339B"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i/>
          <w:iCs/>
          <w:lang w:val="en-AU"/>
        </w:rPr>
        <w:t>Workers Compensation Act 1987</w:t>
      </w:r>
      <w:r w:rsidRPr="00653E7D">
        <w:rPr>
          <w:lang w:val="en-AU"/>
        </w:rPr>
        <w:t xml:space="preserve"> (NSW) </w:t>
      </w:r>
    </w:p>
    <w:p w14:paraId="666D9BE5"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16029130"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i/>
          <w:iCs/>
          <w:lang w:val="en-AU"/>
        </w:rPr>
        <w:t>Workers’ Compensation and Injury Management Act 1981</w:t>
      </w:r>
      <w:r w:rsidRPr="00653E7D">
        <w:rPr>
          <w:lang w:val="en-AU"/>
        </w:rPr>
        <w:t xml:space="preserve"> (WA)</w:t>
      </w:r>
    </w:p>
    <w:p w14:paraId="7B888E9D"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40D4155F" w14:textId="77777777" w:rsidR="004D51A4" w:rsidRPr="00653E7D" w:rsidRDefault="004D51A4" w:rsidP="004D51A4">
      <w:pPr>
        <w:pStyle w:val="Heading2"/>
        <w:rPr>
          <w:rFonts w:ascii="Times New Roman" w:hAnsi="Times New Roman" w:cs="Times New Roman"/>
          <w:lang w:val="en-AU"/>
        </w:rPr>
      </w:pPr>
      <w:bookmarkStart w:id="31" w:name="_Toc304710261"/>
      <w:bookmarkStart w:id="32" w:name="_Toc304710288"/>
      <w:r w:rsidRPr="00653E7D">
        <w:rPr>
          <w:rFonts w:ascii="Times New Roman" w:hAnsi="Times New Roman" w:cs="Times New Roman"/>
          <w:lang w:val="en-AU"/>
        </w:rPr>
        <w:t>Treaties</w:t>
      </w:r>
      <w:bookmarkEnd w:id="31"/>
      <w:bookmarkEnd w:id="32"/>
    </w:p>
    <w:p w14:paraId="2344AC90"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1C9CDBFE"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r w:rsidRPr="00653E7D">
        <w:rPr>
          <w:i/>
          <w:iCs/>
          <w:lang w:val="en-AU"/>
        </w:rPr>
        <w:t>International Convention on the Protection of the Rights of All Migrant Workers and Members of Their Families</w:t>
      </w:r>
      <w:r w:rsidRPr="00653E7D">
        <w:rPr>
          <w:lang w:val="en-AU"/>
        </w:rPr>
        <w:t xml:space="preserve">, GA Res 45/158, UN </w:t>
      </w:r>
      <w:proofErr w:type="spellStart"/>
      <w:r w:rsidRPr="00653E7D">
        <w:rPr>
          <w:lang w:val="en-AU"/>
        </w:rPr>
        <w:t>GAOR</w:t>
      </w:r>
      <w:proofErr w:type="spellEnd"/>
      <w:r w:rsidRPr="00653E7D">
        <w:rPr>
          <w:lang w:val="en-AU"/>
        </w:rPr>
        <w:t xml:space="preserve">, 69th </w:t>
      </w:r>
      <w:proofErr w:type="spellStart"/>
      <w:r w:rsidRPr="00653E7D">
        <w:rPr>
          <w:lang w:val="en-AU"/>
        </w:rPr>
        <w:t>plen</w:t>
      </w:r>
      <w:proofErr w:type="spellEnd"/>
      <w:r w:rsidRPr="00653E7D">
        <w:rPr>
          <w:lang w:val="en-AU"/>
        </w:rPr>
        <w:t xml:space="preserve"> </w:t>
      </w:r>
      <w:proofErr w:type="spellStart"/>
      <w:r w:rsidRPr="00653E7D">
        <w:rPr>
          <w:lang w:val="en-AU"/>
        </w:rPr>
        <w:t>mtg</w:t>
      </w:r>
      <w:proofErr w:type="spellEnd"/>
      <w:r w:rsidRPr="00653E7D">
        <w:rPr>
          <w:lang w:val="en-AU"/>
        </w:rPr>
        <w:t>, (18 December 1990)</w:t>
      </w:r>
    </w:p>
    <w:p w14:paraId="48B06448"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32040329"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
          <w:iCs/>
          <w:lang w:val="en-AU"/>
        </w:rPr>
      </w:pPr>
      <w:r w:rsidRPr="00653E7D">
        <w:rPr>
          <w:i/>
          <w:iCs/>
          <w:lang w:val="en-AU"/>
        </w:rPr>
        <w:t>International Covenant on Economic, Social and Cultural Rights</w:t>
      </w:r>
      <w:r w:rsidRPr="00653E7D">
        <w:rPr>
          <w:lang w:val="en-AU"/>
        </w:rPr>
        <w:t xml:space="preserve">, GA Res </w:t>
      </w:r>
      <w:proofErr w:type="spellStart"/>
      <w:r w:rsidRPr="00653E7D">
        <w:rPr>
          <w:lang w:val="en-AU"/>
        </w:rPr>
        <w:t>2200A</w:t>
      </w:r>
      <w:proofErr w:type="spellEnd"/>
      <w:r w:rsidRPr="00653E7D">
        <w:rPr>
          <w:lang w:val="en-AU"/>
        </w:rPr>
        <w:t xml:space="preserve"> (XXI), UN </w:t>
      </w:r>
      <w:proofErr w:type="spellStart"/>
      <w:r w:rsidRPr="00653E7D">
        <w:rPr>
          <w:lang w:val="en-AU"/>
        </w:rPr>
        <w:t>GAOR</w:t>
      </w:r>
      <w:proofErr w:type="spellEnd"/>
      <w:r w:rsidRPr="00653E7D">
        <w:rPr>
          <w:lang w:val="en-AU"/>
        </w:rPr>
        <w:t>, UN Doc A/RES/21/2200 (16 December 1966)</w:t>
      </w:r>
    </w:p>
    <w:p w14:paraId="5EFA100A"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3A4628CC"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
          <w:iCs/>
          <w:lang w:val="en-AU"/>
        </w:rPr>
      </w:pPr>
      <w:r w:rsidRPr="00653E7D">
        <w:rPr>
          <w:i/>
          <w:iCs/>
          <w:lang w:val="en-AU"/>
        </w:rPr>
        <w:t>Labour Inspection Convention, 1947 (No. 81)</w:t>
      </w:r>
      <w:r w:rsidRPr="00653E7D">
        <w:rPr>
          <w:lang w:val="en-AU"/>
        </w:rPr>
        <w:t xml:space="preserve">, opened for signature 11 July 1947, </w:t>
      </w:r>
      <w:proofErr w:type="spellStart"/>
      <w:r w:rsidRPr="00653E7D">
        <w:rPr>
          <w:lang w:val="en-AU"/>
        </w:rPr>
        <w:t>ILO</w:t>
      </w:r>
      <w:proofErr w:type="spellEnd"/>
      <w:r w:rsidRPr="00653E7D">
        <w:rPr>
          <w:lang w:val="en-AU"/>
        </w:rPr>
        <w:t xml:space="preserve"> </w:t>
      </w:r>
      <w:proofErr w:type="spellStart"/>
      <w:r w:rsidRPr="00653E7D">
        <w:rPr>
          <w:lang w:val="en-AU"/>
        </w:rPr>
        <w:t>C81</w:t>
      </w:r>
      <w:proofErr w:type="spellEnd"/>
      <w:r w:rsidRPr="00653E7D">
        <w:rPr>
          <w:lang w:val="en-AU"/>
        </w:rPr>
        <w:t xml:space="preserve"> (entered into force 7 Apr 1950)</w:t>
      </w:r>
    </w:p>
    <w:p w14:paraId="3097F9CB" w14:textId="77777777" w:rsidR="004D51A4" w:rsidRPr="00653E7D" w:rsidRDefault="004D51A4" w:rsidP="004D51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AU"/>
        </w:rPr>
      </w:pPr>
    </w:p>
    <w:p w14:paraId="5156B8DC" w14:textId="77777777" w:rsidR="004D51A4" w:rsidRPr="00653E7D" w:rsidRDefault="004D51A4" w:rsidP="004D51A4">
      <w:pPr>
        <w:pStyle w:val="Body"/>
        <w:spacing w:line="360" w:lineRule="auto"/>
        <w:jc w:val="both"/>
        <w:rPr>
          <w:rFonts w:ascii="Times New Roman" w:eastAsia="Times New Roman" w:hAnsi="Times New Roman" w:cs="Times New Roman"/>
          <w:sz w:val="24"/>
          <w:szCs w:val="24"/>
          <w:u w:val="single"/>
          <w:lang w:val="en-AU"/>
        </w:rPr>
      </w:pPr>
      <w:r w:rsidRPr="00653E7D">
        <w:rPr>
          <w:rFonts w:ascii="Times New Roman" w:hAnsi="Times New Roman" w:cs="Times New Roman"/>
          <w:i/>
          <w:iCs/>
          <w:sz w:val="24"/>
          <w:szCs w:val="24"/>
          <w:lang w:val="en-AU"/>
        </w:rPr>
        <w:t>Migrant Workers (Supplementary Provisions) Convention, 1975 (No. 143)</w:t>
      </w:r>
      <w:r w:rsidRPr="00653E7D">
        <w:rPr>
          <w:rFonts w:ascii="Times New Roman" w:hAnsi="Times New Roman" w:cs="Times New Roman"/>
          <w:sz w:val="24"/>
          <w:szCs w:val="24"/>
          <w:lang w:val="en-AU"/>
        </w:rPr>
        <w:t xml:space="preserve">, opened for signature 24 June 1975, </w:t>
      </w:r>
      <w:proofErr w:type="spellStart"/>
      <w:r w:rsidRPr="00653E7D">
        <w:rPr>
          <w:rFonts w:ascii="Times New Roman" w:hAnsi="Times New Roman" w:cs="Times New Roman"/>
          <w:sz w:val="24"/>
          <w:szCs w:val="24"/>
          <w:lang w:val="en-AU"/>
        </w:rPr>
        <w:t>ILO</w:t>
      </w:r>
      <w:proofErr w:type="spellEnd"/>
      <w:r w:rsidRPr="00653E7D">
        <w:rPr>
          <w:rFonts w:ascii="Times New Roman" w:hAnsi="Times New Roman" w:cs="Times New Roman"/>
          <w:sz w:val="24"/>
          <w:szCs w:val="24"/>
          <w:lang w:val="en-AU"/>
        </w:rPr>
        <w:t xml:space="preserve"> </w:t>
      </w:r>
      <w:proofErr w:type="spellStart"/>
      <w:r w:rsidRPr="00653E7D">
        <w:rPr>
          <w:rFonts w:ascii="Times New Roman" w:hAnsi="Times New Roman" w:cs="Times New Roman"/>
          <w:sz w:val="24"/>
          <w:szCs w:val="24"/>
          <w:lang w:val="en-AU"/>
        </w:rPr>
        <w:t>C143</w:t>
      </w:r>
      <w:proofErr w:type="spellEnd"/>
      <w:r w:rsidRPr="00653E7D">
        <w:rPr>
          <w:rFonts w:ascii="Times New Roman" w:hAnsi="Times New Roman" w:cs="Times New Roman"/>
          <w:sz w:val="24"/>
          <w:szCs w:val="24"/>
          <w:lang w:val="en-AU"/>
        </w:rPr>
        <w:t xml:space="preserve"> (entered into force 9 December 1978)</w:t>
      </w:r>
    </w:p>
    <w:p w14:paraId="06FEC124" w14:textId="77777777" w:rsidR="00C27554" w:rsidRPr="00653E7D" w:rsidRDefault="00C27554">
      <w:pPr>
        <w:rPr>
          <w:lang w:val="en-AU"/>
        </w:rPr>
      </w:pPr>
    </w:p>
    <w:sectPr w:rsidR="00C27554" w:rsidRPr="00653E7D" w:rsidSect="00ED417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48D83" w14:textId="77777777" w:rsidR="00B77C6C" w:rsidRDefault="00B77C6C" w:rsidP="004D51A4">
      <w:r>
        <w:separator/>
      </w:r>
    </w:p>
  </w:endnote>
  <w:endnote w:type="continuationSeparator" w:id="0">
    <w:p w14:paraId="5985B9F7" w14:textId="77777777" w:rsidR="00B77C6C" w:rsidRDefault="00B77C6C" w:rsidP="004D51A4">
      <w:r>
        <w:continuationSeparator/>
      </w:r>
    </w:p>
  </w:endnote>
  <w:endnote w:id="1">
    <w:p w14:paraId="7B957AA9" w14:textId="77777777" w:rsidR="00B77C6C" w:rsidRPr="00FA781A" w:rsidRDefault="00B77C6C" w:rsidP="00653E7D">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Alex Reilly, ‘Protecting Vulnerable Migrant Workers: The Case of International Students</w:t>
      </w:r>
      <w:r w:rsidRPr="00FA781A">
        <w:rPr>
          <w:rFonts w:ascii="Times New Roman" w:hAnsi="Times New Roman" w:cs="Times New Roman"/>
          <w:sz w:val="20"/>
          <w:szCs w:val="20"/>
          <w:lang w:val="fr-FR"/>
        </w:rPr>
        <w:t xml:space="preserve">’ </w:t>
      </w:r>
      <w:r w:rsidRPr="00FA781A">
        <w:rPr>
          <w:rFonts w:ascii="Times New Roman" w:hAnsi="Times New Roman" w:cs="Times New Roman"/>
          <w:sz w:val="20"/>
          <w:szCs w:val="20"/>
        </w:rPr>
        <w:t xml:space="preserve">(2012) 25 </w:t>
      </w:r>
      <w:r w:rsidRPr="00FA781A">
        <w:rPr>
          <w:rFonts w:ascii="Times New Roman" w:hAnsi="Times New Roman" w:cs="Times New Roman"/>
          <w:i/>
          <w:iCs/>
          <w:sz w:val="20"/>
          <w:szCs w:val="20"/>
          <w:lang w:val="en-US"/>
        </w:rPr>
        <w:t xml:space="preserve">Australian Journal of </w:t>
      </w:r>
      <w:proofErr w:type="spellStart"/>
      <w:r w:rsidRPr="00FA781A">
        <w:rPr>
          <w:rFonts w:ascii="Times New Roman" w:hAnsi="Times New Roman" w:cs="Times New Roman"/>
          <w:i/>
          <w:iCs/>
          <w:sz w:val="20"/>
          <w:szCs w:val="20"/>
          <w:lang w:val="en-US"/>
        </w:rPr>
        <w:t>Labour</w:t>
      </w:r>
      <w:proofErr w:type="spellEnd"/>
      <w:r w:rsidRPr="00FA781A">
        <w:rPr>
          <w:rFonts w:ascii="Times New Roman" w:hAnsi="Times New Roman" w:cs="Times New Roman"/>
          <w:i/>
          <w:iCs/>
          <w:sz w:val="20"/>
          <w:szCs w:val="20"/>
          <w:lang w:val="en-US"/>
        </w:rPr>
        <w:t xml:space="preserve"> Law</w:t>
      </w:r>
      <w:r w:rsidRPr="00FA781A">
        <w:rPr>
          <w:rFonts w:ascii="Times New Roman" w:hAnsi="Times New Roman" w:cs="Times New Roman"/>
          <w:sz w:val="20"/>
          <w:szCs w:val="20"/>
        </w:rPr>
        <w:t xml:space="preserve"> 181</w:t>
      </w:r>
      <w:r w:rsidRPr="00FA781A">
        <w:rPr>
          <w:rFonts w:ascii="Times New Roman" w:hAnsi="Times New Roman" w:cs="Times New Roman"/>
          <w:sz w:val="20"/>
          <w:szCs w:val="20"/>
          <w:lang w:val="en-US"/>
        </w:rPr>
        <w:t>, 207.</w:t>
      </w:r>
    </w:p>
  </w:endnote>
  <w:endnote w:id="2">
    <w:p w14:paraId="308FAD04" w14:textId="77777777" w:rsidR="00B77C6C" w:rsidRPr="00FA781A" w:rsidRDefault="00B77C6C" w:rsidP="00653E7D">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Joseph H </w:t>
      </w:r>
      <w:proofErr w:type="spellStart"/>
      <w:r w:rsidRPr="00FA781A">
        <w:rPr>
          <w:rFonts w:ascii="Times New Roman" w:hAnsi="Times New Roman" w:cs="Times New Roman"/>
          <w:sz w:val="20"/>
          <w:szCs w:val="20"/>
          <w:lang w:val="en-US"/>
        </w:rPr>
        <w:t>Carens</w:t>
      </w:r>
      <w:proofErr w:type="spellEnd"/>
      <w:r w:rsidRPr="00FA781A">
        <w:rPr>
          <w:rFonts w:ascii="Times New Roman" w:hAnsi="Times New Roman" w:cs="Times New Roman"/>
          <w:sz w:val="20"/>
          <w:szCs w:val="20"/>
          <w:lang w:val="en-US"/>
        </w:rPr>
        <w:t>, ’The Rights of Irregular Migrants</w:t>
      </w:r>
      <w:r w:rsidRPr="00FA781A">
        <w:rPr>
          <w:rFonts w:ascii="Times New Roman" w:hAnsi="Times New Roman" w:cs="Times New Roman"/>
          <w:sz w:val="20"/>
          <w:szCs w:val="20"/>
          <w:lang w:val="fr-FR"/>
        </w:rPr>
        <w:t>’</w:t>
      </w:r>
      <w:r w:rsidRPr="00FA781A">
        <w:rPr>
          <w:rFonts w:ascii="Times New Roman" w:hAnsi="Times New Roman" w:cs="Times New Roman"/>
          <w:sz w:val="20"/>
          <w:szCs w:val="20"/>
        </w:rPr>
        <w:t xml:space="preserve">(2008) 22(2) </w:t>
      </w:r>
      <w:r w:rsidRPr="00FA781A">
        <w:rPr>
          <w:rFonts w:ascii="Times New Roman" w:hAnsi="Times New Roman" w:cs="Times New Roman"/>
          <w:i/>
          <w:iCs/>
          <w:sz w:val="20"/>
          <w:szCs w:val="20"/>
          <w:lang w:val="en-US"/>
        </w:rPr>
        <w:t xml:space="preserve">Ethics &amp; International Affairs </w:t>
      </w:r>
      <w:r w:rsidRPr="00FA781A">
        <w:rPr>
          <w:rFonts w:ascii="Times New Roman" w:hAnsi="Times New Roman" w:cs="Times New Roman"/>
          <w:sz w:val="20"/>
          <w:szCs w:val="20"/>
        </w:rPr>
        <w:t>163</w:t>
      </w:r>
      <w:r w:rsidRPr="00FA781A">
        <w:rPr>
          <w:rFonts w:ascii="Times New Roman" w:hAnsi="Times New Roman" w:cs="Times New Roman"/>
          <w:sz w:val="20"/>
          <w:szCs w:val="20"/>
          <w:lang w:val="en-US"/>
        </w:rPr>
        <w:t>, 175-6.</w:t>
      </w:r>
    </w:p>
  </w:endnote>
  <w:endnote w:id="3">
    <w:p w14:paraId="12ED439B"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Lachlan Riches,</w:t>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Migration and </w:t>
      </w:r>
      <w:proofErr w:type="spellStart"/>
      <w:r w:rsidRPr="00FA781A">
        <w:rPr>
          <w:rFonts w:ascii="Times New Roman" w:hAnsi="Times New Roman" w:cs="Times New Roman"/>
          <w:sz w:val="20"/>
          <w:szCs w:val="20"/>
          <w:lang w:val="en-US"/>
        </w:rPr>
        <w:t>Labour</w:t>
      </w:r>
      <w:proofErr w:type="spellEnd"/>
      <w:r w:rsidRPr="00FA781A">
        <w:rPr>
          <w:rFonts w:ascii="Times New Roman" w:hAnsi="Times New Roman" w:cs="Times New Roman"/>
          <w:sz w:val="20"/>
          <w:szCs w:val="20"/>
          <w:lang w:val="en-US"/>
        </w:rPr>
        <w:t xml:space="preserve"> Laws - A Collision at the Crossroads</w:t>
      </w:r>
      <w:r w:rsidRPr="00FA781A">
        <w:rPr>
          <w:rFonts w:ascii="Times New Roman" w:hAnsi="Times New Roman" w:cs="Times New Roman"/>
          <w:sz w:val="20"/>
          <w:szCs w:val="20"/>
          <w:lang w:val="fr-FR"/>
        </w:rPr>
        <w:t xml:space="preserve">’ </w:t>
      </w:r>
      <w:r w:rsidRPr="00FA781A">
        <w:rPr>
          <w:rFonts w:ascii="Times New Roman" w:hAnsi="Times New Roman" w:cs="Times New Roman"/>
          <w:sz w:val="20"/>
          <w:szCs w:val="20"/>
        </w:rPr>
        <w:t xml:space="preserve">(2013) 3 </w:t>
      </w:r>
      <w:r w:rsidRPr="00FA781A">
        <w:rPr>
          <w:rFonts w:ascii="Times New Roman" w:hAnsi="Times New Roman" w:cs="Times New Roman"/>
          <w:i/>
          <w:iCs/>
          <w:sz w:val="20"/>
          <w:szCs w:val="20"/>
          <w:lang w:val="de-DE"/>
        </w:rPr>
        <w:t xml:space="preserve">Migration Australia </w:t>
      </w:r>
      <w:r w:rsidRPr="00FA781A">
        <w:rPr>
          <w:rFonts w:ascii="Times New Roman" w:hAnsi="Times New Roman" w:cs="Times New Roman"/>
          <w:sz w:val="20"/>
          <w:szCs w:val="20"/>
        </w:rPr>
        <w:t>68</w:t>
      </w:r>
      <w:r w:rsidRPr="00FA781A">
        <w:rPr>
          <w:rFonts w:ascii="Times New Roman" w:hAnsi="Times New Roman" w:cs="Times New Roman"/>
          <w:sz w:val="20"/>
          <w:szCs w:val="20"/>
          <w:lang w:val="en-US"/>
        </w:rPr>
        <w:t>, 76.</w:t>
      </w:r>
    </w:p>
  </w:endnote>
  <w:endnote w:id="4">
    <w:p w14:paraId="334739EC"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Productivity Commission, </w:t>
      </w:r>
      <w:r w:rsidRPr="00FA781A">
        <w:rPr>
          <w:rFonts w:ascii="Times New Roman" w:hAnsi="Times New Roman" w:cs="Times New Roman"/>
          <w:i/>
          <w:iCs/>
          <w:sz w:val="20"/>
          <w:szCs w:val="20"/>
          <w:lang w:val="en-US"/>
        </w:rPr>
        <w:t>Workplace Relations Framework</w:t>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Draft </w:t>
      </w:r>
      <w:r w:rsidRPr="00FA781A">
        <w:rPr>
          <w:rFonts w:ascii="Times New Roman" w:hAnsi="Times New Roman" w:cs="Times New Roman"/>
          <w:sz w:val="20"/>
          <w:szCs w:val="20"/>
        </w:rPr>
        <w:t>Report</w:t>
      </w:r>
      <w:r w:rsidRPr="00FA781A">
        <w:rPr>
          <w:rFonts w:ascii="Times New Roman" w:hAnsi="Times New Roman" w:cs="Times New Roman"/>
          <w:sz w:val="20"/>
          <w:szCs w:val="20"/>
          <w:lang w:val="en-US"/>
        </w:rPr>
        <w:t xml:space="preserve">, Canberra, 741; </w:t>
      </w:r>
      <w:r w:rsidRPr="00FA781A">
        <w:rPr>
          <w:rFonts w:ascii="Times New Roman" w:hAnsi="Times New Roman" w:cs="Times New Roman"/>
          <w:sz w:val="20"/>
          <w:szCs w:val="20"/>
          <w:lang w:val="de-DE"/>
        </w:rPr>
        <w:t>Stephen</w:t>
      </w:r>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en-US"/>
        </w:rPr>
        <w:t>Clibborn</w:t>
      </w:r>
      <w:proofErr w:type="spellEnd"/>
      <w:r w:rsidRPr="00FA781A">
        <w:rPr>
          <w:rFonts w:ascii="Times New Roman" w:hAnsi="Times New Roman" w:cs="Times New Roman"/>
          <w:sz w:val="20"/>
          <w:szCs w:val="20"/>
          <w:lang w:val="en-US"/>
        </w:rPr>
        <w:t>,</w:t>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Why undocumented immigrant workers should have workplace rights</w:t>
      </w:r>
      <w:r w:rsidRPr="00FA781A">
        <w:rPr>
          <w:rFonts w:ascii="Times New Roman" w:hAnsi="Times New Roman" w:cs="Times New Roman"/>
          <w:sz w:val="20"/>
          <w:szCs w:val="20"/>
          <w:lang w:val="fr-FR"/>
        </w:rPr>
        <w:t xml:space="preserve">’ </w:t>
      </w:r>
      <w:r w:rsidRPr="00FA781A">
        <w:rPr>
          <w:rFonts w:ascii="Times New Roman" w:hAnsi="Times New Roman" w:cs="Times New Roman"/>
          <w:sz w:val="20"/>
          <w:szCs w:val="20"/>
        </w:rPr>
        <w:t xml:space="preserve">(2015) </w:t>
      </w:r>
      <w:r w:rsidRPr="00FA781A">
        <w:rPr>
          <w:rFonts w:ascii="Times New Roman" w:hAnsi="Times New Roman" w:cs="Times New Roman"/>
          <w:i/>
          <w:iCs/>
          <w:sz w:val="20"/>
          <w:szCs w:val="20"/>
          <w:lang w:val="en-US"/>
        </w:rPr>
        <w:t xml:space="preserve">The Economic and </w:t>
      </w:r>
      <w:proofErr w:type="spellStart"/>
      <w:r w:rsidRPr="00FA781A">
        <w:rPr>
          <w:rFonts w:ascii="Times New Roman" w:hAnsi="Times New Roman" w:cs="Times New Roman"/>
          <w:i/>
          <w:iCs/>
          <w:sz w:val="20"/>
          <w:szCs w:val="20"/>
          <w:lang w:val="en-US"/>
        </w:rPr>
        <w:t>Labour</w:t>
      </w:r>
      <w:proofErr w:type="spellEnd"/>
      <w:r w:rsidRPr="00FA781A">
        <w:rPr>
          <w:rFonts w:ascii="Times New Roman" w:hAnsi="Times New Roman" w:cs="Times New Roman"/>
          <w:i/>
          <w:iCs/>
          <w:sz w:val="20"/>
          <w:szCs w:val="20"/>
          <w:lang w:val="en-US"/>
        </w:rPr>
        <w:t xml:space="preserve"> Relations Review </w:t>
      </w:r>
      <w:r w:rsidRPr="00FA781A">
        <w:rPr>
          <w:rFonts w:ascii="Times New Roman" w:hAnsi="Times New Roman" w:cs="Times New Roman"/>
          <w:sz w:val="20"/>
          <w:szCs w:val="20"/>
        </w:rPr>
        <w:t>1</w:t>
      </w:r>
      <w:r w:rsidRPr="00FA781A">
        <w:rPr>
          <w:rFonts w:ascii="Times New Roman" w:hAnsi="Times New Roman" w:cs="Times New Roman"/>
          <w:sz w:val="20"/>
          <w:szCs w:val="20"/>
          <w:lang w:val="en-US"/>
        </w:rPr>
        <w:t xml:space="preserve">, 1; Marius Olivier and </w:t>
      </w:r>
      <w:proofErr w:type="spellStart"/>
      <w:r w:rsidRPr="00FA781A">
        <w:rPr>
          <w:rFonts w:ascii="Times New Roman" w:hAnsi="Times New Roman" w:cs="Times New Roman"/>
          <w:sz w:val="20"/>
          <w:szCs w:val="20"/>
          <w:lang w:val="en-US"/>
        </w:rPr>
        <w:t>Avinash</w:t>
      </w:r>
      <w:proofErr w:type="spellEnd"/>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en-US"/>
        </w:rPr>
        <w:t>Govindjee</w:t>
      </w:r>
      <w:proofErr w:type="spellEnd"/>
      <w:r w:rsidRPr="00FA781A">
        <w:rPr>
          <w:rFonts w:ascii="Times New Roman" w:hAnsi="Times New Roman" w:cs="Times New Roman"/>
          <w:sz w:val="20"/>
          <w:szCs w:val="20"/>
          <w:lang w:val="en-US"/>
        </w:rPr>
        <w:t xml:space="preserve">, </w:t>
      </w:r>
      <w:r w:rsidRPr="00FA781A">
        <w:rPr>
          <w:rFonts w:ascii="Times New Roman" w:hAnsi="Times New Roman" w:cs="Times New Roman"/>
          <w:sz w:val="20"/>
          <w:szCs w:val="20"/>
        </w:rPr>
        <w:t>‘</w:t>
      </w:r>
      <w:proofErr w:type="spellStart"/>
      <w:r w:rsidRPr="00FA781A">
        <w:rPr>
          <w:rFonts w:ascii="Times New Roman" w:hAnsi="Times New Roman" w:cs="Times New Roman"/>
          <w:sz w:val="20"/>
          <w:szCs w:val="20"/>
          <w:lang w:val="en-US"/>
        </w:rPr>
        <w:t>Labour</w:t>
      </w:r>
      <w:proofErr w:type="spellEnd"/>
      <w:r w:rsidRPr="00FA781A">
        <w:rPr>
          <w:rFonts w:ascii="Times New Roman" w:hAnsi="Times New Roman" w:cs="Times New Roman"/>
          <w:sz w:val="20"/>
          <w:szCs w:val="20"/>
          <w:lang w:val="en-US"/>
        </w:rPr>
        <w:t xml:space="preserve"> Rights and Social Protections of Migrant Workers: In search of a Coordinated Legal Response</w:t>
      </w:r>
      <w:r w:rsidRPr="00FA781A">
        <w:rPr>
          <w:rFonts w:ascii="Times New Roman" w:hAnsi="Times New Roman" w:cs="Times New Roman"/>
          <w:sz w:val="20"/>
          <w:szCs w:val="20"/>
          <w:lang w:val="fr-FR"/>
        </w:rPr>
        <w:t xml:space="preserve">’ </w:t>
      </w:r>
      <w:r w:rsidRPr="00FA781A">
        <w:rPr>
          <w:rFonts w:ascii="Times New Roman" w:hAnsi="Times New Roman" w:cs="Times New Roman"/>
          <w:sz w:val="20"/>
          <w:szCs w:val="20"/>
          <w:lang w:val="en-US"/>
        </w:rPr>
        <w:t xml:space="preserve">(Paper presented at the Inaugural conference of the </w:t>
      </w:r>
      <w:proofErr w:type="spellStart"/>
      <w:r w:rsidRPr="00FA781A">
        <w:rPr>
          <w:rFonts w:ascii="Times New Roman" w:hAnsi="Times New Roman" w:cs="Times New Roman"/>
          <w:sz w:val="20"/>
          <w:szCs w:val="20"/>
          <w:lang w:val="en-US"/>
        </w:rPr>
        <w:t>Labour</w:t>
      </w:r>
      <w:proofErr w:type="spellEnd"/>
      <w:r w:rsidRPr="00FA781A">
        <w:rPr>
          <w:rFonts w:ascii="Times New Roman" w:hAnsi="Times New Roman" w:cs="Times New Roman"/>
          <w:sz w:val="20"/>
          <w:szCs w:val="20"/>
          <w:lang w:val="en-US"/>
        </w:rPr>
        <w:t xml:space="preserve"> Law Research Network, Barcelona, Spain, 13-15 June 2013) 1, 21.</w:t>
      </w:r>
    </w:p>
  </w:endnote>
  <w:endnote w:id="5">
    <w:p w14:paraId="4E85D771"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See, </w:t>
      </w:r>
      <w:proofErr w:type="spellStart"/>
      <w:r w:rsidRPr="00FA781A">
        <w:rPr>
          <w:rFonts w:ascii="Times New Roman" w:hAnsi="Times New Roman" w:cs="Times New Roman"/>
          <w:sz w:val="20"/>
          <w:szCs w:val="20"/>
          <w:lang w:val="en-US"/>
        </w:rPr>
        <w:t>eg</w:t>
      </w:r>
      <w:proofErr w:type="spellEnd"/>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en-US"/>
        </w:rPr>
        <w:t>Clibborn</w:t>
      </w:r>
      <w:proofErr w:type="spellEnd"/>
      <w:r w:rsidRPr="00FA781A">
        <w:rPr>
          <w:rFonts w:ascii="Times New Roman" w:hAnsi="Times New Roman" w:cs="Times New Roman"/>
          <w:sz w:val="20"/>
          <w:szCs w:val="20"/>
          <w:lang w:val="en-US"/>
        </w:rPr>
        <w:t xml:space="preserve">, above n </w:t>
      </w:r>
      <w:proofErr w:type="spellStart"/>
      <w:r w:rsidRPr="00FA781A">
        <w:rPr>
          <w:rFonts w:ascii="Times New Roman" w:hAnsi="Times New Roman" w:cs="Times New Roman"/>
          <w:sz w:val="20"/>
          <w:szCs w:val="20"/>
          <w:lang w:val="en-US"/>
        </w:rPr>
        <w:t>2b</w:t>
      </w:r>
      <w:proofErr w:type="spellEnd"/>
      <w:r w:rsidRPr="00FA781A">
        <w:rPr>
          <w:rFonts w:ascii="Times New Roman" w:hAnsi="Times New Roman" w:cs="Times New Roman"/>
          <w:sz w:val="20"/>
          <w:szCs w:val="20"/>
          <w:lang w:val="en-US"/>
        </w:rPr>
        <w:t xml:space="preserve">, 5; </w:t>
      </w:r>
      <w:r w:rsidRPr="00FA781A">
        <w:rPr>
          <w:rFonts w:ascii="Times New Roman" w:hAnsi="Times New Roman" w:cs="Times New Roman"/>
          <w:sz w:val="20"/>
          <w:szCs w:val="20"/>
          <w:lang w:val="nl-NL"/>
        </w:rPr>
        <w:t>Joo-Cheong</w:t>
      </w:r>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en-US"/>
        </w:rPr>
        <w:t>Tham</w:t>
      </w:r>
      <w:proofErr w:type="spellEnd"/>
      <w:r w:rsidRPr="00FA781A">
        <w:rPr>
          <w:rFonts w:ascii="Times New Roman" w:hAnsi="Times New Roman" w:cs="Times New Roman"/>
          <w:sz w:val="20"/>
          <w:szCs w:val="20"/>
          <w:lang w:val="en-US"/>
        </w:rPr>
        <w:t xml:space="preserve"> and Iain Campbell, </w:t>
      </w:r>
      <w:r w:rsidRPr="00FA781A">
        <w:rPr>
          <w:rFonts w:ascii="Times New Roman" w:hAnsi="Times New Roman" w:cs="Times New Roman"/>
          <w:sz w:val="20"/>
          <w:szCs w:val="20"/>
        </w:rPr>
        <w:t>‘</w:t>
      </w:r>
      <w:r w:rsidRPr="00FA781A">
        <w:rPr>
          <w:rFonts w:ascii="Times New Roman" w:hAnsi="Times New Roman" w:cs="Times New Roman"/>
          <w:sz w:val="20"/>
          <w:szCs w:val="20"/>
          <w:lang w:val="en-US"/>
        </w:rPr>
        <w:t>Equal treatment for temporary migrant workers and the challenge of their precariousness</w:t>
      </w:r>
      <w:r w:rsidRPr="00FA781A">
        <w:rPr>
          <w:rFonts w:ascii="Times New Roman" w:hAnsi="Times New Roman" w:cs="Times New Roman"/>
          <w:sz w:val="20"/>
          <w:szCs w:val="20"/>
          <w:lang w:val="fr-FR"/>
        </w:rPr>
        <w:t xml:space="preserve">’ </w:t>
      </w:r>
      <w:r w:rsidRPr="00FA781A">
        <w:rPr>
          <w:rFonts w:ascii="Times New Roman" w:hAnsi="Times New Roman" w:cs="Times New Roman"/>
          <w:sz w:val="20"/>
          <w:szCs w:val="20"/>
          <w:lang w:val="en-US"/>
        </w:rPr>
        <w:t xml:space="preserve">(Paper presented at the 16th World Congress of the International </w:t>
      </w:r>
      <w:proofErr w:type="spellStart"/>
      <w:r w:rsidRPr="00FA781A">
        <w:rPr>
          <w:rFonts w:ascii="Times New Roman" w:hAnsi="Times New Roman" w:cs="Times New Roman"/>
          <w:sz w:val="20"/>
          <w:szCs w:val="20"/>
          <w:lang w:val="en-US"/>
        </w:rPr>
        <w:t>Labour</w:t>
      </w:r>
      <w:proofErr w:type="spellEnd"/>
      <w:r w:rsidRPr="00FA781A">
        <w:rPr>
          <w:rFonts w:ascii="Times New Roman" w:hAnsi="Times New Roman" w:cs="Times New Roman"/>
          <w:sz w:val="20"/>
          <w:szCs w:val="20"/>
          <w:lang w:val="en-US"/>
        </w:rPr>
        <w:t xml:space="preserve"> and Employment Relations Association, Philadelphia, USA, July 2012), 21; </w:t>
      </w:r>
      <w:r w:rsidRPr="00FA781A">
        <w:rPr>
          <w:rFonts w:ascii="Times New Roman" w:hAnsi="Times New Roman" w:cs="Times New Roman"/>
          <w:sz w:val="20"/>
          <w:szCs w:val="20"/>
        </w:rPr>
        <w:t>Laurie</w:t>
      </w:r>
      <w:r w:rsidRPr="00FA781A">
        <w:rPr>
          <w:rFonts w:ascii="Times New Roman" w:hAnsi="Times New Roman" w:cs="Times New Roman"/>
          <w:sz w:val="20"/>
          <w:szCs w:val="20"/>
          <w:lang w:val="en-US"/>
        </w:rPr>
        <w:t xml:space="preserve"> Berg, </w:t>
      </w:r>
      <w:r w:rsidRPr="00FA781A">
        <w:rPr>
          <w:rFonts w:ascii="Times New Roman" w:hAnsi="Times New Roman" w:cs="Times New Roman"/>
          <w:i/>
          <w:iCs/>
          <w:sz w:val="20"/>
          <w:szCs w:val="20"/>
          <w:lang w:val="en-US"/>
        </w:rPr>
        <w:t xml:space="preserve">Migrant Rights at Work: Law's Precariousness at the Intersection of Immigration and </w:t>
      </w:r>
      <w:proofErr w:type="spellStart"/>
      <w:r w:rsidRPr="00FA781A">
        <w:rPr>
          <w:rFonts w:ascii="Times New Roman" w:hAnsi="Times New Roman" w:cs="Times New Roman"/>
          <w:i/>
          <w:iCs/>
          <w:sz w:val="20"/>
          <w:szCs w:val="20"/>
          <w:lang w:val="en-US"/>
        </w:rPr>
        <w:t>Labour</w:t>
      </w:r>
      <w:proofErr w:type="spellEnd"/>
      <w:r w:rsidRPr="00FA781A">
        <w:rPr>
          <w:rFonts w:ascii="Times New Roman" w:hAnsi="Times New Roman" w:cs="Times New Roman"/>
          <w:sz w:val="20"/>
          <w:szCs w:val="20"/>
        </w:rPr>
        <w:t xml:space="preserve"> (Routledge, 2015)</w:t>
      </w:r>
      <w:r w:rsidRPr="00FA781A">
        <w:rPr>
          <w:rFonts w:ascii="Times New Roman" w:hAnsi="Times New Roman" w:cs="Times New Roman"/>
          <w:sz w:val="20"/>
          <w:szCs w:val="20"/>
          <w:lang w:val="en-US"/>
        </w:rPr>
        <w:t>.</w:t>
      </w:r>
    </w:p>
  </w:endnote>
  <w:endnote w:id="6">
    <w:p w14:paraId="7FA6F98A"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Productivity Commission, above n </w:t>
      </w:r>
      <w:proofErr w:type="spellStart"/>
      <w:r w:rsidRPr="00FA781A">
        <w:rPr>
          <w:rFonts w:ascii="Times New Roman" w:hAnsi="Times New Roman" w:cs="Times New Roman"/>
          <w:sz w:val="20"/>
          <w:szCs w:val="20"/>
          <w:lang w:val="en-US"/>
        </w:rPr>
        <w:t>2a</w:t>
      </w:r>
      <w:proofErr w:type="spellEnd"/>
      <w:r w:rsidRPr="00FA781A">
        <w:rPr>
          <w:rFonts w:ascii="Times New Roman" w:hAnsi="Times New Roman" w:cs="Times New Roman"/>
          <w:sz w:val="20"/>
          <w:szCs w:val="20"/>
          <w:lang w:val="en-US"/>
        </w:rPr>
        <w:t>.</w:t>
      </w:r>
    </w:p>
  </w:endnote>
  <w:endnote w:id="7">
    <w:p w14:paraId="43C02E20"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Riches, above n 1, 68.</w:t>
      </w:r>
    </w:p>
  </w:endnote>
  <w:endnote w:id="8">
    <w:p w14:paraId="3EB6595E"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proofErr w:type="spellStart"/>
      <w:r w:rsidRPr="00FA781A">
        <w:rPr>
          <w:rFonts w:ascii="Times New Roman" w:hAnsi="Times New Roman" w:cs="Times New Roman"/>
          <w:sz w:val="20"/>
          <w:szCs w:val="20"/>
          <w:lang w:val="en-US"/>
        </w:rPr>
        <w:t>Ryszard</w:t>
      </w:r>
      <w:proofErr w:type="spellEnd"/>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en-US"/>
        </w:rPr>
        <w:t>Cholewinski</w:t>
      </w:r>
      <w:proofErr w:type="spellEnd"/>
      <w:r w:rsidRPr="00FA781A">
        <w:rPr>
          <w:rFonts w:ascii="Times New Roman" w:hAnsi="Times New Roman" w:cs="Times New Roman"/>
          <w:sz w:val="20"/>
          <w:szCs w:val="20"/>
          <w:lang w:val="en-US"/>
        </w:rPr>
        <w:t xml:space="preserve">, </w:t>
      </w:r>
      <w:r w:rsidRPr="00FA781A">
        <w:rPr>
          <w:rFonts w:ascii="Times New Roman" w:hAnsi="Times New Roman" w:cs="Times New Roman"/>
          <w:i/>
          <w:iCs/>
          <w:sz w:val="20"/>
          <w:szCs w:val="20"/>
          <w:lang w:val="en-US"/>
        </w:rPr>
        <w:t xml:space="preserve">Migrant Workers in International Human Rights Law: Their Protection in Countries of Employment </w:t>
      </w:r>
      <w:r w:rsidRPr="00FA781A">
        <w:rPr>
          <w:rFonts w:ascii="Times New Roman" w:hAnsi="Times New Roman" w:cs="Times New Roman"/>
          <w:sz w:val="20"/>
          <w:szCs w:val="20"/>
          <w:lang w:val="en-US"/>
        </w:rPr>
        <w:t xml:space="preserve">(Oxford Clarendon Press, 1997) 188 in </w:t>
      </w:r>
      <w:proofErr w:type="spellStart"/>
      <w:r w:rsidRPr="00FA781A">
        <w:rPr>
          <w:rFonts w:ascii="Times New Roman" w:hAnsi="Times New Roman" w:cs="Times New Roman"/>
          <w:sz w:val="20"/>
          <w:szCs w:val="20"/>
          <w:lang w:val="en-US"/>
        </w:rPr>
        <w:t>Tham</w:t>
      </w:r>
      <w:proofErr w:type="spellEnd"/>
      <w:r w:rsidRPr="00FA781A">
        <w:rPr>
          <w:rFonts w:ascii="Times New Roman" w:hAnsi="Times New Roman" w:cs="Times New Roman"/>
          <w:sz w:val="20"/>
          <w:szCs w:val="20"/>
          <w:lang w:val="en-US"/>
        </w:rPr>
        <w:t xml:space="preserve"> and Campbell, above n </w:t>
      </w:r>
      <w:proofErr w:type="spellStart"/>
      <w:r w:rsidRPr="00FA781A">
        <w:rPr>
          <w:rFonts w:ascii="Times New Roman" w:hAnsi="Times New Roman" w:cs="Times New Roman"/>
          <w:sz w:val="20"/>
          <w:szCs w:val="20"/>
          <w:lang w:val="en-US"/>
        </w:rPr>
        <w:t>3b</w:t>
      </w:r>
      <w:proofErr w:type="spellEnd"/>
      <w:r w:rsidRPr="00FA781A">
        <w:rPr>
          <w:rFonts w:ascii="Times New Roman" w:hAnsi="Times New Roman" w:cs="Times New Roman"/>
          <w:sz w:val="20"/>
          <w:szCs w:val="20"/>
          <w:lang w:val="en-US"/>
        </w:rPr>
        <w:t>, 22.</w:t>
      </w:r>
    </w:p>
  </w:endnote>
  <w:endnote w:id="9">
    <w:p w14:paraId="748F3985"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Marius </w:t>
      </w:r>
      <w:r w:rsidRPr="00FA781A">
        <w:rPr>
          <w:rFonts w:ascii="Times New Roman" w:hAnsi="Times New Roman" w:cs="Times New Roman"/>
          <w:sz w:val="20"/>
          <w:szCs w:val="20"/>
          <w:lang w:val="en-US"/>
        </w:rPr>
        <w:t xml:space="preserve">Olivier and </w:t>
      </w:r>
      <w:proofErr w:type="spellStart"/>
      <w:r w:rsidRPr="00FA781A">
        <w:rPr>
          <w:rFonts w:ascii="Times New Roman" w:hAnsi="Times New Roman" w:cs="Times New Roman"/>
          <w:sz w:val="20"/>
          <w:szCs w:val="20"/>
          <w:lang w:val="en-US"/>
        </w:rPr>
        <w:t>Avinash</w:t>
      </w:r>
      <w:proofErr w:type="spellEnd"/>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en-US"/>
        </w:rPr>
        <w:t>Govindjee</w:t>
      </w:r>
      <w:proofErr w:type="spellEnd"/>
      <w:r w:rsidRPr="00FA781A">
        <w:rPr>
          <w:rFonts w:ascii="Times New Roman" w:hAnsi="Times New Roman" w:cs="Times New Roman"/>
          <w:sz w:val="20"/>
          <w:szCs w:val="20"/>
          <w:lang w:val="en-US"/>
        </w:rPr>
        <w:t xml:space="preserve">, </w:t>
      </w:r>
      <w:r w:rsidRPr="00FA781A">
        <w:rPr>
          <w:rFonts w:ascii="Times New Roman" w:hAnsi="Times New Roman" w:cs="Times New Roman"/>
          <w:sz w:val="20"/>
          <w:szCs w:val="20"/>
        </w:rPr>
        <w:t xml:space="preserve">above n </w:t>
      </w:r>
      <w:proofErr w:type="spellStart"/>
      <w:r w:rsidRPr="00FA781A">
        <w:rPr>
          <w:rFonts w:ascii="Times New Roman" w:hAnsi="Times New Roman" w:cs="Times New Roman"/>
          <w:sz w:val="20"/>
          <w:szCs w:val="20"/>
        </w:rPr>
        <w:t>2c</w:t>
      </w:r>
      <w:proofErr w:type="spellEnd"/>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1.</w:t>
      </w:r>
    </w:p>
  </w:endnote>
  <w:endnote w:id="10">
    <w:p w14:paraId="359EA35F"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Elaine Dewhurst, ‘Models of Protection of the Right of Irregular Immigrants to Back Pay: The Impact of the Interconnection between Immigration Law and Labor Law’ </w:t>
      </w:r>
      <w:r w:rsidRPr="00FA781A">
        <w:rPr>
          <w:rFonts w:ascii="Times New Roman" w:hAnsi="Times New Roman" w:cs="Times New Roman"/>
          <w:sz w:val="20"/>
          <w:szCs w:val="20"/>
        </w:rPr>
        <w:t xml:space="preserve">(2013) 35(2) </w:t>
      </w:r>
      <w:r w:rsidRPr="00FA781A">
        <w:rPr>
          <w:rFonts w:ascii="Times New Roman" w:hAnsi="Times New Roman" w:cs="Times New Roman"/>
          <w:i/>
          <w:iCs/>
          <w:sz w:val="20"/>
          <w:szCs w:val="20"/>
          <w:lang w:val="en-US"/>
        </w:rPr>
        <w:t xml:space="preserve">Comparative Labor Law and Policy Journal </w:t>
      </w:r>
      <w:r w:rsidRPr="00FA781A">
        <w:rPr>
          <w:rFonts w:ascii="Times New Roman" w:hAnsi="Times New Roman" w:cs="Times New Roman"/>
          <w:sz w:val="20"/>
          <w:szCs w:val="20"/>
        </w:rPr>
        <w:t>101</w:t>
      </w:r>
      <w:r w:rsidRPr="00FA781A">
        <w:rPr>
          <w:rFonts w:ascii="Times New Roman" w:hAnsi="Times New Roman" w:cs="Times New Roman"/>
          <w:sz w:val="20"/>
          <w:szCs w:val="20"/>
          <w:lang w:val="en-US"/>
        </w:rPr>
        <w:t>, 105.</w:t>
      </w:r>
    </w:p>
  </w:endnote>
  <w:endnote w:id="11">
    <w:p w14:paraId="21EE3753"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Dewhurst, above n 10, 108; </w:t>
      </w:r>
      <w:proofErr w:type="spellStart"/>
      <w:r w:rsidRPr="00FA781A">
        <w:rPr>
          <w:rFonts w:ascii="Times New Roman" w:hAnsi="Times New Roman" w:cs="Times New Roman"/>
          <w:sz w:val="20"/>
          <w:szCs w:val="20"/>
          <w:lang w:val="en-US"/>
        </w:rPr>
        <w:t>Carens</w:t>
      </w:r>
      <w:proofErr w:type="spellEnd"/>
      <w:r w:rsidRPr="00FA781A">
        <w:rPr>
          <w:rFonts w:ascii="Times New Roman" w:hAnsi="Times New Roman" w:cs="Times New Roman"/>
          <w:sz w:val="20"/>
          <w:szCs w:val="20"/>
          <w:lang w:val="en-US"/>
        </w:rPr>
        <w:t>, above n 6, 167.</w:t>
      </w:r>
    </w:p>
  </w:endnote>
  <w:endnote w:id="12">
    <w:p w14:paraId="4ACD2D63"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Productivity Commission, above n </w:t>
      </w:r>
      <w:proofErr w:type="spellStart"/>
      <w:r w:rsidRPr="00FA781A">
        <w:rPr>
          <w:rFonts w:ascii="Times New Roman" w:hAnsi="Times New Roman" w:cs="Times New Roman"/>
          <w:sz w:val="20"/>
          <w:szCs w:val="20"/>
          <w:lang w:val="en-US"/>
        </w:rPr>
        <w:t>2a</w:t>
      </w:r>
      <w:proofErr w:type="spellEnd"/>
      <w:r w:rsidRPr="00FA781A">
        <w:rPr>
          <w:rFonts w:ascii="Times New Roman" w:hAnsi="Times New Roman" w:cs="Times New Roman"/>
          <w:sz w:val="20"/>
          <w:szCs w:val="20"/>
          <w:lang w:val="en-US"/>
        </w:rPr>
        <w:t>, 747.</w:t>
      </w:r>
    </w:p>
  </w:endnote>
  <w:endnote w:id="13">
    <w:p w14:paraId="3C531EAF"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i/>
          <w:iCs/>
          <w:sz w:val="20"/>
          <w:szCs w:val="20"/>
          <w:lang w:val="en-US"/>
        </w:rPr>
        <w:t xml:space="preserve">Fair Work Act 2009 </w:t>
      </w:r>
      <w:r w:rsidRPr="00FA781A">
        <w:rPr>
          <w:rFonts w:ascii="Times New Roman" w:hAnsi="Times New Roman" w:cs="Times New Roman"/>
          <w:sz w:val="20"/>
          <w:szCs w:val="20"/>
          <w:lang w:val="en-US"/>
        </w:rPr>
        <w:t>(</w:t>
      </w:r>
      <w:proofErr w:type="spellStart"/>
      <w:r w:rsidRPr="00FA781A">
        <w:rPr>
          <w:rFonts w:ascii="Times New Roman" w:hAnsi="Times New Roman" w:cs="Times New Roman"/>
          <w:sz w:val="20"/>
          <w:szCs w:val="20"/>
          <w:lang w:val="en-US"/>
        </w:rPr>
        <w:t>Cth</w:t>
      </w:r>
      <w:proofErr w:type="spellEnd"/>
      <w:r w:rsidRPr="00FA781A">
        <w:rPr>
          <w:rFonts w:ascii="Times New Roman" w:hAnsi="Times New Roman" w:cs="Times New Roman"/>
          <w:sz w:val="20"/>
          <w:szCs w:val="20"/>
          <w:lang w:val="en-US"/>
        </w:rPr>
        <w:t>)</w:t>
      </w:r>
      <w:r w:rsidRPr="00FA781A">
        <w:rPr>
          <w:rFonts w:ascii="Times New Roman" w:hAnsi="Times New Roman" w:cs="Times New Roman"/>
          <w:sz w:val="20"/>
          <w:szCs w:val="20"/>
        </w:rPr>
        <w:t xml:space="preserve"> </w:t>
      </w:r>
      <w:proofErr w:type="spellStart"/>
      <w:r w:rsidRPr="00FA781A">
        <w:rPr>
          <w:rFonts w:ascii="Times New Roman" w:hAnsi="Times New Roman" w:cs="Times New Roman"/>
          <w:sz w:val="20"/>
          <w:szCs w:val="20"/>
          <w:lang w:val="en-US"/>
        </w:rPr>
        <w:t>ss</w:t>
      </w:r>
      <w:proofErr w:type="spellEnd"/>
      <w:r w:rsidRPr="00FA781A">
        <w:rPr>
          <w:rFonts w:ascii="Times New Roman" w:hAnsi="Times New Roman" w:cs="Times New Roman"/>
          <w:sz w:val="20"/>
          <w:szCs w:val="20"/>
          <w:lang w:val="en-US"/>
        </w:rPr>
        <w:t xml:space="preserve"> 13 and 15; </w:t>
      </w:r>
      <w:r w:rsidRPr="00FA781A">
        <w:rPr>
          <w:rFonts w:ascii="Times New Roman" w:hAnsi="Times New Roman" w:cs="Times New Roman"/>
          <w:sz w:val="20"/>
          <w:szCs w:val="20"/>
        </w:rPr>
        <w:t>Andrew, ‘Stewart</w:t>
      </w:r>
      <w:r w:rsidRPr="00FA781A">
        <w:rPr>
          <w:rFonts w:ascii="Times New Roman" w:hAnsi="Times New Roman" w:cs="Times New Roman"/>
          <w:sz w:val="20"/>
          <w:szCs w:val="20"/>
          <w:lang w:val="fr-FR"/>
        </w:rPr>
        <w:t>’</w:t>
      </w:r>
      <w:r w:rsidRPr="00FA781A">
        <w:rPr>
          <w:rFonts w:ascii="Times New Roman" w:hAnsi="Times New Roman" w:cs="Times New Roman"/>
          <w:sz w:val="20"/>
          <w:szCs w:val="20"/>
          <w:lang w:val="en-US"/>
        </w:rPr>
        <w:t>s Guide to Employment Law</w:t>
      </w:r>
      <w:r w:rsidRPr="00FA781A">
        <w:rPr>
          <w:rFonts w:ascii="Times New Roman" w:hAnsi="Times New Roman" w:cs="Times New Roman"/>
          <w:sz w:val="20"/>
          <w:szCs w:val="20"/>
          <w:lang w:val="fr-FR"/>
        </w:rPr>
        <w:t xml:space="preserve">’ </w:t>
      </w:r>
      <w:r w:rsidRPr="00FA781A">
        <w:rPr>
          <w:rFonts w:ascii="Times New Roman" w:hAnsi="Times New Roman" w:cs="Times New Roman"/>
          <w:sz w:val="20"/>
          <w:szCs w:val="20"/>
          <w:lang w:val="en-US"/>
        </w:rPr>
        <w:t xml:space="preserve">(The Federation Press, 5th </w:t>
      </w:r>
      <w:proofErr w:type="spellStart"/>
      <w:r w:rsidRPr="00FA781A">
        <w:rPr>
          <w:rFonts w:ascii="Times New Roman" w:hAnsi="Times New Roman" w:cs="Times New Roman"/>
          <w:sz w:val="20"/>
          <w:szCs w:val="20"/>
          <w:lang w:val="en-US"/>
        </w:rPr>
        <w:t>ed</w:t>
      </w:r>
      <w:proofErr w:type="spellEnd"/>
      <w:r w:rsidRPr="00FA781A">
        <w:rPr>
          <w:rFonts w:ascii="Times New Roman" w:hAnsi="Times New Roman" w:cs="Times New Roman"/>
          <w:sz w:val="20"/>
          <w:szCs w:val="20"/>
          <w:lang w:val="en-US"/>
        </w:rPr>
        <w:t>, 2015) [5.11]; Dewhurst</w:t>
      </w:r>
      <w:r w:rsidRPr="00FA781A">
        <w:rPr>
          <w:rFonts w:ascii="Times New Roman" w:hAnsi="Times New Roman" w:cs="Times New Roman"/>
          <w:sz w:val="20"/>
          <w:szCs w:val="20"/>
        </w:rPr>
        <w:t>,</w:t>
      </w:r>
      <w:r w:rsidRPr="00FA781A">
        <w:rPr>
          <w:rFonts w:ascii="Times New Roman" w:hAnsi="Times New Roman" w:cs="Times New Roman"/>
          <w:sz w:val="20"/>
          <w:szCs w:val="20"/>
          <w:lang w:val="en-US"/>
        </w:rPr>
        <w:t xml:space="preserve"> above n 10,</w:t>
      </w:r>
      <w:r w:rsidRPr="00FA781A">
        <w:rPr>
          <w:rFonts w:ascii="Times New Roman" w:hAnsi="Times New Roman" w:cs="Times New Roman"/>
          <w:sz w:val="20"/>
          <w:szCs w:val="20"/>
        </w:rPr>
        <w:t xml:space="preserve"> 106</w:t>
      </w:r>
      <w:r w:rsidRPr="00FA781A">
        <w:rPr>
          <w:rFonts w:ascii="Times New Roman" w:hAnsi="Times New Roman" w:cs="Times New Roman"/>
          <w:sz w:val="20"/>
          <w:szCs w:val="20"/>
          <w:lang w:val="en-US"/>
        </w:rPr>
        <w:t>.</w:t>
      </w:r>
    </w:p>
  </w:endnote>
  <w:endnote w:id="14">
    <w:p w14:paraId="5BCCF2BE"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i/>
          <w:iCs/>
          <w:sz w:val="20"/>
          <w:szCs w:val="20"/>
          <w:lang w:val="en-US"/>
        </w:rPr>
        <w:t xml:space="preserve">Migration Act 1958 </w:t>
      </w:r>
      <w:r w:rsidRPr="00FA781A">
        <w:rPr>
          <w:rFonts w:ascii="Times New Roman" w:hAnsi="Times New Roman" w:cs="Times New Roman"/>
          <w:sz w:val="20"/>
          <w:szCs w:val="20"/>
          <w:lang w:val="en-US"/>
        </w:rPr>
        <w:t>(</w:t>
      </w:r>
      <w:proofErr w:type="spellStart"/>
      <w:r w:rsidRPr="00FA781A">
        <w:rPr>
          <w:rFonts w:ascii="Times New Roman" w:hAnsi="Times New Roman" w:cs="Times New Roman"/>
          <w:sz w:val="20"/>
          <w:szCs w:val="20"/>
          <w:lang w:val="en-US"/>
        </w:rPr>
        <w:t>Cth</w:t>
      </w:r>
      <w:proofErr w:type="spellEnd"/>
      <w:r w:rsidRPr="00FA781A">
        <w:rPr>
          <w:rFonts w:ascii="Times New Roman" w:hAnsi="Times New Roman" w:cs="Times New Roman"/>
          <w:sz w:val="20"/>
          <w:szCs w:val="20"/>
          <w:lang w:val="en-US"/>
        </w:rPr>
        <w:t>)</w:t>
      </w:r>
      <w:r w:rsidRPr="00FA781A">
        <w:rPr>
          <w:rFonts w:ascii="Times New Roman" w:hAnsi="Times New Roman" w:cs="Times New Roman"/>
          <w:sz w:val="20"/>
          <w:szCs w:val="20"/>
        </w:rPr>
        <w:t xml:space="preserve"> </w:t>
      </w:r>
      <w:proofErr w:type="spellStart"/>
      <w:r w:rsidRPr="00FA781A">
        <w:rPr>
          <w:rFonts w:ascii="Times New Roman" w:hAnsi="Times New Roman" w:cs="Times New Roman"/>
          <w:sz w:val="20"/>
          <w:szCs w:val="20"/>
          <w:lang w:val="en-US"/>
        </w:rPr>
        <w:t>ss</w:t>
      </w:r>
      <w:proofErr w:type="spellEnd"/>
      <w:r w:rsidRPr="00FA781A">
        <w:rPr>
          <w:rFonts w:ascii="Times New Roman" w:hAnsi="Times New Roman" w:cs="Times New Roman"/>
          <w:sz w:val="20"/>
          <w:szCs w:val="20"/>
          <w:lang w:val="en-US"/>
        </w:rPr>
        <w:t xml:space="preserve"> 5, 14, 235(1)-(2).</w:t>
      </w:r>
    </w:p>
  </w:endnote>
  <w:endnote w:id="15">
    <w:p w14:paraId="608954B0"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i/>
          <w:iCs/>
          <w:sz w:val="20"/>
          <w:szCs w:val="20"/>
          <w:lang w:val="en-US"/>
        </w:rPr>
        <w:t xml:space="preserve">Migration Act 1958 </w:t>
      </w:r>
      <w:r w:rsidRPr="00FA781A">
        <w:rPr>
          <w:rFonts w:ascii="Times New Roman" w:hAnsi="Times New Roman" w:cs="Times New Roman"/>
          <w:sz w:val="20"/>
          <w:szCs w:val="20"/>
          <w:lang w:val="en-US"/>
        </w:rPr>
        <w:t>(Cth)</w:t>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s 235(3).</w:t>
      </w:r>
    </w:p>
  </w:endnote>
  <w:endnote w:id="16">
    <w:p w14:paraId="0F82D2D6"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Robert Guthrie and Rebecca </w:t>
      </w:r>
      <w:proofErr w:type="spellStart"/>
      <w:r w:rsidRPr="00FA781A">
        <w:rPr>
          <w:rFonts w:ascii="Times New Roman" w:hAnsi="Times New Roman" w:cs="Times New Roman"/>
          <w:sz w:val="20"/>
          <w:szCs w:val="20"/>
          <w:lang w:val="en-US"/>
        </w:rPr>
        <w:t>Taseff</w:t>
      </w:r>
      <w:proofErr w:type="spellEnd"/>
      <w:r w:rsidRPr="00FA781A">
        <w:rPr>
          <w:rFonts w:ascii="Times New Roman" w:hAnsi="Times New Roman" w:cs="Times New Roman"/>
          <w:sz w:val="20"/>
          <w:szCs w:val="20"/>
          <w:lang w:val="en-US"/>
        </w:rPr>
        <w:t>, 'Dismissal and Discrimination: Illegal Workers in England and Australia' (2008) 24(1)</w:t>
      </w:r>
      <w:r w:rsidRPr="00FA781A">
        <w:rPr>
          <w:rFonts w:ascii="Times New Roman" w:hAnsi="Times New Roman" w:cs="Times New Roman"/>
          <w:sz w:val="20"/>
          <w:szCs w:val="20"/>
        </w:rPr>
        <w:t xml:space="preserve"> </w:t>
      </w:r>
      <w:r w:rsidRPr="00FA781A">
        <w:rPr>
          <w:rFonts w:ascii="Times New Roman" w:hAnsi="Times New Roman" w:cs="Times New Roman"/>
          <w:i/>
          <w:iCs/>
          <w:sz w:val="20"/>
          <w:szCs w:val="20"/>
          <w:lang w:val="en-US"/>
        </w:rPr>
        <w:t xml:space="preserve">International Journal of Comparative </w:t>
      </w:r>
      <w:proofErr w:type="spellStart"/>
      <w:r w:rsidRPr="00FA781A">
        <w:rPr>
          <w:rFonts w:ascii="Times New Roman" w:hAnsi="Times New Roman" w:cs="Times New Roman"/>
          <w:i/>
          <w:iCs/>
          <w:sz w:val="20"/>
          <w:szCs w:val="20"/>
          <w:lang w:val="en-US"/>
        </w:rPr>
        <w:t>Labour</w:t>
      </w:r>
      <w:proofErr w:type="spellEnd"/>
      <w:r w:rsidRPr="00FA781A">
        <w:rPr>
          <w:rFonts w:ascii="Times New Roman" w:hAnsi="Times New Roman" w:cs="Times New Roman"/>
          <w:i/>
          <w:iCs/>
          <w:sz w:val="20"/>
          <w:szCs w:val="20"/>
          <w:lang w:val="en-US"/>
        </w:rPr>
        <w:t xml:space="preserve"> Law and Industrial Relations</w:t>
      </w:r>
      <w:r w:rsidRPr="00FA781A">
        <w:rPr>
          <w:rFonts w:ascii="Times New Roman" w:hAnsi="Times New Roman" w:cs="Times New Roman"/>
          <w:sz w:val="20"/>
          <w:szCs w:val="20"/>
          <w:lang w:val="en-US"/>
        </w:rPr>
        <w:t xml:space="preserve"> 31, </w:t>
      </w:r>
      <w:r w:rsidRPr="00FA781A">
        <w:rPr>
          <w:rFonts w:ascii="Times New Roman" w:hAnsi="Times New Roman" w:cs="Times New Roman"/>
          <w:sz w:val="20"/>
          <w:szCs w:val="20"/>
        </w:rPr>
        <w:t>48</w:t>
      </w:r>
      <w:r w:rsidRPr="00FA781A">
        <w:rPr>
          <w:rFonts w:ascii="Times New Roman" w:hAnsi="Times New Roman" w:cs="Times New Roman"/>
          <w:sz w:val="20"/>
          <w:szCs w:val="20"/>
          <w:lang w:val="en-US"/>
        </w:rPr>
        <w:t>; Dewhurst, above n 10, 106.</w:t>
      </w:r>
    </w:p>
  </w:endnote>
  <w:endnote w:id="17">
    <w:p w14:paraId="28DF08A0"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(2014) FWC 964 (‘</w:t>
      </w:r>
      <w:r w:rsidRPr="00FA781A">
        <w:rPr>
          <w:rFonts w:ascii="Times New Roman" w:hAnsi="Times New Roman" w:cs="Times New Roman"/>
          <w:i/>
          <w:iCs/>
          <w:sz w:val="20"/>
          <w:szCs w:val="20"/>
          <w:lang w:val="en-US"/>
        </w:rPr>
        <w:t>Smallwood</w:t>
      </w:r>
      <w:r w:rsidRPr="00FA781A">
        <w:rPr>
          <w:rFonts w:ascii="Times New Roman" w:hAnsi="Times New Roman" w:cs="Times New Roman"/>
          <w:sz w:val="20"/>
          <w:szCs w:val="20"/>
          <w:lang w:val="en-US"/>
        </w:rPr>
        <w:t>’).</w:t>
      </w:r>
    </w:p>
  </w:endnote>
  <w:endnote w:id="18">
    <w:p w14:paraId="0F5AB466"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(2004) </w:t>
      </w:r>
      <w:proofErr w:type="spellStart"/>
      <w:r w:rsidRPr="00FA781A">
        <w:rPr>
          <w:rFonts w:ascii="Times New Roman" w:hAnsi="Times New Roman" w:cs="Times New Roman"/>
          <w:sz w:val="20"/>
          <w:szCs w:val="20"/>
          <w:lang w:val="en-US"/>
        </w:rPr>
        <w:t>QCA</w:t>
      </w:r>
      <w:proofErr w:type="spellEnd"/>
      <w:r w:rsidRPr="00FA781A">
        <w:rPr>
          <w:rFonts w:ascii="Times New Roman" w:hAnsi="Times New Roman" w:cs="Times New Roman"/>
          <w:sz w:val="20"/>
          <w:szCs w:val="20"/>
          <w:lang w:val="en-US"/>
        </w:rPr>
        <w:t xml:space="preserve"> 147 (‘</w:t>
      </w:r>
      <w:proofErr w:type="spellStart"/>
      <w:r w:rsidRPr="00FA781A">
        <w:rPr>
          <w:rFonts w:ascii="Times New Roman" w:hAnsi="Times New Roman" w:cs="Times New Roman"/>
          <w:i/>
          <w:iCs/>
          <w:sz w:val="20"/>
          <w:szCs w:val="20"/>
          <w:lang w:val="en-US"/>
        </w:rPr>
        <w:t>Kazi</w:t>
      </w:r>
      <w:proofErr w:type="spellEnd"/>
      <w:r w:rsidRPr="00FA781A">
        <w:rPr>
          <w:rFonts w:ascii="Times New Roman" w:hAnsi="Times New Roman" w:cs="Times New Roman"/>
          <w:sz w:val="20"/>
          <w:szCs w:val="20"/>
          <w:lang w:val="en-US"/>
        </w:rPr>
        <w:t>’).</w:t>
      </w:r>
    </w:p>
  </w:endnote>
  <w:endnote w:id="19">
    <w:p w14:paraId="25C77177"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Ibid; </w:t>
      </w:r>
      <w:proofErr w:type="spellStart"/>
      <w:r w:rsidRPr="00FA781A">
        <w:rPr>
          <w:rFonts w:ascii="Times New Roman" w:hAnsi="Times New Roman" w:cs="Times New Roman"/>
          <w:sz w:val="20"/>
          <w:szCs w:val="20"/>
          <w:lang w:val="en-US"/>
        </w:rPr>
        <w:t>Clibborn</w:t>
      </w:r>
      <w:proofErr w:type="spellEnd"/>
      <w:r w:rsidRPr="00FA781A">
        <w:rPr>
          <w:rFonts w:ascii="Times New Roman" w:hAnsi="Times New Roman" w:cs="Times New Roman"/>
          <w:sz w:val="20"/>
          <w:szCs w:val="20"/>
          <w:lang w:val="en-US"/>
        </w:rPr>
        <w:t xml:space="preserve">, above n </w:t>
      </w:r>
      <w:proofErr w:type="spellStart"/>
      <w:r w:rsidRPr="00FA781A">
        <w:rPr>
          <w:rFonts w:ascii="Times New Roman" w:hAnsi="Times New Roman" w:cs="Times New Roman"/>
          <w:sz w:val="20"/>
          <w:szCs w:val="20"/>
          <w:lang w:val="en-US"/>
        </w:rPr>
        <w:t>2b</w:t>
      </w:r>
      <w:proofErr w:type="spellEnd"/>
      <w:r w:rsidRPr="00FA781A">
        <w:rPr>
          <w:rFonts w:ascii="Times New Roman" w:hAnsi="Times New Roman" w:cs="Times New Roman"/>
          <w:sz w:val="20"/>
          <w:szCs w:val="20"/>
          <w:lang w:val="en-US"/>
        </w:rPr>
        <w:t>, 3.</w:t>
      </w:r>
    </w:p>
  </w:endnote>
  <w:endnote w:id="20">
    <w:p w14:paraId="6F58B5D9"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[1</w:t>
      </w:r>
      <w:r w:rsidRPr="00FA781A">
        <w:rPr>
          <w:rFonts w:ascii="Times New Roman" w:hAnsi="Times New Roman" w:cs="Times New Roman"/>
          <w:sz w:val="20"/>
          <w:szCs w:val="20"/>
        </w:rPr>
        <w:t xml:space="preserve">998] </w:t>
      </w:r>
      <w:proofErr w:type="spellStart"/>
      <w:r w:rsidRPr="00FA781A">
        <w:rPr>
          <w:rFonts w:ascii="Times New Roman" w:hAnsi="Times New Roman" w:cs="Times New Roman"/>
          <w:sz w:val="20"/>
          <w:szCs w:val="20"/>
        </w:rPr>
        <w:t>NSWSC</w:t>
      </w:r>
      <w:proofErr w:type="spellEnd"/>
      <w:r w:rsidRPr="00FA781A">
        <w:rPr>
          <w:rFonts w:ascii="Times New Roman" w:hAnsi="Times New Roman" w:cs="Times New Roman"/>
          <w:sz w:val="20"/>
          <w:szCs w:val="20"/>
        </w:rPr>
        <w:t xml:space="preserve"> 49</w:t>
      </w:r>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i/>
          <w:iCs/>
          <w:sz w:val="20"/>
          <w:szCs w:val="20"/>
          <w:lang w:val="en-US"/>
        </w:rPr>
        <w:t>Taufia</w:t>
      </w:r>
      <w:proofErr w:type="spellEnd"/>
      <w:r w:rsidRPr="00FA781A">
        <w:rPr>
          <w:rFonts w:ascii="Times New Roman" w:hAnsi="Times New Roman" w:cs="Times New Roman"/>
          <w:sz w:val="20"/>
          <w:szCs w:val="20"/>
          <w:lang w:val="en-US"/>
        </w:rPr>
        <w:t>’).</w:t>
      </w:r>
    </w:p>
  </w:endnote>
  <w:endnote w:id="21">
    <w:p w14:paraId="39453AF2"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Berg, above n </w:t>
      </w:r>
      <w:proofErr w:type="spellStart"/>
      <w:r w:rsidRPr="00FA781A">
        <w:rPr>
          <w:rFonts w:ascii="Times New Roman" w:hAnsi="Times New Roman" w:cs="Times New Roman"/>
          <w:sz w:val="20"/>
          <w:szCs w:val="20"/>
          <w:lang w:val="en-US"/>
        </w:rPr>
        <w:t>3c</w:t>
      </w:r>
      <w:proofErr w:type="spellEnd"/>
      <w:r w:rsidRPr="00FA781A">
        <w:rPr>
          <w:rFonts w:ascii="Times New Roman" w:hAnsi="Times New Roman" w:cs="Times New Roman"/>
          <w:sz w:val="20"/>
          <w:szCs w:val="20"/>
          <w:lang w:val="en-US"/>
        </w:rPr>
        <w:t>, 173.</w:t>
      </w:r>
    </w:p>
  </w:endnote>
  <w:endnote w:id="22">
    <w:p w14:paraId="2FF32C28"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Ibid, 174 </w:t>
      </w:r>
      <w:proofErr w:type="spellStart"/>
      <w:r w:rsidRPr="00FA781A">
        <w:rPr>
          <w:rFonts w:ascii="Times New Roman" w:hAnsi="Times New Roman" w:cs="Times New Roman"/>
          <w:sz w:val="20"/>
          <w:szCs w:val="20"/>
          <w:lang w:val="en-US"/>
        </w:rPr>
        <w:t>cf</w:t>
      </w:r>
      <w:proofErr w:type="spellEnd"/>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i/>
          <w:iCs/>
          <w:sz w:val="20"/>
          <w:szCs w:val="20"/>
          <w:lang w:val="en-US"/>
        </w:rPr>
        <w:t>Kazi</w:t>
      </w:r>
      <w:proofErr w:type="spellEnd"/>
      <w:r w:rsidRPr="00FA781A">
        <w:rPr>
          <w:rFonts w:ascii="Times New Roman" w:hAnsi="Times New Roman" w:cs="Times New Roman"/>
          <w:sz w:val="20"/>
          <w:szCs w:val="20"/>
          <w:lang w:val="en-US"/>
        </w:rPr>
        <w:t xml:space="preserve"> </w:t>
      </w:r>
      <w:r w:rsidRPr="00FA781A">
        <w:rPr>
          <w:rFonts w:ascii="Times New Roman" w:hAnsi="Times New Roman" w:cs="Times New Roman"/>
          <w:sz w:val="20"/>
          <w:szCs w:val="20"/>
        </w:rPr>
        <w:t xml:space="preserve">(2004) </w:t>
      </w:r>
      <w:proofErr w:type="spellStart"/>
      <w:r w:rsidRPr="00FA781A">
        <w:rPr>
          <w:rFonts w:ascii="Times New Roman" w:hAnsi="Times New Roman" w:cs="Times New Roman"/>
          <w:sz w:val="20"/>
          <w:szCs w:val="20"/>
        </w:rPr>
        <w:t>QCA</w:t>
      </w:r>
      <w:proofErr w:type="spellEnd"/>
      <w:r w:rsidRPr="00FA781A">
        <w:rPr>
          <w:rFonts w:ascii="Times New Roman" w:hAnsi="Times New Roman" w:cs="Times New Roman"/>
          <w:sz w:val="20"/>
          <w:szCs w:val="20"/>
        </w:rPr>
        <w:t xml:space="preserve"> 147</w:t>
      </w:r>
      <w:r w:rsidRPr="00FA781A">
        <w:rPr>
          <w:rFonts w:ascii="Times New Roman" w:hAnsi="Times New Roman" w:cs="Times New Roman"/>
          <w:sz w:val="20"/>
          <w:szCs w:val="20"/>
          <w:lang w:val="en-US"/>
        </w:rPr>
        <w:t xml:space="preserve"> [69] (McMurdo J).</w:t>
      </w:r>
    </w:p>
  </w:endnote>
  <w:endnote w:id="23">
    <w:p w14:paraId="1EF1D6FF"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Ibid, 175.</w:t>
      </w:r>
    </w:p>
  </w:endnote>
  <w:endnote w:id="24">
    <w:p w14:paraId="3ED1ADA8"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proofErr w:type="spellStart"/>
      <w:r w:rsidRPr="00FA781A">
        <w:rPr>
          <w:rFonts w:ascii="Times New Roman" w:hAnsi="Times New Roman" w:cs="Times New Roman"/>
          <w:sz w:val="20"/>
          <w:szCs w:val="20"/>
          <w:lang w:val="en-US"/>
        </w:rPr>
        <w:t>Clibborn</w:t>
      </w:r>
      <w:proofErr w:type="spellEnd"/>
      <w:r w:rsidRPr="00FA781A">
        <w:rPr>
          <w:rFonts w:ascii="Times New Roman" w:hAnsi="Times New Roman" w:cs="Times New Roman"/>
          <w:sz w:val="20"/>
          <w:szCs w:val="20"/>
          <w:lang w:val="en-US"/>
        </w:rPr>
        <w:t xml:space="preserve">, above n </w:t>
      </w:r>
      <w:proofErr w:type="spellStart"/>
      <w:r w:rsidRPr="00FA781A">
        <w:rPr>
          <w:rFonts w:ascii="Times New Roman" w:hAnsi="Times New Roman" w:cs="Times New Roman"/>
          <w:sz w:val="20"/>
          <w:szCs w:val="20"/>
          <w:lang w:val="en-US"/>
        </w:rPr>
        <w:t>2b</w:t>
      </w:r>
      <w:proofErr w:type="spellEnd"/>
      <w:r w:rsidRPr="00FA781A">
        <w:rPr>
          <w:rFonts w:ascii="Times New Roman" w:hAnsi="Times New Roman" w:cs="Times New Roman"/>
          <w:sz w:val="20"/>
          <w:szCs w:val="20"/>
          <w:lang w:val="en-US"/>
        </w:rPr>
        <w:t>, 3.</w:t>
      </w:r>
    </w:p>
  </w:endnote>
  <w:endnote w:id="25">
    <w:p w14:paraId="0CFFE8A4"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Ibid.</w:t>
      </w:r>
    </w:p>
  </w:endnote>
  <w:endnote w:id="26">
    <w:p w14:paraId="508C908D"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proofErr w:type="spellStart"/>
      <w:r w:rsidRPr="00FA781A">
        <w:rPr>
          <w:rFonts w:ascii="Times New Roman" w:hAnsi="Times New Roman" w:cs="Times New Roman"/>
          <w:sz w:val="20"/>
          <w:szCs w:val="20"/>
          <w:lang w:val="en-US"/>
        </w:rPr>
        <w:t>Carens</w:t>
      </w:r>
      <w:proofErr w:type="spellEnd"/>
      <w:r w:rsidRPr="00FA781A">
        <w:rPr>
          <w:rFonts w:ascii="Times New Roman" w:hAnsi="Times New Roman" w:cs="Times New Roman"/>
          <w:sz w:val="20"/>
          <w:szCs w:val="20"/>
          <w:lang w:val="en-US"/>
        </w:rPr>
        <w:t>, above n 6,</w:t>
      </w:r>
      <w:r w:rsidRPr="00FA781A">
        <w:rPr>
          <w:rFonts w:ascii="Times New Roman" w:hAnsi="Times New Roman" w:cs="Times New Roman"/>
          <w:sz w:val="20"/>
          <w:szCs w:val="20"/>
        </w:rPr>
        <w:t xml:space="preserve"> 167</w:t>
      </w:r>
    </w:p>
  </w:endnote>
  <w:endnote w:id="27">
    <w:p w14:paraId="3B925B2C"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Dewhurst, above n 10, 102; </w:t>
      </w:r>
      <w:r w:rsidRPr="00FA781A">
        <w:rPr>
          <w:rFonts w:ascii="Times New Roman" w:hAnsi="Times New Roman" w:cs="Times New Roman"/>
          <w:sz w:val="20"/>
          <w:szCs w:val="20"/>
          <w:lang w:val="it-IT"/>
        </w:rPr>
        <w:t>see eg UN HRC in Sarah H.</w:t>
      </w:r>
      <w:r w:rsidRPr="00FA781A">
        <w:rPr>
          <w:rFonts w:ascii="Times New Roman" w:hAnsi="Times New Roman" w:cs="Times New Roman"/>
          <w:sz w:val="20"/>
          <w:szCs w:val="20"/>
          <w:lang w:val="en-US"/>
        </w:rPr>
        <w:t xml:space="preserve"> Cleveland, ’Legal Status and Rights of Undocumented Workers. Advisory Opinion OC-18/03</w:t>
      </w:r>
      <w:r w:rsidRPr="00FA781A">
        <w:rPr>
          <w:rFonts w:ascii="Times New Roman" w:hAnsi="Times New Roman" w:cs="Times New Roman"/>
          <w:sz w:val="20"/>
          <w:szCs w:val="20"/>
          <w:lang w:val="fr-FR"/>
        </w:rPr>
        <w:t>’</w:t>
      </w:r>
      <w:r w:rsidRPr="00FA781A">
        <w:rPr>
          <w:rFonts w:ascii="Times New Roman" w:hAnsi="Times New Roman" w:cs="Times New Roman"/>
          <w:sz w:val="20"/>
          <w:szCs w:val="20"/>
          <w:lang w:val="en-US"/>
        </w:rPr>
        <w:t xml:space="preserve"> (2005)</w:t>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99(2) </w:t>
      </w:r>
      <w:r w:rsidRPr="00FA781A">
        <w:rPr>
          <w:rFonts w:ascii="Times New Roman" w:hAnsi="Times New Roman" w:cs="Times New Roman"/>
          <w:i/>
          <w:iCs/>
          <w:sz w:val="20"/>
          <w:szCs w:val="20"/>
          <w:lang w:val="en-US"/>
        </w:rPr>
        <w:t xml:space="preserve">The American Journal of International Law </w:t>
      </w:r>
      <w:r w:rsidRPr="00FA781A">
        <w:rPr>
          <w:rFonts w:ascii="Times New Roman" w:hAnsi="Times New Roman" w:cs="Times New Roman"/>
          <w:sz w:val="20"/>
          <w:szCs w:val="20"/>
          <w:lang w:val="en-US"/>
        </w:rPr>
        <w:t>460, 462.</w:t>
      </w:r>
    </w:p>
  </w:endnote>
  <w:endnote w:id="28">
    <w:p w14:paraId="78C07AAD"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Olivier and </w:t>
      </w:r>
      <w:proofErr w:type="spellStart"/>
      <w:r w:rsidRPr="00FA781A">
        <w:rPr>
          <w:rFonts w:ascii="Times New Roman" w:hAnsi="Times New Roman" w:cs="Times New Roman"/>
          <w:sz w:val="20"/>
          <w:szCs w:val="20"/>
          <w:lang w:val="en-US"/>
        </w:rPr>
        <w:t>Govindjee</w:t>
      </w:r>
      <w:proofErr w:type="spellEnd"/>
      <w:r w:rsidRPr="00FA781A">
        <w:rPr>
          <w:rFonts w:ascii="Times New Roman" w:hAnsi="Times New Roman" w:cs="Times New Roman"/>
          <w:sz w:val="20"/>
          <w:szCs w:val="20"/>
          <w:lang w:val="en-US"/>
        </w:rPr>
        <w:t xml:space="preserve">, above n </w:t>
      </w:r>
      <w:proofErr w:type="spellStart"/>
      <w:r w:rsidRPr="00FA781A">
        <w:rPr>
          <w:rFonts w:ascii="Times New Roman" w:hAnsi="Times New Roman" w:cs="Times New Roman"/>
          <w:sz w:val="20"/>
          <w:szCs w:val="20"/>
          <w:lang w:val="en-US"/>
        </w:rPr>
        <w:t>2c</w:t>
      </w:r>
      <w:proofErr w:type="spellEnd"/>
      <w:r w:rsidRPr="00FA781A">
        <w:rPr>
          <w:rFonts w:ascii="Times New Roman" w:hAnsi="Times New Roman" w:cs="Times New Roman"/>
          <w:sz w:val="20"/>
          <w:szCs w:val="20"/>
          <w:lang w:val="en-US"/>
        </w:rPr>
        <w:t>, 12.</w:t>
      </w:r>
    </w:p>
  </w:endnote>
  <w:endnote w:id="29">
    <w:p w14:paraId="0B2F3AEF"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United Nations Treaty Collection,  </w:t>
      </w:r>
      <w:r w:rsidRPr="00FA781A">
        <w:rPr>
          <w:rFonts w:ascii="Times New Roman" w:hAnsi="Times New Roman" w:cs="Times New Roman"/>
          <w:i/>
          <w:iCs/>
          <w:sz w:val="20"/>
          <w:szCs w:val="20"/>
          <w:lang w:val="en-US"/>
        </w:rPr>
        <w:t>International Covenant on Economic, Social and Cultural Rights</w:t>
      </w:r>
      <w:r w:rsidRPr="00FA781A">
        <w:rPr>
          <w:rFonts w:ascii="Times New Roman" w:hAnsi="Times New Roman" w:cs="Times New Roman"/>
          <w:sz w:val="20"/>
          <w:szCs w:val="20"/>
          <w:lang w:val="en-US"/>
        </w:rPr>
        <w:t xml:space="preserve"> (20 September 2015) &lt;</w:t>
      </w:r>
      <w:r w:rsidRPr="00FA781A">
        <w:rPr>
          <w:rFonts w:ascii="Times New Roman" w:hAnsi="Times New Roman" w:cs="Times New Roman"/>
          <w:sz w:val="20"/>
          <w:szCs w:val="20"/>
          <w:lang w:val="nl-NL"/>
        </w:rPr>
        <w:t>https://treaties.un.org/Pages/ViewDetails.aspx?src=TREATY&amp;mtdsg_no=IV-3&amp;chapter=4&amp;lang=en</w:t>
      </w:r>
      <w:r w:rsidRPr="00FA781A">
        <w:rPr>
          <w:rFonts w:ascii="Times New Roman" w:hAnsi="Times New Roman" w:cs="Times New Roman"/>
          <w:sz w:val="20"/>
          <w:szCs w:val="20"/>
          <w:lang w:val="en-US"/>
        </w:rPr>
        <w:t>&gt;.</w:t>
      </w:r>
    </w:p>
  </w:endnote>
  <w:endnote w:id="30">
    <w:p w14:paraId="2DF48E82"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i/>
          <w:iCs/>
          <w:sz w:val="20"/>
          <w:szCs w:val="20"/>
          <w:lang w:val="en-US"/>
        </w:rPr>
        <w:t>International Covenant on Economic, Social and Cultural Rights,</w:t>
      </w:r>
      <w:r w:rsidRPr="00FA781A">
        <w:rPr>
          <w:rFonts w:ascii="Times New Roman" w:hAnsi="Times New Roman" w:cs="Times New Roman"/>
          <w:sz w:val="20"/>
          <w:szCs w:val="20"/>
          <w:lang w:val="en-US"/>
        </w:rPr>
        <w:t xml:space="preserve"> GA Res </w:t>
      </w:r>
      <w:proofErr w:type="spellStart"/>
      <w:r w:rsidRPr="00FA781A">
        <w:rPr>
          <w:rFonts w:ascii="Times New Roman" w:hAnsi="Times New Roman" w:cs="Times New Roman"/>
          <w:sz w:val="20"/>
          <w:szCs w:val="20"/>
        </w:rPr>
        <w:t>2200A</w:t>
      </w:r>
      <w:proofErr w:type="spellEnd"/>
      <w:r w:rsidRPr="00FA781A">
        <w:rPr>
          <w:rFonts w:ascii="Times New Roman" w:hAnsi="Times New Roman" w:cs="Times New Roman"/>
          <w:sz w:val="20"/>
          <w:szCs w:val="20"/>
        </w:rPr>
        <w:t xml:space="preserve"> (XXI)</w:t>
      </w:r>
      <w:r w:rsidRPr="00FA781A">
        <w:rPr>
          <w:rFonts w:ascii="Times New Roman" w:hAnsi="Times New Roman" w:cs="Times New Roman"/>
          <w:sz w:val="20"/>
          <w:szCs w:val="20"/>
          <w:lang w:val="en-US"/>
        </w:rPr>
        <w:t xml:space="preserve">, UN </w:t>
      </w:r>
      <w:proofErr w:type="spellStart"/>
      <w:r w:rsidRPr="00FA781A">
        <w:rPr>
          <w:rFonts w:ascii="Times New Roman" w:hAnsi="Times New Roman" w:cs="Times New Roman"/>
          <w:sz w:val="20"/>
          <w:szCs w:val="20"/>
          <w:lang w:val="en-US"/>
        </w:rPr>
        <w:t>GAOR</w:t>
      </w:r>
      <w:proofErr w:type="spellEnd"/>
      <w:r w:rsidRPr="00FA781A">
        <w:rPr>
          <w:rFonts w:ascii="Times New Roman" w:hAnsi="Times New Roman" w:cs="Times New Roman"/>
          <w:sz w:val="20"/>
          <w:szCs w:val="20"/>
          <w:lang w:val="en-US"/>
        </w:rPr>
        <w:t xml:space="preserve">, UN Doc </w:t>
      </w:r>
      <w:r w:rsidRPr="00FA781A">
        <w:rPr>
          <w:rFonts w:ascii="Times New Roman" w:hAnsi="Times New Roman" w:cs="Times New Roman"/>
          <w:sz w:val="20"/>
          <w:szCs w:val="20"/>
        </w:rPr>
        <w:t>A/RES/21/2200</w:t>
      </w:r>
      <w:r w:rsidRPr="00FA781A">
        <w:rPr>
          <w:rFonts w:ascii="Times New Roman" w:hAnsi="Times New Roman" w:cs="Times New Roman"/>
          <w:sz w:val="20"/>
          <w:szCs w:val="20"/>
          <w:lang w:val="en-US"/>
        </w:rPr>
        <w:t xml:space="preserve"> (16 December 1966), art 7.</w:t>
      </w:r>
    </w:p>
  </w:endnote>
  <w:endnote w:id="31">
    <w:p w14:paraId="1A0BE719"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Ibid, art 8.</w:t>
      </w:r>
    </w:p>
  </w:endnote>
  <w:endnote w:id="32">
    <w:p w14:paraId="55AD63B3"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See eg the Committee on the Elimination of Racial Discrimination and the Committee on Economic Social and Cultural Rights in Dewhurst, above n 10, 119; see United Nations Human Rights Committee in Cleveland, above n </w:t>
      </w:r>
      <w:proofErr w:type="spellStart"/>
      <w:r w:rsidRPr="00FA781A">
        <w:rPr>
          <w:rFonts w:ascii="Times New Roman" w:hAnsi="Times New Roman" w:cs="Times New Roman"/>
          <w:sz w:val="20"/>
          <w:szCs w:val="20"/>
          <w:lang w:val="en-US"/>
        </w:rPr>
        <w:t>28b</w:t>
      </w:r>
      <w:proofErr w:type="spellEnd"/>
      <w:r w:rsidRPr="00FA781A">
        <w:rPr>
          <w:rFonts w:ascii="Times New Roman" w:hAnsi="Times New Roman" w:cs="Times New Roman"/>
          <w:sz w:val="20"/>
          <w:szCs w:val="20"/>
          <w:lang w:val="en-US"/>
        </w:rPr>
        <w:t>, 462.</w:t>
      </w:r>
    </w:p>
  </w:endnote>
  <w:endnote w:id="33">
    <w:p w14:paraId="77D6BE03"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Laurie Berg quoted in Riches, above n 1, 68.</w:t>
      </w:r>
    </w:p>
  </w:endnote>
  <w:endnote w:id="34">
    <w:p w14:paraId="04448031"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i/>
          <w:iCs/>
          <w:sz w:val="20"/>
          <w:szCs w:val="20"/>
          <w:lang w:val="en-US"/>
        </w:rPr>
        <w:t>International Convention on the Protection of the Rights of All Migrant Workers and Members of Their Families,</w:t>
      </w:r>
      <w:r w:rsidRPr="00FA781A">
        <w:rPr>
          <w:rFonts w:ascii="Times New Roman" w:hAnsi="Times New Roman" w:cs="Times New Roman"/>
          <w:sz w:val="20"/>
          <w:szCs w:val="20"/>
          <w:lang w:val="en-US"/>
        </w:rPr>
        <w:t xml:space="preserve"> GA Res </w:t>
      </w:r>
      <w:r w:rsidRPr="00FA781A">
        <w:rPr>
          <w:rFonts w:ascii="Times New Roman" w:hAnsi="Times New Roman" w:cs="Times New Roman"/>
          <w:sz w:val="20"/>
          <w:szCs w:val="20"/>
        </w:rPr>
        <w:t>45/158</w:t>
      </w:r>
      <w:r w:rsidRPr="00FA781A">
        <w:rPr>
          <w:rFonts w:ascii="Times New Roman" w:hAnsi="Times New Roman" w:cs="Times New Roman"/>
          <w:sz w:val="20"/>
          <w:szCs w:val="20"/>
          <w:lang w:val="en-US"/>
        </w:rPr>
        <w:t xml:space="preserve">, UN </w:t>
      </w:r>
      <w:proofErr w:type="spellStart"/>
      <w:r w:rsidRPr="00FA781A">
        <w:rPr>
          <w:rFonts w:ascii="Times New Roman" w:hAnsi="Times New Roman" w:cs="Times New Roman"/>
          <w:sz w:val="20"/>
          <w:szCs w:val="20"/>
          <w:lang w:val="en-US"/>
        </w:rPr>
        <w:t>GAOR</w:t>
      </w:r>
      <w:proofErr w:type="spellEnd"/>
      <w:r w:rsidRPr="00FA781A">
        <w:rPr>
          <w:rFonts w:ascii="Times New Roman" w:hAnsi="Times New Roman" w:cs="Times New Roman"/>
          <w:sz w:val="20"/>
          <w:szCs w:val="20"/>
          <w:lang w:val="en-US"/>
        </w:rPr>
        <w:t xml:space="preserve">, 69th </w:t>
      </w:r>
      <w:proofErr w:type="spellStart"/>
      <w:r w:rsidRPr="00FA781A">
        <w:rPr>
          <w:rFonts w:ascii="Times New Roman" w:hAnsi="Times New Roman" w:cs="Times New Roman"/>
          <w:sz w:val="20"/>
          <w:szCs w:val="20"/>
          <w:lang w:val="en-US"/>
        </w:rPr>
        <w:t>plen</w:t>
      </w:r>
      <w:proofErr w:type="spellEnd"/>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en-US"/>
        </w:rPr>
        <w:t>mtg</w:t>
      </w:r>
      <w:proofErr w:type="spellEnd"/>
      <w:r w:rsidRPr="00FA781A">
        <w:rPr>
          <w:rFonts w:ascii="Times New Roman" w:hAnsi="Times New Roman" w:cs="Times New Roman"/>
          <w:sz w:val="20"/>
          <w:szCs w:val="20"/>
          <w:lang w:val="en-US"/>
        </w:rPr>
        <w:t>, (18 December 1990) art 25(3).</w:t>
      </w:r>
    </w:p>
  </w:endnote>
  <w:endnote w:id="35">
    <w:p w14:paraId="52F67818"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Productivity Commission, above n </w:t>
      </w:r>
      <w:proofErr w:type="spellStart"/>
      <w:r w:rsidRPr="00FA781A">
        <w:rPr>
          <w:rFonts w:ascii="Times New Roman" w:hAnsi="Times New Roman" w:cs="Times New Roman"/>
          <w:sz w:val="20"/>
          <w:szCs w:val="20"/>
          <w:lang w:val="en-US"/>
        </w:rPr>
        <w:t>2a</w:t>
      </w:r>
      <w:proofErr w:type="spellEnd"/>
      <w:r w:rsidRPr="00FA781A">
        <w:rPr>
          <w:rFonts w:ascii="Times New Roman" w:hAnsi="Times New Roman" w:cs="Times New Roman"/>
          <w:sz w:val="20"/>
          <w:szCs w:val="20"/>
          <w:lang w:val="en-US"/>
        </w:rPr>
        <w:t>, 762.</w:t>
      </w:r>
    </w:p>
  </w:endnote>
  <w:endnote w:id="36">
    <w:p w14:paraId="546A1592"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i/>
          <w:iCs/>
          <w:sz w:val="20"/>
          <w:szCs w:val="20"/>
          <w:lang w:val="en-US"/>
        </w:rPr>
        <w:t xml:space="preserve"> Juridical Condition and Rights of the Undocumented Migrants (Advisory Opinion)</w:t>
      </w:r>
      <w:r w:rsidRPr="00FA781A">
        <w:rPr>
          <w:rFonts w:ascii="Times New Roman" w:hAnsi="Times New Roman" w:cs="Times New Roman"/>
          <w:i/>
          <w:iCs/>
          <w:sz w:val="20"/>
          <w:szCs w:val="20"/>
        </w:rPr>
        <w:t xml:space="preserve"> </w:t>
      </w:r>
      <w:r w:rsidRPr="00FA781A">
        <w:rPr>
          <w:rFonts w:ascii="Times New Roman" w:hAnsi="Times New Roman" w:cs="Times New Roman"/>
          <w:sz w:val="20"/>
          <w:szCs w:val="20"/>
          <w:lang w:val="en-US"/>
        </w:rPr>
        <w:t xml:space="preserve">[2013] </w:t>
      </w:r>
      <w:r w:rsidRPr="00FA781A">
        <w:rPr>
          <w:rFonts w:ascii="Times New Roman" w:hAnsi="Times New Roman" w:cs="Times New Roman"/>
          <w:sz w:val="20"/>
          <w:szCs w:val="20"/>
        </w:rPr>
        <w:t xml:space="preserve">Inter-Am Ct </w:t>
      </w:r>
      <w:proofErr w:type="spellStart"/>
      <w:r w:rsidRPr="00FA781A">
        <w:rPr>
          <w:rFonts w:ascii="Times New Roman" w:hAnsi="Times New Roman" w:cs="Times New Roman"/>
          <w:sz w:val="20"/>
          <w:szCs w:val="20"/>
        </w:rPr>
        <w:t>HR</w:t>
      </w:r>
      <w:proofErr w:type="spellEnd"/>
      <w:r w:rsidRPr="00FA781A">
        <w:rPr>
          <w:rFonts w:ascii="Times New Roman" w:hAnsi="Times New Roman" w:cs="Times New Roman"/>
          <w:sz w:val="20"/>
          <w:szCs w:val="20"/>
          <w:lang w:val="en-US"/>
        </w:rPr>
        <w:t xml:space="preserve"> </w:t>
      </w:r>
      <w:r w:rsidRPr="00FA781A">
        <w:rPr>
          <w:rFonts w:ascii="Times New Roman" w:hAnsi="Times New Roman" w:cs="Times New Roman"/>
          <w:sz w:val="20"/>
          <w:szCs w:val="20"/>
        </w:rPr>
        <w:t>OC- 18/03</w:t>
      </w:r>
      <w:r>
        <w:rPr>
          <w:rFonts w:ascii="Times New Roman" w:hAnsi="Times New Roman" w:cs="Times New Roman"/>
          <w:sz w:val="20"/>
          <w:szCs w:val="20"/>
          <w:lang w:val="en-US"/>
        </w:rPr>
        <w:t>.</w:t>
      </w:r>
    </w:p>
  </w:endnote>
  <w:endnote w:id="37">
    <w:p w14:paraId="04CA6E9D"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i/>
          <w:iCs/>
          <w:sz w:val="20"/>
          <w:szCs w:val="20"/>
          <w:lang w:val="en-US"/>
        </w:rPr>
        <w:t xml:space="preserve"> </w:t>
      </w:r>
      <w:r>
        <w:rPr>
          <w:rFonts w:ascii="Times New Roman" w:hAnsi="Times New Roman" w:cs="Times New Roman"/>
          <w:iCs/>
          <w:sz w:val="20"/>
          <w:szCs w:val="20"/>
          <w:lang w:val="en-US"/>
        </w:rPr>
        <w:t xml:space="preserve">Ibid </w:t>
      </w:r>
      <w:r w:rsidRPr="00FA781A">
        <w:rPr>
          <w:rFonts w:ascii="Times New Roman" w:hAnsi="Times New Roman" w:cs="Times New Roman"/>
          <w:sz w:val="20"/>
          <w:szCs w:val="20"/>
          <w:lang w:val="en-US"/>
        </w:rPr>
        <w:t>[134].</w:t>
      </w:r>
    </w:p>
  </w:endnote>
  <w:endnote w:id="38">
    <w:p w14:paraId="65023814" w14:textId="77777777" w:rsidR="00B77C6C" w:rsidRPr="001744AA" w:rsidRDefault="00B77C6C" w:rsidP="001744AA">
      <w:pPr>
        <w:rPr>
          <w:rFonts w:ascii="Times" w:eastAsia="Times New Roman" w:hAnsi="Times"/>
          <w:sz w:val="16"/>
          <w:szCs w:val="20"/>
          <w:bdr w:val="none" w:sz="0" w:space="0" w:color="auto"/>
          <w:lang w:val="en-AU"/>
        </w:rPr>
      </w:pPr>
      <w:r w:rsidRPr="001744AA">
        <w:rPr>
          <w:rStyle w:val="EndnoteReference"/>
          <w:sz w:val="20"/>
        </w:rPr>
        <w:endnoteRef/>
      </w:r>
      <w:r w:rsidRPr="001744AA">
        <w:rPr>
          <w:sz w:val="20"/>
        </w:rPr>
        <w:t xml:space="preserve"> </w:t>
      </w:r>
      <w:r w:rsidRPr="001744AA">
        <w:rPr>
          <w:i/>
          <w:sz w:val="20"/>
        </w:rPr>
        <w:t xml:space="preserve">Jus </w:t>
      </w:r>
      <w:proofErr w:type="spellStart"/>
      <w:r w:rsidRPr="001744AA">
        <w:rPr>
          <w:i/>
          <w:sz w:val="20"/>
        </w:rPr>
        <w:t>cogens</w:t>
      </w:r>
      <w:proofErr w:type="spellEnd"/>
      <w:r w:rsidRPr="001744AA">
        <w:rPr>
          <w:sz w:val="20"/>
        </w:rPr>
        <w:t xml:space="preserve">: </w:t>
      </w:r>
      <w:r w:rsidRPr="001744AA">
        <w:rPr>
          <w:rFonts w:eastAsia="Times New Roman"/>
          <w:color w:val="222222"/>
          <w:sz w:val="20"/>
          <w:bdr w:val="none" w:sz="0" w:space="0" w:color="auto"/>
          <w:shd w:val="clear" w:color="auto" w:fill="FFFFFF"/>
          <w:lang w:val="en-AU"/>
        </w:rPr>
        <w:t>certain fundamental, overriding principles of international law, from which no derogation is ever permitted</w:t>
      </w:r>
      <w:r>
        <w:rPr>
          <w:rFonts w:eastAsia="Times New Roman"/>
          <w:color w:val="222222"/>
          <w:sz w:val="20"/>
          <w:bdr w:val="none" w:sz="0" w:space="0" w:color="auto"/>
          <w:shd w:val="clear" w:color="auto" w:fill="FFFFFF"/>
          <w:lang w:val="en-AU"/>
        </w:rPr>
        <w:t>.</w:t>
      </w:r>
    </w:p>
  </w:endnote>
  <w:endnote w:id="39">
    <w:p w14:paraId="212E3634"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Cleveland, above n </w:t>
      </w:r>
      <w:proofErr w:type="spellStart"/>
      <w:r w:rsidRPr="00FA781A">
        <w:rPr>
          <w:rFonts w:ascii="Times New Roman" w:hAnsi="Times New Roman" w:cs="Times New Roman"/>
          <w:sz w:val="20"/>
          <w:szCs w:val="20"/>
          <w:lang w:val="en-US"/>
        </w:rPr>
        <w:t>28b</w:t>
      </w:r>
      <w:proofErr w:type="spellEnd"/>
      <w:r w:rsidRPr="00FA781A">
        <w:rPr>
          <w:rFonts w:ascii="Times New Roman" w:hAnsi="Times New Roman" w:cs="Times New Roman"/>
          <w:sz w:val="20"/>
          <w:szCs w:val="20"/>
          <w:lang w:val="en-US"/>
        </w:rPr>
        <w:t>, 461.</w:t>
      </w:r>
    </w:p>
  </w:endnote>
  <w:endnote w:id="40">
    <w:p w14:paraId="04E221B1"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proofErr w:type="spellStart"/>
      <w:r w:rsidRPr="00FA781A">
        <w:rPr>
          <w:rFonts w:ascii="Times New Roman" w:hAnsi="Times New Roman" w:cs="Times New Roman"/>
          <w:sz w:val="20"/>
          <w:szCs w:val="20"/>
          <w:lang w:val="en-US"/>
        </w:rPr>
        <w:t>Clibborn</w:t>
      </w:r>
      <w:proofErr w:type="spellEnd"/>
      <w:r w:rsidRPr="00FA781A">
        <w:rPr>
          <w:rFonts w:ascii="Times New Roman" w:hAnsi="Times New Roman" w:cs="Times New Roman"/>
          <w:sz w:val="20"/>
          <w:szCs w:val="20"/>
          <w:lang w:val="en-US"/>
        </w:rPr>
        <w:t xml:space="preserve">, above n </w:t>
      </w:r>
      <w:proofErr w:type="spellStart"/>
      <w:r w:rsidRPr="00FA781A">
        <w:rPr>
          <w:rFonts w:ascii="Times New Roman" w:hAnsi="Times New Roman" w:cs="Times New Roman"/>
          <w:sz w:val="20"/>
          <w:szCs w:val="20"/>
          <w:lang w:val="en-US"/>
        </w:rPr>
        <w:t>2b</w:t>
      </w:r>
      <w:proofErr w:type="spellEnd"/>
      <w:r w:rsidRPr="00FA781A">
        <w:rPr>
          <w:rFonts w:ascii="Times New Roman" w:hAnsi="Times New Roman" w:cs="Times New Roman"/>
          <w:sz w:val="20"/>
          <w:szCs w:val="20"/>
          <w:lang w:val="en-US"/>
        </w:rPr>
        <w:t>, 5.</w:t>
      </w:r>
    </w:p>
  </w:endnote>
  <w:endnote w:id="41">
    <w:p w14:paraId="72332AA3"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Quoted in </w:t>
      </w:r>
      <w:proofErr w:type="spellStart"/>
      <w:r w:rsidRPr="00FA781A">
        <w:rPr>
          <w:rFonts w:ascii="Times New Roman" w:hAnsi="Times New Roman" w:cs="Times New Roman"/>
          <w:sz w:val="20"/>
          <w:szCs w:val="20"/>
          <w:lang w:val="en-US"/>
        </w:rPr>
        <w:t>Clibborn</w:t>
      </w:r>
      <w:proofErr w:type="spellEnd"/>
      <w:r w:rsidRPr="00FA781A">
        <w:rPr>
          <w:rFonts w:ascii="Times New Roman" w:hAnsi="Times New Roman" w:cs="Times New Roman"/>
          <w:sz w:val="20"/>
          <w:szCs w:val="20"/>
          <w:lang w:val="en-US"/>
        </w:rPr>
        <w:t xml:space="preserve">, above n </w:t>
      </w:r>
      <w:proofErr w:type="spellStart"/>
      <w:r w:rsidRPr="00FA781A">
        <w:rPr>
          <w:rFonts w:ascii="Times New Roman" w:hAnsi="Times New Roman" w:cs="Times New Roman"/>
          <w:sz w:val="20"/>
          <w:szCs w:val="20"/>
          <w:lang w:val="en-US"/>
        </w:rPr>
        <w:t>2b</w:t>
      </w:r>
      <w:proofErr w:type="spellEnd"/>
      <w:r w:rsidRPr="00FA781A">
        <w:rPr>
          <w:rFonts w:ascii="Times New Roman" w:hAnsi="Times New Roman" w:cs="Times New Roman"/>
          <w:sz w:val="20"/>
          <w:szCs w:val="20"/>
          <w:lang w:val="en-US"/>
        </w:rPr>
        <w:t>, 3.</w:t>
      </w:r>
    </w:p>
  </w:endnote>
  <w:endnote w:id="42">
    <w:p w14:paraId="2FF796EB"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Dewhurst, above n 10, 103, 108; see also Stephen </w:t>
      </w:r>
      <w:proofErr w:type="spellStart"/>
      <w:r w:rsidRPr="00FA781A">
        <w:rPr>
          <w:rFonts w:ascii="Times New Roman" w:hAnsi="Times New Roman" w:cs="Times New Roman"/>
          <w:sz w:val="20"/>
          <w:szCs w:val="20"/>
          <w:lang w:val="en-US"/>
        </w:rPr>
        <w:t>Clibborn</w:t>
      </w:r>
      <w:proofErr w:type="spellEnd"/>
      <w:r w:rsidRPr="00FA781A">
        <w:rPr>
          <w:rFonts w:ascii="Times New Roman" w:hAnsi="Times New Roman" w:cs="Times New Roman"/>
          <w:sz w:val="20"/>
          <w:szCs w:val="20"/>
          <w:lang w:val="en-US"/>
        </w:rPr>
        <w:t xml:space="preserve"> quoted in Jane Lee,</w:t>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Migrant workers' unpaid wages should go to government: Productivity </w:t>
      </w:r>
      <w:r w:rsidRPr="00FA781A">
        <w:rPr>
          <w:rFonts w:ascii="Times New Roman" w:hAnsi="Times New Roman" w:cs="Times New Roman"/>
          <w:sz w:val="20"/>
          <w:szCs w:val="20"/>
        </w:rPr>
        <w:t>Commission</w:t>
      </w:r>
      <w:r w:rsidRPr="00FA781A">
        <w:rPr>
          <w:rFonts w:ascii="Times New Roman" w:hAnsi="Times New Roman" w:cs="Times New Roman"/>
          <w:sz w:val="20"/>
          <w:szCs w:val="20"/>
          <w:lang w:val="fr-FR"/>
        </w:rPr>
        <w:t xml:space="preserve">’ </w:t>
      </w:r>
      <w:r w:rsidRPr="00FA781A">
        <w:rPr>
          <w:rFonts w:ascii="Times New Roman" w:hAnsi="Times New Roman" w:cs="Times New Roman"/>
          <w:i/>
          <w:iCs/>
          <w:sz w:val="20"/>
          <w:szCs w:val="20"/>
          <w:lang w:val="da-DK"/>
        </w:rPr>
        <w:t>Sydney Morning Herald</w:t>
      </w:r>
      <w:r w:rsidRPr="00FA781A">
        <w:rPr>
          <w:rFonts w:ascii="Times New Roman" w:hAnsi="Times New Roman" w:cs="Times New Roman"/>
          <w:sz w:val="20"/>
          <w:szCs w:val="20"/>
        </w:rPr>
        <w:t xml:space="preserve"> (online) 5 August 2015</w:t>
      </w:r>
      <w:r w:rsidRPr="00FA781A">
        <w:rPr>
          <w:rFonts w:ascii="Times New Roman" w:hAnsi="Times New Roman" w:cs="Times New Roman"/>
          <w:i/>
          <w:iCs/>
          <w:sz w:val="20"/>
          <w:szCs w:val="20"/>
        </w:rPr>
        <w:t xml:space="preserve"> </w:t>
      </w:r>
      <w:r w:rsidRPr="00FA781A">
        <w:rPr>
          <w:rFonts w:ascii="Times New Roman" w:hAnsi="Times New Roman" w:cs="Times New Roman"/>
          <w:sz w:val="20"/>
          <w:szCs w:val="20"/>
        </w:rPr>
        <w:t xml:space="preserve"> </w:t>
      </w:r>
      <w:r w:rsidRPr="00FC3A01">
        <w:rPr>
          <w:rFonts w:ascii="Times New Roman" w:hAnsi="Times New Roman" w:cs="Times New Roman"/>
          <w:sz w:val="20"/>
          <w:szCs w:val="20"/>
        </w:rPr>
        <w:t>&lt;</w:t>
      </w:r>
      <w:r w:rsidRPr="00B77C6C">
        <w:rPr>
          <w:rStyle w:val="Hyperlink0"/>
          <w:rFonts w:ascii="Times New Roman" w:hAnsi="Times New Roman" w:cs="Times New Roman"/>
          <w:color w:val="auto"/>
          <w:sz w:val="20"/>
          <w:szCs w:val="20"/>
          <w:u w:val="none"/>
          <w:lang w:val="en-US"/>
        </w:rPr>
        <w:t>http://www.smh.com.au/federal-politics/political-news/migrant-workers-unpaid-wages-should-go-to-government-productivity-commission-20150805-gisbf2.html</w:t>
      </w:r>
      <w:r w:rsidRPr="00FC3A01">
        <w:rPr>
          <w:rFonts w:ascii="Times New Roman" w:hAnsi="Times New Roman" w:cs="Times New Roman"/>
          <w:sz w:val="20"/>
          <w:szCs w:val="20"/>
        </w:rPr>
        <w:t>&gt;</w:t>
      </w:r>
    </w:p>
  </w:endnote>
  <w:endnote w:id="43">
    <w:p w14:paraId="486577D5"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i/>
          <w:iCs/>
          <w:sz w:val="20"/>
          <w:szCs w:val="20"/>
          <w:lang w:val="en-US"/>
        </w:rPr>
        <w:t>Council Directive 2009/52/EC of 18 June 2009 on Employer Sanctions</w:t>
      </w:r>
      <w:r w:rsidRPr="00FA781A">
        <w:rPr>
          <w:rFonts w:ascii="Times New Roman" w:hAnsi="Times New Roman" w:cs="Times New Roman"/>
          <w:sz w:val="20"/>
          <w:szCs w:val="20"/>
          <w:lang w:val="en-US"/>
        </w:rPr>
        <w:t xml:space="preserve">, (2009) </w:t>
      </w:r>
      <w:proofErr w:type="spellStart"/>
      <w:r w:rsidRPr="00FA781A">
        <w:rPr>
          <w:rFonts w:ascii="Times New Roman" w:hAnsi="Times New Roman" w:cs="Times New Roman"/>
          <w:sz w:val="20"/>
          <w:szCs w:val="20"/>
          <w:lang w:val="en-US"/>
        </w:rPr>
        <w:t>OJ</w:t>
      </w:r>
      <w:proofErr w:type="spellEnd"/>
      <w:r w:rsidRPr="00FA781A">
        <w:rPr>
          <w:rFonts w:ascii="Times New Roman" w:hAnsi="Times New Roman" w:cs="Times New Roman"/>
          <w:sz w:val="20"/>
          <w:szCs w:val="20"/>
          <w:lang w:val="en-US"/>
        </w:rPr>
        <w:t xml:space="preserve"> L 168/24, art 6; see Dewhurst, above n 10, 102.</w:t>
      </w:r>
    </w:p>
  </w:endnote>
  <w:endnote w:id="44">
    <w:p w14:paraId="77B304A3"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proofErr w:type="spellStart"/>
      <w:r w:rsidRPr="00FA781A">
        <w:rPr>
          <w:rFonts w:ascii="Times New Roman" w:hAnsi="Times New Roman" w:cs="Times New Roman"/>
          <w:sz w:val="20"/>
          <w:szCs w:val="20"/>
          <w:lang w:val="en-US"/>
        </w:rPr>
        <w:t>Carens</w:t>
      </w:r>
      <w:proofErr w:type="spellEnd"/>
      <w:r w:rsidRPr="00FA781A">
        <w:rPr>
          <w:rFonts w:ascii="Times New Roman" w:hAnsi="Times New Roman" w:cs="Times New Roman"/>
          <w:sz w:val="20"/>
          <w:szCs w:val="20"/>
          <w:lang w:val="en-US"/>
        </w:rPr>
        <w:t>, above n 6, 174.</w:t>
      </w:r>
    </w:p>
  </w:endnote>
  <w:endnote w:id="45">
    <w:p w14:paraId="29C5CE63"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Ibid, 163-4.</w:t>
      </w:r>
    </w:p>
  </w:endnote>
  <w:endnote w:id="46">
    <w:p w14:paraId="248B7878"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See </w:t>
      </w:r>
      <w:proofErr w:type="spellStart"/>
      <w:r w:rsidRPr="00FA781A">
        <w:rPr>
          <w:rFonts w:ascii="Times New Roman" w:hAnsi="Times New Roman" w:cs="Times New Roman"/>
          <w:sz w:val="20"/>
          <w:szCs w:val="20"/>
          <w:lang w:val="en-US"/>
        </w:rPr>
        <w:t>Clibborn</w:t>
      </w:r>
      <w:proofErr w:type="spellEnd"/>
      <w:r w:rsidRPr="00FA781A">
        <w:rPr>
          <w:rFonts w:ascii="Times New Roman" w:hAnsi="Times New Roman" w:cs="Times New Roman"/>
          <w:sz w:val="20"/>
          <w:szCs w:val="20"/>
          <w:lang w:val="en-US"/>
        </w:rPr>
        <w:t xml:space="preserve">, above n </w:t>
      </w:r>
      <w:proofErr w:type="spellStart"/>
      <w:r w:rsidRPr="00FA781A">
        <w:rPr>
          <w:rFonts w:ascii="Times New Roman" w:hAnsi="Times New Roman" w:cs="Times New Roman"/>
          <w:sz w:val="20"/>
          <w:szCs w:val="20"/>
          <w:lang w:val="en-US"/>
        </w:rPr>
        <w:t>2b</w:t>
      </w:r>
      <w:proofErr w:type="spellEnd"/>
      <w:r w:rsidRPr="00FA781A">
        <w:rPr>
          <w:rFonts w:ascii="Times New Roman" w:hAnsi="Times New Roman" w:cs="Times New Roman"/>
          <w:sz w:val="20"/>
          <w:szCs w:val="20"/>
          <w:lang w:val="en-US"/>
        </w:rPr>
        <w:t>, 4; Mary Crock, Sean Howe, Ron McCallum</w:t>
      </w:r>
      <w:r w:rsidRPr="00FA781A">
        <w:rPr>
          <w:rFonts w:ascii="Times New Roman" w:hAnsi="Times New Roman" w:cs="Times New Roman"/>
          <w:i/>
          <w:iCs/>
          <w:sz w:val="20"/>
          <w:szCs w:val="20"/>
        </w:rPr>
        <w:t xml:space="preserve"> </w:t>
      </w:r>
      <w:r w:rsidRPr="00FA781A">
        <w:rPr>
          <w:rFonts w:ascii="Times New Roman" w:hAnsi="Times New Roman" w:cs="Times New Roman"/>
          <w:sz w:val="20"/>
          <w:szCs w:val="20"/>
        </w:rPr>
        <w:t>‘</w:t>
      </w:r>
      <w:r w:rsidRPr="00FA781A">
        <w:rPr>
          <w:rFonts w:ascii="Times New Roman" w:hAnsi="Times New Roman" w:cs="Times New Roman"/>
          <w:sz w:val="20"/>
          <w:szCs w:val="20"/>
          <w:lang w:val="en-US"/>
        </w:rPr>
        <w:t>Conflicted priorities? Enforcing fairness for temporary migrant workers in Australia</w:t>
      </w:r>
      <w:r w:rsidRPr="00FA781A">
        <w:rPr>
          <w:rFonts w:ascii="Times New Roman" w:hAnsi="Times New Roman" w:cs="Times New Roman"/>
          <w:sz w:val="20"/>
          <w:szCs w:val="20"/>
          <w:lang w:val="fr-FR"/>
        </w:rPr>
        <w:t xml:space="preserve">’ </w:t>
      </w:r>
      <w:r w:rsidRPr="00FA781A">
        <w:rPr>
          <w:rFonts w:ascii="Times New Roman" w:hAnsi="Times New Roman" w:cs="Times New Roman"/>
          <w:sz w:val="20"/>
          <w:szCs w:val="20"/>
          <w:lang w:val="en-US"/>
        </w:rPr>
        <w:t xml:space="preserve">in </w:t>
      </w:r>
      <w:proofErr w:type="spellStart"/>
      <w:r w:rsidRPr="00FA781A">
        <w:rPr>
          <w:rFonts w:ascii="Times New Roman" w:hAnsi="Times New Roman" w:cs="Times New Roman"/>
          <w:sz w:val="20"/>
          <w:szCs w:val="20"/>
          <w:lang w:val="en-US"/>
        </w:rPr>
        <w:t>Cathryn</w:t>
      </w:r>
      <w:proofErr w:type="spellEnd"/>
      <w:r w:rsidRPr="00FA781A">
        <w:rPr>
          <w:rFonts w:ascii="Times New Roman" w:hAnsi="Times New Roman" w:cs="Times New Roman"/>
          <w:sz w:val="20"/>
          <w:szCs w:val="20"/>
          <w:lang w:val="en-US"/>
        </w:rPr>
        <w:t xml:space="preserve"> Costello, Mark </w:t>
      </w:r>
      <w:proofErr w:type="spellStart"/>
      <w:r w:rsidRPr="00FA781A">
        <w:rPr>
          <w:rFonts w:ascii="Times New Roman" w:hAnsi="Times New Roman" w:cs="Times New Roman"/>
          <w:sz w:val="20"/>
          <w:szCs w:val="20"/>
          <w:lang w:val="en-US"/>
        </w:rPr>
        <w:t>Freedland</w:t>
      </w:r>
      <w:proofErr w:type="spellEnd"/>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en-US"/>
        </w:rPr>
        <w:t>eds</w:t>
      </w:r>
      <w:proofErr w:type="spellEnd"/>
      <w:r w:rsidRPr="00FA781A">
        <w:rPr>
          <w:rFonts w:ascii="Times New Roman" w:hAnsi="Times New Roman" w:cs="Times New Roman"/>
          <w:sz w:val="20"/>
          <w:szCs w:val="20"/>
          <w:lang w:val="en-US"/>
        </w:rPr>
        <w:t xml:space="preserve">), </w:t>
      </w:r>
      <w:r w:rsidRPr="00FA781A">
        <w:rPr>
          <w:rFonts w:ascii="Times New Roman" w:hAnsi="Times New Roman" w:cs="Times New Roman"/>
          <w:i/>
          <w:iCs/>
          <w:sz w:val="20"/>
          <w:szCs w:val="20"/>
          <w:lang w:val="en-US"/>
        </w:rPr>
        <w:t xml:space="preserve">Migrants at Work: Immigration and Vulnerability in </w:t>
      </w:r>
      <w:proofErr w:type="spellStart"/>
      <w:r w:rsidRPr="00FA781A">
        <w:rPr>
          <w:rFonts w:ascii="Times New Roman" w:hAnsi="Times New Roman" w:cs="Times New Roman"/>
          <w:i/>
          <w:iCs/>
          <w:sz w:val="20"/>
          <w:szCs w:val="20"/>
          <w:lang w:val="en-US"/>
        </w:rPr>
        <w:t>Labour</w:t>
      </w:r>
      <w:proofErr w:type="spellEnd"/>
      <w:r w:rsidRPr="00FA781A">
        <w:rPr>
          <w:rFonts w:ascii="Times New Roman" w:hAnsi="Times New Roman" w:cs="Times New Roman"/>
          <w:i/>
          <w:iCs/>
          <w:sz w:val="20"/>
          <w:szCs w:val="20"/>
          <w:lang w:val="en-US"/>
        </w:rPr>
        <w:t xml:space="preserve"> Law </w:t>
      </w:r>
      <w:r w:rsidRPr="00FA781A">
        <w:rPr>
          <w:rFonts w:ascii="Times New Roman" w:hAnsi="Times New Roman" w:cs="Times New Roman"/>
          <w:sz w:val="20"/>
          <w:szCs w:val="20"/>
          <w:lang w:val="en-US"/>
        </w:rPr>
        <w:t>(Oxford University Press, 2014) 422, 425.</w:t>
      </w:r>
    </w:p>
  </w:endnote>
  <w:endnote w:id="47">
    <w:p w14:paraId="15995888"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Berg, above n </w:t>
      </w:r>
      <w:proofErr w:type="spellStart"/>
      <w:r w:rsidRPr="00FA781A">
        <w:rPr>
          <w:rFonts w:ascii="Times New Roman" w:hAnsi="Times New Roman" w:cs="Times New Roman"/>
          <w:sz w:val="20"/>
          <w:szCs w:val="20"/>
          <w:lang w:val="en-US"/>
        </w:rPr>
        <w:t>3c</w:t>
      </w:r>
      <w:proofErr w:type="spellEnd"/>
      <w:r w:rsidRPr="00FA781A">
        <w:rPr>
          <w:rFonts w:ascii="Times New Roman" w:hAnsi="Times New Roman" w:cs="Times New Roman"/>
          <w:sz w:val="20"/>
          <w:szCs w:val="20"/>
          <w:lang w:val="en-US"/>
        </w:rPr>
        <w:t xml:space="preserve">, 193; Stewart, above n </w:t>
      </w:r>
      <w:proofErr w:type="spellStart"/>
      <w:r w:rsidRPr="00FA781A">
        <w:rPr>
          <w:rFonts w:ascii="Times New Roman" w:hAnsi="Times New Roman" w:cs="Times New Roman"/>
          <w:sz w:val="20"/>
          <w:szCs w:val="20"/>
          <w:lang w:val="en-US"/>
        </w:rPr>
        <w:t>14b</w:t>
      </w:r>
      <w:proofErr w:type="spellEnd"/>
      <w:r w:rsidRPr="00FA781A">
        <w:rPr>
          <w:rFonts w:ascii="Times New Roman" w:hAnsi="Times New Roman" w:cs="Times New Roman"/>
          <w:sz w:val="20"/>
          <w:szCs w:val="20"/>
          <w:lang w:val="en-US"/>
        </w:rPr>
        <w:t>, [5.17].</w:t>
      </w:r>
    </w:p>
  </w:endnote>
  <w:endnote w:id="48">
    <w:p w14:paraId="36E61114"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i/>
          <w:iCs/>
          <w:sz w:val="20"/>
          <w:szCs w:val="20"/>
          <w:lang w:val="en-US"/>
        </w:rPr>
        <w:t xml:space="preserve">Australian Constitution </w:t>
      </w:r>
      <w:r w:rsidRPr="00FA781A">
        <w:rPr>
          <w:rFonts w:ascii="Times New Roman" w:hAnsi="Times New Roman" w:cs="Times New Roman"/>
          <w:sz w:val="20"/>
          <w:szCs w:val="20"/>
          <w:lang w:val="en-US"/>
        </w:rPr>
        <w:t>s 51(xxvii).</w:t>
      </w:r>
    </w:p>
  </w:endnote>
  <w:endnote w:id="49">
    <w:p w14:paraId="332A0488"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See, eg, </w:t>
      </w:r>
      <w:r w:rsidRPr="00FA781A">
        <w:rPr>
          <w:rFonts w:ascii="Times New Roman" w:hAnsi="Times New Roman" w:cs="Times New Roman"/>
          <w:i/>
          <w:iCs/>
          <w:sz w:val="20"/>
          <w:szCs w:val="20"/>
          <w:lang w:val="en-US"/>
        </w:rPr>
        <w:t xml:space="preserve">Australian Constitution </w:t>
      </w:r>
      <w:r w:rsidRPr="00FA781A">
        <w:rPr>
          <w:rFonts w:ascii="Times New Roman" w:hAnsi="Times New Roman" w:cs="Times New Roman"/>
          <w:sz w:val="20"/>
          <w:szCs w:val="20"/>
          <w:lang w:val="en-US"/>
        </w:rPr>
        <w:t xml:space="preserve">s 51(xxxv). </w:t>
      </w:r>
    </w:p>
  </w:endnote>
  <w:endnote w:id="50">
    <w:p w14:paraId="6DFCAE32"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Reilly, above n 5, 182.</w:t>
      </w:r>
    </w:p>
  </w:endnote>
  <w:endnote w:id="51">
    <w:p w14:paraId="11B3975F" w14:textId="77777777" w:rsidR="00B77C6C" w:rsidRPr="00FA781A" w:rsidRDefault="00B77C6C" w:rsidP="004D51A4">
      <w:pPr>
        <w:pStyle w:val="Footnote"/>
        <w:tabs>
          <w:tab w:val="left" w:pos="4111"/>
        </w:tabs>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Crock et al, above n </w:t>
      </w:r>
      <w:proofErr w:type="spellStart"/>
      <w:r w:rsidRPr="00FA781A">
        <w:rPr>
          <w:rFonts w:ascii="Times New Roman" w:hAnsi="Times New Roman" w:cs="Times New Roman"/>
          <w:sz w:val="20"/>
          <w:szCs w:val="20"/>
          <w:lang w:val="en-US"/>
        </w:rPr>
        <w:t>46b</w:t>
      </w:r>
      <w:proofErr w:type="spellEnd"/>
      <w:r w:rsidRPr="00FA781A">
        <w:rPr>
          <w:rFonts w:ascii="Times New Roman" w:hAnsi="Times New Roman" w:cs="Times New Roman"/>
          <w:sz w:val="20"/>
          <w:szCs w:val="20"/>
          <w:lang w:val="en-US"/>
        </w:rPr>
        <w:t xml:space="preserve">, 425; </w:t>
      </w:r>
      <w:proofErr w:type="spellStart"/>
      <w:r w:rsidRPr="00FA781A">
        <w:rPr>
          <w:rFonts w:ascii="Times New Roman" w:hAnsi="Times New Roman" w:cs="Times New Roman"/>
          <w:sz w:val="20"/>
          <w:szCs w:val="20"/>
          <w:lang w:val="en-US"/>
        </w:rPr>
        <w:t>Carens</w:t>
      </w:r>
      <w:proofErr w:type="spellEnd"/>
      <w:r w:rsidRPr="00FA781A">
        <w:rPr>
          <w:rFonts w:ascii="Times New Roman" w:hAnsi="Times New Roman" w:cs="Times New Roman"/>
          <w:sz w:val="20"/>
          <w:szCs w:val="20"/>
          <w:lang w:val="en-US"/>
        </w:rPr>
        <w:t>, above n 6, 175-6; Reilly, above n 5, 182.</w:t>
      </w:r>
    </w:p>
  </w:endnote>
  <w:endnote w:id="52">
    <w:p w14:paraId="31C2DDDF"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Dewhurst, above n 10, 109.</w:t>
      </w:r>
    </w:p>
  </w:endnote>
  <w:endnote w:id="53">
    <w:p w14:paraId="1BC67CFF"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Olivier and </w:t>
      </w:r>
      <w:proofErr w:type="spellStart"/>
      <w:r w:rsidRPr="00FA781A">
        <w:rPr>
          <w:rFonts w:ascii="Times New Roman" w:hAnsi="Times New Roman" w:cs="Times New Roman"/>
          <w:sz w:val="20"/>
          <w:szCs w:val="20"/>
          <w:lang w:val="en-US"/>
        </w:rPr>
        <w:t>Govindjee</w:t>
      </w:r>
      <w:proofErr w:type="spellEnd"/>
      <w:r w:rsidRPr="00FA781A">
        <w:rPr>
          <w:rFonts w:ascii="Times New Roman" w:hAnsi="Times New Roman" w:cs="Times New Roman"/>
          <w:sz w:val="20"/>
          <w:szCs w:val="20"/>
          <w:lang w:val="en-US"/>
        </w:rPr>
        <w:t xml:space="preserve">, above n </w:t>
      </w:r>
      <w:proofErr w:type="spellStart"/>
      <w:r w:rsidRPr="00FA781A">
        <w:rPr>
          <w:rFonts w:ascii="Times New Roman" w:hAnsi="Times New Roman" w:cs="Times New Roman"/>
          <w:sz w:val="20"/>
          <w:szCs w:val="20"/>
          <w:lang w:val="en-US"/>
        </w:rPr>
        <w:t>2c</w:t>
      </w:r>
      <w:proofErr w:type="spellEnd"/>
      <w:r w:rsidRPr="00FA781A">
        <w:rPr>
          <w:rFonts w:ascii="Times New Roman" w:hAnsi="Times New Roman" w:cs="Times New Roman"/>
          <w:sz w:val="20"/>
          <w:szCs w:val="20"/>
          <w:lang w:val="en-US"/>
        </w:rPr>
        <w:t>, 23.</w:t>
      </w:r>
    </w:p>
  </w:endnote>
  <w:endnote w:id="54">
    <w:p w14:paraId="28B5F2F8"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i/>
          <w:iCs/>
          <w:sz w:val="20"/>
          <w:szCs w:val="20"/>
          <w:lang w:val="en-US"/>
        </w:rPr>
        <w:t>International Convention on the Protection of the Rights of All Migrant Workers and Members of Their Families,</w:t>
      </w:r>
      <w:r w:rsidRPr="00FA781A">
        <w:rPr>
          <w:rFonts w:ascii="Times New Roman" w:hAnsi="Times New Roman" w:cs="Times New Roman"/>
          <w:sz w:val="20"/>
          <w:szCs w:val="20"/>
          <w:lang w:val="en-US"/>
        </w:rPr>
        <w:t xml:space="preserve"> GA Res </w:t>
      </w:r>
      <w:r w:rsidRPr="00FA781A">
        <w:rPr>
          <w:rFonts w:ascii="Times New Roman" w:hAnsi="Times New Roman" w:cs="Times New Roman"/>
          <w:sz w:val="20"/>
          <w:szCs w:val="20"/>
        </w:rPr>
        <w:t>45/158</w:t>
      </w:r>
      <w:r w:rsidRPr="00FA781A">
        <w:rPr>
          <w:rFonts w:ascii="Times New Roman" w:hAnsi="Times New Roman" w:cs="Times New Roman"/>
          <w:sz w:val="20"/>
          <w:szCs w:val="20"/>
          <w:lang w:val="en-US"/>
        </w:rPr>
        <w:t xml:space="preserve">, UN </w:t>
      </w:r>
      <w:proofErr w:type="spellStart"/>
      <w:r w:rsidRPr="00FA781A">
        <w:rPr>
          <w:rFonts w:ascii="Times New Roman" w:hAnsi="Times New Roman" w:cs="Times New Roman"/>
          <w:sz w:val="20"/>
          <w:szCs w:val="20"/>
          <w:lang w:val="en-US"/>
        </w:rPr>
        <w:t>GAOR</w:t>
      </w:r>
      <w:proofErr w:type="spellEnd"/>
      <w:r w:rsidRPr="00FA781A">
        <w:rPr>
          <w:rFonts w:ascii="Times New Roman" w:hAnsi="Times New Roman" w:cs="Times New Roman"/>
          <w:sz w:val="20"/>
          <w:szCs w:val="20"/>
          <w:lang w:val="en-US"/>
        </w:rPr>
        <w:t xml:space="preserve">, 69th </w:t>
      </w:r>
      <w:proofErr w:type="spellStart"/>
      <w:r w:rsidRPr="00FA781A">
        <w:rPr>
          <w:rFonts w:ascii="Times New Roman" w:hAnsi="Times New Roman" w:cs="Times New Roman"/>
          <w:sz w:val="20"/>
          <w:szCs w:val="20"/>
          <w:lang w:val="en-US"/>
        </w:rPr>
        <w:t>plen</w:t>
      </w:r>
      <w:proofErr w:type="spellEnd"/>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en-US"/>
        </w:rPr>
        <w:t>mtg</w:t>
      </w:r>
      <w:proofErr w:type="spellEnd"/>
      <w:r w:rsidRPr="00FA781A">
        <w:rPr>
          <w:rFonts w:ascii="Times New Roman" w:hAnsi="Times New Roman" w:cs="Times New Roman"/>
          <w:sz w:val="20"/>
          <w:szCs w:val="20"/>
          <w:lang w:val="en-US"/>
        </w:rPr>
        <w:t xml:space="preserve">, (18 December 1990) preamble. </w:t>
      </w:r>
    </w:p>
  </w:endnote>
  <w:endnote w:id="55">
    <w:p w14:paraId="6736CDA3"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Dewhurst, above n 10, 109.</w:t>
      </w:r>
    </w:p>
  </w:endnote>
  <w:endnote w:id="56">
    <w:p w14:paraId="3C7BD33C"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Ibid, 119.</w:t>
      </w:r>
    </w:p>
  </w:endnote>
  <w:endnote w:id="57">
    <w:p w14:paraId="756389A6"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Dewhurst, above n 10, 105; </w:t>
      </w:r>
      <w:r w:rsidRPr="00FA781A">
        <w:rPr>
          <w:rFonts w:ascii="Times New Roman" w:hAnsi="Times New Roman" w:cs="Times New Roman"/>
          <w:sz w:val="20"/>
          <w:szCs w:val="20"/>
          <w:lang w:val="de-DE"/>
        </w:rPr>
        <w:t>Graeme Orr in Berg, above n 3c, 190.</w:t>
      </w:r>
    </w:p>
  </w:endnote>
  <w:endnote w:id="58">
    <w:p w14:paraId="06A491E1"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Berg, above n </w:t>
      </w:r>
      <w:proofErr w:type="spellStart"/>
      <w:r w:rsidRPr="00FA781A">
        <w:rPr>
          <w:rFonts w:ascii="Times New Roman" w:hAnsi="Times New Roman" w:cs="Times New Roman"/>
          <w:sz w:val="20"/>
          <w:szCs w:val="20"/>
          <w:lang w:val="en-US"/>
        </w:rPr>
        <w:t>3c</w:t>
      </w:r>
      <w:proofErr w:type="spellEnd"/>
      <w:r w:rsidRPr="00FA781A">
        <w:rPr>
          <w:rFonts w:ascii="Times New Roman" w:hAnsi="Times New Roman" w:cs="Times New Roman"/>
          <w:sz w:val="20"/>
          <w:szCs w:val="20"/>
          <w:lang w:val="en-US"/>
        </w:rPr>
        <w:t>, 191.</w:t>
      </w:r>
    </w:p>
  </w:endnote>
  <w:endnote w:id="59">
    <w:p w14:paraId="727D1FDB"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Tess Hardy, John Howe, Sean Cooney, </w:t>
      </w:r>
      <w:r w:rsidRPr="00FA781A">
        <w:rPr>
          <w:rFonts w:ascii="Times New Roman" w:hAnsi="Times New Roman" w:cs="Times New Roman"/>
          <w:sz w:val="20"/>
          <w:szCs w:val="20"/>
        </w:rPr>
        <w:t>‘</w:t>
      </w:r>
      <w:r w:rsidRPr="00FA781A">
        <w:rPr>
          <w:rFonts w:ascii="Times New Roman" w:hAnsi="Times New Roman" w:cs="Times New Roman"/>
          <w:sz w:val="20"/>
          <w:szCs w:val="20"/>
          <w:lang w:val="en-US"/>
        </w:rPr>
        <w:t>Less Energetic but More Enlightened? Exploring the Fair Work Ombudsman</w:t>
      </w:r>
      <w:r w:rsidRPr="00FA781A">
        <w:rPr>
          <w:rFonts w:ascii="Times New Roman" w:hAnsi="Times New Roman" w:cs="Times New Roman"/>
          <w:sz w:val="20"/>
          <w:szCs w:val="20"/>
          <w:lang w:val="fr-FR"/>
        </w:rPr>
        <w:t>’</w:t>
      </w:r>
      <w:r w:rsidRPr="00FA781A">
        <w:rPr>
          <w:rFonts w:ascii="Times New Roman" w:hAnsi="Times New Roman" w:cs="Times New Roman"/>
          <w:sz w:val="20"/>
          <w:szCs w:val="20"/>
          <w:lang w:val="en-US"/>
        </w:rPr>
        <w:t>s Use of Litigation in Regulatory Enforcement</w:t>
      </w:r>
      <w:r w:rsidRPr="00FA781A">
        <w:rPr>
          <w:rFonts w:ascii="Times New Roman" w:hAnsi="Times New Roman" w:cs="Times New Roman"/>
          <w:sz w:val="20"/>
          <w:szCs w:val="20"/>
          <w:lang w:val="fr-FR"/>
        </w:rPr>
        <w:t xml:space="preserve">’ </w:t>
      </w:r>
      <w:r w:rsidRPr="00FA781A">
        <w:rPr>
          <w:rFonts w:ascii="Times New Roman" w:hAnsi="Times New Roman" w:cs="Times New Roman"/>
          <w:sz w:val="20"/>
          <w:szCs w:val="20"/>
        </w:rPr>
        <w:t xml:space="preserve">(2013) 35 </w:t>
      </w:r>
      <w:r w:rsidRPr="00FA781A">
        <w:rPr>
          <w:rFonts w:ascii="Times New Roman" w:hAnsi="Times New Roman" w:cs="Times New Roman"/>
          <w:i/>
          <w:iCs/>
          <w:sz w:val="20"/>
          <w:szCs w:val="20"/>
        </w:rPr>
        <w:t xml:space="preserve">Sydney Law Review </w:t>
      </w:r>
      <w:r w:rsidRPr="00FA781A">
        <w:rPr>
          <w:rFonts w:ascii="Times New Roman" w:hAnsi="Times New Roman" w:cs="Times New Roman"/>
          <w:sz w:val="20"/>
          <w:szCs w:val="20"/>
        </w:rPr>
        <w:t>565</w:t>
      </w:r>
      <w:r w:rsidRPr="00FA781A">
        <w:rPr>
          <w:rFonts w:ascii="Times New Roman" w:hAnsi="Times New Roman" w:cs="Times New Roman"/>
          <w:sz w:val="20"/>
          <w:szCs w:val="20"/>
          <w:lang w:val="en-US"/>
        </w:rPr>
        <w:t>, 566; 573.</w:t>
      </w:r>
    </w:p>
  </w:endnote>
  <w:endnote w:id="60">
    <w:p w14:paraId="453BFA76"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Productivity Commission, above n </w:t>
      </w:r>
      <w:proofErr w:type="spellStart"/>
      <w:r w:rsidRPr="00FA781A">
        <w:rPr>
          <w:rFonts w:ascii="Times New Roman" w:hAnsi="Times New Roman" w:cs="Times New Roman"/>
          <w:sz w:val="20"/>
          <w:szCs w:val="20"/>
          <w:lang w:val="en-US"/>
        </w:rPr>
        <w:t>2a</w:t>
      </w:r>
      <w:proofErr w:type="spellEnd"/>
      <w:r w:rsidRPr="00FA781A">
        <w:rPr>
          <w:rFonts w:ascii="Times New Roman" w:hAnsi="Times New Roman" w:cs="Times New Roman"/>
          <w:sz w:val="20"/>
          <w:szCs w:val="20"/>
          <w:lang w:val="en-US"/>
        </w:rPr>
        <w:t>, 748.</w:t>
      </w:r>
    </w:p>
  </w:endnote>
  <w:endnote w:id="61">
    <w:p w14:paraId="29045BE8"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proofErr w:type="spellStart"/>
      <w:r w:rsidRPr="00FA781A">
        <w:rPr>
          <w:rFonts w:ascii="Times New Roman" w:hAnsi="Times New Roman" w:cs="Times New Roman"/>
          <w:sz w:val="20"/>
          <w:szCs w:val="20"/>
          <w:lang w:val="en-US"/>
        </w:rPr>
        <w:t>Clibborn</w:t>
      </w:r>
      <w:proofErr w:type="spellEnd"/>
      <w:r w:rsidRPr="00FA781A">
        <w:rPr>
          <w:rFonts w:ascii="Times New Roman" w:hAnsi="Times New Roman" w:cs="Times New Roman"/>
          <w:sz w:val="20"/>
          <w:szCs w:val="20"/>
          <w:lang w:val="en-US"/>
        </w:rPr>
        <w:t xml:space="preserve">, above n </w:t>
      </w:r>
      <w:proofErr w:type="spellStart"/>
      <w:r w:rsidRPr="00FA781A">
        <w:rPr>
          <w:rFonts w:ascii="Times New Roman" w:hAnsi="Times New Roman" w:cs="Times New Roman"/>
          <w:sz w:val="20"/>
          <w:szCs w:val="20"/>
          <w:lang w:val="en-US"/>
        </w:rPr>
        <w:t>2b</w:t>
      </w:r>
      <w:proofErr w:type="spellEnd"/>
      <w:r w:rsidRPr="00FA781A">
        <w:rPr>
          <w:rFonts w:ascii="Times New Roman" w:hAnsi="Times New Roman" w:cs="Times New Roman"/>
          <w:sz w:val="20"/>
          <w:szCs w:val="20"/>
          <w:lang w:val="en-US"/>
        </w:rPr>
        <w:t>, 6.</w:t>
      </w:r>
    </w:p>
  </w:endnote>
  <w:endnote w:id="62">
    <w:p w14:paraId="2746A15C"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Department of Immigration and Citizenship and the Office of the Fair Work Ombudsman, </w:t>
      </w:r>
      <w:r w:rsidRPr="00FA781A">
        <w:rPr>
          <w:rFonts w:ascii="Times New Roman" w:hAnsi="Times New Roman" w:cs="Times New Roman"/>
          <w:i/>
          <w:iCs/>
          <w:sz w:val="20"/>
          <w:szCs w:val="20"/>
          <w:lang w:val="en-US"/>
        </w:rPr>
        <w:t xml:space="preserve">Memorandum of Understanding </w:t>
      </w:r>
      <w:r w:rsidRPr="00FA781A">
        <w:rPr>
          <w:rFonts w:ascii="Times New Roman" w:hAnsi="Times New Roman" w:cs="Times New Roman"/>
          <w:sz w:val="20"/>
          <w:szCs w:val="20"/>
          <w:lang w:val="en-US"/>
        </w:rPr>
        <w:t>(2 July 2013) cl 17.</w:t>
      </w:r>
    </w:p>
  </w:endnote>
  <w:endnote w:id="63">
    <w:p w14:paraId="5BA9043D"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Olivier and </w:t>
      </w:r>
      <w:proofErr w:type="spellStart"/>
      <w:r w:rsidRPr="00FA781A">
        <w:rPr>
          <w:rFonts w:ascii="Times New Roman" w:hAnsi="Times New Roman" w:cs="Times New Roman"/>
          <w:sz w:val="20"/>
          <w:szCs w:val="20"/>
          <w:lang w:val="en-US"/>
        </w:rPr>
        <w:t>Govindjee</w:t>
      </w:r>
      <w:proofErr w:type="spellEnd"/>
      <w:r w:rsidRPr="00FA781A">
        <w:rPr>
          <w:rFonts w:ascii="Times New Roman" w:hAnsi="Times New Roman" w:cs="Times New Roman"/>
          <w:sz w:val="20"/>
          <w:szCs w:val="20"/>
          <w:lang w:val="en-US"/>
        </w:rPr>
        <w:t xml:space="preserve">, above n </w:t>
      </w:r>
      <w:proofErr w:type="spellStart"/>
      <w:r w:rsidRPr="00FA781A">
        <w:rPr>
          <w:rFonts w:ascii="Times New Roman" w:hAnsi="Times New Roman" w:cs="Times New Roman"/>
          <w:sz w:val="20"/>
          <w:szCs w:val="20"/>
          <w:lang w:val="en-US"/>
        </w:rPr>
        <w:t>2c</w:t>
      </w:r>
      <w:proofErr w:type="spellEnd"/>
      <w:r w:rsidRPr="00FA781A">
        <w:rPr>
          <w:rFonts w:ascii="Times New Roman" w:hAnsi="Times New Roman" w:cs="Times New Roman"/>
          <w:sz w:val="20"/>
          <w:szCs w:val="20"/>
          <w:lang w:val="en-US"/>
        </w:rPr>
        <w:t xml:space="preserve">, 10. </w:t>
      </w:r>
    </w:p>
  </w:endnote>
  <w:endnote w:id="64">
    <w:p w14:paraId="7E146C60"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Dewhurst, above n 10, 111.</w:t>
      </w:r>
    </w:p>
  </w:endnote>
  <w:endnote w:id="65">
    <w:p w14:paraId="708EA55E"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Ibid, 129.</w:t>
      </w:r>
    </w:p>
  </w:endnote>
  <w:endnote w:id="66">
    <w:p w14:paraId="2B6B0927"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Virginia,</w:t>
      </w:r>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fr-FR"/>
        </w:rPr>
        <w:t>Mantouvalou</w:t>
      </w:r>
      <w:proofErr w:type="spellEnd"/>
      <w:r w:rsidRPr="00FA781A">
        <w:rPr>
          <w:rFonts w:ascii="Times New Roman" w:hAnsi="Times New Roman" w:cs="Times New Roman"/>
          <w:sz w:val="20"/>
          <w:szCs w:val="20"/>
          <w:lang w:val="en-US"/>
        </w:rPr>
        <w:t xml:space="preserve">, ‘Are </w:t>
      </w:r>
      <w:proofErr w:type="spellStart"/>
      <w:r w:rsidRPr="00FA781A">
        <w:rPr>
          <w:rFonts w:ascii="Times New Roman" w:hAnsi="Times New Roman" w:cs="Times New Roman"/>
          <w:sz w:val="20"/>
          <w:szCs w:val="20"/>
          <w:lang w:val="en-US"/>
        </w:rPr>
        <w:t>Labour</w:t>
      </w:r>
      <w:proofErr w:type="spellEnd"/>
      <w:r w:rsidRPr="00FA781A">
        <w:rPr>
          <w:rFonts w:ascii="Times New Roman" w:hAnsi="Times New Roman" w:cs="Times New Roman"/>
          <w:sz w:val="20"/>
          <w:szCs w:val="20"/>
          <w:lang w:val="en-US"/>
        </w:rPr>
        <w:t xml:space="preserve"> Rights Human Rights?’ (Working Paper, University College London </w:t>
      </w:r>
      <w:proofErr w:type="spellStart"/>
      <w:r w:rsidRPr="00FA781A">
        <w:rPr>
          <w:rFonts w:ascii="Times New Roman" w:hAnsi="Times New Roman" w:cs="Times New Roman"/>
          <w:sz w:val="20"/>
          <w:szCs w:val="20"/>
          <w:lang w:val="en-US"/>
        </w:rPr>
        <w:t>Labour</w:t>
      </w:r>
      <w:proofErr w:type="spellEnd"/>
      <w:r w:rsidRPr="00FA781A">
        <w:rPr>
          <w:rFonts w:ascii="Times New Roman" w:hAnsi="Times New Roman" w:cs="Times New Roman"/>
          <w:sz w:val="20"/>
          <w:szCs w:val="20"/>
          <w:lang w:val="en-US"/>
        </w:rPr>
        <w:t xml:space="preserve"> Rights Institute, 2012) 462.</w:t>
      </w:r>
    </w:p>
  </w:endnote>
  <w:endnote w:id="67">
    <w:p w14:paraId="444AD657"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i/>
          <w:iCs/>
          <w:sz w:val="20"/>
          <w:szCs w:val="20"/>
          <w:lang w:val="en-US"/>
        </w:rPr>
        <w:t xml:space="preserve">Migration Act 1958 </w:t>
      </w:r>
      <w:r w:rsidRPr="00FA781A">
        <w:rPr>
          <w:rFonts w:ascii="Times New Roman" w:hAnsi="Times New Roman" w:cs="Times New Roman"/>
          <w:sz w:val="20"/>
          <w:szCs w:val="20"/>
          <w:lang w:val="en-US"/>
        </w:rPr>
        <w:t>(Cth) s 116.</w:t>
      </w:r>
    </w:p>
  </w:endnote>
  <w:endnote w:id="68">
    <w:p w14:paraId="060D91CA"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en-US"/>
        </w:rPr>
        <w:t>Carens</w:t>
      </w:r>
      <w:proofErr w:type="spellEnd"/>
      <w:r w:rsidRPr="00FA781A">
        <w:rPr>
          <w:rFonts w:ascii="Times New Roman" w:hAnsi="Times New Roman" w:cs="Times New Roman"/>
          <w:sz w:val="20"/>
          <w:szCs w:val="20"/>
          <w:lang w:val="en-US"/>
        </w:rPr>
        <w:t>, above n 6, 167.</w:t>
      </w:r>
    </w:p>
  </w:endnote>
  <w:endnote w:id="69">
    <w:p w14:paraId="519E9F1D"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en-US"/>
        </w:rPr>
        <w:t>Carens</w:t>
      </w:r>
      <w:proofErr w:type="spellEnd"/>
      <w:r w:rsidRPr="00FA781A">
        <w:rPr>
          <w:rFonts w:ascii="Times New Roman" w:hAnsi="Times New Roman" w:cs="Times New Roman"/>
          <w:sz w:val="20"/>
          <w:szCs w:val="20"/>
          <w:lang w:val="en-US"/>
        </w:rPr>
        <w:t>, above n 6, 174.</w:t>
      </w:r>
    </w:p>
  </w:endnote>
  <w:endnote w:id="70">
    <w:p w14:paraId="4D4B063C"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i/>
          <w:iCs/>
          <w:sz w:val="20"/>
          <w:szCs w:val="20"/>
          <w:lang w:val="fr-FR"/>
        </w:rPr>
        <w:t>Labour Inspection Convention, 1947 (No. 81)</w:t>
      </w:r>
      <w:r w:rsidRPr="00FA781A">
        <w:rPr>
          <w:rFonts w:ascii="Times New Roman" w:hAnsi="Times New Roman" w:cs="Times New Roman"/>
          <w:sz w:val="20"/>
          <w:szCs w:val="20"/>
          <w:lang w:val="en-US"/>
        </w:rPr>
        <w:t xml:space="preserve">, opened for signature 11 July 1947, </w:t>
      </w:r>
      <w:proofErr w:type="spellStart"/>
      <w:r w:rsidRPr="00FA781A">
        <w:rPr>
          <w:rFonts w:ascii="Times New Roman" w:hAnsi="Times New Roman" w:cs="Times New Roman"/>
          <w:sz w:val="20"/>
          <w:szCs w:val="20"/>
          <w:lang w:val="en-US"/>
        </w:rPr>
        <w:t>ILO</w:t>
      </w:r>
      <w:proofErr w:type="spellEnd"/>
      <w:r w:rsidRPr="00FA781A">
        <w:rPr>
          <w:rFonts w:ascii="Times New Roman" w:hAnsi="Times New Roman" w:cs="Times New Roman"/>
          <w:sz w:val="20"/>
          <w:szCs w:val="20"/>
          <w:lang w:val="en-US"/>
        </w:rPr>
        <w:t xml:space="preserve"> </w:t>
      </w:r>
      <w:proofErr w:type="spellStart"/>
      <w:r w:rsidRPr="00FA781A">
        <w:rPr>
          <w:rFonts w:ascii="Times New Roman" w:hAnsi="Times New Roman" w:cs="Times New Roman"/>
          <w:sz w:val="20"/>
          <w:szCs w:val="20"/>
          <w:lang w:val="en-US"/>
        </w:rPr>
        <w:t>C81</w:t>
      </w:r>
      <w:proofErr w:type="spellEnd"/>
      <w:r w:rsidRPr="00FA781A">
        <w:rPr>
          <w:rFonts w:ascii="Times New Roman" w:hAnsi="Times New Roman" w:cs="Times New Roman"/>
          <w:sz w:val="20"/>
          <w:szCs w:val="20"/>
          <w:lang w:val="en-US"/>
        </w:rPr>
        <w:t xml:space="preserve"> (entered into force </w:t>
      </w:r>
      <w:r w:rsidRPr="00FA781A">
        <w:rPr>
          <w:rFonts w:ascii="Times New Roman" w:hAnsi="Times New Roman" w:cs="Times New Roman"/>
          <w:sz w:val="20"/>
          <w:szCs w:val="20"/>
        </w:rPr>
        <w:t>7 Apr 1950</w:t>
      </w:r>
      <w:r w:rsidRPr="00FA781A">
        <w:rPr>
          <w:rFonts w:ascii="Times New Roman" w:hAnsi="Times New Roman" w:cs="Times New Roman"/>
          <w:sz w:val="20"/>
          <w:szCs w:val="20"/>
          <w:lang w:val="en-US"/>
        </w:rPr>
        <w:t>) art 3.</w:t>
      </w:r>
    </w:p>
  </w:endnote>
  <w:endnote w:id="71">
    <w:p w14:paraId="523AF873"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lang w:val="en-US"/>
        </w:rPr>
        <w:t xml:space="preserve"> Olivier and </w:t>
      </w:r>
      <w:proofErr w:type="spellStart"/>
      <w:r w:rsidRPr="00FA781A">
        <w:rPr>
          <w:rFonts w:ascii="Times New Roman" w:hAnsi="Times New Roman" w:cs="Times New Roman"/>
          <w:sz w:val="20"/>
          <w:szCs w:val="20"/>
          <w:lang w:val="en-US"/>
        </w:rPr>
        <w:t>Govindjee</w:t>
      </w:r>
      <w:proofErr w:type="spellEnd"/>
      <w:r w:rsidRPr="00FA781A">
        <w:rPr>
          <w:rFonts w:ascii="Times New Roman" w:hAnsi="Times New Roman" w:cs="Times New Roman"/>
          <w:sz w:val="20"/>
          <w:szCs w:val="20"/>
          <w:lang w:val="en-US"/>
        </w:rPr>
        <w:t xml:space="preserve">, above n </w:t>
      </w:r>
      <w:proofErr w:type="spellStart"/>
      <w:r w:rsidRPr="00FA781A">
        <w:rPr>
          <w:rFonts w:ascii="Times New Roman" w:hAnsi="Times New Roman" w:cs="Times New Roman"/>
          <w:sz w:val="20"/>
          <w:szCs w:val="20"/>
          <w:lang w:val="en-US"/>
        </w:rPr>
        <w:t>2c</w:t>
      </w:r>
      <w:proofErr w:type="spellEnd"/>
      <w:r w:rsidRPr="00FA781A">
        <w:rPr>
          <w:rFonts w:ascii="Times New Roman" w:hAnsi="Times New Roman" w:cs="Times New Roman"/>
          <w:sz w:val="20"/>
          <w:szCs w:val="20"/>
          <w:lang w:val="en-US"/>
        </w:rPr>
        <w:t>, 7.</w:t>
      </w:r>
    </w:p>
  </w:endnote>
  <w:endnote w:id="72">
    <w:p w14:paraId="3B5A26A6"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Dewhurst, above n 10, 129.</w:t>
      </w:r>
    </w:p>
  </w:endnote>
  <w:endnote w:id="73">
    <w:p w14:paraId="0C89841A"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Productivity Commission, above n </w:t>
      </w:r>
      <w:proofErr w:type="spellStart"/>
      <w:r w:rsidRPr="00FA781A">
        <w:rPr>
          <w:rFonts w:ascii="Times New Roman" w:hAnsi="Times New Roman" w:cs="Times New Roman"/>
          <w:sz w:val="20"/>
          <w:szCs w:val="20"/>
          <w:lang w:val="en-US"/>
        </w:rPr>
        <w:t>1a</w:t>
      </w:r>
      <w:proofErr w:type="spellEnd"/>
      <w:r w:rsidRPr="00FA781A">
        <w:rPr>
          <w:rFonts w:ascii="Times New Roman" w:hAnsi="Times New Roman" w:cs="Times New Roman"/>
          <w:sz w:val="20"/>
          <w:szCs w:val="20"/>
          <w:lang w:val="en-US"/>
        </w:rPr>
        <w:t>, 747.</w:t>
      </w:r>
    </w:p>
  </w:endnote>
  <w:endnote w:id="74">
    <w:p w14:paraId="129D8C1A"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 xml:space="preserve">Olivier and </w:t>
      </w:r>
      <w:proofErr w:type="spellStart"/>
      <w:r w:rsidRPr="00FA781A">
        <w:rPr>
          <w:rFonts w:ascii="Times New Roman" w:hAnsi="Times New Roman" w:cs="Times New Roman"/>
          <w:sz w:val="20"/>
          <w:szCs w:val="20"/>
          <w:lang w:val="en-US"/>
        </w:rPr>
        <w:t>Govindjee</w:t>
      </w:r>
      <w:proofErr w:type="spellEnd"/>
      <w:r w:rsidRPr="00FA781A">
        <w:rPr>
          <w:rFonts w:ascii="Times New Roman" w:hAnsi="Times New Roman" w:cs="Times New Roman"/>
          <w:sz w:val="20"/>
          <w:szCs w:val="20"/>
          <w:lang w:val="en-US"/>
        </w:rPr>
        <w:t xml:space="preserve">, above n </w:t>
      </w:r>
      <w:proofErr w:type="spellStart"/>
      <w:r w:rsidRPr="00FA781A">
        <w:rPr>
          <w:rFonts w:ascii="Times New Roman" w:hAnsi="Times New Roman" w:cs="Times New Roman"/>
          <w:sz w:val="20"/>
          <w:szCs w:val="20"/>
          <w:lang w:val="en-US"/>
        </w:rPr>
        <w:t>2c</w:t>
      </w:r>
      <w:proofErr w:type="spellEnd"/>
      <w:r w:rsidRPr="00FA781A">
        <w:rPr>
          <w:rFonts w:ascii="Times New Roman" w:hAnsi="Times New Roman" w:cs="Times New Roman"/>
          <w:sz w:val="20"/>
          <w:szCs w:val="20"/>
          <w:lang w:val="en-US"/>
        </w:rPr>
        <w:t>, 8.</w:t>
      </w:r>
    </w:p>
  </w:endnote>
  <w:endnote w:id="75">
    <w:p w14:paraId="41146CD4" w14:textId="77777777" w:rsidR="00B77C6C" w:rsidRPr="00FA781A" w:rsidRDefault="00B77C6C" w:rsidP="004D51A4">
      <w:pPr>
        <w:pStyle w:val="Footnote"/>
        <w:spacing w:line="276" w:lineRule="auto"/>
        <w:rPr>
          <w:rFonts w:ascii="Times New Roman" w:hAnsi="Times New Roman" w:cs="Times New Roman"/>
          <w:sz w:val="20"/>
          <w:szCs w:val="20"/>
        </w:rPr>
      </w:pPr>
      <w:r w:rsidRPr="00FA781A">
        <w:rPr>
          <w:rFonts w:ascii="Times New Roman" w:eastAsia="Times New Roman" w:hAnsi="Times New Roman" w:cs="Times New Roman"/>
          <w:sz w:val="20"/>
          <w:szCs w:val="20"/>
          <w:vertAlign w:val="superscript"/>
        </w:rPr>
        <w:endnoteRef/>
      </w:r>
      <w:r w:rsidRPr="00FA781A">
        <w:rPr>
          <w:rFonts w:ascii="Times New Roman" w:hAnsi="Times New Roman" w:cs="Times New Roman"/>
          <w:sz w:val="20"/>
          <w:szCs w:val="20"/>
        </w:rPr>
        <w:t xml:space="preserve"> </w:t>
      </w:r>
      <w:r w:rsidRPr="00FA781A">
        <w:rPr>
          <w:rFonts w:ascii="Times New Roman" w:hAnsi="Times New Roman" w:cs="Times New Roman"/>
          <w:sz w:val="20"/>
          <w:szCs w:val="20"/>
          <w:lang w:val="en-US"/>
        </w:rPr>
        <w:t>Dewhurst, above n 10, 102.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F3CAF" w14:textId="77777777" w:rsidR="00A022E7" w:rsidRDefault="00A022E7" w:rsidP="00913B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184A83" w14:textId="77777777" w:rsidR="00A022E7" w:rsidRDefault="00A022E7" w:rsidP="00A022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D1623" w14:textId="77777777" w:rsidR="00A022E7" w:rsidRDefault="00A022E7" w:rsidP="00913B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1268">
      <w:rPr>
        <w:rStyle w:val="PageNumber"/>
        <w:noProof/>
      </w:rPr>
      <w:t>1</w:t>
    </w:r>
    <w:r>
      <w:rPr>
        <w:rStyle w:val="PageNumber"/>
      </w:rPr>
      <w:fldChar w:fldCharType="end"/>
    </w:r>
  </w:p>
  <w:p w14:paraId="579E5C05" w14:textId="77777777" w:rsidR="00A022E7" w:rsidRDefault="00A022E7" w:rsidP="00A022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C473B" w14:textId="77777777" w:rsidR="00B77C6C" w:rsidRDefault="00B77C6C" w:rsidP="004D51A4">
      <w:r>
        <w:separator/>
      </w:r>
    </w:p>
  </w:footnote>
  <w:footnote w:type="continuationSeparator" w:id="0">
    <w:p w14:paraId="24E55727" w14:textId="77777777" w:rsidR="00B77C6C" w:rsidRDefault="00B77C6C" w:rsidP="004D5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6B0"/>
    <w:multiLevelType w:val="multilevel"/>
    <w:tmpl w:val="73667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F1D71E4"/>
    <w:multiLevelType w:val="multilevel"/>
    <w:tmpl w:val="5484DA7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E596F33"/>
    <w:multiLevelType w:val="multilevel"/>
    <w:tmpl w:val="09C88F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1F27312"/>
    <w:multiLevelType w:val="multilevel"/>
    <w:tmpl w:val="57B65C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31D3F9A"/>
    <w:multiLevelType w:val="multilevel"/>
    <w:tmpl w:val="C60E85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283E0DC2"/>
    <w:multiLevelType w:val="multilevel"/>
    <w:tmpl w:val="D2660E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45C6914"/>
    <w:multiLevelType w:val="hybridMultilevel"/>
    <w:tmpl w:val="91142608"/>
    <w:lvl w:ilvl="0" w:tplc="F71EEF0E">
      <w:start w:val="1"/>
      <w:numFmt w:val="decimal"/>
      <w:lvlText w:val="(%1)"/>
      <w:lvlJc w:val="left"/>
      <w:pPr>
        <w:ind w:left="720" w:hanging="360"/>
      </w:pPr>
      <w:rPr>
        <w:rFonts w:eastAsia="Arial Unicode MS" w:hAnsi="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1C2DB2"/>
    <w:multiLevelType w:val="multilevel"/>
    <w:tmpl w:val="3B0A4E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406E7FBE"/>
    <w:multiLevelType w:val="multilevel"/>
    <w:tmpl w:val="7728AB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09D192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D557A7E"/>
    <w:multiLevelType w:val="multilevel"/>
    <w:tmpl w:val="6FDE02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54FA54F9"/>
    <w:multiLevelType w:val="multilevel"/>
    <w:tmpl w:val="65CCDA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BF17071"/>
    <w:multiLevelType w:val="hybridMultilevel"/>
    <w:tmpl w:val="018EDD80"/>
    <w:lvl w:ilvl="0" w:tplc="91B8EC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4030AE"/>
    <w:multiLevelType w:val="multilevel"/>
    <w:tmpl w:val="FB7443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6AB272B0"/>
    <w:multiLevelType w:val="multilevel"/>
    <w:tmpl w:val="6CAC70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6FBA7D58"/>
    <w:multiLevelType w:val="multilevel"/>
    <w:tmpl w:val="5E044C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73FA190C"/>
    <w:multiLevelType w:val="hybridMultilevel"/>
    <w:tmpl w:val="F53A408E"/>
    <w:lvl w:ilvl="0" w:tplc="DB303ACC">
      <w:start w:val="1"/>
      <w:numFmt w:val="bullet"/>
      <w:pStyle w:val="Bulletform"/>
      <w:lvlText w:val=""/>
      <w:lvlJc w:val="left"/>
      <w:pPr>
        <w:tabs>
          <w:tab w:val="num" w:pos="-1065"/>
        </w:tabs>
        <w:ind w:left="-1065" w:hanging="360"/>
      </w:pPr>
      <w:rPr>
        <w:rFonts w:ascii="Wingdings" w:hAnsi="Wingdings" w:hint="default"/>
      </w:rPr>
    </w:lvl>
    <w:lvl w:ilvl="1" w:tplc="0C090003" w:tentative="1">
      <w:start w:val="1"/>
      <w:numFmt w:val="bullet"/>
      <w:lvlText w:val="o"/>
      <w:lvlJc w:val="left"/>
      <w:pPr>
        <w:tabs>
          <w:tab w:val="num" w:pos="-345"/>
        </w:tabs>
        <w:ind w:left="-345" w:hanging="360"/>
      </w:pPr>
      <w:rPr>
        <w:rFonts w:ascii="Courier New" w:hAnsi="Courier New" w:cs="Courier New" w:hint="default"/>
      </w:rPr>
    </w:lvl>
    <w:lvl w:ilvl="2" w:tplc="0C090005" w:tentative="1">
      <w:start w:val="1"/>
      <w:numFmt w:val="bullet"/>
      <w:lvlText w:val=""/>
      <w:lvlJc w:val="left"/>
      <w:pPr>
        <w:tabs>
          <w:tab w:val="num" w:pos="375"/>
        </w:tabs>
        <w:ind w:left="375" w:hanging="360"/>
      </w:pPr>
      <w:rPr>
        <w:rFonts w:ascii="Wingdings" w:hAnsi="Wingdings" w:hint="default"/>
      </w:rPr>
    </w:lvl>
    <w:lvl w:ilvl="3" w:tplc="0C090001" w:tentative="1">
      <w:start w:val="1"/>
      <w:numFmt w:val="bullet"/>
      <w:lvlText w:val=""/>
      <w:lvlJc w:val="left"/>
      <w:pPr>
        <w:tabs>
          <w:tab w:val="num" w:pos="1095"/>
        </w:tabs>
        <w:ind w:left="1095" w:hanging="360"/>
      </w:pPr>
      <w:rPr>
        <w:rFonts w:ascii="Symbol" w:hAnsi="Symbol" w:hint="default"/>
      </w:rPr>
    </w:lvl>
    <w:lvl w:ilvl="4" w:tplc="0C090003" w:tentative="1">
      <w:start w:val="1"/>
      <w:numFmt w:val="bullet"/>
      <w:lvlText w:val="o"/>
      <w:lvlJc w:val="left"/>
      <w:pPr>
        <w:tabs>
          <w:tab w:val="num" w:pos="1815"/>
        </w:tabs>
        <w:ind w:left="1815" w:hanging="360"/>
      </w:pPr>
      <w:rPr>
        <w:rFonts w:ascii="Courier New" w:hAnsi="Courier New" w:cs="Courier New" w:hint="default"/>
      </w:rPr>
    </w:lvl>
    <w:lvl w:ilvl="5" w:tplc="0C090005" w:tentative="1">
      <w:start w:val="1"/>
      <w:numFmt w:val="bullet"/>
      <w:lvlText w:val=""/>
      <w:lvlJc w:val="left"/>
      <w:pPr>
        <w:tabs>
          <w:tab w:val="num" w:pos="2535"/>
        </w:tabs>
        <w:ind w:left="2535" w:hanging="360"/>
      </w:pPr>
      <w:rPr>
        <w:rFonts w:ascii="Wingdings" w:hAnsi="Wingdings" w:hint="default"/>
      </w:rPr>
    </w:lvl>
    <w:lvl w:ilvl="6" w:tplc="0C090001" w:tentative="1">
      <w:start w:val="1"/>
      <w:numFmt w:val="bullet"/>
      <w:lvlText w:val=""/>
      <w:lvlJc w:val="left"/>
      <w:pPr>
        <w:tabs>
          <w:tab w:val="num" w:pos="3255"/>
        </w:tabs>
        <w:ind w:left="3255" w:hanging="360"/>
      </w:pPr>
      <w:rPr>
        <w:rFonts w:ascii="Symbol" w:hAnsi="Symbol" w:hint="default"/>
      </w:rPr>
    </w:lvl>
    <w:lvl w:ilvl="7" w:tplc="0C090003" w:tentative="1">
      <w:start w:val="1"/>
      <w:numFmt w:val="bullet"/>
      <w:lvlText w:val="o"/>
      <w:lvlJc w:val="left"/>
      <w:pPr>
        <w:tabs>
          <w:tab w:val="num" w:pos="3975"/>
        </w:tabs>
        <w:ind w:left="3975" w:hanging="360"/>
      </w:pPr>
      <w:rPr>
        <w:rFonts w:ascii="Courier New" w:hAnsi="Courier New" w:cs="Courier New" w:hint="default"/>
      </w:rPr>
    </w:lvl>
    <w:lvl w:ilvl="8" w:tplc="0C090005" w:tentative="1">
      <w:start w:val="1"/>
      <w:numFmt w:val="bullet"/>
      <w:lvlText w:val=""/>
      <w:lvlJc w:val="left"/>
      <w:pPr>
        <w:tabs>
          <w:tab w:val="num" w:pos="4695"/>
        </w:tabs>
        <w:ind w:left="4695" w:hanging="360"/>
      </w:pPr>
      <w:rPr>
        <w:rFonts w:ascii="Wingdings" w:hAnsi="Wingdings" w:hint="default"/>
      </w:rPr>
    </w:lvl>
  </w:abstractNum>
  <w:num w:numId="1">
    <w:abstractNumId w:val="16"/>
  </w:num>
  <w:num w:numId="2">
    <w:abstractNumId w:val="2"/>
  </w:num>
  <w:num w:numId="3">
    <w:abstractNumId w:val="12"/>
  </w:num>
  <w:num w:numId="4">
    <w:abstractNumId w:val="15"/>
  </w:num>
  <w:num w:numId="5">
    <w:abstractNumId w:val="5"/>
  </w:num>
  <w:num w:numId="6">
    <w:abstractNumId w:val="1"/>
  </w:num>
  <w:num w:numId="7">
    <w:abstractNumId w:val="6"/>
  </w:num>
  <w:num w:numId="8">
    <w:abstractNumId w:val="3"/>
  </w:num>
  <w:num w:numId="9">
    <w:abstractNumId w:val="10"/>
  </w:num>
  <w:num w:numId="10">
    <w:abstractNumId w:val="8"/>
  </w:num>
  <w:num w:numId="11">
    <w:abstractNumId w:val="11"/>
  </w:num>
  <w:num w:numId="12">
    <w:abstractNumId w:val="7"/>
  </w:num>
  <w:num w:numId="13">
    <w:abstractNumId w:val="0"/>
  </w:num>
  <w:num w:numId="14">
    <w:abstractNumId w:val="4"/>
  </w:num>
  <w:num w:numId="15">
    <w:abstractNumId w:val="14"/>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A4"/>
    <w:rsid w:val="000369DF"/>
    <w:rsid w:val="001744AA"/>
    <w:rsid w:val="00441268"/>
    <w:rsid w:val="004D51A4"/>
    <w:rsid w:val="005030CC"/>
    <w:rsid w:val="00653E7D"/>
    <w:rsid w:val="00A022E7"/>
    <w:rsid w:val="00B23678"/>
    <w:rsid w:val="00B77C6C"/>
    <w:rsid w:val="00C27554"/>
    <w:rsid w:val="00D96884"/>
    <w:rsid w:val="00ED417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E0E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51A4"/>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ing1">
    <w:name w:val="heading 1"/>
    <w:basedOn w:val="Normal"/>
    <w:next w:val="Normal"/>
    <w:link w:val="Heading1Char"/>
    <w:uiPriority w:val="9"/>
    <w:qFormat/>
    <w:rsid w:val="004D51A4"/>
    <w:pPr>
      <w:keepNext/>
      <w:keepLines/>
      <w:numPr>
        <w:numId w:val="17"/>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D51A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51A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51A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D51A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D51A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D51A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51A4"/>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D51A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D51A4"/>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customStyle="1" w:styleId="Footnote">
    <w:name w:val="Footnote"/>
    <w:rsid w:val="004D51A4"/>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Hyperlink"/>
    <w:rsid w:val="004D51A4"/>
    <w:rPr>
      <w:color w:val="0000FF" w:themeColor="hyperlink"/>
      <w:u w:val="single"/>
    </w:rPr>
  </w:style>
  <w:style w:type="character" w:styleId="Hyperlink">
    <w:name w:val="Hyperlink"/>
    <w:basedOn w:val="DefaultParagraphFont"/>
    <w:uiPriority w:val="99"/>
    <w:semiHidden/>
    <w:unhideWhenUsed/>
    <w:rsid w:val="004D51A4"/>
    <w:rPr>
      <w:color w:val="0000FF" w:themeColor="hyperlink"/>
      <w:u w:val="single"/>
    </w:rPr>
  </w:style>
  <w:style w:type="paragraph" w:styleId="EndnoteText">
    <w:name w:val="endnote text"/>
    <w:basedOn w:val="Normal"/>
    <w:link w:val="EndnoteTextChar"/>
    <w:uiPriority w:val="99"/>
    <w:unhideWhenUsed/>
    <w:rsid w:val="004D51A4"/>
  </w:style>
  <w:style w:type="character" w:customStyle="1" w:styleId="EndnoteTextChar">
    <w:name w:val="Endnote Text Char"/>
    <w:basedOn w:val="DefaultParagraphFont"/>
    <w:link w:val="EndnoteText"/>
    <w:uiPriority w:val="99"/>
    <w:rsid w:val="004D51A4"/>
    <w:rPr>
      <w:rFonts w:ascii="Times New Roman" w:eastAsia="Arial Unicode MS" w:hAnsi="Times New Roman" w:cs="Times New Roman"/>
      <w:bdr w:val="nil"/>
      <w:lang w:val="en-US"/>
    </w:rPr>
  </w:style>
  <w:style w:type="character" w:styleId="EndnoteReference">
    <w:name w:val="endnote reference"/>
    <w:basedOn w:val="DefaultParagraphFont"/>
    <w:uiPriority w:val="99"/>
    <w:unhideWhenUsed/>
    <w:rsid w:val="004D51A4"/>
    <w:rPr>
      <w:vertAlign w:val="superscript"/>
    </w:rPr>
  </w:style>
  <w:style w:type="paragraph" w:styleId="FootnoteText">
    <w:name w:val="footnote text"/>
    <w:basedOn w:val="Normal"/>
    <w:link w:val="FootnoteTextChar"/>
    <w:uiPriority w:val="99"/>
    <w:semiHidden/>
    <w:unhideWhenUsed/>
    <w:rsid w:val="004D51A4"/>
  </w:style>
  <w:style w:type="character" w:customStyle="1" w:styleId="FootnoteTextChar">
    <w:name w:val="Footnote Text Char"/>
    <w:basedOn w:val="DefaultParagraphFont"/>
    <w:link w:val="FootnoteText"/>
    <w:uiPriority w:val="99"/>
    <w:semiHidden/>
    <w:rsid w:val="004D51A4"/>
    <w:rPr>
      <w:rFonts w:ascii="Times New Roman" w:eastAsia="Arial Unicode MS" w:hAnsi="Times New Roman" w:cs="Times New Roman"/>
      <w:bdr w:val="nil"/>
      <w:lang w:val="en-US"/>
    </w:rPr>
  </w:style>
  <w:style w:type="character" w:styleId="FootnoteReference">
    <w:name w:val="footnote reference"/>
    <w:basedOn w:val="DefaultParagraphFont"/>
    <w:uiPriority w:val="99"/>
    <w:semiHidden/>
    <w:unhideWhenUsed/>
    <w:rsid w:val="004D51A4"/>
    <w:rPr>
      <w:vertAlign w:val="superscript"/>
    </w:rPr>
  </w:style>
  <w:style w:type="paragraph" w:customStyle="1" w:styleId="Bulletform">
    <w:name w:val="Bullet form"/>
    <w:basedOn w:val="Normal"/>
    <w:rsid w:val="004D51A4"/>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357"/>
      <w:jc w:val="both"/>
    </w:pPr>
    <w:rPr>
      <w:rFonts w:ascii="GoudyOlSt BT" w:eastAsia="Times New Roman" w:hAnsi="GoudyOlSt BT"/>
      <w:szCs w:val="20"/>
      <w:bdr w:val="none" w:sz="0" w:space="0" w:color="auto"/>
      <w:lang w:val="en-AU" w:eastAsia="en-AU"/>
    </w:rPr>
  </w:style>
  <w:style w:type="table" w:styleId="TableGrid">
    <w:name w:val="Table Grid"/>
    <w:basedOn w:val="TableNormal"/>
    <w:rsid w:val="004D51A4"/>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1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51A4"/>
    <w:rPr>
      <w:rFonts w:ascii="Lucida Grande" w:eastAsia="Arial Unicode MS" w:hAnsi="Lucida Grande" w:cs="Lucida Grande"/>
      <w:sz w:val="18"/>
      <w:szCs w:val="18"/>
      <w:bdr w:val="nil"/>
      <w:lang w:val="en-US"/>
    </w:rPr>
  </w:style>
  <w:style w:type="character" w:customStyle="1" w:styleId="Heading1Char">
    <w:name w:val="Heading 1 Char"/>
    <w:basedOn w:val="DefaultParagraphFont"/>
    <w:link w:val="Heading1"/>
    <w:uiPriority w:val="9"/>
    <w:rsid w:val="004D51A4"/>
    <w:rPr>
      <w:rFonts w:asciiTheme="majorHAnsi" w:eastAsiaTheme="majorEastAsia" w:hAnsiTheme="majorHAnsi" w:cstheme="majorBidi"/>
      <w:b/>
      <w:bCs/>
      <w:color w:val="345A8A" w:themeColor="accent1" w:themeShade="B5"/>
      <w:sz w:val="32"/>
      <w:szCs w:val="32"/>
      <w:bdr w:val="nil"/>
      <w:lang w:val="en-US"/>
    </w:rPr>
  </w:style>
  <w:style w:type="character" w:customStyle="1" w:styleId="Heading2Char">
    <w:name w:val="Heading 2 Char"/>
    <w:basedOn w:val="DefaultParagraphFont"/>
    <w:link w:val="Heading2"/>
    <w:uiPriority w:val="9"/>
    <w:rsid w:val="004D51A4"/>
    <w:rPr>
      <w:rFonts w:asciiTheme="majorHAnsi" w:eastAsiaTheme="majorEastAsia" w:hAnsiTheme="majorHAnsi" w:cstheme="majorBidi"/>
      <w:b/>
      <w:bCs/>
      <w:color w:val="4F81BD" w:themeColor="accent1"/>
      <w:sz w:val="26"/>
      <w:szCs w:val="26"/>
      <w:bdr w:val="nil"/>
      <w:lang w:val="en-US"/>
    </w:rPr>
  </w:style>
  <w:style w:type="character" w:customStyle="1" w:styleId="Heading3Char">
    <w:name w:val="Heading 3 Char"/>
    <w:basedOn w:val="DefaultParagraphFont"/>
    <w:link w:val="Heading3"/>
    <w:uiPriority w:val="9"/>
    <w:semiHidden/>
    <w:rsid w:val="004D51A4"/>
    <w:rPr>
      <w:rFonts w:asciiTheme="majorHAnsi" w:eastAsiaTheme="majorEastAsia" w:hAnsiTheme="majorHAnsi" w:cstheme="majorBidi"/>
      <w:b/>
      <w:bCs/>
      <w:color w:val="4F81BD" w:themeColor="accent1"/>
      <w:bdr w:val="nil"/>
      <w:lang w:val="en-US"/>
    </w:rPr>
  </w:style>
  <w:style w:type="character" w:customStyle="1" w:styleId="Heading4Char">
    <w:name w:val="Heading 4 Char"/>
    <w:basedOn w:val="DefaultParagraphFont"/>
    <w:link w:val="Heading4"/>
    <w:uiPriority w:val="9"/>
    <w:semiHidden/>
    <w:rsid w:val="004D51A4"/>
    <w:rPr>
      <w:rFonts w:asciiTheme="majorHAnsi" w:eastAsiaTheme="majorEastAsia" w:hAnsiTheme="majorHAnsi" w:cstheme="majorBidi"/>
      <w:b/>
      <w:bCs/>
      <w:i/>
      <w:iCs/>
      <w:color w:val="4F81BD" w:themeColor="accent1"/>
      <w:bdr w:val="nil"/>
      <w:lang w:val="en-US"/>
    </w:rPr>
  </w:style>
  <w:style w:type="character" w:customStyle="1" w:styleId="Heading5Char">
    <w:name w:val="Heading 5 Char"/>
    <w:basedOn w:val="DefaultParagraphFont"/>
    <w:link w:val="Heading5"/>
    <w:uiPriority w:val="9"/>
    <w:semiHidden/>
    <w:rsid w:val="004D51A4"/>
    <w:rPr>
      <w:rFonts w:asciiTheme="majorHAnsi" w:eastAsiaTheme="majorEastAsia" w:hAnsiTheme="majorHAnsi" w:cstheme="majorBidi"/>
      <w:color w:val="243F60" w:themeColor="accent1" w:themeShade="7F"/>
      <w:bdr w:val="nil"/>
      <w:lang w:val="en-US"/>
    </w:rPr>
  </w:style>
  <w:style w:type="character" w:customStyle="1" w:styleId="Heading6Char">
    <w:name w:val="Heading 6 Char"/>
    <w:basedOn w:val="DefaultParagraphFont"/>
    <w:link w:val="Heading6"/>
    <w:uiPriority w:val="9"/>
    <w:semiHidden/>
    <w:rsid w:val="004D51A4"/>
    <w:rPr>
      <w:rFonts w:asciiTheme="majorHAnsi" w:eastAsiaTheme="majorEastAsia" w:hAnsiTheme="majorHAnsi" w:cstheme="majorBidi"/>
      <w:i/>
      <w:iCs/>
      <w:color w:val="243F60" w:themeColor="accent1" w:themeShade="7F"/>
      <w:bdr w:val="nil"/>
      <w:lang w:val="en-US"/>
    </w:rPr>
  </w:style>
  <w:style w:type="character" w:customStyle="1" w:styleId="Heading7Char">
    <w:name w:val="Heading 7 Char"/>
    <w:basedOn w:val="DefaultParagraphFont"/>
    <w:link w:val="Heading7"/>
    <w:uiPriority w:val="9"/>
    <w:semiHidden/>
    <w:rsid w:val="004D51A4"/>
    <w:rPr>
      <w:rFonts w:asciiTheme="majorHAnsi" w:eastAsiaTheme="majorEastAsia" w:hAnsiTheme="majorHAnsi" w:cstheme="majorBidi"/>
      <w:i/>
      <w:iCs/>
      <w:color w:val="404040" w:themeColor="text1" w:themeTint="BF"/>
      <w:bdr w:val="nil"/>
      <w:lang w:val="en-US"/>
    </w:rPr>
  </w:style>
  <w:style w:type="character" w:customStyle="1" w:styleId="Heading8Char">
    <w:name w:val="Heading 8 Char"/>
    <w:basedOn w:val="DefaultParagraphFont"/>
    <w:link w:val="Heading8"/>
    <w:uiPriority w:val="9"/>
    <w:semiHidden/>
    <w:rsid w:val="004D51A4"/>
    <w:rPr>
      <w:rFonts w:asciiTheme="majorHAnsi" w:eastAsiaTheme="majorEastAsia" w:hAnsiTheme="majorHAnsi" w:cstheme="majorBidi"/>
      <w:color w:val="404040" w:themeColor="text1" w:themeTint="BF"/>
      <w:sz w:val="20"/>
      <w:szCs w:val="20"/>
      <w:bdr w:val="nil"/>
      <w:lang w:val="en-US"/>
    </w:rPr>
  </w:style>
  <w:style w:type="character" w:customStyle="1" w:styleId="Heading9Char">
    <w:name w:val="Heading 9 Char"/>
    <w:basedOn w:val="DefaultParagraphFont"/>
    <w:link w:val="Heading9"/>
    <w:uiPriority w:val="9"/>
    <w:semiHidden/>
    <w:rsid w:val="004D51A4"/>
    <w:rPr>
      <w:rFonts w:asciiTheme="majorHAnsi" w:eastAsiaTheme="majorEastAsia" w:hAnsiTheme="majorHAnsi" w:cstheme="majorBidi"/>
      <w:i/>
      <w:iCs/>
      <w:color w:val="404040" w:themeColor="text1" w:themeTint="BF"/>
      <w:sz w:val="20"/>
      <w:szCs w:val="20"/>
      <w:bdr w:val="nil"/>
      <w:lang w:val="en-US"/>
    </w:rPr>
  </w:style>
  <w:style w:type="paragraph" w:styleId="NoSpacing">
    <w:name w:val="No Spacing"/>
    <w:uiPriority w:val="1"/>
    <w:qFormat/>
    <w:rsid w:val="00653E7D"/>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er">
    <w:name w:val="header"/>
    <w:basedOn w:val="Normal"/>
    <w:link w:val="HeaderChar"/>
    <w:uiPriority w:val="99"/>
    <w:unhideWhenUsed/>
    <w:rsid w:val="00653E7D"/>
    <w:pPr>
      <w:tabs>
        <w:tab w:val="center" w:pos="4320"/>
        <w:tab w:val="right" w:pos="8640"/>
      </w:tabs>
    </w:pPr>
  </w:style>
  <w:style w:type="character" w:customStyle="1" w:styleId="HeaderChar">
    <w:name w:val="Header Char"/>
    <w:basedOn w:val="DefaultParagraphFont"/>
    <w:link w:val="Header"/>
    <w:uiPriority w:val="99"/>
    <w:rsid w:val="00653E7D"/>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653E7D"/>
    <w:pPr>
      <w:tabs>
        <w:tab w:val="center" w:pos="4320"/>
        <w:tab w:val="right" w:pos="8640"/>
      </w:tabs>
    </w:pPr>
  </w:style>
  <w:style w:type="character" w:customStyle="1" w:styleId="FooterChar">
    <w:name w:val="Footer Char"/>
    <w:basedOn w:val="DefaultParagraphFont"/>
    <w:link w:val="Footer"/>
    <w:uiPriority w:val="99"/>
    <w:rsid w:val="00653E7D"/>
    <w:rPr>
      <w:rFonts w:ascii="Times New Roman" w:eastAsia="Arial Unicode MS" w:hAnsi="Times New Roman" w:cs="Times New Roman"/>
      <w:bdr w:val="nil"/>
      <w:lang w:val="en-US"/>
    </w:rPr>
  </w:style>
  <w:style w:type="paragraph" w:styleId="TOCHeading">
    <w:name w:val="TOC Heading"/>
    <w:basedOn w:val="Heading1"/>
    <w:next w:val="Normal"/>
    <w:uiPriority w:val="39"/>
    <w:unhideWhenUsed/>
    <w:qFormat/>
    <w:rsid w:val="00B77C6C"/>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color w:val="365F91" w:themeColor="accent1" w:themeShade="BF"/>
      <w:sz w:val="28"/>
      <w:szCs w:val="28"/>
      <w:bdr w:val="none" w:sz="0" w:space="0" w:color="auto"/>
    </w:rPr>
  </w:style>
  <w:style w:type="paragraph" w:styleId="TOC1">
    <w:name w:val="toc 1"/>
    <w:basedOn w:val="Normal"/>
    <w:next w:val="Normal"/>
    <w:autoRedefine/>
    <w:uiPriority w:val="39"/>
    <w:unhideWhenUsed/>
    <w:rsid w:val="00B77C6C"/>
    <w:pPr>
      <w:spacing w:before="120"/>
    </w:pPr>
    <w:rPr>
      <w:rFonts w:asciiTheme="minorHAnsi" w:hAnsiTheme="minorHAnsi"/>
      <w:b/>
    </w:rPr>
  </w:style>
  <w:style w:type="paragraph" w:styleId="TOC2">
    <w:name w:val="toc 2"/>
    <w:basedOn w:val="Normal"/>
    <w:next w:val="Normal"/>
    <w:autoRedefine/>
    <w:uiPriority w:val="39"/>
    <w:unhideWhenUsed/>
    <w:rsid w:val="00B77C6C"/>
    <w:pPr>
      <w:tabs>
        <w:tab w:val="left" w:pos="755"/>
        <w:tab w:val="right" w:leader="dot" w:pos="8290"/>
      </w:tabs>
      <w:spacing w:line="360" w:lineRule="auto"/>
      <w:ind w:left="240"/>
    </w:pPr>
    <w:rPr>
      <w:rFonts w:asciiTheme="minorHAnsi" w:hAnsiTheme="minorHAnsi"/>
      <w:noProof/>
      <w:sz w:val="22"/>
      <w:szCs w:val="22"/>
      <w:lang w:val="en-AU"/>
    </w:rPr>
  </w:style>
  <w:style w:type="paragraph" w:styleId="TOC3">
    <w:name w:val="toc 3"/>
    <w:basedOn w:val="Normal"/>
    <w:next w:val="Normal"/>
    <w:autoRedefine/>
    <w:uiPriority w:val="39"/>
    <w:semiHidden/>
    <w:unhideWhenUsed/>
    <w:rsid w:val="00B77C6C"/>
    <w:pPr>
      <w:ind w:left="480"/>
    </w:pPr>
    <w:rPr>
      <w:rFonts w:asciiTheme="minorHAnsi" w:hAnsiTheme="minorHAnsi"/>
      <w:sz w:val="22"/>
      <w:szCs w:val="22"/>
    </w:rPr>
  </w:style>
  <w:style w:type="paragraph" w:styleId="TOC4">
    <w:name w:val="toc 4"/>
    <w:basedOn w:val="Normal"/>
    <w:next w:val="Normal"/>
    <w:autoRedefine/>
    <w:uiPriority w:val="39"/>
    <w:semiHidden/>
    <w:unhideWhenUsed/>
    <w:rsid w:val="00B77C6C"/>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C6C"/>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C6C"/>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C6C"/>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C6C"/>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C6C"/>
    <w:pPr>
      <w:ind w:left="1920"/>
    </w:pPr>
    <w:rPr>
      <w:rFonts w:asciiTheme="minorHAnsi" w:hAnsiTheme="minorHAnsi"/>
      <w:sz w:val="20"/>
      <w:szCs w:val="20"/>
    </w:rPr>
  </w:style>
  <w:style w:type="character" w:styleId="PageNumber">
    <w:name w:val="page number"/>
    <w:basedOn w:val="DefaultParagraphFont"/>
    <w:uiPriority w:val="99"/>
    <w:semiHidden/>
    <w:unhideWhenUsed/>
    <w:rsid w:val="00A02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51A4"/>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ing1">
    <w:name w:val="heading 1"/>
    <w:basedOn w:val="Normal"/>
    <w:next w:val="Normal"/>
    <w:link w:val="Heading1Char"/>
    <w:uiPriority w:val="9"/>
    <w:qFormat/>
    <w:rsid w:val="004D51A4"/>
    <w:pPr>
      <w:keepNext/>
      <w:keepLines/>
      <w:numPr>
        <w:numId w:val="17"/>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D51A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51A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51A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D51A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D51A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D51A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51A4"/>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D51A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D51A4"/>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customStyle="1" w:styleId="Footnote">
    <w:name w:val="Footnote"/>
    <w:rsid w:val="004D51A4"/>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Hyperlink"/>
    <w:rsid w:val="004D51A4"/>
    <w:rPr>
      <w:color w:val="0000FF" w:themeColor="hyperlink"/>
      <w:u w:val="single"/>
    </w:rPr>
  </w:style>
  <w:style w:type="character" w:styleId="Hyperlink">
    <w:name w:val="Hyperlink"/>
    <w:basedOn w:val="DefaultParagraphFont"/>
    <w:uiPriority w:val="99"/>
    <w:semiHidden/>
    <w:unhideWhenUsed/>
    <w:rsid w:val="004D51A4"/>
    <w:rPr>
      <w:color w:val="0000FF" w:themeColor="hyperlink"/>
      <w:u w:val="single"/>
    </w:rPr>
  </w:style>
  <w:style w:type="paragraph" w:styleId="EndnoteText">
    <w:name w:val="endnote text"/>
    <w:basedOn w:val="Normal"/>
    <w:link w:val="EndnoteTextChar"/>
    <w:uiPriority w:val="99"/>
    <w:unhideWhenUsed/>
    <w:rsid w:val="004D51A4"/>
  </w:style>
  <w:style w:type="character" w:customStyle="1" w:styleId="EndnoteTextChar">
    <w:name w:val="Endnote Text Char"/>
    <w:basedOn w:val="DefaultParagraphFont"/>
    <w:link w:val="EndnoteText"/>
    <w:uiPriority w:val="99"/>
    <w:rsid w:val="004D51A4"/>
    <w:rPr>
      <w:rFonts w:ascii="Times New Roman" w:eastAsia="Arial Unicode MS" w:hAnsi="Times New Roman" w:cs="Times New Roman"/>
      <w:bdr w:val="nil"/>
      <w:lang w:val="en-US"/>
    </w:rPr>
  </w:style>
  <w:style w:type="character" w:styleId="EndnoteReference">
    <w:name w:val="endnote reference"/>
    <w:basedOn w:val="DefaultParagraphFont"/>
    <w:uiPriority w:val="99"/>
    <w:unhideWhenUsed/>
    <w:rsid w:val="004D51A4"/>
    <w:rPr>
      <w:vertAlign w:val="superscript"/>
    </w:rPr>
  </w:style>
  <w:style w:type="paragraph" w:styleId="FootnoteText">
    <w:name w:val="footnote text"/>
    <w:basedOn w:val="Normal"/>
    <w:link w:val="FootnoteTextChar"/>
    <w:uiPriority w:val="99"/>
    <w:semiHidden/>
    <w:unhideWhenUsed/>
    <w:rsid w:val="004D51A4"/>
  </w:style>
  <w:style w:type="character" w:customStyle="1" w:styleId="FootnoteTextChar">
    <w:name w:val="Footnote Text Char"/>
    <w:basedOn w:val="DefaultParagraphFont"/>
    <w:link w:val="FootnoteText"/>
    <w:uiPriority w:val="99"/>
    <w:semiHidden/>
    <w:rsid w:val="004D51A4"/>
    <w:rPr>
      <w:rFonts w:ascii="Times New Roman" w:eastAsia="Arial Unicode MS" w:hAnsi="Times New Roman" w:cs="Times New Roman"/>
      <w:bdr w:val="nil"/>
      <w:lang w:val="en-US"/>
    </w:rPr>
  </w:style>
  <w:style w:type="character" w:styleId="FootnoteReference">
    <w:name w:val="footnote reference"/>
    <w:basedOn w:val="DefaultParagraphFont"/>
    <w:uiPriority w:val="99"/>
    <w:semiHidden/>
    <w:unhideWhenUsed/>
    <w:rsid w:val="004D51A4"/>
    <w:rPr>
      <w:vertAlign w:val="superscript"/>
    </w:rPr>
  </w:style>
  <w:style w:type="paragraph" w:customStyle="1" w:styleId="Bulletform">
    <w:name w:val="Bullet form"/>
    <w:basedOn w:val="Normal"/>
    <w:rsid w:val="004D51A4"/>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357"/>
      <w:jc w:val="both"/>
    </w:pPr>
    <w:rPr>
      <w:rFonts w:ascii="GoudyOlSt BT" w:eastAsia="Times New Roman" w:hAnsi="GoudyOlSt BT"/>
      <w:szCs w:val="20"/>
      <w:bdr w:val="none" w:sz="0" w:space="0" w:color="auto"/>
      <w:lang w:val="en-AU" w:eastAsia="en-AU"/>
    </w:rPr>
  </w:style>
  <w:style w:type="table" w:styleId="TableGrid">
    <w:name w:val="Table Grid"/>
    <w:basedOn w:val="TableNormal"/>
    <w:rsid w:val="004D51A4"/>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1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51A4"/>
    <w:rPr>
      <w:rFonts w:ascii="Lucida Grande" w:eastAsia="Arial Unicode MS" w:hAnsi="Lucida Grande" w:cs="Lucida Grande"/>
      <w:sz w:val="18"/>
      <w:szCs w:val="18"/>
      <w:bdr w:val="nil"/>
      <w:lang w:val="en-US"/>
    </w:rPr>
  </w:style>
  <w:style w:type="character" w:customStyle="1" w:styleId="Heading1Char">
    <w:name w:val="Heading 1 Char"/>
    <w:basedOn w:val="DefaultParagraphFont"/>
    <w:link w:val="Heading1"/>
    <w:uiPriority w:val="9"/>
    <w:rsid w:val="004D51A4"/>
    <w:rPr>
      <w:rFonts w:asciiTheme="majorHAnsi" w:eastAsiaTheme="majorEastAsia" w:hAnsiTheme="majorHAnsi" w:cstheme="majorBidi"/>
      <w:b/>
      <w:bCs/>
      <w:color w:val="345A8A" w:themeColor="accent1" w:themeShade="B5"/>
      <w:sz w:val="32"/>
      <w:szCs w:val="32"/>
      <w:bdr w:val="nil"/>
      <w:lang w:val="en-US"/>
    </w:rPr>
  </w:style>
  <w:style w:type="character" w:customStyle="1" w:styleId="Heading2Char">
    <w:name w:val="Heading 2 Char"/>
    <w:basedOn w:val="DefaultParagraphFont"/>
    <w:link w:val="Heading2"/>
    <w:uiPriority w:val="9"/>
    <w:rsid w:val="004D51A4"/>
    <w:rPr>
      <w:rFonts w:asciiTheme="majorHAnsi" w:eastAsiaTheme="majorEastAsia" w:hAnsiTheme="majorHAnsi" w:cstheme="majorBidi"/>
      <w:b/>
      <w:bCs/>
      <w:color w:val="4F81BD" w:themeColor="accent1"/>
      <w:sz w:val="26"/>
      <w:szCs w:val="26"/>
      <w:bdr w:val="nil"/>
      <w:lang w:val="en-US"/>
    </w:rPr>
  </w:style>
  <w:style w:type="character" w:customStyle="1" w:styleId="Heading3Char">
    <w:name w:val="Heading 3 Char"/>
    <w:basedOn w:val="DefaultParagraphFont"/>
    <w:link w:val="Heading3"/>
    <w:uiPriority w:val="9"/>
    <w:semiHidden/>
    <w:rsid w:val="004D51A4"/>
    <w:rPr>
      <w:rFonts w:asciiTheme="majorHAnsi" w:eastAsiaTheme="majorEastAsia" w:hAnsiTheme="majorHAnsi" w:cstheme="majorBidi"/>
      <w:b/>
      <w:bCs/>
      <w:color w:val="4F81BD" w:themeColor="accent1"/>
      <w:bdr w:val="nil"/>
      <w:lang w:val="en-US"/>
    </w:rPr>
  </w:style>
  <w:style w:type="character" w:customStyle="1" w:styleId="Heading4Char">
    <w:name w:val="Heading 4 Char"/>
    <w:basedOn w:val="DefaultParagraphFont"/>
    <w:link w:val="Heading4"/>
    <w:uiPriority w:val="9"/>
    <w:semiHidden/>
    <w:rsid w:val="004D51A4"/>
    <w:rPr>
      <w:rFonts w:asciiTheme="majorHAnsi" w:eastAsiaTheme="majorEastAsia" w:hAnsiTheme="majorHAnsi" w:cstheme="majorBidi"/>
      <w:b/>
      <w:bCs/>
      <w:i/>
      <w:iCs/>
      <w:color w:val="4F81BD" w:themeColor="accent1"/>
      <w:bdr w:val="nil"/>
      <w:lang w:val="en-US"/>
    </w:rPr>
  </w:style>
  <w:style w:type="character" w:customStyle="1" w:styleId="Heading5Char">
    <w:name w:val="Heading 5 Char"/>
    <w:basedOn w:val="DefaultParagraphFont"/>
    <w:link w:val="Heading5"/>
    <w:uiPriority w:val="9"/>
    <w:semiHidden/>
    <w:rsid w:val="004D51A4"/>
    <w:rPr>
      <w:rFonts w:asciiTheme="majorHAnsi" w:eastAsiaTheme="majorEastAsia" w:hAnsiTheme="majorHAnsi" w:cstheme="majorBidi"/>
      <w:color w:val="243F60" w:themeColor="accent1" w:themeShade="7F"/>
      <w:bdr w:val="nil"/>
      <w:lang w:val="en-US"/>
    </w:rPr>
  </w:style>
  <w:style w:type="character" w:customStyle="1" w:styleId="Heading6Char">
    <w:name w:val="Heading 6 Char"/>
    <w:basedOn w:val="DefaultParagraphFont"/>
    <w:link w:val="Heading6"/>
    <w:uiPriority w:val="9"/>
    <w:semiHidden/>
    <w:rsid w:val="004D51A4"/>
    <w:rPr>
      <w:rFonts w:asciiTheme="majorHAnsi" w:eastAsiaTheme="majorEastAsia" w:hAnsiTheme="majorHAnsi" w:cstheme="majorBidi"/>
      <w:i/>
      <w:iCs/>
      <w:color w:val="243F60" w:themeColor="accent1" w:themeShade="7F"/>
      <w:bdr w:val="nil"/>
      <w:lang w:val="en-US"/>
    </w:rPr>
  </w:style>
  <w:style w:type="character" w:customStyle="1" w:styleId="Heading7Char">
    <w:name w:val="Heading 7 Char"/>
    <w:basedOn w:val="DefaultParagraphFont"/>
    <w:link w:val="Heading7"/>
    <w:uiPriority w:val="9"/>
    <w:semiHidden/>
    <w:rsid w:val="004D51A4"/>
    <w:rPr>
      <w:rFonts w:asciiTheme="majorHAnsi" w:eastAsiaTheme="majorEastAsia" w:hAnsiTheme="majorHAnsi" w:cstheme="majorBidi"/>
      <w:i/>
      <w:iCs/>
      <w:color w:val="404040" w:themeColor="text1" w:themeTint="BF"/>
      <w:bdr w:val="nil"/>
      <w:lang w:val="en-US"/>
    </w:rPr>
  </w:style>
  <w:style w:type="character" w:customStyle="1" w:styleId="Heading8Char">
    <w:name w:val="Heading 8 Char"/>
    <w:basedOn w:val="DefaultParagraphFont"/>
    <w:link w:val="Heading8"/>
    <w:uiPriority w:val="9"/>
    <w:semiHidden/>
    <w:rsid w:val="004D51A4"/>
    <w:rPr>
      <w:rFonts w:asciiTheme="majorHAnsi" w:eastAsiaTheme="majorEastAsia" w:hAnsiTheme="majorHAnsi" w:cstheme="majorBidi"/>
      <w:color w:val="404040" w:themeColor="text1" w:themeTint="BF"/>
      <w:sz w:val="20"/>
      <w:szCs w:val="20"/>
      <w:bdr w:val="nil"/>
      <w:lang w:val="en-US"/>
    </w:rPr>
  </w:style>
  <w:style w:type="character" w:customStyle="1" w:styleId="Heading9Char">
    <w:name w:val="Heading 9 Char"/>
    <w:basedOn w:val="DefaultParagraphFont"/>
    <w:link w:val="Heading9"/>
    <w:uiPriority w:val="9"/>
    <w:semiHidden/>
    <w:rsid w:val="004D51A4"/>
    <w:rPr>
      <w:rFonts w:asciiTheme="majorHAnsi" w:eastAsiaTheme="majorEastAsia" w:hAnsiTheme="majorHAnsi" w:cstheme="majorBidi"/>
      <w:i/>
      <w:iCs/>
      <w:color w:val="404040" w:themeColor="text1" w:themeTint="BF"/>
      <w:sz w:val="20"/>
      <w:szCs w:val="20"/>
      <w:bdr w:val="nil"/>
      <w:lang w:val="en-US"/>
    </w:rPr>
  </w:style>
  <w:style w:type="paragraph" w:styleId="NoSpacing">
    <w:name w:val="No Spacing"/>
    <w:uiPriority w:val="1"/>
    <w:qFormat/>
    <w:rsid w:val="00653E7D"/>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er">
    <w:name w:val="header"/>
    <w:basedOn w:val="Normal"/>
    <w:link w:val="HeaderChar"/>
    <w:uiPriority w:val="99"/>
    <w:unhideWhenUsed/>
    <w:rsid w:val="00653E7D"/>
    <w:pPr>
      <w:tabs>
        <w:tab w:val="center" w:pos="4320"/>
        <w:tab w:val="right" w:pos="8640"/>
      </w:tabs>
    </w:pPr>
  </w:style>
  <w:style w:type="character" w:customStyle="1" w:styleId="HeaderChar">
    <w:name w:val="Header Char"/>
    <w:basedOn w:val="DefaultParagraphFont"/>
    <w:link w:val="Header"/>
    <w:uiPriority w:val="99"/>
    <w:rsid w:val="00653E7D"/>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653E7D"/>
    <w:pPr>
      <w:tabs>
        <w:tab w:val="center" w:pos="4320"/>
        <w:tab w:val="right" w:pos="8640"/>
      </w:tabs>
    </w:pPr>
  </w:style>
  <w:style w:type="character" w:customStyle="1" w:styleId="FooterChar">
    <w:name w:val="Footer Char"/>
    <w:basedOn w:val="DefaultParagraphFont"/>
    <w:link w:val="Footer"/>
    <w:uiPriority w:val="99"/>
    <w:rsid w:val="00653E7D"/>
    <w:rPr>
      <w:rFonts w:ascii="Times New Roman" w:eastAsia="Arial Unicode MS" w:hAnsi="Times New Roman" w:cs="Times New Roman"/>
      <w:bdr w:val="nil"/>
      <w:lang w:val="en-US"/>
    </w:rPr>
  </w:style>
  <w:style w:type="paragraph" w:styleId="TOCHeading">
    <w:name w:val="TOC Heading"/>
    <w:basedOn w:val="Heading1"/>
    <w:next w:val="Normal"/>
    <w:uiPriority w:val="39"/>
    <w:unhideWhenUsed/>
    <w:qFormat/>
    <w:rsid w:val="00B77C6C"/>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color w:val="365F91" w:themeColor="accent1" w:themeShade="BF"/>
      <w:sz w:val="28"/>
      <w:szCs w:val="28"/>
      <w:bdr w:val="none" w:sz="0" w:space="0" w:color="auto"/>
    </w:rPr>
  </w:style>
  <w:style w:type="paragraph" w:styleId="TOC1">
    <w:name w:val="toc 1"/>
    <w:basedOn w:val="Normal"/>
    <w:next w:val="Normal"/>
    <w:autoRedefine/>
    <w:uiPriority w:val="39"/>
    <w:unhideWhenUsed/>
    <w:rsid w:val="00B77C6C"/>
    <w:pPr>
      <w:spacing w:before="120"/>
    </w:pPr>
    <w:rPr>
      <w:rFonts w:asciiTheme="minorHAnsi" w:hAnsiTheme="minorHAnsi"/>
      <w:b/>
    </w:rPr>
  </w:style>
  <w:style w:type="paragraph" w:styleId="TOC2">
    <w:name w:val="toc 2"/>
    <w:basedOn w:val="Normal"/>
    <w:next w:val="Normal"/>
    <w:autoRedefine/>
    <w:uiPriority w:val="39"/>
    <w:unhideWhenUsed/>
    <w:rsid w:val="00B77C6C"/>
    <w:pPr>
      <w:tabs>
        <w:tab w:val="left" w:pos="755"/>
        <w:tab w:val="right" w:leader="dot" w:pos="8290"/>
      </w:tabs>
      <w:spacing w:line="360" w:lineRule="auto"/>
      <w:ind w:left="240"/>
    </w:pPr>
    <w:rPr>
      <w:rFonts w:asciiTheme="minorHAnsi" w:hAnsiTheme="minorHAnsi"/>
      <w:noProof/>
      <w:sz w:val="22"/>
      <w:szCs w:val="22"/>
      <w:lang w:val="en-AU"/>
    </w:rPr>
  </w:style>
  <w:style w:type="paragraph" w:styleId="TOC3">
    <w:name w:val="toc 3"/>
    <w:basedOn w:val="Normal"/>
    <w:next w:val="Normal"/>
    <w:autoRedefine/>
    <w:uiPriority w:val="39"/>
    <w:semiHidden/>
    <w:unhideWhenUsed/>
    <w:rsid w:val="00B77C6C"/>
    <w:pPr>
      <w:ind w:left="480"/>
    </w:pPr>
    <w:rPr>
      <w:rFonts w:asciiTheme="minorHAnsi" w:hAnsiTheme="minorHAnsi"/>
      <w:sz w:val="22"/>
      <w:szCs w:val="22"/>
    </w:rPr>
  </w:style>
  <w:style w:type="paragraph" w:styleId="TOC4">
    <w:name w:val="toc 4"/>
    <w:basedOn w:val="Normal"/>
    <w:next w:val="Normal"/>
    <w:autoRedefine/>
    <w:uiPriority w:val="39"/>
    <w:semiHidden/>
    <w:unhideWhenUsed/>
    <w:rsid w:val="00B77C6C"/>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C6C"/>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C6C"/>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C6C"/>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C6C"/>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C6C"/>
    <w:pPr>
      <w:ind w:left="1920"/>
    </w:pPr>
    <w:rPr>
      <w:rFonts w:asciiTheme="minorHAnsi" w:hAnsiTheme="minorHAnsi"/>
      <w:sz w:val="20"/>
      <w:szCs w:val="20"/>
    </w:rPr>
  </w:style>
  <w:style w:type="character" w:styleId="PageNumber">
    <w:name w:val="page number"/>
    <w:basedOn w:val="DefaultParagraphFont"/>
    <w:uiPriority w:val="99"/>
    <w:semiHidden/>
    <w:unhideWhenUsed/>
    <w:rsid w:val="00A02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0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750C7-75FE-4A72-9CE5-B4C8A18C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3561</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Submission DR347 - Arisha Arif - Workplace Relations Framework - Public inquiry</vt:lpstr>
    </vt:vector>
  </TitlesOfParts>
  <Company>Arisha Arif</Company>
  <LinksUpToDate>false</LinksUpToDate>
  <CharactersWithSpaces>23818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DR347 - Arisha Arif - Workplace Relations Framework - Public inquiry</dc:title>
  <dc:creator>Arisha Arif</dc:creator>
  <cp:lastModifiedBy>Productivity Commission</cp:lastModifiedBy>
  <cp:revision>3</cp:revision>
  <dcterms:created xsi:type="dcterms:W3CDTF">2015-09-26T04:08:00Z</dcterms:created>
  <dcterms:modified xsi:type="dcterms:W3CDTF">2015-09-28T00:56:00Z</dcterms:modified>
</cp:coreProperties>
</file>