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B0" w:rsidRDefault="007A27B0" w:rsidP="00777554">
      <w:pPr>
        <w:spacing w:after="120" w:line="276" w:lineRule="auto"/>
        <w:ind w:left="14"/>
        <w:jc w:val="center"/>
        <w:rPr>
          <w:rFonts w:ascii="Arial" w:hAnsi="Arial" w:cs="Arial"/>
          <w:b/>
        </w:rPr>
      </w:pPr>
      <w:r>
        <w:rPr>
          <w:rFonts w:ascii="Arial" w:hAnsi="Arial" w:cs="Arial"/>
          <w:b/>
        </w:rPr>
        <w:t xml:space="preserve">AUSTRALIAN GOVERNMENT PRODUCTIVITY COMMISSION </w:t>
      </w:r>
    </w:p>
    <w:p w:rsidR="007138B6" w:rsidRPr="00777554" w:rsidRDefault="007138B6" w:rsidP="00777554">
      <w:pPr>
        <w:spacing w:after="120" w:line="276" w:lineRule="auto"/>
        <w:ind w:left="14"/>
        <w:jc w:val="center"/>
        <w:rPr>
          <w:rFonts w:ascii="Arial" w:hAnsi="Arial" w:cs="Arial"/>
          <w:b/>
        </w:rPr>
      </w:pPr>
      <w:r w:rsidRPr="00777554">
        <w:rPr>
          <w:rFonts w:ascii="Arial" w:hAnsi="Arial" w:cs="Arial"/>
          <w:b/>
        </w:rPr>
        <w:t>NATIONAL EDUCATION EVIDENCE BASE –</w:t>
      </w:r>
      <w:r w:rsidR="007A27B0">
        <w:rPr>
          <w:rFonts w:ascii="Arial" w:hAnsi="Arial" w:cs="Arial"/>
          <w:b/>
        </w:rPr>
        <w:t xml:space="preserve"> </w:t>
      </w:r>
      <w:r w:rsidRPr="00777554">
        <w:rPr>
          <w:rFonts w:ascii="Arial" w:hAnsi="Arial" w:cs="Arial"/>
          <w:b/>
        </w:rPr>
        <w:t>ISSUES PAPER, APRIL 2016</w:t>
      </w:r>
    </w:p>
    <w:p w:rsidR="007138B6" w:rsidRPr="00777554" w:rsidRDefault="007138B6" w:rsidP="00777554">
      <w:pPr>
        <w:spacing w:after="120" w:line="276" w:lineRule="auto"/>
        <w:ind w:left="-364"/>
        <w:jc w:val="both"/>
        <w:rPr>
          <w:rFonts w:ascii="Arial" w:hAnsi="Arial" w:cs="Arial"/>
          <w:b/>
        </w:rPr>
      </w:pPr>
    </w:p>
    <w:p w:rsidR="00777554" w:rsidRPr="00777554" w:rsidRDefault="00777554" w:rsidP="00777554">
      <w:pPr>
        <w:spacing w:after="120" w:line="276" w:lineRule="auto"/>
        <w:ind w:left="14"/>
        <w:jc w:val="both"/>
        <w:rPr>
          <w:rFonts w:ascii="Arial" w:hAnsi="Arial" w:cs="Arial"/>
          <w:b/>
        </w:rPr>
      </w:pPr>
      <w:r w:rsidRPr="00777554">
        <w:rPr>
          <w:rFonts w:ascii="Arial" w:hAnsi="Arial" w:cs="Arial"/>
          <w:b/>
        </w:rPr>
        <w:t>Terms of Reference</w:t>
      </w:r>
    </w:p>
    <w:p w:rsidR="00777554" w:rsidRPr="007A27B0" w:rsidRDefault="00777554" w:rsidP="00777554">
      <w:pPr>
        <w:pStyle w:val="BodyText"/>
        <w:spacing w:before="0" w:after="120" w:line="276" w:lineRule="auto"/>
        <w:rPr>
          <w:rFonts w:ascii="Arial" w:hAnsi="Arial" w:cs="Arial"/>
          <w:i/>
          <w:sz w:val="22"/>
          <w:szCs w:val="22"/>
        </w:rPr>
      </w:pPr>
      <w:r w:rsidRPr="007A27B0">
        <w:rPr>
          <w:rFonts w:ascii="Arial" w:hAnsi="Arial" w:cs="Arial"/>
          <w:i/>
          <w:sz w:val="22"/>
          <w:szCs w:val="22"/>
        </w:rPr>
        <w:t>In undertaking this inquiry, the Commission has been asked to report on and make recommendations about:</w:t>
      </w:r>
    </w:p>
    <w:p w:rsidR="00777554" w:rsidRPr="007A27B0" w:rsidRDefault="00777554" w:rsidP="00777554">
      <w:pPr>
        <w:pStyle w:val="ListBullet"/>
        <w:spacing w:before="0" w:after="120" w:line="276" w:lineRule="auto"/>
        <w:rPr>
          <w:rFonts w:ascii="Arial" w:hAnsi="Arial" w:cs="Arial"/>
          <w:i/>
          <w:sz w:val="22"/>
          <w:szCs w:val="22"/>
        </w:rPr>
      </w:pPr>
      <w:r w:rsidRPr="007A27B0">
        <w:rPr>
          <w:rFonts w:ascii="Arial" w:hAnsi="Arial" w:cs="Arial"/>
          <w:i/>
          <w:sz w:val="22"/>
          <w:szCs w:val="22"/>
        </w:rPr>
        <w:t xml:space="preserve">the kinds of data that are needed to support a comprehensive evidence base </w:t>
      </w:r>
      <w:r w:rsidRPr="007A27B0" w:rsidDel="00BD0B05">
        <w:rPr>
          <w:rFonts w:ascii="Arial" w:hAnsi="Arial" w:cs="Arial"/>
          <w:i/>
          <w:sz w:val="22"/>
          <w:szCs w:val="22"/>
        </w:rPr>
        <w:t xml:space="preserve">to </w:t>
      </w:r>
      <w:r w:rsidRPr="007A27B0">
        <w:rPr>
          <w:rFonts w:ascii="Arial" w:hAnsi="Arial" w:cs="Arial"/>
          <w:i/>
          <w:sz w:val="22"/>
          <w:szCs w:val="22"/>
        </w:rPr>
        <w:t xml:space="preserve">monitor educational outcomes and to inform policy development and evaluation in early childhood and school education </w:t>
      </w:r>
    </w:p>
    <w:p w:rsidR="00777554" w:rsidRPr="007A27B0" w:rsidRDefault="00777554" w:rsidP="00777554">
      <w:pPr>
        <w:pStyle w:val="ListBullet"/>
        <w:spacing w:before="0" w:after="120" w:line="276" w:lineRule="auto"/>
        <w:rPr>
          <w:rFonts w:ascii="Arial" w:hAnsi="Arial" w:cs="Arial"/>
          <w:i/>
          <w:sz w:val="22"/>
          <w:szCs w:val="22"/>
        </w:rPr>
      </w:pPr>
      <w:r w:rsidRPr="007A27B0">
        <w:rPr>
          <w:rFonts w:ascii="Arial" w:hAnsi="Arial" w:cs="Arial"/>
          <w:i/>
          <w:sz w:val="22"/>
          <w:szCs w:val="22"/>
        </w:rPr>
        <w:t>any additional kinds of data that could add value to the existing evidence base, such as data on non-cognitive skills of students and relevant information from outside the education sector</w:t>
      </w:r>
    </w:p>
    <w:p w:rsidR="00777554" w:rsidRPr="007A27B0" w:rsidRDefault="00777554" w:rsidP="00777554">
      <w:pPr>
        <w:pStyle w:val="ListBullet"/>
        <w:spacing w:before="0" w:after="120" w:line="276" w:lineRule="auto"/>
        <w:rPr>
          <w:rFonts w:ascii="Arial" w:hAnsi="Arial" w:cs="Arial"/>
          <w:i/>
          <w:sz w:val="22"/>
          <w:szCs w:val="22"/>
        </w:rPr>
      </w:pPr>
      <w:r w:rsidRPr="007A27B0">
        <w:rPr>
          <w:rFonts w:ascii="Arial" w:hAnsi="Arial" w:cs="Arial"/>
          <w:i/>
          <w:sz w:val="22"/>
          <w:szCs w:val="22"/>
        </w:rPr>
        <w:t>barriers to sharing or accessing data, and how these can be overcome; such as privacy concerns and national and jurisdictional data governance structures and protocols</w:t>
      </w:r>
    </w:p>
    <w:p w:rsidR="00777554" w:rsidRPr="007A27B0" w:rsidRDefault="00777554" w:rsidP="00777554">
      <w:pPr>
        <w:pStyle w:val="ListBullet"/>
        <w:spacing w:before="0" w:after="120" w:line="276" w:lineRule="auto"/>
        <w:rPr>
          <w:rFonts w:ascii="Arial" w:hAnsi="Arial" w:cs="Arial"/>
          <w:i/>
          <w:sz w:val="22"/>
          <w:szCs w:val="22"/>
        </w:rPr>
      </w:pPr>
      <w:r w:rsidRPr="007A27B0">
        <w:rPr>
          <w:rFonts w:ascii="Arial" w:hAnsi="Arial" w:cs="Arial"/>
          <w:i/>
          <w:sz w:val="22"/>
          <w:szCs w:val="22"/>
        </w:rPr>
        <w:t>the role of technology in supporting the scope, quality and timeliness of data collection and reporting</w:t>
      </w:r>
    </w:p>
    <w:p w:rsidR="00777554" w:rsidRPr="007A27B0" w:rsidRDefault="00777554" w:rsidP="00777554">
      <w:pPr>
        <w:pStyle w:val="ListBullet"/>
        <w:spacing w:before="0" w:after="120" w:line="276" w:lineRule="auto"/>
        <w:rPr>
          <w:rFonts w:ascii="Arial" w:hAnsi="Arial" w:cs="Arial"/>
          <w:i/>
          <w:spacing w:val="-4"/>
          <w:sz w:val="22"/>
          <w:szCs w:val="22"/>
        </w:rPr>
      </w:pPr>
      <w:r w:rsidRPr="007A27B0">
        <w:rPr>
          <w:rFonts w:ascii="Arial" w:hAnsi="Arial" w:cs="Arial"/>
          <w:i/>
          <w:spacing w:val="-4"/>
          <w:sz w:val="22"/>
          <w:szCs w:val="22"/>
        </w:rPr>
        <w:t>the costs and benefits of options for improvements to the national education evidence base.</w:t>
      </w:r>
    </w:p>
    <w:p w:rsidR="00777554" w:rsidRPr="00777554" w:rsidRDefault="00777554" w:rsidP="00777554">
      <w:pPr>
        <w:spacing w:after="120" w:line="276" w:lineRule="auto"/>
        <w:rPr>
          <w:rFonts w:ascii="Arial" w:hAnsi="Arial" w:cs="Arial"/>
        </w:rPr>
      </w:pPr>
    </w:p>
    <w:p w:rsidR="008860D8" w:rsidRDefault="008860D8" w:rsidP="00777554">
      <w:pPr>
        <w:spacing w:after="120" w:line="276" w:lineRule="auto"/>
        <w:ind w:left="14"/>
        <w:jc w:val="both"/>
        <w:rPr>
          <w:rFonts w:ascii="Arial" w:hAnsi="Arial" w:cs="Arial"/>
          <w:b/>
        </w:rPr>
      </w:pPr>
    </w:p>
    <w:p w:rsidR="008860D8" w:rsidRDefault="008860D8" w:rsidP="00777554">
      <w:pPr>
        <w:spacing w:after="120" w:line="276" w:lineRule="auto"/>
        <w:ind w:left="14"/>
        <w:jc w:val="both"/>
        <w:rPr>
          <w:rFonts w:ascii="Arial" w:hAnsi="Arial" w:cs="Arial"/>
          <w:b/>
        </w:rPr>
      </w:pPr>
    </w:p>
    <w:p w:rsidR="00DB70AD" w:rsidRPr="00777554" w:rsidRDefault="007138B6" w:rsidP="00777554">
      <w:pPr>
        <w:spacing w:after="120" w:line="276" w:lineRule="auto"/>
        <w:ind w:left="14"/>
        <w:jc w:val="both"/>
        <w:rPr>
          <w:rFonts w:ascii="Arial" w:hAnsi="Arial" w:cs="Arial"/>
          <w:b/>
        </w:rPr>
      </w:pPr>
      <w:r w:rsidRPr="00777554">
        <w:rPr>
          <w:rFonts w:ascii="Arial" w:hAnsi="Arial" w:cs="Arial"/>
          <w:b/>
        </w:rPr>
        <w:t>GENERAL COMMENTS</w:t>
      </w:r>
    </w:p>
    <w:p w:rsidR="00F56F95" w:rsidRDefault="00F56F95" w:rsidP="00777554">
      <w:pPr>
        <w:pStyle w:val="ListParagraph"/>
        <w:spacing w:after="120" w:line="276" w:lineRule="auto"/>
        <w:ind w:left="14"/>
        <w:contextualSpacing w:val="0"/>
        <w:jc w:val="both"/>
        <w:rPr>
          <w:rFonts w:ascii="Arial" w:hAnsi="Arial" w:cs="Arial"/>
        </w:rPr>
      </w:pPr>
      <w:r w:rsidRPr="00F56F95">
        <w:rPr>
          <w:rFonts w:ascii="Arial" w:hAnsi="Arial" w:cs="Arial"/>
        </w:rPr>
        <w:t>The Issues Paper has a specific focus area on education</w:t>
      </w:r>
      <w:r>
        <w:rPr>
          <w:rFonts w:ascii="Arial" w:hAnsi="Arial" w:cs="Arial"/>
        </w:rPr>
        <w:t xml:space="preserve"> and</w:t>
      </w:r>
      <w:r w:rsidRPr="00F56F95">
        <w:rPr>
          <w:rFonts w:ascii="Arial" w:hAnsi="Arial" w:cs="Arial"/>
        </w:rPr>
        <w:t xml:space="preserve"> the value of education data in r</w:t>
      </w:r>
      <w:r>
        <w:rPr>
          <w:rFonts w:ascii="Arial" w:hAnsi="Arial" w:cs="Arial"/>
        </w:rPr>
        <w:t>elation to a sound evidence base to inform</w:t>
      </w:r>
      <w:r w:rsidR="00A71DDA">
        <w:rPr>
          <w:rFonts w:ascii="Arial" w:hAnsi="Arial" w:cs="Arial"/>
        </w:rPr>
        <w:t xml:space="preserve"> policy and evaluation</w:t>
      </w:r>
      <w:r>
        <w:rPr>
          <w:rFonts w:ascii="Arial" w:hAnsi="Arial" w:cs="Arial"/>
        </w:rPr>
        <w:t xml:space="preserve"> the areas of childhood and school education.</w:t>
      </w:r>
      <w:r w:rsidR="00A71DDA">
        <w:rPr>
          <w:rFonts w:ascii="Arial" w:hAnsi="Arial" w:cs="Arial"/>
        </w:rPr>
        <w:t xml:space="preserve"> </w:t>
      </w:r>
    </w:p>
    <w:p w:rsidR="00FA5838" w:rsidRDefault="00A71DDA" w:rsidP="00FA5838">
      <w:pPr>
        <w:pStyle w:val="ListParagraph"/>
        <w:spacing w:after="120" w:line="276" w:lineRule="auto"/>
        <w:ind w:left="14"/>
        <w:contextualSpacing w:val="0"/>
        <w:jc w:val="both"/>
        <w:rPr>
          <w:rFonts w:ascii="Arial" w:hAnsi="Arial" w:cs="Arial"/>
        </w:rPr>
      </w:pPr>
      <w:r>
        <w:rPr>
          <w:rFonts w:ascii="Arial" w:hAnsi="Arial" w:cs="Arial"/>
        </w:rPr>
        <w:t xml:space="preserve">The role of SA NT </w:t>
      </w:r>
      <w:proofErr w:type="spellStart"/>
      <w:r>
        <w:rPr>
          <w:rFonts w:ascii="Arial" w:hAnsi="Arial" w:cs="Arial"/>
        </w:rPr>
        <w:t>DataLink</w:t>
      </w:r>
      <w:proofErr w:type="spellEnd"/>
      <w:r>
        <w:rPr>
          <w:rFonts w:ascii="Arial" w:hAnsi="Arial" w:cs="Arial"/>
        </w:rPr>
        <w:t xml:space="preserve"> is to facilitate access to data that can inform policy and evaluation in a wide range of areas and whilst </w:t>
      </w:r>
      <w:r w:rsidR="00B14449">
        <w:rPr>
          <w:rFonts w:ascii="Arial" w:hAnsi="Arial" w:cs="Arial"/>
        </w:rPr>
        <w:t xml:space="preserve">it is </w:t>
      </w:r>
      <w:r>
        <w:rPr>
          <w:rFonts w:ascii="Arial" w:hAnsi="Arial" w:cs="Arial"/>
        </w:rPr>
        <w:t>not a ‘specialist’ in the education area,</w:t>
      </w:r>
      <w:r w:rsidR="00B14449">
        <w:rPr>
          <w:rFonts w:ascii="Arial" w:hAnsi="Arial" w:cs="Arial"/>
        </w:rPr>
        <w:t xml:space="preserve"> it</w:t>
      </w:r>
      <w:r>
        <w:rPr>
          <w:rFonts w:ascii="Arial" w:hAnsi="Arial" w:cs="Arial"/>
        </w:rPr>
        <w:t xml:space="preserve"> does have significant experience in addressing questions in relation to data access and availability</w:t>
      </w:r>
      <w:r w:rsidR="00B14449">
        <w:rPr>
          <w:rFonts w:ascii="Arial" w:hAnsi="Arial" w:cs="Arial"/>
        </w:rPr>
        <w:t xml:space="preserve"> more generally that are relevant to this inquiry</w:t>
      </w:r>
      <w:r>
        <w:rPr>
          <w:rFonts w:ascii="Arial" w:hAnsi="Arial" w:cs="Arial"/>
        </w:rPr>
        <w:t xml:space="preserve">. </w:t>
      </w:r>
    </w:p>
    <w:p w:rsidR="00A71DDA" w:rsidRDefault="00BC51D5" w:rsidP="00777554">
      <w:pPr>
        <w:pStyle w:val="ListParagraph"/>
        <w:spacing w:after="120" w:line="276" w:lineRule="auto"/>
        <w:ind w:left="14"/>
        <w:contextualSpacing w:val="0"/>
        <w:jc w:val="both"/>
        <w:rPr>
          <w:rFonts w:ascii="Arial" w:hAnsi="Arial" w:cs="Arial"/>
        </w:rPr>
      </w:pPr>
      <w:r>
        <w:rPr>
          <w:rFonts w:ascii="Arial" w:hAnsi="Arial" w:cs="Arial"/>
        </w:rPr>
        <w:t xml:space="preserve">SA NT </w:t>
      </w:r>
      <w:proofErr w:type="spellStart"/>
      <w:r>
        <w:rPr>
          <w:rFonts w:ascii="Arial" w:hAnsi="Arial" w:cs="Arial"/>
        </w:rPr>
        <w:t>DataLink</w:t>
      </w:r>
      <w:proofErr w:type="spellEnd"/>
      <w:r>
        <w:rPr>
          <w:rFonts w:ascii="Arial" w:hAnsi="Arial" w:cs="Arial"/>
        </w:rPr>
        <w:t xml:space="preserve"> is continually expan</w:t>
      </w:r>
      <w:bookmarkStart w:id="0" w:name="_GoBack"/>
      <w:bookmarkEnd w:id="0"/>
      <w:r>
        <w:rPr>
          <w:rFonts w:ascii="Arial" w:hAnsi="Arial" w:cs="Arial"/>
        </w:rPr>
        <w:t xml:space="preserve">ding the types of data and the year ranges </w:t>
      </w:r>
      <w:r w:rsidR="00C832EC">
        <w:rPr>
          <w:rFonts w:ascii="Arial" w:hAnsi="Arial" w:cs="Arial"/>
        </w:rPr>
        <w:t>of the</w:t>
      </w:r>
      <w:r>
        <w:rPr>
          <w:rFonts w:ascii="Arial" w:hAnsi="Arial" w:cs="Arial"/>
        </w:rPr>
        <w:t xml:space="preserve"> data.  </w:t>
      </w:r>
      <w:r w:rsidR="00C832EC">
        <w:rPr>
          <w:rFonts w:ascii="Arial" w:hAnsi="Arial" w:cs="Arial"/>
        </w:rPr>
        <w:t xml:space="preserve">A description of the data currently available through SA NT </w:t>
      </w:r>
      <w:proofErr w:type="spellStart"/>
      <w:r w:rsidR="00C832EC">
        <w:rPr>
          <w:rFonts w:ascii="Arial" w:hAnsi="Arial" w:cs="Arial"/>
        </w:rPr>
        <w:t>DataLink</w:t>
      </w:r>
      <w:proofErr w:type="spellEnd"/>
      <w:r w:rsidR="00C832EC">
        <w:rPr>
          <w:rFonts w:ascii="Arial" w:hAnsi="Arial" w:cs="Arial"/>
        </w:rPr>
        <w:t xml:space="preserve"> is available from it its </w:t>
      </w:r>
      <w:hyperlink r:id="rId14" w:history="1">
        <w:r w:rsidR="00C832EC">
          <w:rPr>
            <w:rStyle w:val="Hyperlink"/>
            <w:rFonts w:ascii="Arial" w:hAnsi="Arial" w:cs="Arial"/>
          </w:rPr>
          <w:t>website.</w:t>
        </w:r>
      </w:hyperlink>
      <w:r w:rsidR="00C832EC">
        <w:rPr>
          <w:rFonts w:ascii="Arial" w:hAnsi="Arial" w:cs="Arial"/>
        </w:rPr>
        <w:t xml:space="preserve">  </w:t>
      </w:r>
      <w:r>
        <w:rPr>
          <w:rFonts w:ascii="Arial" w:hAnsi="Arial" w:cs="Arial"/>
        </w:rPr>
        <w:t>For example, it is expected to receive SA Health Men</w:t>
      </w:r>
      <w:r w:rsidR="00FA5838">
        <w:rPr>
          <w:rFonts w:ascii="Arial" w:hAnsi="Arial" w:cs="Arial"/>
        </w:rPr>
        <w:t xml:space="preserve">tal Health, </w:t>
      </w:r>
      <w:r>
        <w:rPr>
          <w:rFonts w:ascii="Arial" w:hAnsi="Arial" w:cs="Arial"/>
        </w:rPr>
        <w:t>Drugs of Dependence</w:t>
      </w:r>
      <w:r w:rsidR="00FA5838">
        <w:rPr>
          <w:rFonts w:ascii="Arial" w:hAnsi="Arial" w:cs="Arial"/>
        </w:rPr>
        <w:t xml:space="preserve"> and SA Ambulance data</w:t>
      </w:r>
      <w:r>
        <w:rPr>
          <w:rFonts w:ascii="Arial" w:hAnsi="Arial" w:cs="Arial"/>
        </w:rPr>
        <w:t xml:space="preserve"> and is negotiating access to the SA</w:t>
      </w:r>
      <w:r w:rsidR="00FA5838">
        <w:rPr>
          <w:rFonts w:ascii="Arial" w:hAnsi="Arial" w:cs="Arial"/>
        </w:rPr>
        <w:t xml:space="preserve"> Catholic Education data and higher education and TAFE sector data and</w:t>
      </w:r>
      <w:r w:rsidR="00FA5838" w:rsidRPr="00FA5838">
        <w:rPr>
          <w:rFonts w:ascii="Arial" w:hAnsi="Arial" w:cs="Arial"/>
        </w:rPr>
        <w:t xml:space="preserve"> </w:t>
      </w:r>
      <w:r w:rsidR="00FA5838">
        <w:rPr>
          <w:rFonts w:ascii="Arial" w:hAnsi="Arial" w:cs="Arial"/>
        </w:rPr>
        <w:t>Department of Planning Transport and Infrastructure’s Motor Vehicle accident data.</w:t>
      </w:r>
    </w:p>
    <w:p w:rsidR="00F56F95" w:rsidRDefault="00B14449" w:rsidP="00777554">
      <w:pPr>
        <w:pStyle w:val="ListParagraph"/>
        <w:spacing w:after="120" w:line="276" w:lineRule="auto"/>
        <w:ind w:left="14"/>
        <w:contextualSpacing w:val="0"/>
        <w:jc w:val="both"/>
        <w:rPr>
          <w:rFonts w:ascii="Arial" w:hAnsi="Arial" w:cs="Arial"/>
        </w:rPr>
      </w:pPr>
      <w:r>
        <w:rPr>
          <w:rFonts w:ascii="Arial" w:hAnsi="Arial" w:cs="Arial"/>
        </w:rPr>
        <w:t xml:space="preserve">SA NT </w:t>
      </w:r>
      <w:proofErr w:type="spellStart"/>
      <w:r>
        <w:rPr>
          <w:rFonts w:ascii="Arial" w:hAnsi="Arial" w:cs="Arial"/>
        </w:rPr>
        <w:t>DataLink</w:t>
      </w:r>
      <w:proofErr w:type="spellEnd"/>
      <w:r>
        <w:rPr>
          <w:rFonts w:ascii="Arial" w:hAnsi="Arial" w:cs="Arial"/>
        </w:rPr>
        <w:t xml:space="preserve"> is also preparing a submission to the Productivity Commission’s inquiry into ‘</w:t>
      </w:r>
      <w:r w:rsidRPr="00BC51D5">
        <w:rPr>
          <w:rFonts w:ascii="Arial" w:hAnsi="Arial" w:cs="Arial"/>
          <w:i/>
        </w:rPr>
        <w:t>Data Availability and Use</w:t>
      </w:r>
      <w:r>
        <w:rPr>
          <w:rFonts w:ascii="Arial" w:hAnsi="Arial" w:cs="Arial"/>
        </w:rPr>
        <w:t xml:space="preserve"> referred to in this Issues Paper and </w:t>
      </w:r>
      <w:r w:rsidR="001840CB">
        <w:rPr>
          <w:rFonts w:ascii="Arial" w:hAnsi="Arial" w:cs="Arial"/>
        </w:rPr>
        <w:t xml:space="preserve">the Commissioners are asked to refer to that SA NT </w:t>
      </w:r>
      <w:proofErr w:type="spellStart"/>
      <w:r w:rsidR="001840CB">
        <w:rPr>
          <w:rFonts w:ascii="Arial" w:hAnsi="Arial" w:cs="Arial"/>
        </w:rPr>
        <w:t>DataLink’s</w:t>
      </w:r>
      <w:proofErr w:type="spellEnd"/>
      <w:r w:rsidR="001840CB">
        <w:rPr>
          <w:rFonts w:ascii="Arial" w:hAnsi="Arial" w:cs="Arial"/>
        </w:rPr>
        <w:t xml:space="preserve"> response.</w:t>
      </w:r>
    </w:p>
    <w:p w:rsidR="001840CB" w:rsidRDefault="001840CB" w:rsidP="001840CB">
      <w:pPr>
        <w:pStyle w:val="ListParagraph"/>
        <w:spacing w:after="120" w:line="276" w:lineRule="auto"/>
        <w:ind w:left="14"/>
        <w:contextualSpacing w:val="0"/>
        <w:jc w:val="both"/>
        <w:rPr>
          <w:rFonts w:ascii="Arial" w:hAnsi="Arial" w:cs="Arial"/>
        </w:rPr>
      </w:pPr>
      <w:r>
        <w:rPr>
          <w:rFonts w:ascii="Arial" w:hAnsi="Arial" w:cs="Arial"/>
        </w:rPr>
        <w:lastRenderedPageBreak/>
        <w:t xml:space="preserve">SA NT </w:t>
      </w:r>
      <w:proofErr w:type="spellStart"/>
      <w:r>
        <w:rPr>
          <w:rFonts w:ascii="Arial" w:hAnsi="Arial" w:cs="Arial"/>
        </w:rPr>
        <w:t>DataLink</w:t>
      </w:r>
      <w:proofErr w:type="spellEnd"/>
      <w:r>
        <w:rPr>
          <w:rFonts w:ascii="Arial" w:hAnsi="Arial" w:cs="Arial"/>
        </w:rPr>
        <w:t xml:space="preserve"> also provided a submission to the </w:t>
      </w:r>
      <w:r w:rsidRPr="006E7C18">
        <w:rPr>
          <w:rFonts w:ascii="Arial" w:hAnsi="Arial" w:cs="Arial"/>
          <w:i/>
        </w:rPr>
        <w:t xml:space="preserve">Senate Select Committee </w:t>
      </w:r>
      <w:r w:rsidR="006E7C18">
        <w:rPr>
          <w:rFonts w:ascii="Arial" w:hAnsi="Arial" w:cs="Arial"/>
          <w:i/>
        </w:rPr>
        <w:t xml:space="preserve">on </w:t>
      </w:r>
      <w:r w:rsidRPr="006E7C18">
        <w:rPr>
          <w:rFonts w:ascii="Arial" w:hAnsi="Arial" w:cs="Arial"/>
          <w:i/>
        </w:rPr>
        <w:t>Health</w:t>
      </w:r>
      <w:r w:rsidR="006E7C18">
        <w:rPr>
          <w:rFonts w:ascii="Arial" w:hAnsi="Arial" w:cs="Arial"/>
          <w:i/>
        </w:rPr>
        <w:t xml:space="preserve"> </w:t>
      </w:r>
      <w:r w:rsidRPr="001840CB">
        <w:rPr>
          <w:rFonts w:ascii="Arial" w:hAnsi="Arial" w:cs="Arial"/>
        </w:rPr>
        <w:t xml:space="preserve">Inquiry into </w:t>
      </w:r>
      <w:r w:rsidRPr="001840CB">
        <w:rPr>
          <w:rFonts w:ascii="Arial" w:hAnsi="Arial" w:cs="Arial"/>
          <w:i/>
        </w:rPr>
        <w:t>Health Policy, Administration and Expenditure 2015</w:t>
      </w:r>
      <w:r>
        <w:rPr>
          <w:rFonts w:ascii="Arial" w:hAnsi="Arial" w:cs="Arial"/>
        </w:rPr>
        <w:t xml:space="preserve"> and as part of this</w:t>
      </w:r>
      <w:r w:rsidR="00F0177F">
        <w:rPr>
          <w:rFonts w:ascii="Arial" w:hAnsi="Arial" w:cs="Arial"/>
        </w:rPr>
        <w:t xml:space="preserve"> Inquiry</w:t>
      </w:r>
      <w:r>
        <w:rPr>
          <w:rFonts w:ascii="Arial" w:hAnsi="Arial" w:cs="Arial"/>
        </w:rPr>
        <w:t xml:space="preserve"> was invited to respond to further questions on data and data access.  In particular:</w:t>
      </w:r>
    </w:p>
    <w:p w:rsidR="001840CB" w:rsidRDefault="001840CB" w:rsidP="001840CB">
      <w:pPr>
        <w:pStyle w:val="ListParagraph"/>
        <w:numPr>
          <w:ilvl w:val="0"/>
          <w:numId w:val="13"/>
        </w:numPr>
        <w:spacing w:line="23" w:lineRule="atLeast"/>
        <w:ind w:left="434"/>
        <w:jc w:val="both"/>
        <w:rPr>
          <w:rFonts w:ascii="Arial" w:hAnsi="Arial" w:cs="Arial"/>
          <w:i/>
        </w:rPr>
      </w:pPr>
      <w:r>
        <w:rPr>
          <w:rFonts w:ascii="Arial" w:hAnsi="Arial" w:cs="Arial"/>
          <w:i/>
        </w:rPr>
        <w:t>The collection, linkage and access to health data, international policy developments, and challenges faced, and reform proposals that may improve overall health outcomes.</w:t>
      </w:r>
    </w:p>
    <w:p w:rsidR="001840CB" w:rsidRDefault="001840CB" w:rsidP="001840CB">
      <w:pPr>
        <w:pStyle w:val="ListParagraph"/>
        <w:spacing w:line="23" w:lineRule="atLeast"/>
        <w:ind w:left="434"/>
        <w:jc w:val="both"/>
        <w:rPr>
          <w:rFonts w:ascii="Arial" w:hAnsi="Arial" w:cs="Arial"/>
        </w:rPr>
      </w:pPr>
    </w:p>
    <w:p w:rsidR="001840CB" w:rsidRDefault="001840CB" w:rsidP="001840CB">
      <w:pPr>
        <w:pStyle w:val="ListParagraph"/>
        <w:numPr>
          <w:ilvl w:val="0"/>
          <w:numId w:val="13"/>
        </w:numPr>
        <w:spacing w:line="23" w:lineRule="atLeast"/>
        <w:ind w:left="434"/>
        <w:jc w:val="both"/>
        <w:rPr>
          <w:rFonts w:ascii="Arial" w:hAnsi="Arial" w:cs="Arial"/>
          <w:i/>
        </w:rPr>
      </w:pPr>
      <w:r>
        <w:rPr>
          <w:rFonts w:ascii="Arial" w:hAnsi="Arial" w:cs="Arial"/>
          <w:i/>
        </w:rPr>
        <w:t xml:space="preserve">Improving access to and linkage between health data sets held by Commonwealth entities. </w:t>
      </w:r>
      <w:r w:rsidR="006E7C18">
        <w:rPr>
          <w:rFonts w:ascii="Arial" w:hAnsi="Arial" w:cs="Arial"/>
          <w:i/>
        </w:rPr>
        <w:t xml:space="preserve"> </w:t>
      </w:r>
      <w:r>
        <w:rPr>
          <w:rFonts w:ascii="Arial" w:hAnsi="Arial" w:cs="Arial"/>
          <w:i/>
        </w:rPr>
        <w:t xml:space="preserve">This is framed in light of the increasing use of complex data collections in public policy development. </w:t>
      </w:r>
    </w:p>
    <w:p w:rsidR="001840CB" w:rsidRDefault="001840CB" w:rsidP="001840CB">
      <w:pPr>
        <w:spacing w:line="23" w:lineRule="atLeast"/>
        <w:ind w:left="434"/>
        <w:jc w:val="both"/>
        <w:rPr>
          <w:rFonts w:ascii="Arial" w:hAnsi="Arial" w:cs="Arial"/>
        </w:rPr>
      </w:pPr>
    </w:p>
    <w:p w:rsidR="006E7C18" w:rsidRDefault="00FD4418" w:rsidP="006E7C18">
      <w:pPr>
        <w:pStyle w:val="ListParagraph"/>
        <w:spacing w:after="120" w:line="276" w:lineRule="auto"/>
        <w:ind w:left="14"/>
        <w:contextualSpacing w:val="0"/>
        <w:rPr>
          <w:rFonts w:ascii="Arial" w:hAnsi="Arial" w:cs="Arial"/>
          <w:spacing w:val="-4"/>
          <w:sz w:val="20"/>
          <w:szCs w:val="20"/>
        </w:rPr>
      </w:pPr>
      <w:r w:rsidRPr="006E7C18">
        <w:rPr>
          <w:rFonts w:ascii="Arial" w:hAnsi="Arial" w:cs="Arial"/>
          <w:spacing w:val="-4"/>
        </w:rPr>
        <w:t>A</w:t>
      </w:r>
      <w:r w:rsidR="003368B5" w:rsidRPr="006E7C18">
        <w:rPr>
          <w:rFonts w:ascii="Arial" w:hAnsi="Arial" w:cs="Arial"/>
          <w:spacing w:val="-4"/>
        </w:rPr>
        <w:t xml:space="preserve"> copy of the SA NT </w:t>
      </w:r>
      <w:proofErr w:type="spellStart"/>
      <w:r w:rsidR="003368B5" w:rsidRPr="006E7C18">
        <w:rPr>
          <w:rFonts w:ascii="Arial" w:hAnsi="Arial" w:cs="Arial"/>
          <w:spacing w:val="-4"/>
        </w:rPr>
        <w:t>DataLink</w:t>
      </w:r>
      <w:proofErr w:type="spellEnd"/>
      <w:r w:rsidR="003368B5" w:rsidRPr="006E7C18">
        <w:rPr>
          <w:rFonts w:ascii="Arial" w:hAnsi="Arial" w:cs="Arial"/>
          <w:spacing w:val="-4"/>
        </w:rPr>
        <w:t xml:space="preserve"> submission </w:t>
      </w:r>
      <w:r w:rsidRPr="006E7C18">
        <w:rPr>
          <w:rFonts w:ascii="Arial" w:hAnsi="Arial" w:cs="Arial"/>
          <w:spacing w:val="-4"/>
        </w:rPr>
        <w:t>(no 181) is available</w:t>
      </w:r>
      <w:r w:rsidR="006E7C18" w:rsidRPr="006E7C18">
        <w:rPr>
          <w:rFonts w:ascii="Arial" w:hAnsi="Arial" w:cs="Arial"/>
          <w:spacing w:val="-4"/>
        </w:rPr>
        <w:t xml:space="preserve"> at: </w:t>
      </w:r>
      <w:hyperlink r:id="rId15" w:history="1">
        <w:r w:rsidRPr="006E7C18">
          <w:rPr>
            <w:rStyle w:val="Hyperlink"/>
            <w:rFonts w:ascii="Arial" w:hAnsi="Arial" w:cs="Arial"/>
            <w:spacing w:val="-4"/>
          </w:rPr>
          <w:t>http://www.aph.gov.au/Parliamentary_Business/Committees/Senate/Health/Health/Submissions</w:t>
        </w:r>
      </w:hyperlink>
      <w:r w:rsidRPr="006E7C18">
        <w:rPr>
          <w:rFonts w:ascii="Arial" w:hAnsi="Arial" w:cs="Arial"/>
          <w:spacing w:val="-4"/>
        </w:rPr>
        <w:t>.</w:t>
      </w:r>
      <w:r w:rsidR="006E7C18" w:rsidRPr="006E7C18">
        <w:rPr>
          <w:rFonts w:ascii="Arial" w:hAnsi="Arial" w:cs="Arial"/>
          <w:spacing w:val="-4"/>
          <w:sz w:val="20"/>
          <w:szCs w:val="20"/>
        </w:rPr>
        <w:t xml:space="preserve"> </w:t>
      </w:r>
    </w:p>
    <w:p w:rsidR="001840CB" w:rsidRPr="006E7C18" w:rsidRDefault="006E7C18" w:rsidP="006E7C18">
      <w:pPr>
        <w:pStyle w:val="ListParagraph"/>
        <w:spacing w:after="120" w:line="276" w:lineRule="auto"/>
        <w:ind w:left="14"/>
        <w:contextualSpacing w:val="0"/>
        <w:jc w:val="both"/>
        <w:rPr>
          <w:rFonts w:ascii="Arial" w:hAnsi="Arial" w:cs="Arial"/>
          <w:spacing w:val="-4"/>
        </w:rPr>
      </w:pPr>
      <w:r>
        <w:rPr>
          <w:rFonts w:ascii="Arial" w:hAnsi="Arial" w:cs="Arial"/>
          <w:spacing w:val="-4"/>
        </w:rPr>
        <w:t>This Submission also</w:t>
      </w:r>
      <w:r w:rsidR="003368B5" w:rsidRPr="006E7C18">
        <w:rPr>
          <w:rFonts w:ascii="Arial" w:hAnsi="Arial" w:cs="Arial"/>
          <w:spacing w:val="-4"/>
        </w:rPr>
        <w:t xml:space="preserve"> </w:t>
      </w:r>
      <w:r>
        <w:rPr>
          <w:rFonts w:ascii="Arial" w:hAnsi="Arial" w:cs="Arial"/>
          <w:spacing w:val="-4"/>
        </w:rPr>
        <w:t>addresses</w:t>
      </w:r>
      <w:r w:rsidR="003368B5" w:rsidRPr="006E7C18">
        <w:rPr>
          <w:rFonts w:ascii="Arial" w:hAnsi="Arial" w:cs="Arial"/>
          <w:spacing w:val="-4"/>
        </w:rPr>
        <w:t xml:space="preserve"> many of the questions relating to better data access and use raised in this Issues Paper.</w:t>
      </w:r>
    </w:p>
    <w:p w:rsidR="001840CB" w:rsidRPr="00F56F95" w:rsidRDefault="005D43E8" w:rsidP="00777554">
      <w:pPr>
        <w:pStyle w:val="ListParagraph"/>
        <w:spacing w:after="120" w:line="276" w:lineRule="auto"/>
        <w:ind w:left="14"/>
        <w:contextualSpacing w:val="0"/>
        <w:jc w:val="both"/>
        <w:rPr>
          <w:rFonts w:ascii="Arial" w:hAnsi="Arial" w:cs="Arial"/>
        </w:rPr>
      </w:pPr>
      <w:r>
        <w:rPr>
          <w:rFonts w:ascii="Arial" w:hAnsi="Arial" w:cs="Arial"/>
        </w:rPr>
        <w:t xml:space="preserve">SA NT </w:t>
      </w:r>
      <w:proofErr w:type="spellStart"/>
      <w:r>
        <w:rPr>
          <w:rFonts w:ascii="Arial" w:hAnsi="Arial" w:cs="Arial"/>
        </w:rPr>
        <w:t>DataLink</w:t>
      </w:r>
      <w:proofErr w:type="spellEnd"/>
      <w:r>
        <w:rPr>
          <w:rFonts w:ascii="Arial" w:hAnsi="Arial" w:cs="Arial"/>
        </w:rPr>
        <w:t xml:space="preserve"> also agrees with</w:t>
      </w:r>
      <w:r w:rsidR="003368B5">
        <w:rPr>
          <w:rFonts w:ascii="Arial" w:hAnsi="Arial" w:cs="Arial"/>
        </w:rPr>
        <w:t xml:space="preserve"> the </w:t>
      </w:r>
      <w:r>
        <w:rPr>
          <w:rFonts w:ascii="Arial" w:hAnsi="Arial" w:cs="Arial"/>
        </w:rPr>
        <w:t xml:space="preserve">arguments and conclusions in the </w:t>
      </w:r>
      <w:r w:rsidR="003368B5">
        <w:rPr>
          <w:rFonts w:ascii="Arial" w:hAnsi="Arial" w:cs="Arial"/>
        </w:rPr>
        <w:t xml:space="preserve">Commission’s previous publications concerning </w:t>
      </w:r>
      <w:r>
        <w:rPr>
          <w:rFonts w:ascii="Arial" w:hAnsi="Arial" w:cs="Arial"/>
        </w:rPr>
        <w:t>better use and</w:t>
      </w:r>
      <w:r w:rsidR="003368B5">
        <w:rPr>
          <w:rFonts w:ascii="Arial" w:hAnsi="Arial" w:cs="Arial"/>
        </w:rPr>
        <w:t xml:space="preserve"> availability</w:t>
      </w:r>
      <w:r>
        <w:rPr>
          <w:rFonts w:ascii="Arial" w:hAnsi="Arial" w:cs="Arial"/>
        </w:rPr>
        <w:t xml:space="preserve"> of Government held data.</w:t>
      </w:r>
    </w:p>
    <w:p w:rsidR="006A7E7E" w:rsidRPr="005175C3" w:rsidRDefault="005175C3" w:rsidP="00777554">
      <w:pPr>
        <w:pStyle w:val="ListParagraph"/>
        <w:spacing w:after="120" w:line="276" w:lineRule="auto"/>
        <w:ind w:left="14"/>
        <w:contextualSpacing w:val="0"/>
        <w:jc w:val="both"/>
        <w:rPr>
          <w:rFonts w:ascii="Arial" w:hAnsi="Arial" w:cs="Arial"/>
        </w:rPr>
      </w:pPr>
      <w:r w:rsidRPr="005175C3">
        <w:rPr>
          <w:rFonts w:ascii="Arial" w:hAnsi="Arial" w:cs="Arial"/>
        </w:rPr>
        <w:t xml:space="preserve">Given SA NT </w:t>
      </w:r>
      <w:proofErr w:type="spellStart"/>
      <w:r w:rsidRPr="005175C3">
        <w:rPr>
          <w:rFonts w:ascii="Arial" w:hAnsi="Arial" w:cs="Arial"/>
        </w:rPr>
        <w:t>DataLink’s</w:t>
      </w:r>
      <w:proofErr w:type="spellEnd"/>
      <w:r w:rsidRPr="005175C3">
        <w:rPr>
          <w:rFonts w:ascii="Arial" w:hAnsi="Arial" w:cs="Arial"/>
        </w:rPr>
        <w:t xml:space="preserve"> </w:t>
      </w:r>
      <w:r>
        <w:rPr>
          <w:rFonts w:ascii="Arial" w:hAnsi="Arial" w:cs="Arial"/>
        </w:rPr>
        <w:t xml:space="preserve">role is much broader than the provision of education data, SA NT </w:t>
      </w:r>
      <w:proofErr w:type="spellStart"/>
      <w:r>
        <w:rPr>
          <w:rFonts w:ascii="Arial" w:hAnsi="Arial" w:cs="Arial"/>
        </w:rPr>
        <w:t>DataLink</w:t>
      </w:r>
      <w:proofErr w:type="spellEnd"/>
      <w:r>
        <w:rPr>
          <w:rFonts w:ascii="Arial" w:hAnsi="Arial" w:cs="Arial"/>
        </w:rPr>
        <w:t xml:space="preserve"> is providing summary responses to the Terms of Reference rather than address each of the questions in the </w:t>
      </w:r>
      <w:r w:rsidR="00CB1E97">
        <w:rPr>
          <w:rFonts w:ascii="Arial" w:hAnsi="Arial" w:cs="Arial"/>
        </w:rPr>
        <w:t>Issues Paper</w:t>
      </w:r>
      <w:r>
        <w:rPr>
          <w:rFonts w:ascii="Arial" w:hAnsi="Arial" w:cs="Arial"/>
        </w:rPr>
        <w:t xml:space="preserve">. </w:t>
      </w:r>
      <w:r w:rsidR="00CB1E97">
        <w:rPr>
          <w:rFonts w:ascii="Arial" w:hAnsi="Arial" w:cs="Arial"/>
        </w:rPr>
        <w:t xml:space="preserve"> </w:t>
      </w:r>
      <w:r>
        <w:rPr>
          <w:rFonts w:ascii="Arial" w:hAnsi="Arial" w:cs="Arial"/>
        </w:rPr>
        <w:t xml:space="preserve">These are in all likelihood better addressed by those working </w:t>
      </w:r>
      <w:r w:rsidR="00D9263F">
        <w:rPr>
          <w:rFonts w:ascii="Arial" w:hAnsi="Arial" w:cs="Arial"/>
        </w:rPr>
        <w:t xml:space="preserve">directly in </w:t>
      </w:r>
      <w:r>
        <w:rPr>
          <w:rFonts w:ascii="Arial" w:hAnsi="Arial" w:cs="Arial"/>
        </w:rPr>
        <w:t>the education sector.</w:t>
      </w:r>
    </w:p>
    <w:p w:rsidR="005175C3" w:rsidRDefault="005175C3" w:rsidP="00777554">
      <w:pPr>
        <w:pStyle w:val="ListParagraph"/>
        <w:spacing w:after="120" w:line="276" w:lineRule="auto"/>
        <w:ind w:left="14"/>
        <w:contextualSpacing w:val="0"/>
        <w:jc w:val="both"/>
        <w:rPr>
          <w:rFonts w:ascii="Arial" w:hAnsi="Arial" w:cs="Arial"/>
          <w:b/>
        </w:rPr>
      </w:pPr>
    </w:p>
    <w:p w:rsidR="003D7407" w:rsidRPr="00777554" w:rsidRDefault="005175C3" w:rsidP="00777554">
      <w:pPr>
        <w:pStyle w:val="ListParagraph"/>
        <w:spacing w:after="120" w:line="276" w:lineRule="auto"/>
        <w:ind w:left="14"/>
        <w:contextualSpacing w:val="0"/>
        <w:jc w:val="both"/>
        <w:rPr>
          <w:rFonts w:ascii="Arial" w:hAnsi="Arial" w:cs="Arial"/>
          <w:b/>
        </w:rPr>
      </w:pPr>
      <w:r>
        <w:rPr>
          <w:rFonts w:ascii="Arial" w:hAnsi="Arial" w:cs="Arial"/>
          <w:b/>
        </w:rPr>
        <w:t>Data collections and p</w:t>
      </w:r>
      <w:r w:rsidR="00B10D96" w:rsidRPr="00777554">
        <w:rPr>
          <w:rFonts w:ascii="Arial" w:hAnsi="Arial" w:cs="Arial"/>
          <w:b/>
        </w:rPr>
        <w:t>urposes of education</w:t>
      </w:r>
    </w:p>
    <w:p w:rsidR="006A7E7E" w:rsidRPr="006A7E7E" w:rsidRDefault="006A7E7E" w:rsidP="00DC5AFE">
      <w:pPr>
        <w:spacing w:after="120" w:line="276" w:lineRule="auto"/>
        <w:jc w:val="both"/>
        <w:rPr>
          <w:rFonts w:ascii="Arial" w:hAnsi="Arial" w:cs="Arial"/>
        </w:rPr>
      </w:pPr>
      <w:r>
        <w:rPr>
          <w:rFonts w:ascii="Arial" w:hAnsi="Arial" w:cs="Arial"/>
        </w:rPr>
        <w:t xml:space="preserve">To a large extent, the data required is determined by the focus </w:t>
      </w:r>
      <w:r w:rsidR="00324C6F">
        <w:rPr>
          <w:rFonts w:ascii="Arial" w:hAnsi="Arial" w:cs="Arial"/>
        </w:rPr>
        <w:t xml:space="preserve">and framework for </w:t>
      </w:r>
      <w:r>
        <w:rPr>
          <w:rFonts w:ascii="Arial" w:hAnsi="Arial" w:cs="Arial"/>
        </w:rPr>
        <w:t>the issues that are to be addressed</w:t>
      </w:r>
      <w:r w:rsidR="00324C6F">
        <w:rPr>
          <w:rFonts w:ascii="Arial" w:hAnsi="Arial" w:cs="Arial"/>
        </w:rPr>
        <w:t>.</w:t>
      </w:r>
      <w:r w:rsidR="00023EE2">
        <w:rPr>
          <w:rFonts w:ascii="Arial" w:hAnsi="Arial" w:cs="Arial"/>
        </w:rPr>
        <w:t xml:space="preserve">  That is, the</w:t>
      </w:r>
      <w:r w:rsidR="00573B66">
        <w:rPr>
          <w:rFonts w:ascii="Arial" w:hAnsi="Arial" w:cs="Arial"/>
        </w:rPr>
        <w:t xml:space="preserve"> </w:t>
      </w:r>
      <w:r w:rsidR="00023EE2">
        <w:rPr>
          <w:rFonts w:ascii="Arial" w:hAnsi="Arial" w:cs="Arial"/>
        </w:rPr>
        <w:t xml:space="preserve">strategic and operational </w:t>
      </w:r>
      <w:r w:rsidR="00D9263F">
        <w:rPr>
          <w:rFonts w:ascii="Arial" w:hAnsi="Arial" w:cs="Arial"/>
        </w:rPr>
        <w:t xml:space="preserve">educational </w:t>
      </w:r>
      <w:r w:rsidR="00023EE2">
        <w:rPr>
          <w:rFonts w:ascii="Arial" w:hAnsi="Arial" w:cs="Arial"/>
        </w:rPr>
        <w:t>policies and programs that are to be implemented or evaluated.</w:t>
      </w:r>
    </w:p>
    <w:p w:rsidR="006E7B65" w:rsidRPr="00DC5AFE" w:rsidRDefault="00A00CFA" w:rsidP="00DC5AFE">
      <w:pPr>
        <w:spacing w:after="120" w:line="276" w:lineRule="auto"/>
        <w:jc w:val="both"/>
        <w:rPr>
          <w:rFonts w:ascii="Arial" w:hAnsi="Arial" w:cs="Arial"/>
        </w:rPr>
      </w:pPr>
      <w:r>
        <w:rPr>
          <w:rFonts w:ascii="Arial" w:hAnsi="Arial" w:cs="Arial"/>
        </w:rPr>
        <w:t>For example, d</w:t>
      </w:r>
      <w:r w:rsidR="003D7407" w:rsidRPr="00DC5AFE">
        <w:rPr>
          <w:rFonts w:ascii="Arial" w:hAnsi="Arial" w:cs="Arial"/>
        </w:rPr>
        <w:t>epending on whether education is se</w:t>
      </w:r>
      <w:r w:rsidR="00324C6F" w:rsidRPr="00DC5AFE">
        <w:rPr>
          <w:rFonts w:ascii="Arial" w:hAnsi="Arial" w:cs="Arial"/>
        </w:rPr>
        <w:t>en from a utilitarian principle</w:t>
      </w:r>
      <w:r w:rsidR="00573B66">
        <w:rPr>
          <w:rFonts w:ascii="Arial" w:hAnsi="Arial" w:cs="Arial"/>
        </w:rPr>
        <w:t xml:space="preserve">, of training for </w:t>
      </w:r>
      <w:r w:rsidR="003D7407" w:rsidRPr="00DC5AFE">
        <w:rPr>
          <w:rFonts w:ascii="Arial" w:hAnsi="Arial" w:cs="Arial"/>
        </w:rPr>
        <w:t>employment and economic productivity</w:t>
      </w:r>
      <w:r w:rsidR="00EB62F5">
        <w:rPr>
          <w:rFonts w:ascii="Arial" w:hAnsi="Arial" w:cs="Arial"/>
        </w:rPr>
        <w:t>,</w:t>
      </w:r>
      <w:r w:rsidR="003D7407" w:rsidRPr="00DC5AFE">
        <w:rPr>
          <w:rFonts w:ascii="Arial" w:hAnsi="Arial" w:cs="Arial"/>
        </w:rPr>
        <w:t xml:space="preserve"> or </w:t>
      </w:r>
      <w:r w:rsidR="00573B66">
        <w:rPr>
          <w:rFonts w:ascii="Arial" w:hAnsi="Arial" w:cs="Arial"/>
        </w:rPr>
        <w:t xml:space="preserve">more broadly for </w:t>
      </w:r>
      <w:r w:rsidR="003D7407" w:rsidRPr="00DC5AFE">
        <w:rPr>
          <w:rFonts w:ascii="Arial" w:hAnsi="Arial" w:cs="Arial"/>
        </w:rPr>
        <w:t xml:space="preserve">life skills and </w:t>
      </w:r>
      <w:r w:rsidR="00324C6F" w:rsidRPr="00DC5AFE">
        <w:rPr>
          <w:rFonts w:ascii="Arial" w:hAnsi="Arial" w:cs="Arial"/>
        </w:rPr>
        <w:t>wellbeing at individual or societal levels</w:t>
      </w:r>
      <w:r w:rsidR="00DC5AFE">
        <w:rPr>
          <w:rFonts w:ascii="Arial" w:hAnsi="Arial" w:cs="Arial"/>
        </w:rPr>
        <w:t>,</w:t>
      </w:r>
      <w:r w:rsidR="003D7407" w:rsidRPr="00DC5AFE">
        <w:rPr>
          <w:rFonts w:ascii="Arial" w:hAnsi="Arial" w:cs="Arial"/>
        </w:rPr>
        <w:t xml:space="preserve"> will </w:t>
      </w:r>
      <w:r w:rsidR="00DC5AFE">
        <w:rPr>
          <w:rFonts w:ascii="Arial" w:hAnsi="Arial" w:cs="Arial"/>
        </w:rPr>
        <w:t xml:space="preserve">determine </w:t>
      </w:r>
      <w:r w:rsidR="003D7407" w:rsidRPr="00DC5AFE">
        <w:rPr>
          <w:rFonts w:ascii="Arial" w:hAnsi="Arial" w:cs="Arial"/>
        </w:rPr>
        <w:t xml:space="preserve">the policy </w:t>
      </w:r>
      <w:r w:rsidR="00B10D96" w:rsidRPr="00DC5AFE">
        <w:rPr>
          <w:rFonts w:ascii="Arial" w:hAnsi="Arial" w:cs="Arial"/>
        </w:rPr>
        <w:t xml:space="preserve">and funding </w:t>
      </w:r>
      <w:r w:rsidR="003D7407" w:rsidRPr="00DC5AFE">
        <w:rPr>
          <w:rFonts w:ascii="Arial" w:hAnsi="Arial" w:cs="Arial"/>
        </w:rPr>
        <w:t>imperatives and the</w:t>
      </w:r>
      <w:r w:rsidR="00324C6F" w:rsidRPr="00DC5AFE">
        <w:rPr>
          <w:rFonts w:ascii="Arial" w:hAnsi="Arial" w:cs="Arial"/>
        </w:rPr>
        <w:t xml:space="preserve">refore the </w:t>
      </w:r>
      <w:r w:rsidR="003D7407" w:rsidRPr="00DC5AFE">
        <w:rPr>
          <w:rFonts w:ascii="Arial" w:hAnsi="Arial" w:cs="Arial"/>
        </w:rPr>
        <w:t xml:space="preserve">data </w:t>
      </w:r>
      <w:r w:rsidR="00324C6F" w:rsidRPr="00DC5AFE">
        <w:rPr>
          <w:rFonts w:ascii="Arial" w:hAnsi="Arial" w:cs="Arial"/>
        </w:rPr>
        <w:t>required</w:t>
      </w:r>
      <w:r w:rsidR="00DC5AFE">
        <w:rPr>
          <w:rFonts w:ascii="Arial" w:hAnsi="Arial" w:cs="Arial"/>
        </w:rPr>
        <w:t xml:space="preserve"> to inform these</w:t>
      </w:r>
      <w:r w:rsidR="003D7407" w:rsidRPr="00DC5AFE">
        <w:rPr>
          <w:rFonts w:ascii="Arial" w:hAnsi="Arial" w:cs="Arial"/>
        </w:rPr>
        <w:t>.</w:t>
      </w:r>
      <w:r w:rsidR="007209F9" w:rsidRPr="00DC5AFE">
        <w:rPr>
          <w:rFonts w:ascii="Arial" w:hAnsi="Arial" w:cs="Arial"/>
        </w:rPr>
        <w:t xml:space="preserve">  </w:t>
      </w:r>
    </w:p>
    <w:p w:rsidR="00B10D96" w:rsidRPr="00DC5AFE" w:rsidRDefault="00C06C3A" w:rsidP="00DC5AFE">
      <w:pPr>
        <w:spacing w:after="120" w:line="276" w:lineRule="auto"/>
        <w:jc w:val="both"/>
        <w:rPr>
          <w:rFonts w:ascii="Arial" w:hAnsi="Arial" w:cs="Arial"/>
        </w:rPr>
      </w:pPr>
      <w:r>
        <w:rPr>
          <w:rFonts w:ascii="Arial" w:hAnsi="Arial" w:cs="Arial"/>
        </w:rPr>
        <w:t>School e</w:t>
      </w:r>
      <w:r w:rsidR="00B10D96" w:rsidRPr="00DC5AFE">
        <w:rPr>
          <w:rFonts w:ascii="Arial" w:hAnsi="Arial" w:cs="Arial"/>
        </w:rPr>
        <w:t xml:space="preserve">ducation outcomes </w:t>
      </w:r>
      <w:r w:rsidR="00324C6F" w:rsidRPr="00DC5AFE">
        <w:rPr>
          <w:rFonts w:ascii="Arial" w:hAnsi="Arial" w:cs="Arial"/>
        </w:rPr>
        <w:t xml:space="preserve">alone </w:t>
      </w:r>
      <w:r w:rsidR="00B10D96" w:rsidRPr="00DC5AFE">
        <w:rPr>
          <w:rFonts w:ascii="Arial" w:hAnsi="Arial" w:cs="Arial"/>
        </w:rPr>
        <w:t xml:space="preserve">may be a performance measure </w:t>
      </w:r>
      <w:r w:rsidR="00B94623">
        <w:rPr>
          <w:rFonts w:ascii="Arial" w:hAnsi="Arial" w:cs="Arial"/>
        </w:rPr>
        <w:t xml:space="preserve">or outputs </w:t>
      </w:r>
      <w:r w:rsidR="00140515">
        <w:rPr>
          <w:rFonts w:ascii="Arial" w:hAnsi="Arial" w:cs="Arial"/>
        </w:rPr>
        <w:t>for a system which are of value in evaluating the effectiveness of the teaching curriculum</w:t>
      </w:r>
      <w:r w:rsidR="00B10D96" w:rsidRPr="00DC5AFE">
        <w:rPr>
          <w:rFonts w:ascii="Arial" w:hAnsi="Arial" w:cs="Arial"/>
        </w:rPr>
        <w:t xml:space="preserve"> but </w:t>
      </w:r>
      <w:r w:rsidR="00140515">
        <w:rPr>
          <w:rFonts w:ascii="Arial" w:hAnsi="Arial" w:cs="Arial"/>
        </w:rPr>
        <w:t xml:space="preserve">education outcomes </w:t>
      </w:r>
      <w:r w:rsidR="00573B66">
        <w:rPr>
          <w:rFonts w:ascii="Arial" w:hAnsi="Arial" w:cs="Arial"/>
        </w:rPr>
        <w:t xml:space="preserve">may </w:t>
      </w:r>
      <w:r w:rsidR="00F0177F">
        <w:rPr>
          <w:rFonts w:ascii="Arial" w:hAnsi="Arial" w:cs="Arial"/>
        </w:rPr>
        <w:t xml:space="preserve">also </w:t>
      </w:r>
      <w:r w:rsidR="00B94623">
        <w:rPr>
          <w:rFonts w:ascii="Arial" w:hAnsi="Arial" w:cs="Arial"/>
        </w:rPr>
        <w:t>need to be related to the outcomes desired or expected at individual, community and societal levels</w:t>
      </w:r>
      <w:r w:rsidR="00573B66">
        <w:rPr>
          <w:rFonts w:ascii="Arial" w:hAnsi="Arial" w:cs="Arial"/>
        </w:rPr>
        <w:t>,</w:t>
      </w:r>
      <w:r w:rsidR="00140515">
        <w:rPr>
          <w:rFonts w:ascii="Arial" w:hAnsi="Arial" w:cs="Arial"/>
        </w:rPr>
        <w:t xml:space="preserve"> </w:t>
      </w:r>
      <w:r w:rsidR="006E7B65" w:rsidRPr="00DC5AFE">
        <w:rPr>
          <w:rFonts w:ascii="Arial" w:hAnsi="Arial" w:cs="Arial"/>
        </w:rPr>
        <w:t xml:space="preserve">and the consideration of schools as one of the focal bodies </w:t>
      </w:r>
      <w:r w:rsidR="00EB62F5">
        <w:rPr>
          <w:rFonts w:ascii="Arial" w:hAnsi="Arial" w:cs="Arial"/>
        </w:rPr>
        <w:t xml:space="preserve">contributing to the </w:t>
      </w:r>
      <w:r w:rsidR="000638F9">
        <w:rPr>
          <w:rFonts w:ascii="Arial" w:hAnsi="Arial" w:cs="Arial"/>
        </w:rPr>
        <w:t>de</w:t>
      </w:r>
      <w:r w:rsidR="00EB62F5">
        <w:rPr>
          <w:rFonts w:ascii="Arial" w:hAnsi="Arial" w:cs="Arial"/>
        </w:rPr>
        <w:t>velopment of</w:t>
      </w:r>
      <w:r w:rsidR="000638F9">
        <w:rPr>
          <w:rFonts w:ascii="Arial" w:hAnsi="Arial" w:cs="Arial"/>
        </w:rPr>
        <w:t xml:space="preserve"> </w:t>
      </w:r>
      <w:r w:rsidR="006E7B65" w:rsidRPr="00DC5AFE">
        <w:rPr>
          <w:rFonts w:ascii="Arial" w:hAnsi="Arial" w:cs="Arial"/>
        </w:rPr>
        <w:t>communities</w:t>
      </w:r>
      <w:r w:rsidR="000638F9">
        <w:rPr>
          <w:rFonts w:ascii="Arial" w:hAnsi="Arial" w:cs="Arial"/>
        </w:rPr>
        <w:t xml:space="preserve"> and social cohesion</w:t>
      </w:r>
      <w:r w:rsidR="006E7B65" w:rsidRPr="00DC5AFE">
        <w:rPr>
          <w:rFonts w:ascii="Arial" w:hAnsi="Arial" w:cs="Arial"/>
        </w:rPr>
        <w:t>.</w:t>
      </w:r>
      <w:r w:rsidR="000638F9">
        <w:rPr>
          <w:rFonts w:ascii="Arial" w:hAnsi="Arial" w:cs="Arial"/>
        </w:rPr>
        <w:t xml:space="preserve"> </w:t>
      </w:r>
      <w:r w:rsidR="001E2432">
        <w:rPr>
          <w:rFonts w:ascii="Arial" w:hAnsi="Arial" w:cs="Arial"/>
        </w:rPr>
        <w:t>To understand these, a much wider range of data is required.</w:t>
      </w:r>
    </w:p>
    <w:p w:rsidR="006E1628" w:rsidRPr="00DC5AFE" w:rsidRDefault="000638F9" w:rsidP="00DC5AFE">
      <w:pPr>
        <w:spacing w:after="120" w:line="276" w:lineRule="auto"/>
        <w:jc w:val="both"/>
        <w:rPr>
          <w:rFonts w:ascii="Arial" w:hAnsi="Arial" w:cs="Arial"/>
        </w:rPr>
      </w:pPr>
      <w:r w:rsidRPr="000638F9">
        <w:rPr>
          <w:rFonts w:ascii="Arial" w:hAnsi="Arial" w:cs="Arial"/>
        </w:rPr>
        <w:t xml:space="preserve">There is significant </w:t>
      </w:r>
      <w:r w:rsidR="006E1628" w:rsidRPr="000638F9">
        <w:rPr>
          <w:rFonts w:ascii="Arial" w:hAnsi="Arial" w:cs="Arial"/>
        </w:rPr>
        <w:t xml:space="preserve">research </w:t>
      </w:r>
      <w:r w:rsidRPr="000638F9">
        <w:rPr>
          <w:rFonts w:ascii="Arial" w:hAnsi="Arial" w:cs="Arial"/>
        </w:rPr>
        <w:t xml:space="preserve">which </w:t>
      </w:r>
      <w:r w:rsidR="006E1628" w:rsidRPr="000638F9">
        <w:rPr>
          <w:rFonts w:ascii="Arial" w:hAnsi="Arial" w:cs="Arial"/>
        </w:rPr>
        <w:t xml:space="preserve">indicates </w:t>
      </w:r>
      <w:r w:rsidR="00324C6F" w:rsidRPr="000638F9">
        <w:rPr>
          <w:rFonts w:ascii="Arial" w:hAnsi="Arial" w:cs="Arial"/>
        </w:rPr>
        <w:t xml:space="preserve">that </w:t>
      </w:r>
      <w:r>
        <w:rPr>
          <w:rFonts w:ascii="Arial" w:hAnsi="Arial" w:cs="Arial"/>
        </w:rPr>
        <w:t>higher</w:t>
      </w:r>
      <w:r w:rsidR="006E1628" w:rsidRPr="000638F9">
        <w:rPr>
          <w:rFonts w:ascii="Arial" w:hAnsi="Arial" w:cs="Arial"/>
        </w:rPr>
        <w:t xml:space="preserve"> education</w:t>
      </w:r>
      <w:r>
        <w:rPr>
          <w:rFonts w:ascii="Arial" w:hAnsi="Arial" w:cs="Arial"/>
        </w:rPr>
        <w:t>al outcomes</w:t>
      </w:r>
      <w:r w:rsidR="006E1628" w:rsidRPr="000638F9">
        <w:rPr>
          <w:rFonts w:ascii="Arial" w:hAnsi="Arial" w:cs="Arial"/>
        </w:rPr>
        <w:t xml:space="preserve"> </w:t>
      </w:r>
      <w:r w:rsidR="00DC5AFE" w:rsidRPr="000638F9">
        <w:rPr>
          <w:rFonts w:ascii="Arial" w:hAnsi="Arial" w:cs="Arial"/>
        </w:rPr>
        <w:t>can be related</w:t>
      </w:r>
      <w:r w:rsidR="006E1628" w:rsidRPr="000638F9">
        <w:rPr>
          <w:rFonts w:ascii="Arial" w:hAnsi="Arial" w:cs="Arial"/>
        </w:rPr>
        <w:t xml:space="preserve"> to better</w:t>
      </w:r>
      <w:r w:rsidR="00DC5AFE" w:rsidRPr="000638F9">
        <w:rPr>
          <w:rFonts w:ascii="Arial" w:hAnsi="Arial" w:cs="Arial"/>
        </w:rPr>
        <w:t xml:space="preserve"> health and life skills</w:t>
      </w:r>
      <w:r w:rsidR="001E2432">
        <w:rPr>
          <w:rFonts w:ascii="Arial" w:hAnsi="Arial" w:cs="Arial"/>
        </w:rPr>
        <w:t xml:space="preserve">.  These in turn </w:t>
      </w:r>
      <w:r w:rsidR="00DC5AFE" w:rsidRPr="000638F9">
        <w:rPr>
          <w:rFonts w:ascii="Arial" w:hAnsi="Arial" w:cs="Arial"/>
        </w:rPr>
        <w:t>have bearing on the</w:t>
      </w:r>
      <w:r w:rsidR="006E1628" w:rsidRPr="000638F9">
        <w:rPr>
          <w:rFonts w:ascii="Arial" w:hAnsi="Arial" w:cs="Arial"/>
        </w:rPr>
        <w:t xml:space="preserve"> overall costs to governments</w:t>
      </w:r>
      <w:r w:rsidR="00DC5AFE" w:rsidRPr="000638F9">
        <w:rPr>
          <w:rFonts w:ascii="Arial" w:hAnsi="Arial" w:cs="Arial"/>
        </w:rPr>
        <w:t>.</w:t>
      </w:r>
      <w:r w:rsidR="00DC5AFE" w:rsidRPr="00DC5AFE">
        <w:rPr>
          <w:rFonts w:ascii="Arial" w:hAnsi="Arial" w:cs="Arial"/>
        </w:rPr>
        <w:t xml:space="preserve">  However, understanding the complexities of the pathways leading to the outcomes is necessary if more informed e</w:t>
      </w:r>
      <w:r w:rsidR="00573B66">
        <w:rPr>
          <w:rFonts w:ascii="Arial" w:hAnsi="Arial" w:cs="Arial"/>
        </w:rPr>
        <w:t>vidence-based policy is desired and if educational outcomes are seen as one part of wider policy objective.</w:t>
      </w:r>
      <w:r w:rsidR="00DC5AFE" w:rsidRPr="00DC5AFE">
        <w:rPr>
          <w:rFonts w:ascii="Arial" w:hAnsi="Arial" w:cs="Arial"/>
        </w:rPr>
        <w:t xml:space="preserve">  The types of data required will therefore also </w:t>
      </w:r>
      <w:r w:rsidR="00D76AB1">
        <w:rPr>
          <w:rFonts w:ascii="Arial" w:hAnsi="Arial" w:cs="Arial"/>
        </w:rPr>
        <w:t>need to encompass a broader range of factors determining outcomes</w:t>
      </w:r>
      <w:r w:rsidR="00DC5AFE" w:rsidRPr="00DC5AFE">
        <w:rPr>
          <w:rFonts w:ascii="Arial" w:hAnsi="Arial" w:cs="Arial"/>
        </w:rPr>
        <w:t>.</w:t>
      </w:r>
    </w:p>
    <w:p w:rsidR="008860D8" w:rsidRDefault="008860D8" w:rsidP="00777554">
      <w:pPr>
        <w:pStyle w:val="ListParagraph"/>
        <w:spacing w:after="120" w:line="276" w:lineRule="auto"/>
        <w:ind w:left="14"/>
        <w:contextualSpacing w:val="0"/>
        <w:jc w:val="both"/>
        <w:rPr>
          <w:rFonts w:ascii="Arial" w:hAnsi="Arial" w:cs="Arial"/>
          <w:b/>
        </w:rPr>
      </w:pPr>
    </w:p>
    <w:p w:rsidR="003D7407" w:rsidRPr="00777554" w:rsidRDefault="008860D8" w:rsidP="008860D8">
      <w:pPr>
        <w:rPr>
          <w:rFonts w:ascii="Arial" w:hAnsi="Arial" w:cs="Arial"/>
          <w:b/>
        </w:rPr>
      </w:pPr>
      <w:r>
        <w:rPr>
          <w:rFonts w:ascii="Arial" w:hAnsi="Arial" w:cs="Arial"/>
          <w:b/>
        </w:rPr>
        <w:br w:type="page"/>
      </w:r>
      <w:r w:rsidR="00B10D96" w:rsidRPr="00777554">
        <w:rPr>
          <w:rFonts w:ascii="Arial" w:hAnsi="Arial" w:cs="Arial"/>
          <w:b/>
        </w:rPr>
        <w:lastRenderedPageBreak/>
        <w:t>Data collections</w:t>
      </w:r>
    </w:p>
    <w:p w:rsidR="003D7407" w:rsidRPr="00777554" w:rsidRDefault="00C06C3A" w:rsidP="00CB1E97">
      <w:pPr>
        <w:spacing w:after="60" w:line="276" w:lineRule="auto"/>
        <w:jc w:val="both"/>
        <w:rPr>
          <w:rFonts w:ascii="Arial" w:hAnsi="Arial" w:cs="Arial"/>
        </w:rPr>
      </w:pPr>
      <w:r>
        <w:rPr>
          <w:rFonts w:ascii="Arial" w:hAnsi="Arial" w:cs="Arial"/>
        </w:rPr>
        <w:t>When considering the above, the k</w:t>
      </w:r>
      <w:r w:rsidR="003D7407" w:rsidRPr="00777554">
        <w:rPr>
          <w:rFonts w:ascii="Arial" w:hAnsi="Arial" w:cs="Arial"/>
        </w:rPr>
        <w:t>inds of da</w:t>
      </w:r>
      <w:r w:rsidR="007209F9" w:rsidRPr="00777554">
        <w:rPr>
          <w:rFonts w:ascii="Arial" w:hAnsi="Arial" w:cs="Arial"/>
        </w:rPr>
        <w:t xml:space="preserve">ta to </w:t>
      </w:r>
      <w:r w:rsidR="001E2432">
        <w:rPr>
          <w:rFonts w:ascii="Arial" w:hAnsi="Arial" w:cs="Arial"/>
        </w:rPr>
        <w:t>more f</w:t>
      </w:r>
      <w:r w:rsidR="007209F9" w:rsidRPr="00777554">
        <w:rPr>
          <w:rFonts w:ascii="Arial" w:hAnsi="Arial" w:cs="Arial"/>
        </w:rPr>
        <w:t xml:space="preserve">ully understand outcomes and pathways to </w:t>
      </w:r>
      <w:r w:rsidR="00A00CFA">
        <w:rPr>
          <w:rFonts w:ascii="Arial" w:hAnsi="Arial" w:cs="Arial"/>
        </w:rPr>
        <w:t xml:space="preserve">the </w:t>
      </w:r>
      <w:r w:rsidR="007209F9" w:rsidRPr="00777554">
        <w:rPr>
          <w:rFonts w:ascii="Arial" w:hAnsi="Arial" w:cs="Arial"/>
        </w:rPr>
        <w:t>outcomes</w:t>
      </w:r>
      <w:r>
        <w:rPr>
          <w:rFonts w:ascii="Arial" w:hAnsi="Arial" w:cs="Arial"/>
        </w:rPr>
        <w:t xml:space="preserve"> include</w:t>
      </w:r>
      <w:r w:rsidR="003D7407" w:rsidRPr="00777554">
        <w:rPr>
          <w:rFonts w:ascii="Arial" w:hAnsi="Arial" w:cs="Arial"/>
        </w:rPr>
        <w:t>:</w:t>
      </w:r>
    </w:p>
    <w:p w:rsidR="003D7407" w:rsidRPr="00777554" w:rsidRDefault="009632BF" w:rsidP="00CB1E97">
      <w:pPr>
        <w:pStyle w:val="ListParagraph"/>
        <w:numPr>
          <w:ilvl w:val="0"/>
          <w:numId w:val="11"/>
        </w:numPr>
        <w:spacing w:after="60" w:line="276" w:lineRule="auto"/>
        <w:ind w:left="798"/>
        <w:contextualSpacing w:val="0"/>
        <w:jc w:val="both"/>
        <w:rPr>
          <w:rFonts w:ascii="Arial" w:hAnsi="Arial" w:cs="Arial"/>
        </w:rPr>
      </w:pPr>
      <w:r>
        <w:rPr>
          <w:rFonts w:ascii="Arial" w:hAnsi="Arial" w:cs="Arial"/>
        </w:rPr>
        <w:t xml:space="preserve">Preschool and </w:t>
      </w:r>
      <w:r w:rsidR="007A27B0" w:rsidRPr="00777554">
        <w:rPr>
          <w:rFonts w:ascii="Arial" w:hAnsi="Arial" w:cs="Arial"/>
        </w:rPr>
        <w:t>school data</w:t>
      </w:r>
    </w:p>
    <w:p w:rsidR="003D7407" w:rsidRPr="00777554" w:rsidRDefault="007A27B0" w:rsidP="00CB1E97">
      <w:pPr>
        <w:pStyle w:val="ListParagraph"/>
        <w:numPr>
          <w:ilvl w:val="0"/>
          <w:numId w:val="11"/>
        </w:numPr>
        <w:spacing w:after="60" w:line="276" w:lineRule="auto"/>
        <w:ind w:left="798"/>
        <w:contextualSpacing w:val="0"/>
        <w:jc w:val="both"/>
        <w:rPr>
          <w:rFonts w:ascii="Arial" w:hAnsi="Arial" w:cs="Arial"/>
        </w:rPr>
      </w:pPr>
      <w:r w:rsidRPr="00777554">
        <w:rPr>
          <w:rFonts w:ascii="Arial" w:hAnsi="Arial" w:cs="Arial"/>
        </w:rPr>
        <w:t>Post-secondary</w:t>
      </w:r>
    </w:p>
    <w:p w:rsidR="003D7407" w:rsidRPr="00777554" w:rsidRDefault="003D7407" w:rsidP="00CB1E97">
      <w:pPr>
        <w:pStyle w:val="ListParagraph"/>
        <w:numPr>
          <w:ilvl w:val="0"/>
          <w:numId w:val="2"/>
        </w:numPr>
        <w:spacing w:after="60" w:line="276" w:lineRule="auto"/>
        <w:ind w:left="1134"/>
        <w:contextualSpacing w:val="0"/>
        <w:jc w:val="both"/>
        <w:rPr>
          <w:rFonts w:ascii="Arial" w:hAnsi="Arial" w:cs="Arial"/>
        </w:rPr>
      </w:pPr>
      <w:r w:rsidRPr="00777554">
        <w:rPr>
          <w:rFonts w:ascii="Arial" w:hAnsi="Arial" w:cs="Arial"/>
        </w:rPr>
        <w:t>University</w:t>
      </w:r>
    </w:p>
    <w:p w:rsidR="003D7407" w:rsidRPr="00777554" w:rsidRDefault="003D7407" w:rsidP="00CB1E97">
      <w:pPr>
        <w:pStyle w:val="ListParagraph"/>
        <w:numPr>
          <w:ilvl w:val="0"/>
          <w:numId w:val="2"/>
        </w:numPr>
        <w:spacing w:after="60" w:line="276" w:lineRule="auto"/>
        <w:ind w:left="1134"/>
        <w:contextualSpacing w:val="0"/>
        <w:jc w:val="both"/>
        <w:rPr>
          <w:rFonts w:ascii="Arial" w:hAnsi="Arial" w:cs="Arial"/>
        </w:rPr>
      </w:pPr>
      <w:r w:rsidRPr="00777554">
        <w:rPr>
          <w:rFonts w:ascii="Arial" w:hAnsi="Arial" w:cs="Arial"/>
        </w:rPr>
        <w:t>TAFE</w:t>
      </w:r>
    </w:p>
    <w:p w:rsidR="003D7407" w:rsidRPr="00777554" w:rsidRDefault="003D7407" w:rsidP="00CB1E97">
      <w:pPr>
        <w:pStyle w:val="ListParagraph"/>
        <w:numPr>
          <w:ilvl w:val="0"/>
          <w:numId w:val="2"/>
        </w:numPr>
        <w:spacing w:after="60" w:line="276" w:lineRule="auto"/>
        <w:ind w:left="1134"/>
        <w:contextualSpacing w:val="0"/>
        <w:jc w:val="both"/>
        <w:rPr>
          <w:rFonts w:ascii="Arial" w:hAnsi="Arial" w:cs="Arial"/>
        </w:rPr>
      </w:pPr>
      <w:r w:rsidRPr="00777554">
        <w:rPr>
          <w:rFonts w:ascii="Arial" w:hAnsi="Arial" w:cs="Arial"/>
        </w:rPr>
        <w:t>Private providers</w:t>
      </w:r>
    </w:p>
    <w:p w:rsidR="003D7407" w:rsidRPr="00777554" w:rsidRDefault="003D7407" w:rsidP="00CB1E97">
      <w:pPr>
        <w:pStyle w:val="ListParagraph"/>
        <w:numPr>
          <w:ilvl w:val="0"/>
          <w:numId w:val="11"/>
        </w:numPr>
        <w:spacing w:after="60" w:line="276" w:lineRule="auto"/>
        <w:ind w:left="798"/>
        <w:contextualSpacing w:val="0"/>
        <w:jc w:val="both"/>
        <w:rPr>
          <w:rFonts w:ascii="Arial" w:hAnsi="Arial" w:cs="Arial"/>
        </w:rPr>
      </w:pPr>
      <w:r w:rsidRPr="00777554">
        <w:rPr>
          <w:rFonts w:ascii="Arial" w:hAnsi="Arial" w:cs="Arial"/>
        </w:rPr>
        <w:t xml:space="preserve">Health </w:t>
      </w:r>
      <w:r w:rsidR="007A27B0">
        <w:rPr>
          <w:rFonts w:ascii="Arial" w:hAnsi="Arial" w:cs="Arial"/>
        </w:rPr>
        <w:t xml:space="preserve">data, </w:t>
      </w:r>
      <w:r w:rsidRPr="00777554">
        <w:rPr>
          <w:rFonts w:ascii="Arial" w:hAnsi="Arial" w:cs="Arial"/>
        </w:rPr>
        <w:t>including:</w:t>
      </w:r>
    </w:p>
    <w:p w:rsidR="003D7407" w:rsidRPr="00777554" w:rsidRDefault="003D7407" w:rsidP="00CB1E97">
      <w:pPr>
        <w:pStyle w:val="ListParagraph"/>
        <w:numPr>
          <w:ilvl w:val="0"/>
          <w:numId w:val="12"/>
        </w:numPr>
        <w:spacing w:after="60" w:line="276" w:lineRule="auto"/>
        <w:ind w:left="1260"/>
        <w:contextualSpacing w:val="0"/>
        <w:jc w:val="both"/>
        <w:rPr>
          <w:rFonts w:ascii="Arial" w:hAnsi="Arial" w:cs="Arial"/>
        </w:rPr>
      </w:pPr>
      <w:r w:rsidRPr="00777554">
        <w:rPr>
          <w:rFonts w:ascii="Arial" w:hAnsi="Arial" w:cs="Arial"/>
        </w:rPr>
        <w:t>Perinatal</w:t>
      </w:r>
    </w:p>
    <w:p w:rsidR="003D7407" w:rsidRPr="00777554" w:rsidRDefault="003D7407" w:rsidP="00CB1E97">
      <w:pPr>
        <w:pStyle w:val="ListParagraph"/>
        <w:numPr>
          <w:ilvl w:val="0"/>
          <w:numId w:val="12"/>
        </w:numPr>
        <w:spacing w:after="60" w:line="276" w:lineRule="auto"/>
        <w:ind w:left="1260"/>
        <w:contextualSpacing w:val="0"/>
        <w:jc w:val="both"/>
        <w:rPr>
          <w:rFonts w:ascii="Arial" w:hAnsi="Arial" w:cs="Arial"/>
        </w:rPr>
      </w:pPr>
      <w:r w:rsidRPr="00777554">
        <w:rPr>
          <w:rFonts w:ascii="Arial" w:hAnsi="Arial" w:cs="Arial"/>
        </w:rPr>
        <w:t>Child health</w:t>
      </w:r>
    </w:p>
    <w:p w:rsidR="003D7407" w:rsidRPr="00777554" w:rsidRDefault="003D7407" w:rsidP="00CB1E97">
      <w:pPr>
        <w:pStyle w:val="ListParagraph"/>
        <w:numPr>
          <w:ilvl w:val="0"/>
          <w:numId w:val="12"/>
        </w:numPr>
        <w:spacing w:after="60" w:line="276" w:lineRule="auto"/>
        <w:ind w:left="1260"/>
        <w:contextualSpacing w:val="0"/>
        <w:jc w:val="both"/>
        <w:rPr>
          <w:rFonts w:ascii="Arial" w:hAnsi="Arial" w:cs="Arial"/>
        </w:rPr>
      </w:pPr>
      <w:r w:rsidRPr="00777554">
        <w:rPr>
          <w:rFonts w:ascii="Arial" w:hAnsi="Arial" w:cs="Arial"/>
        </w:rPr>
        <w:t xml:space="preserve">Mental health </w:t>
      </w:r>
    </w:p>
    <w:p w:rsidR="003D7407" w:rsidRPr="00777554" w:rsidRDefault="003D7407" w:rsidP="00CB1E97">
      <w:pPr>
        <w:pStyle w:val="ListParagraph"/>
        <w:numPr>
          <w:ilvl w:val="0"/>
          <w:numId w:val="12"/>
        </w:numPr>
        <w:spacing w:after="60" w:line="276" w:lineRule="auto"/>
        <w:ind w:left="1260"/>
        <w:contextualSpacing w:val="0"/>
        <w:jc w:val="both"/>
        <w:rPr>
          <w:rFonts w:ascii="Arial" w:hAnsi="Arial" w:cs="Arial"/>
        </w:rPr>
      </w:pPr>
      <w:r w:rsidRPr="00777554">
        <w:rPr>
          <w:rFonts w:ascii="Arial" w:hAnsi="Arial" w:cs="Arial"/>
        </w:rPr>
        <w:t>Hospital</w:t>
      </w:r>
      <w:r w:rsidR="00F55DCE">
        <w:rPr>
          <w:rFonts w:ascii="Arial" w:hAnsi="Arial" w:cs="Arial"/>
        </w:rPr>
        <w:t xml:space="preserve"> and ED</w:t>
      </w:r>
      <w:r w:rsidR="00777554" w:rsidRPr="00777554">
        <w:rPr>
          <w:rFonts w:ascii="Arial" w:hAnsi="Arial" w:cs="Arial"/>
        </w:rPr>
        <w:t xml:space="preserve"> (public and private)</w:t>
      </w:r>
    </w:p>
    <w:p w:rsidR="007209F9" w:rsidRPr="00777554" w:rsidRDefault="007209F9" w:rsidP="00CB1E97">
      <w:pPr>
        <w:pStyle w:val="ListParagraph"/>
        <w:numPr>
          <w:ilvl w:val="0"/>
          <w:numId w:val="11"/>
        </w:numPr>
        <w:spacing w:after="60" w:line="276" w:lineRule="auto"/>
        <w:ind w:left="798"/>
        <w:contextualSpacing w:val="0"/>
        <w:jc w:val="both"/>
        <w:rPr>
          <w:rFonts w:ascii="Arial" w:hAnsi="Arial" w:cs="Arial"/>
        </w:rPr>
      </w:pPr>
      <w:r w:rsidRPr="00777554">
        <w:rPr>
          <w:rFonts w:ascii="Arial" w:hAnsi="Arial" w:cs="Arial"/>
        </w:rPr>
        <w:t>Disability</w:t>
      </w:r>
    </w:p>
    <w:p w:rsidR="003D7407" w:rsidRDefault="003D7407" w:rsidP="00CB1E97">
      <w:pPr>
        <w:pStyle w:val="ListParagraph"/>
        <w:numPr>
          <w:ilvl w:val="0"/>
          <w:numId w:val="11"/>
        </w:numPr>
        <w:spacing w:after="60" w:line="276" w:lineRule="auto"/>
        <w:ind w:left="798"/>
        <w:contextualSpacing w:val="0"/>
        <w:jc w:val="both"/>
        <w:rPr>
          <w:rFonts w:ascii="Arial" w:hAnsi="Arial" w:cs="Arial"/>
        </w:rPr>
      </w:pPr>
      <w:r w:rsidRPr="00777554">
        <w:rPr>
          <w:rFonts w:ascii="Arial" w:hAnsi="Arial" w:cs="Arial"/>
        </w:rPr>
        <w:t>Spatial data</w:t>
      </w:r>
    </w:p>
    <w:p w:rsidR="00F55DCE" w:rsidRPr="00777554" w:rsidRDefault="00F55DCE" w:rsidP="00CB1E97">
      <w:pPr>
        <w:pStyle w:val="ListParagraph"/>
        <w:numPr>
          <w:ilvl w:val="0"/>
          <w:numId w:val="11"/>
        </w:numPr>
        <w:spacing w:after="60" w:line="276" w:lineRule="auto"/>
        <w:ind w:left="798"/>
        <w:contextualSpacing w:val="0"/>
        <w:jc w:val="both"/>
        <w:rPr>
          <w:rFonts w:ascii="Arial" w:hAnsi="Arial" w:cs="Arial"/>
        </w:rPr>
      </w:pPr>
      <w:r>
        <w:rPr>
          <w:rFonts w:ascii="Arial" w:hAnsi="Arial" w:cs="Arial"/>
        </w:rPr>
        <w:t>Housing</w:t>
      </w:r>
    </w:p>
    <w:p w:rsidR="003D7407" w:rsidRPr="00777554" w:rsidRDefault="003D7407" w:rsidP="00CB1E97">
      <w:pPr>
        <w:pStyle w:val="ListParagraph"/>
        <w:numPr>
          <w:ilvl w:val="0"/>
          <w:numId w:val="11"/>
        </w:numPr>
        <w:spacing w:after="60" w:line="276" w:lineRule="auto"/>
        <w:ind w:left="798"/>
        <w:contextualSpacing w:val="0"/>
        <w:jc w:val="both"/>
        <w:rPr>
          <w:rFonts w:ascii="Arial" w:hAnsi="Arial" w:cs="Arial"/>
        </w:rPr>
      </w:pPr>
      <w:r w:rsidRPr="00777554">
        <w:rPr>
          <w:rFonts w:ascii="Arial" w:hAnsi="Arial" w:cs="Arial"/>
        </w:rPr>
        <w:t>Immigration</w:t>
      </w:r>
    </w:p>
    <w:p w:rsidR="003D7407" w:rsidRPr="00777554" w:rsidRDefault="003D7407" w:rsidP="00CB1E97">
      <w:pPr>
        <w:pStyle w:val="ListParagraph"/>
        <w:numPr>
          <w:ilvl w:val="0"/>
          <w:numId w:val="11"/>
        </w:numPr>
        <w:spacing w:after="60" w:line="276" w:lineRule="auto"/>
        <w:ind w:left="798"/>
        <w:contextualSpacing w:val="0"/>
        <w:jc w:val="both"/>
        <w:rPr>
          <w:rFonts w:ascii="Arial" w:hAnsi="Arial" w:cs="Arial"/>
        </w:rPr>
      </w:pPr>
      <w:r w:rsidRPr="00777554">
        <w:rPr>
          <w:rFonts w:ascii="Arial" w:hAnsi="Arial" w:cs="Arial"/>
        </w:rPr>
        <w:t>Economic/Centrelink</w:t>
      </w:r>
    </w:p>
    <w:p w:rsidR="007209F9" w:rsidRPr="00777554" w:rsidRDefault="007209F9" w:rsidP="007A27B0">
      <w:pPr>
        <w:pStyle w:val="ListParagraph"/>
        <w:numPr>
          <w:ilvl w:val="0"/>
          <w:numId w:val="11"/>
        </w:numPr>
        <w:spacing w:after="120" w:line="276" w:lineRule="auto"/>
        <w:ind w:left="798"/>
        <w:contextualSpacing w:val="0"/>
        <w:jc w:val="both"/>
        <w:rPr>
          <w:rFonts w:ascii="Arial" w:hAnsi="Arial" w:cs="Arial"/>
        </w:rPr>
      </w:pPr>
      <w:r w:rsidRPr="00777554">
        <w:rPr>
          <w:rFonts w:ascii="Arial" w:hAnsi="Arial" w:cs="Arial"/>
        </w:rPr>
        <w:t>Employment</w:t>
      </w:r>
      <w:r w:rsidR="00777554" w:rsidRPr="00777554">
        <w:rPr>
          <w:rFonts w:ascii="Arial" w:hAnsi="Arial" w:cs="Arial"/>
        </w:rPr>
        <w:t xml:space="preserve"> </w:t>
      </w:r>
    </w:p>
    <w:p w:rsidR="00F4752F" w:rsidRPr="008860D8" w:rsidRDefault="00F4752F" w:rsidP="00F4752F">
      <w:pPr>
        <w:spacing w:after="120" w:line="276" w:lineRule="auto"/>
        <w:jc w:val="both"/>
        <w:rPr>
          <w:rFonts w:ascii="Arial" w:hAnsi="Arial" w:cs="Arial"/>
          <w:spacing w:val="-4"/>
        </w:rPr>
      </w:pPr>
      <w:r w:rsidRPr="008860D8">
        <w:rPr>
          <w:rFonts w:ascii="Arial" w:hAnsi="Arial" w:cs="Arial"/>
          <w:spacing w:val="-4"/>
        </w:rPr>
        <w:t>Therefore a</w:t>
      </w:r>
      <w:r w:rsidR="00C06C3A" w:rsidRPr="008860D8">
        <w:rPr>
          <w:rFonts w:ascii="Arial" w:hAnsi="Arial" w:cs="Arial"/>
          <w:spacing w:val="-4"/>
        </w:rPr>
        <w:t xml:space="preserve">ccess to </w:t>
      </w:r>
      <w:r w:rsidR="009C26C3" w:rsidRPr="008860D8">
        <w:rPr>
          <w:rFonts w:ascii="Arial" w:hAnsi="Arial" w:cs="Arial"/>
          <w:spacing w:val="-4"/>
        </w:rPr>
        <w:t xml:space="preserve">and use of </w:t>
      </w:r>
      <w:r w:rsidR="00C06C3A" w:rsidRPr="008860D8">
        <w:rPr>
          <w:rFonts w:ascii="Arial" w:hAnsi="Arial" w:cs="Arial"/>
          <w:spacing w:val="-4"/>
        </w:rPr>
        <w:t xml:space="preserve">datasets </w:t>
      </w:r>
      <w:r w:rsidR="0077540F" w:rsidRPr="008860D8">
        <w:rPr>
          <w:rFonts w:ascii="Arial" w:hAnsi="Arial" w:cs="Arial"/>
          <w:spacing w:val="-4"/>
        </w:rPr>
        <w:t xml:space="preserve">such as those </w:t>
      </w:r>
      <w:r w:rsidR="00C06C3A" w:rsidRPr="008860D8">
        <w:rPr>
          <w:rFonts w:ascii="Arial" w:hAnsi="Arial" w:cs="Arial"/>
          <w:spacing w:val="-4"/>
        </w:rPr>
        <w:t>described above</w:t>
      </w:r>
      <w:r w:rsidR="009C26C3" w:rsidRPr="008860D8">
        <w:rPr>
          <w:rFonts w:ascii="Arial" w:hAnsi="Arial" w:cs="Arial"/>
          <w:spacing w:val="-4"/>
        </w:rPr>
        <w:t>,</w:t>
      </w:r>
      <w:r w:rsidR="00C06C3A" w:rsidRPr="008860D8">
        <w:rPr>
          <w:rFonts w:ascii="Arial" w:hAnsi="Arial" w:cs="Arial"/>
          <w:spacing w:val="-4"/>
        </w:rPr>
        <w:t xml:space="preserve"> and the technical ability to undertake h</w:t>
      </w:r>
      <w:r w:rsidR="006E1628" w:rsidRPr="008860D8">
        <w:rPr>
          <w:rFonts w:ascii="Arial" w:hAnsi="Arial" w:cs="Arial"/>
          <w:spacing w:val="-4"/>
        </w:rPr>
        <w:t xml:space="preserve">igh quality and complex </w:t>
      </w:r>
      <w:r w:rsidR="00C06C3A" w:rsidRPr="008860D8">
        <w:rPr>
          <w:rFonts w:ascii="Arial" w:hAnsi="Arial" w:cs="Arial"/>
          <w:spacing w:val="-4"/>
        </w:rPr>
        <w:t>analysis</w:t>
      </w:r>
      <w:r w:rsidR="0077540F" w:rsidRPr="008860D8">
        <w:rPr>
          <w:rFonts w:ascii="Arial" w:hAnsi="Arial" w:cs="Arial"/>
          <w:spacing w:val="-4"/>
        </w:rPr>
        <w:t xml:space="preserve"> based on</w:t>
      </w:r>
      <w:r w:rsidR="00C06C3A" w:rsidRPr="008860D8">
        <w:rPr>
          <w:rFonts w:ascii="Arial" w:hAnsi="Arial" w:cs="Arial"/>
          <w:spacing w:val="-4"/>
        </w:rPr>
        <w:t xml:space="preserve"> </w:t>
      </w:r>
      <w:r w:rsidR="0077540F" w:rsidRPr="008860D8">
        <w:rPr>
          <w:rFonts w:ascii="Arial" w:hAnsi="Arial" w:cs="Arial"/>
          <w:spacing w:val="-4"/>
        </w:rPr>
        <w:t xml:space="preserve">well-established </w:t>
      </w:r>
      <w:r w:rsidR="00C06C3A" w:rsidRPr="008860D8">
        <w:rPr>
          <w:rFonts w:ascii="Arial" w:hAnsi="Arial" w:cs="Arial"/>
          <w:spacing w:val="-4"/>
        </w:rPr>
        <w:t>data</w:t>
      </w:r>
      <w:r w:rsidR="006E1628" w:rsidRPr="008860D8">
        <w:rPr>
          <w:rFonts w:ascii="Arial" w:hAnsi="Arial" w:cs="Arial"/>
          <w:spacing w:val="-4"/>
        </w:rPr>
        <w:t xml:space="preserve"> linkage</w:t>
      </w:r>
      <w:r w:rsidR="0077540F" w:rsidRPr="008860D8">
        <w:rPr>
          <w:rFonts w:ascii="Arial" w:hAnsi="Arial" w:cs="Arial"/>
          <w:spacing w:val="-4"/>
        </w:rPr>
        <w:t xml:space="preserve"> methodologies</w:t>
      </w:r>
      <w:r w:rsidR="009C26C3" w:rsidRPr="008860D8">
        <w:rPr>
          <w:rFonts w:ascii="Arial" w:hAnsi="Arial" w:cs="Arial"/>
          <w:spacing w:val="-4"/>
        </w:rPr>
        <w:t>,</w:t>
      </w:r>
      <w:r w:rsidR="006E1628" w:rsidRPr="008860D8">
        <w:rPr>
          <w:rFonts w:ascii="Arial" w:hAnsi="Arial" w:cs="Arial"/>
          <w:spacing w:val="-4"/>
        </w:rPr>
        <w:t xml:space="preserve"> </w:t>
      </w:r>
      <w:r w:rsidRPr="008860D8">
        <w:rPr>
          <w:rFonts w:ascii="Arial" w:hAnsi="Arial" w:cs="Arial"/>
          <w:spacing w:val="-4"/>
        </w:rPr>
        <w:t>is required to</w:t>
      </w:r>
      <w:r w:rsidR="009560EA" w:rsidRPr="008860D8">
        <w:rPr>
          <w:rFonts w:ascii="Arial" w:hAnsi="Arial" w:cs="Arial"/>
          <w:spacing w:val="-4"/>
        </w:rPr>
        <w:t xml:space="preserve"> </w:t>
      </w:r>
      <w:r w:rsidR="006E1628" w:rsidRPr="008860D8">
        <w:rPr>
          <w:rFonts w:ascii="Arial" w:hAnsi="Arial" w:cs="Arial"/>
          <w:spacing w:val="-4"/>
        </w:rPr>
        <w:t xml:space="preserve">enable </w:t>
      </w:r>
      <w:r w:rsidR="009C26C3" w:rsidRPr="008860D8">
        <w:rPr>
          <w:rFonts w:ascii="Arial" w:hAnsi="Arial" w:cs="Arial"/>
          <w:spacing w:val="-4"/>
        </w:rPr>
        <w:t>the</w:t>
      </w:r>
      <w:r w:rsidR="006E1628" w:rsidRPr="008860D8">
        <w:rPr>
          <w:rFonts w:ascii="Arial" w:hAnsi="Arial" w:cs="Arial"/>
          <w:spacing w:val="-4"/>
        </w:rPr>
        <w:t xml:space="preserve"> </w:t>
      </w:r>
      <w:r w:rsidRPr="008860D8">
        <w:rPr>
          <w:rFonts w:ascii="Arial" w:hAnsi="Arial" w:cs="Arial"/>
          <w:spacing w:val="-4"/>
        </w:rPr>
        <w:t xml:space="preserve">detailed </w:t>
      </w:r>
      <w:r w:rsidR="009560EA" w:rsidRPr="008860D8">
        <w:rPr>
          <w:rFonts w:ascii="Arial" w:hAnsi="Arial" w:cs="Arial"/>
          <w:spacing w:val="-4"/>
        </w:rPr>
        <w:t>analysis</w:t>
      </w:r>
      <w:r w:rsidR="009C26C3" w:rsidRPr="008860D8">
        <w:rPr>
          <w:rFonts w:ascii="Arial" w:hAnsi="Arial" w:cs="Arial"/>
          <w:spacing w:val="-4"/>
        </w:rPr>
        <w:t xml:space="preserve"> for more</w:t>
      </w:r>
      <w:r w:rsidR="0077540F" w:rsidRPr="008860D8">
        <w:rPr>
          <w:rFonts w:ascii="Arial" w:hAnsi="Arial" w:cs="Arial"/>
          <w:spacing w:val="-4"/>
        </w:rPr>
        <w:t xml:space="preserve"> comprehensive understandings </w:t>
      </w:r>
      <w:r w:rsidR="009C26C3" w:rsidRPr="008860D8">
        <w:rPr>
          <w:rFonts w:ascii="Arial" w:hAnsi="Arial" w:cs="Arial"/>
          <w:spacing w:val="-4"/>
        </w:rPr>
        <w:t xml:space="preserve">of the complexities </w:t>
      </w:r>
      <w:r w:rsidR="00AB45B7" w:rsidRPr="008860D8">
        <w:rPr>
          <w:rFonts w:ascii="Arial" w:hAnsi="Arial" w:cs="Arial"/>
          <w:spacing w:val="-4"/>
        </w:rPr>
        <w:t xml:space="preserve">and pathways </w:t>
      </w:r>
      <w:r w:rsidR="009C26C3" w:rsidRPr="008860D8">
        <w:rPr>
          <w:rFonts w:ascii="Arial" w:hAnsi="Arial" w:cs="Arial"/>
          <w:spacing w:val="-4"/>
        </w:rPr>
        <w:t xml:space="preserve">that lead to </w:t>
      </w:r>
      <w:r w:rsidR="00AB45B7" w:rsidRPr="008860D8">
        <w:rPr>
          <w:rFonts w:ascii="Arial" w:hAnsi="Arial" w:cs="Arial"/>
          <w:spacing w:val="-4"/>
        </w:rPr>
        <w:t xml:space="preserve">educational </w:t>
      </w:r>
      <w:r w:rsidR="00737378" w:rsidRPr="008860D8">
        <w:rPr>
          <w:rFonts w:ascii="Arial" w:hAnsi="Arial" w:cs="Arial"/>
          <w:spacing w:val="-4"/>
        </w:rPr>
        <w:t xml:space="preserve">and wider </w:t>
      </w:r>
      <w:r w:rsidR="009C26C3" w:rsidRPr="008860D8">
        <w:rPr>
          <w:rFonts w:ascii="Arial" w:hAnsi="Arial" w:cs="Arial"/>
          <w:spacing w:val="-4"/>
        </w:rPr>
        <w:t xml:space="preserve">outcomes.  </w:t>
      </w:r>
    </w:p>
    <w:p w:rsidR="008860D8" w:rsidRDefault="008860D8" w:rsidP="00737378">
      <w:pPr>
        <w:pStyle w:val="ListParagraph"/>
        <w:spacing w:after="120" w:line="276" w:lineRule="auto"/>
        <w:ind w:left="14"/>
        <w:contextualSpacing w:val="0"/>
        <w:jc w:val="both"/>
        <w:rPr>
          <w:rFonts w:ascii="Arial" w:hAnsi="Arial" w:cs="Arial"/>
          <w:b/>
        </w:rPr>
      </w:pPr>
    </w:p>
    <w:p w:rsidR="00737378" w:rsidRDefault="007209F9" w:rsidP="00737378">
      <w:pPr>
        <w:pStyle w:val="ListParagraph"/>
        <w:spacing w:after="120" w:line="276" w:lineRule="auto"/>
        <w:ind w:left="14"/>
        <w:contextualSpacing w:val="0"/>
        <w:jc w:val="both"/>
        <w:rPr>
          <w:rFonts w:ascii="Arial" w:hAnsi="Arial" w:cs="Arial"/>
          <w:b/>
        </w:rPr>
      </w:pPr>
      <w:r w:rsidRPr="00777554">
        <w:rPr>
          <w:rFonts w:ascii="Arial" w:hAnsi="Arial" w:cs="Arial"/>
          <w:b/>
        </w:rPr>
        <w:t>Barriers/issues</w:t>
      </w:r>
      <w:r w:rsidR="005175C3">
        <w:rPr>
          <w:rFonts w:ascii="Arial" w:hAnsi="Arial" w:cs="Arial"/>
          <w:b/>
        </w:rPr>
        <w:t xml:space="preserve"> to access and providing data</w:t>
      </w:r>
    </w:p>
    <w:p w:rsidR="00BF6A73" w:rsidRPr="008860D8" w:rsidRDefault="00737378" w:rsidP="00737378">
      <w:pPr>
        <w:pStyle w:val="ListParagraph"/>
        <w:spacing w:after="120" w:line="276" w:lineRule="auto"/>
        <w:ind w:left="14"/>
        <w:contextualSpacing w:val="0"/>
        <w:jc w:val="both"/>
        <w:rPr>
          <w:rFonts w:ascii="Arial" w:hAnsi="Arial" w:cs="Arial"/>
          <w:spacing w:val="-4"/>
        </w:rPr>
      </w:pPr>
      <w:r w:rsidRPr="008860D8">
        <w:rPr>
          <w:rFonts w:ascii="Arial" w:hAnsi="Arial" w:cs="Arial"/>
          <w:spacing w:val="-4"/>
        </w:rPr>
        <w:t xml:space="preserve">Governments already have access to considerable education data </w:t>
      </w:r>
      <w:r w:rsidR="00BF6A73" w:rsidRPr="008860D8">
        <w:rPr>
          <w:rFonts w:ascii="Arial" w:hAnsi="Arial" w:cs="Arial"/>
          <w:spacing w:val="-4"/>
        </w:rPr>
        <w:t xml:space="preserve">and well informed research </w:t>
      </w:r>
      <w:r w:rsidRPr="008860D8">
        <w:rPr>
          <w:rFonts w:ascii="Arial" w:hAnsi="Arial" w:cs="Arial"/>
          <w:spacing w:val="-4"/>
        </w:rPr>
        <w:t xml:space="preserve">that can evaluate and inform policy. </w:t>
      </w:r>
      <w:r w:rsidR="00BF6A73" w:rsidRPr="008860D8">
        <w:rPr>
          <w:rFonts w:ascii="Arial" w:hAnsi="Arial" w:cs="Arial"/>
          <w:spacing w:val="-4"/>
        </w:rPr>
        <w:t>There is a legitimate question to be asked as to whether the best use of the data is being made for this purpose</w:t>
      </w:r>
      <w:r w:rsidR="008D615C" w:rsidRPr="008860D8">
        <w:rPr>
          <w:rFonts w:ascii="Arial" w:hAnsi="Arial" w:cs="Arial"/>
          <w:spacing w:val="-4"/>
        </w:rPr>
        <w:t xml:space="preserve"> in relation to educational outcomes.</w:t>
      </w:r>
    </w:p>
    <w:p w:rsidR="009560EA" w:rsidRPr="00737378" w:rsidRDefault="00CD1DFE" w:rsidP="00737378">
      <w:pPr>
        <w:pStyle w:val="ListParagraph"/>
        <w:spacing w:after="120" w:line="276" w:lineRule="auto"/>
        <w:ind w:left="14"/>
        <w:contextualSpacing w:val="0"/>
        <w:jc w:val="both"/>
        <w:rPr>
          <w:rFonts w:ascii="Arial" w:hAnsi="Arial" w:cs="Arial"/>
          <w:b/>
        </w:rPr>
      </w:pPr>
      <w:r>
        <w:rPr>
          <w:rFonts w:ascii="Arial" w:hAnsi="Arial" w:cs="Arial"/>
        </w:rPr>
        <w:t>There are</w:t>
      </w:r>
      <w:r w:rsidR="008D615C">
        <w:rPr>
          <w:rFonts w:ascii="Arial" w:hAnsi="Arial" w:cs="Arial"/>
        </w:rPr>
        <w:t xml:space="preserve"> also</w:t>
      </w:r>
      <w:r>
        <w:rPr>
          <w:rFonts w:ascii="Arial" w:hAnsi="Arial" w:cs="Arial"/>
        </w:rPr>
        <w:t xml:space="preserve"> a number of barriers or issues that need to be better addressed that can maximise efficient access to the data, particularly where there are cross jurisdictional matters.  In summary, these are:</w:t>
      </w:r>
    </w:p>
    <w:p w:rsidR="007209F9" w:rsidRPr="008D615C" w:rsidRDefault="007209F9" w:rsidP="00B87B02">
      <w:pPr>
        <w:pStyle w:val="ListParagraph"/>
        <w:numPr>
          <w:ilvl w:val="0"/>
          <w:numId w:val="1"/>
        </w:numPr>
        <w:spacing w:after="120" w:line="276" w:lineRule="auto"/>
        <w:ind w:left="476" w:hanging="357"/>
        <w:contextualSpacing w:val="0"/>
        <w:jc w:val="both"/>
        <w:rPr>
          <w:rFonts w:ascii="Arial" w:hAnsi="Arial" w:cs="Arial"/>
        </w:rPr>
      </w:pPr>
      <w:r w:rsidRPr="008D615C">
        <w:rPr>
          <w:rFonts w:ascii="Arial" w:hAnsi="Arial" w:cs="Arial"/>
        </w:rPr>
        <w:t xml:space="preserve">Education is </w:t>
      </w:r>
      <w:r w:rsidR="00EB62F5">
        <w:rPr>
          <w:rFonts w:ascii="Arial" w:hAnsi="Arial" w:cs="Arial"/>
        </w:rPr>
        <w:t xml:space="preserve">primarily a </w:t>
      </w:r>
      <w:r w:rsidRPr="008D615C">
        <w:rPr>
          <w:rFonts w:ascii="Arial" w:hAnsi="Arial" w:cs="Arial"/>
        </w:rPr>
        <w:t>State/</w:t>
      </w:r>
      <w:r w:rsidR="009560EA" w:rsidRPr="008D615C">
        <w:rPr>
          <w:rFonts w:ascii="Arial" w:hAnsi="Arial" w:cs="Arial"/>
        </w:rPr>
        <w:t xml:space="preserve">Territory responsibility </w:t>
      </w:r>
      <w:r w:rsidR="00EB62F5">
        <w:rPr>
          <w:rFonts w:ascii="Arial" w:hAnsi="Arial" w:cs="Arial"/>
        </w:rPr>
        <w:t xml:space="preserve">but also </w:t>
      </w:r>
      <w:r w:rsidR="009560EA" w:rsidRPr="008D615C">
        <w:rPr>
          <w:rFonts w:ascii="Arial" w:hAnsi="Arial" w:cs="Arial"/>
        </w:rPr>
        <w:t>Commonwealth</w:t>
      </w:r>
      <w:r w:rsidRPr="008D615C">
        <w:rPr>
          <w:rFonts w:ascii="Arial" w:hAnsi="Arial" w:cs="Arial"/>
        </w:rPr>
        <w:t xml:space="preserve"> </w:t>
      </w:r>
      <w:r w:rsidR="00CD1DFE" w:rsidRPr="008D615C">
        <w:rPr>
          <w:rFonts w:ascii="Arial" w:hAnsi="Arial" w:cs="Arial"/>
        </w:rPr>
        <w:t xml:space="preserve">(and privately) </w:t>
      </w:r>
      <w:r w:rsidRPr="008D615C">
        <w:rPr>
          <w:rFonts w:ascii="Arial" w:hAnsi="Arial" w:cs="Arial"/>
        </w:rPr>
        <w:t>funded</w:t>
      </w:r>
      <w:r w:rsidR="00F43AF8" w:rsidRPr="008D615C">
        <w:rPr>
          <w:rFonts w:ascii="Arial" w:hAnsi="Arial" w:cs="Arial"/>
        </w:rPr>
        <w:t>.</w:t>
      </w:r>
      <w:r w:rsidR="008D615C" w:rsidRPr="008D615C">
        <w:rPr>
          <w:rFonts w:ascii="Arial" w:hAnsi="Arial" w:cs="Arial"/>
        </w:rPr>
        <w:t xml:space="preserve">  </w:t>
      </w:r>
      <w:r w:rsidR="007138B6" w:rsidRPr="008D615C">
        <w:rPr>
          <w:rFonts w:ascii="Arial" w:hAnsi="Arial" w:cs="Arial"/>
        </w:rPr>
        <w:t>These two</w:t>
      </w:r>
      <w:r w:rsidR="00F43AF8" w:rsidRPr="008D615C">
        <w:rPr>
          <w:rFonts w:ascii="Arial" w:hAnsi="Arial" w:cs="Arial"/>
        </w:rPr>
        <w:t xml:space="preserve"> Jurisdictional areas</w:t>
      </w:r>
      <w:r w:rsidRPr="008D615C">
        <w:rPr>
          <w:rFonts w:ascii="Arial" w:hAnsi="Arial" w:cs="Arial"/>
        </w:rPr>
        <w:t xml:space="preserve"> have differing priorities and accountabilities</w:t>
      </w:r>
      <w:r w:rsidR="00F43AF8" w:rsidRPr="008D615C">
        <w:rPr>
          <w:rFonts w:ascii="Arial" w:hAnsi="Arial" w:cs="Arial"/>
        </w:rPr>
        <w:t>.</w:t>
      </w:r>
    </w:p>
    <w:p w:rsidR="007209F9" w:rsidRPr="00CD1DFE" w:rsidRDefault="00CD1DFE" w:rsidP="00CD1DFE">
      <w:pPr>
        <w:pStyle w:val="ListParagraph"/>
        <w:numPr>
          <w:ilvl w:val="0"/>
          <w:numId w:val="1"/>
        </w:numPr>
        <w:spacing w:after="120" w:line="276" w:lineRule="auto"/>
        <w:ind w:left="476" w:hanging="357"/>
        <w:contextualSpacing w:val="0"/>
        <w:jc w:val="both"/>
        <w:rPr>
          <w:rFonts w:ascii="Arial" w:hAnsi="Arial" w:cs="Arial"/>
        </w:rPr>
      </w:pPr>
      <w:r>
        <w:rPr>
          <w:rFonts w:ascii="Arial" w:hAnsi="Arial" w:cs="Arial"/>
        </w:rPr>
        <w:t>Apart from the Commonwealth, there are d</w:t>
      </w:r>
      <w:r w:rsidR="007209F9" w:rsidRPr="00CD1DFE">
        <w:rPr>
          <w:rFonts w:ascii="Arial" w:hAnsi="Arial" w:cs="Arial"/>
        </w:rPr>
        <w:t>iffering priorities between State/Territory jurisdictions (driven by differing</w:t>
      </w:r>
      <w:r w:rsidR="00777554" w:rsidRPr="00CD1DFE">
        <w:rPr>
          <w:rFonts w:ascii="Arial" w:hAnsi="Arial" w:cs="Arial"/>
        </w:rPr>
        <w:t xml:space="preserve"> economic </w:t>
      </w:r>
      <w:r>
        <w:rPr>
          <w:rFonts w:ascii="Arial" w:hAnsi="Arial" w:cs="Arial"/>
        </w:rPr>
        <w:t xml:space="preserve">and political </w:t>
      </w:r>
      <w:r w:rsidR="00777554" w:rsidRPr="00CD1DFE">
        <w:rPr>
          <w:rFonts w:ascii="Arial" w:hAnsi="Arial" w:cs="Arial"/>
        </w:rPr>
        <w:t xml:space="preserve">imperatives of </w:t>
      </w:r>
      <w:r>
        <w:rPr>
          <w:rFonts w:ascii="Arial" w:hAnsi="Arial" w:cs="Arial"/>
        </w:rPr>
        <w:t xml:space="preserve">the </w:t>
      </w:r>
      <w:r w:rsidR="00777554" w:rsidRPr="00CD1DFE">
        <w:rPr>
          <w:rFonts w:ascii="Arial" w:hAnsi="Arial" w:cs="Arial"/>
        </w:rPr>
        <w:t>jurisdiction</w:t>
      </w:r>
      <w:r>
        <w:rPr>
          <w:rFonts w:ascii="Arial" w:hAnsi="Arial" w:cs="Arial"/>
        </w:rPr>
        <w:t>s</w:t>
      </w:r>
      <w:r w:rsidR="007209F9" w:rsidRPr="00CD1DFE">
        <w:rPr>
          <w:rFonts w:ascii="Arial" w:hAnsi="Arial" w:cs="Arial"/>
        </w:rPr>
        <w:t>)</w:t>
      </w:r>
      <w:r>
        <w:rPr>
          <w:rFonts w:ascii="Arial" w:hAnsi="Arial" w:cs="Arial"/>
        </w:rPr>
        <w:t>.</w:t>
      </w:r>
    </w:p>
    <w:p w:rsidR="00F43AF8" w:rsidRPr="00777554" w:rsidRDefault="00F43AF8" w:rsidP="009632BF">
      <w:pPr>
        <w:pStyle w:val="ListParagraph"/>
        <w:numPr>
          <w:ilvl w:val="0"/>
          <w:numId w:val="1"/>
        </w:numPr>
        <w:spacing w:after="120" w:line="276" w:lineRule="auto"/>
        <w:ind w:left="476"/>
        <w:contextualSpacing w:val="0"/>
        <w:jc w:val="both"/>
        <w:rPr>
          <w:rFonts w:ascii="Arial" w:hAnsi="Arial" w:cs="Arial"/>
          <w:spacing w:val="-4"/>
        </w:rPr>
      </w:pPr>
      <w:r w:rsidRPr="00777554">
        <w:rPr>
          <w:rFonts w:ascii="Arial" w:hAnsi="Arial" w:cs="Arial"/>
          <w:spacing w:val="-4"/>
        </w:rPr>
        <w:t xml:space="preserve">Pricing </w:t>
      </w:r>
      <w:r w:rsidR="00CD1DFE">
        <w:rPr>
          <w:rFonts w:ascii="Arial" w:hAnsi="Arial" w:cs="Arial"/>
          <w:spacing w:val="-4"/>
        </w:rPr>
        <w:t xml:space="preserve">(cost recovery for the provision of data) </w:t>
      </w:r>
      <w:r w:rsidRPr="00777554">
        <w:rPr>
          <w:rFonts w:ascii="Arial" w:hAnsi="Arial" w:cs="Arial"/>
          <w:spacing w:val="-4"/>
        </w:rPr>
        <w:t>would be a vexing question since even within any one sector (e.g.  Government) it would be difficult to determine a consistent pricing model.  Pricing should not inhibit access to or use of data.</w:t>
      </w:r>
    </w:p>
    <w:p w:rsidR="009560EA" w:rsidRPr="00777554" w:rsidRDefault="009560EA" w:rsidP="009560EA">
      <w:pPr>
        <w:pStyle w:val="ListParagraph"/>
        <w:numPr>
          <w:ilvl w:val="0"/>
          <w:numId w:val="1"/>
        </w:numPr>
        <w:spacing w:after="120" w:line="276" w:lineRule="auto"/>
        <w:ind w:left="476" w:hanging="357"/>
        <w:contextualSpacing w:val="0"/>
        <w:jc w:val="both"/>
        <w:rPr>
          <w:rFonts w:ascii="Arial" w:hAnsi="Arial" w:cs="Arial"/>
        </w:rPr>
      </w:pPr>
      <w:r w:rsidRPr="00777554">
        <w:rPr>
          <w:rFonts w:ascii="Arial" w:hAnsi="Arial" w:cs="Arial"/>
        </w:rPr>
        <w:t>Incentives between government and private school sectors to participate in more open data provision would vary.</w:t>
      </w:r>
    </w:p>
    <w:p w:rsidR="009560EA" w:rsidRDefault="009560EA" w:rsidP="009560EA">
      <w:pPr>
        <w:pStyle w:val="ListParagraph"/>
        <w:numPr>
          <w:ilvl w:val="0"/>
          <w:numId w:val="1"/>
        </w:numPr>
        <w:spacing w:after="120" w:line="276" w:lineRule="auto"/>
        <w:ind w:left="476" w:hanging="357"/>
        <w:contextualSpacing w:val="0"/>
        <w:jc w:val="both"/>
        <w:rPr>
          <w:rFonts w:ascii="Arial" w:hAnsi="Arial" w:cs="Arial"/>
        </w:rPr>
      </w:pPr>
      <w:r w:rsidRPr="00777554">
        <w:rPr>
          <w:rFonts w:ascii="Arial" w:hAnsi="Arial" w:cs="Arial"/>
        </w:rPr>
        <w:t>Data collection should not add to the burdens of schools and increasing red tape.  Therefore the use of already collected administrative data is the most efficient outcome.</w:t>
      </w:r>
    </w:p>
    <w:p w:rsidR="00CD1DFE" w:rsidRDefault="00764D38" w:rsidP="009560EA">
      <w:pPr>
        <w:pStyle w:val="ListParagraph"/>
        <w:numPr>
          <w:ilvl w:val="0"/>
          <w:numId w:val="1"/>
        </w:numPr>
        <w:spacing w:after="120" w:line="276" w:lineRule="auto"/>
        <w:ind w:left="476" w:hanging="357"/>
        <w:contextualSpacing w:val="0"/>
        <w:jc w:val="both"/>
        <w:rPr>
          <w:rFonts w:ascii="Arial" w:hAnsi="Arial" w:cs="Arial"/>
        </w:rPr>
      </w:pPr>
      <w:r>
        <w:rPr>
          <w:rFonts w:ascii="Arial" w:hAnsi="Arial" w:cs="Arial"/>
        </w:rPr>
        <w:t>Differences in the legal and policy governance and authorising environments between jurisdictions present</w:t>
      </w:r>
      <w:r w:rsidR="00CD1DFE">
        <w:rPr>
          <w:rFonts w:ascii="Arial" w:hAnsi="Arial" w:cs="Arial"/>
        </w:rPr>
        <w:t xml:space="preserve"> particular challenges.</w:t>
      </w:r>
    </w:p>
    <w:p w:rsidR="008860D8" w:rsidRDefault="008860D8" w:rsidP="008860D8">
      <w:pPr>
        <w:pStyle w:val="ListParagraph"/>
        <w:spacing w:after="120" w:line="276" w:lineRule="auto"/>
        <w:ind w:left="14"/>
        <w:contextualSpacing w:val="0"/>
        <w:jc w:val="both"/>
        <w:rPr>
          <w:rFonts w:ascii="Arial" w:hAnsi="Arial" w:cs="Arial"/>
          <w:b/>
        </w:rPr>
      </w:pPr>
    </w:p>
    <w:p w:rsidR="00B10D96" w:rsidRPr="00777554" w:rsidRDefault="00B10D96" w:rsidP="008860D8">
      <w:pPr>
        <w:pStyle w:val="ListParagraph"/>
        <w:spacing w:after="120" w:line="276" w:lineRule="auto"/>
        <w:ind w:left="14"/>
        <w:contextualSpacing w:val="0"/>
        <w:jc w:val="both"/>
        <w:rPr>
          <w:rFonts w:ascii="Arial" w:hAnsi="Arial" w:cs="Arial"/>
          <w:b/>
        </w:rPr>
      </w:pPr>
      <w:r w:rsidRPr="00777554">
        <w:rPr>
          <w:rFonts w:ascii="Arial" w:hAnsi="Arial" w:cs="Arial"/>
          <w:b/>
        </w:rPr>
        <w:t>Governance and authorising environments</w:t>
      </w:r>
    </w:p>
    <w:p w:rsidR="00B10D96" w:rsidRPr="00764D38" w:rsidRDefault="00B10D96" w:rsidP="008860D8">
      <w:pPr>
        <w:spacing w:after="120" w:line="276" w:lineRule="auto"/>
        <w:ind w:left="14"/>
        <w:jc w:val="both"/>
        <w:rPr>
          <w:rFonts w:ascii="Arial" w:hAnsi="Arial" w:cs="Arial"/>
        </w:rPr>
      </w:pPr>
      <w:r w:rsidRPr="00764D38">
        <w:rPr>
          <w:rFonts w:ascii="Arial" w:hAnsi="Arial" w:cs="Arial"/>
        </w:rPr>
        <w:t xml:space="preserve">Having </w:t>
      </w:r>
      <w:r w:rsidR="00764D38">
        <w:rPr>
          <w:rFonts w:ascii="Arial" w:hAnsi="Arial" w:cs="Arial"/>
        </w:rPr>
        <w:t xml:space="preserve">consistent </w:t>
      </w:r>
      <w:r w:rsidRPr="00764D38">
        <w:rPr>
          <w:rFonts w:ascii="Arial" w:hAnsi="Arial" w:cs="Arial"/>
        </w:rPr>
        <w:t>governance and authorising environments that effectively support the provision of information is vital</w:t>
      </w:r>
      <w:r w:rsidR="00F43AF8" w:rsidRPr="00764D38">
        <w:rPr>
          <w:rFonts w:ascii="Arial" w:hAnsi="Arial" w:cs="Arial"/>
        </w:rPr>
        <w:t xml:space="preserve"> </w:t>
      </w:r>
      <w:r w:rsidR="00CB1E97">
        <w:rPr>
          <w:rFonts w:ascii="Arial" w:hAnsi="Arial" w:cs="Arial"/>
        </w:rPr>
        <w:t>to the</w:t>
      </w:r>
      <w:r w:rsidRPr="00764D38">
        <w:rPr>
          <w:rFonts w:ascii="Arial" w:hAnsi="Arial" w:cs="Arial"/>
        </w:rPr>
        <w:t xml:space="preserve"> efficient </w:t>
      </w:r>
      <w:r w:rsidR="00CB1E97">
        <w:rPr>
          <w:rFonts w:ascii="Arial" w:hAnsi="Arial" w:cs="Arial"/>
        </w:rPr>
        <w:t xml:space="preserve">and timely </w:t>
      </w:r>
      <w:r w:rsidRPr="00764D38">
        <w:rPr>
          <w:rFonts w:ascii="Arial" w:hAnsi="Arial" w:cs="Arial"/>
        </w:rPr>
        <w:t>use of the information</w:t>
      </w:r>
      <w:r w:rsidR="00CB1E97">
        <w:rPr>
          <w:rFonts w:ascii="Arial" w:hAnsi="Arial" w:cs="Arial"/>
        </w:rPr>
        <w:t>.</w:t>
      </w:r>
    </w:p>
    <w:p w:rsidR="00B10D96" w:rsidRPr="00764D38" w:rsidRDefault="00B10D96" w:rsidP="008860D8">
      <w:pPr>
        <w:spacing w:after="120" w:line="276" w:lineRule="auto"/>
        <w:ind w:left="14"/>
        <w:jc w:val="both"/>
        <w:rPr>
          <w:rFonts w:ascii="Arial" w:hAnsi="Arial" w:cs="Arial"/>
        </w:rPr>
      </w:pPr>
      <w:r w:rsidRPr="00764D38">
        <w:rPr>
          <w:rFonts w:ascii="Arial" w:hAnsi="Arial" w:cs="Arial"/>
        </w:rPr>
        <w:t>While it would be ideal to create a nationally consistent approach in the provision of data,</w:t>
      </w:r>
      <w:r w:rsidR="008D615C">
        <w:rPr>
          <w:rFonts w:ascii="Arial" w:hAnsi="Arial" w:cs="Arial"/>
        </w:rPr>
        <w:t xml:space="preserve"> and its governance, </w:t>
      </w:r>
      <w:r w:rsidRPr="00764D38">
        <w:rPr>
          <w:rFonts w:ascii="Arial" w:hAnsi="Arial" w:cs="Arial"/>
        </w:rPr>
        <w:t>Australia’s federated model works against this</w:t>
      </w:r>
      <w:r w:rsidR="008F2C84">
        <w:rPr>
          <w:rFonts w:ascii="Arial" w:hAnsi="Arial" w:cs="Arial"/>
        </w:rPr>
        <w:t xml:space="preserve">.  </w:t>
      </w:r>
      <w:r w:rsidR="008F2C84" w:rsidRPr="00EB62F5">
        <w:rPr>
          <w:rFonts w:ascii="Arial" w:hAnsi="Arial" w:cs="Arial"/>
        </w:rPr>
        <w:t>However, in the education sector, the national reporting requirements and the consistent set of record identifiers</w:t>
      </w:r>
      <w:r w:rsidRPr="00EB62F5">
        <w:rPr>
          <w:rFonts w:ascii="Arial" w:hAnsi="Arial" w:cs="Arial"/>
        </w:rPr>
        <w:t xml:space="preserve"> </w:t>
      </w:r>
      <w:r w:rsidR="008F2C84" w:rsidRPr="00EB62F5">
        <w:rPr>
          <w:rFonts w:ascii="Arial" w:hAnsi="Arial" w:cs="Arial"/>
        </w:rPr>
        <w:t>are already established making linkage and longer term analysis across jurisdictions more feasible than</w:t>
      </w:r>
      <w:r w:rsidR="00EB62F5">
        <w:rPr>
          <w:rFonts w:ascii="Arial" w:hAnsi="Arial" w:cs="Arial"/>
        </w:rPr>
        <w:t>,</w:t>
      </w:r>
      <w:r w:rsidR="008F2C84" w:rsidRPr="00EB62F5">
        <w:rPr>
          <w:rFonts w:ascii="Arial" w:hAnsi="Arial" w:cs="Arial"/>
        </w:rPr>
        <w:t xml:space="preserve"> for example</w:t>
      </w:r>
      <w:r w:rsidR="00EB62F5">
        <w:rPr>
          <w:rFonts w:ascii="Arial" w:hAnsi="Arial" w:cs="Arial"/>
        </w:rPr>
        <w:t>,</w:t>
      </w:r>
      <w:r w:rsidR="008F2C84" w:rsidRPr="00EB62F5">
        <w:rPr>
          <w:rFonts w:ascii="Arial" w:hAnsi="Arial" w:cs="Arial"/>
        </w:rPr>
        <w:t xml:space="preserve"> in the health sector</w:t>
      </w:r>
      <w:r w:rsidRPr="00EB62F5">
        <w:rPr>
          <w:rFonts w:ascii="Arial" w:hAnsi="Arial" w:cs="Arial"/>
        </w:rPr>
        <w:t>.</w:t>
      </w:r>
      <w:r w:rsidRPr="00764D38">
        <w:rPr>
          <w:rFonts w:ascii="Arial" w:hAnsi="Arial" w:cs="Arial"/>
        </w:rPr>
        <w:t xml:space="preserve"> </w:t>
      </w:r>
    </w:p>
    <w:p w:rsidR="00B10D96" w:rsidRDefault="00BD787F" w:rsidP="008860D8">
      <w:pPr>
        <w:spacing w:after="120" w:line="276" w:lineRule="auto"/>
        <w:ind w:left="14"/>
        <w:jc w:val="both"/>
        <w:rPr>
          <w:rFonts w:ascii="Arial" w:hAnsi="Arial" w:cs="Arial"/>
        </w:rPr>
      </w:pPr>
      <w:r>
        <w:rPr>
          <w:rFonts w:ascii="Arial" w:hAnsi="Arial" w:cs="Arial"/>
        </w:rPr>
        <w:t>However, across</w:t>
      </w:r>
      <w:r w:rsidR="00B10D96" w:rsidRPr="00764D38">
        <w:rPr>
          <w:rFonts w:ascii="Arial" w:hAnsi="Arial" w:cs="Arial"/>
        </w:rPr>
        <w:t xml:space="preserve"> jurisdiction</w:t>
      </w:r>
      <w:r w:rsidR="00EB62F5">
        <w:rPr>
          <w:rFonts w:ascii="Arial" w:hAnsi="Arial" w:cs="Arial"/>
        </w:rPr>
        <w:t>s</w:t>
      </w:r>
      <w:r w:rsidR="00B10D96" w:rsidRPr="00764D38">
        <w:rPr>
          <w:rFonts w:ascii="Arial" w:hAnsi="Arial" w:cs="Arial"/>
        </w:rPr>
        <w:t xml:space="preserve"> and organisation</w:t>
      </w:r>
      <w:r>
        <w:rPr>
          <w:rFonts w:ascii="Arial" w:hAnsi="Arial" w:cs="Arial"/>
        </w:rPr>
        <w:t>s</w:t>
      </w:r>
      <w:r w:rsidR="00B10D96" w:rsidRPr="00764D38">
        <w:rPr>
          <w:rFonts w:ascii="Arial" w:hAnsi="Arial" w:cs="Arial"/>
        </w:rPr>
        <w:t>, the</w:t>
      </w:r>
      <w:r>
        <w:rPr>
          <w:rFonts w:ascii="Arial" w:hAnsi="Arial" w:cs="Arial"/>
        </w:rPr>
        <w:t>re may be</w:t>
      </w:r>
      <w:r w:rsidR="00B10D96" w:rsidRPr="00764D38">
        <w:rPr>
          <w:rFonts w:ascii="Arial" w:hAnsi="Arial" w:cs="Arial"/>
        </w:rPr>
        <w:t xml:space="preserve"> legal and cultural parameters </w:t>
      </w:r>
      <w:r>
        <w:rPr>
          <w:rFonts w:ascii="Arial" w:hAnsi="Arial" w:cs="Arial"/>
        </w:rPr>
        <w:t xml:space="preserve">which </w:t>
      </w:r>
      <w:r w:rsidR="00C57BA5">
        <w:rPr>
          <w:rFonts w:ascii="Arial" w:hAnsi="Arial" w:cs="Arial"/>
        </w:rPr>
        <w:t xml:space="preserve">often </w:t>
      </w:r>
      <w:r w:rsidR="00B10D96" w:rsidRPr="00764D38">
        <w:rPr>
          <w:rFonts w:ascii="Arial" w:hAnsi="Arial" w:cs="Arial"/>
        </w:rPr>
        <w:t xml:space="preserve">mitigate against an efficient cooperative system </w:t>
      </w:r>
      <w:r>
        <w:rPr>
          <w:rFonts w:ascii="Arial" w:hAnsi="Arial" w:cs="Arial"/>
        </w:rPr>
        <w:t>to</w:t>
      </w:r>
      <w:r w:rsidR="00B10D96" w:rsidRPr="00764D38">
        <w:rPr>
          <w:rFonts w:ascii="Arial" w:hAnsi="Arial" w:cs="Arial"/>
        </w:rPr>
        <w:t xml:space="preserve"> facilitate the </w:t>
      </w:r>
      <w:proofErr w:type="spellStart"/>
      <w:r w:rsidR="00EB62F5">
        <w:rPr>
          <w:rFonts w:ascii="Arial" w:hAnsi="Arial" w:cs="Arial"/>
        </w:rPr>
        <w:t>effictive</w:t>
      </w:r>
      <w:proofErr w:type="spellEnd"/>
      <w:r w:rsidR="00B10D96" w:rsidRPr="00764D38">
        <w:rPr>
          <w:rFonts w:ascii="Arial" w:hAnsi="Arial" w:cs="Arial"/>
        </w:rPr>
        <w:t xml:space="preserve"> use of the data for g</w:t>
      </w:r>
      <w:r w:rsidR="00C57BA5">
        <w:rPr>
          <w:rFonts w:ascii="Arial" w:hAnsi="Arial" w:cs="Arial"/>
        </w:rPr>
        <w:t>overnment and research purposes</w:t>
      </w:r>
      <w:r>
        <w:rPr>
          <w:rFonts w:ascii="Arial" w:hAnsi="Arial" w:cs="Arial"/>
        </w:rPr>
        <w:t xml:space="preserve">.  </w:t>
      </w:r>
      <w:r w:rsidR="00C57BA5">
        <w:rPr>
          <w:rFonts w:ascii="Arial" w:hAnsi="Arial" w:cs="Arial"/>
        </w:rPr>
        <w:t xml:space="preserve"> </w:t>
      </w:r>
      <w:r>
        <w:rPr>
          <w:rFonts w:ascii="Arial" w:hAnsi="Arial" w:cs="Arial"/>
        </w:rPr>
        <w:t>Address</w:t>
      </w:r>
      <w:r w:rsidR="004119CD">
        <w:rPr>
          <w:rFonts w:ascii="Arial" w:hAnsi="Arial" w:cs="Arial"/>
        </w:rPr>
        <w:t>ing</w:t>
      </w:r>
      <w:r>
        <w:rPr>
          <w:rFonts w:ascii="Arial" w:hAnsi="Arial" w:cs="Arial"/>
        </w:rPr>
        <w:t xml:space="preserve"> these</w:t>
      </w:r>
      <w:r w:rsidR="00C57BA5">
        <w:rPr>
          <w:rFonts w:ascii="Arial" w:hAnsi="Arial" w:cs="Arial"/>
        </w:rPr>
        <w:t xml:space="preserve"> would require at least a high level heads of agreements approach, particularly where there is no </w:t>
      </w:r>
      <w:r w:rsidR="004119CD">
        <w:rPr>
          <w:rFonts w:ascii="Arial" w:hAnsi="Arial" w:cs="Arial"/>
        </w:rPr>
        <w:t xml:space="preserve">existing </w:t>
      </w:r>
      <w:r>
        <w:rPr>
          <w:rFonts w:ascii="Arial" w:hAnsi="Arial" w:cs="Arial"/>
        </w:rPr>
        <w:t xml:space="preserve">overarching </w:t>
      </w:r>
      <w:r w:rsidR="00C57BA5">
        <w:rPr>
          <w:rFonts w:ascii="Arial" w:hAnsi="Arial" w:cs="Arial"/>
        </w:rPr>
        <w:t>regulatory governance framework supporting this.</w:t>
      </w:r>
    </w:p>
    <w:p w:rsidR="002472C0" w:rsidRPr="00764D38" w:rsidRDefault="002472C0" w:rsidP="008860D8">
      <w:pPr>
        <w:spacing w:after="120" w:line="276" w:lineRule="auto"/>
        <w:ind w:left="14"/>
        <w:jc w:val="both"/>
        <w:rPr>
          <w:rFonts w:ascii="Arial" w:hAnsi="Arial" w:cs="Arial"/>
        </w:rPr>
      </w:pPr>
      <w:r>
        <w:rPr>
          <w:rFonts w:ascii="Arial" w:hAnsi="Arial" w:cs="Arial"/>
        </w:rPr>
        <w:t>Even within jurisdictions, there may be legislative, organisational cultural and resource barriers that restrict the ability, willingness and capacity share data between agencies much less identifying information that can enable the linking of data</w:t>
      </w:r>
      <w:r w:rsidR="008860D8">
        <w:rPr>
          <w:rFonts w:ascii="Arial" w:hAnsi="Arial" w:cs="Arial"/>
        </w:rPr>
        <w:t xml:space="preserve"> (within a privacy protecting framework)</w:t>
      </w:r>
      <w:r>
        <w:rPr>
          <w:rFonts w:ascii="Arial" w:hAnsi="Arial" w:cs="Arial"/>
        </w:rPr>
        <w:t xml:space="preserve"> across these agencies</w:t>
      </w:r>
      <w:r w:rsidR="004119CD">
        <w:rPr>
          <w:rFonts w:ascii="Arial" w:hAnsi="Arial" w:cs="Arial"/>
        </w:rPr>
        <w:t xml:space="preserve">. The </w:t>
      </w:r>
      <w:proofErr w:type="spellStart"/>
      <w:r w:rsidR="004119CD">
        <w:rPr>
          <w:rFonts w:ascii="Arial" w:hAnsi="Arial" w:cs="Arial"/>
        </w:rPr>
        <w:t>ues</w:t>
      </w:r>
      <w:proofErr w:type="spellEnd"/>
      <w:r w:rsidR="004119CD">
        <w:rPr>
          <w:rFonts w:ascii="Arial" w:hAnsi="Arial" w:cs="Arial"/>
        </w:rPr>
        <w:t xml:space="preserve"> of data linkage can </w:t>
      </w:r>
      <w:r>
        <w:rPr>
          <w:rFonts w:ascii="Arial" w:hAnsi="Arial" w:cs="Arial"/>
        </w:rPr>
        <w:t xml:space="preserve">support a much more complete </w:t>
      </w:r>
      <w:r w:rsidR="008860D8">
        <w:rPr>
          <w:rFonts w:ascii="Arial" w:hAnsi="Arial" w:cs="Arial"/>
        </w:rPr>
        <w:t>evaluation</w:t>
      </w:r>
      <w:r>
        <w:rPr>
          <w:rFonts w:ascii="Arial" w:hAnsi="Arial" w:cs="Arial"/>
        </w:rPr>
        <w:t xml:space="preserve"> of the effectiveness</w:t>
      </w:r>
      <w:r w:rsidR="008860D8">
        <w:rPr>
          <w:rFonts w:ascii="Arial" w:hAnsi="Arial" w:cs="Arial"/>
        </w:rPr>
        <w:t xml:space="preserve"> (including cost effectiveness)</w:t>
      </w:r>
      <w:r>
        <w:rPr>
          <w:rFonts w:ascii="Arial" w:hAnsi="Arial" w:cs="Arial"/>
        </w:rPr>
        <w:t xml:space="preserve"> of government policies and interventions.</w:t>
      </w:r>
    </w:p>
    <w:p w:rsidR="00F43AF8" w:rsidRPr="004119CD" w:rsidRDefault="00F43AF8" w:rsidP="008860D8">
      <w:pPr>
        <w:spacing w:after="120" w:line="276" w:lineRule="auto"/>
        <w:ind w:left="14"/>
        <w:jc w:val="both"/>
        <w:rPr>
          <w:rFonts w:ascii="Arial" w:hAnsi="Arial" w:cs="Arial"/>
        </w:rPr>
      </w:pPr>
      <w:r w:rsidRPr="004119CD">
        <w:rPr>
          <w:rFonts w:ascii="Arial" w:hAnsi="Arial" w:cs="Arial"/>
        </w:rPr>
        <w:t xml:space="preserve">Any model for better data availability and use must be considered in the context of the various jurisdictional legal arrangements, agreements, policies and practices.  Legislation can mandate </w:t>
      </w:r>
      <w:r w:rsidR="00C57BA5" w:rsidRPr="004119CD">
        <w:rPr>
          <w:rFonts w:ascii="Arial" w:hAnsi="Arial" w:cs="Arial"/>
        </w:rPr>
        <w:t xml:space="preserve">and support </w:t>
      </w:r>
      <w:r w:rsidRPr="004119CD">
        <w:rPr>
          <w:rFonts w:ascii="Arial" w:hAnsi="Arial" w:cs="Arial"/>
        </w:rPr>
        <w:t>the provision and protection of data to pr</w:t>
      </w:r>
      <w:r w:rsidR="00B9323F" w:rsidRPr="004119CD">
        <w:rPr>
          <w:rFonts w:ascii="Arial" w:hAnsi="Arial" w:cs="Arial"/>
        </w:rPr>
        <w:t>ovide public confidence in its</w:t>
      </w:r>
      <w:r w:rsidR="004119CD" w:rsidRPr="004119CD">
        <w:rPr>
          <w:rFonts w:ascii="Arial" w:hAnsi="Arial" w:cs="Arial"/>
        </w:rPr>
        <w:t xml:space="preserve"> secure management and</w:t>
      </w:r>
      <w:r w:rsidR="00B9323F" w:rsidRPr="004119CD">
        <w:rPr>
          <w:rFonts w:ascii="Arial" w:hAnsi="Arial" w:cs="Arial"/>
        </w:rPr>
        <w:t xml:space="preserve"> most likely</w:t>
      </w:r>
      <w:r w:rsidRPr="004119CD">
        <w:rPr>
          <w:rFonts w:ascii="Arial" w:hAnsi="Arial" w:cs="Arial"/>
        </w:rPr>
        <w:t xml:space="preserve"> require COAG agreement to a m</w:t>
      </w:r>
      <w:r w:rsidR="004119CD" w:rsidRPr="004119CD">
        <w:rPr>
          <w:rFonts w:ascii="Arial" w:hAnsi="Arial" w:cs="Arial"/>
        </w:rPr>
        <w:t>andated uniform approach or</w:t>
      </w:r>
      <w:r w:rsidR="00785F30">
        <w:rPr>
          <w:rFonts w:ascii="Arial" w:hAnsi="Arial" w:cs="Arial"/>
        </w:rPr>
        <w:t xml:space="preserve"> common</w:t>
      </w:r>
      <w:r w:rsidR="004119CD" w:rsidRPr="004119CD">
        <w:rPr>
          <w:rFonts w:ascii="Arial" w:hAnsi="Arial" w:cs="Arial"/>
        </w:rPr>
        <w:t xml:space="preserve"> Agreement.</w:t>
      </w:r>
    </w:p>
    <w:p w:rsidR="00F43AF8" w:rsidRPr="00764D38" w:rsidRDefault="00F43AF8" w:rsidP="008860D8">
      <w:pPr>
        <w:spacing w:after="120" w:line="276" w:lineRule="auto"/>
        <w:ind w:left="14"/>
        <w:jc w:val="both"/>
        <w:rPr>
          <w:rFonts w:ascii="Arial" w:hAnsi="Arial" w:cs="Arial"/>
        </w:rPr>
      </w:pPr>
      <w:r w:rsidRPr="008860D8">
        <w:rPr>
          <w:rFonts w:ascii="Arial" w:hAnsi="Arial" w:cs="Arial"/>
          <w:spacing w:val="-4"/>
        </w:rPr>
        <w:t>Apart from the acceptance</w:t>
      </w:r>
      <w:r w:rsidR="00C57BA5" w:rsidRPr="008860D8">
        <w:rPr>
          <w:rFonts w:ascii="Arial" w:hAnsi="Arial" w:cs="Arial"/>
          <w:spacing w:val="-4"/>
        </w:rPr>
        <w:t xml:space="preserve"> of</w:t>
      </w:r>
      <w:r w:rsidRPr="008860D8">
        <w:rPr>
          <w:rFonts w:ascii="Arial" w:hAnsi="Arial" w:cs="Arial"/>
          <w:spacing w:val="-4"/>
        </w:rPr>
        <w:t xml:space="preserve"> data sharing,</w:t>
      </w:r>
      <w:r w:rsidR="00C57BA5" w:rsidRPr="008860D8">
        <w:rPr>
          <w:rFonts w:ascii="Arial" w:hAnsi="Arial" w:cs="Arial"/>
          <w:spacing w:val="-4"/>
        </w:rPr>
        <w:t xml:space="preserve"> there are</w:t>
      </w:r>
      <w:r w:rsidRPr="008860D8">
        <w:rPr>
          <w:rFonts w:ascii="Arial" w:hAnsi="Arial" w:cs="Arial"/>
          <w:spacing w:val="-4"/>
        </w:rPr>
        <w:t xml:space="preserve"> major practical and resource issues relating to the consistency, usability and provision of data that are difficult to address where agencies are increasingly focussing on their core business as the implications of the ongoing reduction of resource capacity and capability take hold.  An</w:t>
      </w:r>
      <w:r w:rsidR="00B9323F" w:rsidRPr="008860D8">
        <w:rPr>
          <w:rFonts w:ascii="Arial" w:hAnsi="Arial" w:cs="Arial"/>
          <w:spacing w:val="-4"/>
        </w:rPr>
        <w:t>y</w:t>
      </w:r>
      <w:r w:rsidRPr="008860D8">
        <w:rPr>
          <w:rFonts w:ascii="Arial" w:hAnsi="Arial" w:cs="Arial"/>
          <w:spacing w:val="-4"/>
        </w:rPr>
        <w:t xml:space="preserve"> agreement at </w:t>
      </w:r>
      <w:r w:rsidR="00B9323F" w:rsidRPr="008860D8">
        <w:rPr>
          <w:rFonts w:ascii="Arial" w:hAnsi="Arial" w:cs="Arial"/>
          <w:spacing w:val="-4"/>
        </w:rPr>
        <w:t>government</w:t>
      </w:r>
      <w:r w:rsidRPr="00764D38">
        <w:rPr>
          <w:rFonts w:ascii="Arial" w:hAnsi="Arial" w:cs="Arial"/>
          <w:spacing w:val="-4"/>
        </w:rPr>
        <w:t xml:space="preserve"> level</w:t>
      </w:r>
      <w:r w:rsidR="00B9323F">
        <w:rPr>
          <w:rFonts w:ascii="Arial" w:hAnsi="Arial" w:cs="Arial"/>
          <w:spacing w:val="-4"/>
        </w:rPr>
        <w:t>s</w:t>
      </w:r>
      <w:r w:rsidRPr="00764D38">
        <w:rPr>
          <w:rFonts w:ascii="Arial" w:hAnsi="Arial" w:cs="Arial"/>
          <w:spacing w:val="-4"/>
        </w:rPr>
        <w:t xml:space="preserve"> </w:t>
      </w:r>
      <w:r w:rsidR="00C57BA5">
        <w:rPr>
          <w:rFonts w:ascii="Arial" w:hAnsi="Arial" w:cs="Arial"/>
          <w:spacing w:val="-4"/>
        </w:rPr>
        <w:t>should also have</w:t>
      </w:r>
      <w:r w:rsidRPr="00764D38">
        <w:rPr>
          <w:rFonts w:ascii="Arial" w:hAnsi="Arial" w:cs="Arial"/>
          <w:spacing w:val="-4"/>
        </w:rPr>
        <w:t xml:space="preserve"> the potential to make resources available to achieve the objectives.</w:t>
      </w:r>
    </w:p>
    <w:p w:rsidR="00F43AF8" w:rsidRDefault="00C57BA5" w:rsidP="008860D8">
      <w:pPr>
        <w:spacing w:after="120" w:line="276" w:lineRule="auto"/>
        <w:ind w:left="14"/>
        <w:jc w:val="both"/>
        <w:rPr>
          <w:rFonts w:ascii="Arial" w:hAnsi="Arial" w:cs="Arial"/>
          <w:spacing w:val="-4"/>
        </w:rPr>
      </w:pPr>
      <w:r>
        <w:rPr>
          <w:rFonts w:ascii="Arial" w:hAnsi="Arial" w:cs="Arial"/>
          <w:spacing w:val="-4"/>
        </w:rPr>
        <w:t>T</w:t>
      </w:r>
      <w:r w:rsidR="00F43AF8" w:rsidRPr="00764D38">
        <w:rPr>
          <w:rFonts w:ascii="Arial" w:hAnsi="Arial" w:cs="Arial"/>
          <w:spacing w:val="-4"/>
        </w:rPr>
        <w:t>here should be clarity and agreement by key stakeholders</w:t>
      </w:r>
      <w:r w:rsidR="00785F30">
        <w:rPr>
          <w:rFonts w:ascii="Arial" w:hAnsi="Arial" w:cs="Arial"/>
          <w:spacing w:val="-4"/>
        </w:rPr>
        <w:t>,</w:t>
      </w:r>
      <w:r w:rsidR="00F43AF8" w:rsidRPr="00764D38">
        <w:rPr>
          <w:rFonts w:ascii="Arial" w:hAnsi="Arial" w:cs="Arial"/>
          <w:spacing w:val="-4"/>
        </w:rPr>
        <w:t xml:space="preserve"> and especially consumers, as to the policy objectives, the parameters for data provision and use and </w:t>
      </w:r>
      <w:r>
        <w:rPr>
          <w:rFonts w:ascii="Arial" w:hAnsi="Arial" w:cs="Arial"/>
          <w:spacing w:val="-4"/>
        </w:rPr>
        <w:t xml:space="preserve">the mechanisms to achieve these to ensure public confidence as part of underpinning any proposals to address the key </w:t>
      </w:r>
      <w:r w:rsidR="00B9323F">
        <w:rPr>
          <w:rFonts w:ascii="Arial" w:hAnsi="Arial" w:cs="Arial"/>
          <w:spacing w:val="-4"/>
        </w:rPr>
        <w:t xml:space="preserve">data sharing </w:t>
      </w:r>
      <w:r>
        <w:rPr>
          <w:rFonts w:ascii="Arial" w:hAnsi="Arial" w:cs="Arial"/>
          <w:spacing w:val="-4"/>
        </w:rPr>
        <w:t>issues.</w:t>
      </w:r>
      <w:r w:rsidR="00B9323F">
        <w:rPr>
          <w:rFonts w:ascii="Arial" w:hAnsi="Arial" w:cs="Arial"/>
          <w:spacing w:val="-4"/>
        </w:rPr>
        <w:t xml:space="preserve"> </w:t>
      </w:r>
    </w:p>
    <w:p w:rsidR="005E1165" w:rsidRPr="005E1165" w:rsidRDefault="00B9323F" w:rsidP="008860D8">
      <w:pPr>
        <w:spacing w:after="120" w:line="276" w:lineRule="auto"/>
        <w:ind w:left="14"/>
        <w:jc w:val="both"/>
        <w:rPr>
          <w:rFonts w:ascii="Arial" w:hAnsi="Arial" w:cs="Arial"/>
          <w:spacing w:val="-4"/>
        </w:rPr>
      </w:pPr>
      <w:r>
        <w:rPr>
          <w:rFonts w:ascii="Arial" w:hAnsi="Arial" w:cs="Arial"/>
          <w:spacing w:val="-4"/>
        </w:rPr>
        <w:t xml:space="preserve">Since a very significant sector in education </w:t>
      </w:r>
      <w:r w:rsidR="005E1165">
        <w:rPr>
          <w:rFonts w:ascii="Arial" w:hAnsi="Arial" w:cs="Arial"/>
          <w:spacing w:val="-4"/>
        </w:rPr>
        <w:t>are</w:t>
      </w:r>
      <w:r>
        <w:rPr>
          <w:rFonts w:ascii="Arial" w:hAnsi="Arial" w:cs="Arial"/>
          <w:spacing w:val="-4"/>
        </w:rPr>
        <w:t xml:space="preserve"> non-government</w:t>
      </w:r>
      <w:r w:rsidR="005E1165">
        <w:rPr>
          <w:rFonts w:ascii="Arial" w:hAnsi="Arial" w:cs="Arial"/>
          <w:spacing w:val="-4"/>
        </w:rPr>
        <w:t xml:space="preserve"> educational bodies</w:t>
      </w:r>
      <w:r>
        <w:rPr>
          <w:rFonts w:ascii="Arial" w:hAnsi="Arial" w:cs="Arial"/>
          <w:spacing w:val="-4"/>
        </w:rPr>
        <w:t xml:space="preserve">, it is essential that this sector is </w:t>
      </w:r>
      <w:r w:rsidR="005E1165">
        <w:rPr>
          <w:rFonts w:ascii="Arial" w:hAnsi="Arial" w:cs="Arial"/>
          <w:spacing w:val="-4"/>
        </w:rPr>
        <w:t>supportive of its data provision and use and that they are willing to participate in the regulatory and governance authorising environments.</w:t>
      </w:r>
    </w:p>
    <w:p w:rsidR="00785F30" w:rsidRDefault="00785F30" w:rsidP="008860D8">
      <w:pPr>
        <w:spacing w:after="120" w:line="276" w:lineRule="auto"/>
        <w:ind w:left="14"/>
        <w:jc w:val="both"/>
        <w:rPr>
          <w:rFonts w:ascii="Arial" w:hAnsi="Arial" w:cs="Arial"/>
          <w:b/>
        </w:rPr>
      </w:pPr>
    </w:p>
    <w:p w:rsidR="00F43AF8" w:rsidRPr="00777554" w:rsidRDefault="00F43AF8" w:rsidP="008860D8">
      <w:pPr>
        <w:spacing w:after="120" w:line="276" w:lineRule="auto"/>
        <w:ind w:left="14"/>
        <w:jc w:val="both"/>
        <w:rPr>
          <w:rFonts w:ascii="Arial" w:hAnsi="Arial" w:cs="Arial"/>
          <w:b/>
        </w:rPr>
      </w:pPr>
      <w:r w:rsidRPr="00777554">
        <w:rPr>
          <w:rFonts w:ascii="Arial" w:hAnsi="Arial" w:cs="Arial"/>
          <w:b/>
        </w:rPr>
        <w:t>Security and privacy protection</w:t>
      </w:r>
    </w:p>
    <w:p w:rsidR="00F43AF8" w:rsidRPr="00E31FAA" w:rsidRDefault="00E31FAA" w:rsidP="008860D8">
      <w:pPr>
        <w:spacing w:after="120" w:line="276" w:lineRule="auto"/>
        <w:ind w:left="14"/>
        <w:jc w:val="both"/>
        <w:rPr>
          <w:rFonts w:ascii="Arial" w:hAnsi="Arial" w:cs="Arial"/>
        </w:rPr>
      </w:pPr>
      <w:r>
        <w:rPr>
          <w:rFonts w:ascii="Arial" w:hAnsi="Arial" w:cs="Arial"/>
        </w:rPr>
        <w:t>Ensuring</w:t>
      </w:r>
      <w:r w:rsidR="00F43AF8" w:rsidRPr="00E31FAA">
        <w:rPr>
          <w:rFonts w:ascii="Arial" w:hAnsi="Arial" w:cs="Arial"/>
        </w:rPr>
        <w:t xml:space="preserve"> the security of information and the provision of information in ways that protect the privacy of individuals is fundamental to the operation</w:t>
      </w:r>
      <w:r w:rsidR="00A061AA">
        <w:rPr>
          <w:rFonts w:ascii="Arial" w:hAnsi="Arial" w:cs="Arial"/>
        </w:rPr>
        <w:t xml:space="preserve"> of SA NT </w:t>
      </w:r>
      <w:proofErr w:type="spellStart"/>
      <w:r w:rsidR="00A061AA">
        <w:rPr>
          <w:rFonts w:ascii="Arial" w:hAnsi="Arial" w:cs="Arial"/>
        </w:rPr>
        <w:t>DataLink</w:t>
      </w:r>
      <w:proofErr w:type="spellEnd"/>
      <w:r w:rsidR="00A061AA">
        <w:rPr>
          <w:rFonts w:ascii="Arial" w:hAnsi="Arial" w:cs="Arial"/>
        </w:rPr>
        <w:t xml:space="preserve"> and to creating</w:t>
      </w:r>
      <w:r w:rsidR="00F43AF8" w:rsidRPr="00E31FAA">
        <w:rPr>
          <w:rFonts w:ascii="Arial" w:hAnsi="Arial" w:cs="Arial"/>
        </w:rPr>
        <w:t xml:space="preserve"> and maintain</w:t>
      </w:r>
      <w:r w:rsidR="00A061AA">
        <w:rPr>
          <w:rFonts w:ascii="Arial" w:hAnsi="Arial" w:cs="Arial"/>
        </w:rPr>
        <w:t>ing</w:t>
      </w:r>
      <w:r w:rsidR="00F43AF8" w:rsidRPr="00E31FAA">
        <w:rPr>
          <w:rFonts w:ascii="Arial" w:hAnsi="Arial" w:cs="Arial"/>
        </w:rPr>
        <w:t xml:space="preserve"> the confidence of consumers.</w:t>
      </w:r>
      <w:r>
        <w:rPr>
          <w:rFonts w:ascii="Arial" w:hAnsi="Arial" w:cs="Arial"/>
        </w:rPr>
        <w:t xml:space="preserve"> </w:t>
      </w:r>
    </w:p>
    <w:p w:rsidR="00F43AF8" w:rsidRPr="00E31FAA" w:rsidRDefault="00A061AA" w:rsidP="008860D8">
      <w:pPr>
        <w:spacing w:after="120" w:line="276" w:lineRule="auto"/>
        <w:ind w:left="14"/>
        <w:jc w:val="both"/>
        <w:rPr>
          <w:rFonts w:ascii="Arial" w:hAnsi="Arial" w:cs="Arial"/>
          <w:spacing w:val="-4"/>
        </w:rPr>
      </w:pPr>
      <w:r>
        <w:rPr>
          <w:rFonts w:ascii="Arial" w:hAnsi="Arial" w:cs="Arial"/>
        </w:rPr>
        <w:t xml:space="preserve">From SA NT </w:t>
      </w:r>
      <w:proofErr w:type="spellStart"/>
      <w:r>
        <w:rPr>
          <w:rFonts w:ascii="Arial" w:hAnsi="Arial" w:cs="Arial"/>
        </w:rPr>
        <w:t>DataLink’s</w:t>
      </w:r>
      <w:proofErr w:type="spellEnd"/>
      <w:r w:rsidR="00E31FAA">
        <w:rPr>
          <w:rFonts w:ascii="Arial" w:hAnsi="Arial" w:cs="Arial"/>
        </w:rPr>
        <w:t xml:space="preserve"> experience, t</w:t>
      </w:r>
      <w:r w:rsidR="00F43AF8" w:rsidRPr="00E31FAA">
        <w:rPr>
          <w:rFonts w:ascii="Arial" w:hAnsi="Arial" w:cs="Arial"/>
        </w:rPr>
        <w:t>here are well established technical security measures and proto</w:t>
      </w:r>
      <w:r>
        <w:rPr>
          <w:rFonts w:ascii="Arial" w:hAnsi="Arial" w:cs="Arial"/>
        </w:rPr>
        <w:t xml:space="preserve">cols to manage risks to privacy, as well as </w:t>
      </w:r>
      <w:r w:rsidR="00E31FAA">
        <w:rPr>
          <w:rFonts w:ascii="Arial" w:hAnsi="Arial" w:cs="Arial"/>
        </w:rPr>
        <w:t>p</w:t>
      </w:r>
      <w:r w:rsidR="00F43AF8" w:rsidRPr="00E31FAA">
        <w:rPr>
          <w:rFonts w:ascii="Arial" w:hAnsi="Arial" w:cs="Arial"/>
          <w:spacing w:val="-4"/>
        </w:rPr>
        <w:t xml:space="preserve">rinciples such as the ‘separation principle’ </w:t>
      </w:r>
      <w:r>
        <w:rPr>
          <w:rFonts w:ascii="Arial" w:hAnsi="Arial" w:cs="Arial"/>
          <w:spacing w:val="-4"/>
        </w:rPr>
        <w:t>that</w:t>
      </w:r>
      <w:r w:rsidR="00E31FAA">
        <w:rPr>
          <w:rFonts w:ascii="Arial" w:hAnsi="Arial" w:cs="Arial"/>
          <w:spacing w:val="-4"/>
        </w:rPr>
        <w:t xml:space="preserve"> </w:t>
      </w:r>
      <w:r w:rsidR="00F43AF8" w:rsidRPr="00E31FAA">
        <w:rPr>
          <w:rFonts w:ascii="Arial" w:hAnsi="Arial" w:cs="Arial"/>
          <w:spacing w:val="-4"/>
        </w:rPr>
        <w:t xml:space="preserve">are fundamental to the operation of SA NT </w:t>
      </w:r>
      <w:proofErr w:type="spellStart"/>
      <w:r w:rsidR="00F43AF8" w:rsidRPr="00E31FAA">
        <w:rPr>
          <w:rFonts w:ascii="Arial" w:hAnsi="Arial" w:cs="Arial"/>
          <w:spacing w:val="-4"/>
        </w:rPr>
        <w:t>DataLink</w:t>
      </w:r>
      <w:proofErr w:type="spellEnd"/>
      <w:r w:rsidR="00F43AF8" w:rsidRPr="00E31FAA">
        <w:rPr>
          <w:rFonts w:ascii="Arial" w:hAnsi="Arial" w:cs="Arial"/>
          <w:spacing w:val="-4"/>
        </w:rPr>
        <w:t xml:space="preserve"> and </w:t>
      </w:r>
      <w:r>
        <w:rPr>
          <w:rFonts w:ascii="Arial" w:hAnsi="Arial" w:cs="Arial"/>
          <w:spacing w:val="-4"/>
        </w:rPr>
        <w:t xml:space="preserve">based on </w:t>
      </w:r>
      <w:r w:rsidR="00F43AF8" w:rsidRPr="00E31FAA">
        <w:rPr>
          <w:rFonts w:ascii="Arial" w:hAnsi="Arial" w:cs="Arial"/>
          <w:spacing w:val="-4"/>
        </w:rPr>
        <w:t>national a</w:t>
      </w:r>
      <w:r>
        <w:rPr>
          <w:rFonts w:ascii="Arial" w:hAnsi="Arial" w:cs="Arial"/>
          <w:spacing w:val="-4"/>
        </w:rPr>
        <w:t>nd international best practice in privacy protection.</w:t>
      </w:r>
    </w:p>
    <w:p w:rsidR="00873864" w:rsidRPr="00E31FAA" w:rsidRDefault="00E31FAA" w:rsidP="008860D8">
      <w:pPr>
        <w:spacing w:after="120" w:line="276" w:lineRule="auto"/>
        <w:ind w:left="14"/>
        <w:jc w:val="both"/>
        <w:rPr>
          <w:rFonts w:ascii="Arial" w:hAnsi="Arial" w:cs="Arial"/>
          <w:spacing w:val="-4"/>
        </w:rPr>
      </w:pPr>
      <w:r>
        <w:rPr>
          <w:rFonts w:ascii="Arial" w:hAnsi="Arial" w:cs="Arial"/>
          <w:spacing w:val="-4"/>
        </w:rPr>
        <w:t>However, f</w:t>
      </w:r>
      <w:r w:rsidR="00873864" w:rsidRPr="00E31FAA">
        <w:rPr>
          <w:rFonts w:ascii="Arial" w:hAnsi="Arial" w:cs="Arial"/>
          <w:spacing w:val="-4"/>
        </w:rPr>
        <w:t>or the private sector there may be commercial/competitive barriers, depending on the data that is being sought, especially for p</w:t>
      </w:r>
      <w:r>
        <w:rPr>
          <w:rFonts w:ascii="Arial" w:hAnsi="Arial" w:cs="Arial"/>
          <w:spacing w:val="-4"/>
        </w:rPr>
        <w:t xml:space="preserve">ublication that need to be addressed so that they can be confident that the data they provide and later made available is consistent with their interests. </w:t>
      </w:r>
    </w:p>
    <w:p w:rsidR="00A061AA" w:rsidRDefault="00A061AA" w:rsidP="008860D8">
      <w:pPr>
        <w:spacing w:after="120" w:line="276" w:lineRule="auto"/>
        <w:ind w:left="14"/>
        <w:jc w:val="both"/>
        <w:rPr>
          <w:rFonts w:ascii="Arial" w:hAnsi="Arial" w:cs="Arial"/>
          <w:b/>
        </w:rPr>
      </w:pPr>
    </w:p>
    <w:p w:rsidR="00F43AF8" w:rsidRPr="00777554" w:rsidRDefault="00F43AF8" w:rsidP="008860D8">
      <w:pPr>
        <w:spacing w:after="120" w:line="276" w:lineRule="auto"/>
        <w:ind w:left="14"/>
        <w:jc w:val="both"/>
        <w:rPr>
          <w:rFonts w:ascii="Arial" w:hAnsi="Arial" w:cs="Arial"/>
          <w:b/>
        </w:rPr>
      </w:pPr>
      <w:r w:rsidRPr="00777554">
        <w:rPr>
          <w:rFonts w:ascii="Arial" w:hAnsi="Arial" w:cs="Arial"/>
          <w:b/>
        </w:rPr>
        <w:t>Community</w:t>
      </w:r>
      <w:r w:rsidR="006E7B65" w:rsidRPr="00777554">
        <w:rPr>
          <w:rFonts w:ascii="Arial" w:hAnsi="Arial" w:cs="Arial"/>
          <w:b/>
        </w:rPr>
        <w:t>/school</w:t>
      </w:r>
      <w:r w:rsidRPr="00777554">
        <w:rPr>
          <w:rFonts w:ascii="Arial" w:hAnsi="Arial" w:cs="Arial"/>
          <w:b/>
        </w:rPr>
        <w:t xml:space="preserve"> responses</w:t>
      </w:r>
    </w:p>
    <w:p w:rsidR="00F43AF8" w:rsidRPr="00E31FAA" w:rsidRDefault="00E31FAA" w:rsidP="008860D8">
      <w:pPr>
        <w:spacing w:after="120" w:line="276" w:lineRule="auto"/>
        <w:ind w:left="14"/>
        <w:jc w:val="both"/>
        <w:rPr>
          <w:rFonts w:ascii="Arial" w:hAnsi="Arial" w:cs="Arial"/>
        </w:rPr>
      </w:pPr>
      <w:r>
        <w:rPr>
          <w:rFonts w:ascii="Arial" w:hAnsi="Arial" w:cs="Arial"/>
        </w:rPr>
        <w:t xml:space="preserve">It is SA NT </w:t>
      </w:r>
      <w:proofErr w:type="spellStart"/>
      <w:r>
        <w:rPr>
          <w:rFonts w:ascii="Arial" w:hAnsi="Arial" w:cs="Arial"/>
        </w:rPr>
        <w:t>DataLink’s</w:t>
      </w:r>
      <w:proofErr w:type="spellEnd"/>
      <w:r>
        <w:rPr>
          <w:rFonts w:ascii="Arial" w:hAnsi="Arial" w:cs="Arial"/>
        </w:rPr>
        <w:t xml:space="preserve"> experience that t</w:t>
      </w:r>
      <w:r w:rsidR="00F43AF8" w:rsidRPr="00E31FAA">
        <w:rPr>
          <w:rFonts w:ascii="Arial" w:hAnsi="Arial" w:cs="Arial"/>
        </w:rPr>
        <w:t xml:space="preserve">here </w:t>
      </w:r>
      <w:r>
        <w:rPr>
          <w:rFonts w:ascii="Arial" w:hAnsi="Arial" w:cs="Arial"/>
        </w:rPr>
        <w:t>is</w:t>
      </w:r>
      <w:r w:rsidR="00A061AA">
        <w:rPr>
          <w:rFonts w:ascii="Arial" w:hAnsi="Arial" w:cs="Arial"/>
        </w:rPr>
        <w:t xml:space="preserve"> generally</w:t>
      </w:r>
      <w:r w:rsidR="00F43AF8" w:rsidRPr="00E31FAA">
        <w:rPr>
          <w:rFonts w:ascii="Arial" w:hAnsi="Arial" w:cs="Arial"/>
        </w:rPr>
        <w:t xml:space="preserve"> a positive community response to the use of privacy protected personal information for the betterment of services and outcomes.</w:t>
      </w:r>
      <w:r w:rsidR="00020FF1">
        <w:rPr>
          <w:rFonts w:ascii="Arial" w:hAnsi="Arial" w:cs="Arial"/>
        </w:rPr>
        <w:t xml:space="preserve">  This is has been mostly communicated in the use of health information. </w:t>
      </w:r>
    </w:p>
    <w:p w:rsidR="00F43AF8" w:rsidRPr="00E31FAA" w:rsidRDefault="00020FF1" w:rsidP="008860D8">
      <w:pPr>
        <w:spacing w:after="120" w:line="276" w:lineRule="auto"/>
        <w:ind w:left="14"/>
        <w:jc w:val="both"/>
        <w:rPr>
          <w:rFonts w:ascii="Arial" w:hAnsi="Arial" w:cs="Arial"/>
        </w:rPr>
      </w:pPr>
      <w:r>
        <w:rPr>
          <w:rFonts w:ascii="Arial" w:hAnsi="Arial" w:cs="Arial"/>
        </w:rPr>
        <w:t>However positive</w:t>
      </w:r>
      <w:r w:rsidR="00E31FAA">
        <w:rPr>
          <w:rFonts w:ascii="Arial" w:hAnsi="Arial" w:cs="Arial"/>
        </w:rPr>
        <w:t xml:space="preserve"> c</w:t>
      </w:r>
      <w:r w:rsidR="00F43AF8" w:rsidRPr="00E31FAA">
        <w:rPr>
          <w:rFonts w:ascii="Arial" w:hAnsi="Arial" w:cs="Arial"/>
        </w:rPr>
        <w:t xml:space="preserve">ommunity responses and interest in relation to provision and use of data </w:t>
      </w:r>
      <w:r>
        <w:rPr>
          <w:rFonts w:ascii="Arial" w:hAnsi="Arial" w:cs="Arial"/>
        </w:rPr>
        <w:t xml:space="preserve">are, they </w:t>
      </w:r>
      <w:r w:rsidR="00F43AF8" w:rsidRPr="00E31FAA">
        <w:rPr>
          <w:rFonts w:ascii="Arial" w:hAnsi="Arial" w:cs="Arial"/>
        </w:rPr>
        <w:t>would reasonably be expected to differ if their pers</w:t>
      </w:r>
      <w:r>
        <w:rPr>
          <w:rFonts w:ascii="Arial" w:hAnsi="Arial" w:cs="Arial"/>
        </w:rPr>
        <w:t>onal information was being used</w:t>
      </w:r>
      <w:r w:rsidR="00F43AF8" w:rsidRPr="00E31FAA">
        <w:rPr>
          <w:rFonts w:ascii="Arial" w:hAnsi="Arial" w:cs="Arial"/>
        </w:rPr>
        <w:t xml:space="preserve"> particularly for commercial interests without their consent.</w:t>
      </w:r>
    </w:p>
    <w:p w:rsidR="00F43AF8" w:rsidRPr="00E31FAA" w:rsidRDefault="00F43AF8" w:rsidP="008860D8">
      <w:pPr>
        <w:spacing w:after="120" w:line="276" w:lineRule="auto"/>
        <w:ind w:left="14"/>
        <w:jc w:val="both"/>
        <w:rPr>
          <w:rFonts w:ascii="Arial" w:hAnsi="Arial" w:cs="Arial"/>
          <w:spacing w:val="-4"/>
        </w:rPr>
      </w:pPr>
      <w:r w:rsidRPr="00E31FAA">
        <w:rPr>
          <w:rFonts w:ascii="Arial" w:hAnsi="Arial" w:cs="Arial"/>
          <w:spacing w:val="-4"/>
        </w:rPr>
        <w:t>Within this context, addressing expectations and concerns of consumers is paramount if there is to be a general acceptance of making personal data available</w:t>
      </w:r>
      <w:r w:rsidR="00020FF1">
        <w:rPr>
          <w:rFonts w:ascii="Arial" w:hAnsi="Arial" w:cs="Arial"/>
          <w:spacing w:val="-4"/>
        </w:rPr>
        <w:t xml:space="preserve"> without strong provisions for privacy protection</w:t>
      </w:r>
      <w:r w:rsidRPr="00E31FAA">
        <w:rPr>
          <w:rFonts w:ascii="Arial" w:hAnsi="Arial" w:cs="Arial"/>
          <w:spacing w:val="-4"/>
        </w:rPr>
        <w:t xml:space="preserve">.  Providing assurance and mechanisms that maintain the security of information and protect </w:t>
      </w:r>
      <w:r w:rsidR="00020FF1">
        <w:rPr>
          <w:rFonts w:ascii="Arial" w:hAnsi="Arial" w:cs="Arial"/>
          <w:spacing w:val="-4"/>
        </w:rPr>
        <w:t>individual privacy are critical and a</w:t>
      </w:r>
      <w:r w:rsidR="002D524D">
        <w:rPr>
          <w:rFonts w:ascii="Arial" w:hAnsi="Arial" w:cs="Arial"/>
          <w:spacing w:val="-4"/>
        </w:rPr>
        <w:t>s part of this, h</w:t>
      </w:r>
      <w:r w:rsidRPr="00E31FAA">
        <w:rPr>
          <w:rFonts w:ascii="Arial" w:hAnsi="Arial" w:cs="Arial"/>
          <w:spacing w:val="-4"/>
        </w:rPr>
        <w:t>aving transparent mechanisms and processes to address a breakdown in privacy is essential.</w:t>
      </w:r>
    </w:p>
    <w:p w:rsidR="006E7B65" w:rsidRPr="00E31FAA" w:rsidRDefault="002D524D" w:rsidP="008860D8">
      <w:pPr>
        <w:spacing w:after="120" w:line="276" w:lineRule="auto"/>
        <w:ind w:left="14"/>
        <w:jc w:val="both"/>
        <w:rPr>
          <w:rFonts w:ascii="Arial" w:hAnsi="Arial" w:cs="Arial"/>
          <w:spacing w:val="-4"/>
        </w:rPr>
      </w:pPr>
      <w:r>
        <w:rPr>
          <w:rFonts w:ascii="Arial" w:hAnsi="Arial" w:cs="Arial"/>
          <w:spacing w:val="-4"/>
        </w:rPr>
        <w:t>It is reasonable to anticipate that c</w:t>
      </w:r>
      <w:r w:rsidR="00873864" w:rsidRPr="00E31FAA">
        <w:rPr>
          <w:rFonts w:ascii="Arial" w:hAnsi="Arial" w:cs="Arial"/>
          <w:spacing w:val="-4"/>
        </w:rPr>
        <w:t>ommunity responses would be largely governed by the information th</w:t>
      </w:r>
      <w:r>
        <w:rPr>
          <w:rFonts w:ascii="Arial" w:hAnsi="Arial" w:cs="Arial"/>
          <w:spacing w:val="-4"/>
        </w:rPr>
        <w:t>at is made publicly available and s</w:t>
      </w:r>
      <w:r w:rsidR="00873864" w:rsidRPr="00E31FAA">
        <w:rPr>
          <w:rFonts w:ascii="Arial" w:hAnsi="Arial" w:cs="Arial"/>
          <w:spacing w:val="-4"/>
        </w:rPr>
        <w:t>chool responses governed by</w:t>
      </w:r>
      <w:r>
        <w:rPr>
          <w:rFonts w:ascii="Arial" w:hAnsi="Arial" w:cs="Arial"/>
          <w:spacing w:val="-4"/>
        </w:rPr>
        <w:t xml:space="preserve"> how th</w:t>
      </w:r>
      <w:r w:rsidR="00C44CEE">
        <w:rPr>
          <w:rFonts w:ascii="Arial" w:hAnsi="Arial" w:cs="Arial"/>
          <w:spacing w:val="-4"/>
        </w:rPr>
        <w:t>e data was used and made public</w:t>
      </w:r>
      <w:r>
        <w:rPr>
          <w:rFonts w:ascii="Arial" w:hAnsi="Arial" w:cs="Arial"/>
          <w:spacing w:val="-4"/>
        </w:rPr>
        <w:t xml:space="preserve"> </w:t>
      </w:r>
      <w:r w:rsidR="00C44CEE">
        <w:rPr>
          <w:rFonts w:ascii="Arial" w:hAnsi="Arial" w:cs="Arial"/>
          <w:spacing w:val="-4"/>
        </w:rPr>
        <w:t>(f</w:t>
      </w:r>
      <w:r>
        <w:rPr>
          <w:rFonts w:ascii="Arial" w:hAnsi="Arial" w:cs="Arial"/>
          <w:spacing w:val="-4"/>
        </w:rPr>
        <w:t>or example, the current ‘</w:t>
      </w:r>
      <w:r w:rsidR="00C44CEE">
        <w:rPr>
          <w:rFonts w:ascii="Arial" w:hAnsi="Arial" w:cs="Arial"/>
          <w:spacing w:val="-4"/>
        </w:rPr>
        <w:t>My School’</w:t>
      </w:r>
      <w:r>
        <w:rPr>
          <w:rFonts w:ascii="Arial" w:hAnsi="Arial" w:cs="Arial"/>
          <w:spacing w:val="-4"/>
        </w:rPr>
        <w:t xml:space="preserve"> </w:t>
      </w:r>
      <w:r w:rsidR="00C44CEE">
        <w:rPr>
          <w:rFonts w:ascii="Arial" w:hAnsi="Arial" w:cs="Arial"/>
          <w:spacing w:val="-4"/>
        </w:rPr>
        <w:t xml:space="preserve">site).  The </w:t>
      </w:r>
      <w:r w:rsidR="00873864" w:rsidRPr="00E31FAA">
        <w:rPr>
          <w:rFonts w:ascii="Arial" w:hAnsi="Arial" w:cs="Arial"/>
          <w:spacing w:val="-4"/>
        </w:rPr>
        <w:t xml:space="preserve">linking </w:t>
      </w:r>
      <w:r w:rsidR="00C44CEE">
        <w:rPr>
          <w:rFonts w:ascii="Arial" w:hAnsi="Arial" w:cs="Arial"/>
          <w:spacing w:val="-4"/>
        </w:rPr>
        <w:t xml:space="preserve">of </w:t>
      </w:r>
      <w:r w:rsidR="00873864" w:rsidRPr="00E31FAA">
        <w:rPr>
          <w:rFonts w:ascii="Arial" w:hAnsi="Arial" w:cs="Arial"/>
          <w:spacing w:val="-4"/>
        </w:rPr>
        <w:t xml:space="preserve">data to performance outcomes and public comparisons that are not sensitive to the ‘nature’ </w:t>
      </w:r>
      <w:r w:rsidR="00C44CEE">
        <w:rPr>
          <w:rFonts w:ascii="Arial" w:hAnsi="Arial" w:cs="Arial"/>
          <w:spacing w:val="-4"/>
        </w:rPr>
        <w:t>of the school population d</w:t>
      </w:r>
      <w:r w:rsidR="00533E3B">
        <w:rPr>
          <w:rFonts w:ascii="Arial" w:hAnsi="Arial" w:cs="Arial"/>
          <w:spacing w:val="-4"/>
        </w:rPr>
        <w:t xml:space="preserve">oes court controversy. </w:t>
      </w:r>
      <w:r w:rsidR="00C44CEE">
        <w:rPr>
          <w:rFonts w:ascii="Arial" w:hAnsi="Arial" w:cs="Arial"/>
          <w:spacing w:val="-4"/>
        </w:rPr>
        <w:t xml:space="preserve"> </w:t>
      </w:r>
      <w:r w:rsidR="00533E3B">
        <w:rPr>
          <w:rFonts w:ascii="Arial" w:hAnsi="Arial" w:cs="Arial"/>
          <w:spacing w:val="-4"/>
        </w:rPr>
        <w:t>H</w:t>
      </w:r>
      <w:r w:rsidR="00C44CEE">
        <w:rPr>
          <w:rFonts w:ascii="Arial" w:hAnsi="Arial" w:cs="Arial"/>
          <w:spacing w:val="-4"/>
        </w:rPr>
        <w:t>owever given the potential to link a wide range of data and undertake much more nuanced analysis</w:t>
      </w:r>
      <w:r w:rsidR="00533E3B">
        <w:rPr>
          <w:rFonts w:ascii="Arial" w:hAnsi="Arial" w:cs="Arial"/>
          <w:spacing w:val="-4"/>
        </w:rPr>
        <w:t xml:space="preserve"> there is</w:t>
      </w:r>
      <w:r w:rsidR="00C44CEE">
        <w:rPr>
          <w:rFonts w:ascii="Arial" w:hAnsi="Arial" w:cs="Arial"/>
          <w:spacing w:val="-4"/>
        </w:rPr>
        <w:t xml:space="preserve"> the potential for more positive outcomes if the e</w:t>
      </w:r>
      <w:r w:rsidR="007138B6" w:rsidRPr="00E31FAA">
        <w:rPr>
          <w:rFonts w:ascii="Arial" w:hAnsi="Arial" w:cs="Arial"/>
          <w:spacing w:val="-4"/>
        </w:rPr>
        <w:t>ducational</w:t>
      </w:r>
      <w:r w:rsidR="006E7B65" w:rsidRPr="00E31FAA">
        <w:rPr>
          <w:rFonts w:ascii="Arial" w:hAnsi="Arial" w:cs="Arial"/>
          <w:spacing w:val="-4"/>
        </w:rPr>
        <w:t xml:space="preserve"> responses </w:t>
      </w:r>
      <w:r w:rsidR="00785F30">
        <w:rPr>
          <w:rFonts w:ascii="Arial" w:hAnsi="Arial" w:cs="Arial"/>
          <w:spacing w:val="-4"/>
        </w:rPr>
        <w:t>are</w:t>
      </w:r>
      <w:r w:rsidR="006E7B65" w:rsidRPr="00E31FAA">
        <w:rPr>
          <w:rFonts w:ascii="Arial" w:hAnsi="Arial" w:cs="Arial"/>
          <w:spacing w:val="-4"/>
        </w:rPr>
        <w:t xml:space="preserve"> used to </w:t>
      </w:r>
      <w:r w:rsidR="007138B6" w:rsidRPr="00E31FAA">
        <w:rPr>
          <w:rFonts w:ascii="Arial" w:hAnsi="Arial" w:cs="Arial"/>
          <w:spacing w:val="-4"/>
        </w:rPr>
        <w:t>understand and support the</w:t>
      </w:r>
      <w:r w:rsidR="006E7B65" w:rsidRPr="00E31FAA">
        <w:rPr>
          <w:rFonts w:ascii="Arial" w:hAnsi="Arial" w:cs="Arial"/>
          <w:spacing w:val="-4"/>
        </w:rPr>
        <w:t xml:space="preserve"> schools/educational bodies </w:t>
      </w:r>
      <w:r w:rsidR="00533E3B">
        <w:rPr>
          <w:rFonts w:ascii="Arial" w:hAnsi="Arial" w:cs="Arial"/>
          <w:spacing w:val="-4"/>
        </w:rPr>
        <w:t>and their communities.</w:t>
      </w:r>
    </w:p>
    <w:p w:rsidR="008860D8" w:rsidRDefault="008860D8" w:rsidP="008860D8">
      <w:pPr>
        <w:spacing w:after="120" w:line="276" w:lineRule="auto"/>
        <w:ind w:left="14"/>
        <w:jc w:val="both"/>
        <w:rPr>
          <w:rFonts w:ascii="Arial" w:hAnsi="Arial" w:cs="Arial"/>
          <w:b/>
        </w:rPr>
      </w:pPr>
    </w:p>
    <w:p w:rsidR="009632BF" w:rsidRDefault="009632BF" w:rsidP="008860D8">
      <w:pPr>
        <w:spacing w:after="120" w:line="276" w:lineRule="auto"/>
        <w:ind w:left="14"/>
        <w:jc w:val="both"/>
        <w:rPr>
          <w:rFonts w:ascii="Arial" w:hAnsi="Arial" w:cs="Arial"/>
        </w:rPr>
      </w:pPr>
      <w:r w:rsidRPr="009632BF">
        <w:rPr>
          <w:rFonts w:ascii="Arial" w:hAnsi="Arial" w:cs="Arial"/>
          <w:b/>
        </w:rPr>
        <w:t xml:space="preserve">Summary </w:t>
      </w:r>
      <w:r w:rsidR="008C5F8D">
        <w:rPr>
          <w:rFonts w:ascii="Arial" w:hAnsi="Arial" w:cs="Arial"/>
          <w:b/>
        </w:rPr>
        <w:t>comments</w:t>
      </w:r>
    </w:p>
    <w:p w:rsidR="008F7491" w:rsidRPr="008860D8" w:rsidRDefault="008C5F8D" w:rsidP="008860D8">
      <w:pPr>
        <w:spacing w:after="120" w:line="276" w:lineRule="auto"/>
        <w:ind w:left="14"/>
        <w:jc w:val="both"/>
        <w:rPr>
          <w:rFonts w:ascii="Arial" w:hAnsi="Arial" w:cs="Arial"/>
          <w:spacing w:val="-4"/>
        </w:rPr>
      </w:pPr>
      <w:r w:rsidRPr="008860D8">
        <w:rPr>
          <w:rFonts w:ascii="Arial" w:hAnsi="Arial" w:cs="Arial"/>
          <w:spacing w:val="-4"/>
        </w:rPr>
        <w:t xml:space="preserve">Despite challenges, there are considerable benefits in </w:t>
      </w:r>
      <w:r w:rsidR="00E91C48" w:rsidRPr="008860D8">
        <w:rPr>
          <w:rFonts w:ascii="Arial" w:hAnsi="Arial" w:cs="Arial"/>
          <w:spacing w:val="-4"/>
        </w:rPr>
        <w:t xml:space="preserve">having </w:t>
      </w:r>
      <w:r w:rsidR="0033458B" w:rsidRPr="008860D8">
        <w:rPr>
          <w:rFonts w:ascii="Arial" w:hAnsi="Arial" w:cs="Arial"/>
          <w:spacing w:val="-4"/>
        </w:rPr>
        <w:t xml:space="preserve">cost effective and </w:t>
      </w:r>
      <w:r w:rsidR="00E91C48" w:rsidRPr="008860D8">
        <w:rPr>
          <w:rFonts w:ascii="Arial" w:hAnsi="Arial" w:cs="Arial"/>
          <w:spacing w:val="-4"/>
        </w:rPr>
        <w:t xml:space="preserve">efficient </w:t>
      </w:r>
      <w:r w:rsidRPr="008860D8">
        <w:rPr>
          <w:rFonts w:ascii="Arial" w:hAnsi="Arial" w:cs="Arial"/>
          <w:spacing w:val="-4"/>
        </w:rPr>
        <w:t xml:space="preserve">access to </w:t>
      </w:r>
      <w:r w:rsidR="00E91C48" w:rsidRPr="008860D8">
        <w:rPr>
          <w:rFonts w:ascii="Arial" w:hAnsi="Arial" w:cs="Arial"/>
          <w:spacing w:val="-4"/>
        </w:rPr>
        <w:t xml:space="preserve">a standardised </w:t>
      </w:r>
      <w:r w:rsidRPr="008860D8">
        <w:rPr>
          <w:rFonts w:ascii="Arial" w:hAnsi="Arial" w:cs="Arial"/>
          <w:spacing w:val="-4"/>
        </w:rPr>
        <w:t xml:space="preserve">education evidence base </w:t>
      </w:r>
      <w:r w:rsidR="00E91C48" w:rsidRPr="008860D8">
        <w:rPr>
          <w:rFonts w:ascii="Arial" w:hAnsi="Arial" w:cs="Arial"/>
          <w:spacing w:val="-4"/>
        </w:rPr>
        <w:t>with consistent</w:t>
      </w:r>
      <w:r w:rsidRPr="008860D8">
        <w:rPr>
          <w:rFonts w:ascii="Arial" w:hAnsi="Arial" w:cs="Arial"/>
          <w:spacing w:val="-4"/>
        </w:rPr>
        <w:t xml:space="preserve"> data </w:t>
      </w:r>
      <w:r w:rsidR="00E91C48" w:rsidRPr="008860D8">
        <w:rPr>
          <w:rFonts w:ascii="Arial" w:hAnsi="Arial" w:cs="Arial"/>
          <w:spacing w:val="-4"/>
        </w:rPr>
        <w:t xml:space="preserve">standards and quality </w:t>
      </w:r>
      <w:r w:rsidRPr="008860D8">
        <w:rPr>
          <w:rFonts w:ascii="Arial" w:hAnsi="Arial" w:cs="Arial"/>
          <w:spacing w:val="-4"/>
        </w:rPr>
        <w:t>across all jurisdictions</w:t>
      </w:r>
      <w:r w:rsidR="00E91C48" w:rsidRPr="008860D8">
        <w:rPr>
          <w:rFonts w:ascii="Arial" w:hAnsi="Arial" w:cs="Arial"/>
          <w:spacing w:val="-4"/>
        </w:rPr>
        <w:t xml:space="preserve">, particularly if the purpose is solely </w:t>
      </w:r>
      <w:proofErr w:type="spellStart"/>
      <w:r w:rsidR="00E91C48" w:rsidRPr="008860D8">
        <w:rPr>
          <w:rFonts w:ascii="Arial" w:hAnsi="Arial" w:cs="Arial"/>
          <w:spacing w:val="-4"/>
        </w:rPr>
        <w:t>focussed</w:t>
      </w:r>
      <w:proofErr w:type="spellEnd"/>
      <w:r w:rsidR="00E91C48" w:rsidRPr="008860D8">
        <w:rPr>
          <w:rFonts w:ascii="Arial" w:hAnsi="Arial" w:cs="Arial"/>
          <w:spacing w:val="-4"/>
        </w:rPr>
        <w:t xml:space="preserve"> on school based outcomes. To a significant extent, this has been achieve</w:t>
      </w:r>
      <w:r w:rsidR="00785F30">
        <w:rPr>
          <w:rFonts w:ascii="Arial" w:hAnsi="Arial" w:cs="Arial"/>
          <w:spacing w:val="-4"/>
        </w:rPr>
        <w:t>d</w:t>
      </w:r>
      <w:r w:rsidR="00E91C48" w:rsidRPr="008860D8">
        <w:rPr>
          <w:rFonts w:ascii="Arial" w:hAnsi="Arial" w:cs="Arial"/>
          <w:spacing w:val="-4"/>
        </w:rPr>
        <w:t xml:space="preserve"> through the national reporting requirements.  </w:t>
      </w:r>
      <w:r w:rsidR="0033458B" w:rsidRPr="008860D8">
        <w:rPr>
          <w:rFonts w:ascii="Arial" w:hAnsi="Arial" w:cs="Arial"/>
          <w:spacing w:val="-4"/>
        </w:rPr>
        <w:t>However, t</w:t>
      </w:r>
      <w:r w:rsidRPr="008860D8">
        <w:rPr>
          <w:rFonts w:ascii="Arial" w:hAnsi="Arial" w:cs="Arial"/>
          <w:spacing w:val="-4"/>
        </w:rPr>
        <w:t>he key benefit is</w:t>
      </w:r>
      <w:r w:rsidR="0033458B" w:rsidRPr="008860D8">
        <w:rPr>
          <w:rFonts w:ascii="Arial" w:hAnsi="Arial" w:cs="Arial"/>
          <w:spacing w:val="-4"/>
        </w:rPr>
        <w:t xml:space="preserve"> as a basis for</w:t>
      </w:r>
      <w:r w:rsidRPr="008860D8">
        <w:rPr>
          <w:rFonts w:ascii="Arial" w:hAnsi="Arial" w:cs="Arial"/>
          <w:spacing w:val="-4"/>
        </w:rPr>
        <w:t xml:space="preserve"> understanding the jurisdictional and regional variations in outcomes.  </w:t>
      </w:r>
      <w:r w:rsidR="0033458B" w:rsidRPr="008860D8">
        <w:rPr>
          <w:rFonts w:ascii="Arial" w:hAnsi="Arial" w:cs="Arial"/>
          <w:spacing w:val="-4"/>
        </w:rPr>
        <w:t>This will be</w:t>
      </w:r>
      <w:r w:rsidRPr="008860D8">
        <w:rPr>
          <w:rFonts w:ascii="Arial" w:hAnsi="Arial" w:cs="Arial"/>
          <w:spacing w:val="-4"/>
        </w:rPr>
        <w:t xml:space="preserve"> limited if the data cannot be readily linked to other relevant databases.  The issue then </w:t>
      </w:r>
      <w:r w:rsidR="0033458B" w:rsidRPr="008860D8">
        <w:rPr>
          <w:rFonts w:ascii="Arial" w:hAnsi="Arial" w:cs="Arial"/>
          <w:spacing w:val="-4"/>
        </w:rPr>
        <w:t xml:space="preserve">becomes </w:t>
      </w:r>
      <w:r w:rsidRPr="008860D8">
        <w:rPr>
          <w:rFonts w:ascii="Arial" w:hAnsi="Arial" w:cs="Arial"/>
          <w:spacing w:val="-4"/>
        </w:rPr>
        <w:t xml:space="preserve">a more general one of data access and availability.  </w:t>
      </w:r>
    </w:p>
    <w:sectPr w:rsidR="008F7491" w:rsidRPr="008860D8" w:rsidSect="00533E3B">
      <w:headerReference w:type="default" r:id="rId16"/>
      <w:footerReference w:type="default" r:id="rId17"/>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8D" w:rsidRDefault="00E8708D" w:rsidP="006E7B65">
      <w:r>
        <w:separator/>
      </w:r>
    </w:p>
  </w:endnote>
  <w:endnote w:type="continuationSeparator" w:id="0">
    <w:p w:rsidR="00E8708D" w:rsidRDefault="00E8708D" w:rsidP="006E7B65">
      <w:r>
        <w:continuationSeparator/>
      </w:r>
    </w:p>
  </w:endnote>
  <w:endnote w:type="continuationNotice" w:id="1">
    <w:p w:rsidR="00E8708D" w:rsidRDefault="00E87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969831"/>
      <w:docPartObj>
        <w:docPartGallery w:val="Page Numbers (Bottom of Page)"/>
        <w:docPartUnique/>
      </w:docPartObj>
    </w:sdtPr>
    <w:sdtEndPr>
      <w:rPr>
        <w:noProof/>
      </w:rPr>
    </w:sdtEndPr>
    <w:sdtContent>
      <w:p w:rsidR="00B87B02" w:rsidRDefault="00B87B02">
        <w:pPr>
          <w:pStyle w:val="Footer"/>
          <w:jc w:val="right"/>
        </w:pPr>
        <w:r>
          <w:fldChar w:fldCharType="begin"/>
        </w:r>
        <w:r>
          <w:instrText xml:space="preserve"> PAGE   \* MERGEFORMAT </w:instrText>
        </w:r>
        <w:r>
          <w:fldChar w:fldCharType="separate"/>
        </w:r>
        <w:r w:rsidR="00DD6678">
          <w:rPr>
            <w:noProof/>
          </w:rPr>
          <w:t>1</w:t>
        </w:r>
        <w:r>
          <w:rPr>
            <w:noProof/>
          </w:rPr>
          <w:fldChar w:fldCharType="end"/>
        </w:r>
        <w:r>
          <w:rPr>
            <w:noProof/>
          </w:rPr>
          <w:t xml:space="preserve"> of 5</w:t>
        </w:r>
      </w:p>
    </w:sdtContent>
  </w:sdt>
  <w:p w:rsidR="00B87B02" w:rsidRDefault="00B87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8D" w:rsidRDefault="00E8708D" w:rsidP="006E7B65">
      <w:r>
        <w:separator/>
      </w:r>
    </w:p>
  </w:footnote>
  <w:footnote w:type="continuationSeparator" w:id="0">
    <w:p w:rsidR="00E8708D" w:rsidRDefault="00E8708D" w:rsidP="006E7B65">
      <w:r>
        <w:continuationSeparator/>
      </w:r>
    </w:p>
  </w:footnote>
  <w:footnote w:type="continuationNotice" w:id="1">
    <w:p w:rsidR="00E8708D" w:rsidRDefault="00E870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02" w:rsidRDefault="00B87B02">
    <w:pPr>
      <w:pStyle w:val="Header"/>
    </w:pPr>
    <w:r>
      <w:rPr>
        <w:rFonts w:ascii="Arial" w:hAnsi="Arial" w:cs="Arial"/>
        <w:noProof/>
        <w:sz w:val="28"/>
        <w:szCs w:val="28"/>
        <w:lang w:eastAsia="en-AU"/>
      </w:rPr>
      <w:drawing>
        <wp:anchor distT="0" distB="0" distL="114300" distR="114300" simplePos="0" relativeHeight="251658240" behindDoc="1" locked="0" layoutInCell="1" allowOverlap="1" wp14:anchorId="2A5D12AC" wp14:editId="59F6CD0E">
          <wp:simplePos x="0" y="0"/>
          <wp:positionH relativeFrom="column">
            <wp:posOffset>1924050</wp:posOffset>
          </wp:positionH>
          <wp:positionV relativeFrom="paragraph">
            <wp:posOffset>-183515</wp:posOffset>
          </wp:positionV>
          <wp:extent cx="1790700" cy="565150"/>
          <wp:effectExtent l="0" t="0" r="0" b="6350"/>
          <wp:wrapTight wrapText="bothSides">
            <wp:wrapPolygon edited="0">
              <wp:start x="8502" y="0"/>
              <wp:lineTo x="919" y="8009"/>
              <wp:lineTo x="0" y="9465"/>
              <wp:lineTo x="0" y="12378"/>
              <wp:lineTo x="8962" y="21115"/>
              <wp:lineTo x="9881" y="21115"/>
              <wp:lineTo x="10570" y="21115"/>
              <wp:lineTo x="21370" y="13106"/>
              <wp:lineTo x="21370" y="8737"/>
              <wp:lineTo x="10111" y="0"/>
              <wp:lineTo x="8502"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3CD8"/>
    <w:multiLevelType w:val="hybridMultilevel"/>
    <w:tmpl w:val="B2D894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7A6711"/>
    <w:multiLevelType w:val="hybridMultilevel"/>
    <w:tmpl w:val="74D446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822C24"/>
    <w:multiLevelType w:val="hybridMultilevel"/>
    <w:tmpl w:val="36944E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0B3155"/>
    <w:multiLevelType w:val="hybridMultilevel"/>
    <w:tmpl w:val="9B80EB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F46384"/>
    <w:multiLevelType w:val="hybridMultilevel"/>
    <w:tmpl w:val="0A4EA0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640F4F"/>
    <w:multiLevelType w:val="hybridMultilevel"/>
    <w:tmpl w:val="D5128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0345CC"/>
    <w:multiLevelType w:val="hybridMultilevel"/>
    <w:tmpl w:val="C248F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2A421D"/>
    <w:multiLevelType w:val="hybridMultilevel"/>
    <w:tmpl w:val="26946C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5943927"/>
    <w:multiLevelType w:val="hybridMultilevel"/>
    <w:tmpl w:val="9170DEC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355BC9"/>
    <w:multiLevelType w:val="hybridMultilevel"/>
    <w:tmpl w:val="E3E2EA0E"/>
    <w:lvl w:ilvl="0" w:tplc="0C090005">
      <w:start w:val="1"/>
      <w:numFmt w:val="bullet"/>
      <w:lvlText w:val=""/>
      <w:lvlJc w:val="left"/>
      <w:pPr>
        <w:ind w:left="294" w:hanging="360"/>
      </w:pPr>
      <w:rPr>
        <w:rFonts w:ascii="Wingdings" w:hAnsi="Wingdings"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0">
    <w:nsid w:val="53DB4B0E"/>
    <w:multiLevelType w:val="hybridMultilevel"/>
    <w:tmpl w:val="E1B2EA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nsid w:val="749305B9"/>
    <w:multiLevelType w:val="hybridMultilevel"/>
    <w:tmpl w:val="8F5072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
  </w:num>
  <w:num w:numId="5">
    <w:abstractNumId w:val="6"/>
  </w:num>
  <w:num w:numId="6">
    <w:abstractNumId w:val="9"/>
  </w:num>
  <w:num w:numId="7">
    <w:abstractNumId w:val="0"/>
  </w:num>
  <w:num w:numId="8">
    <w:abstractNumId w:val="7"/>
  </w:num>
  <w:num w:numId="9">
    <w:abstractNumId w:val="12"/>
  </w:num>
  <w:num w:numId="10">
    <w:abstractNumId w:val="11"/>
  </w:num>
  <w:num w:numId="11">
    <w:abstractNumId w:val="3"/>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07"/>
    <w:rsid w:val="00020FF1"/>
    <w:rsid w:val="00023468"/>
    <w:rsid w:val="00023EE2"/>
    <w:rsid w:val="00024845"/>
    <w:rsid w:val="000638F9"/>
    <w:rsid w:val="000843AB"/>
    <w:rsid w:val="000C10B2"/>
    <w:rsid w:val="00140515"/>
    <w:rsid w:val="001840CB"/>
    <w:rsid w:val="001E2432"/>
    <w:rsid w:val="002472C0"/>
    <w:rsid w:val="002D524D"/>
    <w:rsid w:val="00324C6F"/>
    <w:rsid w:val="0033458B"/>
    <w:rsid w:val="003368B5"/>
    <w:rsid w:val="003D7407"/>
    <w:rsid w:val="004119CD"/>
    <w:rsid w:val="004710DA"/>
    <w:rsid w:val="005175C3"/>
    <w:rsid w:val="00533E3B"/>
    <w:rsid w:val="00573B66"/>
    <w:rsid w:val="005B058E"/>
    <w:rsid w:val="005D43E8"/>
    <w:rsid w:val="005E1165"/>
    <w:rsid w:val="006A7E7E"/>
    <w:rsid w:val="006B4EF1"/>
    <w:rsid w:val="006D5CA9"/>
    <w:rsid w:val="006E1628"/>
    <w:rsid w:val="006E7B65"/>
    <w:rsid w:val="006E7C18"/>
    <w:rsid w:val="007138B6"/>
    <w:rsid w:val="007209F9"/>
    <w:rsid w:val="0072204B"/>
    <w:rsid w:val="00736695"/>
    <w:rsid w:val="00737378"/>
    <w:rsid w:val="00764D38"/>
    <w:rsid w:val="0077540F"/>
    <w:rsid w:val="00777554"/>
    <w:rsid w:val="00785F30"/>
    <w:rsid w:val="007A27B0"/>
    <w:rsid w:val="007B2FA3"/>
    <w:rsid w:val="007F0D0E"/>
    <w:rsid w:val="00873864"/>
    <w:rsid w:val="008860D8"/>
    <w:rsid w:val="008C5F8D"/>
    <w:rsid w:val="008D615C"/>
    <w:rsid w:val="008F2C84"/>
    <w:rsid w:val="008F7491"/>
    <w:rsid w:val="009560EA"/>
    <w:rsid w:val="009632BF"/>
    <w:rsid w:val="009C26C3"/>
    <w:rsid w:val="00A00CFA"/>
    <w:rsid w:val="00A061AA"/>
    <w:rsid w:val="00A71DDA"/>
    <w:rsid w:val="00AB45B7"/>
    <w:rsid w:val="00B10D96"/>
    <w:rsid w:val="00B14449"/>
    <w:rsid w:val="00B87B02"/>
    <w:rsid w:val="00B9323F"/>
    <w:rsid w:val="00B94623"/>
    <w:rsid w:val="00BC51D5"/>
    <w:rsid w:val="00BC72FF"/>
    <w:rsid w:val="00BD787F"/>
    <w:rsid w:val="00BF6A73"/>
    <w:rsid w:val="00C06C3A"/>
    <w:rsid w:val="00C44CEE"/>
    <w:rsid w:val="00C57BA5"/>
    <w:rsid w:val="00C832EC"/>
    <w:rsid w:val="00CB1E97"/>
    <w:rsid w:val="00CD1DFE"/>
    <w:rsid w:val="00D76AB1"/>
    <w:rsid w:val="00D9263F"/>
    <w:rsid w:val="00DB70AD"/>
    <w:rsid w:val="00DC5AFE"/>
    <w:rsid w:val="00DD3096"/>
    <w:rsid w:val="00DD6678"/>
    <w:rsid w:val="00E31FAA"/>
    <w:rsid w:val="00E8708D"/>
    <w:rsid w:val="00E91C48"/>
    <w:rsid w:val="00EB62F5"/>
    <w:rsid w:val="00F0177F"/>
    <w:rsid w:val="00F43AF8"/>
    <w:rsid w:val="00F4752F"/>
    <w:rsid w:val="00F54D36"/>
    <w:rsid w:val="00F55DCE"/>
    <w:rsid w:val="00F56F95"/>
    <w:rsid w:val="00FA5838"/>
    <w:rsid w:val="00FD44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07"/>
    <w:pPr>
      <w:ind w:left="720"/>
      <w:contextualSpacing/>
    </w:pPr>
  </w:style>
  <w:style w:type="paragraph" w:styleId="Header">
    <w:name w:val="header"/>
    <w:basedOn w:val="Normal"/>
    <w:link w:val="HeaderChar"/>
    <w:uiPriority w:val="99"/>
    <w:unhideWhenUsed/>
    <w:rsid w:val="006E7B65"/>
    <w:pPr>
      <w:tabs>
        <w:tab w:val="center" w:pos="4513"/>
        <w:tab w:val="right" w:pos="9026"/>
      </w:tabs>
    </w:pPr>
  </w:style>
  <w:style w:type="character" w:customStyle="1" w:styleId="HeaderChar">
    <w:name w:val="Header Char"/>
    <w:basedOn w:val="DefaultParagraphFont"/>
    <w:link w:val="Header"/>
    <w:uiPriority w:val="99"/>
    <w:rsid w:val="006E7B65"/>
  </w:style>
  <w:style w:type="paragraph" w:styleId="Footer">
    <w:name w:val="footer"/>
    <w:basedOn w:val="Normal"/>
    <w:link w:val="FooterChar"/>
    <w:uiPriority w:val="99"/>
    <w:unhideWhenUsed/>
    <w:rsid w:val="006E7B65"/>
    <w:pPr>
      <w:tabs>
        <w:tab w:val="center" w:pos="4513"/>
        <w:tab w:val="right" w:pos="9026"/>
      </w:tabs>
    </w:pPr>
  </w:style>
  <w:style w:type="character" w:customStyle="1" w:styleId="FooterChar">
    <w:name w:val="Footer Char"/>
    <w:basedOn w:val="DefaultParagraphFont"/>
    <w:link w:val="Footer"/>
    <w:uiPriority w:val="99"/>
    <w:rsid w:val="006E7B65"/>
  </w:style>
  <w:style w:type="paragraph" w:styleId="BodyText">
    <w:name w:val="Body Text"/>
    <w:link w:val="BodyTextChar"/>
    <w:qFormat/>
    <w:rsid w:val="00777554"/>
    <w:pPr>
      <w:spacing w:before="24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777554"/>
    <w:rPr>
      <w:rFonts w:ascii="Times New Roman" w:eastAsia="Times New Roman" w:hAnsi="Times New Roman" w:cs="Times New Roman"/>
      <w:sz w:val="24"/>
      <w:szCs w:val="20"/>
      <w:lang w:eastAsia="en-AU"/>
    </w:rPr>
  </w:style>
  <w:style w:type="paragraph" w:styleId="ListBullet">
    <w:name w:val="List Bullet"/>
    <w:basedOn w:val="BodyText"/>
    <w:rsid w:val="00777554"/>
    <w:pPr>
      <w:numPr>
        <w:numId w:val="10"/>
      </w:numPr>
      <w:spacing w:before="120"/>
    </w:pPr>
  </w:style>
  <w:style w:type="character" w:styleId="Hyperlink">
    <w:name w:val="Hyperlink"/>
    <w:basedOn w:val="DefaultParagraphFont"/>
    <w:uiPriority w:val="99"/>
    <w:unhideWhenUsed/>
    <w:rsid w:val="00FA58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07"/>
    <w:pPr>
      <w:ind w:left="720"/>
      <w:contextualSpacing/>
    </w:pPr>
  </w:style>
  <w:style w:type="paragraph" w:styleId="Header">
    <w:name w:val="header"/>
    <w:basedOn w:val="Normal"/>
    <w:link w:val="HeaderChar"/>
    <w:uiPriority w:val="99"/>
    <w:unhideWhenUsed/>
    <w:rsid w:val="006E7B65"/>
    <w:pPr>
      <w:tabs>
        <w:tab w:val="center" w:pos="4513"/>
        <w:tab w:val="right" w:pos="9026"/>
      </w:tabs>
    </w:pPr>
  </w:style>
  <w:style w:type="character" w:customStyle="1" w:styleId="HeaderChar">
    <w:name w:val="Header Char"/>
    <w:basedOn w:val="DefaultParagraphFont"/>
    <w:link w:val="Header"/>
    <w:uiPriority w:val="99"/>
    <w:rsid w:val="006E7B65"/>
  </w:style>
  <w:style w:type="paragraph" w:styleId="Footer">
    <w:name w:val="footer"/>
    <w:basedOn w:val="Normal"/>
    <w:link w:val="FooterChar"/>
    <w:uiPriority w:val="99"/>
    <w:unhideWhenUsed/>
    <w:rsid w:val="006E7B65"/>
    <w:pPr>
      <w:tabs>
        <w:tab w:val="center" w:pos="4513"/>
        <w:tab w:val="right" w:pos="9026"/>
      </w:tabs>
    </w:pPr>
  </w:style>
  <w:style w:type="character" w:customStyle="1" w:styleId="FooterChar">
    <w:name w:val="Footer Char"/>
    <w:basedOn w:val="DefaultParagraphFont"/>
    <w:link w:val="Footer"/>
    <w:uiPriority w:val="99"/>
    <w:rsid w:val="006E7B65"/>
  </w:style>
  <w:style w:type="paragraph" w:styleId="BodyText">
    <w:name w:val="Body Text"/>
    <w:link w:val="BodyTextChar"/>
    <w:qFormat/>
    <w:rsid w:val="00777554"/>
    <w:pPr>
      <w:spacing w:before="24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777554"/>
    <w:rPr>
      <w:rFonts w:ascii="Times New Roman" w:eastAsia="Times New Roman" w:hAnsi="Times New Roman" w:cs="Times New Roman"/>
      <w:sz w:val="24"/>
      <w:szCs w:val="20"/>
      <w:lang w:eastAsia="en-AU"/>
    </w:rPr>
  </w:style>
  <w:style w:type="paragraph" w:styleId="ListBullet">
    <w:name w:val="List Bullet"/>
    <w:basedOn w:val="BodyText"/>
    <w:rsid w:val="00777554"/>
    <w:pPr>
      <w:numPr>
        <w:numId w:val="10"/>
      </w:numPr>
      <w:spacing w:before="120"/>
    </w:pPr>
  </w:style>
  <w:style w:type="character" w:styleId="Hyperlink">
    <w:name w:val="Hyperlink"/>
    <w:basedOn w:val="DefaultParagraphFont"/>
    <w:uiPriority w:val="99"/>
    <w:unhideWhenUsed/>
    <w:rsid w:val="00FA5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870788">
      <w:bodyDiv w:val="1"/>
      <w:marLeft w:val="0"/>
      <w:marRight w:val="0"/>
      <w:marTop w:val="0"/>
      <w:marBottom w:val="0"/>
      <w:divBdr>
        <w:top w:val="none" w:sz="0" w:space="0" w:color="auto"/>
        <w:left w:val="none" w:sz="0" w:space="0" w:color="auto"/>
        <w:bottom w:val="none" w:sz="0" w:space="0" w:color="auto"/>
        <w:right w:val="none" w:sz="0" w:space="0" w:color="auto"/>
      </w:divBdr>
    </w:div>
    <w:div w:id="160052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aph.gov.au/Parliamentary_Business/Committees/Senate/Health/Health/Submission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santdatalink.org.au/available_datas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pc="http://schemas.microsoft.com/office/infopath/2007/PartnerControls" xmlns:xsi="http://www.w3.org/2001/XMLSchema-instance">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CA43B7C-8676-4BE8-85D5-3313C582A470}">
  <ds:schemaRefs>
    <ds:schemaRef ds:uri="http://schemas.microsoft.com/office/2006/metadata/customXsn"/>
  </ds:schemaRefs>
</ds:datastoreItem>
</file>

<file path=customXml/itemProps2.xml><?xml version="1.0" encoding="utf-8"?>
<ds:datastoreItem xmlns:ds="http://schemas.openxmlformats.org/officeDocument/2006/customXml" ds:itemID="{34F2DFD3-CAA8-4733-AC23-5FEE7F68F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022BF-C441-43FE-8E32-1884261145A1}">
  <ds:schemaRefs>
    <ds:schemaRef ds:uri="Microsoft.SharePoint.Taxonomy.ContentTypeSync"/>
  </ds:schemaRefs>
</ds:datastoreItem>
</file>

<file path=customXml/itemProps4.xml><?xml version="1.0" encoding="utf-8"?>
<ds:datastoreItem xmlns:ds="http://schemas.openxmlformats.org/officeDocument/2006/customXml" ds:itemID="{21E5D886-21EB-4DD9-B31A-45D1BABC7A14}">
  <ds:schemaRefs>
    <ds:schemaRef ds:uri="http://schemas.microsoft.com/office/infopath/2007/PartnerControls"/>
    <ds:schemaRef ds:uri="3f4bcce7-ac1a-4c9d-aa3e-7e77695652db"/>
    <ds:schemaRef ds:uri="http://purl.org/dc/dcmitype/"/>
    <ds:schemaRef ds:uri="8044c801-d84b-4ee1-a77e-678f8dcdee17"/>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5.xml><?xml version="1.0" encoding="utf-8"?>
<ds:datastoreItem xmlns:ds="http://schemas.openxmlformats.org/officeDocument/2006/customXml" ds:itemID="{B8B210C4-C020-4383-997F-8F582D9EC7E3}">
  <ds:schemaRefs>
    <ds:schemaRef ds:uri="http://schemas.microsoft.com/sharepoint/v3/contenttype/forms"/>
  </ds:schemaRefs>
</ds:datastoreItem>
</file>

<file path=customXml/itemProps6.xml><?xml version="1.0" encoding="utf-8"?>
<ds:datastoreItem xmlns:ds="http://schemas.openxmlformats.org/officeDocument/2006/customXml" ds:itemID="{66702543-C3C0-4CED-8C66-B68ACC77B4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57 - SA NT DataLink - Education Evidence Base - Public inquiry</vt:lpstr>
    </vt:vector>
  </TitlesOfParts>
  <Company>SA NT DataLink</Company>
  <LinksUpToDate>false</LinksUpToDate>
  <CharactersWithSpaces>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57 - SA NT DataLink - Education Evidence Base - Public inquiry</dc:title>
  <dc:creator>SA NT DataLink</dc:creator>
  <cp:keywords/>
  <cp:lastModifiedBy>Productivity Commission</cp:lastModifiedBy>
  <cp:revision>3</cp:revision>
  <dcterms:created xsi:type="dcterms:W3CDTF">2016-05-27T00:09:00Z</dcterms:created>
  <dcterms:modified xsi:type="dcterms:W3CDTF">2016-05-27T04:38:00Z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FileLeafRef">
    <vt:lpwstr>PC_Education_Evidence_Base_Issues_SANTDLreponse_20160519.docx</vt:lpwstr>
  </property>
  <property fmtid="{D5CDD505-2E9C-101B-9397-08002B2CF9AE}" pid="4" name="c401844703f64372bb0e85d87d761fe6">
    <vt:lpwstr>Reference Only|923c7a19-3b10-4b1a-aa53-490b73d512fc</vt:lpwstr>
  </property>
  <property fmtid="{D5CDD505-2E9C-101B-9397-08002B2CF9AE}" pid="5" name="Order">
    <vt:r8>6200</vt:r8>
  </property>
  <property fmtid="{D5CDD505-2E9C-101B-9397-08002B2CF9AE}" pid="6" name="TaxKeyword">
    <vt:lpwstr/>
  </property>
  <property fmtid="{D5CDD505-2E9C-101B-9397-08002B2CF9AE}" pid="7" name="Record Tag">
    <vt:lpwstr>139;#Submissions|c6e0dbf8-5444-433c-844d-d567dd519a05</vt:lpwstr>
  </property>
  <property fmtid="{D5CDD505-2E9C-101B-9397-08002B2CF9AE}" pid="8" name="Retain">
    <vt:lpwstr>138;#Reference Only|923c7a19-3b10-4b1a-aa53-490b73d512fc</vt:lpwstr>
  </property>
</Properties>
</file>