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647" w:rsidRPr="00B213DB" w:rsidRDefault="005138FB" w:rsidP="005138FB">
      <w:pPr>
        <w:jc w:val="center"/>
        <w:rPr>
          <w:rFonts w:ascii="Times New Roman" w:hAnsi="Times New Roman"/>
          <w:b/>
          <w:sz w:val="32"/>
          <w:szCs w:val="32"/>
        </w:rPr>
      </w:pPr>
      <w:bookmarkStart w:id="0" w:name="_GoBack"/>
      <w:bookmarkEnd w:id="0"/>
      <w:r w:rsidRPr="00B213DB">
        <w:rPr>
          <w:rFonts w:ascii="Times New Roman" w:hAnsi="Times New Roman"/>
          <w:b/>
          <w:sz w:val="32"/>
          <w:szCs w:val="32"/>
        </w:rPr>
        <w:t xml:space="preserve">Assumptions about </w:t>
      </w:r>
      <w:r w:rsidR="00C72192" w:rsidRPr="00B213DB">
        <w:rPr>
          <w:rFonts w:ascii="Times New Roman" w:hAnsi="Times New Roman"/>
          <w:b/>
          <w:sz w:val="32"/>
          <w:szCs w:val="32"/>
        </w:rPr>
        <w:t>Manager Performance</w:t>
      </w:r>
    </w:p>
    <w:p w:rsidR="005138FB" w:rsidRPr="00B213DB" w:rsidRDefault="005138FB" w:rsidP="00B8615F">
      <w:pPr>
        <w:spacing w:line="480" w:lineRule="auto"/>
        <w:jc w:val="center"/>
        <w:rPr>
          <w:rFonts w:ascii="Times New Roman" w:hAnsi="Times New Roman"/>
          <w:b/>
          <w:sz w:val="32"/>
          <w:szCs w:val="32"/>
        </w:rPr>
      </w:pPr>
      <w:r w:rsidRPr="00B213DB">
        <w:rPr>
          <w:rFonts w:ascii="Times New Roman" w:hAnsi="Times New Roman"/>
          <w:b/>
          <w:sz w:val="32"/>
          <w:szCs w:val="32"/>
        </w:rPr>
        <w:t>Implications for Superannuation Policy</w:t>
      </w:r>
    </w:p>
    <w:p w:rsidR="005075EF" w:rsidRDefault="005075EF" w:rsidP="00B4188C">
      <w:pPr>
        <w:rPr>
          <w:rFonts w:ascii="Times New Roman" w:hAnsi="Times New Roman"/>
          <w:i/>
        </w:rPr>
      </w:pPr>
    </w:p>
    <w:p w:rsidR="005075EF" w:rsidRDefault="005075EF" w:rsidP="00B4188C">
      <w:pPr>
        <w:rPr>
          <w:rFonts w:ascii="Times New Roman" w:hAnsi="Times New Roman"/>
          <w:i/>
        </w:rPr>
      </w:pPr>
    </w:p>
    <w:p w:rsidR="005075EF" w:rsidRDefault="005075EF" w:rsidP="00B4188C">
      <w:pPr>
        <w:rPr>
          <w:rFonts w:ascii="Times New Roman" w:hAnsi="Times New Roman"/>
          <w:i/>
        </w:rPr>
      </w:pPr>
    </w:p>
    <w:p w:rsidR="005075EF" w:rsidRDefault="005075EF" w:rsidP="00B4188C">
      <w:pPr>
        <w:rPr>
          <w:rFonts w:ascii="Times New Roman" w:hAnsi="Times New Roman"/>
          <w:i/>
        </w:rPr>
      </w:pPr>
    </w:p>
    <w:p w:rsidR="008801D2" w:rsidRDefault="00833341" w:rsidP="008801D2">
      <w:pPr>
        <w:rPr>
          <w:rFonts w:ascii="Times New Roman" w:hAnsi="Times New Roman"/>
        </w:rPr>
      </w:pPr>
      <w:r w:rsidRPr="008801D2">
        <w:rPr>
          <w:rFonts w:ascii="Times New Roman" w:hAnsi="Times New Roman"/>
        </w:rPr>
        <w:t>A</w:t>
      </w:r>
      <w:r w:rsidR="00B4188C" w:rsidRPr="008801D2">
        <w:rPr>
          <w:rFonts w:ascii="Times New Roman" w:hAnsi="Times New Roman"/>
        </w:rPr>
        <w:t xml:space="preserve"> submission by Peterson Research Institute to the Productivity Commission in respect of the Draft Report on ‘How to Assess the Competitiveness and Efficiency of the Superannuation System’. </w:t>
      </w:r>
    </w:p>
    <w:p w:rsidR="008801D2" w:rsidRPr="008801D2" w:rsidRDefault="008801D2" w:rsidP="008801D2">
      <w:pPr>
        <w:rPr>
          <w:rFonts w:ascii="Times New Roman" w:hAnsi="Times New Roman"/>
        </w:rPr>
      </w:pPr>
    </w:p>
    <w:p w:rsidR="006B385C" w:rsidRPr="00B213DB" w:rsidRDefault="008801D2" w:rsidP="0058316E">
      <w:pPr>
        <w:spacing w:after="120" w:line="480" w:lineRule="auto"/>
        <w:rPr>
          <w:rFonts w:ascii="Times New Roman" w:hAnsi="Times New Roman"/>
        </w:rPr>
      </w:pPr>
      <w:r>
        <w:rPr>
          <w:rFonts w:ascii="Times New Roman" w:hAnsi="Times New Roman"/>
        </w:rPr>
        <w:t>September 2016</w:t>
      </w:r>
    </w:p>
    <w:p w:rsidR="00A44647" w:rsidRPr="00B213DB" w:rsidRDefault="00A44647" w:rsidP="00681264">
      <w:pPr>
        <w:rPr>
          <w:rFonts w:ascii="Times New Roman" w:hAnsi="Times New Roman"/>
        </w:rPr>
      </w:pPr>
      <w:r w:rsidRPr="00B213DB">
        <w:rPr>
          <w:rFonts w:ascii="Times New Roman" w:hAnsi="Times New Roman"/>
        </w:rPr>
        <w:br w:type="page"/>
      </w:r>
    </w:p>
    <w:p w:rsidR="005138FB" w:rsidRPr="00B213DB" w:rsidRDefault="005138FB" w:rsidP="005138FB">
      <w:pPr>
        <w:jc w:val="center"/>
        <w:rPr>
          <w:rFonts w:ascii="Times New Roman" w:hAnsi="Times New Roman"/>
          <w:b/>
          <w:sz w:val="32"/>
          <w:szCs w:val="32"/>
        </w:rPr>
      </w:pPr>
      <w:r w:rsidRPr="00B213DB">
        <w:rPr>
          <w:rFonts w:ascii="Times New Roman" w:hAnsi="Times New Roman"/>
          <w:b/>
          <w:sz w:val="32"/>
          <w:szCs w:val="32"/>
        </w:rPr>
        <w:lastRenderedPageBreak/>
        <w:t>Assumptions about Manager Performance</w:t>
      </w:r>
    </w:p>
    <w:p w:rsidR="00544716" w:rsidRPr="00B213DB" w:rsidRDefault="005138FB" w:rsidP="005138FB">
      <w:pPr>
        <w:jc w:val="center"/>
        <w:rPr>
          <w:rFonts w:ascii="Times New Roman" w:hAnsi="Times New Roman"/>
          <w:b/>
          <w:sz w:val="32"/>
          <w:szCs w:val="32"/>
        </w:rPr>
      </w:pPr>
      <w:r w:rsidRPr="00B213DB">
        <w:rPr>
          <w:rFonts w:ascii="Times New Roman" w:hAnsi="Times New Roman"/>
          <w:b/>
          <w:sz w:val="32"/>
          <w:szCs w:val="32"/>
        </w:rPr>
        <w:t>Implications for Superannuation Policy</w:t>
      </w:r>
    </w:p>
    <w:p w:rsidR="005138FB" w:rsidRPr="00B213DB" w:rsidRDefault="005138FB" w:rsidP="005138FB">
      <w:pPr>
        <w:rPr>
          <w:rFonts w:ascii="Times New Roman" w:hAnsi="Times New Roman"/>
        </w:rPr>
      </w:pPr>
    </w:p>
    <w:p w:rsidR="0087645C" w:rsidRPr="00B213DB" w:rsidRDefault="00743477" w:rsidP="008D0389">
      <w:pPr>
        <w:spacing w:after="120" w:line="360" w:lineRule="auto"/>
        <w:rPr>
          <w:rFonts w:ascii="Times New Roman" w:hAnsi="Times New Roman"/>
        </w:rPr>
      </w:pPr>
      <w:r w:rsidRPr="00B213DB">
        <w:rPr>
          <w:rFonts w:ascii="Times New Roman" w:hAnsi="Times New Roman"/>
        </w:rPr>
        <w:t xml:space="preserve">Assumptions about the ability of Investment Managers to add value in </w:t>
      </w:r>
      <w:r w:rsidR="00B53988">
        <w:rPr>
          <w:rFonts w:ascii="Times New Roman" w:hAnsi="Times New Roman"/>
        </w:rPr>
        <w:t xml:space="preserve">investment </w:t>
      </w:r>
      <w:r w:rsidRPr="00B213DB">
        <w:rPr>
          <w:rFonts w:ascii="Times New Roman" w:hAnsi="Times New Roman"/>
        </w:rPr>
        <w:t>portfolios have</w:t>
      </w:r>
      <w:r w:rsidR="00237BB3" w:rsidRPr="00B213DB">
        <w:rPr>
          <w:rFonts w:ascii="Times New Roman" w:hAnsi="Times New Roman"/>
        </w:rPr>
        <w:t xml:space="preserve"> considerable significance in finance and investment. In particular</w:t>
      </w:r>
      <w:r w:rsidR="00E41FFA" w:rsidRPr="00B213DB">
        <w:rPr>
          <w:rFonts w:ascii="Times New Roman" w:hAnsi="Times New Roman"/>
        </w:rPr>
        <w:t>,</w:t>
      </w:r>
      <w:r w:rsidRPr="00B213DB">
        <w:rPr>
          <w:rFonts w:ascii="Times New Roman" w:hAnsi="Times New Roman"/>
        </w:rPr>
        <w:t xml:space="preserve"> they have</w:t>
      </w:r>
      <w:r w:rsidR="00237BB3" w:rsidRPr="00B213DB">
        <w:rPr>
          <w:rFonts w:ascii="Times New Roman" w:hAnsi="Times New Roman"/>
        </w:rPr>
        <w:t xml:space="preserve"> an </w:t>
      </w:r>
      <w:r w:rsidR="00237BB3" w:rsidRPr="00251062">
        <w:rPr>
          <w:rFonts w:ascii="Times New Roman" w:hAnsi="Times New Roman"/>
          <w:b/>
        </w:rPr>
        <w:t xml:space="preserve">important bearing on decisions relating to </w:t>
      </w:r>
      <w:r w:rsidR="00032DC2" w:rsidRPr="00251062">
        <w:rPr>
          <w:rFonts w:ascii="Times New Roman" w:hAnsi="Times New Roman"/>
          <w:b/>
        </w:rPr>
        <w:t>portfolio construction</w:t>
      </w:r>
      <w:r w:rsidR="00032DC2" w:rsidRPr="00B213DB">
        <w:rPr>
          <w:rFonts w:ascii="Times New Roman" w:hAnsi="Times New Roman"/>
        </w:rPr>
        <w:t xml:space="preserve"> and </w:t>
      </w:r>
      <w:r w:rsidR="00237BB3" w:rsidRPr="00B213DB">
        <w:rPr>
          <w:rFonts w:ascii="Times New Roman" w:hAnsi="Times New Roman"/>
        </w:rPr>
        <w:t>the relative attrac</w:t>
      </w:r>
      <w:r w:rsidR="00F30F26" w:rsidRPr="00B213DB">
        <w:rPr>
          <w:rFonts w:ascii="Times New Roman" w:hAnsi="Times New Roman"/>
        </w:rPr>
        <w:t xml:space="preserve">tiveness of active and </w:t>
      </w:r>
      <w:r w:rsidR="00AD283F" w:rsidRPr="00B213DB">
        <w:rPr>
          <w:rFonts w:ascii="Times New Roman" w:hAnsi="Times New Roman"/>
        </w:rPr>
        <w:t>indexed</w:t>
      </w:r>
      <w:r w:rsidR="00237BB3" w:rsidRPr="00B213DB">
        <w:rPr>
          <w:rFonts w:ascii="Times New Roman" w:hAnsi="Times New Roman"/>
        </w:rPr>
        <w:t xml:space="preserve"> approaches to investing. </w:t>
      </w:r>
    </w:p>
    <w:p w:rsidR="00743477" w:rsidRPr="00B213DB" w:rsidRDefault="00B53988" w:rsidP="008D0389">
      <w:pPr>
        <w:spacing w:after="120" w:line="360" w:lineRule="auto"/>
        <w:rPr>
          <w:rFonts w:ascii="Times New Roman" w:hAnsi="Times New Roman"/>
        </w:rPr>
      </w:pPr>
      <w:r>
        <w:rPr>
          <w:rFonts w:ascii="Times New Roman" w:hAnsi="Times New Roman"/>
        </w:rPr>
        <w:t>T</w:t>
      </w:r>
      <w:r w:rsidR="00743477" w:rsidRPr="00B213DB">
        <w:rPr>
          <w:rFonts w:ascii="Times New Roman" w:hAnsi="Times New Roman"/>
        </w:rPr>
        <w:t>here are three requirements for active investment management to add value in superannuation fund investment portfolios, specifically:</w:t>
      </w:r>
    </w:p>
    <w:p w:rsidR="00743477" w:rsidRPr="00B213DB" w:rsidRDefault="00743477" w:rsidP="00743477">
      <w:pPr>
        <w:numPr>
          <w:ilvl w:val="0"/>
          <w:numId w:val="9"/>
        </w:numPr>
        <w:spacing w:after="120" w:line="360" w:lineRule="auto"/>
        <w:rPr>
          <w:rFonts w:ascii="Times New Roman" w:hAnsi="Times New Roman"/>
        </w:rPr>
      </w:pPr>
      <w:r w:rsidRPr="00B213DB">
        <w:rPr>
          <w:rFonts w:ascii="Times New Roman" w:hAnsi="Times New Roman"/>
        </w:rPr>
        <w:t>That some investment manager’s perform consistently;</w:t>
      </w:r>
    </w:p>
    <w:p w:rsidR="00743477" w:rsidRPr="00B213DB" w:rsidRDefault="00743477" w:rsidP="00743477">
      <w:pPr>
        <w:numPr>
          <w:ilvl w:val="0"/>
          <w:numId w:val="9"/>
        </w:numPr>
        <w:spacing w:after="120" w:line="360" w:lineRule="auto"/>
        <w:rPr>
          <w:rFonts w:ascii="Times New Roman" w:hAnsi="Times New Roman"/>
        </w:rPr>
      </w:pPr>
      <w:r w:rsidRPr="00B213DB">
        <w:rPr>
          <w:rFonts w:ascii="Times New Roman" w:hAnsi="Times New Roman"/>
        </w:rPr>
        <w:t>That su</w:t>
      </w:r>
      <w:r w:rsidR="00083CBD">
        <w:rPr>
          <w:rFonts w:ascii="Times New Roman" w:hAnsi="Times New Roman"/>
        </w:rPr>
        <w:t>perannuation funds have strategies</w:t>
      </w:r>
      <w:r w:rsidRPr="00B213DB">
        <w:rPr>
          <w:rFonts w:ascii="Times New Roman" w:hAnsi="Times New Roman"/>
        </w:rPr>
        <w:t xml:space="preserve"> and procedures which allow them to identify and select those investment managers; and </w:t>
      </w:r>
    </w:p>
    <w:p w:rsidR="00743477" w:rsidRPr="00B213DB" w:rsidRDefault="00743477" w:rsidP="00743477">
      <w:pPr>
        <w:numPr>
          <w:ilvl w:val="0"/>
          <w:numId w:val="9"/>
        </w:numPr>
        <w:spacing w:after="120" w:line="360" w:lineRule="auto"/>
        <w:rPr>
          <w:rFonts w:ascii="Times New Roman" w:hAnsi="Times New Roman"/>
        </w:rPr>
      </w:pPr>
      <w:r w:rsidRPr="00B213DB">
        <w:rPr>
          <w:rFonts w:ascii="Times New Roman" w:hAnsi="Times New Roman"/>
        </w:rPr>
        <w:t xml:space="preserve">That the additional returns earned by those investment managers exceed the fees charged. </w:t>
      </w:r>
    </w:p>
    <w:p w:rsidR="008C6972" w:rsidRPr="00B213DB" w:rsidRDefault="00666F7C" w:rsidP="008D0389">
      <w:pPr>
        <w:spacing w:after="120" w:line="360" w:lineRule="auto"/>
        <w:rPr>
          <w:rFonts w:ascii="Times New Roman" w:hAnsi="Times New Roman"/>
        </w:rPr>
      </w:pPr>
      <w:r w:rsidRPr="00B213DB">
        <w:rPr>
          <w:rFonts w:ascii="Times New Roman" w:hAnsi="Times New Roman"/>
        </w:rPr>
        <w:t xml:space="preserve">The </w:t>
      </w:r>
      <w:r w:rsidR="00BA556C" w:rsidRPr="00B213DB">
        <w:rPr>
          <w:rFonts w:ascii="Times New Roman" w:hAnsi="Times New Roman"/>
        </w:rPr>
        <w:t xml:space="preserve">principal </w:t>
      </w:r>
      <w:r w:rsidRPr="00B213DB">
        <w:rPr>
          <w:rFonts w:ascii="Times New Roman" w:hAnsi="Times New Roman"/>
        </w:rPr>
        <w:t>underlying</w:t>
      </w:r>
      <w:r w:rsidR="00743477" w:rsidRPr="00B213DB">
        <w:rPr>
          <w:rFonts w:ascii="Times New Roman" w:hAnsi="Times New Roman"/>
        </w:rPr>
        <w:t xml:space="preserve"> requirement for </w:t>
      </w:r>
      <w:r w:rsidRPr="00B213DB">
        <w:rPr>
          <w:rFonts w:ascii="Times New Roman" w:hAnsi="Times New Roman"/>
        </w:rPr>
        <w:t xml:space="preserve">active </w:t>
      </w:r>
      <w:r w:rsidR="00743477" w:rsidRPr="00B213DB">
        <w:rPr>
          <w:rFonts w:ascii="Times New Roman" w:hAnsi="Times New Roman"/>
        </w:rPr>
        <w:t>investment managers to</w:t>
      </w:r>
      <w:r w:rsidR="00BA556C" w:rsidRPr="00B213DB">
        <w:rPr>
          <w:rFonts w:ascii="Times New Roman" w:hAnsi="Times New Roman"/>
        </w:rPr>
        <w:t xml:space="preserve"> be able to</w:t>
      </w:r>
      <w:r w:rsidR="00743477" w:rsidRPr="00B213DB">
        <w:rPr>
          <w:rFonts w:ascii="Times New Roman" w:hAnsi="Times New Roman"/>
        </w:rPr>
        <w:t xml:space="preserve"> ‘add value’</w:t>
      </w:r>
      <w:r w:rsidRPr="00B213DB">
        <w:rPr>
          <w:rFonts w:ascii="Times New Roman" w:hAnsi="Times New Roman"/>
        </w:rPr>
        <w:t xml:space="preserve">, over ‘index’ or ‘passive’ investment approaches </w:t>
      </w:r>
      <w:r w:rsidR="00BA556C" w:rsidRPr="00B213DB">
        <w:rPr>
          <w:rFonts w:ascii="Times New Roman" w:hAnsi="Times New Roman"/>
        </w:rPr>
        <w:t xml:space="preserve">in superannuation fund investment portfolios </w:t>
      </w:r>
      <w:r w:rsidRPr="00B213DB">
        <w:rPr>
          <w:rFonts w:ascii="Times New Roman" w:hAnsi="Times New Roman"/>
        </w:rPr>
        <w:t xml:space="preserve">relates to the consistency (or persistence) of manger performance. </w:t>
      </w:r>
      <w:r w:rsidR="00E3562E" w:rsidRPr="00B213DB">
        <w:rPr>
          <w:rFonts w:ascii="Times New Roman" w:hAnsi="Times New Roman"/>
        </w:rPr>
        <w:t>Figure</w:t>
      </w:r>
      <w:r w:rsidR="008C6972" w:rsidRPr="00B213DB">
        <w:rPr>
          <w:rFonts w:ascii="Times New Roman" w:hAnsi="Times New Roman"/>
        </w:rPr>
        <w:t xml:space="preserve"> 1, sets out the logical arguments related to portfolio construction and manager selection which follow from managers exhibiting, or not exhibiting, consistent investment performance. </w:t>
      </w:r>
    </w:p>
    <w:p w:rsidR="008C6972" w:rsidRPr="00B213DB" w:rsidRDefault="00E3562E" w:rsidP="008C6972">
      <w:pPr>
        <w:rPr>
          <w:rFonts w:ascii="Times New Roman" w:hAnsi="Times New Roman"/>
          <w:b/>
        </w:rPr>
      </w:pPr>
      <w:r w:rsidRPr="00B213DB">
        <w:rPr>
          <w:rFonts w:ascii="Times New Roman" w:hAnsi="Times New Roman"/>
          <w:b/>
        </w:rPr>
        <w:t>Figure</w:t>
      </w:r>
      <w:r w:rsidR="008C6972" w:rsidRPr="00B213DB">
        <w:rPr>
          <w:rFonts w:ascii="Times New Roman" w:hAnsi="Times New Roman"/>
          <w:b/>
        </w:rPr>
        <w:t xml:space="preserve"> 1</w:t>
      </w:r>
    </w:p>
    <w:p w:rsidR="008C6972" w:rsidRPr="00B213DB" w:rsidRDefault="008C6972" w:rsidP="008C6972">
      <w:pPr>
        <w:rPr>
          <w:rFonts w:ascii="Times New Roman" w:hAnsi="Times New Roman"/>
        </w:rPr>
      </w:pP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8"/>
      </w:tblGrid>
      <w:tr w:rsidR="002C738F" w:rsidRPr="00B213DB" w:rsidTr="002C738F">
        <w:tc>
          <w:tcPr>
            <w:tcW w:w="8188" w:type="dxa"/>
          </w:tcPr>
          <w:p w:rsidR="002C738F" w:rsidRPr="00B213DB" w:rsidRDefault="002C738F" w:rsidP="00AD283F">
            <w:pPr>
              <w:rPr>
                <w:rFonts w:ascii="Times New Roman" w:hAnsi="Times New Roman"/>
              </w:rPr>
            </w:pPr>
            <w:r w:rsidRPr="00B213DB">
              <w:rPr>
                <w:rFonts w:ascii="Times New Roman" w:hAnsi="Times New Roman"/>
                <w:b/>
              </w:rPr>
              <w:t>If Investment Managers do not perform consistently, then</w:t>
            </w:r>
            <w:r w:rsidRPr="00B213DB">
              <w:rPr>
                <w:rFonts w:ascii="Times New Roman" w:hAnsi="Times New Roman"/>
              </w:rPr>
              <w:t>:</w:t>
            </w:r>
          </w:p>
        </w:tc>
      </w:tr>
      <w:tr w:rsidR="002C738F" w:rsidRPr="00B213DB" w:rsidTr="002C738F">
        <w:tc>
          <w:tcPr>
            <w:tcW w:w="8188" w:type="dxa"/>
          </w:tcPr>
          <w:p w:rsidR="00B53988" w:rsidRPr="00B53988" w:rsidRDefault="002C738F" w:rsidP="00B53988">
            <w:pPr>
              <w:numPr>
                <w:ilvl w:val="0"/>
                <w:numId w:val="2"/>
              </w:numPr>
              <w:ind w:left="420"/>
              <w:rPr>
                <w:rFonts w:ascii="Times New Roman" w:hAnsi="Times New Roman"/>
              </w:rPr>
            </w:pPr>
            <w:r w:rsidRPr="00B213DB">
              <w:rPr>
                <w:rFonts w:ascii="Times New Roman" w:hAnsi="Times New Roman"/>
              </w:rPr>
              <w:t>It is not possible for Investors to select Managers that will consistently add value.</w:t>
            </w:r>
          </w:p>
        </w:tc>
      </w:tr>
      <w:tr w:rsidR="002C738F" w:rsidRPr="00B213DB" w:rsidTr="002C738F">
        <w:tc>
          <w:tcPr>
            <w:tcW w:w="8188" w:type="dxa"/>
          </w:tcPr>
          <w:p w:rsidR="002C738F" w:rsidRDefault="002C738F" w:rsidP="00AD283F">
            <w:pPr>
              <w:numPr>
                <w:ilvl w:val="0"/>
                <w:numId w:val="2"/>
              </w:numPr>
              <w:ind w:left="420"/>
              <w:rPr>
                <w:rFonts w:ascii="Times New Roman" w:hAnsi="Times New Roman"/>
              </w:rPr>
            </w:pPr>
            <w:r w:rsidRPr="00B213DB">
              <w:rPr>
                <w:rFonts w:ascii="Times New Roman" w:hAnsi="Times New Roman"/>
              </w:rPr>
              <w:t>Investors will get random Manager performance</w:t>
            </w:r>
          </w:p>
          <w:p w:rsidR="00B53988" w:rsidRPr="00B213DB" w:rsidRDefault="00B53988" w:rsidP="00B53988">
            <w:pPr>
              <w:ind w:left="420"/>
              <w:rPr>
                <w:rFonts w:ascii="Times New Roman" w:hAnsi="Times New Roman"/>
              </w:rPr>
            </w:pPr>
          </w:p>
        </w:tc>
      </w:tr>
      <w:tr w:rsidR="002C738F" w:rsidRPr="00B213DB" w:rsidTr="002C738F">
        <w:tc>
          <w:tcPr>
            <w:tcW w:w="8188" w:type="dxa"/>
          </w:tcPr>
          <w:p w:rsidR="002C738F" w:rsidRDefault="002C738F" w:rsidP="00AD283F">
            <w:pPr>
              <w:numPr>
                <w:ilvl w:val="0"/>
                <w:numId w:val="2"/>
              </w:numPr>
              <w:ind w:left="420"/>
              <w:rPr>
                <w:rFonts w:ascii="Times New Roman" w:hAnsi="Times New Roman"/>
              </w:rPr>
            </w:pPr>
            <w:r w:rsidRPr="00B213DB">
              <w:rPr>
                <w:rFonts w:ascii="Times New Roman" w:hAnsi="Times New Roman"/>
              </w:rPr>
              <w:t xml:space="preserve">Investors </w:t>
            </w:r>
            <w:r w:rsidR="00B53988">
              <w:rPr>
                <w:rFonts w:ascii="Times New Roman" w:hAnsi="Times New Roman"/>
              </w:rPr>
              <w:t>will get Average Manager returns</w:t>
            </w:r>
          </w:p>
          <w:p w:rsidR="00B53988" w:rsidRPr="00B213DB" w:rsidRDefault="00B53988" w:rsidP="00B53988">
            <w:pPr>
              <w:ind w:left="420"/>
              <w:rPr>
                <w:rFonts w:ascii="Times New Roman" w:hAnsi="Times New Roman"/>
              </w:rPr>
            </w:pPr>
          </w:p>
        </w:tc>
      </w:tr>
      <w:tr w:rsidR="002C738F" w:rsidRPr="00B213DB" w:rsidTr="002C738F">
        <w:tc>
          <w:tcPr>
            <w:tcW w:w="8188" w:type="dxa"/>
          </w:tcPr>
          <w:p w:rsidR="002C738F" w:rsidRPr="00B213DB" w:rsidRDefault="002C738F" w:rsidP="00AD283F">
            <w:pPr>
              <w:rPr>
                <w:rFonts w:ascii="Times New Roman" w:hAnsi="Times New Roman"/>
              </w:rPr>
            </w:pPr>
            <w:r w:rsidRPr="00B213DB">
              <w:rPr>
                <w:rFonts w:ascii="Times New Roman" w:hAnsi="Times New Roman"/>
              </w:rPr>
              <w:t>The Average Manager underperforms the Market, therefore:</w:t>
            </w:r>
          </w:p>
          <w:p w:rsidR="002C738F" w:rsidRPr="00B213DB" w:rsidRDefault="002C738F" w:rsidP="002C738F">
            <w:pPr>
              <w:numPr>
                <w:ilvl w:val="0"/>
                <w:numId w:val="2"/>
              </w:numPr>
              <w:ind w:left="420"/>
              <w:rPr>
                <w:rFonts w:ascii="Times New Roman" w:hAnsi="Times New Roman"/>
              </w:rPr>
            </w:pPr>
            <w:r w:rsidRPr="00B213DB">
              <w:rPr>
                <w:rFonts w:ascii="Times New Roman" w:hAnsi="Times New Roman"/>
              </w:rPr>
              <w:t>Invest primarily in market beta asset classes.</w:t>
            </w:r>
          </w:p>
          <w:p w:rsidR="002C738F" w:rsidRPr="00B53988" w:rsidRDefault="002C738F" w:rsidP="00AD283F">
            <w:pPr>
              <w:numPr>
                <w:ilvl w:val="0"/>
                <w:numId w:val="2"/>
              </w:numPr>
              <w:ind w:left="420"/>
              <w:rPr>
                <w:rFonts w:ascii="Times New Roman" w:hAnsi="Times New Roman"/>
              </w:rPr>
            </w:pPr>
            <w:r w:rsidRPr="00B213DB">
              <w:rPr>
                <w:rFonts w:ascii="Times New Roman" w:hAnsi="Times New Roman"/>
              </w:rPr>
              <w:t>Invest in Index funds</w:t>
            </w:r>
          </w:p>
        </w:tc>
      </w:tr>
      <w:tr w:rsidR="002C738F" w:rsidRPr="00B213DB" w:rsidTr="002C738F">
        <w:tc>
          <w:tcPr>
            <w:tcW w:w="8188" w:type="dxa"/>
          </w:tcPr>
          <w:p w:rsidR="002C738F" w:rsidRPr="00B213DB" w:rsidRDefault="002C738F" w:rsidP="00AD283F">
            <w:pPr>
              <w:numPr>
                <w:ilvl w:val="0"/>
                <w:numId w:val="2"/>
              </w:numPr>
              <w:ind w:left="420"/>
              <w:rPr>
                <w:rFonts w:ascii="Times New Roman" w:hAnsi="Times New Roman"/>
              </w:rPr>
            </w:pPr>
            <w:r w:rsidRPr="00B213DB">
              <w:rPr>
                <w:rFonts w:ascii="Times New Roman" w:hAnsi="Times New Roman"/>
              </w:rPr>
              <w:t>Avoid costs from manager fees and transaction costs</w:t>
            </w:r>
          </w:p>
        </w:tc>
      </w:tr>
    </w:tbl>
    <w:p w:rsidR="008C6972" w:rsidRPr="00B213DB" w:rsidRDefault="008C6972" w:rsidP="008C6972">
      <w:pPr>
        <w:rPr>
          <w:rFonts w:ascii="Times New Roman" w:hAnsi="Times New Roman"/>
        </w:rPr>
      </w:pPr>
    </w:p>
    <w:p w:rsidR="00E0068E" w:rsidRPr="00B213DB" w:rsidRDefault="00666F7C" w:rsidP="00743477">
      <w:pPr>
        <w:spacing w:after="120" w:line="360" w:lineRule="auto"/>
        <w:rPr>
          <w:rFonts w:ascii="Times New Roman" w:hAnsi="Times New Roman"/>
        </w:rPr>
      </w:pPr>
      <w:r w:rsidRPr="00B213DB">
        <w:rPr>
          <w:rFonts w:ascii="Times New Roman" w:hAnsi="Times New Roman"/>
        </w:rPr>
        <w:lastRenderedPageBreak/>
        <w:t xml:space="preserve">The </w:t>
      </w:r>
      <w:r w:rsidR="00743477" w:rsidRPr="00B213DB">
        <w:rPr>
          <w:rFonts w:ascii="Times New Roman" w:hAnsi="Times New Roman"/>
        </w:rPr>
        <w:t xml:space="preserve">assumptions </w:t>
      </w:r>
      <w:r w:rsidRPr="00B213DB">
        <w:rPr>
          <w:rFonts w:ascii="Times New Roman" w:hAnsi="Times New Roman"/>
        </w:rPr>
        <w:t>made by</w:t>
      </w:r>
      <w:r w:rsidR="00743477" w:rsidRPr="00B213DB">
        <w:rPr>
          <w:rFonts w:ascii="Times New Roman" w:hAnsi="Times New Roman"/>
        </w:rPr>
        <w:t xml:space="preserve"> the Cooper and Murray </w:t>
      </w:r>
      <w:r w:rsidRPr="00B213DB">
        <w:rPr>
          <w:rFonts w:ascii="Times New Roman" w:hAnsi="Times New Roman"/>
        </w:rPr>
        <w:t xml:space="preserve">Committees of Inquiry about </w:t>
      </w:r>
      <w:r w:rsidR="00743477" w:rsidRPr="00B213DB">
        <w:rPr>
          <w:rFonts w:ascii="Times New Roman" w:hAnsi="Times New Roman"/>
        </w:rPr>
        <w:t xml:space="preserve">the ability, or otherwise, of investment managers </w:t>
      </w:r>
      <w:r w:rsidRPr="00B213DB">
        <w:rPr>
          <w:rFonts w:ascii="Times New Roman" w:hAnsi="Times New Roman"/>
        </w:rPr>
        <w:t>to contribute positively to superannuation i</w:t>
      </w:r>
      <w:r w:rsidR="00B53988">
        <w:rPr>
          <w:rFonts w:ascii="Times New Roman" w:hAnsi="Times New Roman"/>
        </w:rPr>
        <w:t>nvestment returns, are</w:t>
      </w:r>
      <w:r w:rsidR="00BA556C" w:rsidRPr="00B213DB">
        <w:rPr>
          <w:rFonts w:ascii="Times New Roman" w:hAnsi="Times New Roman"/>
        </w:rPr>
        <w:t xml:space="preserve"> not</w:t>
      </w:r>
      <w:r w:rsidRPr="00B213DB">
        <w:rPr>
          <w:rFonts w:ascii="Times New Roman" w:hAnsi="Times New Roman"/>
        </w:rPr>
        <w:t xml:space="preserve"> explicitly</w:t>
      </w:r>
      <w:r w:rsidR="00BA556C" w:rsidRPr="00B213DB">
        <w:rPr>
          <w:rFonts w:ascii="Times New Roman" w:hAnsi="Times New Roman"/>
        </w:rPr>
        <w:t xml:space="preserve"> stated</w:t>
      </w:r>
      <w:r w:rsidRPr="00B213DB">
        <w:rPr>
          <w:rFonts w:ascii="Times New Roman" w:hAnsi="Times New Roman"/>
        </w:rPr>
        <w:t>. However</w:t>
      </w:r>
      <w:r w:rsidR="00BA556C" w:rsidRPr="00B213DB">
        <w:rPr>
          <w:rFonts w:ascii="Times New Roman" w:hAnsi="Times New Roman"/>
        </w:rPr>
        <w:t>,</w:t>
      </w:r>
      <w:r w:rsidRPr="00B213DB">
        <w:rPr>
          <w:rFonts w:ascii="Times New Roman" w:hAnsi="Times New Roman"/>
        </w:rPr>
        <w:t xml:space="preserve"> the recommendations of both Committees, and their implementation in </w:t>
      </w:r>
      <w:r w:rsidR="00BA556C" w:rsidRPr="00B213DB">
        <w:rPr>
          <w:rFonts w:ascii="Times New Roman" w:hAnsi="Times New Roman"/>
        </w:rPr>
        <w:t xml:space="preserve">Legislation and </w:t>
      </w:r>
      <w:r w:rsidR="00E0068E" w:rsidRPr="00B213DB">
        <w:rPr>
          <w:rFonts w:ascii="Times New Roman" w:hAnsi="Times New Roman"/>
        </w:rPr>
        <w:t xml:space="preserve">the Policies of both </w:t>
      </w:r>
      <w:proofErr w:type="spellStart"/>
      <w:r w:rsidR="00E0068E" w:rsidRPr="00B213DB">
        <w:rPr>
          <w:rFonts w:ascii="Times New Roman" w:hAnsi="Times New Roman"/>
        </w:rPr>
        <w:t>A</w:t>
      </w:r>
      <w:r w:rsidRPr="00B213DB">
        <w:rPr>
          <w:rFonts w:ascii="Times New Roman" w:hAnsi="Times New Roman"/>
        </w:rPr>
        <w:t>SIC</w:t>
      </w:r>
      <w:proofErr w:type="spellEnd"/>
      <w:r w:rsidRPr="00B213DB">
        <w:rPr>
          <w:rFonts w:ascii="Times New Roman" w:hAnsi="Times New Roman"/>
        </w:rPr>
        <w:t xml:space="preserve"> and </w:t>
      </w:r>
      <w:proofErr w:type="spellStart"/>
      <w:r w:rsidRPr="00B213DB">
        <w:rPr>
          <w:rFonts w:ascii="Times New Roman" w:hAnsi="Times New Roman"/>
        </w:rPr>
        <w:t>AHPRA</w:t>
      </w:r>
      <w:proofErr w:type="spellEnd"/>
      <w:r w:rsidR="00E0068E" w:rsidRPr="00B213DB">
        <w:rPr>
          <w:rFonts w:ascii="Times New Roman" w:hAnsi="Times New Roman"/>
        </w:rPr>
        <w:t xml:space="preserve">, </w:t>
      </w:r>
      <w:r w:rsidRPr="00B213DB">
        <w:rPr>
          <w:rFonts w:ascii="Times New Roman" w:hAnsi="Times New Roman"/>
        </w:rPr>
        <w:t>effectively demonstrate that active investment management i</w:t>
      </w:r>
      <w:r w:rsidR="00637A52" w:rsidRPr="00B213DB">
        <w:rPr>
          <w:rFonts w:ascii="Times New Roman" w:hAnsi="Times New Roman"/>
        </w:rPr>
        <w:t xml:space="preserve">s viewed </w:t>
      </w:r>
      <w:r w:rsidR="00B53988">
        <w:rPr>
          <w:rFonts w:ascii="Times New Roman" w:hAnsi="Times New Roman"/>
        </w:rPr>
        <w:t xml:space="preserve">primarily as </w:t>
      </w:r>
      <w:r w:rsidR="00637A52" w:rsidRPr="00B213DB">
        <w:rPr>
          <w:rFonts w:ascii="Times New Roman" w:hAnsi="Times New Roman"/>
        </w:rPr>
        <w:t>a cost</w:t>
      </w:r>
      <w:r w:rsidR="00021A6D" w:rsidRPr="00B213DB">
        <w:rPr>
          <w:rFonts w:ascii="Times New Roman" w:hAnsi="Times New Roman"/>
        </w:rPr>
        <w:t xml:space="preserve">. For example: </w:t>
      </w:r>
    </w:p>
    <w:p w:rsidR="00E0068E" w:rsidRPr="00B213DB" w:rsidRDefault="00E0068E" w:rsidP="00BA71AB">
      <w:pPr>
        <w:numPr>
          <w:ilvl w:val="0"/>
          <w:numId w:val="11"/>
        </w:numPr>
        <w:spacing w:after="120" w:line="360" w:lineRule="auto"/>
        <w:rPr>
          <w:rFonts w:ascii="Times New Roman" w:hAnsi="Times New Roman"/>
        </w:rPr>
      </w:pPr>
      <w:proofErr w:type="spellStart"/>
      <w:r w:rsidRPr="00B213DB">
        <w:rPr>
          <w:rFonts w:ascii="Times New Roman" w:hAnsi="Times New Roman"/>
        </w:rPr>
        <w:t>RG</w:t>
      </w:r>
      <w:proofErr w:type="spellEnd"/>
      <w:r w:rsidRPr="00B213DB">
        <w:rPr>
          <w:rFonts w:ascii="Times New Roman" w:hAnsi="Times New Roman"/>
        </w:rPr>
        <w:t xml:space="preserve"> 97.42 notes that issuers of a </w:t>
      </w:r>
      <w:proofErr w:type="spellStart"/>
      <w:r w:rsidRPr="00B213DB">
        <w:rPr>
          <w:rFonts w:ascii="Times New Roman" w:hAnsi="Times New Roman"/>
        </w:rPr>
        <w:t>PDS</w:t>
      </w:r>
      <w:proofErr w:type="spellEnd"/>
      <w:r w:rsidRPr="00B213DB">
        <w:rPr>
          <w:rFonts w:ascii="Times New Roman" w:hAnsi="Times New Roman"/>
        </w:rPr>
        <w:t xml:space="preserve"> must, “take into account </w:t>
      </w:r>
      <w:r w:rsidR="0061466F" w:rsidRPr="00B53988">
        <w:rPr>
          <w:rFonts w:ascii="Times New Roman" w:hAnsi="Times New Roman"/>
          <w:b/>
        </w:rPr>
        <w:t>the costs</w:t>
      </w:r>
      <w:r w:rsidR="0061466F" w:rsidRPr="00B213DB">
        <w:rPr>
          <w:rFonts w:ascii="Times New Roman" w:hAnsi="Times New Roman"/>
        </w:rPr>
        <w:t xml:space="preserve"> of making direct investments, as well as the costs of investing in entities that fall within the definition of ‘interposed vehicles’ …. These costs include, but are not limited to, </w:t>
      </w:r>
      <w:r w:rsidR="0061466F" w:rsidRPr="00B213DB">
        <w:rPr>
          <w:rFonts w:ascii="Times New Roman" w:hAnsi="Times New Roman"/>
          <w:b/>
        </w:rPr>
        <w:t xml:space="preserve">management fees based on the value of assets and fees based on the </w:t>
      </w:r>
      <w:r w:rsidR="00637A52" w:rsidRPr="00B213DB">
        <w:rPr>
          <w:rFonts w:ascii="Times New Roman" w:hAnsi="Times New Roman"/>
          <w:b/>
        </w:rPr>
        <w:t>return paid</w:t>
      </w:r>
      <w:r w:rsidR="00637A52" w:rsidRPr="00B213DB">
        <w:rPr>
          <w:rFonts w:ascii="Times New Roman" w:hAnsi="Times New Roman"/>
        </w:rPr>
        <w:t xml:space="preserve"> from the interposed vehicle”.</w:t>
      </w:r>
      <w:r w:rsidR="0061466F" w:rsidRPr="00B213DB">
        <w:rPr>
          <w:rFonts w:ascii="Times New Roman" w:hAnsi="Times New Roman"/>
        </w:rPr>
        <w:t xml:space="preserve"> </w:t>
      </w:r>
      <w:r w:rsidRPr="00B213DB">
        <w:rPr>
          <w:rFonts w:ascii="Times New Roman" w:hAnsi="Times New Roman"/>
        </w:rPr>
        <w:t xml:space="preserve"> </w:t>
      </w:r>
    </w:p>
    <w:p w:rsidR="00E0068E" w:rsidRPr="00B213DB" w:rsidRDefault="00E0068E" w:rsidP="00BA71AB">
      <w:pPr>
        <w:numPr>
          <w:ilvl w:val="0"/>
          <w:numId w:val="11"/>
        </w:numPr>
        <w:spacing w:after="120" w:line="360" w:lineRule="auto"/>
        <w:rPr>
          <w:rFonts w:ascii="Times New Roman" w:hAnsi="Times New Roman"/>
        </w:rPr>
      </w:pPr>
      <w:proofErr w:type="spellStart"/>
      <w:r w:rsidRPr="00B213DB">
        <w:rPr>
          <w:rFonts w:ascii="Times New Roman" w:hAnsi="Times New Roman"/>
        </w:rPr>
        <w:t>RG</w:t>
      </w:r>
      <w:proofErr w:type="spellEnd"/>
      <w:r w:rsidRPr="00B213DB">
        <w:rPr>
          <w:rFonts w:ascii="Times New Roman" w:hAnsi="Times New Roman"/>
        </w:rPr>
        <w:t xml:space="preserve"> 97.43 defines ‘indirect costs’ for superannuation products and managed investment products, to include, “</w:t>
      </w:r>
      <w:r w:rsidRPr="00B213DB">
        <w:rPr>
          <w:rFonts w:ascii="Times New Roman" w:hAnsi="Times New Roman"/>
          <w:b/>
        </w:rPr>
        <w:t>amounts that reduce the amount or value of income or property attributable to an investor’s investment</w:t>
      </w:r>
      <w:r w:rsidRPr="00B213DB">
        <w:rPr>
          <w:rFonts w:ascii="Times New Roman" w:hAnsi="Times New Roman"/>
        </w:rPr>
        <w:t xml:space="preserve">”.  </w:t>
      </w:r>
    </w:p>
    <w:p w:rsidR="00E0068E" w:rsidRPr="00B213DB" w:rsidRDefault="00E0068E" w:rsidP="00BA71AB">
      <w:pPr>
        <w:numPr>
          <w:ilvl w:val="0"/>
          <w:numId w:val="11"/>
        </w:numPr>
        <w:spacing w:after="120" w:line="360" w:lineRule="auto"/>
        <w:rPr>
          <w:rFonts w:ascii="Times New Roman" w:hAnsi="Times New Roman"/>
        </w:rPr>
      </w:pPr>
      <w:r w:rsidRPr="00B213DB">
        <w:rPr>
          <w:rFonts w:ascii="Times New Roman" w:hAnsi="Times New Roman"/>
        </w:rPr>
        <w:t xml:space="preserve">SIS Act 1993 s </w:t>
      </w:r>
      <w:proofErr w:type="spellStart"/>
      <w:r w:rsidRPr="00B213DB">
        <w:rPr>
          <w:rFonts w:ascii="Times New Roman" w:hAnsi="Times New Roman"/>
        </w:rPr>
        <w:t>29V</w:t>
      </w:r>
      <w:proofErr w:type="spellEnd"/>
      <w:r w:rsidRPr="00B213DB">
        <w:rPr>
          <w:rFonts w:ascii="Times New Roman" w:hAnsi="Times New Roman"/>
        </w:rPr>
        <w:t xml:space="preserve">(3) </w:t>
      </w:r>
      <w:r w:rsidR="00B53988">
        <w:rPr>
          <w:rFonts w:ascii="Times New Roman" w:hAnsi="Times New Roman"/>
        </w:rPr>
        <w:t>addresses</w:t>
      </w:r>
      <w:r w:rsidRPr="00B213DB">
        <w:rPr>
          <w:rFonts w:ascii="Times New Roman" w:hAnsi="Times New Roman"/>
        </w:rPr>
        <w:t xml:space="preserve"> Investment Fees as they relate to reporting in product dashboards for </w:t>
      </w:r>
      <w:proofErr w:type="spellStart"/>
      <w:r w:rsidRPr="00B213DB">
        <w:rPr>
          <w:rFonts w:ascii="Times New Roman" w:hAnsi="Times New Roman"/>
        </w:rPr>
        <w:t>MySuper</w:t>
      </w:r>
      <w:proofErr w:type="spellEnd"/>
      <w:r w:rsidRPr="00B213DB">
        <w:rPr>
          <w:rFonts w:ascii="Times New Roman" w:hAnsi="Times New Roman"/>
        </w:rPr>
        <w:t xml:space="preserve"> and qualifying choice investment options.</w:t>
      </w:r>
    </w:p>
    <w:p w:rsidR="00732B05" w:rsidRPr="00B213DB" w:rsidRDefault="00637A52" w:rsidP="00743477">
      <w:pPr>
        <w:spacing w:after="120" w:line="360" w:lineRule="auto"/>
        <w:rPr>
          <w:rFonts w:ascii="Times New Roman" w:hAnsi="Times New Roman"/>
        </w:rPr>
      </w:pPr>
      <w:r w:rsidRPr="00B213DB">
        <w:rPr>
          <w:rFonts w:ascii="Times New Roman" w:hAnsi="Times New Roman"/>
          <w:b/>
        </w:rPr>
        <w:t>This implicit treatment of active investment management as a cost</w:t>
      </w:r>
      <w:r w:rsidRPr="00B213DB">
        <w:rPr>
          <w:rFonts w:ascii="Times New Roman" w:hAnsi="Times New Roman"/>
        </w:rPr>
        <w:t xml:space="preserve"> – and hence something to be minimized – rather than a source of investment risk and return, </w:t>
      </w:r>
      <w:r w:rsidRPr="00B213DB">
        <w:rPr>
          <w:rFonts w:ascii="Times New Roman" w:hAnsi="Times New Roman"/>
          <w:b/>
        </w:rPr>
        <w:t>is having a very significant influence on the portfolio construction and manager selection</w:t>
      </w:r>
      <w:r w:rsidR="00021A6D" w:rsidRPr="00B213DB">
        <w:rPr>
          <w:rFonts w:ascii="Times New Roman" w:hAnsi="Times New Roman"/>
          <w:b/>
        </w:rPr>
        <w:t xml:space="preserve"> policies adopted by many </w:t>
      </w:r>
      <w:r w:rsidRPr="00B213DB">
        <w:rPr>
          <w:rFonts w:ascii="Times New Roman" w:hAnsi="Times New Roman"/>
          <w:b/>
        </w:rPr>
        <w:t>Australian superannuation funds</w:t>
      </w:r>
      <w:r w:rsidRPr="00B213DB">
        <w:rPr>
          <w:rFonts w:ascii="Times New Roman" w:hAnsi="Times New Roman"/>
        </w:rPr>
        <w:t xml:space="preserve">. </w:t>
      </w:r>
      <w:r w:rsidR="00021A6D" w:rsidRPr="00B213DB">
        <w:rPr>
          <w:rFonts w:ascii="Times New Roman" w:hAnsi="Times New Roman"/>
        </w:rPr>
        <w:t xml:space="preserve">That this assertion reflects reality </w:t>
      </w:r>
      <w:r w:rsidR="00732B05" w:rsidRPr="00B213DB">
        <w:rPr>
          <w:rFonts w:ascii="Times New Roman" w:hAnsi="Times New Roman"/>
        </w:rPr>
        <w:t>is supported by a number of senior superannuation and investment industry practitioners, including:</w:t>
      </w:r>
    </w:p>
    <w:p w:rsidR="008005FF" w:rsidRPr="00B213DB" w:rsidRDefault="00732B05" w:rsidP="008005FF">
      <w:pPr>
        <w:numPr>
          <w:ilvl w:val="0"/>
          <w:numId w:val="10"/>
        </w:numPr>
        <w:spacing w:after="120" w:line="360" w:lineRule="auto"/>
        <w:rPr>
          <w:rFonts w:ascii="Times New Roman" w:hAnsi="Times New Roman"/>
        </w:rPr>
      </w:pPr>
      <w:r w:rsidRPr="00B213DB">
        <w:rPr>
          <w:rFonts w:ascii="Times New Roman" w:hAnsi="Times New Roman"/>
        </w:rPr>
        <w:t xml:space="preserve">David Hartley (Retired Chief Investment Officer of </w:t>
      </w:r>
      <w:proofErr w:type="spellStart"/>
      <w:r w:rsidRPr="00B213DB">
        <w:rPr>
          <w:rFonts w:ascii="Times New Roman" w:hAnsi="Times New Roman"/>
        </w:rPr>
        <w:t>Sunsuper</w:t>
      </w:r>
      <w:proofErr w:type="spellEnd"/>
      <w:r w:rsidRPr="00B213DB">
        <w:rPr>
          <w:rFonts w:ascii="Times New Roman" w:hAnsi="Times New Roman"/>
        </w:rPr>
        <w:t xml:space="preserve">: Hartley, 2016), who notes </w:t>
      </w:r>
      <w:r w:rsidR="008005FF" w:rsidRPr="00B213DB">
        <w:rPr>
          <w:rFonts w:ascii="Times New Roman" w:hAnsi="Times New Roman"/>
        </w:rPr>
        <w:t>that, “Current fee disclosure in the Australian superannuation industry is not transparent”, which thereby creates, “</w:t>
      </w:r>
      <w:r w:rsidR="008005FF" w:rsidRPr="00B213DB">
        <w:rPr>
          <w:rFonts w:ascii="Times New Roman" w:hAnsi="Times New Roman"/>
          <w:b/>
        </w:rPr>
        <w:t>compromised fiduciary duty</w:t>
      </w:r>
      <w:r w:rsidR="008005FF" w:rsidRPr="00B213DB">
        <w:rPr>
          <w:rFonts w:ascii="Times New Roman" w:hAnsi="Times New Roman"/>
        </w:rPr>
        <w:t xml:space="preserve">” (emphasis added), on the part of </w:t>
      </w:r>
      <w:proofErr w:type="spellStart"/>
      <w:r w:rsidR="008005FF" w:rsidRPr="00B213DB">
        <w:rPr>
          <w:rFonts w:ascii="Times New Roman" w:hAnsi="Times New Roman"/>
        </w:rPr>
        <w:t>RSE’s</w:t>
      </w:r>
      <w:proofErr w:type="spellEnd"/>
      <w:r w:rsidR="008005FF" w:rsidRPr="00B213DB">
        <w:rPr>
          <w:rFonts w:ascii="Times New Roman" w:hAnsi="Times New Roman"/>
        </w:rPr>
        <w:t xml:space="preserve">. </w:t>
      </w:r>
    </w:p>
    <w:p w:rsidR="00743477" w:rsidRPr="00B213DB" w:rsidRDefault="008005FF" w:rsidP="008005FF">
      <w:pPr>
        <w:spacing w:after="120" w:line="360" w:lineRule="auto"/>
        <w:ind w:left="1141"/>
        <w:rPr>
          <w:rFonts w:ascii="Times New Roman" w:hAnsi="Times New Roman"/>
        </w:rPr>
      </w:pPr>
      <w:r w:rsidRPr="00B213DB">
        <w:rPr>
          <w:rFonts w:ascii="Times New Roman" w:hAnsi="Times New Roman"/>
        </w:rPr>
        <w:t xml:space="preserve">Furthermore, Mr Hartley notes that the current fee disclosure regime, “is </w:t>
      </w:r>
      <w:r w:rsidRPr="00B213DB">
        <w:rPr>
          <w:rFonts w:ascii="Times New Roman" w:hAnsi="Times New Roman"/>
          <w:b/>
        </w:rPr>
        <w:t>also encouraging investment strategies that will become increasingly concentrated in a narrow range of strategies</w:t>
      </w:r>
      <w:r w:rsidRPr="00B213DB">
        <w:rPr>
          <w:rFonts w:ascii="Times New Roman" w:hAnsi="Times New Roman"/>
        </w:rPr>
        <w:t xml:space="preserve">, such as passive investment in </w:t>
      </w:r>
      <w:r w:rsidRPr="00B213DB">
        <w:rPr>
          <w:rFonts w:ascii="Times New Roman" w:hAnsi="Times New Roman"/>
        </w:rPr>
        <w:lastRenderedPageBreak/>
        <w:t xml:space="preserve">a narrow range of publicly traded securities. The </w:t>
      </w:r>
      <w:r w:rsidRPr="00B213DB">
        <w:rPr>
          <w:rFonts w:ascii="Times New Roman" w:hAnsi="Times New Roman"/>
          <w:b/>
        </w:rPr>
        <w:t>concentration of strategies</w:t>
      </w:r>
      <w:r w:rsidRPr="00B213DB">
        <w:rPr>
          <w:rFonts w:ascii="Times New Roman" w:hAnsi="Times New Roman"/>
        </w:rPr>
        <w:t xml:space="preserve"> introduces systemic risks to the economy. At the same time, </w:t>
      </w:r>
      <w:r w:rsidRPr="00B213DB">
        <w:rPr>
          <w:rFonts w:ascii="Times New Roman" w:hAnsi="Times New Roman"/>
          <w:b/>
        </w:rPr>
        <w:t>other investment opportunities that could enhance the broader economy will remain starved of capital</w:t>
      </w:r>
      <w:r w:rsidRPr="00B213DB">
        <w:rPr>
          <w:rFonts w:ascii="Times New Roman" w:hAnsi="Times New Roman"/>
        </w:rPr>
        <w:t xml:space="preserve">”, (emphasis added).  </w:t>
      </w:r>
      <w:r w:rsidR="00732B05" w:rsidRPr="00B213DB">
        <w:rPr>
          <w:rFonts w:ascii="Times New Roman" w:hAnsi="Times New Roman"/>
        </w:rPr>
        <w:t xml:space="preserve"> </w:t>
      </w:r>
    </w:p>
    <w:p w:rsidR="008D0389" w:rsidRPr="00B213DB" w:rsidRDefault="008005FF" w:rsidP="00BA71AB">
      <w:pPr>
        <w:numPr>
          <w:ilvl w:val="0"/>
          <w:numId w:val="10"/>
        </w:numPr>
        <w:spacing w:after="120" w:line="360" w:lineRule="auto"/>
        <w:rPr>
          <w:rFonts w:ascii="Times New Roman" w:hAnsi="Times New Roman"/>
        </w:rPr>
      </w:pPr>
      <w:r w:rsidRPr="00B213DB">
        <w:rPr>
          <w:rFonts w:ascii="Times New Roman" w:hAnsi="Times New Roman"/>
        </w:rPr>
        <w:t>Russell Clarke (</w:t>
      </w:r>
      <w:r w:rsidR="00B932A9" w:rsidRPr="00B213DB">
        <w:rPr>
          <w:rFonts w:ascii="Times New Roman" w:hAnsi="Times New Roman"/>
        </w:rPr>
        <w:t>C</w:t>
      </w:r>
      <w:r w:rsidRPr="00B213DB">
        <w:rPr>
          <w:rFonts w:ascii="Times New Roman" w:hAnsi="Times New Roman"/>
        </w:rPr>
        <w:t xml:space="preserve">hair of the global investment committee for Mercer’s </w:t>
      </w:r>
      <w:proofErr w:type="spellStart"/>
      <w:r w:rsidRPr="00B213DB">
        <w:rPr>
          <w:rFonts w:ascii="Times New Roman" w:hAnsi="Times New Roman"/>
        </w:rPr>
        <w:t>US$130</w:t>
      </w:r>
      <w:proofErr w:type="spellEnd"/>
      <w:r w:rsidRPr="00B213DB">
        <w:rPr>
          <w:rFonts w:ascii="Times New Roman" w:hAnsi="Times New Roman"/>
        </w:rPr>
        <w:t xml:space="preserve"> billion implemented </w:t>
      </w:r>
      <w:r w:rsidR="00B932A9" w:rsidRPr="00B213DB">
        <w:rPr>
          <w:rFonts w:ascii="Times New Roman" w:hAnsi="Times New Roman"/>
        </w:rPr>
        <w:t xml:space="preserve">investment </w:t>
      </w:r>
      <w:r w:rsidRPr="00B213DB">
        <w:rPr>
          <w:rFonts w:ascii="Times New Roman" w:hAnsi="Times New Roman"/>
        </w:rPr>
        <w:t>portfolio</w:t>
      </w:r>
      <w:r w:rsidR="00B932A9" w:rsidRPr="00B213DB">
        <w:rPr>
          <w:rFonts w:ascii="Times New Roman" w:hAnsi="Times New Roman"/>
        </w:rPr>
        <w:t>: Clarke 2016) states that the, “</w:t>
      </w:r>
      <w:r w:rsidR="00B932A9" w:rsidRPr="00B213DB">
        <w:rPr>
          <w:rFonts w:ascii="Times New Roman" w:hAnsi="Times New Roman"/>
          <w:b/>
        </w:rPr>
        <w:t>pressure to lower management fees</w:t>
      </w:r>
      <w:r w:rsidR="00B932A9" w:rsidRPr="00B213DB">
        <w:rPr>
          <w:rFonts w:ascii="Times New Roman" w:hAnsi="Times New Roman"/>
        </w:rPr>
        <w:t xml:space="preserve"> across all asset classes in Australia had become extreme in the past three years and was </w:t>
      </w:r>
      <w:r w:rsidR="00B932A9" w:rsidRPr="00B213DB">
        <w:rPr>
          <w:rFonts w:ascii="Times New Roman" w:hAnsi="Times New Roman"/>
          <w:b/>
        </w:rPr>
        <w:t>threatening to negatively impact net-of-fee returns because [superannuation] funds were altering asset mixes</w:t>
      </w:r>
      <w:r w:rsidR="00B932A9" w:rsidRPr="00B213DB">
        <w:rPr>
          <w:rFonts w:ascii="Times New Roman" w:hAnsi="Times New Roman"/>
        </w:rPr>
        <w:t xml:space="preserve"> away from more expensive, potentially higher returning, asset classes”</w:t>
      </w:r>
      <w:r w:rsidR="00B153BA" w:rsidRPr="00B213DB">
        <w:rPr>
          <w:rFonts w:ascii="Times New Roman" w:hAnsi="Times New Roman"/>
        </w:rPr>
        <w:t xml:space="preserve"> (emphasis added)</w:t>
      </w:r>
      <w:r w:rsidR="00B932A9" w:rsidRPr="00B213DB">
        <w:rPr>
          <w:rFonts w:ascii="Times New Roman" w:hAnsi="Times New Roman"/>
        </w:rPr>
        <w:t>.</w:t>
      </w:r>
    </w:p>
    <w:p w:rsidR="006A00EF" w:rsidRPr="00B213DB" w:rsidRDefault="006A00EF" w:rsidP="00BA71AB">
      <w:pPr>
        <w:numPr>
          <w:ilvl w:val="0"/>
          <w:numId w:val="10"/>
        </w:numPr>
        <w:spacing w:after="120" w:line="360" w:lineRule="auto"/>
        <w:rPr>
          <w:rFonts w:ascii="Times New Roman" w:hAnsi="Times New Roman"/>
        </w:rPr>
      </w:pPr>
      <w:r w:rsidRPr="00B213DB">
        <w:rPr>
          <w:rFonts w:ascii="Times New Roman" w:hAnsi="Times New Roman"/>
        </w:rPr>
        <w:t xml:space="preserve">Greg Bright (Managing Director and Publisher, Investor Strategy News: Bright 2016) </w:t>
      </w:r>
      <w:r w:rsidR="00B153BA" w:rsidRPr="00B213DB">
        <w:rPr>
          <w:rFonts w:ascii="Times New Roman" w:hAnsi="Times New Roman"/>
        </w:rPr>
        <w:t xml:space="preserve">notes that, “A major looming problem for super funds is that </w:t>
      </w:r>
      <w:r w:rsidR="00B153BA" w:rsidRPr="00B213DB">
        <w:rPr>
          <w:rFonts w:ascii="Times New Roman" w:hAnsi="Times New Roman"/>
          <w:b/>
        </w:rPr>
        <w:t>the very best managers in the world are not going to bother offering their services to Australian funds</w:t>
      </w:r>
      <w:r w:rsidR="00B153BA" w:rsidRPr="00B213DB">
        <w:rPr>
          <w:rFonts w:ascii="Times New Roman" w:hAnsi="Times New Roman"/>
        </w:rPr>
        <w:t xml:space="preserve">. Anecdotally, some have already started to ignore Australia in their asset-gathering activities. They are reserving precious capacity for other investors” (emphasis added). </w:t>
      </w:r>
    </w:p>
    <w:p w:rsidR="00B153BA" w:rsidRPr="00B213DB" w:rsidRDefault="00B153BA" w:rsidP="00BA71AB">
      <w:pPr>
        <w:numPr>
          <w:ilvl w:val="0"/>
          <w:numId w:val="10"/>
        </w:numPr>
        <w:spacing w:after="120" w:line="360" w:lineRule="auto"/>
        <w:rPr>
          <w:rFonts w:ascii="Times New Roman" w:hAnsi="Times New Roman"/>
        </w:rPr>
      </w:pPr>
      <w:r w:rsidRPr="00B213DB">
        <w:rPr>
          <w:rFonts w:ascii="Times New Roman" w:hAnsi="Times New Roman"/>
        </w:rPr>
        <w:t xml:space="preserve">Personally, I have </w:t>
      </w:r>
      <w:r w:rsidR="00B53988">
        <w:rPr>
          <w:rFonts w:ascii="Times New Roman" w:hAnsi="Times New Roman"/>
        </w:rPr>
        <w:t>observed</w:t>
      </w:r>
      <w:r w:rsidR="002E4A4E" w:rsidRPr="00B213DB">
        <w:rPr>
          <w:rFonts w:ascii="Times New Roman" w:hAnsi="Times New Roman"/>
        </w:rPr>
        <w:t xml:space="preserve"> a significant</w:t>
      </w:r>
      <w:r w:rsidR="00021A6D" w:rsidRPr="00B213DB">
        <w:rPr>
          <w:rFonts w:ascii="Times New Roman" w:hAnsi="Times New Roman"/>
        </w:rPr>
        <w:t xml:space="preserve"> increase in allocations </w:t>
      </w:r>
      <w:r w:rsidR="002E4A4E" w:rsidRPr="00B213DB">
        <w:rPr>
          <w:rFonts w:ascii="Times New Roman" w:hAnsi="Times New Roman"/>
        </w:rPr>
        <w:t>by superannuation funds to more passive investment strategies in tra</w:t>
      </w:r>
      <w:r w:rsidR="00021A6D" w:rsidRPr="00B213DB">
        <w:rPr>
          <w:rFonts w:ascii="Times New Roman" w:hAnsi="Times New Roman"/>
        </w:rPr>
        <w:t>ditional investment markets such as</w:t>
      </w:r>
      <w:r w:rsidR="002E4A4E" w:rsidRPr="00B213DB">
        <w:rPr>
          <w:rFonts w:ascii="Times New Roman" w:hAnsi="Times New Roman"/>
        </w:rPr>
        <w:t xml:space="preserve"> domestic a</w:t>
      </w:r>
      <w:r w:rsidR="00021A6D" w:rsidRPr="00B213DB">
        <w:rPr>
          <w:rFonts w:ascii="Times New Roman" w:hAnsi="Times New Roman"/>
        </w:rPr>
        <w:t xml:space="preserve">nd international equities – including </w:t>
      </w:r>
      <w:r w:rsidR="002E4A4E" w:rsidRPr="00B213DB">
        <w:rPr>
          <w:rFonts w:ascii="Times New Roman" w:hAnsi="Times New Roman"/>
        </w:rPr>
        <w:t xml:space="preserve">indexed and enhanced index, and factor/beta strategies. I have also received </w:t>
      </w:r>
      <w:r w:rsidR="00710E74" w:rsidRPr="00B213DB">
        <w:rPr>
          <w:rFonts w:ascii="Times New Roman" w:hAnsi="Times New Roman"/>
        </w:rPr>
        <w:t xml:space="preserve">considerable </w:t>
      </w:r>
      <w:r w:rsidR="002E4A4E" w:rsidRPr="00B213DB">
        <w:rPr>
          <w:rFonts w:ascii="Times New Roman" w:hAnsi="Times New Roman"/>
        </w:rPr>
        <w:t xml:space="preserve">anecdotal evidence that </w:t>
      </w:r>
      <w:r w:rsidR="00710E74" w:rsidRPr="00B213DB">
        <w:rPr>
          <w:rFonts w:ascii="Times New Roman" w:hAnsi="Times New Roman"/>
        </w:rPr>
        <w:t>investment decisions driven by fee pressures are common in</w:t>
      </w:r>
      <w:r w:rsidR="00021A6D" w:rsidRPr="00B213DB">
        <w:rPr>
          <w:rFonts w:ascii="Times New Roman" w:hAnsi="Times New Roman"/>
        </w:rPr>
        <w:t xml:space="preserve"> the alternative asset classes,</w:t>
      </w:r>
      <w:r w:rsidR="00710E74" w:rsidRPr="00B213DB">
        <w:rPr>
          <w:rFonts w:ascii="Times New Roman" w:hAnsi="Times New Roman"/>
        </w:rPr>
        <w:t xml:space="preserve"> including observations by</w:t>
      </w:r>
      <w:r w:rsidR="002E4A4E" w:rsidRPr="00B213DB">
        <w:rPr>
          <w:rFonts w:ascii="Times New Roman" w:hAnsi="Times New Roman"/>
        </w:rPr>
        <w:t xml:space="preserve"> industry colleagues that </w:t>
      </w:r>
      <w:r w:rsidR="00710E74" w:rsidRPr="00B213DB">
        <w:rPr>
          <w:rFonts w:ascii="Times New Roman" w:hAnsi="Times New Roman"/>
        </w:rPr>
        <w:t xml:space="preserve">they are </w:t>
      </w:r>
      <w:r w:rsidR="009568E1" w:rsidRPr="00B213DB">
        <w:rPr>
          <w:rFonts w:ascii="Times New Roman" w:hAnsi="Times New Roman"/>
        </w:rPr>
        <w:t>only permitted to make new investments that reduc</w:t>
      </w:r>
      <w:r w:rsidR="00B53988">
        <w:rPr>
          <w:rFonts w:ascii="Times New Roman" w:hAnsi="Times New Roman"/>
        </w:rPr>
        <w:t xml:space="preserve">e the superannuation fund’s MER. I have also observed </w:t>
      </w:r>
      <w:r w:rsidR="009568E1" w:rsidRPr="00B213DB">
        <w:rPr>
          <w:rFonts w:ascii="Times New Roman" w:hAnsi="Times New Roman"/>
        </w:rPr>
        <w:t xml:space="preserve">a significant increase in allocations to co-investments in alternative assets, which by their nature leave superannuation funds with more concentrated exposures to larger transactions in private equity, infrastructure, etc., than would be the case if investments were made in the </w:t>
      </w:r>
      <w:r w:rsidR="00021A6D" w:rsidRPr="00B213DB">
        <w:rPr>
          <w:rFonts w:ascii="Times New Roman" w:hAnsi="Times New Roman"/>
        </w:rPr>
        <w:t xml:space="preserve">more </w:t>
      </w:r>
      <w:r w:rsidR="009568E1" w:rsidRPr="00B213DB">
        <w:rPr>
          <w:rFonts w:ascii="Times New Roman" w:hAnsi="Times New Roman"/>
        </w:rPr>
        <w:t>‘optimally’ constructed funds offered by managers.</w:t>
      </w:r>
    </w:p>
    <w:p w:rsidR="001A0DC9" w:rsidRPr="00B213DB" w:rsidRDefault="009568E1" w:rsidP="00BA71AB">
      <w:pPr>
        <w:spacing w:after="120" w:line="360" w:lineRule="auto"/>
        <w:rPr>
          <w:rFonts w:ascii="Times New Roman" w:hAnsi="Times New Roman"/>
        </w:rPr>
      </w:pPr>
      <w:r w:rsidRPr="00B213DB">
        <w:rPr>
          <w:rFonts w:ascii="Times New Roman" w:hAnsi="Times New Roman"/>
        </w:rPr>
        <w:lastRenderedPageBreak/>
        <w:t>This is not to imply that</w:t>
      </w:r>
      <w:r w:rsidR="000A39AF" w:rsidRPr="00B213DB">
        <w:rPr>
          <w:rFonts w:ascii="Times New Roman" w:hAnsi="Times New Roman"/>
        </w:rPr>
        <w:t xml:space="preserve"> investment management</w:t>
      </w:r>
      <w:r w:rsidRPr="00B213DB">
        <w:rPr>
          <w:rFonts w:ascii="Times New Roman" w:hAnsi="Times New Roman"/>
        </w:rPr>
        <w:t xml:space="preserve"> fee negotiation</w:t>
      </w:r>
      <w:r w:rsidR="00BA71AB" w:rsidRPr="00B213DB">
        <w:rPr>
          <w:rFonts w:ascii="Times New Roman" w:hAnsi="Times New Roman"/>
        </w:rPr>
        <w:t>s</w:t>
      </w:r>
      <w:r w:rsidR="000A39AF" w:rsidRPr="00B213DB">
        <w:rPr>
          <w:rFonts w:ascii="Times New Roman" w:hAnsi="Times New Roman"/>
        </w:rPr>
        <w:t xml:space="preserve"> that</w:t>
      </w:r>
      <w:r w:rsidRPr="00B213DB">
        <w:rPr>
          <w:rFonts w:ascii="Times New Roman" w:hAnsi="Times New Roman"/>
        </w:rPr>
        <w:t xml:space="preserve"> reflect the scale and bargaining power of superannuation fund investors is not completely appropriate. </w:t>
      </w:r>
      <w:r w:rsidR="001A0DC9" w:rsidRPr="00B213DB">
        <w:rPr>
          <w:rFonts w:ascii="Times New Roman" w:hAnsi="Times New Roman"/>
        </w:rPr>
        <w:t>This aspect of fee negotiation is also noted in the press (Gordon 2016; Patrick 2016).  I fully support, and have personal</w:t>
      </w:r>
      <w:r w:rsidR="0020380F">
        <w:rPr>
          <w:rFonts w:ascii="Times New Roman" w:hAnsi="Times New Roman"/>
        </w:rPr>
        <w:t>ly conducted, such negotiations</w:t>
      </w:r>
      <w:r w:rsidR="001A0DC9" w:rsidRPr="00B213DB">
        <w:rPr>
          <w:rFonts w:ascii="Times New Roman" w:hAnsi="Times New Roman"/>
        </w:rPr>
        <w:t xml:space="preserve"> which</w:t>
      </w:r>
      <w:r w:rsidR="0020380F">
        <w:rPr>
          <w:rFonts w:ascii="Times New Roman" w:hAnsi="Times New Roman"/>
        </w:rPr>
        <w:t>,</w:t>
      </w:r>
      <w:r w:rsidR="001A0DC9" w:rsidRPr="00B213DB">
        <w:rPr>
          <w:rFonts w:ascii="Times New Roman" w:hAnsi="Times New Roman"/>
        </w:rPr>
        <w:t xml:space="preserve"> </w:t>
      </w:r>
      <w:r w:rsidR="00BA71AB" w:rsidRPr="00B213DB">
        <w:rPr>
          <w:rFonts w:ascii="Times New Roman" w:hAnsi="Times New Roman"/>
        </w:rPr>
        <w:t xml:space="preserve">in a competitive and transparent investment </w:t>
      </w:r>
      <w:r w:rsidR="0020380F" w:rsidRPr="00B213DB">
        <w:rPr>
          <w:rFonts w:ascii="Times New Roman" w:hAnsi="Times New Roman"/>
        </w:rPr>
        <w:t>industry</w:t>
      </w:r>
      <w:r w:rsidR="00BA71AB" w:rsidRPr="00B213DB">
        <w:rPr>
          <w:rFonts w:ascii="Times New Roman" w:hAnsi="Times New Roman"/>
        </w:rPr>
        <w:t xml:space="preserve"> should </w:t>
      </w:r>
      <w:r w:rsidR="001A0DC9" w:rsidRPr="00B213DB">
        <w:rPr>
          <w:rFonts w:ascii="Times New Roman" w:hAnsi="Times New Roman"/>
        </w:rPr>
        <w:t xml:space="preserve">clearly benefit investors. </w:t>
      </w:r>
    </w:p>
    <w:p w:rsidR="009568E1" w:rsidRPr="00B213DB" w:rsidRDefault="001A0DC9" w:rsidP="00BA71AB">
      <w:pPr>
        <w:spacing w:after="120" w:line="360" w:lineRule="auto"/>
        <w:rPr>
          <w:rFonts w:ascii="Times New Roman" w:hAnsi="Times New Roman"/>
        </w:rPr>
      </w:pPr>
      <w:r w:rsidRPr="00B213DB">
        <w:rPr>
          <w:rFonts w:ascii="Times New Roman" w:hAnsi="Times New Roman"/>
        </w:rPr>
        <w:t xml:space="preserve">However, </w:t>
      </w:r>
      <w:r w:rsidRPr="00B213DB">
        <w:rPr>
          <w:rFonts w:ascii="Times New Roman" w:hAnsi="Times New Roman"/>
          <w:b/>
        </w:rPr>
        <w:t>there is considerable evidence that investment decisions are being influenced by a desire to minimise reported M</w:t>
      </w:r>
      <w:r w:rsidR="00BE17BA">
        <w:rPr>
          <w:rFonts w:ascii="Times New Roman" w:hAnsi="Times New Roman"/>
          <w:b/>
        </w:rPr>
        <w:t xml:space="preserve">anagement </w:t>
      </w:r>
      <w:r w:rsidRPr="00B213DB">
        <w:rPr>
          <w:rFonts w:ascii="Times New Roman" w:hAnsi="Times New Roman"/>
          <w:b/>
        </w:rPr>
        <w:t>E</w:t>
      </w:r>
      <w:r w:rsidR="00BE17BA">
        <w:rPr>
          <w:rFonts w:ascii="Times New Roman" w:hAnsi="Times New Roman"/>
          <w:b/>
        </w:rPr>
        <w:t xml:space="preserve">xpense </w:t>
      </w:r>
      <w:r w:rsidRPr="00B213DB">
        <w:rPr>
          <w:rFonts w:ascii="Times New Roman" w:hAnsi="Times New Roman"/>
          <w:b/>
        </w:rPr>
        <w:t>R</w:t>
      </w:r>
      <w:r w:rsidR="00BE17BA">
        <w:rPr>
          <w:rFonts w:ascii="Times New Roman" w:hAnsi="Times New Roman"/>
          <w:b/>
        </w:rPr>
        <w:t>atios</w:t>
      </w:r>
      <w:r w:rsidR="00BA71AB" w:rsidRPr="00B213DB">
        <w:rPr>
          <w:rFonts w:ascii="Times New Roman" w:hAnsi="Times New Roman"/>
          <w:b/>
        </w:rPr>
        <w:t xml:space="preserve"> </w:t>
      </w:r>
      <w:r w:rsidR="00BA71AB" w:rsidRPr="00B213DB">
        <w:rPr>
          <w:rFonts w:ascii="Times New Roman" w:hAnsi="Times New Roman"/>
        </w:rPr>
        <w:t xml:space="preserve">– in order to meet the requirements of regulators and gatekeepers - </w:t>
      </w:r>
      <w:r w:rsidRPr="00B213DB">
        <w:rPr>
          <w:rFonts w:ascii="Times New Roman" w:hAnsi="Times New Roman"/>
          <w:b/>
        </w:rPr>
        <w:t xml:space="preserve">rather than </w:t>
      </w:r>
      <w:r w:rsidR="00BA71AB" w:rsidRPr="00B213DB">
        <w:rPr>
          <w:rFonts w:ascii="Times New Roman" w:hAnsi="Times New Roman"/>
          <w:b/>
        </w:rPr>
        <w:t xml:space="preserve">to meet </w:t>
      </w:r>
      <w:r w:rsidRPr="00B213DB">
        <w:rPr>
          <w:rFonts w:ascii="Times New Roman" w:hAnsi="Times New Roman"/>
          <w:b/>
        </w:rPr>
        <w:t>an objective of maximising net returns to investors</w:t>
      </w:r>
      <w:r w:rsidR="0020380F">
        <w:rPr>
          <w:rFonts w:ascii="Times New Roman" w:hAnsi="Times New Roman"/>
        </w:rPr>
        <w:t>. This</w:t>
      </w:r>
      <w:r w:rsidRPr="00B213DB">
        <w:rPr>
          <w:rFonts w:ascii="Times New Roman" w:hAnsi="Times New Roman"/>
        </w:rPr>
        <w:t xml:space="preserve"> represent</w:t>
      </w:r>
      <w:r w:rsidR="0020380F">
        <w:rPr>
          <w:rFonts w:ascii="Times New Roman" w:hAnsi="Times New Roman"/>
        </w:rPr>
        <w:t>s</w:t>
      </w:r>
      <w:r w:rsidRPr="00B213DB">
        <w:rPr>
          <w:rFonts w:ascii="Times New Roman" w:hAnsi="Times New Roman"/>
        </w:rPr>
        <w:t xml:space="preserve"> a potentially considerable </w:t>
      </w:r>
      <w:r w:rsidRPr="00B213DB">
        <w:rPr>
          <w:rFonts w:ascii="Times New Roman" w:hAnsi="Times New Roman"/>
          <w:b/>
        </w:rPr>
        <w:t xml:space="preserve">misallocation of investment </w:t>
      </w:r>
      <w:r w:rsidR="000F7EBB">
        <w:rPr>
          <w:rFonts w:ascii="Times New Roman" w:hAnsi="Times New Roman"/>
          <w:b/>
        </w:rPr>
        <w:t>resources – and hence allocation</w:t>
      </w:r>
      <w:r w:rsidRPr="00B213DB">
        <w:rPr>
          <w:rFonts w:ascii="Times New Roman" w:hAnsi="Times New Roman"/>
          <w:b/>
        </w:rPr>
        <w:t xml:space="preserve"> inefficiency - to the ultimate detriment of superannuation investors and the </w:t>
      </w:r>
      <w:r w:rsidR="000A39AF" w:rsidRPr="00B213DB">
        <w:rPr>
          <w:rFonts w:ascii="Times New Roman" w:hAnsi="Times New Roman"/>
          <w:b/>
        </w:rPr>
        <w:t xml:space="preserve">functioning of the </w:t>
      </w:r>
      <w:r w:rsidRPr="00B213DB">
        <w:rPr>
          <w:rFonts w:ascii="Times New Roman" w:hAnsi="Times New Roman"/>
          <w:b/>
        </w:rPr>
        <w:t>wider economy</w:t>
      </w:r>
      <w:r w:rsidRPr="00B213DB">
        <w:rPr>
          <w:rFonts w:ascii="Times New Roman" w:hAnsi="Times New Roman"/>
        </w:rPr>
        <w:t>.</w:t>
      </w:r>
    </w:p>
    <w:p w:rsidR="00ED36E0" w:rsidRPr="00B213DB" w:rsidRDefault="00ED36E0" w:rsidP="00BA71AB">
      <w:pPr>
        <w:spacing w:after="120" w:line="360" w:lineRule="auto"/>
        <w:rPr>
          <w:rFonts w:ascii="Times New Roman" w:hAnsi="Times New Roman"/>
          <w:b/>
        </w:rPr>
      </w:pPr>
      <w:r w:rsidRPr="00B213DB">
        <w:rPr>
          <w:rFonts w:ascii="Times New Roman" w:hAnsi="Times New Roman"/>
          <w:b/>
        </w:rPr>
        <w:t>Prescriptive Regulation</w:t>
      </w:r>
    </w:p>
    <w:p w:rsidR="00D43886" w:rsidRPr="00B213DB" w:rsidRDefault="00ED36E0" w:rsidP="00BA71AB">
      <w:pPr>
        <w:spacing w:after="120" w:line="360" w:lineRule="auto"/>
        <w:rPr>
          <w:rFonts w:ascii="Times New Roman" w:hAnsi="Times New Roman"/>
        </w:rPr>
      </w:pPr>
      <w:r w:rsidRPr="00B213DB">
        <w:rPr>
          <w:rFonts w:ascii="Times New Roman" w:hAnsi="Times New Roman"/>
        </w:rPr>
        <w:t xml:space="preserve">To a significant degree the Cooper Committee’s recommendation for the establishment of the </w:t>
      </w:r>
      <w:proofErr w:type="spellStart"/>
      <w:r w:rsidRPr="00B213DB">
        <w:rPr>
          <w:rFonts w:ascii="Times New Roman" w:hAnsi="Times New Roman"/>
        </w:rPr>
        <w:t>MySuper</w:t>
      </w:r>
      <w:proofErr w:type="spellEnd"/>
      <w:r w:rsidRPr="00B213DB">
        <w:rPr>
          <w:rFonts w:ascii="Times New Roman" w:hAnsi="Times New Roman"/>
        </w:rPr>
        <w:t xml:space="preserve"> product, with its </w:t>
      </w:r>
      <w:r w:rsidR="0020380F">
        <w:rPr>
          <w:rFonts w:ascii="Times New Roman" w:hAnsi="Times New Roman"/>
        </w:rPr>
        <w:t>explicit</w:t>
      </w:r>
      <w:r w:rsidRPr="00B213DB">
        <w:rPr>
          <w:rFonts w:ascii="Times New Roman" w:hAnsi="Times New Roman"/>
        </w:rPr>
        <w:t xml:space="preserve"> focus on fees and costs</w:t>
      </w:r>
      <w:r w:rsidR="002E0025" w:rsidRPr="00B213DB">
        <w:rPr>
          <w:rFonts w:ascii="Times New Roman" w:hAnsi="Times New Roman"/>
        </w:rPr>
        <w:t xml:space="preserve"> </w:t>
      </w:r>
      <w:r w:rsidRPr="00B213DB">
        <w:rPr>
          <w:rFonts w:ascii="Times New Roman" w:hAnsi="Times New Roman"/>
        </w:rPr>
        <w:t xml:space="preserve">rather than net investment returns, represents a significant </w:t>
      </w:r>
      <w:r w:rsidR="0020380F">
        <w:rPr>
          <w:rFonts w:ascii="Times New Roman" w:hAnsi="Times New Roman"/>
        </w:rPr>
        <w:t>backwards step</w:t>
      </w:r>
      <w:r w:rsidRPr="00B213DB">
        <w:rPr>
          <w:rFonts w:ascii="Times New Roman" w:hAnsi="Times New Roman"/>
        </w:rPr>
        <w:t xml:space="preserve"> towards the prescriptive regime of superannuation </w:t>
      </w:r>
      <w:r w:rsidR="00C73200" w:rsidRPr="00B213DB">
        <w:rPr>
          <w:rFonts w:ascii="Times New Roman" w:hAnsi="Times New Roman"/>
        </w:rPr>
        <w:t xml:space="preserve">regulation </w:t>
      </w:r>
      <w:r w:rsidRPr="00B213DB">
        <w:rPr>
          <w:rFonts w:ascii="Times New Roman" w:hAnsi="Times New Roman"/>
        </w:rPr>
        <w:t xml:space="preserve">that existed prior to the Campbell Committee of Inquiry </w:t>
      </w:r>
      <w:r w:rsidR="00C73200" w:rsidRPr="00B213DB">
        <w:rPr>
          <w:rFonts w:ascii="Times New Roman" w:hAnsi="Times New Roman"/>
        </w:rPr>
        <w:t xml:space="preserve">in 1981. </w:t>
      </w:r>
    </w:p>
    <w:p w:rsidR="00C73200" w:rsidRPr="00B213DB" w:rsidRDefault="00C73200" w:rsidP="00BA71AB">
      <w:pPr>
        <w:spacing w:after="120" w:line="360" w:lineRule="auto"/>
        <w:rPr>
          <w:rFonts w:ascii="Times New Roman" w:hAnsi="Times New Roman"/>
        </w:rPr>
      </w:pPr>
      <w:r w:rsidRPr="00B213DB">
        <w:rPr>
          <w:rFonts w:ascii="Times New Roman" w:hAnsi="Times New Roman"/>
        </w:rPr>
        <w:t>(</w:t>
      </w:r>
      <w:r w:rsidR="00D43886" w:rsidRPr="00B213DB">
        <w:rPr>
          <w:rFonts w:ascii="Times New Roman" w:hAnsi="Times New Roman"/>
        </w:rPr>
        <w:t xml:space="preserve">Note: </w:t>
      </w:r>
      <w:r w:rsidRPr="00B213DB">
        <w:rPr>
          <w:rFonts w:ascii="Times New Roman" w:hAnsi="Times New Roman"/>
        </w:rPr>
        <w:t xml:space="preserve">The Treasury’s public position on </w:t>
      </w:r>
      <w:proofErr w:type="spellStart"/>
      <w:r w:rsidRPr="00B213DB">
        <w:rPr>
          <w:rFonts w:ascii="Times New Roman" w:hAnsi="Times New Roman"/>
        </w:rPr>
        <w:t>MySuper</w:t>
      </w:r>
      <w:proofErr w:type="spellEnd"/>
      <w:r w:rsidRPr="00B213DB">
        <w:rPr>
          <w:rFonts w:ascii="Times New Roman" w:hAnsi="Times New Roman"/>
        </w:rPr>
        <w:t xml:space="preserve"> on its website begins with the statement that</w:t>
      </w:r>
      <w:r w:rsidR="00AE733B" w:rsidRPr="00B213DB">
        <w:rPr>
          <w:rFonts w:ascii="Times New Roman" w:hAnsi="Times New Roman"/>
        </w:rPr>
        <w:t>,</w:t>
      </w:r>
      <w:r w:rsidRPr="00B213DB">
        <w:rPr>
          <w:rFonts w:ascii="Times New Roman" w:hAnsi="Times New Roman"/>
        </w:rPr>
        <w:t xml:space="preserve"> </w:t>
      </w:r>
      <w:r w:rsidR="00AE733B" w:rsidRPr="00B213DB">
        <w:rPr>
          <w:rFonts w:ascii="Times New Roman" w:hAnsi="Times New Roman"/>
        </w:rPr>
        <w:t>“</w:t>
      </w:r>
      <w:proofErr w:type="spellStart"/>
      <w:r w:rsidR="00AE733B" w:rsidRPr="00B213DB">
        <w:rPr>
          <w:rFonts w:ascii="Times New Roman" w:hAnsi="Times New Roman"/>
        </w:rPr>
        <w:t>MySuper</w:t>
      </w:r>
      <w:proofErr w:type="spellEnd"/>
      <w:r w:rsidR="00AE733B" w:rsidRPr="00B213DB">
        <w:rPr>
          <w:rFonts w:ascii="Times New Roman" w:hAnsi="Times New Roman"/>
        </w:rPr>
        <w:t xml:space="preserve"> is a new, simple and </w:t>
      </w:r>
      <w:r w:rsidR="00AE733B" w:rsidRPr="00B213DB">
        <w:rPr>
          <w:rFonts w:ascii="Times New Roman" w:hAnsi="Times New Roman"/>
          <w:b/>
        </w:rPr>
        <w:t>cost</w:t>
      </w:r>
      <w:r w:rsidR="002E0025" w:rsidRPr="00B213DB">
        <w:rPr>
          <w:rFonts w:ascii="Cambria Math" w:hAnsi="Cambria Math" w:cs="Cambria Math"/>
          <w:b/>
        </w:rPr>
        <w:t>-</w:t>
      </w:r>
      <w:r w:rsidR="00AE733B" w:rsidRPr="00B213DB">
        <w:rPr>
          <w:rFonts w:ascii="Times New Roman" w:hAnsi="Times New Roman"/>
          <w:b/>
        </w:rPr>
        <w:t>effective</w:t>
      </w:r>
      <w:r w:rsidR="00AE733B" w:rsidRPr="00B213DB">
        <w:rPr>
          <w:rFonts w:ascii="Times New Roman" w:hAnsi="Times New Roman"/>
        </w:rPr>
        <w:t xml:space="preserve"> superannuation product”</w:t>
      </w:r>
      <w:r w:rsidR="002E0025" w:rsidRPr="00B213DB">
        <w:rPr>
          <w:rFonts w:ascii="Times New Roman" w:hAnsi="Times New Roman"/>
        </w:rPr>
        <w:t xml:space="preserve"> (emphasis added)</w:t>
      </w:r>
      <w:r w:rsidR="00AE733B" w:rsidRPr="00B213DB">
        <w:rPr>
          <w:rFonts w:ascii="Times New Roman" w:hAnsi="Times New Roman"/>
        </w:rPr>
        <w:t xml:space="preserve">. </w:t>
      </w:r>
      <w:r w:rsidR="00D43886" w:rsidRPr="00B213DB">
        <w:rPr>
          <w:rFonts w:ascii="Times New Roman" w:hAnsi="Times New Roman"/>
        </w:rPr>
        <w:t xml:space="preserve">At no point is explicit reference made to </w:t>
      </w:r>
      <w:proofErr w:type="spellStart"/>
      <w:r w:rsidR="00D43886" w:rsidRPr="00B213DB">
        <w:rPr>
          <w:rFonts w:ascii="Times New Roman" w:hAnsi="Times New Roman"/>
        </w:rPr>
        <w:t>MySuper</w:t>
      </w:r>
      <w:proofErr w:type="spellEnd"/>
      <w:r w:rsidR="00D43886" w:rsidRPr="00B213DB">
        <w:rPr>
          <w:rFonts w:ascii="Times New Roman" w:hAnsi="Times New Roman"/>
        </w:rPr>
        <w:t xml:space="preserve"> products having a high(</w:t>
      </w:r>
      <w:proofErr w:type="spellStart"/>
      <w:r w:rsidR="00D43886" w:rsidRPr="00B213DB">
        <w:rPr>
          <w:rFonts w:ascii="Times New Roman" w:hAnsi="Times New Roman"/>
        </w:rPr>
        <w:t>er</w:t>
      </w:r>
      <w:proofErr w:type="spellEnd"/>
      <w:r w:rsidR="00D43886" w:rsidRPr="00B213DB">
        <w:rPr>
          <w:rFonts w:ascii="Times New Roman" w:hAnsi="Times New Roman"/>
        </w:rPr>
        <w:t>) return objective</w:t>
      </w:r>
      <w:r w:rsidR="00071DB4" w:rsidRPr="00B213DB">
        <w:rPr>
          <w:rFonts w:ascii="Times New Roman" w:hAnsi="Times New Roman"/>
        </w:rPr>
        <w:t>, however there does appear to be an implicit assumption that low</w:t>
      </w:r>
      <w:r w:rsidR="003F3E13" w:rsidRPr="00B213DB">
        <w:rPr>
          <w:rFonts w:ascii="Times New Roman" w:hAnsi="Times New Roman"/>
        </w:rPr>
        <w:t>er cost and fees (including</w:t>
      </w:r>
      <w:r w:rsidR="00071DB4" w:rsidRPr="00B213DB">
        <w:rPr>
          <w:rFonts w:ascii="Times New Roman" w:hAnsi="Times New Roman"/>
        </w:rPr>
        <w:t xml:space="preserve"> investment management fees)</w:t>
      </w:r>
      <w:r w:rsidR="003F3E13" w:rsidRPr="00B213DB">
        <w:rPr>
          <w:rFonts w:ascii="Times New Roman" w:hAnsi="Times New Roman"/>
        </w:rPr>
        <w:t xml:space="preserve">, </w:t>
      </w:r>
      <w:r w:rsidR="002E0025" w:rsidRPr="00B213DB">
        <w:rPr>
          <w:rFonts w:ascii="Times New Roman" w:hAnsi="Times New Roman"/>
        </w:rPr>
        <w:t xml:space="preserve">directly </w:t>
      </w:r>
      <w:r w:rsidR="003F3E13" w:rsidRPr="00B213DB">
        <w:rPr>
          <w:rFonts w:ascii="Times New Roman" w:hAnsi="Times New Roman"/>
        </w:rPr>
        <w:t xml:space="preserve">corresponds to higher fund returns. </w:t>
      </w:r>
      <w:r w:rsidR="00071DB4" w:rsidRPr="00B213DB">
        <w:rPr>
          <w:rFonts w:ascii="Times New Roman" w:hAnsi="Times New Roman"/>
        </w:rPr>
        <w:t>This cost-effective / low-cost philosophy has been perpetuated, with the inclusion of investment management fees in fee and cost ratios in both legislation and regulation.</w:t>
      </w:r>
      <w:r w:rsidR="003F3E13" w:rsidRPr="00B213DB">
        <w:rPr>
          <w:rFonts w:ascii="Times New Roman" w:hAnsi="Times New Roman"/>
        </w:rPr>
        <w:t>)</w:t>
      </w:r>
      <w:r w:rsidR="00D43886" w:rsidRPr="00B213DB">
        <w:rPr>
          <w:rFonts w:ascii="Times New Roman" w:hAnsi="Times New Roman"/>
        </w:rPr>
        <w:t xml:space="preserve">   </w:t>
      </w:r>
      <w:r w:rsidR="00AE733B" w:rsidRPr="00B213DB">
        <w:rPr>
          <w:rFonts w:ascii="Times New Roman" w:hAnsi="Times New Roman"/>
        </w:rPr>
        <w:t xml:space="preserve"> </w:t>
      </w:r>
    </w:p>
    <w:p w:rsidR="00021A6D" w:rsidRPr="00B213DB" w:rsidRDefault="002E0025" w:rsidP="00BA71AB">
      <w:pPr>
        <w:spacing w:after="120" w:line="360" w:lineRule="auto"/>
        <w:rPr>
          <w:rFonts w:ascii="Times New Roman" w:hAnsi="Times New Roman"/>
        </w:rPr>
      </w:pPr>
      <w:r w:rsidRPr="00B213DB">
        <w:rPr>
          <w:rFonts w:ascii="Times New Roman" w:hAnsi="Times New Roman"/>
        </w:rPr>
        <w:t xml:space="preserve">Thus, while the </w:t>
      </w:r>
      <w:proofErr w:type="spellStart"/>
      <w:r w:rsidRPr="00B213DB">
        <w:rPr>
          <w:rFonts w:ascii="Times New Roman" w:hAnsi="Times New Roman"/>
        </w:rPr>
        <w:t>MySuper</w:t>
      </w:r>
      <w:proofErr w:type="spellEnd"/>
      <w:r w:rsidRPr="00B213DB">
        <w:rPr>
          <w:rFonts w:ascii="Times New Roman" w:hAnsi="Times New Roman"/>
        </w:rPr>
        <w:t xml:space="preserve"> regime does not explicitly call for a reduced allocation to active management investments – and hence lower levels of manager skill in superannuation fund portfolios – the </w:t>
      </w:r>
      <w:proofErr w:type="spellStart"/>
      <w:r w:rsidRPr="00B213DB">
        <w:rPr>
          <w:rFonts w:ascii="Times New Roman" w:hAnsi="Times New Roman"/>
        </w:rPr>
        <w:t>affect</w:t>
      </w:r>
      <w:proofErr w:type="spellEnd"/>
      <w:r w:rsidRPr="00B213DB">
        <w:rPr>
          <w:rFonts w:ascii="Times New Roman" w:hAnsi="Times New Roman"/>
        </w:rPr>
        <w:t xml:space="preserve"> of the regime, as currently implemented, has </w:t>
      </w:r>
      <w:r w:rsidRPr="00B213DB">
        <w:rPr>
          <w:rFonts w:ascii="Times New Roman" w:hAnsi="Times New Roman"/>
          <w:b/>
        </w:rPr>
        <w:t>this prescriptive outcome</w:t>
      </w:r>
      <w:r w:rsidRPr="00B213DB">
        <w:rPr>
          <w:rFonts w:ascii="Times New Roman" w:hAnsi="Times New Roman"/>
        </w:rPr>
        <w:t xml:space="preserve">. </w:t>
      </w:r>
    </w:p>
    <w:p w:rsidR="002E0025" w:rsidRPr="00B213DB" w:rsidRDefault="002E0025" w:rsidP="00BA71AB">
      <w:pPr>
        <w:spacing w:after="120" w:line="360" w:lineRule="auto"/>
        <w:rPr>
          <w:rFonts w:ascii="Times New Roman" w:hAnsi="Times New Roman"/>
        </w:rPr>
      </w:pPr>
      <w:r w:rsidRPr="00B213DB">
        <w:rPr>
          <w:rFonts w:ascii="Times New Roman" w:hAnsi="Times New Roman"/>
        </w:rPr>
        <w:lastRenderedPageBreak/>
        <w:t xml:space="preserve">A major concern with prescriptive regulation, particularly on the area </w:t>
      </w:r>
      <w:r w:rsidR="00021A6D" w:rsidRPr="00B213DB">
        <w:rPr>
          <w:rFonts w:ascii="Times New Roman" w:hAnsi="Times New Roman"/>
        </w:rPr>
        <w:t xml:space="preserve">of investments, is </w:t>
      </w:r>
      <w:r w:rsidR="00021A6D" w:rsidRPr="00B213DB">
        <w:rPr>
          <w:rFonts w:ascii="Times New Roman" w:hAnsi="Times New Roman"/>
          <w:b/>
        </w:rPr>
        <w:t>the high likelihood</w:t>
      </w:r>
      <w:r w:rsidRPr="00B213DB">
        <w:rPr>
          <w:rFonts w:ascii="Times New Roman" w:hAnsi="Times New Roman"/>
          <w:b/>
        </w:rPr>
        <w:t xml:space="preserve"> of unanticipated and undesirable outcomes being produced</w:t>
      </w:r>
      <w:r w:rsidRPr="00B213DB">
        <w:rPr>
          <w:rFonts w:ascii="Times New Roman" w:hAnsi="Times New Roman"/>
        </w:rPr>
        <w:t xml:space="preserve">.   </w:t>
      </w:r>
    </w:p>
    <w:p w:rsidR="002E0025" w:rsidRPr="00B213DB" w:rsidRDefault="002E0025" w:rsidP="00BA71AB">
      <w:pPr>
        <w:spacing w:after="120" w:line="360" w:lineRule="auto"/>
        <w:rPr>
          <w:rFonts w:ascii="Times New Roman" w:hAnsi="Times New Roman"/>
        </w:rPr>
      </w:pPr>
      <w:r w:rsidRPr="00B213DB">
        <w:rPr>
          <w:rFonts w:ascii="Times New Roman" w:hAnsi="Times New Roman"/>
          <w:b/>
        </w:rPr>
        <w:t>It is my contention that the current regulatory regime under which superannuation funds operate is producing considerable inefficiencies in investment strategy and allocation, with large nega</w:t>
      </w:r>
      <w:r w:rsidR="00021A6D" w:rsidRPr="00B213DB">
        <w:rPr>
          <w:rFonts w:ascii="Times New Roman" w:hAnsi="Times New Roman"/>
          <w:b/>
        </w:rPr>
        <w:t>tive outcomes for investors and</w:t>
      </w:r>
      <w:r w:rsidRPr="00B213DB">
        <w:rPr>
          <w:rFonts w:ascii="Times New Roman" w:hAnsi="Times New Roman"/>
          <w:b/>
        </w:rPr>
        <w:t xml:space="preserve"> the broader community</w:t>
      </w:r>
      <w:r w:rsidRPr="00B213DB">
        <w:rPr>
          <w:rFonts w:ascii="Times New Roman" w:hAnsi="Times New Roman"/>
        </w:rPr>
        <w:t>. This contention is based on two premises:</w:t>
      </w:r>
    </w:p>
    <w:p w:rsidR="002E0025" w:rsidRPr="00B213DB" w:rsidRDefault="002E0025" w:rsidP="002E0025">
      <w:pPr>
        <w:numPr>
          <w:ilvl w:val="0"/>
          <w:numId w:val="12"/>
        </w:numPr>
        <w:spacing w:after="120" w:line="360" w:lineRule="auto"/>
        <w:rPr>
          <w:rFonts w:ascii="Times New Roman" w:hAnsi="Times New Roman"/>
        </w:rPr>
      </w:pPr>
      <w:r w:rsidRPr="00B213DB">
        <w:rPr>
          <w:rFonts w:ascii="Times New Roman" w:hAnsi="Times New Roman"/>
        </w:rPr>
        <w:t xml:space="preserve">The significant difference between the revealed preference of investors – in particular the trustee directors of superannuation funds – and the actual investment decisions made under the current regulatory regime; and </w:t>
      </w:r>
    </w:p>
    <w:p w:rsidR="00C73200" w:rsidRPr="00B213DB" w:rsidRDefault="002E0025" w:rsidP="002E0025">
      <w:pPr>
        <w:numPr>
          <w:ilvl w:val="0"/>
          <w:numId w:val="12"/>
        </w:numPr>
        <w:spacing w:after="120" w:line="360" w:lineRule="auto"/>
        <w:rPr>
          <w:rFonts w:ascii="Times New Roman" w:hAnsi="Times New Roman"/>
        </w:rPr>
      </w:pPr>
      <w:r w:rsidRPr="00B213DB">
        <w:rPr>
          <w:rFonts w:ascii="Times New Roman" w:hAnsi="Times New Roman"/>
        </w:rPr>
        <w:t>The basing of current prescriptive legislation and regulation on ‘analysis</w:t>
      </w:r>
      <w:r w:rsidR="003037E2" w:rsidRPr="00B213DB">
        <w:rPr>
          <w:rFonts w:ascii="Times New Roman" w:hAnsi="Times New Roman"/>
        </w:rPr>
        <w:t>’ of markets and manger performance</w:t>
      </w:r>
      <w:r w:rsidRPr="00B213DB">
        <w:rPr>
          <w:rFonts w:ascii="Times New Roman" w:hAnsi="Times New Roman"/>
        </w:rPr>
        <w:t xml:space="preserve"> that is fundamentally flawed.  </w:t>
      </w:r>
    </w:p>
    <w:p w:rsidR="00D9066E" w:rsidRPr="00B213DB" w:rsidRDefault="00D9066E" w:rsidP="00BA71AB">
      <w:pPr>
        <w:spacing w:after="120" w:line="360" w:lineRule="auto"/>
        <w:rPr>
          <w:rFonts w:ascii="Times New Roman" w:hAnsi="Times New Roman"/>
          <w:b/>
        </w:rPr>
      </w:pPr>
      <w:r w:rsidRPr="00B213DB">
        <w:rPr>
          <w:rFonts w:ascii="Times New Roman" w:hAnsi="Times New Roman"/>
          <w:b/>
        </w:rPr>
        <w:t>Revealed Preference</w:t>
      </w:r>
    </w:p>
    <w:p w:rsidR="00B80B33" w:rsidRPr="00B213DB" w:rsidRDefault="00607B51" w:rsidP="00BA71AB">
      <w:pPr>
        <w:spacing w:after="120" w:line="360" w:lineRule="auto"/>
        <w:rPr>
          <w:rFonts w:ascii="Times New Roman" w:hAnsi="Times New Roman"/>
        </w:rPr>
      </w:pPr>
      <w:r w:rsidRPr="00B213DB">
        <w:rPr>
          <w:rFonts w:ascii="Times New Roman" w:hAnsi="Times New Roman"/>
        </w:rPr>
        <w:t>First, it can be readily observed that, prior to the introduction of the Cooper/</w:t>
      </w:r>
      <w:proofErr w:type="spellStart"/>
      <w:r w:rsidRPr="00B213DB">
        <w:rPr>
          <w:rFonts w:ascii="Times New Roman" w:hAnsi="Times New Roman"/>
        </w:rPr>
        <w:t>MySuper</w:t>
      </w:r>
      <w:proofErr w:type="spellEnd"/>
      <w:r w:rsidRPr="00B213DB">
        <w:rPr>
          <w:rFonts w:ascii="Times New Roman" w:hAnsi="Times New Roman"/>
        </w:rPr>
        <w:t xml:space="preserve"> regulatory regime, those superannuation funds with fewer investment constraints – notably industry and government funds – displayed a markedly greater tendency to allocate to assets with higher manager fee structures. These investments include Infrastructure, Private Equity and Hedge Funds, among others. </w:t>
      </w:r>
    </w:p>
    <w:p w:rsidR="00BE12D5" w:rsidRPr="00B213DB" w:rsidRDefault="00B80B33" w:rsidP="00BA71AB">
      <w:pPr>
        <w:spacing w:after="120" w:line="360" w:lineRule="auto"/>
        <w:rPr>
          <w:rFonts w:ascii="Times New Roman" w:hAnsi="Times New Roman"/>
        </w:rPr>
      </w:pPr>
      <w:r w:rsidRPr="00B213DB">
        <w:rPr>
          <w:rFonts w:ascii="Times New Roman" w:hAnsi="Times New Roman"/>
        </w:rPr>
        <w:t xml:space="preserve">It would be difficult to argue that these investment decisions by the Trustee/Directors of these superannuation funds reflected compromised fiduciary duty. Instead, I would argue that the revealed preference of the least constrained superannuation investors expressed a preference for investment strategies with higher investment manager fees because they believed that higher net investment returns would be achieved for fund members. It is also notable that this </w:t>
      </w:r>
      <w:r w:rsidR="006D32E1" w:rsidRPr="00B213DB">
        <w:rPr>
          <w:rFonts w:ascii="Times New Roman" w:hAnsi="Times New Roman"/>
        </w:rPr>
        <w:t>preference</w:t>
      </w:r>
      <w:r w:rsidRPr="00B213DB">
        <w:rPr>
          <w:rFonts w:ascii="Times New Roman" w:hAnsi="Times New Roman"/>
        </w:rPr>
        <w:t xml:space="preserve"> evolved over, and was sustained for, many years. </w:t>
      </w:r>
    </w:p>
    <w:p w:rsidR="00BE12D5" w:rsidRPr="00B213DB" w:rsidRDefault="00BE12D5" w:rsidP="00BA71AB">
      <w:pPr>
        <w:spacing w:after="120" w:line="360" w:lineRule="auto"/>
        <w:rPr>
          <w:rFonts w:ascii="Times New Roman" w:hAnsi="Times New Roman"/>
        </w:rPr>
      </w:pPr>
      <w:r w:rsidRPr="00B213DB">
        <w:rPr>
          <w:rFonts w:ascii="Times New Roman" w:hAnsi="Times New Roman"/>
        </w:rPr>
        <w:t>That the effect of current superannuation regulation is to prescribe an approach to superannuation investment that is diametrically opposed to this revealed preference should, at a minimum, raise significant questions as to whether an optimal and efficient outcome will be achieved.</w:t>
      </w:r>
    </w:p>
    <w:p w:rsidR="001A0DC9" w:rsidRPr="00B213DB" w:rsidRDefault="00BE12D5" w:rsidP="00BA71AB">
      <w:pPr>
        <w:spacing w:after="120" w:line="360" w:lineRule="auto"/>
        <w:rPr>
          <w:rFonts w:ascii="Times New Roman" w:hAnsi="Times New Roman"/>
        </w:rPr>
      </w:pPr>
      <w:r w:rsidRPr="00B213DB">
        <w:rPr>
          <w:rFonts w:ascii="Times New Roman" w:hAnsi="Times New Roman"/>
        </w:rPr>
        <w:t xml:space="preserve">It is also worth noting that the only Australian investment fund with comparable size, investment objectives and time horizon to institutional superannuation funds – the Future </w:t>
      </w:r>
      <w:r w:rsidRPr="00B213DB">
        <w:rPr>
          <w:rFonts w:ascii="Times New Roman" w:hAnsi="Times New Roman"/>
        </w:rPr>
        <w:lastRenderedPageBreak/>
        <w:t>Fund – has adopted an investment strategy with a relatively high emphasis on manager skill in its portfolio. (The investment approach of the Future Fund was analysed in the research paper titled ‘Investment Risk and Portfolio Risk’</w:t>
      </w:r>
      <w:r w:rsidR="00D9066E" w:rsidRPr="00B213DB">
        <w:rPr>
          <w:rFonts w:ascii="Times New Roman" w:hAnsi="Times New Roman"/>
        </w:rPr>
        <w:t xml:space="preserve"> (PRI, 2013: Attached). </w:t>
      </w:r>
      <w:r w:rsidRPr="00B213DB">
        <w:rPr>
          <w:rFonts w:ascii="Times New Roman" w:hAnsi="Times New Roman"/>
        </w:rPr>
        <w:t xml:space="preserve"> </w:t>
      </w:r>
      <w:r w:rsidR="00D9066E" w:rsidRPr="00B213DB">
        <w:rPr>
          <w:rFonts w:ascii="Times New Roman" w:hAnsi="Times New Roman"/>
        </w:rPr>
        <w:t>While there are obvious</w:t>
      </w:r>
      <w:r w:rsidRPr="00B213DB">
        <w:rPr>
          <w:rFonts w:ascii="Times New Roman" w:hAnsi="Times New Roman"/>
        </w:rPr>
        <w:t xml:space="preserve"> </w:t>
      </w:r>
      <w:r w:rsidR="00D9066E" w:rsidRPr="00B213DB">
        <w:rPr>
          <w:rFonts w:ascii="Times New Roman" w:hAnsi="Times New Roman"/>
        </w:rPr>
        <w:t xml:space="preserve">differences in the clientele of the Future Fund and large Superannuation funds, from an investment perspective the objectives and strategies should be broadly similar. The differences in investment strategy reflect, and I believe can be significantly attributed to, the effects of the regulatory stance regarding investment management fees and cost applied to superannuation funds.    </w:t>
      </w:r>
      <w:r w:rsidRPr="00B213DB">
        <w:rPr>
          <w:rFonts w:ascii="Times New Roman" w:hAnsi="Times New Roman"/>
        </w:rPr>
        <w:t xml:space="preserve">    </w:t>
      </w:r>
      <w:r w:rsidR="00B80B33" w:rsidRPr="00B213DB">
        <w:rPr>
          <w:rFonts w:ascii="Times New Roman" w:hAnsi="Times New Roman"/>
        </w:rPr>
        <w:t xml:space="preserve">    </w:t>
      </w:r>
      <w:r w:rsidR="00607B51" w:rsidRPr="00B213DB">
        <w:rPr>
          <w:rFonts w:ascii="Times New Roman" w:hAnsi="Times New Roman"/>
        </w:rPr>
        <w:t xml:space="preserve">    </w:t>
      </w:r>
    </w:p>
    <w:p w:rsidR="00D9066E" w:rsidRPr="00B213DB" w:rsidRDefault="00D9066E" w:rsidP="00BA71AB">
      <w:pPr>
        <w:spacing w:after="120" w:line="360" w:lineRule="auto"/>
        <w:rPr>
          <w:rFonts w:ascii="Times New Roman" w:hAnsi="Times New Roman"/>
          <w:b/>
        </w:rPr>
      </w:pPr>
      <w:r w:rsidRPr="00B213DB">
        <w:rPr>
          <w:rFonts w:ascii="Times New Roman" w:hAnsi="Times New Roman"/>
          <w:b/>
        </w:rPr>
        <w:t>Analysis of Investment Performance</w:t>
      </w:r>
    </w:p>
    <w:p w:rsidR="008005FF" w:rsidRPr="00B213DB" w:rsidRDefault="00D9066E" w:rsidP="00BA71AB">
      <w:pPr>
        <w:spacing w:after="120" w:line="360" w:lineRule="auto"/>
        <w:rPr>
          <w:rFonts w:ascii="Times New Roman" w:hAnsi="Times New Roman"/>
        </w:rPr>
      </w:pPr>
      <w:r w:rsidRPr="00B213DB">
        <w:rPr>
          <w:rFonts w:ascii="Times New Roman" w:hAnsi="Times New Roman"/>
        </w:rPr>
        <w:t xml:space="preserve">Second, </w:t>
      </w:r>
      <w:r w:rsidR="003D7FB4" w:rsidRPr="00B213DB">
        <w:rPr>
          <w:rFonts w:ascii="Times New Roman" w:hAnsi="Times New Roman"/>
        </w:rPr>
        <w:t xml:space="preserve">it should be noted that the current regulatory structure did not simply appear as the result of a whim by the members of the Cooper and Murray Committees. </w:t>
      </w:r>
      <w:r w:rsidR="00535E0F" w:rsidRPr="00B213DB">
        <w:rPr>
          <w:rFonts w:ascii="Times New Roman" w:hAnsi="Times New Roman"/>
        </w:rPr>
        <w:t>Their recommendations, and the subsequent formulation of legislation and policies to give them effect, were based on judgement</w:t>
      </w:r>
      <w:r w:rsidR="000F7EBB">
        <w:rPr>
          <w:rFonts w:ascii="Times New Roman" w:hAnsi="Times New Roman"/>
        </w:rPr>
        <w:t xml:space="preserve">s concerning the best </w:t>
      </w:r>
      <w:r w:rsidR="00535E0F" w:rsidRPr="00B213DB">
        <w:rPr>
          <w:rFonts w:ascii="Times New Roman" w:hAnsi="Times New Roman"/>
        </w:rPr>
        <w:t>‘evidence’ available to them</w:t>
      </w:r>
      <w:r w:rsidR="00535E0F" w:rsidRPr="00B213DB">
        <w:rPr>
          <w:rFonts w:ascii="Times New Roman" w:hAnsi="Times New Roman"/>
          <w:b/>
        </w:rPr>
        <w:t>. Unfortunately, the vast majority of the ‘evidence’ concerning superannuation fund investments, and hence the conclusions based on it, are incorrect</w:t>
      </w:r>
      <w:r w:rsidR="00535E0F" w:rsidRPr="00B213DB">
        <w:rPr>
          <w:rFonts w:ascii="Times New Roman" w:hAnsi="Times New Roman"/>
        </w:rPr>
        <w:t xml:space="preserve">. </w:t>
      </w:r>
    </w:p>
    <w:p w:rsidR="00535E0F" w:rsidRPr="00B213DB" w:rsidRDefault="00535E0F" w:rsidP="00BA71AB">
      <w:pPr>
        <w:spacing w:after="120" w:line="360" w:lineRule="auto"/>
        <w:rPr>
          <w:rFonts w:ascii="Times New Roman" w:hAnsi="Times New Roman"/>
        </w:rPr>
      </w:pPr>
      <w:r w:rsidRPr="00B213DB">
        <w:rPr>
          <w:rFonts w:ascii="Times New Roman" w:hAnsi="Times New Roman"/>
        </w:rPr>
        <w:t>I will ask the Commission’s forbearance as I explain. Unfortunately, the journey involves a number of steps, and for those trained in ‘classical’ finance, a certain degree of recasting of accepted wisdom.</w:t>
      </w:r>
    </w:p>
    <w:p w:rsidR="00535E0F" w:rsidRPr="00B213DB" w:rsidRDefault="00535E0F" w:rsidP="00BA71AB">
      <w:pPr>
        <w:spacing w:after="120" w:line="360" w:lineRule="auto"/>
        <w:rPr>
          <w:rFonts w:ascii="Times New Roman" w:hAnsi="Times New Roman"/>
        </w:rPr>
      </w:pPr>
      <w:r w:rsidRPr="00B213DB">
        <w:rPr>
          <w:rFonts w:ascii="Times New Roman" w:hAnsi="Times New Roman"/>
        </w:rPr>
        <w:t xml:space="preserve">Recall </w:t>
      </w:r>
      <w:r w:rsidR="00A607A0" w:rsidRPr="00B213DB">
        <w:rPr>
          <w:rFonts w:ascii="Times New Roman" w:hAnsi="Times New Roman"/>
        </w:rPr>
        <w:t xml:space="preserve">from </w:t>
      </w:r>
      <w:r w:rsidRPr="00B213DB">
        <w:rPr>
          <w:rFonts w:ascii="Times New Roman" w:hAnsi="Times New Roman"/>
        </w:rPr>
        <w:t xml:space="preserve">the </w:t>
      </w:r>
      <w:r w:rsidR="00A607A0" w:rsidRPr="00B213DB">
        <w:rPr>
          <w:rFonts w:ascii="Times New Roman" w:hAnsi="Times New Roman"/>
        </w:rPr>
        <w:t xml:space="preserve">initial pages of this submission, </w:t>
      </w:r>
      <w:r w:rsidR="00875A11" w:rsidRPr="00B213DB">
        <w:rPr>
          <w:rFonts w:ascii="Times New Roman" w:hAnsi="Times New Roman"/>
        </w:rPr>
        <w:t>that the foundation of any consideration of the attractiveness, or otherwise, of activ</w:t>
      </w:r>
      <w:r w:rsidR="0020380F">
        <w:rPr>
          <w:rFonts w:ascii="Times New Roman" w:hAnsi="Times New Roman"/>
        </w:rPr>
        <w:t>e investment management (i.e., Manager S</w:t>
      </w:r>
      <w:r w:rsidR="00875A11" w:rsidRPr="00B213DB">
        <w:rPr>
          <w:rFonts w:ascii="Times New Roman" w:hAnsi="Times New Roman"/>
        </w:rPr>
        <w:t xml:space="preserve">kill) in superannuation investment portfolios is the </w:t>
      </w:r>
      <w:r w:rsidR="00875A11" w:rsidRPr="00B213DB">
        <w:rPr>
          <w:rFonts w:ascii="Times New Roman" w:hAnsi="Times New Roman"/>
          <w:b/>
        </w:rPr>
        <w:t>consistency of manager performance</w:t>
      </w:r>
      <w:r w:rsidR="00875A11" w:rsidRPr="00B213DB">
        <w:rPr>
          <w:rFonts w:ascii="Times New Roman" w:hAnsi="Times New Roman"/>
        </w:rPr>
        <w:t xml:space="preserve">. If manager performance is not consistent, then it is difficult to select managers who will add value in the future, and active management is unlikely to increase investment returns. The corollary is that if manager performance is consistent, then the use of active management may lead to increased returns after fees, and hence would be worthwhile.    </w:t>
      </w:r>
      <w:r w:rsidRPr="00B213DB">
        <w:rPr>
          <w:rFonts w:ascii="Times New Roman" w:hAnsi="Times New Roman"/>
        </w:rPr>
        <w:t xml:space="preserve">    </w:t>
      </w:r>
    </w:p>
    <w:p w:rsidR="008005FF" w:rsidRPr="00B213DB" w:rsidRDefault="00875A11" w:rsidP="00BA71AB">
      <w:pPr>
        <w:spacing w:after="120" w:line="360" w:lineRule="auto"/>
        <w:rPr>
          <w:rFonts w:ascii="Times New Roman" w:hAnsi="Times New Roman"/>
          <w:b/>
        </w:rPr>
      </w:pPr>
      <w:r w:rsidRPr="00B213DB">
        <w:rPr>
          <w:rFonts w:ascii="Times New Roman" w:hAnsi="Times New Roman"/>
          <w:b/>
        </w:rPr>
        <w:t>Modern Portfolio Theory</w:t>
      </w:r>
      <w:r w:rsidR="007F2A74" w:rsidRPr="00B213DB">
        <w:rPr>
          <w:rFonts w:ascii="Times New Roman" w:hAnsi="Times New Roman"/>
          <w:b/>
        </w:rPr>
        <w:t xml:space="preserve"> and the Source of Investment Returns </w:t>
      </w:r>
    </w:p>
    <w:p w:rsidR="007F2A74" w:rsidRPr="00B213DB" w:rsidRDefault="00875A11" w:rsidP="00BA71AB">
      <w:pPr>
        <w:spacing w:after="120" w:line="360" w:lineRule="auto"/>
        <w:rPr>
          <w:rFonts w:ascii="Times New Roman" w:hAnsi="Times New Roman"/>
        </w:rPr>
      </w:pPr>
      <w:r w:rsidRPr="00B213DB">
        <w:rPr>
          <w:rFonts w:ascii="Times New Roman" w:hAnsi="Times New Roman"/>
        </w:rPr>
        <w:t xml:space="preserve">The starting point in any discussion on manager performance must be to develop a common understanding </w:t>
      </w:r>
      <w:r w:rsidR="007F2A74" w:rsidRPr="00B213DB">
        <w:rPr>
          <w:rFonts w:ascii="Times New Roman" w:hAnsi="Times New Roman"/>
        </w:rPr>
        <w:t xml:space="preserve">around the sources of returns in investment portfolios. </w:t>
      </w:r>
    </w:p>
    <w:p w:rsidR="007F2A74" w:rsidRPr="00B213DB" w:rsidRDefault="00C67D8F" w:rsidP="00BA71AB">
      <w:pPr>
        <w:spacing w:after="120" w:line="360" w:lineRule="auto"/>
        <w:rPr>
          <w:rFonts w:ascii="Times New Roman" w:hAnsi="Times New Roman"/>
        </w:rPr>
      </w:pPr>
      <w:r w:rsidRPr="00B213DB">
        <w:rPr>
          <w:rFonts w:ascii="Times New Roman" w:hAnsi="Times New Roman"/>
        </w:rPr>
        <w:lastRenderedPageBreak/>
        <w:t>First, t</w:t>
      </w:r>
      <w:r w:rsidR="007F2A74" w:rsidRPr="00B213DB">
        <w:rPr>
          <w:rFonts w:ascii="Times New Roman" w:hAnsi="Times New Roman"/>
        </w:rPr>
        <w:t>here are three fundamental principles that underlie the theoretical edifice that we know as</w:t>
      </w:r>
      <w:r w:rsidR="000F7EBB">
        <w:rPr>
          <w:rFonts w:ascii="Times New Roman" w:hAnsi="Times New Roman"/>
        </w:rPr>
        <w:t xml:space="preserve"> </w:t>
      </w:r>
      <w:r w:rsidR="007F2A74" w:rsidRPr="00B213DB">
        <w:rPr>
          <w:rFonts w:ascii="Times New Roman" w:hAnsi="Times New Roman"/>
        </w:rPr>
        <w:t>Modern Portfolio Theory</w:t>
      </w:r>
      <w:r w:rsidRPr="00B213DB">
        <w:rPr>
          <w:rFonts w:ascii="Times New Roman" w:hAnsi="Times New Roman"/>
        </w:rPr>
        <w:t xml:space="preserve"> (</w:t>
      </w:r>
      <w:proofErr w:type="spellStart"/>
      <w:r w:rsidRPr="00B213DB">
        <w:rPr>
          <w:rFonts w:ascii="Times New Roman" w:hAnsi="Times New Roman"/>
        </w:rPr>
        <w:t>MPT</w:t>
      </w:r>
      <w:proofErr w:type="spellEnd"/>
      <w:r w:rsidRPr="00B213DB">
        <w:rPr>
          <w:rFonts w:ascii="Times New Roman" w:hAnsi="Times New Roman"/>
        </w:rPr>
        <w:t>)</w:t>
      </w:r>
      <w:r w:rsidR="007F2A74" w:rsidRPr="00B213DB">
        <w:rPr>
          <w:rFonts w:ascii="Times New Roman" w:hAnsi="Times New Roman"/>
        </w:rPr>
        <w:t xml:space="preserve">. </w:t>
      </w:r>
    </w:p>
    <w:p w:rsidR="00115FA7" w:rsidRPr="00B213DB" w:rsidRDefault="00115FA7" w:rsidP="007F2A74">
      <w:pPr>
        <w:numPr>
          <w:ilvl w:val="0"/>
          <w:numId w:val="13"/>
        </w:numPr>
        <w:spacing w:after="120" w:line="360" w:lineRule="auto"/>
        <w:rPr>
          <w:rFonts w:ascii="Times New Roman" w:hAnsi="Times New Roman"/>
        </w:rPr>
      </w:pPr>
      <w:r w:rsidRPr="00B213DB">
        <w:rPr>
          <w:rFonts w:ascii="Times New Roman" w:hAnsi="Times New Roman"/>
        </w:rPr>
        <w:t xml:space="preserve">Investors are </w:t>
      </w:r>
      <w:r w:rsidRPr="00B213DB">
        <w:rPr>
          <w:rFonts w:ascii="Times New Roman" w:hAnsi="Times New Roman"/>
          <w:b/>
        </w:rPr>
        <w:t>rewarded for taking</w:t>
      </w:r>
      <w:r w:rsidRPr="00B213DB">
        <w:rPr>
          <w:rFonts w:ascii="Times New Roman" w:hAnsi="Times New Roman"/>
        </w:rPr>
        <w:t xml:space="preserve"> </w:t>
      </w:r>
      <w:r w:rsidRPr="00B213DB">
        <w:rPr>
          <w:rFonts w:ascii="Times New Roman" w:hAnsi="Times New Roman"/>
          <w:b/>
        </w:rPr>
        <w:t>Investment Risks</w:t>
      </w:r>
      <w:r w:rsidRPr="00B213DB">
        <w:rPr>
          <w:rFonts w:ascii="Times New Roman" w:hAnsi="Times New Roman"/>
        </w:rPr>
        <w:t>;</w:t>
      </w:r>
    </w:p>
    <w:p w:rsidR="007F2A74" w:rsidRPr="00B213DB" w:rsidRDefault="00115FA7" w:rsidP="007F2A74">
      <w:pPr>
        <w:numPr>
          <w:ilvl w:val="0"/>
          <w:numId w:val="13"/>
        </w:numPr>
        <w:spacing w:after="120" w:line="360" w:lineRule="auto"/>
        <w:rPr>
          <w:rFonts w:ascii="Times New Roman" w:hAnsi="Times New Roman"/>
        </w:rPr>
      </w:pPr>
      <w:r w:rsidRPr="00B213DB">
        <w:rPr>
          <w:rFonts w:ascii="Times New Roman" w:hAnsi="Times New Roman"/>
          <w:b/>
        </w:rPr>
        <w:t>Returns are additive</w:t>
      </w:r>
      <w:r w:rsidRPr="00B213DB">
        <w:rPr>
          <w:rFonts w:ascii="Times New Roman" w:hAnsi="Times New Roman"/>
        </w:rPr>
        <w:t xml:space="preserve">; and </w:t>
      </w:r>
    </w:p>
    <w:p w:rsidR="00115FA7" w:rsidRPr="00B213DB" w:rsidRDefault="00115FA7" w:rsidP="007F2A74">
      <w:pPr>
        <w:numPr>
          <w:ilvl w:val="0"/>
          <w:numId w:val="13"/>
        </w:numPr>
        <w:spacing w:after="120" w:line="360" w:lineRule="auto"/>
        <w:rPr>
          <w:rFonts w:ascii="Times New Roman" w:hAnsi="Times New Roman"/>
        </w:rPr>
      </w:pPr>
      <w:r w:rsidRPr="00B213DB">
        <w:rPr>
          <w:rFonts w:ascii="Times New Roman" w:hAnsi="Times New Roman"/>
          <w:b/>
        </w:rPr>
        <w:t>Risks diversify in portfolios</w:t>
      </w:r>
      <w:r w:rsidRPr="00B213DB">
        <w:rPr>
          <w:rFonts w:ascii="Times New Roman" w:hAnsi="Times New Roman"/>
        </w:rPr>
        <w:t xml:space="preserve"> (and therefore Portfolio Risk is</w:t>
      </w:r>
      <w:r w:rsidR="00C67D8F" w:rsidRPr="00B213DB">
        <w:rPr>
          <w:rFonts w:ascii="Times New Roman" w:hAnsi="Times New Roman"/>
        </w:rPr>
        <w:t xml:space="preserve"> less than the weighted</w:t>
      </w:r>
      <w:r w:rsidRPr="00B213DB">
        <w:rPr>
          <w:rFonts w:ascii="Times New Roman" w:hAnsi="Times New Roman"/>
        </w:rPr>
        <w:t xml:space="preserve"> summation of</w:t>
      </w:r>
      <w:r w:rsidR="00C67D8F" w:rsidRPr="00B213DB">
        <w:rPr>
          <w:rFonts w:ascii="Times New Roman" w:hAnsi="Times New Roman"/>
        </w:rPr>
        <w:t xml:space="preserve"> individual</w:t>
      </w:r>
      <w:r w:rsidRPr="00B213DB">
        <w:rPr>
          <w:rFonts w:ascii="Times New Roman" w:hAnsi="Times New Roman"/>
        </w:rPr>
        <w:t xml:space="preserve"> Investment Risks).</w:t>
      </w:r>
    </w:p>
    <w:p w:rsidR="00C67D8F" w:rsidRPr="00B213DB" w:rsidRDefault="00C67D8F" w:rsidP="00BA71AB">
      <w:pPr>
        <w:spacing w:after="120" w:line="360" w:lineRule="auto"/>
        <w:rPr>
          <w:rFonts w:ascii="Times New Roman" w:hAnsi="Times New Roman"/>
        </w:rPr>
      </w:pPr>
      <w:r w:rsidRPr="00B213DB">
        <w:rPr>
          <w:rFonts w:ascii="Times New Roman" w:hAnsi="Times New Roman"/>
        </w:rPr>
        <w:t xml:space="preserve">All other components that we associate with </w:t>
      </w:r>
      <w:r w:rsidR="000F7EBB">
        <w:rPr>
          <w:rFonts w:ascii="Times New Roman" w:hAnsi="Times New Roman"/>
        </w:rPr>
        <w:t>the ‘Classical Implementation’ of</w:t>
      </w:r>
      <w:r w:rsidR="000F7EBB" w:rsidRPr="00B213DB">
        <w:rPr>
          <w:rFonts w:ascii="Times New Roman" w:hAnsi="Times New Roman"/>
        </w:rPr>
        <w:t xml:space="preserve"> </w:t>
      </w:r>
      <w:proofErr w:type="spellStart"/>
      <w:r w:rsidRPr="00B213DB">
        <w:rPr>
          <w:rFonts w:ascii="Times New Roman" w:hAnsi="Times New Roman"/>
        </w:rPr>
        <w:t>MPT</w:t>
      </w:r>
      <w:proofErr w:type="spellEnd"/>
      <w:r w:rsidRPr="00B213DB">
        <w:rPr>
          <w:rFonts w:ascii="Times New Roman" w:hAnsi="Times New Roman"/>
        </w:rPr>
        <w:t xml:space="preserve">, such as the </w:t>
      </w:r>
      <w:proofErr w:type="spellStart"/>
      <w:r w:rsidRPr="00B213DB">
        <w:rPr>
          <w:rFonts w:ascii="Times New Roman" w:hAnsi="Times New Roman"/>
        </w:rPr>
        <w:t>CAPM</w:t>
      </w:r>
      <w:proofErr w:type="spellEnd"/>
      <w:r w:rsidRPr="00B213DB">
        <w:rPr>
          <w:rFonts w:ascii="Times New Roman" w:hAnsi="Times New Roman"/>
        </w:rPr>
        <w:t xml:space="preserve">, Efficient Frontiers, Sharpe ratios, etc. are based on these underlying principles.  </w:t>
      </w:r>
    </w:p>
    <w:p w:rsidR="007F2A74" w:rsidRPr="00B213DB" w:rsidRDefault="00C67D8F" w:rsidP="00BA71AB">
      <w:pPr>
        <w:spacing w:after="120" w:line="360" w:lineRule="auto"/>
        <w:rPr>
          <w:rFonts w:ascii="Times New Roman" w:hAnsi="Times New Roman"/>
        </w:rPr>
      </w:pPr>
      <w:r w:rsidRPr="00B213DB">
        <w:rPr>
          <w:rFonts w:ascii="Times New Roman" w:hAnsi="Times New Roman"/>
        </w:rPr>
        <w:t>(</w:t>
      </w:r>
      <w:r w:rsidR="00115FA7" w:rsidRPr="00B213DB">
        <w:rPr>
          <w:rFonts w:ascii="Times New Roman" w:hAnsi="Times New Roman"/>
        </w:rPr>
        <w:t>Note that this implies that Investment Risks</w:t>
      </w:r>
      <w:r w:rsidRPr="00B213DB">
        <w:rPr>
          <w:rFonts w:ascii="Times New Roman" w:hAnsi="Times New Roman"/>
        </w:rPr>
        <w:t xml:space="preserve">, which </w:t>
      </w:r>
      <w:r w:rsidR="000F7EBB">
        <w:rPr>
          <w:rFonts w:ascii="Times New Roman" w:hAnsi="Times New Roman"/>
        </w:rPr>
        <w:t xml:space="preserve">are </w:t>
      </w:r>
      <w:r w:rsidRPr="00B213DB">
        <w:rPr>
          <w:rFonts w:ascii="Times New Roman" w:hAnsi="Times New Roman"/>
        </w:rPr>
        <w:t>relate</w:t>
      </w:r>
      <w:r w:rsidR="000F7EBB">
        <w:rPr>
          <w:rFonts w:ascii="Times New Roman" w:hAnsi="Times New Roman"/>
        </w:rPr>
        <w:t>d</w:t>
      </w:r>
      <w:r w:rsidRPr="00B213DB">
        <w:rPr>
          <w:rFonts w:ascii="Times New Roman" w:hAnsi="Times New Roman"/>
        </w:rPr>
        <w:t xml:space="preserve"> to individual investments, </w:t>
      </w:r>
      <w:r w:rsidR="00115FA7" w:rsidRPr="00B213DB">
        <w:rPr>
          <w:rFonts w:ascii="Times New Roman" w:hAnsi="Times New Roman"/>
        </w:rPr>
        <w:t xml:space="preserve">and </w:t>
      </w:r>
      <w:r w:rsidR="00AC4C71" w:rsidRPr="00B213DB">
        <w:rPr>
          <w:rFonts w:ascii="Times New Roman" w:hAnsi="Times New Roman"/>
        </w:rPr>
        <w:t>Portfolio Risks are distin</w:t>
      </w:r>
      <w:r w:rsidRPr="00B213DB">
        <w:rPr>
          <w:rFonts w:ascii="Times New Roman" w:hAnsi="Times New Roman"/>
        </w:rPr>
        <w:t xml:space="preserve">ctly different. It is easy to, but important not to, confuse them). </w:t>
      </w:r>
      <w:r w:rsidR="00AC4C71" w:rsidRPr="00B213DB">
        <w:rPr>
          <w:rFonts w:ascii="Times New Roman" w:hAnsi="Times New Roman"/>
        </w:rPr>
        <w:t xml:space="preserve"> </w:t>
      </w:r>
      <w:r w:rsidR="00115FA7" w:rsidRPr="00B213DB">
        <w:rPr>
          <w:rFonts w:ascii="Times New Roman" w:hAnsi="Times New Roman"/>
        </w:rPr>
        <w:t xml:space="preserve"> </w:t>
      </w:r>
      <w:r w:rsidR="007F2A74" w:rsidRPr="00B213DB">
        <w:rPr>
          <w:rFonts w:ascii="Times New Roman" w:hAnsi="Times New Roman"/>
        </w:rPr>
        <w:t xml:space="preserve"> </w:t>
      </w:r>
    </w:p>
    <w:p w:rsidR="00AD2D3C" w:rsidRPr="00B213DB" w:rsidRDefault="00C67D8F" w:rsidP="00BA71AB">
      <w:pPr>
        <w:spacing w:after="120" w:line="360" w:lineRule="auto"/>
        <w:rPr>
          <w:rFonts w:ascii="Times New Roman" w:hAnsi="Times New Roman"/>
        </w:rPr>
      </w:pPr>
      <w:r w:rsidRPr="00B213DB">
        <w:rPr>
          <w:rFonts w:ascii="Times New Roman" w:hAnsi="Times New Roman"/>
        </w:rPr>
        <w:t xml:space="preserve">Second, there are </w:t>
      </w:r>
      <w:r w:rsidRPr="00B213DB">
        <w:rPr>
          <w:rFonts w:ascii="Times New Roman" w:hAnsi="Times New Roman"/>
          <w:b/>
        </w:rPr>
        <w:t>only three sources of investment returns</w:t>
      </w:r>
      <w:r w:rsidRPr="00B213DB">
        <w:rPr>
          <w:rFonts w:ascii="Times New Roman" w:hAnsi="Times New Roman"/>
        </w:rPr>
        <w:t xml:space="preserve"> in a superannuation investment portfolio</w:t>
      </w:r>
      <w:r w:rsidR="00AD2D3C" w:rsidRPr="00B213DB">
        <w:rPr>
          <w:rFonts w:ascii="Times New Roman" w:hAnsi="Times New Roman"/>
        </w:rPr>
        <w:t>:</w:t>
      </w:r>
      <w:r w:rsidRPr="00B213DB">
        <w:rPr>
          <w:rFonts w:ascii="Times New Roman" w:hAnsi="Times New Roman"/>
        </w:rPr>
        <w:t xml:space="preserve"> </w:t>
      </w:r>
    </w:p>
    <w:p w:rsidR="00115FA7" w:rsidRPr="00B213DB" w:rsidRDefault="0020380F" w:rsidP="00AD2D3C">
      <w:pPr>
        <w:numPr>
          <w:ilvl w:val="0"/>
          <w:numId w:val="14"/>
        </w:numPr>
        <w:spacing w:after="120" w:line="360" w:lineRule="auto"/>
        <w:rPr>
          <w:rFonts w:ascii="Times New Roman" w:hAnsi="Times New Roman"/>
        </w:rPr>
      </w:pPr>
      <w:r>
        <w:rPr>
          <w:rFonts w:ascii="Times New Roman" w:hAnsi="Times New Roman"/>
        </w:rPr>
        <w:t>P</w:t>
      </w:r>
      <w:r w:rsidR="00AD2D3C" w:rsidRPr="00B213DB">
        <w:rPr>
          <w:rFonts w:ascii="Times New Roman" w:hAnsi="Times New Roman"/>
        </w:rPr>
        <w:t>lacing the money into superannuation in the first place (which at a minimum will earn the cash rate of return with no Investment Risk);</w:t>
      </w:r>
    </w:p>
    <w:p w:rsidR="00AD2D3C" w:rsidRPr="00B213DB" w:rsidRDefault="00AD2D3C" w:rsidP="00AD2D3C">
      <w:pPr>
        <w:numPr>
          <w:ilvl w:val="0"/>
          <w:numId w:val="14"/>
        </w:numPr>
        <w:spacing w:after="120" w:line="360" w:lineRule="auto"/>
        <w:rPr>
          <w:rFonts w:ascii="Times New Roman" w:hAnsi="Times New Roman"/>
        </w:rPr>
      </w:pPr>
      <w:r w:rsidRPr="00B213DB">
        <w:rPr>
          <w:rFonts w:ascii="Times New Roman" w:hAnsi="Times New Roman"/>
        </w:rPr>
        <w:t>Allocating some (u</w:t>
      </w:r>
      <w:r w:rsidR="0020380F">
        <w:rPr>
          <w:rFonts w:ascii="Times New Roman" w:hAnsi="Times New Roman"/>
        </w:rPr>
        <w:t>p to 100%) to assets that have Market R</w:t>
      </w:r>
      <w:r w:rsidRPr="00B213DB">
        <w:rPr>
          <w:rFonts w:ascii="Times New Roman" w:hAnsi="Times New Roman"/>
        </w:rPr>
        <w:t xml:space="preserve">isk (or volatility), and should earn Market Risk </w:t>
      </w:r>
      <w:proofErr w:type="spellStart"/>
      <w:r w:rsidRPr="00B213DB">
        <w:rPr>
          <w:rFonts w:ascii="Times New Roman" w:hAnsi="Times New Roman"/>
        </w:rPr>
        <w:t>Premia</w:t>
      </w:r>
      <w:proofErr w:type="spellEnd"/>
      <w:r w:rsidRPr="00B213DB">
        <w:rPr>
          <w:rFonts w:ascii="Times New Roman" w:hAnsi="Times New Roman"/>
        </w:rPr>
        <w:t>; and</w:t>
      </w:r>
    </w:p>
    <w:p w:rsidR="00AD2D3C" w:rsidRPr="00B213DB" w:rsidRDefault="0020380F" w:rsidP="00AD2D3C">
      <w:pPr>
        <w:numPr>
          <w:ilvl w:val="0"/>
          <w:numId w:val="14"/>
        </w:numPr>
        <w:spacing w:after="120" w:line="360" w:lineRule="auto"/>
        <w:rPr>
          <w:rFonts w:ascii="Times New Roman" w:hAnsi="Times New Roman"/>
        </w:rPr>
      </w:pPr>
      <w:r>
        <w:rPr>
          <w:rFonts w:ascii="Times New Roman" w:hAnsi="Times New Roman"/>
        </w:rPr>
        <w:t>Allocating some (up to 100%) to assets with Manager R</w:t>
      </w:r>
      <w:r w:rsidR="00AD2D3C" w:rsidRPr="00B213DB">
        <w:rPr>
          <w:rFonts w:ascii="Times New Roman" w:hAnsi="Times New Roman"/>
        </w:rPr>
        <w:t xml:space="preserve">isk (or volatility), and which should earn </w:t>
      </w:r>
      <w:r>
        <w:rPr>
          <w:rFonts w:ascii="Times New Roman" w:hAnsi="Times New Roman"/>
        </w:rPr>
        <w:t xml:space="preserve">a </w:t>
      </w:r>
      <w:r w:rsidR="00AD2D3C" w:rsidRPr="00B213DB">
        <w:rPr>
          <w:rFonts w:ascii="Times New Roman" w:hAnsi="Times New Roman"/>
        </w:rPr>
        <w:t xml:space="preserve">Manager Skill </w:t>
      </w:r>
      <w:proofErr w:type="spellStart"/>
      <w:r w:rsidR="00AD2D3C" w:rsidRPr="00B213DB">
        <w:rPr>
          <w:rFonts w:ascii="Times New Roman" w:hAnsi="Times New Roman"/>
        </w:rPr>
        <w:t>Premia</w:t>
      </w:r>
      <w:proofErr w:type="spellEnd"/>
      <w:r w:rsidR="00AD2D3C" w:rsidRPr="00B213DB">
        <w:rPr>
          <w:rFonts w:ascii="Times New Roman" w:hAnsi="Times New Roman"/>
        </w:rPr>
        <w:t xml:space="preserve"> (commonly described as Alpha).</w:t>
      </w:r>
    </w:p>
    <w:p w:rsidR="00AD2D3C" w:rsidRPr="00B213DB" w:rsidRDefault="00AD2D3C" w:rsidP="00AD2D3C">
      <w:pPr>
        <w:spacing w:after="120" w:line="360" w:lineRule="auto"/>
        <w:rPr>
          <w:rFonts w:ascii="Times New Roman" w:hAnsi="Times New Roman"/>
          <w:b/>
        </w:rPr>
      </w:pPr>
      <w:r w:rsidRPr="00B213DB">
        <w:rPr>
          <w:rFonts w:ascii="Times New Roman" w:hAnsi="Times New Roman"/>
          <w:b/>
        </w:rPr>
        <w:t xml:space="preserve">Market and Manager Risks are Investment Risks. Superannuation funds should be rewarded – by earning additional returns – for taking market and manger risks. </w:t>
      </w:r>
    </w:p>
    <w:p w:rsidR="00994420" w:rsidRDefault="00AD2D3C" w:rsidP="00AD2D3C">
      <w:pPr>
        <w:spacing w:after="120" w:line="360" w:lineRule="auto"/>
        <w:rPr>
          <w:rFonts w:ascii="Times New Roman" w:hAnsi="Times New Roman"/>
        </w:rPr>
      </w:pPr>
      <w:r w:rsidRPr="00B213DB">
        <w:rPr>
          <w:rFonts w:ascii="Times New Roman" w:hAnsi="Times New Roman"/>
        </w:rPr>
        <w:t xml:space="preserve">In a portfolio of investments, </w:t>
      </w:r>
      <w:r w:rsidRPr="00B213DB">
        <w:rPr>
          <w:rFonts w:ascii="Times New Roman" w:hAnsi="Times New Roman"/>
          <w:b/>
        </w:rPr>
        <w:t>Market and Manager Risks should diversify</w:t>
      </w:r>
      <w:r w:rsidR="005729EF" w:rsidRPr="00B213DB">
        <w:rPr>
          <w:rFonts w:ascii="Times New Roman" w:hAnsi="Times New Roman"/>
        </w:rPr>
        <w:t xml:space="preserve">, leaving an overall Portfolio Risk. </w:t>
      </w:r>
      <w:r w:rsidR="005729EF" w:rsidRPr="00B213DB">
        <w:rPr>
          <w:rFonts w:ascii="Times New Roman" w:hAnsi="Times New Roman"/>
          <w:b/>
        </w:rPr>
        <w:t>Superannuation funds do not earn additional returns for taking Portfolio Risks</w:t>
      </w:r>
      <w:r w:rsidR="005729EF" w:rsidRPr="00B213DB">
        <w:rPr>
          <w:rFonts w:ascii="Times New Roman" w:hAnsi="Times New Roman"/>
        </w:rPr>
        <w:t>.</w:t>
      </w:r>
      <w:r w:rsidRPr="00B213DB">
        <w:rPr>
          <w:rFonts w:ascii="Times New Roman" w:hAnsi="Times New Roman"/>
        </w:rPr>
        <w:t xml:space="preserve"> </w:t>
      </w:r>
    </w:p>
    <w:p w:rsidR="0092219B" w:rsidRDefault="0092219B" w:rsidP="00AD2D3C">
      <w:pPr>
        <w:spacing w:after="120" w:line="360" w:lineRule="auto"/>
        <w:rPr>
          <w:rFonts w:ascii="Times New Roman" w:hAnsi="Times New Roman"/>
        </w:rPr>
      </w:pPr>
      <w:r>
        <w:rPr>
          <w:rFonts w:ascii="Times New Roman" w:hAnsi="Times New Roman"/>
        </w:rPr>
        <w:t xml:space="preserve">These sources of Investment Risk are illustrated in Figure 2. Note that it is possible to sum the Investment Risks associated with each investment – whether </w:t>
      </w:r>
      <w:r w:rsidR="00284BD0">
        <w:rPr>
          <w:rFonts w:ascii="Times New Roman" w:hAnsi="Times New Roman"/>
        </w:rPr>
        <w:t>Market or Manager</w:t>
      </w:r>
      <w:r w:rsidR="0020380F">
        <w:rPr>
          <w:rFonts w:ascii="Times New Roman" w:hAnsi="Times New Roman"/>
        </w:rPr>
        <w:t xml:space="preserve"> – to give the Total </w:t>
      </w:r>
      <w:r>
        <w:rPr>
          <w:rFonts w:ascii="Times New Roman" w:hAnsi="Times New Roman"/>
        </w:rPr>
        <w:t xml:space="preserve">Investment Risk </w:t>
      </w:r>
      <w:r w:rsidR="00284BD0">
        <w:rPr>
          <w:rFonts w:ascii="Times New Roman" w:hAnsi="Times New Roman"/>
        </w:rPr>
        <w:t xml:space="preserve">in a portfolio. </w:t>
      </w:r>
      <w:r>
        <w:rPr>
          <w:rFonts w:ascii="Times New Roman" w:hAnsi="Times New Roman"/>
        </w:rPr>
        <w:t xml:space="preserve">  </w:t>
      </w:r>
    </w:p>
    <w:p w:rsidR="0020380F" w:rsidRPr="0092219B" w:rsidRDefault="0020380F" w:rsidP="00AD2D3C">
      <w:pPr>
        <w:spacing w:after="120" w:line="360" w:lineRule="auto"/>
        <w:rPr>
          <w:rFonts w:ascii="Times New Roman" w:hAnsi="Times New Roman"/>
        </w:rPr>
      </w:pPr>
    </w:p>
    <w:p w:rsidR="00994420" w:rsidRPr="00B213DB" w:rsidRDefault="00994420" w:rsidP="00994420">
      <w:pPr>
        <w:rPr>
          <w:rFonts w:ascii="Times New Roman" w:hAnsi="Times New Roman"/>
          <w:b/>
          <w:iCs/>
        </w:rPr>
      </w:pPr>
      <w:r w:rsidRPr="00B213DB">
        <w:rPr>
          <w:rFonts w:ascii="Times New Roman" w:hAnsi="Times New Roman"/>
          <w:b/>
          <w:iCs/>
        </w:rPr>
        <w:t>Figure 2</w:t>
      </w:r>
    </w:p>
    <w:p w:rsidR="00AD2D3C" w:rsidRPr="00B213DB" w:rsidRDefault="00AD2D3C" w:rsidP="00AD2D3C">
      <w:pPr>
        <w:spacing w:after="120" w:line="360" w:lineRule="auto"/>
        <w:rPr>
          <w:rFonts w:ascii="Times New Roman" w:hAnsi="Times New Roman"/>
        </w:rPr>
      </w:pPr>
      <w:r w:rsidRPr="00B213DB">
        <w:rPr>
          <w:rFonts w:ascii="Times New Roman" w:hAnsi="Times New Roman"/>
        </w:rPr>
        <w:t xml:space="preserve">  </w:t>
      </w:r>
    </w:p>
    <w:p w:rsidR="002C738F" w:rsidRPr="0020380F" w:rsidRDefault="00984C98" w:rsidP="0020380F">
      <w:pPr>
        <w:spacing w:after="120" w:line="360" w:lineRule="auto"/>
        <w:jc w:val="center"/>
        <w:rPr>
          <w:rFonts w:ascii="Times New Roman" w:hAnsi="Times New Roman"/>
        </w:rPr>
      </w:pPr>
      <w:r>
        <w:rPr>
          <w:noProof/>
          <w:lang w:eastAsia="en-AU"/>
        </w:rPr>
        <w:drawing>
          <wp:inline distT="0" distB="0" distL="0" distR="0">
            <wp:extent cx="4107815" cy="359219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07815" cy="3592195"/>
                    </a:xfrm>
                    <a:prstGeom prst="rect">
                      <a:avLst/>
                    </a:prstGeom>
                    <a:noFill/>
                    <a:ln>
                      <a:noFill/>
                    </a:ln>
                  </pic:spPr>
                </pic:pic>
              </a:graphicData>
            </a:graphic>
          </wp:inline>
        </w:drawing>
      </w:r>
    </w:p>
    <w:p w:rsidR="00250D28" w:rsidRPr="00B213DB" w:rsidRDefault="005729EF" w:rsidP="0058316E">
      <w:pPr>
        <w:spacing w:after="120" w:line="480" w:lineRule="auto"/>
        <w:rPr>
          <w:rFonts w:ascii="Times New Roman" w:hAnsi="Times New Roman"/>
          <w:b/>
        </w:rPr>
      </w:pPr>
      <w:r w:rsidRPr="00B213DB">
        <w:rPr>
          <w:rFonts w:ascii="Times New Roman" w:hAnsi="Times New Roman"/>
          <w:b/>
        </w:rPr>
        <w:t>Consistency</w:t>
      </w:r>
    </w:p>
    <w:p w:rsidR="00E3562E" w:rsidRPr="00B213DB" w:rsidRDefault="00E3562E" w:rsidP="008D0389">
      <w:pPr>
        <w:spacing w:after="120" w:line="360" w:lineRule="auto"/>
        <w:rPr>
          <w:rFonts w:ascii="Times New Roman" w:hAnsi="Times New Roman"/>
        </w:rPr>
      </w:pPr>
      <w:r w:rsidRPr="00B213DB">
        <w:rPr>
          <w:rFonts w:ascii="Times New Roman" w:hAnsi="Times New Roman"/>
        </w:rPr>
        <w:t>It is</w:t>
      </w:r>
      <w:r w:rsidR="00ED3174" w:rsidRPr="00B213DB">
        <w:rPr>
          <w:rFonts w:ascii="Times New Roman" w:hAnsi="Times New Roman"/>
        </w:rPr>
        <w:t xml:space="preserve"> </w:t>
      </w:r>
      <w:r w:rsidR="006A6CBE" w:rsidRPr="00B213DB">
        <w:rPr>
          <w:rFonts w:ascii="Times New Roman" w:hAnsi="Times New Roman"/>
        </w:rPr>
        <w:t xml:space="preserve">generally </w:t>
      </w:r>
      <w:r w:rsidR="00ED3174" w:rsidRPr="00B213DB">
        <w:rPr>
          <w:rFonts w:ascii="Times New Roman" w:hAnsi="Times New Roman"/>
        </w:rPr>
        <w:t xml:space="preserve">accepted that </w:t>
      </w:r>
      <w:r w:rsidR="00D84525" w:rsidRPr="00B213DB">
        <w:rPr>
          <w:rFonts w:ascii="Times New Roman" w:hAnsi="Times New Roman"/>
        </w:rPr>
        <w:t xml:space="preserve">consistent and persistent performance </w:t>
      </w:r>
      <w:r w:rsidR="00ED3174" w:rsidRPr="00B213DB">
        <w:rPr>
          <w:rFonts w:ascii="Times New Roman" w:hAnsi="Times New Roman"/>
        </w:rPr>
        <w:t xml:space="preserve">is </w:t>
      </w:r>
      <w:r w:rsidR="002C738F" w:rsidRPr="00B213DB">
        <w:rPr>
          <w:rFonts w:ascii="Times New Roman" w:hAnsi="Times New Roman"/>
        </w:rPr>
        <w:t xml:space="preserve">a </w:t>
      </w:r>
      <w:r w:rsidR="00ED3174" w:rsidRPr="00B213DB">
        <w:rPr>
          <w:rFonts w:ascii="Times New Roman" w:hAnsi="Times New Roman"/>
        </w:rPr>
        <w:t xml:space="preserve">necessary </w:t>
      </w:r>
      <w:r w:rsidR="002C738F" w:rsidRPr="00B213DB">
        <w:rPr>
          <w:rFonts w:ascii="Times New Roman" w:hAnsi="Times New Roman"/>
        </w:rPr>
        <w:t xml:space="preserve">condition </w:t>
      </w:r>
      <w:r w:rsidR="00ED3174" w:rsidRPr="00B213DB">
        <w:rPr>
          <w:rFonts w:ascii="Times New Roman" w:hAnsi="Times New Roman"/>
        </w:rPr>
        <w:t>for</w:t>
      </w:r>
      <w:r w:rsidR="00D84525" w:rsidRPr="00B213DB">
        <w:rPr>
          <w:rFonts w:ascii="Times New Roman" w:hAnsi="Times New Roman"/>
        </w:rPr>
        <w:t xml:space="preserve"> </w:t>
      </w:r>
      <w:r w:rsidRPr="00B213DB">
        <w:rPr>
          <w:rFonts w:ascii="Times New Roman" w:hAnsi="Times New Roman"/>
        </w:rPr>
        <w:t xml:space="preserve">investment returns to be </w:t>
      </w:r>
      <w:r w:rsidR="00D84525" w:rsidRPr="00B213DB">
        <w:rPr>
          <w:rFonts w:ascii="Times New Roman" w:hAnsi="Times New Roman"/>
        </w:rPr>
        <w:t xml:space="preserve">repeatable and predictable. </w:t>
      </w:r>
    </w:p>
    <w:p w:rsidR="007F2777" w:rsidRPr="00B213DB" w:rsidRDefault="007F2777" w:rsidP="008D0389">
      <w:pPr>
        <w:spacing w:after="120" w:line="360" w:lineRule="auto"/>
        <w:rPr>
          <w:rFonts w:ascii="Times New Roman" w:hAnsi="Times New Roman"/>
          <w:b/>
        </w:rPr>
      </w:pPr>
      <w:r w:rsidRPr="00B213DB">
        <w:rPr>
          <w:rFonts w:ascii="Times New Roman" w:hAnsi="Times New Roman"/>
          <w:b/>
        </w:rPr>
        <w:t>Assessment of Consistency</w:t>
      </w:r>
    </w:p>
    <w:p w:rsidR="00BE67A5" w:rsidRPr="00B213DB" w:rsidRDefault="00D640DF" w:rsidP="008D0389">
      <w:pPr>
        <w:spacing w:after="120" w:line="360" w:lineRule="auto"/>
        <w:rPr>
          <w:rFonts w:ascii="Times New Roman" w:hAnsi="Times New Roman"/>
        </w:rPr>
      </w:pPr>
      <w:r w:rsidRPr="00B213DB">
        <w:rPr>
          <w:rFonts w:ascii="Times New Roman" w:hAnsi="Times New Roman"/>
        </w:rPr>
        <w:t>The typical</w:t>
      </w:r>
      <w:r w:rsidR="00682B37" w:rsidRPr="00B213DB">
        <w:rPr>
          <w:rFonts w:ascii="Times New Roman" w:hAnsi="Times New Roman"/>
        </w:rPr>
        <w:t xml:space="preserve"> </w:t>
      </w:r>
      <w:r w:rsidR="00C63E58" w:rsidRPr="00B213DB">
        <w:rPr>
          <w:rFonts w:ascii="Times New Roman" w:hAnsi="Times New Roman"/>
        </w:rPr>
        <w:t xml:space="preserve">approach to the </w:t>
      </w:r>
      <w:r w:rsidR="00682B37" w:rsidRPr="00B213DB">
        <w:rPr>
          <w:rFonts w:ascii="Times New Roman" w:hAnsi="Times New Roman"/>
        </w:rPr>
        <w:t>analysis</w:t>
      </w:r>
      <w:r w:rsidR="007F2777" w:rsidRPr="00B213DB">
        <w:rPr>
          <w:rFonts w:ascii="Times New Roman" w:hAnsi="Times New Roman"/>
        </w:rPr>
        <w:t xml:space="preserve"> of the consistency of manager performance is to assess </w:t>
      </w:r>
      <w:r w:rsidR="00AC234A" w:rsidRPr="00B213DB">
        <w:rPr>
          <w:rFonts w:ascii="Times New Roman" w:hAnsi="Times New Roman"/>
        </w:rPr>
        <w:t xml:space="preserve">whether </w:t>
      </w:r>
      <w:r w:rsidR="007F2777" w:rsidRPr="00B213DB">
        <w:rPr>
          <w:rFonts w:ascii="Times New Roman" w:hAnsi="Times New Roman"/>
        </w:rPr>
        <w:t xml:space="preserve">investment managers who perform well in one period – as instanced by </w:t>
      </w:r>
      <w:r w:rsidR="00AC234A" w:rsidRPr="00B213DB">
        <w:rPr>
          <w:rFonts w:ascii="Times New Roman" w:hAnsi="Times New Roman"/>
        </w:rPr>
        <w:t xml:space="preserve">top-quartile </w:t>
      </w:r>
      <w:r w:rsidR="007F2777" w:rsidRPr="00B213DB">
        <w:rPr>
          <w:rFonts w:ascii="Times New Roman" w:hAnsi="Times New Roman"/>
        </w:rPr>
        <w:t xml:space="preserve">or </w:t>
      </w:r>
      <w:r w:rsidR="00F23141" w:rsidRPr="00B213DB">
        <w:rPr>
          <w:rFonts w:ascii="Times New Roman" w:hAnsi="Times New Roman"/>
        </w:rPr>
        <w:t>some other measure of</w:t>
      </w:r>
      <w:r w:rsidR="007F2777" w:rsidRPr="00B213DB">
        <w:rPr>
          <w:rFonts w:ascii="Times New Roman" w:hAnsi="Times New Roman"/>
        </w:rPr>
        <w:t xml:space="preserve"> investment returns -</w:t>
      </w:r>
      <w:r w:rsidR="00AC234A" w:rsidRPr="00B213DB">
        <w:rPr>
          <w:rFonts w:ascii="Times New Roman" w:hAnsi="Times New Roman"/>
        </w:rPr>
        <w:t xml:space="preserve"> repeat that performance in </w:t>
      </w:r>
      <w:r w:rsidR="00B07E0C" w:rsidRPr="00B213DB">
        <w:rPr>
          <w:rFonts w:ascii="Times New Roman" w:hAnsi="Times New Roman"/>
        </w:rPr>
        <w:t>a subsequent period (</w:t>
      </w:r>
      <w:proofErr w:type="spellStart"/>
      <w:r w:rsidR="0086612D" w:rsidRPr="00B213DB">
        <w:rPr>
          <w:rFonts w:ascii="Times New Roman" w:hAnsi="Times New Roman"/>
        </w:rPr>
        <w:t>Carhart</w:t>
      </w:r>
      <w:proofErr w:type="spellEnd"/>
      <w:r w:rsidR="0086612D" w:rsidRPr="00B213DB">
        <w:rPr>
          <w:rFonts w:ascii="Times New Roman" w:hAnsi="Times New Roman"/>
        </w:rPr>
        <w:t xml:space="preserve"> (</w:t>
      </w:r>
      <w:r w:rsidR="00D6751B" w:rsidRPr="00B213DB">
        <w:rPr>
          <w:rFonts w:ascii="Times New Roman" w:hAnsi="Times New Roman"/>
        </w:rPr>
        <w:t>1997</w:t>
      </w:r>
      <w:r w:rsidR="0086612D" w:rsidRPr="00B213DB">
        <w:rPr>
          <w:rFonts w:ascii="Times New Roman" w:hAnsi="Times New Roman"/>
        </w:rPr>
        <w:t>)</w:t>
      </w:r>
      <w:r w:rsidR="00D319CD" w:rsidRPr="00B213DB">
        <w:rPr>
          <w:rFonts w:ascii="Times New Roman" w:hAnsi="Times New Roman"/>
        </w:rPr>
        <w:t xml:space="preserve">; </w:t>
      </w:r>
      <w:r w:rsidR="00AD2886" w:rsidRPr="00B213DB">
        <w:rPr>
          <w:rFonts w:ascii="Times New Roman" w:hAnsi="Times New Roman"/>
        </w:rPr>
        <w:t xml:space="preserve">Fortin &amp; </w:t>
      </w:r>
      <w:r w:rsidR="00887F06" w:rsidRPr="00B213DB">
        <w:rPr>
          <w:rFonts w:ascii="Times New Roman" w:hAnsi="Times New Roman"/>
        </w:rPr>
        <w:t>Michelson</w:t>
      </w:r>
      <w:r w:rsidR="00AD2886" w:rsidRPr="00B213DB">
        <w:rPr>
          <w:rFonts w:ascii="Times New Roman" w:hAnsi="Times New Roman"/>
        </w:rPr>
        <w:t xml:space="preserve"> </w:t>
      </w:r>
      <w:r w:rsidR="0086612D" w:rsidRPr="00B213DB">
        <w:rPr>
          <w:rFonts w:ascii="Times New Roman" w:hAnsi="Times New Roman"/>
        </w:rPr>
        <w:t>(</w:t>
      </w:r>
      <w:r w:rsidR="00AD2886" w:rsidRPr="00B213DB">
        <w:rPr>
          <w:rFonts w:ascii="Times New Roman" w:hAnsi="Times New Roman"/>
        </w:rPr>
        <w:t>2010</w:t>
      </w:r>
      <w:r w:rsidR="0086612D" w:rsidRPr="00B213DB">
        <w:rPr>
          <w:rFonts w:ascii="Times New Roman" w:hAnsi="Times New Roman"/>
        </w:rPr>
        <w:t>)</w:t>
      </w:r>
      <w:r w:rsidR="00AD2886" w:rsidRPr="00B213DB">
        <w:rPr>
          <w:rFonts w:ascii="Times New Roman" w:hAnsi="Times New Roman"/>
        </w:rPr>
        <w:t xml:space="preserve">; </w:t>
      </w:r>
      <w:proofErr w:type="spellStart"/>
      <w:r w:rsidR="0086612D" w:rsidRPr="00B213DB">
        <w:rPr>
          <w:rFonts w:ascii="Times New Roman" w:hAnsi="Times New Roman"/>
        </w:rPr>
        <w:t>Juru</w:t>
      </w:r>
      <w:proofErr w:type="spellEnd"/>
      <w:r w:rsidR="0086612D" w:rsidRPr="00B213DB">
        <w:rPr>
          <w:rFonts w:ascii="Times New Roman" w:hAnsi="Times New Roman"/>
        </w:rPr>
        <w:t xml:space="preserve"> &amp; Johnson (</w:t>
      </w:r>
      <w:r w:rsidR="00B21C6B" w:rsidRPr="00B213DB">
        <w:rPr>
          <w:rFonts w:ascii="Times New Roman" w:hAnsi="Times New Roman"/>
        </w:rPr>
        <w:t>2015</w:t>
      </w:r>
      <w:r w:rsidR="0086612D" w:rsidRPr="00B213DB">
        <w:rPr>
          <w:rFonts w:ascii="Times New Roman" w:hAnsi="Times New Roman"/>
        </w:rPr>
        <w:t>)</w:t>
      </w:r>
      <w:r w:rsidR="00B21C6B" w:rsidRPr="00B213DB">
        <w:rPr>
          <w:rFonts w:ascii="Times New Roman" w:hAnsi="Times New Roman"/>
        </w:rPr>
        <w:t xml:space="preserve">; </w:t>
      </w:r>
      <w:r w:rsidR="003437A4" w:rsidRPr="00B213DB">
        <w:rPr>
          <w:rFonts w:ascii="Times New Roman" w:hAnsi="Times New Roman"/>
        </w:rPr>
        <w:t xml:space="preserve">Pfeiffer &amp; </w:t>
      </w:r>
      <w:proofErr w:type="spellStart"/>
      <w:r w:rsidR="003437A4" w:rsidRPr="00B213DB">
        <w:rPr>
          <w:rFonts w:ascii="Times New Roman" w:hAnsi="Times New Roman"/>
        </w:rPr>
        <w:t>Evensky</w:t>
      </w:r>
      <w:proofErr w:type="spellEnd"/>
      <w:r w:rsidR="003437A4" w:rsidRPr="00B213DB">
        <w:rPr>
          <w:rFonts w:ascii="Times New Roman" w:hAnsi="Times New Roman"/>
        </w:rPr>
        <w:t xml:space="preserve"> </w:t>
      </w:r>
      <w:r w:rsidR="0086612D" w:rsidRPr="00B213DB">
        <w:rPr>
          <w:rFonts w:ascii="Times New Roman" w:hAnsi="Times New Roman"/>
        </w:rPr>
        <w:t>(</w:t>
      </w:r>
      <w:r w:rsidR="003437A4" w:rsidRPr="00B213DB">
        <w:rPr>
          <w:rFonts w:ascii="Times New Roman" w:hAnsi="Times New Roman"/>
        </w:rPr>
        <w:t>2012</w:t>
      </w:r>
      <w:r w:rsidR="0086612D" w:rsidRPr="00B213DB">
        <w:rPr>
          <w:rFonts w:ascii="Times New Roman" w:hAnsi="Times New Roman"/>
        </w:rPr>
        <w:t xml:space="preserve">); </w:t>
      </w:r>
      <w:proofErr w:type="spellStart"/>
      <w:r w:rsidR="0086612D" w:rsidRPr="00B213DB">
        <w:rPr>
          <w:rFonts w:ascii="Times New Roman" w:hAnsi="Times New Roman"/>
        </w:rPr>
        <w:t>Soe</w:t>
      </w:r>
      <w:proofErr w:type="spellEnd"/>
      <w:r w:rsidR="0086612D" w:rsidRPr="00B213DB">
        <w:rPr>
          <w:rFonts w:ascii="Times New Roman" w:hAnsi="Times New Roman"/>
        </w:rPr>
        <w:t xml:space="preserve"> (</w:t>
      </w:r>
      <w:r w:rsidR="003437A4" w:rsidRPr="00B213DB">
        <w:rPr>
          <w:rFonts w:ascii="Times New Roman" w:hAnsi="Times New Roman"/>
        </w:rPr>
        <w:t>2016</w:t>
      </w:r>
      <w:r w:rsidR="0086612D" w:rsidRPr="00B213DB">
        <w:rPr>
          <w:rFonts w:ascii="Times New Roman" w:hAnsi="Times New Roman"/>
        </w:rPr>
        <w:t>)</w:t>
      </w:r>
      <w:r w:rsidR="003437A4" w:rsidRPr="00B213DB">
        <w:rPr>
          <w:rFonts w:ascii="Times New Roman" w:hAnsi="Times New Roman"/>
        </w:rPr>
        <w:t>)</w:t>
      </w:r>
      <w:r w:rsidRPr="00B213DB">
        <w:rPr>
          <w:rFonts w:ascii="Times New Roman" w:hAnsi="Times New Roman"/>
        </w:rPr>
        <w:t xml:space="preserve">. </w:t>
      </w:r>
      <w:r w:rsidR="002C738F" w:rsidRPr="00B213DB">
        <w:rPr>
          <w:rFonts w:ascii="Times New Roman" w:hAnsi="Times New Roman"/>
        </w:rPr>
        <w:t>This is also an implicit assumption underlying statistical measures such as the Sharpe Ratio (returns over cash divided by volatility), as only managers who achieve high returns in both periods</w:t>
      </w:r>
      <w:r w:rsidR="005729EF" w:rsidRPr="00B213DB">
        <w:rPr>
          <w:rFonts w:ascii="Times New Roman" w:hAnsi="Times New Roman"/>
        </w:rPr>
        <w:t xml:space="preserve"> will have a high Sharpe Ratio over the full period.</w:t>
      </w:r>
    </w:p>
    <w:p w:rsidR="00AE41FB" w:rsidRPr="00B213DB" w:rsidRDefault="00BE67A5" w:rsidP="008D0389">
      <w:pPr>
        <w:spacing w:after="120" w:line="360" w:lineRule="auto"/>
        <w:rPr>
          <w:rFonts w:ascii="Times New Roman" w:hAnsi="Times New Roman"/>
        </w:rPr>
      </w:pPr>
      <w:r w:rsidRPr="00B213DB">
        <w:rPr>
          <w:rFonts w:ascii="Times New Roman" w:hAnsi="Times New Roman"/>
        </w:rPr>
        <w:lastRenderedPageBreak/>
        <w:t xml:space="preserve">Assessment of the relative rankings of manager performance over two periods involves the managers or funds being grouped into categories of relative performance in a contingency table. </w:t>
      </w:r>
    </w:p>
    <w:p w:rsidR="005729EF" w:rsidRPr="00B213DB" w:rsidRDefault="005729EF" w:rsidP="008D0389">
      <w:pPr>
        <w:spacing w:after="120" w:line="360" w:lineRule="auto"/>
        <w:rPr>
          <w:rFonts w:ascii="Times New Roman" w:hAnsi="Times New Roman"/>
        </w:rPr>
      </w:pPr>
      <w:r w:rsidRPr="00B213DB">
        <w:rPr>
          <w:rFonts w:ascii="Times New Roman" w:hAnsi="Times New Roman"/>
        </w:rPr>
        <w:t>If there is no consistency of performance (i.e. if performance is random across the two periods), then it would be expected that an equal number of investment funds / managers would be found in each cell of the contingency table. Where performance is ranked in quartiles the resulting 4 x 4 contingency table for 160 managers without consistent performance would look like this:</w:t>
      </w:r>
    </w:p>
    <w:p w:rsidR="00994420" w:rsidRPr="00B213DB" w:rsidRDefault="00994420" w:rsidP="00994420">
      <w:pPr>
        <w:rPr>
          <w:rFonts w:ascii="Times New Roman" w:hAnsi="Times New Roman"/>
          <w:b/>
          <w:iCs/>
        </w:rPr>
      </w:pPr>
      <w:r w:rsidRPr="00B213DB">
        <w:rPr>
          <w:rFonts w:ascii="Times New Roman" w:hAnsi="Times New Roman"/>
          <w:b/>
          <w:iCs/>
        </w:rPr>
        <w:t>Figure 3</w:t>
      </w:r>
    </w:p>
    <w:p w:rsidR="00994420" w:rsidRPr="00B213DB" w:rsidRDefault="00994420" w:rsidP="008D0389">
      <w:pPr>
        <w:spacing w:after="120" w:line="360" w:lineRule="auto"/>
        <w:rPr>
          <w:rFonts w:ascii="Times New Roman" w:hAnsi="Times New Roman"/>
        </w:rPr>
      </w:pPr>
    </w:p>
    <w:p w:rsidR="005729EF" w:rsidRPr="00B213DB" w:rsidRDefault="00984C98" w:rsidP="005729EF">
      <w:pPr>
        <w:spacing w:after="120" w:line="360" w:lineRule="auto"/>
        <w:jc w:val="center"/>
        <w:rPr>
          <w:rFonts w:ascii="Times New Roman" w:hAnsi="Times New Roman"/>
        </w:rPr>
      </w:pPr>
      <w:r>
        <w:rPr>
          <w:noProof/>
          <w:lang w:eastAsia="en-AU"/>
        </w:rPr>
        <w:drawing>
          <wp:inline distT="0" distB="0" distL="0" distR="0">
            <wp:extent cx="3519805" cy="2292985"/>
            <wp:effectExtent l="0" t="0" r="1079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19805" cy="2292985"/>
                    </a:xfrm>
                    <a:prstGeom prst="rect">
                      <a:avLst/>
                    </a:prstGeom>
                    <a:noFill/>
                    <a:ln>
                      <a:noFill/>
                    </a:ln>
                  </pic:spPr>
                </pic:pic>
              </a:graphicData>
            </a:graphic>
          </wp:inline>
        </w:drawing>
      </w:r>
    </w:p>
    <w:p w:rsidR="005729EF" w:rsidRPr="00B213DB" w:rsidRDefault="005729EF" w:rsidP="008D0389">
      <w:pPr>
        <w:spacing w:after="120" w:line="360" w:lineRule="auto"/>
        <w:rPr>
          <w:rFonts w:ascii="Times New Roman" w:hAnsi="Times New Roman"/>
        </w:rPr>
      </w:pPr>
    </w:p>
    <w:p w:rsidR="0030705A" w:rsidRPr="00B213DB" w:rsidRDefault="00D834DB" w:rsidP="008D0389">
      <w:pPr>
        <w:spacing w:after="120" w:line="360" w:lineRule="auto"/>
        <w:rPr>
          <w:rFonts w:ascii="Times New Roman" w:hAnsi="Times New Roman"/>
          <w:b/>
        </w:rPr>
      </w:pPr>
      <w:r w:rsidRPr="00B213DB">
        <w:rPr>
          <w:rFonts w:ascii="Times New Roman" w:hAnsi="Times New Roman"/>
          <w:b/>
        </w:rPr>
        <w:t>Consistency in Market Behavio</w:t>
      </w:r>
      <w:r w:rsidR="003B654B" w:rsidRPr="00B213DB">
        <w:rPr>
          <w:rFonts w:ascii="Times New Roman" w:hAnsi="Times New Roman"/>
          <w:b/>
        </w:rPr>
        <w:t>u</w:t>
      </w:r>
      <w:r w:rsidR="0030705A" w:rsidRPr="00B213DB">
        <w:rPr>
          <w:rFonts w:ascii="Times New Roman" w:hAnsi="Times New Roman"/>
          <w:b/>
        </w:rPr>
        <w:t>r</w:t>
      </w:r>
    </w:p>
    <w:p w:rsidR="002C5DCB" w:rsidRPr="00B213DB" w:rsidRDefault="00E3562E" w:rsidP="008D0389">
      <w:pPr>
        <w:spacing w:after="120" w:line="360" w:lineRule="auto"/>
        <w:rPr>
          <w:rFonts w:ascii="Times New Roman" w:hAnsi="Times New Roman"/>
        </w:rPr>
      </w:pPr>
      <w:r w:rsidRPr="00B213DB">
        <w:rPr>
          <w:rFonts w:ascii="Times New Roman" w:hAnsi="Times New Roman"/>
        </w:rPr>
        <w:t xml:space="preserve">It is proposed </w:t>
      </w:r>
      <w:r w:rsidR="00425C4D" w:rsidRPr="00B213DB">
        <w:rPr>
          <w:rFonts w:ascii="Times New Roman" w:hAnsi="Times New Roman"/>
        </w:rPr>
        <w:t>that the variability of market returns is greater than the variability of manager returns. Correspondingly, it is to be expe</w:t>
      </w:r>
      <w:r w:rsidR="003C7933" w:rsidRPr="00B213DB">
        <w:rPr>
          <w:rFonts w:ascii="Times New Roman" w:hAnsi="Times New Roman"/>
        </w:rPr>
        <w:t>cted that market returns will exhibit</w:t>
      </w:r>
      <w:r w:rsidR="005D61AA" w:rsidRPr="00B213DB">
        <w:rPr>
          <w:rFonts w:ascii="Times New Roman" w:hAnsi="Times New Roman"/>
        </w:rPr>
        <w:t xml:space="preserve"> </w:t>
      </w:r>
      <w:r w:rsidR="00425C4D" w:rsidRPr="00B213DB">
        <w:rPr>
          <w:rFonts w:ascii="Times New Roman" w:hAnsi="Times New Roman"/>
        </w:rPr>
        <w:t xml:space="preserve">less </w:t>
      </w:r>
      <w:r w:rsidR="003C7933" w:rsidRPr="00B213DB">
        <w:rPr>
          <w:rFonts w:ascii="Times New Roman" w:hAnsi="Times New Roman"/>
        </w:rPr>
        <w:t>consistency</w:t>
      </w:r>
      <w:r w:rsidR="005D61AA" w:rsidRPr="00B213DB">
        <w:rPr>
          <w:rFonts w:ascii="Times New Roman" w:hAnsi="Times New Roman"/>
        </w:rPr>
        <w:t>,</w:t>
      </w:r>
      <w:r w:rsidR="00425C4D" w:rsidRPr="00B213DB">
        <w:rPr>
          <w:rFonts w:ascii="Times New Roman" w:hAnsi="Times New Roman"/>
        </w:rPr>
        <w:t xml:space="preserve"> than manager returns.  </w:t>
      </w:r>
    </w:p>
    <w:p w:rsidR="008D06B5" w:rsidRPr="00B213DB" w:rsidRDefault="003B654B" w:rsidP="008D0389">
      <w:pPr>
        <w:spacing w:after="120" w:line="360" w:lineRule="auto"/>
        <w:rPr>
          <w:rFonts w:ascii="Times New Roman" w:hAnsi="Times New Roman"/>
        </w:rPr>
      </w:pPr>
      <w:r w:rsidRPr="00B213DB">
        <w:rPr>
          <w:rFonts w:ascii="Times New Roman" w:hAnsi="Times New Roman"/>
        </w:rPr>
        <w:t xml:space="preserve">This is demonstrated in the following tables of market and manager investment returns and volatilities. </w:t>
      </w:r>
      <w:r w:rsidR="008D06B5" w:rsidRPr="00B213DB">
        <w:rPr>
          <w:rFonts w:ascii="Times New Roman" w:hAnsi="Times New Roman"/>
        </w:rPr>
        <w:t xml:space="preserve">Market Neutral Hedge Funds provide the best available estimates of the volatility of manager risks that arise from the application of manager skill, as ideally, market risks are hedged out. These are relatively low, and stable. </w:t>
      </w:r>
    </w:p>
    <w:p w:rsidR="003B654B" w:rsidRPr="00B213DB" w:rsidRDefault="00B47BDF" w:rsidP="008D0389">
      <w:pPr>
        <w:spacing w:after="120" w:line="360" w:lineRule="auto"/>
        <w:rPr>
          <w:rFonts w:ascii="Times New Roman" w:hAnsi="Times New Roman"/>
        </w:rPr>
      </w:pPr>
      <w:r>
        <w:rPr>
          <w:rFonts w:ascii="Times New Roman" w:hAnsi="Times New Roman"/>
        </w:rPr>
        <w:lastRenderedPageBreak/>
        <w:t>Market volatilities</w:t>
      </w:r>
      <w:r w:rsidR="008D06B5" w:rsidRPr="00B213DB">
        <w:rPr>
          <w:rFonts w:ascii="Times New Roman" w:hAnsi="Times New Roman"/>
        </w:rPr>
        <w:t xml:space="preserve"> also tend to be relatively stable, as seen for US and Australian Equities, and also for the ‘Size Factor’ (calculated from the differences in monthly returns between the </w:t>
      </w:r>
      <w:proofErr w:type="spellStart"/>
      <w:r w:rsidR="008D06B5" w:rsidRPr="00B213DB">
        <w:rPr>
          <w:rFonts w:ascii="Times New Roman" w:hAnsi="Times New Roman"/>
        </w:rPr>
        <w:t>ASX</w:t>
      </w:r>
      <w:proofErr w:type="spellEnd"/>
      <w:r w:rsidR="008D06B5" w:rsidRPr="00B213DB">
        <w:rPr>
          <w:rFonts w:ascii="Times New Roman" w:hAnsi="Times New Roman"/>
        </w:rPr>
        <w:t>/S&amp;P 300 and Small Caps Indexes</w:t>
      </w:r>
      <w:r>
        <w:rPr>
          <w:rFonts w:ascii="Times New Roman" w:hAnsi="Times New Roman"/>
        </w:rPr>
        <w:t>)</w:t>
      </w:r>
      <w:r w:rsidR="008D06B5" w:rsidRPr="00B213DB">
        <w:rPr>
          <w:rFonts w:ascii="Times New Roman" w:hAnsi="Times New Roman"/>
        </w:rPr>
        <w:t xml:space="preserve">. The market volatilities are substantially greater than the volatility of manager returns.    </w:t>
      </w:r>
    </w:p>
    <w:p w:rsidR="00994420" w:rsidRPr="00B213DB" w:rsidRDefault="00994420" w:rsidP="008D0389">
      <w:pPr>
        <w:spacing w:after="120" w:line="360" w:lineRule="auto"/>
        <w:rPr>
          <w:rFonts w:ascii="Times New Roman" w:hAnsi="Times New Roman"/>
          <w:b/>
        </w:rPr>
      </w:pPr>
      <w:r w:rsidRPr="00B213DB">
        <w:rPr>
          <w:rFonts w:ascii="Times New Roman" w:hAnsi="Times New Roman"/>
          <w:b/>
        </w:rPr>
        <w:t>Table 1</w:t>
      </w:r>
    </w:p>
    <w:p w:rsidR="00994420" w:rsidRPr="00B213DB" w:rsidRDefault="00994420" w:rsidP="003B654B">
      <w:pPr>
        <w:spacing w:after="120" w:line="360" w:lineRule="auto"/>
        <w:jc w:val="center"/>
        <w:rPr>
          <w:lang w:eastAsia="en-AU"/>
        </w:rPr>
      </w:pPr>
    </w:p>
    <w:p w:rsidR="003B654B" w:rsidRPr="00B213DB" w:rsidRDefault="00984C98" w:rsidP="003B654B">
      <w:pPr>
        <w:spacing w:after="120" w:line="360" w:lineRule="auto"/>
        <w:jc w:val="center"/>
        <w:rPr>
          <w:rFonts w:ascii="Times New Roman" w:hAnsi="Times New Roman"/>
        </w:rPr>
      </w:pPr>
      <w:r>
        <w:rPr>
          <w:noProof/>
          <w:lang w:eastAsia="en-AU"/>
        </w:rPr>
        <w:drawing>
          <wp:inline distT="0" distB="0" distL="0" distR="0">
            <wp:extent cx="4129405" cy="3200400"/>
            <wp:effectExtent l="0" t="0" r="1079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29405" cy="3200400"/>
                    </a:xfrm>
                    <a:prstGeom prst="rect">
                      <a:avLst/>
                    </a:prstGeom>
                    <a:noFill/>
                    <a:ln>
                      <a:noFill/>
                    </a:ln>
                  </pic:spPr>
                </pic:pic>
              </a:graphicData>
            </a:graphic>
          </wp:inline>
        </w:drawing>
      </w:r>
    </w:p>
    <w:p w:rsidR="00994420" w:rsidRPr="00B213DB" w:rsidRDefault="00994420" w:rsidP="00994420">
      <w:pPr>
        <w:spacing w:after="120" w:line="360" w:lineRule="auto"/>
        <w:rPr>
          <w:b/>
          <w:lang w:eastAsia="en-AU"/>
        </w:rPr>
      </w:pPr>
      <w:r w:rsidRPr="00B213DB">
        <w:rPr>
          <w:b/>
          <w:lang w:eastAsia="en-AU"/>
        </w:rPr>
        <w:t>Table 2</w:t>
      </w:r>
    </w:p>
    <w:p w:rsidR="003B654B" w:rsidRPr="00B213DB" w:rsidRDefault="00984C98" w:rsidP="003B654B">
      <w:pPr>
        <w:spacing w:after="120" w:line="360" w:lineRule="auto"/>
        <w:jc w:val="center"/>
        <w:rPr>
          <w:rFonts w:ascii="Times New Roman" w:hAnsi="Times New Roman"/>
        </w:rPr>
      </w:pPr>
      <w:r>
        <w:rPr>
          <w:noProof/>
          <w:lang w:eastAsia="en-AU"/>
        </w:rPr>
        <w:drawing>
          <wp:inline distT="0" distB="0" distL="0" distR="0">
            <wp:extent cx="4172585" cy="188658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72585" cy="1886585"/>
                    </a:xfrm>
                    <a:prstGeom prst="rect">
                      <a:avLst/>
                    </a:prstGeom>
                    <a:noFill/>
                    <a:ln>
                      <a:noFill/>
                    </a:ln>
                  </pic:spPr>
                </pic:pic>
              </a:graphicData>
            </a:graphic>
          </wp:inline>
        </w:drawing>
      </w:r>
    </w:p>
    <w:p w:rsidR="003B654B" w:rsidRPr="00B213DB" w:rsidRDefault="003B654B" w:rsidP="008D0389">
      <w:pPr>
        <w:spacing w:after="120" w:line="360" w:lineRule="auto"/>
        <w:rPr>
          <w:rFonts w:ascii="Times New Roman" w:hAnsi="Times New Roman"/>
        </w:rPr>
      </w:pPr>
    </w:p>
    <w:p w:rsidR="0030705A" w:rsidRPr="00B213DB" w:rsidRDefault="003B654B" w:rsidP="008D0389">
      <w:pPr>
        <w:spacing w:after="120" w:line="360" w:lineRule="auto"/>
        <w:rPr>
          <w:rFonts w:ascii="Times New Roman" w:hAnsi="Times New Roman"/>
        </w:rPr>
      </w:pPr>
      <w:r w:rsidRPr="00B213DB">
        <w:rPr>
          <w:rFonts w:ascii="Times New Roman" w:hAnsi="Times New Roman"/>
        </w:rPr>
        <w:lastRenderedPageBreak/>
        <w:t>I</w:t>
      </w:r>
      <w:r w:rsidR="002C5DCB" w:rsidRPr="00B213DB">
        <w:rPr>
          <w:rFonts w:ascii="Times New Roman" w:hAnsi="Times New Roman"/>
        </w:rPr>
        <w:t>t can</w:t>
      </w:r>
      <w:r w:rsidRPr="00B213DB">
        <w:rPr>
          <w:rFonts w:ascii="Times New Roman" w:hAnsi="Times New Roman"/>
        </w:rPr>
        <w:t xml:space="preserve"> also </w:t>
      </w:r>
      <w:r w:rsidR="002C5DCB" w:rsidRPr="00B213DB">
        <w:rPr>
          <w:rFonts w:ascii="Times New Roman" w:hAnsi="Times New Roman"/>
        </w:rPr>
        <w:t>be expected that among investment managers in</w:t>
      </w:r>
      <w:r w:rsidR="00235CE7" w:rsidRPr="00B213DB">
        <w:rPr>
          <w:rFonts w:ascii="Times New Roman" w:hAnsi="Times New Roman"/>
        </w:rPr>
        <w:t xml:space="preserve"> a particular market or sector</w:t>
      </w:r>
      <w:r w:rsidR="002C5DCB" w:rsidRPr="00B213DB">
        <w:rPr>
          <w:rFonts w:ascii="Times New Roman" w:hAnsi="Times New Roman"/>
        </w:rPr>
        <w:t xml:space="preserve"> there will be a continuum from those managers with a greater proportion of the investment risk in their portfolios derived from exposures to market factors</w:t>
      </w:r>
      <w:r w:rsidR="002C738F" w:rsidRPr="00B213DB">
        <w:rPr>
          <w:rFonts w:ascii="Times New Roman" w:hAnsi="Times New Roman"/>
        </w:rPr>
        <w:t xml:space="preserve"> – as a result, for example, </w:t>
      </w:r>
      <w:r w:rsidR="00E3562E" w:rsidRPr="00B213DB">
        <w:rPr>
          <w:rFonts w:ascii="Times New Roman" w:hAnsi="Times New Roman"/>
        </w:rPr>
        <w:t xml:space="preserve">of larger and/or more consistently held factor/style tilts - </w:t>
      </w:r>
      <w:r w:rsidR="002C5DCB" w:rsidRPr="00B213DB">
        <w:rPr>
          <w:rFonts w:ascii="Times New Roman" w:hAnsi="Times New Roman"/>
        </w:rPr>
        <w:t>through to those with a higher proportion of investment risks derived</w:t>
      </w:r>
      <w:r w:rsidR="00390B37" w:rsidRPr="00B213DB">
        <w:rPr>
          <w:rFonts w:ascii="Times New Roman" w:hAnsi="Times New Roman"/>
        </w:rPr>
        <w:t xml:space="preserve"> from manager risk</w:t>
      </w:r>
      <w:r w:rsidR="00D00CB4" w:rsidRPr="00B213DB">
        <w:rPr>
          <w:rFonts w:ascii="Times New Roman" w:hAnsi="Times New Roman"/>
        </w:rPr>
        <w:t>s</w:t>
      </w:r>
      <w:r w:rsidR="00390B37" w:rsidRPr="00B213DB">
        <w:rPr>
          <w:rFonts w:ascii="Times New Roman" w:hAnsi="Times New Roman"/>
        </w:rPr>
        <w:t>.</w:t>
      </w:r>
    </w:p>
    <w:p w:rsidR="0030705A" w:rsidRPr="00B213DB" w:rsidRDefault="003B654B" w:rsidP="008D0389">
      <w:pPr>
        <w:spacing w:after="120" w:line="360" w:lineRule="auto"/>
        <w:rPr>
          <w:rFonts w:ascii="Times New Roman" w:hAnsi="Times New Roman"/>
          <w:b/>
        </w:rPr>
      </w:pPr>
      <w:r w:rsidRPr="00B213DB">
        <w:rPr>
          <w:rFonts w:ascii="Times New Roman" w:hAnsi="Times New Roman"/>
          <w:b/>
        </w:rPr>
        <w:t>Patterns of Performance</w:t>
      </w:r>
    </w:p>
    <w:p w:rsidR="00D7209A" w:rsidRPr="00B213DB" w:rsidRDefault="006A6CBE" w:rsidP="008D0389">
      <w:pPr>
        <w:spacing w:after="120" w:line="360" w:lineRule="auto"/>
        <w:rPr>
          <w:rFonts w:ascii="Times New Roman" w:hAnsi="Times New Roman"/>
        </w:rPr>
      </w:pPr>
      <w:r w:rsidRPr="00B213DB">
        <w:rPr>
          <w:rFonts w:ascii="Times New Roman" w:hAnsi="Times New Roman"/>
        </w:rPr>
        <w:t>T</w:t>
      </w:r>
      <w:r w:rsidR="00425C4D" w:rsidRPr="00B213DB">
        <w:rPr>
          <w:rFonts w:ascii="Times New Roman" w:hAnsi="Times New Roman"/>
        </w:rPr>
        <w:t>here is a gen</w:t>
      </w:r>
      <w:r w:rsidR="00390B37" w:rsidRPr="00B213DB">
        <w:rPr>
          <w:rFonts w:ascii="Times New Roman" w:hAnsi="Times New Roman"/>
        </w:rPr>
        <w:t xml:space="preserve">eral consensus </w:t>
      </w:r>
      <w:r w:rsidR="00390B37" w:rsidRPr="00B47BDF">
        <w:rPr>
          <w:rFonts w:ascii="Times New Roman" w:hAnsi="Times New Roman"/>
        </w:rPr>
        <w:t>that the behavio</w:t>
      </w:r>
      <w:r w:rsidR="00D7209A" w:rsidRPr="00B47BDF">
        <w:rPr>
          <w:rFonts w:ascii="Times New Roman" w:hAnsi="Times New Roman"/>
        </w:rPr>
        <w:t>u</w:t>
      </w:r>
      <w:r w:rsidR="00425C4D" w:rsidRPr="00B47BDF">
        <w:rPr>
          <w:rFonts w:ascii="Times New Roman" w:hAnsi="Times New Roman"/>
        </w:rPr>
        <w:t xml:space="preserve">r of investments and markets </w:t>
      </w:r>
      <w:r w:rsidRPr="00B47BDF">
        <w:rPr>
          <w:rFonts w:ascii="Times New Roman" w:hAnsi="Times New Roman"/>
        </w:rPr>
        <w:t xml:space="preserve">in the actual economy </w:t>
      </w:r>
      <w:r w:rsidR="00DF24FB" w:rsidRPr="00B47BDF">
        <w:rPr>
          <w:rFonts w:ascii="Times New Roman" w:hAnsi="Times New Roman"/>
        </w:rPr>
        <w:t xml:space="preserve">does not conform to </w:t>
      </w:r>
      <w:r w:rsidR="003C7933" w:rsidRPr="00B47BDF">
        <w:rPr>
          <w:rFonts w:ascii="Times New Roman" w:hAnsi="Times New Roman"/>
        </w:rPr>
        <w:t xml:space="preserve">some of </w:t>
      </w:r>
      <w:r w:rsidR="00DF24FB" w:rsidRPr="00B47BDF">
        <w:rPr>
          <w:rFonts w:ascii="Times New Roman" w:hAnsi="Times New Roman"/>
        </w:rPr>
        <w:t xml:space="preserve">the underlying assumption of </w:t>
      </w:r>
      <w:r w:rsidR="00425C4D" w:rsidRPr="00B47BDF">
        <w:rPr>
          <w:rFonts w:ascii="Times New Roman" w:hAnsi="Times New Roman"/>
        </w:rPr>
        <w:t>modern</w:t>
      </w:r>
      <w:r w:rsidR="001E6898" w:rsidRPr="00B47BDF">
        <w:rPr>
          <w:rFonts w:ascii="Times New Roman" w:hAnsi="Times New Roman"/>
        </w:rPr>
        <w:t xml:space="preserve"> finance and portfolio t</w:t>
      </w:r>
      <w:r w:rsidR="009C6B9E" w:rsidRPr="00B47BDF">
        <w:rPr>
          <w:rFonts w:ascii="Times New Roman" w:hAnsi="Times New Roman"/>
        </w:rPr>
        <w:t>heories</w:t>
      </w:r>
      <w:r w:rsidR="003C7933" w:rsidRPr="00B47BDF">
        <w:rPr>
          <w:rFonts w:ascii="Times New Roman" w:hAnsi="Times New Roman"/>
        </w:rPr>
        <w:t>.</w:t>
      </w:r>
      <w:r w:rsidR="003C7933" w:rsidRPr="00B213DB">
        <w:rPr>
          <w:rFonts w:ascii="Times New Roman" w:hAnsi="Times New Roman"/>
        </w:rPr>
        <w:t xml:space="preserve"> </w:t>
      </w:r>
      <w:r w:rsidR="00DF24FB" w:rsidRPr="00B213DB">
        <w:rPr>
          <w:rFonts w:ascii="Times New Roman" w:hAnsi="Times New Roman"/>
        </w:rPr>
        <w:t>Specifically, the return pattern of investments, and hence of investm</w:t>
      </w:r>
      <w:r w:rsidR="001E6898" w:rsidRPr="00B213DB">
        <w:rPr>
          <w:rFonts w:ascii="Times New Roman" w:hAnsi="Times New Roman"/>
        </w:rPr>
        <w:t>ent managers, is neither Static</w:t>
      </w:r>
      <w:r w:rsidR="009C6B9E" w:rsidRPr="00B213DB">
        <w:rPr>
          <w:rFonts w:ascii="Times New Roman" w:hAnsi="Times New Roman"/>
        </w:rPr>
        <w:t>/</w:t>
      </w:r>
      <w:r w:rsidR="001E6898" w:rsidRPr="00B213DB">
        <w:rPr>
          <w:rFonts w:ascii="Times New Roman" w:hAnsi="Times New Roman"/>
        </w:rPr>
        <w:t>R</w:t>
      </w:r>
      <w:r w:rsidR="00DF24FB" w:rsidRPr="00B213DB">
        <w:rPr>
          <w:rFonts w:ascii="Times New Roman" w:hAnsi="Times New Roman"/>
        </w:rPr>
        <w:t>epeat</w:t>
      </w:r>
      <w:r w:rsidR="001E6898" w:rsidRPr="00B213DB">
        <w:rPr>
          <w:rFonts w:ascii="Times New Roman" w:hAnsi="Times New Roman"/>
        </w:rPr>
        <w:t>ing</w:t>
      </w:r>
      <w:r w:rsidR="003B654B" w:rsidRPr="00B213DB">
        <w:rPr>
          <w:rFonts w:ascii="Times New Roman" w:hAnsi="Times New Roman"/>
        </w:rPr>
        <w:t xml:space="preserve"> (Static)</w:t>
      </w:r>
      <w:r w:rsidR="001E6898" w:rsidRPr="00B213DB">
        <w:rPr>
          <w:rFonts w:ascii="Times New Roman" w:hAnsi="Times New Roman"/>
        </w:rPr>
        <w:t xml:space="preserve"> nor R</w:t>
      </w:r>
      <w:r w:rsidR="00DF24FB" w:rsidRPr="00B213DB">
        <w:rPr>
          <w:rFonts w:ascii="Times New Roman" w:hAnsi="Times New Roman"/>
        </w:rPr>
        <w:t>andom</w:t>
      </w:r>
      <w:r w:rsidR="00832BBF" w:rsidRPr="00B213DB">
        <w:rPr>
          <w:rFonts w:ascii="Times New Roman" w:hAnsi="Times New Roman"/>
        </w:rPr>
        <w:t>/Efficient</w:t>
      </w:r>
      <w:r w:rsidR="003B654B" w:rsidRPr="00B213DB">
        <w:rPr>
          <w:rFonts w:ascii="Times New Roman" w:hAnsi="Times New Roman"/>
        </w:rPr>
        <w:t xml:space="preserve"> (Random)</w:t>
      </w:r>
      <w:r w:rsidR="00DF24FB" w:rsidRPr="00B213DB">
        <w:rPr>
          <w:rFonts w:ascii="Times New Roman" w:hAnsi="Times New Roman"/>
        </w:rPr>
        <w:t>.</w:t>
      </w:r>
      <w:r w:rsidR="00425C4D" w:rsidRPr="00B213DB">
        <w:rPr>
          <w:rFonts w:ascii="Times New Roman" w:hAnsi="Times New Roman"/>
        </w:rPr>
        <w:t xml:space="preserve"> </w:t>
      </w:r>
      <w:r w:rsidR="00D7209A" w:rsidRPr="00B213DB">
        <w:rPr>
          <w:rFonts w:ascii="Times New Roman" w:hAnsi="Times New Roman"/>
        </w:rPr>
        <w:t xml:space="preserve">Unfortunately, virtually all economic and finance theory, and hence research into market and manger behaviour, is based on the assumption that the economy and markets conform to one or both of these definitions – and sometimes to both simultaneously. </w:t>
      </w:r>
    </w:p>
    <w:p w:rsidR="00DF24FB" w:rsidRPr="00B213DB" w:rsidRDefault="00DF24FB" w:rsidP="008D0389">
      <w:pPr>
        <w:spacing w:after="120" w:line="360" w:lineRule="auto"/>
        <w:rPr>
          <w:rFonts w:ascii="Times New Roman" w:hAnsi="Times New Roman"/>
        </w:rPr>
      </w:pPr>
      <w:r w:rsidRPr="00B213DB">
        <w:rPr>
          <w:rFonts w:ascii="Times New Roman" w:hAnsi="Times New Roman"/>
        </w:rPr>
        <w:t>In the remainder of this paper the expected return pattern of manager returns un</w:t>
      </w:r>
      <w:r w:rsidR="002C738F" w:rsidRPr="00B213DB">
        <w:rPr>
          <w:rFonts w:ascii="Times New Roman" w:hAnsi="Times New Roman"/>
        </w:rPr>
        <w:t xml:space="preserve">der conditions </w:t>
      </w:r>
      <w:r w:rsidR="003B654B" w:rsidRPr="00B213DB">
        <w:rPr>
          <w:rFonts w:ascii="Times New Roman" w:hAnsi="Times New Roman"/>
        </w:rPr>
        <w:t xml:space="preserve">of uncertainty (Complex </w:t>
      </w:r>
      <w:r w:rsidR="002C738F" w:rsidRPr="00B213DB">
        <w:rPr>
          <w:rFonts w:ascii="Times New Roman" w:hAnsi="Times New Roman"/>
        </w:rPr>
        <w:t>markets)</w:t>
      </w:r>
      <w:r w:rsidR="0055390F" w:rsidRPr="00B213DB">
        <w:rPr>
          <w:rFonts w:ascii="Times New Roman" w:hAnsi="Times New Roman"/>
        </w:rPr>
        <w:t xml:space="preserve"> are described</w:t>
      </w:r>
      <w:r w:rsidRPr="00B213DB">
        <w:rPr>
          <w:rFonts w:ascii="Times New Roman" w:hAnsi="Times New Roman"/>
        </w:rPr>
        <w:t>.</w:t>
      </w:r>
      <w:r w:rsidR="009F0F9B" w:rsidRPr="00B213DB">
        <w:rPr>
          <w:rFonts w:ascii="Times New Roman" w:hAnsi="Times New Roman"/>
        </w:rPr>
        <w:t xml:space="preserve"> </w:t>
      </w:r>
      <w:r w:rsidR="00D7209A" w:rsidRPr="00B213DB">
        <w:rPr>
          <w:rFonts w:ascii="Times New Roman" w:hAnsi="Times New Roman"/>
        </w:rPr>
        <w:t>T</w:t>
      </w:r>
      <w:r w:rsidR="009F0F9B" w:rsidRPr="00B213DB">
        <w:rPr>
          <w:rFonts w:ascii="Times New Roman" w:hAnsi="Times New Roman"/>
        </w:rPr>
        <w:t>he ‘real world’ – in</w:t>
      </w:r>
      <w:r w:rsidR="003B654B" w:rsidRPr="00B213DB">
        <w:rPr>
          <w:rFonts w:ascii="Times New Roman" w:hAnsi="Times New Roman"/>
        </w:rPr>
        <w:t>cluding economies that exhibit characteristics described in B</w:t>
      </w:r>
      <w:r w:rsidR="009F0F9B" w:rsidRPr="00B213DB">
        <w:rPr>
          <w:rFonts w:ascii="Times New Roman" w:hAnsi="Times New Roman"/>
        </w:rPr>
        <w:t>ehavioural</w:t>
      </w:r>
      <w:r w:rsidR="003B654B" w:rsidRPr="00B213DB">
        <w:rPr>
          <w:rFonts w:ascii="Times New Roman" w:hAnsi="Times New Roman"/>
        </w:rPr>
        <w:t xml:space="preserve"> Finance</w:t>
      </w:r>
      <w:r w:rsidR="00D7209A" w:rsidRPr="00B213DB">
        <w:rPr>
          <w:rFonts w:ascii="Times New Roman" w:hAnsi="Times New Roman"/>
        </w:rPr>
        <w:t xml:space="preserve"> – fall into this broad category.</w:t>
      </w:r>
      <w:r w:rsidR="009F0F9B" w:rsidRPr="00B213DB">
        <w:rPr>
          <w:rFonts w:ascii="Times New Roman" w:hAnsi="Times New Roman"/>
        </w:rPr>
        <w:t xml:space="preserve"> </w:t>
      </w:r>
      <w:r w:rsidR="003B654B" w:rsidRPr="00B213DB">
        <w:rPr>
          <w:rFonts w:ascii="Times New Roman" w:hAnsi="Times New Roman"/>
        </w:rPr>
        <w:t xml:space="preserve">(Note, that </w:t>
      </w:r>
      <w:r w:rsidR="008D06B5" w:rsidRPr="00B213DB">
        <w:rPr>
          <w:rFonts w:ascii="Times New Roman" w:hAnsi="Times New Roman"/>
        </w:rPr>
        <w:t>in both Static and Random markets, it is not possible to influence market behavi</w:t>
      </w:r>
      <w:r w:rsidR="00994420" w:rsidRPr="00B213DB">
        <w:rPr>
          <w:rFonts w:ascii="Times New Roman" w:hAnsi="Times New Roman"/>
        </w:rPr>
        <w:t>ours or outcomes. Thus, creating</w:t>
      </w:r>
      <w:r w:rsidR="008D06B5" w:rsidRPr="00B213DB">
        <w:rPr>
          <w:rFonts w:ascii="Times New Roman" w:hAnsi="Times New Roman"/>
        </w:rPr>
        <w:t xml:space="preserve"> regulation</w:t>
      </w:r>
      <w:r w:rsidR="00994420" w:rsidRPr="00B213DB">
        <w:rPr>
          <w:rFonts w:ascii="Times New Roman" w:hAnsi="Times New Roman"/>
        </w:rPr>
        <w:t>s,</w:t>
      </w:r>
      <w:r w:rsidR="008D06B5" w:rsidRPr="00B213DB">
        <w:rPr>
          <w:rFonts w:ascii="Times New Roman" w:hAnsi="Times New Roman"/>
        </w:rPr>
        <w:t xml:space="preserve"> conducting Inquiries</w:t>
      </w:r>
      <w:r w:rsidR="00994420" w:rsidRPr="00B213DB">
        <w:rPr>
          <w:rFonts w:ascii="Times New Roman" w:hAnsi="Times New Roman"/>
        </w:rPr>
        <w:t xml:space="preserve"> and establishing Productivity Commissions are</w:t>
      </w:r>
      <w:r w:rsidR="008D06B5" w:rsidRPr="00B213DB">
        <w:rPr>
          <w:rFonts w:ascii="Times New Roman" w:hAnsi="Times New Roman"/>
        </w:rPr>
        <w:t xml:space="preserve"> implicitly recognising that the </w:t>
      </w:r>
      <w:r w:rsidR="00994420" w:rsidRPr="00B213DB">
        <w:rPr>
          <w:rFonts w:ascii="Times New Roman" w:hAnsi="Times New Roman"/>
        </w:rPr>
        <w:t>actual</w:t>
      </w:r>
      <w:r w:rsidR="0010104B" w:rsidRPr="00B213DB">
        <w:rPr>
          <w:rFonts w:ascii="Times New Roman" w:hAnsi="Times New Roman"/>
        </w:rPr>
        <w:t xml:space="preserve"> financial system</w:t>
      </w:r>
      <w:r w:rsidR="00B47BDF">
        <w:rPr>
          <w:rFonts w:ascii="Times New Roman" w:hAnsi="Times New Roman"/>
        </w:rPr>
        <w:t xml:space="preserve"> is C</w:t>
      </w:r>
      <w:r w:rsidR="008D06B5" w:rsidRPr="00B213DB">
        <w:rPr>
          <w:rFonts w:ascii="Times New Roman" w:hAnsi="Times New Roman"/>
        </w:rPr>
        <w:t>omplex</w:t>
      </w:r>
      <w:r w:rsidR="0010104B" w:rsidRPr="00B213DB">
        <w:rPr>
          <w:rFonts w:ascii="Times New Roman" w:hAnsi="Times New Roman"/>
        </w:rPr>
        <w:t>.)</w:t>
      </w:r>
      <w:r w:rsidR="008D06B5" w:rsidRPr="00B213DB">
        <w:rPr>
          <w:rFonts w:ascii="Times New Roman" w:hAnsi="Times New Roman"/>
        </w:rPr>
        <w:t xml:space="preserve"> </w:t>
      </w:r>
    </w:p>
    <w:p w:rsidR="006A10C8" w:rsidRPr="00B213DB" w:rsidRDefault="002E0967" w:rsidP="008D0389">
      <w:pPr>
        <w:spacing w:after="120" w:line="360" w:lineRule="auto"/>
        <w:rPr>
          <w:rFonts w:ascii="Times New Roman" w:hAnsi="Times New Roman"/>
        </w:rPr>
      </w:pPr>
      <w:r w:rsidRPr="00B213DB">
        <w:rPr>
          <w:rFonts w:ascii="Times New Roman" w:hAnsi="Times New Roman"/>
          <w:b/>
        </w:rPr>
        <w:t>E</w:t>
      </w:r>
      <w:r w:rsidR="006A10C8" w:rsidRPr="00B213DB">
        <w:rPr>
          <w:rFonts w:ascii="Times New Roman" w:hAnsi="Times New Roman"/>
          <w:b/>
        </w:rPr>
        <w:t xml:space="preserve">ach </w:t>
      </w:r>
      <w:r w:rsidR="009A40AD" w:rsidRPr="00B213DB">
        <w:rPr>
          <w:rFonts w:ascii="Times New Roman" w:hAnsi="Times New Roman"/>
          <w:b/>
        </w:rPr>
        <w:t>of the three market types</w:t>
      </w:r>
      <w:r w:rsidRPr="00B213DB">
        <w:rPr>
          <w:rFonts w:ascii="Times New Roman" w:hAnsi="Times New Roman"/>
          <w:b/>
        </w:rPr>
        <w:t xml:space="preserve"> </w:t>
      </w:r>
      <w:r w:rsidR="00D25EFE" w:rsidRPr="00B213DB">
        <w:rPr>
          <w:rFonts w:ascii="Times New Roman" w:hAnsi="Times New Roman"/>
          <w:b/>
        </w:rPr>
        <w:t>implies a unique and significantly</w:t>
      </w:r>
      <w:r w:rsidR="006A10C8" w:rsidRPr="00B213DB">
        <w:rPr>
          <w:rFonts w:ascii="Times New Roman" w:hAnsi="Times New Roman"/>
          <w:b/>
        </w:rPr>
        <w:t xml:space="preserve"> different pattern of performance from active investment management</w:t>
      </w:r>
      <w:r w:rsidR="00A21CAD" w:rsidRPr="00B213DB">
        <w:rPr>
          <w:rFonts w:ascii="Times New Roman" w:hAnsi="Times New Roman"/>
          <w:b/>
        </w:rPr>
        <w:t xml:space="preserve"> </w:t>
      </w:r>
      <w:r w:rsidR="00DF24FB" w:rsidRPr="00B213DB">
        <w:rPr>
          <w:rFonts w:ascii="Times New Roman" w:hAnsi="Times New Roman"/>
          <w:b/>
        </w:rPr>
        <w:t xml:space="preserve">when assessed </w:t>
      </w:r>
      <w:r w:rsidR="00A21CAD" w:rsidRPr="00B213DB">
        <w:rPr>
          <w:rFonts w:ascii="Times New Roman" w:hAnsi="Times New Roman"/>
          <w:b/>
        </w:rPr>
        <w:t>across multiple investment periods</w:t>
      </w:r>
      <w:r w:rsidR="006A10C8" w:rsidRPr="00B213DB">
        <w:rPr>
          <w:rFonts w:ascii="Times New Roman" w:hAnsi="Times New Roman"/>
          <w:b/>
        </w:rPr>
        <w:t>.</w:t>
      </w:r>
      <w:r w:rsidR="006A10C8" w:rsidRPr="00B213DB">
        <w:rPr>
          <w:rFonts w:ascii="Times New Roman" w:hAnsi="Times New Roman"/>
        </w:rPr>
        <w:t xml:space="preserve"> </w:t>
      </w:r>
    </w:p>
    <w:p w:rsidR="00C1324E" w:rsidRPr="00B213DB" w:rsidRDefault="002E0967" w:rsidP="008D0389">
      <w:pPr>
        <w:spacing w:after="120" w:line="360" w:lineRule="auto"/>
        <w:rPr>
          <w:rFonts w:ascii="Times New Roman" w:hAnsi="Times New Roman"/>
          <w:b/>
        </w:rPr>
      </w:pPr>
      <w:r w:rsidRPr="00B213DB">
        <w:rPr>
          <w:rFonts w:ascii="Times New Roman" w:hAnsi="Times New Roman"/>
          <w:b/>
        </w:rPr>
        <w:t>Static Markets</w:t>
      </w:r>
    </w:p>
    <w:p w:rsidR="008B481C" w:rsidRPr="00B213DB" w:rsidRDefault="00832BBF" w:rsidP="008D0389">
      <w:pPr>
        <w:spacing w:after="120" w:line="360" w:lineRule="auto"/>
        <w:rPr>
          <w:rFonts w:ascii="Times New Roman" w:hAnsi="Times New Roman"/>
          <w:b/>
        </w:rPr>
      </w:pPr>
      <w:r w:rsidRPr="00B213DB">
        <w:rPr>
          <w:rFonts w:ascii="Times New Roman" w:hAnsi="Times New Roman"/>
        </w:rPr>
        <w:t>In Static</w:t>
      </w:r>
      <w:r w:rsidR="008B481C" w:rsidRPr="00B213DB">
        <w:rPr>
          <w:rFonts w:ascii="Times New Roman" w:hAnsi="Times New Roman"/>
        </w:rPr>
        <w:t xml:space="preserve"> Markets the absolute and relative performance of a</w:t>
      </w:r>
      <w:r w:rsidR="00D25EFE" w:rsidRPr="00B213DB">
        <w:rPr>
          <w:rFonts w:ascii="Times New Roman" w:hAnsi="Times New Roman"/>
        </w:rPr>
        <w:t>n investment</w:t>
      </w:r>
      <w:r w:rsidR="001E6898" w:rsidRPr="00B213DB">
        <w:rPr>
          <w:rFonts w:ascii="Times New Roman" w:hAnsi="Times New Roman"/>
        </w:rPr>
        <w:t xml:space="preserve"> manager in one period (Period 1</w:t>
      </w:r>
      <w:r w:rsidR="00D25EFE" w:rsidRPr="00B213DB">
        <w:rPr>
          <w:rFonts w:ascii="Times New Roman" w:hAnsi="Times New Roman"/>
        </w:rPr>
        <w:t>)</w:t>
      </w:r>
      <w:r w:rsidR="0010104B" w:rsidRPr="00B213DB">
        <w:rPr>
          <w:rFonts w:ascii="Times New Roman" w:hAnsi="Times New Roman"/>
        </w:rPr>
        <w:t xml:space="preserve"> must</w:t>
      </w:r>
      <w:r w:rsidR="001E6898" w:rsidRPr="00B213DB">
        <w:rPr>
          <w:rFonts w:ascii="Times New Roman" w:hAnsi="Times New Roman"/>
        </w:rPr>
        <w:t xml:space="preserve"> simply be</w:t>
      </w:r>
      <w:r w:rsidR="008B481C" w:rsidRPr="00B213DB">
        <w:rPr>
          <w:rFonts w:ascii="Times New Roman" w:hAnsi="Times New Roman"/>
        </w:rPr>
        <w:t xml:space="preserve"> repeat</w:t>
      </w:r>
      <w:r w:rsidR="003A1A92" w:rsidRPr="00B213DB">
        <w:rPr>
          <w:rFonts w:ascii="Times New Roman" w:hAnsi="Times New Roman"/>
        </w:rPr>
        <w:t>ed in the</w:t>
      </w:r>
      <w:r w:rsidR="001E6898" w:rsidRPr="00B213DB">
        <w:rPr>
          <w:rFonts w:ascii="Times New Roman" w:hAnsi="Times New Roman"/>
        </w:rPr>
        <w:t xml:space="preserve"> subsequent</w:t>
      </w:r>
      <w:r w:rsidR="00D25EFE" w:rsidRPr="00B213DB">
        <w:rPr>
          <w:rFonts w:ascii="Times New Roman" w:hAnsi="Times New Roman"/>
        </w:rPr>
        <w:t xml:space="preserve"> period (</w:t>
      </w:r>
      <w:r w:rsidR="001E6898" w:rsidRPr="00B213DB">
        <w:rPr>
          <w:rFonts w:ascii="Times New Roman" w:hAnsi="Times New Roman"/>
        </w:rPr>
        <w:t>Period 2</w:t>
      </w:r>
      <w:r w:rsidR="00D25EFE" w:rsidRPr="00B213DB">
        <w:rPr>
          <w:rFonts w:ascii="Times New Roman" w:hAnsi="Times New Roman"/>
        </w:rPr>
        <w:t>)</w:t>
      </w:r>
      <w:r w:rsidR="008B481C" w:rsidRPr="00B213DB">
        <w:rPr>
          <w:rFonts w:ascii="Times New Roman" w:hAnsi="Times New Roman"/>
        </w:rPr>
        <w:t xml:space="preserve">, as the investment conditions experienced are the same in both periods. </w:t>
      </w:r>
    </w:p>
    <w:p w:rsidR="008B481C" w:rsidRPr="00B213DB" w:rsidRDefault="008B481C" w:rsidP="008D0389">
      <w:pPr>
        <w:spacing w:after="120" w:line="360" w:lineRule="auto"/>
        <w:rPr>
          <w:rFonts w:ascii="Times New Roman" w:hAnsi="Times New Roman"/>
        </w:rPr>
      </w:pPr>
      <w:r w:rsidRPr="00B213DB">
        <w:rPr>
          <w:rFonts w:ascii="Times New Roman" w:hAnsi="Times New Roman"/>
        </w:rPr>
        <w:t xml:space="preserve">Thus a manager who is first (top) quartile in Period 1 would be expected to also be first quartile in Period 2. Similarly a manager with second quartile performance in Period 1 </w:t>
      </w:r>
      <w:r w:rsidRPr="00B213DB">
        <w:rPr>
          <w:rFonts w:ascii="Times New Roman" w:hAnsi="Times New Roman"/>
        </w:rPr>
        <w:lastRenderedPageBreak/>
        <w:t>would be expected to also be second quartile in Period 2, and so on. We could represent this expected Pattern of Performance for investment</w:t>
      </w:r>
      <w:r w:rsidR="0010104B" w:rsidRPr="00B213DB">
        <w:rPr>
          <w:rFonts w:ascii="Times New Roman" w:hAnsi="Times New Roman"/>
        </w:rPr>
        <w:t xml:space="preserve"> managers under Static</w:t>
      </w:r>
      <w:r w:rsidRPr="00B213DB">
        <w:rPr>
          <w:rFonts w:ascii="Times New Roman" w:hAnsi="Times New Roman"/>
        </w:rPr>
        <w:t xml:space="preserve"> Market conditions </w:t>
      </w:r>
      <w:r w:rsidR="00504375" w:rsidRPr="00B213DB">
        <w:rPr>
          <w:rFonts w:ascii="Times New Roman" w:hAnsi="Times New Roman"/>
        </w:rPr>
        <w:t xml:space="preserve">diagrammatically </w:t>
      </w:r>
      <w:r w:rsidR="00522888" w:rsidRPr="00B213DB">
        <w:rPr>
          <w:rFonts w:ascii="Times New Roman" w:hAnsi="Times New Roman"/>
        </w:rPr>
        <w:t xml:space="preserve">in the </w:t>
      </w:r>
      <w:proofErr w:type="spellStart"/>
      <w:r w:rsidR="00D7209A" w:rsidRPr="00B213DB">
        <w:rPr>
          <w:rFonts w:ascii="Times New Roman" w:hAnsi="Times New Roman"/>
        </w:rPr>
        <w:t>4x4</w:t>
      </w:r>
      <w:proofErr w:type="spellEnd"/>
      <w:r w:rsidR="00D7209A" w:rsidRPr="00B213DB">
        <w:rPr>
          <w:rFonts w:ascii="Times New Roman" w:hAnsi="Times New Roman"/>
        </w:rPr>
        <w:t xml:space="preserve"> </w:t>
      </w:r>
      <w:r w:rsidR="00522888" w:rsidRPr="00B213DB">
        <w:rPr>
          <w:rFonts w:ascii="Times New Roman" w:hAnsi="Times New Roman"/>
        </w:rPr>
        <w:t xml:space="preserve">contingency table </w:t>
      </w:r>
      <w:r w:rsidR="00B47BDF">
        <w:rPr>
          <w:rFonts w:ascii="Times New Roman" w:hAnsi="Times New Roman"/>
        </w:rPr>
        <w:t>in Figure 4</w:t>
      </w:r>
      <w:r w:rsidR="00393AF0" w:rsidRPr="00B213DB">
        <w:rPr>
          <w:rFonts w:ascii="Times New Roman" w:hAnsi="Times New Roman"/>
        </w:rPr>
        <w:t>.</w:t>
      </w:r>
    </w:p>
    <w:p w:rsidR="008B481C" w:rsidRPr="00B213DB" w:rsidRDefault="00B47BDF" w:rsidP="003C7933">
      <w:pPr>
        <w:rPr>
          <w:rFonts w:ascii="Times New Roman" w:hAnsi="Times New Roman"/>
          <w:b/>
          <w:iCs/>
        </w:rPr>
      </w:pPr>
      <w:r>
        <w:rPr>
          <w:rFonts w:ascii="Times New Roman" w:hAnsi="Times New Roman"/>
          <w:b/>
          <w:iCs/>
        </w:rPr>
        <w:t>Figure 4</w:t>
      </w:r>
    </w:p>
    <w:p w:rsidR="008B481C" w:rsidRPr="00B213DB" w:rsidRDefault="00984C98" w:rsidP="003C7933">
      <w:pPr>
        <w:jc w:val="center"/>
        <w:rPr>
          <w:rFonts w:ascii="Times New Roman" w:hAnsi="Times New Roman"/>
        </w:rPr>
      </w:pPr>
      <w:r>
        <w:rPr>
          <w:rFonts w:ascii="Times New Roman" w:hAnsi="Times New Roman"/>
          <w:noProof/>
          <w:lang w:eastAsia="en-AU"/>
        </w:rPr>
        <w:drawing>
          <wp:inline distT="0" distB="0" distL="0" distR="0">
            <wp:extent cx="2620010" cy="2620010"/>
            <wp:effectExtent l="0" t="0" r="0" b="0"/>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20010" cy="2620010"/>
                    </a:xfrm>
                    <a:prstGeom prst="rect">
                      <a:avLst/>
                    </a:prstGeom>
                    <a:noFill/>
                    <a:ln>
                      <a:noFill/>
                    </a:ln>
                  </pic:spPr>
                </pic:pic>
              </a:graphicData>
            </a:graphic>
          </wp:inline>
        </w:drawing>
      </w:r>
    </w:p>
    <w:p w:rsidR="008B481C" w:rsidRPr="00B213DB" w:rsidRDefault="008B481C" w:rsidP="008B481C">
      <w:pPr>
        <w:rPr>
          <w:rFonts w:ascii="Times New Roman" w:hAnsi="Times New Roman"/>
        </w:rPr>
      </w:pPr>
    </w:p>
    <w:p w:rsidR="00805718" w:rsidRPr="00B213DB" w:rsidRDefault="00D7209A" w:rsidP="008D0389">
      <w:pPr>
        <w:spacing w:after="120" w:line="360" w:lineRule="auto"/>
        <w:rPr>
          <w:rFonts w:ascii="Times New Roman" w:hAnsi="Times New Roman"/>
        </w:rPr>
      </w:pPr>
      <w:r w:rsidRPr="00B213DB">
        <w:rPr>
          <w:rFonts w:ascii="Times New Roman" w:hAnsi="Times New Roman"/>
        </w:rPr>
        <w:t>Where</w:t>
      </w:r>
      <w:r w:rsidR="007454FA" w:rsidRPr="00B213DB">
        <w:rPr>
          <w:rFonts w:ascii="Times New Roman" w:hAnsi="Times New Roman"/>
        </w:rPr>
        <w:t xml:space="preserve">, </w:t>
      </w:r>
      <w:r w:rsidR="008103C1" w:rsidRPr="00B213DB">
        <w:rPr>
          <w:rFonts w:ascii="Times New Roman" w:hAnsi="Times New Roman"/>
        </w:rPr>
        <w:t xml:space="preserve">Dark / </w:t>
      </w:r>
      <w:r w:rsidR="007454FA" w:rsidRPr="00B213DB">
        <w:rPr>
          <w:rFonts w:ascii="Times New Roman" w:hAnsi="Times New Roman"/>
        </w:rPr>
        <w:t xml:space="preserve">Green represents a more frequent outcome (greater than random probability, &gt; 6.25%), and </w:t>
      </w:r>
      <w:r w:rsidR="008103C1" w:rsidRPr="00B213DB">
        <w:rPr>
          <w:rFonts w:ascii="Times New Roman" w:hAnsi="Times New Roman"/>
        </w:rPr>
        <w:t xml:space="preserve">Light / </w:t>
      </w:r>
      <w:r w:rsidR="007454FA" w:rsidRPr="00B213DB">
        <w:rPr>
          <w:rFonts w:ascii="Times New Roman" w:hAnsi="Times New Roman"/>
        </w:rPr>
        <w:t xml:space="preserve">Pink a less frequent outcome (&lt; 6.25%). </w:t>
      </w:r>
      <w:r w:rsidR="008103C1" w:rsidRPr="00B213DB">
        <w:rPr>
          <w:rFonts w:ascii="Times New Roman" w:hAnsi="Times New Roman"/>
        </w:rPr>
        <w:t>An outcome of exactly 6.25%</w:t>
      </w:r>
      <w:r w:rsidR="00C1261D" w:rsidRPr="00B213DB">
        <w:rPr>
          <w:rFonts w:ascii="Times New Roman" w:hAnsi="Times New Roman"/>
        </w:rPr>
        <w:t xml:space="preserve"> would be represented by a white</w:t>
      </w:r>
      <w:r w:rsidR="008103C1" w:rsidRPr="00B213DB">
        <w:rPr>
          <w:rFonts w:ascii="Times New Roman" w:hAnsi="Times New Roman"/>
        </w:rPr>
        <w:t xml:space="preserve"> cell.</w:t>
      </w:r>
    </w:p>
    <w:p w:rsidR="006A10C8" w:rsidRPr="00B213DB" w:rsidRDefault="006A10C8" w:rsidP="008D0389">
      <w:pPr>
        <w:spacing w:after="120" w:line="360" w:lineRule="auto"/>
        <w:rPr>
          <w:rFonts w:ascii="Times New Roman" w:hAnsi="Times New Roman"/>
          <w:b/>
        </w:rPr>
      </w:pPr>
      <w:r w:rsidRPr="00B213DB">
        <w:rPr>
          <w:rFonts w:ascii="Times New Roman" w:hAnsi="Times New Roman"/>
          <w:b/>
        </w:rPr>
        <w:t>Random Markets</w:t>
      </w:r>
    </w:p>
    <w:p w:rsidR="00C911B1" w:rsidRPr="00B213DB" w:rsidRDefault="00C911B1" w:rsidP="008D0389">
      <w:pPr>
        <w:spacing w:after="120" w:line="360" w:lineRule="auto"/>
        <w:rPr>
          <w:rFonts w:ascii="Times New Roman" w:hAnsi="Times New Roman"/>
        </w:rPr>
      </w:pPr>
      <w:r w:rsidRPr="00B213DB">
        <w:rPr>
          <w:rFonts w:ascii="Times New Roman" w:hAnsi="Times New Roman"/>
        </w:rPr>
        <w:t xml:space="preserve">In Random Markets the performance of an investment manager in one period will be completely unrelated to its performance in the next period, as there is no opportunity for the manager to predict or respond to changes in investment conditions. </w:t>
      </w:r>
      <w:r w:rsidR="009C6B9E" w:rsidRPr="00B213DB">
        <w:rPr>
          <w:rFonts w:ascii="Times New Roman" w:hAnsi="Times New Roman"/>
        </w:rPr>
        <w:t>A market that is ‘efficient’</w:t>
      </w:r>
      <w:r w:rsidR="009B40E8" w:rsidRPr="00B213DB">
        <w:rPr>
          <w:rFonts w:ascii="Times New Roman" w:hAnsi="Times New Roman"/>
        </w:rPr>
        <w:t xml:space="preserve"> also provides no opportunity for a manager to develop </w:t>
      </w:r>
      <w:r w:rsidR="009769A7" w:rsidRPr="00B213DB">
        <w:rPr>
          <w:rFonts w:ascii="Times New Roman" w:hAnsi="Times New Roman"/>
        </w:rPr>
        <w:t xml:space="preserve">and apply </w:t>
      </w:r>
      <w:r w:rsidR="009B40E8" w:rsidRPr="00B213DB">
        <w:rPr>
          <w:rFonts w:ascii="Times New Roman" w:hAnsi="Times New Roman"/>
        </w:rPr>
        <w:t>insights about the performance of the market or its constituent securities, and so may also be classified as random.</w:t>
      </w:r>
      <w:r w:rsidR="009C6B9E" w:rsidRPr="00B213DB">
        <w:rPr>
          <w:rFonts w:ascii="Times New Roman" w:hAnsi="Times New Roman"/>
        </w:rPr>
        <w:t xml:space="preserve"> </w:t>
      </w:r>
      <w:r w:rsidR="009B40E8" w:rsidRPr="00B213DB">
        <w:rPr>
          <w:rFonts w:ascii="Times New Roman" w:hAnsi="Times New Roman"/>
        </w:rPr>
        <w:t xml:space="preserve">In Random Markets </w:t>
      </w:r>
      <w:r w:rsidR="009C6B9E" w:rsidRPr="00B213DB">
        <w:rPr>
          <w:rFonts w:ascii="Times New Roman" w:hAnsi="Times New Roman"/>
        </w:rPr>
        <w:t>the relative p</w:t>
      </w:r>
      <w:r w:rsidR="009769A7" w:rsidRPr="00B213DB">
        <w:rPr>
          <w:rFonts w:ascii="Times New Roman" w:hAnsi="Times New Roman"/>
        </w:rPr>
        <w:t>erformance of a manger in both p</w:t>
      </w:r>
      <w:r w:rsidR="009C6B9E" w:rsidRPr="00B213DB">
        <w:rPr>
          <w:rFonts w:ascii="Times New Roman" w:hAnsi="Times New Roman"/>
        </w:rPr>
        <w:t>eriods is determined solely by luck.</w:t>
      </w:r>
    </w:p>
    <w:p w:rsidR="002E0967" w:rsidRDefault="00C911B1" w:rsidP="008D0389">
      <w:pPr>
        <w:spacing w:after="120" w:line="360" w:lineRule="auto"/>
        <w:rPr>
          <w:rFonts w:ascii="Times New Roman" w:hAnsi="Times New Roman"/>
        </w:rPr>
      </w:pPr>
      <w:r w:rsidRPr="00B213DB">
        <w:rPr>
          <w:rFonts w:ascii="Times New Roman" w:hAnsi="Times New Roman"/>
        </w:rPr>
        <w:t>A manager who is top quartile in Period 1 would be expected to randomly fall into any quartile in Period 2. We could represent this</w:t>
      </w:r>
      <w:r w:rsidR="0022752A" w:rsidRPr="00B213DB">
        <w:rPr>
          <w:rFonts w:ascii="Times New Roman" w:hAnsi="Times New Roman"/>
        </w:rPr>
        <w:t xml:space="preserve"> </w:t>
      </w:r>
      <w:r w:rsidR="00B47BDF">
        <w:rPr>
          <w:rFonts w:ascii="Times New Roman" w:hAnsi="Times New Roman"/>
        </w:rPr>
        <w:t>diagrammatically as in Figure 5</w:t>
      </w:r>
      <w:r w:rsidR="00987428" w:rsidRPr="00B213DB">
        <w:rPr>
          <w:rFonts w:ascii="Times New Roman" w:hAnsi="Times New Roman"/>
        </w:rPr>
        <w:t>.</w:t>
      </w:r>
    </w:p>
    <w:p w:rsidR="00B47BDF" w:rsidRDefault="00B47BDF" w:rsidP="008D0389">
      <w:pPr>
        <w:spacing w:after="120" w:line="360" w:lineRule="auto"/>
        <w:rPr>
          <w:rFonts w:ascii="Times New Roman" w:hAnsi="Times New Roman"/>
        </w:rPr>
      </w:pPr>
    </w:p>
    <w:p w:rsidR="00B47BDF" w:rsidRPr="00B213DB" w:rsidRDefault="00B47BDF" w:rsidP="008D0389">
      <w:pPr>
        <w:spacing w:after="120" w:line="360" w:lineRule="auto"/>
        <w:rPr>
          <w:rFonts w:ascii="Times New Roman" w:hAnsi="Times New Roman"/>
        </w:rPr>
      </w:pPr>
    </w:p>
    <w:p w:rsidR="00585673" w:rsidRPr="00B213DB" w:rsidRDefault="00B47BDF" w:rsidP="003C7933">
      <w:pPr>
        <w:rPr>
          <w:rFonts w:ascii="Times New Roman" w:hAnsi="Times New Roman"/>
          <w:b/>
        </w:rPr>
      </w:pPr>
      <w:r>
        <w:rPr>
          <w:rFonts w:ascii="Times New Roman" w:hAnsi="Times New Roman"/>
          <w:b/>
        </w:rPr>
        <w:lastRenderedPageBreak/>
        <w:t>Figure 5</w:t>
      </w:r>
    </w:p>
    <w:p w:rsidR="002E0967" w:rsidRPr="00B213DB" w:rsidRDefault="00984C98" w:rsidP="003C7933">
      <w:pPr>
        <w:jc w:val="center"/>
        <w:rPr>
          <w:rFonts w:ascii="Times New Roman" w:hAnsi="Times New Roman"/>
        </w:rPr>
      </w:pPr>
      <w:r>
        <w:rPr>
          <w:noProof/>
          <w:lang w:eastAsia="en-AU"/>
        </w:rPr>
        <w:drawing>
          <wp:inline distT="0" distB="0" distL="0" distR="0">
            <wp:extent cx="2620010" cy="262001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20010" cy="2620010"/>
                    </a:xfrm>
                    <a:prstGeom prst="rect">
                      <a:avLst/>
                    </a:prstGeom>
                    <a:noFill/>
                    <a:ln>
                      <a:noFill/>
                    </a:ln>
                  </pic:spPr>
                </pic:pic>
              </a:graphicData>
            </a:graphic>
          </wp:inline>
        </w:drawing>
      </w:r>
    </w:p>
    <w:p w:rsidR="007454FA" w:rsidRPr="00B213DB" w:rsidRDefault="007454FA" w:rsidP="003C7933">
      <w:pPr>
        <w:rPr>
          <w:rFonts w:ascii="Times New Roman" w:hAnsi="Times New Roman"/>
        </w:rPr>
      </w:pPr>
    </w:p>
    <w:p w:rsidR="003A1A92" w:rsidRPr="00B213DB" w:rsidRDefault="003A1A92" w:rsidP="008D0389">
      <w:pPr>
        <w:spacing w:after="120" w:line="360" w:lineRule="auto"/>
        <w:rPr>
          <w:rFonts w:ascii="Times New Roman" w:hAnsi="Times New Roman"/>
          <w:b/>
        </w:rPr>
      </w:pPr>
    </w:p>
    <w:p w:rsidR="008B481C" w:rsidRPr="00B213DB" w:rsidRDefault="00225AEF" w:rsidP="008D0389">
      <w:pPr>
        <w:spacing w:after="120" w:line="360" w:lineRule="auto"/>
        <w:rPr>
          <w:rFonts w:ascii="Times New Roman" w:hAnsi="Times New Roman"/>
          <w:b/>
        </w:rPr>
      </w:pPr>
      <w:r w:rsidRPr="00B213DB">
        <w:rPr>
          <w:rFonts w:ascii="Times New Roman" w:hAnsi="Times New Roman"/>
          <w:b/>
        </w:rPr>
        <w:t xml:space="preserve">Complex </w:t>
      </w:r>
      <w:r w:rsidR="009F0D89" w:rsidRPr="00B213DB">
        <w:rPr>
          <w:rFonts w:ascii="Times New Roman" w:hAnsi="Times New Roman"/>
          <w:b/>
        </w:rPr>
        <w:t>Markets</w:t>
      </w:r>
    </w:p>
    <w:p w:rsidR="008B481C" w:rsidRPr="00B213DB" w:rsidRDefault="008B481C" w:rsidP="008D0389">
      <w:pPr>
        <w:spacing w:after="120" w:line="360" w:lineRule="auto"/>
        <w:rPr>
          <w:rFonts w:ascii="Times New Roman" w:hAnsi="Times New Roman"/>
        </w:rPr>
      </w:pPr>
      <w:r w:rsidRPr="00B213DB">
        <w:rPr>
          <w:rFonts w:ascii="Times New Roman" w:hAnsi="Times New Roman"/>
        </w:rPr>
        <w:t>Complex Markets encompass al</w:t>
      </w:r>
      <w:r w:rsidR="00887F06" w:rsidRPr="00B213DB">
        <w:rPr>
          <w:rFonts w:ascii="Times New Roman" w:hAnsi="Times New Roman"/>
        </w:rPr>
        <w:t>l other forms of market behavio</w:t>
      </w:r>
      <w:r w:rsidR="00994420" w:rsidRPr="00B213DB">
        <w:rPr>
          <w:rFonts w:ascii="Times New Roman" w:hAnsi="Times New Roman"/>
        </w:rPr>
        <w:t>u</w:t>
      </w:r>
      <w:r w:rsidR="00832BBF" w:rsidRPr="00B213DB">
        <w:rPr>
          <w:rFonts w:ascii="Times New Roman" w:hAnsi="Times New Roman"/>
        </w:rPr>
        <w:t>r -</w:t>
      </w:r>
      <w:r w:rsidRPr="00B213DB">
        <w:rPr>
          <w:rFonts w:ascii="Times New Roman" w:hAnsi="Times New Roman"/>
        </w:rPr>
        <w:t xml:space="preserve"> including those corresponding to real world conditions. Compl</w:t>
      </w:r>
      <w:r w:rsidR="00832BBF" w:rsidRPr="00B213DB">
        <w:rPr>
          <w:rFonts w:ascii="Times New Roman" w:hAnsi="Times New Roman"/>
        </w:rPr>
        <w:t>ex Markets are</w:t>
      </w:r>
      <w:r w:rsidR="00887F06" w:rsidRPr="00B213DB">
        <w:rPr>
          <w:rFonts w:ascii="Times New Roman" w:hAnsi="Times New Roman"/>
        </w:rPr>
        <w:t xml:space="preserve"> characteriz</w:t>
      </w:r>
      <w:r w:rsidR="00832BBF" w:rsidRPr="00B213DB">
        <w:rPr>
          <w:rFonts w:ascii="Times New Roman" w:hAnsi="Times New Roman"/>
        </w:rPr>
        <w:t xml:space="preserve">ed by real uncertainty and </w:t>
      </w:r>
      <w:r w:rsidRPr="00B213DB">
        <w:rPr>
          <w:rFonts w:ascii="Times New Roman" w:hAnsi="Times New Roman"/>
        </w:rPr>
        <w:t xml:space="preserve">are represented in economic and financial theories and models that incorporate uncertainty, time and market </w:t>
      </w:r>
      <w:r w:rsidR="00393AF0" w:rsidRPr="00B213DB">
        <w:rPr>
          <w:rFonts w:ascii="Times New Roman" w:hAnsi="Times New Roman"/>
        </w:rPr>
        <w:t>inefficiencies.</w:t>
      </w:r>
    </w:p>
    <w:p w:rsidR="008B481C" w:rsidRPr="00B213DB" w:rsidRDefault="008B481C" w:rsidP="008D0389">
      <w:pPr>
        <w:spacing w:after="120" w:line="360" w:lineRule="auto"/>
        <w:rPr>
          <w:rFonts w:ascii="Times New Roman" w:hAnsi="Times New Roman"/>
        </w:rPr>
      </w:pPr>
      <w:r w:rsidRPr="00B213DB">
        <w:rPr>
          <w:rFonts w:ascii="Times New Roman" w:hAnsi="Times New Roman"/>
        </w:rPr>
        <w:t xml:space="preserve">In Complex Markets it is possible for investment managers to acquire insight </w:t>
      </w:r>
      <w:r w:rsidR="00A95C6E" w:rsidRPr="00B213DB">
        <w:rPr>
          <w:rFonts w:ascii="Times New Roman" w:hAnsi="Times New Roman"/>
        </w:rPr>
        <w:t>into the future behavio</w:t>
      </w:r>
      <w:r w:rsidR="00B213DB">
        <w:rPr>
          <w:rFonts w:ascii="Times New Roman" w:hAnsi="Times New Roman"/>
        </w:rPr>
        <w:t>u</w:t>
      </w:r>
      <w:r w:rsidRPr="00B213DB">
        <w:rPr>
          <w:rFonts w:ascii="Times New Roman" w:hAnsi="Times New Roman"/>
        </w:rPr>
        <w:t>r of the economy and markets – although because of the complexity, perfect knowledge</w:t>
      </w:r>
      <w:r w:rsidR="00887F06" w:rsidRPr="00B213DB">
        <w:rPr>
          <w:rFonts w:ascii="Times New Roman" w:hAnsi="Times New Roman"/>
        </w:rPr>
        <w:t xml:space="preserve">, and thus </w:t>
      </w:r>
      <w:r w:rsidR="00DD7391" w:rsidRPr="00B213DB">
        <w:rPr>
          <w:rFonts w:ascii="Times New Roman" w:hAnsi="Times New Roman"/>
        </w:rPr>
        <w:t>complete certain</w:t>
      </w:r>
      <w:r w:rsidR="00887F06" w:rsidRPr="00B213DB">
        <w:rPr>
          <w:rFonts w:ascii="Times New Roman" w:hAnsi="Times New Roman"/>
        </w:rPr>
        <w:t>ty,</w:t>
      </w:r>
      <w:r w:rsidRPr="00B213DB">
        <w:rPr>
          <w:rFonts w:ascii="Times New Roman" w:hAnsi="Times New Roman"/>
        </w:rPr>
        <w:t xml:space="preserve"> can never exist. </w:t>
      </w:r>
    </w:p>
    <w:p w:rsidR="008B481C" w:rsidRPr="00B213DB" w:rsidRDefault="008B481C" w:rsidP="008D0389">
      <w:pPr>
        <w:spacing w:after="120" w:line="360" w:lineRule="auto"/>
        <w:rPr>
          <w:rFonts w:ascii="Times New Roman" w:hAnsi="Times New Roman"/>
        </w:rPr>
      </w:pPr>
      <w:r w:rsidRPr="00B213DB">
        <w:rPr>
          <w:rFonts w:ascii="Times New Roman" w:hAnsi="Times New Roman"/>
        </w:rPr>
        <w:t>The performance of an investment manager in Complex Markets will be determined by a combination of Investment Skills and Market Factors - including those arising from value,</w:t>
      </w:r>
      <w:r w:rsidR="00DD7391" w:rsidRPr="00B213DB">
        <w:rPr>
          <w:rFonts w:ascii="Times New Roman" w:hAnsi="Times New Roman"/>
        </w:rPr>
        <w:t xml:space="preserve"> growth or other persistent style</w:t>
      </w:r>
      <w:r w:rsidRPr="00B213DB">
        <w:rPr>
          <w:rFonts w:ascii="Times New Roman" w:hAnsi="Times New Roman"/>
        </w:rPr>
        <w:t xml:space="preserve"> or factor tilts. </w:t>
      </w:r>
    </w:p>
    <w:p w:rsidR="00832BBF" w:rsidRPr="00B213DB" w:rsidRDefault="00832BBF" w:rsidP="008D0389">
      <w:pPr>
        <w:spacing w:after="120" w:line="360" w:lineRule="auto"/>
        <w:rPr>
          <w:rFonts w:ascii="Times New Roman" w:hAnsi="Times New Roman"/>
        </w:rPr>
      </w:pPr>
      <w:r w:rsidRPr="00B213DB">
        <w:rPr>
          <w:rFonts w:ascii="Times New Roman" w:hAnsi="Times New Roman"/>
        </w:rPr>
        <w:t>(Note that the reality is far more ‘grey’ than the usual ‘black and white’ differentiation assumed to exist between ‘style’ and ‘skill’. For example</w:t>
      </w:r>
      <w:r w:rsidR="003A1A92" w:rsidRPr="00B213DB">
        <w:rPr>
          <w:rFonts w:ascii="Times New Roman" w:hAnsi="Times New Roman"/>
        </w:rPr>
        <w:t>,</w:t>
      </w:r>
      <w:r w:rsidRPr="00B213DB">
        <w:rPr>
          <w:rFonts w:ascii="Times New Roman" w:hAnsi="Times New Roman"/>
        </w:rPr>
        <w:t xml:space="preserve"> an active investment position (Manager Risk), if held for long enough, becomes indistinguishable from a market factor ‘style’ tilt (Market Risk).)  </w:t>
      </w:r>
    </w:p>
    <w:p w:rsidR="008B481C" w:rsidRPr="00B213DB" w:rsidRDefault="008B481C" w:rsidP="008D0389">
      <w:pPr>
        <w:spacing w:after="120" w:line="360" w:lineRule="auto"/>
        <w:rPr>
          <w:rFonts w:ascii="Times New Roman" w:hAnsi="Times New Roman"/>
        </w:rPr>
      </w:pPr>
      <w:r w:rsidRPr="00B213DB">
        <w:rPr>
          <w:rFonts w:ascii="Times New Roman" w:hAnsi="Times New Roman"/>
        </w:rPr>
        <w:t xml:space="preserve">It can be expected that, for investment managers with a </w:t>
      </w:r>
      <w:r w:rsidR="00052DD8" w:rsidRPr="00B213DB">
        <w:rPr>
          <w:rFonts w:ascii="Times New Roman" w:hAnsi="Times New Roman"/>
        </w:rPr>
        <w:t xml:space="preserve">relatively </w:t>
      </w:r>
      <w:r w:rsidRPr="00B213DB">
        <w:rPr>
          <w:rFonts w:ascii="Times New Roman" w:hAnsi="Times New Roman"/>
        </w:rPr>
        <w:t xml:space="preserve">greater proportion of </w:t>
      </w:r>
      <w:r w:rsidR="003A1A92" w:rsidRPr="00B213DB">
        <w:rPr>
          <w:rFonts w:ascii="Times New Roman" w:hAnsi="Times New Roman"/>
        </w:rPr>
        <w:t xml:space="preserve">exposure to </w:t>
      </w:r>
      <w:r w:rsidRPr="00B213DB">
        <w:rPr>
          <w:rFonts w:ascii="Times New Roman" w:hAnsi="Times New Roman"/>
        </w:rPr>
        <w:t xml:space="preserve">Market </w:t>
      </w:r>
      <w:r w:rsidR="00497831" w:rsidRPr="00B213DB">
        <w:rPr>
          <w:rFonts w:ascii="Times New Roman" w:hAnsi="Times New Roman"/>
        </w:rPr>
        <w:t xml:space="preserve">Risks </w:t>
      </w:r>
      <w:r w:rsidRPr="00B213DB">
        <w:rPr>
          <w:rFonts w:ascii="Times New Roman" w:hAnsi="Times New Roman"/>
        </w:rPr>
        <w:t>than Manager Risks, marke</w:t>
      </w:r>
      <w:r w:rsidR="00B213DB">
        <w:rPr>
          <w:rFonts w:ascii="Times New Roman" w:hAnsi="Times New Roman"/>
        </w:rPr>
        <w:t xml:space="preserve">t related factors would be relatively </w:t>
      </w:r>
      <w:r w:rsidR="00B213DB">
        <w:rPr>
          <w:rFonts w:ascii="Times New Roman" w:hAnsi="Times New Roman"/>
        </w:rPr>
        <w:lastRenderedPageBreak/>
        <w:t>more important than</w:t>
      </w:r>
      <w:r w:rsidRPr="00B213DB">
        <w:rPr>
          <w:rFonts w:ascii="Times New Roman" w:hAnsi="Times New Roman"/>
        </w:rPr>
        <w:t xml:space="preserve"> manager skill</w:t>
      </w:r>
      <w:r w:rsidR="009B40E8" w:rsidRPr="00B213DB">
        <w:rPr>
          <w:rFonts w:ascii="Times New Roman" w:hAnsi="Times New Roman"/>
        </w:rPr>
        <w:t xml:space="preserve"> i</w:t>
      </w:r>
      <w:r w:rsidR="00C323B1" w:rsidRPr="00B213DB">
        <w:rPr>
          <w:rFonts w:ascii="Times New Roman" w:hAnsi="Times New Roman"/>
        </w:rPr>
        <w:t>n determining investment performance</w:t>
      </w:r>
      <w:r w:rsidRPr="00B213DB">
        <w:rPr>
          <w:rFonts w:ascii="Times New Roman" w:hAnsi="Times New Roman"/>
        </w:rPr>
        <w:t>. As Market Risks are</w:t>
      </w:r>
      <w:r w:rsidR="00832BBF" w:rsidRPr="00B213DB">
        <w:rPr>
          <w:rFonts w:ascii="Times New Roman" w:hAnsi="Times New Roman"/>
        </w:rPr>
        <w:t xml:space="preserve"> typically larger (i.e., more volatile)</w:t>
      </w:r>
      <w:r w:rsidR="009B40E8" w:rsidRPr="00B213DB">
        <w:rPr>
          <w:rFonts w:ascii="Times New Roman" w:hAnsi="Times New Roman"/>
        </w:rPr>
        <w:t>, and also less consistent</w:t>
      </w:r>
      <w:r w:rsidRPr="00B213DB">
        <w:rPr>
          <w:rFonts w:ascii="Times New Roman" w:hAnsi="Times New Roman"/>
        </w:rPr>
        <w:t>, than Manager Risks, these managers’ funds are more likely to have extremes of performance. Their funds</w:t>
      </w:r>
      <w:r w:rsidR="009B40E8" w:rsidRPr="00B213DB">
        <w:rPr>
          <w:rFonts w:ascii="Times New Roman" w:hAnsi="Times New Roman"/>
        </w:rPr>
        <w:t>’</w:t>
      </w:r>
      <w:r w:rsidRPr="00B213DB">
        <w:rPr>
          <w:rFonts w:ascii="Times New Roman" w:hAnsi="Times New Roman"/>
        </w:rPr>
        <w:t xml:space="preserve"> will therefore be found more frequently in either the first (lucky) or fourth (unlucky) quartiles of performance in any given period, depending on how markets behave. </w:t>
      </w:r>
    </w:p>
    <w:p w:rsidR="008B481C" w:rsidRPr="00B213DB" w:rsidRDefault="008B481C" w:rsidP="008D0389">
      <w:pPr>
        <w:spacing w:after="120" w:line="360" w:lineRule="auto"/>
        <w:rPr>
          <w:rFonts w:ascii="Times New Roman" w:hAnsi="Times New Roman"/>
        </w:rPr>
      </w:pPr>
      <w:r w:rsidRPr="00B213DB">
        <w:rPr>
          <w:rFonts w:ascii="Times New Roman" w:hAnsi="Times New Roman"/>
        </w:rPr>
        <w:t xml:space="preserve">Also, due to effects such as mean reversal, these managers’ funds are more </w:t>
      </w:r>
      <w:r w:rsidR="003A1A92" w:rsidRPr="00B213DB">
        <w:rPr>
          <w:rFonts w:ascii="Times New Roman" w:hAnsi="Times New Roman"/>
        </w:rPr>
        <w:t xml:space="preserve">likely to have extreme results </w:t>
      </w:r>
      <w:r w:rsidRPr="00B213DB">
        <w:rPr>
          <w:rFonts w:ascii="Times New Roman" w:hAnsi="Times New Roman"/>
        </w:rPr>
        <w:t xml:space="preserve">- either first or fourth quartile – </w:t>
      </w:r>
      <w:r w:rsidR="00497831" w:rsidRPr="00B213DB">
        <w:rPr>
          <w:rFonts w:ascii="Times New Roman" w:hAnsi="Times New Roman"/>
        </w:rPr>
        <w:t>in subsequ</w:t>
      </w:r>
      <w:r w:rsidR="00225AEF" w:rsidRPr="00B213DB">
        <w:rPr>
          <w:rFonts w:ascii="Times New Roman" w:hAnsi="Times New Roman"/>
        </w:rPr>
        <w:t>ent periods. Thus, managers who’s</w:t>
      </w:r>
      <w:r w:rsidRPr="00B213DB">
        <w:rPr>
          <w:rFonts w:ascii="Times New Roman" w:hAnsi="Times New Roman"/>
        </w:rPr>
        <w:t xml:space="preserve"> Market Risks </w:t>
      </w:r>
      <w:r w:rsidR="000F7EBB">
        <w:rPr>
          <w:rFonts w:ascii="Times New Roman" w:hAnsi="Times New Roman"/>
        </w:rPr>
        <w:t xml:space="preserve">is </w:t>
      </w:r>
      <w:r w:rsidR="00B213DB">
        <w:rPr>
          <w:rFonts w:ascii="Times New Roman" w:hAnsi="Times New Roman"/>
        </w:rPr>
        <w:t xml:space="preserve">relatively </w:t>
      </w:r>
      <w:r w:rsidR="000F7EBB">
        <w:rPr>
          <w:rFonts w:ascii="Times New Roman" w:hAnsi="Times New Roman"/>
        </w:rPr>
        <w:t>greater then</w:t>
      </w:r>
      <w:r w:rsidRPr="00B213DB">
        <w:rPr>
          <w:rFonts w:ascii="Times New Roman" w:hAnsi="Times New Roman"/>
        </w:rPr>
        <w:t xml:space="preserve"> Manager Skill can be expected to have less consistent relative performance. These can therefore be described as ‘Inconsistent Managers’. </w:t>
      </w:r>
    </w:p>
    <w:p w:rsidR="008B481C" w:rsidRPr="00B213DB" w:rsidRDefault="008B481C" w:rsidP="008D0389">
      <w:pPr>
        <w:spacing w:after="120" w:line="360" w:lineRule="auto"/>
        <w:rPr>
          <w:rFonts w:ascii="Times New Roman" w:hAnsi="Times New Roman"/>
        </w:rPr>
      </w:pPr>
      <w:r w:rsidRPr="00B213DB">
        <w:rPr>
          <w:rFonts w:ascii="Times New Roman" w:hAnsi="Times New Roman"/>
        </w:rPr>
        <w:t xml:space="preserve">Alternatively, for other managers, Manager Skill will be </w:t>
      </w:r>
      <w:r w:rsidR="009B40E8" w:rsidRPr="00B213DB">
        <w:rPr>
          <w:rFonts w:ascii="Times New Roman" w:hAnsi="Times New Roman"/>
        </w:rPr>
        <w:t xml:space="preserve">proportionately </w:t>
      </w:r>
      <w:r w:rsidRPr="00B213DB">
        <w:rPr>
          <w:rFonts w:ascii="Times New Roman" w:hAnsi="Times New Roman"/>
        </w:rPr>
        <w:t xml:space="preserve">greater than </w:t>
      </w:r>
      <w:r w:rsidR="00052DD8" w:rsidRPr="00B213DB">
        <w:rPr>
          <w:rFonts w:ascii="Times New Roman" w:hAnsi="Times New Roman"/>
        </w:rPr>
        <w:t>exposure to market f</w:t>
      </w:r>
      <w:r w:rsidRPr="00B213DB">
        <w:rPr>
          <w:rFonts w:ascii="Times New Roman" w:hAnsi="Times New Roman"/>
        </w:rPr>
        <w:t>actors. These managers’ funds will be less likely to experience extreme investment outcomes and will therefore be found more frequently in the second or third quartiles of performance. Moreover, these less extreme managers’ funds are likely to have less extr</w:t>
      </w:r>
      <w:r w:rsidR="009B40E8" w:rsidRPr="00B213DB">
        <w:rPr>
          <w:rFonts w:ascii="Times New Roman" w:hAnsi="Times New Roman"/>
        </w:rPr>
        <w:t>eme results</w:t>
      </w:r>
      <w:r w:rsidRPr="00B213DB">
        <w:rPr>
          <w:rFonts w:ascii="Times New Roman" w:hAnsi="Times New Roman"/>
        </w:rPr>
        <w:t xml:space="preserve"> (second or third quartile) in subsequent periods. The pattern of their investment returns can be expected to be more consistent relative t</w:t>
      </w:r>
      <w:r w:rsidR="0098125B" w:rsidRPr="00B213DB">
        <w:rPr>
          <w:rFonts w:ascii="Times New Roman" w:hAnsi="Times New Roman"/>
        </w:rPr>
        <w:t>o a market reference or to manager peers</w:t>
      </w:r>
      <w:r w:rsidRPr="00B213DB">
        <w:rPr>
          <w:rFonts w:ascii="Times New Roman" w:hAnsi="Times New Roman"/>
        </w:rPr>
        <w:t>. For this reason we can appropriately call these ‘Consistent Managers’.</w:t>
      </w:r>
    </w:p>
    <w:p w:rsidR="008B481C" w:rsidRPr="00B213DB" w:rsidRDefault="009E1DB4" w:rsidP="008D0389">
      <w:pPr>
        <w:spacing w:after="120" w:line="360" w:lineRule="auto"/>
        <w:rPr>
          <w:rFonts w:ascii="Times New Roman" w:hAnsi="Times New Roman"/>
        </w:rPr>
      </w:pPr>
      <w:r w:rsidRPr="00B213DB">
        <w:rPr>
          <w:rFonts w:ascii="Times New Roman" w:hAnsi="Times New Roman"/>
        </w:rPr>
        <w:t xml:space="preserve">If active managers are not consistently exhibiting skill, then the distribution of </w:t>
      </w:r>
      <w:r w:rsidR="00FA6005" w:rsidRPr="00B213DB">
        <w:rPr>
          <w:rFonts w:ascii="Times New Roman" w:hAnsi="Times New Roman"/>
        </w:rPr>
        <w:t>their relative performance will be random.</w:t>
      </w:r>
      <w:r w:rsidRPr="00B213DB">
        <w:rPr>
          <w:rFonts w:ascii="Times New Roman" w:hAnsi="Times New Roman"/>
        </w:rPr>
        <w:t xml:space="preserve"> </w:t>
      </w:r>
      <w:r w:rsidR="008B481C" w:rsidRPr="00B213DB">
        <w:rPr>
          <w:rFonts w:ascii="Times New Roman" w:hAnsi="Times New Roman"/>
        </w:rPr>
        <w:t>Therefore, when active investmen</w:t>
      </w:r>
      <w:r w:rsidR="00B213DB">
        <w:rPr>
          <w:rFonts w:ascii="Times New Roman" w:hAnsi="Times New Roman"/>
        </w:rPr>
        <w:t xml:space="preserve">t </w:t>
      </w:r>
      <w:proofErr w:type="spellStart"/>
      <w:r w:rsidR="00B213DB">
        <w:rPr>
          <w:rFonts w:ascii="Times New Roman" w:hAnsi="Times New Roman"/>
        </w:rPr>
        <w:t>mangers</w:t>
      </w:r>
      <w:proofErr w:type="spellEnd"/>
      <w:r w:rsidR="00B213DB">
        <w:rPr>
          <w:rFonts w:ascii="Times New Roman" w:hAnsi="Times New Roman"/>
        </w:rPr>
        <w:t xml:space="preserve"> perform consistently</w:t>
      </w:r>
      <w:r w:rsidR="008B481C" w:rsidRPr="00B213DB">
        <w:rPr>
          <w:rFonts w:ascii="Times New Roman" w:hAnsi="Times New Roman"/>
        </w:rPr>
        <w:t>,</w:t>
      </w:r>
      <w:r w:rsidR="00C323B1" w:rsidRPr="00B213DB">
        <w:rPr>
          <w:rFonts w:ascii="Times New Roman" w:hAnsi="Times New Roman"/>
        </w:rPr>
        <w:t xml:space="preserve"> this will be represented in an</w:t>
      </w:r>
      <w:r w:rsidR="008B481C" w:rsidRPr="00B213DB">
        <w:rPr>
          <w:rFonts w:ascii="Times New Roman" w:hAnsi="Times New Roman"/>
        </w:rPr>
        <w:t xml:space="preserve"> analysis by the occurrence of a higher than random frequency of second and third quartile returns</w:t>
      </w:r>
      <w:r w:rsidR="00497831" w:rsidRPr="00B213DB">
        <w:rPr>
          <w:rFonts w:ascii="Times New Roman" w:hAnsi="Times New Roman"/>
        </w:rPr>
        <w:t xml:space="preserve"> in both periods</w:t>
      </w:r>
      <w:r w:rsidR="008B481C" w:rsidRPr="00B213DB">
        <w:rPr>
          <w:rFonts w:ascii="Times New Roman" w:hAnsi="Times New Roman"/>
        </w:rPr>
        <w:t xml:space="preserve">.  </w:t>
      </w:r>
    </w:p>
    <w:p w:rsidR="008B481C" w:rsidRDefault="008B481C" w:rsidP="008D0389">
      <w:pPr>
        <w:spacing w:after="120" w:line="360" w:lineRule="auto"/>
        <w:rPr>
          <w:rFonts w:ascii="Times New Roman" w:hAnsi="Times New Roman"/>
        </w:rPr>
      </w:pPr>
      <w:r w:rsidRPr="00B213DB">
        <w:rPr>
          <w:rFonts w:ascii="Times New Roman" w:hAnsi="Times New Roman"/>
        </w:rPr>
        <w:t xml:space="preserve">Combining the expected two period outcome patterns for Inconsistent and Consistent Managers, the overall </w:t>
      </w:r>
      <w:r w:rsidR="0010442D" w:rsidRPr="00B213DB">
        <w:rPr>
          <w:rFonts w:ascii="Times New Roman" w:hAnsi="Times New Roman"/>
        </w:rPr>
        <w:t xml:space="preserve">Consistent </w:t>
      </w:r>
      <w:r w:rsidRPr="00B213DB">
        <w:rPr>
          <w:rFonts w:ascii="Times New Roman" w:hAnsi="Times New Roman"/>
        </w:rPr>
        <w:t xml:space="preserve">Pattern of Performance </w:t>
      </w:r>
      <w:r w:rsidR="00987428" w:rsidRPr="00B213DB">
        <w:rPr>
          <w:rFonts w:ascii="Times New Roman" w:hAnsi="Times New Roman"/>
        </w:rPr>
        <w:t>(</w:t>
      </w:r>
      <w:proofErr w:type="spellStart"/>
      <w:r w:rsidR="00987428" w:rsidRPr="00B213DB">
        <w:rPr>
          <w:rFonts w:ascii="Times New Roman" w:hAnsi="Times New Roman"/>
        </w:rPr>
        <w:t>CPP</w:t>
      </w:r>
      <w:proofErr w:type="spellEnd"/>
      <w:r w:rsidR="00987428" w:rsidRPr="00B213DB">
        <w:rPr>
          <w:rFonts w:ascii="Times New Roman" w:hAnsi="Times New Roman"/>
        </w:rPr>
        <w:t xml:space="preserve">) </w:t>
      </w:r>
      <w:r w:rsidR="0010442D" w:rsidRPr="00B213DB">
        <w:rPr>
          <w:rFonts w:ascii="Times New Roman" w:hAnsi="Times New Roman"/>
        </w:rPr>
        <w:t xml:space="preserve">expected </w:t>
      </w:r>
      <w:r w:rsidRPr="00B213DB">
        <w:rPr>
          <w:rFonts w:ascii="Times New Roman" w:hAnsi="Times New Roman"/>
        </w:rPr>
        <w:t xml:space="preserve">when active </w:t>
      </w:r>
      <w:r w:rsidR="0010442D" w:rsidRPr="00B213DB">
        <w:rPr>
          <w:rFonts w:ascii="Times New Roman" w:hAnsi="Times New Roman"/>
        </w:rPr>
        <w:t xml:space="preserve">investment </w:t>
      </w:r>
      <w:r w:rsidRPr="00B213DB">
        <w:rPr>
          <w:rFonts w:ascii="Times New Roman" w:hAnsi="Times New Roman"/>
        </w:rPr>
        <w:t xml:space="preserve">managers are </w:t>
      </w:r>
      <w:r w:rsidR="00B213DB">
        <w:rPr>
          <w:rFonts w:ascii="Times New Roman" w:hAnsi="Times New Roman"/>
        </w:rPr>
        <w:t>performing consistently</w:t>
      </w:r>
      <w:r w:rsidRPr="00B213DB">
        <w:rPr>
          <w:rFonts w:ascii="Times New Roman" w:hAnsi="Times New Roman"/>
        </w:rPr>
        <w:t xml:space="preserve"> is</w:t>
      </w:r>
      <w:r w:rsidR="00B47BDF">
        <w:rPr>
          <w:rFonts w:ascii="Times New Roman" w:hAnsi="Times New Roman"/>
        </w:rPr>
        <w:t xml:space="preserve"> given in Figure 6</w:t>
      </w:r>
      <w:r w:rsidR="00987428" w:rsidRPr="00B213DB">
        <w:rPr>
          <w:rFonts w:ascii="Times New Roman" w:hAnsi="Times New Roman"/>
        </w:rPr>
        <w:t>.</w:t>
      </w:r>
    </w:p>
    <w:p w:rsidR="00B47BDF" w:rsidRDefault="00B47BDF" w:rsidP="008D0389">
      <w:pPr>
        <w:spacing w:after="120" w:line="360" w:lineRule="auto"/>
        <w:rPr>
          <w:rFonts w:ascii="Times New Roman" w:hAnsi="Times New Roman"/>
        </w:rPr>
      </w:pPr>
    </w:p>
    <w:p w:rsidR="00B47BDF" w:rsidRDefault="00B47BDF" w:rsidP="008D0389">
      <w:pPr>
        <w:spacing w:after="120" w:line="360" w:lineRule="auto"/>
        <w:rPr>
          <w:rFonts w:ascii="Times New Roman" w:hAnsi="Times New Roman"/>
        </w:rPr>
      </w:pPr>
    </w:p>
    <w:p w:rsidR="00B47BDF" w:rsidRPr="00B213DB" w:rsidRDefault="00B47BDF" w:rsidP="008D0389">
      <w:pPr>
        <w:spacing w:after="120" w:line="360" w:lineRule="auto"/>
        <w:rPr>
          <w:rFonts w:ascii="Times New Roman" w:hAnsi="Times New Roman"/>
        </w:rPr>
      </w:pPr>
    </w:p>
    <w:p w:rsidR="008B481C" w:rsidRPr="00B213DB" w:rsidRDefault="00B47BDF" w:rsidP="003C7933">
      <w:pPr>
        <w:rPr>
          <w:rFonts w:ascii="Times New Roman" w:hAnsi="Times New Roman"/>
          <w:b/>
        </w:rPr>
      </w:pPr>
      <w:r>
        <w:rPr>
          <w:rFonts w:ascii="Times New Roman" w:hAnsi="Times New Roman"/>
          <w:b/>
        </w:rPr>
        <w:lastRenderedPageBreak/>
        <w:t>Figure 6</w:t>
      </w:r>
    </w:p>
    <w:p w:rsidR="008B481C" w:rsidRPr="00B213DB" w:rsidRDefault="00984C98" w:rsidP="003C7933">
      <w:pPr>
        <w:jc w:val="center"/>
        <w:rPr>
          <w:rFonts w:ascii="Times New Roman" w:hAnsi="Times New Roman"/>
        </w:rPr>
      </w:pPr>
      <w:r>
        <w:rPr>
          <w:rFonts w:ascii="Times New Roman" w:hAnsi="Times New Roman"/>
          <w:noProof/>
          <w:lang w:eastAsia="en-AU"/>
        </w:rPr>
        <w:drawing>
          <wp:inline distT="0" distB="0" distL="0" distR="0">
            <wp:extent cx="2533015" cy="2533015"/>
            <wp:effectExtent l="0" t="0" r="6985" b="698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33015" cy="2533015"/>
                    </a:xfrm>
                    <a:prstGeom prst="rect">
                      <a:avLst/>
                    </a:prstGeom>
                    <a:noFill/>
                    <a:ln>
                      <a:noFill/>
                    </a:ln>
                  </pic:spPr>
                </pic:pic>
              </a:graphicData>
            </a:graphic>
          </wp:inline>
        </w:drawing>
      </w:r>
    </w:p>
    <w:p w:rsidR="008B481C" w:rsidRPr="00B213DB" w:rsidRDefault="008B481C" w:rsidP="003C7933">
      <w:pPr>
        <w:rPr>
          <w:rFonts w:ascii="Times New Roman" w:hAnsi="Times New Roman"/>
        </w:rPr>
      </w:pPr>
    </w:p>
    <w:p w:rsidR="008B481C" w:rsidRPr="00B213DB" w:rsidRDefault="008B481C" w:rsidP="003C7933">
      <w:pPr>
        <w:rPr>
          <w:rFonts w:ascii="Times New Roman" w:hAnsi="Times New Roman"/>
        </w:rPr>
      </w:pPr>
    </w:p>
    <w:p w:rsidR="008B481C" w:rsidRPr="00B213DB" w:rsidRDefault="00225AEF" w:rsidP="008D0389">
      <w:pPr>
        <w:spacing w:after="120" w:line="360" w:lineRule="auto"/>
        <w:rPr>
          <w:rFonts w:ascii="Times New Roman" w:hAnsi="Times New Roman"/>
        </w:rPr>
      </w:pPr>
      <w:r w:rsidRPr="00B213DB">
        <w:rPr>
          <w:rFonts w:ascii="Times New Roman" w:hAnsi="Times New Roman"/>
        </w:rPr>
        <w:t>It follows therefore that in Complex M</w:t>
      </w:r>
      <w:r w:rsidR="00196D1B" w:rsidRPr="00B213DB">
        <w:rPr>
          <w:rFonts w:ascii="Times New Roman" w:hAnsi="Times New Roman"/>
        </w:rPr>
        <w:t>arkets, such as occur in real financial markets</w:t>
      </w:r>
      <w:r w:rsidR="00196D1B" w:rsidRPr="00B213DB">
        <w:rPr>
          <w:rFonts w:ascii="Times New Roman" w:hAnsi="Times New Roman"/>
          <w:b/>
        </w:rPr>
        <w:t xml:space="preserve">, it is necessary to take into account and </w:t>
      </w:r>
      <w:r w:rsidR="00B213DB" w:rsidRPr="00B213DB">
        <w:rPr>
          <w:rFonts w:ascii="Times New Roman" w:hAnsi="Times New Roman"/>
          <w:b/>
        </w:rPr>
        <w:t>analyse</w:t>
      </w:r>
      <w:r w:rsidR="00196D1B" w:rsidRPr="00B213DB">
        <w:rPr>
          <w:rFonts w:ascii="Times New Roman" w:hAnsi="Times New Roman"/>
          <w:b/>
        </w:rPr>
        <w:t xml:space="preserve"> the full pattern of investment returns, </w:t>
      </w:r>
      <w:r w:rsidR="00196D1B" w:rsidRPr="00B213DB">
        <w:rPr>
          <w:rFonts w:ascii="Times New Roman" w:hAnsi="Times New Roman"/>
        </w:rPr>
        <w:t>rather than the performance of individual managers, or of a sub-set</w:t>
      </w:r>
      <w:r w:rsidR="003A1A92" w:rsidRPr="00B213DB">
        <w:rPr>
          <w:rFonts w:ascii="Times New Roman" w:hAnsi="Times New Roman"/>
        </w:rPr>
        <w:t xml:space="preserve"> (e.g., top quartile)</w:t>
      </w:r>
      <w:r w:rsidR="00196D1B" w:rsidRPr="00B213DB">
        <w:rPr>
          <w:rFonts w:ascii="Times New Roman" w:hAnsi="Times New Roman"/>
        </w:rPr>
        <w:t xml:space="preserve"> of managers. </w:t>
      </w:r>
      <w:r w:rsidR="00B213DB">
        <w:rPr>
          <w:rFonts w:ascii="Times New Roman" w:hAnsi="Times New Roman"/>
        </w:rPr>
        <w:t>(This is a basic characteristic of complex systems in general, where the overall pattern of outcomes can be difficult, or impossible, to identify from the analysis of only a small part of the whole.)</w:t>
      </w:r>
      <w:r w:rsidR="00196D1B" w:rsidRPr="00B213DB">
        <w:rPr>
          <w:rFonts w:ascii="Times New Roman" w:hAnsi="Times New Roman"/>
        </w:rPr>
        <w:t xml:space="preserve"> </w:t>
      </w:r>
    </w:p>
    <w:p w:rsidR="00F24834" w:rsidRPr="00B213DB" w:rsidRDefault="00D711AB" w:rsidP="008D0389">
      <w:pPr>
        <w:spacing w:after="120" w:line="360" w:lineRule="auto"/>
        <w:rPr>
          <w:rFonts w:ascii="Times New Roman" w:hAnsi="Times New Roman"/>
          <w:b/>
        </w:rPr>
      </w:pPr>
      <w:r w:rsidRPr="00B213DB">
        <w:rPr>
          <w:rFonts w:ascii="Times New Roman" w:hAnsi="Times New Roman"/>
          <w:b/>
        </w:rPr>
        <w:t>TESTING THE CONSISTENCY OF MANAGER PERFORMANCE</w:t>
      </w:r>
    </w:p>
    <w:p w:rsidR="0010442D" w:rsidRPr="00B213DB" w:rsidRDefault="0010442D" w:rsidP="008D0389">
      <w:pPr>
        <w:spacing w:after="120" w:line="360" w:lineRule="auto"/>
        <w:rPr>
          <w:rFonts w:ascii="Times New Roman" w:hAnsi="Times New Roman"/>
        </w:rPr>
      </w:pPr>
      <w:r w:rsidRPr="00B213DB">
        <w:rPr>
          <w:rFonts w:ascii="Times New Roman" w:hAnsi="Times New Roman"/>
        </w:rPr>
        <w:t xml:space="preserve">To test for the existence of consistency of manager performance two aspects of the </w:t>
      </w:r>
      <w:r w:rsidR="002C5709">
        <w:rPr>
          <w:rFonts w:ascii="Times New Roman" w:hAnsi="Times New Roman"/>
        </w:rPr>
        <w:t xml:space="preserve">sample </w:t>
      </w:r>
      <w:r w:rsidRPr="00B213DB">
        <w:rPr>
          <w:rFonts w:ascii="Times New Roman" w:hAnsi="Times New Roman"/>
        </w:rPr>
        <w:t xml:space="preserve">Pattern of Performance need to be assessed: </w:t>
      </w:r>
    </w:p>
    <w:p w:rsidR="0010442D" w:rsidRPr="00B213DB" w:rsidRDefault="0010442D" w:rsidP="008D0389">
      <w:pPr>
        <w:numPr>
          <w:ilvl w:val="0"/>
          <w:numId w:val="7"/>
        </w:numPr>
        <w:spacing w:after="120" w:line="360" w:lineRule="auto"/>
        <w:rPr>
          <w:rFonts w:ascii="Times New Roman" w:hAnsi="Times New Roman"/>
        </w:rPr>
      </w:pPr>
      <w:r w:rsidRPr="00B213DB">
        <w:rPr>
          <w:rFonts w:ascii="Times New Roman" w:hAnsi="Times New Roman"/>
        </w:rPr>
        <w:t>First, whether the pattern of performance of the sample conforms to the Consistent Pattern of Performance; and</w:t>
      </w:r>
    </w:p>
    <w:p w:rsidR="0010442D" w:rsidRPr="00B213DB" w:rsidRDefault="0010442D" w:rsidP="008D0389">
      <w:pPr>
        <w:numPr>
          <w:ilvl w:val="0"/>
          <w:numId w:val="7"/>
        </w:numPr>
        <w:spacing w:after="120" w:line="360" w:lineRule="auto"/>
        <w:rPr>
          <w:rFonts w:ascii="Times New Roman" w:hAnsi="Times New Roman"/>
        </w:rPr>
      </w:pPr>
      <w:r w:rsidRPr="00B213DB">
        <w:rPr>
          <w:rFonts w:ascii="Times New Roman" w:hAnsi="Times New Roman"/>
        </w:rPr>
        <w:t>Second, whether the sample</w:t>
      </w:r>
      <w:r w:rsidR="00497831" w:rsidRPr="00B213DB">
        <w:rPr>
          <w:rFonts w:ascii="Times New Roman" w:hAnsi="Times New Roman"/>
        </w:rPr>
        <w:t>’</w:t>
      </w:r>
      <w:r w:rsidRPr="00B213DB">
        <w:rPr>
          <w:rFonts w:ascii="Times New Roman" w:hAnsi="Times New Roman"/>
        </w:rPr>
        <w:t xml:space="preserve">s pattern of performance is significantly different from a random allocation.  </w:t>
      </w:r>
    </w:p>
    <w:p w:rsidR="0010442D" w:rsidRPr="002C5709" w:rsidRDefault="0010442D" w:rsidP="008D0389">
      <w:pPr>
        <w:spacing w:after="120" w:line="360" w:lineRule="auto"/>
        <w:rPr>
          <w:rFonts w:ascii="Times New Roman" w:hAnsi="Times New Roman"/>
          <w:b/>
        </w:rPr>
      </w:pPr>
      <w:r w:rsidRPr="002C5709">
        <w:rPr>
          <w:rFonts w:ascii="Times New Roman" w:hAnsi="Times New Roman"/>
          <w:b/>
        </w:rPr>
        <w:t>Each of these aspects can be assessed statistically.</w:t>
      </w:r>
    </w:p>
    <w:p w:rsidR="00FB0F88" w:rsidRPr="00B213DB" w:rsidRDefault="00FB0F88" w:rsidP="008D0389">
      <w:pPr>
        <w:spacing w:after="120" w:line="360" w:lineRule="auto"/>
        <w:rPr>
          <w:rFonts w:ascii="Times New Roman" w:hAnsi="Times New Roman"/>
        </w:rPr>
      </w:pPr>
      <w:r w:rsidRPr="00B213DB">
        <w:rPr>
          <w:rFonts w:ascii="Times New Roman" w:hAnsi="Times New Roman"/>
        </w:rPr>
        <w:t>A comparison of the actual pattern of performance of managers i</w:t>
      </w:r>
      <w:r w:rsidR="00E55F3F" w:rsidRPr="00B213DB">
        <w:rPr>
          <w:rFonts w:ascii="Times New Roman" w:hAnsi="Times New Roman"/>
        </w:rPr>
        <w:t>n the sample to the Consistent P</w:t>
      </w:r>
      <w:r w:rsidRPr="00B213DB">
        <w:rPr>
          <w:rFonts w:ascii="Times New Roman" w:hAnsi="Times New Roman"/>
        </w:rPr>
        <w:t>attern of Performance can be made on a cell by cell basis, with each cell either ma</w:t>
      </w:r>
      <w:r w:rsidR="00B16198" w:rsidRPr="00B213DB">
        <w:rPr>
          <w:rFonts w:ascii="Times New Roman" w:hAnsi="Times New Roman"/>
        </w:rPr>
        <w:t>tching – i.e. both having more or less managers</w:t>
      </w:r>
      <w:r w:rsidRPr="00B213DB">
        <w:rPr>
          <w:rFonts w:ascii="Times New Roman" w:hAnsi="Times New Roman"/>
        </w:rPr>
        <w:t xml:space="preserve"> than ex</w:t>
      </w:r>
      <w:r w:rsidR="00B16198" w:rsidRPr="00B213DB">
        <w:rPr>
          <w:rFonts w:ascii="Times New Roman" w:hAnsi="Times New Roman"/>
        </w:rPr>
        <w:t>pected from a random allocation -</w:t>
      </w:r>
      <w:r w:rsidRPr="00B213DB">
        <w:rPr>
          <w:rFonts w:ascii="Times New Roman" w:hAnsi="Times New Roman"/>
        </w:rPr>
        <w:t xml:space="preserve"> or not matching. </w:t>
      </w:r>
    </w:p>
    <w:p w:rsidR="00E55F3F" w:rsidRPr="00B213DB" w:rsidRDefault="00FB0F88" w:rsidP="008D0389">
      <w:pPr>
        <w:spacing w:after="120" w:line="360" w:lineRule="auto"/>
        <w:rPr>
          <w:rFonts w:ascii="Times New Roman" w:hAnsi="Times New Roman"/>
        </w:rPr>
      </w:pPr>
      <w:r w:rsidRPr="00B213DB">
        <w:rPr>
          <w:rFonts w:ascii="Times New Roman" w:hAnsi="Times New Roman"/>
        </w:rPr>
        <w:lastRenderedPageBreak/>
        <w:t xml:space="preserve">This comparison </w:t>
      </w:r>
      <w:r w:rsidR="0010442D" w:rsidRPr="00B213DB">
        <w:rPr>
          <w:rFonts w:ascii="Times New Roman" w:hAnsi="Times New Roman"/>
        </w:rPr>
        <w:t xml:space="preserve">can be </w:t>
      </w:r>
      <w:r w:rsidR="00F80997">
        <w:rPr>
          <w:rFonts w:ascii="Times New Roman" w:hAnsi="Times New Roman"/>
        </w:rPr>
        <w:t>analys</w:t>
      </w:r>
      <w:r w:rsidR="00F7105C" w:rsidRPr="00B213DB">
        <w:rPr>
          <w:rFonts w:ascii="Times New Roman" w:hAnsi="Times New Roman"/>
        </w:rPr>
        <w:t>ed</w:t>
      </w:r>
      <w:r w:rsidR="0010442D" w:rsidRPr="00B213DB">
        <w:rPr>
          <w:rFonts w:ascii="Times New Roman" w:hAnsi="Times New Roman"/>
        </w:rPr>
        <w:t xml:space="preserve"> as a bi</w:t>
      </w:r>
      <w:r w:rsidRPr="00B213DB">
        <w:rPr>
          <w:rFonts w:ascii="Times New Roman" w:hAnsi="Times New Roman"/>
        </w:rPr>
        <w:t xml:space="preserve">nomial distribution where n=16. </w:t>
      </w:r>
      <w:r w:rsidR="00981496" w:rsidRPr="00B213DB">
        <w:rPr>
          <w:rFonts w:ascii="Times New Roman" w:hAnsi="Times New Roman"/>
        </w:rPr>
        <w:t>If there we</w:t>
      </w:r>
      <w:r w:rsidR="00C105ED" w:rsidRPr="00B213DB">
        <w:rPr>
          <w:rFonts w:ascii="Times New Roman" w:hAnsi="Times New Roman"/>
        </w:rPr>
        <w:t>re no constraints on the distribution of outcomes making up the</w:t>
      </w:r>
      <w:r w:rsidR="00981496" w:rsidRPr="00B213DB">
        <w:rPr>
          <w:rFonts w:ascii="Times New Roman" w:hAnsi="Times New Roman"/>
        </w:rPr>
        <w:t xml:space="preserve"> pattern of performance there would be 2</w:t>
      </w:r>
      <w:r w:rsidR="00981496" w:rsidRPr="00B213DB">
        <w:rPr>
          <w:rFonts w:ascii="Times New Roman" w:hAnsi="Times New Roman"/>
          <w:vertAlign w:val="superscript"/>
        </w:rPr>
        <w:t>16</w:t>
      </w:r>
      <w:r w:rsidR="00981496" w:rsidRPr="00B213DB">
        <w:rPr>
          <w:rFonts w:ascii="Times New Roman" w:hAnsi="Times New Roman"/>
        </w:rPr>
        <w:t xml:space="preserve"> = 65,536 possible co</w:t>
      </w:r>
      <w:r w:rsidR="00353545" w:rsidRPr="00B213DB">
        <w:rPr>
          <w:rFonts w:ascii="Times New Roman" w:hAnsi="Times New Roman"/>
        </w:rPr>
        <w:t>mbinations of matches. H</w:t>
      </w:r>
      <w:r w:rsidR="00981496" w:rsidRPr="00B213DB">
        <w:rPr>
          <w:rFonts w:ascii="Times New Roman" w:hAnsi="Times New Roman"/>
        </w:rPr>
        <w:t>owever, not all combinations are allowed, as in each row</w:t>
      </w:r>
      <w:r w:rsidR="00A70A44" w:rsidRPr="00B213DB">
        <w:rPr>
          <w:rFonts w:ascii="Times New Roman" w:hAnsi="Times New Roman"/>
        </w:rPr>
        <w:t xml:space="preserve"> it is not possible for all cells to be greater or les</w:t>
      </w:r>
      <w:r w:rsidR="00497831" w:rsidRPr="00B213DB">
        <w:rPr>
          <w:rFonts w:ascii="Times New Roman" w:hAnsi="Times New Roman"/>
        </w:rPr>
        <w:t>s than the expected values. That is</w:t>
      </w:r>
      <w:r w:rsidR="00887F06" w:rsidRPr="00B213DB">
        <w:rPr>
          <w:rFonts w:ascii="Times New Roman" w:hAnsi="Times New Roman"/>
        </w:rPr>
        <w:t>, a</w:t>
      </w:r>
      <w:r w:rsidR="00A70A44" w:rsidRPr="00B213DB">
        <w:rPr>
          <w:rFonts w:ascii="Times New Roman" w:hAnsi="Times New Roman"/>
        </w:rPr>
        <w:t>t least one cell must be greater than the expected value if another cell</w:t>
      </w:r>
      <w:r w:rsidR="00887F06" w:rsidRPr="00B213DB">
        <w:rPr>
          <w:rFonts w:ascii="Times New Roman" w:hAnsi="Times New Roman"/>
        </w:rPr>
        <w:t>(s)</w:t>
      </w:r>
      <w:r w:rsidR="00A70A44" w:rsidRPr="00B213DB">
        <w:rPr>
          <w:rFonts w:ascii="Times New Roman" w:hAnsi="Times New Roman"/>
        </w:rPr>
        <w:t xml:space="preserve"> is les</w:t>
      </w:r>
      <w:r w:rsidR="00353545" w:rsidRPr="00B213DB">
        <w:rPr>
          <w:rFonts w:ascii="Times New Roman" w:hAnsi="Times New Roman"/>
        </w:rPr>
        <w:t>s</w:t>
      </w:r>
      <w:r w:rsidR="00A70A44" w:rsidRPr="00B213DB">
        <w:rPr>
          <w:rFonts w:ascii="Times New Roman" w:hAnsi="Times New Roman"/>
        </w:rPr>
        <w:t xml:space="preserve"> than </w:t>
      </w:r>
      <w:r w:rsidR="00887F06" w:rsidRPr="00B213DB">
        <w:rPr>
          <w:rFonts w:ascii="Times New Roman" w:hAnsi="Times New Roman"/>
        </w:rPr>
        <w:t>the expected value.</w:t>
      </w:r>
      <w:r w:rsidR="00987428" w:rsidRPr="00B213DB">
        <w:rPr>
          <w:rFonts w:ascii="Times New Roman" w:hAnsi="Times New Roman"/>
        </w:rPr>
        <w:t xml:space="preserve"> </w:t>
      </w:r>
      <w:r w:rsidR="00E55F3F" w:rsidRPr="00B213DB">
        <w:rPr>
          <w:rFonts w:ascii="Times New Roman" w:hAnsi="Times New Roman"/>
        </w:rPr>
        <w:t xml:space="preserve">Allowing for this restriction, there are 38,416 possible combinations of matches between the sample </w:t>
      </w:r>
      <w:r w:rsidR="00CE4E53" w:rsidRPr="00B213DB">
        <w:rPr>
          <w:rFonts w:ascii="Times New Roman" w:hAnsi="Times New Roman"/>
        </w:rPr>
        <w:t>p</w:t>
      </w:r>
      <w:r w:rsidR="00353545" w:rsidRPr="00B213DB">
        <w:rPr>
          <w:rFonts w:ascii="Times New Roman" w:hAnsi="Times New Roman"/>
        </w:rPr>
        <w:t xml:space="preserve">attern of </w:t>
      </w:r>
      <w:r w:rsidR="00CE4E53" w:rsidRPr="00B213DB">
        <w:rPr>
          <w:rFonts w:ascii="Times New Roman" w:hAnsi="Times New Roman"/>
        </w:rPr>
        <w:t>p</w:t>
      </w:r>
      <w:r w:rsidR="00353545" w:rsidRPr="00B213DB">
        <w:rPr>
          <w:rFonts w:ascii="Times New Roman" w:hAnsi="Times New Roman"/>
        </w:rPr>
        <w:t xml:space="preserve">erformance </w:t>
      </w:r>
      <w:r w:rsidR="00E55F3F" w:rsidRPr="00B213DB">
        <w:rPr>
          <w:rFonts w:ascii="Times New Roman" w:hAnsi="Times New Roman"/>
        </w:rPr>
        <w:t xml:space="preserve">and </w:t>
      </w:r>
      <w:r w:rsidR="00353545" w:rsidRPr="00B213DB">
        <w:rPr>
          <w:rFonts w:ascii="Times New Roman" w:hAnsi="Times New Roman"/>
        </w:rPr>
        <w:t xml:space="preserve">the </w:t>
      </w:r>
      <w:r w:rsidR="00E55F3F" w:rsidRPr="00B213DB">
        <w:rPr>
          <w:rFonts w:ascii="Times New Roman" w:hAnsi="Times New Roman"/>
        </w:rPr>
        <w:t xml:space="preserve">Consistent Pattern of Performance. </w:t>
      </w:r>
    </w:p>
    <w:p w:rsidR="00CE4E53" w:rsidRPr="00B213DB" w:rsidRDefault="00B8615F" w:rsidP="008D0389">
      <w:pPr>
        <w:spacing w:after="120" w:line="360" w:lineRule="auto"/>
        <w:rPr>
          <w:rFonts w:ascii="Times New Roman" w:hAnsi="Times New Roman"/>
        </w:rPr>
      </w:pPr>
      <w:r w:rsidRPr="00B213DB">
        <w:rPr>
          <w:rFonts w:ascii="Times New Roman" w:hAnsi="Times New Roman"/>
        </w:rPr>
        <w:t>F</w:t>
      </w:r>
      <w:r w:rsidR="00CE4E53" w:rsidRPr="00B213DB">
        <w:rPr>
          <w:rFonts w:ascii="Times New Roman" w:hAnsi="Times New Roman"/>
        </w:rPr>
        <w:t xml:space="preserve">or example, the probability of </w:t>
      </w:r>
      <w:r w:rsidR="004B514B" w:rsidRPr="00B213DB">
        <w:rPr>
          <w:rFonts w:ascii="Times New Roman" w:hAnsi="Times New Roman"/>
        </w:rPr>
        <w:t xml:space="preserve">all 16 cells in the sample </w:t>
      </w:r>
      <w:r w:rsidR="002C5709">
        <w:rPr>
          <w:rFonts w:ascii="Times New Roman" w:hAnsi="Times New Roman"/>
        </w:rPr>
        <w:t xml:space="preserve">exactly </w:t>
      </w:r>
      <w:r w:rsidR="004B514B" w:rsidRPr="00B213DB">
        <w:rPr>
          <w:rFonts w:ascii="Times New Roman" w:hAnsi="Times New Roman"/>
        </w:rPr>
        <w:t>matching the Consistent Pattern of Performance is 1 in 38,416, or 0.000026, whereas the cumulative probability of only 8 cells matching – which would be expected from a random allocation in</w:t>
      </w:r>
      <w:r w:rsidR="00292EBC" w:rsidRPr="00B213DB">
        <w:rPr>
          <w:rFonts w:ascii="Times New Roman" w:hAnsi="Times New Roman"/>
        </w:rPr>
        <w:t xml:space="preserve"> the sample set, would be 0.5909</w:t>
      </w:r>
      <w:r w:rsidR="004B514B" w:rsidRPr="00B213DB">
        <w:rPr>
          <w:rFonts w:ascii="Times New Roman" w:hAnsi="Times New Roman"/>
        </w:rPr>
        <w:t>.</w:t>
      </w:r>
    </w:p>
    <w:p w:rsidR="00965FA9" w:rsidRPr="00B213DB" w:rsidRDefault="00965FA9" w:rsidP="008D0389">
      <w:pPr>
        <w:spacing w:after="120" w:line="360" w:lineRule="auto"/>
        <w:rPr>
          <w:rFonts w:ascii="Times New Roman" w:hAnsi="Times New Roman"/>
        </w:rPr>
      </w:pPr>
      <w:r w:rsidRPr="00B213DB">
        <w:rPr>
          <w:rFonts w:ascii="Times New Roman" w:hAnsi="Times New Roman"/>
        </w:rPr>
        <w:t>The cumulat</w:t>
      </w:r>
      <w:r w:rsidR="00B16198" w:rsidRPr="00B213DB">
        <w:rPr>
          <w:rFonts w:ascii="Times New Roman" w:hAnsi="Times New Roman"/>
        </w:rPr>
        <w:t xml:space="preserve">ive </w:t>
      </w:r>
      <w:r w:rsidRPr="00B213DB">
        <w:rPr>
          <w:rFonts w:ascii="Times New Roman" w:hAnsi="Times New Roman"/>
        </w:rPr>
        <w:t>probability is the probability (p) in a statistical test of accepting the hypothesis that the sample pattern of performance is the same as the Consistent Pattern of Performance when it is</w:t>
      </w:r>
      <w:r w:rsidR="00292EBC" w:rsidRPr="00B213DB">
        <w:rPr>
          <w:rFonts w:ascii="Times New Roman" w:hAnsi="Times New Roman"/>
        </w:rPr>
        <w:t xml:space="preserve"> not (i.</w:t>
      </w:r>
      <w:r w:rsidR="002C5709">
        <w:rPr>
          <w:rFonts w:ascii="Times New Roman" w:hAnsi="Times New Roman"/>
        </w:rPr>
        <w:t>e., of making a Type-1 e</w:t>
      </w:r>
      <w:r w:rsidRPr="00B213DB">
        <w:rPr>
          <w:rFonts w:ascii="Times New Roman" w:hAnsi="Times New Roman"/>
        </w:rPr>
        <w:t>rror).</w:t>
      </w:r>
      <w:r w:rsidR="003A1A92" w:rsidRPr="00B213DB">
        <w:rPr>
          <w:rFonts w:ascii="Times New Roman" w:hAnsi="Times New Roman"/>
        </w:rPr>
        <w:t xml:space="preserve"> (Note, our hypothesis test (</w:t>
      </w:r>
      <w:proofErr w:type="spellStart"/>
      <w:r w:rsidR="003A1A92" w:rsidRPr="00B213DB">
        <w:rPr>
          <w:rFonts w:ascii="Times New Roman" w:hAnsi="Times New Roman"/>
        </w:rPr>
        <w:t>H</w:t>
      </w:r>
      <w:r w:rsidR="003A1A92" w:rsidRPr="00B213DB">
        <w:rPr>
          <w:rFonts w:ascii="Times New Roman" w:hAnsi="Times New Roman"/>
          <w:vertAlign w:val="subscript"/>
        </w:rPr>
        <w:t>0</w:t>
      </w:r>
      <w:proofErr w:type="spellEnd"/>
      <w:r w:rsidR="003A1A92" w:rsidRPr="00B213DB">
        <w:rPr>
          <w:rFonts w:ascii="Times New Roman" w:hAnsi="Times New Roman"/>
        </w:rPr>
        <w:t xml:space="preserve">) is </w:t>
      </w:r>
      <w:r w:rsidR="002C5709">
        <w:rPr>
          <w:rFonts w:ascii="Times New Roman" w:hAnsi="Times New Roman"/>
        </w:rPr>
        <w:t xml:space="preserve">therefore </w:t>
      </w:r>
      <w:r w:rsidR="003A1A92" w:rsidRPr="00B213DB">
        <w:rPr>
          <w:rFonts w:ascii="Times New Roman" w:hAnsi="Times New Roman"/>
        </w:rPr>
        <w:t xml:space="preserve">that the sample pattern of performance is not the same as the Consistent Pattern of Performance, not that the sample pattern of performance is random.) </w:t>
      </w:r>
    </w:p>
    <w:p w:rsidR="00965FA9" w:rsidRPr="00B213DB" w:rsidRDefault="00965FA9" w:rsidP="008D0389">
      <w:pPr>
        <w:spacing w:after="120" w:line="360" w:lineRule="auto"/>
        <w:rPr>
          <w:rFonts w:ascii="Times New Roman" w:hAnsi="Times New Roman"/>
        </w:rPr>
      </w:pPr>
      <w:r w:rsidRPr="00B213DB">
        <w:rPr>
          <w:rFonts w:ascii="Times New Roman" w:hAnsi="Times New Roman"/>
        </w:rPr>
        <w:t>While the sample pattern</w:t>
      </w:r>
      <w:r w:rsidR="00C105ED" w:rsidRPr="00B213DB">
        <w:rPr>
          <w:rFonts w:ascii="Times New Roman" w:hAnsi="Times New Roman"/>
        </w:rPr>
        <w:t xml:space="preserve"> of performance may be found </w:t>
      </w:r>
      <w:r w:rsidR="00225AEF" w:rsidRPr="00B213DB">
        <w:rPr>
          <w:rFonts w:ascii="Times New Roman" w:hAnsi="Times New Roman"/>
        </w:rPr>
        <w:t>to</w:t>
      </w:r>
      <w:r w:rsidRPr="00B213DB">
        <w:rPr>
          <w:rFonts w:ascii="Times New Roman" w:hAnsi="Times New Roman"/>
        </w:rPr>
        <w:t xml:space="preserve"> be </w:t>
      </w:r>
      <w:r w:rsidR="00B25B84" w:rsidRPr="00B213DB">
        <w:rPr>
          <w:rFonts w:ascii="Times New Roman" w:hAnsi="Times New Roman"/>
        </w:rPr>
        <w:t xml:space="preserve">not </w:t>
      </w:r>
      <w:r w:rsidRPr="00B213DB">
        <w:rPr>
          <w:rFonts w:ascii="Times New Roman" w:hAnsi="Times New Roman"/>
        </w:rPr>
        <w:t xml:space="preserve">significantly different </w:t>
      </w:r>
      <w:r w:rsidR="002C5709">
        <w:rPr>
          <w:rFonts w:ascii="Times New Roman" w:hAnsi="Times New Roman"/>
        </w:rPr>
        <w:t>from (i.e., statistically the same as)</w:t>
      </w:r>
      <w:r w:rsidRPr="00B213DB">
        <w:rPr>
          <w:rFonts w:ascii="Times New Roman" w:hAnsi="Times New Roman"/>
        </w:rPr>
        <w:t xml:space="preserve"> the Consistent Pattern of Performance, this finding would not be meaningful if the sample pattern itself was </w:t>
      </w:r>
      <w:r w:rsidR="002C5709">
        <w:rPr>
          <w:rFonts w:ascii="Times New Roman" w:hAnsi="Times New Roman"/>
        </w:rPr>
        <w:t>essentially</w:t>
      </w:r>
      <w:r w:rsidRPr="00B213DB">
        <w:rPr>
          <w:rFonts w:ascii="Times New Roman" w:hAnsi="Times New Roman"/>
        </w:rPr>
        <w:t xml:space="preserve"> a random allocation. </w:t>
      </w:r>
      <w:r w:rsidR="00646EE0" w:rsidRPr="00B213DB">
        <w:rPr>
          <w:rFonts w:ascii="Times New Roman" w:hAnsi="Times New Roman"/>
        </w:rPr>
        <w:t xml:space="preserve">This can be assessed using the </w:t>
      </w:r>
      <w:r w:rsidR="00C105ED" w:rsidRPr="00B213DB">
        <w:rPr>
          <w:rFonts w:ascii="Times New Roman" w:hAnsi="Times New Roman"/>
        </w:rPr>
        <w:t xml:space="preserve">non-parametric </w:t>
      </w:r>
      <w:r w:rsidR="00646EE0" w:rsidRPr="00B213DB">
        <w:rPr>
          <w:rFonts w:ascii="Times New Roman" w:hAnsi="Times New Roman"/>
        </w:rPr>
        <w:t>Chi-squared statistic</w:t>
      </w:r>
      <w:r w:rsidR="00887F06" w:rsidRPr="00B213DB">
        <w:rPr>
          <w:rFonts w:ascii="Times New Roman" w:hAnsi="Times New Roman"/>
        </w:rPr>
        <w:t>,</w:t>
      </w:r>
      <w:r w:rsidR="001469FE" w:rsidRPr="00B213DB">
        <w:rPr>
          <w:rFonts w:ascii="Times New Roman" w:hAnsi="Times New Roman"/>
        </w:rPr>
        <w:t xml:space="preserve"> which measures the probability that the allocation is random</w:t>
      </w:r>
      <w:r w:rsidR="00646EE0" w:rsidRPr="00B213DB">
        <w:rPr>
          <w:rFonts w:ascii="Times New Roman" w:hAnsi="Times New Roman"/>
        </w:rPr>
        <w:t>.</w:t>
      </w:r>
    </w:p>
    <w:p w:rsidR="00805718" w:rsidRDefault="005B53D7" w:rsidP="008D0389">
      <w:pPr>
        <w:spacing w:after="120" w:line="360" w:lineRule="auto"/>
        <w:rPr>
          <w:rFonts w:ascii="Times New Roman" w:hAnsi="Times New Roman"/>
        </w:rPr>
      </w:pPr>
      <w:r w:rsidRPr="00B213DB">
        <w:rPr>
          <w:rFonts w:ascii="Times New Roman" w:hAnsi="Times New Roman"/>
        </w:rPr>
        <w:t>For example, while the p</w:t>
      </w:r>
      <w:r w:rsidR="004C44EB" w:rsidRPr="00B213DB">
        <w:rPr>
          <w:rFonts w:ascii="Times New Roman" w:hAnsi="Times New Roman"/>
        </w:rPr>
        <w:t>attern of performance of the 160</w:t>
      </w:r>
      <w:r w:rsidRPr="00B213DB">
        <w:rPr>
          <w:rFonts w:ascii="Times New Roman" w:hAnsi="Times New Roman"/>
        </w:rPr>
        <w:t xml:space="preserve"> </w:t>
      </w:r>
      <w:r w:rsidR="00B47BDF">
        <w:rPr>
          <w:rFonts w:ascii="Times New Roman" w:hAnsi="Times New Roman"/>
        </w:rPr>
        <w:t>funds</w:t>
      </w:r>
      <w:r w:rsidRPr="00B213DB">
        <w:rPr>
          <w:rFonts w:ascii="Times New Roman" w:hAnsi="Times New Roman"/>
        </w:rPr>
        <w:t xml:space="preserve"> presented</w:t>
      </w:r>
      <w:r w:rsidR="005F0DC3" w:rsidRPr="00B213DB">
        <w:rPr>
          <w:rFonts w:ascii="Times New Roman" w:hAnsi="Times New Roman"/>
        </w:rPr>
        <w:t xml:space="preserve"> in </w:t>
      </w:r>
      <w:r w:rsidR="00B47BDF">
        <w:rPr>
          <w:rFonts w:ascii="Times New Roman" w:hAnsi="Times New Roman"/>
        </w:rPr>
        <w:t>Figure 7</w:t>
      </w:r>
      <w:r w:rsidRPr="00B213DB">
        <w:rPr>
          <w:rFonts w:ascii="Times New Roman" w:hAnsi="Times New Roman"/>
        </w:rPr>
        <w:t xml:space="preserve">, exactly matches the Consistent Pattern of Performance, </w:t>
      </w:r>
      <w:r w:rsidR="00646EE0" w:rsidRPr="00B213DB">
        <w:rPr>
          <w:rFonts w:ascii="Times New Roman" w:hAnsi="Times New Roman"/>
        </w:rPr>
        <w:t xml:space="preserve">the values (number of </w:t>
      </w:r>
      <w:r w:rsidR="00B47BDF">
        <w:rPr>
          <w:rFonts w:ascii="Times New Roman" w:hAnsi="Times New Roman"/>
        </w:rPr>
        <w:t>funds</w:t>
      </w:r>
      <w:r w:rsidR="00646EE0" w:rsidRPr="00B213DB">
        <w:rPr>
          <w:rFonts w:ascii="Times New Roman" w:hAnsi="Times New Roman"/>
        </w:rPr>
        <w:t>) are not sufficient</w:t>
      </w:r>
      <w:r w:rsidR="00225AEF" w:rsidRPr="00B213DB">
        <w:rPr>
          <w:rFonts w:ascii="Times New Roman" w:hAnsi="Times New Roman"/>
        </w:rPr>
        <w:t xml:space="preserve">ly different from the mean of </w:t>
      </w:r>
      <w:r w:rsidR="004C44EB" w:rsidRPr="00B213DB">
        <w:rPr>
          <w:rFonts w:ascii="Times New Roman" w:hAnsi="Times New Roman"/>
        </w:rPr>
        <w:t>10</w:t>
      </w:r>
      <w:r w:rsidR="00225AEF" w:rsidRPr="00B213DB">
        <w:rPr>
          <w:rFonts w:ascii="Times New Roman" w:hAnsi="Times New Roman"/>
        </w:rPr>
        <w:t xml:space="preserve"> per cell</w:t>
      </w:r>
      <w:r w:rsidR="00646EE0" w:rsidRPr="00B213DB">
        <w:rPr>
          <w:rFonts w:ascii="Times New Roman" w:hAnsi="Times New Roman"/>
        </w:rPr>
        <w:t xml:space="preserve"> to be statistically different from a random allocation (</w:t>
      </w:r>
      <w:proofErr w:type="spellStart"/>
      <w:r w:rsidR="001469FE" w:rsidRPr="00B213DB">
        <w:rPr>
          <w:rFonts w:ascii="Times New Roman" w:hAnsi="Times New Roman"/>
        </w:rPr>
        <w:t>χ2</w:t>
      </w:r>
      <w:proofErr w:type="spellEnd"/>
      <w:r w:rsidR="001469FE" w:rsidRPr="00B213DB">
        <w:rPr>
          <w:rFonts w:ascii="Times New Roman" w:hAnsi="Times New Roman"/>
        </w:rPr>
        <w:t xml:space="preserve"> </w:t>
      </w:r>
      <w:r w:rsidR="004C44EB" w:rsidRPr="00B213DB">
        <w:rPr>
          <w:rFonts w:ascii="Times New Roman" w:hAnsi="Times New Roman"/>
        </w:rPr>
        <w:t>= 0.996</w:t>
      </w:r>
      <w:r w:rsidR="00646EE0" w:rsidRPr="00B213DB">
        <w:rPr>
          <w:rFonts w:ascii="Times New Roman" w:hAnsi="Times New Roman"/>
        </w:rPr>
        <w:t>).</w:t>
      </w:r>
    </w:p>
    <w:p w:rsidR="00683B88" w:rsidRDefault="00683B88" w:rsidP="008D0389">
      <w:pPr>
        <w:spacing w:after="120" w:line="360" w:lineRule="auto"/>
        <w:rPr>
          <w:rFonts w:ascii="Times New Roman" w:hAnsi="Times New Roman"/>
        </w:rPr>
      </w:pPr>
    </w:p>
    <w:p w:rsidR="00683B88" w:rsidRDefault="00683B88" w:rsidP="008D0389">
      <w:pPr>
        <w:spacing w:after="120" w:line="360" w:lineRule="auto"/>
        <w:rPr>
          <w:rFonts w:ascii="Times New Roman" w:hAnsi="Times New Roman"/>
        </w:rPr>
      </w:pPr>
    </w:p>
    <w:p w:rsidR="00683B88" w:rsidRPr="00B213DB" w:rsidRDefault="00683B88" w:rsidP="008D0389">
      <w:pPr>
        <w:spacing w:after="120" w:line="360" w:lineRule="auto"/>
        <w:rPr>
          <w:rFonts w:ascii="Times New Roman" w:hAnsi="Times New Roman"/>
        </w:rPr>
      </w:pPr>
    </w:p>
    <w:p w:rsidR="005B53D7" w:rsidRPr="00B213DB" w:rsidRDefault="00B47BDF" w:rsidP="008B481C">
      <w:pPr>
        <w:rPr>
          <w:rFonts w:ascii="Times New Roman" w:hAnsi="Times New Roman"/>
          <w:b/>
        </w:rPr>
      </w:pPr>
      <w:r>
        <w:rPr>
          <w:rFonts w:ascii="Times New Roman" w:hAnsi="Times New Roman"/>
          <w:b/>
        </w:rPr>
        <w:lastRenderedPageBreak/>
        <w:t>Figure 7</w:t>
      </w:r>
    </w:p>
    <w:p w:rsidR="005B53D7" w:rsidRPr="00B213DB" w:rsidRDefault="005B53D7" w:rsidP="008B481C">
      <w:pPr>
        <w:rPr>
          <w:rFonts w:ascii="Times New Roman" w:hAnsi="Times New Roman"/>
        </w:rPr>
      </w:pPr>
    </w:p>
    <w:tbl>
      <w:tblPr>
        <w:tblW w:w="422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20" w:firstRow="1" w:lastRow="0" w:firstColumn="0" w:lastColumn="0" w:noHBand="0" w:noVBand="1"/>
      </w:tblPr>
      <w:tblGrid>
        <w:gridCol w:w="594"/>
        <w:gridCol w:w="594"/>
        <w:gridCol w:w="760"/>
        <w:gridCol w:w="760"/>
        <w:gridCol w:w="760"/>
        <w:gridCol w:w="760"/>
      </w:tblGrid>
      <w:tr w:rsidR="005B53D7" w:rsidRPr="00B213DB" w:rsidTr="00214C01">
        <w:trPr>
          <w:trHeight w:val="397"/>
          <w:jc w:val="center"/>
        </w:trPr>
        <w:tc>
          <w:tcPr>
            <w:tcW w:w="454" w:type="dxa"/>
            <w:tcBorders>
              <w:top w:val="nil"/>
              <w:left w:val="nil"/>
              <w:bottom w:val="nil"/>
              <w:right w:val="nil"/>
            </w:tcBorders>
          </w:tcPr>
          <w:p w:rsidR="005B53D7" w:rsidRPr="00B213DB" w:rsidRDefault="005B53D7" w:rsidP="005B53D7">
            <w:pPr>
              <w:jc w:val="center"/>
              <w:rPr>
                <w:rFonts w:ascii="Times New Roman" w:hAnsi="Times New Roman"/>
              </w:rPr>
            </w:pPr>
          </w:p>
        </w:tc>
        <w:tc>
          <w:tcPr>
            <w:tcW w:w="454" w:type="dxa"/>
            <w:tcBorders>
              <w:top w:val="nil"/>
              <w:left w:val="nil"/>
              <w:bottom w:val="nil"/>
              <w:right w:val="single" w:sz="8" w:space="0" w:color="000000"/>
            </w:tcBorders>
            <w:vAlign w:val="center"/>
          </w:tcPr>
          <w:p w:rsidR="005B53D7" w:rsidRPr="00B213DB" w:rsidRDefault="005B53D7" w:rsidP="005B53D7">
            <w:pPr>
              <w:jc w:val="center"/>
              <w:rPr>
                <w:rFonts w:ascii="Times New Roman" w:hAnsi="Times New Roman"/>
              </w:rPr>
            </w:pPr>
          </w:p>
        </w:tc>
        <w:tc>
          <w:tcPr>
            <w:tcW w:w="454" w:type="dxa"/>
            <w:gridSpan w:val="4"/>
            <w:tcBorders>
              <w:left w:val="single" w:sz="8" w:space="0" w:color="000000"/>
            </w:tcBorders>
            <w:shd w:val="clear" w:color="auto" w:fill="auto"/>
            <w:tcMar>
              <w:top w:w="72" w:type="dxa"/>
              <w:left w:w="144" w:type="dxa"/>
              <w:bottom w:w="72" w:type="dxa"/>
              <w:right w:w="144" w:type="dxa"/>
            </w:tcMar>
            <w:vAlign w:val="center"/>
          </w:tcPr>
          <w:p w:rsidR="005B53D7" w:rsidRPr="00B213DB" w:rsidRDefault="005B53D7" w:rsidP="005B53D7">
            <w:pPr>
              <w:jc w:val="center"/>
              <w:rPr>
                <w:rFonts w:ascii="Times New Roman" w:hAnsi="Times New Roman"/>
              </w:rPr>
            </w:pPr>
            <w:r w:rsidRPr="00B213DB">
              <w:rPr>
                <w:rFonts w:ascii="Times New Roman" w:hAnsi="Times New Roman"/>
              </w:rPr>
              <w:t>Period 2</w:t>
            </w:r>
          </w:p>
        </w:tc>
      </w:tr>
      <w:tr w:rsidR="005B53D7" w:rsidRPr="00B213DB" w:rsidTr="00214C01">
        <w:trPr>
          <w:trHeight w:val="397"/>
          <w:jc w:val="center"/>
        </w:trPr>
        <w:tc>
          <w:tcPr>
            <w:tcW w:w="454" w:type="dxa"/>
            <w:tcBorders>
              <w:top w:val="nil"/>
              <w:left w:val="nil"/>
              <w:bottom w:val="single" w:sz="8" w:space="0" w:color="000000"/>
              <w:right w:val="nil"/>
            </w:tcBorders>
          </w:tcPr>
          <w:p w:rsidR="005B53D7" w:rsidRPr="00B213DB" w:rsidRDefault="005B53D7" w:rsidP="005B53D7">
            <w:pPr>
              <w:jc w:val="center"/>
              <w:rPr>
                <w:rFonts w:ascii="Times New Roman" w:hAnsi="Times New Roman"/>
              </w:rPr>
            </w:pPr>
          </w:p>
        </w:tc>
        <w:tc>
          <w:tcPr>
            <w:tcW w:w="454" w:type="dxa"/>
            <w:tcBorders>
              <w:top w:val="nil"/>
              <w:left w:val="nil"/>
              <w:bottom w:val="single" w:sz="8" w:space="0" w:color="000000"/>
              <w:right w:val="single" w:sz="8" w:space="0" w:color="000000"/>
            </w:tcBorders>
            <w:vAlign w:val="center"/>
          </w:tcPr>
          <w:p w:rsidR="005B53D7" w:rsidRPr="00B213DB" w:rsidRDefault="005B53D7" w:rsidP="005B53D7">
            <w:pPr>
              <w:jc w:val="center"/>
              <w:rPr>
                <w:rFonts w:ascii="Times New Roman" w:hAnsi="Times New Roman"/>
              </w:rPr>
            </w:pPr>
          </w:p>
        </w:tc>
        <w:tc>
          <w:tcPr>
            <w:tcW w:w="454" w:type="dxa"/>
            <w:tcBorders>
              <w:left w:val="single" w:sz="8" w:space="0" w:color="000000"/>
            </w:tcBorders>
            <w:shd w:val="clear" w:color="auto" w:fill="auto"/>
            <w:tcMar>
              <w:top w:w="72" w:type="dxa"/>
              <w:left w:w="144" w:type="dxa"/>
              <w:bottom w:w="72" w:type="dxa"/>
              <w:right w:w="144" w:type="dxa"/>
            </w:tcMar>
            <w:vAlign w:val="center"/>
          </w:tcPr>
          <w:p w:rsidR="005B53D7" w:rsidRPr="00B213DB" w:rsidRDefault="005B53D7" w:rsidP="005B53D7">
            <w:pPr>
              <w:jc w:val="center"/>
              <w:rPr>
                <w:rFonts w:ascii="Times New Roman" w:hAnsi="Times New Roman"/>
              </w:rPr>
            </w:pPr>
            <w:proofErr w:type="spellStart"/>
            <w:r w:rsidRPr="00B213DB">
              <w:rPr>
                <w:rFonts w:ascii="Times New Roman" w:hAnsi="Times New Roman"/>
              </w:rPr>
              <w:t>Q1</w:t>
            </w:r>
            <w:proofErr w:type="spellEnd"/>
          </w:p>
        </w:tc>
        <w:tc>
          <w:tcPr>
            <w:tcW w:w="454" w:type="dxa"/>
            <w:shd w:val="clear" w:color="auto" w:fill="auto"/>
            <w:tcMar>
              <w:top w:w="72" w:type="dxa"/>
              <w:left w:w="144" w:type="dxa"/>
              <w:bottom w:w="72" w:type="dxa"/>
              <w:right w:w="144" w:type="dxa"/>
            </w:tcMar>
            <w:vAlign w:val="center"/>
          </w:tcPr>
          <w:p w:rsidR="005B53D7" w:rsidRPr="00B213DB" w:rsidRDefault="005B53D7" w:rsidP="005B53D7">
            <w:pPr>
              <w:jc w:val="center"/>
              <w:rPr>
                <w:rFonts w:ascii="Times New Roman" w:hAnsi="Times New Roman"/>
              </w:rPr>
            </w:pPr>
            <w:proofErr w:type="spellStart"/>
            <w:r w:rsidRPr="00B213DB">
              <w:rPr>
                <w:rFonts w:ascii="Times New Roman" w:hAnsi="Times New Roman"/>
              </w:rPr>
              <w:t>Q2</w:t>
            </w:r>
            <w:proofErr w:type="spellEnd"/>
          </w:p>
        </w:tc>
        <w:tc>
          <w:tcPr>
            <w:tcW w:w="454" w:type="dxa"/>
            <w:shd w:val="clear" w:color="auto" w:fill="auto"/>
            <w:tcMar>
              <w:top w:w="72" w:type="dxa"/>
              <w:left w:w="144" w:type="dxa"/>
              <w:bottom w:w="72" w:type="dxa"/>
              <w:right w:w="144" w:type="dxa"/>
            </w:tcMar>
            <w:vAlign w:val="center"/>
          </w:tcPr>
          <w:p w:rsidR="005B53D7" w:rsidRPr="00B213DB" w:rsidRDefault="005B53D7" w:rsidP="005B53D7">
            <w:pPr>
              <w:jc w:val="center"/>
              <w:rPr>
                <w:rFonts w:ascii="Times New Roman" w:hAnsi="Times New Roman"/>
              </w:rPr>
            </w:pPr>
            <w:proofErr w:type="spellStart"/>
            <w:r w:rsidRPr="00B213DB">
              <w:rPr>
                <w:rFonts w:ascii="Times New Roman" w:hAnsi="Times New Roman"/>
              </w:rPr>
              <w:t>Q3</w:t>
            </w:r>
            <w:proofErr w:type="spellEnd"/>
          </w:p>
        </w:tc>
        <w:tc>
          <w:tcPr>
            <w:tcW w:w="454" w:type="dxa"/>
            <w:shd w:val="clear" w:color="auto" w:fill="auto"/>
            <w:tcMar>
              <w:top w:w="72" w:type="dxa"/>
              <w:left w:w="144" w:type="dxa"/>
              <w:bottom w:w="72" w:type="dxa"/>
              <w:right w:w="144" w:type="dxa"/>
            </w:tcMar>
            <w:vAlign w:val="center"/>
          </w:tcPr>
          <w:p w:rsidR="005B53D7" w:rsidRPr="00B213DB" w:rsidRDefault="005B53D7" w:rsidP="005B53D7">
            <w:pPr>
              <w:jc w:val="center"/>
              <w:rPr>
                <w:rFonts w:ascii="Times New Roman" w:hAnsi="Times New Roman"/>
              </w:rPr>
            </w:pPr>
            <w:proofErr w:type="spellStart"/>
            <w:r w:rsidRPr="00B213DB">
              <w:rPr>
                <w:rFonts w:ascii="Times New Roman" w:hAnsi="Times New Roman"/>
              </w:rPr>
              <w:t>A4</w:t>
            </w:r>
            <w:proofErr w:type="spellEnd"/>
          </w:p>
        </w:tc>
      </w:tr>
      <w:tr w:rsidR="005B53D7" w:rsidRPr="00B213DB" w:rsidTr="00214C01">
        <w:trPr>
          <w:trHeight w:val="397"/>
          <w:jc w:val="center"/>
        </w:trPr>
        <w:tc>
          <w:tcPr>
            <w:tcW w:w="454" w:type="dxa"/>
            <w:vMerge w:val="restart"/>
            <w:tcBorders>
              <w:top w:val="single" w:sz="8" w:space="0" w:color="000000"/>
            </w:tcBorders>
            <w:textDirection w:val="btLr"/>
            <w:vAlign w:val="center"/>
          </w:tcPr>
          <w:p w:rsidR="005B53D7" w:rsidRPr="00B213DB" w:rsidRDefault="005B53D7" w:rsidP="005B53D7">
            <w:pPr>
              <w:ind w:left="113" w:right="113"/>
              <w:jc w:val="center"/>
              <w:rPr>
                <w:rFonts w:ascii="Times New Roman" w:hAnsi="Times New Roman"/>
              </w:rPr>
            </w:pPr>
            <w:r w:rsidRPr="00B213DB">
              <w:rPr>
                <w:rFonts w:ascii="Times New Roman" w:hAnsi="Times New Roman"/>
              </w:rPr>
              <w:t>Period 1</w:t>
            </w:r>
          </w:p>
        </w:tc>
        <w:tc>
          <w:tcPr>
            <w:tcW w:w="454" w:type="dxa"/>
            <w:tcBorders>
              <w:top w:val="single" w:sz="8" w:space="0" w:color="000000"/>
            </w:tcBorders>
            <w:vAlign w:val="center"/>
          </w:tcPr>
          <w:p w:rsidR="005B53D7" w:rsidRPr="00B213DB" w:rsidRDefault="005B53D7" w:rsidP="005B53D7">
            <w:pPr>
              <w:jc w:val="center"/>
              <w:rPr>
                <w:rFonts w:ascii="Times New Roman" w:hAnsi="Times New Roman"/>
              </w:rPr>
            </w:pPr>
            <w:proofErr w:type="spellStart"/>
            <w:r w:rsidRPr="00B213DB">
              <w:rPr>
                <w:rFonts w:ascii="Times New Roman" w:hAnsi="Times New Roman"/>
              </w:rPr>
              <w:t>Q1</w:t>
            </w:r>
            <w:proofErr w:type="spellEnd"/>
          </w:p>
        </w:tc>
        <w:tc>
          <w:tcPr>
            <w:tcW w:w="454" w:type="dxa"/>
            <w:shd w:val="clear" w:color="auto" w:fill="auto"/>
            <w:tcMar>
              <w:top w:w="72" w:type="dxa"/>
              <w:left w:w="144" w:type="dxa"/>
              <w:bottom w:w="72" w:type="dxa"/>
              <w:right w:w="144" w:type="dxa"/>
            </w:tcMar>
            <w:vAlign w:val="center"/>
            <w:hideMark/>
          </w:tcPr>
          <w:p w:rsidR="005B53D7" w:rsidRPr="00B213DB" w:rsidRDefault="004C44EB" w:rsidP="005B53D7">
            <w:pPr>
              <w:jc w:val="center"/>
              <w:rPr>
                <w:rFonts w:ascii="Times New Roman" w:hAnsi="Times New Roman"/>
              </w:rPr>
            </w:pPr>
            <w:r w:rsidRPr="00B213DB">
              <w:rPr>
                <w:rFonts w:ascii="Times New Roman" w:hAnsi="Times New Roman"/>
              </w:rPr>
              <w:t>11</w:t>
            </w:r>
          </w:p>
        </w:tc>
        <w:tc>
          <w:tcPr>
            <w:tcW w:w="454" w:type="dxa"/>
            <w:shd w:val="clear" w:color="auto" w:fill="auto"/>
            <w:tcMar>
              <w:top w:w="72" w:type="dxa"/>
              <w:left w:w="144" w:type="dxa"/>
              <w:bottom w:w="72" w:type="dxa"/>
              <w:right w:w="144" w:type="dxa"/>
            </w:tcMar>
            <w:vAlign w:val="center"/>
            <w:hideMark/>
          </w:tcPr>
          <w:p w:rsidR="005B53D7" w:rsidRPr="00B213DB" w:rsidRDefault="004C44EB" w:rsidP="005B53D7">
            <w:pPr>
              <w:jc w:val="center"/>
              <w:rPr>
                <w:rFonts w:ascii="Times New Roman" w:hAnsi="Times New Roman"/>
              </w:rPr>
            </w:pPr>
            <w:r w:rsidRPr="00B213DB">
              <w:rPr>
                <w:rFonts w:ascii="Times New Roman" w:hAnsi="Times New Roman"/>
              </w:rPr>
              <w:t>9</w:t>
            </w:r>
          </w:p>
        </w:tc>
        <w:tc>
          <w:tcPr>
            <w:tcW w:w="454" w:type="dxa"/>
            <w:shd w:val="clear" w:color="auto" w:fill="auto"/>
            <w:tcMar>
              <w:top w:w="72" w:type="dxa"/>
              <w:left w:w="144" w:type="dxa"/>
              <w:bottom w:w="72" w:type="dxa"/>
              <w:right w:w="144" w:type="dxa"/>
            </w:tcMar>
            <w:vAlign w:val="center"/>
            <w:hideMark/>
          </w:tcPr>
          <w:p w:rsidR="005B53D7" w:rsidRPr="00B213DB" w:rsidRDefault="004C44EB" w:rsidP="005B53D7">
            <w:pPr>
              <w:jc w:val="center"/>
              <w:rPr>
                <w:rFonts w:ascii="Times New Roman" w:hAnsi="Times New Roman"/>
              </w:rPr>
            </w:pPr>
            <w:r w:rsidRPr="00B213DB">
              <w:rPr>
                <w:rFonts w:ascii="Times New Roman" w:hAnsi="Times New Roman"/>
              </w:rPr>
              <w:t>9</w:t>
            </w:r>
          </w:p>
        </w:tc>
        <w:tc>
          <w:tcPr>
            <w:tcW w:w="454" w:type="dxa"/>
            <w:shd w:val="clear" w:color="auto" w:fill="auto"/>
            <w:tcMar>
              <w:top w:w="72" w:type="dxa"/>
              <w:left w:w="144" w:type="dxa"/>
              <w:bottom w:w="72" w:type="dxa"/>
              <w:right w:w="144" w:type="dxa"/>
            </w:tcMar>
            <w:vAlign w:val="center"/>
            <w:hideMark/>
          </w:tcPr>
          <w:p w:rsidR="005B53D7" w:rsidRPr="00B213DB" w:rsidRDefault="004C44EB" w:rsidP="004C44EB">
            <w:pPr>
              <w:jc w:val="center"/>
              <w:rPr>
                <w:rFonts w:ascii="Times New Roman" w:hAnsi="Times New Roman"/>
              </w:rPr>
            </w:pPr>
            <w:r w:rsidRPr="00B213DB">
              <w:rPr>
                <w:rFonts w:ascii="Times New Roman" w:hAnsi="Times New Roman"/>
              </w:rPr>
              <w:t>11</w:t>
            </w:r>
          </w:p>
        </w:tc>
      </w:tr>
      <w:tr w:rsidR="005B53D7" w:rsidRPr="00B213DB" w:rsidTr="00214C01">
        <w:trPr>
          <w:trHeight w:val="397"/>
          <w:jc w:val="center"/>
        </w:trPr>
        <w:tc>
          <w:tcPr>
            <w:tcW w:w="454" w:type="dxa"/>
            <w:vMerge/>
          </w:tcPr>
          <w:p w:rsidR="005B53D7" w:rsidRPr="00B213DB" w:rsidRDefault="005B53D7" w:rsidP="005B53D7">
            <w:pPr>
              <w:jc w:val="center"/>
              <w:rPr>
                <w:rFonts w:ascii="Times New Roman" w:hAnsi="Times New Roman"/>
              </w:rPr>
            </w:pPr>
          </w:p>
        </w:tc>
        <w:tc>
          <w:tcPr>
            <w:tcW w:w="454" w:type="dxa"/>
            <w:vAlign w:val="center"/>
          </w:tcPr>
          <w:p w:rsidR="005B53D7" w:rsidRPr="00B213DB" w:rsidRDefault="005B53D7" w:rsidP="005B53D7">
            <w:pPr>
              <w:jc w:val="center"/>
              <w:rPr>
                <w:rFonts w:ascii="Times New Roman" w:hAnsi="Times New Roman"/>
              </w:rPr>
            </w:pPr>
            <w:proofErr w:type="spellStart"/>
            <w:r w:rsidRPr="00B213DB">
              <w:rPr>
                <w:rFonts w:ascii="Times New Roman" w:hAnsi="Times New Roman"/>
              </w:rPr>
              <w:t>Q2</w:t>
            </w:r>
            <w:proofErr w:type="spellEnd"/>
          </w:p>
        </w:tc>
        <w:tc>
          <w:tcPr>
            <w:tcW w:w="454" w:type="dxa"/>
            <w:shd w:val="clear" w:color="auto" w:fill="auto"/>
            <w:tcMar>
              <w:top w:w="72" w:type="dxa"/>
              <w:left w:w="144" w:type="dxa"/>
              <w:bottom w:w="72" w:type="dxa"/>
              <w:right w:w="144" w:type="dxa"/>
            </w:tcMar>
            <w:vAlign w:val="center"/>
            <w:hideMark/>
          </w:tcPr>
          <w:p w:rsidR="005B53D7" w:rsidRPr="00B213DB" w:rsidRDefault="004C44EB" w:rsidP="005B53D7">
            <w:pPr>
              <w:jc w:val="center"/>
              <w:rPr>
                <w:rFonts w:ascii="Times New Roman" w:hAnsi="Times New Roman"/>
              </w:rPr>
            </w:pPr>
            <w:r w:rsidRPr="00B213DB">
              <w:rPr>
                <w:rFonts w:ascii="Times New Roman" w:hAnsi="Times New Roman"/>
              </w:rPr>
              <w:t>9</w:t>
            </w:r>
          </w:p>
        </w:tc>
        <w:tc>
          <w:tcPr>
            <w:tcW w:w="454" w:type="dxa"/>
            <w:shd w:val="clear" w:color="auto" w:fill="auto"/>
            <w:tcMar>
              <w:top w:w="72" w:type="dxa"/>
              <w:left w:w="144" w:type="dxa"/>
              <w:bottom w:w="72" w:type="dxa"/>
              <w:right w:w="144" w:type="dxa"/>
            </w:tcMar>
            <w:vAlign w:val="center"/>
            <w:hideMark/>
          </w:tcPr>
          <w:p w:rsidR="005B53D7" w:rsidRPr="00B213DB" w:rsidRDefault="005B53D7" w:rsidP="005B53D7">
            <w:pPr>
              <w:jc w:val="center"/>
              <w:rPr>
                <w:rFonts w:ascii="Times New Roman" w:hAnsi="Times New Roman"/>
              </w:rPr>
            </w:pPr>
            <w:r w:rsidRPr="00B213DB">
              <w:rPr>
                <w:rFonts w:ascii="Times New Roman" w:hAnsi="Times New Roman"/>
              </w:rPr>
              <w:t>11</w:t>
            </w:r>
          </w:p>
        </w:tc>
        <w:tc>
          <w:tcPr>
            <w:tcW w:w="454" w:type="dxa"/>
            <w:shd w:val="clear" w:color="auto" w:fill="auto"/>
            <w:tcMar>
              <w:top w:w="72" w:type="dxa"/>
              <w:left w:w="144" w:type="dxa"/>
              <w:bottom w:w="72" w:type="dxa"/>
              <w:right w:w="144" w:type="dxa"/>
            </w:tcMar>
            <w:vAlign w:val="center"/>
            <w:hideMark/>
          </w:tcPr>
          <w:p w:rsidR="005B53D7" w:rsidRPr="00B213DB" w:rsidRDefault="005B53D7" w:rsidP="005B53D7">
            <w:pPr>
              <w:jc w:val="center"/>
              <w:rPr>
                <w:rFonts w:ascii="Times New Roman" w:hAnsi="Times New Roman"/>
              </w:rPr>
            </w:pPr>
            <w:r w:rsidRPr="00B213DB">
              <w:rPr>
                <w:rFonts w:ascii="Times New Roman" w:hAnsi="Times New Roman"/>
              </w:rPr>
              <w:t>11</w:t>
            </w:r>
          </w:p>
        </w:tc>
        <w:tc>
          <w:tcPr>
            <w:tcW w:w="454" w:type="dxa"/>
            <w:shd w:val="clear" w:color="auto" w:fill="auto"/>
            <w:tcMar>
              <w:top w:w="72" w:type="dxa"/>
              <w:left w:w="144" w:type="dxa"/>
              <w:bottom w:w="72" w:type="dxa"/>
              <w:right w:w="144" w:type="dxa"/>
            </w:tcMar>
            <w:vAlign w:val="center"/>
            <w:hideMark/>
          </w:tcPr>
          <w:p w:rsidR="005B53D7" w:rsidRPr="00B213DB" w:rsidRDefault="004C44EB" w:rsidP="005B53D7">
            <w:pPr>
              <w:jc w:val="center"/>
              <w:rPr>
                <w:rFonts w:ascii="Times New Roman" w:hAnsi="Times New Roman"/>
              </w:rPr>
            </w:pPr>
            <w:r w:rsidRPr="00B213DB">
              <w:rPr>
                <w:rFonts w:ascii="Times New Roman" w:hAnsi="Times New Roman"/>
              </w:rPr>
              <w:t>9</w:t>
            </w:r>
          </w:p>
        </w:tc>
      </w:tr>
      <w:tr w:rsidR="005B53D7" w:rsidRPr="00B213DB" w:rsidTr="00214C01">
        <w:trPr>
          <w:trHeight w:val="397"/>
          <w:jc w:val="center"/>
        </w:trPr>
        <w:tc>
          <w:tcPr>
            <w:tcW w:w="454" w:type="dxa"/>
            <w:vMerge/>
          </w:tcPr>
          <w:p w:rsidR="005B53D7" w:rsidRPr="00B213DB" w:rsidRDefault="005B53D7" w:rsidP="005B53D7">
            <w:pPr>
              <w:jc w:val="center"/>
              <w:rPr>
                <w:rFonts w:ascii="Times New Roman" w:hAnsi="Times New Roman"/>
              </w:rPr>
            </w:pPr>
          </w:p>
        </w:tc>
        <w:tc>
          <w:tcPr>
            <w:tcW w:w="454" w:type="dxa"/>
            <w:vAlign w:val="center"/>
          </w:tcPr>
          <w:p w:rsidR="005B53D7" w:rsidRPr="00B213DB" w:rsidRDefault="005B53D7" w:rsidP="005B53D7">
            <w:pPr>
              <w:jc w:val="center"/>
              <w:rPr>
                <w:rFonts w:ascii="Times New Roman" w:hAnsi="Times New Roman"/>
              </w:rPr>
            </w:pPr>
            <w:proofErr w:type="spellStart"/>
            <w:r w:rsidRPr="00B213DB">
              <w:rPr>
                <w:rFonts w:ascii="Times New Roman" w:hAnsi="Times New Roman"/>
              </w:rPr>
              <w:t>Q3</w:t>
            </w:r>
            <w:proofErr w:type="spellEnd"/>
          </w:p>
        </w:tc>
        <w:tc>
          <w:tcPr>
            <w:tcW w:w="454" w:type="dxa"/>
            <w:shd w:val="clear" w:color="auto" w:fill="auto"/>
            <w:tcMar>
              <w:top w:w="72" w:type="dxa"/>
              <w:left w:w="144" w:type="dxa"/>
              <w:bottom w:w="72" w:type="dxa"/>
              <w:right w:w="144" w:type="dxa"/>
            </w:tcMar>
            <w:vAlign w:val="center"/>
            <w:hideMark/>
          </w:tcPr>
          <w:p w:rsidR="005B53D7" w:rsidRPr="00B213DB" w:rsidRDefault="004C44EB" w:rsidP="005B53D7">
            <w:pPr>
              <w:jc w:val="center"/>
              <w:rPr>
                <w:rFonts w:ascii="Times New Roman" w:hAnsi="Times New Roman"/>
              </w:rPr>
            </w:pPr>
            <w:r w:rsidRPr="00B213DB">
              <w:rPr>
                <w:rFonts w:ascii="Times New Roman" w:hAnsi="Times New Roman"/>
              </w:rPr>
              <w:t>9</w:t>
            </w:r>
          </w:p>
        </w:tc>
        <w:tc>
          <w:tcPr>
            <w:tcW w:w="454" w:type="dxa"/>
            <w:shd w:val="clear" w:color="auto" w:fill="auto"/>
            <w:tcMar>
              <w:top w:w="72" w:type="dxa"/>
              <w:left w:w="144" w:type="dxa"/>
              <w:bottom w:w="72" w:type="dxa"/>
              <w:right w:w="144" w:type="dxa"/>
            </w:tcMar>
            <w:vAlign w:val="center"/>
            <w:hideMark/>
          </w:tcPr>
          <w:p w:rsidR="005B53D7" w:rsidRPr="00B213DB" w:rsidRDefault="005B53D7" w:rsidP="005B53D7">
            <w:pPr>
              <w:jc w:val="center"/>
              <w:rPr>
                <w:rFonts w:ascii="Times New Roman" w:hAnsi="Times New Roman"/>
              </w:rPr>
            </w:pPr>
            <w:r w:rsidRPr="00B213DB">
              <w:rPr>
                <w:rFonts w:ascii="Times New Roman" w:hAnsi="Times New Roman"/>
              </w:rPr>
              <w:t>11</w:t>
            </w:r>
          </w:p>
        </w:tc>
        <w:tc>
          <w:tcPr>
            <w:tcW w:w="454" w:type="dxa"/>
            <w:shd w:val="clear" w:color="auto" w:fill="auto"/>
            <w:tcMar>
              <w:top w:w="72" w:type="dxa"/>
              <w:left w:w="144" w:type="dxa"/>
              <w:bottom w:w="72" w:type="dxa"/>
              <w:right w:w="144" w:type="dxa"/>
            </w:tcMar>
            <w:vAlign w:val="center"/>
            <w:hideMark/>
          </w:tcPr>
          <w:p w:rsidR="005B53D7" w:rsidRPr="00B213DB" w:rsidRDefault="005B53D7" w:rsidP="005B53D7">
            <w:pPr>
              <w:jc w:val="center"/>
              <w:rPr>
                <w:rFonts w:ascii="Times New Roman" w:hAnsi="Times New Roman"/>
              </w:rPr>
            </w:pPr>
            <w:r w:rsidRPr="00B213DB">
              <w:rPr>
                <w:rFonts w:ascii="Times New Roman" w:hAnsi="Times New Roman"/>
              </w:rPr>
              <w:t>11</w:t>
            </w:r>
          </w:p>
        </w:tc>
        <w:tc>
          <w:tcPr>
            <w:tcW w:w="454" w:type="dxa"/>
            <w:shd w:val="clear" w:color="auto" w:fill="auto"/>
            <w:tcMar>
              <w:top w:w="72" w:type="dxa"/>
              <w:left w:w="144" w:type="dxa"/>
              <w:bottom w:w="72" w:type="dxa"/>
              <w:right w:w="144" w:type="dxa"/>
            </w:tcMar>
            <w:vAlign w:val="center"/>
            <w:hideMark/>
          </w:tcPr>
          <w:p w:rsidR="005B53D7" w:rsidRPr="00B213DB" w:rsidRDefault="004C44EB" w:rsidP="005B53D7">
            <w:pPr>
              <w:jc w:val="center"/>
              <w:rPr>
                <w:rFonts w:ascii="Times New Roman" w:hAnsi="Times New Roman"/>
              </w:rPr>
            </w:pPr>
            <w:r w:rsidRPr="00B213DB">
              <w:rPr>
                <w:rFonts w:ascii="Times New Roman" w:hAnsi="Times New Roman"/>
              </w:rPr>
              <w:t>9</w:t>
            </w:r>
          </w:p>
        </w:tc>
      </w:tr>
      <w:tr w:rsidR="005B53D7" w:rsidRPr="00B213DB" w:rsidTr="00214C01">
        <w:trPr>
          <w:trHeight w:val="397"/>
          <w:jc w:val="center"/>
        </w:trPr>
        <w:tc>
          <w:tcPr>
            <w:tcW w:w="454" w:type="dxa"/>
            <w:vMerge/>
          </w:tcPr>
          <w:p w:rsidR="005B53D7" w:rsidRPr="00B213DB" w:rsidRDefault="005B53D7" w:rsidP="005B53D7">
            <w:pPr>
              <w:jc w:val="center"/>
              <w:rPr>
                <w:rFonts w:ascii="Times New Roman" w:hAnsi="Times New Roman"/>
              </w:rPr>
            </w:pPr>
          </w:p>
        </w:tc>
        <w:tc>
          <w:tcPr>
            <w:tcW w:w="454" w:type="dxa"/>
            <w:vAlign w:val="center"/>
          </w:tcPr>
          <w:p w:rsidR="005B53D7" w:rsidRPr="00B213DB" w:rsidRDefault="005B53D7" w:rsidP="005B53D7">
            <w:pPr>
              <w:jc w:val="center"/>
              <w:rPr>
                <w:rFonts w:ascii="Times New Roman" w:hAnsi="Times New Roman"/>
              </w:rPr>
            </w:pPr>
            <w:proofErr w:type="spellStart"/>
            <w:r w:rsidRPr="00B213DB">
              <w:rPr>
                <w:rFonts w:ascii="Times New Roman" w:hAnsi="Times New Roman"/>
              </w:rPr>
              <w:t>Q4</w:t>
            </w:r>
            <w:proofErr w:type="spellEnd"/>
          </w:p>
        </w:tc>
        <w:tc>
          <w:tcPr>
            <w:tcW w:w="454" w:type="dxa"/>
            <w:shd w:val="clear" w:color="auto" w:fill="auto"/>
            <w:tcMar>
              <w:top w:w="72" w:type="dxa"/>
              <w:left w:w="144" w:type="dxa"/>
              <w:bottom w:w="72" w:type="dxa"/>
              <w:right w:w="144" w:type="dxa"/>
            </w:tcMar>
            <w:vAlign w:val="center"/>
            <w:hideMark/>
          </w:tcPr>
          <w:p w:rsidR="005B53D7" w:rsidRPr="00B213DB" w:rsidRDefault="005B53D7" w:rsidP="005B53D7">
            <w:pPr>
              <w:jc w:val="center"/>
              <w:rPr>
                <w:rFonts w:ascii="Times New Roman" w:hAnsi="Times New Roman"/>
              </w:rPr>
            </w:pPr>
            <w:r w:rsidRPr="00B213DB">
              <w:rPr>
                <w:rFonts w:ascii="Times New Roman" w:hAnsi="Times New Roman"/>
              </w:rPr>
              <w:t>11</w:t>
            </w:r>
          </w:p>
        </w:tc>
        <w:tc>
          <w:tcPr>
            <w:tcW w:w="454" w:type="dxa"/>
            <w:shd w:val="clear" w:color="auto" w:fill="auto"/>
            <w:tcMar>
              <w:top w:w="72" w:type="dxa"/>
              <w:left w:w="144" w:type="dxa"/>
              <w:bottom w:w="72" w:type="dxa"/>
              <w:right w:w="144" w:type="dxa"/>
            </w:tcMar>
            <w:vAlign w:val="center"/>
            <w:hideMark/>
          </w:tcPr>
          <w:p w:rsidR="005B53D7" w:rsidRPr="00B213DB" w:rsidRDefault="004C44EB" w:rsidP="005B53D7">
            <w:pPr>
              <w:jc w:val="center"/>
              <w:rPr>
                <w:rFonts w:ascii="Times New Roman" w:hAnsi="Times New Roman"/>
              </w:rPr>
            </w:pPr>
            <w:r w:rsidRPr="00B213DB">
              <w:rPr>
                <w:rFonts w:ascii="Times New Roman" w:hAnsi="Times New Roman"/>
              </w:rPr>
              <w:t>9</w:t>
            </w:r>
          </w:p>
        </w:tc>
        <w:tc>
          <w:tcPr>
            <w:tcW w:w="454" w:type="dxa"/>
            <w:shd w:val="clear" w:color="auto" w:fill="auto"/>
            <w:tcMar>
              <w:top w:w="72" w:type="dxa"/>
              <w:left w:w="144" w:type="dxa"/>
              <w:bottom w:w="72" w:type="dxa"/>
              <w:right w:w="144" w:type="dxa"/>
            </w:tcMar>
            <w:vAlign w:val="center"/>
            <w:hideMark/>
          </w:tcPr>
          <w:p w:rsidR="005B53D7" w:rsidRPr="00B213DB" w:rsidRDefault="004C44EB" w:rsidP="005B53D7">
            <w:pPr>
              <w:jc w:val="center"/>
              <w:rPr>
                <w:rFonts w:ascii="Times New Roman" w:hAnsi="Times New Roman"/>
              </w:rPr>
            </w:pPr>
            <w:r w:rsidRPr="00B213DB">
              <w:rPr>
                <w:rFonts w:ascii="Times New Roman" w:hAnsi="Times New Roman"/>
              </w:rPr>
              <w:t>9</w:t>
            </w:r>
          </w:p>
        </w:tc>
        <w:tc>
          <w:tcPr>
            <w:tcW w:w="454" w:type="dxa"/>
            <w:shd w:val="clear" w:color="auto" w:fill="auto"/>
            <w:tcMar>
              <w:top w:w="72" w:type="dxa"/>
              <w:left w:w="144" w:type="dxa"/>
              <w:bottom w:w="72" w:type="dxa"/>
              <w:right w:w="144" w:type="dxa"/>
            </w:tcMar>
            <w:vAlign w:val="center"/>
            <w:hideMark/>
          </w:tcPr>
          <w:p w:rsidR="005B53D7" w:rsidRPr="00B213DB" w:rsidRDefault="005B53D7" w:rsidP="005B53D7">
            <w:pPr>
              <w:jc w:val="center"/>
              <w:rPr>
                <w:rFonts w:ascii="Times New Roman" w:hAnsi="Times New Roman"/>
              </w:rPr>
            </w:pPr>
            <w:r w:rsidRPr="00B213DB">
              <w:rPr>
                <w:rFonts w:ascii="Times New Roman" w:hAnsi="Times New Roman"/>
              </w:rPr>
              <w:t>11</w:t>
            </w:r>
          </w:p>
        </w:tc>
      </w:tr>
    </w:tbl>
    <w:p w:rsidR="00965FA9" w:rsidRPr="00B213DB" w:rsidRDefault="00965FA9" w:rsidP="008B481C">
      <w:pPr>
        <w:rPr>
          <w:rFonts w:ascii="Times New Roman" w:hAnsi="Times New Roman"/>
        </w:rPr>
      </w:pPr>
    </w:p>
    <w:p w:rsidR="00BB3C72" w:rsidRDefault="00BB3C72" w:rsidP="008B481C">
      <w:pPr>
        <w:rPr>
          <w:rFonts w:ascii="Times New Roman" w:hAnsi="Times New Roman"/>
        </w:rPr>
      </w:pPr>
    </w:p>
    <w:p w:rsidR="00741EE6" w:rsidRPr="00741EE6" w:rsidRDefault="00741EE6" w:rsidP="00741EE6">
      <w:pPr>
        <w:spacing w:after="120" w:line="360" w:lineRule="auto"/>
        <w:rPr>
          <w:rFonts w:ascii="Times New Roman" w:hAnsi="Times New Roman"/>
        </w:rPr>
      </w:pPr>
      <w:r>
        <w:rPr>
          <w:rFonts w:ascii="Times New Roman" w:hAnsi="Times New Roman"/>
        </w:rPr>
        <w:t>Therefore</w:t>
      </w:r>
      <w:r w:rsidRPr="00741EE6">
        <w:rPr>
          <w:rFonts w:ascii="Times New Roman" w:hAnsi="Times New Roman"/>
        </w:rPr>
        <w:t xml:space="preserve"> we can</w:t>
      </w:r>
      <w:r>
        <w:rPr>
          <w:rFonts w:ascii="Times New Roman" w:hAnsi="Times New Roman"/>
        </w:rPr>
        <w:t xml:space="preserve"> now</w:t>
      </w:r>
      <w:r w:rsidRPr="00741EE6">
        <w:rPr>
          <w:rFonts w:ascii="Times New Roman" w:hAnsi="Times New Roman"/>
        </w:rPr>
        <w:t>:</w:t>
      </w:r>
    </w:p>
    <w:p w:rsidR="00F67FA2" w:rsidRPr="00741EE6" w:rsidRDefault="00741EE6" w:rsidP="00741EE6">
      <w:pPr>
        <w:numPr>
          <w:ilvl w:val="0"/>
          <w:numId w:val="15"/>
        </w:numPr>
        <w:spacing w:after="120" w:line="360" w:lineRule="auto"/>
        <w:rPr>
          <w:rFonts w:ascii="Times New Roman" w:hAnsi="Times New Roman"/>
        </w:rPr>
      </w:pPr>
      <w:r w:rsidRPr="00741EE6">
        <w:rPr>
          <w:rFonts w:ascii="Times New Roman" w:hAnsi="Times New Roman"/>
          <w:b/>
          <w:bCs/>
        </w:rPr>
        <w:t>Identify</w:t>
      </w:r>
      <w:r w:rsidRPr="00741EE6">
        <w:rPr>
          <w:rFonts w:ascii="Times New Roman" w:hAnsi="Times New Roman"/>
        </w:rPr>
        <w:t xml:space="preserve"> the overall ‘</w:t>
      </w:r>
      <w:r w:rsidRPr="00741EE6">
        <w:rPr>
          <w:rFonts w:ascii="Times New Roman" w:hAnsi="Times New Roman"/>
          <w:b/>
          <w:bCs/>
        </w:rPr>
        <w:t>Consistent</w:t>
      </w:r>
      <w:r w:rsidRPr="00741EE6">
        <w:rPr>
          <w:rFonts w:ascii="Times New Roman" w:hAnsi="Times New Roman"/>
        </w:rPr>
        <w:t xml:space="preserve"> </w:t>
      </w:r>
      <w:r w:rsidRPr="00741EE6">
        <w:rPr>
          <w:rFonts w:ascii="Times New Roman" w:hAnsi="Times New Roman"/>
          <w:b/>
          <w:bCs/>
        </w:rPr>
        <w:t>Pattern of Performance</w:t>
      </w:r>
      <w:r w:rsidRPr="00741EE6">
        <w:rPr>
          <w:rFonts w:ascii="Times New Roman" w:hAnsi="Times New Roman"/>
        </w:rPr>
        <w:t>’ that will occur in the ‘</w:t>
      </w:r>
      <w:r w:rsidRPr="00741EE6">
        <w:rPr>
          <w:rFonts w:ascii="Times New Roman" w:hAnsi="Times New Roman"/>
          <w:b/>
          <w:bCs/>
        </w:rPr>
        <w:t>real world</w:t>
      </w:r>
      <w:r w:rsidRPr="00741EE6">
        <w:rPr>
          <w:rFonts w:ascii="Times New Roman" w:hAnsi="Times New Roman"/>
        </w:rPr>
        <w:t xml:space="preserve">’ if </w:t>
      </w:r>
      <w:r w:rsidRPr="00741EE6">
        <w:rPr>
          <w:rFonts w:ascii="Times New Roman" w:hAnsi="Times New Roman"/>
          <w:b/>
          <w:bCs/>
        </w:rPr>
        <w:t xml:space="preserve">Investment Managers are </w:t>
      </w:r>
      <w:r>
        <w:rPr>
          <w:rFonts w:ascii="Times New Roman" w:hAnsi="Times New Roman"/>
          <w:b/>
          <w:bCs/>
        </w:rPr>
        <w:t>performing consistently</w:t>
      </w:r>
      <w:r w:rsidRPr="00741EE6">
        <w:rPr>
          <w:rFonts w:ascii="Times New Roman" w:hAnsi="Times New Roman"/>
        </w:rPr>
        <w:t>.</w:t>
      </w:r>
    </w:p>
    <w:p w:rsidR="00F67FA2" w:rsidRPr="00741EE6" w:rsidRDefault="00741EE6" w:rsidP="00741EE6">
      <w:pPr>
        <w:numPr>
          <w:ilvl w:val="0"/>
          <w:numId w:val="15"/>
        </w:numPr>
        <w:spacing w:after="120" w:line="360" w:lineRule="auto"/>
        <w:rPr>
          <w:rFonts w:ascii="Times New Roman" w:hAnsi="Times New Roman"/>
        </w:rPr>
      </w:pPr>
      <w:r w:rsidRPr="00741EE6">
        <w:rPr>
          <w:rFonts w:ascii="Times New Roman" w:hAnsi="Times New Roman"/>
          <w:b/>
          <w:bCs/>
        </w:rPr>
        <w:t>Measure</w:t>
      </w:r>
      <w:r w:rsidRPr="00741EE6">
        <w:rPr>
          <w:rFonts w:ascii="Times New Roman" w:hAnsi="Times New Roman"/>
        </w:rPr>
        <w:t xml:space="preserve"> the likel</w:t>
      </w:r>
      <w:r>
        <w:rPr>
          <w:rFonts w:ascii="Times New Roman" w:hAnsi="Times New Roman"/>
        </w:rPr>
        <w:t>ihood that a particular sample</w:t>
      </w:r>
      <w:r w:rsidRPr="00741EE6">
        <w:rPr>
          <w:rFonts w:ascii="Times New Roman" w:hAnsi="Times New Roman"/>
        </w:rPr>
        <w:t xml:space="preserve"> Pattern of Performance is random, or is a pattern that indicates the existence of Consistent Performance. </w:t>
      </w:r>
    </w:p>
    <w:p w:rsidR="00741EE6" w:rsidRPr="00741EE6" w:rsidRDefault="00741EE6" w:rsidP="008B481C">
      <w:pPr>
        <w:numPr>
          <w:ilvl w:val="0"/>
          <w:numId w:val="15"/>
        </w:numPr>
        <w:spacing w:after="120" w:line="360" w:lineRule="auto"/>
        <w:rPr>
          <w:rFonts w:ascii="Times New Roman" w:hAnsi="Times New Roman"/>
        </w:rPr>
      </w:pPr>
      <w:r w:rsidRPr="00741EE6">
        <w:rPr>
          <w:rFonts w:ascii="Times New Roman" w:hAnsi="Times New Roman"/>
          <w:b/>
          <w:bCs/>
        </w:rPr>
        <w:t>Assess</w:t>
      </w:r>
      <w:r w:rsidRPr="00741EE6">
        <w:rPr>
          <w:rFonts w:ascii="Times New Roman" w:hAnsi="Times New Roman"/>
        </w:rPr>
        <w:t xml:space="preserve"> whether a sample Pattern of Performance is significantly different from a random (or expected value) pattern.  </w:t>
      </w:r>
    </w:p>
    <w:p w:rsidR="00DB0F48" w:rsidRPr="00B213DB" w:rsidRDefault="00DB0F48" w:rsidP="008B481C">
      <w:pPr>
        <w:rPr>
          <w:rFonts w:ascii="Times New Roman" w:hAnsi="Times New Roman"/>
        </w:rPr>
      </w:pPr>
    </w:p>
    <w:p w:rsidR="00ED5162" w:rsidRPr="00B213DB" w:rsidRDefault="00D711AB" w:rsidP="008D0389">
      <w:pPr>
        <w:spacing w:after="120" w:line="360" w:lineRule="auto"/>
        <w:rPr>
          <w:rFonts w:ascii="Times New Roman" w:hAnsi="Times New Roman"/>
          <w:b/>
        </w:rPr>
      </w:pPr>
      <w:r w:rsidRPr="00B213DB">
        <w:rPr>
          <w:rFonts w:ascii="Times New Roman" w:hAnsi="Times New Roman"/>
          <w:b/>
        </w:rPr>
        <w:t xml:space="preserve">ANALYSIS OF THE CONSISTENCY OF MANAGER PERFORMANCE </w:t>
      </w:r>
    </w:p>
    <w:p w:rsidR="00EC0025" w:rsidRPr="00B213DB" w:rsidRDefault="00C35D1E" w:rsidP="008D0389">
      <w:pPr>
        <w:spacing w:after="120" w:line="360" w:lineRule="auto"/>
        <w:rPr>
          <w:rFonts w:ascii="Times New Roman" w:hAnsi="Times New Roman"/>
        </w:rPr>
      </w:pPr>
      <w:r>
        <w:rPr>
          <w:rFonts w:ascii="Times New Roman" w:hAnsi="Times New Roman"/>
        </w:rPr>
        <w:t>The virtually universal</w:t>
      </w:r>
      <w:r w:rsidR="00163603" w:rsidRPr="00B213DB">
        <w:rPr>
          <w:rFonts w:ascii="Times New Roman" w:hAnsi="Times New Roman"/>
        </w:rPr>
        <w:t xml:space="preserve"> ‘test’ of the ‘consistency of manager performance’ that we see in industry and academic research is based on </w:t>
      </w:r>
      <w:r w:rsidR="002C5709">
        <w:rPr>
          <w:rFonts w:ascii="Times New Roman" w:hAnsi="Times New Roman"/>
        </w:rPr>
        <w:t>analys</w:t>
      </w:r>
      <w:r w:rsidR="00F7105C" w:rsidRPr="00B213DB">
        <w:rPr>
          <w:rFonts w:ascii="Times New Roman" w:hAnsi="Times New Roman"/>
        </w:rPr>
        <w:t>ing</w:t>
      </w:r>
      <w:r w:rsidR="00163603" w:rsidRPr="00B213DB">
        <w:rPr>
          <w:rFonts w:ascii="Times New Roman" w:hAnsi="Times New Roman"/>
        </w:rPr>
        <w:t xml:space="preserve"> whether ‘top quartile’ performance in Period 1 is repeated in Period</w:t>
      </w:r>
      <w:r w:rsidR="00EE2937" w:rsidRPr="00B213DB">
        <w:rPr>
          <w:rFonts w:ascii="Times New Roman" w:hAnsi="Times New Roman"/>
        </w:rPr>
        <w:t xml:space="preserve"> 2</w:t>
      </w:r>
      <w:r w:rsidR="0022752A" w:rsidRPr="00B213DB">
        <w:rPr>
          <w:rFonts w:ascii="Times New Roman" w:hAnsi="Times New Roman"/>
        </w:rPr>
        <w:t xml:space="preserve"> </w:t>
      </w:r>
      <w:r w:rsidR="00EC0025" w:rsidRPr="00B213DB">
        <w:rPr>
          <w:rFonts w:ascii="Times New Roman" w:hAnsi="Times New Roman"/>
        </w:rPr>
        <w:t>(</w:t>
      </w:r>
      <w:r w:rsidR="00EE4AE7" w:rsidRPr="00B213DB">
        <w:rPr>
          <w:rFonts w:ascii="Times New Roman" w:hAnsi="Times New Roman"/>
        </w:rPr>
        <w:t xml:space="preserve">Bender, Hammond &amp; </w:t>
      </w:r>
      <w:proofErr w:type="spellStart"/>
      <w:r w:rsidR="00EE4AE7" w:rsidRPr="00B213DB">
        <w:rPr>
          <w:rFonts w:ascii="Times New Roman" w:hAnsi="Times New Roman"/>
        </w:rPr>
        <w:t>Mok</w:t>
      </w:r>
      <w:proofErr w:type="spellEnd"/>
      <w:r w:rsidR="00EE4AE7" w:rsidRPr="00B213DB">
        <w:rPr>
          <w:rFonts w:ascii="Times New Roman" w:hAnsi="Times New Roman"/>
        </w:rPr>
        <w:t xml:space="preserve">, 2014; </w:t>
      </w:r>
      <w:proofErr w:type="spellStart"/>
      <w:r w:rsidR="00EC0025" w:rsidRPr="00B213DB">
        <w:rPr>
          <w:rFonts w:ascii="Times New Roman" w:hAnsi="Times New Roman"/>
        </w:rPr>
        <w:t>Carhart</w:t>
      </w:r>
      <w:proofErr w:type="spellEnd"/>
      <w:r w:rsidR="00EC0025" w:rsidRPr="00B213DB">
        <w:rPr>
          <w:rFonts w:ascii="Times New Roman" w:hAnsi="Times New Roman"/>
        </w:rPr>
        <w:t xml:space="preserve"> [1997]; Fortin &amp; Michelson [2010]; </w:t>
      </w:r>
      <w:proofErr w:type="spellStart"/>
      <w:r w:rsidR="00EC0025" w:rsidRPr="00B213DB">
        <w:rPr>
          <w:rFonts w:ascii="Times New Roman" w:hAnsi="Times New Roman"/>
        </w:rPr>
        <w:t>Juru</w:t>
      </w:r>
      <w:proofErr w:type="spellEnd"/>
      <w:r w:rsidR="00EC0025" w:rsidRPr="00B213DB">
        <w:rPr>
          <w:rFonts w:ascii="Times New Roman" w:hAnsi="Times New Roman"/>
        </w:rPr>
        <w:t xml:space="preserve"> &amp; Johnson [2015]; </w:t>
      </w:r>
      <w:proofErr w:type="spellStart"/>
      <w:r w:rsidR="00EC0025" w:rsidRPr="00B213DB">
        <w:rPr>
          <w:rFonts w:ascii="Times New Roman" w:hAnsi="Times New Roman"/>
        </w:rPr>
        <w:t>Soe</w:t>
      </w:r>
      <w:proofErr w:type="spellEnd"/>
      <w:r w:rsidR="00EC0025" w:rsidRPr="00B213DB">
        <w:rPr>
          <w:rFonts w:ascii="Times New Roman" w:hAnsi="Times New Roman"/>
        </w:rPr>
        <w:t>, [2016]; Vidal-Garcia [2013])</w:t>
      </w:r>
      <w:r w:rsidR="00EE2937" w:rsidRPr="00B213DB">
        <w:rPr>
          <w:rFonts w:ascii="Times New Roman" w:hAnsi="Times New Roman"/>
        </w:rPr>
        <w:t xml:space="preserve">. </w:t>
      </w:r>
    </w:p>
    <w:p w:rsidR="00683B88" w:rsidRDefault="004E167C" w:rsidP="008D0389">
      <w:pPr>
        <w:spacing w:after="120" w:line="360" w:lineRule="auto"/>
        <w:rPr>
          <w:rFonts w:ascii="Times New Roman" w:hAnsi="Times New Roman"/>
        </w:rPr>
      </w:pPr>
      <w:r w:rsidRPr="00B213DB">
        <w:rPr>
          <w:rFonts w:ascii="Times New Roman" w:hAnsi="Times New Roman"/>
        </w:rPr>
        <w:t>However</w:t>
      </w:r>
      <w:r w:rsidR="00163603" w:rsidRPr="00B213DB">
        <w:rPr>
          <w:rFonts w:ascii="Times New Roman" w:hAnsi="Times New Roman"/>
        </w:rPr>
        <w:t>, the only market condition under which managers can be expected to be consistently in the top quartile across mult</w:t>
      </w:r>
      <w:r w:rsidRPr="00B213DB">
        <w:rPr>
          <w:rFonts w:ascii="Times New Roman" w:hAnsi="Times New Roman"/>
        </w:rPr>
        <w:t>iple periods is Static</w:t>
      </w:r>
      <w:r w:rsidR="00163603" w:rsidRPr="00B213DB">
        <w:rPr>
          <w:rFonts w:ascii="Times New Roman" w:hAnsi="Times New Roman"/>
        </w:rPr>
        <w:t xml:space="preserve"> Mar</w:t>
      </w:r>
      <w:r w:rsidR="00EC0025" w:rsidRPr="00B213DB">
        <w:rPr>
          <w:rFonts w:ascii="Times New Roman" w:hAnsi="Times New Roman"/>
        </w:rPr>
        <w:t>kets (as seen i</w:t>
      </w:r>
      <w:r w:rsidR="002C5709">
        <w:rPr>
          <w:rFonts w:ascii="Times New Roman" w:hAnsi="Times New Roman"/>
        </w:rPr>
        <w:t>n Figure 3</w:t>
      </w:r>
      <w:r w:rsidR="00A63FD6" w:rsidRPr="00B213DB">
        <w:rPr>
          <w:rFonts w:ascii="Times New Roman" w:hAnsi="Times New Roman"/>
        </w:rPr>
        <w:t xml:space="preserve">). </w:t>
      </w:r>
    </w:p>
    <w:p w:rsidR="00683B88" w:rsidRDefault="00A63FD6" w:rsidP="00683B88">
      <w:pPr>
        <w:pBdr>
          <w:top w:val="single" w:sz="4" w:space="1" w:color="auto"/>
          <w:left w:val="single" w:sz="4" w:space="4" w:color="auto"/>
          <w:bottom w:val="single" w:sz="4" w:space="1" w:color="auto"/>
          <w:right w:val="single" w:sz="4" w:space="4" w:color="auto"/>
        </w:pBdr>
        <w:spacing w:after="120" w:line="360" w:lineRule="auto"/>
        <w:rPr>
          <w:rFonts w:ascii="Times New Roman" w:hAnsi="Times New Roman"/>
        </w:rPr>
      </w:pPr>
      <w:r w:rsidRPr="00B213DB">
        <w:rPr>
          <w:rFonts w:ascii="Times New Roman" w:hAnsi="Times New Roman"/>
        </w:rPr>
        <w:t>Therefore</w:t>
      </w:r>
      <w:r w:rsidR="00163603" w:rsidRPr="00B213DB">
        <w:rPr>
          <w:rFonts w:ascii="Times New Roman" w:hAnsi="Times New Roman"/>
        </w:rPr>
        <w:t xml:space="preserve">, </w:t>
      </w:r>
      <w:r w:rsidR="00163603" w:rsidRPr="002C5709">
        <w:rPr>
          <w:rFonts w:ascii="Times New Roman" w:hAnsi="Times New Roman"/>
          <w:b/>
        </w:rPr>
        <w:t xml:space="preserve">testing for repeated top quartile performance across periods is actually testing whether </w:t>
      </w:r>
      <w:r w:rsidR="0063297F" w:rsidRPr="002C5709">
        <w:rPr>
          <w:rFonts w:ascii="Times New Roman" w:hAnsi="Times New Roman"/>
          <w:b/>
        </w:rPr>
        <w:t>ma</w:t>
      </w:r>
      <w:r w:rsidR="004E167C" w:rsidRPr="002C5709">
        <w:rPr>
          <w:rFonts w:ascii="Times New Roman" w:hAnsi="Times New Roman"/>
          <w:b/>
        </w:rPr>
        <w:t>rkets are Static</w:t>
      </w:r>
      <w:r w:rsidR="00AA4BC0" w:rsidRPr="002C5709">
        <w:rPr>
          <w:rFonts w:ascii="Times New Roman" w:hAnsi="Times New Roman"/>
          <w:b/>
        </w:rPr>
        <w:t>.</w:t>
      </w:r>
      <w:r w:rsidR="00AA4BC0" w:rsidRPr="00B213DB">
        <w:rPr>
          <w:rFonts w:ascii="Times New Roman" w:hAnsi="Times New Roman"/>
        </w:rPr>
        <w:t xml:space="preserve"> </w:t>
      </w:r>
    </w:p>
    <w:p w:rsidR="00805718" w:rsidRDefault="00AA4BC0" w:rsidP="008D0389">
      <w:pPr>
        <w:spacing w:after="120" w:line="360" w:lineRule="auto"/>
        <w:rPr>
          <w:rFonts w:ascii="Times New Roman" w:hAnsi="Times New Roman"/>
        </w:rPr>
      </w:pPr>
      <w:r w:rsidRPr="00B213DB">
        <w:rPr>
          <w:rFonts w:ascii="Times New Roman" w:hAnsi="Times New Roman"/>
        </w:rPr>
        <w:lastRenderedPageBreak/>
        <w:t>T</w:t>
      </w:r>
      <w:r w:rsidR="00163603" w:rsidRPr="00B213DB">
        <w:rPr>
          <w:rFonts w:ascii="Times New Roman" w:hAnsi="Times New Roman"/>
        </w:rPr>
        <w:t xml:space="preserve">he failure to find repeated top quartile performance in </w:t>
      </w:r>
      <w:r w:rsidR="00FE60B0" w:rsidRPr="00B213DB">
        <w:rPr>
          <w:rFonts w:ascii="Times New Roman" w:hAnsi="Times New Roman"/>
        </w:rPr>
        <w:t xml:space="preserve">these </w:t>
      </w:r>
      <w:r w:rsidR="00EE2937" w:rsidRPr="00B213DB">
        <w:rPr>
          <w:rFonts w:ascii="Times New Roman" w:hAnsi="Times New Roman"/>
        </w:rPr>
        <w:t>‘tests of manager consistency’</w:t>
      </w:r>
      <w:r w:rsidR="00163603" w:rsidRPr="00B213DB">
        <w:rPr>
          <w:rFonts w:ascii="Times New Roman" w:hAnsi="Times New Roman"/>
        </w:rPr>
        <w:t xml:space="preserve"> simply reflects the reality that markets are not </w:t>
      </w:r>
      <w:r w:rsidR="004E167C" w:rsidRPr="00B213DB">
        <w:rPr>
          <w:rFonts w:ascii="Times New Roman" w:hAnsi="Times New Roman"/>
        </w:rPr>
        <w:t>Static</w:t>
      </w:r>
      <w:r w:rsidR="00FE60B0" w:rsidRPr="00B213DB">
        <w:rPr>
          <w:rFonts w:ascii="Times New Roman" w:hAnsi="Times New Roman"/>
        </w:rPr>
        <w:t xml:space="preserve">, and </w:t>
      </w:r>
      <w:r w:rsidR="00FE60B0" w:rsidRPr="002C5709">
        <w:rPr>
          <w:rFonts w:ascii="Times New Roman" w:hAnsi="Times New Roman"/>
          <w:b/>
        </w:rPr>
        <w:t>says nothing about the existence, or otherwise, of manager consistency</w:t>
      </w:r>
      <w:r w:rsidR="00163603" w:rsidRPr="00B213DB">
        <w:rPr>
          <w:rFonts w:ascii="Times New Roman" w:hAnsi="Times New Roman"/>
        </w:rPr>
        <w:t>.</w:t>
      </w:r>
      <w:r w:rsidR="00C35D1E">
        <w:rPr>
          <w:rFonts w:ascii="Times New Roman" w:hAnsi="Times New Roman"/>
        </w:rPr>
        <w:t xml:space="preserve">  </w:t>
      </w:r>
    </w:p>
    <w:p w:rsidR="00C35D1E" w:rsidRPr="00B213DB" w:rsidRDefault="00C35D1E" w:rsidP="008D0389">
      <w:pPr>
        <w:spacing w:after="120" w:line="360" w:lineRule="auto"/>
        <w:rPr>
          <w:rFonts w:ascii="Times New Roman" w:hAnsi="Times New Roman"/>
        </w:rPr>
      </w:pPr>
      <w:r>
        <w:rPr>
          <w:rFonts w:ascii="Times New Roman" w:hAnsi="Times New Roman"/>
        </w:rPr>
        <w:t xml:space="preserve">This observation applies to every piece of analysis of investment manager performance considered by the Cooper and Murray Committees.  </w:t>
      </w:r>
    </w:p>
    <w:p w:rsidR="008B481C" w:rsidRPr="00B213DB" w:rsidRDefault="002C5709" w:rsidP="008D0389">
      <w:pPr>
        <w:spacing w:after="120" w:line="360" w:lineRule="auto"/>
        <w:rPr>
          <w:rFonts w:ascii="Times New Roman" w:hAnsi="Times New Roman"/>
          <w:b/>
        </w:rPr>
      </w:pPr>
      <w:r>
        <w:rPr>
          <w:rFonts w:ascii="Times New Roman" w:hAnsi="Times New Roman"/>
          <w:b/>
        </w:rPr>
        <w:t>Evidence from Investment Funds available to Australian Investors</w:t>
      </w:r>
    </w:p>
    <w:p w:rsidR="00F866C2" w:rsidRPr="00B213DB" w:rsidRDefault="00F866C2" w:rsidP="00F866C2">
      <w:pPr>
        <w:spacing w:after="120" w:line="360" w:lineRule="auto"/>
        <w:rPr>
          <w:rFonts w:ascii="Times New Roman" w:hAnsi="Times New Roman"/>
          <w:b/>
        </w:rPr>
      </w:pPr>
      <w:r>
        <w:rPr>
          <w:rFonts w:ascii="Times New Roman" w:hAnsi="Times New Roman"/>
          <w:b/>
        </w:rPr>
        <w:t xml:space="preserve">1. </w:t>
      </w:r>
      <w:r w:rsidRPr="00B213DB">
        <w:rPr>
          <w:rFonts w:ascii="Times New Roman" w:hAnsi="Times New Roman"/>
          <w:b/>
        </w:rPr>
        <w:t>The Vanguard Study</w:t>
      </w:r>
    </w:p>
    <w:p w:rsidR="00F866C2" w:rsidRPr="00B213DB" w:rsidRDefault="00AE055D" w:rsidP="00F866C2">
      <w:pPr>
        <w:spacing w:after="120" w:line="360" w:lineRule="auto"/>
        <w:rPr>
          <w:rFonts w:ascii="Times New Roman" w:hAnsi="Times New Roman"/>
        </w:rPr>
      </w:pPr>
      <w:proofErr w:type="spellStart"/>
      <w:r>
        <w:rPr>
          <w:rFonts w:ascii="Times New Roman" w:hAnsi="Times New Roman"/>
        </w:rPr>
        <w:t>Juru</w:t>
      </w:r>
      <w:proofErr w:type="spellEnd"/>
      <w:r>
        <w:rPr>
          <w:rFonts w:ascii="Times New Roman" w:hAnsi="Times New Roman"/>
        </w:rPr>
        <w:t xml:space="preserve"> and Johnson (2015)</w:t>
      </w:r>
      <w:r w:rsidR="00F866C2" w:rsidRPr="00B213DB">
        <w:rPr>
          <w:rFonts w:ascii="Times New Roman" w:hAnsi="Times New Roman"/>
        </w:rPr>
        <w:t xml:space="preserve"> of Vanguard Investments Australia published a study of Australian Investment Manager performance titled ‘The difficulties picking fund </w:t>
      </w:r>
      <w:r w:rsidR="00F866C2" w:rsidRPr="00AE055D">
        <w:rPr>
          <w:rFonts w:ascii="Times New Roman" w:hAnsi="Times New Roman"/>
        </w:rPr>
        <w:t>manager winners’, (the ‘Vanguard St</w:t>
      </w:r>
      <w:r w:rsidR="00122B90">
        <w:rPr>
          <w:rFonts w:ascii="Times New Roman" w:hAnsi="Times New Roman"/>
        </w:rPr>
        <w:t>udy’). (I note that a 2015 paper</w:t>
      </w:r>
      <w:r w:rsidR="00F866C2" w:rsidRPr="00AE055D">
        <w:rPr>
          <w:rFonts w:ascii="Times New Roman" w:hAnsi="Times New Roman"/>
        </w:rPr>
        <w:t xml:space="preserve"> by Vanguard titled “</w:t>
      </w:r>
      <w:r w:rsidRPr="00AE055D">
        <w:rPr>
          <w:rFonts w:ascii="Times New Roman" w:hAnsi="Times New Roman"/>
        </w:rPr>
        <w:t>The Case for Index Fund Investing</w:t>
      </w:r>
      <w:r w:rsidR="00F866C2" w:rsidRPr="00AE055D">
        <w:rPr>
          <w:rFonts w:ascii="Times New Roman" w:hAnsi="Times New Roman"/>
        </w:rPr>
        <w:t xml:space="preserve"> </w:t>
      </w:r>
      <w:r w:rsidRPr="00AE055D">
        <w:rPr>
          <w:rFonts w:ascii="Times New Roman" w:hAnsi="Times New Roman"/>
        </w:rPr>
        <w:t xml:space="preserve">in Australia”, referred to in the Draft </w:t>
      </w:r>
      <w:r>
        <w:rPr>
          <w:rFonts w:ascii="Times New Roman" w:hAnsi="Times New Roman"/>
        </w:rPr>
        <w:t>Report i</w:t>
      </w:r>
      <w:r w:rsidRPr="00AE055D">
        <w:rPr>
          <w:rFonts w:ascii="Times New Roman" w:hAnsi="Times New Roman"/>
        </w:rPr>
        <w:t>s also</w:t>
      </w:r>
      <w:r>
        <w:rPr>
          <w:rFonts w:ascii="Times New Roman" w:hAnsi="Times New Roman"/>
        </w:rPr>
        <w:t xml:space="preserve"> authored by Johnson and </w:t>
      </w:r>
      <w:proofErr w:type="spellStart"/>
      <w:r>
        <w:rPr>
          <w:rFonts w:ascii="Times New Roman" w:hAnsi="Times New Roman"/>
        </w:rPr>
        <w:t>Juru</w:t>
      </w:r>
      <w:proofErr w:type="spellEnd"/>
      <w:r>
        <w:rPr>
          <w:rFonts w:ascii="Times New Roman" w:hAnsi="Times New Roman"/>
        </w:rPr>
        <w:t xml:space="preserve">.) </w:t>
      </w:r>
    </w:p>
    <w:p w:rsidR="00F866C2" w:rsidRPr="00B213DB" w:rsidRDefault="00F866C2" w:rsidP="00F866C2">
      <w:pPr>
        <w:spacing w:after="120" w:line="360" w:lineRule="auto"/>
        <w:rPr>
          <w:rFonts w:ascii="Times New Roman" w:hAnsi="Times New Roman"/>
        </w:rPr>
      </w:pPr>
      <w:r w:rsidRPr="00B213DB">
        <w:rPr>
          <w:rFonts w:ascii="Times New Roman" w:hAnsi="Times New Roman"/>
        </w:rPr>
        <w:t>In the Vanguard Study the performance of 663 actively managed funds, across mu</w:t>
      </w:r>
      <w:r>
        <w:rPr>
          <w:rFonts w:ascii="Times New Roman" w:hAnsi="Times New Roman"/>
        </w:rPr>
        <w:t>ltiple asset classes, was analys</w:t>
      </w:r>
      <w:r w:rsidRPr="00B213DB">
        <w:rPr>
          <w:rFonts w:ascii="Times New Roman" w:hAnsi="Times New Roman"/>
        </w:rPr>
        <w:t xml:space="preserve">ed. Funds were initially ranked, ‘in terms of excess return versus their stated benchmarks over the five years ended 2009’. The funds were then divided ‘into quintiles, separating out the top 20% of funds, the next-best-performing 20% of funds, and so on’. The Study then tracked the funds’, ‘excess returns over the following five years (through December 2014) </w:t>
      </w:r>
      <w:r w:rsidRPr="00B213DB">
        <w:rPr>
          <w:rFonts w:ascii="Times New Roman" w:hAnsi="Times New Roman"/>
          <w:b/>
        </w:rPr>
        <w:t>to check their performance consistency</w:t>
      </w:r>
      <w:r>
        <w:rPr>
          <w:rFonts w:ascii="Times New Roman" w:hAnsi="Times New Roman"/>
        </w:rPr>
        <w:t>’ (Emphasis added)</w:t>
      </w:r>
      <w:r w:rsidRPr="00B213DB">
        <w:rPr>
          <w:rFonts w:ascii="Times New Roman" w:hAnsi="Times New Roman"/>
        </w:rPr>
        <w:t>.</w:t>
      </w:r>
    </w:p>
    <w:p w:rsidR="00F866C2" w:rsidRPr="00B213DB" w:rsidRDefault="00F866C2" w:rsidP="00F866C2">
      <w:pPr>
        <w:spacing w:after="120" w:line="360" w:lineRule="auto"/>
        <w:rPr>
          <w:rFonts w:ascii="Times New Roman" w:hAnsi="Times New Roman"/>
        </w:rPr>
      </w:pPr>
      <w:r w:rsidRPr="00B213DB">
        <w:rPr>
          <w:rFonts w:ascii="Times New Roman" w:hAnsi="Times New Roman"/>
        </w:rPr>
        <w:t>Consistent with other studies, the Vanguard Study focused on the performance of the highest quintile performing funds in Period 1, and their subsequent performance in Period 2. The Study proposed as its research question that, ‘</w:t>
      </w:r>
      <w:r w:rsidRPr="00B213DB">
        <w:rPr>
          <w:rFonts w:ascii="Times New Roman" w:hAnsi="Times New Roman"/>
          <w:b/>
        </w:rPr>
        <w:t>a significant majority</w:t>
      </w:r>
      <w:r w:rsidRPr="00B213DB">
        <w:rPr>
          <w:rFonts w:ascii="Times New Roman" w:hAnsi="Times New Roman"/>
        </w:rPr>
        <w:t xml:space="preserve">’ of funds with top quintile performance in Period 1 </w:t>
      </w:r>
      <w:r w:rsidRPr="00683B88">
        <w:rPr>
          <w:rFonts w:ascii="Times New Roman" w:hAnsi="Times New Roman"/>
          <w:b/>
        </w:rPr>
        <w:t xml:space="preserve">should </w:t>
      </w:r>
      <w:r w:rsidRPr="00B213DB">
        <w:rPr>
          <w:rFonts w:ascii="Times New Roman" w:hAnsi="Times New Roman"/>
        </w:rPr>
        <w:t xml:space="preserve">repeat that performance in Period 2. </w:t>
      </w:r>
    </w:p>
    <w:p w:rsidR="00F866C2" w:rsidRPr="00B213DB" w:rsidRDefault="00F866C2" w:rsidP="00F866C2">
      <w:pPr>
        <w:spacing w:after="120" w:line="360" w:lineRule="auto"/>
        <w:rPr>
          <w:rFonts w:ascii="Times New Roman" w:hAnsi="Times New Roman"/>
        </w:rPr>
      </w:pPr>
      <w:r w:rsidRPr="00B213DB">
        <w:rPr>
          <w:rFonts w:ascii="Times New Roman" w:hAnsi="Times New Roman"/>
        </w:rPr>
        <w:t>The conclusion of the Vanguard Study was that, ‘</w:t>
      </w:r>
      <w:r w:rsidRPr="00B213DB">
        <w:rPr>
          <w:rFonts w:ascii="Times New Roman" w:hAnsi="Times New Roman"/>
          <w:b/>
        </w:rPr>
        <w:t>the results for Australian funds do not appear to be significantly different from random</w:t>
      </w:r>
      <w:r w:rsidRPr="00B213DB">
        <w:rPr>
          <w:rFonts w:ascii="Times New Roman" w:hAnsi="Times New Roman"/>
        </w:rPr>
        <w:t>’. Consistent with the argument set out in Figure 1, the implication drawn was that, as managers did not exhibit performance consistency, then it is not possible to identify in advance those managers who will outperform in the future.</w:t>
      </w:r>
    </w:p>
    <w:p w:rsidR="00F866C2" w:rsidRPr="00B213DB" w:rsidRDefault="00F866C2" w:rsidP="00F866C2">
      <w:pPr>
        <w:spacing w:after="120" w:line="360" w:lineRule="auto"/>
        <w:rPr>
          <w:rFonts w:ascii="Times New Roman" w:hAnsi="Times New Roman"/>
        </w:rPr>
      </w:pPr>
      <w:r w:rsidRPr="00B213DB">
        <w:rPr>
          <w:rFonts w:ascii="Times New Roman" w:hAnsi="Times New Roman"/>
        </w:rPr>
        <w:lastRenderedPageBreak/>
        <w:t xml:space="preserve">As noted above, the analysis used in </w:t>
      </w:r>
      <w:r w:rsidRPr="00F866C2">
        <w:rPr>
          <w:rFonts w:ascii="Times New Roman" w:hAnsi="Times New Roman"/>
          <w:b/>
        </w:rPr>
        <w:t>the Vanguard Study was actually testing for t</w:t>
      </w:r>
      <w:r>
        <w:rPr>
          <w:rFonts w:ascii="Times New Roman" w:hAnsi="Times New Roman"/>
          <w:b/>
        </w:rPr>
        <w:t>he existence of Static</w:t>
      </w:r>
      <w:r w:rsidRPr="00F866C2">
        <w:rPr>
          <w:rFonts w:ascii="Times New Roman" w:hAnsi="Times New Roman"/>
          <w:b/>
        </w:rPr>
        <w:t xml:space="preserve"> Markets</w:t>
      </w:r>
      <w:r w:rsidRPr="00B213DB">
        <w:rPr>
          <w:rFonts w:ascii="Times New Roman" w:hAnsi="Times New Roman"/>
        </w:rPr>
        <w:t xml:space="preserve"> and, like most comparable studies, found that, in the real world, </w:t>
      </w:r>
      <w:r>
        <w:rPr>
          <w:rFonts w:ascii="Times New Roman" w:hAnsi="Times New Roman"/>
        </w:rPr>
        <w:t>markets are not Static</w:t>
      </w:r>
      <w:r w:rsidRPr="00B213DB">
        <w:rPr>
          <w:rFonts w:ascii="Times New Roman" w:hAnsi="Times New Roman"/>
        </w:rPr>
        <w:t xml:space="preserve">. </w:t>
      </w:r>
      <w:r w:rsidRPr="00F866C2">
        <w:rPr>
          <w:rFonts w:ascii="Times New Roman" w:hAnsi="Times New Roman"/>
          <w:b/>
        </w:rPr>
        <w:t>Unfortunately, it is not possible to draw any conclusions about manager consistency</w:t>
      </w:r>
      <w:r w:rsidRPr="00B213DB">
        <w:rPr>
          <w:rFonts w:ascii="Times New Roman" w:hAnsi="Times New Roman"/>
        </w:rPr>
        <w:t xml:space="preserve"> from the narrow subset of components of the study actually assessed (Period 2 relative performance given first quintile Period 1 performance).  </w:t>
      </w:r>
    </w:p>
    <w:p w:rsidR="00F866C2" w:rsidRPr="00B213DB" w:rsidRDefault="00F866C2" w:rsidP="00F866C2">
      <w:pPr>
        <w:spacing w:after="120" w:line="360" w:lineRule="auto"/>
        <w:rPr>
          <w:rFonts w:ascii="Times New Roman" w:hAnsi="Times New Roman"/>
        </w:rPr>
      </w:pPr>
      <w:r w:rsidRPr="00B213DB">
        <w:rPr>
          <w:rFonts w:ascii="Times New Roman" w:hAnsi="Times New Roman"/>
        </w:rPr>
        <w:t>To be consistent w</w:t>
      </w:r>
      <w:r w:rsidR="00683B88">
        <w:rPr>
          <w:rFonts w:ascii="Times New Roman" w:hAnsi="Times New Roman"/>
        </w:rPr>
        <w:t>ith the analysis in this submission</w:t>
      </w:r>
      <w:r w:rsidRPr="00B213DB">
        <w:rPr>
          <w:rFonts w:ascii="Times New Roman" w:hAnsi="Times New Roman"/>
        </w:rPr>
        <w:t xml:space="preserve">, the results of the Vanguard Study have been recast into quartiles. </w:t>
      </w:r>
      <w:r>
        <w:rPr>
          <w:rFonts w:ascii="Times New Roman" w:hAnsi="Times New Roman"/>
        </w:rPr>
        <w:t xml:space="preserve">(There are certain statistical reasons why quartiles are to be preferred to quintiles, and no identifiable theoretical reasons for such a preference.) </w:t>
      </w:r>
      <w:r w:rsidRPr="00B213DB">
        <w:rPr>
          <w:rFonts w:ascii="Times New Roman" w:hAnsi="Times New Roman"/>
        </w:rPr>
        <w:t>These recast res</w:t>
      </w:r>
      <w:r w:rsidR="00683B88">
        <w:rPr>
          <w:rFonts w:ascii="Times New Roman" w:hAnsi="Times New Roman"/>
        </w:rPr>
        <w:t>ults are presented in Figure 8</w:t>
      </w:r>
      <w:r w:rsidRPr="00B213DB">
        <w:rPr>
          <w:rFonts w:ascii="Times New Roman" w:hAnsi="Times New Roman"/>
        </w:rPr>
        <w:t>.</w:t>
      </w:r>
    </w:p>
    <w:p w:rsidR="00F866C2" w:rsidRPr="00B213DB" w:rsidRDefault="00683B88" w:rsidP="00F866C2">
      <w:pPr>
        <w:rPr>
          <w:rFonts w:ascii="Times New Roman" w:hAnsi="Times New Roman"/>
          <w:b/>
        </w:rPr>
      </w:pPr>
      <w:r>
        <w:rPr>
          <w:rFonts w:ascii="Times New Roman" w:hAnsi="Times New Roman"/>
          <w:b/>
        </w:rPr>
        <w:t>Figure 8</w:t>
      </w:r>
      <w:r w:rsidR="00F866C2" w:rsidRPr="00741EE6">
        <w:rPr>
          <w:rFonts w:ascii="Times New Roman" w:hAnsi="Times New Roman"/>
          <w:b/>
        </w:rPr>
        <w:t>.  Quartile Ranking of Actively Managed Australian Funds</w:t>
      </w:r>
      <w:r w:rsidR="00F866C2" w:rsidRPr="00B213DB">
        <w:rPr>
          <w:rFonts w:ascii="Times New Roman" w:hAnsi="Times New Roman"/>
        </w:rPr>
        <w:t xml:space="preserve"> </w:t>
      </w:r>
    </w:p>
    <w:p w:rsidR="00F866C2" w:rsidRPr="00B213DB" w:rsidRDefault="00F866C2" w:rsidP="00F866C2">
      <w:pPr>
        <w:rPr>
          <w:rFonts w:ascii="Times New Roman" w:hAnsi="Times New Roman"/>
          <w:b/>
        </w:rPr>
      </w:pPr>
    </w:p>
    <w:p w:rsidR="00F866C2" w:rsidRPr="00B213DB" w:rsidRDefault="00F866C2" w:rsidP="00F866C2">
      <w:pPr>
        <w:ind w:left="1440" w:firstLine="720"/>
        <w:jc w:val="center"/>
        <w:rPr>
          <w:rFonts w:ascii="Times New Roman" w:hAnsi="Times New Roman"/>
          <w:b/>
        </w:rPr>
      </w:pPr>
      <w:r w:rsidRPr="00B213DB">
        <w:rPr>
          <w:rFonts w:ascii="Times New Roman" w:hAnsi="Times New Roman"/>
          <w:b/>
        </w:rPr>
        <w:t>Quartile Ranking in Period 2</w:t>
      </w:r>
    </w:p>
    <w:p w:rsidR="00F866C2" w:rsidRPr="00B213DB" w:rsidRDefault="00984C98" w:rsidP="00F866C2">
      <w:pPr>
        <w:ind w:left="1440" w:firstLine="720"/>
        <w:jc w:val="center"/>
        <w:rPr>
          <w:rFonts w:ascii="Times New Roman" w:hAnsi="Times New Roman"/>
          <w:b/>
        </w:rPr>
      </w:pPr>
      <w:r>
        <w:rPr>
          <w:noProof/>
          <w:lang w:eastAsia="en-AU"/>
        </w:rPr>
        <w:drawing>
          <wp:anchor distT="0" distB="0" distL="114300" distR="114300" simplePos="0" relativeHeight="251658752" behindDoc="0" locked="0" layoutInCell="1" allowOverlap="1">
            <wp:simplePos x="0" y="0"/>
            <wp:positionH relativeFrom="column">
              <wp:posOffset>1828800</wp:posOffset>
            </wp:positionH>
            <wp:positionV relativeFrom="paragraph">
              <wp:posOffset>152400</wp:posOffset>
            </wp:positionV>
            <wp:extent cx="2362200" cy="1261745"/>
            <wp:effectExtent l="0" t="0" r="0" b="8255"/>
            <wp:wrapTight wrapText="bothSides">
              <wp:wrapPolygon edited="0">
                <wp:start x="4877" y="435"/>
                <wp:lineTo x="1394" y="5218"/>
                <wp:lineTo x="1161" y="19567"/>
                <wp:lineTo x="1858" y="21306"/>
                <wp:lineTo x="3484" y="21306"/>
                <wp:lineTo x="21368" y="21306"/>
                <wp:lineTo x="21368" y="3913"/>
                <wp:lineTo x="19742" y="435"/>
                <wp:lineTo x="4877" y="435"/>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62200" cy="1261745"/>
                    </a:xfrm>
                    <a:prstGeom prst="rect">
                      <a:avLst/>
                    </a:prstGeom>
                    <a:noFill/>
                    <a:ln>
                      <a:noFill/>
                    </a:ln>
                  </pic:spPr>
                </pic:pic>
              </a:graphicData>
            </a:graphic>
            <wp14:sizeRelH relativeFrom="page">
              <wp14:pctWidth>0</wp14:pctWidth>
            </wp14:sizeRelH>
            <wp14:sizeRelV relativeFrom="page">
              <wp14:pctHeight>0</wp14:pctHeight>
            </wp14:sizeRelV>
          </wp:anchor>
        </w:drawing>
      </w:r>
      <w:r w:rsidR="00F866C2" w:rsidRPr="00B213DB">
        <w:rPr>
          <w:rFonts w:ascii="Times New Roman" w:hAnsi="Times New Roman"/>
          <w:b/>
        </w:rPr>
        <w:t>(5 years to June 2014)</w:t>
      </w:r>
    </w:p>
    <w:p w:rsidR="00F866C2" w:rsidRPr="00B213DB" w:rsidRDefault="00F866C2" w:rsidP="00F866C2">
      <w:pPr>
        <w:jc w:val="center"/>
        <w:rPr>
          <w:rFonts w:ascii="Times New Roman" w:hAnsi="Times New Roman"/>
          <w:b/>
        </w:rPr>
      </w:pPr>
    </w:p>
    <w:p w:rsidR="00F866C2" w:rsidRPr="00B213DB" w:rsidRDefault="00F866C2" w:rsidP="00F866C2">
      <w:pPr>
        <w:ind w:right="362"/>
        <w:rPr>
          <w:rFonts w:ascii="Times New Roman" w:hAnsi="Times New Roman"/>
          <w:b/>
        </w:rPr>
      </w:pPr>
      <w:r w:rsidRPr="00B213DB">
        <w:rPr>
          <w:rFonts w:ascii="Times New Roman" w:hAnsi="Times New Roman"/>
          <w:b/>
        </w:rPr>
        <w:t xml:space="preserve">  </w:t>
      </w:r>
      <w:r w:rsidRPr="00B213DB">
        <w:rPr>
          <w:rFonts w:ascii="Times New Roman" w:hAnsi="Times New Roman"/>
          <w:b/>
        </w:rPr>
        <w:tab/>
        <w:t>Quartile Ranking</w:t>
      </w:r>
    </w:p>
    <w:p w:rsidR="00F866C2" w:rsidRPr="00B213DB" w:rsidRDefault="00F866C2" w:rsidP="00F866C2">
      <w:pPr>
        <w:tabs>
          <w:tab w:val="left" w:pos="7655"/>
        </w:tabs>
        <w:ind w:right="645"/>
        <w:rPr>
          <w:rFonts w:ascii="Times New Roman" w:hAnsi="Times New Roman"/>
          <w:b/>
        </w:rPr>
      </w:pPr>
      <w:r w:rsidRPr="00B213DB">
        <w:rPr>
          <w:rFonts w:ascii="Times New Roman" w:hAnsi="Times New Roman"/>
          <w:b/>
        </w:rPr>
        <w:t xml:space="preserve">                in Period 1    </w:t>
      </w:r>
    </w:p>
    <w:p w:rsidR="00F866C2" w:rsidRPr="00B213DB" w:rsidRDefault="00F866C2" w:rsidP="00F866C2">
      <w:pPr>
        <w:tabs>
          <w:tab w:val="left" w:pos="7655"/>
        </w:tabs>
        <w:ind w:right="645"/>
        <w:rPr>
          <w:rFonts w:ascii="Times New Roman" w:hAnsi="Times New Roman"/>
          <w:b/>
        </w:rPr>
      </w:pPr>
      <w:r w:rsidRPr="00B213DB">
        <w:rPr>
          <w:rFonts w:ascii="Times New Roman" w:hAnsi="Times New Roman"/>
          <w:b/>
        </w:rPr>
        <w:t xml:space="preserve">                (5 years to </w:t>
      </w:r>
    </w:p>
    <w:p w:rsidR="00F866C2" w:rsidRPr="00B213DB" w:rsidRDefault="00F866C2" w:rsidP="00F866C2">
      <w:pPr>
        <w:tabs>
          <w:tab w:val="left" w:pos="7655"/>
        </w:tabs>
        <w:ind w:right="645"/>
        <w:rPr>
          <w:rFonts w:ascii="Times New Roman" w:hAnsi="Times New Roman"/>
          <w:b/>
        </w:rPr>
      </w:pPr>
      <w:r w:rsidRPr="00B213DB">
        <w:rPr>
          <w:rFonts w:ascii="Times New Roman" w:hAnsi="Times New Roman"/>
          <w:b/>
        </w:rPr>
        <w:t xml:space="preserve">                June 2009)</w:t>
      </w:r>
    </w:p>
    <w:p w:rsidR="00F866C2" w:rsidRPr="00B213DB" w:rsidRDefault="00F866C2" w:rsidP="00F866C2">
      <w:pPr>
        <w:rPr>
          <w:rFonts w:ascii="Times New Roman" w:hAnsi="Times New Roman"/>
        </w:rPr>
      </w:pPr>
    </w:p>
    <w:p w:rsidR="00F866C2" w:rsidRPr="00B213DB" w:rsidRDefault="00F866C2" w:rsidP="00F866C2">
      <w:pPr>
        <w:spacing w:after="120" w:line="480" w:lineRule="auto"/>
        <w:rPr>
          <w:rFonts w:ascii="Times New Roman" w:hAnsi="Times New Roman"/>
        </w:rPr>
      </w:pPr>
    </w:p>
    <w:p w:rsidR="00F866C2" w:rsidRPr="00B213DB" w:rsidRDefault="00F866C2" w:rsidP="00F866C2">
      <w:pPr>
        <w:spacing w:after="120" w:line="360" w:lineRule="auto"/>
        <w:rPr>
          <w:rFonts w:ascii="Times New Roman" w:hAnsi="Times New Roman"/>
        </w:rPr>
      </w:pPr>
      <w:r w:rsidRPr="00B213DB">
        <w:rPr>
          <w:rFonts w:ascii="Times New Roman" w:hAnsi="Times New Roman"/>
        </w:rPr>
        <w:t xml:space="preserve">As can be seen, the Pattern of Performance of excess manager returns in the Vanguard Study is, with the exception of the </w:t>
      </w:r>
      <w:proofErr w:type="spellStart"/>
      <w:r w:rsidRPr="00B213DB">
        <w:rPr>
          <w:rFonts w:ascii="Times New Roman" w:hAnsi="Times New Roman"/>
        </w:rPr>
        <w:t>Q1</w:t>
      </w:r>
      <w:proofErr w:type="spellEnd"/>
      <w:r w:rsidRPr="00B213DB">
        <w:rPr>
          <w:rFonts w:ascii="Times New Roman" w:hAnsi="Times New Roman"/>
        </w:rPr>
        <w:t>/</w:t>
      </w:r>
      <w:proofErr w:type="spellStart"/>
      <w:r w:rsidRPr="00B213DB">
        <w:rPr>
          <w:rFonts w:ascii="Times New Roman" w:hAnsi="Times New Roman"/>
        </w:rPr>
        <w:t>Q4</w:t>
      </w:r>
      <w:proofErr w:type="spellEnd"/>
      <w:r w:rsidRPr="00B213DB">
        <w:rPr>
          <w:rFonts w:ascii="Times New Roman" w:hAnsi="Times New Roman"/>
        </w:rPr>
        <w:t xml:space="preserve"> and </w:t>
      </w:r>
      <w:proofErr w:type="spellStart"/>
      <w:r w:rsidRPr="00B213DB">
        <w:rPr>
          <w:rFonts w:ascii="Times New Roman" w:hAnsi="Times New Roman"/>
        </w:rPr>
        <w:t>Q3</w:t>
      </w:r>
      <w:proofErr w:type="spellEnd"/>
      <w:r w:rsidRPr="00B213DB">
        <w:rPr>
          <w:rFonts w:ascii="Times New Roman" w:hAnsi="Times New Roman"/>
        </w:rPr>
        <w:t>/</w:t>
      </w:r>
      <w:proofErr w:type="spellStart"/>
      <w:r w:rsidRPr="00B213DB">
        <w:rPr>
          <w:rFonts w:ascii="Times New Roman" w:hAnsi="Times New Roman"/>
        </w:rPr>
        <w:t>Q4</w:t>
      </w:r>
      <w:proofErr w:type="spellEnd"/>
      <w:r w:rsidRPr="00B213DB">
        <w:rPr>
          <w:rFonts w:ascii="Times New Roman" w:hAnsi="Times New Roman"/>
        </w:rPr>
        <w:t xml:space="preserve"> outcomes, identical to the pattern expected when active Managers, operating in Complex Markets are performing consistently over time. Fourteen of the sixteen cells in the sample pattern of performance match the Consistent Pattern of Performance.</w:t>
      </w:r>
    </w:p>
    <w:p w:rsidR="00F866C2" w:rsidRDefault="00F866C2" w:rsidP="00F866C2">
      <w:pPr>
        <w:spacing w:after="120" w:line="360" w:lineRule="auto"/>
        <w:rPr>
          <w:rFonts w:ascii="Times New Roman" w:hAnsi="Times New Roman"/>
        </w:rPr>
      </w:pPr>
      <w:r w:rsidRPr="00B213DB">
        <w:rPr>
          <w:rFonts w:ascii="Times New Roman" w:hAnsi="Times New Roman"/>
        </w:rPr>
        <w:t>The results of applying the statistical analysis developed previously, found that the distribution of manager outcomes in the sample pattern of performance in not random (</w:t>
      </w:r>
      <w:proofErr w:type="spellStart"/>
      <w:r w:rsidRPr="00B213DB">
        <w:rPr>
          <w:rFonts w:ascii="Times New Roman" w:hAnsi="Times New Roman"/>
        </w:rPr>
        <w:t>χ2</w:t>
      </w:r>
      <w:proofErr w:type="spellEnd"/>
      <w:r w:rsidRPr="00B213DB">
        <w:rPr>
          <w:rFonts w:ascii="Times New Roman" w:hAnsi="Times New Roman"/>
        </w:rPr>
        <w:t xml:space="preserve"> = .0000), and is not statistically different from the Consistent Pattern of Performance (p = .0004).</w:t>
      </w:r>
    </w:p>
    <w:p w:rsidR="00F21B01" w:rsidRDefault="00122B90" w:rsidP="00F866C2">
      <w:pPr>
        <w:spacing w:after="120" w:line="360" w:lineRule="auto"/>
        <w:rPr>
          <w:rFonts w:ascii="Times New Roman" w:hAnsi="Times New Roman"/>
        </w:rPr>
      </w:pPr>
      <w:r>
        <w:rPr>
          <w:rFonts w:ascii="Times New Roman" w:hAnsi="Times New Roman"/>
        </w:rPr>
        <w:t xml:space="preserve">I would also note that </w:t>
      </w:r>
      <w:r w:rsidR="00F21B01">
        <w:rPr>
          <w:rFonts w:ascii="Times New Roman" w:hAnsi="Times New Roman"/>
        </w:rPr>
        <w:t>in the 2016 version of Va</w:t>
      </w:r>
      <w:r w:rsidR="00683B88">
        <w:rPr>
          <w:rFonts w:ascii="Times New Roman" w:hAnsi="Times New Roman"/>
        </w:rPr>
        <w:t>nguard’s publication, “The C</w:t>
      </w:r>
      <w:r w:rsidR="00F21B01">
        <w:rPr>
          <w:rFonts w:ascii="Times New Roman" w:hAnsi="Times New Roman"/>
        </w:rPr>
        <w:t>ase for Low-Cost Index-Fund Investing”, (</w:t>
      </w:r>
      <w:proofErr w:type="spellStart"/>
      <w:r w:rsidR="00F21B01" w:rsidRPr="00F21B01">
        <w:rPr>
          <w:rFonts w:ascii="Times New Roman" w:hAnsi="Times New Roman"/>
        </w:rPr>
        <w:t>Ha</w:t>
      </w:r>
      <w:r w:rsidR="00F21B01">
        <w:rPr>
          <w:rFonts w:ascii="Times New Roman" w:hAnsi="Times New Roman"/>
        </w:rPr>
        <w:t>rbron</w:t>
      </w:r>
      <w:proofErr w:type="spellEnd"/>
      <w:r w:rsidR="00F21B01">
        <w:rPr>
          <w:rFonts w:ascii="Times New Roman" w:hAnsi="Times New Roman"/>
        </w:rPr>
        <w:t xml:space="preserve">, Roberts &amp; </w:t>
      </w:r>
      <w:r w:rsidR="00F21B01" w:rsidRPr="00F21B01">
        <w:rPr>
          <w:rFonts w:ascii="Times New Roman" w:hAnsi="Times New Roman"/>
        </w:rPr>
        <w:t>Johnson</w:t>
      </w:r>
      <w:r w:rsidR="00F21B01">
        <w:rPr>
          <w:rFonts w:ascii="Times New Roman" w:hAnsi="Times New Roman"/>
        </w:rPr>
        <w:t xml:space="preserve">, 2106), the same analysis is reported for funds available to Australian investors for periods ending 31 December 2010 (first period) and 2015 (second period) with similar conclusions reached.  </w:t>
      </w:r>
    </w:p>
    <w:p w:rsidR="00F21B01" w:rsidRPr="00F21B01" w:rsidRDefault="00F21B01" w:rsidP="00F21B01">
      <w:pPr>
        <w:spacing w:after="120" w:line="360" w:lineRule="auto"/>
        <w:ind w:left="567" w:right="702"/>
        <w:rPr>
          <w:rFonts w:ascii="Times New Roman" w:hAnsi="Times New Roman"/>
          <w:i/>
        </w:rPr>
      </w:pPr>
      <w:r w:rsidRPr="00F21B01">
        <w:rPr>
          <w:rFonts w:ascii="Times New Roman" w:hAnsi="Times New Roman"/>
          <w:i/>
        </w:rPr>
        <w:lastRenderedPageBreak/>
        <w:t>“we concluded that consistent outperformance is very difficult to achieve. This is not to say that there are not periods when active management outperforms, or that no active managers do so regularly. Only that, on average and over time, active managers as a group fail to outperform; and even though some individual managers may be able to generate consistent outperformance, those active managers are extremely rare”.</w:t>
      </w:r>
    </w:p>
    <w:p w:rsidR="00122B90" w:rsidRDefault="00F21B01" w:rsidP="00F866C2">
      <w:pPr>
        <w:spacing w:after="120" w:line="360" w:lineRule="auto"/>
        <w:rPr>
          <w:rFonts w:ascii="Times New Roman" w:hAnsi="Times New Roman"/>
        </w:rPr>
      </w:pPr>
      <w:r>
        <w:rPr>
          <w:rFonts w:ascii="Times New Roman" w:hAnsi="Times New Roman"/>
        </w:rPr>
        <w:t xml:space="preserve"> In reality</w:t>
      </w:r>
      <w:r w:rsidRPr="00080471">
        <w:rPr>
          <w:rFonts w:ascii="Times New Roman" w:hAnsi="Times New Roman"/>
          <w:b/>
        </w:rPr>
        <w:t xml:space="preserve">, the actual finding in this study </w:t>
      </w:r>
      <w:r w:rsidR="00080471">
        <w:rPr>
          <w:rFonts w:ascii="Times New Roman" w:hAnsi="Times New Roman"/>
          <w:b/>
        </w:rPr>
        <w:t xml:space="preserve">by Vanguard </w:t>
      </w:r>
      <w:r w:rsidRPr="00080471">
        <w:rPr>
          <w:rFonts w:ascii="Times New Roman" w:hAnsi="Times New Roman"/>
          <w:b/>
        </w:rPr>
        <w:t>is, again, that markets are not Static</w:t>
      </w:r>
      <w:r>
        <w:rPr>
          <w:rFonts w:ascii="Times New Roman" w:hAnsi="Times New Roman"/>
        </w:rPr>
        <w:t>. When analysed correctly it was found that 14 of 16 cells in the sample pattern of performance matched the Consistent Pattern of Performance</w:t>
      </w:r>
      <w:r w:rsidR="00080471">
        <w:rPr>
          <w:rFonts w:ascii="Times New Roman" w:hAnsi="Times New Roman"/>
        </w:rPr>
        <w:t xml:space="preserve">. This finding means that </w:t>
      </w:r>
      <w:r w:rsidR="00080471" w:rsidRPr="00080471">
        <w:rPr>
          <w:rFonts w:ascii="Times New Roman" w:hAnsi="Times New Roman"/>
          <w:b/>
        </w:rPr>
        <w:t>there is a 99.96% probability that the actual performance of managers was consistent over these periods</w:t>
      </w:r>
      <w:r w:rsidR="00080471">
        <w:rPr>
          <w:rFonts w:ascii="Times New Roman" w:hAnsi="Times New Roman"/>
        </w:rPr>
        <w:t xml:space="preserve">. (The statistical analysis also found that the sample pattern of performance had only a 0.04% probability of being random.)    </w:t>
      </w:r>
    </w:p>
    <w:p w:rsidR="00220AA2" w:rsidRPr="00220AA2" w:rsidRDefault="00080471" w:rsidP="00683B88">
      <w:pPr>
        <w:pBdr>
          <w:top w:val="single" w:sz="4" w:space="1" w:color="auto"/>
          <w:left w:val="single" w:sz="4" w:space="4" w:color="auto"/>
          <w:bottom w:val="single" w:sz="4" w:space="1" w:color="auto"/>
          <w:right w:val="single" w:sz="4" w:space="4" w:color="auto"/>
        </w:pBdr>
        <w:spacing w:after="120" w:line="360" w:lineRule="auto"/>
        <w:rPr>
          <w:rFonts w:ascii="Times New Roman" w:hAnsi="Times New Roman"/>
          <w:i/>
        </w:rPr>
      </w:pPr>
      <w:r>
        <w:rPr>
          <w:rFonts w:ascii="Times New Roman" w:hAnsi="Times New Roman"/>
          <w:i/>
        </w:rPr>
        <w:t>Thus, the Vanguard Studies actually provide</w:t>
      </w:r>
      <w:r w:rsidR="00220AA2" w:rsidRPr="00220AA2">
        <w:rPr>
          <w:rFonts w:ascii="Times New Roman" w:hAnsi="Times New Roman"/>
          <w:i/>
        </w:rPr>
        <w:t xml:space="preserve"> </w:t>
      </w:r>
      <w:r w:rsidR="00220AA2" w:rsidRPr="00220AA2">
        <w:rPr>
          <w:rFonts w:ascii="Times New Roman" w:hAnsi="Times New Roman"/>
          <w:b/>
          <w:bCs/>
          <w:i/>
        </w:rPr>
        <w:t xml:space="preserve">very strong evidence </w:t>
      </w:r>
      <w:r w:rsidR="00220AA2" w:rsidRPr="00220AA2">
        <w:rPr>
          <w:rFonts w:ascii="Times New Roman" w:hAnsi="Times New Roman"/>
          <w:i/>
        </w:rPr>
        <w:t xml:space="preserve">(virtually proof) that </w:t>
      </w:r>
      <w:r w:rsidR="00220AA2" w:rsidRPr="00683B88">
        <w:rPr>
          <w:rFonts w:ascii="Times New Roman" w:hAnsi="Times New Roman"/>
          <w:b/>
          <w:i/>
        </w:rPr>
        <w:t>Managers available to Australian Investors</w:t>
      </w:r>
      <w:r w:rsidR="00220AA2" w:rsidRPr="00220AA2">
        <w:rPr>
          <w:rFonts w:ascii="Times New Roman" w:hAnsi="Times New Roman"/>
          <w:i/>
        </w:rPr>
        <w:t xml:space="preserve"> </w:t>
      </w:r>
      <w:r w:rsidR="00220AA2" w:rsidRPr="00220AA2">
        <w:rPr>
          <w:rFonts w:ascii="Times New Roman" w:hAnsi="Times New Roman"/>
          <w:b/>
          <w:bCs/>
          <w:i/>
        </w:rPr>
        <w:t>do have consistent performance</w:t>
      </w:r>
      <w:r w:rsidR="00220AA2" w:rsidRPr="00220AA2">
        <w:rPr>
          <w:rFonts w:ascii="Times New Roman" w:hAnsi="Times New Roman"/>
          <w:i/>
        </w:rPr>
        <w:t xml:space="preserve">. </w:t>
      </w:r>
    </w:p>
    <w:p w:rsidR="00F866C2" w:rsidRPr="00741EE6" w:rsidRDefault="00741EE6" w:rsidP="008D0389">
      <w:pPr>
        <w:spacing w:after="120" w:line="360" w:lineRule="auto"/>
        <w:rPr>
          <w:rFonts w:ascii="Times New Roman" w:hAnsi="Times New Roman"/>
          <w:b/>
        </w:rPr>
      </w:pPr>
      <w:r w:rsidRPr="00741EE6">
        <w:rPr>
          <w:rFonts w:ascii="Times New Roman" w:hAnsi="Times New Roman"/>
          <w:b/>
        </w:rPr>
        <w:t xml:space="preserve">2. </w:t>
      </w:r>
      <w:r>
        <w:rPr>
          <w:rFonts w:ascii="Times New Roman" w:hAnsi="Times New Roman"/>
          <w:b/>
        </w:rPr>
        <w:t>Australian and Global Equities</w:t>
      </w:r>
    </w:p>
    <w:p w:rsidR="003D7A96" w:rsidRPr="00B213DB" w:rsidRDefault="003D7A96" w:rsidP="008D0389">
      <w:pPr>
        <w:spacing w:after="120" w:line="360" w:lineRule="auto"/>
        <w:rPr>
          <w:rFonts w:ascii="Times New Roman" w:hAnsi="Times New Roman"/>
        </w:rPr>
      </w:pPr>
      <w:r w:rsidRPr="00B213DB">
        <w:rPr>
          <w:rFonts w:ascii="Times New Roman" w:hAnsi="Times New Roman"/>
        </w:rPr>
        <w:t xml:space="preserve">Data was obtained from Morningstar Australia on the performance of actively managed investment funds available to Australian Investors. </w:t>
      </w:r>
      <w:r w:rsidR="00741EE6">
        <w:rPr>
          <w:rFonts w:ascii="Times New Roman" w:hAnsi="Times New Roman"/>
        </w:rPr>
        <w:t>The funds were analys</w:t>
      </w:r>
      <w:r w:rsidR="00723CF2" w:rsidRPr="00B213DB">
        <w:rPr>
          <w:rFonts w:ascii="Times New Roman" w:hAnsi="Times New Roman"/>
        </w:rPr>
        <w:t xml:space="preserve">ed in </w:t>
      </w:r>
      <w:r w:rsidR="00762257" w:rsidRPr="00B213DB">
        <w:rPr>
          <w:rFonts w:ascii="Times New Roman" w:hAnsi="Times New Roman"/>
        </w:rPr>
        <w:t xml:space="preserve">the </w:t>
      </w:r>
      <w:r w:rsidR="00723CF2" w:rsidRPr="00B213DB">
        <w:rPr>
          <w:rFonts w:ascii="Times New Roman" w:hAnsi="Times New Roman"/>
        </w:rPr>
        <w:t xml:space="preserve">two groupings </w:t>
      </w:r>
      <w:r w:rsidRPr="00B213DB">
        <w:rPr>
          <w:rFonts w:ascii="Times New Roman" w:hAnsi="Times New Roman"/>
        </w:rPr>
        <w:t xml:space="preserve">of Australian Equity investments and Global Equity investments. Australian based investment managers managed the majority of Australian Equity investments, while managers based in Europe and the United States managed the majority of the Global Equity Investments. </w:t>
      </w:r>
    </w:p>
    <w:p w:rsidR="00C0048E" w:rsidRPr="00B213DB" w:rsidRDefault="003D7A96" w:rsidP="008D0389">
      <w:pPr>
        <w:spacing w:after="120" w:line="360" w:lineRule="auto"/>
        <w:rPr>
          <w:rFonts w:ascii="Times New Roman" w:hAnsi="Times New Roman"/>
        </w:rPr>
      </w:pPr>
      <w:r w:rsidRPr="00B213DB">
        <w:rPr>
          <w:rFonts w:ascii="Times New Roman" w:hAnsi="Times New Roman"/>
        </w:rPr>
        <w:t>The consistency o</w:t>
      </w:r>
      <w:r w:rsidR="00741EE6">
        <w:rPr>
          <w:rFonts w:ascii="Times New Roman" w:hAnsi="Times New Roman"/>
        </w:rPr>
        <w:t>f returns were analys</w:t>
      </w:r>
      <w:r w:rsidR="00723CF2" w:rsidRPr="00B213DB">
        <w:rPr>
          <w:rFonts w:ascii="Times New Roman" w:hAnsi="Times New Roman"/>
        </w:rPr>
        <w:t>ed in two</w:t>
      </w:r>
      <w:r w:rsidRPr="00B213DB">
        <w:rPr>
          <w:rFonts w:ascii="Times New Roman" w:hAnsi="Times New Roman"/>
        </w:rPr>
        <w:t xml:space="preserve"> studies</w:t>
      </w:r>
      <w:r w:rsidR="00FB5B6C" w:rsidRPr="00B213DB">
        <w:rPr>
          <w:rFonts w:ascii="Times New Roman" w:hAnsi="Times New Roman"/>
        </w:rPr>
        <w:t>. Each study covered the two, 5-</w:t>
      </w:r>
      <w:r w:rsidRPr="00B213DB">
        <w:rPr>
          <w:rFonts w:ascii="Times New Roman" w:hAnsi="Times New Roman"/>
        </w:rPr>
        <w:t xml:space="preserve">year periods ending June 2009 and June 2014. </w:t>
      </w:r>
      <w:r w:rsidR="00741EE6">
        <w:rPr>
          <w:rFonts w:ascii="Times New Roman" w:hAnsi="Times New Roman"/>
        </w:rPr>
        <w:t>(For consistency, these are the same time periods as used in the Vanguard Study.)</w:t>
      </w:r>
    </w:p>
    <w:p w:rsidR="00C0048E" w:rsidRDefault="00C0048E" w:rsidP="008D0389">
      <w:pPr>
        <w:spacing w:after="120" w:line="360" w:lineRule="auto"/>
        <w:rPr>
          <w:rFonts w:ascii="Times New Roman" w:hAnsi="Times New Roman"/>
        </w:rPr>
      </w:pPr>
      <w:r w:rsidRPr="00B213DB">
        <w:rPr>
          <w:rFonts w:ascii="Times New Roman" w:hAnsi="Times New Roman"/>
        </w:rPr>
        <w:t xml:space="preserve">The pattern of performance for each group of funds are presented in </w:t>
      </w:r>
      <w:r w:rsidR="00683B88">
        <w:rPr>
          <w:rFonts w:ascii="Times New Roman" w:hAnsi="Times New Roman"/>
        </w:rPr>
        <w:t>Figure 9</w:t>
      </w:r>
      <w:r w:rsidRPr="00B213DB">
        <w:rPr>
          <w:rFonts w:ascii="Times New Roman" w:hAnsi="Times New Roman"/>
        </w:rPr>
        <w:t>:</w:t>
      </w:r>
    </w:p>
    <w:p w:rsidR="00683B88" w:rsidRDefault="00683B88" w:rsidP="008D0389">
      <w:pPr>
        <w:spacing w:after="120" w:line="360" w:lineRule="auto"/>
        <w:rPr>
          <w:rFonts w:ascii="Times New Roman" w:hAnsi="Times New Roman"/>
        </w:rPr>
      </w:pPr>
    </w:p>
    <w:p w:rsidR="00683B88" w:rsidRDefault="00683B88" w:rsidP="008D0389">
      <w:pPr>
        <w:spacing w:after="120" w:line="360" w:lineRule="auto"/>
        <w:rPr>
          <w:rFonts w:ascii="Times New Roman" w:hAnsi="Times New Roman"/>
        </w:rPr>
      </w:pPr>
    </w:p>
    <w:p w:rsidR="00683B88" w:rsidRPr="00B213DB" w:rsidRDefault="00683B88" w:rsidP="008D0389">
      <w:pPr>
        <w:spacing w:after="120" w:line="360" w:lineRule="auto"/>
        <w:rPr>
          <w:rFonts w:ascii="Times New Roman" w:hAnsi="Times New Roman"/>
        </w:rPr>
      </w:pPr>
    </w:p>
    <w:p w:rsidR="00C0048E" w:rsidRPr="00B213DB" w:rsidRDefault="004E167C" w:rsidP="00DB0F48">
      <w:pPr>
        <w:rPr>
          <w:rFonts w:ascii="Times New Roman" w:hAnsi="Times New Roman"/>
          <w:b/>
        </w:rPr>
      </w:pPr>
      <w:r w:rsidRPr="00B213DB">
        <w:rPr>
          <w:rFonts w:ascii="Times New Roman" w:hAnsi="Times New Roman"/>
          <w:b/>
        </w:rPr>
        <w:lastRenderedPageBreak/>
        <w:t>Figure</w:t>
      </w:r>
      <w:r w:rsidR="00C0048E" w:rsidRPr="00B213DB">
        <w:rPr>
          <w:rFonts w:ascii="Times New Roman" w:hAnsi="Times New Roman"/>
          <w:b/>
        </w:rPr>
        <w:t xml:space="preserve"> </w:t>
      </w:r>
      <w:r w:rsidR="00683B88">
        <w:rPr>
          <w:rFonts w:ascii="Times New Roman" w:hAnsi="Times New Roman"/>
          <w:b/>
        </w:rPr>
        <w:t>9</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6565"/>
      </w:tblGrid>
      <w:tr w:rsidR="00C0048E" w:rsidRPr="00B213DB" w:rsidTr="00E90453">
        <w:tc>
          <w:tcPr>
            <w:tcW w:w="1559" w:type="dxa"/>
            <w:shd w:val="clear" w:color="auto" w:fill="auto"/>
            <w:vAlign w:val="center"/>
          </w:tcPr>
          <w:p w:rsidR="00C0048E" w:rsidRPr="00B213DB" w:rsidRDefault="00C0048E" w:rsidP="00E90453">
            <w:pPr>
              <w:jc w:val="center"/>
              <w:rPr>
                <w:rFonts w:ascii="Times New Roman" w:hAnsi="Times New Roman"/>
                <w:b/>
              </w:rPr>
            </w:pPr>
            <w:r w:rsidRPr="00B213DB">
              <w:rPr>
                <w:rFonts w:ascii="Times New Roman" w:hAnsi="Times New Roman"/>
                <w:b/>
              </w:rPr>
              <w:t>Fund Group</w:t>
            </w:r>
          </w:p>
        </w:tc>
        <w:tc>
          <w:tcPr>
            <w:tcW w:w="6565" w:type="dxa"/>
            <w:shd w:val="clear" w:color="auto" w:fill="auto"/>
          </w:tcPr>
          <w:p w:rsidR="00C0048E" w:rsidRPr="00B213DB" w:rsidRDefault="00C0048E" w:rsidP="00E90453">
            <w:pPr>
              <w:jc w:val="center"/>
              <w:rPr>
                <w:rFonts w:ascii="Times New Roman" w:hAnsi="Times New Roman"/>
                <w:b/>
              </w:rPr>
            </w:pPr>
            <w:r w:rsidRPr="00B213DB">
              <w:rPr>
                <w:rFonts w:ascii="Times New Roman" w:hAnsi="Times New Roman"/>
                <w:b/>
              </w:rPr>
              <w:t>Sample Pattern of Performance</w:t>
            </w:r>
          </w:p>
        </w:tc>
      </w:tr>
      <w:tr w:rsidR="00C0048E" w:rsidRPr="00B213DB" w:rsidTr="00E90453">
        <w:tc>
          <w:tcPr>
            <w:tcW w:w="1559" w:type="dxa"/>
            <w:shd w:val="clear" w:color="auto" w:fill="auto"/>
            <w:vAlign w:val="center"/>
          </w:tcPr>
          <w:p w:rsidR="00C0048E" w:rsidRPr="00B213DB" w:rsidRDefault="00C0048E" w:rsidP="00E90453">
            <w:pPr>
              <w:jc w:val="center"/>
              <w:rPr>
                <w:rFonts w:ascii="Times New Roman" w:hAnsi="Times New Roman"/>
              </w:rPr>
            </w:pPr>
            <w:r w:rsidRPr="00B213DB">
              <w:rPr>
                <w:rFonts w:ascii="Times New Roman" w:hAnsi="Times New Roman"/>
              </w:rPr>
              <w:t>Australian Equity Funds</w:t>
            </w:r>
          </w:p>
        </w:tc>
        <w:tc>
          <w:tcPr>
            <w:tcW w:w="6565" w:type="dxa"/>
            <w:shd w:val="clear" w:color="auto" w:fill="auto"/>
          </w:tcPr>
          <w:p w:rsidR="00C0048E" w:rsidRPr="00B213DB" w:rsidRDefault="00C0048E" w:rsidP="00E90453">
            <w:pPr>
              <w:jc w:val="center"/>
              <w:rPr>
                <w:rFonts w:ascii="Times New Roman" w:hAnsi="Times New Roman"/>
              </w:rPr>
            </w:pPr>
          </w:p>
          <w:p w:rsidR="00723CF2" w:rsidRPr="00B213DB" w:rsidRDefault="00762257" w:rsidP="00E90453">
            <w:pPr>
              <w:jc w:val="center"/>
              <w:rPr>
                <w:rFonts w:ascii="Times New Roman" w:hAnsi="Times New Roman"/>
              </w:rPr>
            </w:pPr>
            <w:r w:rsidRPr="00B213DB">
              <w:rPr>
                <w:rFonts w:ascii="Times New Roman" w:hAnsi="Times New Roman"/>
              </w:rPr>
              <w:t xml:space="preserve">            Second Period</w:t>
            </w:r>
          </w:p>
          <w:p w:rsidR="00762257" w:rsidRPr="00B213DB" w:rsidRDefault="00984C98" w:rsidP="00E90453">
            <w:pPr>
              <w:jc w:val="center"/>
              <w:rPr>
                <w:rFonts w:ascii="Times New Roman" w:hAnsi="Times New Roman"/>
              </w:rPr>
            </w:pPr>
            <w:r>
              <w:rPr>
                <w:noProof/>
                <w:lang w:eastAsia="en-AU"/>
              </w:rPr>
              <w:drawing>
                <wp:anchor distT="0" distB="0" distL="114300" distR="114300" simplePos="0" relativeHeight="251656704" behindDoc="0" locked="0" layoutInCell="1" allowOverlap="1">
                  <wp:simplePos x="0" y="0"/>
                  <wp:positionH relativeFrom="column">
                    <wp:posOffset>818515</wp:posOffset>
                  </wp:positionH>
                  <wp:positionV relativeFrom="paragraph">
                    <wp:posOffset>33020</wp:posOffset>
                  </wp:positionV>
                  <wp:extent cx="2362200" cy="1263650"/>
                  <wp:effectExtent l="0" t="0" r="0" b="6350"/>
                  <wp:wrapTight wrapText="bothSides">
                    <wp:wrapPolygon edited="0">
                      <wp:start x="4877" y="434"/>
                      <wp:lineTo x="1394" y="5210"/>
                      <wp:lineTo x="1161" y="19538"/>
                      <wp:lineTo x="1858" y="21274"/>
                      <wp:lineTo x="3484" y="21274"/>
                      <wp:lineTo x="21368" y="21274"/>
                      <wp:lineTo x="21368" y="3908"/>
                      <wp:lineTo x="19742" y="434"/>
                      <wp:lineTo x="4877" y="434"/>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62200" cy="1263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62257" w:rsidRPr="00B213DB" w:rsidRDefault="00762257" w:rsidP="00E90453">
            <w:pPr>
              <w:jc w:val="center"/>
              <w:rPr>
                <w:rFonts w:ascii="Times New Roman" w:hAnsi="Times New Roman"/>
              </w:rPr>
            </w:pPr>
          </w:p>
          <w:p w:rsidR="00762257" w:rsidRPr="00B213DB" w:rsidRDefault="00762257" w:rsidP="00E90453">
            <w:pPr>
              <w:jc w:val="center"/>
              <w:rPr>
                <w:rFonts w:ascii="Times New Roman" w:hAnsi="Times New Roman"/>
              </w:rPr>
            </w:pPr>
            <w:r w:rsidRPr="00B213DB">
              <w:rPr>
                <w:rFonts w:ascii="Times New Roman" w:hAnsi="Times New Roman"/>
              </w:rPr>
              <w:t xml:space="preserve">First </w:t>
            </w:r>
          </w:p>
          <w:p w:rsidR="00762257" w:rsidRPr="00B213DB" w:rsidRDefault="00762257" w:rsidP="00E90453">
            <w:pPr>
              <w:jc w:val="center"/>
              <w:rPr>
                <w:rFonts w:ascii="Times New Roman" w:hAnsi="Times New Roman"/>
              </w:rPr>
            </w:pPr>
            <w:r w:rsidRPr="00B213DB">
              <w:rPr>
                <w:rFonts w:ascii="Times New Roman" w:hAnsi="Times New Roman"/>
              </w:rPr>
              <w:t>Period</w:t>
            </w:r>
          </w:p>
          <w:p w:rsidR="00762257" w:rsidRPr="00B213DB" w:rsidRDefault="00762257" w:rsidP="00E90453">
            <w:pPr>
              <w:jc w:val="center"/>
              <w:rPr>
                <w:rFonts w:ascii="Times New Roman" w:hAnsi="Times New Roman"/>
              </w:rPr>
            </w:pPr>
          </w:p>
          <w:p w:rsidR="00762257" w:rsidRPr="00B213DB" w:rsidRDefault="00762257" w:rsidP="00E90453">
            <w:pPr>
              <w:jc w:val="center"/>
              <w:rPr>
                <w:rFonts w:ascii="Times New Roman" w:hAnsi="Times New Roman"/>
              </w:rPr>
            </w:pPr>
          </w:p>
          <w:p w:rsidR="00762257" w:rsidRPr="00B213DB" w:rsidRDefault="00762257" w:rsidP="00E90453">
            <w:pPr>
              <w:jc w:val="center"/>
              <w:rPr>
                <w:rFonts w:ascii="Times New Roman" w:hAnsi="Times New Roman"/>
              </w:rPr>
            </w:pPr>
          </w:p>
          <w:p w:rsidR="00762257" w:rsidRPr="00B213DB" w:rsidRDefault="00762257" w:rsidP="00E90453">
            <w:pPr>
              <w:jc w:val="center"/>
              <w:rPr>
                <w:rFonts w:ascii="Times New Roman" w:hAnsi="Times New Roman"/>
              </w:rPr>
            </w:pPr>
          </w:p>
        </w:tc>
      </w:tr>
      <w:tr w:rsidR="00C0048E" w:rsidRPr="00B213DB" w:rsidTr="00E90453">
        <w:tc>
          <w:tcPr>
            <w:tcW w:w="1559" w:type="dxa"/>
            <w:shd w:val="clear" w:color="auto" w:fill="auto"/>
            <w:vAlign w:val="center"/>
          </w:tcPr>
          <w:p w:rsidR="00C0048E" w:rsidRPr="00B213DB" w:rsidRDefault="00C0048E" w:rsidP="00E90453">
            <w:pPr>
              <w:jc w:val="center"/>
              <w:rPr>
                <w:rFonts w:ascii="Times New Roman" w:hAnsi="Times New Roman"/>
              </w:rPr>
            </w:pPr>
            <w:r w:rsidRPr="00B213DB">
              <w:rPr>
                <w:rFonts w:ascii="Times New Roman" w:hAnsi="Times New Roman"/>
              </w:rPr>
              <w:t>Global Equity Funds</w:t>
            </w:r>
          </w:p>
        </w:tc>
        <w:tc>
          <w:tcPr>
            <w:tcW w:w="6565" w:type="dxa"/>
            <w:shd w:val="clear" w:color="auto" w:fill="auto"/>
          </w:tcPr>
          <w:p w:rsidR="00C0048E" w:rsidRPr="00B213DB" w:rsidRDefault="00C0048E" w:rsidP="00E90453">
            <w:pPr>
              <w:jc w:val="center"/>
              <w:rPr>
                <w:rFonts w:ascii="Times New Roman" w:hAnsi="Times New Roman"/>
              </w:rPr>
            </w:pPr>
          </w:p>
          <w:p w:rsidR="00723CF2" w:rsidRPr="00B213DB" w:rsidRDefault="00984C98" w:rsidP="00E90453">
            <w:pPr>
              <w:jc w:val="center"/>
              <w:rPr>
                <w:rFonts w:ascii="Times New Roman" w:hAnsi="Times New Roman"/>
              </w:rPr>
            </w:pPr>
            <w:r>
              <w:rPr>
                <w:noProof/>
                <w:lang w:eastAsia="en-AU"/>
              </w:rPr>
              <w:drawing>
                <wp:anchor distT="0" distB="0" distL="114300" distR="114300" simplePos="0" relativeHeight="251657728" behindDoc="0" locked="0" layoutInCell="1" allowOverlap="1">
                  <wp:simplePos x="0" y="0"/>
                  <wp:positionH relativeFrom="column">
                    <wp:posOffset>818515</wp:posOffset>
                  </wp:positionH>
                  <wp:positionV relativeFrom="paragraph">
                    <wp:posOffset>163830</wp:posOffset>
                  </wp:positionV>
                  <wp:extent cx="2362200" cy="1263650"/>
                  <wp:effectExtent l="0" t="0" r="0" b="6350"/>
                  <wp:wrapTight wrapText="bothSides">
                    <wp:wrapPolygon edited="0">
                      <wp:start x="4877" y="434"/>
                      <wp:lineTo x="1394" y="5210"/>
                      <wp:lineTo x="1161" y="19538"/>
                      <wp:lineTo x="1858" y="21274"/>
                      <wp:lineTo x="3484" y="21274"/>
                      <wp:lineTo x="21368" y="21274"/>
                      <wp:lineTo x="21368" y="3908"/>
                      <wp:lineTo x="19742" y="434"/>
                      <wp:lineTo x="4877" y="434"/>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62200" cy="1263650"/>
                          </a:xfrm>
                          <a:prstGeom prst="rect">
                            <a:avLst/>
                          </a:prstGeom>
                          <a:noFill/>
                          <a:ln>
                            <a:noFill/>
                          </a:ln>
                        </pic:spPr>
                      </pic:pic>
                    </a:graphicData>
                  </a:graphic>
                  <wp14:sizeRelH relativeFrom="page">
                    <wp14:pctWidth>0</wp14:pctWidth>
                  </wp14:sizeRelH>
                  <wp14:sizeRelV relativeFrom="page">
                    <wp14:pctHeight>0</wp14:pctHeight>
                  </wp14:sizeRelV>
                </wp:anchor>
              </w:drawing>
            </w:r>
            <w:r w:rsidR="00762257" w:rsidRPr="00B213DB">
              <w:rPr>
                <w:rFonts w:ascii="Times New Roman" w:hAnsi="Times New Roman"/>
              </w:rPr>
              <w:t>Second Period</w:t>
            </w:r>
          </w:p>
          <w:p w:rsidR="00762257" w:rsidRPr="00B213DB" w:rsidRDefault="00762257" w:rsidP="00762257">
            <w:pPr>
              <w:jc w:val="center"/>
              <w:rPr>
                <w:rFonts w:ascii="Times New Roman" w:hAnsi="Times New Roman"/>
              </w:rPr>
            </w:pPr>
          </w:p>
          <w:p w:rsidR="00762257" w:rsidRPr="00B213DB" w:rsidRDefault="00762257" w:rsidP="00762257">
            <w:pPr>
              <w:jc w:val="center"/>
              <w:rPr>
                <w:rFonts w:ascii="Times New Roman" w:hAnsi="Times New Roman"/>
              </w:rPr>
            </w:pPr>
          </w:p>
          <w:p w:rsidR="00762257" w:rsidRPr="00B213DB" w:rsidRDefault="00762257" w:rsidP="00762257">
            <w:pPr>
              <w:jc w:val="center"/>
              <w:rPr>
                <w:rFonts w:ascii="Times New Roman" w:hAnsi="Times New Roman"/>
              </w:rPr>
            </w:pPr>
            <w:r w:rsidRPr="00B213DB">
              <w:rPr>
                <w:rFonts w:ascii="Times New Roman" w:hAnsi="Times New Roman"/>
              </w:rPr>
              <w:t>First</w:t>
            </w:r>
          </w:p>
          <w:p w:rsidR="00762257" w:rsidRPr="00B213DB" w:rsidRDefault="00762257" w:rsidP="00762257">
            <w:pPr>
              <w:jc w:val="center"/>
              <w:rPr>
                <w:rFonts w:ascii="Times New Roman" w:hAnsi="Times New Roman"/>
              </w:rPr>
            </w:pPr>
            <w:r w:rsidRPr="00B213DB">
              <w:rPr>
                <w:rFonts w:ascii="Times New Roman" w:hAnsi="Times New Roman"/>
              </w:rPr>
              <w:t>Period</w:t>
            </w:r>
          </w:p>
          <w:p w:rsidR="00762257" w:rsidRPr="00B213DB" w:rsidRDefault="00762257" w:rsidP="00762257">
            <w:pPr>
              <w:jc w:val="center"/>
              <w:rPr>
                <w:rFonts w:ascii="Times New Roman" w:hAnsi="Times New Roman"/>
              </w:rPr>
            </w:pPr>
          </w:p>
          <w:p w:rsidR="00762257" w:rsidRPr="00B213DB" w:rsidRDefault="00762257" w:rsidP="00762257">
            <w:pPr>
              <w:jc w:val="center"/>
              <w:rPr>
                <w:rFonts w:ascii="Times New Roman" w:hAnsi="Times New Roman"/>
              </w:rPr>
            </w:pPr>
          </w:p>
          <w:p w:rsidR="00762257" w:rsidRPr="00B213DB" w:rsidRDefault="00762257" w:rsidP="00762257">
            <w:pPr>
              <w:jc w:val="center"/>
              <w:rPr>
                <w:rFonts w:ascii="Times New Roman" w:hAnsi="Times New Roman"/>
              </w:rPr>
            </w:pPr>
          </w:p>
          <w:p w:rsidR="00762257" w:rsidRPr="00B213DB" w:rsidRDefault="00762257" w:rsidP="00762257">
            <w:pPr>
              <w:rPr>
                <w:rFonts w:ascii="Times New Roman" w:hAnsi="Times New Roman"/>
              </w:rPr>
            </w:pPr>
          </w:p>
        </w:tc>
      </w:tr>
    </w:tbl>
    <w:p w:rsidR="0047339E" w:rsidRPr="00B213DB" w:rsidRDefault="003D7A96" w:rsidP="00683B88">
      <w:pPr>
        <w:spacing w:after="120"/>
        <w:rPr>
          <w:rFonts w:ascii="Times New Roman" w:hAnsi="Times New Roman"/>
        </w:rPr>
      </w:pPr>
      <w:r w:rsidRPr="00B213DB">
        <w:rPr>
          <w:rFonts w:ascii="Times New Roman" w:hAnsi="Times New Roman"/>
        </w:rPr>
        <w:t xml:space="preserve">The </w:t>
      </w:r>
      <w:r w:rsidR="00411230" w:rsidRPr="00B213DB">
        <w:rPr>
          <w:rFonts w:ascii="Times New Roman" w:hAnsi="Times New Roman"/>
        </w:rPr>
        <w:t xml:space="preserve">statistical </w:t>
      </w:r>
      <w:r w:rsidRPr="00B213DB">
        <w:rPr>
          <w:rFonts w:ascii="Times New Roman" w:hAnsi="Times New Roman"/>
        </w:rPr>
        <w:t>res</w:t>
      </w:r>
      <w:r w:rsidR="00683B88">
        <w:rPr>
          <w:rFonts w:ascii="Times New Roman" w:hAnsi="Times New Roman"/>
        </w:rPr>
        <w:t>ults are presented in Figure 10</w:t>
      </w:r>
      <w:r w:rsidRPr="00B213DB">
        <w:rPr>
          <w:rFonts w:ascii="Times New Roman" w:hAnsi="Times New Roman"/>
        </w:rPr>
        <w:t>.</w:t>
      </w:r>
    </w:p>
    <w:p w:rsidR="003D7A96" w:rsidRPr="00B213DB" w:rsidRDefault="00683B88" w:rsidP="003D7A96">
      <w:pPr>
        <w:rPr>
          <w:rFonts w:ascii="Times New Roman" w:hAnsi="Times New Roman"/>
          <w:b/>
        </w:rPr>
      </w:pPr>
      <w:r>
        <w:rPr>
          <w:rFonts w:ascii="Times New Roman" w:hAnsi="Times New Roman"/>
          <w:b/>
        </w:rPr>
        <w:t>Figure 10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6"/>
        <w:gridCol w:w="1665"/>
        <w:gridCol w:w="1665"/>
      </w:tblGrid>
      <w:tr w:rsidR="00723CF2" w:rsidRPr="00B213DB" w:rsidTr="00214C01">
        <w:trPr>
          <w:jc w:val="center"/>
        </w:trPr>
        <w:tc>
          <w:tcPr>
            <w:tcW w:w="4386" w:type="dxa"/>
            <w:shd w:val="clear" w:color="auto" w:fill="auto"/>
          </w:tcPr>
          <w:p w:rsidR="00723CF2" w:rsidRPr="00B213DB" w:rsidRDefault="00723CF2" w:rsidP="00644428">
            <w:pPr>
              <w:jc w:val="center"/>
              <w:rPr>
                <w:rFonts w:ascii="Times New Roman" w:hAnsi="Times New Roman"/>
              </w:rPr>
            </w:pPr>
          </w:p>
        </w:tc>
        <w:tc>
          <w:tcPr>
            <w:tcW w:w="1665" w:type="dxa"/>
            <w:shd w:val="clear" w:color="auto" w:fill="auto"/>
          </w:tcPr>
          <w:p w:rsidR="00723CF2" w:rsidRPr="00B213DB" w:rsidRDefault="00723CF2" w:rsidP="00644428">
            <w:pPr>
              <w:jc w:val="center"/>
              <w:rPr>
                <w:rFonts w:ascii="Times New Roman" w:hAnsi="Times New Roman"/>
              </w:rPr>
            </w:pPr>
            <w:r w:rsidRPr="00B213DB">
              <w:rPr>
                <w:rFonts w:ascii="Times New Roman" w:hAnsi="Times New Roman"/>
              </w:rPr>
              <w:t>Australian Equity Funds</w:t>
            </w:r>
          </w:p>
        </w:tc>
        <w:tc>
          <w:tcPr>
            <w:tcW w:w="1665" w:type="dxa"/>
            <w:shd w:val="clear" w:color="auto" w:fill="auto"/>
          </w:tcPr>
          <w:p w:rsidR="00723CF2" w:rsidRPr="00B213DB" w:rsidRDefault="00741EE6" w:rsidP="00644428">
            <w:pPr>
              <w:jc w:val="center"/>
              <w:rPr>
                <w:rFonts w:ascii="Times New Roman" w:hAnsi="Times New Roman"/>
              </w:rPr>
            </w:pPr>
            <w:r>
              <w:rPr>
                <w:rFonts w:ascii="Times New Roman" w:hAnsi="Times New Roman"/>
              </w:rPr>
              <w:t>Global</w:t>
            </w:r>
            <w:r w:rsidR="00723CF2" w:rsidRPr="00B213DB">
              <w:rPr>
                <w:rFonts w:ascii="Times New Roman" w:hAnsi="Times New Roman"/>
              </w:rPr>
              <w:t xml:space="preserve"> Equity Funds</w:t>
            </w:r>
          </w:p>
        </w:tc>
      </w:tr>
      <w:tr w:rsidR="00723CF2" w:rsidRPr="00B213DB" w:rsidTr="00214C01">
        <w:trPr>
          <w:jc w:val="center"/>
        </w:trPr>
        <w:tc>
          <w:tcPr>
            <w:tcW w:w="4386" w:type="dxa"/>
            <w:shd w:val="clear" w:color="auto" w:fill="auto"/>
          </w:tcPr>
          <w:p w:rsidR="00723CF2" w:rsidRPr="00B213DB" w:rsidRDefault="00723CF2" w:rsidP="00644428">
            <w:pPr>
              <w:rPr>
                <w:rFonts w:ascii="Times New Roman" w:hAnsi="Times New Roman"/>
              </w:rPr>
            </w:pPr>
          </w:p>
          <w:p w:rsidR="00723CF2" w:rsidRPr="00B213DB" w:rsidRDefault="00723CF2" w:rsidP="00644428">
            <w:pPr>
              <w:rPr>
                <w:rFonts w:ascii="Times New Roman" w:hAnsi="Times New Roman"/>
              </w:rPr>
            </w:pPr>
            <w:r w:rsidRPr="00B213DB">
              <w:rPr>
                <w:rFonts w:ascii="Times New Roman" w:hAnsi="Times New Roman"/>
              </w:rPr>
              <w:t>Number of Funds</w:t>
            </w:r>
          </w:p>
          <w:p w:rsidR="00723CF2" w:rsidRPr="00B213DB" w:rsidRDefault="00723CF2" w:rsidP="00644428">
            <w:pPr>
              <w:rPr>
                <w:rFonts w:ascii="Times New Roman" w:hAnsi="Times New Roman"/>
              </w:rPr>
            </w:pPr>
          </w:p>
        </w:tc>
        <w:tc>
          <w:tcPr>
            <w:tcW w:w="1665" w:type="dxa"/>
            <w:shd w:val="clear" w:color="auto" w:fill="auto"/>
            <w:vAlign w:val="center"/>
          </w:tcPr>
          <w:p w:rsidR="00723CF2" w:rsidRPr="00B213DB" w:rsidRDefault="00723CF2" w:rsidP="00644428">
            <w:pPr>
              <w:jc w:val="center"/>
              <w:rPr>
                <w:rFonts w:ascii="Times New Roman" w:hAnsi="Times New Roman"/>
              </w:rPr>
            </w:pPr>
            <w:r w:rsidRPr="00B213DB">
              <w:rPr>
                <w:rFonts w:ascii="Times New Roman" w:hAnsi="Times New Roman"/>
              </w:rPr>
              <w:t>177</w:t>
            </w:r>
          </w:p>
        </w:tc>
        <w:tc>
          <w:tcPr>
            <w:tcW w:w="1665" w:type="dxa"/>
            <w:shd w:val="clear" w:color="auto" w:fill="auto"/>
            <w:vAlign w:val="center"/>
          </w:tcPr>
          <w:p w:rsidR="00723CF2" w:rsidRPr="00B213DB" w:rsidRDefault="00723CF2" w:rsidP="00644428">
            <w:pPr>
              <w:jc w:val="center"/>
              <w:rPr>
                <w:rFonts w:ascii="Times New Roman" w:hAnsi="Times New Roman"/>
              </w:rPr>
            </w:pPr>
            <w:r w:rsidRPr="00B213DB">
              <w:rPr>
                <w:rFonts w:ascii="Times New Roman" w:hAnsi="Times New Roman"/>
              </w:rPr>
              <w:t>96</w:t>
            </w:r>
          </w:p>
        </w:tc>
      </w:tr>
      <w:tr w:rsidR="00723CF2" w:rsidRPr="00B213DB" w:rsidTr="00214C01">
        <w:trPr>
          <w:jc w:val="center"/>
        </w:trPr>
        <w:tc>
          <w:tcPr>
            <w:tcW w:w="4386" w:type="dxa"/>
            <w:shd w:val="clear" w:color="auto" w:fill="auto"/>
          </w:tcPr>
          <w:p w:rsidR="00723CF2" w:rsidRPr="00B213DB" w:rsidRDefault="00723CF2" w:rsidP="00644428">
            <w:pPr>
              <w:rPr>
                <w:rFonts w:ascii="Times New Roman" w:hAnsi="Times New Roman"/>
              </w:rPr>
            </w:pPr>
            <w:r w:rsidRPr="00B213DB">
              <w:rPr>
                <w:rFonts w:ascii="Times New Roman" w:hAnsi="Times New Roman"/>
              </w:rPr>
              <w:t>Number of cells matching the Consistent Pattern of Performance</w:t>
            </w:r>
          </w:p>
          <w:p w:rsidR="00723CF2" w:rsidRPr="00B213DB" w:rsidRDefault="00723CF2" w:rsidP="00644428">
            <w:pPr>
              <w:rPr>
                <w:rFonts w:ascii="Times New Roman" w:hAnsi="Times New Roman"/>
              </w:rPr>
            </w:pPr>
          </w:p>
        </w:tc>
        <w:tc>
          <w:tcPr>
            <w:tcW w:w="1665" w:type="dxa"/>
            <w:shd w:val="clear" w:color="auto" w:fill="auto"/>
            <w:vAlign w:val="center"/>
          </w:tcPr>
          <w:p w:rsidR="00723CF2" w:rsidRPr="00B213DB" w:rsidRDefault="00723CF2" w:rsidP="00644428">
            <w:pPr>
              <w:jc w:val="center"/>
              <w:rPr>
                <w:rFonts w:ascii="Times New Roman" w:hAnsi="Times New Roman"/>
              </w:rPr>
            </w:pPr>
            <w:r w:rsidRPr="00B213DB">
              <w:rPr>
                <w:rFonts w:ascii="Times New Roman" w:hAnsi="Times New Roman"/>
              </w:rPr>
              <w:t>14</w:t>
            </w:r>
          </w:p>
        </w:tc>
        <w:tc>
          <w:tcPr>
            <w:tcW w:w="1665" w:type="dxa"/>
            <w:shd w:val="clear" w:color="auto" w:fill="auto"/>
            <w:vAlign w:val="center"/>
          </w:tcPr>
          <w:p w:rsidR="00723CF2" w:rsidRPr="00B213DB" w:rsidRDefault="00723CF2" w:rsidP="00644428">
            <w:pPr>
              <w:jc w:val="center"/>
              <w:rPr>
                <w:rFonts w:ascii="Times New Roman" w:hAnsi="Times New Roman"/>
              </w:rPr>
            </w:pPr>
            <w:r w:rsidRPr="00B213DB">
              <w:rPr>
                <w:rFonts w:ascii="Times New Roman" w:hAnsi="Times New Roman"/>
              </w:rPr>
              <w:t>11</w:t>
            </w:r>
          </w:p>
        </w:tc>
      </w:tr>
      <w:tr w:rsidR="00723CF2" w:rsidRPr="00B213DB" w:rsidTr="00214C01">
        <w:trPr>
          <w:jc w:val="center"/>
        </w:trPr>
        <w:tc>
          <w:tcPr>
            <w:tcW w:w="4386" w:type="dxa"/>
            <w:shd w:val="clear" w:color="auto" w:fill="auto"/>
          </w:tcPr>
          <w:p w:rsidR="00723CF2" w:rsidRPr="00B213DB" w:rsidRDefault="00723CF2" w:rsidP="00644428">
            <w:pPr>
              <w:rPr>
                <w:rFonts w:ascii="Times New Roman" w:hAnsi="Times New Roman"/>
              </w:rPr>
            </w:pPr>
            <w:r w:rsidRPr="00B213DB">
              <w:rPr>
                <w:rFonts w:ascii="Times New Roman" w:hAnsi="Times New Roman"/>
              </w:rPr>
              <w:t>Hypothesis Test</w:t>
            </w:r>
          </w:p>
          <w:p w:rsidR="00723CF2" w:rsidRPr="00B213DB" w:rsidRDefault="00723CF2" w:rsidP="00644428">
            <w:pPr>
              <w:rPr>
                <w:rFonts w:ascii="Times New Roman" w:hAnsi="Times New Roman"/>
                <w:bCs/>
              </w:rPr>
            </w:pPr>
            <w:proofErr w:type="spellStart"/>
            <w:r w:rsidRPr="00B213DB">
              <w:rPr>
                <w:rFonts w:ascii="Times New Roman" w:hAnsi="Times New Roman"/>
              </w:rPr>
              <w:t>H</w:t>
            </w:r>
            <w:r w:rsidRPr="00B213DB">
              <w:rPr>
                <w:rFonts w:ascii="Times New Roman" w:hAnsi="Times New Roman"/>
                <w:vertAlign w:val="subscript"/>
              </w:rPr>
              <w:t>1</w:t>
            </w:r>
            <w:proofErr w:type="spellEnd"/>
            <w:r w:rsidRPr="00B213DB">
              <w:rPr>
                <w:rFonts w:ascii="Times New Roman" w:hAnsi="Times New Roman"/>
              </w:rPr>
              <w:t xml:space="preserve">: The </w:t>
            </w:r>
            <w:r w:rsidRPr="00B213DB">
              <w:rPr>
                <w:rFonts w:ascii="Times New Roman" w:hAnsi="Times New Roman"/>
                <w:bCs/>
              </w:rPr>
              <w:t>sample pattern of performance is the same as the Consistent Pattern of Performance.</w:t>
            </w:r>
          </w:p>
          <w:p w:rsidR="00723CF2" w:rsidRPr="00B213DB" w:rsidRDefault="00723CF2" w:rsidP="00644428">
            <w:pPr>
              <w:rPr>
                <w:rFonts w:ascii="Times New Roman" w:hAnsi="Times New Roman"/>
                <w:bCs/>
              </w:rPr>
            </w:pPr>
          </w:p>
          <w:p w:rsidR="00723CF2" w:rsidRPr="00B213DB" w:rsidRDefault="00723CF2" w:rsidP="00644428">
            <w:pPr>
              <w:rPr>
                <w:rFonts w:ascii="Times New Roman" w:hAnsi="Times New Roman"/>
              </w:rPr>
            </w:pPr>
            <w:proofErr w:type="spellStart"/>
            <w:r w:rsidRPr="00B213DB">
              <w:rPr>
                <w:rFonts w:ascii="Times New Roman" w:hAnsi="Times New Roman"/>
              </w:rPr>
              <w:t>H</w:t>
            </w:r>
            <w:r w:rsidRPr="00B213DB">
              <w:rPr>
                <w:rFonts w:ascii="Times New Roman" w:hAnsi="Times New Roman"/>
                <w:vertAlign w:val="subscript"/>
              </w:rPr>
              <w:t>0</w:t>
            </w:r>
            <w:proofErr w:type="spellEnd"/>
            <w:r w:rsidRPr="00B213DB">
              <w:rPr>
                <w:rFonts w:ascii="Times New Roman" w:hAnsi="Times New Roman"/>
              </w:rPr>
              <w:t xml:space="preserve">: The sample pattern of performance is </w:t>
            </w:r>
            <w:r w:rsidRPr="00B213DB">
              <w:rPr>
                <w:rFonts w:ascii="Times New Roman" w:hAnsi="Times New Roman"/>
                <w:bCs/>
              </w:rPr>
              <w:t>random</w:t>
            </w:r>
            <w:r w:rsidR="00BB1C24" w:rsidRPr="00B213DB">
              <w:rPr>
                <w:rFonts w:ascii="Times New Roman" w:hAnsi="Times New Roman"/>
                <w:bCs/>
              </w:rPr>
              <w:t xml:space="preserve"> (i.e. not the same as the Consistent Pattern of Performance)</w:t>
            </w:r>
            <w:r w:rsidRPr="00B213DB">
              <w:rPr>
                <w:rFonts w:ascii="Times New Roman" w:hAnsi="Times New Roman"/>
              </w:rPr>
              <w:t xml:space="preserve">. </w:t>
            </w:r>
          </w:p>
          <w:p w:rsidR="00723CF2" w:rsidRPr="00B213DB" w:rsidRDefault="00723CF2" w:rsidP="00644428">
            <w:pPr>
              <w:rPr>
                <w:rFonts w:ascii="Times New Roman" w:hAnsi="Times New Roman"/>
              </w:rPr>
            </w:pPr>
          </w:p>
        </w:tc>
        <w:tc>
          <w:tcPr>
            <w:tcW w:w="1665" w:type="dxa"/>
            <w:shd w:val="clear" w:color="auto" w:fill="auto"/>
            <w:vAlign w:val="center"/>
          </w:tcPr>
          <w:p w:rsidR="00723CF2" w:rsidRPr="00B213DB" w:rsidRDefault="00723CF2" w:rsidP="00723CF2">
            <w:pPr>
              <w:jc w:val="center"/>
              <w:rPr>
                <w:rFonts w:ascii="Times New Roman" w:hAnsi="Times New Roman"/>
              </w:rPr>
            </w:pPr>
            <w:r w:rsidRPr="00B213DB">
              <w:rPr>
                <w:rFonts w:ascii="Times New Roman" w:hAnsi="Times New Roman"/>
                <w:i/>
                <w:iCs/>
              </w:rPr>
              <w:t>p</w:t>
            </w:r>
            <w:r w:rsidRPr="00B213DB">
              <w:rPr>
                <w:rFonts w:ascii="Times New Roman" w:hAnsi="Times New Roman"/>
              </w:rPr>
              <w:t xml:space="preserve">=.0004 </w:t>
            </w:r>
          </w:p>
        </w:tc>
        <w:tc>
          <w:tcPr>
            <w:tcW w:w="1665" w:type="dxa"/>
            <w:shd w:val="clear" w:color="auto" w:fill="auto"/>
            <w:vAlign w:val="center"/>
          </w:tcPr>
          <w:p w:rsidR="00723CF2" w:rsidRPr="00B213DB" w:rsidRDefault="00723CF2" w:rsidP="00723CF2">
            <w:pPr>
              <w:jc w:val="center"/>
              <w:rPr>
                <w:rFonts w:ascii="Times New Roman" w:hAnsi="Times New Roman"/>
              </w:rPr>
            </w:pPr>
            <w:r w:rsidRPr="00B213DB">
              <w:rPr>
                <w:rFonts w:ascii="Times New Roman" w:hAnsi="Times New Roman"/>
                <w:i/>
                <w:iCs/>
              </w:rPr>
              <w:t>p</w:t>
            </w:r>
            <w:r w:rsidRPr="00B213DB">
              <w:rPr>
                <w:rFonts w:ascii="Times New Roman" w:hAnsi="Times New Roman"/>
              </w:rPr>
              <w:t>=.0497</w:t>
            </w:r>
          </w:p>
        </w:tc>
      </w:tr>
      <w:tr w:rsidR="00723CF2" w:rsidRPr="00B213DB" w:rsidTr="00214C01">
        <w:trPr>
          <w:jc w:val="center"/>
        </w:trPr>
        <w:tc>
          <w:tcPr>
            <w:tcW w:w="4386" w:type="dxa"/>
            <w:shd w:val="clear" w:color="auto" w:fill="auto"/>
          </w:tcPr>
          <w:p w:rsidR="00723CF2" w:rsidRPr="00B213DB" w:rsidRDefault="00723CF2" w:rsidP="00644428">
            <w:pPr>
              <w:rPr>
                <w:rFonts w:ascii="Times New Roman" w:hAnsi="Times New Roman"/>
              </w:rPr>
            </w:pPr>
            <w:r w:rsidRPr="00B213DB">
              <w:rPr>
                <w:rFonts w:ascii="Times New Roman" w:hAnsi="Times New Roman"/>
              </w:rPr>
              <w:t>Significance Test</w:t>
            </w:r>
          </w:p>
          <w:p w:rsidR="00723CF2" w:rsidRPr="00B213DB" w:rsidRDefault="00723CF2" w:rsidP="00644428">
            <w:pPr>
              <w:rPr>
                <w:rFonts w:ascii="Times New Roman" w:hAnsi="Times New Roman"/>
              </w:rPr>
            </w:pPr>
            <w:proofErr w:type="spellStart"/>
            <w:r w:rsidRPr="00B213DB">
              <w:rPr>
                <w:rFonts w:ascii="Times New Roman" w:hAnsi="Times New Roman"/>
              </w:rPr>
              <w:t>H</w:t>
            </w:r>
            <w:r w:rsidRPr="00B213DB">
              <w:rPr>
                <w:rFonts w:ascii="Times New Roman" w:hAnsi="Times New Roman"/>
                <w:vertAlign w:val="subscript"/>
              </w:rPr>
              <w:t>1</w:t>
            </w:r>
            <w:proofErr w:type="spellEnd"/>
            <w:r w:rsidRPr="00B213DB">
              <w:rPr>
                <w:rFonts w:ascii="Times New Roman" w:hAnsi="Times New Roman"/>
              </w:rPr>
              <w:t>: The sample distribution of managers is not random.</w:t>
            </w:r>
          </w:p>
          <w:p w:rsidR="00723CF2" w:rsidRPr="00B213DB" w:rsidRDefault="00723CF2" w:rsidP="00644428">
            <w:pPr>
              <w:rPr>
                <w:rFonts w:ascii="Times New Roman" w:hAnsi="Times New Roman"/>
              </w:rPr>
            </w:pPr>
            <w:proofErr w:type="spellStart"/>
            <w:r w:rsidRPr="00B213DB">
              <w:rPr>
                <w:rFonts w:ascii="Times New Roman" w:hAnsi="Times New Roman"/>
              </w:rPr>
              <w:t>H</w:t>
            </w:r>
            <w:r w:rsidRPr="00B213DB">
              <w:rPr>
                <w:rFonts w:ascii="Times New Roman" w:hAnsi="Times New Roman"/>
                <w:vertAlign w:val="subscript"/>
              </w:rPr>
              <w:t>0</w:t>
            </w:r>
            <w:proofErr w:type="spellEnd"/>
            <w:r w:rsidRPr="00B213DB">
              <w:rPr>
                <w:rFonts w:ascii="Times New Roman" w:hAnsi="Times New Roman"/>
              </w:rPr>
              <w:t>: The sample distribution of managers is random.</w:t>
            </w:r>
          </w:p>
        </w:tc>
        <w:tc>
          <w:tcPr>
            <w:tcW w:w="1665" w:type="dxa"/>
            <w:shd w:val="clear" w:color="auto" w:fill="auto"/>
            <w:vAlign w:val="center"/>
          </w:tcPr>
          <w:p w:rsidR="00723CF2" w:rsidRPr="00B213DB" w:rsidRDefault="00723CF2" w:rsidP="00723CF2">
            <w:pPr>
              <w:jc w:val="center"/>
              <w:rPr>
                <w:rFonts w:ascii="Times New Roman" w:hAnsi="Times New Roman"/>
              </w:rPr>
            </w:pPr>
            <w:proofErr w:type="spellStart"/>
            <w:r w:rsidRPr="00B213DB">
              <w:rPr>
                <w:rFonts w:ascii="Times New Roman" w:hAnsi="Times New Roman"/>
                <w:bCs/>
              </w:rPr>
              <w:t>χ</w:t>
            </w:r>
            <w:r w:rsidRPr="00B213DB">
              <w:rPr>
                <w:rFonts w:ascii="Times New Roman" w:hAnsi="Times New Roman"/>
                <w:bCs/>
                <w:vertAlign w:val="superscript"/>
              </w:rPr>
              <w:t>2</w:t>
            </w:r>
            <w:proofErr w:type="spellEnd"/>
            <w:r w:rsidRPr="00B213DB">
              <w:rPr>
                <w:rFonts w:ascii="Times New Roman" w:hAnsi="Times New Roman"/>
              </w:rPr>
              <w:t xml:space="preserve"> = .0001</w:t>
            </w:r>
          </w:p>
        </w:tc>
        <w:tc>
          <w:tcPr>
            <w:tcW w:w="1665" w:type="dxa"/>
            <w:shd w:val="clear" w:color="auto" w:fill="auto"/>
            <w:vAlign w:val="center"/>
          </w:tcPr>
          <w:p w:rsidR="00723CF2" w:rsidRPr="00B213DB" w:rsidRDefault="00723CF2" w:rsidP="00723CF2">
            <w:pPr>
              <w:jc w:val="center"/>
              <w:rPr>
                <w:rFonts w:ascii="Times New Roman" w:hAnsi="Times New Roman"/>
              </w:rPr>
            </w:pPr>
            <w:proofErr w:type="spellStart"/>
            <w:r w:rsidRPr="00B213DB">
              <w:rPr>
                <w:rFonts w:ascii="Times New Roman" w:hAnsi="Times New Roman"/>
                <w:bCs/>
              </w:rPr>
              <w:t>χ</w:t>
            </w:r>
            <w:r w:rsidRPr="00B213DB">
              <w:rPr>
                <w:rFonts w:ascii="Times New Roman" w:hAnsi="Times New Roman"/>
                <w:bCs/>
                <w:vertAlign w:val="superscript"/>
              </w:rPr>
              <w:t>2</w:t>
            </w:r>
            <w:proofErr w:type="spellEnd"/>
            <w:r w:rsidRPr="00B213DB">
              <w:rPr>
                <w:rFonts w:ascii="Times New Roman" w:hAnsi="Times New Roman"/>
              </w:rPr>
              <w:t xml:space="preserve"> = .0378</w:t>
            </w:r>
          </w:p>
        </w:tc>
      </w:tr>
    </w:tbl>
    <w:p w:rsidR="003D7A96" w:rsidRPr="00B213DB" w:rsidRDefault="003D7A96" w:rsidP="003D7A96">
      <w:pPr>
        <w:rPr>
          <w:rFonts w:ascii="Times New Roman" w:hAnsi="Times New Roman"/>
        </w:rPr>
      </w:pPr>
    </w:p>
    <w:p w:rsidR="00972403" w:rsidRDefault="00741EE6" w:rsidP="008D0389">
      <w:pPr>
        <w:spacing w:after="120" w:line="360" w:lineRule="auto"/>
        <w:rPr>
          <w:rFonts w:ascii="Times New Roman" w:hAnsi="Times New Roman"/>
        </w:rPr>
      </w:pPr>
      <w:r>
        <w:rPr>
          <w:rFonts w:ascii="Times New Roman" w:hAnsi="Times New Roman"/>
        </w:rPr>
        <w:t>For both Australian and Global</w:t>
      </w:r>
      <w:r w:rsidR="00BB1C24" w:rsidRPr="00B213DB">
        <w:rPr>
          <w:rFonts w:ascii="Times New Roman" w:hAnsi="Times New Roman"/>
        </w:rPr>
        <w:t xml:space="preserve"> Equity Funds the analysis rejects the Null H</w:t>
      </w:r>
      <w:r w:rsidR="00972403" w:rsidRPr="00B213DB">
        <w:rPr>
          <w:rFonts w:ascii="Times New Roman" w:hAnsi="Times New Roman"/>
        </w:rPr>
        <w:t>ypotheses</w:t>
      </w:r>
      <w:r w:rsidR="00BB1C24" w:rsidRPr="00B213DB">
        <w:rPr>
          <w:rFonts w:ascii="Times New Roman" w:hAnsi="Times New Roman"/>
        </w:rPr>
        <w:t xml:space="preserve"> (</w:t>
      </w:r>
      <w:proofErr w:type="spellStart"/>
      <w:r w:rsidR="00BB1C24" w:rsidRPr="00B213DB">
        <w:rPr>
          <w:rFonts w:ascii="Times New Roman" w:hAnsi="Times New Roman"/>
        </w:rPr>
        <w:t>H</w:t>
      </w:r>
      <w:r w:rsidR="00BB1C24" w:rsidRPr="00B213DB">
        <w:rPr>
          <w:rFonts w:ascii="Times New Roman" w:hAnsi="Times New Roman"/>
          <w:vertAlign w:val="subscript"/>
        </w:rPr>
        <w:t>0</w:t>
      </w:r>
      <w:proofErr w:type="spellEnd"/>
      <w:r w:rsidR="00BB1C24" w:rsidRPr="00B213DB">
        <w:rPr>
          <w:rFonts w:ascii="Times New Roman" w:hAnsi="Times New Roman"/>
        </w:rPr>
        <w:t>)</w:t>
      </w:r>
      <w:r w:rsidR="00972403" w:rsidRPr="00B213DB">
        <w:rPr>
          <w:rFonts w:ascii="Times New Roman" w:hAnsi="Times New Roman"/>
        </w:rPr>
        <w:t xml:space="preserve"> that </w:t>
      </w:r>
      <w:r w:rsidR="00BB1C24" w:rsidRPr="00B213DB">
        <w:rPr>
          <w:rFonts w:ascii="Times New Roman" w:hAnsi="Times New Roman"/>
        </w:rPr>
        <w:t>the sample pattern of performance is not the same as the Consistent Pattern of Performance and that the sample distribution of managers is random</w:t>
      </w:r>
      <w:r w:rsidR="001E539D" w:rsidRPr="00B213DB">
        <w:rPr>
          <w:rFonts w:ascii="Times New Roman" w:hAnsi="Times New Roman"/>
        </w:rPr>
        <w:t>,</w:t>
      </w:r>
      <w:r w:rsidR="00292EBC" w:rsidRPr="00B213DB">
        <w:rPr>
          <w:rFonts w:ascii="Times New Roman" w:hAnsi="Times New Roman"/>
        </w:rPr>
        <w:t xml:space="preserve"> at the 5% level of significance</w:t>
      </w:r>
      <w:r w:rsidR="00BB1C24" w:rsidRPr="00B213DB">
        <w:rPr>
          <w:rFonts w:ascii="Times New Roman" w:hAnsi="Times New Roman"/>
        </w:rPr>
        <w:t xml:space="preserve">. </w:t>
      </w:r>
    </w:p>
    <w:p w:rsidR="00220AA2" w:rsidRPr="00B213DB" w:rsidRDefault="00220AA2" w:rsidP="008D0389">
      <w:pPr>
        <w:spacing w:after="120" w:line="360" w:lineRule="auto"/>
        <w:rPr>
          <w:rFonts w:ascii="Times New Roman" w:hAnsi="Times New Roman"/>
        </w:rPr>
      </w:pPr>
      <w:r>
        <w:rPr>
          <w:rFonts w:ascii="Times New Roman" w:hAnsi="Times New Roman"/>
        </w:rPr>
        <w:t xml:space="preserve">These results also </w:t>
      </w:r>
      <w:r w:rsidR="007A082A">
        <w:rPr>
          <w:rFonts w:ascii="Times New Roman" w:hAnsi="Times New Roman"/>
        </w:rPr>
        <w:t xml:space="preserve">strongly </w:t>
      </w:r>
      <w:r>
        <w:rPr>
          <w:rFonts w:ascii="Times New Roman" w:hAnsi="Times New Roman"/>
        </w:rPr>
        <w:t>support the existence of consistency in manager performance.</w:t>
      </w:r>
    </w:p>
    <w:p w:rsidR="00FF6EED" w:rsidRPr="00B213DB" w:rsidRDefault="00220AA2" w:rsidP="008D0389">
      <w:pPr>
        <w:spacing w:after="120" w:line="360" w:lineRule="auto"/>
        <w:rPr>
          <w:rFonts w:ascii="Times New Roman" w:hAnsi="Times New Roman"/>
          <w:b/>
        </w:rPr>
      </w:pPr>
      <w:r>
        <w:rPr>
          <w:rFonts w:ascii="Times New Roman" w:hAnsi="Times New Roman"/>
          <w:b/>
        </w:rPr>
        <w:t>Implications</w:t>
      </w:r>
    </w:p>
    <w:p w:rsidR="00FF6EED" w:rsidRDefault="00220AA2" w:rsidP="008D0389">
      <w:pPr>
        <w:spacing w:after="120" w:line="360" w:lineRule="auto"/>
        <w:rPr>
          <w:rFonts w:ascii="Times New Roman" w:hAnsi="Times New Roman"/>
        </w:rPr>
      </w:pPr>
      <w:r>
        <w:rPr>
          <w:rFonts w:ascii="Times New Roman" w:hAnsi="Times New Roman"/>
        </w:rPr>
        <w:t>Across the studies analys</w:t>
      </w:r>
      <w:r w:rsidR="009E3147" w:rsidRPr="00B213DB">
        <w:rPr>
          <w:rFonts w:ascii="Times New Roman" w:hAnsi="Times New Roman"/>
        </w:rPr>
        <w:t xml:space="preserve">ed, it was found that </w:t>
      </w:r>
      <w:r w:rsidR="00080471">
        <w:rPr>
          <w:rFonts w:ascii="Times New Roman" w:hAnsi="Times New Roman"/>
        </w:rPr>
        <w:t>there is very strong evidence that investment managers available to Australian superannuation funds do perform</w:t>
      </w:r>
      <w:r w:rsidR="009E3147" w:rsidRPr="00B213DB">
        <w:rPr>
          <w:rFonts w:ascii="Times New Roman" w:hAnsi="Times New Roman"/>
        </w:rPr>
        <w:t xml:space="preserve"> consistently</w:t>
      </w:r>
      <w:r w:rsidR="00080471">
        <w:rPr>
          <w:rFonts w:ascii="Times New Roman" w:hAnsi="Times New Roman"/>
        </w:rPr>
        <w:t>.</w:t>
      </w:r>
    </w:p>
    <w:p w:rsidR="00080471" w:rsidRDefault="00080471" w:rsidP="008D0389">
      <w:pPr>
        <w:spacing w:after="120" w:line="360" w:lineRule="auto"/>
        <w:rPr>
          <w:rFonts w:ascii="Times New Roman" w:hAnsi="Times New Roman"/>
        </w:rPr>
      </w:pPr>
      <w:r>
        <w:rPr>
          <w:rFonts w:ascii="Times New Roman" w:hAnsi="Times New Roman"/>
        </w:rPr>
        <w:t>This finding has profound implications for the question of the most efficient and productive way in which to investing superannuation fund assets</w:t>
      </w:r>
      <w:r w:rsidR="00176471">
        <w:rPr>
          <w:rFonts w:ascii="Times New Roman" w:hAnsi="Times New Roman"/>
        </w:rPr>
        <w:t>. These implications – which are the corollary to the logic in Fi</w:t>
      </w:r>
      <w:r w:rsidR="007A082A">
        <w:rPr>
          <w:rFonts w:ascii="Times New Roman" w:hAnsi="Times New Roman"/>
        </w:rPr>
        <w:t>gure 1 – are set out in Figure 11</w:t>
      </w:r>
      <w:r w:rsidR="00176471">
        <w:rPr>
          <w:rFonts w:ascii="Times New Roman" w:hAnsi="Times New Roman"/>
        </w:rPr>
        <w:t>:</w:t>
      </w:r>
      <w:r>
        <w:rPr>
          <w:rFonts w:ascii="Times New Roman" w:hAnsi="Times New Roman"/>
        </w:rPr>
        <w:t xml:space="preserve"> </w:t>
      </w:r>
    </w:p>
    <w:p w:rsidR="0092219B" w:rsidRPr="0092219B" w:rsidRDefault="007A082A" w:rsidP="008D0389">
      <w:pPr>
        <w:spacing w:after="120" w:line="360" w:lineRule="auto"/>
        <w:rPr>
          <w:rFonts w:ascii="Times New Roman" w:hAnsi="Times New Roman"/>
          <w:b/>
        </w:rPr>
      </w:pPr>
      <w:r>
        <w:rPr>
          <w:rFonts w:ascii="Times New Roman" w:hAnsi="Times New Roman"/>
          <w:b/>
        </w:rPr>
        <w:t>Figure 11</w:t>
      </w: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8"/>
      </w:tblGrid>
      <w:tr w:rsidR="00220AA2" w:rsidRPr="00B213DB" w:rsidTr="00176471">
        <w:tc>
          <w:tcPr>
            <w:tcW w:w="8188" w:type="dxa"/>
          </w:tcPr>
          <w:p w:rsidR="00220AA2" w:rsidRPr="00B213DB" w:rsidRDefault="00220AA2" w:rsidP="00F67FA2">
            <w:pPr>
              <w:rPr>
                <w:rFonts w:ascii="Times New Roman" w:hAnsi="Times New Roman"/>
              </w:rPr>
            </w:pPr>
            <w:r w:rsidRPr="00B213DB">
              <w:rPr>
                <w:rFonts w:ascii="Times New Roman" w:hAnsi="Times New Roman"/>
                <w:b/>
              </w:rPr>
              <w:t>If Investment Managers do perform consistently, then</w:t>
            </w:r>
            <w:r w:rsidRPr="00B213DB">
              <w:rPr>
                <w:rFonts w:ascii="Times New Roman" w:hAnsi="Times New Roman"/>
              </w:rPr>
              <w:t>:</w:t>
            </w:r>
          </w:p>
        </w:tc>
      </w:tr>
      <w:tr w:rsidR="00220AA2" w:rsidRPr="00B213DB" w:rsidTr="00176471">
        <w:tc>
          <w:tcPr>
            <w:tcW w:w="8188" w:type="dxa"/>
          </w:tcPr>
          <w:p w:rsidR="00220AA2" w:rsidRDefault="00220AA2" w:rsidP="00F67FA2">
            <w:pPr>
              <w:numPr>
                <w:ilvl w:val="0"/>
                <w:numId w:val="2"/>
              </w:numPr>
              <w:ind w:left="426"/>
              <w:rPr>
                <w:rFonts w:ascii="Times New Roman" w:hAnsi="Times New Roman"/>
              </w:rPr>
            </w:pPr>
            <w:r w:rsidRPr="00B213DB">
              <w:rPr>
                <w:rFonts w:ascii="Times New Roman" w:hAnsi="Times New Roman"/>
              </w:rPr>
              <w:t>It is possible to select Managers that will consistently add value.</w:t>
            </w:r>
          </w:p>
          <w:p w:rsidR="00176471" w:rsidRPr="00B213DB" w:rsidRDefault="00176471" w:rsidP="00176471">
            <w:pPr>
              <w:ind w:left="426"/>
              <w:rPr>
                <w:rFonts w:ascii="Times New Roman" w:hAnsi="Times New Roman"/>
              </w:rPr>
            </w:pPr>
          </w:p>
        </w:tc>
      </w:tr>
      <w:tr w:rsidR="00220AA2" w:rsidRPr="00B213DB" w:rsidTr="00176471">
        <w:tc>
          <w:tcPr>
            <w:tcW w:w="8188" w:type="dxa"/>
          </w:tcPr>
          <w:p w:rsidR="00220AA2" w:rsidRPr="00B213DB" w:rsidRDefault="00220AA2" w:rsidP="00F67FA2">
            <w:pPr>
              <w:numPr>
                <w:ilvl w:val="0"/>
                <w:numId w:val="2"/>
              </w:numPr>
              <w:ind w:left="426"/>
              <w:rPr>
                <w:rFonts w:ascii="Times New Roman" w:hAnsi="Times New Roman"/>
              </w:rPr>
            </w:pPr>
            <w:r w:rsidRPr="00B213DB">
              <w:rPr>
                <w:rFonts w:ascii="Times New Roman" w:hAnsi="Times New Roman"/>
              </w:rPr>
              <w:t xml:space="preserve">Investors will not </w:t>
            </w:r>
            <w:r w:rsidR="00176471">
              <w:rPr>
                <w:rFonts w:ascii="Times New Roman" w:hAnsi="Times New Roman"/>
              </w:rPr>
              <w:t>invest with the Average Manager</w:t>
            </w:r>
            <w:r w:rsidRPr="00B213DB">
              <w:rPr>
                <w:rFonts w:ascii="Times New Roman" w:hAnsi="Times New Roman"/>
              </w:rPr>
              <w:t xml:space="preserve">. </w:t>
            </w:r>
          </w:p>
          <w:p w:rsidR="00220AA2" w:rsidRPr="00B213DB" w:rsidRDefault="00220AA2" w:rsidP="00F67FA2">
            <w:pPr>
              <w:ind w:left="426"/>
              <w:rPr>
                <w:rFonts w:ascii="Times New Roman" w:hAnsi="Times New Roman"/>
              </w:rPr>
            </w:pPr>
          </w:p>
        </w:tc>
      </w:tr>
      <w:tr w:rsidR="00220AA2" w:rsidRPr="00B213DB" w:rsidTr="00176471">
        <w:tc>
          <w:tcPr>
            <w:tcW w:w="8188" w:type="dxa"/>
          </w:tcPr>
          <w:p w:rsidR="00220AA2" w:rsidRPr="00B213DB" w:rsidRDefault="00220AA2" w:rsidP="00F67FA2">
            <w:pPr>
              <w:numPr>
                <w:ilvl w:val="0"/>
                <w:numId w:val="2"/>
              </w:numPr>
              <w:ind w:left="426"/>
              <w:rPr>
                <w:rFonts w:ascii="Times New Roman" w:hAnsi="Times New Roman"/>
              </w:rPr>
            </w:pPr>
            <w:r w:rsidRPr="00B213DB">
              <w:rPr>
                <w:rFonts w:ascii="Times New Roman" w:hAnsi="Times New Roman"/>
              </w:rPr>
              <w:t>Investors will not get Average Manager returns.</w:t>
            </w:r>
          </w:p>
          <w:p w:rsidR="00220AA2" w:rsidRPr="00B213DB" w:rsidRDefault="00220AA2" w:rsidP="00F67FA2">
            <w:pPr>
              <w:ind w:left="426"/>
              <w:rPr>
                <w:rFonts w:ascii="Times New Roman" w:hAnsi="Times New Roman"/>
              </w:rPr>
            </w:pPr>
          </w:p>
        </w:tc>
      </w:tr>
      <w:tr w:rsidR="00220AA2" w:rsidRPr="00B213DB" w:rsidTr="00176471">
        <w:tc>
          <w:tcPr>
            <w:tcW w:w="8188" w:type="dxa"/>
          </w:tcPr>
          <w:p w:rsidR="00220AA2" w:rsidRPr="00B213DB" w:rsidRDefault="00220AA2" w:rsidP="00F67FA2">
            <w:pPr>
              <w:rPr>
                <w:rFonts w:ascii="Times New Roman" w:hAnsi="Times New Roman"/>
              </w:rPr>
            </w:pPr>
            <w:r w:rsidRPr="00B213DB">
              <w:rPr>
                <w:rFonts w:ascii="Times New Roman" w:hAnsi="Times New Roman"/>
              </w:rPr>
              <w:t>It does not matter whether the Average Manager underperforms the Market, as Investors do not invest with the Average Manager, therefore:</w:t>
            </w:r>
          </w:p>
          <w:p w:rsidR="00176471" w:rsidRPr="00B213DB" w:rsidRDefault="00176471" w:rsidP="00176471">
            <w:pPr>
              <w:numPr>
                <w:ilvl w:val="0"/>
                <w:numId w:val="3"/>
              </w:numPr>
              <w:ind w:left="426"/>
              <w:rPr>
                <w:rFonts w:ascii="Times New Roman" w:hAnsi="Times New Roman"/>
              </w:rPr>
            </w:pPr>
            <w:r w:rsidRPr="00B213DB">
              <w:rPr>
                <w:rFonts w:ascii="Times New Roman" w:hAnsi="Times New Roman"/>
              </w:rPr>
              <w:t>Invest in ‘skill rich’ strategies and asset classes.</w:t>
            </w:r>
          </w:p>
          <w:p w:rsidR="00176471" w:rsidRPr="00B213DB" w:rsidRDefault="00176471" w:rsidP="00176471">
            <w:pPr>
              <w:numPr>
                <w:ilvl w:val="0"/>
                <w:numId w:val="3"/>
              </w:numPr>
              <w:ind w:left="426"/>
              <w:rPr>
                <w:rFonts w:ascii="Times New Roman" w:hAnsi="Times New Roman"/>
              </w:rPr>
            </w:pPr>
            <w:r w:rsidRPr="00B213DB">
              <w:rPr>
                <w:rFonts w:ascii="Times New Roman" w:hAnsi="Times New Roman"/>
              </w:rPr>
              <w:t>Invest with Active Managers</w:t>
            </w:r>
          </w:p>
          <w:p w:rsidR="00220AA2" w:rsidRPr="00B213DB" w:rsidRDefault="00220AA2" w:rsidP="00F67FA2">
            <w:pPr>
              <w:rPr>
                <w:rFonts w:ascii="Times New Roman" w:hAnsi="Times New Roman"/>
              </w:rPr>
            </w:pPr>
          </w:p>
        </w:tc>
      </w:tr>
      <w:tr w:rsidR="00220AA2" w:rsidRPr="00B213DB" w:rsidTr="00176471">
        <w:tc>
          <w:tcPr>
            <w:tcW w:w="8188" w:type="dxa"/>
          </w:tcPr>
          <w:p w:rsidR="00220AA2" w:rsidRPr="00B213DB" w:rsidRDefault="00220AA2" w:rsidP="00F67FA2">
            <w:pPr>
              <w:numPr>
                <w:ilvl w:val="0"/>
                <w:numId w:val="2"/>
              </w:numPr>
              <w:ind w:left="426"/>
              <w:rPr>
                <w:rFonts w:ascii="Times New Roman" w:hAnsi="Times New Roman"/>
              </w:rPr>
            </w:pPr>
            <w:r w:rsidRPr="00B213DB">
              <w:rPr>
                <w:rFonts w:ascii="Times New Roman" w:hAnsi="Times New Roman"/>
              </w:rPr>
              <w:t>T</w:t>
            </w:r>
            <w:r w:rsidR="00176471">
              <w:rPr>
                <w:rFonts w:ascii="Times New Roman" w:hAnsi="Times New Roman"/>
              </w:rPr>
              <w:t>here are</w:t>
            </w:r>
            <w:r w:rsidRPr="00B213DB">
              <w:rPr>
                <w:rFonts w:ascii="Times New Roman" w:hAnsi="Times New Roman"/>
              </w:rPr>
              <w:t xml:space="preserve"> cost, due to lower returns and higher risks, from investing in Index funds</w:t>
            </w:r>
          </w:p>
          <w:p w:rsidR="00220AA2" w:rsidRPr="00B213DB" w:rsidRDefault="00220AA2" w:rsidP="00F67FA2">
            <w:pPr>
              <w:ind w:left="426"/>
              <w:rPr>
                <w:rFonts w:ascii="Times New Roman" w:hAnsi="Times New Roman"/>
              </w:rPr>
            </w:pPr>
          </w:p>
        </w:tc>
      </w:tr>
    </w:tbl>
    <w:p w:rsidR="00220AA2" w:rsidRDefault="00220AA2" w:rsidP="008D0389">
      <w:pPr>
        <w:spacing w:after="120" w:line="360" w:lineRule="auto"/>
        <w:rPr>
          <w:rFonts w:ascii="Times New Roman" w:hAnsi="Times New Roman"/>
        </w:rPr>
      </w:pPr>
    </w:p>
    <w:p w:rsidR="00057448" w:rsidRDefault="00057448" w:rsidP="008D0389">
      <w:pPr>
        <w:spacing w:after="120" w:line="360" w:lineRule="auto"/>
        <w:rPr>
          <w:rFonts w:ascii="Times New Roman" w:hAnsi="Times New Roman"/>
        </w:rPr>
      </w:pPr>
      <w:r>
        <w:rPr>
          <w:rFonts w:ascii="Times New Roman" w:hAnsi="Times New Roman"/>
        </w:rPr>
        <w:t xml:space="preserve">It follows therefore that as active investment managers do perform consistently then </w:t>
      </w:r>
      <w:r w:rsidRPr="00057448">
        <w:rPr>
          <w:rFonts w:ascii="Times New Roman" w:hAnsi="Times New Roman"/>
          <w:b/>
        </w:rPr>
        <w:t>there is scope for Australian Superannuation Funds to select active investment managers who will consistently add value after fees</w:t>
      </w:r>
      <w:r>
        <w:rPr>
          <w:rFonts w:ascii="Times New Roman" w:hAnsi="Times New Roman"/>
        </w:rPr>
        <w:t xml:space="preserve">. This finding is of itself sufficient to show that </w:t>
      </w:r>
      <w:r w:rsidR="007A082A">
        <w:rPr>
          <w:rFonts w:ascii="Times New Roman" w:hAnsi="Times New Roman"/>
          <w:b/>
        </w:rPr>
        <w:t xml:space="preserve">the </w:t>
      </w:r>
      <w:r w:rsidRPr="00590F2C">
        <w:rPr>
          <w:rFonts w:ascii="Times New Roman" w:hAnsi="Times New Roman"/>
          <w:b/>
        </w:rPr>
        <w:t>measurement and reporting of investment management fees</w:t>
      </w:r>
      <w:r>
        <w:rPr>
          <w:rFonts w:ascii="Times New Roman" w:hAnsi="Times New Roman"/>
        </w:rPr>
        <w:t xml:space="preserve">, as </w:t>
      </w:r>
      <w:r>
        <w:rPr>
          <w:rFonts w:ascii="Times New Roman" w:hAnsi="Times New Roman"/>
        </w:rPr>
        <w:lastRenderedPageBreak/>
        <w:t xml:space="preserve">opposed to allowing them to be ‘reported’ in net investment returns, </w:t>
      </w:r>
      <w:r w:rsidRPr="00590F2C">
        <w:rPr>
          <w:rFonts w:ascii="Times New Roman" w:hAnsi="Times New Roman"/>
          <w:b/>
        </w:rPr>
        <w:t>wil</w:t>
      </w:r>
      <w:r w:rsidR="00590F2C">
        <w:rPr>
          <w:rFonts w:ascii="Times New Roman" w:hAnsi="Times New Roman"/>
          <w:b/>
        </w:rPr>
        <w:t>l generate</w:t>
      </w:r>
      <w:r w:rsidRPr="00590F2C">
        <w:rPr>
          <w:rFonts w:ascii="Times New Roman" w:hAnsi="Times New Roman"/>
          <w:b/>
        </w:rPr>
        <w:t xml:space="preserve"> signals </w:t>
      </w:r>
      <w:r w:rsidR="00590F2C">
        <w:rPr>
          <w:rFonts w:ascii="Times New Roman" w:hAnsi="Times New Roman"/>
          <w:b/>
        </w:rPr>
        <w:t xml:space="preserve">from regulators and other gatekeepers </w:t>
      </w:r>
      <w:r w:rsidRPr="00590F2C">
        <w:rPr>
          <w:rFonts w:ascii="Times New Roman" w:hAnsi="Times New Roman"/>
          <w:b/>
        </w:rPr>
        <w:t xml:space="preserve">to superannuation fund trustee/directors that will have the effect of </w:t>
      </w:r>
      <w:r w:rsidR="00590F2C">
        <w:rPr>
          <w:rFonts w:ascii="Times New Roman" w:hAnsi="Times New Roman"/>
          <w:b/>
        </w:rPr>
        <w:t xml:space="preserve">distorting </w:t>
      </w:r>
      <w:r w:rsidRPr="00590F2C">
        <w:rPr>
          <w:rFonts w:ascii="Times New Roman" w:hAnsi="Times New Roman"/>
          <w:b/>
        </w:rPr>
        <w:t>investment allocation</w:t>
      </w:r>
      <w:r w:rsidR="00590F2C">
        <w:rPr>
          <w:rFonts w:ascii="Times New Roman" w:hAnsi="Times New Roman"/>
          <w:b/>
        </w:rPr>
        <w:t>s away from optimal</w:t>
      </w:r>
      <w:r>
        <w:rPr>
          <w:rFonts w:ascii="Times New Roman" w:hAnsi="Times New Roman"/>
        </w:rPr>
        <w:t>.</w:t>
      </w:r>
      <w:r w:rsidR="00590F2C">
        <w:rPr>
          <w:rFonts w:ascii="Times New Roman" w:hAnsi="Times New Roman"/>
        </w:rPr>
        <w:t xml:space="preserve"> As noted previously, this is clearly the case in the Australian superannuation system, with many investment decisions being significantly influenced or constrained by concerns around gross management fee levels, rather than being focused on net investment returns.</w:t>
      </w:r>
    </w:p>
    <w:p w:rsidR="00590F2C" w:rsidRDefault="00590F2C" w:rsidP="008D0389">
      <w:pPr>
        <w:spacing w:after="120" w:line="360" w:lineRule="auto"/>
        <w:rPr>
          <w:rFonts w:ascii="Times New Roman" w:hAnsi="Times New Roman"/>
        </w:rPr>
      </w:pPr>
      <w:r>
        <w:rPr>
          <w:rFonts w:ascii="Times New Roman" w:hAnsi="Times New Roman"/>
        </w:rPr>
        <w:t>Evidence of the likely and actual effects of this distortion can be identified in actual superannuation fund returns.</w:t>
      </w:r>
    </w:p>
    <w:p w:rsidR="00FF6EED" w:rsidRPr="00B213DB" w:rsidRDefault="00057448" w:rsidP="00415CBF">
      <w:pPr>
        <w:pBdr>
          <w:top w:val="single" w:sz="4" w:space="1" w:color="auto"/>
          <w:left w:val="single" w:sz="4" w:space="4" w:color="auto"/>
          <w:bottom w:val="single" w:sz="4" w:space="1" w:color="auto"/>
          <w:right w:val="single" w:sz="4" w:space="4" w:color="auto"/>
        </w:pBdr>
        <w:shd w:val="clear" w:color="auto" w:fill="C6D9F1"/>
        <w:spacing w:after="120" w:line="360" w:lineRule="auto"/>
        <w:rPr>
          <w:rFonts w:ascii="Times New Roman" w:hAnsi="Times New Roman"/>
          <w:b/>
        </w:rPr>
      </w:pPr>
      <w:r>
        <w:rPr>
          <w:rFonts w:ascii="Times New Roman" w:hAnsi="Times New Roman"/>
          <w:b/>
        </w:rPr>
        <w:t xml:space="preserve">The </w:t>
      </w:r>
      <w:r w:rsidR="00176471">
        <w:rPr>
          <w:rFonts w:ascii="Times New Roman" w:hAnsi="Times New Roman"/>
          <w:b/>
        </w:rPr>
        <w:t>Zero Sum Game</w:t>
      </w:r>
    </w:p>
    <w:p w:rsidR="00176471" w:rsidRDefault="00176471" w:rsidP="00415CBF">
      <w:pPr>
        <w:pBdr>
          <w:top w:val="single" w:sz="4" w:space="1" w:color="auto"/>
          <w:left w:val="single" w:sz="4" w:space="4" w:color="auto"/>
          <w:bottom w:val="single" w:sz="4" w:space="1" w:color="auto"/>
          <w:right w:val="single" w:sz="4" w:space="4" w:color="auto"/>
        </w:pBdr>
        <w:shd w:val="clear" w:color="auto" w:fill="C6D9F1"/>
        <w:spacing w:after="120" w:line="360" w:lineRule="auto"/>
        <w:rPr>
          <w:rFonts w:ascii="Times New Roman" w:hAnsi="Times New Roman"/>
        </w:rPr>
      </w:pPr>
      <w:r>
        <w:rPr>
          <w:rFonts w:ascii="Times New Roman" w:hAnsi="Times New Roman"/>
        </w:rPr>
        <w:t>While not directly applicable to the considerations of the Commission’s Draft Report, it is worthwhile also discussing the concept of the “Zero Sum Game”</w:t>
      </w:r>
      <w:r w:rsidR="00057448">
        <w:rPr>
          <w:rFonts w:ascii="Times New Roman" w:hAnsi="Times New Roman"/>
        </w:rPr>
        <w:t xml:space="preserve"> which is</w:t>
      </w:r>
      <w:r>
        <w:rPr>
          <w:rFonts w:ascii="Times New Roman" w:hAnsi="Times New Roman"/>
        </w:rPr>
        <w:t xml:space="preserve"> commonly put forward as a </w:t>
      </w:r>
      <w:r w:rsidR="00057448">
        <w:rPr>
          <w:rFonts w:ascii="Times New Roman" w:hAnsi="Times New Roman"/>
        </w:rPr>
        <w:t xml:space="preserve">further </w:t>
      </w:r>
      <w:r>
        <w:rPr>
          <w:rFonts w:ascii="Times New Roman" w:hAnsi="Times New Roman"/>
        </w:rPr>
        <w:t xml:space="preserve">reason why investment managers ‘must’ underperform, for example by </w:t>
      </w:r>
      <w:proofErr w:type="spellStart"/>
      <w:r w:rsidRPr="00F21B01">
        <w:rPr>
          <w:rFonts w:ascii="Times New Roman" w:hAnsi="Times New Roman"/>
        </w:rPr>
        <w:t>Ha</w:t>
      </w:r>
      <w:r>
        <w:rPr>
          <w:rFonts w:ascii="Times New Roman" w:hAnsi="Times New Roman"/>
        </w:rPr>
        <w:t>rbron</w:t>
      </w:r>
      <w:proofErr w:type="spellEnd"/>
      <w:r>
        <w:rPr>
          <w:rFonts w:ascii="Times New Roman" w:hAnsi="Times New Roman"/>
        </w:rPr>
        <w:t xml:space="preserve">, Roberts &amp; </w:t>
      </w:r>
      <w:r w:rsidRPr="00F21B01">
        <w:rPr>
          <w:rFonts w:ascii="Times New Roman" w:hAnsi="Times New Roman"/>
        </w:rPr>
        <w:t>Johnson</w:t>
      </w:r>
      <w:r>
        <w:rPr>
          <w:rFonts w:ascii="Times New Roman" w:hAnsi="Times New Roman"/>
        </w:rPr>
        <w:t xml:space="preserve">, (2106). </w:t>
      </w:r>
    </w:p>
    <w:p w:rsidR="00176471" w:rsidRDefault="00176471" w:rsidP="00415CBF">
      <w:pPr>
        <w:pBdr>
          <w:top w:val="single" w:sz="4" w:space="1" w:color="auto"/>
          <w:left w:val="single" w:sz="4" w:space="4" w:color="auto"/>
          <w:bottom w:val="single" w:sz="4" w:space="1" w:color="auto"/>
          <w:right w:val="single" w:sz="4" w:space="4" w:color="auto"/>
        </w:pBdr>
        <w:shd w:val="clear" w:color="auto" w:fill="C6D9F1"/>
        <w:spacing w:after="120" w:line="360" w:lineRule="auto"/>
        <w:rPr>
          <w:rFonts w:ascii="Times New Roman" w:hAnsi="Times New Roman"/>
        </w:rPr>
      </w:pPr>
      <w:r>
        <w:rPr>
          <w:rFonts w:ascii="Times New Roman" w:hAnsi="Times New Roman"/>
        </w:rPr>
        <w:t xml:space="preserve">The essence of the Zero Sum Game </w:t>
      </w:r>
      <w:r w:rsidR="00DB6470">
        <w:rPr>
          <w:rFonts w:ascii="Times New Roman" w:hAnsi="Times New Roman"/>
        </w:rPr>
        <w:t xml:space="preserve">Theory is the argument, as for example stated by </w:t>
      </w:r>
      <w:proofErr w:type="spellStart"/>
      <w:r w:rsidR="00DB6470" w:rsidRPr="00F21B01">
        <w:rPr>
          <w:rFonts w:ascii="Times New Roman" w:hAnsi="Times New Roman"/>
        </w:rPr>
        <w:t>Ha</w:t>
      </w:r>
      <w:r w:rsidR="00DB6470">
        <w:rPr>
          <w:rFonts w:ascii="Times New Roman" w:hAnsi="Times New Roman"/>
        </w:rPr>
        <w:t>rbron</w:t>
      </w:r>
      <w:proofErr w:type="spellEnd"/>
      <w:r w:rsidR="00DB6470">
        <w:rPr>
          <w:rFonts w:ascii="Times New Roman" w:hAnsi="Times New Roman"/>
        </w:rPr>
        <w:t xml:space="preserve">, Roberts &amp; </w:t>
      </w:r>
      <w:r w:rsidR="00DB6470" w:rsidRPr="00F21B01">
        <w:rPr>
          <w:rFonts w:ascii="Times New Roman" w:hAnsi="Times New Roman"/>
        </w:rPr>
        <w:t>Johnson</w:t>
      </w:r>
      <w:r w:rsidR="00DB6470">
        <w:rPr>
          <w:rFonts w:ascii="Times New Roman" w:hAnsi="Times New Roman"/>
        </w:rPr>
        <w:t xml:space="preserve">, (2106) that, “for each position that outperforms the market, there must be a position that underperforms the market by the same amount, such that, in aggregate, the </w:t>
      </w:r>
      <w:r w:rsidR="00DB6470" w:rsidRPr="00DB6470">
        <w:rPr>
          <w:rFonts w:ascii="Times New Roman" w:hAnsi="Times New Roman"/>
          <w:b/>
        </w:rPr>
        <w:t>excess return of all invested assets equals zero</w:t>
      </w:r>
      <w:r w:rsidR="00DB6470">
        <w:rPr>
          <w:rFonts w:ascii="Times New Roman" w:hAnsi="Times New Roman"/>
        </w:rPr>
        <w:t xml:space="preserve">” (emphasis added). It follows therefore that any fees charged for active investment must reduce returns to investors in aggregate by that amount.       </w:t>
      </w:r>
      <w:r>
        <w:rPr>
          <w:rFonts w:ascii="Times New Roman" w:hAnsi="Times New Roman"/>
        </w:rPr>
        <w:t xml:space="preserve">   </w:t>
      </w:r>
    </w:p>
    <w:p w:rsidR="00802BE7" w:rsidRDefault="008F39DD" w:rsidP="00415CBF">
      <w:pPr>
        <w:pBdr>
          <w:top w:val="single" w:sz="4" w:space="1" w:color="auto"/>
          <w:left w:val="single" w:sz="4" w:space="4" w:color="auto"/>
          <w:bottom w:val="single" w:sz="4" w:space="1" w:color="auto"/>
          <w:right w:val="single" w:sz="4" w:space="4" w:color="auto"/>
        </w:pBdr>
        <w:shd w:val="clear" w:color="auto" w:fill="C6D9F1"/>
        <w:spacing w:after="120" w:line="360" w:lineRule="auto"/>
        <w:rPr>
          <w:rFonts w:ascii="Times New Roman" w:hAnsi="Times New Roman"/>
        </w:rPr>
      </w:pPr>
      <w:r>
        <w:rPr>
          <w:rFonts w:ascii="Times New Roman" w:hAnsi="Times New Roman"/>
        </w:rPr>
        <w:t xml:space="preserve">The </w:t>
      </w:r>
      <w:r w:rsidRPr="008F39DD">
        <w:rPr>
          <w:rFonts w:ascii="Times New Roman" w:hAnsi="Times New Roman"/>
          <w:b/>
        </w:rPr>
        <w:t>fallacy in this argument again lies in the assumptions made about markets</w:t>
      </w:r>
      <w:r w:rsidR="007A082A">
        <w:rPr>
          <w:rFonts w:ascii="Times New Roman" w:hAnsi="Times New Roman"/>
        </w:rPr>
        <w:t xml:space="preserve"> (</w:t>
      </w:r>
      <w:r>
        <w:rPr>
          <w:rFonts w:ascii="Times New Roman" w:hAnsi="Times New Roman"/>
        </w:rPr>
        <w:t>in my experience</w:t>
      </w:r>
      <w:r w:rsidR="007A082A">
        <w:rPr>
          <w:rFonts w:ascii="Times New Roman" w:hAnsi="Times New Roman"/>
        </w:rPr>
        <w:t xml:space="preserve"> these assumptions</w:t>
      </w:r>
      <w:r>
        <w:rPr>
          <w:rFonts w:ascii="Times New Roman" w:hAnsi="Times New Roman"/>
        </w:rPr>
        <w:t xml:space="preserve"> are never spelled out). Most importantly</w:t>
      </w:r>
      <w:r w:rsidRPr="008F39DD">
        <w:rPr>
          <w:rFonts w:ascii="Times New Roman" w:hAnsi="Times New Roman"/>
          <w:b/>
        </w:rPr>
        <w:t>, the Zero Sum Game argument assumes that Markets are Static</w:t>
      </w:r>
      <w:r>
        <w:rPr>
          <w:rFonts w:ascii="Times New Roman" w:hAnsi="Times New Roman"/>
        </w:rPr>
        <w:t xml:space="preserve"> – </w:t>
      </w:r>
      <w:r w:rsidR="00802BE7">
        <w:rPr>
          <w:rFonts w:ascii="Times New Roman" w:hAnsi="Times New Roman"/>
        </w:rPr>
        <w:t xml:space="preserve">something </w:t>
      </w:r>
      <w:r>
        <w:rPr>
          <w:rFonts w:ascii="Times New Roman" w:hAnsi="Times New Roman"/>
        </w:rPr>
        <w:t xml:space="preserve">which Vanguard’s own analysis proves is not the case. </w:t>
      </w:r>
    </w:p>
    <w:p w:rsidR="00176471" w:rsidRDefault="00802BE7" w:rsidP="00415CBF">
      <w:pPr>
        <w:pBdr>
          <w:top w:val="single" w:sz="4" w:space="1" w:color="auto"/>
          <w:left w:val="single" w:sz="4" w:space="4" w:color="auto"/>
          <w:bottom w:val="single" w:sz="4" w:space="1" w:color="auto"/>
          <w:right w:val="single" w:sz="4" w:space="4" w:color="auto"/>
        </w:pBdr>
        <w:shd w:val="clear" w:color="auto" w:fill="C6D9F1"/>
        <w:spacing w:after="120" w:line="360" w:lineRule="auto"/>
        <w:rPr>
          <w:rFonts w:ascii="Times New Roman" w:hAnsi="Times New Roman"/>
        </w:rPr>
      </w:pPr>
      <w:r>
        <w:rPr>
          <w:rFonts w:ascii="Times New Roman" w:hAnsi="Times New Roman"/>
        </w:rPr>
        <w:t>If markets are Static, then</w:t>
      </w:r>
      <w:r w:rsidRPr="00802BE7">
        <w:rPr>
          <w:rFonts w:ascii="Times New Roman" w:hAnsi="Times New Roman"/>
        </w:rPr>
        <w:t xml:space="preserve">, the excess return of all invested assets </w:t>
      </w:r>
      <w:r>
        <w:rPr>
          <w:rFonts w:ascii="Times New Roman" w:hAnsi="Times New Roman"/>
        </w:rPr>
        <w:t>will in fact equal</w:t>
      </w:r>
      <w:r w:rsidRPr="00802BE7">
        <w:rPr>
          <w:rFonts w:ascii="Times New Roman" w:hAnsi="Times New Roman"/>
        </w:rPr>
        <w:t xml:space="preserve"> zero</w:t>
      </w:r>
      <w:r>
        <w:rPr>
          <w:rFonts w:ascii="Times New Roman" w:hAnsi="Times New Roman"/>
        </w:rPr>
        <w:t xml:space="preserve">. </w:t>
      </w:r>
      <w:r w:rsidRPr="00802BE7">
        <w:rPr>
          <w:rFonts w:ascii="Times New Roman" w:hAnsi="Times New Roman"/>
          <w:b/>
        </w:rPr>
        <w:t>There is no growth, and no opportunity for the financial system to reallocate assets to improve the efficiency of production and outputs</w:t>
      </w:r>
      <w:r>
        <w:rPr>
          <w:rFonts w:ascii="Times New Roman" w:hAnsi="Times New Roman"/>
        </w:rPr>
        <w:t>. (There would also be no need for a Productivity Commission as nothing could be done to improve productivity and efficiency.)</w:t>
      </w:r>
      <w:r w:rsidR="008F39DD">
        <w:rPr>
          <w:rFonts w:ascii="Times New Roman" w:hAnsi="Times New Roman"/>
        </w:rPr>
        <w:t xml:space="preserve"> </w:t>
      </w:r>
    </w:p>
    <w:p w:rsidR="00802BE7" w:rsidRDefault="00083CBD" w:rsidP="00415CBF">
      <w:pPr>
        <w:pBdr>
          <w:top w:val="single" w:sz="4" w:space="1" w:color="auto"/>
          <w:left w:val="single" w:sz="4" w:space="4" w:color="auto"/>
          <w:bottom w:val="single" w:sz="4" w:space="1" w:color="auto"/>
          <w:right w:val="single" w:sz="4" w:space="4" w:color="auto"/>
        </w:pBdr>
        <w:shd w:val="clear" w:color="auto" w:fill="C6D9F1"/>
        <w:spacing w:after="120" w:line="360" w:lineRule="auto"/>
        <w:rPr>
          <w:rFonts w:ascii="Times New Roman" w:hAnsi="Times New Roman"/>
        </w:rPr>
      </w:pPr>
      <w:r>
        <w:rPr>
          <w:rFonts w:ascii="Times New Roman" w:hAnsi="Times New Roman"/>
        </w:rPr>
        <w:lastRenderedPageBreak/>
        <w:t>In reality, most people accept</w:t>
      </w:r>
      <w:r w:rsidR="00802BE7">
        <w:rPr>
          <w:rFonts w:ascii="Times New Roman" w:hAnsi="Times New Roman"/>
        </w:rPr>
        <w:t xml:space="preserve"> that markets are not Static. It follows therefore that the actions of active investment managers in, for example, moving asset prices closer towards fair value, can improve allocative efficiency and create value. This implies therefore that markets and investment are not a zero sum game</w:t>
      </w:r>
      <w:r w:rsidR="00057448">
        <w:rPr>
          <w:rFonts w:ascii="Times New Roman" w:hAnsi="Times New Roman"/>
        </w:rPr>
        <w:t xml:space="preserve">, and nullifies the Zero Sum Game argument </w:t>
      </w:r>
      <w:r>
        <w:rPr>
          <w:rFonts w:ascii="Times New Roman" w:hAnsi="Times New Roman"/>
        </w:rPr>
        <w:t xml:space="preserve">that </w:t>
      </w:r>
      <w:r w:rsidR="00057448">
        <w:rPr>
          <w:rFonts w:ascii="Times New Roman" w:hAnsi="Times New Roman"/>
        </w:rPr>
        <w:t>investment managers ‘must’ underperform</w:t>
      </w:r>
    </w:p>
    <w:p w:rsidR="00802BE7" w:rsidRPr="00590F2C" w:rsidRDefault="00590F2C" w:rsidP="008D0389">
      <w:pPr>
        <w:spacing w:after="120" w:line="360" w:lineRule="auto"/>
        <w:rPr>
          <w:rFonts w:ascii="Times New Roman" w:hAnsi="Times New Roman"/>
          <w:b/>
        </w:rPr>
      </w:pPr>
      <w:r w:rsidRPr="00590F2C">
        <w:rPr>
          <w:rFonts w:ascii="Times New Roman" w:hAnsi="Times New Roman"/>
          <w:b/>
        </w:rPr>
        <w:t>Active Investment Management</w:t>
      </w:r>
      <w:r w:rsidR="00C70DD8">
        <w:rPr>
          <w:rFonts w:ascii="Times New Roman" w:hAnsi="Times New Roman"/>
          <w:b/>
        </w:rPr>
        <w:t xml:space="preserve"> i</w:t>
      </w:r>
      <w:r w:rsidRPr="00590F2C">
        <w:rPr>
          <w:rFonts w:ascii="Times New Roman" w:hAnsi="Times New Roman"/>
          <w:b/>
        </w:rPr>
        <w:t>n Australi</w:t>
      </w:r>
      <w:r w:rsidR="00C70DD8">
        <w:rPr>
          <w:rFonts w:ascii="Times New Roman" w:hAnsi="Times New Roman"/>
          <w:b/>
        </w:rPr>
        <w:t>an Superannuation Fund</w:t>
      </w:r>
      <w:r w:rsidRPr="00590F2C">
        <w:rPr>
          <w:rFonts w:ascii="Times New Roman" w:hAnsi="Times New Roman"/>
          <w:b/>
        </w:rPr>
        <w:t xml:space="preserve">s: Evidence </w:t>
      </w:r>
    </w:p>
    <w:p w:rsidR="00515351" w:rsidRPr="00B213DB" w:rsidRDefault="00515351" w:rsidP="00515351">
      <w:pPr>
        <w:spacing w:after="120" w:line="360" w:lineRule="auto"/>
        <w:rPr>
          <w:rFonts w:ascii="Times New Roman" w:hAnsi="Times New Roman"/>
        </w:rPr>
      </w:pPr>
      <w:r>
        <w:rPr>
          <w:rFonts w:ascii="Times New Roman" w:hAnsi="Times New Roman"/>
        </w:rPr>
        <w:t>As noted at the start of this submission,</w:t>
      </w:r>
      <w:r w:rsidRPr="00B213DB">
        <w:rPr>
          <w:rFonts w:ascii="Times New Roman" w:hAnsi="Times New Roman"/>
        </w:rPr>
        <w:t xml:space="preserve"> there are three requirements for active investment management to add value in superannuation fund investment portfolios, specifically:</w:t>
      </w:r>
    </w:p>
    <w:p w:rsidR="00515351" w:rsidRPr="00B213DB" w:rsidRDefault="00515351" w:rsidP="00515351">
      <w:pPr>
        <w:numPr>
          <w:ilvl w:val="0"/>
          <w:numId w:val="16"/>
        </w:numPr>
        <w:spacing w:after="120" w:line="360" w:lineRule="auto"/>
        <w:rPr>
          <w:rFonts w:ascii="Times New Roman" w:hAnsi="Times New Roman"/>
        </w:rPr>
      </w:pPr>
      <w:r w:rsidRPr="00B213DB">
        <w:rPr>
          <w:rFonts w:ascii="Times New Roman" w:hAnsi="Times New Roman"/>
        </w:rPr>
        <w:t>That some investment manager’s perform consistently;</w:t>
      </w:r>
    </w:p>
    <w:p w:rsidR="00515351" w:rsidRPr="00B213DB" w:rsidRDefault="00515351" w:rsidP="00515351">
      <w:pPr>
        <w:numPr>
          <w:ilvl w:val="0"/>
          <w:numId w:val="16"/>
        </w:numPr>
        <w:spacing w:after="120" w:line="360" w:lineRule="auto"/>
        <w:rPr>
          <w:rFonts w:ascii="Times New Roman" w:hAnsi="Times New Roman"/>
        </w:rPr>
      </w:pPr>
      <w:r w:rsidRPr="00B213DB">
        <w:rPr>
          <w:rFonts w:ascii="Times New Roman" w:hAnsi="Times New Roman"/>
        </w:rPr>
        <w:t>That su</w:t>
      </w:r>
      <w:r w:rsidR="00083CBD">
        <w:rPr>
          <w:rFonts w:ascii="Times New Roman" w:hAnsi="Times New Roman"/>
        </w:rPr>
        <w:t>perannuation funds have strategies</w:t>
      </w:r>
      <w:r w:rsidRPr="00B213DB">
        <w:rPr>
          <w:rFonts w:ascii="Times New Roman" w:hAnsi="Times New Roman"/>
        </w:rPr>
        <w:t xml:space="preserve"> and procedures which allow them to identify and select those investment managers; and </w:t>
      </w:r>
    </w:p>
    <w:p w:rsidR="00515351" w:rsidRPr="00B213DB" w:rsidRDefault="00515351" w:rsidP="00515351">
      <w:pPr>
        <w:numPr>
          <w:ilvl w:val="0"/>
          <w:numId w:val="16"/>
        </w:numPr>
        <w:spacing w:after="120" w:line="360" w:lineRule="auto"/>
        <w:rPr>
          <w:rFonts w:ascii="Times New Roman" w:hAnsi="Times New Roman"/>
        </w:rPr>
      </w:pPr>
      <w:r w:rsidRPr="00B213DB">
        <w:rPr>
          <w:rFonts w:ascii="Times New Roman" w:hAnsi="Times New Roman"/>
        </w:rPr>
        <w:t xml:space="preserve">That the additional returns earned by those investment managers exceed the fees charged. </w:t>
      </w:r>
    </w:p>
    <w:p w:rsidR="00FF6EED" w:rsidRDefault="00515351" w:rsidP="00515351">
      <w:pPr>
        <w:spacing w:after="120" w:line="360" w:lineRule="auto"/>
        <w:rPr>
          <w:rFonts w:ascii="Times New Roman" w:hAnsi="Times New Roman"/>
        </w:rPr>
      </w:pPr>
      <w:r>
        <w:rPr>
          <w:rFonts w:ascii="Times New Roman" w:hAnsi="Times New Roman"/>
        </w:rPr>
        <w:t xml:space="preserve">The preceding analysis has established that there is considerable evidence of consistent investment manager performance </w:t>
      </w:r>
      <w:r w:rsidR="003359F5">
        <w:rPr>
          <w:rFonts w:ascii="Times New Roman" w:hAnsi="Times New Roman"/>
        </w:rPr>
        <w:t>in Australia (Requirement 1)</w:t>
      </w:r>
      <w:r>
        <w:rPr>
          <w:rFonts w:ascii="Times New Roman" w:hAnsi="Times New Roman"/>
        </w:rPr>
        <w:t xml:space="preserve">.  </w:t>
      </w:r>
    </w:p>
    <w:p w:rsidR="00515351" w:rsidRDefault="003359F5" w:rsidP="00515351">
      <w:pPr>
        <w:spacing w:after="120" w:line="360" w:lineRule="auto"/>
        <w:rPr>
          <w:rFonts w:ascii="Times New Roman" w:hAnsi="Times New Roman"/>
        </w:rPr>
      </w:pPr>
      <w:r>
        <w:rPr>
          <w:rFonts w:ascii="Times New Roman" w:hAnsi="Times New Roman"/>
        </w:rPr>
        <w:t xml:space="preserve">The further question is whether Australian superannuation funds are in fact able to select investment managers who will add value after fees (Requirements 2 &amp; 3). This section considers evidence related to this question.   </w:t>
      </w:r>
    </w:p>
    <w:p w:rsidR="0092219B" w:rsidRDefault="003359F5" w:rsidP="00515351">
      <w:pPr>
        <w:spacing w:after="120" w:line="360" w:lineRule="auto"/>
        <w:rPr>
          <w:rFonts w:ascii="Times New Roman" w:hAnsi="Times New Roman"/>
        </w:rPr>
      </w:pPr>
      <w:r>
        <w:rPr>
          <w:rFonts w:ascii="Times New Roman" w:hAnsi="Times New Roman"/>
        </w:rPr>
        <w:t xml:space="preserve">First, consider the case where either </w:t>
      </w:r>
      <w:r w:rsidRPr="0092219B">
        <w:rPr>
          <w:rFonts w:ascii="Times New Roman" w:hAnsi="Times New Roman"/>
          <w:b/>
        </w:rPr>
        <w:t>superannuation funds are not able to select managers who will perform consistentl</w:t>
      </w:r>
      <w:r>
        <w:rPr>
          <w:rFonts w:ascii="Times New Roman" w:hAnsi="Times New Roman"/>
        </w:rPr>
        <w:t xml:space="preserve">y, or the additional returns generated by managers </w:t>
      </w:r>
      <w:r w:rsidRPr="0092219B">
        <w:rPr>
          <w:rFonts w:ascii="Times New Roman" w:hAnsi="Times New Roman"/>
          <w:b/>
        </w:rPr>
        <w:t>does not exceed their fees</w:t>
      </w:r>
      <w:r>
        <w:rPr>
          <w:rFonts w:ascii="Times New Roman" w:hAnsi="Times New Roman"/>
        </w:rPr>
        <w:t xml:space="preserve">. In this instance the relationship between the net investment return earned by superannuation funds and their level of exposure to investment manager skill, </w:t>
      </w:r>
      <w:r w:rsidRPr="0092219B">
        <w:rPr>
          <w:rFonts w:ascii="Times New Roman" w:hAnsi="Times New Roman"/>
          <w:b/>
        </w:rPr>
        <w:t xml:space="preserve">MUST </w:t>
      </w:r>
      <w:r w:rsidR="0092219B">
        <w:rPr>
          <w:rFonts w:ascii="Times New Roman" w:hAnsi="Times New Roman"/>
          <w:b/>
        </w:rPr>
        <w:t>be inverse</w:t>
      </w:r>
      <w:r w:rsidR="0092219B">
        <w:rPr>
          <w:rFonts w:ascii="Times New Roman" w:hAnsi="Times New Roman"/>
        </w:rPr>
        <w:t>, (i.e., higher levels of manager skill must be associated with lower net investment re</w:t>
      </w:r>
      <w:r w:rsidR="008F0CF2">
        <w:rPr>
          <w:rFonts w:ascii="Times New Roman" w:hAnsi="Times New Roman"/>
        </w:rPr>
        <w:t>turns) as indicated in Figure 12</w:t>
      </w:r>
      <w:r w:rsidR="0092219B">
        <w:rPr>
          <w:rFonts w:ascii="Times New Roman" w:hAnsi="Times New Roman"/>
        </w:rPr>
        <w:t>.</w:t>
      </w:r>
    </w:p>
    <w:p w:rsidR="008F0CF2" w:rsidRDefault="008F0CF2" w:rsidP="00515351">
      <w:pPr>
        <w:spacing w:after="120" w:line="360" w:lineRule="auto"/>
        <w:rPr>
          <w:rFonts w:ascii="Times New Roman" w:hAnsi="Times New Roman"/>
        </w:rPr>
      </w:pPr>
    </w:p>
    <w:p w:rsidR="008F0CF2" w:rsidRDefault="008F0CF2" w:rsidP="00515351">
      <w:pPr>
        <w:spacing w:after="120" w:line="360" w:lineRule="auto"/>
        <w:rPr>
          <w:rFonts w:ascii="Times New Roman" w:hAnsi="Times New Roman"/>
        </w:rPr>
      </w:pPr>
    </w:p>
    <w:p w:rsidR="008F0CF2" w:rsidRDefault="008F0CF2" w:rsidP="00515351">
      <w:pPr>
        <w:spacing w:after="120" w:line="360" w:lineRule="auto"/>
        <w:rPr>
          <w:rFonts w:ascii="Times New Roman" w:hAnsi="Times New Roman"/>
        </w:rPr>
      </w:pPr>
    </w:p>
    <w:p w:rsidR="008F0CF2" w:rsidRDefault="008F0CF2" w:rsidP="00515351">
      <w:pPr>
        <w:spacing w:after="120" w:line="360" w:lineRule="auto"/>
        <w:rPr>
          <w:rFonts w:ascii="Times New Roman" w:hAnsi="Times New Roman"/>
        </w:rPr>
      </w:pPr>
    </w:p>
    <w:p w:rsidR="0092219B" w:rsidRPr="0092219B" w:rsidRDefault="008F0CF2" w:rsidP="00515351">
      <w:pPr>
        <w:spacing w:after="120" w:line="360" w:lineRule="auto"/>
        <w:rPr>
          <w:rFonts w:ascii="Times New Roman" w:hAnsi="Times New Roman"/>
          <w:b/>
        </w:rPr>
      </w:pPr>
      <w:r>
        <w:rPr>
          <w:rFonts w:ascii="Times New Roman" w:hAnsi="Times New Roman"/>
          <w:b/>
        </w:rPr>
        <w:lastRenderedPageBreak/>
        <w:t>Figure 12</w:t>
      </w:r>
    </w:p>
    <w:p w:rsidR="003359F5" w:rsidRDefault="00984C98" w:rsidP="0092219B">
      <w:pPr>
        <w:spacing w:after="120" w:line="360" w:lineRule="auto"/>
        <w:jc w:val="center"/>
        <w:rPr>
          <w:rFonts w:ascii="Times New Roman" w:hAnsi="Times New Roman"/>
        </w:rPr>
      </w:pPr>
      <w:r>
        <w:rPr>
          <w:noProof/>
          <w:lang w:eastAsia="en-AU"/>
        </w:rPr>
        <w:drawing>
          <wp:inline distT="0" distB="0" distL="0" distR="0">
            <wp:extent cx="3636010" cy="2307590"/>
            <wp:effectExtent l="0" t="0" r="0" b="381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636010" cy="2307590"/>
                    </a:xfrm>
                    <a:prstGeom prst="rect">
                      <a:avLst/>
                    </a:prstGeom>
                    <a:noFill/>
                    <a:ln>
                      <a:noFill/>
                    </a:ln>
                  </pic:spPr>
                </pic:pic>
              </a:graphicData>
            </a:graphic>
          </wp:inline>
        </w:drawing>
      </w:r>
    </w:p>
    <w:p w:rsidR="0092219B" w:rsidRPr="0092219B" w:rsidRDefault="0092219B" w:rsidP="00924259">
      <w:pPr>
        <w:spacing w:after="60" w:line="360" w:lineRule="auto"/>
        <w:rPr>
          <w:rFonts w:ascii="Times New Roman" w:hAnsi="Times New Roman"/>
        </w:rPr>
      </w:pPr>
      <w:r w:rsidRPr="0092219B">
        <w:rPr>
          <w:rFonts w:ascii="Times New Roman" w:hAnsi="Times New Roman"/>
        </w:rPr>
        <w:t>Alternatively, if :</w:t>
      </w:r>
    </w:p>
    <w:p w:rsidR="0092219B" w:rsidRPr="0092219B" w:rsidRDefault="0092219B" w:rsidP="00924259">
      <w:pPr>
        <w:numPr>
          <w:ilvl w:val="0"/>
          <w:numId w:val="17"/>
        </w:numPr>
        <w:spacing w:after="60" w:line="360" w:lineRule="auto"/>
        <w:rPr>
          <w:rFonts w:ascii="Times New Roman" w:hAnsi="Times New Roman"/>
        </w:rPr>
      </w:pPr>
      <w:r w:rsidRPr="0092219B">
        <w:rPr>
          <w:rFonts w:ascii="Times New Roman" w:hAnsi="Times New Roman"/>
        </w:rPr>
        <w:t>Some managers consistently add value; and</w:t>
      </w:r>
    </w:p>
    <w:p w:rsidR="0092219B" w:rsidRPr="0092219B" w:rsidRDefault="0092219B" w:rsidP="00924259">
      <w:pPr>
        <w:numPr>
          <w:ilvl w:val="0"/>
          <w:numId w:val="17"/>
        </w:numPr>
        <w:spacing w:after="60" w:line="360" w:lineRule="auto"/>
        <w:rPr>
          <w:rFonts w:ascii="Times New Roman" w:hAnsi="Times New Roman"/>
        </w:rPr>
      </w:pPr>
      <w:r w:rsidRPr="0092219B">
        <w:rPr>
          <w:rFonts w:ascii="Times New Roman" w:hAnsi="Times New Roman"/>
        </w:rPr>
        <w:t>Super funds are able to select those Consistent Managers; and</w:t>
      </w:r>
    </w:p>
    <w:p w:rsidR="0092219B" w:rsidRPr="0092219B" w:rsidRDefault="0092219B" w:rsidP="00924259">
      <w:pPr>
        <w:numPr>
          <w:ilvl w:val="0"/>
          <w:numId w:val="17"/>
        </w:numPr>
        <w:spacing w:after="60" w:line="360" w:lineRule="auto"/>
        <w:rPr>
          <w:rFonts w:ascii="Times New Roman" w:hAnsi="Times New Roman"/>
        </w:rPr>
      </w:pPr>
      <w:r w:rsidRPr="0092219B">
        <w:rPr>
          <w:rFonts w:ascii="Times New Roman" w:hAnsi="Times New Roman"/>
        </w:rPr>
        <w:t xml:space="preserve">Those Consistent Managers earn returns that exceed their fees </w:t>
      </w:r>
    </w:p>
    <w:p w:rsidR="003359F5" w:rsidRDefault="0092219B" w:rsidP="00924259">
      <w:pPr>
        <w:spacing w:after="120" w:line="360" w:lineRule="auto"/>
        <w:rPr>
          <w:rFonts w:ascii="Times New Roman" w:hAnsi="Times New Roman"/>
        </w:rPr>
      </w:pPr>
      <w:r>
        <w:rPr>
          <w:rFonts w:ascii="Times New Roman" w:hAnsi="Times New Roman"/>
        </w:rPr>
        <w:t>Then an i</w:t>
      </w:r>
      <w:r w:rsidRPr="0092219B">
        <w:rPr>
          <w:rFonts w:ascii="Times New Roman" w:hAnsi="Times New Roman"/>
        </w:rPr>
        <w:t xml:space="preserve">ncreased exposure to manager skill in a portfolio </w:t>
      </w:r>
      <w:r w:rsidRPr="0092219B">
        <w:rPr>
          <w:rFonts w:ascii="Times New Roman" w:hAnsi="Times New Roman"/>
          <w:b/>
        </w:rPr>
        <w:t>WILL</w:t>
      </w:r>
      <w:r w:rsidRPr="0092219B">
        <w:rPr>
          <w:rFonts w:ascii="Times New Roman" w:hAnsi="Times New Roman"/>
        </w:rPr>
        <w:t xml:space="preserve"> lead to higher</w:t>
      </w:r>
      <w:r>
        <w:rPr>
          <w:rFonts w:ascii="Times New Roman" w:hAnsi="Times New Roman"/>
        </w:rPr>
        <w:t xml:space="preserve"> net investment </w:t>
      </w:r>
      <w:r w:rsidRPr="0092219B">
        <w:rPr>
          <w:rFonts w:ascii="Times New Roman" w:hAnsi="Times New Roman"/>
        </w:rPr>
        <w:t>returns</w:t>
      </w:r>
      <w:r>
        <w:rPr>
          <w:rFonts w:ascii="Times New Roman" w:hAnsi="Times New Roman"/>
        </w:rPr>
        <w:t xml:space="preserve"> – i.e., an upward sloping r</w:t>
      </w:r>
      <w:r w:rsidRPr="0092219B">
        <w:rPr>
          <w:rFonts w:ascii="Times New Roman" w:hAnsi="Times New Roman"/>
        </w:rPr>
        <w:t>elationship</w:t>
      </w:r>
      <w:r>
        <w:rPr>
          <w:rFonts w:ascii="Times New Roman" w:hAnsi="Times New Roman"/>
        </w:rPr>
        <w:t>.</w:t>
      </w:r>
    </w:p>
    <w:p w:rsidR="00515351" w:rsidRDefault="009C499B" w:rsidP="00924259">
      <w:pPr>
        <w:spacing w:after="120" w:line="360" w:lineRule="auto"/>
        <w:rPr>
          <w:rFonts w:ascii="Times New Roman" w:hAnsi="Times New Roman"/>
        </w:rPr>
      </w:pPr>
      <w:r>
        <w:rPr>
          <w:rFonts w:ascii="Times New Roman" w:hAnsi="Times New Roman"/>
        </w:rPr>
        <w:t>The evidence presented below is based on the following:</w:t>
      </w:r>
    </w:p>
    <w:p w:rsidR="009C499B" w:rsidRDefault="009C499B" w:rsidP="00924259">
      <w:pPr>
        <w:numPr>
          <w:ilvl w:val="0"/>
          <w:numId w:val="18"/>
        </w:numPr>
        <w:spacing w:after="120" w:line="360" w:lineRule="auto"/>
        <w:rPr>
          <w:rFonts w:ascii="Times New Roman" w:hAnsi="Times New Roman"/>
        </w:rPr>
      </w:pPr>
      <w:r>
        <w:rPr>
          <w:rFonts w:ascii="Times New Roman" w:hAnsi="Times New Roman"/>
        </w:rPr>
        <w:t xml:space="preserve">Australian ‘Growth’ </w:t>
      </w:r>
      <w:r w:rsidR="005C5C61">
        <w:rPr>
          <w:rFonts w:ascii="Times New Roman" w:hAnsi="Times New Roman"/>
        </w:rPr>
        <w:t>style superannuation fund products (This represents the vast majority of institutionally managed superannuation fund assets over this period.);</w:t>
      </w:r>
    </w:p>
    <w:p w:rsidR="005C5C61" w:rsidRDefault="005C5C61" w:rsidP="00924259">
      <w:pPr>
        <w:numPr>
          <w:ilvl w:val="0"/>
          <w:numId w:val="18"/>
        </w:numPr>
        <w:spacing w:after="120" w:line="360" w:lineRule="auto"/>
        <w:rPr>
          <w:rFonts w:ascii="Times New Roman" w:hAnsi="Times New Roman"/>
        </w:rPr>
      </w:pPr>
      <w:r>
        <w:rPr>
          <w:rFonts w:ascii="Times New Roman" w:hAnsi="Times New Roman"/>
        </w:rPr>
        <w:t>These funds</w:t>
      </w:r>
      <w:r w:rsidR="00083CBD">
        <w:rPr>
          <w:rFonts w:ascii="Times New Roman" w:hAnsi="Times New Roman"/>
        </w:rPr>
        <w:t>’</w:t>
      </w:r>
      <w:r>
        <w:rPr>
          <w:rFonts w:ascii="Times New Roman" w:hAnsi="Times New Roman"/>
        </w:rPr>
        <w:t xml:space="preserve"> investment allocations as at 30 June 2009; </w:t>
      </w:r>
    </w:p>
    <w:p w:rsidR="005C5C61" w:rsidRDefault="005C5C61" w:rsidP="00924259">
      <w:pPr>
        <w:numPr>
          <w:ilvl w:val="0"/>
          <w:numId w:val="18"/>
        </w:numPr>
        <w:spacing w:after="120" w:line="360" w:lineRule="auto"/>
        <w:rPr>
          <w:rFonts w:ascii="Times New Roman" w:hAnsi="Times New Roman"/>
        </w:rPr>
      </w:pPr>
      <w:r>
        <w:rPr>
          <w:rFonts w:ascii="Times New Roman" w:hAnsi="Times New Roman"/>
        </w:rPr>
        <w:t>10 year net investment return</w:t>
      </w:r>
      <w:r w:rsidR="00083CBD">
        <w:rPr>
          <w:rFonts w:ascii="Times New Roman" w:hAnsi="Times New Roman"/>
        </w:rPr>
        <w:t>s to investors for the period from</w:t>
      </w:r>
      <w:r>
        <w:rPr>
          <w:rFonts w:ascii="Times New Roman" w:hAnsi="Times New Roman"/>
        </w:rPr>
        <w:t xml:space="preserve"> June 2003 to June 2013;</w:t>
      </w:r>
    </w:p>
    <w:p w:rsidR="005C5C61" w:rsidRDefault="00083CBD" w:rsidP="00083CBD">
      <w:pPr>
        <w:spacing w:after="120" w:line="360" w:lineRule="auto"/>
        <w:rPr>
          <w:rFonts w:ascii="Times New Roman" w:hAnsi="Times New Roman"/>
        </w:rPr>
      </w:pPr>
      <w:r>
        <w:rPr>
          <w:rFonts w:ascii="Times New Roman" w:hAnsi="Times New Roman"/>
        </w:rPr>
        <w:t>I</w:t>
      </w:r>
      <w:r w:rsidR="008F0CF2">
        <w:rPr>
          <w:rFonts w:ascii="Times New Roman" w:hAnsi="Times New Roman"/>
        </w:rPr>
        <w:t>n the following chart (Figure 13</w:t>
      </w:r>
      <w:r>
        <w:rPr>
          <w:rFonts w:ascii="Times New Roman" w:hAnsi="Times New Roman"/>
        </w:rPr>
        <w:t xml:space="preserve">), the annualised net return to investors </w:t>
      </w:r>
      <w:r w:rsidR="00DF108B">
        <w:rPr>
          <w:rFonts w:ascii="Times New Roman" w:hAnsi="Times New Roman"/>
        </w:rPr>
        <w:t>for the 10 years to June 2013 is plotted on the vertical (left) axis. The percentage of each fund’s Investment Risk contributed by active Manager Skill is plotted on the horizontal axis. (If you refer to Figure 2, this percentage is calculated by</w:t>
      </w:r>
      <w:r>
        <w:rPr>
          <w:rFonts w:ascii="Times New Roman" w:hAnsi="Times New Roman"/>
        </w:rPr>
        <w:t xml:space="preserve"> </w:t>
      </w:r>
      <w:r w:rsidR="00DF108B">
        <w:rPr>
          <w:rFonts w:ascii="Times New Roman" w:hAnsi="Times New Roman"/>
        </w:rPr>
        <w:t xml:space="preserve">dividing the </w:t>
      </w:r>
      <w:r w:rsidR="00635DB2">
        <w:rPr>
          <w:rFonts w:ascii="Times New Roman" w:hAnsi="Times New Roman"/>
        </w:rPr>
        <w:t>Manager Volatility amount by the Total Invest</w:t>
      </w:r>
      <w:r w:rsidR="008F0CF2">
        <w:rPr>
          <w:rFonts w:ascii="Times New Roman" w:hAnsi="Times New Roman"/>
        </w:rPr>
        <w:t>ment Risk.</w:t>
      </w:r>
      <w:r w:rsidR="00635DB2">
        <w:rPr>
          <w:rFonts w:ascii="Times New Roman" w:hAnsi="Times New Roman"/>
        </w:rPr>
        <w:t xml:space="preserve"> </w:t>
      </w:r>
      <w:r w:rsidR="008F0CF2">
        <w:rPr>
          <w:rFonts w:ascii="Times New Roman" w:hAnsi="Times New Roman"/>
        </w:rPr>
        <w:t>Figure 13</w:t>
      </w:r>
      <w:r w:rsidR="00C628ED">
        <w:rPr>
          <w:rFonts w:ascii="Times New Roman" w:hAnsi="Times New Roman"/>
        </w:rPr>
        <w:t>, and subsequent charts are derived from the Peterson Research Global Investment Analysis system (</w:t>
      </w:r>
      <w:proofErr w:type="spellStart"/>
      <w:r w:rsidR="00C628ED">
        <w:rPr>
          <w:rFonts w:ascii="Times New Roman" w:hAnsi="Times New Roman"/>
        </w:rPr>
        <w:t>GIA</w:t>
      </w:r>
      <w:proofErr w:type="spellEnd"/>
      <w:r w:rsidR="00C628ED">
        <w:rPr>
          <w:rFonts w:ascii="Times New Roman" w:hAnsi="Times New Roman"/>
        </w:rPr>
        <w:t xml:space="preserve">: </w:t>
      </w:r>
      <w:proofErr w:type="spellStart"/>
      <w:r w:rsidR="00C628ED">
        <w:rPr>
          <w:rFonts w:ascii="Times New Roman" w:hAnsi="Times New Roman"/>
        </w:rPr>
        <w:t>www.prigia.com</w:t>
      </w:r>
      <w:proofErr w:type="spellEnd"/>
      <w:r w:rsidR="00C628ED">
        <w:rPr>
          <w:rFonts w:ascii="Times New Roman" w:hAnsi="Times New Roman"/>
        </w:rPr>
        <w:t>)</w:t>
      </w:r>
      <w:r w:rsidR="008F0CF2">
        <w:rPr>
          <w:rFonts w:ascii="Times New Roman" w:hAnsi="Times New Roman"/>
        </w:rPr>
        <w:t>)</w:t>
      </w:r>
      <w:r w:rsidR="00C628ED">
        <w:rPr>
          <w:rFonts w:ascii="Times New Roman" w:hAnsi="Times New Roman"/>
        </w:rPr>
        <w:t>.</w:t>
      </w:r>
      <w:r w:rsidR="005C5C61">
        <w:rPr>
          <w:rFonts w:ascii="Times New Roman" w:hAnsi="Times New Roman"/>
        </w:rPr>
        <w:t xml:space="preserve"> </w:t>
      </w:r>
    </w:p>
    <w:p w:rsidR="00515351" w:rsidRPr="00635DB2" w:rsidRDefault="008F0CF2" w:rsidP="00515351">
      <w:pPr>
        <w:spacing w:after="120" w:line="360" w:lineRule="auto"/>
        <w:rPr>
          <w:rFonts w:ascii="Times New Roman" w:hAnsi="Times New Roman"/>
          <w:b/>
        </w:rPr>
      </w:pPr>
      <w:r>
        <w:rPr>
          <w:rFonts w:ascii="Times New Roman" w:hAnsi="Times New Roman"/>
          <w:b/>
        </w:rPr>
        <w:lastRenderedPageBreak/>
        <w:t>Figure 13</w:t>
      </w:r>
    </w:p>
    <w:p w:rsidR="00635DB2" w:rsidRDefault="00984C98" w:rsidP="00835078">
      <w:pPr>
        <w:spacing w:after="120" w:line="360" w:lineRule="auto"/>
        <w:jc w:val="center"/>
        <w:rPr>
          <w:rFonts w:ascii="Times New Roman" w:hAnsi="Times New Roman"/>
        </w:rPr>
      </w:pPr>
      <w:r>
        <w:rPr>
          <w:rFonts w:ascii="Times New Roman" w:hAnsi="Times New Roman"/>
          <w:noProof/>
          <w:lang w:eastAsia="en-AU"/>
        </w:rPr>
        <w:drawing>
          <wp:inline distT="0" distB="0" distL="0" distR="0">
            <wp:extent cx="4448810" cy="3338195"/>
            <wp:effectExtent l="0" t="0" r="0" b="0"/>
            <wp:docPr id="12" name="Picture 12" descr="10 Years to 2013 as at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10 Years to 2013 as at 200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448810" cy="3338195"/>
                    </a:xfrm>
                    <a:prstGeom prst="rect">
                      <a:avLst/>
                    </a:prstGeom>
                    <a:noFill/>
                    <a:ln>
                      <a:noFill/>
                    </a:ln>
                  </pic:spPr>
                </pic:pic>
              </a:graphicData>
            </a:graphic>
          </wp:inline>
        </w:drawing>
      </w:r>
    </w:p>
    <w:p w:rsidR="00635DB2" w:rsidRDefault="00635DB2" w:rsidP="00515351">
      <w:pPr>
        <w:spacing w:after="120" w:line="360" w:lineRule="auto"/>
        <w:rPr>
          <w:rFonts w:ascii="Times New Roman" w:hAnsi="Times New Roman"/>
        </w:rPr>
      </w:pPr>
      <w:r>
        <w:rPr>
          <w:rFonts w:ascii="Times New Roman" w:hAnsi="Times New Roman"/>
        </w:rPr>
        <w:t xml:space="preserve">For example, the REST Superannuation Core Strategy was the highest returning fund over the 10 years to June 2013, with a return of just over 8.0% p.a. Approximately 26.5% of the Core Strategy’s, Total Investment Risk came from active Manager Skill, based on its investment allocation as at 30 June 2009 (approximately the middle of the period). </w:t>
      </w:r>
    </w:p>
    <w:p w:rsidR="00635DB2" w:rsidRDefault="00635DB2" w:rsidP="00515351">
      <w:pPr>
        <w:spacing w:after="120" w:line="360" w:lineRule="auto"/>
        <w:rPr>
          <w:rFonts w:ascii="Times New Roman" w:hAnsi="Times New Roman"/>
        </w:rPr>
      </w:pPr>
      <w:r>
        <w:rPr>
          <w:rFonts w:ascii="Times New Roman" w:hAnsi="Times New Roman"/>
        </w:rPr>
        <w:t xml:space="preserve">It is worth noting that for ‘Growth’ style Australian superannuation funds, active Manager Skill made up </w:t>
      </w:r>
      <w:r w:rsidR="00BB7B95">
        <w:rPr>
          <w:rFonts w:ascii="Times New Roman" w:hAnsi="Times New Roman"/>
        </w:rPr>
        <w:t>between one-fifth (20%) and one-third (33%) of the Total Investment Risk in their investment portfolios as of June 2009.</w:t>
      </w:r>
      <w:r>
        <w:rPr>
          <w:rFonts w:ascii="Times New Roman" w:hAnsi="Times New Roman"/>
        </w:rPr>
        <w:t xml:space="preserve"> </w:t>
      </w:r>
      <w:r w:rsidR="00BB7B95" w:rsidRPr="008F0CF2">
        <w:rPr>
          <w:rFonts w:ascii="Times New Roman" w:hAnsi="Times New Roman"/>
          <w:b/>
        </w:rPr>
        <w:t xml:space="preserve">This source of Investment Risk and Return is generally ignored </w:t>
      </w:r>
      <w:r w:rsidR="00BB7B95">
        <w:rPr>
          <w:rFonts w:ascii="Times New Roman" w:hAnsi="Times New Roman"/>
        </w:rPr>
        <w:t xml:space="preserve">in the analysis of superannuation fund performance, and is completely ignored in Modern Portfolio Theory.  </w:t>
      </w:r>
    </w:p>
    <w:p w:rsidR="00835078" w:rsidRPr="00835078" w:rsidRDefault="00835078" w:rsidP="00835078">
      <w:pPr>
        <w:spacing w:after="120" w:line="360" w:lineRule="auto"/>
        <w:rPr>
          <w:rFonts w:ascii="Times New Roman" w:hAnsi="Times New Roman"/>
        </w:rPr>
      </w:pPr>
      <w:r>
        <w:rPr>
          <w:rFonts w:ascii="Times New Roman" w:hAnsi="Times New Roman"/>
        </w:rPr>
        <w:t xml:space="preserve">What is most striking about Figure 11 is that </w:t>
      </w:r>
      <w:r w:rsidRPr="008F0CF2">
        <w:rPr>
          <w:rFonts w:ascii="Times New Roman" w:hAnsi="Times New Roman"/>
          <w:b/>
        </w:rPr>
        <w:t xml:space="preserve">the relationship between </w:t>
      </w:r>
      <w:r w:rsidRPr="008F0CF2">
        <w:rPr>
          <w:rFonts w:ascii="Times New Roman" w:hAnsi="Times New Roman"/>
          <w:b/>
          <w:bCs/>
        </w:rPr>
        <w:t xml:space="preserve">Return </w:t>
      </w:r>
      <w:r w:rsidRPr="008F0CF2">
        <w:rPr>
          <w:rFonts w:ascii="Times New Roman" w:hAnsi="Times New Roman"/>
          <w:b/>
        </w:rPr>
        <w:t xml:space="preserve">and exposure to </w:t>
      </w:r>
      <w:r w:rsidRPr="008F0CF2">
        <w:rPr>
          <w:rFonts w:ascii="Times New Roman" w:hAnsi="Times New Roman"/>
          <w:b/>
          <w:bCs/>
        </w:rPr>
        <w:t xml:space="preserve">Manager Skill </w:t>
      </w:r>
      <w:r w:rsidRPr="008F0CF2">
        <w:rPr>
          <w:rFonts w:ascii="Times New Roman" w:hAnsi="Times New Roman"/>
          <w:b/>
        </w:rPr>
        <w:t>is</w:t>
      </w:r>
      <w:r w:rsidRPr="008F0CF2">
        <w:rPr>
          <w:rFonts w:ascii="Times New Roman" w:hAnsi="Times New Roman"/>
          <w:b/>
          <w:bCs/>
        </w:rPr>
        <w:t xml:space="preserve"> actually upward sloping in the real world</w:t>
      </w:r>
      <w:r>
        <w:rPr>
          <w:rFonts w:ascii="Times New Roman" w:hAnsi="Times New Roman"/>
          <w:b/>
          <w:bCs/>
        </w:rPr>
        <w:t>.</w:t>
      </w:r>
    </w:p>
    <w:p w:rsidR="00835078" w:rsidRPr="00835078" w:rsidRDefault="00835078" w:rsidP="00835078">
      <w:pPr>
        <w:pBdr>
          <w:top w:val="single" w:sz="4" w:space="1" w:color="auto"/>
          <w:left w:val="single" w:sz="4" w:space="4" w:color="auto"/>
          <w:bottom w:val="single" w:sz="4" w:space="1" w:color="auto"/>
          <w:right w:val="single" w:sz="4" w:space="4" w:color="auto"/>
        </w:pBdr>
        <w:spacing w:after="120" w:line="360" w:lineRule="auto"/>
        <w:rPr>
          <w:rFonts w:ascii="Times New Roman" w:hAnsi="Times New Roman"/>
        </w:rPr>
      </w:pPr>
      <w:r w:rsidRPr="00835078">
        <w:rPr>
          <w:rFonts w:ascii="Times New Roman" w:hAnsi="Times New Roman"/>
          <w:b/>
          <w:bCs/>
        </w:rPr>
        <w:t xml:space="preserve">This implies that </w:t>
      </w:r>
      <w:r w:rsidRPr="00835078">
        <w:rPr>
          <w:rFonts w:ascii="Times New Roman" w:hAnsi="Times New Roman"/>
          <w:b/>
        </w:rPr>
        <w:t xml:space="preserve">Australian Institutional </w:t>
      </w:r>
      <w:r>
        <w:rPr>
          <w:rFonts w:ascii="Times New Roman" w:hAnsi="Times New Roman"/>
          <w:b/>
        </w:rPr>
        <w:t>Superannuation Funds</w:t>
      </w:r>
      <w:r w:rsidRPr="00835078">
        <w:rPr>
          <w:rFonts w:ascii="Times New Roman" w:hAnsi="Times New Roman"/>
          <w:b/>
        </w:rPr>
        <w:t xml:space="preserve"> </w:t>
      </w:r>
      <w:r w:rsidRPr="00835078">
        <w:rPr>
          <w:rFonts w:ascii="Times New Roman" w:hAnsi="Times New Roman"/>
          <w:b/>
          <w:bCs/>
        </w:rPr>
        <w:t xml:space="preserve">have been able to identify and select investment managers who add value after fees. </w:t>
      </w:r>
    </w:p>
    <w:p w:rsidR="00BE17BA" w:rsidRDefault="00BE17BA" w:rsidP="008F0CF2">
      <w:pPr>
        <w:spacing w:after="120" w:line="360" w:lineRule="auto"/>
        <w:rPr>
          <w:rFonts w:ascii="Times New Roman" w:hAnsi="Times New Roman"/>
        </w:rPr>
      </w:pPr>
      <w:r>
        <w:rPr>
          <w:rFonts w:ascii="Times New Roman" w:hAnsi="Times New Roman"/>
        </w:rPr>
        <w:lastRenderedPageBreak/>
        <w:t xml:space="preserve">Note that this finding </w:t>
      </w:r>
      <w:r w:rsidRPr="00BE17BA">
        <w:rPr>
          <w:rFonts w:ascii="Times New Roman" w:hAnsi="Times New Roman"/>
          <w:b/>
        </w:rPr>
        <w:t>means that</w:t>
      </w:r>
      <w:r>
        <w:rPr>
          <w:rFonts w:ascii="Times New Roman" w:hAnsi="Times New Roman"/>
        </w:rPr>
        <w:t>, manager performance</w:t>
      </w:r>
      <w:r w:rsidR="008F0CF2">
        <w:rPr>
          <w:rFonts w:ascii="Times New Roman" w:hAnsi="Times New Roman"/>
        </w:rPr>
        <w:t xml:space="preserve"> must be consistent, </w:t>
      </w:r>
      <w:r>
        <w:rPr>
          <w:rFonts w:ascii="Times New Roman" w:hAnsi="Times New Roman"/>
        </w:rPr>
        <w:t xml:space="preserve">superannuation funds must be able to select consistent managers, and managers’ fees must be less than the value added by their active skill. </w:t>
      </w:r>
    </w:p>
    <w:p w:rsidR="0001504E" w:rsidRDefault="0001504E" w:rsidP="008F0CF2">
      <w:pPr>
        <w:spacing w:after="120" w:line="360" w:lineRule="auto"/>
        <w:rPr>
          <w:rFonts w:ascii="Times New Roman" w:hAnsi="Times New Roman"/>
          <w:bCs/>
        </w:rPr>
      </w:pPr>
      <w:r w:rsidRPr="00BE17BA">
        <w:rPr>
          <w:rFonts w:ascii="Times New Roman" w:hAnsi="Times New Roman"/>
        </w:rPr>
        <w:t xml:space="preserve">It is important to note that </w:t>
      </w:r>
      <w:r w:rsidRPr="00BE17BA">
        <w:rPr>
          <w:rFonts w:ascii="Times New Roman" w:hAnsi="Times New Roman"/>
          <w:b/>
        </w:rPr>
        <w:t>this relationship is completely consistent with the principles of Modern Portfolio Theory</w:t>
      </w:r>
      <w:r w:rsidR="00BE17BA" w:rsidRPr="00BE17BA">
        <w:rPr>
          <w:rFonts w:ascii="Times New Roman" w:hAnsi="Times New Roman"/>
          <w:b/>
        </w:rPr>
        <w:t>,</w:t>
      </w:r>
      <w:r w:rsidRPr="00BE17BA">
        <w:rPr>
          <w:rFonts w:ascii="Times New Roman" w:hAnsi="Times New Roman"/>
        </w:rPr>
        <w:t xml:space="preserve"> </w:t>
      </w:r>
      <w:r w:rsidR="008F0CF2">
        <w:rPr>
          <w:rFonts w:ascii="Times New Roman" w:hAnsi="Times New Roman"/>
        </w:rPr>
        <w:t xml:space="preserve">in the situation </w:t>
      </w:r>
      <w:r w:rsidRPr="00BE17BA">
        <w:rPr>
          <w:rFonts w:ascii="Times New Roman" w:hAnsi="Times New Roman"/>
        </w:rPr>
        <w:t>where manager s</w:t>
      </w:r>
      <w:r w:rsidR="00BE17BA" w:rsidRPr="00BE17BA">
        <w:rPr>
          <w:rFonts w:ascii="Times New Roman" w:hAnsi="Times New Roman"/>
        </w:rPr>
        <w:t>kill is viewed as an investment</w:t>
      </w:r>
      <w:r w:rsidRPr="00BE17BA">
        <w:rPr>
          <w:rFonts w:ascii="Times New Roman" w:hAnsi="Times New Roman"/>
        </w:rPr>
        <w:t xml:space="preserve"> and hence a source of Investment Risk and Return</w:t>
      </w:r>
      <w:r w:rsidRPr="00BE17BA">
        <w:rPr>
          <w:rFonts w:ascii="Times New Roman" w:hAnsi="Times New Roman"/>
          <w:b/>
          <w:bCs/>
        </w:rPr>
        <w:t>.</w:t>
      </w:r>
      <w:r w:rsidR="00BE17BA">
        <w:rPr>
          <w:rFonts w:ascii="Times New Roman" w:hAnsi="Times New Roman"/>
          <w:b/>
          <w:bCs/>
        </w:rPr>
        <w:t xml:space="preserve"> </w:t>
      </w:r>
      <w:r w:rsidR="00BE17BA" w:rsidRPr="00BE17BA">
        <w:rPr>
          <w:rFonts w:ascii="Times New Roman" w:hAnsi="Times New Roman"/>
          <w:bCs/>
        </w:rPr>
        <w:t>Thus</w:t>
      </w:r>
      <w:r w:rsidR="00BE17BA">
        <w:rPr>
          <w:rFonts w:ascii="Times New Roman" w:hAnsi="Times New Roman"/>
          <w:bCs/>
        </w:rPr>
        <w:t>,</w:t>
      </w:r>
      <w:r w:rsidR="00BE17BA" w:rsidRPr="00BE17BA">
        <w:rPr>
          <w:rFonts w:ascii="Times New Roman" w:hAnsi="Times New Roman"/>
          <w:bCs/>
        </w:rPr>
        <w:t xml:space="preserve"> this analysis </w:t>
      </w:r>
      <w:r w:rsidR="00BE17BA">
        <w:rPr>
          <w:rFonts w:ascii="Times New Roman" w:hAnsi="Times New Roman"/>
          <w:bCs/>
        </w:rPr>
        <w:t xml:space="preserve">is simply </w:t>
      </w:r>
      <w:r w:rsidR="00BE17BA" w:rsidRPr="00BE17BA">
        <w:rPr>
          <w:rFonts w:ascii="Times New Roman" w:hAnsi="Times New Roman"/>
          <w:b/>
          <w:bCs/>
        </w:rPr>
        <w:t>a more general implementation of Modern Portfolio Theory</w:t>
      </w:r>
      <w:r w:rsidR="00BE17BA">
        <w:rPr>
          <w:rFonts w:ascii="Times New Roman" w:hAnsi="Times New Roman"/>
          <w:bCs/>
        </w:rPr>
        <w:t xml:space="preserve"> than that contained in </w:t>
      </w:r>
      <w:r w:rsidR="00BE17BA" w:rsidRPr="00B213DB">
        <w:rPr>
          <w:rFonts w:ascii="Times New Roman" w:hAnsi="Times New Roman"/>
        </w:rPr>
        <w:t>‘classical’ finance</w:t>
      </w:r>
      <w:r w:rsidR="00BE17BA">
        <w:rPr>
          <w:rFonts w:ascii="Times New Roman" w:hAnsi="Times New Roman"/>
        </w:rPr>
        <w:t xml:space="preserve">, in that markets are not restricted to being only static or random, and Manager Skill is treated as an investment rather than being ignored. </w:t>
      </w:r>
      <w:r w:rsidR="00BE17BA">
        <w:rPr>
          <w:rFonts w:ascii="Times New Roman" w:hAnsi="Times New Roman"/>
          <w:bCs/>
        </w:rPr>
        <w:t xml:space="preserve"> </w:t>
      </w:r>
    </w:p>
    <w:p w:rsidR="00BE17BA" w:rsidRPr="00BE17BA" w:rsidRDefault="00BE17BA" w:rsidP="008F0CF2">
      <w:pPr>
        <w:spacing w:after="120" w:line="360" w:lineRule="auto"/>
        <w:rPr>
          <w:rFonts w:ascii="Times New Roman" w:hAnsi="Times New Roman"/>
        </w:rPr>
      </w:pPr>
      <w:r>
        <w:rPr>
          <w:rFonts w:ascii="Times New Roman" w:hAnsi="Times New Roman"/>
          <w:bCs/>
        </w:rPr>
        <w:t xml:space="preserve">If we consider the </w:t>
      </w:r>
      <w:r w:rsidR="007F7524">
        <w:rPr>
          <w:rFonts w:ascii="Times New Roman" w:hAnsi="Times New Roman"/>
          <w:bCs/>
        </w:rPr>
        <w:t>vast majority of Australian Institutional Superannuation Fund inve</w:t>
      </w:r>
      <w:r w:rsidR="008F0CF2">
        <w:rPr>
          <w:rFonts w:ascii="Times New Roman" w:hAnsi="Times New Roman"/>
          <w:bCs/>
        </w:rPr>
        <w:t>stments represented in Figure 13</w:t>
      </w:r>
      <w:r w:rsidR="007F7524">
        <w:rPr>
          <w:rFonts w:ascii="Times New Roman" w:hAnsi="Times New Roman"/>
          <w:bCs/>
        </w:rPr>
        <w:t>:</w:t>
      </w:r>
    </w:p>
    <w:p w:rsidR="0001504E" w:rsidRPr="00BE17BA" w:rsidRDefault="0001504E" w:rsidP="0001504E">
      <w:pPr>
        <w:numPr>
          <w:ilvl w:val="0"/>
          <w:numId w:val="20"/>
        </w:numPr>
        <w:spacing w:after="120" w:line="360" w:lineRule="auto"/>
        <w:rPr>
          <w:rFonts w:ascii="Times New Roman" w:hAnsi="Times New Roman"/>
        </w:rPr>
      </w:pPr>
      <w:r w:rsidRPr="00BE17BA">
        <w:rPr>
          <w:rFonts w:ascii="Times New Roman" w:hAnsi="Times New Roman"/>
        </w:rPr>
        <w:t>All f</w:t>
      </w:r>
      <w:r w:rsidR="007F7524">
        <w:rPr>
          <w:rFonts w:ascii="Times New Roman" w:hAnsi="Times New Roman"/>
        </w:rPr>
        <w:t xml:space="preserve">unds </w:t>
      </w:r>
      <w:r w:rsidRPr="00BE17BA">
        <w:rPr>
          <w:rFonts w:ascii="Times New Roman" w:hAnsi="Times New Roman"/>
        </w:rPr>
        <w:t>have similar allocations to Market Risks (e.g. 60-80% growth) and hence have similar levels of market related Investment Risk</w:t>
      </w:r>
    </w:p>
    <w:p w:rsidR="0001504E" w:rsidRPr="00BE17BA" w:rsidRDefault="0001504E" w:rsidP="0001504E">
      <w:pPr>
        <w:numPr>
          <w:ilvl w:val="0"/>
          <w:numId w:val="20"/>
        </w:numPr>
        <w:spacing w:after="120" w:line="360" w:lineRule="auto"/>
        <w:rPr>
          <w:rFonts w:ascii="Times New Roman" w:hAnsi="Times New Roman"/>
        </w:rPr>
      </w:pPr>
      <w:r w:rsidRPr="00BE17BA">
        <w:rPr>
          <w:rFonts w:ascii="Times New Roman" w:hAnsi="Times New Roman"/>
        </w:rPr>
        <w:t>Those funds with greater allocations to Manager Risk - and hence a higher proportion of Investment Risk derived from Manager Skill - therefore have higher levels of Total Investment Risk, and commensurately have higher returns</w:t>
      </w:r>
    </w:p>
    <w:p w:rsidR="0001504E" w:rsidRPr="00BE17BA" w:rsidRDefault="007F7524" w:rsidP="0001504E">
      <w:pPr>
        <w:numPr>
          <w:ilvl w:val="0"/>
          <w:numId w:val="20"/>
        </w:numPr>
        <w:spacing w:after="120" w:line="360" w:lineRule="auto"/>
        <w:rPr>
          <w:rFonts w:ascii="Times New Roman" w:hAnsi="Times New Roman"/>
        </w:rPr>
      </w:pPr>
      <w:r>
        <w:rPr>
          <w:rFonts w:ascii="Times New Roman" w:hAnsi="Times New Roman"/>
        </w:rPr>
        <w:t>Manager Risk is diversifying,</w:t>
      </w:r>
      <w:r w:rsidR="0001504E" w:rsidRPr="00BE17BA">
        <w:rPr>
          <w:rFonts w:ascii="Times New Roman" w:hAnsi="Times New Roman"/>
        </w:rPr>
        <w:t xml:space="preserve"> </w:t>
      </w:r>
      <w:r w:rsidRPr="007F7524">
        <w:rPr>
          <w:rFonts w:ascii="Times New Roman" w:hAnsi="Times New Roman"/>
          <w:b/>
        </w:rPr>
        <w:t xml:space="preserve">therefore </w:t>
      </w:r>
      <w:r w:rsidR="0001504E" w:rsidRPr="007F7524">
        <w:rPr>
          <w:rFonts w:ascii="Times New Roman" w:hAnsi="Times New Roman"/>
          <w:b/>
        </w:rPr>
        <w:t>funds with greater Manager Risk should be more diversified and have lower Portfolio Risk</w:t>
      </w:r>
    </w:p>
    <w:p w:rsidR="007F7524" w:rsidRDefault="00BE17BA" w:rsidP="00515351">
      <w:pPr>
        <w:spacing w:after="120" w:line="360" w:lineRule="auto"/>
        <w:rPr>
          <w:rFonts w:ascii="Times New Roman" w:hAnsi="Times New Roman"/>
        </w:rPr>
      </w:pPr>
      <w:r>
        <w:rPr>
          <w:rFonts w:ascii="Times New Roman" w:hAnsi="Times New Roman"/>
        </w:rPr>
        <w:t>This third</w:t>
      </w:r>
      <w:r w:rsidRPr="00BE17BA">
        <w:rPr>
          <w:rFonts w:ascii="Times New Roman" w:hAnsi="Times New Roman"/>
        </w:rPr>
        <w:t xml:space="preserve"> relationship</w:t>
      </w:r>
      <w:r>
        <w:rPr>
          <w:rFonts w:ascii="Times New Roman" w:hAnsi="Times New Roman"/>
        </w:rPr>
        <w:t xml:space="preserve">, which is predicted </w:t>
      </w:r>
      <w:r w:rsidR="007F7524">
        <w:rPr>
          <w:rFonts w:ascii="Times New Roman" w:hAnsi="Times New Roman"/>
        </w:rPr>
        <w:t>by theory, is in fact found in actual superannuatio</w:t>
      </w:r>
      <w:r w:rsidR="008F0CF2">
        <w:rPr>
          <w:rFonts w:ascii="Times New Roman" w:hAnsi="Times New Roman"/>
        </w:rPr>
        <w:t>n fund performance. In Figure 14</w:t>
      </w:r>
      <w:r w:rsidR="007F7524">
        <w:rPr>
          <w:rFonts w:ascii="Times New Roman" w:hAnsi="Times New Roman"/>
        </w:rPr>
        <w:t>, the same 10-y</w:t>
      </w:r>
      <w:r w:rsidR="008F0CF2">
        <w:rPr>
          <w:rFonts w:ascii="Times New Roman" w:hAnsi="Times New Roman"/>
        </w:rPr>
        <w:t>ear fund returns as in Figure 13 are plotted</w:t>
      </w:r>
      <w:r w:rsidRPr="00BE17BA">
        <w:rPr>
          <w:rFonts w:ascii="Times New Roman" w:hAnsi="Times New Roman"/>
        </w:rPr>
        <w:t xml:space="preserve"> </w:t>
      </w:r>
      <w:r w:rsidR="007F7524">
        <w:rPr>
          <w:rFonts w:ascii="Times New Roman" w:hAnsi="Times New Roman"/>
        </w:rPr>
        <w:t>against the 5-year (to June 2013) volatility of returns of each superannuation fund. (Only 5-year data was available to me, however as volatility tends to be relatively stable, the 5-year figure is a good proxy to 10-year volatility.)</w:t>
      </w:r>
    </w:p>
    <w:p w:rsidR="008F0CF2" w:rsidRDefault="008F0CF2" w:rsidP="00515351">
      <w:pPr>
        <w:spacing w:after="120" w:line="360" w:lineRule="auto"/>
        <w:rPr>
          <w:rFonts w:ascii="Times New Roman" w:hAnsi="Times New Roman"/>
        </w:rPr>
      </w:pPr>
    </w:p>
    <w:p w:rsidR="008F0CF2" w:rsidRDefault="008F0CF2" w:rsidP="00515351">
      <w:pPr>
        <w:spacing w:after="120" w:line="360" w:lineRule="auto"/>
        <w:rPr>
          <w:rFonts w:ascii="Times New Roman" w:hAnsi="Times New Roman"/>
        </w:rPr>
      </w:pPr>
    </w:p>
    <w:p w:rsidR="008F0CF2" w:rsidRDefault="008F0CF2" w:rsidP="00515351">
      <w:pPr>
        <w:spacing w:after="120" w:line="360" w:lineRule="auto"/>
        <w:rPr>
          <w:rFonts w:ascii="Times New Roman" w:hAnsi="Times New Roman"/>
        </w:rPr>
      </w:pPr>
    </w:p>
    <w:p w:rsidR="008F0CF2" w:rsidRDefault="008F0CF2" w:rsidP="00515351">
      <w:pPr>
        <w:spacing w:after="120" w:line="360" w:lineRule="auto"/>
        <w:rPr>
          <w:rFonts w:ascii="Times New Roman" w:hAnsi="Times New Roman"/>
        </w:rPr>
      </w:pPr>
    </w:p>
    <w:p w:rsidR="008F0CF2" w:rsidRDefault="008F0CF2" w:rsidP="00515351">
      <w:pPr>
        <w:spacing w:after="120" w:line="360" w:lineRule="auto"/>
        <w:rPr>
          <w:rFonts w:ascii="Times New Roman" w:hAnsi="Times New Roman"/>
        </w:rPr>
      </w:pPr>
    </w:p>
    <w:p w:rsidR="007F7524" w:rsidRPr="007F7524" w:rsidRDefault="008F0CF2" w:rsidP="00515351">
      <w:pPr>
        <w:spacing w:after="120" w:line="360" w:lineRule="auto"/>
        <w:rPr>
          <w:rFonts w:ascii="Times New Roman" w:hAnsi="Times New Roman"/>
          <w:b/>
        </w:rPr>
      </w:pPr>
      <w:r>
        <w:rPr>
          <w:rFonts w:ascii="Times New Roman" w:hAnsi="Times New Roman"/>
          <w:b/>
        </w:rPr>
        <w:lastRenderedPageBreak/>
        <w:t>Figure 14</w:t>
      </w:r>
    </w:p>
    <w:p w:rsidR="00835078" w:rsidRPr="00BE17BA" w:rsidRDefault="00984C98" w:rsidP="007F7524">
      <w:pPr>
        <w:spacing w:after="120" w:line="360" w:lineRule="auto"/>
        <w:jc w:val="center"/>
        <w:rPr>
          <w:rFonts w:ascii="Times New Roman" w:hAnsi="Times New Roman"/>
        </w:rPr>
      </w:pPr>
      <w:r>
        <w:rPr>
          <w:rFonts w:ascii="Times New Roman" w:hAnsi="Times New Roman"/>
          <w:noProof/>
          <w:lang w:eastAsia="en-AU"/>
        </w:rPr>
        <w:drawing>
          <wp:inline distT="0" distB="0" distL="0" distR="0">
            <wp:extent cx="4572000" cy="3425190"/>
            <wp:effectExtent l="0" t="0" r="0" b="381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572000" cy="3425190"/>
                    </a:xfrm>
                    <a:prstGeom prst="rect">
                      <a:avLst/>
                    </a:prstGeom>
                    <a:noFill/>
                    <a:ln>
                      <a:noFill/>
                    </a:ln>
                  </pic:spPr>
                </pic:pic>
              </a:graphicData>
            </a:graphic>
          </wp:inline>
        </w:drawing>
      </w:r>
    </w:p>
    <w:p w:rsidR="007D3296" w:rsidRDefault="007F7524" w:rsidP="00515351">
      <w:pPr>
        <w:spacing w:after="120" w:line="360" w:lineRule="auto"/>
        <w:rPr>
          <w:rFonts w:ascii="Times New Roman" w:hAnsi="Times New Roman"/>
        </w:rPr>
      </w:pPr>
      <w:r>
        <w:rPr>
          <w:rFonts w:ascii="Times New Roman" w:hAnsi="Times New Roman"/>
        </w:rPr>
        <w:t>It is clear that the highest returning superannuation funds – those with the highest allocations to Manager Skill –</w:t>
      </w:r>
      <w:r w:rsidR="008F0CF2">
        <w:rPr>
          <w:rFonts w:ascii="Times New Roman" w:hAnsi="Times New Roman"/>
        </w:rPr>
        <w:t xml:space="preserve"> </w:t>
      </w:r>
      <w:r>
        <w:rPr>
          <w:rFonts w:ascii="Times New Roman" w:hAnsi="Times New Roman"/>
        </w:rPr>
        <w:t xml:space="preserve">also had the lowest level of Portfolio Risk (volatility). The implication of this result is that, as Manager Skill, as applied by Australian Superannuation Funds, actually reduces Portfolio Risk, then </w:t>
      </w:r>
      <w:r w:rsidRPr="007D3296">
        <w:rPr>
          <w:rFonts w:ascii="Times New Roman" w:hAnsi="Times New Roman"/>
          <w:b/>
        </w:rPr>
        <w:t>not using Manager Skill – i.e., investing through index funds – actually incre</w:t>
      </w:r>
      <w:r w:rsidR="007D3296" w:rsidRPr="007D3296">
        <w:rPr>
          <w:rFonts w:ascii="Times New Roman" w:hAnsi="Times New Roman"/>
          <w:b/>
        </w:rPr>
        <w:t>a</w:t>
      </w:r>
      <w:r w:rsidRPr="007D3296">
        <w:rPr>
          <w:rFonts w:ascii="Times New Roman" w:hAnsi="Times New Roman"/>
          <w:b/>
        </w:rPr>
        <w:t>ses</w:t>
      </w:r>
      <w:r w:rsidR="007D3296" w:rsidRPr="007D3296">
        <w:rPr>
          <w:rFonts w:ascii="Times New Roman" w:hAnsi="Times New Roman"/>
          <w:b/>
        </w:rPr>
        <w:t xml:space="preserve"> Portfolio Risk</w:t>
      </w:r>
      <w:r w:rsidR="007D3296">
        <w:rPr>
          <w:rFonts w:ascii="Times New Roman" w:hAnsi="Times New Roman"/>
        </w:rPr>
        <w:t>.</w:t>
      </w:r>
      <w:r>
        <w:rPr>
          <w:rFonts w:ascii="Times New Roman" w:hAnsi="Times New Roman"/>
        </w:rPr>
        <w:t xml:space="preserve"> </w:t>
      </w:r>
    </w:p>
    <w:p w:rsidR="003C545C" w:rsidRDefault="003C545C" w:rsidP="00515351">
      <w:pPr>
        <w:spacing w:after="120" w:line="360" w:lineRule="auto"/>
        <w:rPr>
          <w:rFonts w:ascii="Times New Roman" w:hAnsi="Times New Roman"/>
        </w:rPr>
      </w:pPr>
      <w:r>
        <w:rPr>
          <w:rFonts w:ascii="Times New Roman" w:hAnsi="Times New Roman"/>
        </w:rPr>
        <w:t>(Alert observers would</w:t>
      </w:r>
      <w:r w:rsidR="007D3296">
        <w:rPr>
          <w:rFonts w:ascii="Times New Roman" w:hAnsi="Times New Roman"/>
        </w:rPr>
        <w:t xml:space="preserve"> note that this actual risk/return outcome for Australian superannuation funds runs counter to that expected from ‘classical’ finance theory, which postulates an upward sloping </w:t>
      </w:r>
      <w:r>
        <w:rPr>
          <w:rFonts w:ascii="Times New Roman" w:hAnsi="Times New Roman"/>
        </w:rPr>
        <w:t>‘</w:t>
      </w:r>
      <w:r w:rsidR="007D3296">
        <w:rPr>
          <w:rFonts w:ascii="Times New Roman" w:hAnsi="Times New Roman"/>
        </w:rPr>
        <w:t>risk-reward trade-off</w:t>
      </w:r>
      <w:r>
        <w:rPr>
          <w:rFonts w:ascii="Times New Roman" w:hAnsi="Times New Roman"/>
        </w:rPr>
        <w:t>’</w:t>
      </w:r>
      <w:r w:rsidR="008F0CF2">
        <w:rPr>
          <w:rFonts w:ascii="Times New Roman" w:hAnsi="Times New Roman"/>
        </w:rPr>
        <w:t>. T</w:t>
      </w:r>
      <w:r w:rsidR="00F15FF9">
        <w:rPr>
          <w:rFonts w:ascii="Times New Roman" w:hAnsi="Times New Roman"/>
        </w:rPr>
        <w:t xml:space="preserve">his </w:t>
      </w:r>
      <w:r>
        <w:rPr>
          <w:rFonts w:ascii="Times New Roman" w:hAnsi="Times New Roman"/>
        </w:rPr>
        <w:t xml:space="preserve">actual </w:t>
      </w:r>
      <w:r w:rsidR="00F15FF9">
        <w:rPr>
          <w:rFonts w:ascii="Times New Roman" w:hAnsi="Times New Roman"/>
        </w:rPr>
        <w:t>outcome is completely consistent with portfolio theory</w:t>
      </w:r>
      <w:r>
        <w:rPr>
          <w:rFonts w:ascii="Times New Roman" w:hAnsi="Times New Roman"/>
        </w:rPr>
        <w:t>,</w:t>
      </w:r>
      <w:r w:rsidR="00F15FF9">
        <w:rPr>
          <w:rFonts w:ascii="Times New Roman" w:hAnsi="Times New Roman"/>
        </w:rPr>
        <w:t xml:space="preserve"> in that there is a positive risk/return trade-off between Investment Risk and Returns, with higher levels of Investment Risk being rewarded with higher levels of</w:t>
      </w:r>
      <w:r w:rsidR="007D3296">
        <w:rPr>
          <w:rFonts w:ascii="Times New Roman" w:hAnsi="Times New Roman"/>
        </w:rPr>
        <w:t xml:space="preserve"> </w:t>
      </w:r>
      <w:r w:rsidR="00F15FF9">
        <w:rPr>
          <w:rFonts w:ascii="Times New Roman" w:hAnsi="Times New Roman"/>
        </w:rPr>
        <w:t xml:space="preserve">investment return. </w:t>
      </w:r>
      <w:r w:rsidR="008F0CF2">
        <w:rPr>
          <w:rFonts w:ascii="Times New Roman" w:hAnsi="Times New Roman"/>
        </w:rPr>
        <w:t>This risk/return trade-off is postulated to also apply in respect of Portfolio Risk i</w:t>
      </w:r>
      <w:r w:rsidR="00F15FF9">
        <w:rPr>
          <w:rFonts w:ascii="Times New Roman" w:hAnsi="Times New Roman"/>
        </w:rPr>
        <w:t xml:space="preserve">n the ‘classical’ </w:t>
      </w:r>
      <w:r>
        <w:rPr>
          <w:rFonts w:ascii="Times New Roman" w:hAnsi="Times New Roman"/>
        </w:rPr>
        <w:t>application of portfolio theory, which ignores</w:t>
      </w:r>
      <w:r w:rsidR="00F15FF9">
        <w:rPr>
          <w:rFonts w:ascii="Times New Roman" w:hAnsi="Times New Roman"/>
        </w:rPr>
        <w:t xml:space="preserve"> </w:t>
      </w:r>
      <w:r w:rsidR="008F0CF2">
        <w:rPr>
          <w:rFonts w:ascii="Times New Roman" w:hAnsi="Times New Roman"/>
        </w:rPr>
        <w:t>Manager Skill - and as noted above Manage Skill constitutes</w:t>
      </w:r>
      <w:r>
        <w:rPr>
          <w:rFonts w:ascii="Times New Roman" w:hAnsi="Times New Roman"/>
        </w:rPr>
        <w:t xml:space="preserve"> approximately 25% of a normal Australian superannuation fund’s Total Investment Risk</w:t>
      </w:r>
      <w:r w:rsidR="008F0CF2">
        <w:rPr>
          <w:rFonts w:ascii="Times New Roman" w:hAnsi="Times New Roman"/>
        </w:rPr>
        <w:t xml:space="preserve">. </w:t>
      </w:r>
      <w:r>
        <w:rPr>
          <w:rFonts w:ascii="Times New Roman" w:hAnsi="Times New Roman"/>
        </w:rPr>
        <w:t xml:space="preserve">In the real world this </w:t>
      </w:r>
      <w:r w:rsidR="008F0CF2">
        <w:rPr>
          <w:rFonts w:ascii="Times New Roman" w:hAnsi="Times New Roman"/>
        </w:rPr>
        <w:t xml:space="preserve">postulated relationship </w:t>
      </w:r>
      <w:r>
        <w:rPr>
          <w:rFonts w:ascii="Times New Roman" w:hAnsi="Times New Roman"/>
        </w:rPr>
        <w:t xml:space="preserve">is not the case. </w:t>
      </w:r>
    </w:p>
    <w:p w:rsidR="00C628ED" w:rsidRDefault="003C545C" w:rsidP="00515351">
      <w:pPr>
        <w:spacing w:after="120" w:line="360" w:lineRule="auto"/>
        <w:rPr>
          <w:rFonts w:ascii="Times New Roman" w:hAnsi="Times New Roman"/>
        </w:rPr>
      </w:pPr>
      <w:r>
        <w:rPr>
          <w:rFonts w:ascii="Times New Roman" w:hAnsi="Times New Roman"/>
        </w:rPr>
        <w:lastRenderedPageBreak/>
        <w:t>Note also that this has significant implications for ‘efficient frontier’ analysis and ‘portfolio optimisation’ – implications that are beyond the scope of this submission</w:t>
      </w:r>
      <w:r w:rsidR="00C628ED">
        <w:rPr>
          <w:rFonts w:ascii="Times New Roman" w:hAnsi="Times New Roman"/>
        </w:rPr>
        <w:t xml:space="preserve">.) </w:t>
      </w:r>
    </w:p>
    <w:p w:rsidR="00637B5B" w:rsidRDefault="003C545C" w:rsidP="00515351">
      <w:pPr>
        <w:spacing w:after="120" w:line="360" w:lineRule="auto"/>
        <w:rPr>
          <w:rFonts w:ascii="Times New Roman" w:hAnsi="Times New Roman"/>
        </w:rPr>
      </w:pPr>
      <w:r>
        <w:rPr>
          <w:rFonts w:ascii="Times New Roman" w:hAnsi="Times New Roman"/>
        </w:rPr>
        <w:t>I would poi</w:t>
      </w:r>
      <w:r w:rsidR="00C628ED">
        <w:rPr>
          <w:rFonts w:ascii="Times New Roman" w:hAnsi="Times New Roman"/>
        </w:rPr>
        <w:t xml:space="preserve">nt out that </w:t>
      </w:r>
      <w:r w:rsidR="00C628ED" w:rsidRPr="00C628ED">
        <w:rPr>
          <w:rFonts w:ascii="Times New Roman" w:hAnsi="Times New Roman"/>
          <w:b/>
        </w:rPr>
        <w:t>the proposals to use</w:t>
      </w:r>
      <w:r w:rsidRPr="00C628ED">
        <w:rPr>
          <w:rFonts w:ascii="Times New Roman" w:hAnsi="Times New Roman"/>
          <w:b/>
        </w:rPr>
        <w:t xml:space="preserve"> </w:t>
      </w:r>
      <w:r w:rsidR="00C628ED" w:rsidRPr="00C628ED">
        <w:rPr>
          <w:rFonts w:ascii="Times New Roman" w:hAnsi="Times New Roman"/>
          <w:b/>
        </w:rPr>
        <w:t xml:space="preserve">an </w:t>
      </w:r>
      <w:r w:rsidRPr="00C628ED">
        <w:rPr>
          <w:rFonts w:ascii="Times New Roman" w:hAnsi="Times New Roman"/>
          <w:b/>
        </w:rPr>
        <w:t>‘efficient</w:t>
      </w:r>
      <w:r w:rsidR="00C628ED" w:rsidRPr="00C628ED">
        <w:rPr>
          <w:rFonts w:ascii="Times New Roman" w:hAnsi="Times New Roman"/>
          <w:b/>
        </w:rPr>
        <w:t xml:space="preserve"> frontier’ of fund returns as a measure of fund performance (as set out on pages 117 - 118</w:t>
      </w:r>
      <w:r w:rsidRPr="00C628ED">
        <w:rPr>
          <w:rFonts w:ascii="Times New Roman" w:hAnsi="Times New Roman"/>
          <w:b/>
        </w:rPr>
        <w:t xml:space="preserve"> </w:t>
      </w:r>
      <w:r w:rsidR="00C628ED" w:rsidRPr="00C628ED">
        <w:rPr>
          <w:rFonts w:ascii="Times New Roman" w:hAnsi="Times New Roman"/>
          <w:b/>
        </w:rPr>
        <w:t>of the Draft Report</w:t>
      </w:r>
      <w:r w:rsidRPr="00C628ED">
        <w:rPr>
          <w:rFonts w:ascii="Times New Roman" w:hAnsi="Times New Roman"/>
          <w:b/>
        </w:rPr>
        <w:t>)</w:t>
      </w:r>
      <w:r w:rsidR="00C628ED" w:rsidRPr="00C628ED">
        <w:rPr>
          <w:rFonts w:ascii="Times New Roman" w:hAnsi="Times New Roman"/>
          <w:b/>
        </w:rPr>
        <w:t xml:space="preserve"> is </w:t>
      </w:r>
      <w:r w:rsidR="00F90F04">
        <w:rPr>
          <w:rFonts w:ascii="Times New Roman" w:hAnsi="Times New Roman"/>
          <w:b/>
        </w:rPr>
        <w:t xml:space="preserve">almost certainly </w:t>
      </w:r>
      <w:r w:rsidR="00C628ED" w:rsidRPr="00C628ED">
        <w:rPr>
          <w:rFonts w:ascii="Times New Roman" w:hAnsi="Times New Roman"/>
          <w:b/>
        </w:rPr>
        <w:t>very deeply flawed.</w:t>
      </w:r>
    </w:p>
    <w:p w:rsidR="00C628ED" w:rsidRDefault="00C628ED" w:rsidP="00515351">
      <w:pPr>
        <w:spacing w:after="120" w:line="360" w:lineRule="auto"/>
        <w:rPr>
          <w:rFonts w:ascii="Times New Roman" w:hAnsi="Times New Roman"/>
        </w:rPr>
      </w:pPr>
      <w:r>
        <w:rPr>
          <w:rFonts w:ascii="Times New Roman" w:hAnsi="Times New Roman"/>
        </w:rPr>
        <w:t>Some may wish to assert that the</w:t>
      </w:r>
      <w:r w:rsidR="00F90F04">
        <w:rPr>
          <w:rFonts w:ascii="Times New Roman" w:hAnsi="Times New Roman"/>
        </w:rPr>
        <w:t xml:space="preserve"> risk/return result in Figure 14</w:t>
      </w:r>
      <w:r>
        <w:rPr>
          <w:rFonts w:ascii="Times New Roman" w:hAnsi="Times New Roman"/>
        </w:rPr>
        <w:t xml:space="preserve"> represents a </w:t>
      </w:r>
      <w:r w:rsidR="00F90F04">
        <w:rPr>
          <w:rFonts w:ascii="Times New Roman" w:hAnsi="Times New Roman"/>
        </w:rPr>
        <w:t>‘</w:t>
      </w:r>
      <w:r>
        <w:rPr>
          <w:rFonts w:ascii="Times New Roman" w:hAnsi="Times New Roman"/>
        </w:rPr>
        <w:t>special case</w:t>
      </w:r>
      <w:r w:rsidR="00F90F04">
        <w:rPr>
          <w:rFonts w:ascii="Times New Roman" w:hAnsi="Times New Roman"/>
        </w:rPr>
        <w:t>’. Figure 15</w:t>
      </w:r>
      <w:r>
        <w:rPr>
          <w:rFonts w:ascii="Times New Roman" w:hAnsi="Times New Roman"/>
        </w:rPr>
        <w:t>, shows the risk/return relationship for US Foundations over the 10 years to December 2015. The actual risk/return trade-off is the same</w:t>
      </w:r>
      <w:r w:rsidR="00F90F04">
        <w:rPr>
          <w:rFonts w:ascii="Times New Roman" w:hAnsi="Times New Roman"/>
        </w:rPr>
        <w:t xml:space="preserve"> as in Figure 14</w:t>
      </w:r>
      <w:r>
        <w:rPr>
          <w:rFonts w:ascii="Times New Roman" w:hAnsi="Times New Roman"/>
        </w:rPr>
        <w:t>.</w:t>
      </w:r>
    </w:p>
    <w:p w:rsidR="00C628ED" w:rsidRPr="00C628ED" w:rsidRDefault="00F90F04" w:rsidP="00C628ED">
      <w:pPr>
        <w:spacing w:after="120" w:line="360" w:lineRule="auto"/>
        <w:rPr>
          <w:rFonts w:ascii="Times New Roman" w:hAnsi="Times New Roman"/>
          <w:b/>
        </w:rPr>
      </w:pPr>
      <w:r>
        <w:rPr>
          <w:rFonts w:ascii="Times New Roman" w:hAnsi="Times New Roman"/>
          <w:b/>
        </w:rPr>
        <w:t>Figure 15</w:t>
      </w:r>
    </w:p>
    <w:p w:rsidR="007F7524" w:rsidRDefault="00C628ED" w:rsidP="00C628ED">
      <w:pPr>
        <w:spacing w:after="120" w:line="360" w:lineRule="auto"/>
        <w:jc w:val="center"/>
        <w:rPr>
          <w:rFonts w:ascii="Times New Roman" w:hAnsi="Times New Roman"/>
        </w:rPr>
      </w:pPr>
      <w:r>
        <w:rPr>
          <w:rFonts w:ascii="Times New Roman" w:hAnsi="Times New Roman"/>
        </w:rPr>
        <w:t xml:space="preserve"> </w:t>
      </w:r>
      <w:r w:rsidR="00984C98">
        <w:rPr>
          <w:rFonts w:ascii="Times New Roman" w:hAnsi="Times New Roman"/>
          <w:noProof/>
          <w:lang w:eastAsia="en-AU"/>
        </w:rPr>
        <w:drawing>
          <wp:inline distT="0" distB="0" distL="0" distR="0">
            <wp:extent cx="4789805" cy="3498215"/>
            <wp:effectExtent l="0" t="0" r="10795" b="6985"/>
            <wp:docPr id="18" name="Picture 18" descr="Screen Shot 2016-09-08 a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creen Shot 2016-09-08 at 1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789805" cy="3498215"/>
                    </a:xfrm>
                    <a:prstGeom prst="rect">
                      <a:avLst/>
                    </a:prstGeom>
                    <a:noFill/>
                    <a:ln>
                      <a:noFill/>
                    </a:ln>
                  </pic:spPr>
                </pic:pic>
              </a:graphicData>
            </a:graphic>
          </wp:inline>
        </w:drawing>
      </w:r>
    </w:p>
    <w:p w:rsidR="007F7524" w:rsidRPr="00C628ED" w:rsidRDefault="00C628ED" w:rsidP="00C628ED">
      <w:pPr>
        <w:spacing w:after="120" w:line="360" w:lineRule="auto"/>
        <w:ind w:left="720"/>
        <w:rPr>
          <w:rFonts w:ascii="Times New Roman" w:hAnsi="Times New Roman"/>
          <w:sz w:val="16"/>
          <w:szCs w:val="16"/>
        </w:rPr>
      </w:pPr>
      <w:r>
        <w:rPr>
          <w:rFonts w:ascii="Times New Roman" w:hAnsi="Times New Roman"/>
          <w:sz w:val="16"/>
          <w:szCs w:val="16"/>
        </w:rPr>
        <w:t xml:space="preserve">         </w:t>
      </w:r>
      <w:r w:rsidRPr="00C628ED">
        <w:rPr>
          <w:rFonts w:ascii="Times New Roman" w:hAnsi="Times New Roman"/>
          <w:sz w:val="16"/>
          <w:szCs w:val="16"/>
        </w:rPr>
        <w:t>Source: Cambridge Associates</w:t>
      </w:r>
    </w:p>
    <w:p w:rsidR="007F7524" w:rsidRPr="00F14EFE" w:rsidRDefault="00F14EFE" w:rsidP="00515351">
      <w:pPr>
        <w:spacing w:after="120" w:line="360" w:lineRule="auto"/>
        <w:rPr>
          <w:rFonts w:ascii="Times New Roman" w:hAnsi="Times New Roman"/>
          <w:b/>
        </w:rPr>
      </w:pPr>
      <w:r w:rsidRPr="00F14EFE">
        <w:rPr>
          <w:rFonts w:ascii="Times New Roman" w:hAnsi="Times New Roman"/>
          <w:b/>
        </w:rPr>
        <w:t>Efficiency Costs</w:t>
      </w:r>
    </w:p>
    <w:p w:rsidR="00F14EFE" w:rsidRDefault="00F14EFE" w:rsidP="00515351">
      <w:pPr>
        <w:spacing w:after="120" w:line="360" w:lineRule="auto"/>
        <w:rPr>
          <w:rFonts w:ascii="Times New Roman" w:hAnsi="Times New Roman"/>
        </w:rPr>
      </w:pPr>
      <w:r>
        <w:rPr>
          <w:rFonts w:ascii="Times New Roman" w:hAnsi="Times New Roman"/>
        </w:rPr>
        <w:t xml:space="preserve">The costs to superannuation fund investors and society of the distortions to superannuation fund investment arising the </w:t>
      </w:r>
      <w:r w:rsidR="00955446">
        <w:rPr>
          <w:rFonts w:ascii="Times New Roman" w:hAnsi="Times New Roman"/>
        </w:rPr>
        <w:t>misguided policies and regulations – principally relating to investment management fees - currently applied to</w:t>
      </w:r>
      <w:r>
        <w:rPr>
          <w:rFonts w:ascii="Times New Roman" w:hAnsi="Times New Roman"/>
        </w:rPr>
        <w:t xml:space="preserve"> superannuation </w:t>
      </w:r>
      <w:r w:rsidR="00955446">
        <w:rPr>
          <w:rFonts w:ascii="Times New Roman" w:hAnsi="Times New Roman"/>
        </w:rPr>
        <w:t>fund</w:t>
      </w:r>
      <w:r>
        <w:rPr>
          <w:rFonts w:ascii="Times New Roman" w:hAnsi="Times New Roman"/>
        </w:rPr>
        <w:t>s</w:t>
      </w:r>
      <w:r w:rsidR="00955446">
        <w:rPr>
          <w:rFonts w:ascii="Times New Roman" w:hAnsi="Times New Roman"/>
        </w:rPr>
        <w:t xml:space="preserve"> </w:t>
      </w:r>
      <w:r>
        <w:rPr>
          <w:rFonts w:ascii="Times New Roman" w:hAnsi="Times New Roman"/>
        </w:rPr>
        <w:t>is high.</w:t>
      </w:r>
    </w:p>
    <w:p w:rsidR="00F14EFE" w:rsidRPr="00F14EFE" w:rsidRDefault="00F14EFE" w:rsidP="00F14EFE">
      <w:pPr>
        <w:spacing w:line="360" w:lineRule="auto"/>
        <w:rPr>
          <w:rFonts w:ascii="Times New Roman" w:hAnsi="Times New Roman"/>
        </w:rPr>
      </w:pPr>
      <w:r>
        <w:rPr>
          <w:rFonts w:ascii="Times New Roman" w:hAnsi="Times New Roman"/>
        </w:rPr>
        <w:lastRenderedPageBreak/>
        <w:t xml:space="preserve">Based on </w:t>
      </w:r>
      <w:r w:rsidR="00955446">
        <w:rPr>
          <w:rFonts w:ascii="Times New Roman" w:hAnsi="Times New Roman"/>
        </w:rPr>
        <w:t xml:space="preserve">superannuation funds’ </w:t>
      </w:r>
      <w:r>
        <w:rPr>
          <w:rFonts w:ascii="Times New Roman" w:hAnsi="Times New Roman"/>
        </w:rPr>
        <w:t>actual</w:t>
      </w:r>
      <w:r w:rsidRPr="00F14EFE">
        <w:rPr>
          <w:rFonts w:ascii="Times New Roman" w:hAnsi="Times New Roman"/>
        </w:rPr>
        <w:t xml:space="preserve"> investment returns</w:t>
      </w:r>
      <w:r w:rsidR="00F90F04">
        <w:rPr>
          <w:rFonts w:ascii="Times New Roman" w:hAnsi="Times New Roman"/>
        </w:rPr>
        <w:t xml:space="preserve"> over the 10-</w:t>
      </w:r>
      <w:r>
        <w:rPr>
          <w:rFonts w:ascii="Times New Roman" w:hAnsi="Times New Roman"/>
        </w:rPr>
        <w:t>year period to June 2013</w:t>
      </w:r>
      <w:r w:rsidR="00955446">
        <w:rPr>
          <w:rFonts w:ascii="Times New Roman" w:hAnsi="Times New Roman"/>
        </w:rPr>
        <w:t>, a reduction in</w:t>
      </w:r>
      <w:r w:rsidRPr="00F14EFE">
        <w:rPr>
          <w:rFonts w:ascii="Times New Roman" w:hAnsi="Times New Roman"/>
        </w:rPr>
        <w:t xml:space="preserve"> allocations to active </w:t>
      </w:r>
      <w:r>
        <w:rPr>
          <w:rFonts w:ascii="Times New Roman" w:hAnsi="Times New Roman"/>
        </w:rPr>
        <w:t>Manager S</w:t>
      </w:r>
      <w:r w:rsidRPr="00F14EFE">
        <w:rPr>
          <w:rFonts w:ascii="Times New Roman" w:hAnsi="Times New Roman"/>
        </w:rPr>
        <w:t>kill by 20% (say from 25% to 20% of Total Investment Risk), would be expected to have a net cost</w:t>
      </w:r>
      <w:r w:rsidR="00F90F04">
        <w:rPr>
          <w:rFonts w:ascii="Times New Roman" w:hAnsi="Times New Roman"/>
        </w:rPr>
        <w:t xml:space="preserve"> (after fees</w:t>
      </w:r>
      <w:r w:rsidR="00F90F04" w:rsidRPr="00F14EFE">
        <w:rPr>
          <w:rFonts w:ascii="Times New Roman" w:hAnsi="Times New Roman"/>
        </w:rPr>
        <w:t xml:space="preserve"> </w:t>
      </w:r>
      <w:r w:rsidR="00F90F04">
        <w:rPr>
          <w:rFonts w:ascii="Times New Roman" w:hAnsi="Times New Roman"/>
        </w:rPr>
        <w:t>) of 0.5% per year i</w:t>
      </w:r>
      <w:r w:rsidRPr="00F14EFE">
        <w:rPr>
          <w:rFonts w:ascii="Times New Roman" w:hAnsi="Times New Roman"/>
        </w:rPr>
        <w:t xml:space="preserve">n </w:t>
      </w:r>
      <w:r w:rsidR="00F90F04">
        <w:rPr>
          <w:rFonts w:ascii="Times New Roman" w:hAnsi="Times New Roman"/>
        </w:rPr>
        <w:t xml:space="preserve">reduced </w:t>
      </w:r>
      <w:r w:rsidRPr="00F14EFE">
        <w:rPr>
          <w:rFonts w:ascii="Times New Roman" w:hAnsi="Times New Roman"/>
        </w:rPr>
        <w:t>superannuation fund returns</w:t>
      </w:r>
      <w:r>
        <w:rPr>
          <w:rFonts w:ascii="Times New Roman" w:hAnsi="Times New Roman"/>
        </w:rPr>
        <w:t>. (My experience suggests that the actual reduction is significantly greater than 20%, and, as the pressure to reduce investment manager fees remains intense</w:t>
      </w:r>
      <w:r w:rsidR="00A82138">
        <w:rPr>
          <w:rFonts w:ascii="Times New Roman" w:hAnsi="Times New Roman"/>
        </w:rPr>
        <w:t xml:space="preserve"> due to the continuing prescriptive regulatory policy</w:t>
      </w:r>
      <w:r>
        <w:rPr>
          <w:rFonts w:ascii="Times New Roman" w:hAnsi="Times New Roman"/>
        </w:rPr>
        <w:t xml:space="preserve">, the size of the distortion of actual </w:t>
      </w:r>
      <w:r w:rsidR="00955446">
        <w:rPr>
          <w:rFonts w:ascii="Times New Roman" w:hAnsi="Times New Roman"/>
        </w:rPr>
        <w:t xml:space="preserve">investment allocations </w:t>
      </w:r>
      <w:r>
        <w:rPr>
          <w:rFonts w:ascii="Times New Roman" w:hAnsi="Times New Roman"/>
        </w:rPr>
        <w:t xml:space="preserve">away from </w:t>
      </w:r>
      <w:r w:rsidR="00A82138">
        <w:rPr>
          <w:rFonts w:ascii="Times New Roman" w:hAnsi="Times New Roman"/>
        </w:rPr>
        <w:t xml:space="preserve">the </w:t>
      </w:r>
      <w:r>
        <w:rPr>
          <w:rFonts w:ascii="Times New Roman" w:hAnsi="Times New Roman"/>
        </w:rPr>
        <w:t xml:space="preserve">optimal </w:t>
      </w:r>
      <w:r w:rsidR="003E7B7D">
        <w:rPr>
          <w:rFonts w:ascii="Times New Roman" w:hAnsi="Times New Roman"/>
        </w:rPr>
        <w:t xml:space="preserve">allocations to Manager Skill </w:t>
      </w:r>
      <w:r>
        <w:rPr>
          <w:rFonts w:ascii="Times New Roman" w:hAnsi="Times New Roman"/>
        </w:rPr>
        <w:t xml:space="preserve">(as shown by </w:t>
      </w:r>
      <w:r w:rsidR="003E7B7D">
        <w:rPr>
          <w:rFonts w:ascii="Times New Roman" w:hAnsi="Times New Roman"/>
        </w:rPr>
        <w:t xml:space="preserve">trustee/directors </w:t>
      </w:r>
      <w:r>
        <w:rPr>
          <w:rFonts w:ascii="Times New Roman" w:hAnsi="Times New Roman"/>
        </w:rPr>
        <w:t>revealed</w:t>
      </w:r>
      <w:r w:rsidR="003E7B7D">
        <w:rPr>
          <w:rFonts w:ascii="Times New Roman" w:hAnsi="Times New Roman"/>
        </w:rPr>
        <w:t xml:space="preserve"> preferences) is likely to increase.</w:t>
      </w:r>
      <w:r w:rsidR="006B7202">
        <w:rPr>
          <w:rFonts w:ascii="Times New Roman" w:hAnsi="Times New Roman"/>
        </w:rPr>
        <w:t>)</w:t>
      </w:r>
      <w:r>
        <w:rPr>
          <w:rFonts w:ascii="Times New Roman" w:hAnsi="Times New Roman"/>
        </w:rPr>
        <w:t xml:space="preserve">   </w:t>
      </w:r>
      <w:r w:rsidRPr="00F14EFE">
        <w:rPr>
          <w:rFonts w:ascii="Times New Roman" w:hAnsi="Times New Roman"/>
        </w:rPr>
        <w:t xml:space="preserve"> </w:t>
      </w:r>
    </w:p>
    <w:p w:rsidR="00F14EFE" w:rsidRPr="00F14EFE" w:rsidRDefault="003E7B7D" w:rsidP="003E7B7D">
      <w:pPr>
        <w:pBdr>
          <w:top w:val="single" w:sz="4" w:space="1" w:color="auto"/>
          <w:left w:val="single" w:sz="4" w:space="4" w:color="auto"/>
          <w:bottom w:val="single" w:sz="4" w:space="1" w:color="auto"/>
          <w:right w:val="single" w:sz="4" w:space="4" w:color="auto"/>
        </w:pBdr>
        <w:spacing w:line="360" w:lineRule="auto"/>
        <w:rPr>
          <w:rFonts w:ascii="Times New Roman" w:hAnsi="Times New Roman"/>
        </w:rPr>
      </w:pPr>
      <w:r>
        <w:rPr>
          <w:rFonts w:ascii="Times New Roman" w:hAnsi="Times New Roman"/>
        </w:rPr>
        <w:t>Thus, o</w:t>
      </w:r>
      <w:r w:rsidR="00F14EFE" w:rsidRPr="00F14EFE">
        <w:rPr>
          <w:rFonts w:ascii="Times New Roman" w:hAnsi="Times New Roman"/>
        </w:rPr>
        <w:t xml:space="preserve">n Australia’s $2 Trillion pool of superannuation fund assets, the reduction in returns to </w:t>
      </w:r>
      <w:r>
        <w:rPr>
          <w:rFonts w:ascii="Times New Roman" w:hAnsi="Times New Roman"/>
        </w:rPr>
        <w:t xml:space="preserve">superannuation </w:t>
      </w:r>
      <w:r w:rsidR="00F14EFE" w:rsidRPr="00F14EFE">
        <w:rPr>
          <w:rFonts w:ascii="Times New Roman" w:hAnsi="Times New Roman"/>
        </w:rPr>
        <w:t xml:space="preserve">investors would be of the order of </w:t>
      </w:r>
      <w:r w:rsidR="00F14EFE" w:rsidRPr="00F14EFE">
        <w:rPr>
          <w:rFonts w:ascii="Times New Roman" w:hAnsi="Times New Roman"/>
          <w:b/>
          <w:bCs/>
        </w:rPr>
        <w:t>$10 Billion per year</w:t>
      </w:r>
      <w:r>
        <w:rPr>
          <w:rFonts w:ascii="Times New Roman" w:hAnsi="Times New Roman"/>
        </w:rPr>
        <w:t xml:space="preserve"> -</w:t>
      </w:r>
      <w:r w:rsidR="00F14EFE" w:rsidRPr="00F14EFE">
        <w:rPr>
          <w:rFonts w:ascii="Times New Roman" w:hAnsi="Times New Roman"/>
        </w:rPr>
        <w:t xml:space="preserve"> and</w:t>
      </w:r>
    </w:p>
    <w:p w:rsidR="00F14EFE" w:rsidRPr="00F14EFE" w:rsidRDefault="00F14EFE" w:rsidP="003E7B7D">
      <w:pPr>
        <w:pBdr>
          <w:top w:val="single" w:sz="4" w:space="1" w:color="auto"/>
          <w:left w:val="single" w:sz="4" w:space="4" w:color="auto"/>
          <w:bottom w:val="single" w:sz="4" w:space="1" w:color="auto"/>
          <w:right w:val="single" w:sz="4" w:space="4" w:color="auto"/>
        </w:pBdr>
        <w:spacing w:line="360" w:lineRule="auto"/>
        <w:rPr>
          <w:rFonts w:ascii="Times New Roman" w:hAnsi="Times New Roman"/>
        </w:rPr>
      </w:pPr>
      <w:r w:rsidRPr="00F14EFE">
        <w:rPr>
          <w:rFonts w:ascii="Times New Roman" w:hAnsi="Times New Roman"/>
        </w:rPr>
        <w:t xml:space="preserve">Portfolio Risks </w:t>
      </w:r>
      <w:r w:rsidR="003E7B7D">
        <w:rPr>
          <w:rFonts w:ascii="Times New Roman" w:hAnsi="Times New Roman"/>
        </w:rPr>
        <w:t>are being</w:t>
      </w:r>
      <w:r w:rsidRPr="00F14EFE">
        <w:rPr>
          <w:rFonts w:ascii="Times New Roman" w:hAnsi="Times New Roman"/>
          <w:b/>
          <w:bCs/>
        </w:rPr>
        <w:t xml:space="preserve"> increased</w:t>
      </w:r>
      <w:r w:rsidR="003E7B7D">
        <w:rPr>
          <w:rFonts w:ascii="Times New Roman" w:hAnsi="Times New Roman"/>
          <w:b/>
          <w:bCs/>
        </w:rPr>
        <w:t>.</w:t>
      </w:r>
      <w:r w:rsidRPr="00F14EFE">
        <w:rPr>
          <w:rFonts w:ascii="Times New Roman" w:hAnsi="Times New Roman"/>
          <w:b/>
          <w:bCs/>
        </w:rPr>
        <w:t xml:space="preserve"> </w:t>
      </w:r>
    </w:p>
    <w:p w:rsidR="004902E6" w:rsidRDefault="004902E6" w:rsidP="00515351">
      <w:pPr>
        <w:spacing w:after="120" w:line="360" w:lineRule="auto"/>
        <w:rPr>
          <w:rFonts w:ascii="Times New Roman" w:hAnsi="Times New Roman"/>
        </w:rPr>
      </w:pPr>
    </w:p>
    <w:p w:rsidR="00955446" w:rsidRDefault="003E7B7D" w:rsidP="00515351">
      <w:pPr>
        <w:spacing w:after="120" w:line="360" w:lineRule="auto"/>
        <w:rPr>
          <w:rFonts w:ascii="Times New Roman" w:hAnsi="Times New Roman"/>
        </w:rPr>
      </w:pPr>
      <w:r>
        <w:rPr>
          <w:rFonts w:ascii="Times New Roman" w:hAnsi="Times New Roman"/>
        </w:rPr>
        <w:t xml:space="preserve">Finally, I refer </w:t>
      </w:r>
      <w:r w:rsidR="00F90F04">
        <w:rPr>
          <w:rFonts w:ascii="Times New Roman" w:hAnsi="Times New Roman"/>
        </w:rPr>
        <w:t xml:space="preserve">again </w:t>
      </w:r>
      <w:r>
        <w:rPr>
          <w:rFonts w:ascii="Times New Roman" w:hAnsi="Times New Roman"/>
        </w:rPr>
        <w:t xml:space="preserve">to the Research Paper </w:t>
      </w:r>
      <w:r w:rsidR="004902E6" w:rsidRPr="00B213DB">
        <w:rPr>
          <w:rFonts w:ascii="Times New Roman" w:hAnsi="Times New Roman"/>
        </w:rPr>
        <w:t>‘Investment Risk and Portfolio Risk’ (PRI, 2013</w:t>
      </w:r>
      <w:r w:rsidR="004902E6">
        <w:rPr>
          <w:rFonts w:ascii="Times New Roman" w:hAnsi="Times New Roman"/>
        </w:rPr>
        <w:t>). Chart 1 in that paper – which was written in March 2013 – indicated that</w:t>
      </w:r>
      <w:r w:rsidR="00955446">
        <w:rPr>
          <w:rFonts w:ascii="Times New Roman" w:hAnsi="Times New Roman"/>
        </w:rPr>
        <w:t>,</w:t>
      </w:r>
      <w:r w:rsidR="004902E6">
        <w:rPr>
          <w:rFonts w:ascii="Times New Roman" w:hAnsi="Times New Roman"/>
        </w:rPr>
        <w:t xml:space="preserve"> as a result of its higher </w:t>
      </w:r>
      <w:r w:rsidR="00955446">
        <w:rPr>
          <w:rFonts w:ascii="Times New Roman" w:hAnsi="Times New Roman"/>
        </w:rPr>
        <w:t xml:space="preserve">allocation to Manager Skill and resulting higher level of Total Investment Risk, the Future Fund would be expected to outperform the average Growth style superannuation fund by approximately 1.5% per annum. </w:t>
      </w:r>
    </w:p>
    <w:p w:rsidR="00294E53" w:rsidRDefault="00955446" w:rsidP="00515351">
      <w:pPr>
        <w:spacing w:after="120" w:line="360" w:lineRule="auto"/>
        <w:rPr>
          <w:rFonts w:ascii="Times New Roman" w:hAnsi="Times New Roman"/>
        </w:rPr>
      </w:pPr>
      <w:r>
        <w:rPr>
          <w:rFonts w:ascii="Times New Roman" w:hAnsi="Times New Roman"/>
        </w:rPr>
        <w:t>Table 3</w:t>
      </w:r>
      <w:r w:rsidR="00294E53">
        <w:rPr>
          <w:rFonts w:ascii="Times New Roman" w:hAnsi="Times New Roman"/>
        </w:rPr>
        <w:t xml:space="preserve"> shows the actual performance of the Future Fund and the Median Growth Superannuation Fund for periods to June 2016. (Note that while the Future Fund nominally has a 10 year performance history, its returns in the early years were distorted by its large holding of Telstra shares and large cash positions. The return for the last 7 years, and certainly the last 5 years, are more reasonable representations of the results of the Future Fund’s actual investment strategy.</w:t>
      </w:r>
      <w:r w:rsidR="00A82138">
        <w:rPr>
          <w:rFonts w:ascii="Times New Roman" w:hAnsi="Times New Roman"/>
        </w:rPr>
        <w:t>)</w:t>
      </w:r>
    </w:p>
    <w:p w:rsidR="00294E53" w:rsidRDefault="00294E53" w:rsidP="00515351">
      <w:pPr>
        <w:spacing w:after="120" w:line="360" w:lineRule="auto"/>
        <w:rPr>
          <w:rFonts w:ascii="Times New Roman" w:hAnsi="Times New Roman"/>
        </w:rPr>
      </w:pPr>
      <w:r>
        <w:rPr>
          <w:rFonts w:ascii="Times New Roman" w:hAnsi="Times New Roman"/>
        </w:rPr>
        <w:t>Table 3: Returns to June 2016</w:t>
      </w:r>
      <w:r w:rsidR="00955446">
        <w:rPr>
          <w:rFonts w:ascii="Times New Roman" w:hAnsi="Times New Roman"/>
        </w:rPr>
        <w:t xml:space="preserve"> </w:t>
      </w:r>
    </w:p>
    <w:tbl>
      <w:tblPr>
        <w:tblStyle w:val="TableGrid"/>
        <w:tblW w:w="0" w:type="auto"/>
        <w:tblLook w:val="04A0" w:firstRow="1" w:lastRow="0" w:firstColumn="1" w:lastColumn="0" w:noHBand="0" w:noVBand="1"/>
      </w:tblPr>
      <w:tblGrid>
        <w:gridCol w:w="2214"/>
        <w:gridCol w:w="2214"/>
        <w:gridCol w:w="2214"/>
        <w:gridCol w:w="2214"/>
      </w:tblGrid>
      <w:tr w:rsidR="00294E53" w:rsidTr="00294E53">
        <w:tc>
          <w:tcPr>
            <w:tcW w:w="2214" w:type="dxa"/>
          </w:tcPr>
          <w:p w:rsidR="00294E53" w:rsidRDefault="00294E53" w:rsidP="00294E53">
            <w:pPr>
              <w:jc w:val="center"/>
              <w:rPr>
                <w:rFonts w:ascii="Times New Roman" w:hAnsi="Times New Roman"/>
              </w:rPr>
            </w:pPr>
            <w:r>
              <w:rPr>
                <w:rFonts w:ascii="Times New Roman" w:hAnsi="Times New Roman"/>
              </w:rPr>
              <w:t>Period</w:t>
            </w:r>
          </w:p>
        </w:tc>
        <w:tc>
          <w:tcPr>
            <w:tcW w:w="2214" w:type="dxa"/>
          </w:tcPr>
          <w:p w:rsidR="00294E53" w:rsidRDefault="00294E53" w:rsidP="00294E53">
            <w:pPr>
              <w:jc w:val="center"/>
              <w:rPr>
                <w:rFonts w:ascii="Times New Roman" w:hAnsi="Times New Roman"/>
              </w:rPr>
            </w:pPr>
            <w:r>
              <w:rPr>
                <w:rFonts w:ascii="Times New Roman" w:hAnsi="Times New Roman"/>
              </w:rPr>
              <w:t>Future Fund (%)</w:t>
            </w:r>
          </w:p>
        </w:tc>
        <w:tc>
          <w:tcPr>
            <w:tcW w:w="2214" w:type="dxa"/>
          </w:tcPr>
          <w:p w:rsidR="00294E53" w:rsidRDefault="00294E53" w:rsidP="00294E53">
            <w:pPr>
              <w:jc w:val="center"/>
              <w:rPr>
                <w:rFonts w:ascii="Times New Roman" w:hAnsi="Times New Roman"/>
              </w:rPr>
            </w:pPr>
            <w:r>
              <w:rPr>
                <w:rFonts w:ascii="Times New Roman" w:hAnsi="Times New Roman"/>
              </w:rPr>
              <w:t>Median Super Fund (%)</w:t>
            </w:r>
          </w:p>
        </w:tc>
        <w:tc>
          <w:tcPr>
            <w:tcW w:w="2214" w:type="dxa"/>
          </w:tcPr>
          <w:p w:rsidR="00294E53" w:rsidRDefault="00294E53" w:rsidP="00294E53">
            <w:pPr>
              <w:jc w:val="center"/>
              <w:rPr>
                <w:rFonts w:ascii="Times New Roman" w:hAnsi="Times New Roman"/>
              </w:rPr>
            </w:pPr>
            <w:r>
              <w:rPr>
                <w:rFonts w:ascii="Times New Roman" w:hAnsi="Times New Roman"/>
              </w:rPr>
              <w:t>Difference (%)</w:t>
            </w:r>
          </w:p>
        </w:tc>
      </w:tr>
      <w:tr w:rsidR="00294E53" w:rsidTr="00294E53">
        <w:tc>
          <w:tcPr>
            <w:tcW w:w="2214" w:type="dxa"/>
          </w:tcPr>
          <w:p w:rsidR="00294E53" w:rsidRDefault="00294E53" w:rsidP="00294E53">
            <w:pPr>
              <w:jc w:val="center"/>
              <w:rPr>
                <w:rFonts w:ascii="Times New Roman" w:hAnsi="Times New Roman"/>
              </w:rPr>
            </w:pPr>
            <w:r>
              <w:rPr>
                <w:rFonts w:ascii="Times New Roman" w:hAnsi="Times New Roman"/>
              </w:rPr>
              <w:t>3 Years</w:t>
            </w:r>
          </w:p>
        </w:tc>
        <w:tc>
          <w:tcPr>
            <w:tcW w:w="2214" w:type="dxa"/>
          </w:tcPr>
          <w:p w:rsidR="00294E53" w:rsidRDefault="00294E53" w:rsidP="00294E53">
            <w:pPr>
              <w:jc w:val="center"/>
              <w:rPr>
                <w:rFonts w:ascii="Times New Roman" w:hAnsi="Times New Roman"/>
              </w:rPr>
            </w:pPr>
            <w:r>
              <w:rPr>
                <w:rFonts w:ascii="Times New Roman" w:hAnsi="Times New Roman"/>
              </w:rPr>
              <w:t>11.4</w:t>
            </w:r>
          </w:p>
        </w:tc>
        <w:tc>
          <w:tcPr>
            <w:tcW w:w="2214" w:type="dxa"/>
          </w:tcPr>
          <w:p w:rsidR="00294E53" w:rsidRDefault="00294E53" w:rsidP="00294E53">
            <w:pPr>
              <w:jc w:val="center"/>
              <w:rPr>
                <w:rFonts w:ascii="Times New Roman" w:hAnsi="Times New Roman"/>
              </w:rPr>
            </w:pPr>
            <w:r>
              <w:rPr>
                <w:rFonts w:ascii="Times New Roman" w:hAnsi="Times New Roman"/>
              </w:rPr>
              <w:t>8.9</w:t>
            </w:r>
          </w:p>
        </w:tc>
        <w:tc>
          <w:tcPr>
            <w:tcW w:w="2214" w:type="dxa"/>
          </w:tcPr>
          <w:p w:rsidR="00294E53" w:rsidRDefault="00294E53" w:rsidP="00294E53">
            <w:pPr>
              <w:jc w:val="center"/>
              <w:rPr>
                <w:rFonts w:ascii="Times New Roman" w:hAnsi="Times New Roman"/>
              </w:rPr>
            </w:pPr>
            <w:r>
              <w:rPr>
                <w:rFonts w:ascii="Times New Roman" w:hAnsi="Times New Roman"/>
              </w:rPr>
              <w:t>2.5</w:t>
            </w:r>
          </w:p>
        </w:tc>
      </w:tr>
      <w:tr w:rsidR="00294E53" w:rsidTr="00294E53">
        <w:tc>
          <w:tcPr>
            <w:tcW w:w="2214" w:type="dxa"/>
          </w:tcPr>
          <w:p w:rsidR="00294E53" w:rsidRDefault="00294E53" w:rsidP="00294E53">
            <w:pPr>
              <w:jc w:val="center"/>
              <w:rPr>
                <w:rFonts w:ascii="Times New Roman" w:hAnsi="Times New Roman"/>
              </w:rPr>
            </w:pPr>
            <w:r>
              <w:rPr>
                <w:rFonts w:ascii="Times New Roman" w:hAnsi="Times New Roman"/>
              </w:rPr>
              <w:t>5 Years</w:t>
            </w:r>
          </w:p>
        </w:tc>
        <w:tc>
          <w:tcPr>
            <w:tcW w:w="2214" w:type="dxa"/>
          </w:tcPr>
          <w:p w:rsidR="00294E53" w:rsidRDefault="00294E53" w:rsidP="00294E53">
            <w:pPr>
              <w:jc w:val="center"/>
              <w:rPr>
                <w:rFonts w:ascii="Times New Roman" w:hAnsi="Times New Roman"/>
              </w:rPr>
            </w:pPr>
            <w:r>
              <w:rPr>
                <w:rFonts w:ascii="Times New Roman" w:hAnsi="Times New Roman"/>
              </w:rPr>
              <w:t>10.2</w:t>
            </w:r>
          </w:p>
        </w:tc>
        <w:tc>
          <w:tcPr>
            <w:tcW w:w="2214" w:type="dxa"/>
          </w:tcPr>
          <w:p w:rsidR="00294E53" w:rsidRDefault="00294E53" w:rsidP="00294E53">
            <w:pPr>
              <w:jc w:val="center"/>
              <w:rPr>
                <w:rFonts w:ascii="Times New Roman" w:hAnsi="Times New Roman"/>
              </w:rPr>
            </w:pPr>
            <w:r>
              <w:rPr>
                <w:rFonts w:ascii="Times New Roman" w:hAnsi="Times New Roman"/>
              </w:rPr>
              <w:t>8.4</w:t>
            </w:r>
          </w:p>
        </w:tc>
        <w:tc>
          <w:tcPr>
            <w:tcW w:w="2214" w:type="dxa"/>
          </w:tcPr>
          <w:p w:rsidR="00294E53" w:rsidRDefault="00294E53" w:rsidP="00294E53">
            <w:pPr>
              <w:jc w:val="center"/>
              <w:rPr>
                <w:rFonts w:ascii="Times New Roman" w:hAnsi="Times New Roman"/>
              </w:rPr>
            </w:pPr>
            <w:r>
              <w:rPr>
                <w:rFonts w:ascii="Times New Roman" w:hAnsi="Times New Roman"/>
              </w:rPr>
              <w:t>1.8</w:t>
            </w:r>
          </w:p>
        </w:tc>
      </w:tr>
      <w:tr w:rsidR="00294E53" w:rsidTr="00294E53">
        <w:tc>
          <w:tcPr>
            <w:tcW w:w="2214" w:type="dxa"/>
          </w:tcPr>
          <w:p w:rsidR="00294E53" w:rsidRDefault="00294E53" w:rsidP="00294E53">
            <w:pPr>
              <w:jc w:val="center"/>
              <w:rPr>
                <w:rFonts w:ascii="Times New Roman" w:hAnsi="Times New Roman"/>
              </w:rPr>
            </w:pPr>
            <w:r>
              <w:rPr>
                <w:rFonts w:ascii="Times New Roman" w:hAnsi="Times New Roman"/>
              </w:rPr>
              <w:t>7 Years</w:t>
            </w:r>
          </w:p>
        </w:tc>
        <w:tc>
          <w:tcPr>
            <w:tcW w:w="2214" w:type="dxa"/>
          </w:tcPr>
          <w:p w:rsidR="00294E53" w:rsidRDefault="00294E53" w:rsidP="00294E53">
            <w:pPr>
              <w:jc w:val="center"/>
              <w:rPr>
                <w:rFonts w:ascii="Times New Roman" w:hAnsi="Times New Roman"/>
              </w:rPr>
            </w:pPr>
            <w:r>
              <w:rPr>
                <w:rFonts w:ascii="Times New Roman" w:hAnsi="Times New Roman"/>
              </w:rPr>
              <w:t>10.7</w:t>
            </w:r>
          </w:p>
        </w:tc>
        <w:tc>
          <w:tcPr>
            <w:tcW w:w="2214" w:type="dxa"/>
          </w:tcPr>
          <w:p w:rsidR="00294E53" w:rsidRDefault="00294E53" w:rsidP="00294E53">
            <w:pPr>
              <w:jc w:val="center"/>
              <w:rPr>
                <w:rFonts w:ascii="Times New Roman" w:hAnsi="Times New Roman"/>
              </w:rPr>
            </w:pPr>
            <w:r>
              <w:rPr>
                <w:rFonts w:ascii="Times New Roman" w:hAnsi="Times New Roman"/>
              </w:rPr>
              <w:t>8.9</w:t>
            </w:r>
          </w:p>
        </w:tc>
        <w:tc>
          <w:tcPr>
            <w:tcW w:w="2214" w:type="dxa"/>
          </w:tcPr>
          <w:p w:rsidR="00294E53" w:rsidRDefault="00294E53" w:rsidP="00294E53">
            <w:pPr>
              <w:jc w:val="center"/>
              <w:rPr>
                <w:rFonts w:ascii="Times New Roman" w:hAnsi="Times New Roman"/>
              </w:rPr>
            </w:pPr>
            <w:r>
              <w:rPr>
                <w:rFonts w:ascii="Times New Roman" w:hAnsi="Times New Roman"/>
              </w:rPr>
              <w:t>1.8</w:t>
            </w:r>
          </w:p>
        </w:tc>
      </w:tr>
    </w:tbl>
    <w:p w:rsidR="007F7524" w:rsidRDefault="007F7524" w:rsidP="00515351">
      <w:pPr>
        <w:spacing w:after="120" w:line="360" w:lineRule="auto"/>
        <w:rPr>
          <w:rFonts w:ascii="Times New Roman" w:hAnsi="Times New Roman"/>
        </w:rPr>
      </w:pPr>
    </w:p>
    <w:p w:rsidR="00294E53" w:rsidRDefault="00E85A83" w:rsidP="00515351">
      <w:pPr>
        <w:spacing w:after="120" w:line="360" w:lineRule="auto"/>
        <w:rPr>
          <w:rFonts w:ascii="Times New Roman" w:hAnsi="Times New Roman"/>
        </w:rPr>
      </w:pPr>
      <w:r>
        <w:rPr>
          <w:rFonts w:ascii="Times New Roman" w:hAnsi="Times New Roman"/>
        </w:rPr>
        <w:lastRenderedPageBreak/>
        <w:t xml:space="preserve">The results are telling. </w:t>
      </w:r>
      <w:r w:rsidR="00A82138">
        <w:rPr>
          <w:rFonts w:ascii="Times New Roman" w:hAnsi="Times New Roman"/>
        </w:rPr>
        <w:t xml:space="preserve">Even if we make an adjustment for the lower administration and operating costs of the Future Fund, the performance differential between the Future Fund and the Median Growth Superannuation Fund, has been consistently greater than 1% p.a. As shown in Chart 3 of the Research Paper, the Future Fund has the same exposure to Market Risks as the average </w:t>
      </w:r>
      <w:r w:rsidR="00F90F04">
        <w:rPr>
          <w:rFonts w:ascii="Times New Roman" w:hAnsi="Times New Roman"/>
        </w:rPr>
        <w:t>Growth superannuation f</w:t>
      </w:r>
      <w:r w:rsidR="006B7202">
        <w:rPr>
          <w:rFonts w:ascii="Times New Roman" w:hAnsi="Times New Roman"/>
        </w:rPr>
        <w:t xml:space="preserve">und. </w:t>
      </w:r>
      <w:r w:rsidR="006B7202" w:rsidRPr="006B7202">
        <w:rPr>
          <w:rFonts w:ascii="Times New Roman" w:hAnsi="Times New Roman"/>
          <w:b/>
        </w:rPr>
        <w:t>Thus, all of the Future Fund’s outperformance can be attributed to the net of fees value added by active manager skill</w:t>
      </w:r>
      <w:r w:rsidR="006B7202">
        <w:rPr>
          <w:rFonts w:ascii="Times New Roman" w:hAnsi="Times New Roman"/>
        </w:rPr>
        <w:t xml:space="preserve">. Clearly, the Future Fund has also been able to identify active investment managers who will add value after fees. </w:t>
      </w:r>
      <w:r w:rsidR="00A82138">
        <w:rPr>
          <w:rFonts w:ascii="Times New Roman" w:hAnsi="Times New Roman"/>
        </w:rPr>
        <w:t xml:space="preserve">   </w:t>
      </w:r>
    </w:p>
    <w:p w:rsidR="00637B5B" w:rsidRDefault="006B7202" w:rsidP="00515351">
      <w:pPr>
        <w:spacing w:after="120" w:line="360" w:lineRule="auto"/>
        <w:rPr>
          <w:rFonts w:ascii="Times New Roman" w:hAnsi="Times New Roman"/>
        </w:rPr>
      </w:pPr>
      <w:r>
        <w:rPr>
          <w:rFonts w:ascii="Times New Roman" w:hAnsi="Times New Roman"/>
        </w:rPr>
        <w:t xml:space="preserve">It is sobering </w:t>
      </w:r>
      <w:r w:rsidR="00F90F04">
        <w:rPr>
          <w:rFonts w:ascii="Times New Roman" w:hAnsi="Times New Roman"/>
        </w:rPr>
        <w:t xml:space="preserve">to </w:t>
      </w:r>
      <w:r>
        <w:rPr>
          <w:rFonts w:ascii="Times New Roman" w:hAnsi="Times New Roman"/>
        </w:rPr>
        <w:t xml:space="preserve">note that, based on the Future Fund’s </w:t>
      </w:r>
      <w:r w:rsidRPr="006B7202">
        <w:rPr>
          <w:rFonts w:ascii="Times New Roman" w:hAnsi="Times New Roman"/>
          <w:b/>
        </w:rPr>
        <w:t>actual performance</w:t>
      </w:r>
      <w:r>
        <w:rPr>
          <w:rFonts w:ascii="Times New Roman" w:hAnsi="Times New Roman"/>
        </w:rPr>
        <w:t xml:space="preserve"> relative to superannuation funds, the actual cost of the misguided policies relating to investment management fees may actually be twice the level indicated above – i.e., an actual opportunity cost of lost returns to superannuation investors of $20 Billion per year over the last 3 years.</w:t>
      </w:r>
    </w:p>
    <w:p w:rsidR="006B7202" w:rsidRPr="00B4188C" w:rsidRDefault="00B4188C" w:rsidP="00515351">
      <w:pPr>
        <w:spacing w:after="120" w:line="360" w:lineRule="auto"/>
        <w:rPr>
          <w:rFonts w:ascii="Times New Roman" w:hAnsi="Times New Roman"/>
          <w:b/>
        </w:rPr>
      </w:pPr>
      <w:r w:rsidRPr="00B4188C">
        <w:rPr>
          <w:rFonts w:ascii="Times New Roman" w:hAnsi="Times New Roman"/>
          <w:b/>
        </w:rPr>
        <w:t>CONCLUSIONS</w:t>
      </w:r>
    </w:p>
    <w:p w:rsidR="005E1765" w:rsidRDefault="00B4188C" w:rsidP="00515351">
      <w:pPr>
        <w:spacing w:after="120" w:line="360" w:lineRule="auto"/>
        <w:rPr>
          <w:rFonts w:ascii="Times New Roman" w:hAnsi="Times New Roman"/>
        </w:rPr>
      </w:pPr>
      <w:r>
        <w:rPr>
          <w:rFonts w:ascii="Times New Roman" w:hAnsi="Times New Roman"/>
        </w:rPr>
        <w:t>The principle purpose of this submission</w:t>
      </w:r>
      <w:r w:rsidR="005E1765">
        <w:rPr>
          <w:rFonts w:ascii="Times New Roman" w:hAnsi="Times New Roman"/>
        </w:rPr>
        <w:t xml:space="preserve"> has been to establish that, as a result of looking through the distorted prism of</w:t>
      </w:r>
      <w:r w:rsidR="00F90F04">
        <w:rPr>
          <w:rFonts w:ascii="Times New Roman" w:hAnsi="Times New Roman"/>
        </w:rPr>
        <w:t xml:space="preserve"> classical Finance Theory, the l</w:t>
      </w:r>
      <w:r w:rsidR="005E1765">
        <w:rPr>
          <w:rFonts w:ascii="Times New Roman" w:hAnsi="Times New Roman"/>
        </w:rPr>
        <w:t xml:space="preserve">egislation and regulations currently imposed on the investment aspects of superannuation investments are misguided. As a result superannuation fund’s investment strategies are being significantly distorted away from those that would be adopted under optimal conditions. </w:t>
      </w:r>
    </w:p>
    <w:p w:rsidR="00637B5B" w:rsidRDefault="005E1765" w:rsidP="00515351">
      <w:pPr>
        <w:spacing w:after="120" w:line="360" w:lineRule="auto"/>
        <w:rPr>
          <w:rFonts w:ascii="Times New Roman" w:hAnsi="Times New Roman"/>
        </w:rPr>
      </w:pPr>
      <w:r>
        <w:rPr>
          <w:rFonts w:ascii="Times New Roman" w:hAnsi="Times New Roman"/>
        </w:rPr>
        <w:t xml:space="preserve">The key point of distortion relates to the implicit policy position that the investment management fees associated with active Manager Skill, are costs to be reduced, rather than an integral part of the implementation of those investment strategies. The effect, whether intended or otherwise, has been to reintroduce a prescriptive policy in respect </w:t>
      </w:r>
      <w:r w:rsidR="00F90F04">
        <w:rPr>
          <w:rFonts w:ascii="Times New Roman" w:hAnsi="Times New Roman"/>
        </w:rPr>
        <w:t xml:space="preserve">of </w:t>
      </w:r>
      <w:r>
        <w:rPr>
          <w:rFonts w:ascii="Times New Roman" w:hAnsi="Times New Roman"/>
        </w:rPr>
        <w:t xml:space="preserve">superannuation investment strategies that </w:t>
      </w:r>
      <w:r w:rsidR="0043506E">
        <w:rPr>
          <w:rFonts w:ascii="Times New Roman" w:hAnsi="Times New Roman"/>
        </w:rPr>
        <w:t xml:space="preserve">has not been seen since the abolition of the 30/20 Rule in the </w:t>
      </w:r>
      <w:proofErr w:type="spellStart"/>
      <w:r w:rsidR="0043506E">
        <w:rPr>
          <w:rFonts w:ascii="Times New Roman" w:hAnsi="Times New Roman"/>
        </w:rPr>
        <w:t>1980’s</w:t>
      </w:r>
      <w:proofErr w:type="spellEnd"/>
      <w:r w:rsidR="0043506E">
        <w:rPr>
          <w:rFonts w:ascii="Times New Roman" w:hAnsi="Times New Roman"/>
        </w:rPr>
        <w:t>.</w:t>
      </w:r>
      <w:r>
        <w:rPr>
          <w:rFonts w:ascii="Times New Roman" w:hAnsi="Times New Roman"/>
        </w:rPr>
        <w:t xml:space="preserve">  </w:t>
      </w:r>
    </w:p>
    <w:p w:rsidR="00637B5B" w:rsidRDefault="0043506E" w:rsidP="00515351">
      <w:pPr>
        <w:spacing w:after="120" w:line="360" w:lineRule="auto"/>
        <w:rPr>
          <w:rFonts w:ascii="Times New Roman" w:hAnsi="Times New Roman"/>
        </w:rPr>
      </w:pPr>
      <w:r>
        <w:rPr>
          <w:rFonts w:ascii="Times New Roman" w:hAnsi="Times New Roman"/>
        </w:rPr>
        <w:t>The costs to investors in superannuation, and the economy as a whole, of this misguided policy s</w:t>
      </w:r>
      <w:r w:rsidR="00F90F04">
        <w:rPr>
          <w:rFonts w:ascii="Times New Roman" w:hAnsi="Times New Roman"/>
        </w:rPr>
        <w:t>tance is large. A conservative</w:t>
      </w:r>
      <w:r>
        <w:rPr>
          <w:rFonts w:ascii="Times New Roman" w:hAnsi="Times New Roman"/>
        </w:rPr>
        <w:t xml:space="preserve"> estimate is that $10 Billion per year is being lost to investors as a result of these policies. These are opportunity costs, so not directly measured – in say the same way as, for example, ‘reduced investment fees’ can be measured and reported – and so are not recognised. Unfortunately, this tends to be the </w:t>
      </w:r>
      <w:r>
        <w:rPr>
          <w:rFonts w:ascii="Times New Roman" w:hAnsi="Times New Roman"/>
        </w:rPr>
        <w:lastRenderedPageBreak/>
        <w:t xml:space="preserve">case with efficiency costs and productivity losses, and I would hope that in this case, the Productivity Commission, with its greater understanding of the long-term costs arising from policy induced distortions, would see its way to highlight and attempt to remedy this situation.  </w:t>
      </w:r>
    </w:p>
    <w:p w:rsidR="007C3579" w:rsidRDefault="0043506E" w:rsidP="00D41452">
      <w:pPr>
        <w:pBdr>
          <w:top w:val="single" w:sz="4" w:space="1" w:color="auto"/>
          <w:left w:val="single" w:sz="4" w:space="4" w:color="auto"/>
          <w:bottom w:val="single" w:sz="4" w:space="1" w:color="auto"/>
          <w:right w:val="single" w:sz="4" w:space="4" w:color="auto"/>
        </w:pBdr>
        <w:spacing w:after="120" w:line="360" w:lineRule="auto"/>
        <w:rPr>
          <w:rFonts w:ascii="Times New Roman" w:hAnsi="Times New Roman"/>
          <w:lang w:val="en-US"/>
        </w:rPr>
      </w:pPr>
      <w:r>
        <w:rPr>
          <w:rFonts w:ascii="Times New Roman" w:hAnsi="Times New Roman"/>
        </w:rPr>
        <w:t xml:space="preserve">In respect of a specific course of action to rectify the policy induced distortions, I would concur </w:t>
      </w:r>
      <w:r w:rsidR="00C77423">
        <w:rPr>
          <w:rFonts w:ascii="Times New Roman" w:hAnsi="Times New Roman"/>
        </w:rPr>
        <w:t xml:space="preserve">with the recommendation in the submission by David Hartley that investment management related fees to unrelated third-parties be measured and reported separately from those fees and costs associated with the funds’ </w:t>
      </w:r>
      <w:proofErr w:type="spellStart"/>
      <w:r w:rsidR="007C3579" w:rsidRPr="007C3579">
        <w:rPr>
          <w:rFonts w:ascii="Times New Roman" w:hAnsi="Times New Roman"/>
          <w:lang w:val="en-US"/>
        </w:rPr>
        <w:t>Registrable</w:t>
      </w:r>
      <w:proofErr w:type="spellEnd"/>
      <w:r w:rsidR="007C3579" w:rsidRPr="007C3579">
        <w:rPr>
          <w:rFonts w:ascii="Times New Roman" w:hAnsi="Times New Roman"/>
          <w:lang w:val="en-US"/>
        </w:rPr>
        <w:t xml:space="preserve"> </w:t>
      </w:r>
      <w:r w:rsidR="007C3579" w:rsidRPr="007C3579">
        <w:rPr>
          <w:rFonts w:ascii="Times New Roman" w:hAnsi="Times New Roman"/>
          <w:bCs/>
          <w:lang w:val="en-US"/>
        </w:rPr>
        <w:t>Superannuation</w:t>
      </w:r>
      <w:r w:rsidR="007C3579" w:rsidRPr="007C3579">
        <w:rPr>
          <w:rFonts w:ascii="Times New Roman" w:hAnsi="Times New Roman"/>
          <w:lang w:val="en-US"/>
        </w:rPr>
        <w:t xml:space="preserve"> Entities</w:t>
      </w:r>
      <w:r w:rsidR="007C3579">
        <w:rPr>
          <w:rFonts w:ascii="Times New Roman" w:hAnsi="Times New Roman"/>
          <w:lang w:val="en-US"/>
        </w:rPr>
        <w:t xml:space="preserve"> (</w:t>
      </w:r>
      <w:proofErr w:type="spellStart"/>
      <w:r w:rsidR="007C3579">
        <w:rPr>
          <w:rFonts w:ascii="Times New Roman" w:hAnsi="Times New Roman"/>
          <w:lang w:val="en-US"/>
        </w:rPr>
        <w:t>RSE’s</w:t>
      </w:r>
      <w:proofErr w:type="spellEnd"/>
      <w:r w:rsidR="007C3579">
        <w:rPr>
          <w:rFonts w:ascii="Times New Roman" w:hAnsi="Times New Roman"/>
          <w:lang w:val="en-US"/>
        </w:rPr>
        <w:t>).</w:t>
      </w:r>
    </w:p>
    <w:p w:rsidR="00637B5B" w:rsidRDefault="007C3579" w:rsidP="00D41452">
      <w:pPr>
        <w:pBdr>
          <w:top w:val="single" w:sz="4" w:space="1" w:color="auto"/>
          <w:left w:val="single" w:sz="4" w:space="4" w:color="auto"/>
          <w:bottom w:val="single" w:sz="4" w:space="1" w:color="auto"/>
          <w:right w:val="single" w:sz="4" w:space="4" w:color="auto"/>
        </w:pBdr>
        <w:spacing w:after="120" w:line="360" w:lineRule="auto"/>
        <w:rPr>
          <w:rFonts w:ascii="Times New Roman" w:hAnsi="Times New Roman"/>
        </w:rPr>
      </w:pPr>
      <w:r>
        <w:rPr>
          <w:rFonts w:ascii="Times New Roman" w:hAnsi="Times New Roman"/>
          <w:lang w:val="en-US"/>
        </w:rPr>
        <w:t>Specifically, I would recommend that investment management fees ea</w:t>
      </w:r>
      <w:r w:rsidR="00833341">
        <w:rPr>
          <w:rFonts w:ascii="Times New Roman" w:hAnsi="Times New Roman"/>
          <w:lang w:val="en-US"/>
        </w:rPr>
        <w:t>rned by, or paid to, unrelated</w:t>
      </w:r>
      <w:r>
        <w:rPr>
          <w:rFonts w:ascii="Times New Roman" w:hAnsi="Times New Roman"/>
          <w:lang w:val="en-US"/>
        </w:rPr>
        <w:t xml:space="preserve"> third-parties should not be reported at all, but simply be ‘reported’ as part of the net investment return generated by that manager.  </w:t>
      </w:r>
      <w:r w:rsidR="00C77423">
        <w:rPr>
          <w:rFonts w:ascii="Times New Roman" w:hAnsi="Times New Roman"/>
        </w:rPr>
        <w:t xml:space="preserve"> </w:t>
      </w:r>
    </w:p>
    <w:p w:rsidR="00B47BDF" w:rsidRDefault="00B47BDF" w:rsidP="00515351">
      <w:pPr>
        <w:spacing w:after="120" w:line="360" w:lineRule="auto"/>
        <w:rPr>
          <w:rFonts w:ascii="Times New Roman" w:hAnsi="Times New Roman"/>
        </w:rPr>
      </w:pPr>
    </w:p>
    <w:p w:rsidR="00D41452" w:rsidRDefault="00D41452" w:rsidP="00515351">
      <w:pPr>
        <w:spacing w:after="120" w:line="360" w:lineRule="auto"/>
        <w:rPr>
          <w:rFonts w:ascii="Times New Roman" w:hAnsi="Times New Roman"/>
        </w:rPr>
      </w:pPr>
      <w:r>
        <w:rPr>
          <w:rFonts w:ascii="Times New Roman" w:hAnsi="Times New Roman"/>
        </w:rPr>
        <w:t xml:space="preserve">I recognise that the content of this submission relates, both directly and indirectly, to a number </w:t>
      </w:r>
      <w:r w:rsidR="00B53988">
        <w:rPr>
          <w:rFonts w:ascii="Times New Roman" w:hAnsi="Times New Roman"/>
        </w:rPr>
        <w:t xml:space="preserve">of </w:t>
      </w:r>
      <w:r>
        <w:rPr>
          <w:rFonts w:ascii="Times New Roman" w:hAnsi="Times New Roman"/>
        </w:rPr>
        <w:t xml:space="preserve">components of the Draft Report. I would be happy to assist the Commission to </w:t>
      </w:r>
      <w:r w:rsidR="00B53988">
        <w:rPr>
          <w:rFonts w:ascii="Times New Roman" w:hAnsi="Times New Roman"/>
        </w:rPr>
        <w:t xml:space="preserve">further </w:t>
      </w:r>
      <w:r>
        <w:rPr>
          <w:rFonts w:ascii="Times New Roman" w:hAnsi="Times New Roman"/>
        </w:rPr>
        <w:t xml:space="preserve">explore and improve its understanding of these issues. </w:t>
      </w:r>
    </w:p>
    <w:p w:rsidR="00D41452" w:rsidRDefault="00D41452" w:rsidP="00D41452">
      <w:pPr>
        <w:rPr>
          <w:rFonts w:ascii="Times New Roman" w:hAnsi="Times New Roman"/>
        </w:rPr>
      </w:pPr>
    </w:p>
    <w:p w:rsidR="00D41452" w:rsidRDefault="00D41452" w:rsidP="00D41452">
      <w:pPr>
        <w:rPr>
          <w:rFonts w:ascii="Times New Roman" w:hAnsi="Times New Roman"/>
        </w:rPr>
      </w:pPr>
    </w:p>
    <w:p w:rsidR="00D41452" w:rsidRDefault="00D41452" w:rsidP="00D41452">
      <w:pPr>
        <w:rPr>
          <w:rFonts w:ascii="Times New Roman" w:hAnsi="Times New Roman"/>
        </w:rPr>
      </w:pPr>
      <w:r>
        <w:rPr>
          <w:rFonts w:ascii="Times New Roman" w:hAnsi="Times New Roman"/>
        </w:rPr>
        <w:t>John Peterson</w:t>
      </w:r>
    </w:p>
    <w:p w:rsidR="00833341" w:rsidRDefault="00833341" w:rsidP="00D41452">
      <w:pPr>
        <w:rPr>
          <w:rFonts w:ascii="Times New Roman" w:hAnsi="Times New Roman"/>
        </w:rPr>
      </w:pPr>
    </w:p>
    <w:p w:rsidR="00D41452" w:rsidRDefault="00833341" w:rsidP="00D41452">
      <w:pPr>
        <w:rPr>
          <w:rFonts w:ascii="Times New Roman" w:hAnsi="Times New Roman"/>
        </w:rPr>
      </w:pPr>
      <w:r>
        <w:rPr>
          <w:rFonts w:ascii="Times New Roman" w:hAnsi="Times New Roman"/>
        </w:rPr>
        <w:t>Director</w:t>
      </w:r>
    </w:p>
    <w:p w:rsidR="00D41452" w:rsidRDefault="00D41452" w:rsidP="00D41452">
      <w:pPr>
        <w:rPr>
          <w:rFonts w:ascii="Times New Roman" w:hAnsi="Times New Roman"/>
        </w:rPr>
      </w:pPr>
      <w:r>
        <w:rPr>
          <w:rFonts w:ascii="Times New Roman" w:hAnsi="Times New Roman"/>
        </w:rPr>
        <w:t>Peterson Research Institute</w:t>
      </w:r>
    </w:p>
    <w:p w:rsidR="00D41452" w:rsidRDefault="00D41452" w:rsidP="00D41452">
      <w:pPr>
        <w:rPr>
          <w:rFonts w:ascii="Times New Roman" w:hAnsi="Times New Roman"/>
        </w:rPr>
      </w:pPr>
      <w:r>
        <w:rPr>
          <w:rFonts w:ascii="Times New Roman" w:hAnsi="Times New Roman"/>
        </w:rPr>
        <w:t>September 2016</w:t>
      </w:r>
    </w:p>
    <w:p w:rsidR="00635DB2" w:rsidRDefault="00635DB2" w:rsidP="00515351">
      <w:pPr>
        <w:spacing w:after="120" w:line="360" w:lineRule="auto"/>
        <w:rPr>
          <w:rFonts w:ascii="Times New Roman" w:hAnsi="Times New Roman"/>
        </w:rPr>
      </w:pPr>
    </w:p>
    <w:p w:rsidR="00515351" w:rsidRDefault="00515351" w:rsidP="00515351">
      <w:pPr>
        <w:spacing w:after="120" w:line="360" w:lineRule="auto"/>
        <w:rPr>
          <w:rFonts w:ascii="Times New Roman" w:hAnsi="Times New Roman"/>
        </w:rPr>
      </w:pPr>
    </w:p>
    <w:p w:rsidR="00515351" w:rsidRDefault="00515351" w:rsidP="00515351">
      <w:pPr>
        <w:spacing w:after="120" w:line="360" w:lineRule="auto"/>
        <w:rPr>
          <w:rFonts w:ascii="Times New Roman" w:hAnsi="Times New Roman"/>
        </w:rPr>
      </w:pPr>
    </w:p>
    <w:p w:rsidR="00394EC1" w:rsidRPr="00B213DB" w:rsidRDefault="00394EC1" w:rsidP="00515351">
      <w:pPr>
        <w:spacing w:after="120" w:line="360" w:lineRule="auto"/>
        <w:rPr>
          <w:rFonts w:ascii="Times New Roman" w:hAnsi="Times New Roman"/>
        </w:rPr>
        <w:sectPr w:rsidR="00394EC1" w:rsidRPr="00B213DB" w:rsidSect="00805718">
          <w:footerReference w:type="default" r:id="rId29"/>
          <w:pgSz w:w="12240" w:h="15840"/>
          <w:pgMar w:top="1440" w:right="1800" w:bottom="1440" w:left="1800" w:header="708" w:footer="708" w:gutter="0"/>
          <w:cols w:space="708"/>
          <w:titlePg/>
          <w:docGrid w:linePitch="360"/>
        </w:sectPr>
      </w:pPr>
    </w:p>
    <w:p w:rsidR="00D6751B" w:rsidRPr="00B213DB" w:rsidRDefault="00D6751B" w:rsidP="00D6751B">
      <w:pPr>
        <w:jc w:val="center"/>
        <w:rPr>
          <w:rFonts w:ascii="Times New Roman" w:hAnsi="Times New Roman"/>
          <w:b/>
        </w:rPr>
      </w:pPr>
      <w:r w:rsidRPr="00B213DB">
        <w:rPr>
          <w:rFonts w:ascii="Times New Roman" w:hAnsi="Times New Roman"/>
          <w:b/>
        </w:rPr>
        <w:lastRenderedPageBreak/>
        <w:t>References</w:t>
      </w:r>
    </w:p>
    <w:p w:rsidR="00D6751B" w:rsidRPr="00B213DB" w:rsidRDefault="00D6751B">
      <w:pPr>
        <w:rPr>
          <w:rFonts w:ascii="Times New Roman" w:hAnsi="Times New Roman"/>
        </w:rPr>
      </w:pPr>
    </w:p>
    <w:p w:rsidR="003D055A" w:rsidRPr="00B213DB" w:rsidRDefault="003D055A">
      <w:pPr>
        <w:rPr>
          <w:rFonts w:ascii="Times New Roman" w:hAnsi="Times New Roman"/>
        </w:rPr>
      </w:pPr>
    </w:p>
    <w:p w:rsidR="001F4DAD" w:rsidRPr="00B213DB" w:rsidRDefault="0027340D" w:rsidP="0027340D">
      <w:pPr>
        <w:rPr>
          <w:rFonts w:ascii="Times New Roman" w:hAnsi="Times New Roman"/>
          <w:i/>
        </w:rPr>
      </w:pPr>
      <w:r w:rsidRPr="00B213DB">
        <w:rPr>
          <w:rFonts w:ascii="Times New Roman" w:hAnsi="Times New Roman"/>
        </w:rPr>
        <w:t xml:space="preserve">Arnott. R.D. &amp; Bernstein, </w:t>
      </w:r>
      <w:proofErr w:type="spellStart"/>
      <w:r w:rsidRPr="00B213DB">
        <w:rPr>
          <w:rFonts w:ascii="Times New Roman" w:hAnsi="Times New Roman"/>
        </w:rPr>
        <w:t>P.L</w:t>
      </w:r>
      <w:proofErr w:type="spellEnd"/>
      <w:r w:rsidRPr="00B213DB">
        <w:rPr>
          <w:rFonts w:ascii="Times New Roman" w:hAnsi="Times New Roman"/>
        </w:rPr>
        <w:t>.</w:t>
      </w:r>
      <w:r w:rsidR="00AC36E8" w:rsidRPr="00B213DB">
        <w:rPr>
          <w:rFonts w:ascii="Times New Roman" w:hAnsi="Times New Roman"/>
        </w:rPr>
        <w:t xml:space="preserve"> </w:t>
      </w:r>
      <w:r w:rsidRPr="00B213DB">
        <w:rPr>
          <w:rFonts w:ascii="Times New Roman" w:hAnsi="Times New Roman"/>
        </w:rPr>
        <w:t>“</w:t>
      </w:r>
      <w:r w:rsidR="009C5694" w:rsidRPr="00B213DB">
        <w:rPr>
          <w:rFonts w:ascii="Times New Roman" w:hAnsi="Times New Roman"/>
          <w:bCs/>
        </w:rPr>
        <w:t>What Risk Premium Is ‘Normal’</w:t>
      </w:r>
      <w:r w:rsidR="00AC36E8" w:rsidRPr="00B213DB">
        <w:rPr>
          <w:rFonts w:ascii="Times New Roman" w:hAnsi="Times New Roman"/>
          <w:bCs/>
        </w:rPr>
        <w:t>?</w:t>
      </w:r>
      <w:r w:rsidRPr="00B213DB">
        <w:rPr>
          <w:rFonts w:ascii="Times New Roman" w:hAnsi="Times New Roman"/>
          <w:bCs/>
        </w:rPr>
        <w:t>”</w:t>
      </w:r>
      <w:r w:rsidR="00AC36E8" w:rsidRPr="00B213DB">
        <w:rPr>
          <w:rFonts w:ascii="Times New Roman" w:hAnsi="Times New Roman"/>
          <w:bCs/>
        </w:rPr>
        <w:t xml:space="preserve"> </w:t>
      </w:r>
      <w:r w:rsidR="00AC36E8" w:rsidRPr="00B213DB">
        <w:rPr>
          <w:rFonts w:ascii="Times New Roman" w:hAnsi="Times New Roman"/>
          <w:i/>
        </w:rPr>
        <w:t xml:space="preserve">Financial Analyst </w:t>
      </w:r>
    </w:p>
    <w:p w:rsidR="006D0EC1" w:rsidRPr="00B213DB" w:rsidRDefault="001F4DAD" w:rsidP="0027340D">
      <w:pPr>
        <w:rPr>
          <w:rFonts w:ascii="Times New Roman" w:hAnsi="Times New Roman"/>
        </w:rPr>
      </w:pPr>
      <w:r w:rsidRPr="00B213DB">
        <w:rPr>
          <w:rFonts w:ascii="Times New Roman" w:hAnsi="Times New Roman"/>
          <w:i/>
        </w:rPr>
        <w:tab/>
      </w:r>
      <w:r w:rsidR="00AC36E8" w:rsidRPr="00B213DB">
        <w:rPr>
          <w:rFonts w:ascii="Times New Roman" w:hAnsi="Times New Roman"/>
          <w:i/>
        </w:rPr>
        <w:t>Journal</w:t>
      </w:r>
      <w:r w:rsidR="00521D69" w:rsidRPr="00B213DB">
        <w:rPr>
          <w:rFonts w:ascii="Times New Roman" w:hAnsi="Times New Roman"/>
        </w:rPr>
        <w:t xml:space="preserve">, </w:t>
      </w:r>
      <w:r w:rsidR="00674857" w:rsidRPr="00B213DB">
        <w:rPr>
          <w:rFonts w:ascii="Times New Roman" w:hAnsi="Times New Roman"/>
        </w:rPr>
        <w:t>(</w:t>
      </w:r>
      <w:r w:rsidR="00AC36E8" w:rsidRPr="00B213DB">
        <w:rPr>
          <w:rFonts w:ascii="Times New Roman" w:hAnsi="Times New Roman"/>
        </w:rPr>
        <w:t>April</w:t>
      </w:r>
      <w:r w:rsidR="00674857" w:rsidRPr="00B213DB">
        <w:rPr>
          <w:rFonts w:ascii="Times New Roman" w:hAnsi="Times New Roman"/>
        </w:rPr>
        <w:t xml:space="preserve"> </w:t>
      </w:r>
      <w:r w:rsidR="0027340D" w:rsidRPr="00B213DB">
        <w:rPr>
          <w:rFonts w:ascii="Times New Roman" w:hAnsi="Times New Roman"/>
        </w:rPr>
        <w:t>2002)</w:t>
      </w:r>
      <w:r w:rsidR="00AC36E8" w:rsidRPr="00B213DB">
        <w:rPr>
          <w:rFonts w:ascii="Times New Roman" w:hAnsi="Times New Roman"/>
        </w:rPr>
        <w:t xml:space="preserve">, </w:t>
      </w:r>
      <w:r w:rsidR="0027340D" w:rsidRPr="00B213DB">
        <w:rPr>
          <w:rFonts w:ascii="Times New Roman" w:hAnsi="Times New Roman"/>
        </w:rPr>
        <w:t xml:space="preserve">pp. </w:t>
      </w:r>
      <w:r w:rsidR="00AC36E8" w:rsidRPr="00B213DB">
        <w:rPr>
          <w:rFonts w:ascii="Times New Roman" w:hAnsi="Times New Roman"/>
        </w:rPr>
        <w:t>64-85.</w:t>
      </w:r>
    </w:p>
    <w:p w:rsidR="006D0EC1" w:rsidRPr="00B213DB" w:rsidRDefault="006D0EC1">
      <w:pPr>
        <w:rPr>
          <w:rFonts w:ascii="Times New Roman" w:hAnsi="Times New Roman"/>
        </w:rPr>
      </w:pPr>
    </w:p>
    <w:p w:rsidR="00EE4AE7" w:rsidRPr="00B213DB" w:rsidRDefault="00EE4AE7">
      <w:pPr>
        <w:rPr>
          <w:rFonts w:ascii="Times New Roman" w:hAnsi="Times New Roman"/>
        </w:rPr>
      </w:pPr>
      <w:r w:rsidRPr="00B213DB">
        <w:rPr>
          <w:rFonts w:ascii="Times New Roman" w:hAnsi="Times New Roman"/>
        </w:rPr>
        <w:t xml:space="preserve">Bender, J., Hammond, </w:t>
      </w:r>
      <w:proofErr w:type="spellStart"/>
      <w:r w:rsidRPr="00B213DB">
        <w:rPr>
          <w:rFonts w:ascii="Times New Roman" w:hAnsi="Times New Roman"/>
        </w:rPr>
        <w:t>P.B</w:t>
      </w:r>
      <w:proofErr w:type="spellEnd"/>
      <w:r w:rsidRPr="00B213DB">
        <w:rPr>
          <w:rFonts w:ascii="Times New Roman" w:hAnsi="Times New Roman"/>
        </w:rPr>
        <w:t xml:space="preserve">., &amp; </w:t>
      </w:r>
      <w:proofErr w:type="spellStart"/>
      <w:r w:rsidRPr="00B213DB">
        <w:rPr>
          <w:rFonts w:ascii="Times New Roman" w:hAnsi="Times New Roman"/>
        </w:rPr>
        <w:t>Mok</w:t>
      </w:r>
      <w:proofErr w:type="spellEnd"/>
      <w:r w:rsidRPr="00B213DB">
        <w:rPr>
          <w:rFonts w:ascii="Times New Roman" w:hAnsi="Times New Roman"/>
        </w:rPr>
        <w:t xml:space="preserve">, W. “Can alpha be captured by risk </w:t>
      </w:r>
      <w:proofErr w:type="spellStart"/>
      <w:r w:rsidRPr="00B213DB">
        <w:rPr>
          <w:rFonts w:ascii="Times New Roman" w:hAnsi="Times New Roman"/>
        </w:rPr>
        <w:t>premia</w:t>
      </w:r>
      <w:proofErr w:type="spellEnd"/>
      <w:r w:rsidRPr="00B213DB">
        <w:rPr>
          <w:rFonts w:ascii="Times New Roman" w:hAnsi="Times New Roman"/>
        </w:rPr>
        <w:t xml:space="preserve">?” </w:t>
      </w:r>
    </w:p>
    <w:p w:rsidR="00EE4AE7" w:rsidRPr="00B213DB" w:rsidRDefault="00EE4AE7">
      <w:pPr>
        <w:rPr>
          <w:rFonts w:ascii="Times New Roman" w:hAnsi="Times New Roman"/>
        </w:rPr>
      </w:pPr>
      <w:r w:rsidRPr="00B213DB">
        <w:rPr>
          <w:rFonts w:ascii="Times New Roman" w:hAnsi="Times New Roman"/>
        </w:rPr>
        <w:tab/>
      </w:r>
      <w:r w:rsidRPr="00B213DB">
        <w:rPr>
          <w:rFonts w:ascii="Times New Roman" w:hAnsi="Times New Roman"/>
          <w:i/>
        </w:rPr>
        <w:t>Journal of Portfolio Management</w:t>
      </w:r>
      <w:r w:rsidRPr="00B213DB">
        <w:rPr>
          <w:rFonts w:ascii="Times New Roman" w:hAnsi="Times New Roman"/>
        </w:rPr>
        <w:t>. 40 (2014), pp. 18-29.</w:t>
      </w:r>
    </w:p>
    <w:p w:rsidR="00EE4AE7" w:rsidRPr="00B213DB" w:rsidRDefault="00EE4AE7">
      <w:pPr>
        <w:rPr>
          <w:rFonts w:ascii="Times New Roman" w:hAnsi="Times New Roman"/>
        </w:rPr>
      </w:pPr>
    </w:p>
    <w:p w:rsidR="006A00EF" w:rsidRPr="00B213DB" w:rsidRDefault="00F74DB8" w:rsidP="006A00EF">
      <w:pPr>
        <w:rPr>
          <w:rFonts w:ascii="Times New Roman" w:hAnsi="Times New Roman"/>
          <w:i/>
        </w:rPr>
      </w:pPr>
      <w:r w:rsidRPr="00B213DB">
        <w:rPr>
          <w:rFonts w:ascii="Times New Roman" w:hAnsi="Times New Roman"/>
        </w:rPr>
        <w:t xml:space="preserve">Bright, G. “The ramifications of a </w:t>
      </w:r>
      <w:r w:rsidR="00A24160" w:rsidRPr="00B213DB">
        <w:rPr>
          <w:rFonts w:ascii="Times New Roman" w:hAnsi="Times New Roman"/>
        </w:rPr>
        <w:t>‘</w:t>
      </w:r>
      <w:r w:rsidRPr="00B213DB">
        <w:rPr>
          <w:rFonts w:ascii="Times New Roman" w:hAnsi="Times New Roman"/>
        </w:rPr>
        <w:t xml:space="preserve">relentless focus on </w:t>
      </w:r>
      <w:r w:rsidR="00A24160" w:rsidRPr="00B213DB">
        <w:rPr>
          <w:rFonts w:ascii="Times New Roman" w:hAnsi="Times New Roman"/>
        </w:rPr>
        <w:t xml:space="preserve">costs and </w:t>
      </w:r>
      <w:r w:rsidRPr="00B213DB">
        <w:rPr>
          <w:rFonts w:ascii="Times New Roman" w:hAnsi="Times New Roman"/>
        </w:rPr>
        <w:t>fees</w:t>
      </w:r>
      <w:r w:rsidR="00A24160" w:rsidRPr="00B213DB">
        <w:rPr>
          <w:rFonts w:ascii="Times New Roman" w:hAnsi="Times New Roman"/>
        </w:rPr>
        <w:t>’</w:t>
      </w:r>
      <w:r w:rsidRPr="00B213DB">
        <w:rPr>
          <w:rFonts w:ascii="Times New Roman" w:hAnsi="Times New Roman"/>
        </w:rPr>
        <w:t>”.</w:t>
      </w:r>
      <w:r w:rsidR="00A24160" w:rsidRPr="00B213DB">
        <w:rPr>
          <w:rFonts w:ascii="Times New Roman" w:hAnsi="Times New Roman"/>
        </w:rPr>
        <w:t xml:space="preserve"> </w:t>
      </w:r>
      <w:r w:rsidR="00A24160" w:rsidRPr="00B213DB">
        <w:rPr>
          <w:rFonts w:ascii="Times New Roman" w:hAnsi="Times New Roman"/>
          <w:i/>
        </w:rPr>
        <w:t>Investor Strategy</w:t>
      </w:r>
    </w:p>
    <w:p w:rsidR="00F74DB8" w:rsidRPr="00B213DB" w:rsidRDefault="006A00EF" w:rsidP="006A00EF">
      <w:pPr>
        <w:ind w:left="720"/>
        <w:rPr>
          <w:rFonts w:ascii="Times New Roman" w:hAnsi="Times New Roman"/>
        </w:rPr>
      </w:pPr>
      <w:r w:rsidRPr="00B213DB">
        <w:rPr>
          <w:rFonts w:ascii="Times New Roman" w:hAnsi="Times New Roman"/>
          <w:i/>
        </w:rPr>
        <w:t>News</w:t>
      </w:r>
      <w:r w:rsidR="00A24160" w:rsidRPr="00B213DB">
        <w:rPr>
          <w:rFonts w:ascii="Times New Roman" w:hAnsi="Times New Roman"/>
        </w:rPr>
        <w:t>, (7 August 20916),</w:t>
      </w:r>
      <w:r w:rsidRPr="00B213DB">
        <w:rPr>
          <w:rFonts w:ascii="Times New Roman" w:hAnsi="Times New Roman"/>
        </w:rPr>
        <w:t xml:space="preserve"> www.ioandc.com/the-ramifications-of-a-relentless-focus-on-costs-and-fees/  </w:t>
      </w:r>
      <w:r w:rsidR="00A24160" w:rsidRPr="00B213DB">
        <w:rPr>
          <w:rFonts w:ascii="Times New Roman" w:hAnsi="Times New Roman"/>
        </w:rPr>
        <w:t xml:space="preserve"> </w:t>
      </w:r>
    </w:p>
    <w:p w:rsidR="00F74DB8" w:rsidRPr="00B213DB" w:rsidRDefault="00F74DB8">
      <w:pPr>
        <w:rPr>
          <w:rFonts w:ascii="Times New Roman" w:hAnsi="Times New Roman"/>
        </w:rPr>
      </w:pPr>
    </w:p>
    <w:p w:rsidR="00153AD2" w:rsidRPr="00B213DB" w:rsidRDefault="00EC009D">
      <w:pPr>
        <w:rPr>
          <w:rFonts w:ascii="Times New Roman" w:hAnsi="Times New Roman"/>
          <w:bCs/>
        </w:rPr>
      </w:pPr>
      <w:proofErr w:type="spellStart"/>
      <w:r w:rsidRPr="00B213DB">
        <w:rPr>
          <w:rFonts w:ascii="Times New Roman" w:hAnsi="Times New Roman"/>
          <w:bCs/>
        </w:rPr>
        <w:t>Busse</w:t>
      </w:r>
      <w:proofErr w:type="spellEnd"/>
      <w:r w:rsidRPr="00B213DB">
        <w:rPr>
          <w:rFonts w:ascii="Times New Roman" w:hAnsi="Times New Roman"/>
          <w:bCs/>
        </w:rPr>
        <w:t xml:space="preserve">, </w:t>
      </w:r>
      <w:proofErr w:type="spellStart"/>
      <w:r w:rsidRPr="00B213DB">
        <w:rPr>
          <w:rFonts w:ascii="Times New Roman" w:hAnsi="Times New Roman"/>
          <w:bCs/>
        </w:rPr>
        <w:t>J.A</w:t>
      </w:r>
      <w:proofErr w:type="spellEnd"/>
      <w:r w:rsidRPr="00B213DB">
        <w:rPr>
          <w:rFonts w:ascii="Times New Roman" w:hAnsi="Times New Roman"/>
          <w:bCs/>
        </w:rPr>
        <w:t xml:space="preserve">., </w:t>
      </w:r>
      <w:proofErr w:type="spellStart"/>
      <w:r w:rsidRPr="00B213DB">
        <w:rPr>
          <w:rFonts w:ascii="Times New Roman" w:hAnsi="Times New Roman"/>
          <w:bCs/>
        </w:rPr>
        <w:t>Goyal</w:t>
      </w:r>
      <w:proofErr w:type="spellEnd"/>
      <w:r w:rsidRPr="00B213DB">
        <w:rPr>
          <w:rFonts w:ascii="Times New Roman" w:hAnsi="Times New Roman"/>
          <w:bCs/>
        </w:rPr>
        <w:t xml:space="preserve">, A. &amp; </w:t>
      </w:r>
      <w:proofErr w:type="spellStart"/>
      <w:r w:rsidRPr="00B213DB">
        <w:rPr>
          <w:rFonts w:ascii="Times New Roman" w:hAnsi="Times New Roman"/>
          <w:bCs/>
        </w:rPr>
        <w:t>Wahal</w:t>
      </w:r>
      <w:proofErr w:type="spellEnd"/>
      <w:r w:rsidRPr="00B213DB">
        <w:rPr>
          <w:rFonts w:ascii="Times New Roman" w:hAnsi="Times New Roman"/>
          <w:bCs/>
        </w:rPr>
        <w:t xml:space="preserve">, S. “Performance and Persistence in Institutional </w:t>
      </w:r>
    </w:p>
    <w:p w:rsidR="00EC009D" w:rsidRPr="00B213DB" w:rsidRDefault="00153AD2">
      <w:pPr>
        <w:rPr>
          <w:rFonts w:ascii="Times New Roman" w:hAnsi="Times New Roman"/>
        </w:rPr>
      </w:pPr>
      <w:r w:rsidRPr="00B213DB">
        <w:rPr>
          <w:rFonts w:ascii="Times New Roman" w:hAnsi="Times New Roman"/>
          <w:bCs/>
        </w:rPr>
        <w:tab/>
      </w:r>
      <w:r w:rsidR="00EC009D" w:rsidRPr="00B213DB">
        <w:rPr>
          <w:rFonts w:ascii="Times New Roman" w:hAnsi="Times New Roman"/>
          <w:bCs/>
        </w:rPr>
        <w:t xml:space="preserve">Investment Management.” </w:t>
      </w:r>
      <w:r w:rsidR="00EC009D" w:rsidRPr="00B213DB">
        <w:rPr>
          <w:rFonts w:ascii="Times New Roman" w:hAnsi="Times New Roman"/>
          <w:bCs/>
          <w:i/>
        </w:rPr>
        <w:t>The Journal of Finance</w:t>
      </w:r>
      <w:r w:rsidR="00EC009D" w:rsidRPr="00B213DB">
        <w:rPr>
          <w:rFonts w:ascii="Times New Roman" w:hAnsi="Times New Roman"/>
          <w:bCs/>
        </w:rPr>
        <w:t>. 55 (2010), pp. 765-89.</w:t>
      </w:r>
    </w:p>
    <w:p w:rsidR="00EC009D" w:rsidRPr="00B213DB" w:rsidRDefault="00EC009D">
      <w:pPr>
        <w:rPr>
          <w:rFonts w:ascii="Times New Roman" w:hAnsi="Times New Roman"/>
        </w:rPr>
      </w:pPr>
    </w:p>
    <w:p w:rsidR="00EC009D" w:rsidRPr="00B213DB" w:rsidRDefault="001F4DAD">
      <w:pPr>
        <w:rPr>
          <w:rFonts w:ascii="Times New Roman" w:hAnsi="Times New Roman"/>
        </w:rPr>
      </w:pPr>
      <w:proofErr w:type="spellStart"/>
      <w:r w:rsidRPr="00B213DB">
        <w:rPr>
          <w:rFonts w:ascii="Times New Roman" w:hAnsi="Times New Roman"/>
        </w:rPr>
        <w:t>Carhart</w:t>
      </w:r>
      <w:proofErr w:type="spellEnd"/>
      <w:r w:rsidRPr="00B213DB">
        <w:rPr>
          <w:rFonts w:ascii="Times New Roman" w:hAnsi="Times New Roman"/>
        </w:rPr>
        <w:t>, M.M.</w:t>
      </w:r>
      <w:r w:rsidR="00D6751B" w:rsidRPr="00B213DB">
        <w:rPr>
          <w:rFonts w:ascii="Times New Roman" w:hAnsi="Times New Roman"/>
        </w:rPr>
        <w:t xml:space="preserve"> </w:t>
      </w:r>
      <w:r w:rsidRPr="00B213DB">
        <w:rPr>
          <w:rFonts w:ascii="Times New Roman" w:hAnsi="Times New Roman"/>
        </w:rPr>
        <w:t>“</w:t>
      </w:r>
      <w:r w:rsidR="00D6751B" w:rsidRPr="00B213DB">
        <w:rPr>
          <w:rFonts w:ascii="Times New Roman" w:hAnsi="Times New Roman"/>
        </w:rPr>
        <w:t>On persistence in mutual fund performance.</w:t>
      </w:r>
      <w:r w:rsidRPr="00B213DB">
        <w:rPr>
          <w:rFonts w:ascii="Times New Roman" w:hAnsi="Times New Roman"/>
        </w:rPr>
        <w:t>”</w:t>
      </w:r>
      <w:r w:rsidR="00D6751B" w:rsidRPr="00B213DB">
        <w:rPr>
          <w:rFonts w:ascii="Times New Roman" w:hAnsi="Times New Roman"/>
        </w:rPr>
        <w:t xml:space="preserve"> </w:t>
      </w:r>
      <w:r w:rsidR="00EC009D" w:rsidRPr="00B213DB">
        <w:rPr>
          <w:rFonts w:ascii="Times New Roman" w:hAnsi="Times New Roman"/>
          <w:i/>
        </w:rPr>
        <w:t xml:space="preserve">The </w:t>
      </w:r>
      <w:r w:rsidR="00D6751B" w:rsidRPr="00B213DB">
        <w:rPr>
          <w:rFonts w:ascii="Times New Roman" w:hAnsi="Times New Roman"/>
          <w:i/>
        </w:rPr>
        <w:t>Journal of Finance</w:t>
      </w:r>
      <w:r w:rsidR="00D6751B" w:rsidRPr="00B213DB">
        <w:rPr>
          <w:rFonts w:ascii="Times New Roman" w:hAnsi="Times New Roman"/>
        </w:rPr>
        <w:t xml:space="preserve">. </w:t>
      </w:r>
    </w:p>
    <w:p w:rsidR="00D6751B" w:rsidRPr="00B213DB" w:rsidRDefault="00EC009D">
      <w:pPr>
        <w:rPr>
          <w:rFonts w:ascii="Times New Roman" w:hAnsi="Times New Roman"/>
        </w:rPr>
      </w:pPr>
      <w:r w:rsidRPr="00B213DB">
        <w:rPr>
          <w:rFonts w:ascii="Times New Roman" w:hAnsi="Times New Roman"/>
        </w:rPr>
        <w:tab/>
      </w:r>
      <w:r w:rsidR="00D6751B" w:rsidRPr="00B213DB">
        <w:rPr>
          <w:rFonts w:ascii="Times New Roman" w:hAnsi="Times New Roman"/>
        </w:rPr>
        <w:t>52</w:t>
      </w:r>
      <w:r w:rsidRPr="00B213DB">
        <w:rPr>
          <w:rFonts w:ascii="Times New Roman" w:hAnsi="Times New Roman"/>
        </w:rPr>
        <w:t xml:space="preserve"> </w:t>
      </w:r>
      <w:r w:rsidR="001F4DAD" w:rsidRPr="00B213DB">
        <w:rPr>
          <w:rFonts w:ascii="Times New Roman" w:hAnsi="Times New Roman"/>
        </w:rPr>
        <w:t>(1997)</w:t>
      </w:r>
      <w:r w:rsidR="00D6751B" w:rsidRPr="00B213DB">
        <w:rPr>
          <w:rFonts w:ascii="Times New Roman" w:hAnsi="Times New Roman"/>
        </w:rPr>
        <w:t>,</w:t>
      </w:r>
      <w:r w:rsidR="001F4DAD" w:rsidRPr="00B213DB">
        <w:rPr>
          <w:rFonts w:ascii="Times New Roman" w:hAnsi="Times New Roman"/>
        </w:rPr>
        <w:t xml:space="preserve"> pp.</w:t>
      </w:r>
      <w:r w:rsidR="00D6751B" w:rsidRPr="00B213DB">
        <w:rPr>
          <w:rFonts w:ascii="Times New Roman" w:hAnsi="Times New Roman"/>
        </w:rPr>
        <w:t xml:space="preserve"> 57-82.</w:t>
      </w:r>
    </w:p>
    <w:p w:rsidR="00D6751B" w:rsidRPr="00B213DB" w:rsidRDefault="00D6751B">
      <w:pPr>
        <w:rPr>
          <w:rFonts w:ascii="Times New Roman" w:hAnsi="Times New Roman"/>
        </w:rPr>
      </w:pPr>
    </w:p>
    <w:p w:rsidR="006A00EF" w:rsidRPr="00B213DB" w:rsidRDefault="005B6D2C">
      <w:pPr>
        <w:rPr>
          <w:rFonts w:ascii="Times New Roman" w:hAnsi="Times New Roman"/>
        </w:rPr>
      </w:pPr>
      <w:r w:rsidRPr="00B213DB">
        <w:rPr>
          <w:rFonts w:ascii="Times New Roman" w:hAnsi="Times New Roman"/>
        </w:rPr>
        <w:t>Clarke, R. “</w:t>
      </w:r>
      <w:r w:rsidR="00424514" w:rsidRPr="00B213DB">
        <w:rPr>
          <w:rFonts w:ascii="Times New Roman" w:hAnsi="Times New Roman"/>
        </w:rPr>
        <w:t xml:space="preserve">Mercer gets behind concerns over fee pressure”. </w:t>
      </w:r>
      <w:r w:rsidR="00424514" w:rsidRPr="00B213DB">
        <w:rPr>
          <w:rFonts w:ascii="Times New Roman" w:hAnsi="Times New Roman"/>
          <w:i/>
        </w:rPr>
        <w:t>Investor Strategy</w:t>
      </w:r>
      <w:r w:rsidR="006A00EF" w:rsidRPr="00B213DB">
        <w:rPr>
          <w:rFonts w:ascii="Times New Roman" w:hAnsi="Times New Roman"/>
          <w:i/>
        </w:rPr>
        <w:t xml:space="preserve"> News</w:t>
      </w:r>
      <w:r w:rsidR="00424514" w:rsidRPr="00B213DB">
        <w:rPr>
          <w:rFonts w:ascii="Times New Roman" w:hAnsi="Times New Roman"/>
        </w:rPr>
        <w:t xml:space="preserve">, </w:t>
      </w:r>
    </w:p>
    <w:p w:rsidR="005B6D2C" w:rsidRPr="00B213DB" w:rsidRDefault="00424514" w:rsidP="006A00EF">
      <w:pPr>
        <w:ind w:firstLine="720"/>
        <w:rPr>
          <w:rFonts w:ascii="Times New Roman" w:hAnsi="Times New Roman"/>
        </w:rPr>
      </w:pPr>
      <w:r w:rsidRPr="00B213DB">
        <w:rPr>
          <w:rFonts w:ascii="Times New Roman" w:hAnsi="Times New Roman"/>
        </w:rPr>
        <w:t xml:space="preserve">(17 July 2016). </w:t>
      </w:r>
      <w:proofErr w:type="spellStart"/>
      <w:r w:rsidRPr="00B213DB">
        <w:rPr>
          <w:rFonts w:ascii="Times New Roman" w:hAnsi="Times New Roman"/>
        </w:rPr>
        <w:t>www.ioandc.com</w:t>
      </w:r>
      <w:proofErr w:type="spellEnd"/>
      <w:r w:rsidRPr="00B213DB">
        <w:rPr>
          <w:rFonts w:ascii="Times New Roman" w:hAnsi="Times New Roman"/>
        </w:rPr>
        <w:t xml:space="preserve">/mercer-gets-behind-concerns-over-fee-pressure/ </w:t>
      </w:r>
    </w:p>
    <w:p w:rsidR="005B6D2C" w:rsidRPr="00B213DB" w:rsidRDefault="005B6D2C">
      <w:pPr>
        <w:rPr>
          <w:rFonts w:ascii="Times New Roman" w:hAnsi="Times New Roman"/>
        </w:rPr>
      </w:pPr>
    </w:p>
    <w:p w:rsidR="001F4DAD" w:rsidRPr="00B213DB" w:rsidRDefault="001F4DAD" w:rsidP="00A24679">
      <w:pPr>
        <w:rPr>
          <w:rFonts w:ascii="Times New Roman" w:hAnsi="Times New Roman"/>
        </w:rPr>
      </w:pPr>
      <w:proofErr w:type="spellStart"/>
      <w:r w:rsidRPr="00B213DB">
        <w:rPr>
          <w:rFonts w:ascii="Times New Roman" w:hAnsi="Times New Roman"/>
        </w:rPr>
        <w:t>Fama</w:t>
      </w:r>
      <w:proofErr w:type="spellEnd"/>
      <w:r w:rsidRPr="00B213DB">
        <w:rPr>
          <w:rFonts w:ascii="Times New Roman" w:hAnsi="Times New Roman"/>
        </w:rPr>
        <w:t>, E. &amp; French, K.</w:t>
      </w:r>
      <w:r w:rsidR="00A24679" w:rsidRPr="00B213DB">
        <w:rPr>
          <w:rFonts w:ascii="Times New Roman" w:hAnsi="Times New Roman"/>
        </w:rPr>
        <w:t xml:space="preserve"> </w:t>
      </w:r>
      <w:r w:rsidRPr="00B213DB">
        <w:rPr>
          <w:rFonts w:ascii="Times New Roman" w:hAnsi="Times New Roman"/>
        </w:rPr>
        <w:t>“</w:t>
      </w:r>
      <w:r w:rsidR="00A24679" w:rsidRPr="00B213DB">
        <w:rPr>
          <w:rFonts w:ascii="Times New Roman" w:hAnsi="Times New Roman"/>
        </w:rPr>
        <w:t xml:space="preserve">Luck Versus Skill in the Cross Section of Mutual Fund </w:t>
      </w:r>
    </w:p>
    <w:p w:rsidR="00A24679" w:rsidRPr="00B213DB" w:rsidRDefault="00A24679" w:rsidP="001F4DAD">
      <w:pPr>
        <w:ind w:firstLine="720"/>
        <w:rPr>
          <w:rFonts w:ascii="Times New Roman" w:hAnsi="Times New Roman"/>
        </w:rPr>
      </w:pPr>
      <w:r w:rsidRPr="00B213DB">
        <w:rPr>
          <w:rFonts w:ascii="Times New Roman" w:hAnsi="Times New Roman"/>
          <w:iCs/>
        </w:rPr>
        <w:t>Returns.</w:t>
      </w:r>
      <w:r w:rsidR="001F4DAD" w:rsidRPr="00B213DB">
        <w:rPr>
          <w:rFonts w:ascii="Times New Roman" w:hAnsi="Times New Roman"/>
          <w:iCs/>
        </w:rPr>
        <w:t>”</w:t>
      </w:r>
      <w:r w:rsidRPr="00B213DB">
        <w:rPr>
          <w:rFonts w:ascii="Times New Roman" w:hAnsi="Times New Roman"/>
          <w:iCs/>
        </w:rPr>
        <w:t xml:space="preserve"> </w:t>
      </w:r>
      <w:r w:rsidRPr="00B213DB">
        <w:rPr>
          <w:rFonts w:ascii="Times New Roman" w:hAnsi="Times New Roman"/>
          <w:i/>
          <w:iCs/>
        </w:rPr>
        <w:t>Journal of Finance</w:t>
      </w:r>
      <w:r w:rsidRPr="00B213DB">
        <w:rPr>
          <w:rFonts w:ascii="Times New Roman" w:hAnsi="Times New Roman"/>
          <w:iCs/>
        </w:rPr>
        <w:t>,</w:t>
      </w:r>
      <w:r w:rsidRPr="00B213DB">
        <w:rPr>
          <w:rFonts w:ascii="Times New Roman" w:hAnsi="Times New Roman"/>
          <w:i/>
          <w:iCs/>
        </w:rPr>
        <w:t xml:space="preserve"> </w:t>
      </w:r>
      <w:r w:rsidR="00167244" w:rsidRPr="00B213DB">
        <w:rPr>
          <w:rFonts w:ascii="Times New Roman" w:hAnsi="Times New Roman"/>
        </w:rPr>
        <w:t>65</w:t>
      </w:r>
      <w:r w:rsidR="001F4DAD" w:rsidRPr="00B213DB">
        <w:rPr>
          <w:rFonts w:ascii="Times New Roman" w:hAnsi="Times New Roman"/>
        </w:rPr>
        <w:t xml:space="preserve"> (2010)</w:t>
      </w:r>
      <w:r w:rsidR="00167244" w:rsidRPr="00B213DB">
        <w:rPr>
          <w:rFonts w:ascii="Times New Roman" w:hAnsi="Times New Roman"/>
        </w:rPr>
        <w:t xml:space="preserve">, </w:t>
      </w:r>
      <w:r w:rsidR="00674857" w:rsidRPr="00B213DB">
        <w:rPr>
          <w:rFonts w:ascii="Times New Roman" w:hAnsi="Times New Roman"/>
        </w:rPr>
        <w:t>pp</w:t>
      </w:r>
      <w:r w:rsidR="001F4DAD" w:rsidRPr="00B213DB">
        <w:rPr>
          <w:rFonts w:ascii="Times New Roman" w:hAnsi="Times New Roman"/>
        </w:rPr>
        <w:t xml:space="preserve">. </w:t>
      </w:r>
      <w:r w:rsidR="00167244" w:rsidRPr="00B213DB">
        <w:rPr>
          <w:rFonts w:ascii="Times New Roman" w:hAnsi="Times New Roman"/>
        </w:rPr>
        <w:t>1915-</w:t>
      </w:r>
      <w:r w:rsidRPr="00B213DB">
        <w:rPr>
          <w:rFonts w:ascii="Times New Roman" w:hAnsi="Times New Roman"/>
        </w:rPr>
        <w:t xml:space="preserve">47. </w:t>
      </w:r>
    </w:p>
    <w:p w:rsidR="004E43ED" w:rsidRPr="00B213DB" w:rsidRDefault="004E43ED">
      <w:pPr>
        <w:rPr>
          <w:rFonts w:ascii="Times New Roman" w:hAnsi="Times New Roman"/>
        </w:rPr>
      </w:pPr>
    </w:p>
    <w:p w:rsidR="00A01F6A" w:rsidRPr="00B213DB" w:rsidRDefault="00E34248">
      <w:pPr>
        <w:rPr>
          <w:rFonts w:ascii="Times New Roman" w:hAnsi="Times New Roman"/>
        </w:rPr>
      </w:pPr>
      <w:r w:rsidRPr="00B213DB">
        <w:rPr>
          <w:rFonts w:ascii="Times New Roman" w:hAnsi="Times New Roman"/>
        </w:rPr>
        <w:t xml:space="preserve">Fortin, R. &amp; Michelson, S. </w:t>
      </w:r>
      <w:r w:rsidR="00A01F6A" w:rsidRPr="00B213DB">
        <w:rPr>
          <w:rFonts w:ascii="Times New Roman" w:hAnsi="Times New Roman"/>
        </w:rPr>
        <w:t>“</w:t>
      </w:r>
      <w:r w:rsidRPr="00B213DB">
        <w:rPr>
          <w:rFonts w:ascii="Times New Roman" w:hAnsi="Times New Roman"/>
        </w:rPr>
        <w:t>Mutual fund performance persistence: still true?</w:t>
      </w:r>
      <w:r w:rsidR="00A01F6A" w:rsidRPr="00B213DB">
        <w:rPr>
          <w:rFonts w:ascii="Times New Roman" w:hAnsi="Times New Roman"/>
        </w:rPr>
        <w:t xml:space="preserve">” </w:t>
      </w:r>
    </w:p>
    <w:p w:rsidR="00E34248" w:rsidRPr="00B213DB" w:rsidRDefault="00E34248" w:rsidP="00A01F6A">
      <w:pPr>
        <w:ind w:firstLine="720"/>
        <w:rPr>
          <w:rFonts w:ascii="Times New Roman" w:hAnsi="Times New Roman"/>
        </w:rPr>
      </w:pPr>
      <w:r w:rsidRPr="00B213DB">
        <w:rPr>
          <w:rFonts w:ascii="Times New Roman" w:hAnsi="Times New Roman"/>
          <w:i/>
        </w:rPr>
        <w:t>Academy of Accounting &amp; Financial Studies Journal</w:t>
      </w:r>
      <w:r w:rsidR="00A01F6A" w:rsidRPr="00B213DB">
        <w:rPr>
          <w:rFonts w:ascii="Times New Roman" w:hAnsi="Times New Roman"/>
        </w:rPr>
        <w:t>,</w:t>
      </w:r>
      <w:r w:rsidRPr="00B213DB">
        <w:rPr>
          <w:rFonts w:ascii="Times New Roman" w:hAnsi="Times New Roman"/>
        </w:rPr>
        <w:t xml:space="preserve"> 14</w:t>
      </w:r>
      <w:r w:rsidR="001F4DAD" w:rsidRPr="00B213DB">
        <w:rPr>
          <w:rFonts w:ascii="Times New Roman" w:hAnsi="Times New Roman"/>
        </w:rPr>
        <w:t xml:space="preserve"> (2010)</w:t>
      </w:r>
      <w:r w:rsidRPr="00B213DB">
        <w:rPr>
          <w:rFonts w:ascii="Times New Roman" w:hAnsi="Times New Roman"/>
        </w:rPr>
        <w:t xml:space="preserve">, </w:t>
      </w:r>
      <w:r w:rsidR="00674857" w:rsidRPr="00B213DB">
        <w:rPr>
          <w:rFonts w:ascii="Times New Roman" w:hAnsi="Times New Roman"/>
        </w:rPr>
        <w:t>pp</w:t>
      </w:r>
      <w:r w:rsidR="00A01F6A" w:rsidRPr="00B213DB">
        <w:rPr>
          <w:rFonts w:ascii="Times New Roman" w:hAnsi="Times New Roman"/>
        </w:rPr>
        <w:t xml:space="preserve">. </w:t>
      </w:r>
      <w:r w:rsidRPr="00B213DB">
        <w:rPr>
          <w:rFonts w:ascii="Times New Roman" w:hAnsi="Times New Roman"/>
        </w:rPr>
        <w:t xml:space="preserve">29-41. </w:t>
      </w:r>
    </w:p>
    <w:p w:rsidR="007B17EF" w:rsidRPr="00B213DB" w:rsidRDefault="007B17EF">
      <w:pPr>
        <w:rPr>
          <w:rFonts w:ascii="Times New Roman" w:hAnsi="Times New Roman"/>
        </w:rPr>
      </w:pPr>
    </w:p>
    <w:p w:rsidR="001A0DC9" w:rsidRPr="00B213DB" w:rsidRDefault="001A0DC9">
      <w:pPr>
        <w:rPr>
          <w:rFonts w:ascii="Times New Roman" w:hAnsi="Times New Roman"/>
          <w:i/>
        </w:rPr>
      </w:pPr>
      <w:r w:rsidRPr="00B213DB">
        <w:rPr>
          <w:rFonts w:ascii="Times New Roman" w:hAnsi="Times New Roman"/>
        </w:rPr>
        <w:t xml:space="preserve">Gordon, M. “The fees conundrum: fund managers need to get used to it.” </w:t>
      </w:r>
      <w:r w:rsidRPr="00B213DB">
        <w:rPr>
          <w:rFonts w:ascii="Times New Roman" w:hAnsi="Times New Roman"/>
          <w:i/>
        </w:rPr>
        <w:t xml:space="preserve">Investor </w:t>
      </w:r>
    </w:p>
    <w:p w:rsidR="001A0DC9" w:rsidRPr="00B213DB" w:rsidRDefault="001A0DC9">
      <w:pPr>
        <w:rPr>
          <w:rFonts w:ascii="Times New Roman" w:hAnsi="Times New Roman"/>
        </w:rPr>
      </w:pPr>
      <w:r w:rsidRPr="00B213DB">
        <w:rPr>
          <w:rFonts w:ascii="Times New Roman" w:hAnsi="Times New Roman"/>
          <w:i/>
        </w:rPr>
        <w:tab/>
        <w:t>Strategy News</w:t>
      </w:r>
      <w:r w:rsidRPr="00B213DB">
        <w:rPr>
          <w:rFonts w:ascii="Times New Roman" w:hAnsi="Times New Roman"/>
        </w:rPr>
        <w:t>, (4 September 2016),</w:t>
      </w:r>
      <w:r w:rsidRPr="00B213DB">
        <w:t xml:space="preserve"> </w:t>
      </w:r>
      <w:proofErr w:type="spellStart"/>
      <w:r w:rsidRPr="00B213DB">
        <w:rPr>
          <w:rFonts w:ascii="Times New Roman" w:hAnsi="Times New Roman"/>
        </w:rPr>
        <w:t>www.ioandc.com</w:t>
      </w:r>
      <w:proofErr w:type="spellEnd"/>
      <w:r w:rsidRPr="00B213DB">
        <w:rPr>
          <w:rFonts w:ascii="Times New Roman" w:hAnsi="Times New Roman"/>
        </w:rPr>
        <w:t xml:space="preserve">/the-fees-conundrum- </w:t>
      </w:r>
    </w:p>
    <w:p w:rsidR="001A0DC9" w:rsidRPr="00B213DB" w:rsidRDefault="001A0DC9">
      <w:pPr>
        <w:rPr>
          <w:rFonts w:ascii="Times New Roman" w:hAnsi="Times New Roman"/>
        </w:rPr>
      </w:pPr>
      <w:r w:rsidRPr="00B213DB">
        <w:rPr>
          <w:rFonts w:ascii="Times New Roman" w:hAnsi="Times New Roman"/>
        </w:rPr>
        <w:tab/>
        <w:t>fund-managers-need-to-get-used-to-it/</w:t>
      </w:r>
    </w:p>
    <w:p w:rsidR="001A0DC9" w:rsidRDefault="001A0DC9">
      <w:pPr>
        <w:rPr>
          <w:rFonts w:ascii="Times New Roman" w:hAnsi="Times New Roman"/>
        </w:rPr>
      </w:pPr>
    </w:p>
    <w:p w:rsidR="00B93204" w:rsidRDefault="00202A44" w:rsidP="00B93204">
      <w:pPr>
        <w:rPr>
          <w:rFonts w:ascii="Times New Roman" w:hAnsi="Times New Roman"/>
          <w:i/>
          <w:iCs/>
          <w:lang w:val="en-US"/>
        </w:rPr>
      </w:pPr>
      <w:proofErr w:type="spellStart"/>
      <w:r w:rsidRPr="00202A44">
        <w:rPr>
          <w:rFonts w:ascii="Times New Roman" w:hAnsi="Times New Roman"/>
          <w:iCs/>
          <w:lang w:val="en-US"/>
        </w:rPr>
        <w:t>Harbron</w:t>
      </w:r>
      <w:proofErr w:type="spellEnd"/>
      <w:r w:rsidRPr="00202A44">
        <w:rPr>
          <w:rFonts w:ascii="Times New Roman" w:hAnsi="Times New Roman"/>
          <w:iCs/>
          <w:lang w:val="en-US"/>
        </w:rPr>
        <w:t xml:space="preserve">, </w:t>
      </w:r>
      <w:proofErr w:type="spellStart"/>
      <w:r w:rsidR="00B93204">
        <w:rPr>
          <w:rFonts w:ascii="Times New Roman" w:hAnsi="Times New Roman"/>
          <w:iCs/>
          <w:lang w:val="en-US"/>
        </w:rPr>
        <w:t>G.L</w:t>
      </w:r>
      <w:proofErr w:type="spellEnd"/>
      <w:r w:rsidR="00B93204">
        <w:rPr>
          <w:rFonts w:ascii="Times New Roman" w:hAnsi="Times New Roman"/>
          <w:iCs/>
          <w:lang w:val="en-US"/>
        </w:rPr>
        <w:t xml:space="preserve">., </w:t>
      </w:r>
      <w:r w:rsidRPr="00202A44">
        <w:rPr>
          <w:rFonts w:ascii="Times New Roman" w:hAnsi="Times New Roman"/>
          <w:iCs/>
          <w:lang w:val="en-US"/>
        </w:rPr>
        <w:t>Roberts</w:t>
      </w:r>
      <w:r w:rsidR="00B93204">
        <w:rPr>
          <w:rFonts w:ascii="Times New Roman" w:hAnsi="Times New Roman"/>
          <w:iCs/>
          <w:lang w:val="en-US"/>
        </w:rPr>
        <w:t xml:space="preserve">, </w:t>
      </w:r>
      <w:proofErr w:type="spellStart"/>
      <w:r w:rsidR="00B93204">
        <w:rPr>
          <w:rFonts w:ascii="Times New Roman" w:hAnsi="Times New Roman"/>
          <w:iCs/>
          <w:lang w:val="en-US"/>
        </w:rPr>
        <w:t>D.R</w:t>
      </w:r>
      <w:proofErr w:type="spellEnd"/>
      <w:r w:rsidR="00B93204">
        <w:rPr>
          <w:rFonts w:ascii="Times New Roman" w:hAnsi="Times New Roman"/>
          <w:iCs/>
          <w:lang w:val="en-US"/>
        </w:rPr>
        <w:t xml:space="preserve">. &amp; </w:t>
      </w:r>
      <w:r w:rsidRPr="00202A44">
        <w:rPr>
          <w:rFonts w:ascii="Times New Roman" w:hAnsi="Times New Roman"/>
          <w:iCs/>
          <w:lang w:val="en-US"/>
        </w:rPr>
        <w:t>Johnson</w:t>
      </w:r>
      <w:r w:rsidR="00B93204">
        <w:rPr>
          <w:rFonts w:ascii="Times New Roman" w:hAnsi="Times New Roman"/>
          <w:iCs/>
          <w:lang w:val="en-US"/>
        </w:rPr>
        <w:t>,</w:t>
      </w:r>
      <w:r w:rsidRPr="00202A44">
        <w:rPr>
          <w:rFonts w:ascii="Times New Roman" w:hAnsi="Times New Roman"/>
          <w:iCs/>
          <w:lang w:val="en-US"/>
        </w:rPr>
        <w:t xml:space="preserve"> </w:t>
      </w:r>
      <w:proofErr w:type="spellStart"/>
      <w:r w:rsidR="00B93204">
        <w:rPr>
          <w:rFonts w:ascii="Times New Roman" w:hAnsi="Times New Roman"/>
          <w:iCs/>
          <w:lang w:val="en-US"/>
        </w:rPr>
        <w:t>J.A</w:t>
      </w:r>
      <w:proofErr w:type="spellEnd"/>
      <w:r w:rsidR="00B93204">
        <w:rPr>
          <w:rFonts w:ascii="Times New Roman" w:hAnsi="Times New Roman"/>
          <w:iCs/>
          <w:lang w:val="en-US"/>
        </w:rPr>
        <w:t>. “</w:t>
      </w:r>
      <w:r w:rsidR="00B93204" w:rsidRPr="00B93204">
        <w:rPr>
          <w:rFonts w:ascii="Times New Roman" w:hAnsi="Times New Roman"/>
          <w:i/>
          <w:iCs/>
          <w:lang w:val="en-US"/>
        </w:rPr>
        <w:t xml:space="preserve">The case for low-cost index-fund </w:t>
      </w:r>
    </w:p>
    <w:p w:rsidR="00B93204" w:rsidRPr="00B93204" w:rsidRDefault="00B93204" w:rsidP="00B93204">
      <w:pPr>
        <w:rPr>
          <w:rFonts w:ascii="Times New Roman" w:hAnsi="Times New Roman"/>
          <w:iCs/>
          <w:lang w:val="en-US"/>
        </w:rPr>
      </w:pPr>
      <w:r>
        <w:rPr>
          <w:rFonts w:ascii="Times New Roman" w:hAnsi="Times New Roman"/>
          <w:i/>
          <w:iCs/>
          <w:lang w:val="en-US"/>
        </w:rPr>
        <w:tab/>
      </w:r>
      <w:r w:rsidRPr="00B93204">
        <w:rPr>
          <w:rFonts w:ascii="Times New Roman" w:hAnsi="Times New Roman"/>
          <w:i/>
          <w:iCs/>
          <w:lang w:val="en-US"/>
        </w:rPr>
        <w:t>investing</w:t>
      </w:r>
      <w:r>
        <w:rPr>
          <w:rFonts w:ascii="Times New Roman" w:hAnsi="Times New Roman"/>
          <w:iCs/>
          <w:lang w:val="en-US"/>
        </w:rPr>
        <w:t>”, Vanguard, July 2016.</w:t>
      </w:r>
      <w:r w:rsidRPr="00B93204">
        <w:rPr>
          <w:rFonts w:ascii="Times New Roman" w:hAnsi="Times New Roman"/>
          <w:iCs/>
          <w:lang w:val="en-US"/>
        </w:rPr>
        <w:t xml:space="preserve"> </w:t>
      </w:r>
    </w:p>
    <w:p w:rsidR="00202A44" w:rsidRPr="00B213DB" w:rsidRDefault="00202A44">
      <w:pPr>
        <w:rPr>
          <w:rFonts w:ascii="Times New Roman" w:hAnsi="Times New Roman"/>
        </w:rPr>
      </w:pPr>
    </w:p>
    <w:p w:rsidR="00732B05" w:rsidRPr="00B213DB" w:rsidRDefault="00732B05">
      <w:pPr>
        <w:rPr>
          <w:rFonts w:ascii="Times New Roman" w:hAnsi="Times New Roman"/>
          <w:i/>
        </w:rPr>
      </w:pPr>
      <w:r w:rsidRPr="00B213DB">
        <w:rPr>
          <w:rFonts w:ascii="Times New Roman" w:hAnsi="Times New Roman"/>
        </w:rPr>
        <w:t>Hartley, D. “</w:t>
      </w:r>
      <w:r w:rsidRPr="00B213DB">
        <w:rPr>
          <w:rFonts w:ascii="Times New Roman" w:hAnsi="Times New Roman"/>
          <w:i/>
        </w:rPr>
        <w:t xml:space="preserve">Individual Submission to Australian Government Productivity </w:t>
      </w:r>
    </w:p>
    <w:p w:rsidR="00732B05" w:rsidRPr="00B213DB" w:rsidRDefault="00732B05">
      <w:pPr>
        <w:rPr>
          <w:rFonts w:ascii="Times New Roman" w:hAnsi="Times New Roman"/>
        </w:rPr>
      </w:pPr>
      <w:r w:rsidRPr="00B213DB">
        <w:rPr>
          <w:rFonts w:ascii="Times New Roman" w:hAnsi="Times New Roman"/>
          <w:i/>
        </w:rPr>
        <w:tab/>
        <w:t>Commission</w:t>
      </w:r>
      <w:r w:rsidRPr="00B213DB">
        <w:rPr>
          <w:rFonts w:ascii="Times New Roman" w:hAnsi="Times New Roman"/>
        </w:rPr>
        <w:t>”, (20 April 2016)</w:t>
      </w:r>
    </w:p>
    <w:p w:rsidR="00732B05" w:rsidRPr="00B213DB" w:rsidRDefault="00732B05">
      <w:pPr>
        <w:rPr>
          <w:rFonts w:ascii="Times New Roman" w:hAnsi="Times New Roman"/>
        </w:rPr>
      </w:pPr>
    </w:p>
    <w:p w:rsidR="000448C8" w:rsidRPr="00B213DB" w:rsidRDefault="00AB4AC9" w:rsidP="00AB4AC9">
      <w:pPr>
        <w:rPr>
          <w:rFonts w:ascii="Times New Roman" w:hAnsi="Times New Roman"/>
          <w:bCs/>
          <w:i/>
        </w:rPr>
      </w:pPr>
      <w:proofErr w:type="spellStart"/>
      <w:r w:rsidRPr="00B213DB">
        <w:rPr>
          <w:rFonts w:ascii="Times New Roman" w:hAnsi="Times New Roman"/>
          <w:bCs/>
        </w:rPr>
        <w:t>Juru</w:t>
      </w:r>
      <w:proofErr w:type="spellEnd"/>
      <w:r w:rsidRPr="00B213DB">
        <w:rPr>
          <w:rFonts w:ascii="Times New Roman" w:hAnsi="Times New Roman"/>
          <w:bCs/>
        </w:rPr>
        <w:t xml:space="preserve">, </w:t>
      </w:r>
      <w:proofErr w:type="spellStart"/>
      <w:r w:rsidRPr="00B213DB">
        <w:rPr>
          <w:rFonts w:ascii="Times New Roman" w:hAnsi="Times New Roman"/>
          <w:bCs/>
        </w:rPr>
        <w:t>S.G</w:t>
      </w:r>
      <w:proofErr w:type="spellEnd"/>
      <w:r w:rsidRPr="00B213DB">
        <w:rPr>
          <w:rFonts w:ascii="Times New Roman" w:hAnsi="Times New Roman"/>
          <w:bCs/>
        </w:rPr>
        <w:t xml:space="preserve">. &amp; Johnson, J. </w:t>
      </w:r>
      <w:r w:rsidR="000448C8" w:rsidRPr="00B213DB">
        <w:rPr>
          <w:rFonts w:ascii="Times New Roman" w:hAnsi="Times New Roman"/>
          <w:bCs/>
        </w:rPr>
        <w:t>“</w:t>
      </w:r>
      <w:r w:rsidRPr="00B213DB">
        <w:rPr>
          <w:rFonts w:ascii="Times New Roman" w:hAnsi="Times New Roman"/>
          <w:bCs/>
        </w:rPr>
        <w:t>The difficulties picking fund manager winners.</w:t>
      </w:r>
      <w:r w:rsidR="000448C8" w:rsidRPr="00B213DB">
        <w:rPr>
          <w:rFonts w:ascii="Times New Roman" w:hAnsi="Times New Roman"/>
          <w:bCs/>
        </w:rPr>
        <w:t>”</w:t>
      </w:r>
      <w:r w:rsidRPr="00B213DB">
        <w:rPr>
          <w:rFonts w:ascii="Times New Roman" w:hAnsi="Times New Roman"/>
          <w:bCs/>
        </w:rPr>
        <w:t xml:space="preserve"> </w:t>
      </w:r>
      <w:r w:rsidRPr="00B213DB">
        <w:rPr>
          <w:rFonts w:ascii="Times New Roman" w:hAnsi="Times New Roman"/>
          <w:bCs/>
          <w:i/>
        </w:rPr>
        <w:t>Cufflinks</w:t>
      </w:r>
      <w:r w:rsidR="000448C8" w:rsidRPr="00B213DB">
        <w:rPr>
          <w:rFonts w:ascii="Times New Roman" w:hAnsi="Times New Roman"/>
          <w:bCs/>
          <w:i/>
        </w:rPr>
        <w:t xml:space="preserve">, </w:t>
      </w:r>
    </w:p>
    <w:p w:rsidR="001430AF" w:rsidRPr="00B213DB" w:rsidRDefault="000448C8" w:rsidP="000448C8">
      <w:pPr>
        <w:ind w:firstLine="720"/>
        <w:rPr>
          <w:rFonts w:ascii="Times New Roman" w:hAnsi="Times New Roman"/>
          <w:bCs/>
        </w:rPr>
      </w:pPr>
      <w:r w:rsidRPr="00B213DB">
        <w:rPr>
          <w:rFonts w:ascii="Times New Roman" w:hAnsi="Times New Roman"/>
          <w:bCs/>
        </w:rPr>
        <w:t>(September 10, 2015).</w:t>
      </w:r>
      <w:r w:rsidR="00AB4AC9" w:rsidRPr="00B213DB">
        <w:rPr>
          <w:rFonts w:ascii="Times New Roman" w:hAnsi="Times New Roman"/>
          <w:bCs/>
        </w:rPr>
        <w:t xml:space="preserve"> </w:t>
      </w:r>
    </w:p>
    <w:p w:rsidR="00AB4AC9" w:rsidRPr="00B213DB" w:rsidRDefault="001430AF" w:rsidP="001430AF">
      <w:pPr>
        <w:ind w:firstLine="720"/>
        <w:rPr>
          <w:rFonts w:ascii="Times New Roman" w:hAnsi="Times New Roman"/>
          <w:bCs/>
        </w:rPr>
      </w:pPr>
      <w:proofErr w:type="spellStart"/>
      <w:r w:rsidRPr="00B213DB">
        <w:rPr>
          <w:rFonts w:ascii="Times New Roman" w:hAnsi="Times New Roman"/>
          <w:bCs/>
        </w:rPr>
        <w:t>www.cuffelinks.com.au</w:t>
      </w:r>
      <w:proofErr w:type="spellEnd"/>
      <w:r w:rsidRPr="00B213DB">
        <w:rPr>
          <w:rFonts w:ascii="Times New Roman" w:hAnsi="Times New Roman"/>
          <w:bCs/>
        </w:rPr>
        <w:t>/difficulties-picking-fund-manager-winners/</w:t>
      </w:r>
    </w:p>
    <w:p w:rsidR="00AB4AC9" w:rsidRPr="00B213DB" w:rsidRDefault="00AB4AC9">
      <w:pPr>
        <w:rPr>
          <w:rFonts w:ascii="Times New Roman" w:hAnsi="Times New Roman"/>
        </w:rPr>
      </w:pPr>
    </w:p>
    <w:p w:rsidR="00A519E1" w:rsidRPr="00B213DB" w:rsidRDefault="000448C8">
      <w:pPr>
        <w:rPr>
          <w:rFonts w:ascii="Times New Roman" w:hAnsi="Times New Roman"/>
        </w:rPr>
      </w:pPr>
      <w:r w:rsidRPr="00B213DB">
        <w:rPr>
          <w:rFonts w:ascii="Times New Roman" w:hAnsi="Times New Roman"/>
        </w:rPr>
        <w:t>Mercer.</w:t>
      </w:r>
      <w:r w:rsidR="00A519E1" w:rsidRPr="00B213DB">
        <w:rPr>
          <w:rFonts w:ascii="Times New Roman" w:hAnsi="Times New Roman"/>
        </w:rPr>
        <w:t xml:space="preserve"> A review of the equity risk premium</w:t>
      </w:r>
      <w:r w:rsidRPr="00B213DB">
        <w:rPr>
          <w:rFonts w:ascii="Times New Roman" w:hAnsi="Times New Roman"/>
        </w:rPr>
        <w:t>, Mercer, 2013.</w:t>
      </w:r>
    </w:p>
    <w:p w:rsidR="00A519E1" w:rsidRPr="00B213DB" w:rsidRDefault="00A519E1">
      <w:pPr>
        <w:rPr>
          <w:rFonts w:ascii="Times New Roman" w:hAnsi="Times New Roman"/>
        </w:rPr>
      </w:pPr>
    </w:p>
    <w:p w:rsidR="001A0DC9" w:rsidRPr="00B213DB" w:rsidRDefault="001A0DC9" w:rsidP="00312654">
      <w:pPr>
        <w:rPr>
          <w:rFonts w:ascii="Times New Roman" w:hAnsi="Times New Roman"/>
        </w:rPr>
      </w:pPr>
      <w:r w:rsidRPr="00B213DB">
        <w:rPr>
          <w:rFonts w:ascii="Times New Roman" w:hAnsi="Times New Roman"/>
        </w:rPr>
        <w:t xml:space="preserve">Patrick, A. “Super’s war on private equity”. </w:t>
      </w:r>
      <w:r w:rsidRPr="00B213DB">
        <w:rPr>
          <w:rFonts w:ascii="Times New Roman" w:hAnsi="Times New Roman"/>
          <w:i/>
        </w:rPr>
        <w:t>Australian Financial Review</w:t>
      </w:r>
      <w:r w:rsidRPr="00B213DB">
        <w:rPr>
          <w:rFonts w:ascii="Times New Roman" w:hAnsi="Times New Roman"/>
        </w:rPr>
        <w:t xml:space="preserve">, (19 August </w:t>
      </w:r>
    </w:p>
    <w:p w:rsidR="001A0DC9" w:rsidRDefault="001A0DC9" w:rsidP="00312654">
      <w:pPr>
        <w:rPr>
          <w:rFonts w:ascii="Times New Roman" w:hAnsi="Times New Roman"/>
        </w:rPr>
      </w:pPr>
      <w:r w:rsidRPr="00B213DB">
        <w:rPr>
          <w:rFonts w:ascii="Times New Roman" w:hAnsi="Times New Roman"/>
        </w:rPr>
        <w:tab/>
        <w:t>2016)</w:t>
      </w:r>
    </w:p>
    <w:p w:rsidR="00393C2A" w:rsidRDefault="00393C2A" w:rsidP="00312654">
      <w:pPr>
        <w:rPr>
          <w:rFonts w:ascii="Times New Roman" w:hAnsi="Times New Roman"/>
        </w:rPr>
      </w:pPr>
    </w:p>
    <w:p w:rsidR="00393C2A" w:rsidRDefault="00393C2A" w:rsidP="00393C2A">
      <w:pPr>
        <w:rPr>
          <w:i/>
        </w:rPr>
      </w:pPr>
      <w:r>
        <w:rPr>
          <w:rFonts w:ascii="Times New Roman" w:hAnsi="Times New Roman"/>
        </w:rPr>
        <w:t>Peterson, J. “</w:t>
      </w:r>
      <w:r w:rsidRPr="00393C2A">
        <w:rPr>
          <w:i/>
        </w:rPr>
        <w:t xml:space="preserve">Investment Risk and Portfolio Risk: for Superannuation Directors and </w:t>
      </w:r>
    </w:p>
    <w:p w:rsidR="00393C2A" w:rsidRPr="00393C2A" w:rsidRDefault="00393C2A" w:rsidP="00393C2A">
      <w:r>
        <w:rPr>
          <w:i/>
        </w:rPr>
        <w:tab/>
      </w:r>
      <w:r w:rsidRPr="00393C2A">
        <w:rPr>
          <w:i/>
        </w:rPr>
        <w:t>Trustees</w:t>
      </w:r>
      <w:r>
        <w:t>”, Peterson research Institute, 2013.</w:t>
      </w:r>
      <w:r w:rsidRPr="00393C2A">
        <w:t xml:space="preserve"> </w:t>
      </w:r>
    </w:p>
    <w:p w:rsidR="001A0DC9" w:rsidRPr="00B213DB" w:rsidRDefault="001A0DC9" w:rsidP="00312654">
      <w:pPr>
        <w:rPr>
          <w:rFonts w:ascii="Times New Roman" w:hAnsi="Times New Roman"/>
        </w:rPr>
      </w:pPr>
    </w:p>
    <w:p w:rsidR="000448C8" w:rsidRPr="00B213DB" w:rsidRDefault="00312654" w:rsidP="00312654">
      <w:pPr>
        <w:rPr>
          <w:rFonts w:ascii="Times New Roman" w:hAnsi="Times New Roman"/>
          <w:i/>
        </w:rPr>
      </w:pPr>
      <w:r w:rsidRPr="00B213DB">
        <w:rPr>
          <w:rFonts w:ascii="Times New Roman" w:hAnsi="Times New Roman"/>
        </w:rPr>
        <w:t xml:space="preserve">Pfeiffer, S.A. &amp; </w:t>
      </w:r>
      <w:proofErr w:type="spellStart"/>
      <w:r w:rsidRPr="00B213DB">
        <w:rPr>
          <w:rFonts w:ascii="Times New Roman" w:hAnsi="Times New Roman"/>
        </w:rPr>
        <w:t>Evensky</w:t>
      </w:r>
      <w:proofErr w:type="spellEnd"/>
      <w:r w:rsidRPr="00B213DB">
        <w:rPr>
          <w:rFonts w:ascii="Times New Roman" w:hAnsi="Times New Roman"/>
        </w:rPr>
        <w:t xml:space="preserve">, </w:t>
      </w:r>
      <w:proofErr w:type="spellStart"/>
      <w:r w:rsidRPr="00B213DB">
        <w:rPr>
          <w:rFonts w:ascii="Times New Roman" w:hAnsi="Times New Roman"/>
        </w:rPr>
        <w:t>H.R.</w:t>
      </w:r>
      <w:proofErr w:type="spellEnd"/>
      <w:r w:rsidRPr="00B213DB">
        <w:rPr>
          <w:rFonts w:ascii="Times New Roman" w:hAnsi="Times New Roman"/>
        </w:rPr>
        <w:t xml:space="preserve"> Modern fool’s gold: Alpha in recessions. </w:t>
      </w:r>
      <w:r w:rsidRPr="00B213DB">
        <w:rPr>
          <w:rFonts w:ascii="Times New Roman" w:hAnsi="Times New Roman"/>
          <w:i/>
        </w:rPr>
        <w:t xml:space="preserve">Journal of </w:t>
      </w:r>
    </w:p>
    <w:p w:rsidR="00312654" w:rsidRPr="00B213DB" w:rsidRDefault="000448C8" w:rsidP="00312654">
      <w:pPr>
        <w:rPr>
          <w:rFonts w:ascii="Times New Roman" w:hAnsi="Times New Roman"/>
        </w:rPr>
      </w:pPr>
      <w:r w:rsidRPr="00B213DB">
        <w:rPr>
          <w:rFonts w:ascii="Times New Roman" w:hAnsi="Times New Roman"/>
          <w:i/>
        </w:rPr>
        <w:tab/>
      </w:r>
      <w:r w:rsidR="00312654" w:rsidRPr="00B213DB">
        <w:rPr>
          <w:rFonts w:ascii="Times New Roman" w:hAnsi="Times New Roman"/>
          <w:i/>
        </w:rPr>
        <w:t>Investing</w:t>
      </w:r>
      <w:r w:rsidR="00312654" w:rsidRPr="00B213DB">
        <w:rPr>
          <w:rFonts w:ascii="Times New Roman" w:hAnsi="Times New Roman"/>
        </w:rPr>
        <w:t>. 21</w:t>
      </w:r>
      <w:r w:rsidRPr="00B213DB">
        <w:rPr>
          <w:rFonts w:ascii="Times New Roman" w:hAnsi="Times New Roman"/>
        </w:rPr>
        <w:t xml:space="preserve"> (2012)</w:t>
      </w:r>
      <w:r w:rsidR="00312654" w:rsidRPr="00B213DB">
        <w:rPr>
          <w:rFonts w:ascii="Times New Roman" w:hAnsi="Times New Roman"/>
        </w:rPr>
        <w:t xml:space="preserve">, </w:t>
      </w:r>
      <w:r w:rsidRPr="00B213DB">
        <w:rPr>
          <w:rFonts w:ascii="Times New Roman" w:hAnsi="Times New Roman"/>
        </w:rPr>
        <w:t xml:space="preserve">pp. </w:t>
      </w:r>
      <w:r w:rsidR="00312654" w:rsidRPr="00B213DB">
        <w:rPr>
          <w:rFonts w:ascii="Times New Roman" w:hAnsi="Times New Roman"/>
        </w:rPr>
        <w:t>60-68.</w:t>
      </w:r>
    </w:p>
    <w:p w:rsidR="00312654" w:rsidRPr="00B213DB" w:rsidRDefault="00312654">
      <w:pPr>
        <w:rPr>
          <w:rFonts w:ascii="Times New Roman" w:hAnsi="Times New Roman"/>
        </w:rPr>
      </w:pPr>
    </w:p>
    <w:p w:rsidR="006A226A" w:rsidRPr="00B213DB" w:rsidRDefault="006A226A" w:rsidP="006A226A">
      <w:pPr>
        <w:rPr>
          <w:rFonts w:ascii="Times New Roman" w:hAnsi="Times New Roman"/>
        </w:rPr>
      </w:pPr>
      <w:proofErr w:type="spellStart"/>
      <w:r w:rsidRPr="00B213DB">
        <w:rPr>
          <w:rFonts w:ascii="Times New Roman" w:hAnsi="Times New Roman"/>
        </w:rPr>
        <w:t>QCA</w:t>
      </w:r>
      <w:proofErr w:type="spellEnd"/>
      <w:r w:rsidRPr="00B213DB">
        <w:rPr>
          <w:rFonts w:ascii="Times New Roman" w:hAnsi="Times New Roman"/>
        </w:rPr>
        <w:t>. Cost of capital: market parameters. Queensland Competition Authority</w:t>
      </w:r>
      <w:r w:rsidR="000448C8" w:rsidRPr="00B213DB">
        <w:rPr>
          <w:rFonts w:ascii="Times New Roman" w:hAnsi="Times New Roman"/>
        </w:rPr>
        <w:t xml:space="preserve">, 2014. </w:t>
      </w:r>
      <w:r w:rsidRPr="00B213DB">
        <w:rPr>
          <w:rFonts w:ascii="Times New Roman" w:hAnsi="Times New Roman"/>
        </w:rPr>
        <w:t xml:space="preserve"> </w:t>
      </w:r>
    </w:p>
    <w:p w:rsidR="00D65C50" w:rsidRPr="00B213DB" w:rsidRDefault="00D65C50">
      <w:pPr>
        <w:rPr>
          <w:rFonts w:ascii="Times New Roman" w:hAnsi="Times New Roman"/>
        </w:rPr>
      </w:pPr>
    </w:p>
    <w:p w:rsidR="000448C8" w:rsidRPr="00B213DB" w:rsidRDefault="00D65C50" w:rsidP="00132C68">
      <w:pPr>
        <w:rPr>
          <w:rFonts w:ascii="Times New Roman" w:hAnsi="Times New Roman"/>
        </w:rPr>
      </w:pPr>
      <w:proofErr w:type="spellStart"/>
      <w:r w:rsidRPr="00B213DB">
        <w:rPr>
          <w:rFonts w:ascii="Times New Roman" w:hAnsi="Times New Roman"/>
        </w:rPr>
        <w:t>Soe</w:t>
      </w:r>
      <w:proofErr w:type="spellEnd"/>
      <w:r w:rsidRPr="00B213DB">
        <w:rPr>
          <w:rFonts w:ascii="Times New Roman" w:hAnsi="Times New Roman"/>
        </w:rPr>
        <w:t xml:space="preserve">, </w:t>
      </w:r>
      <w:proofErr w:type="spellStart"/>
      <w:r w:rsidR="00D319CD" w:rsidRPr="00B213DB">
        <w:rPr>
          <w:rFonts w:ascii="Times New Roman" w:hAnsi="Times New Roman"/>
        </w:rPr>
        <w:t>A.M.</w:t>
      </w:r>
      <w:proofErr w:type="spellEnd"/>
      <w:r w:rsidR="00D319CD" w:rsidRPr="00B213DB">
        <w:rPr>
          <w:rFonts w:ascii="Times New Roman" w:hAnsi="Times New Roman"/>
        </w:rPr>
        <w:t xml:space="preserve"> </w:t>
      </w:r>
      <w:r w:rsidR="000448C8" w:rsidRPr="00B213DB">
        <w:rPr>
          <w:rFonts w:ascii="Times New Roman" w:hAnsi="Times New Roman"/>
        </w:rPr>
        <w:t>“</w:t>
      </w:r>
      <w:r w:rsidR="00132C68" w:rsidRPr="00B213DB">
        <w:rPr>
          <w:rFonts w:ascii="Times New Roman" w:hAnsi="Times New Roman"/>
        </w:rPr>
        <w:t>Does Past Performance Matter? The Persistence Scorecard.</w:t>
      </w:r>
      <w:r w:rsidR="000448C8" w:rsidRPr="00B213DB">
        <w:rPr>
          <w:rFonts w:ascii="Times New Roman" w:hAnsi="Times New Roman"/>
        </w:rPr>
        <w:t>”</w:t>
      </w:r>
      <w:r w:rsidR="00132C68" w:rsidRPr="00B213DB">
        <w:rPr>
          <w:rFonts w:ascii="Times New Roman" w:hAnsi="Times New Roman"/>
        </w:rPr>
        <w:t xml:space="preserve"> Research</w:t>
      </w:r>
      <w:r w:rsidR="000448C8" w:rsidRPr="00B213DB">
        <w:rPr>
          <w:rFonts w:ascii="Times New Roman" w:hAnsi="Times New Roman"/>
        </w:rPr>
        <w:t xml:space="preserve">, </w:t>
      </w:r>
    </w:p>
    <w:p w:rsidR="00132C68" w:rsidRPr="00B213DB" w:rsidRDefault="000448C8" w:rsidP="00132C68">
      <w:pPr>
        <w:rPr>
          <w:rFonts w:ascii="Times New Roman" w:hAnsi="Times New Roman"/>
        </w:rPr>
      </w:pPr>
      <w:r w:rsidRPr="00B213DB">
        <w:rPr>
          <w:rFonts w:ascii="Times New Roman" w:hAnsi="Times New Roman"/>
        </w:rPr>
        <w:tab/>
        <w:t>S&amp;P Dow Jones Indices, (January 2016)</w:t>
      </w:r>
      <w:r w:rsidR="00132C68" w:rsidRPr="00B213DB">
        <w:rPr>
          <w:rFonts w:ascii="Times New Roman" w:hAnsi="Times New Roman"/>
        </w:rPr>
        <w:t xml:space="preserve">. </w:t>
      </w:r>
    </w:p>
    <w:p w:rsidR="00D65C50" w:rsidRPr="00B213DB" w:rsidRDefault="00D65C50">
      <w:pPr>
        <w:rPr>
          <w:rFonts w:ascii="Times New Roman" w:hAnsi="Times New Roman"/>
        </w:rPr>
      </w:pPr>
    </w:p>
    <w:p w:rsidR="000448C8" w:rsidRPr="00B213DB" w:rsidRDefault="00561339" w:rsidP="00992ED2">
      <w:pPr>
        <w:rPr>
          <w:rFonts w:ascii="Times New Roman" w:hAnsi="Times New Roman"/>
          <w:i/>
        </w:rPr>
      </w:pPr>
      <w:proofErr w:type="spellStart"/>
      <w:r w:rsidRPr="00B213DB">
        <w:rPr>
          <w:rFonts w:ascii="Times New Roman" w:hAnsi="Times New Roman"/>
        </w:rPr>
        <w:t>Villaverde</w:t>
      </w:r>
      <w:proofErr w:type="spellEnd"/>
      <w:r w:rsidR="00992ED2" w:rsidRPr="00B213DB">
        <w:rPr>
          <w:rFonts w:ascii="Times New Roman" w:hAnsi="Times New Roman"/>
        </w:rPr>
        <w:t xml:space="preserve">, M. </w:t>
      </w:r>
      <w:r w:rsidR="000448C8" w:rsidRPr="00B213DB">
        <w:rPr>
          <w:rFonts w:ascii="Times New Roman" w:hAnsi="Times New Roman"/>
        </w:rPr>
        <w:t>“</w:t>
      </w:r>
      <w:r w:rsidR="00992ED2" w:rsidRPr="00B213DB">
        <w:rPr>
          <w:rFonts w:ascii="Times New Roman" w:hAnsi="Times New Roman"/>
        </w:rPr>
        <w:t>Measuring investment performance consistency.</w:t>
      </w:r>
      <w:r w:rsidR="000448C8" w:rsidRPr="00B213DB">
        <w:rPr>
          <w:rFonts w:ascii="Times New Roman" w:hAnsi="Times New Roman"/>
        </w:rPr>
        <w:t>”</w:t>
      </w:r>
      <w:r w:rsidR="00992ED2" w:rsidRPr="00B213DB">
        <w:rPr>
          <w:rFonts w:ascii="Times New Roman" w:hAnsi="Times New Roman"/>
        </w:rPr>
        <w:t xml:space="preserve"> </w:t>
      </w:r>
      <w:r w:rsidR="000448C8" w:rsidRPr="00B213DB">
        <w:rPr>
          <w:rFonts w:ascii="Times New Roman" w:hAnsi="Times New Roman"/>
          <w:i/>
        </w:rPr>
        <w:t xml:space="preserve">Quantitative </w:t>
      </w:r>
    </w:p>
    <w:p w:rsidR="00992ED2" w:rsidRPr="00B213DB" w:rsidRDefault="00992ED2" w:rsidP="000448C8">
      <w:pPr>
        <w:ind w:firstLine="720"/>
        <w:rPr>
          <w:rFonts w:ascii="Times New Roman" w:hAnsi="Times New Roman"/>
          <w:i/>
        </w:rPr>
      </w:pPr>
      <w:r w:rsidRPr="00B213DB">
        <w:rPr>
          <w:rFonts w:ascii="Times New Roman" w:hAnsi="Times New Roman"/>
          <w:i/>
        </w:rPr>
        <w:t>Finance</w:t>
      </w:r>
      <w:r w:rsidRPr="00B213DB">
        <w:rPr>
          <w:rFonts w:ascii="Times New Roman" w:hAnsi="Times New Roman"/>
        </w:rPr>
        <w:t>, 10</w:t>
      </w:r>
      <w:r w:rsidR="000448C8" w:rsidRPr="00B213DB">
        <w:rPr>
          <w:rFonts w:ascii="Times New Roman" w:hAnsi="Times New Roman"/>
        </w:rPr>
        <w:t xml:space="preserve"> (2010)</w:t>
      </w:r>
      <w:r w:rsidRPr="00B213DB">
        <w:rPr>
          <w:rFonts w:ascii="Times New Roman" w:hAnsi="Times New Roman"/>
        </w:rPr>
        <w:t xml:space="preserve">, </w:t>
      </w:r>
      <w:r w:rsidR="000448C8" w:rsidRPr="00B213DB">
        <w:rPr>
          <w:rFonts w:ascii="Times New Roman" w:hAnsi="Times New Roman"/>
        </w:rPr>
        <w:t>pp. 565–</w:t>
      </w:r>
      <w:r w:rsidRPr="00B213DB">
        <w:rPr>
          <w:rFonts w:ascii="Times New Roman" w:hAnsi="Times New Roman"/>
        </w:rPr>
        <w:t>74</w:t>
      </w:r>
      <w:r w:rsidR="000448C8" w:rsidRPr="00B213DB">
        <w:rPr>
          <w:rFonts w:ascii="Times New Roman" w:hAnsi="Times New Roman"/>
        </w:rPr>
        <w:t>.</w:t>
      </w:r>
      <w:r w:rsidRPr="00B213DB">
        <w:rPr>
          <w:rFonts w:ascii="Times New Roman" w:hAnsi="Times New Roman"/>
        </w:rPr>
        <w:t xml:space="preserve"> </w:t>
      </w:r>
    </w:p>
    <w:p w:rsidR="00992ED2" w:rsidRPr="00B213DB" w:rsidRDefault="00992ED2" w:rsidP="00992ED2">
      <w:pPr>
        <w:rPr>
          <w:rFonts w:ascii="Times New Roman" w:hAnsi="Times New Roman"/>
        </w:rPr>
      </w:pPr>
      <w:r w:rsidRPr="00B213DB">
        <w:rPr>
          <w:rFonts w:ascii="Times New Roman" w:hAnsi="Times New Roman"/>
        </w:rPr>
        <w:t xml:space="preserve"> </w:t>
      </w:r>
    </w:p>
    <w:p w:rsidR="00D6751B" w:rsidRPr="00B213DB" w:rsidRDefault="00D6751B">
      <w:pPr>
        <w:rPr>
          <w:rFonts w:ascii="Times New Roman" w:hAnsi="Times New Roman"/>
        </w:rPr>
      </w:pPr>
    </w:p>
    <w:sectPr w:rsidR="00D6751B" w:rsidRPr="00B213DB" w:rsidSect="00805718">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01D2" w:rsidRDefault="008801D2" w:rsidP="009C313B">
      <w:r>
        <w:separator/>
      </w:r>
    </w:p>
  </w:endnote>
  <w:endnote w:type="continuationSeparator" w:id="0">
    <w:p w:rsidR="008801D2" w:rsidRDefault="008801D2" w:rsidP="009C3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1D2" w:rsidRPr="009C313B" w:rsidRDefault="008801D2" w:rsidP="009C313B">
    <w:pPr>
      <w:pStyle w:val="Footer"/>
      <w:jc w:val="right"/>
      <w:rPr>
        <w:rFonts w:ascii="Times New Roman" w:hAnsi="Times New Roman"/>
      </w:rPr>
    </w:pPr>
    <w:r>
      <w:rPr>
        <w:rStyle w:val="PageNumber"/>
        <w:rFonts w:ascii="Times New Roman" w:hAnsi="Times New Roman"/>
      </w:rPr>
      <w:t>Peterson Research Institute</w:t>
    </w:r>
    <w:r>
      <w:rPr>
        <w:rStyle w:val="PageNumber"/>
        <w:rFonts w:ascii="Times New Roman" w:hAnsi="Times New Roman"/>
      </w:rPr>
      <w:tab/>
    </w:r>
    <w:r>
      <w:rPr>
        <w:rStyle w:val="PageNumber"/>
        <w:rFonts w:ascii="Times New Roman" w:hAnsi="Times New Roman"/>
      </w:rPr>
      <w:tab/>
    </w:r>
    <w:r w:rsidRPr="009C313B">
      <w:rPr>
        <w:rStyle w:val="PageNumber"/>
        <w:rFonts w:ascii="Times New Roman" w:hAnsi="Times New Roman"/>
      </w:rPr>
      <w:fldChar w:fldCharType="begin"/>
    </w:r>
    <w:r w:rsidRPr="009C313B">
      <w:rPr>
        <w:rStyle w:val="PageNumber"/>
        <w:rFonts w:ascii="Times New Roman" w:hAnsi="Times New Roman"/>
      </w:rPr>
      <w:instrText xml:space="preserve"> PAGE </w:instrText>
    </w:r>
    <w:r w:rsidRPr="009C313B">
      <w:rPr>
        <w:rStyle w:val="PageNumber"/>
        <w:rFonts w:ascii="Times New Roman" w:hAnsi="Times New Roman"/>
      </w:rPr>
      <w:fldChar w:fldCharType="separate"/>
    </w:r>
    <w:r w:rsidR="001971F5">
      <w:rPr>
        <w:rStyle w:val="PageNumber"/>
        <w:rFonts w:ascii="Times New Roman" w:hAnsi="Times New Roman"/>
        <w:noProof/>
      </w:rPr>
      <w:t>2</w:t>
    </w:r>
    <w:r w:rsidRPr="009C313B">
      <w:rPr>
        <w:rStyle w:val="PageNumbe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01D2" w:rsidRDefault="008801D2" w:rsidP="009C313B">
      <w:r>
        <w:separator/>
      </w:r>
    </w:p>
  </w:footnote>
  <w:footnote w:type="continuationSeparator" w:id="0">
    <w:p w:rsidR="008801D2" w:rsidRDefault="008801D2" w:rsidP="009C31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C826D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6080FDC"/>
    <w:multiLevelType w:val="hybridMultilevel"/>
    <w:tmpl w:val="2C3EC0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D826784"/>
    <w:multiLevelType w:val="hybridMultilevel"/>
    <w:tmpl w:val="0CAEE0F0"/>
    <w:lvl w:ilvl="0" w:tplc="04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41B7520"/>
    <w:multiLevelType w:val="hybridMultilevel"/>
    <w:tmpl w:val="237240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DBF61F3"/>
    <w:multiLevelType w:val="hybridMultilevel"/>
    <w:tmpl w:val="D758C472"/>
    <w:lvl w:ilvl="0" w:tplc="0409000F">
      <w:start w:val="1"/>
      <w:numFmt w:val="decimal"/>
      <w:lvlText w:val="%1."/>
      <w:lvlJc w:val="left"/>
      <w:pPr>
        <w:ind w:left="775" w:hanging="360"/>
      </w:p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6">
    <w:nsid w:val="2B517696"/>
    <w:multiLevelType w:val="hybridMultilevel"/>
    <w:tmpl w:val="3A5E7E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1A40CAC"/>
    <w:multiLevelType w:val="hybridMultilevel"/>
    <w:tmpl w:val="C7EA048A"/>
    <w:lvl w:ilvl="0" w:tplc="76D2E454">
      <w:start w:val="1"/>
      <w:numFmt w:val="bullet"/>
      <w:lvlText w:val="•"/>
      <w:lvlJc w:val="left"/>
      <w:pPr>
        <w:tabs>
          <w:tab w:val="num" w:pos="720"/>
        </w:tabs>
        <w:ind w:left="720" w:hanging="360"/>
      </w:pPr>
      <w:rPr>
        <w:rFonts w:ascii="Arial" w:hAnsi="Arial" w:hint="default"/>
      </w:rPr>
    </w:lvl>
    <w:lvl w:ilvl="1" w:tplc="092E6D06">
      <w:start w:val="1"/>
      <w:numFmt w:val="bullet"/>
      <w:lvlText w:val="•"/>
      <w:lvlJc w:val="left"/>
      <w:pPr>
        <w:tabs>
          <w:tab w:val="num" w:pos="1440"/>
        </w:tabs>
        <w:ind w:left="1440" w:hanging="360"/>
      </w:pPr>
      <w:rPr>
        <w:rFonts w:ascii="Arial" w:hAnsi="Arial" w:hint="default"/>
      </w:rPr>
    </w:lvl>
    <w:lvl w:ilvl="2" w:tplc="FFA2A8AA" w:tentative="1">
      <w:start w:val="1"/>
      <w:numFmt w:val="bullet"/>
      <w:lvlText w:val="•"/>
      <w:lvlJc w:val="left"/>
      <w:pPr>
        <w:tabs>
          <w:tab w:val="num" w:pos="2160"/>
        </w:tabs>
        <w:ind w:left="2160" w:hanging="360"/>
      </w:pPr>
      <w:rPr>
        <w:rFonts w:ascii="Arial" w:hAnsi="Arial" w:hint="default"/>
      </w:rPr>
    </w:lvl>
    <w:lvl w:ilvl="3" w:tplc="20941C10" w:tentative="1">
      <w:start w:val="1"/>
      <w:numFmt w:val="bullet"/>
      <w:lvlText w:val="•"/>
      <w:lvlJc w:val="left"/>
      <w:pPr>
        <w:tabs>
          <w:tab w:val="num" w:pos="2880"/>
        </w:tabs>
        <w:ind w:left="2880" w:hanging="360"/>
      </w:pPr>
      <w:rPr>
        <w:rFonts w:ascii="Arial" w:hAnsi="Arial" w:hint="default"/>
      </w:rPr>
    </w:lvl>
    <w:lvl w:ilvl="4" w:tplc="F432D1CA" w:tentative="1">
      <w:start w:val="1"/>
      <w:numFmt w:val="bullet"/>
      <w:lvlText w:val="•"/>
      <w:lvlJc w:val="left"/>
      <w:pPr>
        <w:tabs>
          <w:tab w:val="num" w:pos="3600"/>
        </w:tabs>
        <w:ind w:left="3600" w:hanging="360"/>
      </w:pPr>
      <w:rPr>
        <w:rFonts w:ascii="Arial" w:hAnsi="Arial" w:hint="default"/>
      </w:rPr>
    </w:lvl>
    <w:lvl w:ilvl="5" w:tplc="D6C4BEBC" w:tentative="1">
      <w:start w:val="1"/>
      <w:numFmt w:val="bullet"/>
      <w:lvlText w:val="•"/>
      <w:lvlJc w:val="left"/>
      <w:pPr>
        <w:tabs>
          <w:tab w:val="num" w:pos="4320"/>
        </w:tabs>
        <w:ind w:left="4320" w:hanging="360"/>
      </w:pPr>
      <w:rPr>
        <w:rFonts w:ascii="Arial" w:hAnsi="Arial" w:hint="default"/>
      </w:rPr>
    </w:lvl>
    <w:lvl w:ilvl="6" w:tplc="B8A89CAA" w:tentative="1">
      <w:start w:val="1"/>
      <w:numFmt w:val="bullet"/>
      <w:lvlText w:val="•"/>
      <w:lvlJc w:val="left"/>
      <w:pPr>
        <w:tabs>
          <w:tab w:val="num" w:pos="5040"/>
        </w:tabs>
        <w:ind w:left="5040" w:hanging="360"/>
      </w:pPr>
      <w:rPr>
        <w:rFonts w:ascii="Arial" w:hAnsi="Arial" w:hint="default"/>
      </w:rPr>
    </w:lvl>
    <w:lvl w:ilvl="7" w:tplc="96D865D6" w:tentative="1">
      <w:start w:val="1"/>
      <w:numFmt w:val="bullet"/>
      <w:lvlText w:val="•"/>
      <w:lvlJc w:val="left"/>
      <w:pPr>
        <w:tabs>
          <w:tab w:val="num" w:pos="5760"/>
        </w:tabs>
        <w:ind w:left="5760" w:hanging="360"/>
      </w:pPr>
      <w:rPr>
        <w:rFonts w:ascii="Arial" w:hAnsi="Arial" w:hint="default"/>
      </w:rPr>
    </w:lvl>
    <w:lvl w:ilvl="8" w:tplc="3078CE10" w:tentative="1">
      <w:start w:val="1"/>
      <w:numFmt w:val="bullet"/>
      <w:lvlText w:val="•"/>
      <w:lvlJc w:val="left"/>
      <w:pPr>
        <w:tabs>
          <w:tab w:val="num" w:pos="6480"/>
        </w:tabs>
        <w:ind w:left="6480" w:hanging="360"/>
      </w:pPr>
      <w:rPr>
        <w:rFonts w:ascii="Arial" w:hAnsi="Arial" w:hint="default"/>
      </w:rPr>
    </w:lvl>
  </w:abstractNum>
  <w:abstractNum w:abstractNumId="8">
    <w:nsid w:val="442F13E1"/>
    <w:multiLevelType w:val="hybridMultilevel"/>
    <w:tmpl w:val="88A0DF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4D63222A"/>
    <w:multiLevelType w:val="hybridMultilevel"/>
    <w:tmpl w:val="E9F01DD4"/>
    <w:lvl w:ilvl="0" w:tplc="0C090017">
      <w:start w:val="1"/>
      <w:numFmt w:val="lowerLetter"/>
      <w:lvlText w:val="%1)"/>
      <w:lvlJc w:val="left"/>
      <w:pPr>
        <w:ind w:left="1141" w:hanging="360"/>
      </w:pPr>
    </w:lvl>
    <w:lvl w:ilvl="1" w:tplc="0C090019" w:tentative="1">
      <w:start w:val="1"/>
      <w:numFmt w:val="lowerLetter"/>
      <w:lvlText w:val="%2."/>
      <w:lvlJc w:val="left"/>
      <w:pPr>
        <w:ind w:left="1861" w:hanging="360"/>
      </w:pPr>
    </w:lvl>
    <w:lvl w:ilvl="2" w:tplc="0C09001B" w:tentative="1">
      <w:start w:val="1"/>
      <w:numFmt w:val="lowerRoman"/>
      <w:lvlText w:val="%3."/>
      <w:lvlJc w:val="right"/>
      <w:pPr>
        <w:ind w:left="2581" w:hanging="180"/>
      </w:pPr>
    </w:lvl>
    <w:lvl w:ilvl="3" w:tplc="0C09000F" w:tentative="1">
      <w:start w:val="1"/>
      <w:numFmt w:val="decimal"/>
      <w:lvlText w:val="%4."/>
      <w:lvlJc w:val="left"/>
      <w:pPr>
        <w:ind w:left="3301" w:hanging="360"/>
      </w:pPr>
    </w:lvl>
    <w:lvl w:ilvl="4" w:tplc="0C090019" w:tentative="1">
      <w:start w:val="1"/>
      <w:numFmt w:val="lowerLetter"/>
      <w:lvlText w:val="%5."/>
      <w:lvlJc w:val="left"/>
      <w:pPr>
        <w:ind w:left="4021" w:hanging="360"/>
      </w:pPr>
    </w:lvl>
    <w:lvl w:ilvl="5" w:tplc="0C09001B" w:tentative="1">
      <w:start w:val="1"/>
      <w:numFmt w:val="lowerRoman"/>
      <w:lvlText w:val="%6."/>
      <w:lvlJc w:val="right"/>
      <w:pPr>
        <w:ind w:left="4741" w:hanging="180"/>
      </w:pPr>
    </w:lvl>
    <w:lvl w:ilvl="6" w:tplc="0C09000F" w:tentative="1">
      <w:start w:val="1"/>
      <w:numFmt w:val="decimal"/>
      <w:lvlText w:val="%7."/>
      <w:lvlJc w:val="left"/>
      <w:pPr>
        <w:ind w:left="5461" w:hanging="360"/>
      </w:pPr>
    </w:lvl>
    <w:lvl w:ilvl="7" w:tplc="0C090019" w:tentative="1">
      <w:start w:val="1"/>
      <w:numFmt w:val="lowerLetter"/>
      <w:lvlText w:val="%8."/>
      <w:lvlJc w:val="left"/>
      <w:pPr>
        <w:ind w:left="6181" w:hanging="360"/>
      </w:pPr>
    </w:lvl>
    <w:lvl w:ilvl="8" w:tplc="0C09001B" w:tentative="1">
      <w:start w:val="1"/>
      <w:numFmt w:val="lowerRoman"/>
      <w:lvlText w:val="%9."/>
      <w:lvlJc w:val="right"/>
      <w:pPr>
        <w:ind w:left="6901" w:hanging="180"/>
      </w:pPr>
    </w:lvl>
  </w:abstractNum>
  <w:abstractNum w:abstractNumId="10">
    <w:nsid w:val="55933359"/>
    <w:multiLevelType w:val="hybridMultilevel"/>
    <w:tmpl w:val="24AC53D6"/>
    <w:lvl w:ilvl="0" w:tplc="1A48C6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98178CF"/>
    <w:multiLevelType w:val="hybridMultilevel"/>
    <w:tmpl w:val="E0B04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BF137E"/>
    <w:multiLevelType w:val="hybridMultilevel"/>
    <w:tmpl w:val="D7CC2636"/>
    <w:lvl w:ilvl="0" w:tplc="04090001">
      <w:start w:val="1"/>
      <w:numFmt w:val="bullet"/>
      <w:lvlText w:val=""/>
      <w:lvlJc w:val="left"/>
      <w:pPr>
        <w:ind w:left="1623" w:hanging="360"/>
      </w:pPr>
      <w:rPr>
        <w:rFonts w:ascii="Symbol" w:hAnsi="Symbol" w:hint="default"/>
      </w:rPr>
    </w:lvl>
    <w:lvl w:ilvl="1" w:tplc="04090003" w:tentative="1">
      <w:start w:val="1"/>
      <w:numFmt w:val="bullet"/>
      <w:lvlText w:val="o"/>
      <w:lvlJc w:val="left"/>
      <w:pPr>
        <w:ind w:left="2343" w:hanging="360"/>
      </w:pPr>
      <w:rPr>
        <w:rFonts w:ascii="Courier New" w:hAnsi="Courier New" w:hint="default"/>
      </w:rPr>
    </w:lvl>
    <w:lvl w:ilvl="2" w:tplc="04090005" w:tentative="1">
      <w:start w:val="1"/>
      <w:numFmt w:val="bullet"/>
      <w:lvlText w:val=""/>
      <w:lvlJc w:val="left"/>
      <w:pPr>
        <w:ind w:left="3063" w:hanging="360"/>
      </w:pPr>
      <w:rPr>
        <w:rFonts w:ascii="Wingdings" w:hAnsi="Wingdings" w:hint="default"/>
      </w:rPr>
    </w:lvl>
    <w:lvl w:ilvl="3" w:tplc="04090001" w:tentative="1">
      <w:start w:val="1"/>
      <w:numFmt w:val="bullet"/>
      <w:lvlText w:val=""/>
      <w:lvlJc w:val="left"/>
      <w:pPr>
        <w:ind w:left="3783" w:hanging="360"/>
      </w:pPr>
      <w:rPr>
        <w:rFonts w:ascii="Symbol" w:hAnsi="Symbol" w:hint="default"/>
      </w:rPr>
    </w:lvl>
    <w:lvl w:ilvl="4" w:tplc="04090003" w:tentative="1">
      <w:start w:val="1"/>
      <w:numFmt w:val="bullet"/>
      <w:lvlText w:val="o"/>
      <w:lvlJc w:val="left"/>
      <w:pPr>
        <w:ind w:left="4503" w:hanging="360"/>
      </w:pPr>
      <w:rPr>
        <w:rFonts w:ascii="Courier New" w:hAnsi="Courier New" w:hint="default"/>
      </w:rPr>
    </w:lvl>
    <w:lvl w:ilvl="5" w:tplc="04090005" w:tentative="1">
      <w:start w:val="1"/>
      <w:numFmt w:val="bullet"/>
      <w:lvlText w:val=""/>
      <w:lvlJc w:val="left"/>
      <w:pPr>
        <w:ind w:left="5223" w:hanging="360"/>
      </w:pPr>
      <w:rPr>
        <w:rFonts w:ascii="Wingdings" w:hAnsi="Wingdings" w:hint="default"/>
      </w:rPr>
    </w:lvl>
    <w:lvl w:ilvl="6" w:tplc="04090001" w:tentative="1">
      <w:start w:val="1"/>
      <w:numFmt w:val="bullet"/>
      <w:lvlText w:val=""/>
      <w:lvlJc w:val="left"/>
      <w:pPr>
        <w:ind w:left="5943" w:hanging="360"/>
      </w:pPr>
      <w:rPr>
        <w:rFonts w:ascii="Symbol" w:hAnsi="Symbol" w:hint="default"/>
      </w:rPr>
    </w:lvl>
    <w:lvl w:ilvl="7" w:tplc="04090003" w:tentative="1">
      <w:start w:val="1"/>
      <w:numFmt w:val="bullet"/>
      <w:lvlText w:val="o"/>
      <w:lvlJc w:val="left"/>
      <w:pPr>
        <w:ind w:left="6663" w:hanging="360"/>
      </w:pPr>
      <w:rPr>
        <w:rFonts w:ascii="Courier New" w:hAnsi="Courier New" w:hint="default"/>
      </w:rPr>
    </w:lvl>
    <w:lvl w:ilvl="8" w:tplc="04090005" w:tentative="1">
      <w:start w:val="1"/>
      <w:numFmt w:val="bullet"/>
      <w:lvlText w:val=""/>
      <w:lvlJc w:val="left"/>
      <w:pPr>
        <w:ind w:left="7383" w:hanging="360"/>
      </w:pPr>
      <w:rPr>
        <w:rFonts w:ascii="Wingdings" w:hAnsi="Wingdings" w:hint="default"/>
      </w:rPr>
    </w:lvl>
  </w:abstractNum>
  <w:abstractNum w:abstractNumId="13">
    <w:nsid w:val="5C6E2D39"/>
    <w:multiLevelType w:val="hybridMultilevel"/>
    <w:tmpl w:val="44BA0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F01A29"/>
    <w:multiLevelType w:val="hybridMultilevel"/>
    <w:tmpl w:val="07F24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5357E9C"/>
    <w:multiLevelType w:val="hybridMultilevel"/>
    <w:tmpl w:val="F77E4AC0"/>
    <w:lvl w:ilvl="0" w:tplc="F9364EC2">
      <w:start w:val="1"/>
      <w:numFmt w:val="bullet"/>
      <w:lvlText w:val="•"/>
      <w:lvlJc w:val="left"/>
      <w:pPr>
        <w:tabs>
          <w:tab w:val="num" w:pos="720"/>
        </w:tabs>
        <w:ind w:left="720" w:hanging="360"/>
      </w:pPr>
      <w:rPr>
        <w:rFonts w:ascii="Arial" w:hAnsi="Arial" w:hint="default"/>
      </w:rPr>
    </w:lvl>
    <w:lvl w:ilvl="1" w:tplc="ED5C6540" w:tentative="1">
      <w:start w:val="1"/>
      <w:numFmt w:val="bullet"/>
      <w:lvlText w:val="•"/>
      <w:lvlJc w:val="left"/>
      <w:pPr>
        <w:tabs>
          <w:tab w:val="num" w:pos="1440"/>
        </w:tabs>
        <w:ind w:left="1440" w:hanging="360"/>
      </w:pPr>
      <w:rPr>
        <w:rFonts w:ascii="Arial" w:hAnsi="Arial" w:hint="default"/>
      </w:rPr>
    </w:lvl>
    <w:lvl w:ilvl="2" w:tplc="A0E03142" w:tentative="1">
      <w:start w:val="1"/>
      <w:numFmt w:val="bullet"/>
      <w:lvlText w:val="•"/>
      <w:lvlJc w:val="left"/>
      <w:pPr>
        <w:tabs>
          <w:tab w:val="num" w:pos="2160"/>
        </w:tabs>
        <w:ind w:left="2160" w:hanging="360"/>
      </w:pPr>
      <w:rPr>
        <w:rFonts w:ascii="Arial" w:hAnsi="Arial" w:hint="default"/>
      </w:rPr>
    </w:lvl>
    <w:lvl w:ilvl="3" w:tplc="22E6351A" w:tentative="1">
      <w:start w:val="1"/>
      <w:numFmt w:val="bullet"/>
      <w:lvlText w:val="•"/>
      <w:lvlJc w:val="left"/>
      <w:pPr>
        <w:tabs>
          <w:tab w:val="num" w:pos="2880"/>
        </w:tabs>
        <w:ind w:left="2880" w:hanging="360"/>
      </w:pPr>
      <w:rPr>
        <w:rFonts w:ascii="Arial" w:hAnsi="Arial" w:hint="default"/>
      </w:rPr>
    </w:lvl>
    <w:lvl w:ilvl="4" w:tplc="7ACC75B2" w:tentative="1">
      <w:start w:val="1"/>
      <w:numFmt w:val="bullet"/>
      <w:lvlText w:val="•"/>
      <w:lvlJc w:val="left"/>
      <w:pPr>
        <w:tabs>
          <w:tab w:val="num" w:pos="3600"/>
        </w:tabs>
        <w:ind w:left="3600" w:hanging="360"/>
      </w:pPr>
      <w:rPr>
        <w:rFonts w:ascii="Arial" w:hAnsi="Arial" w:hint="default"/>
      </w:rPr>
    </w:lvl>
    <w:lvl w:ilvl="5" w:tplc="B08C9C1E" w:tentative="1">
      <w:start w:val="1"/>
      <w:numFmt w:val="bullet"/>
      <w:lvlText w:val="•"/>
      <w:lvlJc w:val="left"/>
      <w:pPr>
        <w:tabs>
          <w:tab w:val="num" w:pos="4320"/>
        </w:tabs>
        <w:ind w:left="4320" w:hanging="360"/>
      </w:pPr>
      <w:rPr>
        <w:rFonts w:ascii="Arial" w:hAnsi="Arial" w:hint="default"/>
      </w:rPr>
    </w:lvl>
    <w:lvl w:ilvl="6" w:tplc="AE823FDC" w:tentative="1">
      <w:start w:val="1"/>
      <w:numFmt w:val="bullet"/>
      <w:lvlText w:val="•"/>
      <w:lvlJc w:val="left"/>
      <w:pPr>
        <w:tabs>
          <w:tab w:val="num" w:pos="5040"/>
        </w:tabs>
        <w:ind w:left="5040" w:hanging="360"/>
      </w:pPr>
      <w:rPr>
        <w:rFonts w:ascii="Arial" w:hAnsi="Arial" w:hint="default"/>
      </w:rPr>
    </w:lvl>
    <w:lvl w:ilvl="7" w:tplc="5F6874E8" w:tentative="1">
      <w:start w:val="1"/>
      <w:numFmt w:val="bullet"/>
      <w:lvlText w:val="•"/>
      <w:lvlJc w:val="left"/>
      <w:pPr>
        <w:tabs>
          <w:tab w:val="num" w:pos="5760"/>
        </w:tabs>
        <w:ind w:left="5760" w:hanging="360"/>
      </w:pPr>
      <w:rPr>
        <w:rFonts w:ascii="Arial" w:hAnsi="Arial" w:hint="default"/>
      </w:rPr>
    </w:lvl>
    <w:lvl w:ilvl="8" w:tplc="4C24608C" w:tentative="1">
      <w:start w:val="1"/>
      <w:numFmt w:val="bullet"/>
      <w:lvlText w:val="•"/>
      <w:lvlJc w:val="left"/>
      <w:pPr>
        <w:tabs>
          <w:tab w:val="num" w:pos="6480"/>
        </w:tabs>
        <w:ind w:left="6480" w:hanging="360"/>
      </w:pPr>
      <w:rPr>
        <w:rFonts w:ascii="Arial" w:hAnsi="Arial" w:hint="default"/>
      </w:rPr>
    </w:lvl>
  </w:abstractNum>
  <w:abstractNum w:abstractNumId="16">
    <w:nsid w:val="78FF161C"/>
    <w:multiLevelType w:val="hybridMultilevel"/>
    <w:tmpl w:val="EC5E6AF6"/>
    <w:lvl w:ilvl="0" w:tplc="5052DF6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C8B35E9"/>
    <w:multiLevelType w:val="hybridMultilevel"/>
    <w:tmpl w:val="CB40D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CB74A42"/>
    <w:multiLevelType w:val="hybridMultilevel"/>
    <w:tmpl w:val="F738B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E9D33A9"/>
    <w:multiLevelType w:val="hybridMultilevel"/>
    <w:tmpl w:val="230CD79E"/>
    <w:lvl w:ilvl="0" w:tplc="1A48C6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F8B4287"/>
    <w:multiLevelType w:val="hybridMultilevel"/>
    <w:tmpl w:val="07F24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19"/>
  </w:num>
  <w:num w:numId="4">
    <w:abstractNumId w:val="16"/>
  </w:num>
  <w:num w:numId="5">
    <w:abstractNumId w:val="17"/>
  </w:num>
  <w:num w:numId="6">
    <w:abstractNumId w:val="0"/>
  </w:num>
  <w:num w:numId="7">
    <w:abstractNumId w:val="11"/>
  </w:num>
  <w:num w:numId="8">
    <w:abstractNumId w:val="18"/>
  </w:num>
  <w:num w:numId="9">
    <w:abstractNumId w:val="20"/>
  </w:num>
  <w:num w:numId="10">
    <w:abstractNumId w:val="9"/>
  </w:num>
  <w:num w:numId="11">
    <w:abstractNumId w:val="4"/>
  </w:num>
  <w:num w:numId="12">
    <w:abstractNumId w:val="5"/>
  </w:num>
  <w:num w:numId="13">
    <w:abstractNumId w:val="8"/>
  </w:num>
  <w:num w:numId="14">
    <w:abstractNumId w:val="6"/>
  </w:num>
  <w:num w:numId="15">
    <w:abstractNumId w:val="15"/>
  </w:num>
  <w:num w:numId="16">
    <w:abstractNumId w:val="14"/>
  </w:num>
  <w:num w:numId="17">
    <w:abstractNumId w:val="2"/>
  </w:num>
  <w:num w:numId="18">
    <w:abstractNumId w:val="3"/>
  </w:num>
  <w:num w:numId="19">
    <w:abstractNumId w:val="1"/>
  </w:num>
  <w:num w:numId="20">
    <w:abstractNumId w:val="13"/>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proofState w:spelling="clean"/>
  <w:defaultTabStop w:val="720"/>
  <w:characterSpacingControl w:val="doNotCompress"/>
  <w:hdrShapeDefaults>
    <o:shapedefaults v:ext="edit" spidmax="512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716"/>
    <w:rsid w:val="00002450"/>
    <w:rsid w:val="000112E5"/>
    <w:rsid w:val="0001504E"/>
    <w:rsid w:val="00021A6D"/>
    <w:rsid w:val="00024297"/>
    <w:rsid w:val="00032DC2"/>
    <w:rsid w:val="0003498F"/>
    <w:rsid w:val="00037CBE"/>
    <w:rsid w:val="000448C8"/>
    <w:rsid w:val="00052DD8"/>
    <w:rsid w:val="00057448"/>
    <w:rsid w:val="00067049"/>
    <w:rsid w:val="0007042F"/>
    <w:rsid w:val="00071DB4"/>
    <w:rsid w:val="00076E78"/>
    <w:rsid w:val="00077733"/>
    <w:rsid w:val="00080471"/>
    <w:rsid w:val="00083CBD"/>
    <w:rsid w:val="00090905"/>
    <w:rsid w:val="00091B7C"/>
    <w:rsid w:val="000968F0"/>
    <w:rsid w:val="000A39AF"/>
    <w:rsid w:val="000B0040"/>
    <w:rsid w:val="000B01A0"/>
    <w:rsid w:val="000C43B7"/>
    <w:rsid w:val="000C7174"/>
    <w:rsid w:val="000D2A52"/>
    <w:rsid w:val="000D3941"/>
    <w:rsid w:val="000D4C96"/>
    <w:rsid w:val="000E1161"/>
    <w:rsid w:val="000E704C"/>
    <w:rsid w:val="000F0D88"/>
    <w:rsid w:val="000F4253"/>
    <w:rsid w:val="000F7EBB"/>
    <w:rsid w:val="0010104B"/>
    <w:rsid w:val="00102A36"/>
    <w:rsid w:val="0010442D"/>
    <w:rsid w:val="0011137F"/>
    <w:rsid w:val="00113F4A"/>
    <w:rsid w:val="001146A8"/>
    <w:rsid w:val="00115FA7"/>
    <w:rsid w:val="00117D97"/>
    <w:rsid w:val="00122B90"/>
    <w:rsid w:val="00126887"/>
    <w:rsid w:val="00126EFE"/>
    <w:rsid w:val="00132C68"/>
    <w:rsid w:val="00133434"/>
    <w:rsid w:val="001359B3"/>
    <w:rsid w:val="00135F00"/>
    <w:rsid w:val="00136697"/>
    <w:rsid w:val="0014074C"/>
    <w:rsid w:val="001430AF"/>
    <w:rsid w:val="0014578F"/>
    <w:rsid w:val="001469FE"/>
    <w:rsid w:val="001537CC"/>
    <w:rsid w:val="00153AD2"/>
    <w:rsid w:val="001615E1"/>
    <w:rsid w:val="00161FE2"/>
    <w:rsid w:val="00163603"/>
    <w:rsid w:val="001650CD"/>
    <w:rsid w:val="0016696A"/>
    <w:rsid w:val="00167244"/>
    <w:rsid w:val="00172E21"/>
    <w:rsid w:val="00174023"/>
    <w:rsid w:val="00176471"/>
    <w:rsid w:val="001802C9"/>
    <w:rsid w:val="00194A89"/>
    <w:rsid w:val="00196D1B"/>
    <w:rsid w:val="001971F5"/>
    <w:rsid w:val="001A0907"/>
    <w:rsid w:val="001A0DC9"/>
    <w:rsid w:val="001A4CA8"/>
    <w:rsid w:val="001B5DE6"/>
    <w:rsid w:val="001B633F"/>
    <w:rsid w:val="001B7354"/>
    <w:rsid w:val="001B79F1"/>
    <w:rsid w:val="001C27BC"/>
    <w:rsid w:val="001C4045"/>
    <w:rsid w:val="001D4C27"/>
    <w:rsid w:val="001D63BE"/>
    <w:rsid w:val="001E07C3"/>
    <w:rsid w:val="001E4EBD"/>
    <w:rsid w:val="001E539D"/>
    <w:rsid w:val="001E6898"/>
    <w:rsid w:val="001F4DAD"/>
    <w:rsid w:val="00200377"/>
    <w:rsid w:val="00201C98"/>
    <w:rsid w:val="00202A44"/>
    <w:rsid w:val="0020380F"/>
    <w:rsid w:val="00207D97"/>
    <w:rsid w:val="00214C01"/>
    <w:rsid w:val="002164A3"/>
    <w:rsid w:val="00220AA2"/>
    <w:rsid w:val="00225AEF"/>
    <w:rsid w:val="0022752A"/>
    <w:rsid w:val="00235CE7"/>
    <w:rsid w:val="0023764C"/>
    <w:rsid w:val="00237BB3"/>
    <w:rsid w:val="00250031"/>
    <w:rsid w:val="00250D28"/>
    <w:rsid w:val="00251062"/>
    <w:rsid w:val="0025341A"/>
    <w:rsid w:val="00257359"/>
    <w:rsid w:val="0027183D"/>
    <w:rsid w:val="0027340D"/>
    <w:rsid w:val="00277097"/>
    <w:rsid w:val="00281C40"/>
    <w:rsid w:val="00284BD0"/>
    <w:rsid w:val="00292EBC"/>
    <w:rsid w:val="00294E53"/>
    <w:rsid w:val="0029731F"/>
    <w:rsid w:val="002C3D8F"/>
    <w:rsid w:val="002C5709"/>
    <w:rsid w:val="002C5DCB"/>
    <w:rsid w:val="002C738F"/>
    <w:rsid w:val="002C7470"/>
    <w:rsid w:val="002D3958"/>
    <w:rsid w:val="002D47A3"/>
    <w:rsid w:val="002D565B"/>
    <w:rsid w:val="002D68E5"/>
    <w:rsid w:val="002D7B77"/>
    <w:rsid w:val="002E0025"/>
    <w:rsid w:val="002E01B1"/>
    <w:rsid w:val="002E0967"/>
    <w:rsid w:val="002E2453"/>
    <w:rsid w:val="002E2FAA"/>
    <w:rsid w:val="002E4A4E"/>
    <w:rsid w:val="002F3C30"/>
    <w:rsid w:val="002F4439"/>
    <w:rsid w:val="003037E2"/>
    <w:rsid w:val="0030705A"/>
    <w:rsid w:val="00307FD3"/>
    <w:rsid w:val="00312654"/>
    <w:rsid w:val="003139A4"/>
    <w:rsid w:val="00323CFC"/>
    <w:rsid w:val="003359F5"/>
    <w:rsid w:val="00340093"/>
    <w:rsid w:val="00342BF1"/>
    <w:rsid w:val="00342DE5"/>
    <w:rsid w:val="003437A4"/>
    <w:rsid w:val="00353545"/>
    <w:rsid w:val="00356F59"/>
    <w:rsid w:val="00362475"/>
    <w:rsid w:val="003716F8"/>
    <w:rsid w:val="0037483D"/>
    <w:rsid w:val="00390B37"/>
    <w:rsid w:val="00393AF0"/>
    <w:rsid w:val="00393C2A"/>
    <w:rsid w:val="00394EC1"/>
    <w:rsid w:val="003A1A92"/>
    <w:rsid w:val="003A3D3D"/>
    <w:rsid w:val="003A48CB"/>
    <w:rsid w:val="003B1D92"/>
    <w:rsid w:val="003B5CB2"/>
    <w:rsid w:val="003B654B"/>
    <w:rsid w:val="003C545C"/>
    <w:rsid w:val="003C7933"/>
    <w:rsid w:val="003D055A"/>
    <w:rsid w:val="003D392A"/>
    <w:rsid w:val="003D56FF"/>
    <w:rsid w:val="003D7A96"/>
    <w:rsid w:val="003D7FB4"/>
    <w:rsid w:val="003E1BE3"/>
    <w:rsid w:val="003E3A88"/>
    <w:rsid w:val="003E7B7D"/>
    <w:rsid w:val="003F3E13"/>
    <w:rsid w:val="003F5EA0"/>
    <w:rsid w:val="00400AAA"/>
    <w:rsid w:val="00403C6B"/>
    <w:rsid w:val="00411230"/>
    <w:rsid w:val="00411803"/>
    <w:rsid w:val="004119ED"/>
    <w:rsid w:val="00415CBF"/>
    <w:rsid w:val="00420E85"/>
    <w:rsid w:val="00422355"/>
    <w:rsid w:val="00423D07"/>
    <w:rsid w:val="00424514"/>
    <w:rsid w:val="00425C4D"/>
    <w:rsid w:val="00427B59"/>
    <w:rsid w:val="00431E4E"/>
    <w:rsid w:val="0043506E"/>
    <w:rsid w:val="00440335"/>
    <w:rsid w:val="004405E3"/>
    <w:rsid w:val="00443596"/>
    <w:rsid w:val="00447384"/>
    <w:rsid w:val="004522EE"/>
    <w:rsid w:val="00454EB5"/>
    <w:rsid w:val="00456AF7"/>
    <w:rsid w:val="00465C14"/>
    <w:rsid w:val="0047339E"/>
    <w:rsid w:val="00475D8E"/>
    <w:rsid w:val="00481230"/>
    <w:rsid w:val="004830AA"/>
    <w:rsid w:val="004902E6"/>
    <w:rsid w:val="004923C1"/>
    <w:rsid w:val="00497831"/>
    <w:rsid w:val="004A0AFF"/>
    <w:rsid w:val="004B514B"/>
    <w:rsid w:val="004B7804"/>
    <w:rsid w:val="004B7E71"/>
    <w:rsid w:val="004C2F11"/>
    <w:rsid w:val="004C44EB"/>
    <w:rsid w:val="004D10D5"/>
    <w:rsid w:val="004E06EA"/>
    <w:rsid w:val="004E167C"/>
    <w:rsid w:val="004E43ED"/>
    <w:rsid w:val="004E7F7E"/>
    <w:rsid w:val="005025CD"/>
    <w:rsid w:val="00504375"/>
    <w:rsid w:val="005075EF"/>
    <w:rsid w:val="005138FB"/>
    <w:rsid w:val="00515351"/>
    <w:rsid w:val="00516908"/>
    <w:rsid w:val="00521D69"/>
    <w:rsid w:val="00522888"/>
    <w:rsid w:val="005263B7"/>
    <w:rsid w:val="0053471E"/>
    <w:rsid w:val="00535DD9"/>
    <w:rsid w:val="00535E0F"/>
    <w:rsid w:val="00544716"/>
    <w:rsid w:val="0055390F"/>
    <w:rsid w:val="00561339"/>
    <w:rsid w:val="00561EBA"/>
    <w:rsid w:val="0056743C"/>
    <w:rsid w:val="005729EF"/>
    <w:rsid w:val="00580084"/>
    <w:rsid w:val="0058316E"/>
    <w:rsid w:val="005850C4"/>
    <w:rsid w:val="00585673"/>
    <w:rsid w:val="0058603B"/>
    <w:rsid w:val="00590F2C"/>
    <w:rsid w:val="005B15ED"/>
    <w:rsid w:val="005B1D50"/>
    <w:rsid w:val="005B268A"/>
    <w:rsid w:val="005B53D7"/>
    <w:rsid w:val="005B6D2C"/>
    <w:rsid w:val="005C5C61"/>
    <w:rsid w:val="005D61AA"/>
    <w:rsid w:val="005E1765"/>
    <w:rsid w:val="005F0DC3"/>
    <w:rsid w:val="005F5138"/>
    <w:rsid w:val="00607B51"/>
    <w:rsid w:val="00610523"/>
    <w:rsid w:val="006113F2"/>
    <w:rsid w:val="00612391"/>
    <w:rsid w:val="0061466F"/>
    <w:rsid w:val="00623486"/>
    <w:rsid w:val="0063297F"/>
    <w:rsid w:val="00635DB2"/>
    <w:rsid w:val="00637A52"/>
    <w:rsid w:val="00637B5B"/>
    <w:rsid w:val="00642431"/>
    <w:rsid w:val="00644428"/>
    <w:rsid w:val="00646EE0"/>
    <w:rsid w:val="00653276"/>
    <w:rsid w:val="00661194"/>
    <w:rsid w:val="006648E2"/>
    <w:rsid w:val="00666F7C"/>
    <w:rsid w:val="00674857"/>
    <w:rsid w:val="00681264"/>
    <w:rsid w:val="00682B37"/>
    <w:rsid w:val="00683B88"/>
    <w:rsid w:val="00687F8D"/>
    <w:rsid w:val="006918E3"/>
    <w:rsid w:val="006A00EF"/>
    <w:rsid w:val="006A10C8"/>
    <w:rsid w:val="006A226A"/>
    <w:rsid w:val="006A6CBE"/>
    <w:rsid w:val="006B2713"/>
    <w:rsid w:val="006B3580"/>
    <w:rsid w:val="006B385C"/>
    <w:rsid w:val="006B7202"/>
    <w:rsid w:val="006C0560"/>
    <w:rsid w:val="006C10C6"/>
    <w:rsid w:val="006D0EC1"/>
    <w:rsid w:val="006D32E1"/>
    <w:rsid w:val="006D51FA"/>
    <w:rsid w:val="006E2EEE"/>
    <w:rsid w:val="006E3EFF"/>
    <w:rsid w:val="006F5F9A"/>
    <w:rsid w:val="006F6FE0"/>
    <w:rsid w:val="00707371"/>
    <w:rsid w:val="00710E74"/>
    <w:rsid w:val="00712B6D"/>
    <w:rsid w:val="00713368"/>
    <w:rsid w:val="00723CF2"/>
    <w:rsid w:val="00732B05"/>
    <w:rsid w:val="00741EE6"/>
    <w:rsid w:val="00743477"/>
    <w:rsid w:val="007454FA"/>
    <w:rsid w:val="00756BBB"/>
    <w:rsid w:val="00762257"/>
    <w:rsid w:val="007657B0"/>
    <w:rsid w:val="00771A3A"/>
    <w:rsid w:val="00780297"/>
    <w:rsid w:val="00785FAF"/>
    <w:rsid w:val="00786073"/>
    <w:rsid w:val="0079492D"/>
    <w:rsid w:val="007A082A"/>
    <w:rsid w:val="007A3D8F"/>
    <w:rsid w:val="007B17EF"/>
    <w:rsid w:val="007B46D2"/>
    <w:rsid w:val="007C2AC7"/>
    <w:rsid w:val="007C3579"/>
    <w:rsid w:val="007D0D7C"/>
    <w:rsid w:val="007D1257"/>
    <w:rsid w:val="007D3296"/>
    <w:rsid w:val="007D5849"/>
    <w:rsid w:val="007D7D95"/>
    <w:rsid w:val="007E2466"/>
    <w:rsid w:val="007E54BB"/>
    <w:rsid w:val="007E71F9"/>
    <w:rsid w:val="007F2777"/>
    <w:rsid w:val="007F2A74"/>
    <w:rsid w:val="007F3F83"/>
    <w:rsid w:val="007F599B"/>
    <w:rsid w:val="007F5BE4"/>
    <w:rsid w:val="007F7524"/>
    <w:rsid w:val="008005FF"/>
    <w:rsid w:val="00802BE7"/>
    <w:rsid w:val="00805718"/>
    <w:rsid w:val="00805C13"/>
    <w:rsid w:val="008103C1"/>
    <w:rsid w:val="00810D48"/>
    <w:rsid w:val="0081789F"/>
    <w:rsid w:val="00817B5F"/>
    <w:rsid w:val="00822FFC"/>
    <w:rsid w:val="00823D84"/>
    <w:rsid w:val="00832BBF"/>
    <w:rsid w:val="00833341"/>
    <w:rsid w:val="00835078"/>
    <w:rsid w:val="00841F44"/>
    <w:rsid w:val="00845C15"/>
    <w:rsid w:val="00850832"/>
    <w:rsid w:val="0086612D"/>
    <w:rsid w:val="008707FD"/>
    <w:rsid w:val="00874C26"/>
    <w:rsid w:val="00875A11"/>
    <w:rsid w:val="0087645C"/>
    <w:rsid w:val="008801D2"/>
    <w:rsid w:val="00884506"/>
    <w:rsid w:val="00887F06"/>
    <w:rsid w:val="00895FD6"/>
    <w:rsid w:val="008A4A9C"/>
    <w:rsid w:val="008A79DD"/>
    <w:rsid w:val="008B481C"/>
    <w:rsid w:val="008C0215"/>
    <w:rsid w:val="008C6972"/>
    <w:rsid w:val="008D0389"/>
    <w:rsid w:val="008D06B5"/>
    <w:rsid w:val="008D2268"/>
    <w:rsid w:val="008D7BB6"/>
    <w:rsid w:val="008E3063"/>
    <w:rsid w:val="008F0CF2"/>
    <w:rsid w:val="008F19BD"/>
    <w:rsid w:val="008F39DD"/>
    <w:rsid w:val="008F43D4"/>
    <w:rsid w:val="00900B93"/>
    <w:rsid w:val="00907B8F"/>
    <w:rsid w:val="009157B5"/>
    <w:rsid w:val="0092219B"/>
    <w:rsid w:val="00924259"/>
    <w:rsid w:val="00924F36"/>
    <w:rsid w:val="009264EB"/>
    <w:rsid w:val="009300C0"/>
    <w:rsid w:val="00936A2E"/>
    <w:rsid w:val="00937021"/>
    <w:rsid w:val="00940E6B"/>
    <w:rsid w:val="00955446"/>
    <w:rsid w:val="009568E1"/>
    <w:rsid w:val="009632D4"/>
    <w:rsid w:val="00963D9D"/>
    <w:rsid w:val="0096526A"/>
    <w:rsid w:val="00965FA9"/>
    <w:rsid w:val="00972403"/>
    <w:rsid w:val="009769A7"/>
    <w:rsid w:val="009800DD"/>
    <w:rsid w:val="0098125B"/>
    <w:rsid w:val="00981496"/>
    <w:rsid w:val="00981CA1"/>
    <w:rsid w:val="00984C98"/>
    <w:rsid w:val="00985EFF"/>
    <w:rsid w:val="00987428"/>
    <w:rsid w:val="0099177E"/>
    <w:rsid w:val="00992ED2"/>
    <w:rsid w:val="00993E9F"/>
    <w:rsid w:val="00994420"/>
    <w:rsid w:val="009A0C46"/>
    <w:rsid w:val="009A40AD"/>
    <w:rsid w:val="009A565E"/>
    <w:rsid w:val="009B099D"/>
    <w:rsid w:val="009B40E8"/>
    <w:rsid w:val="009B62F6"/>
    <w:rsid w:val="009C313B"/>
    <w:rsid w:val="009C34F6"/>
    <w:rsid w:val="009C499B"/>
    <w:rsid w:val="009C5694"/>
    <w:rsid w:val="009C6B9E"/>
    <w:rsid w:val="009E1DB4"/>
    <w:rsid w:val="009E3147"/>
    <w:rsid w:val="009E543F"/>
    <w:rsid w:val="009E5C0A"/>
    <w:rsid w:val="009F0D89"/>
    <w:rsid w:val="009F0F9B"/>
    <w:rsid w:val="009F14CC"/>
    <w:rsid w:val="00A01F6A"/>
    <w:rsid w:val="00A114DB"/>
    <w:rsid w:val="00A12772"/>
    <w:rsid w:val="00A212E4"/>
    <w:rsid w:val="00A21CAD"/>
    <w:rsid w:val="00A24160"/>
    <w:rsid w:val="00A24679"/>
    <w:rsid w:val="00A2656B"/>
    <w:rsid w:val="00A30030"/>
    <w:rsid w:val="00A30EB6"/>
    <w:rsid w:val="00A44647"/>
    <w:rsid w:val="00A519E1"/>
    <w:rsid w:val="00A57DCF"/>
    <w:rsid w:val="00A60013"/>
    <w:rsid w:val="00A607A0"/>
    <w:rsid w:val="00A63134"/>
    <w:rsid w:val="00A63FD6"/>
    <w:rsid w:val="00A70A44"/>
    <w:rsid w:val="00A82138"/>
    <w:rsid w:val="00A83D9F"/>
    <w:rsid w:val="00A85B88"/>
    <w:rsid w:val="00A9437A"/>
    <w:rsid w:val="00A95197"/>
    <w:rsid w:val="00A95C6E"/>
    <w:rsid w:val="00AA0B1D"/>
    <w:rsid w:val="00AA2CBF"/>
    <w:rsid w:val="00AA4BC0"/>
    <w:rsid w:val="00AB4AC9"/>
    <w:rsid w:val="00AB7FE3"/>
    <w:rsid w:val="00AC1C72"/>
    <w:rsid w:val="00AC234A"/>
    <w:rsid w:val="00AC36E8"/>
    <w:rsid w:val="00AC41F5"/>
    <w:rsid w:val="00AC4C71"/>
    <w:rsid w:val="00AC7476"/>
    <w:rsid w:val="00AD044C"/>
    <w:rsid w:val="00AD283F"/>
    <w:rsid w:val="00AD2886"/>
    <w:rsid w:val="00AD2D3C"/>
    <w:rsid w:val="00AD39C8"/>
    <w:rsid w:val="00AE055D"/>
    <w:rsid w:val="00AE1970"/>
    <w:rsid w:val="00AE41FB"/>
    <w:rsid w:val="00AE47E2"/>
    <w:rsid w:val="00AE733B"/>
    <w:rsid w:val="00B05C33"/>
    <w:rsid w:val="00B07E0C"/>
    <w:rsid w:val="00B153BA"/>
    <w:rsid w:val="00B16198"/>
    <w:rsid w:val="00B213DB"/>
    <w:rsid w:val="00B21C6B"/>
    <w:rsid w:val="00B22E4A"/>
    <w:rsid w:val="00B25B84"/>
    <w:rsid w:val="00B4188C"/>
    <w:rsid w:val="00B424F2"/>
    <w:rsid w:val="00B47BDF"/>
    <w:rsid w:val="00B53988"/>
    <w:rsid w:val="00B54F01"/>
    <w:rsid w:val="00B63910"/>
    <w:rsid w:val="00B648CC"/>
    <w:rsid w:val="00B70CE8"/>
    <w:rsid w:val="00B80B33"/>
    <w:rsid w:val="00B849B3"/>
    <w:rsid w:val="00B8615F"/>
    <w:rsid w:val="00B93204"/>
    <w:rsid w:val="00B932A9"/>
    <w:rsid w:val="00BA335B"/>
    <w:rsid w:val="00BA5241"/>
    <w:rsid w:val="00BA556C"/>
    <w:rsid w:val="00BA71AB"/>
    <w:rsid w:val="00BB1C24"/>
    <w:rsid w:val="00BB3C72"/>
    <w:rsid w:val="00BB40F6"/>
    <w:rsid w:val="00BB59C1"/>
    <w:rsid w:val="00BB7B95"/>
    <w:rsid w:val="00BD2108"/>
    <w:rsid w:val="00BD3169"/>
    <w:rsid w:val="00BD7198"/>
    <w:rsid w:val="00BE111B"/>
    <w:rsid w:val="00BE12D5"/>
    <w:rsid w:val="00BE17BA"/>
    <w:rsid w:val="00BE67A5"/>
    <w:rsid w:val="00BF190A"/>
    <w:rsid w:val="00C0048E"/>
    <w:rsid w:val="00C02CE7"/>
    <w:rsid w:val="00C04A08"/>
    <w:rsid w:val="00C05180"/>
    <w:rsid w:val="00C105ED"/>
    <w:rsid w:val="00C10F44"/>
    <w:rsid w:val="00C1261D"/>
    <w:rsid w:val="00C1324E"/>
    <w:rsid w:val="00C24805"/>
    <w:rsid w:val="00C323B1"/>
    <w:rsid w:val="00C35D1D"/>
    <w:rsid w:val="00C35D1E"/>
    <w:rsid w:val="00C36AF4"/>
    <w:rsid w:val="00C44C18"/>
    <w:rsid w:val="00C56684"/>
    <w:rsid w:val="00C568CB"/>
    <w:rsid w:val="00C62617"/>
    <w:rsid w:val="00C628ED"/>
    <w:rsid w:val="00C6369E"/>
    <w:rsid w:val="00C63E58"/>
    <w:rsid w:val="00C67D8F"/>
    <w:rsid w:val="00C70DD8"/>
    <w:rsid w:val="00C72192"/>
    <w:rsid w:val="00C73200"/>
    <w:rsid w:val="00C77423"/>
    <w:rsid w:val="00C80237"/>
    <w:rsid w:val="00C83A76"/>
    <w:rsid w:val="00C911B1"/>
    <w:rsid w:val="00C93313"/>
    <w:rsid w:val="00C95B98"/>
    <w:rsid w:val="00CA0958"/>
    <w:rsid w:val="00CA2EDC"/>
    <w:rsid w:val="00CA5542"/>
    <w:rsid w:val="00CC2771"/>
    <w:rsid w:val="00CD6417"/>
    <w:rsid w:val="00CE0C69"/>
    <w:rsid w:val="00CE3700"/>
    <w:rsid w:val="00CE4E53"/>
    <w:rsid w:val="00CF5BED"/>
    <w:rsid w:val="00D00CB4"/>
    <w:rsid w:val="00D04E3B"/>
    <w:rsid w:val="00D12740"/>
    <w:rsid w:val="00D12CE5"/>
    <w:rsid w:val="00D13BC4"/>
    <w:rsid w:val="00D1675F"/>
    <w:rsid w:val="00D16E4F"/>
    <w:rsid w:val="00D25EFE"/>
    <w:rsid w:val="00D30299"/>
    <w:rsid w:val="00D31553"/>
    <w:rsid w:val="00D319CD"/>
    <w:rsid w:val="00D3212E"/>
    <w:rsid w:val="00D41452"/>
    <w:rsid w:val="00D4207F"/>
    <w:rsid w:val="00D43886"/>
    <w:rsid w:val="00D51B1E"/>
    <w:rsid w:val="00D60518"/>
    <w:rsid w:val="00D640DF"/>
    <w:rsid w:val="00D65ADD"/>
    <w:rsid w:val="00D65C50"/>
    <w:rsid w:val="00D6751B"/>
    <w:rsid w:val="00D711AB"/>
    <w:rsid w:val="00D7209A"/>
    <w:rsid w:val="00D81F8F"/>
    <w:rsid w:val="00D834DB"/>
    <w:rsid w:val="00D84525"/>
    <w:rsid w:val="00D9066E"/>
    <w:rsid w:val="00D91C89"/>
    <w:rsid w:val="00D94A1A"/>
    <w:rsid w:val="00D960E2"/>
    <w:rsid w:val="00DA0F54"/>
    <w:rsid w:val="00DA1120"/>
    <w:rsid w:val="00DB0F48"/>
    <w:rsid w:val="00DB6470"/>
    <w:rsid w:val="00DB6BBD"/>
    <w:rsid w:val="00DC113C"/>
    <w:rsid w:val="00DD1774"/>
    <w:rsid w:val="00DD2EF0"/>
    <w:rsid w:val="00DD3096"/>
    <w:rsid w:val="00DD7317"/>
    <w:rsid w:val="00DD7391"/>
    <w:rsid w:val="00DF108B"/>
    <w:rsid w:val="00DF24FB"/>
    <w:rsid w:val="00E0068E"/>
    <w:rsid w:val="00E231E2"/>
    <w:rsid w:val="00E34248"/>
    <w:rsid w:val="00E3562E"/>
    <w:rsid w:val="00E36F7E"/>
    <w:rsid w:val="00E41FFA"/>
    <w:rsid w:val="00E43236"/>
    <w:rsid w:val="00E473AB"/>
    <w:rsid w:val="00E5483D"/>
    <w:rsid w:val="00E55F3F"/>
    <w:rsid w:val="00E56B15"/>
    <w:rsid w:val="00E633A0"/>
    <w:rsid w:val="00E73713"/>
    <w:rsid w:val="00E837A5"/>
    <w:rsid w:val="00E85A83"/>
    <w:rsid w:val="00E86037"/>
    <w:rsid w:val="00E87BA5"/>
    <w:rsid w:val="00E90453"/>
    <w:rsid w:val="00E946F5"/>
    <w:rsid w:val="00EA1E47"/>
    <w:rsid w:val="00EC0025"/>
    <w:rsid w:val="00EC009D"/>
    <w:rsid w:val="00EC5C44"/>
    <w:rsid w:val="00ED3174"/>
    <w:rsid w:val="00ED36E0"/>
    <w:rsid w:val="00ED5162"/>
    <w:rsid w:val="00ED75F5"/>
    <w:rsid w:val="00ED783D"/>
    <w:rsid w:val="00EE030C"/>
    <w:rsid w:val="00EE2937"/>
    <w:rsid w:val="00EE3B73"/>
    <w:rsid w:val="00EE4AE7"/>
    <w:rsid w:val="00EE5CD5"/>
    <w:rsid w:val="00EF0E84"/>
    <w:rsid w:val="00EF1C9A"/>
    <w:rsid w:val="00EF2070"/>
    <w:rsid w:val="00EF3AF6"/>
    <w:rsid w:val="00EF47C7"/>
    <w:rsid w:val="00F14EFE"/>
    <w:rsid w:val="00F15FF9"/>
    <w:rsid w:val="00F21B01"/>
    <w:rsid w:val="00F23141"/>
    <w:rsid w:val="00F24834"/>
    <w:rsid w:val="00F30F26"/>
    <w:rsid w:val="00F33A61"/>
    <w:rsid w:val="00F503CF"/>
    <w:rsid w:val="00F569F7"/>
    <w:rsid w:val="00F642EE"/>
    <w:rsid w:val="00F64F5E"/>
    <w:rsid w:val="00F651D1"/>
    <w:rsid w:val="00F67FA2"/>
    <w:rsid w:val="00F70740"/>
    <w:rsid w:val="00F7105C"/>
    <w:rsid w:val="00F74DB8"/>
    <w:rsid w:val="00F80997"/>
    <w:rsid w:val="00F822C9"/>
    <w:rsid w:val="00F866C2"/>
    <w:rsid w:val="00F90F04"/>
    <w:rsid w:val="00F956FC"/>
    <w:rsid w:val="00FA52E7"/>
    <w:rsid w:val="00FA6005"/>
    <w:rsid w:val="00FB0F88"/>
    <w:rsid w:val="00FB3C06"/>
    <w:rsid w:val="00FB5B6C"/>
    <w:rsid w:val="00FB7818"/>
    <w:rsid w:val="00FD19A9"/>
    <w:rsid w:val="00FD511B"/>
    <w:rsid w:val="00FE60B0"/>
    <w:rsid w:val="00FF5277"/>
    <w:rsid w:val="00FF6EE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0958"/>
    <w:rPr>
      <w:rFonts w:ascii="Lucida Grande" w:hAnsi="Lucida Grande"/>
      <w:sz w:val="18"/>
      <w:szCs w:val="18"/>
    </w:rPr>
  </w:style>
  <w:style w:type="character" w:customStyle="1" w:styleId="BalloonTextChar">
    <w:name w:val="Balloon Text Char"/>
    <w:link w:val="BalloonText"/>
    <w:uiPriority w:val="99"/>
    <w:semiHidden/>
    <w:rsid w:val="00CA0958"/>
    <w:rPr>
      <w:rFonts w:ascii="Lucida Grande" w:hAnsi="Lucida Grande"/>
      <w:sz w:val="18"/>
      <w:szCs w:val="18"/>
      <w:lang w:val="en-AU"/>
    </w:rPr>
  </w:style>
  <w:style w:type="paragraph" w:styleId="Header">
    <w:name w:val="header"/>
    <w:basedOn w:val="Normal"/>
    <w:link w:val="HeaderChar"/>
    <w:uiPriority w:val="99"/>
    <w:unhideWhenUsed/>
    <w:rsid w:val="009C313B"/>
    <w:pPr>
      <w:tabs>
        <w:tab w:val="center" w:pos="4320"/>
        <w:tab w:val="right" w:pos="8640"/>
      </w:tabs>
    </w:pPr>
  </w:style>
  <w:style w:type="character" w:customStyle="1" w:styleId="HeaderChar">
    <w:name w:val="Header Char"/>
    <w:link w:val="Header"/>
    <w:uiPriority w:val="99"/>
    <w:rsid w:val="009C313B"/>
    <w:rPr>
      <w:sz w:val="24"/>
      <w:szCs w:val="24"/>
    </w:rPr>
  </w:style>
  <w:style w:type="paragraph" w:styleId="Footer">
    <w:name w:val="footer"/>
    <w:basedOn w:val="Normal"/>
    <w:link w:val="FooterChar"/>
    <w:uiPriority w:val="99"/>
    <w:unhideWhenUsed/>
    <w:rsid w:val="009C313B"/>
    <w:pPr>
      <w:tabs>
        <w:tab w:val="center" w:pos="4320"/>
        <w:tab w:val="right" w:pos="8640"/>
      </w:tabs>
    </w:pPr>
  </w:style>
  <w:style w:type="character" w:customStyle="1" w:styleId="FooterChar">
    <w:name w:val="Footer Char"/>
    <w:link w:val="Footer"/>
    <w:uiPriority w:val="99"/>
    <w:rsid w:val="009C313B"/>
    <w:rPr>
      <w:sz w:val="24"/>
      <w:szCs w:val="24"/>
    </w:rPr>
  </w:style>
  <w:style w:type="character" w:styleId="PageNumber">
    <w:name w:val="page number"/>
    <w:uiPriority w:val="99"/>
    <w:semiHidden/>
    <w:unhideWhenUsed/>
    <w:rsid w:val="009C313B"/>
  </w:style>
  <w:style w:type="table" w:styleId="TableGrid">
    <w:name w:val="Table Grid"/>
    <w:basedOn w:val="TableNormal"/>
    <w:uiPriority w:val="59"/>
    <w:rsid w:val="00237B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132C68"/>
    <w:rPr>
      <w:rFonts w:ascii="Times New Roman" w:hAnsi="Times New Roman"/>
    </w:rPr>
  </w:style>
  <w:style w:type="character" w:styleId="Hyperlink">
    <w:name w:val="Hyperlink"/>
    <w:uiPriority w:val="99"/>
    <w:unhideWhenUsed/>
    <w:rsid w:val="00447384"/>
    <w:rPr>
      <w:color w:val="0000FF"/>
      <w:u w:val="single"/>
    </w:rPr>
  </w:style>
  <w:style w:type="character" w:styleId="FollowedHyperlink">
    <w:name w:val="FollowedHyperlink"/>
    <w:uiPriority w:val="99"/>
    <w:semiHidden/>
    <w:unhideWhenUsed/>
    <w:rsid w:val="006A00EF"/>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0958"/>
    <w:rPr>
      <w:rFonts w:ascii="Lucida Grande" w:hAnsi="Lucida Grande"/>
      <w:sz w:val="18"/>
      <w:szCs w:val="18"/>
    </w:rPr>
  </w:style>
  <w:style w:type="character" w:customStyle="1" w:styleId="BalloonTextChar">
    <w:name w:val="Balloon Text Char"/>
    <w:link w:val="BalloonText"/>
    <w:uiPriority w:val="99"/>
    <w:semiHidden/>
    <w:rsid w:val="00CA0958"/>
    <w:rPr>
      <w:rFonts w:ascii="Lucida Grande" w:hAnsi="Lucida Grande"/>
      <w:sz w:val="18"/>
      <w:szCs w:val="18"/>
      <w:lang w:val="en-AU"/>
    </w:rPr>
  </w:style>
  <w:style w:type="paragraph" w:styleId="Header">
    <w:name w:val="header"/>
    <w:basedOn w:val="Normal"/>
    <w:link w:val="HeaderChar"/>
    <w:uiPriority w:val="99"/>
    <w:unhideWhenUsed/>
    <w:rsid w:val="009C313B"/>
    <w:pPr>
      <w:tabs>
        <w:tab w:val="center" w:pos="4320"/>
        <w:tab w:val="right" w:pos="8640"/>
      </w:tabs>
    </w:pPr>
  </w:style>
  <w:style w:type="character" w:customStyle="1" w:styleId="HeaderChar">
    <w:name w:val="Header Char"/>
    <w:link w:val="Header"/>
    <w:uiPriority w:val="99"/>
    <w:rsid w:val="009C313B"/>
    <w:rPr>
      <w:sz w:val="24"/>
      <w:szCs w:val="24"/>
    </w:rPr>
  </w:style>
  <w:style w:type="paragraph" w:styleId="Footer">
    <w:name w:val="footer"/>
    <w:basedOn w:val="Normal"/>
    <w:link w:val="FooterChar"/>
    <w:uiPriority w:val="99"/>
    <w:unhideWhenUsed/>
    <w:rsid w:val="009C313B"/>
    <w:pPr>
      <w:tabs>
        <w:tab w:val="center" w:pos="4320"/>
        <w:tab w:val="right" w:pos="8640"/>
      </w:tabs>
    </w:pPr>
  </w:style>
  <w:style w:type="character" w:customStyle="1" w:styleId="FooterChar">
    <w:name w:val="Footer Char"/>
    <w:link w:val="Footer"/>
    <w:uiPriority w:val="99"/>
    <w:rsid w:val="009C313B"/>
    <w:rPr>
      <w:sz w:val="24"/>
      <w:szCs w:val="24"/>
    </w:rPr>
  </w:style>
  <w:style w:type="character" w:styleId="PageNumber">
    <w:name w:val="page number"/>
    <w:uiPriority w:val="99"/>
    <w:semiHidden/>
    <w:unhideWhenUsed/>
    <w:rsid w:val="009C313B"/>
  </w:style>
  <w:style w:type="table" w:styleId="TableGrid">
    <w:name w:val="Table Grid"/>
    <w:basedOn w:val="TableNormal"/>
    <w:uiPriority w:val="59"/>
    <w:rsid w:val="00237B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132C68"/>
    <w:rPr>
      <w:rFonts w:ascii="Times New Roman" w:hAnsi="Times New Roman"/>
    </w:rPr>
  </w:style>
  <w:style w:type="character" w:styleId="Hyperlink">
    <w:name w:val="Hyperlink"/>
    <w:uiPriority w:val="99"/>
    <w:unhideWhenUsed/>
    <w:rsid w:val="00447384"/>
    <w:rPr>
      <w:color w:val="0000FF"/>
      <w:u w:val="single"/>
    </w:rPr>
  </w:style>
  <w:style w:type="character" w:styleId="FollowedHyperlink">
    <w:name w:val="FollowedHyperlink"/>
    <w:uiPriority w:val="99"/>
    <w:semiHidden/>
    <w:unhideWhenUsed/>
    <w:rsid w:val="006A00E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75313">
      <w:bodyDiv w:val="1"/>
      <w:marLeft w:val="0"/>
      <w:marRight w:val="0"/>
      <w:marTop w:val="0"/>
      <w:marBottom w:val="0"/>
      <w:divBdr>
        <w:top w:val="none" w:sz="0" w:space="0" w:color="auto"/>
        <w:left w:val="none" w:sz="0" w:space="0" w:color="auto"/>
        <w:bottom w:val="none" w:sz="0" w:space="0" w:color="auto"/>
        <w:right w:val="none" w:sz="0" w:space="0" w:color="auto"/>
      </w:divBdr>
      <w:divsChild>
        <w:div w:id="1772896077">
          <w:marLeft w:val="0"/>
          <w:marRight w:val="0"/>
          <w:marTop w:val="0"/>
          <w:marBottom w:val="0"/>
          <w:divBdr>
            <w:top w:val="none" w:sz="0" w:space="0" w:color="auto"/>
            <w:left w:val="none" w:sz="0" w:space="0" w:color="auto"/>
            <w:bottom w:val="none" w:sz="0" w:space="0" w:color="auto"/>
            <w:right w:val="none" w:sz="0" w:space="0" w:color="auto"/>
          </w:divBdr>
          <w:divsChild>
            <w:div w:id="1614242882">
              <w:marLeft w:val="0"/>
              <w:marRight w:val="0"/>
              <w:marTop w:val="0"/>
              <w:marBottom w:val="0"/>
              <w:divBdr>
                <w:top w:val="none" w:sz="0" w:space="0" w:color="auto"/>
                <w:left w:val="none" w:sz="0" w:space="0" w:color="auto"/>
                <w:bottom w:val="none" w:sz="0" w:space="0" w:color="auto"/>
                <w:right w:val="none" w:sz="0" w:space="0" w:color="auto"/>
              </w:divBdr>
              <w:divsChild>
                <w:div w:id="1701935695">
                  <w:marLeft w:val="0"/>
                  <w:marRight w:val="0"/>
                  <w:marTop w:val="0"/>
                  <w:marBottom w:val="0"/>
                  <w:divBdr>
                    <w:top w:val="none" w:sz="0" w:space="0" w:color="auto"/>
                    <w:left w:val="none" w:sz="0" w:space="0" w:color="auto"/>
                    <w:bottom w:val="none" w:sz="0" w:space="0" w:color="auto"/>
                    <w:right w:val="none" w:sz="0" w:space="0" w:color="auto"/>
                  </w:divBdr>
                  <w:divsChild>
                    <w:div w:id="205030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65809">
      <w:bodyDiv w:val="1"/>
      <w:marLeft w:val="0"/>
      <w:marRight w:val="0"/>
      <w:marTop w:val="0"/>
      <w:marBottom w:val="0"/>
      <w:divBdr>
        <w:top w:val="none" w:sz="0" w:space="0" w:color="auto"/>
        <w:left w:val="none" w:sz="0" w:space="0" w:color="auto"/>
        <w:bottom w:val="none" w:sz="0" w:space="0" w:color="auto"/>
        <w:right w:val="none" w:sz="0" w:space="0" w:color="auto"/>
      </w:divBdr>
      <w:divsChild>
        <w:div w:id="816993376">
          <w:marLeft w:val="0"/>
          <w:marRight w:val="0"/>
          <w:marTop w:val="0"/>
          <w:marBottom w:val="0"/>
          <w:divBdr>
            <w:top w:val="none" w:sz="0" w:space="0" w:color="auto"/>
            <w:left w:val="none" w:sz="0" w:space="0" w:color="auto"/>
            <w:bottom w:val="none" w:sz="0" w:space="0" w:color="auto"/>
            <w:right w:val="none" w:sz="0" w:space="0" w:color="auto"/>
          </w:divBdr>
          <w:divsChild>
            <w:div w:id="1603610998">
              <w:marLeft w:val="0"/>
              <w:marRight w:val="0"/>
              <w:marTop w:val="0"/>
              <w:marBottom w:val="0"/>
              <w:divBdr>
                <w:top w:val="none" w:sz="0" w:space="0" w:color="auto"/>
                <w:left w:val="none" w:sz="0" w:space="0" w:color="auto"/>
                <w:bottom w:val="none" w:sz="0" w:space="0" w:color="auto"/>
                <w:right w:val="none" w:sz="0" w:space="0" w:color="auto"/>
              </w:divBdr>
              <w:divsChild>
                <w:div w:id="39265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179034">
      <w:bodyDiv w:val="1"/>
      <w:marLeft w:val="0"/>
      <w:marRight w:val="0"/>
      <w:marTop w:val="0"/>
      <w:marBottom w:val="0"/>
      <w:divBdr>
        <w:top w:val="none" w:sz="0" w:space="0" w:color="auto"/>
        <w:left w:val="none" w:sz="0" w:space="0" w:color="auto"/>
        <w:bottom w:val="none" w:sz="0" w:space="0" w:color="auto"/>
        <w:right w:val="none" w:sz="0" w:space="0" w:color="auto"/>
      </w:divBdr>
      <w:divsChild>
        <w:div w:id="1159493764">
          <w:marLeft w:val="0"/>
          <w:marRight w:val="0"/>
          <w:marTop w:val="0"/>
          <w:marBottom w:val="0"/>
          <w:divBdr>
            <w:top w:val="none" w:sz="0" w:space="0" w:color="auto"/>
            <w:left w:val="none" w:sz="0" w:space="0" w:color="auto"/>
            <w:bottom w:val="none" w:sz="0" w:space="0" w:color="auto"/>
            <w:right w:val="none" w:sz="0" w:space="0" w:color="auto"/>
          </w:divBdr>
          <w:divsChild>
            <w:div w:id="559631017">
              <w:marLeft w:val="0"/>
              <w:marRight w:val="0"/>
              <w:marTop w:val="0"/>
              <w:marBottom w:val="0"/>
              <w:divBdr>
                <w:top w:val="none" w:sz="0" w:space="0" w:color="auto"/>
                <w:left w:val="none" w:sz="0" w:space="0" w:color="auto"/>
                <w:bottom w:val="none" w:sz="0" w:space="0" w:color="auto"/>
                <w:right w:val="none" w:sz="0" w:space="0" w:color="auto"/>
              </w:divBdr>
              <w:divsChild>
                <w:div w:id="7945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207293">
      <w:bodyDiv w:val="1"/>
      <w:marLeft w:val="0"/>
      <w:marRight w:val="0"/>
      <w:marTop w:val="0"/>
      <w:marBottom w:val="0"/>
      <w:divBdr>
        <w:top w:val="none" w:sz="0" w:space="0" w:color="auto"/>
        <w:left w:val="none" w:sz="0" w:space="0" w:color="auto"/>
        <w:bottom w:val="none" w:sz="0" w:space="0" w:color="auto"/>
        <w:right w:val="none" w:sz="0" w:space="0" w:color="auto"/>
      </w:divBdr>
      <w:divsChild>
        <w:div w:id="707684163">
          <w:marLeft w:val="0"/>
          <w:marRight w:val="0"/>
          <w:marTop w:val="0"/>
          <w:marBottom w:val="0"/>
          <w:divBdr>
            <w:top w:val="none" w:sz="0" w:space="0" w:color="auto"/>
            <w:left w:val="none" w:sz="0" w:space="0" w:color="auto"/>
            <w:bottom w:val="none" w:sz="0" w:space="0" w:color="auto"/>
            <w:right w:val="none" w:sz="0" w:space="0" w:color="auto"/>
          </w:divBdr>
          <w:divsChild>
            <w:div w:id="644748624">
              <w:marLeft w:val="0"/>
              <w:marRight w:val="0"/>
              <w:marTop w:val="0"/>
              <w:marBottom w:val="0"/>
              <w:divBdr>
                <w:top w:val="none" w:sz="0" w:space="0" w:color="auto"/>
                <w:left w:val="none" w:sz="0" w:space="0" w:color="auto"/>
                <w:bottom w:val="none" w:sz="0" w:space="0" w:color="auto"/>
                <w:right w:val="none" w:sz="0" w:space="0" w:color="auto"/>
              </w:divBdr>
              <w:divsChild>
                <w:div w:id="179687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491288">
      <w:bodyDiv w:val="1"/>
      <w:marLeft w:val="0"/>
      <w:marRight w:val="0"/>
      <w:marTop w:val="0"/>
      <w:marBottom w:val="0"/>
      <w:divBdr>
        <w:top w:val="none" w:sz="0" w:space="0" w:color="auto"/>
        <w:left w:val="none" w:sz="0" w:space="0" w:color="auto"/>
        <w:bottom w:val="none" w:sz="0" w:space="0" w:color="auto"/>
        <w:right w:val="none" w:sz="0" w:space="0" w:color="auto"/>
      </w:divBdr>
    </w:div>
    <w:div w:id="459035315">
      <w:bodyDiv w:val="1"/>
      <w:marLeft w:val="0"/>
      <w:marRight w:val="0"/>
      <w:marTop w:val="0"/>
      <w:marBottom w:val="0"/>
      <w:divBdr>
        <w:top w:val="none" w:sz="0" w:space="0" w:color="auto"/>
        <w:left w:val="none" w:sz="0" w:space="0" w:color="auto"/>
        <w:bottom w:val="none" w:sz="0" w:space="0" w:color="auto"/>
        <w:right w:val="none" w:sz="0" w:space="0" w:color="auto"/>
      </w:divBdr>
    </w:div>
    <w:div w:id="477042190">
      <w:bodyDiv w:val="1"/>
      <w:marLeft w:val="0"/>
      <w:marRight w:val="0"/>
      <w:marTop w:val="0"/>
      <w:marBottom w:val="0"/>
      <w:divBdr>
        <w:top w:val="none" w:sz="0" w:space="0" w:color="auto"/>
        <w:left w:val="none" w:sz="0" w:space="0" w:color="auto"/>
        <w:bottom w:val="none" w:sz="0" w:space="0" w:color="auto"/>
        <w:right w:val="none" w:sz="0" w:space="0" w:color="auto"/>
      </w:divBdr>
      <w:divsChild>
        <w:div w:id="1917861866">
          <w:marLeft w:val="0"/>
          <w:marRight w:val="0"/>
          <w:marTop w:val="0"/>
          <w:marBottom w:val="0"/>
          <w:divBdr>
            <w:top w:val="none" w:sz="0" w:space="0" w:color="auto"/>
            <w:left w:val="none" w:sz="0" w:space="0" w:color="auto"/>
            <w:bottom w:val="none" w:sz="0" w:space="0" w:color="auto"/>
            <w:right w:val="none" w:sz="0" w:space="0" w:color="auto"/>
          </w:divBdr>
          <w:divsChild>
            <w:div w:id="965700071">
              <w:marLeft w:val="0"/>
              <w:marRight w:val="0"/>
              <w:marTop w:val="0"/>
              <w:marBottom w:val="0"/>
              <w:divBdr>
                <w:top w:val="none" w:sz="0" w:space="0" w:color="auto"/>
                <w:left w:val="none" w:sz="0" w:space="0" w:color="auto"/>
                <w:bottom w:val="none" w:sz="0" w:space="0" w:color="auto"/>
                <w:right w:val="none" w:sz="0" w:space="0" w:color="auto"/>
              </w:divBdr>
              <w:divsChild>
                <w:div w:id="791630585">
                  <w:marLeft w:val="0"/>
                  <w:marRight w:val="0"/>
                  <w:marTop w:val="0"/>
                  <w:marBottom w:val="0"/>
                  <w:divBdr>
                    <w:top w:val="none" w:sz="0" w:space="0" w:color="auto"/>
                    <w:left w:val="none" w:sz="0" w:space="0" w:color="auto"/>
                    <w:bottom w:val="none" w:sz="0" w:space="0" w:color="auto"/>
                    <w:right w:val="none" w:sz="0" w:space="0" w:color="auto"/>
                  </w:divBdr>
                  <w:divsChild>
                    <w:div w:id="199722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109129">
      <w:bodyDiv w:val="1"/>
      <w:marLeft w:val="0"/>
      <w:marRight w:val="0"/>
      <w:marTop w:val="0"/>
      <w:marBottom w:val="0"/>
      <w:divBdr>
        <w:top w:val="none" w:sz="0" w:space="0" w:color="auto"/>
        <w:left w:val="none" w:sz="0" w:space="0" w:color="auto"/>
        <w:bottom w:val="none" w:sz="0" w:space="0" w:color="auto"/>
        <w:right w:val="none" w:sz="0" w:space="0" w:color="auto"/>
      </w:divBdr>
      <w:divsChild>
        <w:div w:id="1202355069">
          <w:marLeft w:val="0"/>
          <w:marRight w:val="0"/>
          <w:marTop w:val="0"/>
          <w:marBottom w:val="0"/>
          <w:divBdr>
            <w:top w:val="none" w:sz="0" w:space="0" w:color="auto"/>
            <w:left w:val="none" w:sz="0" w:space="0" w:color="auto"/>
            <w:bottom w:val="none" w:sz="0" w:space="0" w:color="auto"/>
            <w:right w:val="none" w:sz="0" w:space="0" w:color="auto"/>
          </w:divBdr>
          <w:divsChild>
            <w:div w:id="129564897">
              <w:marLeft w:val="0"/>
              <w:marRight w:val="0"/>
              <w:marTop w:val="0"/>
              <w:marBottom w:val="0"/>
              <w:divBdr>
                <w:top w:val="none" w:sz="0" w:space="0" w:color="auto"/>
                <w:left w:val="none" w:sz="0" w:space="0" w:color="auto"/>
                <w:bottom w:val="none" w:sz="0" w:space="0" w:color="auto"/>
                <w:right w:val="none" w:sz="0" w:space="0" w:color="auto"/>
              </w:divBdr>
              <w:divsChild>
                <w:div w:id="52213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575358">
      <w:bodyDiv w:val="1"/>
      <w:marLeft w:val="0"/>
      <w:marRight w:val="0"/>
      <w:marTop w:val="0"/>
      <w:marBottom w:val="0"/>
      <w:divBdr>
        <w:top w:val="none" w:sz="0" w:space="0" w:color="auto"/>
        <w:left w:val="none" w:sz="0" w:space="0" w:color="auto"/>
        <w:bottom w:val="none" w:sz="0" w:space="0" w:color="auto"/>
        <w:right w:val="none" w:sz="0" w:space="0" w:color="auto"/>
      </w:divBdr>
      <w:divsChild>
        <w:div w:id="1421366305">
          <w:marLeft w:val="0"/>
          <w:marRight w:val="0"/>
          <w:marTop w:val="0"/>
          <w:marBottom w:val="0"/>
          <w:divBdr>
            <w:top w:val="none" w:sz="0" w:space="0" w:color="auto"/>
            <w:left w:val="none" w:sz="0" w:space="0" w:color="auto"/>
            <w:bottom w:val="none" w:sz="0" w:space="0" w:color="auto"/>
            <w:right w:val="none" w:sz="0" w:space="0" w:color="auto"/>
          </w:divBdr>
          <w:divsChild>
            <w:div w:id="768042086">
              <w:marLeft w:val="0"/>
              <w:marRight w:val="0"/>
              <w:marTop w:val="0"/>
              <w:marBottom w:val="0"/>
              <w:divBdr>
                <w:top w:val="none" w:sz="0" w:space="0" w:color="auto"/>
                <w:left w:val="none" w:sz="0" w:space="0" w:color="auto"/>
                <w:bottom w:val="none" w:sz="0" w:space="0" w:color="auto"/>
                <w:right w:val="none" w:sz="0" w:space="0" w:color="auto"/>
              </w:divBdr>
              <w:divsChild>
                <w:div w:id="326591403">
                  <w:marLeft w:val="0"/>
                  <w:marRight w:val="0"/>
                  <w:marTop w:val="0"/>
                  <w:marBottom w:val="0"/>
                  <w:divBdr>
                    <w:top w:val="none" w:sz="0" w:space="0" w:color="auto"/>
                    <w:left w:val="none" w:sz="0" w:space="0" w:color="auto"/>
                    <w:bottom w:val="none" w:sz="0" w:space="0" w:color="auto"/>
                    <w:right w:val="none" w:sz="0" w:space="0" w:color="auto"/>
                  </w:divBdr>
                  <w:divsChild>
                    <w:div w:id="418596489">
                      <w:marLeft w:val="0"/>
                      <w:marRight w:val="0"/>
                      <w:marTop w:val="0"/>
                      <w:marBottom w:val="0"/>
                      <w:divBdr>
                        <w:top w:val="none" w:sz="0" w:space="0" w:color="auto"/>
                        <w:left w:val="none" w:sz="0" w:space="0" w:color="auto"/>
                        <w:bottom w:val="none" w:sz="0" w:space="0" w:color="auto"/>
                        <w:right w:val="none" w:sz="0" w:space="0" w:color="auto"/>
                      </w:divBdr>
                    </w:div>
                  </w:divsChild>
                </w:div>
                <w:div w:id="1914505615">
                  <w:marLeft w:val="0"/>
                  <w:marRight w:val="0"/>
                  <w:marTop w:val="0"/>
                  <w:marBottom w:val="0"/>
                  <w:divBdr>
                    <w:top w:val="none" w:sz="0" w:space="0" w:color="auto"/>
                    <w:left w:val="none" w:sz="0" w:space="0" w:color="auto"/>
                    <w:bottom w:val="none" w:sz="0" w:space="0" w:color="auto"/>
                    <w:right w:val="none" w:sz="0" w:space="0" w:color="auto"/>
                  </w:divBdr>
                  <w:divsChild>
                    <w:div w:id="95868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825773">
      <w:bodyDiv w:val="1"/>
      <w:marLeft w:val="0"/>
      <w:marRight w:val="0"/>
      <w:marTop w:val="0"/>
      <w:marBottom w:val="0"/>
      <w:divBdr>
        <w:top w:val="none" w:sz="0" w:space="0" w:color="auto"/>
        <w:left w:val="none" w:sz="0" w:space="0" w:color="auto"/>
        <w:bottom w:val="none" w:sz="0" w:space="0" w:color="auto"/>
        <w:right w:val="none" w:sz="0" w:space="0" w:color="auto"/>
      </w:divBdr>
      <w:divsChild>
        <w:div w:id="1695769201">
          <w:marLeft w:val="0"/>
          <w:marRight w:val="0"/>
          <w:marTop w:val="0"/>
          <w:marBottom w:val="0"/>
          <w:divBdr>
            <w:top w:val="none" w:sz="0" w:space="0" w:color="auto"/>
            <w:left w:val="none" w:sz="0" w:space="0" w:color="auto"/>
            <w:bottom w:val="none" w:sz="0" w:space="0" w:color="auto"/>
            <w:right w:val="none" w:sz="0" w:space="0" w:color="auto"/>
          </w:divBdr>
          <w:divsChild>
            <w:div w:id="1023483465">
              <w:marLeft w:val="0"/>
              <w:marRight w:val="0"/>
              <w:marTop w:val="0"/>
              <w:marBottom w:val="0"/>
              <w:divBdr>
                <w:top w:val="none" w:sz="0" w:space="0" w:color="auto"/>
                <w:left w:val="none" w:sz="0" w:space="0" w:color="auto"/>
                <w:bottom w:val="none" w:sz="0" w:space="0" w:color="auto"/>
                <w:right w:val="none" w:sz="0" w:space="0" w:color="auto"/>
              </w:divBdr>
              <w:divsChild>
                <w:div w:id="751436031">
                  <w:marLeft w:val="0"/>
                  <w:marRight w:val="0"/>
                  <w:marTop w:val="0"/>
                  <w:marBottom w:val="0"/>
                  <w:divBdr>
                    <w:top w:val="none" w:sz="0" w:space="0" w:color="auto"/>
                    <w:left w:val="none" w:sz="0" w:space="0" w:color="auto"/>
                    <w:bottom w:val="none" w:sz="0" w:space="0" w:color="auto"/>
                    <w:right w:val="none" w:sz="0" w:space="0" w:color="auto"/>
                  </w:divBdr>
                  <w:divsChild>
                    <w:div w:id="184242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734818">
      <w:bodyDiv w:val="1"/>
      <w:marLeft w:val="0"/>
      <w:marRight w:val="0"/>
      <w:marTop w:val="0"/>
      <w:marBottom w:val="0"/>
      <w:divBdr>
        <w:top w:val="none" w:sz="0" w:space="0" w:color="auto"/>
        <w:left w:val="none" w:sz="0" w:space="0" w:color="auto"/>
        <w:bottom w:val="none" w:sz="0" w:space="0" w:color="auto"/>
        <w:right w:val="none" w:sz="0" w:space="0" w:color="auto"/>
      </w:divBdr>
      <w:divsChild>
        <w:div w:id="2107846006">
          <w:marLeft w:val="0"/>
          <w:marRight w:val="0"/>
          <w:marTop w:val="0"/>
          <w:marBottom w:val="0"/>
          <w:divBdr>
            <w:top w:val="none" w:sz="0" w:space="0" w:color="auto"/>
            <w:left w:val="none" w:sz="0" w:space="0" w:color="auto"/>
            <w:bottom w:val="none" w:sz="0" w:space="0" w:color="auto"/>
            <w:right w:val="none" w:sz="0" w:space="0" w:color="auto"/>
          </w:divBdr>
          <w:divsChild>
            <w:div w:id="496383530">
              <w:marLeft w:val="0"/>
              <w:marRight w:val="0"/>
              <w:marTop w:val="0"/>
              <w:marBottom w:val="0"/>
              <w:divBdr>
                <w:top w:val="none" w:sz="0" w:space="0" w:color="auto"/>
                <w:left w:val="none" w:sz="0" w:space="0" w:color="auto"/>
                <w:bottom w:val="none" w:sz="0" w:space="0" w:color="auto"/>
                <w:right w:val="none" w:sz="0" w:space="0" w:color="auto"/>
              </w:divBdr>
              <w:divsChild>
                <w:div w:id="15002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989687">
      <w:bodyDiv w:val="1"/>
      <w:marLeft w:val="0"/>
      <w:marRight w:val="0"/>
      <w:marTop w:val="0"/>
      <w:marBottom w:val="0"/>
      <w:divBdr>
        <w:top w:val="none" w:sz="0" w:space="0" w:color="auto"/>
        <w:left w:val="none" w:sz="0" w:space="0" w:color="auto"/>
        <w:bottom w:val="none" w:sz="0" w:space="0" w:color="auto"/>
        <w:right w:val="none" w:sz="0" w:space="0" w:color="auto"/>
      </w:divBdr>
    </w:div>
    <w:div w:id="839732088">
      <w:bodyDiv w:val="1"/>
      <w:marLeft w:val="0"/>
      <w:marRight w:val="0"/>
      <w:marTop w:val="0"/>
      <w:marBottom w:val="0"/>
      <w:divBdr>
        <w:top w:val="none" w:sz="0" w:space="0" w:color="auto"/>
        <w:left w:val="none" w:sz="0" w:space="0" w:color="auto"/>
        <w:bottom w:val="none" w:sz="0" w:space="0" w:color="auto"/>
        <w:right w:val="none" w:sz="0" w:space="0" w:color="auto"/>
      </w:divBdr>
    </w:div>
    <w:div w:id="892275920">
      <w:bodyDiv w:val="1"/>
      <w:marLeft w:val="0"/>
      <w:marRight w:val="0"/>
      <w:marTop w:val="0"/>
      <w:marBottom w:val="0"/>
      <w:divBdr>
        <w:top w:val="none" w:sz="0" w:space="0" w:color="auto"/>
        <w:left w:val="none" w:sz="0" w:space="0" w:color="auto"/>
        <w:bottom w:val="none" w:sz="0" w:space="0" w:color="auto"/>
        <w:right w:val="none" w:sz="0" w:space="0" w:color="auto"/>
      </w:divBdr>
    </w:div>
    <w:div w:id="897667066">
      <w:bodyDiv w:val="1"/>
      <w:marLeft w:val="0"/>
      <w:marRight w:val="0"/>
      <w:marTop w:val="0"/>
      <w:marBottom w:val="0"/>
      <w:divBdr>
        <w:top w:val="none" w:sz="0" w:space="0" w:color="auto"/>
        <w:left w:val="none" w:sz="0" w:space="0" w:color="auto"/>
        <w:bottom w:val="none" w:sz="0" w:space="0" w:color="auto"/>
        <w:right w:val="none" w:sz="0" w:space="0" w:color="auto"/>
      </w:divBdr>
      <w:divsChild>
        <w:div w:id="203710545">
          <w:marLeft w:val="0"/>
          <w:marRight w:val="0"/>
          <w:marTop w:val="0"/>
          <w:marBottom w:val="0"/>
          <w:divBdr>
            <w:top w:val="none" w:sz="0" w:space="0" w:color="auto"/>
            <w:left w:val="none" w:sz="0" w:space="0" w:color="auto"/>
            <w:bottom w:val="none" w:sz="0" w:space="0" w:color="auto"/>
            <w:right w:val="none" w:sz="0" w:space="0" w:color="auto"/>
          </w:divBdr>
          <w:divsChild>
            <w:div w:id="790636811">
              <w:marLeft w:val="0"/>
              <w:marRight w:val="0"/>
              <w:marTop w:val="0"/>
              <w:marBottom w:val="0"/>
              <w:divBdr>
                <w:top w:val="none" w:sz="0" w:space="0" w:color="auto"/>
                <w:left w:val="none" w:sz="0" w:space="0" w:color="auto"/>
                <w:bottom w:val="none" w:sz="0" w:space="0" w:color="auto"/>
                <w:right w:val="none" w:sz="0" w:space="0" w:color="auto"/>
              </w:divBdr>
              <w:divsChild>
                <w:div w:id="183425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732315">
      <w:bodyDiv w:val="1"/>
      <w:marLeft w:val="0"/>
      <w:marRight w:val="0"/>
      <w:marTop w:val="0"/>
      <w:marBottom w:val="0"/>
      <w:divBdr>
        <w:top w:val="none" w:sz="0" w:space="0" w:color="auto"/>
        <w:left w:val="none" w:sz="0" w:space="0" w:color="auto"/>
        <w:bottom w:val="none" w:sz="0" w:space="0" w:color="auto"/>
        <w:right w:val="none" w:sz="0" w:space="0" w:color="auto"/>
      </w:divBdr>
      <w:divsChild>
        <w:div w:id="1124733891">
          <w:marLeft w:val="0"/>
          <w:marRight w:val="0"/>
          <w:marTop w:val="0"/>
          <w:marBottom w:val="0"/>
          <w:divBdr>
            <w:top w:val="none" w:sz="0" w:space="0" w:color="auto"/>
            <w:left w:val="none" w:sz="0" w:space="0" w:color="auto"/>
            <w:bottom w:val="none" w:sz="0" w:space="0" w:color="auto"/>
            <w:right w:val="none" w:sz="0" w:space="0" w:color="auto"/>
          </w:divBdr>
          <w:divsChild>
            <w:div w:id="1694187960">
              <w:marLeft w:val="0"/>
              <w:marRight w:val="0"/>
              <w:marTop w:val="0"/>
              <w:marBottom w:val="0"/>
              <w:divBdr>
                <w:top w:val="none" w:sz="0" w:space="0" w:color="auto"/>
                <w:left w:val="none" w:sz="0" w:space="0" w:color="auto"/>
                <w:bottom w:val="none" w:sz="0" w:space="0" w:color="auto"/>
                <w:right w:val="none" w:sz="0" w:space="0" w:color="auto"/>
              </w:divBdr>
              <w:divsChild>
                <w:div w:id="15131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900466">
      <w:bodyDiv w:val="1"/>
      <w:marLeft w:val="0"/>
      <w:marRight w:val="0"/>
      <w:marTop w:val="0"/>
      <w:marBottom w:val="0"/>
      <w:divBdr>
        <w:top w:val="none" w:sz="0" w:space="0" w:color="auto"/>
        <w:left w:val="none" w:sz="0" w:space="0" w:color="auto"/>
        <w:bottom w:val="none" w:sz="0" w:space="0" w:color="auto"/>
        <w:right w:val="none" w:sz="0" w:space="0" w:color="auto"/>
      </w:divBdr>
      <w:divsChild>
        <w:div w:id="1734352009">
          <w:marLeft w:val="0"/>
          <w:marRight w:val="0"/>
          <w:marTop w:val="0"/>
          <w:marBottom w:val="0"/>
          <w:divBdr>
            <w:top w:val="none" w:sz="0" w:space="0" w:color="auto"/>
            <w:left w:val="none" w:sz="0" w:space="0" w:color="auto"/>
            <w:bottom w:val="none" w:sz="0" w:space="0" w:color="auto"/>
            <w:right w:val="none" w:sz="0" w:space="0" w:color="auto"/>
          </w:divBdr>
          <w:divsChild>
            <w:div w:id="1139347583">
              <w:marLeft w:val="0"/>
              <w:marRight w:val="0"/>
              <w:marTop w:val="0"/>
              <w:marBottom w:val="0"/>
              <w:divBdr>
                <w:top w:val="none" w:sz="0" w:space="0" w:color="auto"/>
                <w:left w:val="none" w:sz="0" w:space="0" w:color="auto"/>
                <w:bottom w:val="none" w:sz="0" w:space="0" w:color="auto"/>
                <w:right w:val="none" w:sz="0" w:space="0" w:color="auto"/>
              </w:divBdr>
              <w:divsChild>
                <w:div w:id="657809618">
                  <w:marLeft w:val="0"/>
                  <w:marRight w:val="0"/>
                  <w:marTop w:val="0"/>
                  <w:marBottom w:val="0"/>
                  <w:divBdr>
                    <w:top w:val="none" w:sz="0" w:space="0" w:color="auto"/>
                    <w:left w:val="none" w:sz="0" w:space="0" w:color="auto"/>
                    <w:bottom w:val="none" w:sz="0" w:space="0" w:color="auto"/>
                    <w:right w:val="none" w:sz="0" w:space="0" w:color="auto"/>
                  </w:divBdr>
                  <w:divsChild>
                    <w:div w:id="875704594">
                      <w:marLeft w:val="0"/>
                      <w:marRight w:val="0"/>
                      <w:marTop w:val="0"/>
                      <w:marBottom w:val="0"/>
                      <w:divBdr>
                        <w:top w:val="none" w:sz="0" w:space="0" w:color="auto"/>
                        <w:left w:val="none" w:sz="0" w:space="0" w:color="auto"/>
                        <w:bottom w:val="none" w:sz="0" w:space="0" w:color="auto"/>
                        <w:right w:val="none" w:sz="0" w:space="0" w:color="auto"/>
                      </w:divBdr>
                    </w:div>
                  </w:divsChild>
                </w:div>
                <w:div w:id="748312954">
                  <w:marLeft w:val="0"/>
                  <w:marRight w:val="0"/>
                  <w:marTop w:val="0"/>
                  <w:marBottom w:val="0"/>
                  <w:divBdr>
                    <w:top w:val="none" w:sz="0" w:space="0" w:color="auto"/>
                    <w:left w:val="none" w:sz="0" w:space="0" w:color="auto"/>
                    <w:bottom w:val="none" w:sz="0" w:space="0" w:color="auto"/>
                    <w:right w:val="none" w:sz="0" w:space="0" w:color="auto"/>
                  </w:divBdr>
                  <w:divsChild>
                    <w:div w:id="1287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794280">
      <w:bodyDiv w:val="1"/>
      <w:marLeft w:val="0"/>
      <w:marRight w:val="0"/>
      <w:marTop w:val="0"/>
      <w:marBottom w:val="0"/>
      <w:divBdr>
        <w:top w:val="none" w:sz="0" w:space="0" w:color="auto"/>
        <w:left w:val="none" w:sz="0" w:space="0" w:color="auto"/>
        <w:bottom w:val="none" w:sz="0" w:space="0" w:color="auto"/>
        <w:right w:val="none" w:sz="0" w:space="0" w:color="auto"/>
      </w:divBdr>
    </w:div>
    <w:div w:id="996111686">
      <w:bodyDiv w:val="1"/>
      <w:marLeft w:val="0"/>
      <w:marRight w:val="0"/>
      <w:marTop w:val="0"/>
      <w:marBottom w:val="0"/>
      <w:divBdr>
        <w:top w:val="none" w:sz="0" w:space="0" w:color="auto"/>
        <w:left w:val="none" w:sz="0" w:space="0" w:color="auto"/>
        <w:bottom w:val="none" w:sz="0" w:space="0" w:color="auto"/>
        <w:right w:val="none" w:sz="0" w:space="0" w:color="auto"/>
      </w:divBdr>
      <w:divsChild>
        <w:div w:id="1722367936">
          <w:marLeft w:val="0"/>
          <w:marRight w:val="0"/>
          <w:marTop w:val="0"/>
          <w:marBottom w:val="0"/>
          <w:divBdr>
            <w:top w:val="none" w:sz="0" w:space="0" w:color="auto"/>
            <w:left w:val="none" w:sz="0" w:space="0" w:color="auto"/>
            <w:bottom w:val="none" w:sz="0" w:space="0" w:color="auto"/>
            <w:right w:val="none" w:sz="0" w:space="0" w:color="auto"/>
          </w:divBdr>
          <w:divsChild>
            <w:div w:id="63724143">
              <w:marLeft w:val="0"/>
              <w:marRight w:val="0"/>
              <w:marTop w:val="0"/>
              <w:marBottom w:val="0"/>
              <w:divBdr>
                <w:top w:val="none" w:sz="0" w:space="0" w:color="auto"/>
                <w:left w:val="none" w:sz="0" w:space="0" w:color="auto"/>
                <w:bottom w:val="none" w:sz="0" w:space="0" w:color="auto"/>
                <w:right w:val="none" w:sz="0" w:space="0" w:color="auto"/>
              </w:divBdr>
              <w:divsChild>
                <w:div w:id="361252272">
                  <w:marLeft w:val="0"/>
                  <w:marRight w:val="0"/>
                  <w:marTop w:val="0"/>
                  <w:marBottom w:val="0"/>
                  <w:divBdr>
                    <w:top w:val="none" w:sz="0" w:space="0" w:color="auto"/>
                    <w:left w:val="none" w:sz="0" w:space="0" w:color="auto"/>
                    <w:bottom w:val="none" w:sz="0" w:space="0" w:color="auto"/>
                    <w:right w:val="none" w:sz="0" w:space="0" w:color="auto"/>
                  </w:divBdr>
                  <w:divsChild>
                    <w:div w:id="181753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127735">
      <w:bodyDiv w:val="1"/>
      <w:marLeft w:val="0"/>
      <w:marRight w:val="0"/>
      <w:marTop w:val="0"/>
      <w:marBottom w:val="0"/>
      <w:divBdr>
        <w:top w:val="none" w:sz="0" w:space="0" w:color="auto"/>
        <w:left w:val="none" w:sz="0" w:space="0" w:color="auto"/>
        <w:bottom w:val="none" w:sz="0" w:space="0" w:color="auto"/>
        <w:right w:val="none" w:sz="0" w:space="0" w:color="auto"/>
      </w:divBdr>
      <w:divsChild>
        <w:div w:id="469903735">
          <w:marLeft w:val="0"/>
          <w:marRight w:val="0"/>
          <w:marTop w:val="0"/>
          <w:marBottom w:val="0"/>
          <w:divBdr>
            <w:top w:val="none" w:sz="0" w:space="0" w:color="auto"/>
            <w:left w:val="none" w:sz="0" w:space="0" w:color="auto"/>
            <w:bottom w:val="none" w:sz="0" w:space="0" w:color="auto"/>
            <w:right w:val="none" w:sz="0" w:space="0" w:color="auto"/>
          </w:divBdr>
          <w:divsChild>
            <w:div w:id="912812467">
              <w:marLeft w:val="0"/>
              <w:marRight w:val="0"/>
              <w:marTop w:val="0"/>
              <w:marBottom w:val="0"/>
              <w:divBdr>
                <w:top w:val="none" w:sz="0" w:space="0" w:color="auto"/>
                <w:left w:val="none" w:sz="0" w:space="0" w:color="auto"/>
                <w:bottom w:val="none" w:sz="0" w:space="0" w:color="auto"/>
                <w:right w:val="none" w:sz="0" w:space="0" w:color="auto"/>
              </w:divBdr>
              <w:divsChild>
                <w:div w:id="449596413">
                  <w:marLeft w:val="0"/>
                  <w:marRight w:val="0"/>
                  <w:marTop w:val="0"/>
                  <w:marBottom w:val="0"/>
                  <w:divBdr>
                    <w:top w:val="none" w:sz="0" w:space="0" w:color="auto"/>
                    <w:left w:val="none" w:sz="0" w:space="0" w:color="auto"/>
                    <w:bottom w:val="none" w:sz="0" w:space="0" w:color="auto"/>
                    <w:right w:val="none" w:sz="0" w:space="0" w:color="auto"/>
                  </w:divBdr>
                  <w:divsChild>
                    <w:div w:id="151253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958515">
      <w:bodyDiv w:val="1"/>
      <w:marLeft w:val="0"/>
      <w:marRight w:val="0"/>
      <w:marTop w:val="0"/>
      <w:marBottom w:val="0"/>
      <w:divBdr>
        <w:top w:val="none" w:sz="0" w:space="0" w:color="auto"/>
        <w:left w:val="none" w:sz="0" w:space="0" w:color="auto"/>
        <w:bottom w:val="none" w:sz="0" w:space="0" w:color="auto"/>
        <w:right w:val="none" w:sz="0" w:space="0" w:color="auto"/>
      </w:divBdr>
    </w:div>
    <w:div w:id="1057046787">
      <w:bodyDiv w:val="1"/>
      <w:marLeft w:val="0"/>
      <w:marRight w:val="0"/>
      <w:marTop w:val="0"/>
      <w:marBottom w:val="0"/>
      <w:divBdr>
        <w:top w:val="none" w:sz="0" w:space="0" w:color="auto"/>
        <w:left w:val="none" w:sz="0" w:space="0" w:color="auto"/>
        <w:bottom w:val="none" w:sz="0" w:space="0" w:color="auto"/>
        <w:right w:val="none" w:sz="0" w:space="0" w:color="auto"/>
      </w:divBdr>
    </w:div>
    <w:div w:id="1067528691">
      <w:bodyDiv w:val="1"/>
      <w:marLeft w:val="0"/>
      <w:marRight w:val="0"/>
      <w:marTop w:val="0"/>
      <w:marBottom w:val="0"/>
      <w:divBdr>
        <w:top w:val="none" w:sz="0" w:space="0" w:color="auto"/>
        <w:left w:val="none" w:sz="0" w:space="0" w:color="auto"/>
        <w:bottom w:val="none" w:sz="0" w:space="0" w:color="auto"/>
        <w:right w:val="none" w:sz="0" w:space="0" w:color="auto"/>
      </w:divBdr>
      <w:divsChild>
        <w:div w:id="505051460">
          <w:marLeft w:val="0"/>
          <w:marRight w:val="0"/>
          <w:marTop w:val="0"/>
          <w:marBottom w:val="0"/>
          <w:divBdr>
            <w:top w:val="none" w:sz="0" w:space="0" w:color="auto"/>
            <w:left w:val="none" w:sz="0" w:space="0" w:color="auto"/>
            <w:bottom w:val="none" w:sz="0" w:space="0" w:color="auto"/>
            <w:right w:val="none" w:sz="0" w:space="0" w:color="auto"/>
          </w:divBdr>
          <w:divsChild>
            <w:div w:id="103577245">
              <w:marLeft w:val="0"/>
              <w:marRight w:val="0"/>
              <w:marTop w:val="0"/>
              <w:marBottom w:val="0"/>
              <w:divBdr>
                <w:top w:val="none" w:sz="0" w:space="0" w:color="auto"/>
                <w:left w:val="none" w:sz="0" w:space="0" w:color="auto"/>
                <w:bottom w:val="none" w:sz="0" w:space="0" w:color="auto"/>
                <w:right w:val="none" w:sz="0" w:space="0" w:color="auto"/>
              </w:divBdr>
              <w:divsChild>
                <w:div w:id="1887061761">
                  <w:marLeft w:val="0"/>
                  <w:marRight w:val="0"/>
                  <w:marTop w:val="0"/>
                  <w:marBottom w:val="0"/>
                  <w:divBdr>
                    <w:top w:val="none" w:sz="0" w:space="0" w:color="auto"/>
                    <w:left w:val="none" w:sz="0" w:space="0" w:color="auto"/>
                    <w:bottom w:val="none" w:sz="0" w:space="0" w:color="auto"/>
                    <w:right w:val="none" w:sz="0" w:space="0" w:color="auto"/>
                  </w:divBdr>
                  <w:divsChild>
                    <w:div w:id="131710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078325">
      <w:bodyDiv w:val="1"/>
      <w:marLeft w:val="0"/>
      <w:marRight w:val="0"/>
      <w:marTop w:val="0"/>
      <w:marBottom w:val="0"/>
      <w:divBdr>
        <w:top w:val="none" w:sz="0" w:space="0" w:color="auto"/>
        <w:left w:val="none" w:sz="0" w:space="0" w:color="auto"/>
        <w:bottom w:val="none" w:sz="0" w:space="0" w:color="auto"/>
        <w:right w:val="none" w:sz="0" w:space="0" w:color="auto"/>
      </w:divBdr>
    </w:div>
    <w:div w:id="1153643705">
      <w:bodyDiv w:val="1"/>
      <w:marLeft w:val="0"/>
      <w:marRight w:val="0"/>
      <w:marTop w:val="0"/>
      <w:marBottom w:val="0"/>
      <w:divBdr>
        <w:top w:val="none" w:sz="0" w:space="0" w:color="auto"/>
        <w:left w:val="none" w:sz="0" w:space="0" w:color="auto"/>
        <w:bottom w:val="none" w:sz="0" w:space="0" w:color="auto"/>
        <w:right w:val="none" w:sz="0" w:space="0" w:color="auto"/>
      </w:divBdr>
      <w:divsChild>
        <w:div w:id="1934244626">
          <w:marLeft w:val="0"/>
          <w:marRight w:val="0"/>
          <w:marTop w:val="0"/>
          <w:marBottom w:val="0"/>
          <w:divBdr>
            <w:top w:val="none" w:sz="0" w:space="0" w:color="auto"/>
            <w:left w:val="none" w:sz="0" w:space="0" w:color="auto"/>
            <w:bottom w:val="none" w:sz="0" w:space="0" w:color="auto"/>
            <w:right w:val="none" w:sz="0" w:space="0" w:color="auto"/>
          </w:divBdr>
          <w:divsChild>
            <w:div w:id="990408509">
              <w:marLeft w:val="0"/>
              <w:marRight w:val="0"/>
              <w:marTop w:val="0"/>
              <w:marBottom w:val="0"/>
              <w:divBdr>
                <w:top w:val="none" w:sz="0" w:space="0" w:color="auto"/>
                <w:left w:val="none" w:sz="0" w:space="0" w:color="auto"/>
                <w:bottom w:val="none" w:sz="0" w:space="0" w:color="auto"/>
                <w:right w:val="none" w:sz="0" w:space="0" w:color="auto"/>
              </w:divBdr>
              <w:divsChild>
                <w:div w:id="1043482877">
                  <w:marLeft w:val="0"/>
                  <w:marRight w:val="0"/>
                  <w:marTop w:val="0"/>
                  <w:marBottom w:val="0"/>
                  <w:divBdr>
                    <w:top w:val="none" w:sz="0" w:space="0" w:color="auto"/>
                    <w:left w:val="none" w:sz="0" w:space="0" w:color="auto"/>
                    <w:bottom w:val="none" w:sz="0" w:space="0" w:color="auto"/>
                    <w:right w:val="none" w:sz="0" w:space="0" w:color="auto"/>
                  </w:divBdr>
                </w:div>
              </w:divsChild>
            </w:div>
            <w:div w:id="1610701653">
              <w:marLeft w:val="0"/>
              <w:marRight w:val="0"/>
              <w:marTop w:val="0"/>
              <w:marBottom w:val="0"/>
              <w:divBdr>
                <w:top w:val="none" w:sz="0" w:space="0" w:color="auto"/>
                <w:left w:val="none" w:sz="0" w:space="0" w:color="auto"/>
                <w:bottom w:val="none" w:sz="0" w:space="0" w:color="auto"/>
                <w:right w:val="none" w:sz="0" w:space="0" w:color="auto"/>
              </w:divBdr>
              <w:divsChild>
                <w:div w:id="66948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393439">
      <w:bodyDiv w:val="1"/>
      <w:marLeft w:val="0"/>
      <w:marRight w:val="0"/>
      <w:marTop w:val="0"/>
      <w:marBottom w:val="0"/>
      <w:divBdr>
        <w:top w:val="none" w:sz="0" w:space="0" w:color="auto"/>
        <w:left w:val="none" w:sz="0" w:space="0" w:color="auto"/>
        <w:bottom w:val="none" w:sz="0" w:space="0" w:color="auto"/>
        <w:right w:val="none" w:sz="0" w:space="0" w:color="auto"/>
      </w:divBdr>
      <w:divsChild>
        <w:div w:id="702706061">
          <w:marLeft w:val="0"/>
          <w:marRight w:val="0"/>
          <w:marTop w:val="0"/>
          <w:marBottom w:val="0"/>
          <w:divBdr>
            <w:top w:val="none" w:sz="0" w:space="0" w:color="auto"/>
            <w:left w:val="none" w:sz="0" w:space="0" w:color="auto"/>
            <w:bottom w:val="none" w:sz="0" w:space="0" w:color="auto"/>
            <w:right w:val="none" w:sz="0" w:space="0" w:color="auto"/>
          </w:divBdr>
          <w:divsChild>
            <w:div w:id="1190990717">
              <w:marLeft w:val="0"/>
              <w:marRight w:val="0"/>
              <w:marTop w:val="0"/>
              <w:marBottom w:val="0"/>
              <w:divBdr>
                <w:top w:val="none" w:sz="0" w:space="0" w:color="auto"/>
                <w:left w:val="none" w:sz="0" w:space="0" w:color="auto"/>
                <w:bottom w:val="none" w:sz="0" w:space="0" w:color="auto"/>
                <w:right w:val="none" w:sz="0" w:space="0" w:color="auto"/>
              </w:divBdr>
              <w:divsChild>
                <w:div w:id="11344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368318">
      <w:bodyDiv w:val="1"/>
      <w:marLeft w:val="0"/>
      <w:marRight w:val="0"/>
      <w:marTop w:val="0"/>
      <w:marBottom w:val="0"/>
      <w:divBdr>
        <w:top w:val="none" w:sz="0" w:space="0" w:color="auto"/>
        <w:left w:val="none" w:sz="0" w:space="0" w:color="auto"/>
        <w:bottom w:val="none" w:sz="0" w:space="0" w:color="auto"/>
        <w:right w:val="none" w:sz="0" w:space="0" w:color="auto"/>
      </w:divBdr>
      <w:divsChild>
        <w:div w:id="794758277">
          <w:marLeft w:val="0"/>
          <w:marRight w:val="0"/>
          <w:marTop w:val="0"/>
          <w:marBottom w:val="0"/>
          <w:divBdr>
            <w:top w:val="none" w:sz="0" w:space="0" w:color="auto"/>
            <w:left w:val="none" w:sz="0" w:space="0" w:color="auto"/>
            <w:bottom w:val="none" w:sz="0" w:space="0" w:color="auto"/>
            <w:right w:val="none" w:sz="0" w:space="0" w:color="auto"/>
          </w:divBdr>
          <w:divsChild>
            <w:div w:id="1662345557">
              <w:marLeft w:val="0"/>
              <w:marRight w:val="0"/>
              <w:marTop w:val="0"/>
              <w:marBottom w:val="0"/>
              <w:divBdr>
                <w:top w:val="none" w:sz="0" w:space="0" w:color="auto"/>
                <w:left w:val="none" w:sz="0" w:space="0" w:color="auto"/>
                <w:bottom w:val="none" w:sz="0" w:space="0" w:color="auto"/>
                <w:right w:val="none" w:sz="0" w:space="0" w:color="auto"/>
              </w:divBdr>
              <w:divsChild>
                <w:div w:id="44573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833731">
      <w:bodyDiv w:val="1"/>
      <w:marLeft w:val="0"/>
      <w:marRight w:val="0"/>
      <w:marTop w:val="0"/>
      <w:marBottom w:val="0"/>
      <w:divBdr>
        <w:top w:val="none" w:sz="0" w:space="0" w:color="auto"/>
        <w:left w:val="none" w:sz="0" w:space="0" w:color="auto"/>
        <w:bottom w:val="none" w:sz="0" w:space="0" w:color="auto"/>
        <w:right w:val="none" w:sz="0" w:space="0" w:color="auto"/>
      </w:divBdr>
    </w:div>
    <w:div w:id="1269852023">
      <w:bodyDiv w:val="1"/>
      <w:marLeft w:val="0"/>
      <w:marRight w:val="0"/>
      <w:marTop w:val="0"/>
      <w:marBottom w:val="0"/>
      <w:divBdr>
        <w:top w:val="none" w:sz="0" w:space="0" w:color="auto"/>
        <w:left w:val="none" w:sz="0" w:space="0" w:color="auto"/>
        <w:bottom w:val="none" w:sz="0" w:space="0" w:color="auto"/>
        <w:right w:val="none" w:sz="0" w:space="0" w:color="auto"/>
      </w:divBdr>
      <w:divsChild>
        <w:div w:id="943029869">
          <w:marLeft w:val="0"/>
          <w:marRight w:val="0"/>
          <w:marTop w:val="0"/>
          <w:marBottom w:val="0"/>
          <w:divBdr>
            <w:top w:val="none" w:sz="0" w:space="0" w:color="auto"/>
            <w:left w:val="none" w:sz="0" w:space="0" w:color="auto"/>
            <w:bottom w:val="none" w:sz="0" w:space="0" w:color="auto"/>
            <w:right w:val="none" w:sz="0" w:space="0" w:color="auto"/>
          </w:divBdr>
          <w:divsChild>
            <w:div w:id="1782604428">
              <w:marLeft w:val="0"/>
              <w:marRight w:val="0"/>
              <w:marTop w:val="0"/>
              <w:marBottom w:val="0"/>
              <w:divBdr>
                <w:top w:val="none" w:sz="0" w:space="0" w:color="auto"/>
                <w:left w:val="none" w:sz="0" w:space="0" w:color="auto"/>
                <w:bottom w:val="none" w:sz="0" w:space="0" w:color="auto"/>
                <w:right w:val="none" w:sz="0" w:space="0" w:color="auto"/>
              </w:divBdr>
              <w:divsChild>
                <w:div w:id="168540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598534">
      <w:bodyDiv w:val="1"/>
      <w:marLeft w:val="0"/>
      <w:marRight w:val="0"/>
      <w:marTop w:val="0"/>
      <w:marBottom w:val="0"/>
      <w:divBdr>
        <w:top w:val="none" w:sz="0" w:space="0" w:color="auto"/>
        <w:left w:val="none" w:sz="0" w:space="0" w:color="auto"/>
        <w:bottom w:val="none" w:sz="0" w:space="0" w:color="auto"/>
        <w:right w:val="none" w:sz="0" w:space="0" w:color="auto"/>
      </w:divBdr>
    </w:div>
    <w:div w:id="1312752756">
      <w:bodyDiv w:val="1"/>
      <w:marLeft w:val="0"/>
      <w:marRight w:val="0"/>
      <w:marTop w:val="0"/>
      <w:marBottom w:val="0"/>
      <w:divBdr>
        <w:top w:val="none" w:sz="0" w:space="0" w:color="auto"/>
        <w:left w:val="none" w:sz="0" w:space="0" w:color="auto"/>
        <w:bottom w:val="none" w:sz="0" w:space="0" w:color="auto"/>
        <w:right w:val="none" w:sz="0" w:space="0" w:color="auto"/>
      </w:divBdr>
    </w:div>
    <w:div w:id="1436248317">
      <w:bodyDiv w:val="1"/>
      <w:marLeft w:val="0"/>
      <w:marRight w:val="0"/>
      <w:marTop w:val="0"/>
      <w:marBottom w:val="0"/>
      <w:divBdr>
        <w:top w:val="none" w:sz="0" w:space="0" w:color="auto"/>
        <w:left w:val="none" w:sz="0" w:space="0" w:color="auto"/>
        <w:bottom w:val="none" w:sz="0" w:space="0" w:color="auto"/>
        <w:right w:val="none" w:sz="0" w:space="0" w:color="auto"/>
      </w:divBdr>
      <w:divsChild>
        <w:div w:id="698776890">
          <w:marLeft w:val="0"/>
          <w:marRight w:val="0"/>
          <w:marTop w:val="0"/>
          <w:marBottom w:val="0"/>
          <w:divBdr>
            <w:top w:val="none" w:sz="0" w:space="0" w:color="auto"/>
            <w:left w:val="none" w:sz="0" w:space="0" w:color="auto"/>
            <w:bottom w:val="none" w:sz="0" w:space="0" w:color="auto"/>
            <w:right w:val="none" w:sz="0" w:space="0" w:color="auto"/>
          </w:divBdr>
          <w:divsChild>
            <w:div w:id="845749778">
              <w:marLeft w:val="0"/>
              <w:marRight w:val="0"/>
              <w:marTop w:val="0"/>
              <w:marBottom w:val="0"/>
              <w:divBdr>
                <w:top w:val="none" w:sz="0" w:space="0" w:color="auto"/>
                <w:left w:val="none" w:sz="0" w:space="0" w:color="auto"/>
                <w:bottom w:val="none" w:sz="0" w:space="0" w:color="auto"/>
                <w:right w:val="none" w:sz="0" w:space="0" w:color="auto"/>
              </w:divBdr>
              <w:divsChild>
                <w:div w:id="9092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342003">
      <w:bodyDiv w:val="1"/>
      <w:marLeft w:val="0"/>
      <w:marRight w:val="0"/>
      <w:marTop w:val="0"/>
      <w:marBottom w:val="0"/>
      <w:divBdr>
        <w:top w:val="none" w:sz="0" w:space="0" w:color="auto"/>
        <w:left w:val="none" w:sz="0" w:space="0" w:color="auto"/>
        <w:bottom w:val="none" w:sz="0" w:space="0" w:color="auto"/>
        <w:right w:val="none" w:sz="0" w:space="0" w:color="auto"/>
      </w:divBdr>
      <w:divsChild>
        <w:div w:id="580678977">
          <w:marLeft w:val="0"/>
          <w:marRight w:val="0"/>
          <w:marTop w:val="0"/>
          <w:marBottom w:val="0"/>
          <w:divBdr>
            <w:top w:val="none" w:sz="0" w:space="0" w:color="auto"/>
            <w:left w:val="none" w:sz="0" w:space="0" w:color="auto"/>
            <w:bottom w:val="none" w:sz="0" w:space="0" w:color="auto"/>
            <w:right w:val="none" w:sz="0" w:space="0" w:color="auto"/>
          </w:divBdr>
          <w:divsChild>
            <w:div w:id="285237082">
              <w:marLeft w:val="0"/>
              <w:marRight w:val="0"/>
              <w:marTop w:val="0"/>
              <w:marBottom w:val="0"/>
              <w:divBdr>
                <w:top w:val="none" w:sz="0" w:space="0" w:color="auto"/>
                <w:left w:val="none" w:sz="0" w:space="0" w:color="auto"/>
                <w:bottom w:val="none" w:sz="0" w:space="0" w:color="auto"/>
                <w:right w:val="none" w:sz="0" w:space="0" w:color="auto"/>
              </w:divBdr>
              <w:divsChild>
                <w:div w:id="1761634989">
                  <w:marLeft w:val="0"/>
                  <w:marRight w:val="0"/>
                  <w:marTop w:val="0"/>
                  <w:marBottom w:val="0"/>
                  <w:divBdr>
                    <w:top w:val="none" w:sz="0" w:space="0" w:color="auto"/>
                    <w:left w:val="none" w:sz="0" w:space="0" w:color="auto"/>
                    <w:bottom w:val="none" w:sz="0" w:space="0" w:color="auto"/>
                    <w:right w:val="none" w:sz="0" w:space="0" w:color="auto"/>
                  </w:divBdr>
                  <w:divsChild>
                    <w:div w:id="202933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686405">
      <w:bodyDiv w:val="1"/>
      <w:marLeft w:val="0"/>
      <w:marRight w:val="0"/>
      <w:marTop w:val="0"/>
      <w:marBottom w:val="0"/>
      <w:divBdr>
        <w:top w:val="none" w:sz="0" w:space="0" w:color="auto"/>
        <w:left w:val="none" w:sz="0" w:space="0" w:color="auto"/>
        <w:bottom w:val="none" w:sz="0" w:space="0" w:color="auto"/>
        <w:right w:val="none" w:sz="0" w:space="0" w:color="auto"/>
      </w:divBdr>
      <w:divsChild>
        <w:div w:id="2019916477">
          <w:marLeft w:val="0"/>
          <w:marRight w:val="0"/>
          <w:marTop w:val="0"/>
          <w:marBottom w:val="0"/>
          <w:divBdr>
            <w:top w:val="none" w:sz="0" w:space="0" w:color="auto"/>
            <w:left w:val="none" w:sz="0" w:space="0" w:color="auto"/>
            <w:bottom w:val="none" w:sz="0" w:space="0" w:color="auto"/>
            <w:right w:val="none" w:sz="0" w:space="0" w:color="auto"/>
          </w:divBdr>
          <w:divsChild>
            <w:div w:id="293025452">
              <w:marLeft w:val="0"/>
              <w:marRight w:val="0"/>
              <w:marTop w:val="0"/>
              <w:marBottom w:val="0"/>
              <w:divBdr>
                <w:top w:val="none" w:sz="0" w:space="0" w:color="auto"/>
                <w:left w:val="none" w:sz="0" w:space="0" w:color="auto"/>
                <w:bottom w:val="none" w:sz="0" w:space="0" w:color="auto"/>
                <w:right w:val="none" w:sz="0" w:space="0" w:color="auto"/>
              </w:divBdr>
              <w:divsChild>
                <w:div w:id="18648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437681">
      <w:bodyDiv w:val="1"/>
      <w:marLeft w:val="0"/>
      <w:marRight w:val="0"/>
      <w:marTop w:val="0"/>
      <w:marBottom w:val="0"/>
      <w:divBdr>
        <w:top w:val="none" w:sz="0" w:space="0" w:color="auto"/>
        <w:left w:val="none" w:sz="0" w:space="0" w:color="auto"/>
        <w:bottom w:val="none" w:sz="0" w:space="0" w:color="auto"/>
        <w:right w:val="none" w:sz="0" w:space="0" w:color="auto"/>
      </w:divBdr>
      <w:divsChild>
        <w:div w:id="1076631282">
          <w:marLeft w:val="720"/>
          <w:marRight w:val="0"/>
          <w:marTop w:val="0"/>
          <w:marBottom w:val="120"/>
          <w:divBdr>
            <w:top w:val="none" w:sz="0" w:space="0" w:color="auto"/>
            <w:left w:val="none" w:sz="0" w:space="0" w:color="auto"/>
            <w:bottom w:val="none" w:sz="0" w:space="0" w:color="auto"/>
            <w:right w:val="none" w:sz="0" w:space="0" w:color="auto"/>
          </w:divBdr>
        </w:div>
        <w:div w:id="1072658168">
          <w:marLeft w:val="720"/>
          <w:marRight w:val="0"/>
          <w:marTop w:val="0"/>
          <w:marBottom w:val="120"/>
          <w:divBdr>
            <w:top w:val="none" w:sz="0" w:space="0" w:color="auto"/>
            <w:left w:val="none" w:sz="0" w:space="0" w:color="auto"/>
            <w:bottom w:val="none" w:sz="0" w:space="0" w:color="auto"/>
            <w:right w:val="none" w:sz="0" w:space="0" w:color="auto"/>
          </w:divBdr>
        </w:div>
        <w:div w:id="126437734">
          <w:marLeft w:val="720"/>
          <w:marRight w:val="0"/>
          <w:marTop w:val="0"/>
          <w:marBottom w:val="120"/>
          <w:divBdr>
            <w:top w:val="none" w:sz="0" w:space="0" w:color="auto"/>
            <w:left w:val="none" w:sz="0" w:space="0" w:color="auto"/>
            <w:bottom w:val="none" w:sz="0" w:space="0" w:color="auto"/>
            <w:right w:val="none" w:sz="0" w:space="0" w:color="auto"/>
          </w:divBdr>
        </w:div>
      </w:divsChild>
    </w:div>
    <w:div w:id="1581407903">
      <w:bodyDiv w:val="1"/>
      <w:marLeft w:val="0"/>
      <w:marRight w:val="0"/>
      <w:marTop w:val="0"/>
      <w:marBottom w:val="0"/>
      <w:divBdr>
        <w:top w:val="none" w:sz="0" w:space="0" w:color="auto"/>
        <w:left w:val="none" w:sz="0" w:space="0" w:color="auto"/>
        <w:bottom w:val="none" w:sz="0" w:space="0" w:color="auto"/>
        <w:right w:val="none" w:sz="0" w:space="0" w:color="auto"/>
      </w:divBdr>
    </w:div>
    <w:div w:id="1587762606">
      <w:bodyDiv w:val="1"/>
      <w:marLeft w:val="0"/>
      <w:marRight w:val="0"/>
      <w:marTop w:val="0"/>
      <w:marBottom w:val="0"/>
      <w:divBdr>
        <w:top w:val="none" w:sz="0" w:space="0" w:color="auto"/>
        <w:left w:val="none" w:sz="0" w:space="0" w:color="auto"/>
        <w:bottom w:val="none" w:sz="0" w:space="0" w:color="auto"/>
        <w:right w:val="none" w:sz="0" w:space="0" w:color="auto"/>
      </w:divBdr>
      <w:divsChild>
        <w:div w:id="1350332633">
          <w:marLeft w:val="0"/>
          <w:marRight w:val="0"/>
          <w:marTop w:val="0"/>
          <w:marBottom w:val="0"/>
          <w:divBdr>
            <w:top w:val="none" w:sz="0" w:space="0" w:color="auto"/>
            <w:left w:val="none" w:sz="0" w:space="0" w:color="auto"/>
            <w:bottom w:val="none" w:sz="0" w:space="0" w:color="auto"/>
            <w:right w:val="none" w:sz="0" w:space="0" w:color="auto"/>
          </w:divBdr>
          <w:divsChild>
            <w:div w:id="1463578480">
              <w:marLeft w:val="0"/>
              <w:marRight w:val="0"/>
              <w:marTop w:val="0"/>
              <w:marBottom w:val="0"/>
              <w:divBdr>
                <w:top w:val="none" w:sz="0" w:space="0" w:color="auto"/>
                <w:left w:val="none" w:sz="0" w:space="0" w:color="auto"/>
                <w:bottom w:val="none" w:sz="0" w:space="0" w:color="auto"/>
                <w:right w:val="none" w:sz="0" w:space="0" w:color="auto"/>
              </w:divBdr>
              <w:divsChild>
                <w:div w:id="27363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633099">
      <w:bodyDiv w:val="1"/>
      <w:marLeft w:val="0"/>
      <w:marRight w:val="0"/>
      <w:marTop w:val="0"/>
      <w:marBottom w:val="0"/>
      <w:divBdr>
        <w:top w:val="none" w:sz="0" w:space="0" w:color="auto"/>
        <w:left w:val="none" w:sz="0" w:space="0" w:color="auto"/>
        <w:bottom w:val="none" w:sz="0" w:space="0" w:color="auto"/>
        <w:right w:val="none" w:sz="0" w:space="0" w:color="auto"/>
      </w:divBdr>
    </w:div>
    <w:div w:id="1638949688">
      <w:bodyDiv w:val="1"/>
      <w:marLeft w:val="0"/>
      <w:marRight w:val="0"/>
      <w:marTop w:val="0"/>
      <w:marBottom w:val="0"/>
      <w:divBdr>
        <w:top w:val="none" w:sz="0" w:space="0" w:color="auto"/>
        <w:left w:val="none" w:sz="0" w:space="0" w:color="auto"/>
        <w:bottom w:val="none" w:sz="0" w:space="0" w:color="auto"/>
        <w:right w:val="none" w:sz="0" w:space="0" w:color="auto"/>
      </w:divBdr>
      <w:divsChild>
        <w:div w:id="1086925242">
          <w:marLeft w:val="0"/>
          <w:marRight w:val="0"/>
          <w:marTop w:val="0"/>
          <w:marBottom w:val="0"/>
          <w:divBdr>
            <w:top w:val="none" w:sz="0" w:space="0" w:color="auto"/>
            <w:left w:val="none" w:sz="0" w:space="0" w:color="auto"/>
            <w:bottom w:val="none" w:sz="0" w:space="0" w:color="auto"/>
            <w:right w:val="none" w:sz="0" w:space="0" w:color="auto"/>
          </w:divBdr>
          <w:divsChild>
            <w:div w:id="1709792264">
              <w:marLeft w:val="0"/>
              <w:marRight w:val="0"/>
              <w:marTop w:val="0"/>
              <w:marBottom w:val="0"/>
              <w:divBdr>
                <w:top w:val="none" w:sz="0" w:space="0" w:color="auto"/>
                <w:left w:val="none" w:sz="0" w:space="0" w:color="auto"/>
                <w:bottom w:val="none" w:sz="0" w:space="0" w:color="auto"/>
                <w:right w:val="none" w:sz="0" w:space="0" w:color="auto"/>
              </w:divBdr>
              <w:divsChild>
                <w:div w:id="40707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502082">
      <w:bodyDiv w:val="1"/>
      <w:marLeft w:val="0"/>
      <w:marRight w:val="0"/>
      <w:marTop w:val="0"/>
      <w:marBottom w:val="0"/>
      <w:divBdr>
        <w:top w:val="none" w:sz="0" w:space="0" w:color="auto"/>
        <w:left w:val="none" w:sz="0" w:space="0" w:color="auto"/>
        <w:bottom w:val="none" w:sz="0" w:space="0" w:color="auto"/>
        <w:right w:val="none" w:sz="0" w:space="0" w:color="auto"/>
      </w:divBdr>
      <w:divsChild>
        <w:div w:id="806051075">
          <w:marLeft w:val="0"/>
          <w:marRight w:val="0"/>
          <w:marTop w:val="0"/>
          <w:marBottom w:val="0"/>
          <w:divBdr>
            <w:top w:val="none" w:sz="0" w:space="0" w:color="auto"/>
            <w:left w:val="none" w:sz="0" w:space="0" w:color="auto"/>
            <w:bottom w:val="none" w:sz="0" w:space="0" w:color="auto"/>
            <w:right w:val="none" w:sz="0" w:space="0" w:color="auto"/>
          </w:divBdr>
          <w:divsChild>
            <w:div w:id="991639373">
              <w:marLeft w:val="0"/>
              <w:marRight w:val="0"/>
              <w:marTop w:val="0"/>
              <w:marBottom w:val="0"/>
              <w:divBdr>
                <w:top w:val="none" w:sz="0" w:space="0" w:color="auto"/>
                <w:left w:val="none" w:sz="0" w:space="0" w:color="auto"/>
                <w:bottom w:val="none" w:sz="0" w:space="0" w:color="auto"/>
                <w:right w:val="none" w:sz="0" w:space="0" w:color="auto"/>
              </w:divBdr>
              <w:divsChild>
                <w:div w:id="24264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546679">
      <w:bodyDiv w:val="1"/>
      <w:marLeft w:val="0"/>
      <w:marRight w:val="0"/>
      <w:marTop w:val="0"/>
      <w:marBottom w:val="0"/>
      <w:divBdr>
        <w:top w:val="none" w:sz="0" w:space="0" w:color="auto"/>
        <w:left w:val="none" w:sz="0" w:space="0" w:color="auto"/>
        <w:bottom w:val="none" w:sz="0" w:space="0" w:color="auto"/>
        <w:right w:val="none" w:sz="0" w:space="0" w:color="auto"/>
      </w:divBdr>
      <w:divsChild>
        <w:div w:id="1625650907">
          <w:marLeft w:val="0"/>
          <w:marRight w:val="0"/>
          <w:marTop w:val="0"/>
          <w:marBottom w:val="0"/>
          <w:divBdr>
            <w:top w:val="none" w:sz="0" w:space="0" w:color="auto"/>
            <w:left w:val="none" w:sz="0" w:space="0" w:color="auto"/>
            <w:bottom w:val="none" w:sz="0" w:space="0" w:color="auto"/>
            <w:right w:val="none" w:sz="0" w:space="0" w:color="auto"/>
          </w:divBdr>
          <w:divsChild>
            <w:div w:id="180096357">
              <w:marLeft w:val="0"/>
              <w:marRight w:val="0"/>
              <w:marTop w:val="0"/>
              <w:marBottom w:val="0"/>
              <w:divBdr>
                <w:top w:val="none" w:sz="0" w:space="0" w:color="auto"/>
                <w:left w:val="none" w:sz="0" w:space="0" w:color="auto"/>
                <w:bottom w:val="none" w:sz="0" w:space="0" w:color="auto"/>
                <w:right w:val="none" w:sz="0" w:space="0" w:color="auto"/>
              </w:divBdr>
              <w:divsChild>
                <w:div w:id="147340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22396">
      <w:bodyDiv w:val="1"/>
      <w:marLeft w:val="0"/>
      <w:marRight w:val="0"/>
      <w:marTop w:val="0"/>
      <w:marBottom w:val="0"/>
      <w:divBdr>
        <w:top w:val="none" w:sz="0" w:space="0" w:color="auto"/>
        <w:left w:val="none" w:sz="0" w:space="0" w:color="auto"/>
        <w:bottom w:val="none" w:sz="0" w:space="0" w:color="auto"/>
        <w:right w:val="none" w:sz="0" w:space="0" w:color="auto"/>
      </w:divBdr>
      <w:divsChild>
        <w:div w:id="2045909086">
          <w:marLeft w:val="0"/>
          <w:marRight w:val="0"/>
          <w:marTop w:val="0"/>
          <w:marBottom w:val="0"/>
          <w:divBdr>
            <w:top w:val="none" w:sz="0" w:space="0" w:color="auto"/>
            <w:left w:val="none" w:sz="0" w:space="0" w:color="auto"/>
            <w:bottom w:val="none" w:sz="0" w:space="0" w:color="auto"/>
            <w:right w:val="none" w:sz="0" w:space="0" w:color="auto"/>
          </w:divBdr>
          <w:divsChild>
            <w:div w:id="1083183258">
              <w:marLeft w:val="0"/>
              <w:marRight w:val="0"/>
              <w:marTop w:val="0"/>
              <w:marBottom w:val="0"/>
              <w:divBdr>
                <w:top w:val="none" w:sz="0" w:space="0" w:color="auto"/>
                <w:left w:val="none" w:sz="0" w:space="0" w:color="auto"/>
                <w:bottom w:val="none" w:sz="0" w:space="0" w:color="auto"/>
                <w:right w:val="none" w:sz="0" w:space="0" w:color="auto"/>
              </w:divBdr>
              <w:divsChild>
                <w:div w:id="1697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483918">
      <w:bodyDiv w:val="1"/>
      <w:marLeft w:val="0"/>
      <w:marRight w:val="0"/>
      <w:marTop w:val="0"/>
      <w:marBottom w:val="0"/>
      <w:divBdr>
        <w:top w:val="none" w:sz="0" w:space="0" w:color="auto"/>
        <w:left w:val="none" w:sz="0" w:space="0" w:color="auto"/>
        <w:bottom w:val="none" w:sz="0" w:space="0" w:color="auto"/>
        <w:right w:val="none" w:sz="0" w:space="0" w:color="auto"/>
      </w:divBdr>
      <w:divsChild>
        <w:div w:id="631985848">
          <w:marLeft w:val="547"/>
          <w:marRight w:val="0"/>
          <w:marTop w:val="0"/>
          <w:marBottom w:val="240"/>
          <w:divBdr>
            <w:top w:val="none" w:sz="0" w:space="0" w:color="auto"/>
            <w:left w:val="none" w:sz="0" w:space="0" w:color="auto"/>
            <w:bottom w:val="none" w:sz="0" w:space="0" w:color="auto"/>
            <w:right w:val="none" w:sz="0" w:space="0" w:color="auto"/>
          </w:divBdr>
        </w:div>
        <w:div w:id="1185099055">
          <w:marLeft w:val="547"/>
          <w:marRight w:val="0"/>
          <w:marTop w:val="0"/>
          <w:marBottom w:val="240"/>
          <w:divBdr>
            <w:top w:val="none" w:sz="0" w:space="0" w:color="auto"/>
            <w:left w:val="none" w:sz="0" w:space="0" w:color="auto"/>
            <w:bottom w:val="none" w:sz="0" w:space="0" w:color="auto"/>
            <w:right w:val="none" w:sz="0" w:space="0" w:color="auto"/>
          </w:divBdr>
        </w:div>
        <w:div w:id="1750733966">
          <w:marLeft w:val="547"/>
          <w:marRight w:val="0"/>
          <w:marTop w:val="0"/>
          <w:marBottom w:val="240"/>
          <w:divBdr>
            <w:top w:val="none" w:sz="0" w:space="0" w:color="auto"/>
            <w:left w:val="none" w:sz="0" w:space="0" w:color="auto"/>
            <w:bottom w:val="none" w:sz="0" w:space="0" w:color="auto"/>
            <w:right w:val="none" w:sz="0" w:space="0" w:color="auto"/>
          </w:divBdr>
        </w:div>
      </w:divsChild>
    </w:div>
    <w:div w:id="1953441439">
      <w:bodyDiv w:val="1"/>
      <w:marLeft w:val="0"/>
      <w:marRight w:val="0"/>
      <w:marTop w:val="0"/>
      <w:marBottom w:val="0"/>
      <w:divBdr>
        <w:top w:val="none" w:sz="0" w:space="0" w:color="auto"/>
        <w:left w:val="none" w:sz="0" w:space="0" w:color="auto"/>
        <w:bottom w:val="none" w:sz="0" w:space="0" w:color="auto"/>
        <w:right w:val="none" w:sz="0" w:space="0" w:color="auto"/>
      </w:divBdr>
    </w:div>
    <w:div w:id="1957981337">
      <w:bodyDiv w:val="1"/>
      <w:marLeft w:val="0"/>
      <w:marRight w:val="0"/>
      <w:marTop w:val="0"/>
      <w:marBottom w:val="0"/>
      <w:divBdr>
        <w:top w:val="none" w:sz="0" w:space="0" w:color="auto"/>
        <w:left w:val="none" w:sz="0" w:space="0" w:color="auto"/>
        <w:bottom w:val="none" w:sz="0" w:space="0" w:color="auto"/>
        <w:right w:val="none" w:sz="0" w:space="0" w:color="auto"/>
      </w:divBdr>
      <w:divsChild>
        <w:div w:id="257064872">
          <w:marLeft w:val="0"/>
          <w:marRight w:val="0"/>
          <w:marTop w:val="0"/>
          <w:marBottom w:val="0"/>
          <w:divBdr>
            <w:top w:val="none" w:sz="0" w:space="0" w:color="auto"/>
            <w:left w:val="none" w:sz="0" w:space="0" w:color="auto"/>
            <w:bottom w:val="none" w:sz="0" w:space="0" w:color="auto"/>
            <w:right w:val="none" w:sz="0" w:space="0" w:color="auto"/>
          </w:divBdr>
          <w:divsChild>
            <w:div w:id="1699965202">
              <w:marLeft w:val="0"/>
              <w:marRight w:val="0"/>
              <w:marTop w:val="0"/>
              <w:marBottom w:val="0"/>
              <w:divBdr>
                <w:top w:val="none" w:sz="0" w:space="0" w:color="auto"/>
                <w:left w:val="none" w:sz="0" w:space="0" w:color="auto"/>
                <w:bottom w:val="none" w:sz="0" w:space="0" w:color="auto"/>
                <w:right w:val="none" w:sz="0" w:space="0" w:color="auto"/>
              </w:divBdr>
              <w:divsChild>
                <w:div w:id="118876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704444">
      <w:bodyDiv w:val="1"/>
      <w:marLeft w:val="0"/>
      <w:marRight w:val="0"/>
      <w:marTop w:val="0"/>
      <w:marBottom w:val="0"/>
      <w:divBdr>
        <w:top w:val="none" w:sz="0" w:space="0" w:color="auto"/>
        <w:left w:val="none" w:sz="0" w:space="0" w:color="auto"/>
        <w:bottom w:val="none" w:sz="0" w:space="0" w:color="auto"/>
        <w:right w:val="none" w:sz="0" w:space="0" w:color="auto"/>
      </w:divBdr>
      <w:divsChild>
        <w:div w:id="872301853">
          <w:marLeft w:val="0"/>
          <w:marRight w:val="0"/>
          <w:marTop w:val="0"/>
          <w:marBottom w:val="0"/>
          <w:divBdr>
            <w:top w:val="none" w:sz="0" w:space="0" w:color="auto"/>
            <w:left w:val="none" w:sz="0" w:space="0" w:color="auto"/>
            <w:bottom w:val="none" w:sz="0" w:space="0" w:color="auto"/>
            <w:right w:val="none" w:sz="0" w:space="0" w:color="auto"/>
          </w:divBdr>
          <w:divsChild>
            <w:div w:id="862598676">
              <w:marLeft w:val="0"/>
              <w:marRight w:val="0"/>
              <w:marTop w:val="0"/>
              <w:marBottom w:val="0"/>
              <w:divBdr>
                <w:top w:val="none" w:sz="0" w:space="0" w:color="auto"/>
                <w:left w:val="none" w:sz="0" w:space="0" w:color="auto"/>
                <w:bottom w:val="none" w:sz="0" w:space="0" w:color="auto"/>
                <w:right w:val="none" w:sz="0" w:space="0" w:color="auto"/>
              </w:divBdr>
              <w:divsChild>
                <w:div w:id="206440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986420">
      <w:bodyDiv w:val="1"/>
      <w:marLeft w:val="0"/>
      <w:marRight w:val="0"/>
      <w:marTop w:val="0"/>
      <w:marBottom w:val="0"/>
      <w:divBdr>
        <w:top w:val="none" w:sz="0" w:space="0" w:color="auto"/>
        <w:left w:val="none" w:sz="0" w:space="0" w:color="auto"/>
        <w:bottom w:val="none" w:sz="0" w:space="0" w:color="auto"/>
        <w:right w:val="none" w:sz="0" w:space="0" w:color="auto"/>
      </w:divBdr>
      <w:divsChild>
        <w:div w:id="2066176633">
          <w:marLeft w:val="0"/>
          <w:marRight w:val="0"/>
          <w:marTop w:val="0"/>
          <w:marBottom w:val="0"/>
          <w:divBdr>
            <w:top w:val="none" w:sz="0" w:space="0" w:color="auto"/>
            <w:left w:val="none" w:sz="0" w:space="0" w:color="auto"/>
            <w:bottom w:val="none" w:sz="0" w:space="0" w:color="auto"/>
            <w:right w:val="none" w:sz="0" w:space="0" w:color="auto"/>
          </w:divBdr>
          <w:divsChild>
            <w:div w:id="731268484">
              <w:marLeft w:val="0"/>
              <w:marRight w:val="0"/>
              <w:marTop w:val="0"/>
              <w:marBottom w:val="0"/>
              <w:divBdr>
                <w:top w:val="none" w:sz="0" w:space="0" w:color="auto"/>
                <w:left w:val="none" w:sz="0" w:space="0" w:color="auto"/>
                <w:bottom w:val="none" w:sz="0" w:space="0" w:color="auto"/>
                <w:right w:val="none" w:sz="0" w:space="0" w:color="auto"/>
              </w:divBdr>
              <w:divsChild>
                <w:div w:id="2028363770">
                  <w:marLeft w:val="0"/>
                  <w:marRight w:val="0"/>
                  <w:marTop w:val="0"/>
                  <w:marBottom w:val="0"/>
                  <w:divBdr>
                    <w:top w:val="none" w:sz="0" w:space="0" w:color="auto"/>
                    <w:left w:val="none" w:sz="0" w:space="0" w:color="auto"/>
                    <w:bottom w:val="none" w:sz="0" w:space="0" w:color="auto"/>
                    <w:right w:val="none" w:sz="0" w:space="0" w:color="auto"/>
                  </w:divBdr>
                  <w:divsChild>
                    <w:div w:id="161790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image" Target="media/image12.png"/><Relationship Id="rId3" Type="http://schemas.openxmlformats.org/officeDocument/2006/relationships/customXml" Target="../customXml/item3.xml"/><Relationship Id="rId21" Type="http://schemas.openxmlformats.org/officeDocument/2006/relationships/image" Target="media/image7.emf"/><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image" Target="media/image11.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e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10.emf"/><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9.emf"/><Relationship Id="rId28" Type="http://schemas.openxmlformats.org/officeDocument/2006/relationships/image" Target="media/image14.png"/><Relationship Id="rId10" Type="http://schemas.microsoft.com/office/2007/relationships/stylesWithEffects" Target="stylesWithEffects.xml"/><Relationship Id="rId19" Type="http://schemas.openxmlformats.org/officeDocument/2006/relationships/image" Target="media/image5.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image" Target="media/image8.emf"/><Relationship Id="rId27" Type="http://schemas.openxmlformats.org/officeDocument/2006/relationships/image" Target="media/image13.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6540C88292F9BF4D820E6FE7B022D1B4" ma:contentTypeVersion="0" ma:contentTypeDescription="" ma:contentTypeScope="" ma:versionID="39533f3512768eb64506232e1a5f03a7">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22f63d15f82780aba6c121dd434b4334"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p:properties xmlns:p="http://schemas.microsoft.com/office/2006/metadata/properties" xmlns:xsi="http://www.w3.org/2001/XMLSchema-instance" xmlns:pc="http://schemas.microsoft.com/office/infopath/2007/PartnerControls">
  <documentManagement>
    <Processed xmlns="8044c801-d84b-4ee1-a77e-678f8dcdee17">false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5.xml><?xml version="1.0" encoding="utf-8"?>
<?mso-contentType ?>
<SharedContentType xmlns="Microsoft.SharePoint.Taxonomy.ContentTypeSync" SourceId="70da5c63-8548-4ac8-9616-83b0f373280e" ContentTypeId="0x0101007916246811615643A710C6FEAFF56A871105"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47E32-EE7A-4C92-B850-C1A9C06ECD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26FD30-EC9E-4904-8611-CAD9081ABE8D}">
  <ds:schemaRefs>
    <ds:schemaRef ds:uri="http://schemas.microsoft.com/sharepoint/events"/>
  </ds:schemaRefs>
</ds:datastoreItem>
</file>

<file path=customXml/itemProps3.xml><?xml version="1.0" encoding="utf-8"?>
<ds:datastoreItem xmlns:ds="http://schemas.openxmlformats.org/officeDocument/2006/customXml" ds:itemID="{94CC3610-9814-4E9D-AFE9-B86FE831E036}">
  <ds:schemaRefs>
    <ds:schemaRef ds:uri="http://schemas.microsoft.com/office/2006/metadata/customXsn"/>
  </ds:schemaRefs>
</ds:datastoreItem>
</file>

<file path=customXml/itemProps4.xml><?xml version="1.0" encoding="utf-8"?>
<ds:datastoreItem xmlns:ds="http://schemas.openxmlformats.org/officeDocument/2006/customXml" ds:itemID="{8DE52DED-5D6E-4DC5-8E47-56EACE544386}">
  <ds:schemaRefs>
    <ds:schemaRef ds:uri="3f4bcce7-ac1a-4c9d-aa3e-7e77695652db"/>
    <ds:schemaRef ds:uri="http://schemas.microsoft.com/office/2006/documentManagement/types"/>
    <ds:schemaRef ds:uri="http://schemas.microsoft.com/office/2006/metadata/properties"/>
    <ds:schemaRef ds:uri="http://purl.org/dc/terms/"/>
    <ds:schemaRef ds:uri="http://purl.org/dc/elements/1.1/"/>
    <ds:schemaRef ds:uri="http://www.w3.org/XML/1998/namespace"/>
    <ds:schemaRef ds:uri="8044c801-d84b-4ee1-a77e-678f8dcdee17"/>
    <ds:schemaRef ds:uri="http://purl.org/dc/dcmitype/"/>
    <ds:schemaRef ds:uri="http://schemas.microsoft.com/office/infopath/2007/PartnerControls"/>
    <ds:schemaRef ds:uri="http://schemas.openxmlformats.org/package/2006/metadata/core-properties"/>
  </ds:schemaRefs>
</ds:datastoreItem>
</file>

<file path=customXml/itemProps5.xml><?xml version="1.0" encoding="utf-8"?>
<ds:datastoreItem xmlns:ds="http://schemas.openxmlformats.org/officeDocument/2006/customXml" ds:itemID="{C46C871B-A9F8-4FF1-AB08-3DE5B6B46F0B}">
  <ds:schemaRefs>
    <ds:schemaRef ds:uri="Microsoft.SharePoint.Taxonomy.ContentTypeSync"/>
  </ds:schemaRefs>
</ds:datastoreItem>
</file>

<file path=customXml/itemProps6.xml><?xml version="1.0" encoding="utf-8"?>
<ds:datastoreItem xmlns:ds="http://schemas.openxmlformats.org/officeDocument/2006/customXml" ds:itemID="{A18AD37C-C492-4F18-BA54-C73228C4BC33}">
  <ds:schemaRefs>
    <ds:schemaRef ds:uri="http://schemas.microsoft.com/sharepoint/v3/contenttype/forms"/>
  </ds:schemaRefs>
</ds:datastoreItem>
</file>

<file path=customXml/itemProps7.xml><?xml version="1.0" encoding="utf-8"?>
<ds:datastoreItem xmlns:ds="http://schemas.openxmlformats.org/officeDocument/2006/customXml" ds:itemID="{D5BC8578-65B7-4557-9021-10902ABAA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8166</Words>
  <Characters>46552</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Submission DR70 - Peterson Research Institute - Superannuation Competitiveness and Efficiency - Public inquiry</vt:lpstr>
    </vt:vector>
  </TitlesOfParts>
  <Company>Peterson Research Institute</Company>
  <LinksUpToDate>false</LinksUpToDate>
  <CharactersWithSpaces>54609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DR70 - Peterson Research Institute - Superannuation Competitiveness and Efficiency - Public inquiry</dc:title>
  <dc:subject/>
  <dc:creator>Peterson Research Institute</dc:creator>
  <cp:keywords/>
  <cp:lastModifiedBy>Productivity Commission</cp:lastModifiedBy>
  <cp:revision>3</cp:revision>
  <cp:lastPrinted>2016-09-09T00:25:00Z</cp:lastPrinted>
  <dcterms:created xsi:type="dcterms:W3CDTF">2016-09-09T00:27:00Z</dcterms:created>
  <dcterms:modified xsi:type="dcterms:W3CDTF">2016-09-09T03:49:00Z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0x0101007916246811615643A710C6FEAFF56A871105006540C88292F9BF4D820E6FE7B022D1B4</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