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F0" w:rsidRDefault="00AD1AF0" w:rsidP="009E5F7C">
      <w:pPr>
        <w:jc w:val="center"/>
        <w:rPr>
          <w:b/>
        </w:rPr>
      </w:pPr>
      <w:r w:rsidRPr="00D023FE">
        <w:rPr>
          <w:noProof/>
          <w:lang w:eastAsia="en-AU"/>
        </w:rPr>
        <w:drawing>
          <wp:inline distT="0" distB="0" distL="0" distR="0" wp14:anchorId="089B71C3" wp14:editId="4E6808AD">
            <wp:extent cx="17430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1533525"/>
                    </a:xfrm>
                    <a:prstGeom prst="rect">
                      <a:avLst/>
                    </a:prstGeom>
                    <a:noFill/>
                    <a:ln>
                      <a:noFill/>
                    </a:ln>
                  </pic:spPr>
                </pic:pic>
              </a:graphicData>
            </a:graphic>
          </wp:inline>
        </w:drawing>
      </w:r>
    </w:p>
    <w:p w:rsidR="001A2FCB" w:rsidRPr="00E42831" w:rsidRDefault="00AD1AF0" w:rsidP="009E5F7C">
      <w:pPr>
        <w:jc w:val="center"/>
        <w:rPr>
          <w:b/>
          <w:sz w:val="28"/>
          <w:szCs w:val="28"/>
        </w:rPr>
      </w:pPr>
      <w:r w:rsidRPr="00E42831">
        <w:rPr>
          <w:b/>
          <w:sz w:val="28"/>
          <w:szCs w:val="28"/>
        </w:rPr>
        <w:t>ABS</w:t>
      </w:r>
      <w:r w:rsidR="009E4C8A" w:rsidRPr="00E42831">
        <w:rPr>
          <w:b/>
          <w:sz w:val="28"/>
          <w:szCs w:val="28"/>
        </w:rPr>
        <w:t xml:space="preserve"> </w:t>
      </w:r>
      <w:r w:rsidR="008178D9">
        <w:rPr>
          <w:b/>
          <w:sz w:val="28"/>
          <w:szCs w:val="28"/>
        </w:rPr>
        <w:t>Comments on</w:t>
      </w:r>
      <w:r w:rsidR="009E4C8A" w:rsidRPr="00E42831">
        <w:rPr>
          <w:b/>
          <w:sz w:val="28"/>
          <w:szCs w:val="28"/>
        </w:rPr>
        <w:t xml:space="preserve"> the </w:t>
      </w:r>
      <w:r w:rsidR="001A2FCB" w:rsidRPr="00E42831">
        <w:rPr>
          <w:b/>
          <w:sz w:val="28"/>
          <w:szCs w:val="28"/>
        </w:rPr>
        <w:t>Productivity Commission</w:t>
      </w:r>
      <w:r w:rsidR="009E4C8A" w:rsidRPr="00E42831">
        <w:rPr>
          <w:b/>
          <w:sz w:val="28"/>
          <w:szCs w:val="28"/>
        </w:rPr>
        <w:t>’s</w:t>
      </w:r>
      <w:r w:rsidR="008178D9">
        <w:rPr>
          <w:b/>
          <w:sz w:val="28"/>
          <w:szCs w:val="28"/>
        </w:rPr>
        <w:t xml:space="preserve"> </w:t>
      </w:r>
      <w:r w:rsidR="009E4C8A" w:rsidRPr="00E42831">
        <w:rPr>
          <w:b/>
          <w:sz w:val="28"/>
          <w:szCs w:val="28"/>
        </w:rPr>
        <w:t>Inquiry into a</w:t>
      </w:r>
      <w:r w:rsidR="001A2FCB" w:rsidRPr="00E42831">
        <w:rPr>
          <w:b/>
          <w:sz w:val="28"/>
          <w:szCs w:val="28"/>
        </w:rPr>
        <w:t xml:space="preserve"> National Education Evidence Base</w:t>
      </w:r>
      <w:r w:rsidR="00887981">
        <w:rPr>
          <w:b/>
          <w:sz w:val="28"/>
          <w:szCs w:val="28"/>
        </w:rPr>
        <w:t xml:space="preserve"> Draft Report</w:t>
      </w:r>
    </w:p>
    <w:p w:rsidR="0086104C" w:rsidRDefault="0086104C" w:rsidP="009E5F7C">
      <w:pPr>
        <w:jc w:val="center"/>
        <w:rPr>
          <w:b/>
        </w:rPr>
      </w:pPr>
    </w:p>
    <w:p w:rsidR="0086104C" w:rsidRDefault="0086104C" w:rsidP="009E5F7C">
      <w:pPr>
        <w:jc w:val="center"/>
        <w:rPr>
          <w:b/>
        </w:rPr>
      </w:pPr>
      <w:r>
        <w:rPr>
          <w:b/>
        </w:rPr>
        <w:t>Summary</w:t>
      </w:r>
    </w:p>
    <w:p w:rsidR="009B01AA" w:rsidRPr="00C34B81" w:rsidRDefault="0086104C" w:rsidP="009E5F7C">
      <w:pPr>
        <w:rPr>
          <w:b/>
        </w:rPr>
      </w:pPr>
      <w:r>
        <w:t xml:space="preserve">This </w:t>
      </w:r>
      <w:r w:rsidR="0030602D">
        <w:t>paper comments on the recent</w:t>
      </w:r>
      <w:r w:rsidR="001E3097">
        <w:t xml:space="preserve"> </w:t>
      </w:r>
      <w:r w:rsidR="0030602D">
        <w:t>Productivity Commission</w:t>
      </w:r>
      <w:r w:rsidR="001E3097">
        <w:t>’s Inquiry into a</w:t>
      </w:r>
      <w:r w:rsidR="0030602D">
        <w:t xml:space="preserve"> National Education Evidence Base</w:t>
      </w:r>
      <w:r w:rsidR="001E3097">
        <w:t xml:space="preserve"> Draft Report</w:t>
      </w:r>
      <w:r w:rsidR="0030602D">
        <w:t>.</w:t>
      </w:r>
    </w:p>
    <w:p w:rsidR="009B01AA" w:rsidRDefault="009B01AA" w:rsidP="009E5F7C">
      <w:r w:rsidRPr="000C6C91">
        <w:t>For inquiries about th</w:t>
      </w:r>
      <w:r w:rsidR="003062B5">
        <w:t xml:space="preserve">ese comments </w:t>
      </w:r>
      <w:r w:rsidRPr="000C6C91">
        <w:t xml:space="preserve">please contact Michelle </w:t>
      </w:r>
      <w:r>
        <w:t>Marquardt</w:t>
      </w:r>
      <w:r w:rsidRPr="000C6C91">
        <w:t xml:space="preserve">, </w:t>
      </w:r>
      <w:r>
        <w:t>Program Manager</w:t>
      </w:r>
      <w:r w:rsidRPr="000C6C91">
        <w:t xml:space="preserve">, </w:t>
      </w:r>
      <w:r>
        <w:t>Education, Crime and Culture Branch</w:t>
      </w:r>
      <w:r w:rsidRPr="000C6C91">
        <w:t>.</w:t>
      </w:r>
      <w:bookmarkStart w:id="0" w:name="_GoBack"/>
      <w:bookmarkEnd w:id="0"/>
    </w:p>
    <w:p w:rsidR="00826BAB" w:rsidRDefault="006D4885" w:rsidP="009E5F7C">
      <w:pPr>
        <w:jc w:val="center"/>
        <w:rPr>
          <w:b/>
        </w:rPr>
      </w:pPr>
      <w:r>
        <w:rPr>
          <w:b/>
        </w:rPr>
        <w:t>Key points</w:t>
      </w:r>
      <w:r w:rsidR="00901025">
        <w:rPr>
          <w:b/>
        </w:rPr>
        <w:t xml:space="preserve"> </w:t>
      </w:r>
    </w:p>
    <w:p w:rsidR="00AA7142" w:rsidRDefault="007D3315" w:rsidP="009E5F7C">
      <w:r>
        <w:t>The ABS notes with interest, the Commission’s proposal to put in place an institution</w:t>
      </w:r>
      <w:r w:rsidR="00EE20FC">
        <w:t xml:space="preserve"> (Draft Recommendation 7.3)</w:t>
      </w:r>
      <w:r>
        <w:t xml:space="preserve"> </w:t>
      </w:r>
      <w:r w:rsidR="004347E7">
        <w:t>with a prime purpose of</w:t>
      </w:r>
      <w:r>
        <w:t xml:space="preserve"> </w:t>
      </w:r>
      <w:r w:rsidR="00EE20FC">
        <w:t>pursuing the development of a high-quality and relevant evidence base about what works best to improve school and early childhood outcomes (Draft Recommendation 7.2)</w:t>
      </w:r>
      <w:r w:rsidR="00AA7142">
        <w:t>.  If such an institution was to be c</w:t>
      </w:r>
      <w:r w:rsidR="00EE20FC">
        <w:t>reated, the ABS anticipates working</w:t>
      </w:r>
      <w:r w:rsidR="00AA7142">
        <w:t xml:space="preserve"> very closely with them to ensure that education datasets created or managed by the ABS align with anticipated research needs.</w:t>
      </w:r>
    </w:p>
    <w:p w:rsidR="00C9236C" w:rsidRDefault="00AA7142" w:rsidP="009E5F7C">
      <w:r>
        <w:t>T</w:t>
      </w:r>
      <w:r w:rsidR="004347E7">
        <w:t xml:space="preserve">he </w:t>
      </w:r>
      <w:r w:rsidR="006B0A5A">
        <w:t xml:space="preserve">Draft </w:t>
      </w:r>
      <w:r w:rsidR="004347E7">
        <w:t>Report also recognises the value that could be achieved by bringing datasets together to build national dataset</w:t>
      </w:r>
      <w:r w:rsidR="00A66865">
        <w:t>(s)</w:t>
      </w:r>
      <w:r w:rsidR="004347E7">
        <w:t xml:space="preserve"> </w:t>
      </w:r>
      <w:r w:rsidR="00C9236C">
        <w:t>for</w:t>
      </w:r>
      <w:r w:rsidR="004347E7">
        <w:t xml:space="preserve"> the types of research proposed for building the expanded evidence base</w:t>
      </w:r>
      <w:r w:rsidR="00A66865">
        <w:t xml:space="preserve"> (Chapter 6)</w:t>
      </w:r>
      <w:r w:rsidR="004347E7">
        <w:t>.</w:t>
      </w:r>
      <w:r>
        <w:t xml:space="preserve">  The ABS agree</w:t>
      </w:r>
      <w:r w:rsidR="003252BC">
        <w:t>s</w:t>
      </w:r>
      <w:r>
        <w:t xml:space="preserve"> that</w:t>
      </w:r>
      <w:r w:rsidR="003252BC">
        <w:t xml:space="preserve"> accessible, integrated and authoritative datasets that can be recommended to researchers by the new institution will be </w:t>
      </w:r>
      <w:r>
        <w:t xml:space="preserve">a valuable contribution to the development of an improved education evidence base.  </w:t>
      </w:r>
    </w:p>
    <w:p w:rsidR="008F2DA0" w:rsidRDefault="00AA7142" w:rsidP="009E5F7C">
      <w:r>
        <w:t xml:space="preserve">With the </w:t>
      </w:r>
      <w:r w:rsidR="00072852">
        <w:t xml:space="preserve">strong </w:t>
      </w:r>
      <w:r>
        <w:t>support of the Australian Government Department of Education and Training and the State and Territory Education departments the ABS has recently made significant progress</w:t>
      </w:r>
      <w:r w:rsidR="00210B23">
        <w:t xml:space="preserve"> in bringing together some important education datasets and making them more accessible</w:t>
      </w:r>
      <w:r w:rsidR="0097251A">
        <w:t xml:space="preserve"> to government and other researchers</w:t>
      </w:r>
      <w:r w:rsidR="00210B23">
        <w:t>.</w:t>
      </w:r>
      <w:r>
        <w:t xml:space="preserve"> </w:t>
      </w:r>
      <w:r w:rsidR="00210B23">
        <w:t>These</w:t>
      </w:r>
      <w:r w:rsidR="00657C7D">
        <w:t xml:space="preserve"> initiatives</w:t>
      </w:r>
      <w:r w:rsidR="00210B23">
        <w:t xml:space="preserve"> include:</w:t>
      </w:r>
      <w:r w:rsidR="00657C7D">
        <w:t xml:space="preserve"> </w:t>
      </w:r>
    </w:p>
    <w:p w:rsidR="009C1B04" w:rsidRDefault="008F2DA0" w:rsidP="0097251A">
      <w:pPr>
        <w:numPr>
          <w:ilvl w:val="0"/>
          <w:numId w:val="13"/>
        </w:numPr>
      </w:pPr>
      <w:r>
        <w:t xml:space="preserve">A </w:t>
      </w:r>
      <w:r w:rsidR="0097251A">
        <w:t>new</w:t>
      </w:r>
      <w:r>
        <w:t xml:space="preserve"> data integration project undertaken </w:t>
      </w:r>
      <w:r w:rsidR="00210B23">
        <w:t xml:space="preserve">to </w:t>
      </w:r>
      <w:r w:rsidR="00601BA6">
        <w:t>bring together</w:t>
      </w:r>
      <w:r>
        <w:t xml:space="preserve"> data from the 2015 </w:t>
      </w:r>
      <w:r w:rsidRPr="008F2DA0">
        <w:t>A</w:t>
      </w:r>
      <w:r>
        <w:t xml:space="preserve">ustralian </w:t>
      </w:r>
      <w:r w:rsidRPr="008F2DA0">
        <w:t>E</w:t>
      </w:r>
      <w:r>
        <w:t xml:space="preserve">arly </w:t>
      </w:r>
      <w:r w:rsidRPr="008F2DA0">
        <w:t>D</w:t>
      </w:r>
      <w:r>
        <w:t xml:space="preserve">evelopment </w:t>
      </w:r>
      <w:r w:rsidRPr="008F2DA0">
        <w:t>C</w:t>
      </w:r>
      <w:r>
        <w:t>ensus (</w:t>
      </w:r>
      <w:proofErr w:type="spellStart"/>
      <w:r>
        <w:t>AEDC</w:t>
      </w:r>
      <w:proofErr w:type="spellEnd"/>
      <w:r>
        <w:t xml:space="preserve">), the </w:t>
      </w:r>
      <w:r w:rsidRPr="00083C54">
        <w:t>2013</w:t>
      </w:r>
      <w:r w:rsidR="00C9236C" w:rsidRPr="00083C54">
        <w:t xml:space="preserve"> and 2014</w:t>
      </w:r>
      <w:r w:rsidRPr="00083C54">
        <w:t xml:space="preserve"> National</w:t>
      </w:r>
      <w:r w:rsidRPr="008F2DA0">
        <w:t xml:space="preserve"> Early Childhood Education and Care Collection (</w:t>
      </w:r>
      <w:proofErr w:type="spellStart"/>
      <w:r w:rsidRPr="008F2DA0">
        <w:t>NECECC</w:t>
      </w:r>
      <w:proofErr w:type="spellEnd"/>
      <w:r>
        <w:t xml:space="preserve">), and the </w:t>
      </w:r>
      <w:r w:rsidRPr="008F2DA0">
        <w:t xml:space="preserve">National Quality </w:t>
      </w:r>
      <w:r>
        <w:t>Framework (</w:t>
      </w:r>
      <w:proofErr w:type="spellStart"/>
      <w:r>
        <w:t>NQF</w:t>
      </w:r>
      <w:proofErr w:type="spellEnd"/>
      <w:r>
        <w:t>).</w:t>
      </w:r>
      <w:r w:rsidR="00C9236C">
        <w:t xml:space="preserve"> </w:t>
      </w:r>
      <w:r>
        <w:t>T</w:t>
      </w:r>
      <w:r w:rsidRPr="008F2DA0">
        <w:t xml:space="preserve">his </w:t>
      </w:r>
      <w:r>
        <w:t xml:space="preserve">linked dataset </w:t>
      </w:r>
      <w:r w:rsidRPr="008F2DA0">
        <w:t>contains information about children’s development in their first year of full-time schooling (</w:t>
      </w:r>
      <w:r>
        <w:t>physical health and wellbeing, social competence,</w:t>
      </w:r>
      <w:r w:rsidRPr="008F2DA0">
        <w:t xml:space="preserve"> emotional maturity, language and cognitive skills, and communication and general knowledge);</w:t>
      </w:r>
      <w:r>
        <w:t xml:space="preserve"> </w:t>
      </w:r>
      <w:r w:rsidRPr="008F2DA0">
        <w:t xml:space="preserve">information about preschool enrolment and </w:t>
      </w:r>
      <w:r w:rsidRPr="008F2DA0">
        <w:lastRenderedPageBreak/>
        <w:t>attendance; and</w:t>
      </w:r>
      <w:r>
        <w:t xml:space="preserve"> </w:t>
      </w:r>
      <w:r w:rsidRPr="008F2DA0">
        <w:t>the assessed quality of education and care service providers.</w:t>
      </w:r>
      <w:r w:rsidR="00586609">
        <w:t xml:space="preserve">  </w:t>
      </w:r>
      <w:r w:rsidR="00C9236C">
        <w:t>Key education stakeholders</w:t>
      </w:r>
      <w:r w:rsidR="002A3071">
        <w:t xml:space="preserve"> are reviewing the </w:t>
      </w:r>
      <w:r w:rsidR="0073542A">
        <w:t xml:space="preserve">de-identified </w:t>
      </w:r>
      <w:r w:rsidR="002A3071">
        <w:t xml:space="preserve">dataset in the </w:t>
      </w:r>
      <w:r w:rsidR="006B0A5A">
        <w:t xml:space="preserve">secure </w:t>
      </w:r>
      <w:r w:rsidR="002A3071">
        <w:t xml:space="preserve">ABS </w:t>
      </w:r>
      <w:proofErr w:type="spellStart"/>
      <w:r w:rsidR="002A3071">
        <w:t>DataLab</w:t>
      </w:r>
      <w:proofErr w:type="spellEnd"/>
      <w:r w:rsidR="00481159">
        <w:rPr>
          <w:rStyle w:val="FootnoteReference"/>
        </w:rPr>
        <w:footnoteReference w:id="1"/>
      </w:r>
      <w:r w:rsidR="002A3071">
        <w:t xml:space="preserve"> prior to considering making the dataset more widely available.</w:t>
      </w:r>
      <w:r w:rsidR="00D63EF1">
        <w:t xml:space="preserve"> </w:t>
      </w:r>
      <w:r w:rsidR="00072852">
        <w:t>It is anticipated that, with agreement of the various data custodians, other datasets could be added to further enhance the value of this dataset.</w:t>
      </w:r>
      <w:r w:rsidR="00D63EF1">
        <w:t xml:space="preserve"> </w:t>
      </w:r>
      <w:r w:rsidR="00586609">
        <w:t>The</w:t>
      </w:r>
      <w:r w:rsidR="00D63EF1">
        <w:t xml:space="preserve"> dataset has </w:t>
      </w:r>
      <w:r w:rsidR="00873D69">
        <w:t xml:space="preserve">already </w:t>
      </w:r>
      <w:r w:rsidR="00D63EF1">
        <w:t xml:space="preserve">been used </w:t>
      </w:r>
      <w:r w:rsidR="00873D69" w:rsidRPr="00873D69">
        <w:t xml:space="preserve">heavily to assist in understanding the relationships between early childhood </w:t>
      </w:r>
      <w:r w:rsidR="0014794E">
        <w:t xml:space="preserve">education </w:t>
      </w:r>
      <w:proofErr w:type="spellStart"/>
      <w:r w:rsidR="0014794E">
        <w:t>programme</w:t>
      </w:r>
      <w:proofErr w:type="spellEnd"/>
      <w:r w:rsidR="0014794E">
        <w:t xml:space="preserve"> </w:t>
      </w:r>
      <w:r w:rsidR="00873D69" w:rsidRPr="00873D69">
        <w:t xml:space="preserve">enrolment and attendance and vulnerability as measured by the </w:t>
      </w:r>
      <w:proofErr w:type="spellStart"/>
      <w:r w:rsidR="00873D69" w:rsidRPr="00873D69">
        <w:t>AEDC</w:t>
      </w:r>
      <w:proofErr w:type="spellEnd"/>
      <w:r w:rsidR="00873D69">
        <w:t>. Analysis on these relationships was undertaken by the ABS in conjunction with the Australian and State and Territory Education departments to assist</w:t>
      </w:r>
      <w:r w:rsidR="00D63EF1">
        <w:t xml:space="preserve"> with </w:t>
      </w:r>
      <w:r w:rsidR="00D63EF1" w:rsidRPr="00C073C4">
        <w:t xml:space="preserve">the </w:t>
      </w:r>
      <w:r w:rsidR="00D63EF1" w:rsidRPr="00481159">
        <w:rPr>
          <w:i/>
        </w:rPr>
        <w:t>National Aboriginal and Torres Strait Islander Education Strategy</w:t>
      </w:r>
      <w:r w:rsidR="00481159" w:rsidRPr="00481159">
        <w:rPr>
          <w:i/>
        </w:rPr>
        <w:t xml:space="preserve"> 2015</w:t>
      </w:r>
      <w:r w:rsidR="00873D69">
        <w:t>.</w:t>
      </w:r>
      <w:r w:rsidR="00D63EF1">
        <w:t xml:space="preserve"> </w:t>
      </w:r>
      <w:r w:rsidR="00873D69">
        <w:t>The analysis</w:t>
      </w:r>
      <w:r w:rsidR="00C073C4" w:rsidRPr="00C073C4">
        <w:t xml:space="preserve"> identif</w:t>
      </w:r>
      <w:r w:rsidR="00873D69">
        <w:t>ied</w:t>
      </w:r>
      <w:r w:rsidR="00C073C4" w:rsidRPr="00C073C4">
        <w:t xml:space="preserve"> potential areas for intervention to minimise the developmental vulnerabilities of Aboriginal and Torres Strait Islander children in their transition from early childhood education to school</w:t>
      </w:r>
      <w:r w:rsidR="009C1B04">
        <w:t>.</w:t>
      </w:r>
    </w:p>
    <w:p w:rsidR="002A3071" w:rsidRDefault="002A3071" w:rsidP="0097251A">
      <w:pPr>
        <w:numPr>
          <w:ilvl w:val="0"/>
          <w:numId w:val="13"/>
        </w:numPr>
      </w:pPr>
      <w:r>
        <w:t xml:space="preserve">De-identified </w:t>
      </w:r>
      <w:proofErr w:type="spellStart"/>
      <w:r>
        <w:t>microdata</w:t>
      </w:r>
      <w:proofErr w:type="spellEnd"/>
      <w:r w:rsidR="00481159">
        <w:t xml:space="preserve"> </w:t>
      </w:r>
      <w:r w:rsidR="0097251A">
        <w:t>files of child unit records</w:t>
      </w:r>
      <w:r w:rsidR="00481159">
        <w:t xml:space="preserve"> </w:t>
      </w:r>
      <w:r>
        <w:t xml:space="preserve">from </w:t>
      </w:r>
      <w:r w:rsidR="000A65D6">
        <w:t>three years of</w:t>
      </w:r>
      <w:r w:rsidR="000A65D6" w:rsidRPr="000A65D6">
        <w:t xml:space="preserve"> Preschool Education, Australia </w:t>
      </w:r>
      <w:r w:rsidR="000A65D6">
        <w:t>(2013 – 2015)</w:t>
      </w:r>
      <w:r w:rsidR="0097251A">
        <w:t xml:space="preserve"> based on</w:t>
      </w:r>
      <w:r w:rsidR="00481159">
        <w:t xml:space="preserve"> the </w:t>
      </w:r>
      <w:proofErr w:type="spellStart"/>
      <w:r w:rsidR="00481159">
        <w:t>NECECC</w:t>
      </w:r>
      <w:proofErr w:type="spellEnd"/>
      <w:r w:rsidR="00481159">
        <w:t xml:space="preserve"> are</w:t>
      </w:r>
      <w:r>
        <w:t xml:space="preserve"> now available through the ABS </w:t>
      </w:r>
      <w:proofErr w:type="spellStart"/>
      <w:r>
        <w:t>DataLab</w:t>
      </w:r>
      <w:proofErr w:type="spellEnd"/>
      <w:r w:rsidR="0014794E">
        <w:rPr>
          <w:rStyle w:val="FootnoteReference"/>
        </w:rPr>
        <w:footnoteReference w:id="2"/>
      </w:r>
      <w:r w:rsidR="00B34DFC">
        <w:t>.</w:t>
      </w:r>
      <w:r w:rsidR="0097251A">
        <w:t xml:space="preserve">  ABS has invested heavily and worked closely with Australian, State and Territory </w:t>
      </w:r>
      <w:r w:rsidR="00B34DFC">
        <w:t>E</w:t>
      </w:r>
      <w:r w:rsidR="0097251A">
        <w:t>ducation</w:t>
      </w:r>
      <w:r w:rsidR="00B34DFC">
        <w:t xml:space="preserve"> departments</w:t>
      </w:r>
      <w:r w:rsidR="0097251A">
        <w:t xml:space="preserve"> to address real and perceived </w:t>
      </w:r>
      <w:r w:rsidR="0073542A">
        <w:t>limitations</w:t>
      </w:r>
      <w:r w:rsidR="0097251A">
        <w:t xml:space="preserve"> to enable safe access to these unit record data files in a way that is compliant with the </w:t>
      </w:r>
      <w:r w:rsidR="0097251A" w:rsidRPr="00D35E7E">
        <w:rPr>
          <w:i/>
        </w:rPr>
        <w:t>Census and Statistics Act 1905,</w:t>
      </w:r>
      <w:r w:rsidR="0097251A">
        <w:t xml:space="preserve"> the </w:t>
      </w:r>
      <w:r w:rsidR="0097251A" w:rsidRPr="0097251A">
        <w:rPr>
          <w:i/>
        </w:rPr>
        <w:t>Privacy Act 1998</w:t>
      </w:r>
      <w:r w:rsidR="0097251A">
        <w:t xml:space="preserve"> and </w:t>
      </w:r>
      <w:r w:rsidR="0097251A" w:rsidRPr="0097251A">
        <w:rPr>
          <w:i/>
        </w:rPr>
        <w:t>Financial Assistance</w:t>
      </w:r>
      <w:r w:rsidR="00B34DFC">
        <w:rPr>
          <w:i/>
        </w:rPr>
        <w:t xml:space="preserve"> Administration </w:t>
      </w:r>
      <w:r w:rsidR="0097251A" w:rsidRPr="0097251A">
        <w:rPr>
          <w:i/>
        </w:rPr>
        <w:t xml:space="preserve">Act 1999 </w:t>
      </w:r>
      <w:r w:rsidR="0097251A">
        <w:t>(re</w:t>
      </w:r>
      <w:r w:rsidR="00B34DFC">
        <w:t>garding</w:t>
      </w:r>
      <w:r w:rsidR="0097251A">
        <w:t xml:space="preserve"> discussion on pages 135 and 136 of the Draft Report).  This</w:t>
      </w:r>
      <w:r>
        <w:t xml:space="preserve"> has significantly improved accessibility to this rich source of information about</w:t>
      </w:r>
      <w:r w:rsidR="000A65D6">
        <w:t xml:space="preserve"> children in </w:t>
      </w:r>
      <w:r w:rsidR="000D6CFC">
        <w:t>early childhood education (</w:t>
      </w:r>
      <w:r w:rsidR="000A65D6">
        <w:t>preschool</w:t>
      </w:r>
      <w:r w:rsidR="000D6CFC">
        <w:t>)</w:t>
      </w:r>
      <w:r w:rsidR="000A65D6">
        <w:t xml:space="preserve"> program</w:t>
      </w:r>
      <w:r>
        <w:t>s.</w:t>
      </w:r>
      <w:r w:rsidR="000A65D6">
        <w:t xml:space="preserve"> </w:t>
      </w:r>
      <w:r w:rsidR="000A65D6" w:rsidRPr="000A65D6">
        <w:t>These files are de</w:t>
      </w:r>
      <w:r w:rsidR="000A65D6">
        <w:t>-</w:t>
      </w:r>
      <w:r w:rsidR="000A65D6" w:rsidRPr="000A65D6">
        <w:t xml:space="preserve">identified </w:t>
      </w:r>
      <w:r w:rsidR="00873D69">
        <w:t>and made available based on the principles of</w:t>
      </w:r>
      <w:r w:rsidR="000A65D6" w:rsidRPr="000A65D6">
        <w:t xml:space="preserve"> the 5 Safes Model referred to in the Draft Report</w:t>
      </w:r>
      <w:r w:rsidR="00B34DFC">
        <w:t xml:space="preserve"> (</w:t>
      </w:r>
      <w:proofErr w:type="spellStart"/>
      <w:r w:rsidR="00B34DFC">
        <w:t>p153</w:t>
      </w:r>
      <w:proofErr w:type="spellEnd"/>
      <w:r w:rsidR="00B34DFC">
        <w:t>, Box 6.4)</w:t>
      </w:r>
      <w:r w:rsidR="000A65D6" w:rsidRPr="000A65D6">
        <w:t>.</w:t>
      </w:r>
      <w:r w:rsidR="00291CD3">
        <w:t xml:space="preserve"> </w:t>
      </w:r>
      <w:r w:rsidR="00B34DFC">
        <w:t>Access to the</w:t>
      </w:r>
      <w:r w:rsidR="00291CD3">
        <w:t xml:space="preserve"> </w:t>
      </w:r>
      <w:proofErr w:type="spellStart"/>
      <w:r w:rsidR="00291CD3">
        <w:t>microdata</w:t>
      </w:r>
      <w:proofErr w:type="spellEnd"/>
      <w:r w:rsidR="00291CD3">
        <w:t xml:space="preserve"> </w:t>
      </w:r>
      <w:r w:rsidR="00B34DFC">
        <w:t xml:space="preserve">from the </w:t>
      </w:r>
      <w:proofErr w:type="spellStart"/>
      <w:r w:rsidR="00B34DFC">
        <w:t>NECECC</w:t>
      </w:r>
      <w:proofErr w:type="spellEnd"/>
      <w:r w:rsidR="00B34DFC">
        <w:t xml:space="preserve"> </w:t>
      </w:r>
      <w:r w:rsidR="00291CD3">
        <w:t xml:space="preserve">enables </w:t>
      </w:r>
      <w:r w:rsidR="00601BA6">
        <w:t>researchers</w:t>
      </w:r>
      <w:r w:rsidR="00291CD3">
        <w:t xml:space="preserve"> to perform detailed </w:t>
      </w:r>
      <w:r w:rsidR="00601BA6">
        <w:t>analysis and</w:t>
      </w:r>
      <w:r w:rsidR="00291CD3">
        <w:t xml:space="preserve"> modelling using unit record data, and complements the </w:t>
      </w:r>
      <w:r w:rsidR="00601BA6">
        <w:t>ability for researchers</w:t>
      </w:r>
      <w:r w:rsidR="00291CD3">
        <w:t xml:space="preserve"> to access </w:t>
      </w:r>
      <w:r w:rsidR="000D6CFC">
        <w:t>and prepare tailored</w:t>
      </w:r>
      <w:r w:rsidR="00291CD3">
        <w:t xml:space="preserve"> detailed aggregate data through </w:t>
      </w:r>
      <w:r w:rsidR="00601BA6">
        <w:t>the</w:t>
      </w:r>
      <w:r w:rsidR="000D6CFC">
        <w:t xml:space="preserve"> associated</w:t>
      </w:r>
      <w:r w:rsidR="00601BA6">
        <w:t xml:space="preserve"> </w:t>
      </w:r>
      <w:proofErr w:type="spellStart"/>
      <w:r w:rsidR="00291CD3">
        <w:t>TableBuilder</w:t>
      </w:r>
      <w:proofErr w:type="spellEnd"/>
      <w:r w:rsidR="00601BA6">
        <w:t xml:space="preserve"> files for this </w:t>
      </w:r>
      <w:r w:rsidR="000D6CFC">
        <w:t>collection</w:t>
      </w:r>
      <w:r w:rsidR="00291CD3">
        <w:t>. Both the</w:t>
      </w:r>
      <w:r w:rsidR="00601BA6">
        <w:t xml:space="preserve"> </w:t>
      </w:r>
      <w:r w:rsidR="00F00A32">
        <w:t xml:space="preserve">secure </w:t>
      </w:r>
      <w:proofErr w:type="spellStart"/>
      <w:r w:rsidR="00601BA6">
        <w:t>DataLab</w:t>
      </w:r>
      <w:proofErr w:type="spellEnd"/>
      <w:r w:rsidR="00601BA6">
        <w:t xml:space="preserve"> and </w:t>
      </w:r>
      <w:proofErr w:type="spellStart"/>
      <w:r w:rsidR="00601BA6">
        <w:t>TableBuilder</w:t>
      </w:r>
      <w:proofErr w:type="spellEnd"/>
      <w:r w:rsidR="00291CD3">
        <w:t xml:space="preserve"> products provide access to data for su</w:t>
      </w:r>
      <w:r w:rsidR="00CC0242">
        <w:t>bpopulations such as 3 year old</w:t>
      </w:r>
      <w:r w:rsidR="000D6CFC">
        <w:t xml:space="preserve"> children</w:t>
      </w:r>
      <w:r w:rsidR="00291CD3">
        <w:t xml:space="preserve"> in early childhood education.</w:t>
      </w:r>
    </w:p>
    <w:p w:rsidR="002A3071" w:rsidRDefault="002A3071" w:rsidP="0097251A">
      <w:pPr>
        <w:pStyle w:val="ListParagraph"/>
        <w:numPr>
          <w:ilvl w:val="0"/>
          <w:numId w:val="13"/>
        </w:numPr>
      </w:pPr>
      <w:r>
        <w:t>Th</w:t>
      </w:r>
      <w:r w:rsidR="000D6CFC">
        <w:t>ese</w:t>
      </w:r>
      <w:r>
        <w:t xml:space="preserve"> dataset</w:t>
      </w:r>
      <w:r w:rsidR="000D6CFC">
        <w:t>s</w:t>
      </w:r>
      <w:r>
        <w:t xml:space="preserve"> j</w:t>
      </w:r>
      <w:r w:rsidR="00072852">
        <w:t xml:space="preserve">oin the </w:t>
      </w:r>
      <w:r w:rsidR="00C073C4" w:rsidRPr="00C073C4">
        <w:rPr>
          <w:i/>
        </w:rPr>
        <w:t>Vo</w:t>
      </w:r>
      <w:r w:rsidR="009C1B04">
        <w:rPr>
          <w:i/>
        </w:rPr>
        <w:t xml:space="preserve">cational Education and Training, </w:t>
      </w:r>
      <w:r w:rsidR="00C073C4">
        <w:rPr>
          <w:i/>
        </w:rPr>
        <w:t xml:space="preserve">2006 </w:t>
      </w:r>
      <w:r w:rsidR="00C073C4">
        <w:t xml:space="preserve">and </w:t>
      </w:r>
      <w:r w:rsidR="00F00A32" w:rsidRPr="00F00A32">
        <w:rPr>
          <w:i/>
        </w:rPr>
        <w:t xml:space="preserve">2011 </w:t>
      </w:r>
      <w:r w:rsidR="00FB234A">
        <w:rPr>
          <w:i/>
        </w:rPr>
        <w:t xml:space="preserve">Australian </w:t>
      </w:r>
      <w:r w:rsidR="009C1B04" w:rsidRPr="005155B2">
        <w:rPr>
          <w:i/>
        </w:rPr>
        <w:t>Census of Population and Housing</w:t>
      </w:r>
      <w:r w:rsidR="009C1B04">
        <w:rPr>
          <w:i/>
        </w:rPr>
        <w:t xml:space="preserve"> </w:t>
      </w:r>
      <w:r w:rsidR="00072852">
        <w:t xml:space="preserve">integrated dataset which was released into the ABS </w:t>
      </w:r>
      <w:proofErr w:type="spellStart"/>
      <w:r w:rsidR="00072852">
        <w:t>DataLab</w:t>
      </w:r>
      <w:proofErr w:type="spellEnd"/>
      <w:r w:rsidR="00072852">
        <w:t xml:space="preserve"> on </w:t>
      </w:r>
      <w:r w:rsidR="009C1B04">
        <w:t>2 November 2015</w:t>
      </w:r>
      <w:r w:rsidR="0014794E">
        <w:rPr>
          <w:rStyle w:val="FootnoteReference"/>
        </w:rPr>
        <w:footnoteReference w:id="3"/>
      </w:r>
      <w:r w:rsidR="009C1B04">
        <w:t>.</w:t>
      </w:r>
      <w:r w:rsidR="00F00A32">
        <w:t xml:space="preserve"> Analysis of this dataset has already been undertaken and new education stakeholders are requesting access for additional research projects.</w:t>
      </w:r>
    </w:p>
    <w:p w:rsidR="009C1B04" w:rsidRDefault="00072852" w:rsidP="0097251A">
      <w:pPr>
        <w:pStyle w:val="ListParagraph"/>
        <w:numPr>
          <w:ilvl w:val="0"/>
          <w:numId w:val="13"/>
        </w:numPr>
        <w:spacing w:after="0"/>
      </w:pPr>
      <w:r>
        <w:lastRenderedPageBreak/>
        <w:t xml:space="preserve">The ABS is also involved in preliminary discussions with </w:t>
      </w:r>
      <w:r w:rsidR="009C1B04">
        <w:t xml:space="preserve">the </w:t>
      </w:r>
      <w:r w:rsidR="00F00A32">
        <w:t xml:space="preserve">Tasmanian and Queensland </w:t>
      </w:r>
      <w:r w:rsidR="009C1B04">
        <w:t>Department</w:t>
      </w:r>
      <w:r w:rsidR="00F00A32">
        <w:t>s</w:t>
      </w:r>
      <w:r w:rsidR="009C1B04">
        <w:t xml:space="preserve"> of Education</w:t>
      </w:r>
      <w:r>
        <w:t xml:space="preserve"> regarding the possibility of releasing </w:t>
      </w:r>
      <w:r w:rsidR="00F00A32">
        <w:t xml:space="preserve">into the ABS </w:t>
      </w:r>
      <w:proofErr w:type="spellStart"/>
      <w:r w:rsidR="00F00A32">
        <w:t>DataLab</w:t>
      </w:r>
      <w:proofErr w:type="spellEnd"/>
      <w:r w:rsidR="00F00A32">
        <w:t xml:space="preserve"> </w:t>
      </w:r>
      <w:r>
        <w:t>the de-identified unit record data created as part of the earlier data integration activities</w:t>
      </w:r>
      <w:r w:rsidR="0045212B">
        <w:rPr>
          <w:rStyle w:val="FootnoteReference"/>
        </w:rPr>
        <w:footnoteReference w:id="4"/>
      </w:r>
      <w:r>
        <w:t>.</w:t>
      </w:r>
    </w:p>
    <w:p w:rsidR="009C1B04" w:rsidRDefault="009C1B04" w:rsidP="009C1B04">
      <w:pPr>
        <w:spacing w:after="0"/>
      </w:pPr>
    </w:p>
    <w:p w:rsidR="00A0320A" w:rsidRDefault="00A0320A" w:rsidP="0097251A">
      <w:pPr>
        <w:pStyle w:val="ListParagraph"/>
        <w:numPr>
          <w:ilvl w:val="0"/>
          <w:numId w:val="13"/>
        </w:numPr>
      </w:pPr>
      <w:r>
        <w:t xml:space="preserve">Many </w:t>
      </w:r>
      <w:r w:rsidR="000A65D6">
        <w:t>Australian, state and territory departments of education</w:t>
      </w:r>
      <w:r>
        <w:t xml:space="preserve"> have already </w:t>
      </w:r>
      <w:r w:rsidR="000D6CFC">
        <w:t>undertak</w:t>
      </w:r>
      <w:r w:rsidR="00F00A32">
        <w:t>en</w:t>
      </w:r>
      <w:r>
        <w:t xml:space="preserve"> ABS </w:t>
      </w:r>
      <w:proofErr w:type="spellStart"/>
      <w:r>
        <w:t>DataLab</w:t>
      </w:r>
      <w:proofErr w:type="spellEnd"/>
      <w:r>
        <w:t xml:space="preserve"> training and are now using the data</w:t>
      </w:r>
      <w:r w:rsidR="000D6CFC">
        <w:t xml:space="preserve"> accessible</w:t>
      </w:r>
      <w:r>
        <w:t xml:space="preserve"> in the </w:t>
      </w:r>
      <w:r w:rsidR="000D6CFC">
        <w:t xml:space="preserve">ABS </w:t>
      </w:r>
      <w:proofErr w:type="spellStart"/>
      <w:r>
        <w:t>DataLab</w:t>
      </w:r>
      <w:proofErr w:type="spellEnd"/>
      <w:r w:rsidR="00F00A32">
        <w:t xml:space="preserve"> remotely from their premises</w:t>
      </w:r>
      <w:r>
        <w:t>.</w:t>
      </w:r>
    </w:p>
    <w:p w:rsidR="00000400" w:rsidRDefault="00873D69" w:rsidP="009E5F7C">
      <w:r w:rsidRPr="00873D69">
        <w:t xml:space="preserve">More broadly the ABS has taken the lead in integrating a range of significant national datasets relating to health, </w:t>
      </w:r>
      <w:r>
        <w:t xml:space="preserve">the </w:t>
      </w:r>
      <w:r w:rsidR="00FB234A">
        <w:t xml:space="preserve">Australian </w:t>
      </w:r>
      <w:r w:rsidRPr="00873D69">
        <w:t>Census of Population and Housing, social security and business for statistical and official research.  Further information about these projects is outlined in the ABS’ submission to the Productivity Commission Inquiry on Data Availability and Use.</w:t>
      </w:r>
      <w:r w:rsidR="00083C54">
        <w:t xml:space="preserve"> </w:t>
      </w:r>
      <w:r w:rsidR="00A024B8">
        <w:t>Recommendations for streamlined approval processes</w:t>
      </w:r>
      <w:r w:rsidR="00FD744B">
        <w:t xml:space="preserve"> (S</w:t>
      </w:r>
      <w:r w:rsidR="00A024B8">
        <w:t xml:space="preserve">ection 5.3) </w:t>
      </w:r>
      <w:r w:rsidR="00DD7C20">
        <w:t>are strongly</w:t>
      </w:r>
      <w:r w:rsidR="00A024B8">
        <w:t xml:space="preserve"> supported by the ABS, as stated in our submission to the issues paper. </w:t>
      </w:r>
      <w:r w:rsidR="00DD7C20">
        <w:t xml:space="preserve">The high cooperation </w:t>
      </w:r>
      <w:r w:rsidR="00126E1C">
        <w:t xml:space="preserve">and support </w:t>
      </w:r>
      <w:r w:rsidR="00DD7C20">
        <w:t>from</w:t>
      </w:r>
      <w:r w:rsidR="00126E1C">
        <w:t xml:space="preserve"> the</w:t>
      </w:r>
      <w:r w:rsidR="00DD7C20">
        <w:t xml:space="preserve"> </w:t>
      </w:r>
      <w:r w:rsidR="00126E1C">
        <w:t xml:space="preserve">Australian Government Department of Education and Training and the State and Territory Education departments </w:t>
      </w:r>
      <w:r w:rsidR="00DD7C20">
        <w:t xml:space="preserve">throughout the </w:t>
      </w:r>
      <w:r w:rsidR="00126E1C">
        <w:t>various data integration projects that have already occurred</w:t>
      </w:r>
      <w:r w:rsidR="00DD7C20">
        <w:t xml:space="preserve"> </w:t>
      </w:r>
      <w:r w:rsidR="00212994">
        <w:t>has been invaluable in</w:t>
      </w:r>
      <w:r w:rsidR="00DD7C20">
        <w:t xml:space="preserve"> enabling timely deliverables. </w:t>
      </w:r>
    </w:p>
    <w:p w:rsidR="00FB234A" w:rsidRDefault="00FB234A" w:rsidP="009E5F7C">
      <w:r>
        <w:t>Further, the ABS has gained valuable insights and tangible experience from the Australian Longitudinal Learning Database (</w:t>
      </w:r>
      <w:proofErr w:type="spellStart"/>
      <w:r>
        <w:t>ALLD</w:t>
      </w:r>
      <w:proofErr w:type="spellEnd"/>
      <w:r>
        <w:t>) proposal and Transforming Education and Training Information in Australia (</w:t>
      </w:r>
      <w:proofErr w:type="spellStart"/>
      <w:r>
        <w:t>TETIA</w:t>
      </w:r>
      <w:proofErr w:type="spellEnd"/>
      <w:r>
        <w:t>)</w:t>
      </w:r>
      <w:r>
        <w:rPr>
          <w:rStyle w:val="FootnoteReference"/>
        </w:rPr>
        <w:footnoteReference w:id="5"/>
      </w:r>
      <w:r>
        <w:t xml:space="preserve"> pathway projects and is applying these to the most recent education data integration project and associated activities.</w:t>
      </w:r>
    </w:p>
    <w:p w:rsidR="00FB234A" w:rsidRDefault="00FB234A" w:rsidP="009E5F7C">
      <w:r>
        <w:t xml:space="preserve">In reference to linkage to </w:t>
      </w:r>
      <w:r w:rsidR="0073542A">
        <w:t xml:space="preserve">de-identified </w:t>
      </w:r>
      <w:r>
        <w:t xml:space="preserve">Population Census data on page 134, the ABS would like to note that for most statistical purposes, valid </w:t>
      </w:r>
      <w:r w:rsidR="0073542A">
        <w:t>in</w:t>
      </w:r>
      <w:r>
        <w:t xml:space="preserve">ferences can be drawn from linked datasets created with imperfect linkage rates by use of statistical techniques such as weighting/calibration. </w:t>
      </w:r>
    </w:p>
    <w:p w:rsidR="00901025" w:rsidRDefault="00126E1C" w:rsidP="00E4244F">
      <w:pPr>
        <w:keepNext/>
        <w:jc w:val="center"/>
        <w:rPr>
          <w:b/>
        </w:rPr>
      </w:pPr>
      <w:r>
        <w:rPr>
          <w:b/>
        </w:rPr>
        <w:t>Suggested additional references</w:t>
      </w:r>
    </w:p>
    <w:p w:rsidR="00901025" w:rsidRDefault="00FB491C" w:rsidP="009E5F7C">
      <w:r>
        <w:t xml:space="preserve">The ABS </w:t>
      </w:r>
      <w:r w:rsidR="00126E1C">
        <w:t>suggests the following specific</w:t>
      </w:r>
      <w:r>
        <w:t xml:space="preserve"> </w:t>
      </w:r>
      <w:r w:rsidR="00E471BD">
        <w:t xml:space="preserve">amendments </w:t>
      </w:r>
      <w:r w:rsidR="009C1B04">
        <w:t>additions to</w:t>
      </w:r>
      <w:r>
        <w:t xml:space="preserve"> the draft:</w:t>
      </w:r>
    </w:p>
    <w:p w:rsidR="00235B9C" w:rsidRDefault="00192849" w:rsidP="009E5F7C">
      <w:pPr>
        <w:pStyle w:val="ListParagraph"/>
        <w:numPr>
          <w:ilvl w:val="0"/>
          <w:numId w:val="12"/>
        </w:numPr>
      </w:pPr>
      <w:r>
        <w:t xml:space="preserve">Adding the </w:t>
      </w:r>
      <w:r w:rsidRPr="005155B2">
        <w:rPr>
          <w:i/>
        </w:rPr>
        <w:t>Childhood Education and Care Survey</w:t>
      </w:r>
      <w:r>
        <w:t xml:space="preserve"> </w:t>
      </w:r>
      <w:r w:rsidR="003B2DC5">
        <w:t xml:space="preserve">and the </w:t>
      </w:r>
      <w:r w:rsidR="003B2DC5">
        <w:rPr>
          <w:i/>
        </w:rPr>
        <w:t xml:space="preserve">Survey of Education and Work </w:t>
      </w:r>
      <w:r w:rsidRPr="003B2DC5">
        <w:t>to</w:t>
      </w:r>
      <w:r>
        <w:t xml:space="preserve"> Table 6.1 ‘Australia’s education data custodians’ on page 151, and amending the name of the ‘Population Census’ to the </w:t>
      </w:r>
      <w:r w:rsidRPr="005155B2">
        <w:rPr>
          <w:i/>
        </w:rPr>
        <w:t>Australian Census of Population and Housing.</w:t>
      </w:r>
      <w:r>
        <w:t xml:space="preserve"> </w:t>
      </w:r>
    </w:p>
    <w:p w:rsidR="00FB234A" w:rsidRDefault="00FB234A" w:rsidP="009E5F7C">
      <w:pPr>
        <w:pStyle w:val="ListParagraph"/>
        <w:numPr>
          <w:ilvl w:val="0"/>
          <w:numId w:val="12"/>
        </w:numPr>
      </w:pPr>
      <w:r>
        <w:lastRenderedPageBreak/>
        <w:t xml:space="preserve">Amend the content of the </w:t>
      </w:r>
      <w:r w:rsidRPr="00FB234A">
        <w:rPr>
          <w:i/>
        </w:rPr>
        <w:t>Childhood Education and Care Survey</w:t>
      </w:r>
      <w:r>
        <w:t xml:space="preserve"> row in Table C</w:t>
      </w:r>
      <w:r w:rsidR="00E471BD">
        <w:t xml:space="preserve">. </w:t>
      </w:r>
      <w:r>
        <w:t>2 on page 218, 2</w:t>
      </w:r>
      <w:r w:rsidRPr="00FB234A">
        <w:rPr>
          <w:vertAlign w:val="superscript"/>
        </w:rPr>
        <w:t>nd</w:t>
      </w:r>
      <w:r>
        <w:t xml:space="preserve"> dot point to include reference to informal care, </w:t>
      </w:r>
      <w:proofErr w:type="spellStart"/>
      <w:r>
        <w:t>viz</w:t>
      </w:r>
      <w:proofErr w:type="spellEnd"/>
      <w:r w:rsidR="00CC485F">
        <w:t>,</w:t>
      </w:r>
      <w:r>
        <w:br/>
      </w:r>
      <w:r w:rsidRPr="00CC485F">
        <w:rPr>
          <w:i/>
        </w:rPr>
        <w:t xml:space="preserve">Usual care arrangements (types of care </w:t>
      </w:r>
      <w:r w:rsidRPr="00CC485F">
        <w:rPr>
          <w:i/>
          <w:u w:val="single"/>
        </w:rPr>
        <w:t>– including informal care</w:t>
      </w:r>
      <w:r w:rsidRPr="00CC485F">
        <w:rPr>
          <w:i/>
        </w:rPr>
        <w:t>, duration and cost).</w:t>
      </w:r>
    </w:p>
    <w:p w:rsidR="007150F5" w:rsidRDefault="007150F5" w:rsidP="009E5F7C">
      <w:pPr>
        <w:pStyle w:val="ListParagraph"/>
      </w:pPr>
    </w:p>
    <w:p w:rsidR="007150F5" w:rsidRDefault="007150F5" w:rsidP="009E5F7C">
      <w:pPr>
        <w:pStyle w:val="ListParagraph"/>
        <w:numPr>
          <w:ilvl w:val="0"/>
          <w:numId w:val="12"/>
        </w:numPr>
      </w:pPr>
      <w:r>
        <w:t xml:space="preserve">Adding </w:t>
      </w:r>
      <w:r w:rsidRPr="005155B2">
        <w:rPr>
          <w:i/>
        </w:rPr>
        <w:t>Australian Census of Population and Housing</w:t>
      </w:r>
      <w:r>
        <w:rPr>
          <w:i/>
        </w:rPr>
        <w:t xml:space="preserve">, </w:t>
      </w:r>
      <w:r>
        <w:t xml:space="preserve">and the </w:t>
      </w:r>
      <w:r>
        <w:rPr>
          <w:i/>
        </w:rPr>
        <w:t xml:space="preserve">National Regional Profile cat. no. </w:t>
      </w:r>
      <w:r w:rsidRPr="007150F5">
        <w:rPr>
          <w:i/>
        </w:rPr>
        <w:t>1379.0.55</w:t>
      </w:r>
      <w:r>
        <w:rPr>
          <w:i/>
        </w:rPr>
        <w:t>.001</w:t>
      </w:r>
      <w:r w:rsidRPr="007150F5">
        <w:rPr>
          <w:i/>
        </w:rPr>
        <w:t xml:space="preserve">, 2010-14 </w:t>
      </w:r>
      <w:r w:rsidRPr="007150F5">
        <w:t>to</w:t>
      </w:r>
      <w:r>
        <w:t xml:space="preserve"> Table C. 11 in Appendix B as they hold community and child level data.</w:t>
      </w:r>
    </w:p>
    <w:p w:rsidR="00454579" w:rsidRDefault="00454579" w:rsidP="009E5F7C">
      <w:pPr>
        <w:pStyle w:val="ListParagraph"/>
      </w:pPr>
    </w:p>
    <w:p w:rsidR="00454579" w:rsidRDefault="00454579" w:rsidP="009E5F7C">
      <w:pPr>
        <w:pStyle w:val="ListParagraph"/>
        <w:numPr>
          <w:ilvl w:val="0"/>
          <w:numId w:val="12"/>
        </w:numPr>
      </w:pPr>
      <w:r>
        <w:t>Adding the following to the reference list on page 235:</w:t>
      </w:r>
    </w:p>
    <w:p w:rsidR="00946B69" w:rsidRDefault="00454579" w:rsidP="009E5F7C">
      <w:pPr>
        <w:spacing w:after="0"/>
      </w:pPr>
      <w:r w:rsidRPr="00454579">
        <w:t xml:space="preserve">Australian </w:t>
      </w:r>
      <w:r>
        <w:t>Bureau of Statistics (ABS), 2014</w:t>
      </w:r>
      <w:r w:rsidRPr="00454579">
        <w:t xml:space="preserve">, </w:t>
      </w:r>
      <w:r w:rsidRPr="00454579">
        <w:rPr>
          <w:i/>
        </w:rPr>
        <w:t>Outcomes from Vocational Education and Training in Schools, experimental estimates, Australia, 2006 - 2011</w:t>
      </w:r>
      <w:r w:rsidRPr="00454579">
        <w:t xml:space="preserve">, cat. no. </w:t>
      </w:r>
      <w:r>
        <w:t>4260.0, ABS, Canberra</w:t>
      </w:r>
      <w:r w:rsidR="00946B69">
        <w:t>,</w:t>
      </w:r>
    </w:p>
    <w:p w:rsidR="00E471BD" w:rsidRDefault="008B18CE" w:rsidP="00E471BD">
      <w:pPr>
        <w:spacing w:after="0"/>
      </w:pPr>
      <w:hyperlink r:id="rId16" w:history="1">
        <w:r w:rsidR="00946B69" w:rsidRPr="008B7D72">
          <w:rPr>
            <w:rStyle w:val="Hyperlink"/>
          </w:rPr>
          <w:t>http://www.abs.gov.au/ausstats/abs@.nsf/PrimaryMainFeatures/4260.0?OpenDocument</w:t>
        </w:r>
      </w:hyperlink>
      <w:r w:rsidR="00E471BD">
        <w:br/>
      </w:r>
    </w:p>
    <w:p w:rsidR="00E471BD" w:rsidRDefault="00E471BD" w:rsidP="00E471BD">
      <w:pPr>
        <w:keepNext/>
        <w:keepLines/>
      </w:pPr>
      <w:r w:rsidRPr="007E6E50">
        <w:t>Australian Bureau of</w:t>
      </w:r>
      <w:r>
        <w:t xml:space="preserve"> Statistics (ABS), 2014,</w:t>
      </w:r>
      <w:r w:rsidRPr="007E6E50">
        <w:rPr>
          <w:lang w:val="en"/>
        </w:rPr>
        <w:t xml:space="preserve"> </w:t>
      </w:r>
      <w:r w:rsidRPr="00652F15">
        <w:rPr>
          <w:i/>
          <w:lang w:val="en"/>
        </w:rPr>
        <w:t>Research Paper: Assessing the Effect of Geographic Information on Data Linkage Quality Using Vocational Education and</w:t>
      </w:r>
      <w:r>
        <w:rPr>
          <w:i/>
          <w:lang w:val="en"/>
        </w:rPr>
        <w:t xml:space="preserve"> Training in Schools Data, 2014, </w:t>
      </w:r>
      <w:r w:rsidRPr="00104A46">
        <w:rPr>
          <w:lang w:val="en"/>
        </w:rPr>
        <w:t>cat. no. 4269.0.55.001,</w:t>
      </w:r>
      <w:r>
        <w:rPr>
          <w:lang w:val="en"/>
        </w:rPr>
        <w:t xml:space="preserve"> </w:t>
      </w:r>
      <w:r>
        <w:t xml:space="preserve">ABS, Canberra, </w:t>
      </w:r>
      <w:hyperlink r:id="rId17" w:history="1">
        <w:r w:rsidRPr="00935E66">
          <w:rPr>
            <w:rStyle w:val="Hyperlink"/>
          </w:rPr>
          <w:t>http://www.abs.gov.au/ausstats/abs@.nsf/PrimaryMainFeatures/4269.0.55.001?OpenDocument</w:t>
        </w:r>
      </w:hyperlink>
    </w:p>
    <w:p w:rsidR="00E471BD" w:rsidRDefault="00E471BD" w:rsidP="00E471BD">
      <w:r w:rsidRPr="00E471BD">
        <w:t xml:space="preserve">Australian Bureau of Statistics (ABS), 2014, Educational outcomes, experimental estimates, Queensland, 2011, cat. no. 4261.3, ABS, Canberra, </w:t>
      </w:r>
      <w:hyperlink r:id="rId18" w:history="1">
        <w:r w:rsidRPr="002C07AD">
          <w:rPr>
            <w:rStyle w:val="Hyperlink"/>
          </w:rPr>
          <w:t>http://www.abs.gov.au/ausstats/abs@.nsf/PrimaryMainFeatures/4261.3?OpenDocument</w:t>
        </w:r>
      </w:hyperlink>
    </w:p>
    <w:p w:rsidR="00B82A43" w:rsidRDefault="00B82A43" w:rsidP="009E5F7C">
      <w:r w:rsidRPr="007E6E50">
        <w:t>Australian Bureau of</w:t>
      </w:r>
      <w:r>
        <w:t xml:space="preserve"> Statistics (ABS), 2016</w:t>
      </w:r>
      <w:r w:rsidRPr="0001599F">
        <w:rPr>
          <w:i/>
        </w:rPr>
        <w:t>,</w:t>
      </w:r>
      <w:r>
        <w:rPr>
          <w:i/>
        </w:rPr>
        <w:t xml:space="preserve"> </w:t>
      </w:r>
      <w:proofErr w:type="spellStart"/>
      <w:r w:rsidRPr="000B46ED">
        <w:rPr>
          <w:i/>
          <w:lang w:val="en"/>
        </w:rPr>
        <w:t>Microdata</w:t>
      </w:r>
      <w:proofErr w:type="spellEnd"/>
      <w:r w:rsidRPr="000B46ED">
        <w:rPr>
          <w:i/>
          <w:lang w:val="en"/>
        </w:rPr>
        <w:t xml:space="preserve">: Education and Work, May 2015, </w:t>
      </w:r>
      <w:r w:rsidRPr="00104A46">
        <w:rPr>
          <w:lang w:val="en"/>
        </w:rPr>
        <w:t>cat. no. 6227.0.30.001,</w:t>
      </w:r>
      <w:r>
        <w:rPr>
          <w:lang w:val="en"/>
        </w:rPr>
        <w:t xml:space="preserve"> </w:t>
      </w:r>
      <w:r>
        <w:t xml:space="preserve">ABS, Canberra, </w:t>
      </w:r>
      <w:hyperlink r:id="rId19" w:history="1">
        <w:r w:rsidRPr="00935E66">
          <w:rPr>
            <w:rStyle w:val="Hyperlink"/>
          </w:rPr>
          <w:t>http://www.abs.gov.au/ausstats%5Cabs@.nsf/0/4985F229045DE899CA256ECF0001B891?Opendocument</w:t>
        </w:r>
      </w:hyperlink>
    </w:p>
    <w:p w:rsidR="00B82A43" w:rsidRDefault="00B82A43" w:rsidP="009E5F7C">
      <w:pPr>
        <w:rPr>
          <w:rStyle w:val="Hyperlink"/>
        </w:rPr>
      </w:pPr>
      <w:r w:rsidRPr="007E6E50">
        <w:t>Australian Bureau of</w:t>
      </w:r>
      <w:r>
        <w:t xml:space="preserve"> Statistics (ABS), 2016,</w:t>
      </w:r>
      <w:r w:rsidRPr="007E6E50">
        <w:rPr>
          <w:lang w:val="en"/>
        </w:rPr>
        <w:t xml:space="preserve"> </w:t>
      </w:r>
      <w:proofErr w:type="spellStart"/>
      <w:r w:rsidRPr="00C269D0">
        <w:rPr>
          <w:i/>
          <w:lang w:val="en"/>
        </w:rPr>
        <w:t>Microdata</w:t>
      </w:r>
      <w:proofErr w:type="spellEnd"/>
      <w:r w:rsidRPr="00C269D0">
        <w:rPr>
          <w:i/>
          <w:lang w:val="en"/>
        </w:rPr>
        <w:t>: Presc</w:t>
      </w:r>
      <w:r>
        <w:rPr>
          <w:i/>
          <w:lang w:val="en"/>
        </w:rPr>
        <w:t xml:space="preserve">hool Education, Australia, 2015, </w:t>
      </w:r>
      <w:r w:rsidRPr="00104A46">
        <w:rPr>
          <w:lang w:val="en"/>
        </w:rPr>
        <w:t>cat. no. 4240.0.55.003,</w:t>
      </w:r>
      <w:r>
        <w:rPr>
          <w:lang w:val="en"/>
        </w:rPr>
        <w:t xml:space="preserve"> </w:t>
      </w:r>
      <w:r>
        <w:t xml:space="preserve">ABS, Canberra, </w:t>
      </w:r>
      <w:hyperlink r:id="rId20" w:history="1">
        <w:r w:rsidRPr="00935E66">
          <w:rPr>
            <w:rStyle w:val="Hyperlink"/>
          </w:rPr>
          <w:t>http://www.abs.gov.au/ausstats%5Cabs@.nsf/0/D1A57857AF1EB6A3CA257CC90014404F?Opendocument</w:t>
        </w:r>
      </w:hyperlink>
    </w:p>
    <w:p w:rsidR="00104A46" w:rsidRDefault="00104A46" w:rsidP="009E5F7C">
      <w:r>
        <w:t xml:space="preserve">Australian Bureau of Statistics (ABS), 2016, </w:t>
      </w:r>
      <w:r w:rsidRPr="00104A46">
        <w:rPr>
          <w:i/>
        </w:rPr>
        <w:t xml:space="preserve">Responsible Use of ABS </w:t>
      </w:r>
      <w:proofErr w:type="spellStart"/>
      <w:r w:rsidRPr="00104A46">
        <w:rPr>
          <w:i/>
        </w:rPr>
        <w:t>Microdata</w:t>
      </w:r>
      <w:proofErr w:type="spellEnd"/>
      <w:r w:rsidRPr="00104A46">
        <w:rPr>
          <w:i/>
        </w:rPr>
        <w:t>, User Guide,</w:t>
      </w:r>
      <w:r>
        <w:t xml:space="preserve"> cat. no. 1406.0.55.003, ABS, Canberra</w:t>
      </w:r>
      <w:r>
        <w:br/>
      </w:r>
      <w:hyperlink r:id="rId21" w:history="1">
        <w:r w:rsidRPr="00C07887">
          <w:rPr>
            <w:rStyle w:val="Hyperlink"/>
          </w:rPr>
          <w:t>http://</w:t>
        </w:r>
        <w:proofErr w:type="spellStart"/>
        <w:r w:rsidRPr="00C07887">
          <w:rPr>
            <w:rStyle w:val="Hyperlink"/>
          </w:rPr>
          <w:t>www.abs.gov.au</w:t>
        </w:r>
        <w:proofErr w:type="spellEnd"/>
        <w:r w:rsidRPr="00C07887">
          <w:rPr>
            <w:rStyle w:val="Hyperlink"/>
          </w:rPr>
          <w:t>/</w:t>
        </w:r>
        <w:proofErr w:type="spellStart"/>
        <w:r w:rsidRPr="00C07887">
          <w:rPr>
            <w:rStyle w:val="Hyperlink"/>
          </w:rPr>
          <w:t>ausstats</w:t>
        </w:r>
        <w:proofErr w:type="spellEnd"/>
        <w:r w:rsidRPr="00C07887">
          <w:rPr>
            <w:rStyle w:val="Hyperlink"/>
          </w:rPr>
          <w:t>/abs@.</w:t>
        </w:r>
        <w:proofErr w:type="spellStart"/>
        <w:r w:rsidRPr="00C07887">
          <w:rPr>
            <w:rStyle w:val="Hyperlink"/>
          </w:rPr>
          <w:t>nsf</w:t>
        </w:r>
        <w:proofErr w:type="spellEnd"/>
        <w:r w:rsidRPr="00C07887">
          <w:rPr>
            <w:rStyle w:val="Hyperlink"/>
          </w:rPr>
          <w:t>/mf/1406.0.55.003</w:t>
        </w:r>
      </w:hyperlink>
    </w:p>
    <w:p w:rsidR="00B82A43" w:rsidRDefault="00B82A43" w:rsidP="009E5F7C">
      <w:pPr>
        <w:rPr>
          <w:rStyle w:val="Hyperlink"/>
        </w:rPr>
      </w:pPr>
      <w:r w:rsidRPr="007E6E50">
        <w:t>Australian Bureau of</w:t>
      </w:r>
      <w:r>
        <w:t xml:space="preserve"> Statistics (ABS), 2015,</w:t>
      </w:r>
      <w:r w:rsidRPr="007E6E50">
        <w:rPr>
          <w:lang w:val="en"/>
        </w:rPr>
        <w:t xml:space="preserve"> </w:t>
      </w:r>
      <w:proofErr w:type="spellStart"/>
      <w:r w:rsidRPr="00E06C8A">
        <w:rPr>
          <w:i/>
          <w:lang w:val="en"/>
        </w:rPr>
        <w:t>Microdata</w:t>
      </w:r>
      <w:proofErr w:type="spellEnd"/>
      <w:r w:rsidRPr="00E06C8A">
        <w:rPr>
          <w:i/>
          <w:lang w:val="en"/>
        </w:rPr>
        <w:t>: Outcomes from Vocational Education and Training i</w:t>
      </w:r>
      <w:r>
        <w:rPr>
          <w:i/>
          <w:lang w:val="en"/>
        </w:rPr>
        <w:t>n Schools, Australia, 2006-2011</w:t>
      </w:r>
      <w:r w:rsidRPr="00104A46">
        <w:rPr>
          <w:lang w:val="en"/>
        </w:rPr>
        <w:t xml:space="preserve">, cat. no. 4260.0.55.001, </w:t>
      </w:r>
      <w:r>
        <w:t xml:space="preserve">ABS, Canberra, </w:t>
      </w:r>
      <w:hyperlink r:id="rId22" w:history="1">
        <w:r w:rsidRPr="00935E66">
          <w:rPr>
            <w:rStyle w:val="Hyperlink"/>
          </w:rPr>
          <w:t>http://www.abs.gov.au/AUSSTATS/abs@.nsf/Lookup/4260.0.55.001Explanatory%20Notes302006-2011?OpenDocument</w:t>
        </w:r>
      </w:hyperlink>
    </w:p>
    <w:p w:rsidR="00B82A43" w:rsidRDefault="00B82A43" w:rsidP="009E5F7C">
      <w:pPr>
        <w:rPr>
          <w:rStyle w:val="Hyperlink"/>
        </w:rPr>
      </w:pPr>
      <w:r w:rsidRPr="007E6E50">
        <w:t>Australian Bureau of</w:t>
      </w:r>
      <w:r>
        <w:t xml:space="preserve"> Statistics (ABS), 2015,</w:t>
      </w:r>
      <w:r w:rsidRPr="007E6E50">
        <w:rPr>
          <w:lang w:val="en"/>
        </w:rPr>
        <w:t xml:space="preserve"> </w:t>
      </w:r>
      <w:proofErr w:type="spellStart"/>
      <w:r w:rsidRPr="00A64140">
        <w:rPr>
          <w:i/>
          <w:lang w:val="en"/>
        </w:rPr>
        <w:t>Microdata</w:t>
      </w:r>
      <w:proofErr w:type="spellEnd"/>
      <w:r w:rsidRPr="00A64140">
        <w:rPr>
          <w:i/>
          <w:lang w:val="en"/>
        </w:rPr>
        <w:t>:</w:t>
      </w:r>
      <w:r>
        <w:rPr>
          <w:lang w:val="en"/>
        </w:rPr>
        <w:t xml:space="preserve"> </w:t>
      </w:r>
      <w:r w:rsidRPr="00A64140">
        <w:rPr>
          <w:i/>
          <w:lang w:val="en"/>
        </w:rPr>
        <w:t>Childhood Education and Care, Australia, June 2</w:t>
      </w:r>
      <w:r>
        <w:rPr>
          <w:i/>
          <w:lang w:val="en"/>
        </w:rPr>
        <w:t>014</w:t>
      </w:r>
      <w:r w:rsidRPr="00104A46">
        <w:rPr>
          <w:lang w:val="en"/>
        </w:rPr>
        <w:t>, cat. no. 4402.0</w:t>
      </w:r>
      <w:r w:rsidRPr="00104A46">
        <w:t>.55.001</w:t>
      </w:r>
      <w:r w:rsidRPr="00104A46">
        <w:rPr>
          <w:iCs/>
        </w:rPr>
        <w:t>,</w:t>
      </w:r>
      <w:r w:rsidRPr="007E6E50">
        <w:rPr>
          <w:i/>
          <w:iCs/>
        </w:rPr>
        <w:t xml:space="preserve"> </w:t>
      </w:r>
      <w:r>
        <w:t xml:space="preserve">ABS, Canberra, </w:t>
      </w:r>
      <w:hyperlink r:id="rId23" w:history="1">
        <w:r w:rsidRPr="0078410C">
          <w:rPr>
            <w:rStyle w:val="Hyperlink"/>
          </w:rPr>
          <w:t>http://www.abs.gov.au/ausstats/abs@.nsf/PrimaryMainFeatures/4402.0.55.001?OpenDocument</w:t>
        </w:r>
      </w:hyperlink>
    </w:p>
    <w:p w:rsidR="00987B41" w:rsidRDefault="007D3315" w:rsidP="009E5F7C">
      <w:r>
        <w:t>Education and Training Statistics</w:t>
      </w:r>
      <w:r w:rsidR="00E471BD">
        <w:t xml:space="preserve"> Section</w:t>
      </w:r>
      <w:r w:rsidR="00E471BD">
        <w:br/>
      </w:r>
      <w:r w:rsidR="00B82A43">
        <w:t>Australian Bureau of Statistics</w:t>
      </w:r>
    </w:p>
    <w:sectPr w:rsidR="00987B41">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5A" w:rsidRDefault="00543B5A" w:rsidP="00EB5D57">
      <w:pPr>
        <w:spacing w:after="0" w:line="240" w:lineRule="auto"/>
      </w:pPr>
      <w:r>
        <w:separator/>
      </w:r>
    </w:p>
  </w:endnote>
  <w:endnote w:type="continuationSeparator" w:id="0">
    <w:p w:rsidR="00543B5A" w:rsidRDefault="00543B5A" w:rsidP="00EB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401301"/>
      <w:docPartObj>
        <w:docPartGallery w:val="Page Numbers (Bottom of Page)"/>
        <w:docPartUnique/>
      </w:docPartObj>
    </w:sdtPr>
    <w:sdtEndPr>
      <w:rPr>
        <w:noProof/>
      </w:rPr>
    </w:sdtEndPr>
    <w:sdtContent>
      <w:p w:rsidR="0073542A" w:rsidRDefault="0073542A">
        <w:pPr>
          <w:pStyle w:val="Footer"/>
          <w:jc w:val="center"/>
        </w:pPr>
        <w:r>
          <w:fldChar w:fldCharType="begin"/>
        </w:r>
        <w:r>
          <w:instrText xml:space="preserve"> PAGE   \* MERGEFORMAT </w:instrText>
        </w:r>
        <w:r>
          <w:fldChar w:fldCharType="separate"/>
        </w:r>
        <w:r w:rsidR="00C824DA">
          <w:rPr>
            <w:noProof/>
          </w:rPr>
          <w:t>1</w:t>
        </w:r>
        <w:r>
          <w:rPr>
            <w:noProof/>
          </w:rPr>
          <w:fldChar w:fldCharType="end"/>
        </w:r>
      </w:p>
    </w:sdtContent>
  </w:sdt>
  <w:p w:rsidR="0073542A" w:rsidRDefault="00735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5A" w:rsidRDefault="00543B5A" w:rsidP="00EB5D57">
      <w:pPr>
        <w:spacing w:after="0" w:line="240" w:lineRule="auto"/>
      </w:pPr>
      <w:r>
        <w:separator/>
      </w:r>
    </w:p>
  </w:footnote>
  <w:footnote w:type="continuationSeparator" w:id="0">
    <w:p w:rsidR="00543B5A" w:rsidRDefault="00543B5A" w:rsidP="00EB5D57">
      <w:pPr>
        <w:spacing w:after="0" w:line="240" w:lineRule="auto"/>
      </w:pPr>
      <w:r>
        <w:continuationSeparator/>
      </w:r>
    </w:p>
  </w:footnote>
  <w:footnote w:id="1">
    <w:p w:rsidR="0073542A" w:rsidRDefault="0073542A">
      <w:pPr>
        <w:pStyle w:val="FootnoteText"/>
      </w:pPr>
      <w:r>
        <w:rPr>
          <w:rStyle w:val="FootnoteReference"/>
        </w:rPr>
        <w:footnoteRef/>
      </w:r>
      <w:r>
        <w:t xml:space="preserve"> See Australian Bureau of Statistics, 2016, </w:t>
      </w:r>
      <w:r w:rsidRPr="00481159">
        <w:t xml:space="preserve">Responsible Use of ABS </w:t>
      </w:r>
      <w:proofErr w:type="spellStart"/>
      <w:r w:rsidRPr="00481159">
        <w:t>Microdata</w:t>
      </w:r>
      <w:proofErr w:type="spellEnd"/>
      <w:r w:rsidRPr="00481159">
        <w:t>, User Guide</w:t>
      </w:r>
      <w:r>
        <w:t xml:space="preserve">, cat. no. </w:t>
      </w:r>
      <w:r w:rsidRPr="00481159">
        <w:t>1406.0.55.003</w:t>
      </w:r>
      <w:r>
        <w:t>, ABS, Canberra</w:t>
      </w:r>
    </w:p>
    <w:p w:rsidR="0073542A" w:rsidRDefault="008B18CE">
      <w:pPr>
        <w:pStyle w:val="FootnoteText"/>
      </w:pPr>
      <w:hyperlink r:id="rId1" w:history="1">
        <w:r w:rsidR="0073542A" w:rsidRPr="002C07AD">
          <w:rPr>
            <w:rStyle w:val="Hyperlink"/>
          </w:rPr>
          <w:t>http://</w:t>
        </w:r>
        <w:proofErr w:type="spellStart"/>
        <w:r w:rsidR="0073542A" w:rsidRPr="002C07AD">
          <w:rPr>
            <w:rStyle w:val="Hyperlink"/>
          </w:rPr>
          <w:t>www.abs.gov.au</w:t>
        </w:r>
        <w:proofErr w:type="spellEnd"/>
        <w:r w:rsidR="0073542A" w:rsidRPr="002C07AD">
          <w:rPr>
            <w:rStyle w:val="Hyperlink"/>
          </w:rPr>
          <w:t>/</w:t>
        </w:r>
        <w:proofErr w:type="spellStart"/>
        <w:r w:rsidR="0073542A" w:rsidRPr="002C07AD">
          <w:rPr>
            <w:rStyle w:val="Hyperlink"/>
          </w:rPr>
          <w:t>ausstats</w:t>
        </w:r>
        <w:proofErr w:type="spellEnd"/>
        <w:r w:rsidR="0073542A" w:rsidRPr="002C07AD">
          <w:rPr>
            <w:rStyle w:val="Hyperlink"/>
          </w:rPr>
          <w:t>/abs@.</w:t>
        </w:r>
        <w:proofErr w:type="spellStart"/>
        <w:r w:rsidR="0073542A" w:rsidRPr="002C07AD">
          <w:rPr>
            <w:rStyle w:val="Hyperlink"/>
          </w:rPr>
          <w:t>nsf</w:t>
        </w:r>
        <w:proofErr w:type="spellEnd"/>
        <w:r w:rsidR="0073542A" w:rsidRPr="002C07AD">
          <w:rPr>
            <w:rStyle w:val="Hyperlink"/>
          </w:rPr>
          <w:t>/mf/1406.0.55.003</w:t>
        </w:r>
      </w:hyperlink>
    </w:p>
    <w:p w:rsidR="0073542A" w:rsidRDefault="0073542A">
      <w:pPr>
        <w:pStyle w:val="FootnoteText"/>
      </w:pPr>
    </w:p>
  </w:footnote>
  <w:footnote w:id="2">
    <w:p w:rsidR="0073542A" w:rsidRDefault="0073542A">
      <w:pPr>
        <w:pStyle w:val="FootnoteText"/>
        <w:rPr>
          <w:lang w:val="en"/>
        </w:rPr>
      </w:pPr>
      <w:r>
        <w:rPr>
          <w:rStyle w:val="FootnoteReference"/>
        </w:rPr>
        <w:footnoteRef/>
      </w:r>
      <w:r>
        <w:t xml:space="preserve"> See Australian Bureau of Statistics, 2016, </w:t>
      </w:r>
      <w:proofErr w:type="spellStart"/>
      <w:r>
        <w:rPr>
          <w:lang w:val="en"/>
        </w:rPr>
        <w:t>Microdata</w:t>
      </w:r>
      <w:proofErr w:type="spellEnd"/>
      <w:r>
        <w:rPr>
          <w:lang w:val="en"/>
        </w:rPr>
        <w:t xml:space="preserve">: Preschool Education, Australia, 2015, cat. no. 4240.0.55.003, ABS, Canberra, </w:t>
      </w:r>
      <w:hyperlink r:id="rId2" w:history="1">
        <w:r w:rsidRPr="003D3131">
          <w:rPr>
            <w:rStyle w:val="Hyperlink"/>
            <w:lang w:val="en"/>
          </w:rPr>
          <w:t>http://www.abs.gov.au/AUSSTATS/abs@.nsf/Lookup/4240.0.55.003Main+Features12015</w:t>
        </w:r>
      </w:hyperlink>
    </w:p>
    <w:p w:rsidR="0073542A" w:rsidRDefault="0073542A">
      <w:pPr>
        <w:pStyle w:val="FootnoteText"/>
      </w:pPr>
    </w:p>
  </w:footnote>
  <w:footnote w:id="3">
    <w:p w:rsidR="0073542A" w:rsidRDefault="0073542A">
      <w:pPr>
        <w:pStyle w:val="FootnoteText"/>
      </w:pPr>
      <w:r>
        <w:rPr>
          <w:rStyle w:val="FootnoteReference"/>
        </w:rPr>
        <w:footnoteRef/>
      </w:r>
      <w:r>
        <w:t xml:space="preserve"> See Australian Bureau of Statistics, 2015, </w:t>
      </w:r>
      <w:proofErr w:type="spellStart"/>
      <w:r w:rsidRPr="0014794E">
        <w:t>Microdata</w:t>
      </w:r>
      <w:proofErr w:type="spellEnd"/>
      <w:r w:rsidRPr="0014794E">
        <w:t>: Outcomes from Vocational Education and Training in Schools, Australia, 2006-2011</w:t>
      </w:r>
      <w:r>
        <w:t xml:space="preserve">, cat. no. 4260.0.55.001, ABS Canberra, </w:t>
      </w:r>
      <w:hyperlink r:id="rId3" w:history="1">
        <w:r w:rsidRPr="003D3131">
          <w:rPr>
            <w:rStyle w:val="Hyperlink"/>
          </w:rPr>
          <w:t>http://www.abs.gov.au/AUSSTATS/abs@.nsf/Lookup/4260.0.55.001Main+Features12006-2011</w:t>
        </w:r>
      </w:hyperlink>
    </w:p>
    <w:p w:rsidR="0073542A" w:rsidRDefault="0073542A">
      <w:pPr>
        <w:pStyle w:val="FootnoteText"/>
      </w:pPr>
    </w:p>
  </w:footnote>
  <w:footnote w:id="4">
    <w:p w:rsidR="0073542A" w:rsidRDefault="0073542A">
      <w:pPr>
        <w:pStyle w:val="FootnoteText"/>
      </w:pPr>
      <w:r>
        <w:rPr>
          <w:rStyle w:val="FootnoteReference"/>
        </w:rPr>
        <w:footnoteRef/>
      </w:r>
      <w:r>
        <w:t xml:space="preserve"> See </w:t>
      </w:r>
      <w:r w:rsidRPr="0045212B">
        <w:t xml:space="preserve">Australian Bureau of Statistics (ABS), 2014, </w:t>
      </w:r>
      <w:r w:rsidRPr="00AC3772">
        <w:rPr>
          <w:i/>
        </w:rPr>
        <w:t>Educational outcomes, experimental estimates, Tasmania, 2006-2013</w:t>
      </w:r>
      <w:r w:rsidRPr="0045212B">
        <w:t xml:space="preserve">, cat. no. 4261.6, ABS, Canberra, </w:t>
      </w:r>
      <w:hyperlink r:id="rId4" w:history="1">
        <w:r w:rsidRPr="004D0AAE">
          <w:rPr>
            <w:rStyle w:val="Hyperlink"/>
          </w:rPr>
          <w:t>http://www.abs.gov.au/ausstats/abs@.nsf/PrimaryMainFeatures/4261.6?OpenDocument</w:t>
        </w:r>
      </w:hyperlink>
      <w:r>
        <w:t xml:space="preserve"> and </w:t>
      </w:r>
    </w:p>
    <w:p w:rsidR="0073542A" w:rsidRDefault="0073542A">
      <w:pPr>
        <w:pStyle w:val="FootnoteText"/>
      </w:pPr>
      <w:r w:rsidRPr="0045212B">
        <w:t xml:space="preserve">Australian Bureau of Statistics (ABS), 2014, </w:t>
      </w:r>
      <w:r w:rsidRPr="00AC3772">
        <w:rPr>
          <w:i/>
        </w:rPr>
        <w:t xml:space="preserve">Educational outcomes, experimental estimates, </w:t>
      </w:r>
      <w:r>
        <w:rPr>
          <w:i/>
        </w:rPr>
        <w:t xml:space="preserve">Queensland, </w:t>
      </w:r>
      <w:r w:rsidRPr="00AC3772">
        <w:rPr>
          <w:i/>
        </w:rPr>
        <w:t>201</w:t>
      </w:r>
      <w:r>
        <w:rPr>
          <w:i/>
        </w:rPr>
        <w:t>1</w:t>
      </w:r>
      <w:r w:rsidRPr="0045212B">
        <w:t>, cat. no. 4261.</w:t>
      </w:r>
      <w:r>
        <w:t>3</w:t>
      </w:r>
      <w:r w:rsidRPr="0045212B">
        <w:t>, ABS, Canberra,</w:t>
      </w:r>
      <w:r>
        <w:t xml:space="preserve"> </w:t>
      </w:r>
      <w:hyperlink r:id="rId5" w:history="1">
        <w:r w:rsidRPr="003D3131">
          <w:rPr>
            <w:rStyle w:val="Hyperlink"/>
          </w:rPr>
          <w:t>http://www.abs.gov.au/ausstats/abs@.nsf/PrimaryMainFeatures/4261.3?OpenDocument</w:t>
        </w:r>
      </w:hyperlink>
    </w:p>
    <w:p w:rsidR="0073542A" w:rsidRDefault="0073542A">
      <w:pPr>
        <w:pStyle w:val="FootnoteText"/>
      </w:pPr>
    </w:p>
  </w:footnote>
  <w:footnote w:id="5">
    <w:p w:rsidR="0073542A" w:rsidRDefault="0073542A">
      <w:pPr>
        <w:pStyle w:val="FootnoteText"/>
      </w:pPr>
      <w:r>
        <w:rPr>
          <w:rStyle w:val="FootnoteReference"/>
        </w:rPr>
        <w:footnoteRef/>
      </w:r>
      <w:r>
        <w:t xml:space="preserve"> The Transforming Education and Training Information in Australia (</w:t>
      </w:r>
      <w:proofErr w:type="spellStart"/>
      <w:r>
        <w:t>TETIA</w:t>
      </w:r>
      <w:proofErr w:type="spellEnd"/>
      <w:r>
        <w:t>) initiative included the development of a multi-year work program, improvement to the quality and coherence of information across sectors, and capability building in data linkage involving education data.  The initiative was developed on behalf of the Strategic Cross-sectoral Data Committee (</w:t>
      </w:r>
      <w:proofErr w:type="spellStart"/>
      <w:r>
        <w:t>SCDC</w:t>
      </w:r>
      <w:proofErr w:type="spellEnd"/>
      <w:r>
        <w:t>) for Early Childhood, Education and Training, through extensive consultation with education and training stakeholders and endorsed by Ministers of the Standing Council on School Education and Early Childhood (</w:t>
      </w:r>
      <w:proofErr w:type="spellStart"/>
      <w:r>
        <w:t>SCSEEC</w:t>
      </w:r>
      <w:proofErr w:type="spellEnd"/>
      <w:r>
        <w:t>) and Standing Council on Tertiary Education, Skills and Employment (</w:t>
      </w:r>
      <w:proofErr w:type="spellStart"/>
      <w:r>
        <w:t>SCOTESE</w:t>
      </w:r>
      <w:proofErr w:type="spellEnd"/>
      <w:r>
        <w:t>) in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6B0"/>
    <w:multiLevelType w:val="hybridMultilevel"/>
    <w:tmpl w:val="5D528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2F13CF"/>
    <w:multiLevelType w:val="hybridMultilevel"/>
    <w:tmpl w:val="276485A0"/>
    <w:lvl w:ilvl="0" w:tplc="0DDCEFDA">
      <w:start w:val="1"/>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9CD1133"/>
    <w:multiLevelType w:val="hybridMultilevel"/>
    <w:tmpl w:val="03B22132"/>
    <w:lvl w:ilvl="0" w:tplc="0C090001">
      <w:start w:val="1"/>
      <w:numFmt w:val="bullet"/>
      <w:lvlText w:val=""/>
      <w:lvlJc w:val="left"/>
      <w:pPr>
        <w:ind w:left="375" w:hanging="360"/>
      </w:pPr>
      <w:rPr>
        <w:rFonts w:ascii="Symbol" w:hAnsi="Symbol" w:hint="default"/>
      </w:rPr>
    </w:lvl>
    <w:lvl w:ilvl="1" w:tplc="0C090019" w:tentative="1">
      <w:start w:val="1"/>
      <w:numFmt w:val="lowerLetter"/>
      <w:lvlText w:val="%2."/>
      <w:lvlJc w:val="left"/>
      <w:pPr>
        <w:ind w:left="1095" w:hanging="360"/>
      </w:pPr>
    </w:lvl>
    <w:lvl w:ilvl="2" w:tplc="0C09001B" w:tentative="1">
      <w:start w:val="1"/>
      <w:numFmt w:val="lowerRoman"/>
      <w:lvlText w:val="%3."/>
      <w:lvlJc w:val="right"/>
      <w:pPr>
        <w:ind w:left="1815" w:hanging="180"/>
      </w:pPr>
    </w:lvl>
    <w:lvl w:ilvl="3" w:tplc="0C09000F" w:tentative="1">
      <w:start w:val="1"/>
      <w:numFmt w:val="decimal"/>
      <w:lvlText w:val="%4."/>
      <w:lvlJc w:val="left"/>
      <w:pPr>
        <w:ind w:left="2535" w:hanging="360"/>
      </w:pPr>
    </w:lvl>
    <w:lvl w:ilvl="4" w:tplc="0C090019" w:tentative="1">
      <w:start w:val="1"/>
      <w:numFmt w:val="lowerLetter"/>
      <w:lvlText w:val="%5."/>
      <w:lvlJc w:val="left"/>
      <w:pPr>
        <w:ind w:left="3255" w:hanging="360"/>
      </w:pPr>
    </w:lvl>
    <w:lvl w:ilvl="5" w:tplc="0C09001B" w:tentative="1">
      <w:start w:val="1"/>
      <w:numFmt w:val="lowerRoman"/>
      <w:lvlText w:val="%6."/>
      <w:lvlJc w:val="right"/>
      <w:pPr>
        <w:ind w:left="3975" w:hanging="180"/>
      </w:pPr>
    </w:lvl>
    <w:lvl w:ilvl="6" w:tplc="0C09000F" w:tentative="1">
      <w:start w:val="1"/>
      <w:numFmt w:val="decimal"/>
      <w:lvlText w:val="%7."/>
      <w:lvlJc w:val="left"/>
      <w:pPr>
        <w:ind w:left="4695" w:hanging="360"/>
      </w:pPr>
    </w:lvl>
    <w:lvl w:ilvl="7" w:tplc="0C090019" w:tentative="1">
      <w:start w:val="1"/>
      <w:numFmt w:val="lowerLetter"/>
      <w:lvlText w:val="%8."/>
      <w:lvlJc w:val="left"/>
      <w:pPr>
        <w:ind w:left="5415" w:hanging="360"/>
      </w:pPr>
    </w:lvl>
    <w:lvl w:ilvl="8" w:tplc="0C09001B" w:tentative="1">
      <w:start w:val="1"/>
      <w:numFmt w:val="lowerRoman"/>
      <w:lvlText w:val="%9."/>
      <w:lvlJc w:val="right"/>
      <w:pPr>
        <w:ind w:left="6135" w:hanging="180"/>
      </w:pPr>
    </w:lvl>
  </w:abstractNum>
  <w:abstractNum w:abstractNumId="3">
    <w:nsid w:val="26EA2590"/>
    <w:multiLevelType w:val="hybridMultilevel"/>
    <w:tmpl w:val="9CB689F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C016546"/>
    <w:multiLevelType w:val="hybridMultilevel"/>
    <w:tmpl w:val="16CCE05C"/>
    <w:lvl w:ilvl="0" w:tplc="0C09001B">
      <w:start w:val="1"/>
      <w:numFmt w:val="lowerRoman"/>
      <w:lvlText w:val="%1."/>
      <w:lvlJc w:val="righ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37B35C9"/>
    <w:multiLevelType w:val="hybridMultilevel"/>
    <w:tmpl w:val="1D82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A31D85"/>
    <w:multiLevelType w:val="hybridMultilevel"/>
    <w:tmpl w:val="3DD68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000724"/>
    <w:multiLevelType w:val="hybridMultilevel"/>
    <w:tmpl w:val="0F6050C2"/>
    <w:lvl w:ilvl="0" w:tplc="74045036">
      <w:start w:val="1"/>
      <w:numFmt w:val="decimal"/>
      <w:lvlText w:val="%1."/>
      <w:lvlJc w:val="left"/>
      <w:pPr>
        <w:ind w:left="770" w:hanging="360"/>
      </w:pPr>
      <w:rPr>
        <w:b w:val="0"/>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8">
    <w:nsid w:val="40D277DB"/>
    <w:multiLevelType w:val="hybridMultilevel"/>
    <w:tmpl w:val="B13A8504"/>
    <w:lvl w:ilvl="0" w:tplc="0C090001">
      <w:start w:val="1"/>
      <w:numFmt w:val="bullet"/>
      <w:lvlText w:val=""/>
      <w:lvlJc w:val="left"/>
      <w:pPr>
        <w:ind w:left="375" w:hanging="360"/>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abstractNum w:abstractNumId="9">
    <w:nsid w:val="46764FBB"/>
    <w:multiLevelType w:val="hybridMultilevel"/>
    <w:tmpl w:val="E01AC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2CD0F17"/>
    <w:multiLevelType w:val="hybridMultilevel"/>
    <w:tmpl w:val="3D14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9D312B7"/>
    <w:multiLevelType w:val="hybridMultilevel"/>
    <w:tmpl w:val="9A540854"/>
    <w:lvl w:ilvl="0" w:tplc="68C492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E5205E5"/>
    <w:multiLevelType w:val="hybridMultilevel"/>
    <w:tmpl w:val="F4A60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10"/>
  </w:num>
  <w:num w:numId="4">
    <w:abstractNumId w:val="11"/>
  </w:num>
  <w:num w:numId="5">
    <w:abstractNumId w:val="12"/>
  </w:num>
  <w:num w:numId="6">
    <w:abstractNumId w:val="2"/>
  </w:num>
  <w:num w:numId="7">
    <w:abstractNumId w:val="8"/>
  </w:num>
  <w:num w:numId="8">
    <w:abstractNumId w:val="7"/>
  </w:num>
  <w:num w:numId="9">
    <w:abstractNumId w:val="9"/>
  </w:num>
  <w:num w:numId="10">
    <w:abstractNumId w:val="5"/>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3b478b5-30ec-4237-9321-7f00cb305325"/>
  </w:docVars>
  <w:rsids>
    <w:rsidRoot w:val="001A2FCB"/>
    <w:rsid w:val="00000400"/>
    <w:rsid w:val="00004603"/>
    <w:rsid w:val="0001599F"/>
    <w:rsid w:val="00025312"/>
    <w:rsid w:val="0003048B"/>
    <w:rsid w:val="00040E39"/>
    <w:rsid w:val="00072852"/>
    <w:rsid w:val="00081762"/>
    <w:rsid w:val="00083C54"/>
    <w:rsid w:val="000859BD"/>
    <w:rsid w:val="00090DB2"/>
    <w:rsid w:val="000A65D6"/>
    <w:rsid w:val="000A7C4E"/>
    <w:rsid w:val="000B46ED"/>
    <w:rsid w:val="000C6C91"/>
    <w:rsid w:val="000D6CFC"/>
    <w:rsid w:val="001001C6"/>
    <w:rsid w:val="001047F7"/>
    <w:rsid w:val="00104A46"/>
    <w:rsid w:val="001075DE"/>
    <w:rsid w:val="00114F6E"/>
    <w:rsid w:val="0011577C"/>
    <w:rsid w:val="0011592B"/>
    <w:rsid w:val="001252ED"/>
    <w:rsid w:val="00126E1C"/>
    <w:rsid w:val="00135C69"/>
    <w:rsid w:val="001433C0"/>
    <w:rsid w:val="0014794E"/>
    <w:rsid w:val="001909FF"/>
    <w:rsid w:val="00192849"/>
    <w:rsid w:val="00195A0B"/>
    <w:rsid w:val="001A2FCB"/>
    <w:rsid w:val="001B0440"/>
    <w:rsid w:val="001B070B"/>
    <w:rsid w:val="001B2C22"/>
    <w:rsid w:val="001B4064"/>
    <w:rsid w:val="001B5CBF"/>
    <w:rsid w:val="001B631E"/>
    <w:rsid w:val="001C330A"/>
    <w:rsid w:val="001D5B5D"/>
    <w:rsid w:val="001D739B"/>
    <w:rsid w:val="001E3097"/>
    <w:rsid w:val="0020730A"/>
    <w:rsid w:val="00210B23"/>
    <w:rsid w:val="00212994"/>
    <w:rsid w:val="00216A4E"/>
    <w:rsid w:val="0022032E"/>
    <w:rsid w:val="00235B9C"/>
    <w:rsid w:val="00246D11"/>
    <w:rsid w:val="00247BEF"/>
    <w:rsid w:val="002609FE"/>
    <w:rsid w:val="00276CEB"/>
    <w:rsid w:val="00280A7A"/>
    <w:rsid w:val="00285825"/>
    <w:rsid w:val="00291CD3"/>
    <w:rsid w:val="002A3071"/>
    <w:rsid w:val="002B43FA"/>
    <w:rsid w:val="002B63DF"/>
    <w:rsid w:val="002B7717"/>
    <w:rsid w:val="002C3176"/>
    <w:rsid w:val="002D5249"/>
    <w:rsid w:val="002D70AD"/>
    <w:rsid w:val="002E78E3"/>
    <w:rsid w:val="0030022B"/>
    <w:rsid w:val="003011FE"/>
    <w:rsid w:val="0030602D"/>
    <w:rsid w:val="003062B5"/>
    <w:rsid w:val="00314F54"/>
    <w:rsid w:val="0031567B"/>
    <w:rsid w:val="0031725E"/>
    <w:rsid w:val="003252BC"/>
    <w:rsid w:val="00336008"/>
    <w:rsid w:val="003412F4"/>
    <w:rsid w:val="003433A3"/>
    <w:rsid w:val="00347788"/>
    <w:rsid w:val="00371582"/>
    <w:rsid w:val="003722B8"/>
    <w:rsid w:val="00380F98"/>
    <w:rsid w:val="00386647"/>
    <w:rsid w:val="00391E00"/>
    <w:rsid w:val="00393C99"/>
    <w:rsid w:val="003A17A2"/>
    <w:rsid w:val="003B2DC5"/>
    <w:rsid w:val="003C23B7"/>
    <w:rsid w:val="003C7EDE"/>
    <w:rsid w:val="003E798B"/>
    <w:rsid w:val="00403DE3"/>
    <w:rsid w:val="00413953"/>
    <w:rsid w:val="004347E7"/>
    <w:rsid w:val="00441463"/>
    <w:rsid w:val="00445672"/>
    <w:rsid w:val="0045212B"/>
    <w:rsid w:val="00454579"/>
    <w:rsid w:val="0045716A"/>
    <w:rsid w:val="00457E0B"/>
    <w:rsid w:val="00471925"/>
    <w:rsid w:val="00481159"/>
    <w:rsid w:val="004827B5"/>
    <w:rsid w:val="00492DC0"/>
    <w:rsid w:val="004958C7"/>
    <w:rsid w:val="004A4E59"/>
    <w:rsid w:val="004E0039"/>
    <w:rsid w:val="004E0A8A"/>
    <w:rsid w:val="004E4036"/>
    <w:rsid w:val="00500391"/>
    <w:rsid w:val="005155B2"/>
    <w:rsid w:val="00517AC0"/>
    <w:rsid w:val="00543B5A"/>
    <w:rsid w:val="00547A2C"/>
    <w:rsid w:val="00550B58"/>
    <w:rsid w:val="00551C70"/>
    <w:rsid w:val="005520D3"/>
    <w:rsid w:val="0055723F"/>
    <w:rsid w:val="00562549"/>
    <w:rsid w:val="005630C7"/>
    <w:rsid w:val="00570543"/>
    <w:rsid w:val="0057416A"/>
    <w:rsid w:val="005769E3"/>
    <w:rsid w:val="00586609"/>
    <w:rsid w:val="00595DD1"/>
    <w:rsid w:val="005A340A"/>
    <w:rsid w:val="005F3615"/>
    <w:rsid w:val="00601BA6"/>
    <w:rsid w:val="006047CF"/>
    <w:rsid w:val="0060766D"/>
    <w:rsid w:val="00611D26"/>
    <w:rsid w:val="00616F08"/>
    <w:rsid w:val="00624795"/>
    <w:rsid w:val="00627B87"/>
    <w:rsid w:val="006362CA"/>
    <w:rsid w:val="006414A1"/>
    <w:rsid w:val="00644E88"/>
    <w:rsid w:val="00650193"/>
    <w:rsid w:val="00652F15"/>
    <w:rsid w:val="00657C7D"/>
    <w:rsid w:val="00680D22"/>
    <w:rsid w:val="006953B9"/>
    <w:rsid w:val="006B0A5A"/>
    <w:rsid w:val="006D1E32"/>
    <w:rsid w:val="006D4885"/>
    <w:rsid w:val="006F4C8B"/>
    <w:rsid w:val="006F5A27"/>
    <w:rsid w:val="00704219"/>
    <w:rsid w:val="00704E62"/>
    <w:rsid w:val="007141E8"/>
    <w:rsid w:val="007150F5"/>
    <w:rsid w:val="00722BCE"/>
    <w:rsid w:val="007238C4"/>
    <w:rsid w:val="0073542A"/>
    <w:rsid w:val="0073549A"/>
    <w:rsid w:val="00735B2B"/>
    <w:rsid w:val="00761756"/>
    <w:rsid w:val="00765B03"/>
    <w:rsid w:val="0076678C"/>
    <w:rsid w:val="0076787A"/>
    <w:rsid w:val="007815D7"/>
    <w:rsid w:val="007B45C7"/>
    <w:rsid w:val="007B68EA"/>
    <w:rsid w:val="007C1A9A"/>
    <w:rsid w:val="007C2112"/>
    <w:rsid w:val="007C3AA4"/>
    <w:rsid w:val="007D3315"/>
    <w:rsid w:val="007D7E3F"/>
    <w:rsid w:val="007E4BF9"/>
    <w:rsid w:val="007E6372"/>
    <w:rsid w:val="007E6473"/>
    <w:rsid w:val="007E6E50"/>
    <w:rsid w:val="007E7930"/>
    <w:rsid w:val="00800D82"/>
    <w:rsid w:val="008178D9"/>
    <w:rsid w:val="00822108"/>
    <w:rsid w:val="00824F1F"/>
    <w:rsid w:val="00826BAB"/>
    <w:rsid w:val="0083272F"/>
    <w:rsid w:val="0084047A"/>
    <w:rsid w:val="0084561B"/>
    <w:rsid w:val="00850D4E"/>
    <w:rsid w:val="0086002B"/>
    <w:rsid w:val="0086104C"/>
    <w:rsid w:val="008658B9"/>
    <w:rsid w:val="00873D69"/>
    <w:rsid w:val="00880E58"/>
    <w:rsid w:val="00885E58"/>
    <w:rsid w:val="00887981"/>
    <w:rsid w:val="0089765D"/>
    <w:rsid w:val="008B6E4C"/>
    <w:rsid w:val="008B79F1"/>
    <w:rsid w:val="008D4E1D"/>
    <w:rsid w:val="008E2E79"/>
    <w:rsid w:val="008F1914"/>
    <w:rsid w:val="008F1B59"/>
    <w:rsid w:val="008F2DA0"/>
    <w:rsid w:val="00901025"/>
    <w:rsid w:val="00901204"/>
    <w:rsid w:val="00903725"/>
    <w:rsid w:val="00906F14"/>
    <w:rsid w:val="00915A40"/>
    <w:rsid w:val="00934E0A"/>
    <w:rsid w:val="00946B69"/>
    <w:rsid w:val="009530DD"/>
    <w:rsid w:val="00960661"/>
    <w:rsid w:val="00963907"/>
    <w:rsid w:val="009649D3"/>
    <w:rsid w:val="0096667E"/>
    <w:rsid w:val="0097251A"/>
    <w:rsid w:val="00980801"/>
    <w:rsid w:val="00981220"/>
    <w:rsid w:val="00987B41"/>
    <w:rsid w:val="009A0DE3"/>
    <w:rsid w:val="009B01AA"/>
    <w:rsid w:val="009C195D"/>
    <w:rsid w:val="009C1B04"/>
    <w:rsid w:val="009C74B9"/>
    <w:rsid w:val="009E4C8A"/>
    <w:rsid w:val="009E5F7C"/>
    <w:rsid w:val="00A024B8"/>
    <w:rsid w:val="00A03166"/>
    <w:rsid w:val="00A0320A"/>
    <w:rsid w:val="00A033BE"/>
    <w:rsid w:val="00A35769"/>
    <w:rsid w:val="00A42E4D"/>
    <w:rsid w:val="00A43523"/>
    <w:rsid w:val="00A442BD"/>
    <w:rsid w:val="00A61A26"/>
    <w:rsid w:val="00A640E1"/>
    <w:rsid w:val="00A64140"/>
    <w:rsid w:val="00A66865"/>
    <w:rsid w:val="00A77D7A"/>
    <w:rsid w:val="00A8087A"/>
    <w:rsid w:val="00AA7142"/>
    <w:rsid w:val="00AB119B"/>
    <w:rsid w:val="00AB447E"/>
    <w:rsid w:val="00AC3772"/>
    <w:rsid w:val="00AD03B3"/>
    <w:rsid w:val="00AD1AF0"/>
    <w:rsid w:val="00AD2F20"/>
    <w:rsid w:val="00AD426D"/>
    <w:rsid w:val="00AE64B2"/>
    <w:rsid w:val="00AF04EF"/>
    <w:rsid w:val="00AF1AD4"/>
    <w:rsid w:val="00AF29A4"/>
    <w:rsid w:val="00B275AD"/>
    <w:rsid w:val="00B34DFC"/>
    <w:rsid w:val="00B44A5E"/>
    <w:rsid w:val="00B5290C"/>
    <w:rsid w:val="00B555D8"/>
    <w:rsid w:val="00B67A59"/>
    <w:rsid w:val="00B70C6E"/>
    <w:rsid w:val="00B777F8"/>
    <w:rsid w:val="00B81E5A"/>
    <w:rsid w:val="00B82A43"/>
    <w:rsid w:val="00B856D9"/>
    <w:rsid w:val="00BB4027"/>
    <w:rsid w:val="00BB72C6"/>
    <w:rsid w:val="00BC2DFE"/>
    <w:rsid w:val="00BC53B2"/>
    <w:rsid w:val="00BC5426"/>
    <w:rsid w:val="00BF34BF"/>
    <w:rsid w:val="00BF5387"/>
    <w:rsid w:val="00BF753D"/>
    <w:rsid w:val="00C02562"/>
    <w:rsid w:val="00C073C4"/>
    <w:rsid w:val="00C109C2"/>
    <w:rsid w:val="00C120C2"/>
    <w:rsid w:val="00C1751A"/>
    <w:rsid w:val="00C269D0"/>
    <w:rsid w:val="00C31590"/>
    <w:rsid w:val="00C34B81"/>
    <w:rsid w:val="00C53B22"/>
    <w:rsid w:val="00C54DB6"/>
    <w:rsid w:val="00C63448"/>
    <w:rsid w:val="00C67E0A"/>
    <w:rsid w:val="00C721DD"/>
    <w:rsid w:val="00C824DA"/>
    <w:rsid w:val="00C9236C"/>
    <w:rsid w:val="00CA13EC"/>
    <w:rsid w:val="00CC0242"/>
    <w:rsid w:val="00CC485F"/>
    <w:rsid w:val="00CE15E3"/>
    <w:rsid w:val="00CE19E2"/>
    <w:rsid w:val="00CE5C3B"/>
    <w:rsid w:val="00CE7408"/>
    <w:rsid w:val="00CF01A6"/>
    <w:rsid w:val="00D16632"/>
    <w:rsid w:val="00D213B1"/>
    <w:rsid w:val="00D32AB5"/>
    <w:rsid w:val="00D35E7E"/>
    <w:rsid w:val="00D63EF1"/>
    <w:rsid w:val="00D64747"/>
    <w:rsid w:val="00D7524A"/>
    <w:rsid w:val="00D87FDC"/>
    <w:rsid w:val="00D95D95"/>
    <w:rsid w:val="00DA0723"/>
    <w:rsid w:val="00DA60D9"/>
    <w:rsid w:val="00DB3022"/>
    <w:rsid w:val="00DC37A6"/>
    <w:rsid w:val="00DC642C"/>
    <w:rsid w:val="00DD4E41"/>
    <w:rsid w:val="00DD7C20"/>
    <w:rsid w:val="00DE2CBD"/>
    <w:rsid w:val="00DE7386"/>
    <w:rsid w:val="00DF52D6"/>
    <w:rsid w:val="00E02CFA"/>
    <w:rsid w:val="00E04E49"/>
    <w:rsid w:val="00E06732"/>
    <w:rsid w:val="00E06C8A"/>
    <w:rsid w:val="00E10185"/>
    <w:rsid w:val="00E1285E"/>
    <w:rsid w:val="00E133D0"/>
    <w:rsid w:val="00E15A02"/>
    <w:rsid w:val="00E1753B"/>
    <w:rsid w:val="00E2265F"/>
    <w:rsid w:val="00E31FAF"/>
    <w:rsid w:val="00E4244F"/>
    <w:rsid w:val="00E42831"/>
    <w:rsid w:val="00E434DC"/>
    <w:rsid w:val="00E471BD"/>
    <w:rsid w:val="00E72164"/>
    <w:rsid w:val="00E74C49"/>
    <w:rsid w:val="00E8444F"/>
    <w:rsid w:val="00E84A5F"/>
    <w:rsid w:val="00E84B80"/>
    <w:rsid w:val="00E93959"/>
    <w:rsid w:val="00EA7318"/>
    <w:rsid w:val="00EB5D57"/>
    <w:rsid w:val="00EC3F79"/>
    <w:rsid w:val="00EC44CE"/>
    <w:rsid w:val="00EE056A"/>
    <w:rsid w:val="00EE20FC"/>
    <w:rsid w:val="00F00A32"/>
    <w:rsid w:val="00F134EF"/>
    <w:rsid w:val="00F21C9A"/>
    <w:rsid w:val="00F30655"/>
    <w:rsid w:val="00F35D05"/>
    <w:rsid w:val="00F54250"/>
    <w:rsid w:val="00F57C9E"/>
    <w:rsid w:val="00F853E9"/>
    <w:rsid w:val="00F9007D"/>
    <w:rsid w:val="00FA37E1"/>
    <w:rsid w:val="00FB234A"/>
    <w:rsid w:val="00FB491C"/>
    <w:rsid w:val="00FD6F95"/>
    <w:rsid w:val="00FD744B"/>
    <w:rsid w:val="00FE3B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B6"/>
    <w:pPr>
      <w:ind w:left="720"/>
      <w:contextualSpacing/>
    </w:pPr>
  </w:style>
  <w:style w:type="paragraph" w:styleId="BalloonText">
    <w:name w:val="Balloon Text"/>
    <w:basedOn w:val="Normal"/>
    <w:link w:val="BalloonTextChar"/>
    <w:uiPriority w:val="99"/>
    <w:semiHidden/>
    <w:unhideWhenUsed/>
    <w:rsid w:val="00DA6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0D9"/>
    <w:rPr>
      <w:rFonts w:ascii="Tahoma" w:hAnsi="Tahoma" w:cs="Tahoma"/>
      <w:sz w:val="16"/>
      <w:szCs w:val="16"/>
    </w:rPr>
  </w:style>
  <w:style w:type="paragraph" w:styleId="Header">
    <w:name w:val="header"/>
    <w:basedOn w:val="Normal"/>
    <w:link w:val="HeaderChar"/>
    <w:uiPriority w:val="99"/>
    <w:unhideWhenUsed/>
    <w:rsid w:val="00EB5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57"/>
  </w:style>
  <w:style w:type="paragraph" w:styleId="Footer">
    <w:name w:val="footer"/>
    <w:basedOn w:val="Normal"/>
    <w:link w:val="FooterChar"/>
    <w:uiPriority w:val="99"/>
    <w:unhideWhenUsed/>
    <w:rsid w:val="00EB5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57"/>
  </w:style>
  <w:style w:type="character" w:styleId="CommentReference">
    <w:name w:val="annotation reference"/>
    <w:basedOn w:val="DefaultParagraphFont"/>
    <w:uiPriority w:val="99"/>
    <w:semiHidden/>
    <w:unhideWhenUsed/>
    <w:rsid w:val="0045716A"/>
    <w:rPr>
      <w:sz w:val="16"/>
      <w:szCs w:val="16"/>
    </w:rPr>
  </w:style>
  <w:style w:type="paragraph" w:styleId="CommentText">
    <w:name w:val="annotation text"/>
    <w:basedOn w:val="Normal"/>
    <w:link w:val="CommentTextChar"/>
    <w:uiPriority w:val="99"/>
    <w:unhideWhenUsed/>
    <w:rsid w:val="0045716A"/>
    <w:pPr>
      <w:spacing w:line="240" w:lineRule="auto"/>
    </w:pPr>
    <w:rPr>
      <w:sz w:val="20"/>
      <w:szCs w:val="20"/>
    </w:rPr>
  </w:style>
  <w:style w:type="character" w:customStyle="1" w:styleId="CommentTextChar">
    <w:name w:val="Comment Text Char"/>
    <w:basedOn w:val="DefaultParagraphFont"/>
    <w:link w:val="CommentText"/>
    <w:uiPriority w:val="99"/>
    <w:rsid w:val="0045716A"/>
    <w:rPr>
      <w:sz w:val="20"/>
      <w:szCs w:val="20"/>
    </w:rPr>
  </w:style>
  <w:style w:type="paragraph" w:styleId="CommentSubject">
    <w:name w:val="annotation subject"/>
    <w:basedOn w:val="CommentText"/>
    <w:next w:val="CommentText"/>
    <w:link w:val="CommentSubjectChar"/>
    <w:uiPriority w:val="99"/>
    <w:semiHidden/>
    <w:unhideWhenUsed/>
    <w:rsid w:val="0045716A"/>
    <w:rPr>
      <w:b/>
      <w:bCs/>
    </w:rPr>
  </w:style>
  <w:style w:type="character" w:customStyle="1" w:styleId="CommentSubjectChar">
    <w:name w:val="Comment Subject Char"/>
    <w:basedOn w:val="CommentTextChar"/>
    <w:link w:val="CommentSubject"/>
    <w:uiPriority w:val="99"/>
    <w:semiHidden/>
    <w:rsid w:val="0045716A"/>
    <w:rPr>
      <w:b/>
      <w:bCs/>
      <w:sz w:val="20"/>
      <w:szCs w:val="20"/>
    </w:rPr>
  </w:style>
  <w:style w:type="character" w:styleId="Hyperlink">
    <w:name w:val="Hyperlink"/>
    <w:basedOn w:val="DefaultParagraphFont"/>
    <w:uiPriority w:val="99"/>
    <w:unhideWhenUsed/>
    <w:rsid w:val="000C6C91"/>
    <w:rPr>
      <w:color w:val="0000FF" w:themeColor="hyperlink"/>
      <w:u w:val="single"/>
    </w:rPr>
  </w:style>
  <w:style w:type="paragraph" w:styleId="FootnoteText">
    <w:name w:val="footnote text"/>
    <w:basedOn w:val="Normal"/>
    <w:link w:val="FootnoteTextChar"/>
    <w:uiPriority w:val="99"/>
    <w:semiHidden/>
    <w:unhideWhenUsed/>
    <w:rsid w:val="00BF75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53D"/>
    <w:rPr>
      <w:sz w:val="20"/>
      <w:szCs w:val="20"/>
    </w:rPr>
  </w:style>
  <w:style w:type="character" w:styleId="FootnoteReference">
    <w:name w:val="footnote reference"/>
    <w:basedOn w:val="DefaultParagraphFont"/>
    <w:uiPriority w:val="99"/>
    <w:semiHidden/>
    <w:unhideWhenUsed/>
    <w:rsid w:val="00BF753D"/>
    <w:rPr>
      <w:vertAlign w:val="superscript"/>
    </w:rPr>
  </w:style>
  <w:style w:type="paragraph" w:styleId="BodyText2">
    <w:name w:val="Body Text 2"/>
    <w:basedOn w:val="Normal"/>
    <w:link w:val="BodyText2Char"/>
    <w:rsid w:val="001B631E"/>
    <w:pPr>
      <w:overflowPunct w:val="0"/>
      <w:autoSpaceDE w:val="0"/>
      <w:autoSpaceDN w:val="0"/>
      <w:adjustRightInd w:val="0"/>
      <w:spacing w:before="120" w:after="120" w:line="240" w:lineRule="auto"/>
      <w:jc w:val="both"/>
      <w:textAlignment w:val="baseline"/>
    </w:pPr>
    <w:rPr>
      <w:rFonts w:ascii="Arial" w:eastAsia="Times New Roman" w:hAnsi="Arial" w:cs="Times New Roman"/>
      <w:vanish/>
      <w:color w:val="FF0000"/>
      <w:szCs w:val="20"/>
    </w:rPr>
  </w:style>
  <w:style w:type="character" w:customStyle="1" w:styleId="BodyText2Char">
    <w:name w:val="Body Text 2 Char"/>
    <w:basedOn w:val="DefaultParagraphFont"/>
    <w:link w:val="BodyText2"/>
    <w:rsid w:val="001B631E"/>
    <w:rPr>
      <w:rFonts w:ascii="Arial" w:eastAsia="Times New Roman" w:hAnsi="Arial" w:cs="Times New Roman"/>
      <w:vanish/>
      <w:color w:val="FF0000"/>
      <w:szCs w:val="20"/>
    </w:rPr>
  </w:style>
  <w:style w:type="character" w:styleId="FollowedHyperlink">
    <w:name w:val="FollowedHyperlink"/>
    <w:basedOn w:val="DefaultParagraphFont"/>
    <w:uiPriority w:val="99"/>
    <w:semiHidden/>
    <w:unhideWhenUsed/>
    <w:rsid w:val="009C19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B6"/>
    <w:pPr>
      <w:ind w:left="720"/>
      <w:contextualSpacing/>
    </w:pPr>
  </w:style>
  <w:style w:type="paragraph" w:styleId="BalloonText">
    <w:name w:val="Balloon Text"/>
    <w:basedOn w:val="Normal"/>
    <w:link w:val="BalloonTextChar"/>
    <w:uiPriority w:val="99"/>
    <w:semiHidden/>
    <w:unhideWhenUsed/>
    <w:rsid w:val="00DA6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0D9"/>
    <w:rPr>
      <w:rFonts w:ascii="Tahoma" w:hAnsi="Tahoma" w:cs="Tahoma"/>
      <w:sz w:val="16"/>
      <w:szCs w:val="16"/>
    </w:rPr>
  </w:style>
  <w:style w:type="paragraph" w:styleId="Header">
    <w:name w:val="header"/>
    <w:basedOn w:val="Normal"/>
    <w:link w:val="HeaderChar"/>
    <w:uiPriority w:val="99"/>
    <w:unhideWhenUsed/>
    <w:rsid w:val="00EB5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57"/>
  </w:style>
  <w:style w:type="paragraph" w:styleId="Footer">
    <w:name w:val="footer"/>
    <w:basedOn w:val="Normal"/>
    <w:link w:val="FooterChar"/>
    <w:uiPriority w:val="99"/>
    <w:unhideWhenUsed/>
    <w:rsid w:val="00EB5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57"/>
  </w:style>
  <w:style w:type="character" w:styleId="CommentReference">
    <w:name w:val="annotation reference"/>
    <w:basedOn w:val="DefaultParagraphFont"/>
    <w:uiPriority w:val="99"/>
    <w:semiHidden/>
    <w:unhideWhenUsed/>
    <w:rsid w:val="0045716A"/>
    <w:rPr>
      <w:sz w:val="16"/>
      <w:szCs w:val="16"/>
    </w:rPr>
  </w:style>
  <w:style w:type="paragraph" w:styleId="CommentText">
    <w:name w:val="annotation text"/>
    <w:basedOn w:val="Normal"/>
    <w:link w:val="CommentTextChar"/>
    <w:uiPriority w:val="99"/>
    <w:unhideWhenUsed/>
    <w:rsid w:val="0045716A"/>
    <w:pPr>
      <w:spacing w:line="240" w:lineRule="auto"/>
    </w:pPr>
    <w:rPr>
      <w:sz w:val="20"/>
      <w:szCs w:val="20"/>
    </w:rPr>
  </w:style>
  <w:style w:type="character" w:customStyle="1" w:styleId="CommentTextChar">
    <w:name w:val="Comment Text Char"/>
    <w:basedOn w:val="DefaultParagraphFont"/>
    <w:link w:val="CommentText"/>
    <w:uiPriority w:val="99"/>
    <w:rsid w:val="0045716A"/>
    <w:rPr>
      <w:sz w:val="20"/>
      <w:szCs w:val="20"/>
    </w:rPr>
  </w:style>
  <w:style w:type="paragraph" w:styleId="CommentSubject">
    <w:name w:val="annotation subject"/>
    <w:basedOn w:val="CommentText"/>
    <w:next w:val="CommentText"/>
    <w:link w:val="CommentSubjectChar"/>
    <w:uiPriority w:val="99"/>
    <w:semiHidden/>
    <w:unhideWhenUsed/>
    <w:rsid w:val="0045716A"/>
    <w:rPr>
      <w:b/>
      <w:bCs/>
    </w:rPr>
  </w:style>
  <w:style w:type="character" w:customStyle="1" w:styleId="CommentSubjectChar">
    <w:name w:val="Comment Subject Char"/>
    <w:basedOn w:val="CommentTextChar"/>
    <w:link w:val="CommentSubject"/>
    <w:uiPriority w:val="99"/>
    <w:semiHidden/>
    <w:rsid w:val="0045716A"/>
    <w:rPr>
      <w:b/>
      <w:bCs/>
      <w:sz w:val="20"/>
      <w:szCs w:val="20"/>
    </w:rPr>
  </w:style>
  <w:style w:type="character" w:styleId="Hyperlink">
    <w:name w:val="Hyperlink"/>
    <w:basedOn w:val="DefaultParagraphFont"/>
    <w:uiPriority w:val="99"/>
    <w:unhideWhenUsed/>
    <w:rsid w:val="000C6C91"/>
    <w:rPr>
      <w:color w:val="0000FF" w:themeColor="hyperlink"/>
      <w:u w:val="single"/>
    </w:rPr>
  </w:style>
  <w:style w:type="paragraph" w:styleId="FootnoteText">
    <w:name w:val="footnote text"/>
    <w:basedOn w:val="Normal"/>
    <w:link w:val="FootnoteTextChar"/>
    <w:uiPriority w:val="99"/>
    <w:semiHidden/>
    <w:unhideWhenUsed/>
    <w:rsid w:val="00BF75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53D"/>
    <w:rPr>
      <w:sz w:val="20"/>
      <w:szCs w:val="20"/>
    </w:rPr>
  </w:style>
  <w:style w:type="character" w:styleId="FootnoteReference">
    <w:name w:val="footnote reference"/>
    <w:basedOn w:val="DefaultParagraphFont"/>
    <w:uiPriority w:val="99"/>
    <w:semiHidden/>
    <w:unhideWhenUsed/>
    <w:rsid w:val="00BF753D"/>
    <w:rPr>
      <w:vertAlign w:val="superscript"/>
    </w:rPr>
  </w:style>
  <w:style w:type="paragraph" w:styleId="BodyText2">
    <w:name w:val="Body Text 2"/>
    <w:basedOn w:val="Normal"/>
    <w:link w:val="BodyText2Char"/>
    <w:rsid w:val="001B631E"/>
    <w:pPr>
      <w:overflowPunct w:val="0"/>
      <w:autoSpaceDE w:val="0"/>
      <w:autoSpaceDN w:val="0"/>
      <w:adjustRightInd w:val="0"/>
      <w:spacing w:before="120" w:after="120" w:line="240" w:lineRule="auto"/>
      <w:jc w:val="both"/>
      <w:textAlignment w:val="baseline"/>
    </w:pPr>
    <w:rPr>
      <w:rFonts w:ascii="Arial" w:eastAsia="Times New Roman" w:hAnsi="Arial" w:cs="Times New Roman"/>
      <w:vanish/>
      <w:color w:val="FF0000"/>
      <w:szCs w:val="20"/>
    </w:rPr>
  </w:style>
  <w:style w:type="character" w:customStyle="1" w:styleId="BodyText2Char">
    <w:name w:val="Body Text 2 Char"/>
    <w:basedOn w:val="DefaultParagraphFont"/>
    <w:link w:val="BodyText2"/>
    <w:rsid w:val="001B631E"/>
    <w:rPr>
      <w:rFonts w:ascii="Arial" w:eastAsia="Times New Roman" w:hAnsi="Arial" w:cs="Times New Roman"/>
      <w:vanish/>
      <w:color w:val="FF0000"/>
      <w:szCs w:val="20"/>
    </w:rPr>
  </w:style>
  <w:style w:type="character" w:styleId="FollowedHyperlink">
    <w:name w:val="FollowedHyperlink"/>
    <w:basedOn w:val="DefaultParagraphFont"/>
    <w:uiPriority w:val="99"/>
    <w:semiHidden/>
    <w:unhideWhenUsed/>
    <w:rsid w:val="009C19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abs.gov.au/ausstats/abs@.nsf/PrimaryMainFeatures/4261.3?OpenDocu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bs.gov.au/ausstats/abs@.nsf/mf/1406.0.55.003"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abs.gov.au/ausstats/abs@.nsf/PrimaryMainFeatures/4269.0.55.001?OpenDocu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bs.gov.au/ausstats/abs@.nsf/PrimaryMainFeatures/4260.0?OpenDocument" TargetMode="External"/><Relationship Id="rId20" Type="http://schemas.openxmlformats.org/officeDocument/2006/relationships/hyperlink" Target="http://www.abs.gov.au/ausstats%5Cabs@.nsf/0/D1A57857AF1EB6A3CA257CC90014404F?Opendocu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abs.gov.au/ausstats/abs@.nsf/PrimaryMainFeatures/4402.0.55.001?OpenDocument" TargetMode="External"/><Relationship Id="rId10" Type="http://schemas.microsoft.com/office/2007/relationships/stylesWithEffects" Target="stylesWithEffects.xml"/><Relationship Id="rId19" Type="http://schemas.openxmlformats.org/officeDocument/2006/relationships/hyperlink" Target="http://www.abs.gov.au/ausstats%5Cabs@.nsf/0/4985F229045DE899CA256ECF0001B891?Opendocu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abs.gov.au/AUSSTATS/abs@.nsf/Lookup/4260.0.55.001Explanatory%20Notes302006-2011?OpenDocu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bs.gov.au/AUSSTATS/abs@.nsf/Lookup/4260.0.55.001Main+Features12006-2011" TargetMode="External"/><Relationship Id="rId2" Type="http://schemas.openxmlformats.org/officeDocument/2006/relationships/hyperlink" Target="http://www.abs.gov.au/AUSSTATS/abs@.nsf/Lookup/4240.0.55.003Main+Features12015" TargetMode="External"/><Relationship Id="rId1" Type="http://schemas.openxmlformats.org/officeDocument/2006/relationships/hyperlink" Target="http://www.abs.gov.au/ausstats/abs@.nsf/mf/1406.0.55.003" TargetMode="External"/><Relationship Id="rId5" Type="http://schemas.openxmlformats.org/officeDocument/2006/relationships/hyperlink" Target="http://www.abs.gov.au/ausstats/abs@.nsf/PrimaryMainFeatures/4261.3?OpenDocument" TargetMode="External"/><Relationship Id="rId4" Type="http://schemas.openxmlformats.org/officeDocument/2006/relationships/hyperlink" Target="http://www.abs.gov.au/ausstats/abs@.nsf/PrimaryMainFeatures/4261.6?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4703-B3B7-451E-B6C3-91F72B7C4CD0}">
  <ds:schemaRefs>
    <ds:schemaRef ds:uri="http://schemas.microsoft.com/sharepoint/v3/contenttype/forms"/>
  </ds:schemaRefs>
</ds:datastoreItem>
</file>

<file path=customXml/itemProps2.xml><?xml version="1.0" encoding="utf-8"?>
<ds:datastoreItem xmlns:ds="http://schemas.openxmlformats.org/officeDocument/2006/customXml" ds:itemID="{FE8D2925-42F3-46C6-A09A-7E85A8A7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9876B-48BA-418A-9426-711156AEDCC6}">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3f4bcce7-ac1a-4c9d-aa3e-7e77695652db"/>
    <ds:schemaRef ds:uri="http://schemas.microsoft.com/office/infopath/2007/PartnerControls"/>
    <ds:schemaRef ds:uri="http://schemas.openxmlformats.org/package/2006/metadata/core-properties"/>
    <ds:schemaRef ds:uri="8044c801-d84b-4ee1-a77e-678f8dcdee17"/>
    <ds:schemaRef ds:uri="http://purl.org/dc/dcmitype/"/>
  </ds:schemaRefs>
</ds:datastoreItem>
</file>

<file path=customXml/itemProps4.xml><?xml version="1.0" encoding="utf-8"?>
<ds:datastoreItem xmlns:ds="http://schemas.openxmlformats.org/officeDocument/2006/customXml" ds:itemID="{E5767DD9-9975-4DFD-A167-DBE68B663CFA}">
  <ds:schemaRefs>
    <ds:schemaRef ds:uri="Microsoft.SharePoint.Taxonomy.ContentTypeSync"/>
  </ds:schemaRefs>
</ds:datastoreItem>
</file>

<file path=customXml/itemProps5.xml><?xml version="1.0" encoding="utf-8"?>
<ds:datastoreItem xmlns:ds="http://schemas.openxmlformats.org/officeDocument/2006/customXml" ds:itemID="{9BD0C4AF-4056-4C7E-B55F-4E5ADE05F587}">
  <ds:schemaRefs>
    <ds:schemaRef ds:uri="http://schemas.microsoft.com/office/2006/metadata/customXsn"/>
  </ds:schemaRefs>
</ds:datastoreItem>
</file>

<file path=customXml/itemProps6.xml><?xml version="1.0" encoding="utf-8"?>
<ds:datastoreItem xmlns:ds="http://schemas.openxmlformats.org/officeDocument/2006/customXml" ds:itemID="{730224DC-3AB3-41B6-BFE9-B1CC818C2804}">
  <ds:schemaRefs>
    <ds:schemaRef ds:uri="http://schemas.microsoft.com/sharepoint/events"/>
  </ds:schemaRefs>
</ds:datastoreItem>
</file>

<file path=customXml/itemProps7.xml><?xml version="1.0" encoding="utf-8"?>
<ds:datastoreItem xmlns:ds="http://schemas.openxmlformats.org/officeDocument/2006/customXml" ds:itemID="{36DA32A9-DE5A-46CC-8208-5BFF9BE5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Submission DR105 - Australian Bureau of Statistics (ABS) - Education Evidence Base - Public inquiry.</vt:lpstr>
    </vt:vector>
  </TitlesOfParts>
  <Company>Australian Bureau of Statistics (ABS)</Company>
  <LinksUpToDate>false</LinksUpToDate>
  <CharactersWithSpaces>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DR105 - Australian Bureau of Statistics (ABS) - Education Evidence Base - Public inquiry.</dc:title>
  <dc:creator>Australian Bureau of Statistics (ABS)</dc:creator>
  <cp:keywords/>
  <cp:lastModifiedBy>Productivity Commission</cp:lastModifiedBy>
  <cp:revision>4</cp:revision>
  <cp:lastPrinted>2016-10-07T03:09:00Z</cp:lastPrinted>
  <dcterms:created xsi:type="dcterms:W3CDTF">2016-10-07T03:09:00Z</dcterms:created>
  <dcterms:modified xsi:type="dcterms:W3CDTF">2016-10-07T03:32:00Z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