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BE3A8" w14:textId="77777777" w:rsidR="00AD66F7" w:rsidRDefault="00AD66F7" w:rsidP="008E35CB">
      <w:pPr>
        <w:pStyle w:val="Bodycopy"/>
        <w:spacing w:after="0"/>
        <w:rPr>
          <w:sz w:val="22"/>
          <w:szCs w:val="22"/>
        </w:rPr>
      </w:pPr>
    </w:p>
    <w:p w14:paraId="1CD960A7" w14:textId="77777777" w:rsidR="00AD66F7" w:rsidRDefault="00AD66F7" w:rsidP="008E35CB">
      <w:pPr>
        <w:pStyle w:val="Bodycopy"/>
        <w:spacing w:after="0"/>
        <w:rPr>
          <w:sz w:val="22"/>
          <w:szCs w:val="22"/>
        </w:rPr>
      </w:pPr>
    </w:p>
    <w:p w14:paraId="5A5D981F" w14:textId="77777777" w:rsidR="003173AA" w:rsidRDefault="003173AA" w:rsidP="008E35CB">
      <w:pPr>
        <w:pStyle w:val="Bodycopy"/>
        <w:spacing w:after="0"/>
        <w:rPr>
          <w:sz w:val="22"/>
          <w:szCs w:val="22"/>
        </w:rPr>
      </w:pPr>
    </w:p>
    <w:p w14:paraId="53A1B29B" w14:textId="77777777" w:rsidR="00FA0FC9" w:rsidRDefault="00FA0FC9" w:rsidP="00CE1DC9">
      <w:pPr>
        <w:pStyle w:val="Bodycopy"/>
        <w:spacing w:after="0"/>
        <w:jc w:val="both"/>
        <w:rPr>
          <w:sz w:val="22"/>
          <w:szCs w:val="22"/>
        </w:rPr>
      </w:pPr>
    </w:p>
    <w:p w14:paraId="7D4DB9E0" w14:textId="77777777" w:rsidR="00FA0FC9" w:rsidRDefault="00FA0FC9" w:rsidP="00CE1DC9">
      <w:pPr>
        <w:pStyle w:val="Bodycopy"/>
        <w:spacing w:after="0"/>
        <w:jc w:val="both"/>
        <w:rPr>
          <w:sz w:val="22"/>
          <w:szCs w:val="22"/>
        </w:rPr>
      </w:pPr>
    </w:p>
    <w:p w14:paraId="29E0B0DA" w14:textId="77777777" w:rsidR="00FA0FC9" w:rsidRDefault="00FA0FC9" w:rsidP="00CE1DC9">
      <w:pPr>
        <w:pStyle w:val="Bodycopy"/>
        <w:spacing w:after="0"/>
        <w:jc w:val="both"/>
        <w:rPr>
          <w:sz w:val="22"/>
          <w:szCs w:val="22"/>
        </w:rPr>
      </w:pPr>
    </w:p>
    <w:p w14:paraId="2BED5305" w14:textId="77777777" w:rsidR="00FA0FC9" w:rsidRDefault="00FA0FC9" w:rsidP="00CE1DC9">
      <w:pPr>
        <w:pStyle w:val="Bodycopy"/>
        <w:spacing w:after="0"/>
        <w:jc w:val="both"/>
        <w:rPr>
          <w:sz w:val="22"/>
          <w:szCs w:val="22"/>
        </w:rPr>
      </w:pPr>
    </w:p>
    <w:p w14:paraId="4A96A6A8" w14:textId="77777777" w:rsidR="00FA0FC9" w:rsidRDefault="00FA0FC9" w:rsidP="00CE1DC9">
      <w:pPr>
        <w:pStyle w:val="Bodycopy"/>
        <w:spacing w:after="0"/>
        <w:jc w:val="both"/>
        <w:rPr>
          <w:sz w:val="22"/>
          <w:szCs w:val="22"/>
        </w:rPr>
      </w:pPr>
    </w:p>
    <w:p w14:paraId="10844B95" w14:textId="5424B38B" w:rsidR="00793D03" w:rsidRPr="00EE086E" w:rsidRDefault="00EF4FD4" w:rsidP="00CE1DC9">
      <w:pPr>
        <w:pStyle w:val="Bodycopy"/>
        <w:spacing w:after="0"/>
        <w:jc w:val="both"/>
        <w:rPr>
          <w:sz w:val="22"/>
          <w:szCs w:val="22"/>
        </w:rPr>
      </w:pPr>
      <w:r>
        <w:rPr>
          <w:sz w:val="22"/>
          <w:szCs w:val="22"/>
        </w:rPr>
        <w:t xml:space="preserve">28 </w:t>
      </w:r>
      <w:r w:rsidR="00CE1DC9">
        <w:rPr>
          <w:sz w:val="22"/>
          <w:szCs w:val="22"/>
        </w:rPr>
        <w:t>April 2017</w:t>
      </w:r>
    </w:p>
    <w:p w14:paraId="3E5450B8" w14:textId="77777777" w:rsidR="00793D03" w:rsidRPr="00EE086E" w:rsidRDefault="00793D03" w:rsidP="00CE1DC9">
      <w:pPr>
        <w:pStyle w:val="Bodycopy"/>
        <w:spacing w:after="0"/>
        <w:jc w:val="both"/>
        <w:rPr>
          <w:sz w:val="22"/>
          <w:szCs w:val="22"/>
        </w:rPr>
      </w:pPr>
    </w:p>
    <w:p w14:paraId="43A98886" w14:textId="77777777" w:rsidR="00793D03" w:rsidRPr="00EE086E" w:rsidRDefault="00793D03" w:rsidP="00CE1DC9">
      <w:pPr>
        <w:pStyle w:val="Bodycopy"/>
        <w:spacing w:after="0"/>
        <w:jc w:val="both"/>
        <w:rPr>
          <w:sz w:val="22"/>
          <w:szCs w:val="22"/>
        </w:rPr>
      </w:pPr>
    </w:p>
    <w:p w14:paraId="59E742D0" w14:textId="77777777" w:rsidR="0001424E" w:rsidRPr="00EE086E" w:rsidRDefault="00D91E32" w:rsidP="00CE1DC9">
      <w:pPr>
        <w:pStyle w:val="Bodycopy"/>
        <w:spacing w:after="0"/>
        <w:jc w:val="both"/>
        <w:rPr>
          <w:sz w:val="22"/>
          <w:szCs w:val="22"/>
        </w:rPr>
      </w:pPr>
      <w:r w:rsidRPr="00EE086E">
        <w:rPr>
          <w:sz w:val="22"/>
          <w:szCs w:val="22"/>
        </w:rPr>
        <w:t xml:space="preserve">By email: </w:t>
      </w:r>
      <w:proofErr w:type="spellStart"/>
      <w:r w:rsidR="0013776E">
        <w:rPr>
          <w:sz w:val="22"/>
          <w:szCs w:val="22"/>
        </w:rPr>
        <w:t>super@pc</w:t>
      </w:r>
      <w:r w:rsidRPr="00EE086E">
        <w:rPr>
          <w:sz w:val="22"/>
          <w:szCs w:val="22"/>
        </w:rPr>
        <w:t>.gov.au</w:t>
      </w:r>
      <w:proofErr w:type="spellEnd"/>
    </w:p>
    <w:p w14:paraId="17FB0001" w14:textId="77777777" w:rsidR="00D91E32" w:rsidRPr="00EE086E" w:rsidRDefault="00D91E32" w:rsidP="00CE1DC9">
      <w:pPr>
        <w:pStyle w:val="Bodycopy"/>
        <w:spacing w:after="0"/>
        <w:jc w:val="both"/>
        <w:rPr>
          <w:sz w:val="22"/>
          <w:szCs w:val="22"/>
        </w:rPr>
      </w:pPr>
    </w:p>
    <w:p w14:paraId="133BE30F" w14:textId="77777777" w:rsidR="00A54229" w:rsidRDefault="0013776E" w:rsidP="00CE1DC9">
      <w:pPr>
        <w:pStyle w:val="Bodycopy"/>
        <w:spacing w:after="0"/>
        <w:jc w:val="both"/>
        <w:rPr>
          <w:sz w:val="22"/>
          <w:szCs w:val="22"/>
        </w:rPr>
      </w:pPr>
      <w:r>
        <w:rPr>
          <w:sz w:val="22"/>
          <w:szCs w:val="22"/>
        </w:rPr>
        <w:t>Ms Karen Chester</w:t>
      </w:r>
    </w:p>
    <w:p w14:paraId="7B826EDE" w14:textId="77777777" w:rsidR="0013776E" w:rsidRDefault="0013776E" w:rsidP="00CE1DC9">
      <w:pPr>
        <w:pStyle w:val="Bodycopy"/>
        <w:spacing w:after="0"/>
        <w:jc w:val="both"/>
        <w:rPr>
          <w:sz w:val="22"/>
          <w:szCs w:val="22"/>
        </w:rPr>
      </w:pPr>
      <w:r>
        <w:rPr>
          <w:sz w:val="22"/>
          <w:szCs w:val="22"/>
        </w:rPr>
        <w:t>Deputy Chair</w:t>
      </w:r>
    </w:p>
    <w:p w14:paraId="55E4323C" w14:textId="77777777" w:rsidR="0013776E" w:rsidRDefault="0013776E" w:rsidP="00CE1DC9">
      <w:pPr>
        <w:pStyle w:val="Bodycopy"/>
        <w:spacing w:after="0"/>
        <w:jc w:val="both"/>
        <w:rPr>
          <w:sz w:val="22"/>
          <w:szCs w:val="22"/>
        </w:rPr>
      </w:pPr>
      <w:r>
        <w:rPr>
          <w:sz w:val="22"/>
          <w:szCs w:val="22"/>
        </w:rPr>
        <w:t>Productivity Commission</w:t>
      </w:r>
    </w:p>
    <w:p w14:paraId="2E67FDBE" w14:textId="77777777" w:rsidR="00D91E32" w:rsidRPr="00EE086E" w:rsidRDefault="0013776E" w:rsidP="00CE1DC9">
      <w:pPr>
        <w:pStyle w:val="Bodycopy"/>
        <w:spacing w:after="0"/>
        <w:jc w:val="both"/>
        <w:rPr>
          <w:rFonts w:asciiTheme="majorHAnsi" w:hAnsiTheme="majorHAnsi" w:cstheme="majorHAnsi"/>
          <w:sz w:val="22"/>
          <w:szCs w:val="22"/>
        </w:rPr>
      </w:pPr>
      <w:r>
        <w:rPr>
          <w:sz w:val="22"/>
          <w:szCs w:val="22"/>
        </w:rPr>
        <w:t>Canberra</w:t>
      </w:r>
      <w:r w:rsidR="00D91E32" w:rsidRPr="00EE086E">
        <w:rPr>
          <w:sz w:val="22"/>
          <w:szCs w:val="22"/>
        </w:rPr>
        <w:t xml:space="preserve"> ACT 2600</w:t>
      </w:r>
    </w:p>
    <w:p w14:paraId="667E229C" w14:textId="77777777" w:rsidR="008E35CB" w:rsidRPr="00EE086E" w:rsidRDefault="008E35CB" w:rsidP="00CE1DC9">
      <w:pPr>
        <w:pStyle w:val="Bodycopy"/>
        <w:spacing w:afterLines="60" w:after="144" w:line="240" w:lineRule="auto"/>
        <w:jc w:val="both"/>
        <w:rPr>
          <w:noProof/>
          <w:sz w:val="22"/>
          <w:szCs w:val="22"/>
        </w:rPr>
      </w:pPr>
    </w:p>
    <w:p w14:paraId="1002AA8B" w14:textId="77777777" w:rsidR="00793D03" w:rsidRPr="00EE086E" w:rsidRDefault="00793D03" w:rsidP="00CE1DC9">
      <w:pPr>
        <w:pStyle w:val="Bodycopy"/>
        <w:spacing w:afterLines="60" w:after="144" w:line="240" w:lineRule="auto"/>
        <w:jc w:val="both"/>
        <w:rPr>
          <w:noProof/>
          <w:sz w:val="22"/>
          <w:szCs w:val="22"/>
        </w:rPr>
      </w:pPr>
    </w:p>
    <w:p w14:paraId="5155513D" w14:textId="77777777" w:rsidR="00A54229" w:rsidRPr="00EE086E" w:rsidRDefault="00582FBA" w:rsidP="00CE1DC9">
      <w:pPr>
        <w:pStyle w:val="Bodycopy"/>
        <w:spacing w:after="60" w:line="240" w:lineRule="auto"/>
        <w:jc w:val="both"/>
        <w:rPr>
          <w:sz w:val="22"/>
          <w:szCs w:val="22"/>
        </w:rPr>
      </w:pPr>
      <w:r w:rsidRPr="00EE086E">
        <w:rPr>
          <w:sz w:val="22"/>
          <w:szCs w:val="22"/>
        </w:rPr>
        <w:t xml:space="preserve">Dear </w:t>
      </w:r>
      <w:r w:rsidR="00761376">
        <w:rPr>
          <w:sz w:val="22"/>
          <w:szCs w:val="22"/>
        </w:rPr>
        <w:t>Ms Chester</w:t>
      </w:r>
      <w:r w:rsidR="00CE5AE2" w:rsidRPr="00EE086E">
        <w:rPr>
          <w:sz w:val="22"/>
          <w:szCs w:val="22"/>
        </w:rPr>
        <w:t>,</w:t>
      </w:r>
    </w:p>
    <w:p w14:paraId="511A7A95" w14:textId="77777777" w:rsidR="0001424E" w:rsidRPr="00EE086E" w:rsidRDefault="0001424E" w:rsidP="00CE1DC9">
      <w:pPr>
        <w:pStyle w:val="BodycopyBold"/>
        <w:spacing w:after="60" w:line="240" w:lineRule="auto"/>
        <w:jc w:val="both"/>
        <w:rPr>
          <w:sz w:val="22"/>
          <w:szCs w:val="22"/>
        </w:rPr>
      </w:pPr>
    </w:p>
    <w:p w14:paraId="7FDD95C5" w14:textId="77777777" w:rsidR="00A54229" w:rsidRPr="00EE086E" w:rsidRDefault="00A54229" w:rsidP="00CE1DC9">
      <w:pPr>
        <w:pStyle w:val="BodycopyBold"/>
        <w:spacing w:after="60" w:line="240" w:lineRule="auto"/>
        <w:jc w:val="both"/>
        <w:rPr>
          <w:sz w:val="22"/>
          <w:szCs w:val="22"/>
        </w:rPr>
      </w:pPr>
      <w:r w:rsidRPr="00EE086E">
        <w:rPr>
          <w:sz w:val="22"/>
          <w:szCs w:val="22"/>
        </w:rPr>
        <w:t xml:space="preserve">Re: </w:t>
      </w:r>
      <w:r w:rsidR="00CE1DC9">
        <w:rPr>
          <w:sz w:val="22"/>
          <w:szCs w:val="22"/>
        </w:rPr>
        <w:t>Superannuation: Alternative Default Models – Productivity Commission Draft Report</w:t>
      </w:r>
    </w:p>
    <w:p w14:paraId="72C79921" w14:textId="77777777" w:rsidR="0001424E" w:rsidRPr="00EE086E" w:rsidRDefault="0001424E" w:rsidP="00CE1DC9">
      <w:pPr>
        <w:pStyle w:val="Bodycopy"/>
        <w:spacing w:after="60" w:line="240" w:lineRule="auto"/>
        <w:jc w:val="both"/>
        <w:rPr>
          <w:sz w:val="22"/>
          <w:szCs w:val="22"/>
        </w:rPr>
      </w:pPr>
      <w:bookmarkStart w:id="0" w:name="LetterBody"/>
      <w:bookmarkEnd w:id="0"/>
    </w:p>
    <w:p w14:paraId="6E4A7CD9" w14:textId="77777777" w:rsidR="0058118F" w:rsidRDefault="00D91E32" w:rsidP="00CE1DC9">
      <w:pPr>
        <w:pStyle w:val="Bodycopy"/>
        <w:spacing w:afterLines="60" w:after="144" w:line="240" w:lineRule="auto"/>
        <w:jc w:val="both"/>
        <w:rPr>
          <w:sz w:val="22"/>
          <w:szCs w:val="22"/>
        </w:rPr>
      </w:pPr>
      <w:r w:rsidRPr="00EE086E">
        <w:rPr>
          <w:sz w:val="22"/>
          <w:szCs w:val="22"/>
        </w:rPr>
        <w:t xml:space="preserve">Thank you for the opportunity to make a submission </w:t>
      </w:r>
      <w:r w:rsidR="00CE1DC9">
        <w:rPr>
          <w:sz w:val="22"/>
          <w:szCs w:val="22"/>
        </w:rPr>
        <w:t>on</w:t>
      </w:r>
      <w:r w:rsidRPr="00EE086E">
        <w:rPr>
          <w:sz w:val="22"/>
          <w:szCs w:val="22"/>
        </w:rPr>
        <w:t xml:space="preserve"> the </w:t>
      </w:r>
      <w:r w:rsidR="00CE1DC9">
        <w:rPr>
          <w:sz w:val="22"/>
          <w:szCs w:val="22"/>
        </w:rPr>
        <w:t xml:space="preserve">Productivity </w:t>
      </w:r>
      <w:r w:rsidR="0013776E">
        <w:rPr>
          <w:sz w:val="22"/>
          <w:szCs w:val="22"/>
        </w:rPr>
        <w:t>Commission</w:t>
      </w:r>
      <w:r w:rsidR="00472130">
        <w:rPr>
          <w:sz w:val="22"/>
          <w:szCs w:val="22"/>
        </w:rPr>
        <w:t>’s</w:t>
      </w:r>
      <w:r w:rsidR="00CE1DC9">
        <w:rPr>
          <w:sz w:val="22"/>
          <w:szCs w:val="22"/>
        </w:rPr>
        <w:t xml:space="preserve"> draft report into alternative default models for the Australian superannuation system.</w:t>
      </w:r>
      <w:r w:rsidRPr="00EE086E">
        <w:rPr>
          <w:sz w:val="22"/>
          <w:szCs w:val="22"/>
        </w:rPr>
        <w:t xml:space="preserve"> Deloitte </w:t>
      </w:r>
      <w:proofErr w:type="spellStart"/>
      <w:r w:rsidRPr="00EE086E">
        <w:rPr>
          <w:sz w:val="22"/>
          <w:szCs w:val="22"/>
        </w:rPr>
        <w:t>Touche</w:t>
      </w:r>
      <w:proofErr w:type="spellEnd"/>
      <w:r w:rsidRPr="00EE086E">
        <w:rPr>
          <w:sz w:val="22"/>
          <w:szCs w:val="22"/>
        </w:rPr>
        <w:t xml:space="preserve"> Tohmatsu (Deloitte) strongly supports any efforts being made by the </w:t>
      </w:r>
      <w:r w:rsidR="004F4593" w:rsidRPr="00EE086E">
        <w:rPr>
          <w:sz w:val="22"/>
          <w:szCs w:val="22"/>
        </w:rPr>
        <w:t xml:space="preserve">Government </w:t>
      </w:r>
      <w:r w:rsidR="00761376">
        <w:rPr>
          <w:sz w:val="22"/>
          <w:szCs w:val="22"/>
        </w:rPr>
        <w:t xml:space="preserve">and the Productivity Commission </w:t>
      </w:r>
      <w:r w:rsidR="004F4593" w:rsidRPr="00EE086E">
        <w:rPr>
          <w:sz w:val="22"/>
          <w:szCs w:val="22"/>
        </w:rPr>
        <w:t xml:space="preserve">to improve </w:t>
      </w:r>
      <w:r w:rsidR="0013776E">
        <w:rPr>
          <w:sz w:val="22"/>
          <w:szCs w:val="22"/>
        </w:rPr>
        <w:t>our superannuation system which will ultimately result in a higher level of confidence</w:t>
      </w:r>
      <w:r w:rsidR="00761376">
        <w:rPr>
          <w:sz w:val="22"/>
          <w:szCs w:val="22"/>
        </w:rPr>
        <w:t xml:space="preserve"> and </w:t>
      </w:r>
      <w:r w:rsidR="00EF4FD4">
        <w:rPr>
          <w:sz w:val="22"/>
          <w:szCs w:val="22"/>
        </w:rPr>
        <w:t xml:space="preserve">improved retirement </w:t>
      </w:r>
      <w:r w:rsidR="00761376">
        <w:rPr>
          <w:sz w:val="22"/>
          <w:szCs w:val="22"/>
        </w:rPr>
        <w:t>outcome</w:t>
      </w:r>
      <w:r w:rsidR="00EF4FD4">
        <w:rPr>
          <w:sz w:val="22"/>
          <w:szCs w:val="22"/>
        </w:rPr>
        <w:t>s</w:t>
      </w:r>
      <w:r w:rsidR="0013776E">
        <w:rPr>
          <w:sz w:val="22"/>
          <w:szCs w:val="22"/>
        </w:rPr>
        <w:t xml:space="preserve"> for the 12 million </w:t>
      </w:r>
      <w:r w:rsidR="004F4593" w:rsidRPr="00EE086E">
        <w:rPr>
          <w:sz w:val="22"/>
          <w:szCs w:val="22"/>
        </w:rPr>
        <w:t xml:space="preserve">Australians </w:t>
      </w:r>
      <w:r w:rsidR="0013776E">
        <w:rPr>
          <w:sz w:val="22"/>
          <w:szCs w:val="22"/>
        </w:rPr>
        <w:t>who have accounts in the system.</w:t>
      </w:r>
    </w:p>
    <w:p w14:paraId="3AA48665" w14:textId="77777777" w:rsidR="00761376" w:rsidRDefault="00761376" w:rsidP="00CE1DC9">
      <w:pPr>
        <w:pStyle w:val="Bodycopy"/>
        <w:spacing w:afterLines="60" w:after="144" w:line="240" w:lineRule="auto"/>
        <w:jc w:val="both"/>
        <w:rPr>
          <w:sz w:val="22"/>
          <w:szCs w:val="22"/>
        </w:rPr>
      </w:pPr>
      <w:r>
        <w:rPr>
          <w:sz w:val="22"/>
          <w:szCs w:val="22"/>
        </w:rPr>
        <w:t xml:space="preserve">Deloitte is a major provider of superannuation advisory services to employers and the trustees of </w:t>
      </w:r>
      <w:r w:rsidR="00472130">
        <w:rPr>
          <w:sz w:val="22"/>
          <w:szCs w:val="22"/>
        </w:rPr>
        <w:t>all forms of superannuation funds</w:t>
      </w:r>
      <w:r>
        <w:rPr>
          <w:sz w:val="22"/>
          <w:szCs w:val="22"/>
        </w:rPr>
        <w:t>. The services we provide that are relevant to this submission include:</w:t>
      </w:r>
    </w:p>
    <w:p w14:paraId="54C4AA61" w14:textId="77777777" w:rsidR="00761376" w:rsidRDefault="00761376" w:rsidP="00CE1DC9">
      <w:pPr>
        <w:pStyle w:val="Bodycopy"/>
        <w:numPr>
          <w:ilvl w:val="0"/>
          <w:numId w:val="36"/>
        </w:numPr>
        <w:spacing w:afterLines="60" w:after="144" w:line="240" w:lineRule="auto"/>
        <w:jc w:val="both"/>
        <w:rPr>
          <w:sz w:val="22"/>
          <w:szCs w:val="22"/>
        </w:rPr>
      </w:pPr>
      <w:r>
        <w:rPr>
          <w:sz w:val="22"/>
          <w:szCs w:val="22"/>
        </w:rPr>
        <w:t>Benchmarking;</w:t>
      </w:r>
      <w:bookmarkStart w:id="1" w:name="_GoBack"/>
      <w:bookmarkEnd w:id="1"/>
    </w:p>
    <w:p w14:paraId="17C93557" w14:textId="77777777" w:rsidR="00761376" w:rsidRDefault="00761376" w:rsidP="00CE1DC9">
      <w:pPr>
        <w:pStyle w:val="Bodycopy"/>
        <w:numPr>
          <w:ilvl w:val="0"/>
          <w:numId w:val="36"/>
        </w:numPr>
        <w:spacing w:afterLines="60" w:after="144" w:line="240" w:lineRule="auto"/>
        <w:jc w:val="both"/>
        <w:rPr>
          <w:sz w:val="22"/>
          <w:szCs w:val="22"/>
        </w:rPr>
      </w:pPr>
      <w:r>
        <w:rPr>
          <w:sz w:val="22"/>
          <w:szCs w:val="22"/>
        </w:rPr>
        <w:t>Administration</w:t>
      </w:r>
      <w:r w:rsidR="000566C7">
        <w:rPr>
          <w:sz w:val="22"/>
          <w:szCs w:val="22"/>
        </w:rPr>
        <w:t>, asset consultant and insurance</w:t>
      </w:r>
      <w:r>
        <w:rPr>
          <w:sz w:val="22"/>
          <w:szCs w:val="22"/>
        </w:rPr>
        <w:t xml:space="preserve"> </w:t>
      </w:r>
      <w:r w:rsidR="000566C7">
        <w:rPr>
          <w:sz w:val="22"/>
          <w:szCs w:val="22"/>
        </w:rPr>
        <w:t>reviews; and</w:t>
      </w:r>
    </w:p>
    <w:p w14:paraId="1D1005E0" w14:textId="77777777" w:rsidR="000566C7" w:rsidRDefault="000566C7" w:rsidP="00CE1DC9">
      <w:pPr>
        <w:pStyle w:val="Bodycopy"/>
        <w:numPr>
          <w:ilvl w:val="0"/>
          <w:numId w:val="36"/>
        </w:numPr>
        <w:spacing w:afterLines="60" w:after="144" w:line="240" w:lineRule="auto"/>
        <w:jc w:val="both"/>
        <w:rPr>
          <w:sz w:val="22"/>
          <w:szCs w:val="22"/>
        </w:rPr>
      </w:pPr>
      <w:r>
        <w:rPr>
          <w:sz w:val="22"/>
          <w:szCs w:val="22"/>
        </w:rPr>
        <w:t>Tender management including default fund selection for employers.</w:t>
      </w:r>
    </w:p>
    <w:p w14:paraId="0ABE2FDB" w14:textId="77777777" w:rsidR="000566C7" w:rsidRDefault="000566C7" w:rsidP="00CE1DC9">
      <w:pPr>
        <w:pStyle w:val="Bodycopy"/>
        <w:spacing w:afterLines="60" w:after="144" w:line="240" w:lineRule="auto"/>
        <w:jc w:val="both"/>
        <w:rPr>
          <w:sz w:val="22"/>
          <w:szCs w:val="22"/>
        </w:rPr>
      </w:pPr>
      <w:r>
        <w:rPr>
          <w:sz w:val="22"/>
          <w:szCs w:val="22"/>
        </w:rPr>
        <w:t>We believe the work we carry out in these areas places us in a unique position to comment on market competitive</w:t>
      </w:r>
      <w:r w:rsidR="00472130">
        <w:rPr>
          <w:sz w:val="22"/>
          <w:szCs w:val="22"/>
        </w:rPr>
        <w:t>ness</w:t>
      </w:r>
      <w:r>
        <w:rPr>
          <w:sz w:val="22"/>
          <w:szCs w:val="22"/>
        </w:rPr>
        <w:t xml:space="preserve"> from an unbiased perspective.</w:t>
      </w:r>
    </w:p>
    <w:p w14:paraId="3D3E90FE" w14:textId="77777777" w:rsidR="0013776E" w:rsidRDefault="0013776E" w:rsidP="00CE1DC9">
      <w:pPr>
        <w:pStyle w:val="Bodycopy"/>
        <w:spacing w:afterLines="60" w:after="144" w:line="240" w:lineRule="auto"/>
        <w:jc w:val="both"/>
        <w:rPr>
          <w:sz w:val="22"/>
          <w:szCs w:val="22"/>
        </w:rPr>
      </w:pPr>
      <w:r>
        <w:rPr>
          <w:sz w:val="22"/>
          <w:szCs w:val="22"/>
        </w:rPr>
        <w:t xml:space="preserve">In this submission we particularly want to comment on the </w:t>
      </w:r>
      <w:r w:rsidR="00CE1DC9">
        <w:rPr>
          <w:sz w:val="22"/>
          <w:szCs w:val="22"/>
        </w:rPr>
        <w:t>proposed default models and in particular:</w:t>
      </w:r>
    </w:p>
    <w:p w14:paraId="244D2F1A" w14:textId="77777777" w:rsidR="003410B8" w:rsidRDefault="00CE1DC9" w:rsidP="00CE1DC9">
      <w:pPr>
        <w:pStyle w:val="Bodycopy"/>
        <w:numPr>
          <w:ilvl w:val="0"/>
          <w:numId w:val="33"/>
        </w:numPr>
        <w:spacing w:afterLines="60" w:after="144" w:line="240" w:lineRule="auto"/>
        <w:jc w:val="both"/>
        <w:rPr>
          <w:sz w:val="22"/>
          <w:szCs w:val="22"/>
        </w:rPr>
      </w:pPr>
      <w:r>
        <w:rPr>
          <w:sz w:val="22"/>
          <w:szCs w:val="22"/>
        </w:rPr>
        <w:t xml:space="preserve">Whether a short-list of products needs to be further refined and defined in light of the </w:t>
      </w:r>
      <w:proofErr w:type="spellStart"/>
      <w:r>
        <w:rPr>
          <w:sz w:val="22"/>
          <w:szCs w:val="22"/>
        </w:rPr>
        <w:t>MySuper</w:t>
      </w:r>
      <w:proofErr w:type="spellEnd"/>
      <w:r>
        <w:rPr>
          <w:sz w:val="22"/>
          <w:szCs w:val="22"/>
        </w:rPr>
        <w:t xml:space="preserve"> licencing regime operated by APRA;</w:t>
      </w:r>
      <w:r w:rsidR="0013776E">
        <w:rPr>
          <w:sz w:val="22"/>
          <w:szCs w:val="22"/>
        </w:rPr>
        <w:t xml:space="preserve"> </w:t>
      </w:r>
    </w:p>
    <w:p w14:paraId="4014AF38" w14:textId="77777777" w:rsidR="0013776E" w:rsidRDefault="003410B8" w:rsidP="00CE1DC9">
      <w:pPr>
        <w:pStyle w:val="Bodycopy"/>
        <w:numPr>
          <w:ilvl w:val="0"/>
          <w:numId w:val="33"/>
        </w:numPr>
        <w:spacing w:afterLines="60" w:after="144" w:line="240" w:lineRule="auto"/>
        <w:jc w:val="both"/>
        <w:rPr>
          <w:sz w:val="22"/>
          <w:szCs w:val="22"/>
        </w:rPr>
      </w:pPr>
      <w:r>
        <w:rPr>
          <w:sz w:val="22"/>
          <w:szCs w:val="22"/>
        </w:rPr>
        <w:t xml:space="preserve">The concept of a lifetime default fund for employees entering the workforce for the first time;  </w:t>
      </w:r>
    </w:p>
    <w:p w14:paraId="3E2AF85C" w14:textId="050EF00F" w:rsidR="00D659BD" w:rsidRDefault="00D659BD" w:rsidP="00CE1DC9">
      <w:pPr>
        <w:pStyle w:val="Bodycopy"/>
        <w:numPr>
          <w:ilvl w:val="0"/>
          <w:numId w:val="33"/>
        </w:numPr>
        <w:spacing w:afterLines="60" w:after="144" w:line="240" w:lineRule="auto"/>
        <w:jc w:val="both"/>
        <w:rPr>
          <w:sz w:val="22"/>
          <w:szCs w:val="22"/>
        </w:rPr>
      </w:pPr>
      <w:r>
        <w:rPr>
          <w:sz w:val="22"/>
          <w:szCs w:val="22"/>
        </w:rPr>
        <w:t>The potential of a negative impact resulting from market concentration should an auction system as proposed in the Report be introduced</w:t>
      </w:r>
      <w:r w:rsidR="002A7278">
        <w:rPr>
          <w:sz w:val="22"/>
          <w:szCs w:val="22"/>
        </w:rPr>
        <w:t>; and</w:t>
      </w:r>
    </w:p>
    <w:p w14:paraId="1186C036" w14:textId="4E274240" w:rsidR="00EB7069" w:rsidRDefault="00EB7069" w:rsidP="00CE1DC9">
      <w:pPr>
        <w:pStyle w:val="Bodycopy"/>
        <w:numPr>
          <w:ilvl w:val="0"/>
          <w:numId w:val="33"/>
        </w:numPr>
        <w:spacing w:afterLines="60" w:after="144" w:line="240" w:lineRule="auto"/>
        <w:jc w:val="both"/>
        <w:rPr>
          <w:sz w:val="22"/>
          <w:szCs w:val="22"/>
        </w:rPr>
      </w:pPr>
      <w:r>
        <w:rPr>
          <w:sz w:val="22"/>
          <w:szCs w:val="22"/>
        </w:rPr>
        <w:t>The current state of fund mergers and what action, if any, should be taken to further encourage mergers</w:t>
      </w:r>
      <w:r w:rsidR="002A7278">
        <w:rPr>
          <w:sz w:val="22"/>
          <w:szCs w:val="22"/>
        </w:rPr>
        <w:t>.</w:t>
      </w:r>
    </w:p>
    <w:p w14:paraId="79888279" w14:textId="77777777" w:rsidR="00D659BD" w:rsidRDefault="00D659BD" w:rsidP="00D659BD">
      <w:pPr>
        <w:pStyle w:val="Bodycopy"/>
        <w:spacing w:afterLines="60" w:after="144" w:line="240" w:lineRule="auto"/>
        <w:jc w:val="both"/>
        <w:rPr>
          <w:sz w:val="22"/>
          <w:szCs w:val="22"/>
        </w:rPr>
      </w:pPr>
    </w:p>
    <w:p w14:paraId="05025844" w14:textId="77777777" w:rsidR="00D659BD" w:rsidRPr="00D659BD" w:rsidRDefault="00D659BD" w:rsidP="00D659BD">
      <w:pPr>
        <w:pStyle w:val="Bodycopy"/>
        <w:spacing w:afterLines="60" w:after="144" w:line="240" w:lineRule="auto"/>
        <w:jc w:val="both"/>
        <w:rPr>
          <w:b/>
          <w:sz w:val="22"/>
          <w:szCs w:val="22"/>
        </w:rPr>
      </w:pPr>
      <w:r w:rsidRPr="00D659BD">
        <w:rPr>
          <w:b/>
          <w:sz w:val="22"/>
          <w:szCs w:val="22"/>
        </w:rPr>
        <w:t>The current System</w:t>
      </w:r>
    </w:p>
    <w:p w14:paraId="4600E95E" w14:textId="77777777" w:rsidR="00CE1DC9" w:rsidRDefault="00CE1DC9" w:rsidP="00CE1DC9">
      <w:pPr>
        <w:pStyle w:val="Bodycopy"/>
        <w:spacing w:afterLines="60" w:after="144" w:line="240" w:lineRule="auto"/>
        <w:jc w:val="both"/>
        <w:rPr>
          <w:sz w:val="22"/>
          <w:szCs w:val="22"/>
        </w:rPr>
      </w:pPr>
      <w:r>
        <w:rPr>
          <w:sz w:val="22"/>
          <w:szCs w:val="22"/>
        </w:rPr>
        <w:t>Under the current system employees generally fall into one of three categories:</w:t>
      </w:r>
    </w:p>
    <w:p w14:paraId="2C058B9F" w14:textId="77777777" w:rsidR="00CE1DC9" w:rsidRDefault="00CE1DC9" w:rsidP="00CE1DC9">
      <w:pPr>
        <w:pStyle w:val="Bodycopy"/>
        <w:numPr>
          <w:ilvl w:val="0"/>
          <w:numId w:val="37"/>
        </w:numPr>
        <w:spacing w:afterLines="60" w:after="144" w:line="240" w:lineRule="auto"/>
        <w:jc w:val="both"/>
        <w:rPr>
          <w:sz w:val="22"/>
          <w:szCs w:val="22"/>
        </w:rPr>
      </w:pPr>
      <w:r>
        <w:rPr>
          <w:sz w:val="22"/>
          <w:szCs w:val="22"/>
        </w:rPr>
        <w:t xml:space="preserve">Award employees for whom an employer must select a default fund under the relevant Modern Award but at the same time the employee is given choice to select any complying superannuation fund into </w:t>
      </w:r>
      <w:r w:rsidR="00EF4FD4">
        <w:rPr>
          <w:sz w:val="22"/>
          <w:szCs w:val="22"/>
        </w:rPr>
        <w:t xml:space="preserve">which </w:t>
      </w:r>
      <w:r>
        <w:rPr>
          <w:sz w:val="22"/>
          <w:szCs w:val="22"/>
        </w:rPr>
        <w:t>their employer pays the Superannuation Guarantee contributions on the employee’s behalf.</w:t>
      </w:r>
    </w:p>
    <w:p w14:paraId="6BCA2FBF" w14:textId="77777777" w:rsidR="00EF3878" w:rsidRDefault="004E0537" w:rsidP="00CE1DC9">
      <w:pPr>
        <w:pStyle w:val="Bodycopy"/>
        <w:numPr>
          <w:ilvl w:val="0"/>
          <w:numId w:val="37"/>
        </w:numPr>
        <w:spacing w:afterLines="60" w:after="144" w:line="240" w:lineRule="auto"/>
        <w:jc w:val="both"/>
        <w:rPr>
          <w:sz w:val="22"/>
          <w:szCs w:val="22"/>
        </w:rPr>
      </w:pPr>
      <w:r>
        <w:rPr>
          <w:sz w:val="22"/>
          <w:szCs w:val="22"/>
        </w:rPr>
        <w:t>Employees covered by an Enterprise Bargaining agreement whereby, in most cases, the employer and body representing the employees (usually a trade union) agree a default fund into which Superannuation Guarantee contributions are paid and the employee is not given any choice or alternative options.</w:t>
      </w:r>
      <w:r w:rsidR="00EF3878">
        <w:rPr>
          <w:sz w:val="22"/>
          <w:szCs w:val="22"/>
        </w:rPr>
        <w:t xml:space="preserve">   </w:t>
      </w:r>
    </w:p>
    <w:p w14:paraId="46969C2F" w14:textId="77777777" w:rsidR="006977A8" w:rsidRDefault="006977A8" w:rsidP="00CE1DC9">
      <w:pPr>
        <w:pStyle w:val="Bodycopy"/>
        <w:numPr>
          <w:ilvl w:val="0"/>
          <w:numId w:val="37"/>
        </w:numPr>
        <w:spacing w:afterLines="60" w:after="144" w:line="240" w:lineRule="auto"/>
        <w:jc w:val="both"/>
        <w:rPr>
          <w:sz w:val="22"/>
          <w:szCs w:val="22"/>
        </w:rPr>
      </w:pPr>
      <w:r>
        <w:rPr>
          <w:sz w:val="22"/>
          <w:szCs w:val="22"/>
        </w:rPr>
        <w:t xml:space="preserve">Non award employees who can be offered any complying fund with a </w:t>
      </w:r>
      <w:proofErr w:type="spellStart"/>
      <w:r>
        <w:rPr>
          <w:sz w:val="22"/>
          <w:szCs w:val="22"/>
        </w:rPr>
        <w:t>MySupe</w:t>
      </w:r>
      <w:r w:rsidR="00D659BD">
        <w:rPr>
          <w:sz w:val="22"/>
          <w:szCs w:val="22"/>
        </w:rPr>
        <w:t>r</w:t>
      </w:r>
      <w:proofErr w:type="spellEnd"/>
      <w:r w:rsidR="00D659BD">
        <w:rPr>
          <w:sz w:val="22"/>
          <w:szCs w:val="22"/>
        </w:rPr>
        <w:t xml:space="preserve"> licence as the default option.</w:t>
      </w:r>
    </w:p>
    <w:p w14:paraId="1AF2A333" w14:textId="77777777" w:rsidR="00EF4FD4" w:rsidRPr="002A7278" w:rsidRDefault="00EF4FD4" w:rsidP="00D659BD">
      <w:pPr>
        <w:pStyle w:val="Bodycopy"/>
        <w:spacing w:afterLines="60" w:after="144" w:line="240" w:lineRule="auto"/>
        <w:jc w:val="both"/>
        <w:rPr>
          <w:sz w:val="22"/>
          <w:szCs w:val="22"/>
        </w:rPr>
      </w:pPr>
    </w:p>
    <w:p w14:paraId="5EF803EC" w14:textId="22341CB8" w:rsidR="00D659BD" w:rsidRDefault="00D659BD" w:rsidP="006977A8">
      <w:pPr>
        <w:pStyle w:val="Bodycopy"/>
        <w:spacing w:afterLines="60" w:after="144" w:line="240" w:lineRule="auto"/>
        <w:jc w:val="both"/>
        <w:rPr>
          <w:sz w:val="22"/>
          <w:szCs w:val="22"/>
        </w:rPr>
      </w:pPr>
      <w:r w:rsidRPr="00D659BD">
        <w:rPr>
          <w:b/>
          <w:sz w:val="22"/>
          <w:szCs w:val="22"/>
        </w:rPr>
        <w:t>The role of APRA</w:t>
      </w:r>
    </w:p>
    <w:p w14:paraId="6BBB51A5" w14:textId="1B1524D1" w:rsidR="006977A8" w:rsidRDefault="006977A8" w:rsidP="006977A8">
      <w:pPr>
        <w:pStyle w:val="Bodycopy"/>
        <w:spacing w:afterLines="60" w:after="144" w:line="240" w:lineRule="auto"/>
        <w:jc w:val="both"/>
        <w:rPr>
          <w:sz w:val="22"/>
          <w:szCs w:val="22"/>
        </w:rPr>
      </w:pPr>
      <w:r>
        <w:rPr>
          <w:sz w:val="22"/>
          <w:szCs w:val="22"/>
        </w:rPr>
        <w:t xml:space="preserve">The important common thread between each of these classes of employee is that the default fund offered must hold a </w:t>
      </w:r>
      <w:proofErr w:type="spellStart"/>
      <w:r>
        <w:rPr>
          <w:sz w:val="22"/>
          <w:szCs w:val="22"/>
        </w:rPr>
        <w:t>MySuper</w:t>
      </w:r>
      <w:proofErr w:type="spellEnd"/>
      <w:r>
        <w:rPr>
          <w:sz w:val="22"/>
          <w:szCs w:val="22"/>
        </w:rPr>
        <w:t xml:space="preserve"> licence. There are approximately 130 such funds covering retail, corporate, non-exempt public sector and industry funds. These funds are generally held to a high level of governance and operation</w:t>
      </w:r>
      <w:r w:rsidR="002A7278">
        <w:rPr>
          <w:sz w:val="22"/>
          <w:szCs w:val="22"/>
        </w:rPr>
        <w:t>al</w:t>
      </w:r>
      <w:r>
        <w:rPr>
          <w:sz w:val="22"/>
          <w:szCs w:val="22"/>
        </w:rPr>
        <w:t xml:space="preserve"> </w:t>
      </w:r>
      <w:r w:rsidR="00EF4FD4">
        <w:rPr>
          <w:sz w:val="22"/>
          <w:szCs w:val="22"/>
        </w:rPr>
        <w:t xml:space="preserve">standards </w:t>
      </w:r>
      <w:r>
        <w:rPr>
          <w:sz w:val="22"/>
          <w:szCs w:val="22"/>
        </w:rPr>
        <w:t xml:space="preserve">in that they are assessed by APRA on a 12-18 month cycle. In our experience APRA examines all aspects of these funds including investment performance, administration and life insurance. It has been clear to Deloitte that APRA has recently “raised the bar” and as such is demanding an increasingly higher standard and performance from these funds. Where APRA feels that a particular fund does not meet the standards it </w:t>
      </w:r>
      <w:r w:rsidR="002A7278">
        <w:rPr>
          <w:sz w:val="22"/>
          <w:szCs w:val="22"/>
        </w:rPr>
        <w:t>has power to</w:t>
      </w:r>
      <w:r>
        <w:rPr>
          <w:sz w:val="22"/>
          <w:szCs w:val="22"/>
        </w:rPr>
        <w:t xml:space="preserve"> either revoke the </w:t>
      </w:r>
      <w:proofErr w:type="spellStart"/>
      <w:r>
        <w:rPr>
          <w:sz w:val="22"/>
          <w:szCs w:val="22"/>
        </w:rPr>
        <w:t>MySuper</w:t>
      </w:r>
      <w:proofErr w:type="spellEnd"/>
      <w:r>
        <w:rPr>
          <w:sz w:val="22"/>
          <w:szCs w:val="22"/>
        </w:rPr>
        <w:t xml:space="preserve"> licence or encourage the trustee of the fund to consider merger options.</w:t>
      </w:r>
    </w:p>
    <w:p w14:paraId="0C3809C6" w14:textId="15323713" w:rsidR="00622C5D" w:rsidRDefault="00622C5D" w:rsidP="006977A8">
      <w:pPr>
        <w:pStyle w:val="Bodycopy"/>
        <w:spacing w:afterLines="60" w:after="144" w:line="240" w:lineRule="auto"/>
        <w:jc w:val="both"/>
        <w:rPr>
          <w:sz w:val="22"/>
          <w:szCs w:val="22"/>
        </w:rPr>
      </w:pPr>
      <w:r>
        <w:rPr>
          <w:sz w:val="22"/>
          <w:szCs w:val="22"/>
        </w:rPr>
        <w:t xml:space="preserve">Under Draft Finding 3.5 of </w:t>
      </w:r>
      <w:r w:rsidR="00EF4FD4">
        <w:rPr>
          <w:sz w:val="22"/>
          <w:szCs w:val="22"/>
        </w:rPr>
        <w:t xml:space="preserve">the </w:t>
      </w:r>
      <w:r>
        <w:rPr>
          <w:sz w:val="22"/>
          <w:szCs w:val="22"/>
        </w:rPr>
        <w:t>Report the Commission recommends that “the selection of eligible default products should be administered by a government body and be subject to strong governance rules”. We believe such a body exists with APRA</w:t>
      </w:r>
      <w:r w:rsidR="002A7278">
        <w:rPr>
          <w:sz w:val="22"/>
          <w:szCs w:val="22"/>
        </w:rPr>
        <w:t xml:space="preserve"> insofar as it assesses funds as to whether or not they should hold a </w:t>
      </w:r>
      <w:proofErr w:type="spellStart"/>
      <w:r w:rsidR="002A7278">
        <w:rPr>
          <w:sz w:val="22"/>
          <w:szCs w:val="22"/>
        </w:rPr>
        <w:t>MySuper</w:t>
      </w:r>
      <w:proofErr w:type="spellEnd"/>
      <w:r w:rsidR="002A7278">
        <w:rPr>
          <w:sz w:val="22"/>
          <w:szCs w:val="22"/>
        </w:rPr>
        <w:t xml:space="preserve"> licence</w:t>
      </w:r>
      <w:r>
        <w:rPr>
          <w:sz w:val="22"/>
          <w:szCs w:val="22"/>
        </w:rPr>
        <w:t xml:space="preserve"> and that the establishment of any new body would simply add an unnecessary additional level of b</w:t>
      </w:r>
      <w:r w:rsidR="00EF4FD4">
        <w:rPr>
          <w:sz w:val="22"/>
          <w:szCs w:val="22"/>
        </w:rPr>
        <w:t>ur</w:t>
      </w:r>
      <w:r>
        <w:rPr>
          <w:sz w:val="22"/>
          <w:szCs w:val="22"/>
        </w:rPr>
        <w:t xml:space="preserve">eaucracy which would not add any value to the members’ best interest. </w:t>
      </w:r>
    </w:p>
    <w:p w14:paraId="5CDBBAE2" w14:textId="77777777" w:rsidR="00622C5D" w:rsidRDefault="00622C5D" w:rsidP="006977A8">
      <w:pPr>
        <w:pStyle w:val="Bodycopy"/>
        <w:spacing w:afterLines="60" w:after="144" w:line="240" w:lineRule="auto"/>
        <w:jc w:val="both"/>
        <w:rPr>
          <w:sz w:val="22"/>
          <w:szCs w:val="22"/>
        </w:rPr>
      </w:pPr>
      <w:r>
        <w:rPr>
          <w:sz w:val="22"/>
          <w:szCs w:val="22"/>
        </w:rPr>
        <w:t>We have already seen the Fair Work Commission encounter numerous issues in selecting default funds under Modern Awards and we see no reason why an independent body would succeed where the Fair Work Commission has not.</w:t>
      </w:r>
    </w:p>
    <w:p w14:paraId="749D54A7" w14:textId="0372B59E" w:rsidR="00622C5D" w:rsidRDefault="00622C5D" w:rsidP="006977A8">
      <w:pPr>
        <w:pStyle w:val="Bodycopy"/>
        <w:spacing w:afterLines="60" w:after="144" w:line="240" w:lineRule="auto"/>
        <w:jc w:val="both"/>
        <w:rPr>
          <w:sz w:val="22"/>
          <w:szCs w:val="22"/>
        </w:rPr>
      </w:pPr>
      <w:r>
        <w:rPr>
          <w:sz w:val="22"/>
          <w:szCs w:val="22"/>
        </w:rPr>
        <w:t>Should APRA be appointed as the body determining whether funds should be eligible to be default funds</w:t>
      </w:r>
      <w:r w:rsidR="002A7278">
        <w:rPr>
          <w:sz w:val="22"/>
          <w:szCs w:val="22"/>
        </w:rPr>
        <w:t xml:space="preserve">, by way of holding a </w:t>
      </w:r>
      <w:proofErr w:type="spellStart"/>
      <w:r w:rsidR="002A7278">
        <w:rPr>
          <w:sz w:val="22"/>
          <w:szCs w:val="22"/>
        </w:rPr>
        <w:t>MySuper</w:t>
      </w:r>
      <w:proofErr w:type="spellEnd"/>
      <w:r w:rsidR="002A7278">
        <w:rPr>
          <w:sz w:val="22"/>
          <w:szCs w:val="22"/>
        </w:rPr>
        <w:t xml:space="preserve"> licence,</w:t>
      </w:r>
      <w:r>
        <w:rPr>
          <w:sz w:val="22"/>
          <w:szCs w:val="22"/>
        </w:rPr>
        <w:t xml:space="preserve"> we recommend:</w:t>
      </w:r>
    </w:p>
    <w:p w14:paraId="52C581BA" w14:textId="77777777" w:rsidR="006977A8" w:rsidRDefault="00622C5D" w:rsidP="00622C5D">
      <w:pPr>
        <w:pStyle w:val="Bodycopy"/>
        <w:numPr>
          <w:ilvl w:val="0"/>
          <w:numId w:val="38"/>
        </w:numPr>
        <w:spacing w:afterLines="60" w:after="144" w:line="240" w:lineRule="auto"/>
        <w:jc w:val="both"/>
        <w:rPr>
          <w:sz w:val="22"/>
          <w:szCs w:val="22"/>
        </w:rPr>
      </w:pPr>
      <w:r>
        <w:rPr>
          <w:sz w:val="22"/>
          <w:szCs w:val="22"/>
        </w:rPr>
        <w:t xml:space="preserve">The assessment process take part on an annual basis to ensure </w:t>
      </w:r>
      <w:r w:rsidR="00837DCA">
        <w:rPr>
          <w:sz w:val="22"/>
          <w:szCs w:val="22"/>
        </w:rPr>
        <w:t xml:space="preserve">the </w:t>
      </w:r>
      <w:proofErr w:type="spellStart"/>
      <w:r w:rsidR="00837DCA">
        <w:rPr>
          <w:sz w:val="22"/>
          <w:szCs w:val="22"/>
        </w:rPr>
        <w:t>on-going</w:t>
      </w:r>
      <w:proofErr w:type="spellEnd"/>
      <w:r w:rsidR="00837DCA">
        <w:rPr>
          <w:sz w:val="22"/>
          <w:szCs w:val="22"/>
        </w:rPr>
        <w:t xml:space="preserve"> appropriateness of the default funds;  </w:t>
      </w:r>
    </w:p>
    <w:p w14:paraId="7E0EAE88" w14:textId="4277A2E0" w:rsidR="00837DCA" w:rsidRDefault="00837DCA" w:rsidP="00622C5D">
      <w:pPr>
        <w:pStyle w:val="Bodycopy"/>
        <w:numPr>
          <w:ilvl w:val="0"/>
          <w:numId w:val="38"/>
        </w:numPr>
        <w:spacing w:afterLines="60" w:after="144" w:line="240" w:lineRule="auto"/>
        <w:jc w:val="both"/>
        <w:rPr>
          <w:sz w:val="22"/>
          <w:szCs w:val="22"/>
        </w:rPr>
      </w:pPr>
      <w:r>
        <w:rPr>
          <w:sz w:val="22"/>
          <w:szCs w:val="22"/>
        </w:rPr>
        <w:t xml:space="preserve">APRA be given sufficient powers to remove a fund’s default </w:t>
      </w:r>
      <w:r w:rsidR="00EF4FD4">
        <w:rPr>
          <w:sz w:val="22"/>
          <w:szCs w:val="22"/>
        </w:rPr>
        <w:t>fund status</w:t>
      </w:r>
      <w:r>
        <w:rPr>
          <w:sz w:val="22"/>
          <w:szCs w:val="22"/>
        </w:rPr>
        <w:t>; and</w:t>
      </w:r>
    </w:p>
    <w:p w14:paraId="144AA22D" w14:textId="77777777" w:rsidR="00837DCA" w:rsidRDefault="00837DCA" w:rsidP="00622C5D">
      <w:pPr>
        <w:pStyle w:val="Bodycopy"/>
        <w:numPr>
          <w:ilvl w:val="0"/>
          <w:numId w:val="38"/>
        </w:numPr>
        <w:spacing w:afterLines="60" w:after="144" w:line="240" w:lineRule="auto"/>
        <w:jc w:val="both"/>
        <w:rPr>
          <w:sz w:val="22"/>
          <w:szCs w:val="22"/>
        </w:rPr>
      </w:pPr>
      <w:r>
        <w:rPr>
          <w:sz w:val="22"/>
          <w:szCs w:val="22"/>
        </w:rPr>
        <w:t xml:space="preserve">Funds have available to them a simplified appeals process (not the Administration Appeals Tribunal) in order to challenge an adverse assessment by APRA. </w:t>
      </w:r>
    </w:p>
    <w:p w14:paraId="0E3C5B1D" w14:textId="77777777" w:rsidR="00EB7069" w:rsidRPr="002A7278" w:rsidRDefault="00EF4FD4" w:rsidP="00D659BD">
      <w:pPr>
        <w:pStyle w:val="Bodycopy"/>
        <w:spacing w:afterLines="60" w:after="144" w:line="240" w:lineRule="auto"/>
        <w:jc w:val="both"/>
        <w:rPr>
          <w:sz w:val="22"/>
          <w:szCs w:val="22"/>
        </w:rPr>
      </w:pPr>
      <w:r w:rsidRPr="002A7278">
        <w:rPr>
          <w:sz w:val="22"/>
          <w:szCs w:val="22"/>
        </w:rPr>
        <w:t>We believe that</w:t>
      </w:r>
      <w:r>
        <w:rPr>
          <w:sz w:val="22"/>
          <w:szCs w:val="22"/>
        </w:rPr>
        <w:t xml:space="preserve"> the default fund assessment process should be structured with an “early warning” system where, in the case where the assessment body determines that the fund may be at risk of losing its default fund status, the fund is allowed a period to improve in the areas of deficiency. The fund would work under the guidance of the assessment body during this period, further supporting our </w:t>
      </w:r>
      <w:r>
        <w:rPr>
          <w:sz w:val="22"/>
          <w:szCs w:val="22"/>
        </w:rPr>
        <w:lastRenderedPageBreak/>
        <w:t>view that the assessment body should be APRA as such a relationship between APRA and funds already exists.</w:t>
      </w:r>
    </w:p>
    <w:p w14:paraId="3C8014F1" w14:textId="77777777" w:rsidR="00EB7069" w:rsidRDefault="00EB7069" w:rsidP="00D659BD">
      <w:pPr>
        <w:pStyle w:val="Bodycopy"/>
        <w:spacing w:afterLines="60" w:after="144" w:line="240" w:lineRule="auto"/>
        <w:jc w:val="both"/>
        <w:rPr>
          <w:b/>
          <w:sz w:val="22"/>
          <w:szCs w:val="22"/>
        </w:rPr>
      </w:pPr>
    </w:p>
    <w:p w14:paraId="18B03E3D" w14:textId="77777777" w:rsidR="00D659BD" w:rsidRPr="00D659BD" w:rsidRDefault="00D659BD" w:rsidP="00D659BD">
      <w:pPr>
        <w:pStyle w:val="Bodycopy"/>
        <w:spacing w:afterLines="60" w:after="144" w:line="240" w:lineRule="auto"/>
        <w:jc w:val="both"/>
        <w:rPr>
          <w:b/>
          <w:sz w:val="22"/>
          <w:szCs w:val="22"/>
        </w:rPr>
      </w:pPr>
      <w:r w:rsidRPr="00D659BD">
        <w:rPr>
          <w:b/>
          <w:sz w:val="22"/>
          <w:szCs w:val="22"/>
        </w:rPr>
        <w:t>Lifetime choice</w:t>
      </w:r>
    </w:p>
    <w:p w14:paraId="3C507816" w14:textId="77777777" w:rsidR="003410B8" w:rsidRDefault="003410B8" w:rsidP="003410B8">
      <w:pPr>
        <w:pStyle w:val="Bodycopy"/>
        <w:spacing w:afterLines="60" w:after="144" w:line="240" w:lineRule="auto"/>
        <w:jc w:val="both"/>
        <w:rPr>
          <w:sz w:val="22"/>
          <w:szCs w:val="22"/>
        </w:rPr>
      </w:pPr>
      <w:r>
        <w:rPr>
          <w:sz w:val="22"/>
          <w:szCs w:val="22"/>
        </w:rPr>
        <w:t>We agree with the Commission’s Draft Finding 3.1 that “where members can be defaulted to a new account on every change of job increases the proliferation of accounts.” This is clearly evidenced by research Deloitte has carried out which shows the average 25 year old has 3-4 superannuation accounts, each with, in our view, inadequate balances.</w:t>
      </w:r>
    </w:p>
    <w:p w14:paraId="761BBA3B" w14:textId="77777777" w:rsidR="003410B8" w:rsidRDefault="003410B8" w:rsidP="003410B8">
      <w:pPr>
        <w:pStyle w:val="Bodycopy"/>
        <w:spacing w:afterLines="60" w:after="144" w:line="240" w:lineRule="auto"/>
        <w:jc w:val="both"/>
        <w:rPr>
          <w:sz w:val="22"/>
          <w:szCs w:val="22"/>
        </w:rPr>
      </w:pPr>
      <w:r>
        <w:rPr>
          <w:sz w:val="22"/>
          <w:szCs w:val="22"/>
        </w:rPr>
        <w:t xml:space="preserve">It should be noted, however, that </w:t>
      </w:r>
      <w:r w:rsidR="00A91A57">
        <w:rPr>
          <w:sz w:val="22"/>
          <w:szCs w:val="22"/>
        </w:rPr>
        <w:t xml:space="preserve">having multiple </w:t>
      </w:r>
      <w:r>
        <w:rPr>
          <w:sz w:val="22"/>
          <w:szCs w:val="22"/>
        </w:rPr>
        <w:t>account</w:t>
      </w:r>
      <w:r w:rsidR="00A91A57">
        <w:rPr>
          <w:sz w:val="22"/>
          <w:szCs w:val="22"/>
        </w:rPr>
        <w:t>s, where the account balance is large enough is not necessarily a negative as multiple accounts can provide diversification in investment style and advisers.</w:t>
      </w:r>
      <w:r>
        <w:rPr>
          <w:sz w:val="22"/>
          <w:szCs w:val="22"/>
        </w:rPr>
        <w:t xml:space="preserve">  </w:t>
      </w:r>
    </w:p>
    <w:p w14:paraId="20C46C43" w14:textId="77777777" w:rsidR="00D659BD" w:rsidRDefault="00D659BD" w:rsidP="003410B8">
      <w:pPr>
        <w:pStyle w:val="Bodycopy"/>
        <w:spacing w:afterLines="60" w:after="144" w:line="240" w:lineRule="auto"/>
        <w:jc w:val="both"/>
        <w:rPr>
          <w:sz w:val="22"/>
          <w:szCs w:val="22"/>
        </w:rPr>
      </w:pPr>
      <w:r>
        <w:rPr>
          <w:sz w:val="22"/>
          <w:szCs w:val="22"/>
        </w:rPr>
        <w:t xml:space="preserve">Our concern is that the proposed lifetime choice, while minimising annual administration fees paid by members, will not, in our view, promote member engagement. We believe that fund members need to be educated on the choices they make and effectively forced to make a decision on the fund into which their Superannuation Guarantee contributions will be paid. </w:t>
      </w:r>
      <w:r w:rsidR="00917FFB">
        <w:rPr>
          <w:sz w:val="22"/>
          <w:szCs w:val="22"/>
        </w:rPr>
        <w:t>A lifetime choice model will, in our view, guarantee less engagement as a member</w:t>
      </w:r>
      <w:r>
        <w:rPr>
          <w:sz w:val="22"/>
          <w:szCs w:val="22"/>
        </w:rPr>
        <w:t xml:space="preserve"> </w:t>
      </w:r>
      <w:r w:rsidR="00EF5AB2">
        <w:rPr>
          <w:sz w:val="22"/>
          <w:szCs w:val="22"/>
        </w:rPr>
        <w:t>could be potentially a member of an under-performing fund throughout their working life.</w:t>
      </w:r>
    </w:p>
    <w:p w14:paraId="2A79FF83" w14:textId="77777777" w:rsidR="00EF5AB2" w:rsidRDefault="00EF5AB2" w:rsidP="003410B8">
      <w:pPr>
        <w:pStyle w:val="Bodycopy"/>
        <w:spacing w:afterLines="60" w:after="144" w:line="240" w:lineRule="auto"/>
        <w:jc w:val="both"/>
        <w:rPr>
          <w:sz w:val="22"/>
          <w:szCs w:val="22"/>
        </w:rPr>
      </w:pPr>
      <w:r>
        <w:rPr>
          <w:sz w:val="22"/>
          <w:szCs w:val="22"/>
        </w:rPr>
        <w:t>We suggest a preferable variation to this model would involve:</w:t>
      </w:r>
    </w:p>
    <w:p w14:paraId="254C0EC5" w14:textId="02B05674" w:rsidR="00EF5AB2" w:rsidRDefault="00EF5AB2" w:rsidP="00EF5AB2">
      <w:pPr>
        <w:pStyle w:val="Bodycopy"/>
        <w:numPr>
          <w:ilvl w:val="0"/>
          <w:numId w:val="39"/>
        </w:numPr>
        <w:spacing w:afterLines="60" w:after="144" w:line="240" w:lineRule="auto"/>
        <w:jc w:val="both"/>
        <w:rPr>
          <w:sz w:val="22"/>
          <w:szCs w:val="22"/>
        </w:rPr>
      </w:pPr>
      <w:r>
        <w:rPr>
          <w:sz w:val="22"/>
          <w:szCs w:val="22"/>
        </w:rPr>
        <w:t xml:space="preserve">An employee being allocated a notional lifetime </w:t>
      </w:r>
      <w:r w:rsidR="00EF4FD4">
        <w:rPr>
          <w:sz w:val="22"/>
          <w:szCs w:val="22"/>
        </w:rPr>
        <w:t xml:space="preserve">default </w:t>
      </w:r>
      <w:r>
        <w:rPr>
          <w:sz w:val="22"/>
          <w:szCs w:val="22"/>
        </w:rPr>
        <w:t>fund upon commencement of employment in their first job.</w:t>
      </w:r>
    </w:p>
    <w:p w14:paraId="71DF6EA9" w14:textId="77777777" w:rsidR="00EF5AB2" w:rsidRDefault="00EF5AB2" w:rsidP="00EF5AB2">
      <w:pPr>
        <w:pStyle w:val="Bodycopy"/>
        <w:numPr>
          <w:ilvl w:val="0"/>
          <w:numId w:val="39"/>
        </w:numPr>
        <w:spacing w:afterLines="60" w:after="144" w:line="240" w:lineRule="auto"/>
        <w:jc w:val="both"/>
        <w:rPr>
          <w:sz w:val="22"/>
          <w:szCs w:val="22"/>
        </w:rPr>
      </w:pPr>
      <w:r>
        <w:rPr>
          <w:sz w:val="22"/>
          <w:szCs w:val="22"/>
        </w:rPr>
        <w:t>Upon changing jobs the employee would be required to acknowledge, in writing, that they wished to continue with their lifetime default fund rather than the default fund offered by the employer.</w:t>
      </w:r>
    </w:p>
    <w:p w14:paraId="23A53418" w14:textId="77777777" w:rsidR="00EF5AB2" w:rsidRDefault="00EF5AB2" w:rsidP="00EF5AB2">
      <w:pPr>
        <w:pStyle w:val="Bodycopy"/>
        <w:numPr>
          <w:ilvl w:val="0"/>
          <w:numId w:val="39"/>
        </w:numPr>
        <w:spacing w:afterLines="60" w:after="144" w:line="240" w:lineRule="auto"/>
        <w:jc w:val="both"/>
        <w:rPr>
          <w:sz w:val="22"/>
          <w:szCs w:val="22"/>
        </w:rPr>
      </w:pPr>
      <w:r>
        <w:rPr>
          <w:sz w:val="22"/>
          <w:szCs w:val="22"/>
        </w:rPr>
        <w:t xml:space="preserve">If the employee chose the new employer default fund they would be required to confirm, in writing, whether they wanted their accounts consolidated or </w:t>
      </w:r>
      <w:r w:rsidR="00EF4FD4">
        <w:rPr>
          <w:sz w:val="22"/>
          <w:szCs w:val="22"/>
        </w:rPr>
        <w:t xml:space="preserve">to be </w:t>
      </w:r>
      <w:r>
        <w:rPr>
          <w:sz w:val="22"/>
          <w:szCs w:val="22"/>
        </w:rPr>
        <w:t>maintain</w:t>
      </w:r>
      <w:r w:rsidR="00EF4FD4">
        <w:rPr>
          <w:sz w:val="22"/>
          <w:szCs w:val="22"/>
        </w:rPr>
        <w:t>ed in</w:t>
      </w:r>
      <w:r>
        <w:rPr>
          <w:sz w:val="22"/>
          <w:szCs w:val="22"/>
        </w:rPr>
        <w:t xml:space="preserve"> two separate funds.</w:t>
      </w:r>
    </w:p>
    <w:p w14:paraId="13CC4960" w14:textId="77777777" w:rsidR="00EF5AB2" w:rsidRDefault="00EF5AB2" w:rsidP="00EF5AB2">
      <w:pPr>
        <w:pStyle w:val="Bodycopy"/>
        <w:numPr>
          <w:ilvl w:val="0"/>
          <w:numId w:val="39"/>
        </w:numPr>
        <w:spacing w:afterLines="60" w:after="144" w:line="240" w:lineRule="auto"/>
        <w:jc w:val="both"/>
        <w:rPr>
          <w:sz w:val="22"/>
          <w:szCs w:val="22"/>
        </w:rPr>
      </w:pPr>
      <w:r>
        <w:rPr>
          <w:sz w:val="22"/>
          <w:szCs w:val="22"/>
        </w:rPr>
        <w:t>It would be a requirement on the employer to make the default offer and use best endeavours to obtain the written consents.</w:t>
      </w:r>
    </w:p>
    <w:p w14:paraId="1F279462" w14:textId="77777777" w:rsidR="00EF5AB2" w:rsidRDefault="00EF5AB2" w:rsidP="00EF5AB2">
      <w:pPr>
        <w:pStyle w:val="Bodycopy"/>
        <w:numPr>
          <w:ilvl w:val="0"/>
          <w:numId w:val="39"/>
        </w:numPr>
        <w:spacing w:afterLines="60" w:after="144" w:line="240" w:lineRule="auto"/>
        <w:jc w:val="both"/>
        <w:rPr>
          <w:sz w:val="22"/>
          <w:szCs w:val="22"/>
        </w:rPr>
      </w:pPr>
      <w:r>
        <w:rPr>
          <w:sz w:val="22"/>
          <w:szCs w:val="22"/>
        </w:rPr>
        <w:t xml:space="preserve">Failure of an employee to complete any forms, after reasonable efforts by the employer, would result in the lifetime default fund being maintained. </w:t>
      </w:r>
    </w:p>
    <w:p w14:paraId="4C744965" w14:textId="77777777" w:rsidR="00EF5AB2" w:rsidRDefault="00EF5AB2" w:rsidP="00EF5AB2">
      <w:pPr>
        <w:pStyle w:val="Bodycopy"/>
        <w:numPr>
          <w:ilvl w:val="0"/>
          <w:numId w:val="39"/>
        </w:numPr>
        <w:spacing w:afterLines="60" w:after="144" w:line="240" w:lineRule="auto"/>
        <w:jc w:val="both"/>
        <w:rPr>
          <w:sz w:val="22"/>
          <w:szCs w:val="22"/>
        </w:rPr>
      </w:pPr>
      <w:r>
        <w:rPr>
          <w:sz w:val="22"/>
          <w:szCs w:val="22"/>
        </w:rPr>
        <w:t xml:space="preserve">If the </w:t>
      </w:r>
      <w:proofErr w:type="spellStart"/>
      <w:r>
        <w:rPr>
          <w:sz w:val="22"/>
          <w:szCs w:val="22"/>
        </w:rPr>
        <w:t>ATO</w:t>
      </w:r>
      <w:proofErr w:type="spellEnd"/>
      <w:r>
        <w:rPr>
          <w:sz w:val="22"/>
          <w:szCs w:val="22"/>
        </w:rPr>
        <w:t xml:space="preserve">, as the appropriate government agency, did not receive the consent forms it would be required, once it was aware of the change of employment through the taxation system, to notify the employee of their rights to select any complying fund and to consolidate accounts if so desired.  </w:t>
      </w:r>
    </w:p>
    <w:p w14:paraId="243080B5" w14:textId="77777777" w:rsidR="00EF4FD4" w:rsidRDefault="00EF4FD4" w:rsidP="003410B8">
      <w:pPr>
        <w:pStyle w:val="Bodycopy"/>
        <w:spacing w:afterLines="60" w:after="144" w:line="240" w:lineRule="auto"/>
        <w:jc w:val="both"/>
        <w:rPr>
          <w:sz w:val="22"/>
          <w:szCs w:val="22"/>
        </w:rPr>
      </w:pPr>
      <w:r>
        <w:rPr>
          <w:sz w:val="22"/>
          <w:szCs w:val="22"/>
        </w:rPr>
        <w:t>In our view, this process would promote member engagement and reduce the risk of a member remaining in an under-performing fund, through bringing the choice of fund front-of-mind upon commencing a new job.</w:t>
      </w:r>
    </w:p>
    <w:p w14:paraId="73C6717F" w14:textId="77777777" w:rsidR="00EF4FD4" w:rsidRPr="002A7278" w:rsidRDefault="00EF4FD4" w:rsidP="003410B8">
      <w:pPr>
        <w:pStyle w:val="Bodycopy"/>
        <w:spacing w:afterLines="60" w:after="144" w:line="240" w:lineRule="auto"/>
        <w:jc w:val="both"/>
        <w:rPr>
          <w:sz w:val="22"/>
          <w:szCs w:val="22"/>
        </w:rPr>
      </w:pPr>
    </w:p>
    <w:p w14:paraId="1EFD1BDC" w14:textId="77777777" w:rsidR="00D659BD" w:rsidRPr="00D659BD" w:rsidRDefault="0020481C" w:rsidP="003410B8">
      <w:pPr>
        <w:pStyle w:val="Bodycopy"/>
        <w:spacing w:afterLines="60" w:after="144" w:line="240" w:lineRule="auto"/>
        <w:jc w:val="both"/>
        <w:rPr>
          <w:b/>
          <w:sz w:val="22"/>
          <w:szCs w:val="22"/>
        </w:rPr>
      </w:pPr>
      <w:r>
        <w:rPr>
          <w:b/>
          <w:sz w:val="22"/>
          <w:szCs w:val="22"/>
        </w:rPr>
        <w:t>The Auction System</w:t>
      </w:r>
    </w:p>
    <w:p w14:paraId="1C28456A" w14:textId="41F142E8" w:rsidR="0020481C" w:rsidRDefault="0020481C" w:rsidP="00CE1DC9">
      <w:pPr>
        <w:pStyle w:val="Bodycopy"/>
        <w:spacing w:afterLines="60" w:after="144" w:line="240" w:lineRule="auto"/>
        <w:jc w:val="both"/>
        <w:rPr>
          <w:sz w:val="22"/>
          <w:szCs w:val="22"/>
        </w:rPr>
      </w:pPr>
      <w:r>
        <w:rPr>
          <w:sz w:val="22"/>
          <w:szCs w:val="22"/>
        </w:rPr>
        <w:t xml:space="preserve">Sections 6 and 7 of </w:t>
      </w:r>
      <w:r w:rsidR="00EF4FD4">
        <w:rPr>
          <w:sz w:val="22"/>
          <w:szCs w:val="22"/>
        </w:rPr>
        <w:t xml:space="preserve">the </w:t>
      </w:r>
      <w:r>
        <w:rPr>
          <w:sz w:val="22"/>
          <w:szCs w:val="22"/>
        </w:rPr>
        <w:t>Report consider the merits of an auction system in order to arrive at a short-list of default funds. While we appreciate that the Commission is attempting to arrive at a system which reduces costs and increases efficiency we are concerned about the potential for adverse market concentration that an auction system might cause.</w:t>
      </w:r>
    </w:p>
    <w:p w14:paraId="4FFBB3DF" w14:textId="77777777" w:rsidR="0020481C" w:rsidRDefault="0020481C" w:rsidP="00CE1DC9">
      <w:pPr>
        <w:pStyle w:val="Bodycopy"/>
        <w:spacing w:afterLines="60" w:after="144" w:line="240" w:lineRule="auto"/>
        <w:jc w:val="both"/>
        <w:rPr>
          <w:sz w:val="22"/>
          <w:szCs w:val="22"/>
        </w:rPr>
      </w:pPr>
      <w:r>
        <w:rPr>
          <w:sz w:val="22"/>
          <w:szCs w:val="22"/>
        </w:rPr>
        <w:lastRenderedPageBreak/>
        <w:t xml:space="preserve">In the current environment most industry funds still rely on new entrants to maintain a positive cash flow at a time where the majority of members, upon retirement, do not roll their accumulated benefits into a pension product due to the relatively small size of their balances. In an era of unprecedented levels of household debt we are seeing members of funds using a large portion of their superannuation, upon retirement, to extinguish this debt and invest any cash remaining in non-superannuation products where the quantum of the investment will mean that tax is not paid, leaving these </w:t>
      </w:r>
      <w:proofErr w:type="spellStart"/>
      <w:r>
        <w:rPr>
          <w:sz w:val="22"/>
          <w:szCs w:val="22"/>
        </w:rPr>
        <w:t>monies</w:t>
      </w:r>
      <w:proofErr w:type="spellEnd"/>
      <w:r>
        <w:rPr>
          <w:sz w:val="22"/>
          <w:szCs w:val="22"/>
        </w:rPr>
        <w:t xml:space="preserve"> in much the same position as they would have been had they been left in superannuation.</w:t>
      </w:r>
    </w:p>
    <w:p w14:paraId="06304CFB" w14:textId="77777777" w:rsidR="0020481C" w:rsidRDefault="0020481C" w:rsidP="00CE1DC9">
      <w:pPr>
        <w:pStyle w:val="Bodycopy"/>
        <w:spacing w:afterLines="60" w:after="144" w:line="240" w:lineRule="auto"/>
        <w:jc w:val="both"/>
        <w:rPr>
          <w:sz w:val="22"/>
          <w:szCs w:val="22"/>
        </w:rPr>
      </w:pPr>
      <w:r>
        <w:rPr>
          <w:sz w:val="22"/>
          <w:szCs w:val="22"/>
        </w:rPr>
        <w:t xml:space="preserve">As a result funds are generally not yet retaining the majority of members through their period of retirement. </w:t>
      </w:r>
      <w:r w:rsidR="00EB7069">
        <w:rPr>
          <w:sz w:val="22"/>
          <w:szCs w:val="22"/>
        </w:rPr>
        <w:t>Without new entrants many of these funds would not be cash flow positive.</w:t>
      </w:r>
    </w:p>
    <w:p w14:paraId="0605D9EE" w14:textId="77777777" w:rsidR="00EB7069" w:rsidRDefault="00EB7069" w:rsidP="00CE1DC9">
      <w:pPr>
        <w:pStyle w:val="Bodycopy"/>
        <w:spacing w:afterLines="60" w:after="144" w:line="240" w:lineRule="auto"/>
        <w:jc w:val="both"/>
        <w:rPr>
          <w:sz w:val="22"/>
          <w:szCs w:val="22"/>
        </w:rPr>
      </w:pPr>
      <w:r>
        <w:rPr>
          <w:sz w:val="22"/>
          <w:szCs w:val="22"/>
        </w:rPr>
        <w:t xml:space="preserve">Under the proposed auction system those funds which are not selected to be the short-listed default funds would, in many cases, be forced to wind up or merge. While this outcome may be a positive result from some perspectives we are concerned that the ultimate outcome would be a market of only those funds which are selected under the auction system. The same outcome might also apply to certain classes of service providers such as administrators and group life insurers. </w:t>
      </w:r>
    </w:p>
    <w:p w14:paraId="29864166" w14:textId="77777777" w:rsidR="00EB7069" w:rsidRDefault="00EB7069" w:rsidP="00CE1DC9">
      <w:pPr>
        <w:pStyle w:val="Bodycopy"/>
        <w:spacing w:afterLines="60" w:after="144" w:line="240" w:lineRule="auto"/>
        <w:jc w:val="both"/>
        <w:rPr>
          <w:sz w:val="22"/>
          <w:szCs w:val="22"/>
        </w:rPr>
      </w:pPr>
      <w:r>
        <w:rPr>
          <w:sz w:val="22"/>
          <w:szCs w:val="22"/>
        </w:rPr>
        <w:t>In recent times we have seen the intense scrutiny the banking system has come under with allegations of lack of competition with many smaller financial institutions such as credit unions withdrawing from the market and we would be concerned if the same result occurred in the superannuation industry. Deloitte strongly supports the concept and practice of competition. We are concerned with any changes to the current superannuation environment that in any way diminishes or restricts competition between funds.</w:t>
      </w:r>
    </w:p>
    <w:p w14:paraId="1E87B9E7" w14:textId="77777777" w:rsidR="00EF4FD4" w:rsidRDefault="00EF4FD4" w:rsidP="00CE1DC9">
      <w:pPr>
        <w:pStyle w:val="Bodycopy"/>
        <w:spacing w:afterLines="60" w:after="144" w:line="240" w:lineRule="auto"/>
        <w:jc w:val="both"/>
        <w:rPr>
          <w:sz w:val="22"/>
          <w:szCs w:val="22"/>
        </w:rPr>
      </w:pPr>
      <w:r>
        <w:rPr>
          <w:sz w:val="22"/>
          <w:szCs w:val="22"/>
        </w:rPr>
        <w:t>We are also concerned with any auction process which is heavily weighted toward costs alone. We believe that such a system would result in services or governance practices being sacrificed in order to meet cost expectations.</w:t>
      </w:r>
    </w:p>
    <w:p w14:paraId="57F39035" w14:textId="77777777" w:rsidR="00EB7069" w:rsidRDefault="00EB7069" w:rsidP="00CE1DC9">
      <w:pPr>
        <w:pStyle w:val="Bodycopy"/>
        <w:spacing w:afterLines="60" w:after="144" w:line="240" w:lineRule="auto"/>
        <w:jc w:val="both"/>
        <w:rPr>
          <w:sz w:val="22"/>
          <w:szCs w:val="22"/>
        </w:rPr>
      </w:pPr>
    </w:p>
    <w:p w14:paraId="35F0316C" w14:textId="77777777" w:rsidR="00EB7069" w:rsidRDefault="00EB7069" w:rsidP="00CE1DC9">
      <w:pPr>
        <w:pStyle w:val="Bodycopy"/>
        <w:spacing w:afterLines="60" w:after="144" w:line="240" w:lineRule="auto"/>
        <w:jc w:val="both"/>
        <w:rPr>
          <w:b/>
          <w:sz w:val="22"/>
          <w:szCs w:val="22"/>
        </w:rPr>
      </w:pPr>
      <w:r w:rsidRPr="00EB7069">
        <w:rPr>
          <w:b/>
          <w:sz w:val="22"/>
          <w:szCs w:val="22"/>
        </w:rPr>
        <w:t xml:space="preserve">Fund mergers  </w:t>
      </w:r>
    </w:p>
    <w:p w14:paraId="0039CE24" w14:textId="77777777" w:rsidR="00EB7069" w:rsidRDefault="00EB7069" w:rsidP="00CE1DC9">
      <w:pPr>
        <w:pStyle w:val="Bodycopy"/>
        <w:spacing w:afterLines="60" w:after="144" w:line="240" w:lineRule="auto"/>
        <w:jc w:val="both"/>
        <w:rPr>
          <w:sz w:val="22"/>
          <w:szCs w:val="22"/>
        </w:rPr>
      </w:pPr>
      <w:r w:rsidRPr="00EB7069">
        <w:rPr>
          <w:sz w:val="22"/>
          <w:szCs w:val="22"/>
        </w:rPr>
        <w:t xml:space="preserve">In </w:t>
      </w:r>
      <w:r>
        <w:rPr>
          <w:sz w:val="22"/>
          <w:szCs w:val="22"/>
        </w:rPr>
        <w:t xml:space="preserve">Information Request 3.3 </w:t>
      </w:r>
      <w:r w:rsidR="005335C5">
        <w:rPr>
          <w:sz w:val="22"/>
          <w:szCs w:val="22"/>
        </w:rPr>
        <w:t xml:space="preserve">you ask for comment about fund mergers and what action, if any, that should be taken to make fund mergers occur. </w:t>
      </w:r>
    </w:p>
    <w:p w14:paraId="44A5DF7E" w14:textId="77777777" w:rsidR="005335C5" w:rsidRDefault="005335C5" w:rsidP="00CE1DC9">
      <w:pPr>
        <w:pStyle w:val="Bodycopy"/>
        <w:spacing w:afterLines="60" w:after="144" w:line="240" w:lineRule="auto"/>
        <w:jc w:val="both"/>
        <w:rPr>
          <w:sz w:val="22"/>
          <w:szCs w:val="22"/>
        </w:rPr>
      </w:pPr>
      <w:r>
        <w:rPr>
          <w:sz w:val="22"/>
          <w:szCs w:val="22"/>
        </w:rPr>
        <w:t>While Deloitte agrees that in some circumstances there is a strong argument for smaller funds to merge we do not agree with funds being forced to merge.</w:t>
      </w:r>
    </w:p>
    <w:p w14:paraId="2A7BC941" w14:textId="77777777" w:rsidR="005335C5" w:rsidRDefault="005335C5" w:rsidP="00CE1DC9">
      <w:pPr>
        <w:pStyle w:val="Bodycopy"/>
        <w:spacing w:afterLines="60" w:after="144" w:line="240" w:lineRule="auto"/>
        <w:jc w:val="both"/>
        <w:rPr>
          <w:sz w:val="22"/>
          <w:szCs w:val="22"/>
        </w:rPr>
      </w:pPr>
      <w:r>
        <w:rPr>
          <w:sz w:val="22"/>
          <w:szCs w:val="22"/>
        </w:rPr>
        <w:t xml:space="preserve">The decision of two industry funds to merge is a complex one which is influenced by a number of factors which might include efficiency gains, cost reductions and economies of scale however we have not seen an argument or evidence that confirms smaller funds (which we define as being in the $500 million to $2 billion range) cannot be as efficient or as competitive as larger funds. </w:t>
      </w:r>
    </w:p>
    <w:p w14:paraId="69E49ABA" w14:textId="77777777" w:rsidR="005335C5" w:rsidRDefault="005335C5" w:rsidP="00CE1DC9">
      <w:pPr>
        <w:pStyle w:val="Bodycopy"/>
        <w:spacing w:afterLines="60" w:after="144" w:line="240" w:lineRule="auto"/>
        <w:jc w:val="both"/>
        <w:rPr>
          <w:sz w:val="22"/>
          <w:szCs w:val="22"/>
        </w:rPr>
      </w:pPr>
      <w:r>
        <w:rPr>
          <w:sz w:val="22"/>
          <w:szCs w:val="22"/>
        </w:rPr>
        <w:t>Deloitte works with a number of these funds in the areas of consulting and audit and we have found that:</w:t>
      </w:r>
    </w:p>
    <w:p w14:paraId="0210C2CB" w14:textId="5FA0A2E9" w:rsidR="005335C5" w:rsidRDefault="005335C5" w:rsidP="005335C5">
      <w:pPr>
        <w:pStyle w:val="Bodycopy"/>
        <w:numPr>
          <w:ilvl w:val="0"/>
          <w:numId w:val="40"/>
        </w:numPr>
        <w:spacing w:afterLines="60" w:after="144" w:line="240" w:lineRule="auto"/>
        <w:jc w:val="both"/>
        <w:rPr>
          <w:sz w:val="22"/>
          <w:szCs w:val="22"/>
        </w:rPr>
      </w:pPr>
      <w:r>
        <w:rPr>
          <w:sz w:val="22"/>
          <w:szCs w:val="22"/>
        </w:rPr>
        <w:t xml:space="preserve">They use the large service providers such as the major administrators and insurers which give them </w:t>
      </w:r>
      <w:r w:rsidR="00EF4FD4">
        <w:rPr>
          <w:sz w:val="22"/>
          <w:szCs w:val="22"/>
        </w:rPr>
        <w:t>similar</w:t>
      </w:r>
      <w:r>
        <w:rPr>
          <w:sz w:val="22"/>
          <w:szCs w:val="22"/>
        </w:rPr>
        <w:t xml:space="preserve"> economies as larger funds;</w:t>
      </w:r>
    </w:p>
    <w:p w14:paraId="580D8477" w14:textId="77777777" w:rsidR="005335C5" w:rsidRDefault="005335C5" w:rsidP="005335C5">
      <w:pPr>
        <w:pStyle w:val="Bodycopy"/>
        <w:numPr>
          <w:ilvl w:val="0"/>
          <w:numId w:val="40"/>
        </w:numPr>
        <w:spacing w:afterLines="60" w:after="144" w:line="240" w:lineRule="auto"/>
        <w:jc w:val="both"/>
        <w:rPr>
          <w:sz w:val="22"/>
          <w:szCs w:val="22"/>
        </w:rPr>
      </w:pPr>
      <w:r>
        <w:rPr>
          <w:sz w:val="22"/>
          <w:szCs w:val="22"/>
        </w:rPr>
        <w:t xml:space="preserve">They tend to operate under strict budgets which results in very little </w:t>
      </w:r>
      <w:proofErr w:type="spellStart"/>
      <w:r>
        <w:rPr>
          <w:sz w:val="22"/>
          <w:szCs w:val="22"/>
        </w:rPr>
        <w:t>non-essential</w:t>
      </w:r>
      <w:proofErr w:type="spellEnd"/>
      <w:r>
        <w:rPr>
          <w:sz w:val="22"/>
          <w:szCs w:val="22"/>
        </w:rPr>
        <w:t xml:space="preserve"> expenditure that might be seen elsewhere;</w:t>
      </w:r>
    </w:p>
    <w:p w14:paraId="199FB535" w14:textId="3096B351" w:rsidR="00482D8E" w:rsidRDefault="00482D8E" w:rsidP="00482D8E">
      <w:pPr>
        <w:pStyle w:val="Bodycopy"/>
        <w:numPr>
          <w:ilvl w:val="0"/>
          <w:numId w:val="40"/>
        </w:numPr>
        <w:spacing w:afterLines="60" w:after="144" w:line="240" w:lineRule="auto"/>
        <w:jc w:val="both"/>
        <w:rPr>
          <w:sz w:val="22"/>
          <w:szCs w:val="22"/>
        </w:rPr>
      </w:pPr>
      <w:r>
        <w:rPr>
          <w:sz w:val="22"/>
          <w:szCs w:val="22"/>
        </w:rPr>
        <w:t>Smaller funds tend to be more “nimble” when it comes to changing service providers or moving investment objectives; and</w:t>
      </w:r>
    </w:p>
    <w:p w14:paraId="1EF772EB" w14:textId="1A1385D7" w:rsidR="005335C5" w:rsidRDefault="005335C5" w:rsidP="005335C5">
      <w:pPr>
        <w:pStyle w:val="Bodycopy"/>
        <w:numPr>
          <w:ilvl w:val="0"/>
          <w:numId w:val="40"/>
        </w:numPr>
        <w:spacing w:afterLines="60" w:after="144" w:line="240" w:lineRule="auto"/>
        <w:jc w:val="both"/>
        <w:rPr>
          <w:sz w:val="22"/>
          <w:szCs w:val="22"/>
        </w:rPr>
      </w:pPr>
      <w:r>
        <w:rPr>
          <w:sz w:val="22"/>
          <w:szCs w:val="22"/>
        </w:rPr>
        <w:t xml:space="preserve">They do not attempt to be “all things to all people”. Most of these smaller funds offer a limited range of investment options and simplified insurance arrangements however we believe this meets the needs of most members and we </w:t>
      </w:r>
      <w:r w:rsidR="00482D8E">
        <w:rPr>
          <w:sz w:val="22"/>
          <w:szCs w:val="22"/>
        </w:rPr>
        <w:t xml:space="preserve">must </w:t>
      </w:r>
      <w:r>
        <w:rPr>
          <w:sz w:val="22"/>
          <w:szCs w:val="22"/>
        </w:rPr>
        <w:t xml:space="preserve">be aware that the Choice of Fund </w:t>
      </w:r>
      <w:r>
        <w:rPr>
          <w:sz w:val="22"/>
          <w:szCs w:val="22"/>
        </w:rPr>
        <w:lastRenderedPageBreak/>
        <w:t>legislation still gives the members the chance to select another fund if they believe their current fund is not meeting their needs</w:t>
      </w:r>
      <w:r w:rsidR="00482D8E">
        <w:rPr>
          <w:sz w:val="22"/>
          <w:szCs w:val="22"/>
        </w:rPr>
        <w:t>.</w:t>
      </w:r>
    </w:p>
    <w:p w14:paraId="1A1473F1" w14:textId="50053B81" w:rsidR="00ED2159" w:rsidRDefault="00ED2159" w:rsidP="00ED2159">
      <w:pPr>
        <w:pStyle w:val="Bodycopy"/>
        <w:spacing w:afterLines="60" w:after="144" w:line="240" w:lineRule="auto"/>
        <w:jc w:val="both"/>
        <w:rPr>
          <w:sz w:val="22"/>
          <w:szCs w:val="22"/>
        </w:rPr>
      </w:pPr>
      <w:r>
        <w:rPr>
          <w:sz w:val="22"/>
          <w:szCs w:val="22"/>
        </w:rPr>
        <w:t xml:space="preserve">Therefore while smaller funds cannot match the large funds in all areas of competition they </w:t>
      </w:r>
      <w:r w:rsidR="004D374E">
        <w:rPr>
          <w:sz w:val="22"/>
          <w:szCs w:val="22"/>
        </w:rPr>
        <w:t>can compete</w:t>
      </w:r>
      <w:r>
        <w:rPr>
          <w:sz w:val="22"/>
          <w:szCs w:val="22"/>
        </w:rPr>
        <w:t xml:space="preserve"> well in most areas (particularly in insurance and investment performance) and on this basis we do not support compulsory mergers</w:t>
      </w:r>
      <w:r w:rsidR="00A906BD">
        <w:rPr>
          <w:sz w:val="22"/>
          <w:szCs w:val="22"/>
        </w:rPr>
        <w:t xml:space="preserve"> based on size alone</w:t>
      </w:r>
      <w:r>
        <w:rPr>
          <w:sz w:val="22"/>
          <w:szCs w:val="22"/>
        </w:rPr>
        <w:t>. Market</w:t>
      </w:r>
      <w:r w:rsidR="00482D8E">
        <w:rPr>
          <w:sz w:val="22"/>
          <w:szCs w:val="22"/>
        </w:rPr>
        <w:t>,</w:t>
      </w:r>
      <w:r>
        <w:rPr>
          <w:sz w:val="22"/>
          <w:szCs w:val="22"/>
        </w:rPr>
        <w:t xml:space="preserve"> membership </w:t>
      </w:r>
      <w:r w:rsidR="00482D8E">
        <w:rPr>
          <w:sz w:val="22"/>
          <w:szCs w:val="22"/>
        </w:rPr>
        <w:t xml:space="preserve">and regulatory </w:t>
      </w:r>
      <w:r>
        <w:rPr>
          <w:sz w:val="22"/>
          <w:szCs w:val="22"/>
        </w:rPr>
        <w:t xml:space="preserve">forces </w:t>
      </w:r>
      <w:r w:rsidR="00482D8E">
        <w:rPr>
          <w:sz w:val="22"/>
          <w:szCs w:val="22"/>
        </w:rPr>
        <w:t xml:space="preserve">(particularly given our discussion of the role of APRA above) </w:t>
      </w:r>
      <w:r>
        <w:rPr>
          <w:sz w:val="22"/>
          <w:szCs w:val="22"/>
        </w:rPr>
        <w:t xml:space="preserve">will ultimately force less competitive funds to </w:t>
      </w:r>
      <w:proofErr w:type="spellStart"/>
      <w:r>
        <w:rPr>
          <w:sz w:val="22"/>
          <w:szCs w:val="22"/>
        </w:rPr>
        <w:t>re-assess</w:t>
      </w:r>
      <w:proofErr w:type="spellEnd"/>
      <w:r>
        <w:rPr>
          <w:sz w:val="22"/>
          <w:szCs w:val="22"/>
        </w:rPr>
        <w:t xml:space="preserve"> their positions and, if necessary, merge. Superannuation, like most other industries, benefits from healthy competition between both large and small participants.</w:t>
      </w:r>
      <w:r w:rsidR="002A7278">
        <w:rPr>
          <w:sz w:val="22"/>
          <w:szCs w:val="22"/>
        </w:rPr>
        <w:t xml:space="preserve"> </w:t>
      </w:r>
      <w:r w:rsidR="005E7D0C">
        <w:rPr>
          <w:sz w:val="22"/>
          <w:szCs w:val="22"/>
        </w:rPr>
        <w:t>O</w:t>
      </w:r>
      <w:r w:rsidR="002A7278">
        <w:rPr>
          <w:sz w:val="22"/>
          <w:szCs w:val="22"/>
        </w:rPr>
        <w:t>ther industries with appropriate levels of competit</w:t>
      </w:r>
      <w:r w:rsidR="004D374E">
        <w:rPr>
          <w:sz w:val="22"/>
          <w:szCs w:val="22"/>
        </w:rPr>
        <w:t>ion</w:t>
      </w:r>
      <w:r w:rsidR="005E7D0C">
        <w:rPr>
          <w:sz w:val="22"/>
          <w:szCs w:val="22"/>
        </w:rPr>
        <w:t xml:space="preserve"> result in poor performers being forced out regardless of size. Differentiating funds solely on size does not, in our view, does not result in the best outcomes. </w:t>
      </w:r>
    </w:p>
    <w:p w14:paraId="1DB0AA50" w14:textId="77777777" w:rsidR="00C4659F" w:rsidRDefault="00C4659F" w:rsidP="00CE1DC9">
      <w:pPr>
        <w:pStyle w:val="Bodycopy"/>
        <w:spacing w:afterLines="60" w:after="144" w:line="240" w:lineRule="auto"/>
        <w:jc w:val="both"/>
        <w:rPr>
          <w:sz w:val="22"/>
          <w:szCs w:val="22"/>
        </w:rPr>
      </w:pPr>
    </w:p>
    <w:p w14:paraId="1D8276A9" w14:textId="77777777" w:rsidR="0020481C" w:rsidRDefault="00C4659F" w:rsidP="00CE1DC9">
      <w:pPr>
        <w:pStyle w:val="Bodycopy"/>
        <w:spacing w:afterLines="60" w:after="144" w:line="240" w:lineRule="auto"/>
        <w:jc w:val="both"/>
        <w:rPr>
          <w:sz w:val="22"/>
          <w:szCs w:val="22"/>
        </w:rPr>
      </w:pPr>
      <w:r>
        <w:rPr>
          <w:b/>
          <w:sz w:val="22"/>
          <w:szCs w:val="22"/>
        </w:rPr>
        <w:t>Conclusion</w:t>
      </w:r>
    </w:p>
    <w:p w14:paraId="310F02B1" w14:textId="40B10861" w:rsidR="00C4659F" w:rsidRDefault="00EE086E" w:rsidP="00CE1DC9">
      <w:pPr>
        <w:pStyle w:val="Bodycopy"/>
        <w:spacing w:afterLines="60" w:after="144" w:line="240" w:lineRule="auto"/>
        <w:jc w:val="both"/>
        <w:rPr>
          <w:sz w:val="22"/>
          <w:szCs w:val="22"/>
        </w:rPr>
      </w:pPr>
      <w:r>
        <w:rPr>
          <w:sz w:val="22"/>
          <w:szCs w:val="22"/>
        </w:rPr>
        <w:t xml:space="preserve">In summary we strongly support the </w:t>
      </w:r>
      <w:r w:rsidR="00EF3878">
        <w:rPr>
          <w:sz w:val="22"/>
          <w:szCs w:val="22"/>
        </w:rPr>
        <w:t xml:space="preserve">concept of </w:t>
      </w:r>
      <w:r w:rsidR="00761376">
        <w:rPr>
          <w:sz w:val="22"/>
          <w:szCs w:val="22"/>
        </w:rPr>
        <w:t xml:space="preserve">a competitive superannuation system which will drive superior outcomes for members. </w:t>
      </w:r>
      <w:r w:rsidR="00C4659F">
        <w:rPr>
          <w:sz w:val="22"/>
          <w:szCs w:val="22"/>
        </w:rPr>
        <w:t>There is competition between funds at all levels although changes to the default system as it currently exists could enhance competition if done correctly. There is a strong push to remove superannuation from Modern Awards which could, in our view, provide for further healthy competition provided we do not make changes</w:t>
      </w:r>
      <w:r w:rsidR="00ED2159">
        <w:rPr>
          <w:sz w:val="22"/>
          <w:szCs w:val="22"/>
        </w:rPr>
        <w:t xml:space="preserve"> or introduce legislation</w:t>
      </w:r>
      <w:r w:rsidR="00C4659F">
        <w:rPr>
          <w:sz w:val="22"/>
          <w:szCs w:val="22"/>
        </w:rPr>
        <w:t xml:space="preserve"> which </w:t>
      </w:r>
      <w:r w:rsidR="00482D8E">
        <w:rPr>
          <w:sz w:val="22"/>
          <w:szCs w:val="22"/>
        </w:rPr>
        <w:t xml:space="preserve">unnecessarily </w:t>
      </w:r>
      <w:r w:rsidR="00C4659F">
        <w:rPr>
          <w:sz w:val="22"/>
          <w:szCs w:val="22"/>
        </w:rPr>
        <w:t>forces smaller and mid-sized funds from the market</w:t>
      </w:r>
      <w:r w:rsidR="00A906BD">
        <w:rPr>
          <w:sz w:val="22"/>
          <w:szCs w:val="22"/>
        </w:rPr>
        <w:t xml:space="preserve"> purely on size and is not linked to </w:t>
      </w:r>
      <w:r w:rsidR="005E7D0C">
        <w:rPr>
          <w:sz w:val="22"/>
          <w:szCs w:val="22"/>
        </w:rPr>
        <w:t>performance</w:t>
      </w:r>
      <w:r w:rsidR="00A906BD">
        <w:rPr>
          <w:sz w:val="22"/>
          <w:szCs w:val="22"/>
        </w:rPr>
        <w:t xml:space="preserve"> outcomes</w:t>
      </w:r>
      <w:r w:rsidR="00C4659F">
        <w:rPr>
          <w:sz w:val="22"/>
          <w:szCs w:val="22"/>
        </w:rPr>
        <w:t xml:space="preserve">. </w:t>
      </w:r>
    </w:p>
    <w:p w14:paraId="27E71D37" w14:textId="0C47F819" w:rsidR="00C4659F" w:rsidRDefault="00C4659F" w:rsidP="00CE1DC9">
      <w:pPr>
        <w:pStyle w:val="Bodycopy"/>
        <w:spacing w:afterLines="60" w:after="144" w:line="240" w:lineRule="auto"/>
        <w:jc w:val="both"/>
        <w:rPr>
          <w:sz w:val="22"/>
          <w:szCs w:val="22"/>
        </w:rPr>
      </w:pPr>
      <w:r>
        <w:rPr>
          <w:sz w:val="22"/>
          <w:szCs w:val="22"/>
        </w:rPr>
        <w:t>The</w:t>
      </w:r>
      <w:r w:rsidR="001B1018">
        <w:rPr>
          <w:sz w:val="22"/>
          <w:szCs w:val="22"/>
        </w:rPr>
        <w:t xml:space="preserve"> </w:t>
      </w:r>
      <w:r w:rsidR="004D374E">
        <w:rPr>
          <w:sz w:val="22"/>
          <w:szCs w:val="22"/>
        </w:rPr>
        <w:t>market should provide</w:t>
      </w:r>
      <w:r>
        <w:rPr>
          <w:sz w:val="22"/>
          <w:szCs w:val="22"/>
        </w:rPr>
        <w:t xml:space="preserve"> the choice and variety demanded by fund members </w:t>
      </w:r>
      <w:r w:rsidR="001B1018">
        <w:rPr>
          <w:sz w:val="22"/>
          <w:szCs w:val="22"/>
        </w:rPr>
        <w:t xml:space="preserve">irrespective of fund size. </w:t>
      </w:r>
      <w:r>
        <w:rPr>
          <w:sz w:val="22"/>
          <w:szCs w:val="22"/>
        </w:rPr>
        <w:t xml:space="preserve"> The same level of competition should also be open to retail funds provided that there is full</w:t>
      </w:r>
      <w:r w:rsidR="00482D8E">
        <w:rPr>
          <w:sz w:val="22"/>
          <w:szCs w:val="22"/>
        </w:rPr>
        <w:t>, transparent and consistent</w:t>
      </w:r>
      <w:r>
        <w:rPr>
          <w:sz w:val="22"/>
          <w:szCs w:val="22"/>
        </w:rPr>
        <w:t xml:space="preserve"> disclosure to members of their costs and that there are like-with-like comparisons of investment performance. We have a regulator in APRA which monitors and oversees all superannuation funds in Australia except </w:t>
      </w:r>
      <w:proofErr w:type="spellStart"/>
      <w:r>
        <w:rPr>
          <w:sz w:val="22"/>
          <w:szCs w:val="22"/>
        </w:rPr>
        <w:t>SMSFs</w:t>
      </w:r>
      <w:proofErr w:type="spellEnd"/>
      <w:r>
        <w:rPr>
          <w:sz w:val="22"/>
          <w:szCs w:val="22"/>
        </w:rPr>
        <w:t xml:space="preserve"> and we see no reason why </w:t>
      </w:r>
      <w:proofErr w:type="spellStart"/>
      <w:r>
        <w:rPr>
          <w:sz w:val="22"/>
          <w:szCs w:val="22"/>
        </w:rPr>
        <w:t>APRA’s</w:t>
      </w:r>
      <w:proofErr w:type="spellEnd"/>
      <w:r>
        <w:rPr>
          <w:sz w:val="22"/>
          <w:szCs w:val="22"/>
        </w:rPr>
        <w:t xml:space="preserve"> role cannot be enhanced. The alternative of another independent arbitrator and </w:t>
      </w:r>
      <w:r w:rsidR="004178DC">
        <w:rPr>
          <w:sz w:val="22"/>
          <w:szCs w:val="22"/>
        </w:rPr>
        <w:t>an auction system has the potential to add costs and complexity without there being any net benefit to superannuation fund members.</w:t>
      </w:r>
    </w:p>
    <w:p w14:paraId="68588372" w14:textId="77777777" w:rsidR="00C4659F" w:rsidRDefault="00C4659F" w:rsidP="00CE1DC9">
      <w:pPr>
        <w:pStyle w:val="Bodycopy"/>
        <w:spacing w:afterLines="60" w:after="144" w:line="240" w:lineRule="auto"/>
        <w:jc w:val="both"/>
        <w:rPr>
          <w:sz w:val="22"/>
          <w:szCs w:val="22"/>
        </w:rPr>
      </w:pPr>
    </w:p>
    <w:p w14:paraId="26B79CA9" w14:textId="1FF0C8FF" w:rsidR="00F71966" w:rsidRDefault="00376E4C" w:rsidP="00CE1DC9">
      <w:pPr>
        <w:pStyle w:val="Bodycopy"/>
        <w:spacing w:afterLines="60" w:after="144" w:line="240" w:lineRule="auto"/>
        <w:jc w:val="both"/>
        <w:rPr>
          <w:sz w:val="22"/>
          <w:szCs w:val="22"/>
        </w:rPr>
      </w:pPr>
      <w:r>
        <w:rPr>
          <w:sz w:val="22"/>
          <w:szCs w:val="22"/>
        </w:rPr>
        <w:t>Should further commenta</w:t>
      </w:r>
      <w:r w:rsidR="008949F8">
        <w:rPr>
          <w:sz w:val="22"/>
          <w:szCs w:val="22"/>
        </w:rPr>
        <w:t>ry be needed I can be contacted</w:t>
      </w:r>
    </w:p>
    <w:p w14:paraId="6D01B69D" w14:textId="77777777" w:rsidR="00F71966" w:rsidRPr="00EE086E" w:rsidRDefault="00F71966" w:rsidP="00CE1DC9">
      <w:pPr>
        <w:pStyle w:val="Bodycopy"/>
        <w:spacing w:afterLines="60" w:after="144" w:line="240" w:lineRule="auto"/>
        <w:jc w:val="both"/>
        <w:rPr>
          <w:sz w:val="22"/>
          <w:szCs w:val="22"/>
        </w:rPr>
      </w:pPr>
    </w:p>
    <w:p w14:paraId="75C7A037" w14:textId="735B9435" w:rsidR="00A54229" w:rsidRPr="00EE086E" w:rsidRDefault="00770B5E" w:rsidP="00CE1DC9">
      <w:pPr>
        <w:pStyle w:val="Bodycopy"/>
        <w:spacing w:afterLines="60" w:after="144" w:line="240" w:lineRule="auto"/>
        <w:jc w:val="both"/>
        <w:rPr>
          <w:sz w:val="22"/>
          <w:szCs w:val="22"/>
        </w:rPr>
      </w:pPr>
      <w:r w:rsidRPr="00EE086E">
        <w:rPr>
          <w:sz w:val="22"/>
          <w:szCs w:val="22"/>
        </w:rPr>
        <w:t>Yours sincerely,</w:t>
      </w:r>
    </w:p>
    <w:p w14:paraId="065A4F80" w14:textId="77777777" w:rsidR="00811CD7" w:rsidRPr="00EE086E" w:rsidRDefault="00811CD7" w:rsidP="00CE1DC9">
      <w:pPr>
        <w:pStyle w:val="Bodycopy"/>
        <w:spacing w:after="60"/>
        <w:jc w:val="both"/>
        <w:rPr>
          <w:sz w:val="22"/>
          <w:szCs w:val="22"/>
        </w:rPr>
      </w:pPr>
    </w:p>
    <w:p w14:paraId="51A89C2B" w14:textId="77777777" w:rsidR="00FA0FC9" w:rsidRDefault="00FA0FC9" w:rsidP="00CE1DC9">
      <w:pPr>
        <w:pStyle w:val="Bodycopy"/>
        <w:spacing w:after="60"/>
        <w:jc w:val="both"/>
        <w:rPr>
          <w:sz w:val="22"/>
          <w:szCs w:val="22"/>
        </w:rPr>
      </w:pPr>
    </w:p>
    <w:p w14:paraId="4C7C0014" w14:textId="77777777" w:rsidR="00F71966" w:rsidRDefault="00F71966" w:rsidP="00CE1DC9">
      <w:pPr>
        <w:pStyle w:val="Bodycopy"/>
        <w:spacing w:after="60"/>
        <w:jc w:val="both"/>
        <w:rPr>
          <w:sz w:val="22"/>
          <w:szCs w:val="22"/>
        </w:rPr>
      </w:pPr>
    </w:p>
    <w:p w14:paraId="4C1BCCAB" w14:textId="77777777" w:rsidR="00582FBA" w:rsidRDefault="00F119CE" w:rsidP="00CE1DC9">
      <w:pPr>
        <w:pStyle w:val="Bodycopy"/>
        <w:spacing w:after="60"/>
        <w:jc w:val="both"/>
        <w:rPr>
          <w:sz w:val="22"/>
          <w:szCs w:val="22"/>
        </w:rPr>
      </w:pPr>
      <w:r>
        <w:rPr>
          <w:sz w:val="22"/>
          <w:szCs w:val="22"/>
        </w:rPr>
        <w:t>Russell Mason</w:t>
      </w:r>
    </w:p>
    <w:p w14:paraId="618787F2" w14:textId="77777777" w:rsidR="00376E4C" w:rsidRDefault="00F119CE" w:rsidP="00CE1DC9">
      <w:pPr>
        <w:pStyle w:val="Bodycopy"/>
        <w:spacing w:after="60"/>
        <w:jc w:val="both"/>
        <w:rPr>
          <w:sz w:val="22"/>
          <w:szCs w:val="22"/>
        </w:rPr>
      </w:pPr>
      <w:r>
        <w:rPr>
          <w:sz w:val="22"/>
          <w:szCs w:val="22"/>
        </w:rPr>
        <w:t>Partner</w:t>
      </w:r>
    </w:p>
    <w:p w14:paraId="2777483A" w14:textId="77777777" w:rsidR="00376E4C" w:rsidRPr="00EE086E" w:rsidRDefault="00376E4C" w:rsidP="00CE1DC9">
      <w:pPr>
        <w:pStyle w:val="Bodycopy"/>
        <w:spacing w:after="60"/>
        <w:jc w:val="both"/>
        <w:rPr>
          <w:sz w:val="22"/>
          <w:szCs w:val="22"/>
        </w:rPr>
      </w:pPr>
      <w:r>
        <w:rPr>
          <w:sz w:val="22"/>
          <w:szCs w:val="22"/>
        </w:rPr>
        <w:t xml:space="preserve">Deloitte </w:t>
      </w:r>
      <w:proofErr w:type="spellStart"/>
      <w:r>
        <w:rPr>
          <w:sz w:val="22"/>
          <w:szCs w:val="22"/>
        </w:rPr>
        <w:t>Touche</w:t>
      </w:r>
      <w:proofErr w:type="spellEnd"/>
      <w:r>
        <w:rPr>
          <w:sz w:val="22"/>
          <w:szCs w:val="22"/>
        </w:rPr>
        <w:t xml:space="preserve"> Tohmatsu</w:t>
      </w:r>
    </w:p>
    <w:p w14:paraId="261A8F78" w14:textId="77777777" w:rsidR="002536E4" w:rsidRPr="00EE086E" w:rsidRDefault="0042326F" w:rsidP="00CE1DC9">
      <w:pPr>
        <w:pStyle w:val="Bodycopy"/>
        <w:spacing w:after="60"/>
        <w:jc w:val="both"/>
        <w:rPr>
          <w:sz w:val="22"/>
          <w:szCs w:val="22"/>
        </w:rPr>
      </w:pPr>
      <w:r w:rsidRPr="00EE086E">
        <w:rPr>
          <w:sz w:val="22"/>
          <w:szCs w:val="22"/>
        </w:rPr>
        <w:br/>
      </w:r>
    </w:p>
    <w:p w14:paraId="63FEC37C" w14:textId="77777777" w:rsidR="006A6C36" w:rsidRPr="00EE086E" w:rsidRDefault="006A6C36" w:rsidP="00CE1DC9">
      <w:pPr>
        <w:pStyle w:val="Bodycopy"/>
        <w:spacing w:afterLines="60" w:after="144"/>
        <w:jc w:val="both"/>
        <w:rPr>
          <w:sz w:val="22"/>
          <w:szCs w:val="22"/>
        </w:rPr>
      </w:pPr>
    </w:p>
    <w:sectPr w:rsidR="006A6C36" w:rsidRPr="00EE086E" w:rsidSect="00CE1DC9">
      <w:headerReference w:type="default" r:id="rId15"/>
      <w:headerReference w:type="first" r:id="rId16"/>
      <w:footerReference w:type="first" r:id="rId17"/>
      <w:pgSz w:w="11907" w:h="16840" w:code="9"/>
      <w:pgMar w:top="1985"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3846F" w14:textId="77777777" w:rsidR="00F661E5" w:rsidRDefault="00F661E5">
      <w:r>
        <w:separator/>
      </w:r>
    </w:p>
  </w:endnote>
  <w:endnote w:type="continuationSeparator" w:id="0">
    <w:p w14:paraId="04C34C6B" w14:textId="77777777" w:rsidR="00F661E5" w:rsidRDefault="00F6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634C3" w14:textId="77777777" w:rsidR="003173AA" w:rsidRDefault="003173AA">
    <w:pPr>
      <w:pStyle w:val="Footer"/>
    </w:pPr>
    <w:r w:rsidRPr="00CE5AE2">
      <w:rPr>
        <w:rStyle w:val="AddressdetailsChar"/>
        <w:noProof/>
        <w:lang w:eastAsia="en-AU"/>
      </w:rPr>
      <w:drawing>
        <wp:anchor distT="0" distB="0" distL="114300" distR="114300" simplePos="0" relativeHeight="251677184" behindDoc="0" locked="0" layoutInCell="1" allowOverlap="1" wp14:anchorId="7689432F" wp14:editId="0AE35744">
          <wp:simplePos x="0" y="0"/>
          <wp:positionH relativeFrom="margin">
            <wp:align>left</wp:align>
          </wp:positionH>
          <wp:positionV relativeFrom="page">
            <wp:posOffset>536152</wp:posOffset>
          </wp:positionV>
          <wp:extent cx="1638300" cy="304800"/>
          <wp:effectExtent l="0" t="0" r="0" b="0"/>
          <wp:wrapNone/>
          <wp:docPr id="1" name="HDR_LOGO" descr="Deloitte_blue_RGB_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loitte_blue_RGB_1.tif"/>
                  <pic:cNvPicPr/>
                </pic:nvPicPr>
                <pic:blipFill>
                  <a:blip r:embed="rId1"/>
                  <a:stretch>
                    <a:fillRect/>
                  </a:stretch>
                </pic:blipFill>
                <pic:spPr>
                  <a:xfrm>
                    <a:off x="0" y="0"/>
                    <a:ext cx="1638300" cy="3048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D7E74" w14:textId="77777777" w:rsidR="00F661E5" w:rsidRDefault="00F661E5">
      <w:r>
        <w:separator/>
      </w:r>
    </w:p>
  </w:footnote>
  <w:footnote w:type="continuationSeparator" w:id="0">
    <w:p w14:paraId="2715B307" w14:textId="77777777" w:rsidR="00F661E5" w:rsidRDefault="00F66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2D4D" w14:textId="77777777" w:rsidR="00417BB6" w:rsidRPr="006B0568" w:rsidRDefault="00AD66F7" w:rsidP="006B0568">
    <w:r>
      <w:rPr>
        <w:noProof/>
        <w:lang w:eastAsia="en-AU"/>
      </w:rPr>
      <mc:AlternateContent>
        <mc:Choice Requires="wps">
          <w:drawing>
            <wp:anchor distT="0" distB="0" distL="114300" distR="114300" simplePos="0" relativeHeight="251637248" behindDoc="0" locked="0" layoutInCell="1" allowOverlap="1" wp14:anchorId="613ADFFF" wp14:editId="2AB01D71">
              <wp:simplePos x="0" y="0"/>
              <wp:positionH relativeFrom="page">
                <wp:posOffset>5841577</wp:posOffset>
              </wp:positionH>
              <wp:positionV relativeFrom="page">
                <wp:posOffset>744855</wp:posOffset>
              </wp:positionV>
              <wp:extent cx="863600" cy="381000"/>
              <wp:effectExtent l="0" t="0" r="1270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827A" w14:textId="03B1574C" w:rsidR="00417BB6" w:rsidRDefault="00417BB6" w:rsidP="004000AB">
                          <w:pPr>
                            <w:pStyle w:val="Addressdetails"/>
                            <w:rPr>
                              <w:rFonts w:cs="Arial"/>
                              <w:szCs w:val="15"/>
                            </w:rPr>
                          </w:pPr>
                          <w:r>
                            <w:t xml:space="preserve">Page </w:t>
                          </w:r>
                          <w:r w:rsidR="0024458F">
                            <w:fldChar w:fldCharType="begin"/>
                          </w:r>
                          <w:r w:rsidR="0024458F">
                            <w:instrText xml:space="preserve"> PAGE </w:instrText>
                          </w:r>
                          <w:r w:rsidR="0024458F">
                            <w:fldChar w:fldCharType="separate"/>
                          </w:r>
                          <w:r w:rsidR="008949F8">
                            <w:rPr>
                              <w:noProof/>
                            </w:rPr>
                            <w:t>2</w:t>
                          </w:r>
                          <w:r w:rsidR="0024458F">
                            <w:rPr>
                              <w:noProof/>
                            </w:rPr>
                            <w:fldChar w:fldCharType="end"/>
                          </w:r>
                          <w:r>
                            <w:br/>
                          </w:r>
                          <w:r w:rsidR="00EF4FD4">
                            <w:rPr>
                              <w:noProof/>
                            </w:rPr>
                            <w:t>28 April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59.95pt;margin-top:58.65pt;width:68pt;height:30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" filled="f" stroked="f">
              <v:textbox inset="0,0,0,0">
                <w:txbxContent>
                  <w:p w14:paraId="4E97827A" w14:textId="03B1574C" w:rsidR="00417BB6" w:rsidRDefault="00417BB6" w:rsidP="004000AB">
                    <w:pPr>
                      <w:pStyle w:val="Addressdetails"/>
                      <w:rPr>
                        <w:rFonts w:cs="Arial"/>
                        <w:szCs w:val="15"/>
                      </w:rPr>
                    </w:pPr>
                    <w:r>
                      <w:t xml:space="preserve">Page </w:t>
                    </w:r>
                    <w:r w:rsidR="0024458F">
                      <w:fldChar w:fldCharType="begin"/>
                    </w:r>
                    <w:r w:rsidR="0024458F">
                      <w:instrText xml:space="preserve"> PAGE </w:instrText>
                    </w:r>
                    <w:r w:rsidR="0024458F">
                      <w:fldChar w:fldCharType="separate"/>
                    </w:r>
                    <w:r w:rsidR="008949F8">
                      <w:rPr>
                        <w:noProof/>
                      </w:rPr>
                      <w:t>2</w:t>
                    </w:r>
                    <w:r w:rsidR="0024458F">
                      <w:rPr>
                        <w:noProof/>
                      </w:rPr>
                      <w:fldChar w:fldCharType="end"/>
                    </w:r>
                    <w:r>
                      <w:br/>
                    </w:r>
                    <w:r w:rsidR="00EF4FD4">
                      <w:rPr>
                        <w:noProof/>
                      </w:rPr>
                      <w:t>28 April 2017</w:t>
                    </w:r>
                  </w:p>
                </w:txbxContent>
              </v:textbox>
              <w10:wrap anchorx="page" anchory="page"/>
            </v:shape>
          </w:pict>
        </mc:Fallback>
      </mc:AlternateContent>
    </w:r>
    <w:r w:rsidR="00417BB6">
      <w:rPr>
        <w:rFonts w:ascii="Arial" w:hAnsi="Arial"/>
        <w:noProof/>
        <w:sz w:val="15"/>
        <w:szCs w:val="15"/>
        <w:lang w:eastAsia="en-AU"/>
      </w:rPr>
      <w:drawing>
        <wp:anchor distT="0" distB="0" distL="114300" distR="114300" simplePos="0" relativeHeight="251690496" behindDoc="0" locked="0" layoutInCell="1" allowOverlap="1" wp14:anchorId="41664FCB" wp14:editId="0D0FED20">
          <wp:simplePos x="0" y="0"/>
          <wp:positionH relativeFrom="page">
            <wp:posOffset>900430</wp:posOffset>
          </wp:positionH>
          <wp:positionV relativeFrom="page">
            <wp:posOffset>540385</wp:posOffset>
          </wp:positionV>
          <wp:extent cx="1152525" cy="219075"/>
          <wp:effectExtent l="19050" t="0" r="9525" b="0"/>
          <wp:wrapNone/>
          <wp:docPr id="5" name="HDR_LOGO_p2"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L_PRI_GREY_MS"/>
                  <pic:cNvPicPr>
                    <a:picLocks noChangeAspect="1" noChangeArrowheads="1"/>
                  </pic:cNvPicPr>
                </pic:nvPicPr>
                <pic:blipFill>
                  <a:blip r:embed="rId1"/>
                  <a:srcRect/>
                  <a:stretch>
                    <a:fillRect/>
                  </a:stretch>
                </pic:blipFill>
                <pic:spPr bwMode="auto">
                  <a:xfrm>
                    <a:off x="0" y="0"/>
                    <a:ext cx="1152525" cy="219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4D12F" w14:textId="77777777" w:rsidR="00AD66F7" w:rsidRPr="00AD66F7" w:rsidRDefault="00417BB6" w:rsidP="00AD66F7">
    <w:pPr>
      <w:framePr w:w="2778" w:h="2807" w:hRule="exact" w:hSpace="181" w:wrap="around" w:vAnchor="page" w:hAnchor="page" w:x="8790" w:y="1231"/>
      <w:spacing w:before="30" w:line="180" w:lineRule="atLeast"/>
      <w:rPr>
        <w:rStyle w:val="AddressdetailsChar"/>
      </w:rPr>
    </w:pPr>
    <w:r>
      <w:rPr>
        <w:rStyle w:val="AddressdetailsChar"/>
      </w:rPr>
      <w:t>Deloitte Actuaries &amp; Consultants Limited</w:t>
    </w:r>
    <w:r>
      <w:rPr>
        <w:rStyle w:val="AddressdetailsChar"/>
      </w:rPr>
      <w:br/>
    </w:r>
    <w:proofErr w:type="spellStart"/>
    <w:r w:rsidR="00AD66F7" w:rsidRPr="00AD66F7">
      <w:rPr>
        <w:rStyle w:val="AddressdetailsChar"/>
      </w:rPr>
      <w:t>ACN</w:t>
    </w:r>
    <w:proofErr w:type="spellEnd"/>
    <w:r w:rsidR="00AD66F7" w:rsidRPr="00AD66F7">
      <w:rPr>
        <w:rStyle w:val="AddressdetailsChar"/>
      </w:rPr>
      <w:t xml:space="preserve"> 611 750 648</w:t>
    </w:r>
  </w:p>
  <w:p w14:paraId="6EB9C09A"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p>
  <w:p w14:paraId="671ECD8D"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Grosvenor Place</w:t>
    </w:r>
  </w:p>
  <w:p w14:paraId="23C092EF"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225 George Street</w:t>
    </w:r>
  </w:p>
  <w:p w14:paraId="2DD1A634"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Sydney  NSW  2000</w:t>
    </w:r>
  </w:p>
  <w:p w14:paraId="5EE1E863"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 xml:space="preserve">PO Box </w:t>
    </w:r>
    <w:proofErr w:type="spellStart"/>
    <w:r w:rsidRPr="00AD66F7">
      <w:rPr>
        <w:rStyle w:val="AddressdetailsChar"/>
      </w:rPr>
      <w:t>N250</w:t>
    </w:r>
    <w:proofErr w:type="spellEnd"/>
    <w:r w:rsidRPr="00AD66F7">
      <w:rPr>
        <w:rStyle w:val="AddressdetailsChar"/>
      </w:rPr>
      <w:t xml:space="preserve"> Grosvenor Place</w:t>
    </w:r>
  </w:p>
  <w:p w14:paraId="1B9D1374"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Sydney NSW 1220 Australia</w:t>
    </w:r>
  </w:p>
  <w:p w14:paraId="74001BC9"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p>
  <w:p w14:paraId="4336D545"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Tel:  +61 2 9322 7000</w:t>
    </w:r>
  </w:p>
  <w:p w14:paraId="29A09D99" w14:textId="77777777" w:rsidR="00AD66F7" w:rsidRPr="00AD66F7" w:rsidRDefault="00AD66F7" w:rsidP="00AD66F7">
    <w:pPr>
      <w:framePr w:w="2778" w:h="2807" w:hRule="exact" w:hSpace="181" w:wrap="around" w:vAnchor="page" w:hAnchor="page" w:x="8790" w:y="1231"/>
      <w:spacing w:before="30" w:line="180" w:lineRule="atLeast"/>
      <w:rPr>
        <w:rStyle w:val="AddressdetailsChar"/>
      </w:rPr>
    </w:pPr>
    <w:r w:rsidRPr="00AD66F7">
      <w:rPr>
        <w:rStyle w:val="AddressdetailsChar"/>
      </w:rPr>
      <w:t>Fax:  +61 2 9322 7001</w:t>
    </w:r>
  </w:p>
  <w:p w14:paraId="11CAAEC8" w14:textId="77777777" w:rsidR="00417BB6" w:rsidRDefault="00AD66F7" w:rsidP="00AD66F7">
    <w:pPr>
      <w:framePr w:w="2778" w:h="2807" w:hRule="exact" w:hSpace="181" w:wrap="around" w:vAnchor="page" w:hAnchor="page" w:x="8790" w:y="1231"/>
      <w:spacing w:before="30" w:line="180" w:lineRule="atLeast"/>
    </w:pPr>
    <w:proofErr w:type="spellStart"/>
    <w:r w:rsidRPr="00AD66F7">
      <w:rPr>
        <w:rStyle w:val="AddressdetailsChar"/>
      </w:rPr>
      <w:t>www.deloitte.com.au</w:t>
    </w:r>
    <w:proofErr w:type="spellEnd"/>
    <w:r w:rsidRPr="00AD66F7" w:rsidDel="00AD66F7">
      <w:rPr>
        <w:rStyle w:val="AddressdetailsChar"/>
      </w:rPr>
      <w:t xml:space="preserve"> </w:t>
    </w:r>
    <w:r w:rsidR="00417BB6">
      <w:rPr>
        <w:noProof/>
        <w:lang w:eastAsia="en-AU"/>
      </w:rPr>
      <w:drawing>
        <wp:anchor distT="0" distB="0" distL="114300" distR="114300" simplePos="0" relativeHeight="251663872" behindDoc="0" locked="0" layoutInCell="1" allowOverlap="1" wp14:anchorId="370897F4" wp14:editId="5FBA2F60">
          <wp:simplePos x="0" y="0"/>
          <wp:positionH relativeFrom="page">
            <wp:posOffset>5897245</wp:posOffset>
          </wp:positionH>
          <wp:positionV relativeFrom="page">
            <wp:posOffset>9868535</wp:posOffset>
          </wp:positionV>
          <wp:extent cx="1066800" cy="514350"/>
          <wp:effectExtent l="19050" t="0" r="0" b="0"/>
          <wp:wrapNone/>
          <wp:docPr id="47" name="MemberDP" descr="DEL_RGB_Lock-up.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_RGB_Lock-up.jpg"/>
                  <pic:cNvPicPr/>
                </pic:nvPicPr>
                <pic:blipFill>
                  <a:blip r:embed="rId1"/>
                  <a:stretch>
                    <a:fillRect/>
                  </a:stretch>
                </pic:blipFill>
                <pic:spPr>
                  <a:xfrm>
                    <a:off x="0" y="0"/>
                    <a:ext cx="1066800" cy="514350"/>
                  </a:xfrm>
                  <a:prstGeom prst="rect">
                    <a:avLst/>
                  </a:prstGeom>
                </pic:spPr>
              </pic:pic>
            </a:graphicData>
          </a:graphic>
        </wp:anchor>
      </w:drawing>
    </w:r>
    <w:r w:rsidR="00A7197C">
      <w:rPr>
        <w:rFonts w:ascii="Arial" w:hAnsi="Arial"/>
        <w:noProof/>
        <w:sz w:val="15"/>
        <w:szCs w:val="15"/>
        <w:lang w:eastAsia="en-AU"/>
      </w:rPr>
      <mc:AlternateContent>
        <mc:Choice Requires="wps">
          <w:drawing>
            <wp:anchor distT="0" distB="0" distL="114300" distR="114300" simplePos="0" relativeHeight="251650560" behindDoc="0" locked="0" layoutInCell="1" allowOverlap="1" wp14:anchorId="04B85783" wp14:editId="2F01E3B4">
              <wp:simplePos x="0" y="0"/>
              <wp:positionH relativeFrom="page">
                <wp:posOffset>900430</wp:posOffset>
              </wp:positionH>
              <wp:positionV relativeFrom="page">
                <wp:posOffset>10258425</wp:posOffset>
              </wp:positionV>
              <wp:extent cx="6400800" cy="344170"/>
              <wp:effectExtent l="0" t="0" r="4445" b="0"/>
              <wp:wrapNone/>
              <wp:docPr id="3" name="Text Box 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8912F" w14:textId="77777777" w:rsidR="00417BB6" w:rsidRPr="00DD3C5B" w:rsidRDefault="00417BB6">
                          <w:pPr>
                            <w:pStyle w:val="Legalstatement"/>
                            <w:rPr>
                              <w:spacing w:val="-2"/>
                            </w:rPr>
                          </w:pPr>
                          <w:r w:rsidRPr="00DD3C5B">
                            <w:rPr>
                              <w:spacing w:val="-2"/>
                            </w:rPr>
                            <w:t xml:space="preserve">This is </w:t>
                          </w:r>
                          <w:r>
                            <w:rPr>
                              <w:spacing w:val="-2"/>
                            </w:rPr>
                            <w:t>a draft document.</w:t>
                          </w:r>
                          <w:r w:rsidRPr="00DD3C5B">
                            <w:rPr>
                              <w:spacing w:val="-2"/>
                            </w:rPr>
                            <w:t xml:space="preserve"> As it is a work in progress it may be incomplete, contain preliminary conclusions and may change. You must not </w:t>
                          </w:r>
                          <w:r>
                            <w:rPr>
                              <w:spacing w:val="-2"/>
                            </w:rPr>
                            <w:br/>
                          </w:r>
                          <w:r w:rsidRPr="00DD3C5B">
                            <w:rPr>
                              <w:spacing w:val="-2"/>
                            </w:rPr>
                            <w:t>rely on, disclose or refer to it in any document. We accept no duty of care or liability to you or any third party for any loss suffered in connection with the use of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B85783" id="_x0000_t202" coordsize="21600,21600" o:spt="202" path="m,l,21600r21600,l21600,xe">
              <v:stroke joinstyle="miter"/>
              <v:path gradientshapeok="t" o:connecttype="rect"/>
            </v:shapetype>
            <v:shape id="Text Box 79" o:spid="_x0000_s1027" type="#_x0000_t202" style="position:absolute;margin-left:70.9pt;margin-top:807.75pt;width:7in;height:27.1pt;z-index:2516505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" stroked="f">
              <v:textbox inset="0,0,0,0">
                <w:txbxContent>
                  <w:p w14:paraId="2118912F" w14:textId="77777777" w:rsidR="00417BB6" w:rsidRPr="00DD3C5B" w:rsidRDefault="00417BB6">
                    <w:pPr>
                      <w:pStyle w:val="Legalstatement"/>
                      <w:rPr>
                        <w:spacing w:val="-2"/>
                      </w:rPr>
                    </w:pPr>
                    <w:r w:rsidRPr="00DD3C5B">
                      <w:rPr>
                        <w:spacing w:val="-2"/>
                      </w:rPr>
                      <w:t xml:space="preserve">This is </w:t>
                    </w:r>
                    <w:r>
                      <w:rPr>
                        <w:spacing w:val="-2"/>
                      </w:rPr>
                      <w:t>a draft document.</w:t>
                    </w:r>
                    <w:r w:rsidRPr="00DD3C5B">
                      <w:rPr>
                        <w:spacing w:val="-2"/>
                      </w:rPr>
                      <w:t xml:space="preserve"> As it is a work in progress it may be incomplete, contain preliminary conclusions and may change. You must not </w:t>
                    </w:r>
                    <w:r>
                      <w:rPr>
                        <w:spacing w:val="-2"/>
                      </w:rPr>
                      <w:br/>
                    </w:r>
                    <w:r w:rsidRPr="00DD3C5B">
                      <w:rPr>
                        <w:spacing w:val="-2"/>
                      </w:rPr>
                      <w:t>rely on, disclose or refer to it in any document. We accept no duty of care or liability to you or any third party for any loss suffered in connection with the use of this document.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A299A2"/>
    <w:lvl w:ilvl="0">
      <w:start w:val="1"/>
      <w:numFmt w:val="decimal"/>
      <w:lvlText w:val="%1."/>
      <w:lvlJc w:val="left"/>
      <w:pPr>
        <w:tabs>
          <w:tab w:val="num" w:pos="1492"/>
        </w:tabs>
        <w:ind w:left="1492" w:hanging="360"/>
      </w:pPr>
    </w:lvl>
  </w:abstractNum>
  <w:abstractNum w:abstractNumId="1">
    <w:nsid w:val="FFFFFF7D"/>
    <w:multiLevelType w:val="singleLevel"/>
    <w:tmpl w:val="D61EC10E"/>
    <w:lvl w:ilvl="0">
      <w:start w:val="1"/>
      <w:numFmt w:val="decimal"/>
      <w:lvlText w:val="%1."/>
      <w:lvlJc w:val="left"/>
      <w:pPr>
        <w:tabs>
          <w:tab w:val="num" w:pos="1209"/>
        </w:tabs>
        <w:ind w:left="1209" w:hanging="360"/>
      </w:pPr>
    </w:lvl>
  </w:abstractNum>
  <w:abstractNum w:abstractNumId="2">
    <w:nsid w:val="FFFFFF7E"/>
    <w:multiLevelType w:val="singleLevel"/>
    <w:tmpl w:val="99D8694A"/>
    <w:lvl w:ilvl="0">
      <w:start w:val="1"/>
      <w:numFmt w:val="decimal"/>
      <w:lvlText w:val="%1."/>
      <w:lvlJc w:val="left"/>
      <w:pPr>
        <w:tabs>
          <w:tab w:val="num" w:pos="926"/>
        </w:tabs>
        <w:ind w:left="926" w:hanging="360"/>
      </w:pPr>
    </w:lvl>
  </w:abstractNum>
  <w:abstractNum w:abstractNumId="3">
    <w:nsid w:val="FFFFFF7F"/>
    <w:multiLevelType w:val="singleLevel"/>
    <w:tmpl w:val="6F4E8576"/>
    <w:lvl w:ilvl="0">
      <w:start w:val="1"/>
      <w:numFmt w:val="decimal"/>
      <w:lvlText w:val="%1."/>
      <w:lvlJc w:val="left"/>
      <w:pPr>
        <w:tabs>
          <w:tab w:val="num" w:pos="643"/>
        </w:tabs>
        <w:ind w:left="643" w:hanging="360"/>
      </w:pPr>
    </w:lvl>
  </w:abstractNum>
  <w:abstractNum w:abstractNumId="4">
    <w:nsid w:val="FFFFFF80"/>
    <w:multiLevelType w:val="singleLevel"/>
    <w:tmpl w:val="6DCE10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987D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8612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DCC9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05DC"/>
    <w:lvl w:ilvl="0">
      <w:start w:val="1"/>
      <w:numFmt w:val="decimal"/>
      <w:pStyle w:val="ListNumber"/>
      <w:lvlText w:val="%1."/>
      <w:lvlJc w:val="left"/>
      <w:pPr>
        <w:tabs>
          <w:tab w:val="num" w:pos="360"/>
        </w:tabs>
        <w:ind w:left="360" w:hanging="360"/>
      </w:pPr>
    </w:lvl>
  </w:abstractNum>
  <w:abstractNum w:abstractNumId="9">
    <w:nsid w:val="FFFFFF89"/>
    <w:multiLevelType w:val="singleLevel"/>
    <w:tmpl w:val="0666EA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5B2384"/>
    <w:multiLevelType w:val="hybridMultilevel"/>
    <w:tmpl w:val="3984D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4913E5D"/>
    <w:multiLevelType w:val="hybridMultilevel"/>
    <w:tmpl w:val="8F3C86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211473"/>
    <w:multiLevelType w:val="hybridMultilevel"/>
    <w:tmpl w:val="DA8CE1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6E11F4"/>
    <w:multiLevelType w:val="hybridMultilevel"/>
    <w:tmpl w:val="DADE1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CA5878"/>
    <w:multiLevelType w:val="hybridMultilevel"/>
    <w:tmpl w:val="B88AF8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B7F635C"/>
    <w:multiLevelType w:val="hybridMultilevel"/>
    <w:tmpl w:val="C5829E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5B29D4"/>
    <w:multiLevelType w:val="hybridMultilevel"/>
    <w:tmpl w:val="22FED1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0296DDA"/>
    <w:multiLevelType w:val="hybridMultilevel"/>
    <w:tmpl w:val="A330E5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77F5AF1"/>
    <w:multiLevelType w:val="multilevel"/>
    <w:tmpl w:val="D86417F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FF2230E"/>
    <w:multiLevelType w:val="hybridMultilevel"/>
    <w:tmpl w:val="A37A28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23E352B"/>
    <w:multiLevelType w:val="hybridMultilevel"/>
    <w:tmpl w:val="CD5E1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ED0616E"/>
    <w:multiLevelType w:val="hybridMultilevel"/>
    <w:tmpl w:val="C9D80E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A4202C7"/>
    <w:multiLevelType w:val="hybridMultilevel"/>
    <w:tmpl w:val="616CF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9"/>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9"/>
  </w:num>
  <w:num w:numId="29">
    <w:abstractNumId w:val="20"/>
  </w:num>
  <w:num w:numId="30">
    <w:abstractNumId w:val="22"/>
  </w:num>
  <w:num w:numId="31">
    <w:abstractNumId w:val="19"/>
  </w:num>
  <w:num w:numId="32">
    <w:abstractNumId w:val="10"/>
  </w:num>
  <w:num w:numId="33">
    <w:abstractNumId w:val="14"/>
  </w:num>
  <w:num w:numId="34">
    <w:abstractNumId w:val="15"/>
  </w:num>
  <w:num w:numId="35">
    <w:abstractNumId w:val="16"/>
  </w:num>
  <w:num w:numId="36">
    <w:abstractNumId w:val="21"/>
  </w:num>
  <w:num w:numId="37">
    <w:abstractNumId w:val="17"/>
  </w:num>
  <w:num w:numId="38">
    <w:abstractNumId w:val="13"/>
  </w:num>
  <w:num w:numId="39">
    <w:abstractNumId w:val="1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5E"/>
    <w:rsid w:val="0000147C"/>
    <w:rsid w:val="00001836"/>
    <w:rsid w:val="000122F6"/>
    <w:rsid w:val="0001424E"/>
    <w:rsid w:val="00014284"/>
    <w:rsid w:val="00015A87"/>
    <w:rsid w:val="000351E3"/>
    <w:rsid w:val="0004284B"/>
    <w:rsid w:val="00042C57"/>
    <w:rsid w:val="0004359B"/>
    <w:rsid w:val="000566C7"/>
    <w:rsid w:val="00060200"/>
    <w:rsid w:val="00060713"/>
    <w:rsid w:val="00061AA2"/>
    <w:rsid w:val="000648F8"/>
    <w:rsid w:val="000724D4"/>
    <w:rsid w:val="00076CA9"/>
    <w:rsid w:val="000808B3"/>
    <w:rsid w:val="00081F87"/>
    <w:rsid w:val="00083502"/>
    <w:rsid w:val="00085519"/>
    <w:rsid w:val="00097208"/>
    <w:rsid w:val="00097E66"/>
    <w:rsid w:val="000B0235"/>
    <w:rsid w:val="000B02D3"/>
    <w:rsid w:val="000B25C9"/>
    <w:rsid w:val="000C0865"/>
    <w:rsid w:val="000C2531"/>
    <w:rsid w:val="000C3C50"/>
    <w:rsid w:val="000C498B"/>
    <w:rsid w:val="000C6885"/>
    <w:rsid w:val="000D0120"/>
    <w:rsid w:val="000E1A9B"/>
    <w:rsid w:val="000E3DFB"/>
    <w:rsid w:val="000F338C"/>
    <w:rsid w:val="000F5399"/>
    <w:rsid w:val="00107FEB"/>
    <w:rsid w:val="0011510B"/>
    <w:rsid w:val="00122E55"/>
    <w:rsid w:val="001250B8"/>
    <w:rsid w:val="00131BF0"/>
    <w:rsid w:val="00131E94"/>
    <w:rsid w:val="00133FC4"/>
    <w:rsid w:val="0013776E"/>
    <w:rsid w:val="00142914"/>
    <w:rsid w:val="00147F62"/>
    <w:rsid w:val="001511D2"/>
    <w:rsid w:val="0015519A"/>
    <w:rsid w:val="001560C2"/>
    <w:rsid w:val="00161C91"/>
    <w:rsid w:val="00170079"/>
    <w:rsid w:val="00170F0E"/>
    <w:rsid w:val="00173A31"/>
    <w:rsid w:val="00174428"/>
    <w:rsid w:val="001751B6"/>
    <w:rsid w:val="00177F5F"/>
    <w:rsid w:val="00181ACC"/>
    <w:rsid w:val="00185D1E"/>
    <w:rsid w:val="00187D6F"/>
    <w:rsid w:val="001A0282"/>
    <w:rsid w:val="001A0A0C"/>
    <w:rsid w:val="001A0EA3"/>
    <w:rsid w:val="001A64F3"/>
    <w:rsid w:val="001B1018"/>
    <w:rsid w:val="001B19E7"/>
    <w:rsid w:val="001B4337"/>
    <w:rsid w:val="001C180E"/>
    <w:rsid w:val="001C5113"/>
    <w:rsid w:val="001E1E0B"/>
    <w:rsid w:val="001E3150"/>
    <w:rsid w:val="001E3E42"/>
    <w:rsid w:val="001E557F"/>
    <w:rsid w:val="001E79A8"/>
    <w:rsid w:val="001F4AF7"/>
    <w:rsid w:val="001F6B1B"/>
    <w:rsid w:val="001F701F"/>
    <w:rsid w:val="00200FCC"/>
    <w:rsid w:val="00203D28"/>
    <w:rsid w:val="00203D65"/>
    <w:rsid w:val="0020481C"/>
    <w:rsid w:val="00205C9D"/>
    <w:rsid w:val="00205FBD"/>
    <w:rsid w:val="00211D05"/>
    <w:rsid w:val="00216F3E"/>
    <w:rsid w:val="00216FD2"/>
    <w:rsid w:val="002176D0"/>
    <w:rsid w:val="002267EB"/>
    <w:rsid w:val="00230E1F"/>
    <w:rsid w:val="00240E59"/>
    <w:rsid w:val="0024458F"/>
    <w:rsid w:val="00247E58"/>
    <w:rsid w:val="002536E4"/>
    <w:rsid w:val="0025789B"/>
    <w:rsid w:val="00260137"/>
    <w:rsid w:val="00262D60"/>
    <w:rsid w:val="002735FE"/>
    <w:rsid w:val="00276232"/>
    <w:rsid w:val="00281DF8"/>
    <w:rsid w:val="00282C68"/>
    <w:rsid w:val="00285D7B"/>
    <w:rsid w:val="002A2251"/>
    <w:rsid w:val="002A7278"/>
    <w:rsid w:val="002D2E47"/>
    <w:rsid w:val="002E767E"/>
    <w:rsid w:val="002F7A21"/>
    <w:rsid w:val="003026A4"/>
    <w:rsid w:val="00303830"/>
    <w:rsid w:val="0030474A"/>
    <w:rsid w:val="00306DA9"/>
    <w:rsid w:val="003110D9"/>
    <w:rsid w:val="00313476"/>
    <w:rsid w:val="00316D27"/>
    <w:rsid w:val="003173AA"/>
    <w:rsid w:val="00325AE2"/>
    <w:rsid w:val="0033167F"/>
    <w:rsid w:val="003410B8"/>
    <w:rsid w:val="003463C9"/>
    <w:rsid w:val="00347B0B"/>
    <w:rsid w:val="00361379"/>
    <w:rsid w:val="00363F87"/>
    <w:rsid w:val="00365A51"/>
    <w:rsid w:val="00376E4C"/>
    <w:rsid w:val="0037743F"/>
    <w:rsid w:val="003814A1"/>
    <w:rsid w:val="00383EE1"/>
    <w:rsid w:val="00384381"/>
    <w:rsid w:val="00387C63"/>
    <w:rsid w:val="00392154"/>
    <w:rsid w:val="003937FA"/>
    <w:rsid w:val="003A07C6"/>
    <w:rsid w:val="003A0BE3"/>
    <w:rsid w:val="003A5151"/>
    <w:rsid w:val="003A759B"/>
    <w:rsid w:val="003B3EED"/>
    <w:rsid w:val="003B4EE1"/>
    <w:rsid w:val="003B6E2A"/>
    <w:rsid w:val="003C4C22"/>
    <w:rsid w:val="004000AB"/>
    <w:rsid w:val="00402BAA"/>
    <w:rsid w:val="004030A3"/>
    <w:rsid w:val="00403778"/>
    <w:rsid w:val="004041D2"/>
    <w:rsid w:val="00405D24"/>
    <w:rsid w:val="0041271B"/>
    <w:rsid w:val="004178DC"/>
    <w:rsid w:val="00417BB6"/>
    <w:rsid w:val="0042326F"/>
    <w:rsid w:val="00426C51"/>
    <w:rsid w:val="004305EF"/>
    <w:rsid w:val="00431619"/>
    <w:rsid w:val="00432233"/>
    <w:rsid w:val="00436003"/>
    <w:rsid w:val="0044536D"/>
    <w:rsid w:val="004453EB"/>
    <w:rsid w:val="00454C96"/>
    <w:rsid w:val="00455073"/>
    <w:rsid w:val="0046041D"/>
    <w:rsid w:val="0047052F"/>
    <w:rsid w:val="00472130"/>
    <w:rsid w:val="004825B1"/>
    <w:rsid w:val="00482D8E"/>
    <w:rsid w:val="00484048"/>
    <w:rsid w:val="00487715"/>
    <w:rsid w:val="004A2852"/>
    <w:rsid w:val="004A7C7D"/>
    <w:rsid w:val="004B375F"/>
    <w:rsid w:val="004B7F1A"/>
    <w:rsid w:val="004C1E5B"/>
    <w:rsid w:val="004C236A"/>
    <w:rsid w:val="004C2592"/>
    <w:rsid w:val="004C7CF6"/>
    <w:rsid w:val="004D374E"/>
    <w:rsid w:val="004D54E2"/>
    <w:rsid w:val="004E028C"/>
    <w:rsid w:val="004E0537"/>
    <w:rsid w:val="004E6C21"/>
    <w:rsid w:val="004F0013"/>
    <w:rsid w:val="004F0E1E"/>
    <w:rsid w:val="004F3DD9"/>
    <w:rsid w:val="004F4593"/>
    <w:rsid w:val="0050209F"/>
    <w:rsid w:val="00507D2B"/>
    <w:rsid w:val="00515E16"/>
    <w:rsid w:val="005201EA"/>
    <w:rsid w:val="00522201"/>
    <w:rsid w:val="00524024"/>
    <w:rsid w:val="00525978"/>
    <w:rsid w:val="00533221"/>
    <w:rsid w:val="005335C5"/>
    <w:rsid w:val="0053624A"/>
    <w:rsid w:val="00540B18"/>
    <w:rsid w:val="00545743"/>
    <w:rsid w:val="00550105"/>
    <w:rsid w:val="005539DF"/>
    <w:rsid w:val="00555866"/>
    <w:rsid w:val="00555871"/>
    <w:rsid w:val="005567F1"/>
    <w:rsid w:val="005622DC"/>
    <w:rsid w:val="00566735"/>
    <w:rsid w:val="00573E4E"/>
    <w:rsid w:val="0058030D"/>
    <w:rsid w:val="0058118F"/>
    <w:rsid w:val="00582FBA"/>
    <w:rsid w:val="00584B65"/>
    <w:rsid w:val="00591912"/>
    <w:rsid w:val="0059645A"/>
    <w:rsid w:val="005A17FB"/>
    <w:rsid w:val="005A4118"/>
    <w:rsid w:val="005B3F4B"/>
    <w:rsid w:val="005C1632"/>
    <w:rsid w:val="005C4253"/>
    <w:rsid w:val="005E522A"/>
    <w:rsid w:val="005E7D0C"/>
    <w:rsid w:val="005F1F37"/>
    <w:rsid w:val="005F28C3"/>
    <w:rsid w:val="005F67D9"/>
    <w:rsid w:val="005F7C00"/>
    <w:rsid w:val="0060482E"/>
    <w:rsid w:val="00621B19"/>
    <w:rsid w:val="00621BD1"/>
    <w:rsid w:val="00622C5D"/>
    <w:rsid w:val="0062610E"/>
    <w:rsid w:val="00630E4E"/>
    <w:rsid w:val="00631488"/>
    <w:rsid w:val="006343C4"/>
    <w:rsid w:val="006348FC"/>
    <w:rsid w:val="00636D2D"/>
    <w:rsid w:val="0064422D"/>
    <w:rsid w:val="006462C5"/>
    <w:rsid w:val="00646A5E"/>
    <w:rsid w:val="00653404"/>
    <w:rsid w:val="006763BA"/>
    <w:rsid w:val="00685268"/>
    <w:rsid w:val="006942D0"/>
    <w:rsid w:val="00695224"/>
    <w:rsid w:val="00695DC3"/>
    <w:rsid w:val="006977A8"/>
    <w:rsid w:val="00697E8B"/>
    <w:rsid w:val="006A3932"/>
    <w:rsid w:val="006A6C36"/>
    <w:rsid w:val="006B0568"/>
    <w:rsid w:val="006B097D"/>
    <w:rsid w:val="006B2824"/>
    <w:rsid w:val="006B62DF"/>
    <w:rsid w:val="006C3780"/>
    <w:rsid w:val="006D482F"/>
    <w:rsid w:val="006D6DC6"/>
    <w:rsid w:val="006E0354"/>
    <w:rsid w:val="006F2D1E"/>
    <w:rsid w:val="006F5D35"/>
    <w:rsid w:val="006F611C"/>
    <w:rsid w:val="00711F29"/>
    <w:rsid w:val="007153D7"/>
    <w:rsid w:val="00725A6C"/>
    <w:rsid w:val="00727092"/>
    <w:rsid w:val="00727D10"/>
    <w:rsid w:val="007333CA"/>
    <w:rsid w:val="00735262"/>
    <w:rsid w:val="00735D28"/>
    <w:rsid w:val="00737A03"/>
    <w:rsid w:val="00742057"/>
    <w:rsid w:val="00745013"/>
    <w:rsid w:val="00745501"/>
    <w:rsid w:val="00753CAA"/>
    <w:rsid w:val="00755474"/>
    <w:rsid w:val="007610EA"/>
    <w:rsid w:val="00761376"/>
    <w:rsid w:val="00763D82"/>
    <w:rsid w:val="00766135"/>
    <w:rsid w:val="00767B59"/>
    <w:rsid w:val="00770B5E"/>
    <w:rsid w:val="007711EA"/>
    <w:rsid w:val="00773CD5"/>
    <w:rsid w:val="0077414D"/>
    <w:rsid w:val="007767B4"/>
    <w:rsid w:val="007773C9"/>
    <w:rsid w:val="0077746E"/>
    <w:rsid w:val="0078543D"/>
    <w:rsid w:val="00786344"/>
    <w:rsid w:val="00786C3F"/>
    <w:rsid w:val="00793D03"/>
    <w:rsid w:val="00796A1C"/>
    <w:rsid w:val="007A2EC2"/>
    <w:rsid w:val="007A7AD9"/>
    <w:rsid w:val="007B227D"/>
    <w:rsid w:val="007B2FA6"/>
    <w:rsid w:val="007B493E"/>
    <w:rsid w:val="007B6E16"/>
    <w:rsid w:val="007C5F1A"/>
    <w:rsid w:val="007D113B"/>
    <w:rsid w:val="007E0DC9"/>
    <w:rsid w:val="007E2F8C"/>
    <w:rsid w:val="007E6ED5"/>
    <w:rsid w:val="007F0994"/>
    <w:rsid w:val="007F38CD"/>
    <w:rsid w:val="00803845"/>
    <w:rsid w:val="00804B71"/>
    <w:rsid w:val="008078C7"/>
    <w:rsid w:val="00811CD7"/>
    <w:rsid w:val="00822B3A"/>
    <w:rsid w:val="00823F4F"/>
    <w:rsid w:val="0083102E"/>
    <w:rsid w:val="00832C10"/>
    <w:rsid w:val="0083482F"/>
    <w:rsid w:val="00837DCA"/>
    <w:rsid w:val="00842158"/>
    <w:rsid w:val="00847757"/>
    <w:rsid w:val="0085664C"/>
    <w:rsid w:val="00861524"/>
    <w:rsid w:val="00877250"/>
    <w:rsid w:val="00880FE3"/>
    <w:rsid w:val="00884675"/>
    <w:rsid w:val="00892ED3"/>
    <w:rsid w:val="008949F8"/>
    <w:rsid w:val="00896E98"/>
    <w:rsid w:val="008B1A3C"/>
    <w:rsid w:val="008B6416"/>
    <w:rsid w:val="008D1C86"/>
    <w:rsid w:val="008D2104"/>
    <w:rsid w:val="008D7345"/>
    <w:rsid w:val="008E0129"/>
    <w:rsid w:val="008E0EF1"/>
    <w:rsid w:val="008E29B2"/>
    <w:rsid w:val="008E35CB"/>
    <w:rsid w:val="008E7E9F"/>
    <w:rsid w:val="008F0C0F"/>
    <w:rsid w:val="008F1003"/>
    <w:rsid w:val="008F38C0"/>
    <w:rsid w:val="008F3A47"/>
    <w:rsid w:val="008F4097"/>
    <w:rsid w:val="00914494"/>
    <w:rsid w:val="00917C4B"/>
    <w:rsid w:val="00917FFB"/>
    <w:rsid w:val="00923683"/>
    <w:rsid w:val="00923A83"/>
    <w:rsid w:val="00927424"/>
    <w:rsid w:val="00935F24"/>
    <w:rsid w:val="00952C96"/>
    <w:rsid w:val="009543FC"/>
    <w:rsid w:val="00956BE0"/>
    <w:rsid w:val="00962FA8"/>
    <w:rsid w:val="00967F33"/>
    <w:rsid w:val="00970A74"/>
    <w:rsid w:val="00971C92"/>
    <w:rsid w:val="009814A3"/>
    <w:rsid w:val="009917A2"/>
    <w:rsid w:val="00992A56"/>
    <w:rsid w:val="00994A4C"/>
    <w:rsid w:val="009A6986"/>
    <w:rsid w:val="009C07D0"/>
    <w:rsid w:val="009C19EB"/>
    <w:rsid w:val="009D1D7C"/>
    <w:rsid w:val="009D35A4"/>
    <w:rsid w:val="009D5850"/>
    <w:rsid w:val="009D660C"/>
    <w:rsid w:val="009F2DE4"/>
    <w:rsid w:val="009F4B3F"/>
    <w:rsid w:val="009F5AE8"/>
    <w:rsid w:val="009F7C1C"/>
    <w:rsid w:val="00A22650"/>
    <w:rsid w:val="00A23939"/>
    <w:rsid w:val="00A31ADD"/>
    <w:rsid w:val="00A354B8"/>
    <w:rsid w:val="00A44424"/>
    <w:rsid w:val="00A44742"/>
    <w:rsid w:val="00A515C8"/>
    <w:rsid w:val="00A54229"/>
    <w:rsid w:val="00A62001"/>
    <w:rsid w:val="00A6574F"/>
    <w:rsid w:val="00A663A2"/>
    <w:rsid w:val="00A7197C"/>
    <w:rsid w:val="00A724B3"/>
    <w:rsid w:val="00A74E03"/>
    <w:rsid w:val="00A8125A"/>
    <w:rsid w:val="00A8469A"/>
    <w:rsid w:val="00A906BD"/>
    <w:rsid w:val="00A91A57"/>
    <w:rsid w:val="00A92A9B"/>
    <w:rsid w:val="00A93118"/>
    <w:rsid w:val="00A95E6B"/>
    <w:rsid w:val="00A964DF"/>
    <w:rsid w:val="00A97A08"/>
    <w:rsid w:val="00A97A93"/>
    <w:rsid w:val="00AA3001"/>
    <w:rsid w:val="00AC24D3"/>
    <w:rsid w:val="00AC3D39"/>
    <w:rsid w:val="00AC6641"/>
    <w:rsid w:val="00AD38B8"/>
    <w:rsid w:val="00AD66F7"/>
    <w:rsid w:val="00AD780A"/>
    <w:rsid w:val="00AE5239"/>
    <w:rsid w:val="00AF05A1"/>
    <w:rsid w:val="00AF2AAB"/>
    <w:rsid w:val="00AF44D9"/>
    <w:rsid w:val="00AF5596"/>
    <w:rsid w:val="00B01344"/>
    <w:rsid w:val="00B02532"/>
    <w:rsid w:val="00B02A76"/>
    <w:rsid w:val="00B0448E"/>
    <w:rsid w:val="00B04853"/>
    <w:rsid w:val="00B0667F"/>
    <w:rsid w:val="00B16DC4"/>
    <w:rsid w:val="00B2186E"/>
    <w:rsid w:val="00B24516"/>
    <w:rsid w:val="00B24706"/>
    <w:rsid w:val="00B2529E"/>
    <w:rsid w:val="00B25FED"/>
    <w:rsid w:val="00B31610"/>
    <w:rsid w:val="00B410FA"/>
    <w:rsid w:val="00B441EA"/>
    <w:rsid w:val="00B44AE6"/>
    <w:rsid w:val="00B473A4"/>
    <w:rsid w:val="00B5166B"/>
    <w:rsid w:val="00B5474C"/>
    <w:rsid w:val="00B56657"/>
    <w:rsid w:val="00B5705C"/>
    <w:rsid w:val="00B579FD"/>
    <w:rsid w:val="00B860B1"/>
    <w:rsid w:val="00B94D93"/>
    <w:rsid w:val="00BB1395"/>
    <w:rsid w:val="00BB2AA4"/>
    <w:rsid w:val="00BB2C48"/>
    <w:rsid w:val="00BC34F1"/>
    <w:rsid w:val="00BC7790"/>
    <w:rsid w:val="00BD160B"/>
    <w:rsid w:val="00BD213E"/>
    <w:rsid w:val="00BD21D5"/>
    <w:rsid w:val="00BD2A6A"/>
    <w:rsid w:val="00BD64A0"/>
    <w:rsid w:val="00BD6DBA"/>
    <w:rsid w:val="00BD7890"/>
    <w:rsid w:val="00BE2E62"/>
    <w:rsid w:val="00BE4AAC"/>
    <w:rsid w:val="00C0359B"/>
    <w:rsid w:val="00C05A70"/>
    <w:rsid w:val="00C06F53"/>
    <w:rsid w:val="00C07B5B"/>
    <w:rsid w:val="00C14D95"/>
    <w:rsid w:val="00C17353"/>
    <w:rsid w:val="00C30FE5"/>
    <w:rsid w:val="00C41734"/>
    <w:rsid w:val="00C4659F"/>
    <w:rsid w:val="00C56221"/>
    <w:rsid w:val="00C66AB4"/>
    <w:rsid w:val="00C81DD8"/>
    <w:rsid w:val="00C85F0E"/>
    <w:rsid w:val="00C86474"/>
    <w:rsid w:val="00CA354F"/>
    <w:rsid w:val="00CA4E39"/>
    <w:rsid w:val="00CA5E01"/>
    <w:rsid w:val="00CC1C0C"/>
    <w:rsid w:val="00CC4BFA"/>
    <w:rsid w:val="00CD4909"/>
    <w:rsid w:val="00CE1DC9"/>
    <w:rsid w:val="00CE3558"/>
    <w:rsid w:val="00CE5AE2"/>
    <w:rsid w:val="00CE739F"/>
    <w:rsid w:val="00CF0EB4"/>
    <w:rsid w:val="00CF27D9"/>
    <w:rsid w:val="00CF72C8"/>
    <w:rsid w:val="00D021AD"/>
    <w:rsid w:val="00D104EF"/>
    <w:rsid w:val="00D17CB2"/>
    <w:rsid w:val="00D200F5"/>
    <w:rsid w:val="00D23588"/>
    <w:rsid w:val="00D23BD5"/>
    <w:rsid w:val="00D408FB"/>
    <w:rsid w:val="00D4751F"/>
    <w:rsid w:val="00D540F6"/>
    <w:rsid w:val="00D61D95"/>
    <w:rsid w:val="00D63E18"/>
    <w:rsid w:val="00D6530A"/>
    <w:rsid w:val="00D659BD"/>
    <w:rsid w:val="00D735AD"/>
    <w:rsid w:val="00D84E10"/>
    <w:rsid w:val="00D86621"/>
    <w:rsid w:val="00D91E32"/>
    <w:rsid w:val="00D95199"/>
    <w:rsid w:val="00D96DEC"/>
    <w:rsid w:val="00DA31B7"/>
    <w:rsid w:val="00DA37B8"/>
    <w:rsid w:val="00DA40EE"/>
    <w:rsid w:val="00DA4316"/>
    <w:rsid w:val="00DA6CAF"/>
    <w:rsid w:val="00DC6130"/>
    <w:rsid w:val="00DD2349"/>
    <w:rsid w:val="00DE2FDF"/>
    <w:rsid w:val="00DF572A"/>
    <w:rsid w:val="00DF67B1"/>
    <w:rsid w:val="00E0250B"/>
    <w:rsid w:val="00E04ECF"/>
    <w:rsid w:val="00E17B2A"/>
    <w:rsid w:val="00E22CF8"/>
    <w:rsid w:val="00E2407B"/>
    <w:rsid w:val="00E3669A"/>
    <w:rsid w:val="00E36E4B"/>
    <w:rsid w:val="00E40A6A"/>
    <w:rsid w:val="00E425D1"/>
    <w:rsid w:val="00E51B9D"/>
    <w:rsid w:val="00E5230F"/>
    <w:rsid w:val="00E5508C"/>
    <w:rsid w:val="00E55A85"/>
    <w:rsid w:val="00E6208B"/>
    <w:rsid w:val="00E63747"/>
    <w:rsid w:val="00E66544"/>
    <w:rsid w:val="00E71D03"/>
    <w:rsid w:val="00E74134"/>
    <w:rsid w:val="00E77424"/>
    <w:rsid w:val="00E8202E"/>
    <w:rsid w:val="00E9250C"/>
    <w:rsid w:val="00E94CCD"/>
    <w:rsid w:val="00EB0EE3"/>
    <w:rsid w:val="00EB117D"/>
    <w:rsid w:val="00EB121A"/>
    <w:rsid w:val="00EB20F6"/>
    <w:rsid w:val="00EB7069"/>
    <w:rsid w:val="00ED2159"/>
    <w:rsid w:val="00ED3608"/>
    <w:rsid w:val="00ED4E62"/>
    <w:rsid w:val="00EE086E"/>
    <w:rsid w:val="00EF3878"/>
    <w:rsid w:val="00EF4FD4"/>
    <w:rsid w:val="00EF5AB2"/>
    <w:rsid w:val="00F019FD"/>
    <w:rsid w:val="00F030BB"/>
    <w:rsid w:val="00F07560"/>
    <w:rsid w:val="00F119CE"/>
    <w:rsid w:val="00F12F1D"/>
    <w:rsid w:val="00F13B36"/>
    <w:rsid w:val="00F1637A"/>
    <w:rsid w:val="00F16572"/>
    <w:rsid w:val="00F20DCF"/>
    <w:rsid w:val="00F21FE7"/>
    <w:rsid w:val="00F267B7"/>
    <w:rsid w:val="00F341F4"/>
    <w:rsid w:val="00F35BF6"/>
    <w:rsid w:val="00F36399"/>
    <w:rsid w:val="00F37974"/>
    <w:rsid w:val="00F549B0"/>
    <w:rsid w:val="00F57139"/>
    <w:rsid w:val="00F577A1"/>
    <w:rsid w:val="00F616B6"/>
    <w:rsid w:val="00F654B8"/>
    <w:rsid w:val="00F661E5"/>
    <w:rsid w:val="00F71966"/>
    <w:rsid w:val="00F72BF5"/>
    <w:rsid w:val="00F72F92"/>
    <w:rsid w:val="00F8486D"/>
    <w:rsid w:val="00F86689"/>
    <w:rsid w:val="00F91529"/>
    <w:rsid w:val="00F94436"/>
    <w:rsid w:val="00F96CEC"/>
    <w:rsid w:val="00FA0FC9"/>
    <w:rsid w:val="00FA2B49"/>
    <w:rsid w:val="00FA6B9A"/>
    <w:rsid w:val="00FB4FDB"/>
    <w:rsid w:val="00FC0BC6"/>
    <w:rsid w:val="00FC334E"/>
    <w:rsid w:val="00FC39E1"/>
    <w:rsid w:val="00FD019E"/>
    <w:rsid w:val="00FD55F2"/>
    <w:rsid w:val="00FE07D3"/>
    <w:rsid w:val="00FE2B60"/>
    <w:rsid w:val="00FE6ABF"/>
    <w:rsid w:val="00FF313D"/>
    <w:rsid w:val="00FF4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A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unhideWhenUsed="0"/>
    <w:lsdException w:name="Body Text First Indent" w:unhideWhenUsed="0"/>
    <w:lsdException w:name="Hyperlink" w:uiPriority="99"/>
    <w:lsdException w:name="Strong" w:semiHidden="0" w:unhideWhenUsed="0" w:qFormat="1"/>
    <w:lsdException w:name="Emphasis"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1C"/>
    <w:rPr>
      <w:sz w:val="22"/>
      <w:szCs w:val="24"/>
      <w:lang w:eastAsia="en-US"/>
    </w:rPr>
  </w:style>
  <w:style w:type="paragraph" w:styleId="Heading1">
    <w:name w:val="heading 1"/>
    <w:basedOn w:val="Normal"/>
    <w:next w:val="Bodycopy"/>
    <w:qFormat/>
    <w:rsid w:val="00285D7B"/>
    <w:pPr>
      <w:keepNext/>
      <w:numPr>
        <w:numId w:val="27"/>
      </w:numPr>
      <w:spacing w:after="113"/>
      <w:outlineLvl w:val="0"/>
    </w:pPr>
    <w:rPr>
      <w:rFonts w:cs="Arial"/>
      <w:b/>
      <w:bCs/>
      <w:kern w:val="32"/>
      <w:sz w:val="20"/>
      <w:szCs w:val="76"/>
    </w:rPr>
  </w:style>
  <w:style w:type="paragraph" w:styleId="Heading2">
    <w:name w:val="heading 2"/>
    <w:basedOn w:val="Normal"/>
    <w:next w:val="Bodycopy"/>
    <w:qFormat/>
    <w:rsid w:val="00285D7B"/>
    <w:pPr>
      <w:keepNext/>
      <w:numPr>
        <w:ilvl w:val="1"/>
        <w:numId w:val="27"/>
      </w:numPr>
      <w:spacing w:after="113"/>
      <w:outlineLvl w:val="1"/>
    </w:pPr>
    <w:rPr>
      <w:rFonts w:cs="Arial"/>
      <w:bCs/>
      <w:iCs/>
      <w:sz w:val="20"/>
      <w:szCs w:val="40"/>
    </w:rPr>
  </w:style>
  <w:style w:type="paragraph" w:styleId="Heading3">
    <w:name w:val="heading 3"/>
    <w:basedOn w:val="Normal"/>
    <w:next w:val="Bodycopy"/>
    <w:qFormat/>
    <w:rsid w:val="00285D7B"/>
    <w:pPr>
      <w:keepNext/>
      <w:numPr>
        <w:ilvl w:val="2"/>
        <w:numId w:val="27"/>
      </w:numPr>
      <w:spacing w:after="113"/>
      <w:outlineLvl w:val="2"/>
    </w:pPr>
    <w:rPr>
      <w:rFonts w:cs="Arial"/>
      <w:bCs/>
      <w:sz w:val="20"/>
      <w:szCs w:val="28"/>
    </w:rPr>
  </w:style>
  <w:style w:type="paragraph" w:styleId="Heading4">
    <w:name w:val="heading 4"/>
    <w:basedOn w:val="Normal"/>
    <w:next w:val="Bodycopy"/>
    <w:qFormat/>
    <w:rsid w:val="00285D7B"/>
    <w:pPr>
      <w:keepNext/>
      <w:numPr>
        <w:ilvl w:val="3"/>
        <w:numId w:val="27"/>
      </w:numPr>
      <w:spacing w:after="113"/>
      <w:outlineLvl w:val="3"/>
    </w:pPr>
    <w:rPr>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rsid w:val="003B4EE1"/>
    <w:pPr>
      <w:spacing w:after="113" w:line="240" w:lineRule="atLeast"/>
    </w:pPr>
    <w:rPr>
      <w:sz w:val="20"/>
    </w:rPr>
  </w:style>
  <w:style w:type="paragraph" w:customStyle="1" w:styleId="BodycopyBold">
    <w:name w:val="Body copy Bold"/>
    <w:basedOn w:val="Normal"/>
    <w:semiHidden/>
    <w:rsid w:val="00F21FE7"/>
    <w:pPr>
      <w:spacing w:after="113" w:line="240" w:lineRule="atLeast"/>
    </w:pPr>
    <w:rPr>
      <w:b/>
      <w:sz w:val="20"/>
    </w:rPr>
  </w:style>
  <w:style w:type="paragraph" w:customStyle="1" w:styleId="Documenttitle">
    <w:name w:val="Document title"/>
    <w:basedOn w:val="Normal"/>
    <w:semiHidden/>
    <w:rsid w:val="00042C57"/>
    <w:pPr>
      <w:spacing w:line="640" w:lineRule="atLeast"/>
    </w:pPr>
    <w:rPr>
      <w:b/>
      <w:sz w:val="56"/>
    </w:rPr>
  </w:style>
  <w:style w:type="paragraph" w:customStyle="1" w:styleId="Addressdetails">
    <w:name w:val="Address details"/>
    <w:basedOn w:val="Normal"/>
    <w:link w:val="AddressdetailsChar"/>
    <w:rsid w:val="004000AB"/>
    <w:pPr>
      <w:spacing w:before="85" w:line="180" w:lineRule="atLeast"/>
    </w:pPr>
    <w:rPr>
      <w:rFonts w:ascii="Arial" w:hAnsi="Arial"/>
      <w:sz w:val="15"/>
    </w:rPr>
  </w:style>
  <w:style w:type="paragraph" w:customStyle="1" w:styleId="Descriptor">
    <w:name w:val="Descriptor"/>
    <w:basedOn w:val="Normal"/>
    <w:rsid w:val="004B375F"/>
    <w:pPr>
      <w:spacing w:before="28" w:line="200" w:lineRule="atLeast"/>
    </w:pPr>
    <w:rPr>
      <w:rFonts w:ascii="Arial" w:hAnsi="Arial"/>
      <w:b/>
      <w:sz w:val="20"/>
    </w:rPr>
  </w:style>
  <w:style w:type="paragraph" w:customStyle="1" w:styleId="Details">
    <w:name w:val="Details"/>
    <w:basedOn w:val="Normal"/>
    <w:rsid w:val="004B375F"/>
    <w:pPr>
      <w:spacing w:before="28" w:line="200" w:lineRule="atLeast"/>
    </w:pPr>
  </w:style>
  <w:style w:type="paragraph" w:customStyle="1" w:styleId="Confidentialitynotice">
    <w:name w:val="Confidentiality notice"/>
    <w:basedOn w:val="Normal"/>
    <w:semiHidden/>
    <w:rsid w:val="00042C57"/>
    <w:pPr>
      <w:spacing w:line="200" w:lineRule="atLeast"/>
    </w:pPr>
    <w:rPr>
      <w:rFonts w:ascii="Arial" w:hAnsi="Arial"/>
      <w:sz w:val="16"/>
    </w:rPr>
  </w:style>
  <w:style w:type="paragraph" w:customStyle="1" w:styleId="Documentstatus">
    <w:name w:val="Document status"/>
    <w:basedOn w:val="Normal"/>
    <w:semiHidden/>
    <w:rsid w:val="00042C57"/>
    <w:pPr>
      <w:spacing w:before="170" w:line="340" w:lineRule="atLeast"/>
    </w:pPr>
    <w:rPr>
      <w:b/>
      <w:sz w:val="28"/>
    </w:rPr>
  </w:style>
  <w:style w:type="paragraph" w:customStyle="1" w:styleId="AHeading">
    <w:name w:val="A Heading"/>
    <w:basedOn w:val="Normal"/>
    <w:semiHidden/>
    <w:rsid w:val="00042C57"/>
    <w:pPr>
      <w:spacing w:line="440" w:lineRule="atLeast"/>
    </w:pPr>
    <w:rPr>
      <w:b/>
      <w:sz w:val="40"/>
    </w:rPr>
  </w:style>
  <w:style w:type="paragraph" w:customStyle="1" w:styleId="Requestform">
    <w:name w:val="Request form"/>
    <w:basedOn w:val="Normal"/>
    <w:semiHidden/>
    <w:rsid w:val="00880FE3"/>
    <w:pPr>
      <w:spacing w:before="85" w:line="220" w:lineRule="atLeast"/>
    </w:pPr>
    <w:rPr>
      <w:rFonts w:ascii="Arial" w:hAnsi="Arial"/>
      <w:sz w:val="18"/>
    </w:rPr>
  </w:style>
  <w:style w:type="paragraph" w:customStyle="1" w:styleId="BHeading">
    <w:name w:val="B Heading"/>
    <w:basedOn w:val="Normal"/>
    <w:semiHidden/>
    <w:rsid w:val="00880FE3"/>
    <w:pPr>
      <w:spacing w:after="170" w:line="340" w:lineRule="atLeast"/>
    </w:pPr>
    <w:rPr>
      <w:b/>
      <w:sz w:val="28"/>
    </w:rPr>
  </w:style>
  <w:style w:type="paragraph" w:customStyle="1" w:styleId="Bodycopy1before">
    <w:name w:val="Body copy 1 before"/>
    <w:basedOn w:val="Normal"/>
    <w:semiHidden/>
    <w:rsid w:val="00F07560"/>
    <w:pPr>
      <w:spacing w:before="57" w:after="113" w:line="240" w:lineRule="atLeast"/>
    </w:pPr>
    <w:rPr>
      <w:sz w:val="20"/>
    </w:rPr>
  </w:style>
  <w:style w:type="paragraph" w:customStyle="1" w:styleId="Bodycopybold1before">
    <w:name w:val="Body copy bold 1 before"/>
    <w:basedOn w:val="Normal"/>
    <w:semiHidden/>
    <w:rsid w:val="009D660C"/>
    <w:pPr>
      <w:spacing w:before="57" w:after="113" w:line="240" w:lineRule="atLeast"/>
    </w:pPr>
    <w:rPr>
      <w:b/>
      <w:sz w:val="20"/>
    </w:rPr>
  </w:style>
  <w:style w:type="paragraph" w:customStyle="1" w:styleId="Bodycopybold3before">
    <w:name w:val="Body copy bold 3 before"/>
    <w:basedOn w:val="Normal"/>
    <w:semiHidden/>
    <w:rsid w:val="002F7A21"/>
    <w:pPr>
      <w:spacing w:before="170" w:after="113" w:line="240" w:lineRule="atLeast"/>
    </w:pPr>
    <w:rPr>
      <w:b/>
      <w:sz w:val="20"/>
    </w:rPr>
  </w:style>
  <w:style w:type="paragraph" w:customStyle="1" w:styleId="Bodycopybold6before">
    <w:name w:val="Body copy bold 6 before"/>
    <w:basedOn w:val="Normal"/>
    <w:semiHidden/>
    <w:rsid w:val="00D540F6"/>
    <w:pPr>
      <w:spacing w:before="340" w:after="113" w:line="240" w:lineRule="atLeast"/>
    </w:pPr>
    <w:rPr>
      <w:b/>
      <w:sz w:val="20"/>
    </w:rPr>
  </w:style>
  <w:style w:type="paragraph" w:customStyle="1" w:styleId="Bodycopy3before">
    <w:name w:val="Body copy 3 before"/>
    <w:basedOn w:val="Normal"/>
    <w:semiHidden/>
    <w:rsid w:val="003A759B"/>
    <w:pPr>
      <w:spacing w:before="170" w:after="113" w:line="240" w:lineRule="atLeast"/>
    </w:pPr>
    <w:rPr>
      <w:sz w:val="20"/>
    </w:rPr>
  </w:style>
  <w:style w:type="paragraph" w:customStyle="1" w:styleId="Bodycopy6before">
    <w:name w:val="Body copy 6 before"/>
    <w:basedOn w:val="Normal"/>
    <w:semiHidden/>
    <w:rsid w:val="00971C92"/>
    <w:pPr>
      <w:spacing w:before="340" w:after="113" w:line="240" w:lineRule="atLeast"/>
    </w:pPr>
    <w:rPr>
      <w:sz w:val="20"/>
    </w:rPr>
  </w:style>
  <w:style w:type="paragraph" w:customStyle="1" w:styleId="Bodycopybold9before">
    <w:name w:val="Body copy bold 9 before"/>
    <w:basedOn w:val="Normal"/>
    <w:semiHidden/>
    <w:rsid w:val="00A44742"/>
    <w:pPr>
      <w:spacing w:before="510" w:after="113" w:line="240" w:lineRule="atLeast"/>
    </w:pPr>
    <w:rPr>
      <w:b/>
      <w:sz w:val="20"/>
    </w:rPr>
  </w:style>
  <w:style w:type="paragraph" w:styleId="Header">
    <w:name w:val="header"/>
    <w:basedOn w:val="Normal"/>
    <w:semiHidden/>
    <w:rsid w:val="00F37974"/>
    <w:rPr>
      <w:sz w:val="20"/>
      <w:szCs w:val="20"/>
    </w:rPr>
  </w:style>
  <w:style w:type="paragraph" w:styleId="Footer">
    <w:name w:val="footer"/>
    <w:basedOn w:val="Normal"/>
    <w:semiHidden/>
    <w:rsid w:val="00F37974"/>
    <w:rPr>
      <w:sz w:val="20"/>
    </w:rPr>
  </w:style>
  <w:style w:type="paragraph" w:customStyle="1" w:styleId="Legalstatement">
    <w:name w:val="Legal statement"/>
    <w:basedOn w:val="Footer"/>
    <w:rsid w:val="00A97A93"/>
    <w:pPr>
      <w:spacing w:after="60"/>
    </w:pPr>
    <w:rPr>
      <w:rFonts w:ascii="Arial" w:hAnsi="Arial" w:cs="Arial"/>
      <w:color w:val="000000"/>
      <w:sz w:val="13"/>
      <w:szCs w:val="16"/>
    </w:rPr>
  </w:style>
  <w:style w:type="character" w:customStyle="1" w:styleId="AddressdetailsChar">
    <w:name w:val="Address details Char"/>
    <w:basedOn w:val="DefaultParagraphFont"/>
    <w:link w:val="Addressdetails"/>
    <w:rsid w:val="004000AB"/>
    <w:rPr>
      <w:rFonts w:ascii="Arial" w:hAnsi="Arial"/>
      <w:sz w:val="15"/>
      <w:szCs w:val="24"/>
      <w:lang w:val="en-AU" w:eastAsia="en-US" w:bidi="ar-SA"/>
    </w:rPr>
  </w:style>
  <w:style w:type="paragraph" w:customStyle="1" w:styleId="Disclaimer">
    <w:name w:val="Disclaimer"/>
    <w:basedOn w:val="Normal"/>
    <w:rsid w:val="00F91529"/>
    <w:pPr>
      <w:spacing w:before="120" w:line="180" w:lineRule="exact"/>
    </w:pPr>
    <w:rPr>
      <w:rFonts w:asciiTheme="minorHAnsi" w:hAnsiTheme="minorHAnsi"/>
      <w:sz w:val="16"/>
      <w:szCs w:val="20"/>
    </w:rPr>
  </w:style>
  <w:style w:type="paragraph" w:styleId="ListBullet">
    <w:name w:val="List Bullet"/>
    <w:basedOn w:val="Normal"/>
    <w:rsid w:val="00285D7B"/>
    <w:pPr>
      <w:numPr>
        <w:numId w:val="28"/>
      </w:numPr>
      <w:spacing w:after="113" w:line="240" w:lineRule="atLeast"/>
    </w:pPr>
    <w:rPr>
      <w:sz w:val="20"/>
    </w:rPr>
  </w:style>
  <w:style w:type="table" w:customStyle="1" w:styleId="TableDeloitte">
    <w:name w:val="Table Deloitte"/>
    <w:basedOn w:val="TableNormal"/>
    <w:rsid w:val="0083482F"/>
    <w:pPr>
      <w:spacing w:before="60" w:after="113" w:line="240" w:lineRule="atLeast"/>
    </w:pPr>
    <w:rPr>
      <w:rFonts w:ascii="Arial" w:eastAsia="SimSun" w:hAnsi="Arial"/>
      <w:sz w:val="16"/>
      <w:lang w:val="en-GB" w:eastAsia="en-GB"/>
    </w:rPr>
    <w:tblPr>
      <w:tblStyleRowBandSize w:val="1"/>
      <w:tblInd w:w="0" w:type="dxa"/>
      <w:tblCellMar>
        <w:top w:w="0" w:type="dxa"/>
        <w:left w:w="108" w:type="dxa"/>
        <w:bottom w:w="0" w:type="dxa"/>
        <w:right w:w="108" w:type="dxa"/>
      </w:tblCellMar>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83482F"/>
    <w:pPr>
      <w:spacing w:before="60" w:after="60"/>
    </w:pPr>
    <w:rPr>
      <w:rFonts w:ascii="Times" w:eastAsia="SimSun" w:hAnsi="Times"/>
      <w:lang w:val="en-GB" w:eastAsia="en-GB"/>
    </w:rPr>
    <w:tblPr>
      <w:tblStyleRowBandSize w:val="1"/>
      <w:tblInd w:w="0" w:type="dxa"/>
      <w:tblBorders>
        <w:insideH w:val="single" w:sz="4" w:space="0" w:color="auto"/>
      </w:tblBorders>
      <w:tblCellMar>
        <w:top w:w="0" w:type="dxa"/>
        <w:left w:w="108" w:type="dxa"/>
        <w:bottom w:w="0" w:type="dxa"/>
        <w:right w:w="108" w:type="dxa"/>
      </w:tblCellMar>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paragraph" w:customStyle="1" w:styleId="FooterDocName">
    <w:name w:val="Footer Doc Name"/>
    <w:basedOn w:val="Footer"/>
    <w:rsid w:val="00F37974"/>
    <w:rPr>
      <w:rFonts w:ascii="Arial Narrow" w:hAnsi="Arial Narrow"/>
      <w:noProof/>
      <w:sz w:val="9"/>
      <w:szCs w:val="9"/>
    </w:rPr>
  </w:style>
  <w:style w:type="paragraph" w:styleId="Caption">
    <w:name w:val="caption"/>
    <w:basedOn w:val="Normal"/>
    <w:next w:val="Bodycopy"/>
    <w:semiHidden/>
    <w:qFormat/>
    <w:rsid w:val="00F72BF5"/>
    <w:rPr>
      <w:bCs/>
      <w:szCs w:val="20"/>
    </w:rPr>
  </w:style>
  <w:style w:type="paragraph" w:styleId="BalloonText">
    <w:name w:val="Balloon Text"/>
    <w:basedOn w:val="Normal"/>
    <w:link w:val="BalloonTextChar"/>
    <w:semiHidden/>
    <w:rsid w:val="00BB1395"/>
    <w:rPr>
      <w:rFonts w:ascii="Tahoma" w:hAnsi="Tahoma" w:cs="Tahoma"/>
      <w:sz w:val="16"/>
      <w:szCs w:val="16"/>
    </w:rPr>
  </w:style>
  <w:style w:type="character" w:customStyle="1" w:styleId="BalloonTextChar">
    <w:name w:val="Balloon Text Char"/>
    <w:basedOn w:val="DefaultParagraphFont"/>
    <w:link w:val="BalloonText"/>
    <w:semiHidden/>
    <w:rsid w:val="007610EA"/>
    <w:rPr>
      <w:rFonts w:ascii="Tahoma" w:hAnsi="Tahoma" w:cs="Tahoma"/>
      <w:sz w:val="16"/>
      <w:szCs w:val="16"/>
      <w:lang w:eastAsia="en-US"/>
    </w:rPr>
  </w:style>
  <w:style w:type="paragraph" w:customStyle="1" w:styleId="Member">
    <w:name w:val="Member"/>
    <w:basedOn w:val="Legalstatement"/>
    <w:qFormat/>
    <w:rsid w:val="00F91529"/>
    <w:pPr>
      <w:spacing w:before="120" w:after="0"/>
    </w:pPr>
    <w:rPr>
      <w:sz w:val="14"/>
    </w:rPr>
  </w:style>
  <w:style w:type="paragraph" w:styleId="ListNumber">
    <w:name w:val="List Number"/>
    <w:basedOn w:val="Normal"/>
    <w:rsid w:val="006F611C"/>
    <w:pPr>
      <w:numPr>
        <w:numId w:val="6"/>
      </w:numPr>
      <w:spacing w:after="113"/>
      <w:ind w:left="357" w:hanging="357"/>
    </w:pPr>
    <w:rPr>
      <w:sz w:val="20"/>
    </w:rPr>
  </w:style>
  <w:style w:type="table" w:customStyle="1" w:styleId="TableDeloitteShadedGreen">
    <w:name w:val="Table Deloitte Shaded Green"/>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92D400" w:themeFill="accent2"/>
      </w:tcPr>
    </w:tblStylePr>
    <w:tblStylePr w:type="band2Horz">
      <w:tblPr/>
      <w:tcPr>
        <w:shd w:val="clear" w:color="auto" w:fill="ECFFC3" w:themeFill="accent2" w:themeFillTint="33"/>
      </w:tcPr>
    </w:tblStylePr>
  </w:style>
  <w:style w:type="table" w:customStyle="1" w:styleId="TableDeloitteShadedBlue">
    <w:name w:val="Table Deloitte Shaded Blue"/>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1361FF" w:themeFill="accent1" w:themeFillTint="99"/>
      </w:tcPr>
    </w:tblStylePr>
    <w:tblStylePr w:type="band2Horz">
      <w:tblPr/>
      <w:tcPr>
        <w:shd w:val="clear" w:color="auto" w:fill="C6D9F1" w:themeFill="text2" w:themeFillTint="33"/>
      </w:tcPr>
    </w:tblStylePr>
  </w:style>
  <w:style w:type="table" w:customStyle="1" w:styleId="TableDeloitteStone">
    <w:name w:val="Table Deloitte Stone"/>
    <w:basedOn w:val="TableNormal"/>
    <w:rsid w:val="0083482F"/>
    <w:pPr>
      <w:spacing w:before="60" w:after="113" w:line="240" w:lineRule="atLeast"/>
    </w:pPr>
    <w:rPr>
      <w:rFonts w:ascii="Arial" w:eastAsia="Times" w:hAnsi="Arial"/>
      <w:sz w:val="16"/>
      <w:lang w:val="en-GB" w:eastAsia="en-GB"/>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style>
  <w:style w:type="character" w:styleId="Hyperlink">
    <w:name w:val="Hyperlink"/>
    <w:basedOn w:val="DefaultParagraphFont"/>
    <w:uiPriority w:val="99"/>
    <w:rsid w:val="006A6C36"/>
    <w:rPr>
      <w:color w:val="0000FF"/>
      <w:u w:val="single"/>
    </w:rPr>
  </w:style>
  <w:style w:type="character" w:styleId="CommentReference">
    <w:name w:val="annotation reference"/>
    <w:basedOn w:val="DefaultParagraphFont"/>
    <w:semiHidden/>
    <w:rsid w:val="006A6C36"/>
    <w:rPr>
      <w:sz w:val="16"/>
      <w:szCs w:val="16"/>
    </w:rPr>
  </w:style>
  <w:style w:type="paragraph" w:styleId="CommentText">
    <w:name w:val="annotation text"/>
    <w:basedOn w:val="Normal"/>
    <w:link w:val="CommentTextChar"/>
    <w:semiHidden/>
    <w:rsid w:val="006A6C36"/>
    <w:rPr>
      <w:sz w:val="20"/>
      <w:szCs w:val="20"/>
    </w:rPr>
  </w:style>
  <w:style w:type="character" w:customStyle="1" w:styleId="CommentTextChar">
    <w:name w:val="Comment Text Char"/>
    <w:basedOn w:val="DefaultParagraphFont"/>
    <w:link w:val="CommentText"/>
    <w:semiHidden/>
    <w:rsid w:val="006A6C36"/>
    <w:rPr>
      <w:lang w:eastAsia="en-US"/>
    </w:rPr>
  </w:style>
  <w:style w:type="paragraph" w:styleId="CommentSubject">
    <w:name w:val="annotation subject"/>
    <w:basedOn w:val="CommentText"/>
    <w:next w:val="CommentText"/>
    <w:link w:val="CommentSubjectChar"/>
    <w:semiHidden/>
    <w:rsid w:val="006A6C36"/>
    <w:rPr>
      <w:b/>
      <w:bCs/>
    </w:rPr>
  </w:style>
  <w:style w:type="character" w:customStyle="1" w:styleId="CommentSubjectChar">
    <w:name w:val="Comment Subject Char"/>
    <w:basedOn w:val="CommentTextChar"/>
    <w:link w:val="CommentSubject"/>
    <w:semiHidden/>
    <w:rsid w:val="006A6C36"/>
    <w:rPr>
      <w:b/>
      <w:bCs/>
      <w:lang w:eastAsia="en-US"/>
    </w:rPr>
  </w:style>
  <w:style w:type="paragraph" w:styleId="PlainText">
    <w:name w:val="Plain Text"/>
    <w:basedOn w:val="Normal"/>
    <w:link w:val="PlainTextChar"/>
    <w:uiPriority w:val="99"/>
    <w:unhideWhenUsed/>
    <w:rsid w:val="002176D0"/>
    <w:pPr>
      <w:ind w:left="777" w:right="227" w:hanging="720"/>
      <w:jc w:val="center"/>
    </w:pPr>
    <w:rPr>
      <w:rFonts w:ascii="Consolas" w:eastAsia="Times" w:hAnsi="Consolas"/>
      <w:color w:val="000000" w:themeColor="text1"/>
      <w:sz w:val="21"/>
      <w:szCs w:val="21"/>
      <w:lang w:val="en-GB"/>
    </w:rPr>
  </w:style>
  <w:style w:type="character" w:customStyle="1" w:styleId="PlainTextChar">
    <w:name w:val="Plain Text Char"/>
    <w:basedOn w:val="DefaultParagraphFont"/>
    <w:link w:val="PlainText"/>
    <w:uiPriority w:val="99"/>
    <w:rsid w:val="002176D0"/>
    <w:rPr>
      <w:rFonts w:ascii="Consolas" w:eastAsia="Times" w:hAnsi="Consolas"/>
      <w:color w:val="000000" w:themeColor="text1"/>
      <w:sz w:val="21"/>
      <w:szCs w:val="21"/>
      <w:lang w:val="en-GB" w:eastAsia="en-US"/>
    </w:rPr>
  </w:style>
  <w:style w:type="character" w:customStyle="1" w:styleId="BodycopyChar">
    <w:name w:val="Body copy Char"/>
    <w:basedOn w:val="DefaultParagraphFont"/>
    <w:link w:val="Bodycopy"/>
    <w:rsid w:val="006B097D"/>
    <w:rPr>
      <w:szCs w:val="24"/>
      <w:lang w:eastAsia="en-US"/>
    </w:rPr>
  </w:style>
  <w:style w:type="paragraph" w:customStyle="1" w:styleId="Body">
    <w:name w:val="Body"/>
    <w:basedOn w:val="Normal"/>
    <w:rsid w:val="004D54E2"/>
    <w:rPr>
      <w:szCs w:val="20"/>
    </w:rPr>
  </w:style>
  <w:style w:type="table" w:styleId="TableGrid">
    <w:name w:val="Table Grid"/>
    <w:basedOn w:val="TableNormal"/>
    <w:rsid w:val="000B0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0B02D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FD55F2"/>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unhideWhenUsed="0"/>
    <w:lsdException w:name="Body Text First Indent" w:unhideWhenUsed="0"/>
    <w:lsdException w:name="Hyperlink" w:uiPriority="99"/>
    <w:lsdException w:name="Strong" w:semiHidden="0" w:unhideWhenUsed="0" w:qFormat="1"/>
    <w:lsdException w:name="Emphasis"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1C"/>
    <w:rPr>
      <w:sz w:val="22"/>
      <w:szCs w:val="24"/>
      <w:lang w:eastAsia="en-US"/>
    </w:rPr>
  </w:style>
  <w:style w:type="paragraph" w:styleId="Heading1">
    <w:name w:val="heading 1"/>
    <w:basedOn w:val="Normal"/>
    <w:next w:val="Bodycopy"/>
    <w:qFormat/>
    <w:rsid w:val="00285D7B"/>
    <w:pPr>
      <w:keepNext/>
      <w:numPr>
        <w:numId w:val="27"/>
      </w:numPr>
      <w:spacing w:after="113"/>
      <w:outlineLvl w:val="0"/>
    </w:pPr>
    <w:rPr>
      <w:rFonts w:cs="Arial"/>
      <w:b/>
      <w:bCs/>
      <w:kern w:val="32"/>
      <w:sz w:val="20"/>
      <w:szCs w:val="76"/>
    </w:rPr>
  </w:style>
  <w:style w:type="paragraph" w:styleId="Heading2">
    <w:name w:val="heading 2"/>
    <w:basedOn w:val="Normal"/>
    <w:next w:val="Bodycopy"/>
    <w:qFormat/>
    <w:rsid w:val="00285D7B"/>
    <w:pPr>
      <w:keepNext/>
      <w:numPr>
        <w:ilvl w:val="1"/>
        <w:numId w:val="27"/>
      </w:numPr>
      <w:spacing w:after="113"/>
      <w:outlineLvl w:val="1"/>
    </w:pPr>
    <w:rPr>
      <w:rFonts w:cs="Arial"/>
      <w:bCs/>
      <w:iCs/>
      <w:sz w:val="20"/>
      <w:szCs w:val="40"/>
    </w:rPr>
  </w:style>
  <w:style w:type="paragraph" w:styleId="Heading3">
    <w:name w:val="heading 3"/>
    <w:basedOn w:val="Normal"/>
    <w:next w:val="Bodycopy"/>
    <w:qFormat/>
    <w:rsid w:val="00285D7B"/>
    <w:pPr>
      <w:keepNext/>
      <w:numPr>
        <w:ilvl w:val="2"/>
        <w:numId w:val="27"/>
      </w:numPr>
      <w:spacing w:after="113"/>
      <w:outlineLvl w:val="2"/>
    </w:pPr>
    <w:rPr>
      <w:rFonts w:cs="Arial"/>
      <w:bCs/>
      <w:sz w:val="20"/>
      <w:szCs w:val="28"/>
    </w:rPr>
  </w:style>
  <w:style w:type="paragraph" w:styleId="Heading4">
    <w:name w:val="heading 4"/>
    <w:basedOn w:val="Normal"/>
    <w:next w:val="Bodycopy"/>
    <w:qFormat/>
    <w:rsid w:val="00285D7B"/>
    <w:pPr>
      <w:keepNext/>
      <w:numPr>
        <w:ilvl w:val="3"/>
        <w:numId w:val="27"/>
      </w:numPr>
      <w:spacing w:after="113"/>
      <w:outlineLvl w:val="3"/>
    </w:pPr>
    <w:rPr>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link w:val="BodycopyChar"/>
    <w:rsid w:val="003B4EE1"/>
    <w:pPr>
      <w:spacing w:after="113" w:line="240" w:lineRule="atLeast"/>
    </w:pPr>
    <w:rPr>
      <w:sz w:val="20"/>
    </w:rPr>
  </w:style>
  <w:style w:type="paragraph" w:customStyle="1" w:styleId="BodycopyBold">
    <w:name w:val="Body copy Bold"/>
    <w:basedOn w:val="Normal"/>
    <w:semiHidden/>
    <w:rsid w:val="00F21FE7"/>
    <w:pPr>
      <w:spacing w:after="113" w:line="240" w:lineRule="atLeast"/>
    </w:pPr>
    <w:rPr>
      <w:b/>
      <w:sz w:val="20"/>
    </w:rPr>
  </w:style>
  <w:style w:type="paragraph" w:customStyle="1" w:styleId="Documenttitle">
    <w:name w:val="Document title"/>
    <w:basedOn w:val="Normal"/>
    <w:semiHidden/>
    <w:rsid w:val="00042C57"/>
    <w:pPr>
      <w:spacing w:line="640" w:lineRule="atLeast"/>
    </w:pPr>
    <w:rPr>
      <w:b/>
      <w:sz w:val="56"/>
    </w:rPr>
  </w:style>
  <w:style w:type="paragraph" w:customStyle="1" w:styleId="Addressdetails">
    <w:name w:val="Address details"/>
    <w:basedOn w:val="Normal"/>
    <w:link w:val="AddressdetailsChar"/>
    <w:rsid w:val="004000AB"/>
    <w:pPr>
      <w:spacing w:before="85" w:line="180" w:lineRule="atLeast"/>
    </w:pPr>
    <w:rPr>
      <w:rFonts w:ascii="Arial" w:hAnsi="Arial"/>
      <w:sz w:val="15"/>
    </w:rPr>
  </w:style>
  <w:style w:type="paragraph" w:customStyle="1" w:styleId="Descriptor">
    <w:name w:val="Descriptor"/>
    <w:basedOn w:val="Normal"/>
    <w:rsid w:val="004B375F"/>
    <w:pPr>
      <w:spacing w:before="28" w:line="200" w:lineRule="atLeast"/>
    </w:pPr>
    <w:rPr>
      <w:rFonts w:ascii="Arial" w:hAnsi="Arial"/>
      <w:b/>
      <w:sz w:val="20"/>
    </w:rPr>
  </w:style>
  <w:style w:type="paragraph" w:customStyle="1" w:styleId="Details">
    <w:name w:val="Details"/>
    <w:basedOn w:val="Normal"/>
    <w:rsid w:val="004B375F"/>
    <w:pPr>
      <w:spacing w:before="28" w:line="200" w:lineRule="atLeast"/>
    </w:pPr>
  </w:style>
  <w:style w:type="paragraph" w:customStyle="1" w:styleId="Confidentialitynotice">
    <w:name w:val="Confidentiality notice"/>
    <w:basedOn w:val="Normal"/>
    <w:semiHidden/>
    <w:rsid w:val="00042C57"/>
    <w:pPr>
      <w:spacing w:line="200" w:lineRule="atLeast"/>
    </w:pPr>
    <w:rPr>
      <w:rFonts w:ascii="Arial" w:hAnsi="Arial"/>
      <w:sz w:val="16"/>
    </w:rPr>
  </w:style>
  <w:style w:type="paragraph" w:customStyle="1" w:styleId="Documentstatus">
    <w:name w:val="Document status"/>
    <w:basedOn w:val="Normal"/>
    <w:semiHidden/>
    <w:rsid w:val="00042C57"/>
    <w:pPr>
      <w:spacing w:before="170" w:line="340" w:lineRule="atLeast"/>
    </w:pPr>
    <w:rPr>
      <w:b/>
      <w:sz w:val="28"/>
    </w:rPr>
  </w:style>
  <w:style w:type="paragraph" w:customStyle="1" w:styleId="AHeading">
    <w:name w:val="A Heading"/>
    <w:basedOn w:val="Normal"/>
    <w:semiHidden/>
    <w:rsid w:val="00042C57"/>
    <w:pPr>
      <w:spacing w:line="440" w:lineRule="atLeast"/>
    </w:pPr>
    <w:rPr>
      <w:b/>
      <w:sz w:val="40"/>
    </w:rPr>
  </w:style>
  <w:style w:type="paragraph" w:customStyle="1" w:styleId="Requestform">
    <w:name w:val="Request form"/>
    <w:basedOn w:val="Normal"/>
    <w:semiHidden/>
    <w:rsid w:val="00880FE3"/>
    <w:pPr>
      <w:spacing w:before="85" w:line="220" w:lineRule="atLeast"/>
    </w:pPr>
    <w:rPr>
      <w:rFonts w:ascii="Arial" w:hAnsi="Arial"/>
      <w:sz w:val="18"/>
    </w:rPr>
  </w:style>
  <w:style w:type="paragraph" w:customStyle="1" w:styleId="BHeading">
    <w:name w:val="B Heading"/>
    <w:basedOn w:val="Normal"/>
    <w:semiHidden/>
    <w:rsid w:val="00880FE3"/>
    <w:pPr>
      <w:spacing w:after="170" w:line="340" w:lineRule="atLeast"/>
    </w:pPr>
    <w:rPr>
      <w:b/>
      <w:sz w:val="28"/>
    </w:rPr>
  </w:style>
  <w:style w:type="paragraph" w:customStyle="1" w:styleId="Bodycopy1before">
    <w:name w:val="Body copy 1 before"/>
    <w:basedOn w:val="Normal"/>
    <w:semiHidden/>
    <w:rsid w:val="00F07560"/>
    <w:pPr>
      <w:spacing w:before="57" w:after="113" w:line="240" w:lineRule="atLeast"/>
    </w:pPr>
    <w:rPr>
      <w:sz w:val="20"/>
    </w:rPr>
  </w:style>
  <w:style w:type="paragraph" w:customStyle="1" w:styleId="Bodycopybold1before">
    <w:name w:val="Body copy bold 1 before"/>
    <w:basedOn w:val="Normal"/>
    <w:semiHidden/>
    <w:rsid w:val="009D660C"/>
    <w:pPr>
      <w:spacing w:before="57" w:after="113" w:line="240" w:lineRule="atLeast"/>
    </w:pPr>
    <w:rPr>
      <w:b/>
      <w:sz w:val="20"/>
    </w:rPr>
  </w:style>
  <w:style w:type="paragraph" w:customStyle="1" w:styleId="Bodycopybold3before">
    <w:name w:val="Body copy bold 3 before"/>
    <w:basedOn w:val="Normal"/>
    <w:semiHidden/>
    <w:rsid w:val="002F7A21"/>
    <w:pPr>
      <w:spacing w:before="170" w:after="113" w:line="240" w:lineRule="atLeast"/>
    </w:pPr>
    <w:rPr>
      <w:b/>
      <w:sz w:val="20"/>
    </w:rPr>
  </w:style>
  <w:style w:type="paragraph" w:customStyle="1" w:styleId="Bodycopybold6before">
    <w:name w:val="Body copy bold 6 before"/>
    <w:basedOn w:val="Normal"/>
    <w:semiHidden/>
    <w:rsid w:val="00D540F6"/>
    <w:pPr>
      <w:spacing w:before="340" w:after="113" w:line="240" w:lineRule="atLeast"/>
    </w:pPr>
    <w:rPr>
      <w:b/>
      <w:sz w:val="20"/>
    </w:rPr>
  </w:style>
  <w:style w:type="paragraph" w:customStyle="1" w:styleId="Bodycopy3before">
    <w:name w:val="Body copy 3 before"/>
    <w:basedOn w:val="Normal"/>
    <w:semiHidden/>
    <w:rsid w:val="003A759B"/>
    <w:pPr>
      <w:spacing w:before="170" w:after="113" w:line="240" w:lineRule="atLeast"/>
    </w:pPr>
    <w:rPr>
      <w:sz w:val="20"/>
    </w:rPr>
  </w:style>
  <w:style w:type="paragraph" w:customStyle="1" w:styleId="Bodycopy6before">
    <w:name w:val="Body copy 6 before"/>
    <w:basedOn w:val="Normal"/>
    <w:semiHidden/>
    <w:rsid w:val="00971C92"/>
    <w:pPr>
      <w:spacing w:before="340" w:after="113" w:line="240" w:lineRule="atLeast"/>
    </w:pPr>
    <w:rPr>
      <w:sz w:val="20"/>
    </w:rPr>
  </w:style>
  <w:style w:type="paragraph" w:customStyle="1" w:styleId="Bodycopybold9before">
    <w:name w:val="Body copy bold 9 before"/>
    <w:basedOn w:val="Normal"/>
    <w:semiHidden/>
    <w:rsid w:val="00A44742"/>
    <w:pPr>
      <w:spacing w:before="510" w:after="113" w:line="240" w:lineRule="atLeast"/>
    </w:pPr>
    <w:rPr>
      <w:b/>
      <w:sz w:val="20"/>
    </w:rPr>
  </w:style>
  <w:style w:type="paragraph" w:styleId="Header">
    <w:name w:val="header"/>
    <w:basedOn w:val="Normal"/>
    <w:semiHidden/>
    <w:rsid w:val="00F37974"/>
    <w:rPr>
      <w:sz w:val="20"/>
      <w:szCs w:val="20"/>
    </w:rPr>
  </w:style>
  <w:style w:type="paragraph" w:styleId="Footer">
    <w:name w:val="footer"/>
    <w:basedOn w:val="Normal"/>
    <w:semiHidden/>
    <w:rsid w:val="00F37974"/>
    <w:rPr>
      <w:sz w:val="20"/>
    </w:rPr>
  </w:style>
  <w:style w:type="paragraph" w:customStyle="1" w:styleId="Legalstatement">
    <w:name w:val="Legal statement"/>
    <w:basedOn w:val="Footer"/>
    <w:rsid w:val="00A97A93"/>
    <w:pPr>
      <w:spacing w:after="60"/>
    </w:pPr>
    <w:rPr>
      <w:rFonts w:ascii="Arial" w:hAnsi="Arial" w:cs="Arial"/>
      <w:color w:val="000000"/>
      <w:sz w:val="13"/>
      <w:szCs w:val="16"/>
    </w:rPr>
  </w:style>
  <w:style w:type="character" w:customStyle="1" w:styleId="AddressdetailsChar">
    <w:name w:val="Address details Char"/>
    <w:basedOn w:val="DefaultParagraphFont"/>
    <w:link w:val="Addressdetails"/>
    <w:rsid w:val="004000AB"/>
    <w:rPr>
      <w:rFonts w:ascii="Arial" w:hAnsi="Arial"/>
      <w:sz w:val="15"/>
      <w:szCs w:val="24"/>
      <w:lang w:val="en-AU" w:eastAsia="en-US" w:bidi="ar-SA"/>
    </w:rPr>
  </w:style>
  <w:style w:type="paragraph" w:customStyle="1" w:styleId="Disclaimer">
    <w:name w:val="Disclaimer"/>
    <w:basedOn w:val="Normal"/>
    <w:rsid w:val="00F91529"/>
    <w:pPr>
      <w:spacing w:before="120" w:line="180" w:lineRule="exact"/>
    </w:pPr>
    <w:rPr>
      <w:rFonts w:asciiTheme="minorHAnsi" w:hAnsiTheme="minorHAnsi"/>
      <w:sz w:val="16"/>
      <w:szCs w:val="20"/>
    </w:rPr>
  </w:style>
  <w:style w:type="paragraph" w:styleId="ListBullet">
    <w:name w:val="List Bullet"/>
    <w:basedOn w:val="Normal"/>
    <w:rsid w:val="00285D7B"/>
    <w:pPr>
      <w:numPr>
        <w:numId w:val="28"/>
      </w:numPr>
      <w:spacing w:after="113" w:line="240" w:lineRule="atLeast"/>
    </w:pPr>
    <w:rPr>
      <w:sz w:val="20"/>
    </w:rPr>
  </w:style>
  <w:style w:type="table" w:customStyle="1" w:styleId="TableDeloitte">
    <w:name w:val="Table Deloitte"/>
    <w:basedOn w:val="TableNormal"/>
    <w:rsid w:val="0083482F"/>
    <w:pPr>
      <w:spacing w:before="60" w:after="113" w:line="240" w:lineRule="atLeast"/>
    </w:pPr>
    <w:rPr>
      <w:rFonts w:ascii="Arial" w:eastAsia="SimSun" w:hAnsi="Arial"/>
      <w:sz w:val="16"/>
      <w:lang w:val="en-GB" w:eastAsia="en-GB"/>
    </w:rPr>
    <w:tblPr>
      <w:tblStyleRowBandSize w:val="1"/>
      <w:tblInd w:w="0" w:type="dxa"/>
      <w:tblCellMar>
        <w:top w:w="0" w:type="dxa"/>
        <w:left w:w="108" w:type="dxa"/>
        <w:bottom w:w="0" w:type="dxa"/>
        <w:right w:w="108" w:type="dxa"/>
      </w:tblCellMar>
    </w:tblPr>
    <w:tcPr>
      <w:shd w:val="clear" w:color="auto" w:fill="92D400" w:themeFill="accent2"/>
    </w:tcPr>
    <w:tblStylePr w:type="firstRow">
      <w:pPr>
        <w:wordWrap/>
        <w:spacing w:beforeLines="0" w:beforeAutospacing="0" w:afterLines="0" w:afterAutospacing="0" w:line="240" w:lineRule="atLeast"/>
        <w:contextualSpacing w:val="0"/>
      </w:pPr>
      <w:rPr>
        <w:rFonts w:ascii="Arial" w:hAnsi="Arial"/>
        <w:b/>
        <w:color w:val="FFFFFF" w:themeColor="background2"/>
        <w:sz w:val="18"/>
      </w:rPr>
      <w:tblPr/>
      <w:tcPr>
        <w:shd w:val="clear" w:color="auto" w:fill="92D400" w:themeFill="accent2"/>
      </w:tcPr>
    </w:tblStylePr>
    <w:tblStylePr w:type="band1Horz">
      <w:rPr>
        <w:color w:val="auto"/>
      </w:rPr>
      <w:tblPr/>
      <w:tcPr>
        <w:tcBorders>
          <w:bottom w:val="single" w:sz="4" w:space="0" w:color="92D400" w:themeColor="accent2"/>
        </w:tcBorders>
        <w:shd w:val="clear" w:color="auto" w:fill="FFFFFF" w:themeFill="background2"/>
      </w:tcPr>
    </w:tblStylePr>
    <w:tblStylePr w:type="band2Horz">
      <w:tblPr/>
      <w:tcPr>
        <w:tcBorders>
          <w:bottom w:val="single" w:sz="4" w:space="0" w:color="92D400" w:themeColor="accent2"/>
        </w:tcBorders>
        <w:shd w:val="clear" w:color="auto" w:fill="FFFFFF" w:themeFill="background2"/>
      </w:tcPr>
    </w:tblStylePr>
  </w:style>
  <w:style w:type="table" w:customStyle="1" w:styleId="TableFees">
    <w:name w:val="Table Fees"/>
    <w:basedOn w:val="TableNormal"/>
    <w:rsid w:val="0083482F"/>
    <w:pPr>
      <w:spacing w:before="60" w:after="60"/>
    </w:pPr>
    <w:rPr>
      <w:rFonts w:ascii="Times" w:eastAsia="SimSun" w:hAnsi="Times"/>
      <w:lang w:val="en-GB" w:eastAsia="en-GB"/>
    </w:rPr>
    <w:tblPr>
      <w:tblStyleRowBandSize w:val="1"/>
      <w:tblInd w:w="0" w:type="dxa"/>
      <w:tblBorders>
        <w:insideH w:val="single" w:sz="4" w:space="0" w:color="auto"/>
      </w:tblBorders>
      <w:tblCellMar>
        <w:top w:w="0" w:type="dxa"/>
        <w:left w:w="108" w:type="dxa"/>
        <w:bottom w:w="0" w:type="dxa"/>
        <w:right w:w="108" w:type="dxa"/>
      </w:tblCellMar>
    </w:tblPr>
    <w:tcPr>
      <w:shd w:val="clear" w:color="auto" w:fill="FFFFFF" w:themeFill="background1"/>
    </w:tcPr>
    <w:tblStylePr w:type="firstRow">
      <w:rPr>
        <w:color w:val="FFFFFF"/>
      </w:rPr>
      <w:tblPr/>
      <w:tcPr>
        <w:shd w:val="clear" w:color="auto" w:fill="003399"/>
      </w:tcPr>
    </w:tblStylePr>
    <w:tblStylePr w:type="firstCol">
      <w:rPr>
        <w:color w:val="000000" w:themeColor="text1"/>
      </w:rPr>
      <w:tblPr/>
      <w:tcPr>
        <w:shd w:val="clear" w:color="auto" w:fill="FFFFFF" w:themeFill="background1"/>
      </w:tcPr>
    </w:tblStylePr>
    <w:tblStylePr w:type="band2Horz">
      <w:tblPr/>
      <w:tcPr>
        <w:shd w:val="clear" w:color="auto" w:fill="D6DBEC"/>
      </w:tcPr>
    </w:tblStylePr>
  </w:style>
  <w:style w:type="paragraph" w:customStyle="1" w:styleId="FooterDocName">
    <w:name w:val="Footer Doc Name"/>
    <w:basedOn w:val="Footer"/>
    <w:rsid w:val="00F37974"/>
    <w:rPr>
      <w:rFonts w:ascii="Arial Narrow" w:hAnsi="Arial Narrow"/>
      <w:noProof/>
      <w:sz w:val="9"/>
      <w:szCs w:val="9"/>
    </w:rPr>
  </w:style>
  <w:style w:type="paragraph" w:styleId="Caption">
    <w:name w:val="caption"/>
    <w:basedOn w:val="Normal"/>
    <w:next w:val="Bodycopy"/>
    <w:semiHidden/>
    <w:qFormat/>
    <w:rsid w:val="00F72BF5"/>
    <w:rPr>
      <w:bCs/>
      <w:szCs w:val="20"/>
    </w:rPr>
  </w:style>
  <w:style w:type="paragraph" w:styleId="BalloonText">
    <w:name w:val="Balloon Text"/>
    <w:basedOn w:val="Normal"/>
    <w:link w:val="BalloonTextChar"/>
    <w:semiHidden/>
    <w:rsid w:val="00BB1395"/>
    <w:rPr>
      <w:rFonts w:ascii="Tahoma" w:hAnsi="Tahoma" w:cs="Tahoma"/>
      <w:sz w:val="16"/>
      <w:szCs w:val="16"/>
    </w:rPr>
  </w:style>
  <w:style w:type="character" w:customStyle="1" w:styleId="BalloonTextChar">
    <w:name w:val="Balloon Text Char"/>
    <w:basedOn w:val="DefaultParagraphFont"/>
    <w:link w:val="BalloonText"/>
    <w:semiHidden/>
    <w:rsid w:val="007610EA"/>
    <w:rPr>
      <w:rFonts w:ascii="Tahoma" w:hAnsi="Tahoma" w:cs="Tahoma"/>
      <w:sz w:val="16"/>
      <w:szCs w:val="16"/>
      <w:lang w:eastAsia="en-US"/>
    </w:rPr>
  </w:style>
  <w:style w:type="paragraph" w:customStyle="1" w:styleId="Member">
    <w:name w:val="Member"/>
    <w:basedOn w:val="Legalstatement"/>
    <w:qFormat/>
    <w:rsid w:val="00F91529"/>
    <w:pPr>
      <w:spacing w:before="120" w:after="0"/>
    </w:pPr>
    <w:rPr>
      <w:sz w:val="14"/>
    </w:rPr>
  </w:style>
  <w:style w:type="paragraph" w:styleId="ListNumber">
    <w:name w:val="List Number"/>
    <w:basedOn w:val="Normal"/>
    <w:rsid w:val="006F611C"/>
    <w:pPr>
      <w:numPr>
        <w:numId w:val="6"/>
      </w:numPr>
      <w:spacing w:after="113"/>
      <w:ind w:left="357" w:hanging="357"/>
    </w:pPr>
    <w:rPr>
      <w:sz w:val="20"/>
    </w:rPr>
  </w:style>
  <w:style w:type="table" w:customStyle="1" w:styleId="TableDeloitteShadedGreen">
    <w:name w:val="Table Deloitte Shaded Green"/>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92D400" w:themeFill="accent2"/>
      </w:tcPr>
    </w:tblStylePr>
    <w:tblStylePr w:type="band2Horz">
      <w:tblPr/>
      <w:tcPr>
        <w:shd w:val="clear" w:color="auto" w:fill="ECFFC3" w:themeFill="accent2" w:themeFillTint="33"/>
      </w:tcPr>
    </w:tblStylePr>
  </w:style>
  <w:style w:type="table" w:customStyle="1" w:styleId="TableDeloitteShadedBlue">
    <w:name w:val="Table Deloitte Shaded Blue"/>
    <w:basedOn w:val="TableNormal"/>
    <w:uiPriority w:val="99"/>
    <w:qFormat/>
    <w:rsid w:val="0083482F"/>
    <w:rPr>
      <w:rFonts w:ascii="Times" w:eastAsia="Times" w:hAnsi="Times"/>
      <w:lang w:val="en-GB" w:eastAsia="en-GB"/>
    </w:rPr>
    <w:tblPr>
      <w:tblStyleRowBandSize w:val="1"/>
      <w:tblInd w:w="0" w:type="dxa"/>
      <w:tblCellMar>
        <w:top w:w="0" w:type="dxa"/>
        <w:left w:w="108" w:type="dxa"/>
        <w:bottom w:w="0" w:type="dxa"/>
        <w:right w:w="108" w:type="dxa"/>
      </w:tblCellMar>
    </w:tblPr>
    <w:tblStylePr w:type="firstRow">
      <w:tblPr/>
      <w:tcPr>
        <w:shd w:val="clear" w:color="auto" w:fill="1361FF" w:themeFill="accent1" w:themeFillTint="99"/>
      </w:tcPr>
    </w:tblStylePr>
    <w:tblStylePr w:type="band2Horz">
      <w:tblPr/>
      <w:tcPr>
        <w:shd w:val="clear" w:color="auto" w:fill="C6D9F1" w:themeFill="text2" w:themeFillTint="33"/>
      </w:tcPr>
    </w:tblStylePr>
  </w:style>
  <w:style w:type="table" w:customStyle="1" w:styleId="TableDeloitteStone">
    <w:name w:val="Table Deloitte Stone"/>
    <w:basedOn w:val="TableNormal"/>
    <w:rsid w:val="0083482F"/>
    <w:pPr>
      <w:spacing w:before="60" w:after="113" w:line="240" w:lineRule="atLeast"/>
    </w:pPr>
    <w:rPr>
      <w:rFonts w:ascii="Arial" w:eastAsia="Times" w:hAnsi="Arial"/>
      <w:sz w:val="16"/>
      <w:lang w:val="en-GB" w:eastAsia="en-GB"/>
    </w:rPr>
    <w:tblPr>
      <w:tblStyleRowBandSize w:val="1"/>
      <w:tblInd w:w="0" w:type="dxa"/>
      <w:tblCellMar>
        <w:top w:w="0" w:type="dxa"/>
        <w:left w:w="108" w:type="dxa"/>
        <w:bottom w:w="0" w:type="dxa"/>
        <w:right w:w="108" w:type="dxa"/>
      </w:tblCellMar>
    </w:tblPr>
    <w:tcPr>
      <w:shd w:val="clear" w:color="auto" w:fill="FFFFFF" w:themeFill="background1"/>
      <w:vAlign w:val="bottom"/>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548DD4" w:themeFill="text2" w:themeFillTint="99"/>
      </w:tcPr>
    </w:tblStylePr>
    <w:tblStylePr w:type="band1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tblStylePr w:type="band2Horz">
      <w:pPr>
        <w:wordWrap/>
        <w:spacing w:beforeLines="0" w:beforeAutospacing="0" w:afterLines="0" w:afterAutospacing="0" w:line="240" w:lineRule="atLeast"/>
      </w:pPr>
      <w:tblPr/>
      <w:tcPr>
        <w:tcBorders>
          <w:bottom w:val="single" w:sz="4" w:space="0" w:color="1361FF" w:themeColor="accent1" w:themeTint="99"/>
        </w:tcBorders>
        <w:shd w:val="clear" w:color="auto" w:fill="FFFFFF" w:themeFill="background2"/>
      </w:tcPr>
    </w:tblStylePr>
  </w:style>
  <w:style w:type="character" w:styleId="Hyperlink">
    <w:name w:val="Hyperlink"/>
    <w:basedOn w:val="DefaultParagraphFont"/>
    <w:uiPriority w:val="99"/>
    <w:rsid w:val="006A6C36"/>
    <w:rPr>
      <w:color w:val="0000FF"/>
      <w:u w:val="single"/>
    </w:rPr>
  </w:style>
  <w:style w:type="character" w:styleId="CommentReference">
    <w:name w:val="annotation reference"/>
    <w:basedOn w:val="DefaultParagraphFont"/>
    <w:semiHidden/>
    <w:rsid w:val="006A6C36"/>
    <w:rPr>
      <w:sz w:val="16"/>
      <w:szCs w:val="16"/>
    </w:rPr>
  </w:style>
  <w:style w:type="paragraph" w:styleId="CommentText">
    <w:name w:val="annotation text"/>
    <w:basedOn w:val="Normal"/>
    <w:link w:val="CommentTextChar"/>
    <w:semiHidden/>
    <w:rsid w:val="006A6C36"/>
    <w:rPr>
      <w:sz w:val="20"/>
      <w:szCs w:val="20"/>
    </w:rPr>
  </w:style>
  <w:style w:type="character" w:customStyle="1" w:styleId="CommentTextChar">
    <w:name w:val="Comment Text Char"/>
    <w:basedOn w:val="DefaultParagraphFont"/>
    <w:link w:val="CommentText"/>
    <w:semiHidden/>
    <w:rsid w:val="006A6C36"/>
    <w:rPr>
      <w:lang w:eastAsia="en-US"/>
    </w:rPr>
  </w:style>
  <w:style w:type="paragraph" w:styleId="CommentSubject">
    <w:name w:val="annotation subject"/>
    <w:basedOn w:val="CommentText"/>
    <w:next w:val="CommentText"/>
    <w:link w:val="CommentSubjectChar"/>
    <w:semiHidden/>
    <w:rsid w:val="006A6C36"/>
    <w:rPr>
      <w:b/>
      <w:bCs/>
    </w:rPr>
  </w:style>
  <w:style w:type="character" w:customStyle="1" w:styleId="CommentSubjectChar">
    <w:name w:val="Comment Subject Char"/>
    <w:basedOn w:val="CommentTextChar"/>
    <w:link w:val="CommentSubject"/>
    <w:semiHidden/>
    <w:rsid w:val="006A6C36"/>
    <w:rPr>
      <w:b/>
      <w:bCs/>
      <w:lang w:eastAsia="en-US"/>
    </w:rPr>
  </w:style>
  <w:style w:type="paragraph" w:styleId="PlainText">
    <w:name w:val="Plain Text"/>
    <w:basedOn w:val="Normal"/>
    <w:link w:val="PlainTextChar"/>
    <w:uiPriority w:val="99"/>
    <w:unhideWhenUsed/>
    <w:rsid w:val="002176D0"/>
    <w:pPr>
      <w:ind w:left="777" w:right="227" w:hanging="720"/>
      <w:jc w:val="center"/>
    </w:pPr>
    <w:rPr>
      <w:rFonts w:ascii="Consolas" w:eastAsia="Times" w:hAnsi="Consolas"/>
      <w:color w:val="000000" w:themeColor="text1"/>
      <w:sz w:val="21"/>
      <w:szCs w:val="21"/>
      <w:lang w:val="en-GB"/>
    </w:rPr>
  </w:style>
  <w:style w:type="character" w:customStyle="1" w:styleId="PlainTextChar">
    <w:name w:val="Plain Text Char"/>
    <w:basedOn w:val="DefaultParagraphFont"/>
    <w:link w:val="PlainText"/>
    <w:uiPriority w:val="99"/>
    <w:rsid w:val="002176D0"/>
    <w:rPr>
      <w:rFonts w:ascii="Consolas" w:eastAsia="Times" w:hAnsi="Consolas"/>
      <w:color w:val="000000" w:themeColor="text1"/>
      <w:sz w:val="21"/>
      <w:szCs w:val="21"/>
      <w:lang w:val="en-GB" w:eastAsia="en-US"/>
    </w:rPr>
  </w:style>
  <w:style w:type="character" w:customStyle="1" w:styleId="BodycopyChar">
    <w:name w:val="Body copy Char"/>
    <w:basedOn w:val="DefaultParagraphFont"/>
    <w:link w:val="Bodycopy"/>
    <w:rsid w:val="006B097D"/>
    <w:rPr>
      <w:szCs w:val="24"/>
      <w:lang w:eastAsia="en-US"/>
    </w:rPr>
  </w:style>
  <w:style w:type="paragraph" w:customStyle="1" w:styleId="Body">
    <w:name w:val="Body"/>
    <w:basedOn w:val="Normal"/>
    <w:rsid w:val="004D54E2"/>
    <w:rPr>
      <w:szCs w:val="20"/>
    </w:rPr>
  </w:style>
  <w:style w:type="table" w:styleId="TableGrid">
    <w:name w:val="Table Grid"/>
    <w:basedOn w:val="TableNormal"/>
    <w:rsid w:val="000B0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0B02D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FD55F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37327">
      <w:bodyDiv w:val="1"/>
      <w:marLeft w:val="0"/>
      <w:marRight w:val="0"/>
      <w:marTop w:val="0"/>
      <w:marBottom w:val="0"/>
      <w:divBdr>
        <w:top w:val="none" w:sz="0" w:space="0" w:color="auto"/>
        <w:left w:val="none" w:sz="0" w:space="0" w:color="auto"/>
        <w:bottom w:val="none" w:sz="0" w:space="0" w:color="auto"/>
        <w:right w:val="none" w:sz="0" w:space="0" w:color="auto"/>
      </w:divBdr>
    </w:div>
    <w:div w:id="1325470805">
      <w:bodyDiv w:val="1"/>
      <w:marLeft w:val="0"/>
      <w:marRight w:val="0"/>
      <w:marTop w:val="0"/>
      <w:marBottom w:val="0"/>
      <w:divBdr>
        <w:top w:val="none" w:sz="0" w:space="0" w:color="auto"/>
        <w:left w:val="none" w:sz="0" w:space="0" w:color="auto"/>
        <w:bottom w:val="none" w:sz="0" w:space="0" w:color="auto"/>
        <w:right w:val="none" w:sz="0" w:space="0" w:color="auto"/>
      </w:divBdr>
    </w:div>
    <w:div w:id="21465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Letter.dotm" TargetMode="External"/></Relationships>
</file>

<file path=word/theme/theme1.xml><?xml version="1.0" encoding="utf-8"?>
<a:theme xmlns:a="http://schemas.openxmlformats.org/drawingml/2006/main" name="Deloitte">
  <a:themeElements>
    <a:clrScheme name="Deloitte2">
      <a:dk1>
        <a:sysClr val="windowText" lastClr="000000"/>
      </a:dk1>
      <a:lt1>
        <a:srgbClr val="FFFFFF"/>
      </a:lt1>
      <a:dk2>
        <a:srgbClr val="1F497D"/>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Deloit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PCDOC-1092152715-230</_dlc_DocId>
    <_dlc_DocIdUrl xmlns="3f4bcce7-ac1a-4c9d-aa3e-7e77695652db">
      <Url>https://inet.pc.gov.au/pmo/inq/super/_layouts/15/DocIdRedir.aspx?ID=PCDOC-1092152715-230</Url>
      <Description>PCDOC-1092152715-230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732B-F4D7-4CD0-B740-A63FC9459706}">
  <ds:schemaRefs>
    <ds:schemaRef ds:uri="Microsoft.SharePoint.Taxonomy.ContentTypeSync"/>
  </ds:schemaRefs>
</ds:datastoreItem>
</file>

<file path=customXml/itemProps2.xml><?xml version="1.0" encoding="utf-8"?>
<ds:datastoreItem xmlns:ds="http://schemas.openxmlformats.org/officeDocument/2006/customXml" ds:itemID="{FBE62B10-C032-4BDD-90E3-6DE90B6FCDD4}">
  <ds:schemaRefs>
    <ds:schemaRef ds:uri="http://schemas.microsoft.com/sharepoint/v3/contenttype/forms"/>
  </ds:schemaRefs>
</ds:datastoreItem>
</file>

<file path=customXml/itemProps3.xml><?xml version="1.0" encoding="utf-8"?>
<ds:datastoreItem xmlns:ds="http://schemas.openxmlformats.org/officeDocument/2006/customXml" ds:itemID="{95CB3F12-DA67-4470-867A-6B3823ED4F81}">
  <ds:schemaRefs>
    <ds:schemaRef ds:uri="http://schemas.microsoft.com/office/2006/documentManagement/types"/>
    <ds:schemaRef ds:uri="http://www.w3.org/XML/1998/namespace"/>
    <ds:schemaRef ds:uri="3f4bcce7-ac1a-4c9d-aa3e-7e77695652db"/>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http://schemas.microsoft.com/sharepoint/v3"/>
    <ds:schemaRef ds:uri="http://purl.org/dc/elements/1.1/"/>
  </ds:schemaRefs>
</ds:datastoreItem>
</file>

<file path=customXml/itemProps4.xml><?xml version="1.0" encoding="utf-8"?>
<ds:datastoreItem xmlns:ds="http://schemas.openxmlformats.org/officeDocument/2006/customXml" ds:itemID="{D32CFBF6-9268-42DC-A3D6-44F51C55A991}">
  <ds:schemaRefs>
    <ds:schemaRef ds:uri="http://schemas.microsoft.com/sharepoint/events"/>
  </ds:schemaRefs>
</ds:datastoreItem>
</file>

<file path=customXml/itemProps5.xml><?xml version="1.0" encoding="utf-8"?>
<ds:datastoreItem xmlns:ds="http://schemas.openxmlformats.org/officeDocument/2006/customXml" ds:itemID="{E14B9313-A459-4E8F-998E-75170C0B8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1AA87B-0BB7-44AB-8EEC-AF74AE75DF5A}">
  <ds:schemaRefs>
    <ds:schemaRef ds:uri="http://schemas.microsoft.com/office/2006/metadata/customXsn"/>
  </ds:schemaRefs>
</ds:datastoreItem>
</file>

<file path=customXml/itemProps7.xml><?xml version="1.0" encoding="utf-8"?>
<ds:datastoreItem xmlns:ds="http://schemas.openxmlformats.org/officeDocument/2006/customXml" ds:itemID="{D8940AA7-1937-4C69-A40C-9A420542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8</TotalTime>
  <Pages>5</Pages>
  <Words>2237</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DR61 - Deloitte Touche Tohmatsu (Deloitte) - Alternative Default Fund Models - Public inquiry</vt:lpstr>
    </vt:vector>
  </TitlesOfParts>
  <Company>Deloitte Touche Tohmatsu (Deloitte)</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DR61 - Deloitte Touche Tohmatsu (Deloitte) - Alternative Default Fund Models - Public inquiry</dc:title>
  <dc:creator>Deloitte Touche Tohmatsu (Deloitte)</dc:creator>
  <cp:keywords/>
  <cp:lastModifiedBy>Productivity Commission</cp:lastModifiedBy>
  <cp:revision>6</cp:revision>
  <cp:lastPrinted>2017-04-25T23:40:00Z</cp:lastPrinted>
  <dcterms:created xsi:type="dcterms:W3CDTF">2017-04-26T05:27:00Z</dcterms:created>
  <dcterms:modified xsi:type="dcterms:W3CDTF">2017-04-28T00:26:00Z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_Recipient">
    <vt:lpwstr>Marc Flipo_x000b_Director of Corporate Services</vt:lpwstr>
  </property>
  <property fmtid="{D5CDD505-2E9C-101B-9397-08002B2CF9AE}" pid="3" name="Letter_RecipientAddress">
    <vt:lpwstr>Melbourne Business School_x000b_200 Leicester Street_x000b_Carlton_x000b_VIC 3053</vt:lpwstr>
  </property>
  <property fmtid="{D5CDD505-2E9C-101B-9397-08002B2CF9AE}" pid="4" name="Letter_Salutation">
    <vt:lpwstr>Dear </vt:lpwstr>
  </property>
  <property fmtid="{D5CDD505-2E9C-101B-9397-08002B2CF9AE}" pid="5" name="Letter_Body">
    <vt:lpwstr>Letter_Body</vt:lpwstr>
  </property>
  <property fmtid="{D5CDD505-2E9C-101B-9397-08002B2CF9AE}" pid="6" name="Letter_Close">
    <vt:lpwstr>Yours sincerely,</vt:lpwstr>
  </property>
  <property fmtid="{D5CDD505-2E9C-101B-9397-08002B2CF9AE}" pid="7" name="Letter_Sign">
    <vt:lpwstr>Dr Mike Calllan</vt:lpwstr>
  </property>
  <property fmtid="{D5CDD505-2E9C-101B-9397-08002B2CF9AE}" pid="8" name="Letter_Title">
    <vt:lpwstr/>
  </property>
  <property fmtid="{D5CDD505-2E9C-101B-9397-08002B2CF9AE}" pid="9" name="Letter_Refinit">
    <vt:lpwstr/>
  </property>
  <property fmtid="{D5CDD505-2E9C-101B-9397-08002B2CF9AE}" pid="10" name="Letter_Enc">
    <vt:lpwstr/>
  </property>
  <property fmtid="{D5CDD505-2E9C-101B-9397-08002B2CF9AE}" pid="11" name="Letter_ccName">
    <vt:lpwstr/>
  </property>
  <property fmtid="{D5CDD505-2E9C-101B-9397-08002B2CF9AE}" pid="12" name="Letter_Re">
    <vt:lpwstr>Invoice for November</vt:lpwstr>
  </property>
  <property fmtid="{D5CDD505-2E9C-101B-9397-08002B2CF9AE}" pid="13" name="Letter_Ent">
    <vt:lpwstr>Deloitte Actuaries &amp; Consultants Limited</vt:lpwstr>
  </property>
  <property fmtid="{D5CDD505-2E9C-101B-9397-08002B2CF9AE}" pid="14" name="HeadingNumbering">
    <vt:lpwstr>True</vt:lpwstr>
  </property>
  <property fmtid="{D5CDD505-2E9C-101B-9397-08002B2CF9AE}" pid="15" name="ContentTypeId">
    <vt:lpwstr>0x0101007916246811615643A710C6FEAFF56A871105006540C88292F9BF4D820E6FE7B022D1B4</vt:lpwstr>
  </property>
  <property fmtid="{D5CDD505-2E9C-101B-9397-08002B2CF9AE}" pid="16" name="BusinessLine">
    <vt:lpwstr>Deloitte Actuaries &amp; Consultants Limited</vt:lpwstr>
  </property>
  <property fmtid="{D5CDD505-2E9C-101B-9397-08002B2CF9AE}" pid="17" name="ab_CompanyHeader">
    <vt:lpwstr>Deloitte Actuaries &amp; Consultants Limited_x000b_ACN 092 651 057_x000b_AFSL 244576</vt:lpwstr>
  </property>
  <property fmtid="{D5CDD505-2E9C-101B-9397-08002B2CF9AE}" pid="18" name="ab_Address1">
    <vt:lpwstr/>
  </property>
  <property fmtid="{D5CDD505-2E9C-101B-9397-08002B2CF9AE}" pid="19" name="ab_Address2">
    <vt:lpwstr/>
  </property>
  <property fmtid="{D5CDD505-2E9C-101B-9397-08002B2CF9AE}" pid="20" name="ab_Address3">
    <vt:lpwstr>_x000b_550 Bourke Street</vt:lpwstr>
  </property>
  <property fmtid="{D5CDD505-2E9C-101B-9397-08002B2CF9AE}" pid="21" name="ab_Address4">
    <vt:lpwstr>_x000b_Melbourne VIC 3000</vt:lpwstr>
  </property>
  <property fmtid="{D5CDD505-2E9C-101B-9397-08002B2CF9AE}" pid="22" name="ab_Address5">
    <vt:lpwstr>_x000b_GPO Box 78</vt:lpwstr>
  </property>
  <property fmtid="{D5CDD505-2E9C-101B-9397-08002B2CF9AE}" pid="23" name="ab_Address6">
    <vt:lpwstr>_x000b_Melbourne VIC 3001 Australia</vt:lpwstr>
  </property>
  <property fmtid="{D5CDD505-2E9C-101B-9397-08002B2CF9AE}" pid="24" name="ab_DXNo">
    <vt:lpwstr>DX: 111_x000b_</vt:lpwstr>
  </property>
  <property fmtid="{D5CDD505-2E9C-101B-9397-08002B2CF9AE}" pid="25" name="ab_TelNo">
    <vt:lpwstr>+61 (0) 3 9671 7000</vt:lpwstr>
  </property>
  <property fmtid="{D5CDD505-2E9C-101B-9397-08002B2CF9AE}" pid="26" name="ab_Website">
    <vt:lpwstr>www.deloitte.com.au</vt:lpwstr>
  </property>
  <property fmtid="{D5CDD505-2E9C-101B-9397-08002B2CF9AE}" pid="27" name="ab_FaxNo1">
    <vt:lpwstr>+6190)3 9671 6599</vt:lpwstr>
  </property>
  <property fmtid="{D5CDD505-2E9C-101B-9397-08002B2CF9AE}" pid="28" name="c401844703f64372bb0e85d87d761fe6">
    <vt:lpwstr>Reference Only|923c7a19-3b10-4b1a-aa53-490b73d512fc</vt:lpwstr>
  </property>
  <property fmtid="{D5CDD505-2E9C-101B-9397-08002B2CF9AE}" pid="29" name="_dlc_DocIdItemGuid">
    <vt:lpwstr>48d9868a-8d00-4b6e-ab94-cc6945183650</vt:lpwstr>
  </property>
  <property fmtid="{D5CDD505-2E9C-101B-9397-08002B2CF9AE}" pid="30" name="Record Tag">
    <vt:lpwstr>4487;#Submissions - Stage 2|df6c8b62-a0f6-48ca-9bad-05bd9d9348d3</vt:lpwstr>
  </property>
  <property fmtid="{D5CDD505-2E9C-101B-9397-08002B2CF9AE}" pid="31" name="TaxKeyword">
    <vt:lpwstr/>
  </property>
  <property fmtid="{D5CDD505-2E9C-101B-9397-08002B2CF9AE}" pid="32" name="Retain">
    <vt:lpwstr>138;#Reference Only|923c7a19-3b10-4b1a-aa53-490b73d512fc</vt:lpwstr>
  </property>
</Properties>
</file>