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339" w:rsidRPr="008D3617" w:rsidRDefault="009B2F72" w:rsidP="00FB2456">
      <w:pPr>
        <w:jc w:val="center"/>
        <w:rPr>
          <w:rFonts w:ascii="Garamond" w:hAnsi="Garamond"/>
          <w:sz w:val="24"/>
          <w:szCs w:val="24"/>
        </w:rPr>
      </w:pPr>
      <w:bookmarkStart w:id="0" w:name="_GoBack"/>
      <w:bookmarkEnd w:id="0"/>
      <w:r w:rsidRPr="009B2F72">
        <w:rPr>
          <w:rFonts w:ascii="Garamond" w:hAnsi="Garamond"/>
          <w:b/>
          <w:sz w:val="28"/>
          <w:szCs w:val="28"/>
        </w:rPr>
        <w:t xml:space="preserve">Annexure 1: AAT and Federal Court </w:t>
      </w:r>
      <w:r w:rsidR="007B7E15">
        <w:rPr>
          <w:rFonts w:ascii="Garamond" w:hAnsi="Garamond"/>
          <w:b/>
          <w:sz w:val="28"/>
          <w:szCs w:val="28"/>
        </w:rPr>
        <w:t xml:space="preserve">Appeal </w:t>
      </w:r>
      <w:r w:rsidRPr="009B2F72">
        <w:rPr>
          <w:rFonts w:ascii="Garamond" w:hAnsi="Garamond"/>
          <w:b/>
          <w:sz w:val="28"/>
          <w:szCs w:val="28"/>
        </w:rPr>
        <w:t>Cases and Meaning of ‘Reasonable and Necessary Supp</w:t>
      </w:r>
      <w:r>
        <w:rPr>
          <w:rFonts w:ascii="Garamond" w:hAnsi="Garamond"/>
          <w:b/>
          <w:sz w:val="28"/>
          <w:szCs w:val="28"/>
        </w:rPr>
        <w:t>o</w:t>
      </w:r>
      <w:r w:rsidRPr="009B2F72">
        <w:rPr>
          <w:rFonts w:ascii="Garamond" w:hAnsi="Garamond"/>
          <w:b/>
          <w:sz w:val="28"/>
          <w:szCs w:val="28"/>
        </w:rPr>
        <w:t>rt’ (s 34)</w:t>
      </w:r>
    </w:p>
    <w:tbl>
      <w:tblPr>
        <w:tblStyle w:val="TableGrid"/>
        <w:tblW w:w="16161" w:type="dxa"/>
        <w:tblInd w:w="-885" w:type="dxa"/>
        <w:tblLook w:val="04A0" w:firstRow="1" w:lastRow="0" w:firstColumn="1" w:lastColumn="0" w:noHBand="0" w:noVBand="1"/>
      </w:tblPr>
      <w:tblGrid>
        <w:gridCol w:w="1265"/>
        <w:gridCol w:w="2525"/>
        <w:gridCol w:w="1404"/>
        <w:gridCol w:w="3645"/>
        <w:gridCol w:w="1861"/>
        <w:gridCol w:w="5461"/>
      </w:tblGrid>
      <w:tr w:rsidR="00920B5C" w:rsidRPr="008D3617" w:rsidTr="00603A5D">
        <w:tc>
          <w:tcPr>
            <w:tcW w:w="1277" w:type="dxa"/>
            <w:shd w:val="clear" w:color="auto" w:fill="A6A6A6" w:themeFill="background1" w:themeFillShade="A6"/>
          </w:tcPr>
          <w:p w:rsidR="00BE0339" w:rsidRPr="00603A5D" w:rsidRDefault="00BE0339" w:rsidP="00302825">
            <w:pPr>
              <w:rPr>
                <w:rFonts w:ascii="Garamond" w:hAnsi="Garamond"/>
                <w:b/>
                <w:sz w:val="24"/>
                <w:szCs w:val="24"/>
              </w:rPr>
            </w:pPr>
            <w:r w:rsidRPr="00603A5D">
              <w:rPr>
                <w:rFonts w:ascii="Garamond" w:hAnsi="Garamond"/>
                <w:b/>
                <w:sz w:val="24"/>
                <w:szCs w:val="24"/>
              </w:rPr>
              <w:t>Year</w:t>
            </w:r>
          </w:p>
        </w:tc>
        <w:tc>
          <w:tcPr>
            <w:tcW w:w="2551" w:type="dxa"/>
            <w:shd w:val="clear" w:color="auto" w:fill="A6A6A6" w:themeFill="background1" w:themeFillShade="A6"/>
          </w:tcPr>
          <w:p w:rsidR="00BE0339" w:rsidRPr="00603A5D" w:rsidRDefault="00BE0339" w:rsidP="00302825">
            <w:pPr>
              <w:rPr>
                <w:rFonts w:ascii="Garamond" w:hAnsi="Garamond"/>
                <w:b/>
                <w:sz w:val="24"/>
                <w:szCs w:val="24"/>
              </w:rPr>
            </w:pPr>
            <w:r w:rsidRPr="00603A5D">
              <w:rPr>
                <w:rFonts w:ascii="Garamond" w:hAnsi="Garamond"/>
                <w:b/>
                <w:sz w:val="24"/>
                <w:szCs w:val="24"/>
              </w:rPr>
              <w:t>Case</w:t>
            </w:r>
          </w:p>
        </w:tc>
        <w:tc>
          <w:tcPr>
            <w:tcW w:w="1418" w:type="dxa"/>
            <w:shd w:val="clear" w:color="auto" w:fill="A6A6A6" w:themeFill="background1" w:themeFillShade="A6"/>
          </w:tcPr>
          <w:p w:rsidR="00BE0339" w:rsidRPr="00603A5D" w:rsidRDefault="00BE0339" w:rsidP="00BE0339">
            <w:pPr>
              <w:rPr>
                <w:rFonts w:ascii="Garamond" w:hAnsi="Garamond"/>
                <w:b/>
                <w:sz w:val="24"/>
                <w:szCs w:val="24"/>
              </w:rPr>
            </w:pPr>
            <w:r w:rsidRPr="00603A5D">
              <w:rPr>
                <w:rFonts w:ascii="Garamond" w:hAnsi="Garamond"/>
                <w:b/>
                <w:sz w:val="24"/>
                <w:szCs w:val="24"/>
              </w:rPr>
              <w:t>AAT or FCA</w:t>
            </w:r>
          </w:p>
        </w:tc>
        <w:tc>
          <w:tcPr>
            <w:tcW w:w="3685" w:type="dxa"/>
            <w:shd w:val="clear" w:color="auto" w:fill="A6A6A6" w:themeFill="background1" w:themeFillShade="A6"/>
          </w:tcPr>
          <w:p w:rsidR="00BE0339" w:rsidRPr="00603A5D" w:rsidRDefault="00BE0339" w:rsidP="00302825">
            <w:pPr>
              <w:rPr>
                <w:rFonts w:ascii="Garamond" w:hAnsi="Garamond"/>
                <w:b/>
                <w:sz w:val="24"/>
                <w:szCs w:val="24"/>
              </w:rPr>
            </w:pPr>
            <w:r w:rsidRPr="00603A5D">
              <w:rPr>
                <w:rFonts w:ascii="Garamond" w:hAnsi="Garamond"/>
                <w:b/>
                <w:sz w:val="24"/>
                <w:szCs w:val="24"/>
              </w:rPr>
              <w:t>Matter under appeal</w:t>
            </w:r>
          </w:p>
        </w:tc>
        <w:tc>
          <w:tcPr>
            <w:tcW w:w="1701" w:type="dxa"/>
            <w:shd w:val="clear" w:color="auto" w:fill="A6A6A6" w:themeFill="background1" w:themeFillShade="A6"/>
          </w:tcPr>
          <w:p w:rsidR="00BE0339" w:rsidRPr="00603A5D" w:rsidRDefault="00BE0339" w:rsidP="00302825">
            <w:pPr>
              <w:rPr>
                <w:rFonts w:ascii="Garamond" w:hAnsi="Garamond"/>
                <w:b/>
                <w:sz w:val="24"/>
                <w:szCs w:val="24"/>
              </w:rPr>
            </w:pPr>
            <w:r w:rsidRPr="00603A5D">
              <w:rPr>
                <w:rFonts w:ascii="Garamond" w:hAnsi="Garamond"/>
                <w:b/>
                <w:sz w:val="24"/>
                <w:szCs w:val="24"/>
              </w:rPr>
              <w:t>Outcome</w:t>
            </w:r>
          </w:p>
        </w:tc>
        <w:tc>
          <w:tcPr>
            <w:tcW w:w="5529" w:type="dxa"/>
            <w:shd w:val="clear" w:color="auto" w:fill="A6A6A6" w:themeFill="background1" w:themeFillShade="A6"/>
          </w:tcPr>
          <w:p w:rsidR="00BE0339" w:rsidRPr="00603A5D" w:rsidRDefault="00BE0339" w:rsidP="00302825">
            <w:pPr>
              <w:rPr>
                <w:rFonts w:ascii="Garamond" w:hAnsi="Garamond"/>
                <w:b/>
                <w:sz w:val="24"/>
                <w:szCs w:val="24"/>
              </w:rPr>
            </w:pPr>
            <w:r w:rsidRPr="00603A5D">
              <w:rPr>
                <w:rFonts w:ascii="Garamond" w:hAnsi="Garamond"/>
                <w:b/>
                <w:sz w:val="24"/>
                <w:szCs w:val="24"/>
              </w:rPr>
              <w:t>Reason for Outcome</w:t>
            </w:r>
          </w:p>
        </w:tc>
      </w:tr>
      <w:tr w:rsidR="00BE0339" w:rsidRPr="008D3617" w:rsidTr="00BE0339">
        <w:trPr>
          <w:trHeight w:val="395"/>
        </w:trPr>
        <w:tc>
          <w:tcPr>
            <w:tcW w:w="1277" w:type="dxa"/>
          </w:tcPr>
          <w:p w:rsidR="00BE0339" w:rsidRPr="008D3617" w:rsidRDefault="00BE0339" w:rsidP="00302825">
            <w:pPr>
              <w:rPr>
                <w:rFonts w:ascii="Garamond" w:hAnsi="Garamond"/>
                <w:sz w:val="24"/>
                <w:szCs w:val="24"/>
              </w:rPr>
            </w:pPr>
            <w:r>
              <w:rPr>
                <w:rFonts w:ascii="Garamond" w:hAnsi="Garamond"/>
                <w:sz w:val="24"/>
                <w:szCs w:val="24"/>
              </w:rPr>
              <w:t>2017</w:t>
            </w:r>
          </w:p>
        </w:tc>
        <w:tc>
          <w:tcPr>
            <w:tcW w:w="2551" w:type="dxa"/>
          </w:tcPr>
          <w:p w:rsidR="00BE0339" w:rsidRDefault="00BE0339" w:rsidP="00302825">
            <w:pPr>
              <w:rPr>
                <w:rFonts w:ascii="Garamond" w:hAnsi="Garamond"/>
                <w:sz w:val="24"/>
                <w:szCs w:val="24"/>
              </w:rPr>
            </w:pPr>
            <w:r w:rsidRPr="00BE0339">
              <w:rPr>
                <w:rFonts w:ascii="Garamond" w:hAnsi="Garamond"/>
                <w:i/>
                <w:sz w:val="24"/>
                <w:szCs w:val="24"/>
              </w:rPr>
              <w:t>McGarrigle v National Disability Insurance Agency</w:t>
            </w:r>
            <w:r w:rsidRPr="00BE0339">
              <w:rPr>
                <w:rFonts w:ascii="Garamond" w:hAnsi="Garamond"/>
                <w:sz w:val="24"/>
                <w:szCs w:val="24"/>
              </w:rPr>
              <w:t xml:space="preserve"> [2017] FCA 308</w:t>
            </w:r>
            <w:r w:rsidR="001965B7">
              <w:rPr>
                <w:rFonts w:ascii="Garamond" w:hAnsi="Garamond"/>
                <w:sz w:val="24"/>
                <w:szCs w:val="24"/>
              </w:rPr>
              <w:t xml:space="preserve"> (currently on appeal Full Federal Court)</w:t>
            </w:r>
            <w:r w:rsidR="00CD2CD2">
              <w:rPr>
                <w:rFonts w:ascii="Garamond" w:hAnsi="Garamond"/>
                <w:sz w:val="24"/>
                <w:szCs w:val="24"/>
              </w:rPr>
              <w:t>.</w:t>
            </w:r>
          </w:p>
          <w:p w:rsidR="00CD2CD2" w:rsidRDefault="00CD2CD2" w:rsidP="00302825">
            <w:pPr>
              <w:rPr>
                <w:rFonts w:ascii="Garamond" w:hAnsi="Garamond"/>
                <w:sz w:val="24"/>
                <w:szCs w:val="24"/>
              </w:rPr>
            </w:pPr>
          </w:p>
          <w:p w:rsidR="00CD2CD2" w:rsidRDefault="00CD2CD2" w:rsidP="00302825">
            <w:pPr>
              <w:rPr>
                <w:rFonts w:ascii="Garamond" w:hAnsi="Garamond"/>
                <w:sz w:val="24"/>
                <w:szCs w:val="24"/>
              </w:rPr>
            </w:pPr>
            <w:r>
              <w:rPr>
                <w:rFonts w:ascii="Garamond" w:hAnsi="Garamond"/>
                <w:sz w:val="24"/>
                <w:szCs w:val="24"/>
              </w:rPr>
              <w:t>This is an appeal from the original AAT decision in favour of the NDIA and partial funding:</w:t>
            </w:r>
          </w:p>
          <w:p w:rsidR="00CD2CD2" w:rsidRPr="008D3617" w:rsidRDefault="00CD2CD2" w:rsidP="00302825">
            <w:pPr>
              <w:rPr>
                <w:rFonts w:ascii="Garamond" w:hAnsi="Garamond"/>
                <w:sz w:val="24"/>
                <w:szCs w:val="24"/>
              </w:rPr>
            </w:pPr>
            <w:r w:rsidRPr="00CD2CD2">
              <w:rPr>
                <w:rFonts w:ascii="Garamond" w:hAnsi="Garamond"/>
                <w:i/>
                <w:sz w:val="24"/>
                <w:szCs w:val="24"/>
              </w:rPr>
              <w:t>McGarrigle and National Disability Insurance Agency</w:t>
            </w:r>
            <w:r w:rsidRPr="00CD2CD2">
              <w:rPr>
                <w:rFonts w:ascii="Garamond" w:hAnsi="Garamond"/>
                <w:sz w:val="24"/>
                <w:szCs w:val="24"/>
              </w:rPr>
              <w:t xml:space="preserve"> [2016] AATA 498 (15 July 2016)</w:t>
            </w:r>
          </w:p>
        </w:tc>
        <w:tc>
          <w:tcPr>
            <w:tcW w:w="1418" w:type="dxa"/>
          </w:tcPr>
          <w:p w:rsidR="00BE0339" w:rsidRPr="008D3617" w:rsidRDefault="00BE0339" w:rsidP="00302825">
            <w:pPr>
              <w:rPr>
                <w:rFonts w:ascii="Garamond" w:hAnsi="Garamond"/>
                <w:sz w:val="24"/>
                <w:szCs w:val="24"/>
              </w:rPr>
            </w:pPr>
            <w:r>
              <w:rPr>
                <w:rFonts w:ascii="Garamond" w:hAnsi="Garamond"/>
                <w:sz w:val="24"/>
                <w:szCs w:val="24"/>
              </w:rPr>
              <w:t>FCA</w:t>
            </w:r>
          </w:p>
        </w:tc>
        <w:tc>
          <w:tcPr>
            <w:tcW w:w="3685" w:type="dxa"/>
          </w:tcPr>
          <w:p w:rsidR="00BE0339" w:rsidRDefault="00BE0339" w:rsidP="00302825">
            <w:pPr>
              <w:rPr>
                <w:rFonts w:ascii="Garamond" w:hAnsi="Garamond"/>
                <w:sz w:val="24"/>
                <w:szCs w:val="24"/>
              </w:rPr>
            </w:pPr>
            <w:r>
              <w:rPr>
                <w:rFonts w:ascii="Garamond" w:hAnsi="Garamond"/>
                <w:sz w:val="24"/>
                <w:szCs w:val="24"/>
              </w:rPr>
              <w:t>Can reasonable and necessary support under s 34 be partially funded</w:t>
            </w:r>
            <w:r w:rsidR="0002059F">
              <w:rPr>
                <w:rFonts w:ascii="Garamond" w:hAnsi="Garamond"/>
                <w:sz w:val="24"/>
                <w:szCs w:val="24"/>
              </w:rPr>
              <w:t xml:space="preserve">? </w:t>
            </w:r>
          </w:p>
          <w:p w:rsidR="0002059F" w:rsidRDefault="0002059F" w:rsidP="00302825">
            <w:pPr>
              <w:rPr>
                <w:rFonts w:ascii="Garamond" w:hAnsi="Garamond"/>
                <w:sz w:val="24"/>
                <w:szCs w:val="24"/>
              </w:rPr>
            </w:pPr>
          </w:p>
          <w:p w:rsidR="0002059F" w:rsidRDefault="0002059F" w:rsidP="00302825">
            <w:pPr>
              <w:rPr>
                <w:rFonts w:ascii="Garamond" w:hAnsi="Garamond"/>
                <w:sz w:val="24"/>
                <w:szCs w:val="24"/>
              </w:rPr>
            </w:pPr>
            <w:r>
              <w:rPr>
                <w:rFonts w:ascii="Garamond" w:hAnsi="Garamond"/>
                <w:sz w:val="24"/>
                <w:szCs w:val="24"/>
              </w:rPr>
              <w:t xml:space="preserve">When s 34 uses the word ‘funded’ or ‘funding’ does that mean full funding of each reasonable and necessary expense or could the words be construed to extend/include partial funding of a reasonable and necessary expense? </w:t>
            </w:r>
          </w:p>
          <w:p w:rsidR="00DB2B0B" w:rsidRDefault="00DB2B0B" w:rsidP="00302825">
            <w:pPr>
              <w:rPr>
                <w:rFonts w:ascii="Garamond" w:hAnsi="Garamond"/>
                <w:sz w:val="24"/>
                <w:szCs w:val="24"/>
              </w:rPr>
            </w:pPr>
          </w:p>
          <w:p w:rsidR="00DB2B0B" w:rsidRDefault="00DB2B0B" w:rsidP="00302825">
            <w:pPr>
              <w:rPr>
                <w:rFonts w:ascii="Garamond" w:hAnsi="Garamond"/>
                <w:sz w:val="24"/>
                <w:szCs w:val="24"/>
              </w:rPr>
            </w:pPr>
            <w:r>
              <w:rPr>
                <w:rFonts w:ascii="Garamond" w:hAnsi="Garamond"/>
                <w:sz w:val="24"/>
                <w:szCs w:val="24"/>
              </w:rPr>
              <w:t>Reduction of transport funding to 75% of estimated cost.</w:t>
            </w:r>
          </w:p>
          <w:p w:rsidR="0002059F" w:rsidRPr="008D3617" w:rsidRDefault="0002059F" w:rsidP="00302825">
            <w:pPr>
              <w:rPr>
                <w:rFonts w:ascii="Garamond" w:hAnsi="Garamond"/>
                <w:sz w:val="24"/>
                <w:szCs w:val="24"/>
              </w:rPr>
            </w:pPr>
          </w:p>
        </w:tc>
        <w:tc>
          <w:tcPr>
            <w:tcW w:w="1701" w:type="dxa"/>
          </w:tcPr>
          <w:p w:rsidR="00BE0339" w:rsidRPr="008D3617" w:rsidRDefault="00BE0339" w:rsidP="00302825">
            <w:pPr>
              <w:rPr>
                <w:rFonts w:ascii="Garamond" w:hAnsi="Garamond"/>
                <w:sz w:val="24"/>
                <w:szCs w:val="24"/>
              </w:rPr>
            </w:pPr>
            <w:r>
              <w:rPr>
                <w:rFonts w:ascii="Garamond" w:hAnsi="Garamond"/>
                <w:sz w:val="24"/>
                <w:szCs w:val="24"/>
              </w:rPr>
              <w:t>Applicant</w:t>
            </w:r>
          </w:p>
        </w:tc>
        <w:tc>
          <w:tcPr>
            <w:tcW w:w="5529" w:type="dxa"/>
          </w:tcPr>
          <w:p w:rsidR="00BE0339" w:rsidRPr="008D3617" w:rsidRDefault="005B1C01" w:rsidP="00302825">
            <w:pPr>
              <w:rPr>
                <w:rFonts w:ascii="Garamond" w:hAnsi="Garamond"/>
                <w:sz w:val="24"/>
                <w:szCs w:val="24"/>
              </w:rPr>
            </w:pPr>
            <w:r>
              <w:rPr>
                <w:rFonts w:ascii="Garamond" w:hAnsi="Garamond"/>
                <w:sz w:val="24"/>
                <w:szCs w:val="24"/>
              </w:rPr>
              <w:t>Construction of s 34 Reasonable and Necessary Support miscarried. S 34 does not authorise a partial funding of a reasonable and necessary support.  Remitted to AAT for determination of reasonable and necessary support in plan according to law</w:t>
            </w:r>
          </w:p>
        </w:tc>
      </w:tr>
      <w:tr w:rsidR="00BE0339" w:rsidRPr="008D3617" w:rsidTr="00BE0339">
        <w:tc>
          <w:tcPr>
            <w:tcW w:w="1277" w:type="dxa"/>
          </w:tcPr>
          <w:p w:rsidR="00BE0339" w:rsidRPr="008D3617" w:rsidRDefault="00187A6B" w:rsidP="00302825">
            <w:pPr>
              <w:rPr>
                <w:rFonts w:ascii="Garamond" w:hAnsi="Garamond"/>
                <w:sz w:val="24"/>
                <w:szCs w:val="24"/>
              </w:rPr>
            </w:pPr>
            <w:r>
              <w:rPr>
                <w:rFonts w:ascii="Garamond" w:hAnsi="Garamond"/>
                <w:sz w:val="24"/>
                <w:szCs w:val="24"/>
              </w:rPr>
              <w:t>2017</w:t>
            </w:r>
          </w:p>
        </w:tc>
        <w:tc>
          <w:tcPr>
            <w:tcW w:w="2551" w:type="dxa"/>
          </w:tcPr>
          <w:p w:rsidR="00BE0339" w:rsidRPr="008D3617" w:rsidRDefault="001965B7" w:rsidP="00302825">
            <w:pPr>
              <w:rPr>
                <w:rFonts w:ascii="Garamond" w:hAnsi="Garamond"/>
                <w:sz w:val="24"/>
                <w:szCs w:val="24"/>
              </w:rPr>
            </w:pPr>
            <w:r w:rsidRPr="001965B7">
              <w:rPr>
                <w:rFonts w:ascii="Arial" w:hAnsi="Arial" w:cs="Arial"/>
                <w:i/>
              </w:rPr>
              <w:t>King and National Disability Insurance Agency</w:t>
            </w:r>
            <w:r>
              <w:rPr>
                <w:rFonts w:ascii="Arial" w:hAnsi="Arial" w:cs="Arial"/>
              </w:rPr>
              <w:t xml:space="preserve"> [2017] AATA 643</w:t>
            </w:r>
            <w:r w:rsidR="001145B5">
              <w:rPr>
                <w:rFonts w:ascii="Arial" w:hAnsi="Arial" w:cs="Arial"/>
              </w:rPr>
              <w:t xml:space="preserve"> (May 2017)</w:t>
            </w:r>
          </w:p>
        </w:tc>
        <w:tc>
          <w:tcPr>
            <w:tcW w:w="1418" w:type="dxa"/>
          </w:tcPr>
          <w:p w:rsidR="00BE0339" w:rsidRPr="008D3617" w:rsidRDefault="001965B7" w:rsidP="00302825">
            <w:pPr>
              <w:rPr>
                <w:rFonts w:ascii="Garamond" w:hAnsi="Garamond"/>
                <w:sz w:val="24"/>
                <w:szCs w:val="24"/>
              </w:rPr>
            </w:pPr>
            <w:r>
              <w:rPr>
                <w:rFonts w:ascii="Garamond" w:hAnsi="Garamond"/>
                <w:sz w:val="24"/>
                <w:szCs w:val="24"/>
              </w:rPr>
              <w:t>AAT</w:t>
            </w:r>
          </w:p>
        </w:tc>
        <w:tc>
          <w:tcPr>
            <w:tcW w:w="3685" w:type="dxa"/>
          </w:tcPr>
          <w:p w:rsidR="00BE0339" w:rsidRDefault="001965B7" w:rsidP="00302825">
            <w:pPr>
              <w:rPr>
                <w:rFonts w:ascii="Garamond" w:hAnsi="Garamond"/>
                <w:sz w:val="24"/>
                <w:szCs w:val="24"/>
              </w:rPr>
            </w:pPr>
            <w:r>
              <w:rPr>
                <w:rFonts w:ascii="Garamond" w:hAnsi="Garamond"/>
                <w:sz w:val="24"/>
                <w:szCs w:val="24"/>
              </w:rPr>
              <w:t xml:space="preserve">Whether additional physiotherapy </w:t>
            </w:r>
            <w:r w:rsidR="007E6D9C">
              <w:rPr>
                <w:rFonts w:ascii="Garamond" w:hAnsi="Garamond"/>
                <w:sz w:val="24"/>
                <w:szCs w:val="24"/>
              </w:rPr>
              <w:t xml:space="preserve">(Bobath therapy) </w:t>
            </w:r>
            <w:r>
              <w:rPr>
                <w:rFonts w:ascii="Garamond" w:hAnsi="Garamond"/>
                <w:sz w:val="24"/>
                <w:szCs w:val="24"/>
              </w:rPr>
              <w:t>and gym membership reasonable and necessary?</w:t>
            </w:r>
          </w:p>
          <w:p w:rsidR="001965B7" w:rsidRDefault="001965B7" w:rsidP="00302825">
            <w:pPr>
              <w:rPr>
                <w:rFonts w:ascii="Garamond" w:hAnsi="Garamond"/>
                <w:sz w:val="24"/>
                <w:szCs w:val="24"/>
              </w:rPr>
            </w:pPr>
          </w:p>
          <w:p w:rsidR="001965B7" w:rsidRPr="008D3617" w:rsidRDefault="001965B7" w:rsidP="00302825">
            <w:pPr>
              <w:rPr>
                <w:rFonts w:ascii="Garamond" w:hAnsi="Garamond"/>
                <w:sz w:val="24"/>
                <w:szCs w:val="24"/>
              </w:rPr>
            </w:pPr>
          </w:p>
        </w:tc>
        <w:tc>
          <w:tcPr>
            <w:tcW w:w="1701" w:type="dxa"/>
          </w:tcPr>
          <w:p w:rsidR="00BE0339" w:rsidRPr="008D3617" w:rsidRDefault="001965B7" w:rsidP="00302825">
            <w:pPr>
              <w:rPr>
                <w:rFonts w:ascii="Garamond" w:hAnsi="Garamond"/>
                <w:sz w:val="24"/>
                <w:szCs w:val="24"/>
              </w:rPr>
            </w:pPr>
            <w:r>
              <w:rPr>
                <w:rFonts w:ascii="Garamond" w:hAnsi="Garamond"/>
                <w:sz w:val="24"/>
                <w:szCs w:val="24"/>
              </w:rPr>
              <w:t>Applicant</w:t>
            </w:r>
          </w:p>
        </w:tc>
        <w:tc>
          <w:tcPr>
            <w:tcW w:w="5529" w:type="dxa"/>
          </w:tcPr>
          <w:p w:rsidR="00BE0339" w:rsidRDefault="004C0A72" w:rsidP="00302825">
            <w:pPr>
              <w:rPr>
                <w:rFonts w:ascii="Garamond" w:hAnsi="Garamond"/>
                <w:sz w:val="24"/>
                <w:szCs w:val="24"/>
              </w:rPr>
            </w:pPr>
            <w:r>
              <w:rPr>
                <w:rFonts w:ascii="Garamond" w:hAnsi="Garamond"/>
                <w:sz w:val="24"/>
                <w:szCs w:val="24"/>
              </w:rPr>
              <w:t>Additional Bobath therapy and gym membership on evidence (not ultimately disputed or contradicted by NDIA at AAT) met the definition of reasonable and necessary in s 34.</w:t>
            </w:r>
          </w:p>
          <w:p w:rsidR="00803C8E" w:rsidRDefault="00803C8E" w:rsidP="00302825">
            <w:pPr>
              <w:rPr>
                <w:rFonts w:ascii="Garamond" w:hAnsi="Garamond"/>
                <w:sz w:val="24"/>
                <w:szCs w:val="24"/>
              </w:rPr>
            </w:pPr>
          </w:p>
          <w:p w:rsidR="00803C8E" w:rsidRPr="008D3617" w:rsidRDefault="00803C8E" w:rsidP="00302825">
            <w:pPr>
              <w:rPr>
                <w:rFonts w:ascii="Garamond" w:hAnsi="Garamond"/>
                <w:sz w:val="24"/>
                <w:szCs w:val="24"/>
              </w:rPr>
            </w:pPr>
            <w:r>
              <w:rPr>
                <w:rFonts w:ascii="Garamond" w:hAnsi="Garamond"/>
                <w:sz w:val="24"/>
                <w:szCs w:val="24"/>
              </w:rPr>
              <w:t>Significant concessions made by NDIA at hearing and prior to decision on funding</w:t>
            </w:r>
            <w:r w:rsidR="001145B5">
              <w:rPr>
                <w:rFonts w:ascii="Garamond" w:hAnsi="Garamond"/>
                <w:sz w:val="24"/>
                <w:szCs w:val="24"/>
              </w:rPr>
              <w:t>; no medical evidence lead by the NDIA at AAT</w:t>
            </w:r>
            <w:r>
              <w:rPr>
                <w:rFonts w:ascii="Garamond" w:hAnsi="Garamond"/>
                <w:sz w:val="24"/>
                <w:szCs w:val="24"/>
              </w:rPr>
              <w:t>.</w:t>
            </w:r>
          </w:p>
        </w:tc>
      </w:tr>
      <w:tr w:rsidR="00BE0339" w:rsidRPr="008D3617" w:rsidTr="00BE0339">
        <w:tc>
          <w:tcPr>
            <w:tcW w:w="1277" w:type="dxa"/>
          </w:tcPr>
          <w:p w:rsidR="00BE0339" w:rsidRPr="008D3617" w:rsidRDefault="001145B5" w:rsidP="00302825">
            <w:pPr>
              <w:rPr>
                <w:rFonts w:ascii="Garamond" w:hAnsi="Garamond"/>
                <w:sz w:val="24"/>
                <w:szCs w:val="24"/>
              </w:rPr>
            </w:pPr>
            <w:r>
              <w:rPr>
                <w:rFonts w:ascii="Garamond" w:hAnsi="Garamond"/>
                <w:sz w:val="24"/>
                <w:szCs w:val="24"/>
              </w:rPr>
              <w:t>2017</w:t>
            </w:r>
          </w:p>
        </w:tc>
        <w:tc>
          <w:tcPr>
            <w:tcW w:w="2551" w:type="dxa"/>
          </w:tcPr>
          <w:p w:rsidR="00BE0339" w:rsidRPr="008D3617" w:rsidRDefault="001145B5" w:rsidP="00302825">
            <w:pPr>
              <w:rPr>
                <w:rFonts w:ascii="Garamond" w:hAnsi="Garamond"/>
                <w:sz w:val="24"/>
                <w:szCs w:val="24"/>
              </w:rPr>
            </w:pPr>
            <w:r w:rsidRPr="001145B5">
              <w:rPr>
                <w:rFonts w:ascii="Arial" w:hAnsi="Arial" w:cs="Arial"/>
                <w:i/>
              </w:rPr>
              <w:t>Young and National Disability Insurance Agency</w:t>
            </w:r>
            <w:r>
              <w:rPr>
                <w:rFonts w:ascii="Arial" w:hAnsi="Arial" w:cs="Arial"/>
              </w:rPr>
              <w:t xml:space="preserve"> [2017] AATA 407 (31 March 2017)</w:t>
            </w:r>
          </w:p>
        </w:tc>
        <w:tc>
          <w:tcPr>
            <w:tcW w:w="1418" w:type="dxa"/>
          </w:tcPr>
          <w:p w:rsidR="00BE0339" w:rsidRPr="008D3617" w:rsidRDefault="001145B5" w:rsidP="00302825">
            <w:pPr>
              <w:rPr>
                <w:rFonts w:ascii="Garamond" w:hAnsi="Garamond"/>
                <w:sz w:val="24"/>
                <w:szCs w:val="24"/>
              </w:rPr>
            </w:pPr>
            <w:r>
              <w:rPr>
                <w:rFonts w:ascii="Garamond" w:hAnsi="Garamond"/>
                <w:sz w:val="24"/>
                <w:szCs w:val="24"/>
              </w:rPr>
              <w:t>AAT</w:t>
            </w:r>
          </w:p>
        </w:tc>
        <w:tc>
          <w:tcPr>
            <w:tcW w:w="3685" w:type="dxa"/>
          </w:tcPr>
          <w:p w:rsidR="00BE0339" w:rsidRPr="008D3617" w:rsidRDefault="00DB2B0B" w:rsidP="004D4E70">
            <w:pPr>
              <w:rPr>
                <w:rFonts w:ascii="Garamond" w:hAnsi="Garamond"/>
                <w:sz w:val="24"/>
                <w:szCs w:val="24"/>
              </w:rPr>
            </w:pPr>
            <w:r>
              <w:rPr>
                <w:rFonts w:ascii="Garamond" w:hAnsi="Garamond"/>
                <w:sz w:val="24"/>
                <w:szCs w:val="24"/>
              </w:rPr>
              <w:t>Whether Turny swivel seat ($12 056) recommended by OTs to allow applicant with Limb Girdle Muscular Dystrophy to get in and out of husband’s Landcruiser reasonable and necessary?</w:t>
            </w:r>
          </w:p>
        </w:tc>
        <w:tc>
          <w:tcPr>
            <w:tcW w:w="1701" w:type="dxa"/>
          </w:tcPr>
          <w:p w:rsidR="00BE0339" w:rsidRPr="008D3617" w:rsidRDefault="00DB2B0B" w:rsidP="00302825">
            <w:pPr>
              <w:rPr>
                <w:rFonts w:ascii="Garamond" w:hAnsi="Garamond"/>
                <w:sz w:val="24"/>
                <w:szCs w:val="24"/>
              </w:rPr>
            </w:pPr>
            <w:r>
              <w:rPr>
                <w:rFonts w:ascii="Garamond" w:hAnsi="Garamond"/>
                <w:sz w:val="24"/>
                <w:szCs w:val="24"/>
              </w:rPr>
              <w:t>NDIA</w:t>
            </w:r>
          </w:p>
        </w:tc>
        <w:tc>
          <w:tcPr>
            <w:tcW w:w="5529" w:type="dxa"/>
          </w:tcPr>
          <w:p w:rsidR="00BE0339" w:rsidRPr="008D3617" w:rsidRDefault="00DB2B0B" w:rsidP="00F33D71">
            <w:pPr>
              <w:rPr>
                <w:rFonts w:ascii="Garamond" w:hAnsi="Garamond"/>
                <w:sz w:val="24"/>
                <w:szCs w:val="24"/>
              </w:rPr>
            </w:pPr>
            <w:r>
              <w:rPr>
                <w:rFonts w:ascii="Garamond" w:hAnsi="Garamond"/>
                <w:sz w:val="24"/>
                <w:szCs w:val="24"/>
              </w:rPr>
              <w:t xml:space="preserve">Turny seat not shown to be value for money as compared to other options (s 34(1) (c)); accepted OT evidence that Turny seat would be effective and beneficial but </w:t>
            </w:r>
            <w:r w:rsidR="00F33D71">
              <w:rPr>
                <w:rFonts w:ascii="Garamond" w:hAnsi="Garamond"/>
                <w:sz w:val="24"/>
                <w:szCs w:val="24"/>
              </w:rPr>
              <w:t xml:space="preserve">held </w:t>
            </w:r>
            <w:r>
              <w:rPr>
                <w:rFonts w:ascii="Garamond" w:hAnsi="Garamond"/>
                <w:sz w:val="24"/>
                <w:szCs w:val="24"/>
              </w:rPr>
              <w:t xml:space="preserve">may be more cost effective solutions which would also be good practice (s 34(1) (d); Not unreasonable to expect husband to assist with support </w:t>
            </w:r>
            <w:r>
              <w:rPr>
                <w:rFonts w:ascii="Garamond" w:hAnsi="Garamond"/>
                <w:sz w:val="24"/>
                <w:szCs w:val="24"/>
              </w:rPr>
              <w:lastRenderedPageBreak/>
              <w:t xml:space="preserve">such as moving </w:t>
            </w:r>
            <w:r w:rsidR="00F33D71">
              <w:rPr>
                <w:rFonts w:ascii="Garamond" w:hAnsi="Garamond"/>
                <w:sz w:val="24"/>
                <w:szCs w:val="24"/>
              </w:rPr>
              <w:t xml:space="preserve">alternative folding </w:t>
            </w:r>
            <w:r>
              <w:rPr>
                <w:rFonts w:ascii="Garamond" w:hAnsi="Garamond"/>
                <w:sz w:val="24"/>
                <w:szCs w:val="24"/>
              </w:rPr>
              <w:t>step</w:t>
            </w:r>
            <w:r w:rsidR="00F33D71">
              <w:rPr>
                <w:rFonts w:ascii="Garamond" w:hAnsi="Garamond"/>
                <w:sz w:val="24"/>
                <w:szCs w:val="24"/>
              </w:rPr>
              <w:t xml:space="preserve"> design</w:t>
            </w:r>
            <w:r>
              <w:rPr>
                <w:rFonts w:ascii="Garamond" w:hAnsi="Garamond"/>
                <w:sz w:val="24"/>
                <w:szCs w:val="24"/>
              </w:rPr>
              <w:t xml:space="preserve"> (s 34 (1) (e)). Current plan includes option to further investigate options.</w:t>
            </w:r>
          </w:p>
        </w:tc>
      </w:tr>
      <w:tr w:rsidR="00BE0339" w:rsidRPr="008D3617" w:rsidTr="00BE0339">
        <w:tc>
          <w:tcPr>
            <w:tcW w:w="1277" w:type="dxa"/>
          </w:tcPr>
          <w:p w:rsidR="00BE0339" w:rsidRPr="008D3617" w:rsidRDefault="00C42FD1" w:rsidP="00302825">
            <w:pPr>
              <w:rPr>
                <w:rFonts w:ascii="Garamond" w:hAnsi="Garamond"/>
                <w:sz w:val="24"/>
                <w:szCs w:val="24"/>
              </w:rPr>
            </w:pPr>
            <w:r>
              <w:rPr>
                <w:rFonts w:ascii="Garamond" w:hAnsi="Garamond"/>
                <w:sz w:val="24"/>
                <w:szCs w:val="24"/>
              </w:rPr>
              <w:lastRenderedPageBreak/>
              <w:t>2016</w:t>
            </w:r>
          </w:p>
        </w:tc>
        <w:tc>
          <w:tcPr>
            <w:tcW w:w="2551" w:type="dxa"/>
          </w:tcPr>
          <w:p w:rsidR="00BE0339" w:rsidRPr="008D3617" w:rsidRDefault="00C42FD1" w:rsidP="00302825">
            <w:pPr>
              <w:rPr>
                <w:rFonts w:ascii="Garamond" w:hAnsi="Garamond"/>
                <w:sz w:val="24"/>
                <w:szCs w:val="24"/>
              </w:rPr>
            </w:pPr>
            <w:r w:rsidRPr="00C42FD1">
              <w:rPr>
                <w:rFonts w:ascii="Garamond" w:hAnsi="Garamond"/>
                <w:i/>
                <w:sz w:val="24"/>
                <w:szCs w:val="24"/>
              </w:rPr>
              <w:t>JQJT and National Disability Insurance Agency</w:t>
            </w:r>
            <w:r w:rsidRPr="00C42FD1">
              <w:rPr>
                <w:rFonts w:ascii="Garamond" w:hAnsi="Garamond"/>
                <w:sz w:val="24"/>
                <w:szCs w:val="24"/>
              </w:rPr>
              <w:t xml:space="preserve"> [2016] AATA 478 (6 July 2016)</w:t>
            </w:r>
          </w:p>
        </w:tc>
        <w:tc>
          <w:tcPr>
            <w:tcW w:w="1418" w:type="dxa"/>
          </w:tcPr>
          <w:p w:rsidR="00BE0339" w:rsidRPr="008D3617" w:rsidRDefault="00C42FD1" w:rsidP="00302825">
            <w:pPr>
              <w:rPr>
                <w:rFonts w:ascii="Garamond" w:hAnsi="Garamond"/>
                <w:sz w:val="24"/>
                <w:szCs w:val="24"/>
              </w:rPr>
            </w:pPr>
            <w:r>
              <w:rPr>
                <w:rFonts w:ascii="Garamond" w:hAnsi="Garamond"/>
                <w:sz w:val="24"/>
                <w:szCs w:val="24"/>
              </w:rPr>
              <w:t>AAT</w:t>
            </w:r>
          </w:p>
        </w:tc>
        <w:tc>
          <w:tcPr>
            <w:tcW w:w="3685" w:type="dxa"/>
          </w:tcPr>
          <w:p w:rsidR="00BE0339" w:rsidRDefault="000F5F81" w:rsidP="00302825">
            <w:pPr>
              <w:rPr>
                <w:rFonts w:ascii="Garamond" w:hAnsi="Garamond"/>
                <w:sz w:val="24"/>
                <w:szCs w:val="24"/>
              </w:rPr>
            </w:pPr>
            <w:r>
              <w:rPr>
                <w:rFonts w:ascii="Garamond" w:hAnsi="Garamond"/>
                <w:sz w:val="24"/>
                <w:szCs w:val="24"/>
              </w:rPr>
              <w:t>Whether transport funding for community access for 13 year child with severe autism, intellectual disability, intellectual disability, language delay, ADHD, reasonable and necessary?</w:t>
            </w:r>
          </w:p>
          <w:p w:rsidR="000F5F81" w:rsidRDefault="000F5F81" w:rsidP="00302825">
            <w:pPr>
              <w:rPr>
                <w:rFonts w:ascii="Garamond" w:hAnsi="Garamond"/>
                <w:sz w:val="24"/>
                <w:szCs w:val="24"/>
              </w:rPr>
            </w:pPr>
          </w:p>
          <w:p w:rsidR="000F5F81" w:rsidRDefault="000F5F81" w:rsidP="00302825">
            <w:pPr>
              <w:rPr>
                <w:rFonts w:ascii="Garamond" w:hAnsi="Garamond"/>
                <w:sz w:val="24"/>
                <w:szCs w:val="24"/>
              </w:rPr>
            </w:pPr>
            <w:r>
              <w:rPr>
                <w:rFonts w:ascii="Garamond" w:hAnsi="Garamond"/>
                <w:sz w:val="24"/>
                <w:szCs w:val="24"/>
              </w:rPr>
              <w:t xml:space="preserve">Whether parents should provide transport under s 34 (1) (e), Rule </w:t>
            </w:r>
            <w:r w:rsidR="0047234A">
              <w:rPr>
                <w:rFonts w:ascii="Garamond" w:hAnsi="Garamond"/>
                <w:sz w:val="24"/>
                <w:szCs w:val="24"/>
              </w:rPr>
              <w:t>3.4, NDIA Policy?</w:t>
            </w:r>
          </w:p>
          <w:p w:rsidR="0047234A" w:rsidRDefault="0047234A" w:rsidP="00302825">
            <w:pPr>
              <w:rPr>
                <w:rFonts w:ascii="Garamond" w:hAnsi="Garamond"/>
                <w:sz w:val="24"/>
                <w:szCs w:val="24"/>
              </w:rPr>
            </w:pPr>
          </w:p>
          <w:p w:rsidR="0047234A" w:rsidRPr="008D3617" w:rsidRDefault="0047234A" w:rsidP="00302825">
            <w:pPr>
              <w:rPr>
                <w:rFonts w:ascii="Garamond" w:hAnsi="Garamond"/>
                <w:sz w:val="24"/>
                <w:szCs w:val="24"/>
              </w:rPr>
            </w:pPr>
            <w:r>
              <w:rPr>
                <w:rFonts w:ascii="Garamond" w:hAnsi="Garamond"/>
                <w:sz w:val="24"/>
                <w:szCs w:val="24"/>
              </w:rPr>
              <w:t>Also raises issue of whether decision technically reviewable given replacement of plan under appeal with new plan (substantially similar)</w:t>
            </w:r>
          </w:p>
        </w:tc>
        <w:tc>
          <w:tcPr>
            <w:tcW w:w="1701" w:type="dxa"/>
          </w:tcPr>
          <w:p w:rsidR="00BE0339" w:rsidRPr="008D3617" w:rsidRDefault="0047234A" w:rsidP="00302825">
            <w:pPr>
              <w:rPr>
                <w:rFonts w:ascii="Garamond" w:hAnsi="Garamond"/>
                <w:sz w:val="24"/>
                <w:szCs w:val="24"/>
              </w:rPr>
            </w:pPr>
            <w:r>
              <w:rPr>
                <w:rFonts w:ascii="Garamond" w:hAnsi="Garamond"/>
                <w:sz w:val="24"/>
                <w:szCs w:val="24"/>
              </w:rPr>
              <w:t>Applicant/NDIA</w:t>
            </w:r>
          </w:p>
        </w:tc>
        <w:tc>
          <w:tcPr>
            <w:tcW w:w="5529" w:type="dxa"/>
          </w:tcPr>
          <w:p w:rsidR="00BE0339" w:rsidRDefault="0047234A" w:rsidP="00302825">
            <w:pPr>
              <w:rPr>
                <w:rFonts w:ascii="Garamond" w:hAnsi="Garamond"/>
                <w:sz w:val="24"/>
                <w:szCs w:val="24"/>
              </w:rPr>
            </w:pPr>
            <w:r>
              <w:rPr>
                <w:rFonts w:ascii="Garamond" w:hAnsi="Garamond"/>
                <w:sz w:val="24"/>
                <w:szCs w:val="24"/>
              </w:rPr>
              <w:t>Transport funding for weekend community access reasonable and necessary – not reasonable for parents to provide given additional burden in</w:t>
            </w:r>
            <w:r w:rsidR="00CD2CD2">
              <w:rPr>
                <w:rFonts w:ascii="Garamond" w:hAnsi="Garamond"/>
                <w:sz w:val="24"/>
                <w:szCs w:val="24"/>
              </w:rPr>
              <w:t>cluded risk to their well-being</w:t>
            </w:r>
            <w:r>
              <w:rPr>
                <w:rFonts w:ascii="Garamond" w:hAnsi="Garamond"/>
                <w:sz w:val="24"/>
                <w:szCs w:val="24"/>
              </w:rPr>
              <w:t xml:space="preserve"> .</w:t>
            </w:r>
          </w:p>
          <w:p w:rsidR="0047234A" w:rsidRDefault="0047234A" w:rsidP="00302825">
            <w:pPr>
              <w:rPr>
                <w:rFonts w:ascii="Garamond" w:hAnsi="Garamond"/>
                <w:sz w:val="24"/>
                <w:szCs w:val="24"/>
              </w:rPr>
            </w:pPr>
          </w:p>
          <w:p w:rsidR="0047234A" w:rsidRPr="008D3617" w:rsidRDefault="0047234A" w:rsidP="00302825">
            <w:pPr>
              <w:rPr>
                <w:rFonts w:ascii="Garamond" w:hAnsi="Garamond"/>
                <w:sz w:val="24"/>
                <w:szCs w:val="24"/>
              </w:rPr>
            </w:pPr>
            <w:r>
              <w:rPr>
                <w:rFonts w:ascii="Garamond" w:hAnsi="Garamond"/>
                <w:sz w:val="24"/>
                <w:szCs w:val="24"/>
              </w:rPr>
              <w:t>Transport for school holiday community access support not reasonable and necessary as parents relieved of normal school transport responsibilities during this time cost of transport during school holiday likely incurred by any parent, longer blocks of community access time will allow parents some respite even with transport.</w:t>
            </w:r>
          </w:p>
        </w:tc>
      </w:tr>
      <w:tr w:rsidR="00BE0339" w:rsidRPr="008D3617" w:rsidTr="00BE0339">
        <w:tc>
          <w:tcPr>
            <w:tcW w:w="1277" w:type="dxa"/>
          </w:tcPr>
          <w:p w:rsidR="00BE0339" w:rsidRPr="008D3617" w:rsidRDefault="009B2F72" w:rsidP="00302825">
            <w:pPr>
              <w:rPr>
                <w:rFonts w:ascii="Garamond" w:hAnsi="Garamond"/>
                <w:sz w:val="24"/>
                <w:szCs w:val="24"/>
              </w:rPr>
            </w:pPr>
            <w:r>
              <w:rPr>
                <w:rFonts w:ascii="Garamond" w:hAnsi="Garamond"/>
                <w:sz w:val="24"/>
                <w:szCs w:val="24"/>
              </w:rPr>
              <w:t>2015</w:t>
            </w:r>
          </w:p>
        </w:tc>
        <w:tc>
          <w:tcPr>
            <w:tcW w:w="2551" w:type="dxa"/>
          </w:tcPr>
          <w:p w:rsidR="00BE0339" w:rsidRPr="008D3617" w:rsidRDefault="009B2F72" w:rsidP="00302825">
            <w:pPr>
              <w:rPr>
                <w:rFonts w:ascii="Garamond" w:hAnsi="Garamond"/>
                <w:sz w:val="24"/>
                <w:szCs w:val="24"/>
              </w:rPr>
            </w:pPr>
            <w:r w:rsidRPr="009B2F72">
              <w:rPr>
                <w:rFonts w:ascii="Garamond" w:hAnsi="Garamond"/>
                <w:i/>
                <w:sz w:val="24"/>
                <w:szCs w:val="24"/>
              </w:rPr>
              <w:t>PNMJ and National Disability Insurance Agency</w:t>
            </w:r>
            <w:r w:rsidRPr="009B2F72">
              <w:rPr>
                <w:rFonts w:ascii="Garamond" w:hAnsi="Garamond"/>
                <w:sz w:val="24"/>
                <w:szCs w:val="24"/>
              </w:rPr>
              <w:t xml:space="preserve"> [2015] AATA 866 (11 November 2015)</w:t>
            </w:r>
          </w:p>
        </w:tc>
        <w:tc>
          <w:tcPr>
            <w:tcW w:w="1418" w:type="dxa"/>
          </w:tcPr>
          <w:p w:rsidR="00BE0339" w:rsidRPr="008D3617" w:rsidRDefault="00F80C6B" w:rsidP="00302825">
            <w:pPr>
              <w:rPr>
                <w:rFonts w:ascii="Garamond" w:hAnsi="Garamond"/>
                <w:sz w:val="24"/>
                <w:szCs w:val="24"/>
              </w:rPr>
            </w:pPr>
            <w:r>
              <w:rPr>
                <w:rFonts w:ascii="Garamond" w:hAnsi="Garamond"/>
                <w:sz w:val="24"/>
                <w:szCs w:val="24"/>
              </w:rPr>
              <w:t>AAT</w:t>
            </w:r>
          </w:p>
        </w:tc>
        <w:tc>
          <w:tcPr>
            <w:tcW w:w="3685" w:type="dxa"/>
          </w:tcPr>
          <w:p w:rsidR="00BE0339" w:rsidRDefault="00813445" w:rsidP="00302825">
            <w:pPr>
              <w:rPr>
                <w:rFonts w:ascii="Garamond" w:hAnsi="Garamond"/>
                <w:sz w:val="24"/>
                <w:szCs w:val="24"/>
              </w:rPr>
            </w:pPr>
            <w:r>
              <w:rPr>
                <w:rFonts w:ascii="Garamond" w:hAnsi="Garamond"/>
                <w:sz w:val="24"/>
                <w:szCs w:val="24"/>
              </w:rPr>
              <w:t>Three year old child with severe disability including severe neurological disorder, uncontrollable seizures and multiple other disabilities.</w:t>
            </w:r>
          </w:p>
          <w:p w:rsidR="00813445" w:rsidRDefault="00813445" w:rsidP="00302825">
            <w:pPr>
              <w:rPr>
                <w:rFonts w:ascii="Garamond" w:hAnsi="Garamond"/>
                <w:sz w:val="24"/>
                <w:szCs w:val="24"/>
              </w:rPr>
            </w:pPr>
          </w:p>
          <w:p w:rsidR="00813445" w:rsidRDefault="00813445" w:rsidP="00302825">
            <w:pPr>
              <w:rPr>
                <w:rFonts w:ascii="Garamond" w:hAnsi="Garamond"/>
                <w:sz w:val="24"/>
                <w:szCs w:val="24"/>
              </w:rPr>
            </w:pPr>
            <w:r>
              <w:rPr>
                <w:rFonts w:ascii="Garamond" w:hAnsi="Garamond"/>
                <w:sz w:val="24"/>
                <w:szCs w:val="24"/>
              </w:rPr>
              <w:t>Is 24 hour care ‘reasonable and nec</w:t>
            </w:r>
            <w:r w:rsidR="00343AD7">
              <w:rPr>
                <w:rFonts w:ascii="Garamond" w:hAnsi="Garamond"/>
                <w:sz w:val="24"/>
                <w:szCs w:val="24"/>
              </w:rPr>
              <w:t>e</w:t>
            </w:r>
            <w:r>
              <w:rPr>
                <w:rFonts w:ascii="Garamond" w:hAnsi="Garamond"/>
                <w:sz w:val="24"/>
                <w:szCs w:val="24"/>
              </w:rPr>
              <w:t>ssary’?</w:t>
            </w:r>
          </w:p>
          <w:p w:rsidR="00813445" w:rsidRDefault="00813445" w:rsidP="00302825">
            <w:pPr>
              <w:rPr>
                <w:rFonts w:ascii="Garamond" w:hAnsi="Garamond"/>
                <w:sz w:val="24"/>
                <w:szCs w:val="24"/>
              </w:rPr>
            </w:pPr>
          </w:p>
          <w:p w:rsidR="00813445" w:rsidRDefault="00813445" w:rsidP="00302825">
            <w:pPr>
              <w:rPr>
                <w:rFonts w:ascii="Garamond" w:hAnsi="Garamond"/>
                <w:sz w:val="24"/>
                <w:szCs w:val="24"/>
              </w:rPr>
            </w:pPr>
            <w:r>
              <w:rPr>
                <w:rFonts w:ascii="Garamond" w:hAnsi="Garamond"/>
                <w:sz w:val="24"/>
                <w:szCs w:val="24"/>
              </w:rPr>
              <w:t>Also raises issue of status of review by AAT when plan under review already replaced by subsequent plan with increased support but no increase in care hours.</w:t>
            </w:r>
          </w:p>
          <w:p w:rsidR="00FB2456" w:rsidRPr="008D3617" w:rsidRDefault="00FB2456" w:rsidP="00302825">
            <w:pPr>
              <w:rPr>
                <w:rFonts w:ascii="Garamond" w:hAnsi="Garamond"/>
                <w:sz w:val="24"/>
                <w:szCs w:val="24"/>
              </w:rPr>
            </w:pPr>
          </w:p>
        </w:tc>
        <w:tc>
          <w:tcPr>
            <w:tcW w:w="1701" w:type="dxa"/>
          </w:tcPr>
          <w:p w:rsidR="00BE0339" w:rsidRPr="008D3617" w:rsidRDefault="00F80C6B" w:rsidP="00302825">
            <w:pPr>
              <w:rPr>
                <w:rFonts w:ascii="Garamond" w:hAnsi="Garamond"/>
                <w:sz w:val="24"/>
                <w:szCs w:val="24"/>
              </w:rPr>
            </w:pPr>
            <w:r>
              <w:rPr>
                <w:rFonts w:ascii="Garamond" w:hAnsi="Garamond"/>
                <w:sz w:val="24"/>
                <w:szCs w:val="24"/>
              </w:rPr>
              <w:t>Applicant</w:t>
            </w:r>
          </w:p>
        </w:tc>
        <w:tc>
          <w:tcPr>
            <w:tcW w:w="5529" w:type="dxa"/>
          </w:tcPr>
          <w:p w:rsidR="00BE0339" w:rsidRDefault="00813445" w:rsidP="00302825">
            <w:pPr>
              <w:rPr>
                <w:rFonts w:ascii="Garamond" w:hAnsi="Garamond"/>
                <w:sz w:val="24"/>
                <w:szCs w:val="24"/>
              </w:rPr>
            </w:pPr>
            <w:r>
              <w:rPr>
                <w:rFonts w:ascii="Garamond" w:hAnsi="Garamond"/>
                <w:sz w:val="24"/>
                <w:szCs w:val="24"/>
              </w:rPr>
              <w:t>Twenty four hour care reasonable and necessary and funded support to be increased for 6 months pending next review. Well-being of family at risk, limited support available from community and informal support, very high and complex needs, extensive care and support already provided by parents.</w:t>
            </w:r>
          </w:p>
          <w:p w:rsidR="00813445" w:rsidRDefault="00813445" w:rsidP="00302825">
            <w:pPr>
              <w:rPr>
                <w:rFonts w:ascii="Garamond" w:hAnsi="Garamond"/>
                <w:sz w:val="24"/>
                <w:szCs w:val="24"/>
              </w:rPr>
            </w:pPr>
          </w:p>
          <w:p w:rsidR="00813445" w:rsidRPr="008D3617" w:rsidRDefault="00813445" w:rsidP="00302825">
            <w:pPr>
              <w:rPr>
                <w:rFonts w:ascii="Garamond" w:hAnsi="Garamond"/>
                <w:sz w:val="24"/>
                <w:szCs w:val="24"/>
              </w:rPr>
            </w:pPr>
          </w:p>
        </w:tc>
      </w:tr>
      <w:tr w:rsidR="00BE0339" w:rsidRPr="008D3617" w:rsidTr="00BE0339">
        <w:tc>
          <w:tcPr>
            <w:tcW w:w="1277" w:type="dxa"/>
          </w:tcPr>
          <w:p w:rsidR="00BE0339" w:rsidRPr="008D3617" w:rsidRDefault="00813445" w:rsidP="00302825">
            <w:pPr>
              <w:rPr>
                <w:rFonts w:ascii="Garamond" w:hAnsi="Garamond"/>
                <w:sz w:val="24"/>
                <w:szCs w:val="24"/>
              </w:rPr>
            </w:pPr>
            <w:r>
              <w:rPr>
                <w:rFonts w:ascii="Garamond" w:hAnsi="Garamond"/>
                <w:sz w:val="24"/>
                <w:szCs w:val="24"/>
              </w:rPr>
              <w:lastRenderedPageBreak/>
              <w:t>2015</w:t>
            </w:r>
          </w:p>
        </w:tc>
        <w:tc>
          <w:tcPr>
            <w:tcW w:w="2551" w:type="dxa"/>
          </w:tcPr>
          <w:p w:rsidR="00BE0339" w:rsidRPr="008D3617" w:rsidRDefault="00813445" w:rsidP="00302825">
            <w:pPr>
              <w:rPr>
                <w:rFonts w:ascii="Garamond" w:hAnsi="Garamond"/>
                <w:sz w:val="24"/>
                <w:szCs w:val="24"/>
              </w:rPr>
            </w:pPr>
            <w:r w:rsidRPr="00813445">
              <w:rPr>
                <w:rFonts w:ascii="Garamond" w:hAnsi="Garamond"/>
                <w:i/>
                <w:sz w:val="24"/>
                <w:szCs w:val="24"/>
              </w:rPr>
              <w:t>Fear by his mother Vanda Fear and National Disability Insurance Agency</w:t>
            </w:r>
            <w:r w:rsidRPr="00813445">
              <w:rPr>
                <w:rFonts w:ascii="Garamond" w:hAnsi="Garamond"/>
                <w:sz w:val="24"/>
                <w:szCs w:val="24"/>
              </w:rPr>
              <w:t xml:space="preserve"> [2015] AATA 706 (14 September 2015)</w:t>
            </w:r>
          </w:p>
        </w:tc>
        <w:tc>
          <w:tcPr>
            <w:tcW w:w="1418" w:type="dxa"/>
          </w:tcPr>
          <w:p w:rsidR="00BE0339" w:rsidRPr="008D3617" w:rsidRDefault="00813445" w:rsidP="00302825">
            <w:pPr>
              <w:rPr>
                <w:rFonts w:ascii="Garamond" w:hAnsi="Garamond"/>
                <w:sz w:val="24"/>
                <w:szCs w:val="24"/>
              </w:rPr>
            </w:pPr>
            <w:r>
              <w:rPr>
                <w:rFonts w:ascii="Garamond" w:hAnsi="Garamond"/>
                <w:sz w:val="24"/>
                <w:szCs w:val="24"/>
              </w:rPr>
              <w:t>AAT</w:t>
            </w:r>
          </w:p>
        </w:tc>
        <w:tc>
          <w:tcPr>
            <w:tcW w:w="3685" w:type="dxa"/>
          </w:tcPr>
          <w:p w:rsidR="00BE0339" w:rsidRPr="008D3617" w:rsidRDefault="00CD2CD2" w:rsidP="00302825">
            <w:pPr>
              <w:rPr>
                <w:rFonts w:ascii="Garamond" w:hAnsi="Garamond"/>
                <w:sz w:val="24"/>
                <w:szCs w:val="24"/>
              </w:rPr>
            </w:pPr>
            <w:r>
              <w:rPr>
                <w:rFonts w:ascii="Garamond" w:hAnsi="Garamond"/>
                <w:sz w:val="24"/>
                <w:szCs w:val="24"/>
              </w:rPr>
              <w:t>Applicant with catastrophic brain injury cared for at home. Are pulse oximeter, bedside oral suctioning machine and portable oral suctioning machine (all necessary to maintain health) reasonable and necessary? Are the items of equipment appropriately funded under NDIS or general health system?</w:t>
            </w:r>
            <w:r w:rsidR="007C4EAD">
              <w:rPr>
                <w:rFonts w:ascii="Garamond" w:hAnsi="Garamond"/>
                <w:sz w:val="24"/>
                <w:szCs w:val="24"/>
              </w:rPr>
              <w:t xml:space="preserve"> (s 34 (1) (f))</w:t>
            </w:r>
          </w:p>
        </w:tc>
        <w:tc>
          <w:tcPr>
            <w:tcW w:w="1701" w:type="dxa"/>
          </w:tcPr>
          <w:p w:rsidR="00BE0339" w:rsidRPr="008D3617" w:rsidRDefault="00E50B43" w:rsidP="00302825">
            <w:pPr>
              <w:rPr>
                <w:rFonts w:ascii="Garamond" w:hAnsi="Garamond"/>
                <w:sz w:val="24"/>
                <w:szCs w:val="24"/>
              </w:rPr>
            </w:pPr>
            <w:r>
              <w:rPr>
                <w:rFonts w:ascii="Garamond" w:hAnsi="Garamond"/>
                <w:sz w:val="24"/>
                <w:szCs w:val="24"/>
              </w:rPr>
              <w:t>NDIA</w:t>
            </w:r>
          </w:p>
        </w:tc>
        <w:tc>
          <w:tcPr>
            <w:tcW w:w="5529" w:type="dxa"/>
          </w:tcPr>
          <w:p w:rsidR="00BE0339" w:rsidRPr="008D3617" w:rsidRDefault="00E50B43" w:rsidP="00302825">
            <w:pPr>
              <w:rPr>
                <w:rFonts w:ascii="Garamond" w:hAnsi="Garamond"/>
                <w:sz w:val="24"/>
                <w:szCs w:val="24"/>
              </w:rPr>
            </w:pPr>
            <w:r>
              <w:rPr>
                <w:rFonts w:ascii="Garamond" w:hAnsi="Garamond"/>
                <w:sz w:val="24"/>
                <w:szCs w:val="24"/>
              </w:rPr>
              <w:t>Equipment more closely related to health needs. The fact that also allows applicant to remain living at home does not change that principal purpose is to manage health.  The fact that equipment not now funded by the State health system not part of the test for whether should be funded by NDIS. Cost of equipment not reasonable and necessary.</w:t>
            </w:r>
          </w:p>
        </w:tc>
      </w:tr>
      <w:tr w:rsidR="00BE0339" w:rsidRPr="008D3617" w:rsidTr="00BE0339">
        <w:tc>
          <w:tcPr>
            <w:tcW w:w="1277" w:type="dxa"/>
          </w:tcPr>
          <w:p w:rsidR="00BE0339" w:rsidRPr="008D3617" w:rsidRDefault="00715C26" w:rsidP="00302825">
            <w:pPr>
              <w:rPr>
                <w:rFonts w:ascii="Garamond" w:hAnsi="Garamond"/>
                <w:sz w:val="24"/>
                <w:szCs w:val="24"/>
              </w:rPr>
            </w:pPr>
            <w:r>
              <w:rPr>
                <w:rFonts w:ascii="Garamond" w:hAnsi="Garamond"/>
                <w:sz w:val="24"/>
                <w:szCs w:val="24"/>
              </w:rPr>
              <w:t>2015</w:t>
            </w:r>
          </w:p>
        </w:tc>
        <w:tc>
          <w:tcPr>
            <w:tcW w:w="2551" w:type="dxa"/>
          </w:tcPr>
          <w:p w:rsidR="00BE0339" w:rsidRPr="008D3617" w:rsidRDefault="00715C26" w:rsidP="00302825">
            <w:pPr>
              <w:rPr>
                <w:rFonts w:ascii="Garamond" w:hAnsi="Garamond"/>
                <w:sz w:val="24"/>
                <w:szCs w:val="24"/>
              </w:rPr>
            </w:pPr>
            <w:r w:rsidRPr="00715C26">
              <w:rPr>
                <w:rFonts w:ascii="Garamond" w:hAnsi="Garamond"/>
                <w:i/>
                <w:sz w:val="24"/>
                <w:szCs w:val="24"/>
              </w:rPr>
              <w:t>McCutcheon and National Disability Insurance Agency</w:t>
            </w:r>
            <w:r w:rsidRPr="00715C26">
              <w:rPr>
                <w:rFonts w:ascii="Garamond" w:hAnsi="Garamond"/>
                <w:sz w:val="24"/>
                <w:szCs w:val="24"/>
              </w:rPr>
              <w:t xml:space="preserve"> [2015] AATA 624 (21 August 2015)</w:t>
            </w:r>
          </w:p>
        </w:tc>
        <w:tc>
          <w:tcPr>
            <w:tcW w:w="1418" w:type="dxa"/>
          </w:tcPr>
          <w:p w:rsidR="00BE0339" w:rsidRPr="008D3617" w:rsidRDefault="00715C26" w:rsidP="00302825">
            <w:pPr>
              <w:rPr>
                <w:rFonts w:ascii="Garamond" w:hAnsi="Garamond"/>
                <w:sz w:val="24"/>
                <w:szCs w:val="24"/>
              </w:rPr>
            </w:pPr>
            <w:r>
              <w:rPr>
                <w:rFonts w:ascii="Garamond" w:hAnsi="Garamond"/>
                <w:sz w:val="24"/>
                <w:szCs w:val="24"/>
              </w:rPr>
              <w:t>AAT</w:t>
            </w:r>
          </w:p>
        </w:tc>
        <w:tc>
          <w:tcPr>
            <w:tcW w:w="3685" w:type="dxa"/>
          </w:tcPr>
          <w:p w:rsidR="00BE0339" w:rsidRDefault="00715C26" w:rsidP="00715C26">
            <w:pPr>
              <w:rPr>
                <w:rFonts w:ascii="Garamond" w:hAnsi="Garamond"/>
                <w:sz w:val="24"/>
                <w:szCs w:val="24"/>
              </w:rPr>
            </w:pPr>
            <w:r>
              <w:rPr>
                <w:rFonts w:ascii="Garamond" w:hAnsi="Garamond"/>
                <w:sz w:val="24"/>
                <w:szCs w:val="24"/>
              </w:rPr>
              <w:t>Applicant with</w:t>
            </w:r>
            <w:r w:rsidRPr="00715C26">
              <w:rPr>
                <w:rFonts w:ascii="Garamond" w:hAnsi="Garamond"/>
                <w:sz w:val="24"/>
                <w:szCs w:val="24"/>
              </w:rPr>
              <w:t xml:space="preserve"> spina bifida and scoliosis, perthes disease in left hip, chronic renal failure, heart disease. </w:t>
            </w:r>
            <w:r>
              <w:rPr>
                <w:rFonts w:ascii="Garamond" w:hAnsi="Garamond"/>
                <w:sz w:val="24"/>
                <w:szCs w:val="24"/>
              </w:rPr>
              <w:t>W</w:t>
            </w:r>
            <w:r w:rsidRPr="00715C26">
              <w:rPr>
                <w:rFonts w:ascii="Garamond" w:hAnsi="Garamond"/>
                <w:sz w:val="24"/>
                <w:szCs w:val="24"/>
              </w:rPr>
              <w:t>hether chiropra</w:t>
            </w:r>
            <w:r>
              <w:rPr>
                <w:rFonts w:ascii="Garamond" w:hAnsi="Garamond"/>
                <w:sz w:val="24"/>
                <w:szCs w:val="24"/>
              </w:rPr>
              <w:t>c</w:t>
            </w:r>
            <w:r w:rsidRPr="00715C26">
              <w:rPr>
                <w:rFonts w:ascii="Garamond" w:hAnsi="Garamond"/>
                <w:sz w:val="24"/>
                <w:szCs w:val="24"/>
              </w:rPr>
              <w:t>tic treatment reasonable and necessary</w:t>
            </w:r>
            <w:r>
              <w:rPr>
                <w:rFonts w:ascii="Garamond" w:hAnsi="Garamond"/>
                <w:sz w:val="24"/>
                <w:szCs w:val="24"/>
              </w:rPr>
              <w:t>?</w:t>
            </w:r>
          </w:p>
          <w:p w:rsidR="00715C26" w:rsidRPr="008D3617" w:rsidRDefault="00715C26" w:rsidP="00715C26">
            <w:pPr>
              <w:rPr>
                <w:rFonts w:ascii="Garamond" w:hAnsi="Garamond"/>
                <w:sz w:val="24"/>
                <w:szCs w:val="24"/>
              </w:rPr>
            </w:pPr>
            <w:r>
              <w:t>(S 34 (1) (d) or s 34 (1) (f))</w:t>
            </w:r>
          </w:p>
        </w:tc>
        <w:tc>
          <w:tcPr>
            <w:tcW w:w="1701" w:type="dxa"/>
          </w:tcPr>
          <w:p w:rsidR="00BE0339" w:rsidRPr="008D3617" w:rsidRDefault="00BE3E32" w:rsidP="00302825">
            <w:pPr>
              <w:rPr>
                <w:rFonts w:ascii="Garamond" w:hAnsi="Garamond"/>
                <w:sz w:val="24"/>
                <w:szCs w:val="24"/>
              </w:rPr>
            </w:pPr>
            <w:r>
              <w:rPr>
                <w:rFonts w:ascii="Garamond" w:hAnsi="Garamond"/>
                <w:sz w:val="24"/>
                <w:szCs w:val="24"/>
              </w:rPr>
              <w:t>Applicant</w:t>
            </w:r>
          </w:p>
        </w:tc>
        <w:tc>
          <w:tcPr>
            <w:tcW w:w="5529" w:type="dxa"/>
          </w:tcPr>
          <w:p w:rsidR="00BE0339" w:rsidRPr="008D3617" w:rsidRDefault="00BE3E32" w:rsidP="00302825">
            <w:pPr>
              <w:rPr>
                <w:rFonts w:ascii="Garamond" w:hAnsi="Garamond"/>
                <w:sz w:val="24"/>
                <w:szCs w:val="24"/>
              </w:rPr>
            </w:pPr>
            <w:r>
              <w:rPr>
                <w:rFonts w:ascii="Garamond" w:hAnsi="Garamond"/>
                <w:sz w:val="24"/>
                <w:szCs w:val="24"/>
              </w:rPr>
              <w:t>Chiropra</w:t>
            </w:r>
            <w:r w:rsidR="00E622F7">
              <w:rPr>
                <w:rFonts w:ascii="Garamond" w:hAnsi="Garamond"/>
                <w:sz w:val="24"/>
                <w:szCs w:val="24"/>
              </w:rPr>
              <w:t>c</w:t>
            </w:r>
            <w:r>
              <w:rPr>
                <w:rFonts w:ascii="Garamond" w:hAnsi="Garamond"/>
                <w:sz w:val="24"/>
                <w:szCs w:val="24"/>
              </w:rPr>
              <w:t>tic treatment could amount to good practice for the purposes of s 34(1)(d); Applicant’s lived experience of impact of treatment on mobility and function to be given considerable weight; treatment most appropriately funded by NDIS s 34 (1) (f)</w:t>
            </w:r>
          </w:p>
        </w:tc>
      </w:tr>
      <w:tr w:rsidR="00BE0339" w:rsidRPr="008D3617" w:rsidTr="00BE0339">
        <w:tc>
          <w:tcPr>
            <w:tcW w:w="1277" w:type="dxa"/>
          </w:tcPr>
          <w:p w:rsidR="00BE0339" w:rsidRPr="008D3617" w:rsidRDefault="00E622F7" w:rsidP="00302825">
            <w:pPr>
              <w:rPr>
                <w:rFonts w:ascii="Garamond" w:hAnsi="Garamond"/>
                <w:sz w:val="24"/>
                <w:szCs w:val="24"/>
              </w:rPr>
            </w:pPr>
            <w:r>
              <w:rPr>
                <w:rFonts w:ascii="Garamond" w:hAnsi="Garamond"/>
                <w:sz w:val="24"/>
                <w:szCs w:val="24"/>
              </w:rPr>
              <w:t>2014</w:t>
            </w:r>
          </w:p>
        </w:tc>
        <w:tc>
          <w:tcPr>
            <w:tcW w:w="2551" w:type="dxa"/>
          </w:tcPr>
          <w:p w:rsidR="00BE0339" w:rsidRPr="008D3617" w:rsidRDefault="00E622F7" w:rsidP="00302825">
            <w:pPr>
              <w:rPr>
                <w:rFonts w:ascii="Garamond" w:hAnsi="Garamond"/>
                <w:sz w:val="24"/>
                <w:szCs w:val="24"/>
              </w:rPr>
            </w:pPr>
            <w:r w:rsidRPr="00D054AD">
              <w:rPr>
                <w:rFonts w:ascii="Garamond" w:hAnsi="Garamond"/>
                <w:i/>
                <w:sz w:val="24"/>
                <w:szCs w:val="24"/>
              </w:rPr>
              <w:t>ZNDV and National Disability Insurance Agency</w:t>
            </w:r>
            <w:r w:rsidRPr="00E622F7">
              <w:rPr>
                <w:rFonts w:ascii="Garamond" w:hAnsi="Garamond"/>
                <w:sz w:val="24"/>
                <w:szCs w:val="24"/>
              </w:rPr>
              <w:t xml:space="preserve"> [2014] AATA 921 (25 November 2014)</w:t>
            </w:r>
          </w:p>
        </w:tc>
        <w:tc>
          <w:tcPr>
            <w:tcW w:w="1418" w:type="dxa"/>
          </w:tcPr>
          <w:p w:rsidR="00BE0339" w:rsidRPr="008D3617" w:rsidRDefault="00E622F7" w:rsidP="00302825">
            <w:pPr>
              <w:rPr>
                <w:rFonts w:ascii="Garamond" w:hAnsi="Garamond"/>
                <w:sz w:val="24"/>
                <w:szCs w:val="24"/>
              </w:rPr>
            </w:pPr>
            <w:r>
              <w:rPr>
                <w:rFonts w:ascii="Garamond" w:hAnsi="Garamond"/>
                <w:sz w:val="24"/>
                <w:szCs w:val="24"/>
              </w:rPr>
              <w:t>AAT</w:t>
            </w:r>
          </w:p>
        </w:tc>
        <w:tc>
          <w:tcPr>
            <w:tcW w:w="3685" w:type="dxa"/>
          </w:tcPr>
          <w:p w:rsidR="00BE0339" w:rsidRPr="008D3617" w:rsidRDefault="00A91307" w:rsidP="00A91307">
            <w:pPr>
              <w:rPr>
                <w:rFonts w:ascii="Garamond" w:hAnsi="Garamond"/>
                <w:sz w:val="24"/>
                <w:szCs w:val="24"/>
              </w:rPr>
            </w:pPr>
            <w:r>
              <w:rPr>
                <w:rFonts w:ascii="Garamond" w:hAnsi="Garamond"/>
                <w:sz w:val="24"/>
                <w:szCs w:val="24"/>
              </w:rPr>
              <w:t>Five year old applicant;  Early intervention program;  Aspergers and developmental delay in areas of social interaction .  Is the provision of equipment for a home occupational therapy room reasonable and necessary? (s 34(1) (c); 34 (1)(d))</w:t>
            </w:r>
          </w:p>
        </w:tc>
        <w:tc>
          <w:tcPr>
            <w:tcW w:w="1701" w:type="dxa"/>
          </w:tcPr>
          <w:p w:rsidR="00BE0339" w:rsidRPr="008D3617" w:rsidRDefault="00A91307" w:rsidP="00302825">
            <w:pPr>
              <w:rPr>
                <w:rFonts w:ascii="Garamond" w:hAnsi="Garamond"/>
                <w:sz w:val="24"/>
                <w:szCs w:val="24"/>
              </w:rPr>
            </w:pPr>
            <w:r>
              <w:rPr>
                <w:rFonts w:ascii="Garamond" w:hAnsi="Garamond"/>
                <w:sz w:val="24"/>
                <w:szCs w:val="24"/>
              </w:rPr>
              <w:t>NDIA</w:t>
            </w:r>
          </w:p>
        </w:tc>
        <w:tc>
          <w:tcPr>
            <w:tcW w:w="5529" w:type="dxa"/>
          </w:tcPr>
          <w:p w:rsidR="00BE0339" w:rsidRPr="008D3617" w:rsidRDefault="00A91307" w:rsidP="00343AD7">
            <w:pPr>
              <w:rPr>
                <w:rFonts w:ascii="Garamond" w:hAnsi="Garamond"/>
                <w:sz w:val="24"/>
                <w:szCs w:val="24"/>
              </w:rPr>
            </w:pPr>
            <w:r>
              <w:rPr>
                <w:rFonts w:ascii="Garamond" w:hAnsi="Garamond"/>
                <w:sz w:val="24"/>
                <w:szCs w:val="24"/>
              </w:rPr>
              <w:t>Provision of a home therapy room not likely to be of long-term benefit to applicant, based on expert evidence. Cost of equipment not value for money. Cost not reasonable relative to benefits. S 34 (1)(c) not met. Not necessary to decide, but not satisfied s 34 (1)(d) met</w:t>
            </w:r>
            <w:r w:rsidR="00D054AD">
              <w:rPr>
                <w:rFonts w:ascii="Garamond" w:hAnsi="Garamond"/>
                <w:sz w:val="24"/>
                <w:szCs w:val="24"/>
              </w:rPr>
              <w:t xml:space="preserve"> (current good practice).</w:t>
            </w:r>
          </w:p>
        </w:tc>
      </w:tr>
      <w:tr w:rsidR="00BE0339" w:rsidRPr="008D3617" w:rsidTr="00BE0339">
        <w:tc>
          <w:tcPr>
            <w:tcW w:w="1277" w:type="dxa"/>
          </w:tcPr>
          <w:p w:rsidR="00BE0339" w:rsidRPr="008D3617" w:rsidRDefault="0072339F" w:rsidP="00302825">
            <w:pPr>
              <w:rPr>
                <w:rFonts w:ascii="Garamond" w:hAnsi="Garamond"/>
                <w:sz w:val="24"/>
                <w:szCs w:val="24"/>
              </w:rPr>
            </w:pPr>
            <w:r>
              <w:rPr>
                <w:rFonts w:ascii="Garamond" w:hAnsi="Garamond"/>
                <w:sz w:val="24"/>
                <w:szCs w:val="24"/>
              </w:rPr>
              <w:t>2014</w:t>
            </w:r>
          </w:p>
        </w:tc>
        <w:tc>
          <w:tcPr>
            <w:tcW w:w="2551" w:type="dxa"/>
          </w:tcPr>
          <w:p w:rsidR="00BE0339" w:rsidRPr="008D3617" w:rsidRDefault="0072339F" w:rsidP="00302825">
            <w:pPr>
              <w:rPr>
                <w:rFonts w:ascii="Garamond" w:hAnsi="Garamond"/>
                <w:sz w:val="24"/>
                <w:szCs w:val="24"/>
              </w:rPr>
            </w:pPr>
            <w:r w:rsidRPr="0072339F">
              <w:rPr>
                <w:rFonts w:ascii="Garamond" w:hAnsi="Garamond"/>
                <w:i/>
                <w:sz w:val="24"/>
                <w:szCs w:val="24"/>
              </w:rPr>
              <w:t>TKCW and National Disability Insurance Agency</w:t>
            </w:r>
            <w:r w:rsidRPr="0072339F">
              <w:rPr>
                <w:rFonts w:ascii="Garamond" w:hAnsi="Garamond"/>
                <w:sz w:val="24"/>
                <w:szCs w:val="24"/>
              </w:rPr>
              <w:t xml:space="preserve"> [2014] AATA 501 (23 July 2014)</w:t>
            </w:r>
          </w:p>
        </w:tc>
        <w:tc>
          <w:tcPr>
            <w:tcW w:w="1418" w:type="dxa"/>
          </w:tcPr>
          <w:p w:rsidR="00BE0339" w:rsidRPr="008D3617" w:rsidRDefault="00920B5C" w:rsidP="00302825">
            <w:pPr>
              <w:rPr>
                <w:rFonts w:ascii="Garamond" w:hAnsi="Garamond"/>
                <w:sz w:val="24"/>
                <w:szCs w:val="24"/>
              </w:rPr>
            </w:pPr>
            <w:r>
              <w:rPr>
                <w:rFonts w:ascii="Garamond" w:hAnsi="Garamond"/>
                <w:sz w:val="24"/>
                <w:szCs w:val="24"/>
              </w:rPr>
              <w:t>AAT</w:t>
            </w:r>
          </w:p>
        </w:tc>
        <w:tc>
          <w:tcPr>
            <w:tcW w:w="3685" w:type="dxa"/>
          </w:tcPr>
          <w:p w:rsidR="00BE0339" w:rsidRDefault="00920B5C" w:rsidP="00302825">
            <w:pPr>
              <w:rPr>
                <w:rFonts w:ascii="Garamond" w:hAnsi="Garamond"/>
                <w:sz w:val="24"/>
                <w:szCs w:val="24"/>
              </w:rPr>
            </w:pPr>
            <w:r>
              <w:rPr>
                <w:rFonts w:ascii="Garamond" w:hAnsi="Garamond"/>
                <w:sz w:val="24"/>
                <w:szCs w:val="24"/>
              </w:rPr>
              <w:t>Three year old applicant ASD. Whether listening/sound therapy/TLP reasonable and necessary? Whether child care for twin brother to allow mother to attend therapy with applicant reasonable and necessary?</w:t>
            </w:r>
          </w:p>
          <w:p w:rsidR="00920B5C" w:rsidRDefault="00920B5C" w:rsidP="00302825">
            <w:pPr>
              <w:rPr>
                <w:rFonts w:ascii="Garamond" w:hAnsi="Garamond"/>
                <w:sz w:val="24"/>
                <w:szCs w:val="24"/>
              </w:rPr>
            </w:pPr>
          </w:p>
          <w:p w:rsidR="00920B5C" w:rsidRPr="008D3617" w:rsidRDefault="00920B5C" w:rsidP="00302825">
            <w:pPr>
              <w:rPr>
                <w:rFonts w:ascii="Garamond" w:hAnsi="Garamond"/>
                <w:sz w:val="24"/>
                <w:szCs w:val="24"/>
              </w:rPr>
            </w:pPr>
            <w:r>
              <w:rPr>
                <w:rFonts w:ascii="Garamond" w:hAnsi="Garamond"/>
                <w:sz w:val="24"/>
                <w:szCs w:val="24"/>
              </w:rPr>
              <w:t xml:space="preserve">S 34 (1) (c); 34 (1)(d); s 34 (1) (e) </w:t>
            </w:r>
          </w:p>
        </w:tc>
        <w:tc>
          <w:tcPr>
            <w:tcW w:w="1701" w:type="dxa"/>
          </w:tcPr>
          <w:p w:rsidR="00BE0339" w:rsidRPr="008D3617" w:rsidRDefault="00920B5C" w:rsidP="00302825">
            <w:pPr>
              <w:rPr>
                <w:rFonts w:ascii="Garamond" w:hAnsi="Garamond"/>
                <w:sz w:val="24"/>
                <w:szCs w:val="24"/>
              </w:rPr>
            </w:pPr>
            <w:r>
              <w:rPr>
                <w:rFonts w:ascii="Garamond" w:hAnsi="Garamond"/>
                <w:sz w:val="24"/>
                <w:szCs w:val="24"/>
              </w:rPr>
              <w:t>NDIA</w:t>
            </w:r>
          </w:p>
        </w:tc>
        <w:tc>
          <w:tcPr>
            <w:tcW w:w="5529" w:type="dxa"/>
          </w:tcPr>
          <w:p w:rsidR="00BE0339" w:rsidRPr="008D3617" w:rsidRDefault="00920B5C" w:rsidP="00302825">
            <w:pPr>
              <w:rPr>
                <w:rFonts w:ascii="Garamond" w:hAnsi="Garamond"/>
                <w:sz w:val="24"/>
                <w:szCs w:val="24"/>
              </w:rPr>
            </w:pPr>
            <w:r>
              <w:rPr>
                <w:rFonts w:ascii="Garamond" w:hAnsi="Garamond"/>
                <w:sz w:val="24"/>
                <w:szCs w:val="24"/>
              </w:rPr>
              <w:t xml:space="preserve">Listening therapy/TLP not reasonable and necessary. Insufficient evidence to show effective and beneficial; good practice. Not value for money given not confident of benefits. S 34 (1) (c); s 34 (1)(d); Funding for care of twin brother nor reasonable and necessary. Reasonable for family to use current arrangements/make adjustments s 34 (1) (e). </w:t>
            </w:r>
          </w:p>
        </w:tc>
      </w:tr>
      <w:tr w:rsidR="00920B5C" w:rsidRPr="008D3617" w:rsidTr="00BE0339">
        <w:tc>
          <w:tcPr>
            <w:tcW w:w="1277" w:type="dxa"/>
          </w:tcPr>
          <w:p w:rsidR="00920B5C" w:rsidRDefault="00466060" w:rsidP="00302825">
            <w:pPr>
              <w:rPr>
                <w:rFonts w:ascii="Garamond" w:hAnsi="Garamond"/>
                <w:sz w:val="24"/>
                <w:szCs w:val="24"/>
              </w:rPr>
            </w:pPr>
            <w:r>
              <w:rPr>
                <w:rFonts w:ascii="Garamond" w:hAnsi="Garamond"/>
                <w:sz w:val="24"/>
                <w:szCs w:val="24"/>
              </w:rPr>
              <w:lastRenderedPageBreak/>
              <w:t>2014</w:t>
            </w:r>
          </w:p>
        </w:tc>
        <w:tc>
          <w:tcPr>
            <w:tcW w:w="2551" w:type="dxa"/>
          </w:tcPr>
          <w:p w:rsidR="00920B5C" w:rsidRPr="0072339F" w:rsidRDefault="00466060" w:rsidP="00302825">
            <w:pPr>
              <w:rPr>
                <w:rFonts w:ascii="Garamond" w:hAnsi="Garamond"/>
                <w:i/>
                <w:sz w:val="24"/>
                <w:szCs w:val="24"/>
              </w:rPr>
            </w:pPr>
            <w:r w:rsidRPr="00466060">
              <w:rPr>
                <w:rFonts w:ascii="Garamond" w:hAnsi="Garamond"/>
                <w:i/>
                <w:sz w:val="24"/>
                <w:szCs w:val="24"/>
              </w:rPr>
              <w:t xml:space="preserve">Young and National Disability Insurance Agency </w:t>
            </w:r>
            <w:r w:rsidRPr="00466060">
              <w:rPr>
                <w:rFonts w:ascii="Garamond" w:hAnsi="Garamond"/>
                <w:sz w:val="24"/>
                <w:szCs w:val="24"/>
              </w:rPr>
              <w:t>[2014] AATA 401 (20 June 2014)</w:t>
            </w:r>
          </w:p>
        </w:tc>
        <w:tc>
          <w:tcPr>
            <w:tcW w:w="1418" w:type="dxa"/>
          </w:tcPr>
          <w:p w:rsidR="00920B5C" w:rsidRDefault="00466060" w:rsidP="00302825">
            <w:pPr>
              <w:rPr>
                <w:rFonts w:ascii="Garamond" w:hAnsi="Garamond"/>
                <w:sz w:val="24"/>
                <w:szCs w:val="24"/>
              </w:rPr>
            </w:pPr>
            <w:r>
              <w:rPr>
                <w:rFonts w:ascii="Garamond" w:hAnsi="Garamond"/>
                <w:sz w:val="24"/>
                <w:szCs w:val="24"/>
              </w:rPr>
              <w:t>AAT</w:t>
            </w:r>
          </w:p>
        </w:tc>
        <w:tc>
          <w:tcPr>
            <w:tcW w:w="3685" w:type="dxa"/>
          </w:tcPr>
          <w:p w:rsidR="00920B5C" w:rsidRDefault="007765D4" w:rsidP="00302825">
            <w:pPr>
              <w:rPr>
                <w:rFonts w:ascii="Garamond" w:hAnsi="Garamond"/>
                <w:sz w:val="24"/>
                <w:szCs w:val="24"/>
              </w:rPr>
            </w:pPr>
            <w:r>
              <w:rPr>
                <w:rFonts w:ascii="Garamond" w:hAnsi="Garamond"/>
                <w:sz w:val="24"/>
                <w:szCs w:val="24"/>
              </w:rPr>
              <w:t xml:space="preserve">Applicant with type 1 diabetes and Emphysema. Oxygen and Insulin dependent. Is a portable insulin pump and portable oxygen concentrator reasonable and necessary? Is this equipment more appropriately provided by the state health system?  S 34 (1)(f) </w:t>
            </w:r>
          </w:p>
        </w:tc>
        <w:tc>
          <w:tcPr>
            <w:tcW w:w="1701" w:type="dxa"/>
          </w:tcPr>
          <w:p w:rsidR="00920B5C" w:rsidRDefault="007765D4" w:rsidP="00302825">
            <w:pPr>
              <w:rPr>
                <w:rFonts w:ascii="Garamond" w:hAnsi="Garamond"/>
                <w:sz w:val="24"/>
                <w:szCs w:val="24"/>
              </w:rPr>
            </w:pPr>
            <w:r>
              <w:rPr>
                <w:rFonts w:ascii="Garamond" w:hAnsi="Garamond"/>
                <w:sz w:val="24"/>
                <w:szCs w:val="24"/>
              </w:rPr>
              <w:t>NDIA</w:t>
            </w:r>
          </w:p>
        </w:tc>
        <w:tc>
          <w:tcPr>
            <w:tcW w:w="5529" w:type="dxa"/>
          </w:tcPr>
          <w:p w:rsidR="00920B5C" w:rsidRDefault="007765D4" w:rsidP="00302825">
            <w:pPr>
              <w:rPr>
                <w:rFonts w:ascii="Garamond" w:hAnsi="Garamond"/>
                <w:sz w:val="24"/>
                <w:szCs w:val="24"/>
              </w:rPr>
            </w:pPr>
            <w:r>
              <w:rPr>
                <w:rFonts w:ascii="Garamond" w:hAnsi="Garamond"/>
                <w:sz w:val="24"/>
                <w:szCs w:val="24"/>
              </w:rPr>
              <w:t>Insulin pump and oxygen concentrator not reasonable and necessary as primary purpose the treatment of health condition. S 34 (1)(f). Not satisfied he is unable to undertake activities of daily living or participate in community without them. Whether or not funding is provided by state health system is not part of the test for whether should be funded by NDIS.</w:t>
            </w:r>
          </w:p>
        </w:tc>
      </w:tr>
    </w:tbl>
    <w:p w:rsidR="00BE0339" w:rsidRDefault="00BE0339" w:rsidP="00FB2456">
      <w:pPr>
        <w:rPr>
          <w:rFonts w:ascii="Garamond" w:hAnsi="Garamond"/>
          <w:sz w:val="24"/>
          <w:szCs w:val="24"/>
        </w:rPr>
      </w:pPr>
    </w:p>
    <w:sectPr w:rsidR="00BE0339" w:rsidSect="000B4D41">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D14" w:rsidRDefault="00373D14" w:rsidP="005D0760">
      <w:pPr>
        <w:spacing w:after="0" w:line="240" w:lineRule="auto"/>
      </w:pPr>
      <w:r>
        <w:separator/>
      </w:r>
    </w:p>
  </w:endnote>
  <w:endnote w:type="continuationSeparator" w:id="0">
    <w:p w:rsidR="00373D14" w:rsidRDefault="00373D14" w:rsidP="005D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60" w:rsidRDefault="005D0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281733"/>
      <w:docPartObj>
        <w:docPartGallery w:val="Page Numbers (Bottom of Page)"/>
        <w:docPartUnique/>
      </w:docPartObj>
    </w:sdtPr>
    <w:sdtEndPr>
      <w:rPr>
        <w:noProof/>
      </w:rPr>
    </w:sdtEndPr>
    <w:sdtContent>
      <w:p w:rsidR="005D0760" w:rsidRDefault="005D0760">
        <w:pPr>
          <w:pStyle w:val="Footer"/>
          <w:jc w:val="center"/>
        </w:pPr>
        <w:r>
          <w:fldChar w:fldCharType="begin"/>
        </w:r>
        <w:r>
          <w:instrText xml:space="preserve"> PAGE   \* MERGEFORMAT </w:instrText>
        </w:r>
        <w:r>
          <w:fldChar w:fldCharType="separate"/>
        </w:r>
        <w:r w:rsidR="00DA01AE">
          <w:rPr>
            <w:noProof/>
          </w:rPr>
          <w:t>1</w:t>
        </w:r>
        <w:r>
          <w:rPr>
            <w:noProof/>
          </w:rPr>
          <w:fldChar w:fldCharType="end"/>
        </w:r>
      </w:p>
    </w:sdtContent>
  </w:sdt>
  <w:p w:rsidR="005D0760" w:rsidRDefault="005D07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60" w:rsidRDefault="005D0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D14" w:rsidRDefault="00373D14" w:rsidP="005D0760">
      <w:pPr>
        <w:spacing w:after="0" w:line="240" w:lineRule="auto"/>
      </w:pPr>
      <w:r>
        <w:separator/>
      </w:r>
    </w:p>
  </w:footnote>
  <w:footnote w:type="continuationSeparator" w:id="0">
    <w:p w:rsidR="00373D14" w:rsidRDefault="00373D14" w:rsidP="005D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60" w:rsidRDefault="005D0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60" w:rsidRDefault="005D07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60" w:rsidRDefault="005D0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A1304"/>
    <w:multiLevelType w:val="multilevel"/>
    <w:tmpl w:val="32B0F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5A751C"/>
    <w:multiLevelType w:val="multilevel"/>
    <w:tmpl w:val="32B0F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072BB6"/>
    <w:multiLevelType w:val="hybridMultilevel"/>
    <w:tmpl w:val="20D023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lvlOverride w:ilvl="0">
      <w:startOverride w:val="24"/>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339"/>
    <w:rsid w:val="0002059F"/>
    <w:rsid w:val="000F5F81"/>
    <w:rsid w:val="001145B5"/>
    <w:rsid w:val="00144ACB"/>
    <w:rsid w:val="00187A6B"/>
    <w:rsid w:val="001965B7"/>
    <w:rsid w:val="001D0CF7"/>
    <w:rsid w:val="00343AD7"/>
    <w:rsid w:val="00373D14"/>
    <w:rsid w:val="00466060"/>
    <w:rsid w:val="0047234A"/>
    <w:rsid w:val="004C0A72"/>
    <w:rsid w:val="004D4E70"/>
    <w:rsid w:val="005B1C01"/>
    <w:rsid w:val="005D0760"/>
    <w:rsid w:val="00603A5D"/>
    <w:rsid w:val="00715C26"/>
    <w:rsid w:val="0072339F"/>
    <w:rsid w:val="007765D4"/>
    <w:rsid w:val="00787499"/>
    <w:rsid w:val="00791C81"/>
    <w:rsid w:val="007B7E15"/>
    <w:rsid w:val="007C4EAD"/>
    <w:rsid w:val="007E6D9C"/>
    <w:rsid w:val="00803C8E"/>
    <w:rsid w:val="00813445"/>
    <w:rsid w:val="00920B5C"/>
    <w:rsid w:val="009A5515"/>
    <w:rsid w:val="009B2F72"/>
    <w:rsid w:val="00A84D1C"/>
    <w:rsid w:val="00A91307"/>
    <w:rsid w:val="00B81400"/>
    <w:rsid w:val="00BE0339"/>
    <w:rsid w:val="00BE3E32"/>
    <w:rsid w:val="00C42FD1"/>
    <w:rsid w:val="00CD2CD2"/>
    <w:rsid w:val="00D054AD"/>
    <w:rsid w:val="00DA01AE"/>
    <w:rsid w:val="00DB2B0B"/>
    <w:rsid w:val="00E50B43"/>
    <w:rsid w:val="00E622F7"/>
    <w:rsid w:val="00F33D71"/>
    <w:rsid w:val="00F80C6B"/>
    <w:rsid w:val="00FB24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5157E-029F-42EF-AEE2-DFC0748A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5515"/>
    <w:rPr>
      <w:color w:val="0000FF"/>
      <w:u w:val="single"/>
    </w:rPr>
  </w:style>
  <w:style w:type="character" w:customStyle="1" w:styleId="apple-converted-space">
    <w:name w:val="apple-converted-space"/>
    <w:basedOn w:val="DefaultParagraphFont"/>
    <w:rsid w:val="009A5515"/>
  </w:style>
  <w:style w:type="character" w:styleId="FollowedHyperlink">
    <w:name w:val="FollowedHyperlink"/>
    <w:basedOn w:val="DefaultParagraphFont"/>
    <w:uiPriority w:val="99"/>
    <w:semiHidden/>
    <w:unhideWhenUsed/>
    <w:rsid w:val="009A5515"/>
    <w:rPr>
      <w:color w:val="800080" w:themeColor="followedHyperlink"/>
      <w:u w:val="single"/>
    </w:rPr>
  </w:style>
  <w:style w:type="paragraph" w:styleId="ListParagraph">
    <w:name w:val="List Paragraph"/>
    <w:basedOn w:val="Normal"/>
    <w:uiPriority w:val="34"/>
    <w:qFormat/>
    <w:rsid w:val="009A5515"/>
    <w:pPr>
      <w:ind w:left="720"/>
      <w:contextualSpacing/>
    </w:pPr>
  </w:style>
  <w:style w:type="paragraph" w:styleId="Header">
    <w:name w:val="header"/>
    <w:basedOn w:val="Normal"/>
    <w:link w:val="HeaderChar"/>
    <w:uiPriority w:val="99"/>
    <w:unhideWhenUsed/>
    <w:rsid w:val="005D0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760"/>
  </w:style>
  <w:style w:type="paragraph" w:styleId="Footer">
    <w:name w:val="footer"/>
    <w:basedOn w:val="Normal"/>
    <w:link w:val="FooterChar"/>
    <w:uiPriority w:val="99"/>
    <w:unhideWhenUsed/>
    <w:rsid w:val="005D0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060671">
      <w:bodyDiv w:val="1"/>
      <w:marLeft w:val="0"/>
      <w:marRight w:val="0"/>
      <w:marTop w:val="0"/>
      <w:marBottom w:val="0"/>
      <w:divBdr>
        <w:top w:val="none" w:sz="0" w:space="0" w:color="auto"/>
        <w:left w:val="none" w:sz="0" w:space="0" w:color="auto"/>
        <w:bottom w:val="none" w:sz="0" w:space="0" w:color="auto"/>
        <w:right w:val="none" w:sz="0" w:space="0" w:color="auto"/>
      </w:divBdr>
    </w:div>
    <w:div w:id="926034874">
      <w:bodyDiv w:val="1"/>
      <w:marLeft w:val="0"/>
      <w:marRight w:val="0"/>
      <w:marTop w:val="0"/>
      <w:marBottom w:val="0"/>
      <w:divBdr>
        <w:top w:val="none" w:sz="0" w:space="0" w:color="auto"/>
        <w:left w:val="none" w:sz="0" w:space="0" w:color="auto"/>
        <w:bottom w:val="none" w:sz="0" w:space="0" w:color="auto"/>
        <w:right w:val="none" w:sz="0" w:space="0" w:color="auto"/>
      </w:divBdr>
    </w:div>
    <w:div w:id="959069047">
      <w:bodyDiv w:val="1"/>
      <w:marLeft w:val="0"/>
      <w:marRight w:val="0"/>
      <w:marTop w:val="0"/>
      <w:marBottom w:val="0"/>
      <w:divBdr>
        <w:top w:val="none" w:sz="0" w:space="0" w:color="auto"/>
        <w:left w:val="none" w:sz="0" w:space="0" w:color="auto"/>
        <w:bottom w:val="none" w:sz="0" w:space="0" w:color="auto"/>
        <w:right w:val="none" w:sz="0" w:space="0" w:color="auto"/>
      </w:divBdr>
    </w:div>
    <w:div w:id="1309676652">
      <w:bodyDiv w:val="1"/>
      <w:marLeft w:val="0"/>
      <w:marRight w:val="0"/>
      <w:marTop w:val="0"/>
      <w:marBottom w:val="0"/>
      <w:divBdr>
        <w:top w:val="none" w:sz="0" w:space="0" w:color="auto"/>
        <w:left w:val="none" w:sz="0" w:space="0" w:color="auto"/>
        <w:bottom w:val="none" w:sz="0" w:space="0" w:color="auto"/>
        <w:right w:val="none" w:sz="0" w:space="0" w:color="auto"/>
      </w:divBdr>
    </w:div>
    <w:div w:id="14583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6270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Submission PP315 - Attachment - Kylie Burns - National Disability Insurance Scheme (NDIS) Costs - Commissioned study</vt:lpstr>
    </vt:vector>
  </TitlesOfParts>
  <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PP315 - Attachment - Kylie Burns - National Disability Insurance Scheme (NDIS) Costs - Commissioned study</dc:title>
  <dc:creator>Kylie Burns</dc:creator>
  <cp:lastModifiedBy>Pimperl, Mark</cp:lastModifiedBy>
  <cp:revision>2</cp:revision>
  <dcterms:created xsi:type="dcterms:W3CDTF">2017-07-17T03:57:00Z</dcterms:created>
  <dcterms:modified xsi:type="dcterms:W3CDTF">2017-07-17T03:57:00Z</dcterms:modified>
</cp:coreProperties>
</file>