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A461A" w14:textId="2E25C565" w:rsidR="00D76BC6" w:rsidRPr="00B1483E" w:rsidRDefault="006B2E1B" w:rsidP="00B1483E">
      <w:pPr>
        <w:pStyle w:val="Heading1"/>
        <w:tabs>
          <w:tab w:val="num" w:pos="0"/>
        </w:tabs>
        <w:jc w:val="left"/>
        <w:rPr>
          <w:rFonts w:asciiTheme="majorHAnsi" w:hAnsiTheme="majorHAnsi"/>
          <w:b/>
          <w:color w:val="2E74B5" w:themeColor="accent1" w:themeShade="BF"/>
          <w:sz w:val="32"/>
          <w:szCs w:val="32"/>
        </w:rPr>
      </w:pPr>
      <w:bookmarkStart w:id="0" w:name="_GoBack"/>
      <w:bookmarkEnd w:id="0"/>
      <w:r>
        <w:rPr>
          <w:rFonts w:asciiTheme="majorHAnsi" w:hAnsiTheme="majorHAnsi"/>
          <w:b/>
          <w:color w:val="2E74B5" w:themeColor="accent1" w:themeShade="BF"/>
          <w:sz w:val="32"/>
          <w:szCs w:val="32"/>
        </w:rPr>
        <w:t>City of Sydney s</w:t>
      </w:r>
      <w:r w:rsidR="00B1483E" w:rsidRPr="00B1483E">
        <w:rPr>
          <w:rFonts w:asciiTheme="majorHAnsi" w:hAnsiTheme="majorHAnsi"/>
          <w:b/>
          <w:color w:val="2E74B5" w:themeColor="accent1" w:themeShade="BF"/>
          <w:sz w:val="32"/>
          <w:szCs w:val="32"/>
        </w:rPr>
        <w:t xml:space="preserve">ubmission to </w:t>
      </w:r>
      <w:r w:rsidR="002D0BB8">
        <w:rPr>
          <w:rFonts w:asciiTheme="majorHAnsi" w:hAnsiTheme="majorHAnsi"/>
          <w:b/>
          <w:color w:val="2E74B5" w:themeColor="accent1" w:themeShade="BF"/>
          <w:sz w:val="32"/>
          <w:szCs w:val="32"/>
        </w:rPr>
        <w:t xml:space="preserve">Australian Government </w:t>
      </w:r>
      <w:r w:rsidR="001F4390" w:rsidRPr="001F4390">
        <w:rPr>
          <w:rFonts w:asciiTheme="majorHAnsi" w:hAnsiTheme="majorHAnsi"/>
          <w:b/>
          <w:color w:val="2E74B5" w:themeColor="accent1" w:themeShade="BF"/>
          <w:sz w:val="32"/>
          <w:szCs w:val="32"/>
        </w:rPr>
        <w:t>Productivity Commission draft report on reforms to human services</w:t>
      </w:r>
      <w:r w:rsidR="00B1483E">
        <w:rPr>
          <w:rFonts w:asciiTheme="majorHAnsi" w:hAnsiTheme="majorHAnsi"/>
          <w:b/>
          <w:color w:val="2E74B5" w:themeColor="accent1" w:themeShade="BF"/>
          <w:sz w:val="32"/>
          <w:szCs w:val="32"/>
        </w:rPr>
        <w:t xml:space="preserve">, </w:t>
      </w:r>
      <w:r w:rsidR="001F4390">
        <w:rPr>
          <w:rFonts w:asciiTheme="majorHAnsi" w:hAnsiTheme="majorHAnsi"/>
          <w:b/>
          <w:color w:val="2E74B5" w:themeColor="accent1" w:themeShade="BF"/>
          <w:sz w:val="32"/>
          <w:szCs w:val="32"/>
        </w:rPr>
        <w:t>June</w:t>
      </w:r>
      <w:r w:rsidR="00B1483E" w:rsidRPr="00B1483E">
        <w:rPr>
          <w:rFonts w:asciiTheme="majorHAnsi" w:hAnsiTheme="majorHAnsi"/>
          <w:b/>
          <w:color w:val="2E74B5" w:themeColor="accent1" w:themeShade="BF"/>
          <w:sz w:val="32"/>
          <w:szCs w:val="32"/>
        </w:rPr>
        <w:t xml:space="preserve"> 201</w:t>
      </w:r>
      <w:r w:rsidR="001F4390">
        <w:rPr>
          <w:rFonts w:asciiTheme="majorHAnsi" w:hAnsiTheme="majorHAnsi"/>
          <w:b/>
          <w:color w:val="2E74B5" w:themeColor="accent1" w:themeShade="BF"/>
          <w:sz w:val="32"/>
          <w:szCs w:val="32"/>
        </w:rPr>
        <w:t>7</w:t>
      </w:r>
    </w:p>
    <w:p w14:paraId="5B3FFA42" w14:textId="77777777" w:rsidR="00E77794" w:rsidRDefault="006C0785" w:rsidP="001A0BB1">
      <w:pPr>
        <w:pStyle w:val="Heading2"/>
        <w:spacing w:before="240" w:after="120"/>
        <w:jc w:val="left"/>
        <w:rPr>
          <w:rFonts w:asciiTheme="majorHAnsi" w:eastAsiaTheme="minorHAnsi" w:hAnsiTheme="majorHAnsi"/>
          <w:b/>
          <w:bCs w:val="0"/>
          <w:iCs w:val="0"/>
          <w:color w:val="5B9BD5" w:themeColor="accent1"/>
          <w:sz w:val="28"/>
          <w:szCs w:val="28"/>
        </w:rPr>
      </w:pPr>
      <w:r>
        <w:rPr>
          <w:rFonts w:asciiTheme="majorHAnsi" w:eastAsiaTheme="minorHAnsi" w:hAnsiTheme="majorHAnsi"/>
          <w:b/>
          <w:bCs w:val="0"/>
          <w:iCs w:val="0"/>
          <w:color w:val="5B9BD5" w:themeColor="accent1"/>
          <w:sz w:val="28"/>
          <w:szCs w:val="28"/>
        </w:rPr>
        <w:t>Introduction</w:t>
      </w:r>
      <w:r w:rsidR="00E77794">
        <w:rPr>
          <w:rFonts w:asciiTheme="majorHAnsi" w:eastAsiaTheme="minorHAnsi" w:hAnsiTheme="majorHAnsi"/>
          <w:b/>
          <w:bCs w:val="0"/>
          <w:iCs w:val="0"/>
          <w:color w:val="5B9BD5" w:themeColor="accent1"/>
          <w:sz w:val="28"/>
          <w:szCs w:val="28"/>
        </w:rPr>
        <w:t xml:space="preserve"> </w:t>
      </w:r>
    </w:p>
    <w:p w14:paraId="40709343" w14:textId="562D05D9" w:rsidR="004A7B50" w:rsidRDefault="005837A3" w:rsidP="001A0BB1">
      <w:pPr>
        <w:spacing w:after="120"/>
      </w:pPr>
      <w:r>
        <w:t xml:space="preserve">The City welcomes the opportunity to comment on </w:t>
      </w:r>
      <w:r w:rsidR="001F4390">
        <w:t xml:space="preserve">the </w:t>
      </w:r>
      <w:r w:rsidR="001E197F">
        <w:t xml:space="preserve">Australian Government </w:t>
      </w:r>
      <w:r w:rsidR="001F4390" w:rsidRPr="001F4390">
        <w:t>Productivity Commission</w:t>
      </w:r>
      <w:r w:rsidR="001F4390">
        <w:t>’s</w:t>
      </w:r>
      <w:r w:rsidR="001F4390" w:rsidRPr="001F4390">
        <w:t xml:space="preserve"> draft report</w:t>
      </w:r>
      <w:r w:rsidR="001F4390">
        <w:t xml:space="preserve">, </w:t>
      </w:r>
      <w:r w:rsidR="001F4390" w:rsidRPr="004A39C9">
        <w:rPr>
          <w:i/>
        </w:rPr>
        <w:t>Introducing Competition and Informed User Choice into Human Services: Reforms to Human Services</w:t>
      </w:r>
      <w:r w:rsidR="00A5002F">
        <w:rPr>
          <w:i/>
        </w:rPr>
        <w:t>.</w:t>
      </w:r>
      <w:r w:rsidR="00A5002F">
        <w:t xml:space="preserve"> </w:t>
      </w:r>
    </w:p>
    <w:p w14:paraId="10B6406A" w14:textId="77777777" w:rsidR="00031C82" w:rsidRDefault="00A5002F" w:rsidP="001A0BB1">
      <w:pPr>
        <w:spacing w:after="120"/>
      </w:pPr>
      <w:r>
        <w:t xml:space="preserve">This submission </w:t>
      </w:r>
      <w:r w:rsidR="004A7B50">
        <w:t>focuses on recommendations to increase u</w:t>
      </w:r>
      <w:r w:rsidR="004A7B50" w:rsidRPr="00421415">
        <w:t>ser choice and contestability in social housing</w:t>
      </w:r>
      <w:r w:rsidR="004A7B50">
        <w:t xml:space="preserve">. </w:t>
      </w:r>
      <w:r w:rsidR="00EC22B6">
        <w:t>Social housing i</w:t>
      </w:r>
      <w:r w:rsidR="001F4390">
        <w:t xml:space="preserve">s </w:t>
      </w:r>
      <w:r w:rsidR="00EC22B6">
        <w:t>an</w:t>
      </w:r>
      <w:r w:rsidR="001F4390">
        <w:t xml:space="preserve"> area of direct concern to the City of Sydney</w:t>
      </w:r>
      <w:r w:rsidR="00EC22B6">
        <w:t xml:space="preserve"> as a local government authority</w:t>
      </w:r>
      <w:r w:rsidR="001F4390">
        <w:t xml:space="preserve">. </w:t>
      </w:r>
      <w:r w:rsidR="00EC22B6">
        <w:t xml:space="preserve">Housing </w:t>
      </w:r>
      <w:r w:rsidR="00031C82">
        <w:t xml:space="preserve">diversity </w:t>
      </w:r>
      <w:r w:rsidR="00EC22B6">
        <w:t>is critical to Sydney’s global competitiveness and liveability</w:t>
      </w:r>
      <w:r w:rsidR="00031C82">
        <w:t xml:space="preserve"> and its social and economic sustainability</w:t>
      </w:r>
      <w:r w:rsidR="00EC22B6">
        <w:t xml:space="preserve">. </w:t>
      </w:r>
    </w:p>
    <w:p w14:paraId="02160AE3" w14:textId="256A694A" w:rsidR="00031C82" w:rsidRDefault="00BA7AAC" w:rsidP="001A0BB1">
      <w:pPr>
        <w:spacing w:after="120"/>
      </w:pPr>
      <w:r>
        <w:t>A</w:t>
      </w:r>
      <w:r w:rsidR="00EC22B6">
        <w:t xml:space="preserve">ffordable, appropriate and safe housing </w:t>
      </w:r>
      <w:r w:rsidR="00031C82">
        <w:t xml:space="preserve">for all </w:t>
      </w:r>
      <w:r w:rsidR="00EC22B6">
        <w:t>is a fundamental human right</w:t>
      </w:r>
      <w:r w:rsidR="00031C82">
        <w:t xml:space="preserve"> and a fundamental responsibility of government</w:t>
      </w:r>
      <w:r w:rsidR="00EC22B6">
        <w:t>.</w:t>
      </w:r>
      <w:r w:rsidR="001E197F">
        <w:t xml:space="preserve"> </w:t>
      </w:r>
      <w:r w:rsidR="00EC22B6">
        <w:t xml:space="preserve">The City recognises the myriad challenges with NSW and Australia’s social housing systems. </w:t>
      </w:r>
      <w:r w:rsidR="00031C82">
        <w:t xml:space="preserve"> </w:t>
      </w:r>
      <w:r>
        <w:t xml:space="preserve">The solution that is urgently needed is </w:t>
      </w:r>
      <w:r w:rsidR="00031C82">
        <w:t xml:space="preserve">greater investment </w:t>
      </w:r>
      <w:r>
        <w:t xml:space="preserve">by Commonwealth and state governments </w:t>
      </w:r>
      <w:r w:rsidR="00031C82">
        <w:t xml:space="preserve">in these systems </w:t>
      </w:r>
      <w:r>
        <w:t xml:space="preserve">sufficient to provide </w:t>
      </w:r>
      <w:r w:rsidR="00031C82">
        <w:t>an increased supply of social housing stock</w:t>
      </w:r>
      <w:r>
        <w:t xml:space="preserve"> and a recognition that this constitutes essential urban infrastructure</w:t>
      </w:r>
      <w:r w:rsidR="00031C82">
        <w:t>.  In the City’s view, this asset-building approach is the most sustainable approach to continuing to deliver safe and secure housing for people in our society who are disadvantaged</w:t>
      </w:r>
      <w:r>
        <w:t xml:space="preserve"> –</w:t>
      </w:r>
      <w:r w:rsidR="00031C82">
        <w:t xml:space="preserve"> for the long term.</w:t>
      </w:r>
      <w:r w:rsidR="00C75073">
        <w:t xml:space="preserve"> </w:t>
      </w:r>
    </w:p>
    <w:p w14:paraId="2B6EAB82" w14:textId="218C30C3" w:rsidR="00BA7AAC" w:rsidRDefault="00031C82" w:rsidP="001A0BB1">
      <w:pPr>
        <w:spacing w:after="120"/>
      </w:pPr>
      <w:r>
        <w:t>In this context,</w:t>
      </w:r>
      <w:r w:rsidR="00EC22B6">
        <w:t xml:space="preserve"> </w:t>
      </w:r>
      <w:r>
        <w:t xml:space="preserve">increasing </w:t>
      </w:r>
      <w:r w:rsidR="001B0462">
        <w:t>Commonwealth Rental Assistance Scheme (</w:t>
      </w:r>
      <w:r>
        <w:t>CRA</w:t>
      </w:r>
      <w:r w:rsidR="001B0462">
        <w:t>)</w:t>
      </w:r>
      <w:r>
        <w:t xml:space="preserve"> without increasing the supply of social housing properties is not a sustainable solution, particularly given the unaffordability of market rents and the large rental gap that needs to be subsidised to enable people to live in the private market.</w:t>
      </w:r>
      <w:r w:rsidR="002344E6">
        <w:t xml:space="preserve"> </w:t>
      </w:r>
    </w:p>
    <w:p w14:paraId="7FBBF61E" w14:textId="40209ABD" w:rsidR="00031C82" w:rsidRDefault="002344E6" w:rsidP="001A0BB1">
      <w:pPr>
        <w:spacing w:after="120"/>
      </w:pPr>
      <w:r>
        <w:t xml:space="preserve">In the Sydney metropolitan area and surrounds, less than 1 per cent of </w:t>
      </w:r>
      <w:r w:rsidR="00F72A55">
        <w:t xml:space="preserve">properties available to rent in </w:t>
      </w:r>
      <w:r>
        <w:t>the private market are affordable to those on the lowest incomes</w:t>
      </w:r>
      <w:r w:rsidR="00BA7AAC">
        <w:t>.</w:t>
      </w:r>
      <w:r w:rsidR="00BA7AAC">
        <w:rPr>
          <w:rStyle w:val="FootnoteReference"/>
        </w:rPr>
        <w:footnoteReference w:id="1"/>
      </w:r>
      <w:r w:rsidR="00BA7AAC">
        <w:t xml:space="preserve"> It will take far more than a 15 per cent increase in CRA to address this dire market failure.</w:t>
      </w:r>
      <w:r w:rsidR="00031C82">
        <w:t xml:space="preserve">  </w:t>
      </w:r>
      <w:r w:rsidR="00BA7AAC">
        <w:t xml:space="preserve">The only sustainable solution to this issue to increase social housing supply – ie the development of new assets.  Short term subsidies for market rents is not a viable or sustainable </w:t>
      </w:r>
      <w:r w:rsidR="00031C82">
        <w:t>solution</w:t>
      </w:r>
      <w:r w:rsidR="00BA7AAC">
        <w:t xml:space="preserve"> in the short or long term and it does not deliver </w:t>
      </w:r>
      <w:r w:rsidR="00031C82">
        <w:t>‘choice.’</w:t>
      </w:r>
    </w:p>
    <w:p w14:paraId="3AF8CBF1" w14:textId="6998EEF9" w:rsidR="00051A3B" w:rsidRDefault="00031C82" w:rsidP="001A0BB1">
      <w:pPr>
        <w:spacing w:after="120"/>
      </w:pPr>
      <w:r>
        <w:t xml:space="preserve">The City fundamentally opposes </w:t>
      </w:r>
      <w:r w:rsidR="00EC22B6">
        <w:t xml:space="preserve">the proposal to abolish income-based rents and charge market rents for social housing. The high </w:t>
      </w:r>
      <w:r w:rsidR="00051A3B">
        <w:t>cost</w:t>
      </w:r>
      <w:r w:rsidR="00EC22B6">
        <w:t xml:space="preserve"> of housing </w:t>
      </w:r>
      <w:r w:rsidR="00051A3B">
        <w:t>in Sydney</w:t>
      </w:r>
      <w:r w:rsidR="00A86486">
        <w:t>, even with the proposed 15 per cent</w:t>
      </w:r>
      <w:r w:rsidR="008B4E7A">
        <w:t xml:space="preserve"> increase to the CRA, </w:t>
      </w:r>
      <w:r w:rsidR="00051A3B">
        <w:t>puts market rental well beyond the means of people receiving Commo</w:t>
      </w:r>
      <w:r w:rsidR="008B4E7A">
        <w:t xml:space="preserve">nwealth income support payments </w:t>
      </w:r>
      <w:r w:rsidR="00A86486">
        <w:t>–</w:t>
      </w:r>
      <w:r w:rsidR="008B4E7A">
        <w:t xml:space="preserve"> along with many low-to-middle income earners.</w:t>
      </w:r>
      <w:r>
        <w:t xml:space="preserve"> It will effectively e</w:t>
      </w:r>
      <w:r w:rsidR="00D52326">
        <w:t xml:space="preserve">xclude </w:t>
      </w:r>
      <w:r>
        <w:t>social housing tenants from the inner city</w:t>
      </w:r>
      <w:r w:rsidR="00A86486">
        <w:t>,</w:t>
      </w:r>
      <w:r>
        <w:t xml:space="preserve"> removing rather than providing ‘choice.’</w:t>
      </w:r>
    </w:p>
    <w:p w14:paraId="77D94008" w14:textId="77777777" w:rsidR="00F72A55" w:rsidRDefault="00051A3B" w:rsidP="00F72A55">
      <w:pPr>
        <w:spacing w:after="240"/>
      </w:pPr>
      <w:r>
        <w:t xml:space="preserve">We recommend </w:t>
      </w:r>
      <w:r w:rsidR="00031C82">
        <w:t xml:space="preserve">that </w:t>
      </w:r>
      <w:r>
        <w:t>State and Commonwealth Governments develop comprehensive housing policies</w:t>
      </w:r>
      <w:r w:rsidR="008B4E7A">
        <w:t xml:space="preserve"> backed by funding and coordination with partners to increase housing supply and diversity across the continuum.</w:t>
      </w:r>
      <w:r>
        <w:t xml:space="preserve"> </w:t>
      </w:r>
      <w:r w:rsidR="00A5002F">
        <w:t>Specifically, we urgently recommend g</w:t>
      </w:r>
      <w:r w:rsidR="00A5002F" w:rsidRPr="00A5002F">
        <w:t>overnment</w:t>
      </w:r>
      <w:r w:rsidR="00A5002F">
        <w:t>s</w:t>
      </w:r>
      <w:r w:rsidR="00A5002F" w:rsidRPr="00A5002F">
        <w:t xml:space="preserve"> to commit to a five-year plan with numerical targets to increase the supply </w:t>
      </w:r>
      <w:r w:rsidR="00A5002F">
        <w:t>of social and affordable housing as a more equitable and effective way to increase consumer choice</w:t>
      </w:r>
      <w:r w:rsidR="00D52326">
        <w:t>.  Increasing the supply of affordable rental housing provides an essential ‘rung on the ladder’ towards private market housing, creating pathways for people to exit fully-subsidised social housing. It should be noted that many people with high and complex needs will require ongoing support and might never be able to exit the social housing system.</w:t>
      </w:r>
      <w:r w:rsidR="00CF52A3">
        <w:t xml:space="preserve"> </w:t>
      </w:r>
    </w:p>
    <w:p w14:paraId="029C9B45" w14:textId="25A2F68D" w:rsidR="004A7B50" w:rsidRDefault="00A004A4" w:rsidP="00F72A55">
      <w:pPr>
        <w:spacing w:after="120"/>
      </w:pPr>
      <w:r>
        <w:lastRenderedPageBreak/>
        <w:t>The remainder of this</w:t>
      </w:r>
      <w:r w:rsidR="004A7B50">
        <w:t xml:space="preserve"> submission is structured </w:t>
      </w:r>
      <w:r>
        <w:t>as follows</w:t>
      </w:r>
      <w:r w:rsidR="004A7B50">
        <w:t>:</w:t>
      </w:r>
      <w:r w:rsidR="00F72A55">
        <w:tab/>
      </w:r>
      <w:r w:rsidR="00F72A55">
        <w:tab/>
      </w:r>
      <w:r w:rsidR="00F72A55">
        <w:tab/>
      </w:r>
    </w:p>
    <w:p w14:paraId="4CFD4AA2" w14:textId="2F094489" w:rsidR="00EB587A" w:rsidRDefault="00EB587A" w:rsidP="00EB587A">
      <w:pPr>
        <w:pStyle w:val="ListParagraph"/>
        <w:numPr>
          <w:ilvl w:val="0"/>
          <w:numId w:val="23"/>
        </w:numPr>
        <w:spacing w:after="120"/>
      </w:pPr>
      <w:r w:rsidRPr="00A5002F">
        <w:t>City of Sydney context</w:t>
      </w:r>
      <w:r w:rsidR="00A004A4">
        <w:tab/>
      </w:r>
      <w:r w:rsidR="00A004A4">
        <w:tab/>
      </w:r>
      <w:r w:rsidR="00A004A4">
        <w:tab/>
      </w:r>
      <w:r w:rsidR="00A004A4">
        <w:tab/>
        <w:t>p2</w:t>
      </w:r>
    </w:p>
    <w:p w14:paraId="2C24F4E8" w14:textId="408F68C7" w:rsidR="00EB587A" w:rsidRDefault="00EB587A" w:rsidP="00EB587A">
      <w:pPr>
        <w:pStyle w:val="ListParagraph"/>
        <w:numPr>
          <w:ilvl w:val="0"/>
          <w:numId w:val="23"/>
        </w:numPr>
        <w:spacing w:after="120"/>
      </w:pPr>
      <w:r w:rsidRPr="00A5002F">
        <w:t>Definitions of social and affordable housing</w:t>
      </w:r>
      <w:r w:rsidR="00A004A4">
        <w:tab/>
        <w:t>p3</w:t>
      </w:r>
    </w:p>
    <w:p w14:paraId="20D440C6" w14:textId="1EA2954A" w:rsidR="00EB587A" w:rsidRDefault="00EB587A" w:rsidP="00EB587A">
      <w:pPr>
        <w:pStyle w:val="ListParagraph"/>
        <w:numPr>
          <w:ilvl w:val="0"/>
          <w:numId w:val="23"/>
        </w:numPr>
        <w:spacing w:after="120"/>
      </w:pPr>
      <w:r>
        <w:t>Guiding principles</w:t>
      </w:r>
      <w:r w:rsidR="00A004A4">
        <w:tab/>
      </w:r>
      <w:r w:rsidR="00A004A4">
        <w:tab/>
      </w:r>
      <w:r w:rsidR="00A004A4">
        <w:tab/>
      </w:r>
      <w:r w:rsidR="00A004A4">
        <w:tab/>
        <w:t>p3</w:t>
      </w:r>
    </w:p>
    <w:p w14:paraId="09C5B344" w14:textId="164C89F9" w:rsidR="004A7B50" w:rsidRDefault="00D52326" w:rsidP="004A7B50">
      <w:pPr>
        <w:pStyle w:val="ListParagraph"/>
        <w:numPr>
          <w:ilvl w:val="0"/>
          <w:numId w:val="23"/>
        </w:numPr>
        <w:spacing w:after="120"/>
      </w:pPr>
      <w:r>
        <w:t>Response to draft r</w:t>
      </w:r>
      <w:r w:rsidR="004A7B50">
        <w:t>ecommendations 5.1 to 5.4</w:t>
      </w:r>
      <w:r w:rsidR="00A004A4">
        <w:tab/>
        <w:t>p</w:t>
      </w:r>
      <w:r w:rsidR="00CF52A3">
        <w:t>5</w:t>
      </w:r>
    </w:p>
    <w:p w14:paraId="007AE830" w14:textId="6B7377AF" w:rsidR="004A7B50" w:rsidRPr="00A5002F" w:rsidRDefault="004A7B50" w:rsidP="004A7B50">
      <w:pPr>
        <w:pStyle w:val="ListParagraph"/>
        <w:numPr>
          <w:ilvl w:val="0"/>
          <w:numId w:val="23"/>
        </w:numPr>
        <w:spacing w:after="120"/>
      </w:pPr>
      <w:r>
        <w:t>Conclu</w:t>
      </w:r>
      <w:r w:rsidR="00CF52A3">
        <w:t>ding comments</w:t>
      </w:r>
      <w:r w:rsidR="00A004A4">
        <w:tab/>
      </w:r>
      <w:r w:rsidR="00A004A4">
        <w:tab/>
      </w:r>
      <w:r w:rsidR="00A004A4">
        <w:tab/>
      </w:r>
      <w:r w:rsidR="00A004A4">
        <w:tab/>
        <w:t>p</w:t>
      </w:r>
      <w:r w:rsidR="00F72A55">
        <w:t>9</w:t>
      </w:r>
    </w:p>
    <w:p w14:paraId="062A1A8F" w14:textId="2CC09536" w:rsidR="00C27AF5" w:rsidRDefault="00C27AF5" w:rsidP="00C27AF5">
      <w:pPr>
        <w:pStyle w:val="Heading2"/>
        <w:spacing w:before="240" w:after="120"/>
        <w:jc w:val="left"/>
        <w:rPr>
          <w:rFonts w:asciiTheme="majorHAnsi" w:eastAsiaTheme="minorHAnsi" w:hAnsiTheme="majorHAnsi"/>
          <w:b/>
          <w:bCs w:val="0"/>
          <w:iCs w:val="0"/>
          <w:color w:val="5B9BD5" w:themeColor="accent1"/>
          <w:sz w:val="28"/>
          <w:szCs w:val="28"/>
        </w:rPr>
      </w:pPr>
      <w:r>
        <w:rPr>
          <w:rFonts w:asciiTheme="majorHAnsi" w:eastAsiaTheme="minorHAnsi" w:hAnsiTheme="majorHAnsi"/>
          <w:b/>
          <w:bCs w:val="0"/>
          <w:iCs w:val="0"/>
          <w:color w:val="5B9BD5" w:themeColor="accent1"/>
          <w:sz w:val="28"/>
          <w:szCs w:val="28"/>
        </w:rPr>
        <w:t>City of Sydney context</w:t>
      </w:r>
    </w:p>
    <w:p w14:paraId="18499E5E" w14:textId="77777777" w:rsidR="00C27AF5" w:rsidRPr="00DB5B9E" w:rsidRDefault="00C27AF5" w:rsidP="00C27AF5">
      <w:pPr>
        <w:spacing w:after="120"/>
      </w:pPr>
      <w:r w:rsidRPr="00DB5B9E">
        <w:t>The City of Sydney Council is the authority for the City of Sydney Loc</w:t>
      </w:r>
      <w:r>
        <w:t>al Government Area (LGA), NSW (‘the City’</w:t>
      </w:r>
      <w:r w:rsidRPr="00DB5B9E">
        <w:t>). The City comprises central Sydney (Sydney CBD), The Rocks, Millers Point, Ultimo, Pyrmont, Surry Hills, Woolloomooloo, Kings Cross, Elizabeth Bay, Rushcutters Bay, Darlinghurst, Chippendale, Darlington, Camperdown, Forest Lodge, Glebe, Alexandria, Beaconsfield, Centennial Park, Erskineville, Newtown, Redfern, Rosebery, Waterloo and Zetland. </w:t>
      </w:r>
    </w:p>
    <w:p w14:paraId="5B4D46E2" w14:textId="77777777" w:rsidR="00C27AF5" w:rsidRPr="00DB5B9E" w:rsidRDefault="00C27AF5" w:rsidP="00C27AF5">
      <w:pPr>
        <w:spacing w:after="120"/>
      </w:pPr>
      <w:r w:rsidRPr="00983762">
        <w:t>As of June 2016, there are estimated to be a total of 105,860 dwellings in the City (not including boarding house accommodation, student accommodation or aged care services).</w:t>
      </w:r>
      <w:r w:rsidRPr="00983762">
        <w:rPr>
          <w:rStyle w:val="FootnoteReference"/>
          <w:rFonts w:ascii="Arial" w:hAnsi="Arial" w:cs="Arial"/>
          <w:sz w:val="20"/>
          <w:szCs w:val="20"/>
        </w:rPr>
        <w:footnoteReference w:id="2"/>
      </w:r>
      <w:r w:rsidRPr="00983762">
        <w:t xml:space="preserve"> This includes an estimated 9,716 social (including public) housing dwellings and 845</w:t>
      </w:r>
      <w:r w:rsidRPr="00983762">
        <w:rPr>
          <w:rStyle w:val="FootnoteReference"/>
          <w:rFonts w:ascii="Arial" w:hAnsi="Arial" w:cs="Arial"/>
          <w:sz w:val="20"/>
          <w:szCs w:val="20"/>
        </w:rPr>
        <w:footnoteReference w:id="3"/>
      </w:r>
      <w:r w:rsidRPr="00983762">
        <w:t xml:space="preserve"> affordable rental housing dwellings. Social housing dwellings are generally concentrated in precincts located in Surry Hills, Redfern, Waterloo, Woolloomooloo and Glebe.</w:t>
      </w:r>
      <w:r w:rsidRPr="00DB5B9E">
        <w:t xml:space="preserve">  </w:t>
      </w:r>
    </w:p>
    <w:p w14:paraId="3EA538A8" w14:textId="77777777" w:rsidR="00C27AF5" w:rsidRPr="00DB5B9E" w:rsidRDefault="00C27AF5" w:rsidP="00C27AF5">
      <w:pPr>
        <w:spacing w:after="120"/>
      </w:pPr>
      <w:r w:rsidRPr="00DB5B9E">
        <w:t xml:space="preserve">More than </w:t>
      </w:r>
      <w:r>
        <w:t>205</w:t>
      </w:r>
      <w:r w:rsidRPr="00DB5B9E">
        <w:t>,000 people live within the City’s boundaries, which cover 26.15sq.km, sharing the space with about 22,000 businesses.  The median age of City residents is 32.  The median</w:t>
      </w:r>
      <w:r>
        <w:t xml:space="preserve"> weekly</w:t>
      </w:r>
      <w:r w:rsidRPr="00DB5B9E">
        <w:t xml:space="preserve"> household income of City residents is $1,639.</w:t>
      </w:r>
    </w:p>
    <w:p w14:paraId="637B47F1" w14:textId="66BF9C53" w:rsidR="00C27AF5" w:rsidRPr="00DB5B9E" w:rsidRDefault="00C27AF5" w:rsidP="00C27AF5">
      <w:pPr>
        <w:spacing w:after="120"/>
        <w:rPr>
          <w:lang w:eastAsia="en-AU"/>
        </w:rPr>
      </w:pPr>
      <w:r w:rsidRPr="00DB5B9E">
        <w:t xml:space="preserve">The City’s population is forecast to reach approximately </w:t>
      </w:r>
      <w:r>
        <w:t>300</w:t>
      </w:r>
      <w:r w:rsidRPr="00DB5B9E">
        <w:t xml:space="preserve">,000 by 2031 – </w:t>
      </w:r>
      <w:r w:rsidR="00031C82">
        <w:t xml:space="preserve">a 50 per cent increase on its </w:t>
      </w:r>
      <w:r w:rsidR="00D52326">
        <w:t>201</w:t>
      </w:r>
      <w:r w:rsidRPr="00DB5B9E">
        <w:t>1 population</w:t>
      </w:r>
      <w:r>
        <w:t>.</w:t>
      </w:r>
      <w:r w:rsidRPr="00DB5B9E">
        <w:t xml:space="preserve"> Notably, existing </w:t>
      </w:r>
      <w:r>
        <w:t xml:space="preserve">development </w:t>
      </w:r>
      <w:r w:rsidRPr="00DB5B9E">
        <w:t>approvals indicate that much of the residential population growth is expected to occur within the next seven years.</w:t>
      </w:r>
      <w:r w:rsidRPr="00DB5B9E">
        <w:rPr>
          <w:lang w:eastAsia="en-AU"/>
        </w:rPr>
        <w:t xml:space="preserve"> </w:t>
      </w:r>
    </w:p>
    <w:p w14:paraId="0B83CA43" w14:textId="1A0A6136" w:rsidR="00C27AF5" w:rsidRDefault="00C27AF5" w:rsidP="00C27AF5">
      <w:pPr>
        <w:spacing w:after="120"/>
      </w:pPr>
      <w:r w:rsidRPr="00DB5B9E">
        <w:rPr>
          <w:lang w:eastAsia="en-AU"/>
        </w:rPr>
        <w:t>The City is currently one of the highest ranked local government areas in terms of absolute numbers of social housing tenants.  According to the 2011 ABS Census data, more than half of the City’s resident households are in rental dwellings, and by the City’s estimation, approximately 10</w:t>
      </w:r>
      <w:r w:rsidR="00F72A55">
        <w:rPr>
          <w:lang w:eastAsia="en-AU"/>
        </w:rPr>
        <w:t xml:space="preserve"> per cent</w:t>
      </w:r>
      <w:r w:rsidRPr="00DB5B9E">
        <w:rPr>
          <w:lang w:eastAsia="en-AU"/>
        </w:rPr>
        <w:t xml:space="preserve"> of these are social housing properties.</w:t>
      </w:r>
      <w:r w:rsidRPr="00DB5B9E">
        <w:rPr>
          <w:rStyle w:val="FootnoteReference"/>
          <w:rFonts w:ascii="Arial" w:hAnsi="Arial" w:cs="Arial"/>
          <w:sz w:val="20"/>
          <w:szCs w:val="20"/>
          <w:lang w:eastAsia="en-AU"/>
        </w:rPr>
        <w:footnoteReference w:id="4"/>
      </w:r>
      <w:r w:rsidRPr="00DB5B9E">
        <w:rPr>
          <w:lang w:eastAsia="en-AU"/>
        </w:rPr>
        <w:t xml:space="preserve">  This is equivalent to nearly </w:t>
      </w:r>
      <w:r w:rsidRPr="00DB5B9E">
        <w:t xml:space="preserve">9,900 social housing tenancies.  </w:t>
      </w:r>
    </w:p>
    <w:p w14:paraId="7331AB75" w14:textId="016B8DEE" w:rsidR="00C75073" w:rsidRDefault="00C27AF5" w:rsidP="00C27AF5">
      <w:pPr>
        <w:spacing w:after="120"/>
      </w:pPr>
      <w:r>
        <w:t>In terms of the housing market, between 2005 and 2015</w:t>
      </w:r>
      <w:r w:rsidRPr="00D51B46">
        <w:t xml:space="preserve">, </w:t>
      </w:r>
      <w:r w:rsidR="00C75073">
        <w:t>median rents for a two-bedroom unit increased by 70 per cent – nine times faster than average earnings. The majority (84 per cent) of lower income households in the city are in housing stress.</w:t>
      </w:r>
      <w:r w:rsidR="00C75073">
        <w:rPr>
          <w:rStyle w:val="FootnoteReference"/>
        </w:rPr>
        <w:footnoteReference w:id="5"/>
      </w:r>
    </w:p>
    <w:p w14:paraId="34EBC547" w14:textId="77777777" w:rsidR="00A004A4" w:rsidRDefault="00A004A4">
      <w:pPr>
        <w:rPr>
          <w:rFonts w:asciiTheme="majorHAnsi" w:hAnsiTheme="majorHAnsi" w:cs="Arial"/>
          <w:b/>
          <w:color w:val="5B9BD5" w:themeColor="accent1"/>
          <w:sz w:val="28"/>
          <w:szCs w:val="28"/>
        </w:rPr>
      </w:pPr>
      <w:bookmarkStart w:id="1" w:name="_Toc411865518"/>
      <w:r>
        <w:rPr>
          <w:rFonts w:asciiTheme="majorHAnsi" w:hAnsiTheme="majorHAnsi"/>
          <w:b/>
          <w:bCs/>
          <w:iCs/>
          <w:color w:val="5B9BD5" w:themeColor="accent1"/>
          <w:sz w:val="28"/>
          <w:szCs w:val="28"/>
        </w:rPr>
        <w:br w:type="page"/>
      </w:r>
    </w:p>
    <w:p w14:paraId="5E496FE8" w14:textId="2A846A39" w:rsidR="00C27AF5" w:rsidRPr="00B1483E" w:rsidRDefault="00C27AF5" w:rsidP="00C27AF5">
      <w:pPr>
        <w:pStyle w:val="Heading2"/>
        <w:spacing w:before="240"/>
        <w:jc w:val="left"/>
        <w:rPr>
          <w:rFonts w:asciiTheme="majorHAnsi" w:eastAsiaTheme="minorHAnsi" w:hAnsiTheme="majorHAnsi"/>
          <w:b/>
          <w:bCs w:val="0"/>
          <w:iCs w:val="0"/>
          <w:color w:val="5B9BD5" w:themeColor="accent1"/>
          <w:sz w:val="24"/>
          <w:szCs w:val="24"/>
        </w:rPr>
      </w:pPr>
      <w:r>
        <w:rPr>
          <w:rFonts w:asciiTheme="majorHAnsi" w:eastAsiaTheme="minorHAnsi" w:hAnsiTheme="majorHAnsi"/>
          <w:b/>
          <w:bCs w:val="0"/>
          <w:iCs w:val="0"/>
          <w:color w:val="5B9BD5" w:themeColor="accent1"/>
          <w:sz w:val="28"/>
          <w:szCs w:val="28"/>
        </w:rPr>
        <w:lastRenderedPageBreak/>
        <w:t>Definitions of social and affordable housing used by the City of Sydney</w:t>
      </w:r>
      <w:bookmarkEnd w:id="1"/>
      <w:r w:rsidRPr="00B1483E">
        <w:rPr>
          <w:rStyle w:val="FootnoteReference"/>
          <w:rFonts w:asciiTheme="majorHAnsi" w:eastAsiaTheme="minorHAnsi" w:hAnsiTheme="majorHAnsi"/>
          <w:b/>
          <w:bCs w:val="0"/>
          <w:iCs w:val="0"/>
          <w:color w:val="5B9BD5" w:themeColor="accent1"/>
          <w:sz w:val="24"/>
          <w:szCs w:val="24"/>
        </w:rPr>
        <w:footnoteReference w:id="6"/>
      </w:r>
    </w:p>
    <w:p w14:paraId="42570CD8" w14:textId="77777777" w:rsidR="00C27AF5" w:rsidRPr="006B2E1B" w:rsidRDefault="00C27AF5" w:rsidP="00C27AF5">
      <w:pPr>
        <w:spacing w:before="240" w:after="60"/>
        <w:rPr>
          <w:b/>
          <w:bCs/>
          <w:color w:val="000000"/>
        </w:rPr>
      </w:pPr>
      <w:r w:rsidRPr="006B2E1B">
        <w:rPr>
          <w:b/>
          <w:bCs/>
          <w:color w:val="000000"/>
        </w:rPr>
        <w:t>Social housing (including public housing)</w:t>
      </w:r>
    </w:p>
    <w:p w14:paraId="20949416" w14:textId="77777777" w:rsidR="00C27AF5" w:rsidRPr="002946C2" w:rsidRDefault="00C27AF5" w:rsidP="00C27AF5">
      <w:pPr>
        <w:spacing w:after="60"/>
        <w:rPr>
          <w:color w:val="000000"/>
        </w:rPr>
      </w:pPr>
      <w:r>
        <w:rPr>
          <w:color w:val="000000"/>
        </w:rPr>
        <w:t>Housing rented to people for whom an eligibility test is applied, including people on very low incomes or income support, or who are disadvantaged in other ways. This housing is primarily accessed through the state government housing application system. It includes public housing owned and managed by the state government, along with housing owned and/or managed by CHPs, and Aboriginal housing owned by the Aboriginal Housing Office.</w:t>
      </w:r>
    </w:p>
    <w:p w14:paraId="7F01CCC1" w14:textId="77777777" w:rsidR="00C27AF5" w:rsidRPr="006B2E1B" w:rsidRDefault="00C27AF5" w:rsidP="00C27AF5">
      <w:pPr>
        <w:spacing w:before="240" w:after="60"/>
        <w:rPr>
          <w:b/>
          <w:bCs/>
          <w:color w:val="000000"/>
        </w:rPr>
      </w:pPr>
      <w:r w:rsidRPr="006B2E1B">
        <w:rPr>
          <w:b/>
          <w:bCs/>
        </w:rPr>
        <w:t>Affordable (community rental) housing</w:t>
      </w:r>
    </w:p>
    <w:p w14:paraId="0319143C" w14:textId="77777777" w:rsidR="00C27AF5" w:rsidRDefault="00C27AF5" w:rsidP="00C27AF5">
      <w:pPr>
        <w:spacing w:after="60"/>
        <w:rPr>
          <w:color w:val="000000"/>
        </w:rPr>
      </w:pPr>
      <w:r>
        <w:rPr>
          <w:color w:val="000000"/>
        </w:rPr>
        <w:t>Rental housing delivered and managed primarily by community housing providers (CHPs) for very low to moderate income earners, particularly targeted at key workers who are essential to a city’s economic and social diversity.</w:t>
      </w:r>
    </w:p>
    <w:p w14:paraId="7429E8AF" w14:textId="77777777" w:rsidR="00C27AF5" w:rsidRDefault="00C27AF5" w:rsidP="00C27AF5">
      <w:pPr>
        <w:spacing w:after="60"/>
        <w:rPr>
          <w:color w:val="000000"/>
        </w:rPr>
      </w:pPr>
      <w:r>
        <w:rPr>
          <w:color w:val="000000"/>
        </w:rPr>
        <w:t>Key workers include but are not limited to:</w:t>
      </w:r>
    </w:p>
    <w:p w14:paraId="06D065D6" w14:textId="77777777" w:rsidR="00C27AF5" w:rsidRDefault="00C27AF5" w:rsidP="00C27AF5">
      <w:pPr>
        <w:pStyle w:val="ListParagraph"/>
        <w:numPr>
          <w:ilvl w:val="0"/>
          <w:numId w:val="2"/>
        </w:numPr>
        <w:spacing w:after="60" w:line="240" w:lineRule="auto"/>
        <w:contextualSpacing w:val="0"/>
        <w:rPr>
          <w:color w:val="000000"/>
        </w:rPr>
      </w:pPr>
      <w:r>
        <w:rPr>
          <w:color w:val="000000"/>
        </w:rPr>
        <w:t>Essential services workers such as teachers, nurses, ambulance drivers and other emergency services workers</w:t>
      </w:r>
    </w:p>
    <w:p w14:paraId="03DF6849" w14:textId="77777777" w:rsidR="00C27AF5" w:rsidRDefault="00C27AF5" w:rsidP="00C27AF5">
      <w:pPr>
        <w:pStyle w:val="ListParagraph"/>
        <w:numPr>
          <w:ilvl w:val="0"/>
          <w:numId w:val="2"/>
        </w:numPr>
        <w:spacing w:after="60" w:line="240" w:lineRule="auto"/>
        <w:contextualSpacing w:val="0"/>
        <w:rPr>
          <w:color w:val="000000"/>
        </w:rPr>
      </w:pPr>
      <w:r>
        <w:rPr>
          <w:color w:val="000000"/>
        </w:rPr>
        <w:t>Hospitality and tourism sector workers such as cleaners, baristas, waiters and restaurant managers</w:t>
      </w:r>
    </w:p>
    <w:p w14:paraId="2CB06C12" w14:textId="77777777" w:rsidR="00C27AF5" w:rsidRDefault="00C27AF5" w:rsidP="00C27AF5">
      <w:pPr>
        <w:pStyle w:val="ListParagraph"/>
        <w:numPr>
          <w:ilvl w:val="0"/>
          <w:numId w:val="2"/>
        </w:numPr>
        <w:spacing w:after="60" w:line="240" w:lineRule="auto"/>
        <w:contextualSpacing w:val="0"/>
        <w:rPr>
          <w:color w:val="000000"/>
        </w:rPr>
      </w:pPr>
      <w:r>
        <w:rPr>
          <w:color w:val="000000"/>
        </w:rPr>
        <w:t>Essential infrastructure workers such as bus drivers, train drivers and road maintenance personnel</w:t>
      </w:r>
    </w:p>
    <w:p w14:paraId="072EC72F" w14:textId="77777777" w:rsidR="00C27AF5" w:rsidRDefault="00C27AF5" w:rsidP="00C27AF5">
      <w:pPr>
        <w:pStyle w:val="ListParagraph"/>
        <w:numPr>
          <w:ilvl w:val="0"/>
          <w:numId w:val="2"/>
        </w:numPr>
        <w:spacing w:after="60" w:line="240" w:lineRule="auto"/>
        <w:contextualSpacing w:val="0"/>
        <w:rPr>
          <w:color w:val="000000"/>
        </w:rPr>
      </w:pPr>
      <w:r>
        <w:rPr>
          <w:color w:val="000000"/>
        </w:rPr>
        <w:t>Cultural and creative sector workers such as artists, actors and musicians.</w:t>
      </w:r>
    </w:p>
    <w:p w14:paraId="289C04FB" w14:textId="77777777" w:rsidR="00C27AF5" w:rsidRDefault="00C27AF5" w:rsidP="00C27AF5">
      <w:pPr>
        <w:rPr>
          <w:color w:val="000000"/>
        </w:rPr>
      </w:pPr>
      <w:r>
        <w:rPr>
          <w:color w:val="000000"/>
        </w:rPr>
        <w:t>Rent is typically equivalent to less than 30 per cent of the gross income of very low to moderate income households (in the bottom 40 per cent of the household income range) and/or 20 per cent below market rent.</w:t>
      </w:r>
    </w:p>
    <w:p w14:paraId="0477DFCA" w14:textId="065B4191" w:rsidR="00EB587A" w:rsidRPr="00EB587A" w:rsidRDefault="00EB587A" w:rsidP="00EB587A">
      <w:pPr>
        <w:spacing w:after="120"/>
      </w:pPr>
      <w:r w:rsidRPr="00EB587A">
        <w:rPr>
          <w:rFonts w:asciiTheme="majorHAnsi" w:hAnsiTheme="majorHAnsi"/>
          <w:b/>
          <w:color w:val="5B9BD5" w:themeColor="accent1"/>
          <w:sz w:val="28"/>
          <w:szCs w:val="28"/>
        </w:rPr>
        <w:t>Guiding principles</w:t>
      </w:r>
    </w:p>
    <w:p w14:paraId="05D0EA41" w14:textId="77777777" w:rsidR="00EB587A" w:rsidRPr="00494696" w:rsidRDefault="00EB587A" w:rsidP="00EB587A">
      <w:pPr>
        <w:spacing w:after="120"/>
      </w:pPr>
      <w:r w:rsidRPr="00494696">
        <w:t>The City suggests that the following principles and considerations</w:t>
      </w:r>
      <w:r>
        <w:t xml:space="preserve"> underpin the recommendations to reform Australia’s social housing system:</w:t>
      </w:r>
    </w:p>
    <w:p w14:paraId="7E44B85D" w14:textId="427CCFB5" w:rsidR="00A86486" w:rsidRDefault="00EB587A" w:rsidP="00C75073">
      <w:pPr>
        <w:pStyle w:val="ListParagraph"/>
        <w:numPr>
          <w:ilvl w:val="0"/>
          <w:numId w:val="6"/>
        </w:numPr>
        <w:spacing w:after="120"/>
        <w:ind w:left="714" w:hanging="357"/>
        <w:contextualSpacing w:val="0"/>
      </w:pPr>
      <w:r w:rsidRPr="00FB0708">
        <w:rPr>
          <w:b/>
        </w:rPr>
        <w:t>Social housing represents critical social infrastructure for the lowest income earners and most disadvantaged in our society</w:t>
      </w:r>
      <w:r>
        <w:t xml:space="preserve">. </w:t>
      </w:r>
      <w:r w:rsidR="00D52326">
        <w:t>Providing it is a fundamental responsibility of federal and state governments; and ensuring this basic social need is met requires an absolute policy and funding commitment. Increasing rents for those on the lowest incomes is absolutely the wrong approach to addressing this issue.</w:t>
      </w:r>
    </w:p>
    <w:p w14:paraId="174C6740" w14:textId="4DEC534E" w:rsidR="00EB587A" w:rsidRDefault="00EB587A" w:rsidP="00C75073">
      <w:pPr>
        <w:pStyle w:val="ListParagraph"/>
        <w:numPr>
          <w:ilvl w:val="0"/>
          <w:numId w:val="6"/>
        </w:numPr>
        <w:spacing w:after="120"/>
        <w:ind w:left="714" w:hanging="357"/>
        <w:contextualSpacing w:val="0"/>
      </w:pPr>
      <w:r w:rsidRPr="00FB0708">
        <w:rPr>
          <w:b/>
        </w:rPr>
        <w:t xml:space="preserve">Provision of social housing cannot be </w:t>
      </w:r>
      <w:r>
        <w:rPr>
          <w:b/>
        </w:rPr>
        <w:t xml:space="preserve">made </w:t>
      </w:r>
      <w:r w:rsidRPr="00FB0708">
        <w:rPr>
          <w:b/>
        </w:rPr>
        <w:t>profitable, or even economically viable – in pure economic terms</w:t>
      </w:r>
      <w:r>
        <w:t xml:space="preserve">. Providing housing for the lowest income earners – many of whom are living on limited social security benefits payments – </w:t>
      </w:r>
      <w:r w:rsidRPr="00A0750A">
        <w:t xml:space="preserve">requires </w:t>
      </w:r>
      <w:r>
        <w:t xml:space="preserve">substantial investment by governments. </w:t>
      </w:r>
      <w:r w:rsidR="00C75073">
        <w:t xml:space="preserve"> </w:t>
      </w:r>
      <w:r>
        <w:t xml:space="preserve">Social housing was by definition established to operate outside the market. While it is sensible to examine rental and eligibility criteria models that may make the system more financially sustainable, the social housing system cannot be viewed from a market lens and its governance and development cannot be pegged to the private housing market.  Social housing rents are limited by tenants’ ability to pay. No rental model will </w:t>
      </w:r>
      <w:r>
        <w:lastRenderedPageBreak/>
        <w:t xml:space="preserve">reduce the need for substantial subsidies from government to provide this critical social infrastructure on an ongoing basis. </w:t>
      </w:r>
    </w:p>
    <w:p w14:paraId="6921BD97" w14:textId="70F02390" w:rsidR="00EB587A" w:rsidRDefault="00EB587A" w:rsidP="00EB587A">
      <w:pPr>
        <w:pStyle w:val="ListParagraph"/>
        <w:numPr>
          <w:ilvl w:val="0"/>
          <w:numId w:val="6"/>
        </w:numPr>
        <w:spacing w:after="120"/>
        <w:ind w:left="714" w:hanging="357"/>
        <w:contextualSpacing w:val="0"/>
      </w:pPr>
      <w:r w:rsidRPr="00FB0708">
        <w:rPr>
          <w:b/>
        </w:rPr>
        <w:t>Cost benefit analysis of providing safe and secure housing for the most disadvantaged, versus inadequate supply, should be an integral part of this review</w:t>
      </w:r>
      <w:r>
        <w:t xml:space="preserve">. This should analyse the knock-on impacts and costs to the health and justice systems and the wider economy of damage to people’s wellbeing, resilience and access to opportunities associated with inadequate or poor quality </w:t>
      </w:r>
      <w:r w:rsidR="00D52326">
        <w:t xml:space="preserve">housing </w:t>
      </w:r>
      <w:r>
        <w:t xml:space="preserve">supply. Investing in social housing </w:t>
      </w:r>
      <w:r w:rsidR="00D52326">
        <w:t xml:space="preserve">supply </w:t>
      </w:r>
      <w:r>
        <w:t xml:space="preserve">is recognised as a more cost effective approach with regard to society and the economy in the long term.  </w:t>
      </w:r>
    </w:p>
    <w:p w14:paraId="4E7344AA" w14:textId="77777777" w:rsidR="00EB587A" w:rsidRDefault="00EB587A" w:rsidP="00EB587A">
      <w:pPr>
        <w:pStyle w:val="ListParagraph"/>
        <w:spacing w:after="120"/>
        <w:contextualSpacing w:val="0"/>
      </w:pPr>
      <w:r>
        <w:t>This cost benefit analysis should consider the benefits of social housing tenants being housed in close proximity to health services. In fact, many of the tenants in the public housing precincts in the City of Sydney were originally relocated there because of their need for specialised health services and treatment.</w:t>
      </w:r>
    </w:p>
    <w:p w14:paraId="371DFC6F" w14:textId="77777777" w:rsidR="00EB587A" w:rsidRDefault="00EB587A" w:rsidP="00EB587A">
      <w:pPr>
        <w:pStyle w:val="ListParagraph"/>
        <w:spacing w:after="120"/>
        <w:ind w:left="714"/>
        <w:contextualSpacing w:val="0"/>
      </w:pPr>
      <w:r>
        <w:t xml:space="preserve">Linked with this issue, it must be recognised that investing in the construction of social housing infrastructure – ie new social housing dwellings in areas well-located in relation to jobs, public transport and other services – should be a priority. </w:t>
      </w:r>
    </w:p>
    <w:p w14:paraId="1469FD87" w14:textId="77777777" w:rsidR="00EB587A" w:rsidRDefault="00EB587A" w:rsidP="00EB587A">
      <w:pPr>
        <w:pStyle w:val="ListParagraph"/>
        <w:numPr>
          <w:ilvl w:val="0"/>
          <w:numId w:val="6"/>
        </w:numPr>
        <w:spacing w:after="120"/>
        <w:ind w:left="714" w:hanging="357"/>
        <w:contextualSpacing w:val="0"/>
      </w:pPr>
      <w:r w:rsidRPr="00FB0708">
        <w:rPr>
          <w:b/>
        </w:rPr>
        <w:t>Investing in the affordable housing system is a critical part of this equation</w:t>
      </w:r>
      <w:r>
        <w:t xml:space="preserve">: the NSW community housing sector has been severely hampered in terms of sustainable growth and development strategies by an uncertain and constantly shifting policy environment.  </w:t>
      </w:r>
    </w:p>
    <w:p w14:paraId="412FD74B" w14:textId="7A0D2431" w:rsidR="00EB587A" w:rsidRDefault="00EB587A" w:rsidP="00EB587A">
      <w:pPr>
        <w:pStyle w:val="ListParagraph"/>
        <w:spacing w:after="120"/>
        <w:ind w:left="714"/>
        <w:contextualSpacing w:val="0"/>
      </w:pPr>
      <w:r>
        <w:t xml:space="preserve">Key state government strategies and initiatives to enable this sector to realise its potential have been scrapped in recent years, including the divestment of state property assets to CHPs to leverage for growth, and the National Rental Affordability Scheme. </w:t>
      </w:r>
    </w:p>
    <w:p w14:paraId="63633B60" w14:textId="1B7E7F8D" w:rsidR="00EB587A" w:rsidRDefault="00EB587A" w:rsidP="00EB587A">
      <w:pPr>
        <w:pStyle w:val="ListParagraph"/>
        <w:spacing w:after="120"/>
        <w:ind w:left="714"/>
        <w:contextualSpacing w:val="0"/>
      </w:pPr>
      <w:r>
        <w:t xml:space="preserve">A serious commitment by </w:t>
      </w:r>
      <w:r w:rsidR="00C75073">
        <w:t xml:space="preserve">the </w:t>
      </w:r>
      <w:r>
        <w:t xml:space="preserve">NSW Government to the growth of the affordable housing system is inextricably linked with the sustainability of the social housing system. Affordable housing is an essential component of the housing continuum that provides a critical link from social to private market housing. </w:t>
      </w:r>
    </w:p>
    <w:p w14:paraId="70E9B7A0" w14:textId="3A5C3F5A" w:rsidR="00EB587A" w:rsidRDefault="00D52326" w:rsidP="00EB587A">
      <w:pPr>
        <w:pStyle w:val="ListParagraph"/>
        <w:spacing w:after="120"/>
        <w:contextualSpacing w:val="0"/>
      </w:pPr>
      <w:r>
        <w:t xml:space="preserve">Access to affordable housing </w:t>
      </w:r>
      <w:r w:rsidRPr="00515602">
        <w:t xml:space="preserve">is </w:t>
      </w:r>
      <w:r w:rsidR="00EB587A" w:rsidRPr="00515602">
        <w:t>essential for the productivity of Sydney’s economy and its success as a global city. A city that functions on the basis of lower paid workers making increasingly lengthy commutes to access jobs is ultimately unsustainable and will be detrimental to Sydney’s economic growth.</w:t>
      </w:r>
    </w:p>
    <w:p w14:paraId="51366897" w14:textId="1B0AB5FA" w:rsidR="00EB587A" w:rsidRDefault="00EB587A" w:rsidP="00EB587A">
      <w:pPr>
        <w:pStyle w:val="ListParagraph"/>
        <w:spacing w:after="240"/>
        <w:contextualSpacing w:val="0"/>
      </w:pPr>
      <w:r>
        <w:t xml:space="preserve">It is the housing tenure to which the so-called ‘opportunity group’ in social housing could be realistically transitioned, given they could not viably be transitioned straight into the private market, at least in metropolitan Sydney.  Clear evidence of this is provided in Anglicare’s highly-respected </w:t>
      </w:r>
      <w:r w:rsidR="00D52326">
        <w:t xml:space="preserve">annual </w:t>
      </w:r>
      <w:r>
        <w:t>Rental Affordability Snapshot,</w:t>
      </w:r>
      <w:r>
        <w:rPr>
          <w:rStyle w:val="FootnoteReference"/>
        </w:rPr>
        <w:footnoteReference w:id="7"/>
      </w:r>
      <w:r>
        <w:t xml:space="preserve"> which illustrates the unaffordability of the market across metropolitan Sydney and surrounds to the lowest income earners.</w:t>
      </w:r>
    </w:p>
    <w:p w14:paraId="20AD813B" w14:textId="77777777" w:rsidR="00A004A4" w:rsidRDefault="00A004A4">
      <w:pPr>
        <w:rPr>
          <w:rFonts w:asciiTheme="majorHAnsi" w:hAnsiTheme="majorHAnsi" w:cs="Arial"/>
          <w:b/>
          <w:color w:val="5B9BD5" w:themeColor="accent1"/>
          <w:sz w:val="28"/>
          <w:szCs w:val="28"/>
        </w:rPr>
      </w:pPr>
      <w:r>
        <w:rPr>
          <w:rFonts w:asciiTheme="majorHAnsi" w:hAnsiTheme="majorHAnsi"/>
          <w:b/>
          <w:bCs/>
          <w:iCs/>
          <w:color w:val="5B9BD5" w:themeColor="accent1"/>
          <w:sz w:val="28"/>
          <w:szCs w:val="28"/>
        </w:rPr>
        <w:br w:type="page"/>
      </w:r>
    </w:p>
    <w:p w14:paraId="2F573F40" w14:textId="2578A70E" w:rsidR="004A7B50" w:rsidRDefault="004A7B50" w:rsidP="00EB587A">
      <w:pPr>
        <w:pStyle w:val="Heading2"/>
        <w:spacing w:before="240" w:after="120"/>
        <w:jc w:val="left"/>
        <w:rPr>
          <w:rFonts w:asciiTheme="majorHAnsi" w:eastAsiaTheme="minorHAnsi" w:hAnsiTheme="majorHAnsi"/>
          <w:b/>
          <w:bCs w:val="0"/>
          <w:iCs w:val="0"/>
          <w:color w:val="5B9BD5" w:themeColor="accent1"/>
          <w:sz w:val="28"/>
          <w:szCs w:val="28"/>
        </w:rPr>
      </w:pPr>
      <w:r w:rsidRPr="004A7B50">
        <w:rPr>
          <w:rFonts w:asciiTheme="majorHAnsi" w:eastAsiaTheme="minorHAnsi" w:hAnsiTheme="majorHAnsi"/>
          <w:b/>
          <w:bCs w:val="0"/>
          <w:iCs w:val="0"/>
          <w:color w:val="5B9BD5" w:themeColor="accent1"/>
          <w:sz w:val="28"/>
          <w:szCs w:val="28"/>
        </w:rPr>
        <w:lastRenderedPageBreak/>
        <w:t>Response to draft Recommendations 5.1 to 5.4</w:t>
      </w:r>
    </w:p>
    <w:p w14:paraId="77C9C1DB" w14:textId="60571608" w:rsidR="00DA477A" w:rsidRDefault="00CB1AD6" w:rsidP="00EB587A">
      <w:pPr>
        <w:pStyle w:val="Heading2"/>
        <w:spacing w:before="240" w:after="120"/>
        <w:jc w:val="left"/>
        <w:rPr>
          <w:rFonts w:asciiTheme="minorHAnsi" w:eastAsiaTheme="minorHAnsi" w:hAnsiTheme="minorHAnsi" w:cstheme="minorBidi"/>
          <w:bCs w:val="0"/>
          <w:iCs w:val="0"/>
        </w:rPr>
      </w:pPr>
      <w:r>
        <w:rPr>
          <w:rFonts w:asciiTheme="minorHAnsi" w:eastAsiaTheme="minorHAnsi" w:hAnsiTheme="minorHAnsi" w:cstheme="minorBidi"/>
          <w:bCs w:val="0"/>
          <w:iCs w:val="0"/>
        </w:rPr>
        <w:t>The</w:t>
      </w:r>
      <w:r w:rsidR="00DA477A">
        <w:rPr>
          <w:rFonts w:asciiTheme="minorHAnsi" w:eastAsiaTheme="minorHAnsi" w:hAnsiTheme="minorHAnsi" w:cstheme="minorBidi"/>
          <w:bCs w:val="0"/>
          <w:iCs w:val="0"/>
        </w:rPr>
        <w:t xml:space="preserve"> stated purpose of this review </w:t>
      </w:r>
      <w:r>
        <w:rPr>
          <w:rFonts w:asciiTheme="minorHAnsi" w:eastAsiaTheme="minorHAnsi" w:hAnsiTheme="minorHAnsi" w:cstheme="minorBidi"/>
          <w:bCs w:val="0"/>
          <w:iCs w:val="0"/>
        </w:rPr>
        <w:t xml:space="preserve">is </w:t>
      </w:r>
      <w:r w:rsidR="00DA477A">
        <w:rPr>
          <w:rFonts w:asciiTheme="minorHAnsi" w:eastAsiaTheme="minorHAnsi" w:hAnsiTheme="minorHAnsi" w:cstheme="minorBidi"/>
          <w:bCs w:val="0"/>
          <w:iCs w:val="0"/>
        </w:rPr>
        <w:t>to ‘introduce competition and informed choice’ into the domain of social housing</w:t>
      </w:r>
      <w:r>
        <w:rPr>
          <w:rFonts w:asciiTheme="minorHAnsi" w:eastAsiaTheme="minorHAnsi" w:hAnsiTheme="minorHAnsi" w:cstheme="minorBidi"/>
          <w:bCs w:val="0"/>
          <w:iCs w:val="0"/>
        </w:rPr>
        <w:t xml:space="preserve">. However the current reality us that the term </w:t>
      </w:r>
      <w:r w:rsidR="00DA477A">
        <w:rPr>
          <w:rFonts w:asciiTheme="minorHAnsi" w:eastAsiaTheme="minorHAnsi" w:hAnsiTheme="minorHAnsi" w:cstheme="minorBidi"/>
          <w:bCs w:val="0"/>
          <w:iCs w:val="0"/>
        </w:rPr>
        <w:t xml:space="preserve">‘choice’ is an anathema </w:t>
      </w:r>
      <w:r>
        <w:rPr>
          <w:rFonts w:asciiTheme="minorHAnsi" w:eastAsiaTheme="minorHAnsi" w:hAnsiTheme="minorHAnsi" w:cstheme="minorBidi"/>
          <w:bCs w:val="0"/>
          <w:iCs w:val="0"/>
        </w:rPr>
        <w:t xml:space="preserve">in the context of </w:t>
      </w:r>
      <w:r w:rsidR="005768B5">
        <w:rPr>
          <w:rFonts w:asciiTheme="minorHAnsi" w:eastAsiaTheme="minorHAnsi" w:hAnsiTheme="minorHAnsi" w:cstheme="minorBidi"/>
          <w:bCs w:val="0"/>
          <w:iCs w:val="0"/>
        </w:rPr>
        <w:t>government-subsidised housing in NSW</w:t>
      </w:r>
      <w:r w:rsidR="00DA477A">
        <w:rPr>
          <w:rFonts w:asciiTheme="minorHAnsi" w:eastAsiaTheme="minorHAnsi" w:hAnsiTheme="minorHAnsi" w:cstheme="minorBidi"/>
          <w:bCs w:val="0"/>
          <w:iCs w:val="0"/>
        </w:rPr>
        <w:t xml:space="preserve">. </w:t>
      </w:r>
    </w:p>
    <w:p w14:paraId="6FA4B382" w14:textId="1591840E" w:rsidR="00DA477A" w:rsidRPr="00A86486" w:rsidRDefault="00EB497B" w:rsidP="00A86486">
      <w:pPr>
        <w:spacing w:after="120"/>
      </w:pPr>
      <w:r w:rsidRPr="00A86486">
        <w:t>There</w:t>
      </w:r>
      <w:r w:rsidR="00DA477A" w:rsidRPr="00A86486">
        <w:t xml:space="preserve"> are an estimated </w:t>
      </w:r>
      <w:r w:rsidR="00C75073" w:rsidRPr="00A86486">
        <w:t>80,000+</w:t>
      </w:r>
      <w:r w:rsidR="00DA477A" w:rsidRPr="00A86486">
        <w:t xml:space="preserve"> people on the social housing waiting list</w:t>
      </w:r>
      <w:r w:rsidRPr="00A86486">
        <w:t xml:space="preserve"> in NSW</w:t>
      </w:r>
      <w:r w:rsidR="00C75073" w:rsidRPr="00D52326">
        <w:rPr>
          <w:vertAlign w:val="superscript"/>
        </w:rPr>
        <w:footnoteReference w:id="8"/>
      </w:r>
      <w:r w:rsidR="00C75073" w:rsidRPr="00A86486">
        <w:t xml:space="preserve">  – with many more in need but not bothering to register due to stated waiting list times of up to 10 years  in the inner city</w:t>
      </w:r>
      <w:r w:rsidRPr="00A86486">
        <w:t>.</w:t>
      </w:r>
      <w:r w:rsidR="00686BAF" w:rsidRPr="00A86486">
        <w:t xml:space="preserve"> For those</w:t>
      </w:r>
      <w:r w:rsidR="00686BAF">
        <w:t xml:space="preserve"> who are living in social housing, the </w:t>
      </w:r>
      <w:r>
        <w:t xml:space="preserve">majority </w:t>
      </w:r>
      <w:r w:rsidR="00DA477A">
        <w:t>have complex needs and face multiple disadvantage</w:t>
      </w:r>
      <w:r w:rsidR="001B0462">
        <w:t>s</w:t>
      </w:r>
      <w:r w:rsidR="00DA477A">
        <w:t xml:space="preserve">. </w:t>
      </w:r>
      <w:r w:rsidR="00C75073" w:rsidRPr="00A86486">
        <w:t xml:space="preserve"> The use of the term ‘choice’ in government policies and strategies for this sector of the community is a misnomer, as their </w:t>
      </w:r>
      <w:r w:rsidR="00DA477A">
        <w:t xml:space="preserve">‘choice’ of housing tenures </w:t>
      </w:r>
      <w:r w:rsidR="00686BAF">
        <w:t>–</w:t>
      </w:r>
      <w:r w:rsidR="00DA477A">
        <w:t xml:space="preserve"> and indeed in </w:t>
      </w:r>
      <w:r w:rsidR="00686BAF">
        <w:t xml:space="preserve">myriad </w:t>
      </w:r>
      <w:r w:rsidR="00DA477A">
        <w:t xml:space="preserve">aspects of their lives – is severely limited by their </w:t>
      </w:r>
      <w:r w:rsidR="00686BAF">
        <w:t xml:space="preserve">very low </w:t>
      </w:r>
      <w:r w:rsidR="00DA477A">
        <w:t>income</w:t>
      </w:r>
      <w:r w:rsidR="00686BAF">
        <w:t>s</w:t>
      </w:r>
      <w:r w:rsidR="00DA477A">
        <w:t xml:space="preserve"> and </w:t>
      </w:r>
      <w:r w:rsidR="00686BAF">
        <w:t xml:space="preserve">limited </w:t>
      </w:r>
      <w:r w:rsidR="00DA477A">
        <w:t>access to opportunities.</w:t>
      </w:r>
    </w:p>
    <w:p w14:paraId="099201AB" w14:textId="33F579EB" w:rsidR="00192885" w:rsidRPr="00A86486" w:rsidRDefault="00847492" w:rsidP="00A86486">
      <w:pPr>
        <w:spacing w:after="120"/>
      </w:pPr>
      <w:r>
        <w:t xml:space="preserve">The </w:t>
      </w:r>
      <w:r w:rsidR="00DA477A">
        <w:t>types of</w:t>
      </w:r>
      <w:r w:rsidR="00192885">
        <w:t xml:space="preserve"> social/ subsidised housing </w:t>
      </w:r>
      <w:r w:rsidR="00DA477A">
        <w:t>‘choices’ discussed in this paper</w:t>
      </w:r>
      <w:r>
        <w:t xml:space="preserve"> are </w:t>
      </w:r>
      <w:r w:rsidR="003024E2" w:rsidRPr="00A86486">
        <w:t xml:space="preserve">an even greater </w:t>
      </w:r>
      <w:r>
        <w:t>misnomer</w:t>
      </w:r>
      <w:r w:rsidR="00DA477A">
        <w:t xml:space="preserve"> in the context of the lives of people living in or trying to access social housing in the inner city of Sydney.</w:t>
      </w:r>
      <w:r>
        <w:t xml:space="preserve"> </w:t>
      </w:r>
      <w:r w:rsidR="003024E2" w:rsidRPr="00A86486">
        <w:t xml:space="preserve">Given current and rising market rents, a </w:t>
      </w:r>
      <w:r w:rsidR="00192885">
        <w:t>15 per cent</w:t>
      </w:r>
      <w:r w:rsidR="005768B5">
        <w:t xml:space="preserve"> increase in CRA will be utterly insufficient to enable current or prospective tenants </w:t>
      </w:r>
      <w:r w:rsidR="003024E2" w:rsidRPr="00A86486">
        <w:t xml:space="preserve">– the lowest income earners – </w:t>
      </w:r>
      <w:r w:rsidR="005768B5">
        <w:t xml:space="preserve">to live in inner Sydney. </w:t>
      </w:r>
      <w:r w:rsidR="003024E2" w:rsidRPr="00A86486">
        <w:t xml:space="preserve"> This situation stretches throughout </w:t>
      </w:r>
      <w:r w:rsidR="00911C42" w:rsidRPr="00A86486">
        <w:t xml:space="preserve">the Sydney metropolitan area, as </w:t>
      </w:r>
      <w:r w:rsidR="003024E2" w:rsidRPr="00A86486">
        <w:t>is well evidenced</w:t>
      </w:r>
      <w:r w:rsidR="00911C42" w:rsidRPr="00A86486">
        <w:t xml:space="preserve"> by Anglicare’s annual Rental Affordability Snapshot – the latest of which shows that only 6 per cent of dwellings across the entire Sydney metropolitan area and surrounds are affordable to households on government benefits.</w:t>
      </w:r>
      <w:r w:rsidR="00911C42" w:rsidRPr="00D52326">
        <w:rPr>
          <w:vertAlign w:val="superscript"/>
        </w:rPr>
        <w:footnoteReference w:id="9"/>
      </w:r>
      <w:r w:rsidR="003024E2" w:rsidRPr="00D52326">
        <w:rPr>
          <w:vertAlign w:val="superscript"/>
        </w:rPr>
        <w:t xml:space="preserve"> </w:t>
      </w:r>
    </w:p>
    <w:p w14:paraId="47E25CF5" w14:textId="5F5BB879" w:rsidR="00D52326" w:rsidRPr="0031395D" w:rsidRDefault="00D52326" w:rsidP="00D52326">
      <w:pPr>
        <w:spacing w:after="120"/>
      </w:pPr>
      <w:r>
        <w:t xml:space="preserve">The City is concerned there are no details of how the </w:t>
      </w:r>
      <w:r w:rsidRPr="00BA7AAC">
        <w:t>‘high-cost housing payment’</w:t>
      </w:r>
      <w:r>
        <w:t xml:space="preserve"> will be funded and </w:t>
      </w:r>
      <w:r w:rsidRPr="00BA7AAC">
        <w:t>administered by state governments</w:t>
      </w:r>
      <w:r>
        <w:t xml:space="preserve">. We believe placing the onus on current and future tenants to demonstrate their need to live in more expensive, inner-city locations is unfair and onerous, and we are concerned that many tenants will be unable to satisfy this requirement. </w:t>
      </w:r>
    </w:p>
    <w:p w14:paraId="7F436456" w14:textId="77777777" w:rsidR="009C562D" w:rsidRPr="00A86486" w:rsidRDefault="00192885" w:rsidP="00A86486">
      <w:pPr>
        <w:spacing w:after="120"/>
      </w:pPr>
      <w:r>
        <w:t>The NSW Government’s current and recent sales of social housing in Millers Point, Dawes Point and the Rocks – dislocating long-established close-knit communities – is an illustration of communities suffering an absolute lack of choice at the hands of the state.</w:t>
      </w:r>
      <w:r w:rsidRPr="00D52326">
        <w:rPr>
          <w:vertAlign w:val="superscript"/>
        </w:rPr>
        <w:footnoteReference w:id="10"/>
      </w:r>
      <w:r w:rsidRPr="00D52326">
        <w:rPr>
          <w:vertAlign w:val="superscript"/>
        </w:rPr>
        <w:t xml:space="preserve"> </w:t>
      </w:r>
    </w:p>
    <w:p w14:paraId="6396915D" w14:textId="10C7A41E" w:rsidR="005768B5" w:rsidRDefault="00192885" w:rsidP="00A86486">
      <w:pPr>
        <w:spacing w:after="120"/>
        <w:rPr>
          <w:bCs/>
          <w:iCs/>
        </w:rPr>
      </w:pPr>
      <w:r>
        <w:t xml:space="preserve">Relocated residents </w:t>
      </w:r>
      <w:r w:rsidR="005768B5" w:rsidRPr="00BA7AAC">
        <w:t xml:space="preserve">have had no success in arguing their need to remain in the inner city – as the NSW Government has set out its </w:t>
      </w:r>
      <w:r w:rsidR="00D52326">
        <w:t>position</w:t>
      </w:r>
      <w:r w:rsidR="005768B5" w:rsidRPr="00BA7AAC">
        <w:t xml:space="preserve"> on the sales of inner city housing funding more units on the fringes, where land is cheaper.</w:t>
      </w:r>
      <w:r>
        <w:t xml:space="preserve"> It is hard to conceive of the NSW Government’s current line on </w:t>
      </w:r>
      <w:r w:rsidR="00DC5DDF">
        <w:t xml:space="preserve">this issue </w:t>
      </w:r>
      <w:r>
        <w:t>changing.</w:t>
      </w:r>
      <w:r w:rsidR="00DC5DDF">
        <w:t xml:space="preserve"> It fails to recognise the importance of </w:t>
      </w:r>
      <w:r w:rsidR="00D52326">
        <w:t xml:space="preserve">sustaining </w:t>
      </w:r>
      <w:r w:rsidR="00DC5DDF">
        <w:t>socio-economic diversity in the inner city – underpinned by social and affordable housing supply – or the importance of avoiding entrenching spatial socio-economic disadvantage across the Sydney metropolitan area.</w:t>
      </w:r>
    </w:p>
    <w:p w14:paraId="41223E49" w14:textId="791A37C7" w:rsidR="00A54AFC" w:rsidRPr="008B4E7A" w:rsidRDefault="00A54AFC" w:rsidP="008B4E7A">
      <w:pPr>
        <w:spacing w:after="120"/>
        <w:rPr>
          <w:b/>
        </w:rPr>
      </w:pPr>
      <w:r w:rsidRPr="00A54AFC">
        <w:rPr>
          <w:b/>
        </w:rPr>
        <w:t xml:space="preserve">Recommendation 5.1 </w:t>
      </w:r>
      <w:r w:rsidR="00676B32">
        <w:rPr>
          <w:b/>
        </w:rPr>
        <w:t>–</w:t>
      </w:r>
      <w:r w:rsidR="008B4E7A">
        <w:rPr>
          <w:b/>
        </w:rPr>
        <w:t xml:space="preserve"> </w:t>
      </w:r>
      <w:r w:rsidR="00676B32">
        <w:rPr>
          <w:b/>
        </w:rPr>
        <w:t>E</w:t>
      </w:r>
      <w:r w:rsidR="008B4E7A" w:rsidRPr="008B4E7A">
        <w:rPr>
          <w:b/>
        </w:rPr>
        <w:t>nhance Commonwealth Rent Assistance</w:t>
      </w:r>
    </w:p>
    <w:p w14:paraId="59BC4DA9" w14:textId="70E685B7" w:rsidR="00222336" w:rsidRDefault="00A54AFC" w:rsidP="003510DA">
      <w:pPr>
        <w:spacing w:after="120"/>
      </w:pPr>
      <w:r>
        <w:t xml:space="preserve">The </w:t>
      </w:r>
      <w:r w:rsidR="008B4E7A">
        <w:t>City welcomes</w:t>
      </w:r>
      <w:r w:rsidR="00CF52A3">
        <w:t xml:space="preserve"> – in principle –</w:t>
      </w:r>
      <w:r w:rsidR="008B4E7A">
        <w:t xml:space="preserve"> the proposal for the </w:t>
      </w:r>
      <w:r>
        <w:t xml:space="preserve">Australian Government </w:t>
      </w:r>
      <w:r w:rsidR="008B4E7A">
        <w:t>to increase</w:t>
      </w:r>
      <w:r>
        <w:t xml:space="preserve"> </w:t>
      </w:r>
      <w:r w:rsidR="008B4E7A">
        <w:t>CRA</w:t>
      </w:r>
      <w:r>
        <w:t xml:space="preserve"> </w:t>
      </w:r>
      <w:r w:rsidR="008B4E7A">
        <w:t xml:space="preserve">to address the </w:t>
      </w:r>
      <w:r w:rsidR="003510DA">
        <w:t>disparity</w:t>
      </w:r>
      <w:r w:rsidR="008B4E7A">
        <w:t xml:space="preserve"> in the relative value of rents to </w:t>
      </w:r>
      <w:r w:rsidR="003510DA">
        <w:t>inflation</w:t>
      </w:r>
      <w:r w:rsidR="00CF52A3">
        <w:t>, however the increased amount proposed in grossly inadequate in an inner city or even metropolitan Sydney context</w:t>
      </w:r>
      <w:r w:rsidR="008B4E7A">
        <w:t>.</w:t>
      </w:r>
      <w:r>
        <w:t xml:space="preserve"> </w:t>
      </w:r>
      <w:r w:rsidR="009F72CD">
        <w:t>High</w:t>
      </w:r>
      <w:r w:rsidR="003510DA">
        <w:t xml:space="preserve"> rental inflation </w:t>
      </w:r>
      <w:r w:rsidR="00222336">
        <w:t xml:space="preserve">relative to the Consumer Price Index (CPI) </w:t>
      </w:r>
      <w:r w:rsidR="003510DA">
        <w:t xml:space="preserve">over the past ten years means </w:t>
      </w:r>
      <w:r w:rsidR="00222336">
        <w:t>that</w:t>
      </w:r>
      <w:r w:rsidR="00EB587A">
        <w:t>,</w:t>
      </w:r>
      <w:r w:rsidR="00222336">
        <w:t xml:space="preserve"> even with CRA payments</w:t>
      </w:r>
      <w:r w:rsidR="00EB587A">
        <w:t>,</w:t>
      </w:r>
      <w:r w:rsidR="00222336">
        <w:t xml:space="preserve"> many tenants are in </w:t>
      </w:r>
      <w:r w:rsidR="003510DA">
        <w:t xml:space="preserve">housing stress. </w:t>
      </w:r>
      <w:r w:rsidR="00222336">
        <w:t xml:space="preserve">This is particularly the case in Sydney where rent </w:t>
      </w:r>
      <w:r w:rsidR="00222336">
        <w:lastRenderedPageBreak/>
        <w:t>prices have increased at nearly double the rate of CPI (58 per cent compared to 28 per cent from 2007 to 2017</w:t>
      </w:r>
      <w:r w:rsidR="008331EB">
        <w:t>)</w:t>
      </w:r>
      <w:r w:rsidR="00222336">
        <w:t>.</w:t>
      </w:r>
      <w:r w:rsidR="008331EB">
        <w:rPr>
          <w:rStyle w:val="FootnoteReference"/>
        </w:rPr>
        <w:footnoteReference w:id="11"/>
      </w:r>
    </w:p>
    <w:p w14:paraId="115E5724" w14:textId="510F62D6" w:rsidR="00847492" w:rsidRDefault="009C562D" w:rsidP="003510DA">
      <w:pPr>
        <w:spacing w:after="120"/>
      </w:pPr>
      <w:r>
        <w:t>For this mechanism to be effective however,</w:t>
      </w:r>
      <w:r w:rsidR="00CE1546">
        <w:t xml:space="preserve"> </w:t>
      </w:r>
      <w:r w:rsidR="00847492">
        <w:t>CRA increases for those in need must reflect the reality of local housing markets</w:t>
      </w:r>
      <w:r>
        <w:t xml:space="preserve">.  This is essential to </w:t>
      </w:r>
      <w:r w:rsidR="00847492">
        <w:t xml:space="preserve">avoid entrenching spatial socio-economic disadvantage </w:t>
      </w:r>
      <w:r>
        <w:t xml:space="preserve">through the </w:t>
      </w:r>
      <w:r w:rsidR="00847492">
        <w:t xml:space="preserve">forced location of lower income earners </w:t>
      </w:r>
      <w:r w:rsidR="00CE1546">
        <w:t xml:space="preserve">to </w:t>
      </w:r>
      <w:r w:rsidR="00847492">
        <w:t>city fringes, dislocated from job opportunities and services.</w:t>
      </w:r>
    </w:p>
    <w:p w14:paraId="27FC2FC0" w14:textId="020454D4" w:rsidR="003510DA" w:rsidRDefault="00847492" w:rsidP="003510DA">
      <w:pPr>
        <w:spacing w:after="120"/>
      </w:pPr>
      <w:r>
        <w:t xml:space="preserve">The </w:t>
      </w:r>
      <w:r w:rsidR="009F72CD">
        <w:t xml:space="preserve">Commission’s </w:t>
      </w:r>
      <w:r w:rsidR="003510DA">
        <w:t xml:space="preserve">proposed </w:t>
      </w:r>
      <w:r w:rsidR="008331EB">
        <w:t xml:space="preserve">CRA increase of </w:t>
      </w:r>
      <w:r w:rsidR="009F72CD">
        <w:t xml:space="preserve">15 per cent </w:t>
      </w:r>
      <w:r w:rsidR="003510DA">
        <w:t>is too low to redress th</w:t>
      </w:r>
      <w:r w:rsidR="008331EB">
        <w:t>e</w:t>
      </w:r>
      <w:r w:rsidR="009F72CD">
        <w:t xml:space="preserve"> existing disparity</w:t>
      </w:r>
      <w:r w:rsidR="008331EB">
        <w:t xml:space="preserve"> in indexation, especially in high growth and high cost areas such as Sydney</w:t>
      </w:r>
      <w:r w:rsidR="009F72CD">
        <w:t xml:space="preserve">. We support </w:t>
      </w:r>
      <w:r w:rsidR="008331EB">
        <w:t xml:space="preserve">the Australian Council of Social Service (ACOSS) </w:t>
      </w:r>
      <w:r w:rsidR="00EB587A">
        <w:t xml:space="preserve">call </w:t>
      </w:r>
      <w:r w:rsidR="009F72CD">
        <w:t xml:space="preserve">for a 30 per cent increase in the </w:t>
      </w:r>
      <w:r w:rsidR="009F72CD" w:rsidRPr="009F72CD">
        <w:t xml:space="preserve">CRA maximum rate to </w:t>
      </w:r>
      <w:r w:rsidR="008331EB">
        <w:t>reduce housing stress for</w:t>
      </w:r>
      <w:r w:rsidR="009F72CD" w:rsidRPr="009F72CD">
        <w:t xml:space="preserve"> </w:t>
      </w:r>
      <w:r w:rsidR="008331EB">
        <w:t>low income</w:t>
      </w:r>
      <w:r w:rsidR="008331EB" w:rsidRPr="008331EB">
        <w:t xml:space="preserve"> </w:t>
      </w:r>
      <w:r w:rsidR="008331EB" w:rsidRPr="009F72CD">
        <w:t>renters</w:t>
      </w:r>
      <w:r w:rsidR="009F72CD" w:rsidRPr="009F72CD">
        <w:t>.</w:t>
      </w:r>
      <w:r w:rsidR="009F72CD">
        <w:rPr>
          <w:rStyle w:val="FootnoteReference"/>
        </w:rPr>
        <w:footnoteReference w:id="12"/>
      </w:r>
      <w:r w:rsidR="003510DA">
        <w:t xml:space="preserve"> </w:t>
      </w:r>
    </w:p>
    <w:p w14:paraId="074C9DCA" w14:textId="33486D7C" w:rsidR="006F64FE" w:rsidRDefault="00847492" w:rsidP="008A74E9">
      <w:pPr>
        <w:spacing w:after="120"/>
        <w:rPr>
          <w:color w:val="FF0000"/>
        </w:rPr>
      </w:pPr>
      <w:r>
        <w:t xml:space="preserve">In the context of variable housing markets, the City </w:t>
      </w:r>
      <w:r w:rsidR="009F72CD">
        <w:t>is concerned that the proposal to</w:t>
      </w:r>
      <w:r w:rsidR="003510DA">
        <w:t xml:space="preserve"> </w:t>
      </w:r>
      <w:r w:rsidR="00EB587A">
        <w:t>index CRA</w:t>
      </w:r>
      <w:r w:rsidR="008B4E7A">
        <w:t xml:space="preserve"> to national rental prices </w:t>
      </w:r>
      <w:r w:rsidR="006F64FE">
        <w:t xml:space="preserve">will </w:t>
      </w:r>
      <w:r w:rsidR="008B4E7A">
        <w:t xml:space="preserve">disadvantage tenants in </w:t>
      </w:r>
      <w:r w:rsidR="006F64FE">
        <w:t xml:space="preserve">metropolitan </w:t>
      </w:r>
      <w:r w:rsidR="008B4E7A">
        <w:t>Sydney</w:t>
      </w:r>
      <w:r w:rsidR="006F64FE">
        <w:t xml:space="preserve"> – particularly inner Sydney</w:t>
      </w:r>
      <w:r w:rsidR="008B4E7A">
        <w:t>, which has the highest rental prices in Australia.</w:t>
      </w:r>
      <w:r w:rsidR="004A7B50">
        <w:t xml:space="preserve"> </w:t>
      </w:r>
    </w:p>
    <w:p w14:paraId="10C0AD0C" w14:textId="7C9CFD9E" w:rsidR="00A54AFC" w:rsidRDefault="004A7B50" w:rsidP="008A74E9">
      <w:pPr>
        <w:spacing w:after="120"/>
      </w:pPr>
      <w:r w:rsidRPr="003510DA">
        <w:t>To address this disparity, we recommend CRA is index</w:t>
      </w:r>
      <w:r w:rsidR="003510DA" w:rsidRPr="003510DA">
        <w:t>ed according to</w:t>
      </w:r>
      <w:r w:rsidR="008331EB">
        <w:t xml:space="preserve"> locality</w:t>
      </w:r>
      <w:r w:rsidR="003510DA" w:rsidRPr="003510DA">
        <w:t xml:space="preserve"> to account for regional variations in housing </w:t>
      </w:r>
      <w:r w:rsidR="00AB6364">
        <w:t>market</w:t>
      </w:r>
      <w:r w:rsidR="005768B5">
        <w:t xml:space="preserve"> rents</w:t>
      </w:r>
      <w:r w:rsidR="003510DA" w:rsidRPr="003510DA">
        <w:t>.</w:t>
      </w:r>
      <w:r w:rsidRPr="003510DA">
        <w:t xml:space="preserve"> </w:t>
      </w:r>
    </w:p>
    <w:p w14:paraId="4ABB6619" w14:textId="2C42D90D" w:rsidR="00A54AFC" w:rsidRPr="00A54AFC" w:rsidRDefault="00A54AFC" w:rsidP="00A54AFC">
      <w:pPr>
        <w:spacing w:after="120"/>
        <w:rPr>
          <w:b/>
        </w:rPr>
      </w:pPr>
      <w:r w:rsidRPr="00A54AFC">
        <w:rPr>
          <w:b/>
        </w:rPr>
        <w:t xml:space="preserve">Recommendation 5.2 </w:t>
      </w:r>
      <w:r w:rsidR="00676B32">
        <w:rPr>
          <w:b/>
        </w:rPr>
        <w:t>– M</w:t>
      </w:r>
      <w:r w:rsidR="00494696">
        <w:rPr>
          <w:b/>
        </w:rPr>
        <w:t>arket-based rent for social housing</w:t>
      </w:r>
    </w:p>
    <w:p w14:paraId="775C0D65" w14:textId="77777777" w:rsidR="002A3806" w:rsidRDefault="008A74E9" w:rsidP="00494696">
      <w:pPr>
        <w:spacing w:after="120"/>
      </w:pPr>
      <w:r>
        <w:t>The City does not support the recommendation</w:t>
      </w:r>
      <w:r w:rsidR="00DF112A">
        <w:t>s</w:t>
      </w:r>
      <w:r>
        <w:t xml:space="preserve"> to abolish the current income-based proportional assistance model and charge social housing tenants market rent.</w:t>
      </w:r>
      <w:r w:rsidR="00494696">
        <w:t xml:space="preserve"> </w:t>
      </w:r>
    </w:p>
    <w:p w14:paraId="2600417A" w14:textId="3DE22CAC" w:rsidR="002A3806" w:rsidRDefault="002A3806" w:rsidP="00494696">
      <w:pPr>
        <w:spacing w:after="120"/>
      </w:pPr>
      <w:r>
        <w:t>Affordability can only genuinely be measured according to a households’ ability to pay, whatever the housing market conditions. That is why the affordable housing programs operating in this City of Sydney are on the basis of rents being capped at less than 30 per cent gross household income. In the inner city, where the investor-driven rental markets is far beyond the realms of affordability  for lowest income earners, 20 per cent below-market rent caps (as are in place in other parts of the NSW community housing sector) are still above lower income households’ ability to pay.</w:t>
      </w:r>
    </w:p>
    <w:p w14:paraId="1248A487" w14:textId="72A4DCA4" w:rsidR="00494696" w:rsidRDefault="002A3806" w:rsidP="00494696">
      <w:pPr>
        <w:spacing w:after="120"/>
      </w:pPr>
      <w:r>
        <w:t xml:space="preserve">In this context, the </w:t>
      </w:r>
      <w:r w:rsidR="00494696" w:rsidRPr="00BD0CDF">
        <w:t xml:space="preserve">long term consequences of </w:t>
      </w:r>
      <w:r>
        <w:t xml:space="preserve">the proposed </w:t>
      </w:r>
      <w:r w:rsidR="00494696" w:rsidRPr="00BD0CDF">
        <w:t xml:space="preserve">rent-pegging policy will be detrimental to </w:t>
      </w:r>
      <w:r w:rsidR="007B3AA4">
        <w:t xml:space="preserve">social housing tenants, </w:t>
      </w:r>
      <w:r w:rsidR="00042F13" w:rsidRPr="00BD0CDF">
        <w:t>Sydney</w:t>
      </w:r>
      <w:r w:rsidR="00042F13">
        <w:t>’s</w:t>
      </w:r>
      <w:r w:rsidR="00042F13" w:rsidRPr="00BD0CDF">
        <w:t xml:space="preserve"> </w:t>
      </w:r>
      <w:r w:rsidR="00494696" w:rsidRPr="00BD0CDF">
        <w:t>economic growth</w:t>
      </w:r>
      <w:r w:rsidR="007B3AA4">
        <w:t xml:space="preserve"> and</w:t>
      </w:r>
      <w:r w:rsidR="00494696" w:rsidRPr="00BD0CDF">
        <w:t xml:space="preserve"> productivity</w:t>
      </w:r>
      <w:r w:rsidR="007B3AA4">
        <w:t>,</w:t>
      </w:r>
      <w:r w:rsidR="00494696" w:rsidRPr="00BD0CDF">
        <w:t xml:space="preserve"> and </w:t>
      </w:r>
      <w:r w:rsidR="00042F13">
        <w:t xml:space="preserve">the </w:t>
      </w:r>
      <w:r w:rsidR="00494696" w:rsidRPr="00BD0CDF">
        <w:t xml:space="preserve">social and economic resilience </w:t>
      </w:r>
      <w:r w:rsidR="00042F13">
        <w:t xml:space="preserve">of the </w:t>
      </w:r>
      <w:r w:rsidR="00494696" w:rsidRPr="00BD0CDF">
        <w:t>wider Sydney metropolitan area.</w:t>
      </w:r>
      <w:r w:rsidR="00494696" w:rsidRPr="009E5A20">
        <w:t xml:space="preserve"> </w:t>
      </w:r>
      <w:r>
        <w:t xml:space="preserve"> It will effectively expel recipients of government-subsidised housing to Sydney’s fringes – as the City has made clear in recent submissions to </w:t>
      </w:r>
      <w:r w:rsidR="00D7360E">
        <w:t xml:space="preserve">the Independent Pricing and </w:t>
      </w:r>
      <w:r w:rsidR="00D7360E" w:rsidRPr="00D7360E">
        <w:t>Regulatory Tribunal of NSW’s (IPART) Review of rent models for social and affordable housing</w:t>
      </w:r>
      <w:r w:rsidRPr="00D7360E">
        <w:t>.</w:t>
      </w:r>
      <w:r w:rsidRPr="00D7360E">
        <w:rPr>
          <w:rStyle w:val="FootnoteReference"/>
        </w:rPr>
        <w:footnoteReference w:id="13"/>
      </w:r>
    </w:p>
    <w:p w14:paraId="07DC818C" w14:textId="71C48588" w:rsidR="009E5A20" w:rsidRDefault="00D52326" w:rsidP="004A7B50">
      <w:pPr>
        <w:spacing w:after="120"/>
      </w:pPr>
      <w:r>
        <w:t xml:space="preserve">The City has grave concerns about the impact on Sydney’s inner city community of the proposed pegging of </w:t>
      </w:r>
      <w:r w:rsidRPr="009E5A20">
        <w:t>social housing rents to market rents</w:t>
      </w:r>
      <w:r>
        <w:t>.</w:t>
      </w:r>
      <w:r w:rsidRPr="00F0060F">
        <w:t xml:space="preserve"> </w:t>
      </w:r>
      <w:r w:rsidR="00F0060F" w:rsidRPr="00F0060F">
        <w:t xml:space="preserve">High housing costs are </w:t>
      </w:r>
      <w:r w:rsidR="00F0060F">
        <w:t xml:space="preserve">already </w:t>
      </w:r>
      <w:r w:rsidR="00F0060F" w:rsidRPr="00F0060F">
        <w:t xml:space="preserve">the biggest source of financial stress </w:t>
      </w:r>
      <w:r w:rsidR="00F0060F">
        <w:t>for</w:t>
      </w:r>
      <w:r w:rsidR="00F0060F" w:rsidRPr="00F0060F">
        <w:t xml:space="preserve"> many households, particularly those on low incomes. </w:t>
      </w:r>
      <w:r w:rsidR="00494696">
        <w:t>Around</w:t>
      </w:r>
      <w:r w:rsidR="009E5A20" w:rsidRPr="004A7B50">
        <w:t xml:space="preserve"> 90</w:t>
      </w:r>
      <w:r w:rsidR="00042F13">
        <w:t xml:space="preserve"> per cent</w:t>
      </w:r>
      <w:r w:rsidR="009E5A20" w:rsidRPr="004A7B50">
        <w:t xml:space="preserve"> of social housing tenants </w:t>
      </w:r>
      <w:r w:rsidR="00F0060F">
        <w:t>are reliant on government income support payments</w:t>
      </w:r>
      <w:r w:rsidR="00494696">
        <w:t>. Given</w:t>
      </w:r>
      <w:r w:rsidR="00F0060F">
        <w:t xml:space="preserve"> Sydney’s </w:t>
      </w:r>
      <w:r w:rsidR="009E5A20">
        <w:t xml:space="preserve">high </w:t>
      </w:r>
      <w:r w:rsidR="009E5A20" w:rsidRPr="00BD0CDF">
        <w:t xml:space="preserve">and rising market rents (see the City’s </w:t>
      </w:r>
      <w:hyperlink r:id="rId14" w:anchor="page-element-dload" w:history="1">
        <w:r w:rsidR="009E5A20" w:rsidRPr="00BD0CDF">
          <w:rPr>
            <w:rStyle w:val="Hyperlink"/>
          </w:rPr>
          <w:t>Housing Issues Paper</w:t>
        </w:r>
      </w:hyperlink>
      <w:r w:rsidR="009E5A20" w:rsidRPr="00BD0CDF">
        <w:rPr>
          <w:vertAlign w:val="superscript"/>
        </w:rPr>
        <w:footnoteReference w:id="14"/>
      </w:r>
      <w:r w:rsidR="009E5A20" w:rsidRPr="00BD0CDF">
        <w:t xml:space="preserve"> and </w:t>
      </w:r>
      <w:hyperlink r:id="rId15" w:history="1">
        <w:r w:rsidR="009E5A20" w:rsidRPr="00BD0CDF">
          <w:rPr>
            <w:rStyle w:val="Hyperlink"/>
          </w:rPr>
          <w:t>Housing Audit June 2016</w:t>
        </w:r>
      </w:hyperlink>
      <w:r w:rsidR="009E5A20" w:rsidRPr="00BD0CDF">
        <w:rPr>
          <w:vertAlign w:val="superscript"/>
        </w:rPr>
        <w:footnoteReference w:id="15"/>
      </w:r>
      <w:r w:rsidR="009E5A20" w:rsidRPr="00BD0CDF">
        <w:t xml:space="preserve"> </w:t>
      </w:r>
      <w:r w:rsidR="009E5A20">
        <w:t>for recent data)</w:t>
      </w:r>
      <w:r w:rsidR="008A74E9">
        <w:t>,</w:t>
      </w:r>
      <w:r w:rsidR="004A7B50" w:rsidRPr="004A7B50">
        <w:t xml:space="preserve"> </w:t>
      </w:r>
      <w:r w:rsidR="0066204F">
        <w:lastRenderedPageBreak/>
        <w:t>we</w:t>
      </w:r>
      <w:r w:rsidR="004A7B50" w:rsidRPr="004A7B50">
        <w:t xml:space="preserve"> question the </w:t>
      </w:r>
      <w:r w:rsidR="008A74E9">
        <w:t xml:space="preserve">capacity of this </w:t>
      </w:r>
      <w:r w:rsidR="004A7B50" w:rsidRPr="004A7B50">
        <w:t>group</w:t>
      </w:r>
      <w:r w:rsidR="008A74E9">
        <w:t xml:space="preserve"> to sustain market-based rental tenancies</w:t>
      </w:r>
      <w:r w:rsidR="0066204F">
        <w:t xml:space="preserve"> in the city</w:t>
      </w:r>
      <w:r w:rsidR="00494696">
        <w:t>,</w:t>
      </w:r>
      <w:r w:rsidR="009E5A20">
        <w:t xml:space="preserve"> </w:t>
      </w:r>
      <w:r w:rsidR="008A74E9">
        <w:t>even with an</w:t>
      </w:r>
      <w:r w:rsidR="00DF112A">
        <w:t xml:space="preserve"> proposed</w:t>
      </w:r>
      <w:r w:rsidR="008A74E9">
        <w:t xml:space="preserve"> increase to CRA. </w:t>
      </w:r>
    </w:p>
    <w:p w14:paraId="4075093B" w14:textId="0237284E" w:rsidR="002B4EEC" w:rsidRDefault="002A3806" w:rsidP="00EB587A">
      <w:pPr>
        <w:spacing w:after="120"/>
      </w:pPr>
      <w:r>
        <w:t xml:space="preserve">Introducing market-based social housing rents will </w:t>
      </w:r>
      <w:r w:rsidR="00EB587A" w:rsidRPr="00BD0CDF">
        <w:t>have severe adverse social consequences – dislocating long-established communities and reducing access to jobs and services</w:t>
      </w:r>
      <w:r>
        <w:t xml:space="preserve"> for those already facing multiple disadvantage</w:t>
      </w:r>
      <w:r w:rsidR="00D52326">
        <w:t>s</w:t>
      </w:r>
      <w:r w:rsidR="00EB587A" w:rsidRPr="00BD0CDF">
        <w:t>. Forcing the lowest income earners and the most dis</w:t>
      </w:r>
      <w:r w:rsidR="00EB587A">
        <w:t xml:space="preserve">advantaged to Sydney’s fringes </w:t>
      </w:r>
      <w:r w:rsidR="00EB587A" w:rsidRPr="00BD0CDF">
        <w:t>will undermine socio-economic diversity in the inner city and further entrench geospatial socio-economic inequality</w:t>
      </w:r>
      <w:r w:rsidR="002B4EEC">
        <w:t xml:space="preserve"> across the Sydney metropolitan area</w:t>
      </w:r>
      <w:r w:rsidR="00EB587A" w:rsidRPr="00BD0CDF">
        <w:t xml:space="preserve">. </w:t>
      </w:r>
    </w:p>
    <w:p w14:paraId="31629BAC" w14:textId="1DCC44B8" w:rsidR="00EB587A" w:rsidRPr="00BD0CDF" w:rsidRDefault="00EB587A" w:rsidP="00EB587A">
      <w:pPr>
        <w:spacing w:after="120"/>
      </w:pPr>
      <w:r w:rsidRPr="00BD0CDF">
        <w:t xml:space="preserve">People who are disadvantaged will increasingly be ghettoised in fringe suburbs </w:t>
      </w:r>
      <w:r>
        <w:t>of our cities, compounding their hardship through increased</w:t>
      </w:r>
      <w:r w:rsidRPr="00BD0CDF">
        <w:t xml:space="preserve"> transport costs</w:t>
      </w:r>
      <w:r>
        <w:t xml:space="preserve"> and greater difficulty acc</w:t>
      </w:r>
      <w:r w:rsidRPr="00BD0CDF">
        <w:t>essi</w:t>
      </w:r>
      <w:r>
        <w:t>ng</w:t>
      </w:r>
      <w:r w:rsidRPr="00BD0CDF">
        <w:t xml:space="preserve"> jobs </w:t>
      </w:r>
      <w:r>
        <w:t>and services</w:t>
      </w:r>
      <w:r w:rsidRPr="00BD0CDF">
        <w:t xml:space="preserve">. </w:t>
      </w:r>
    </w:p>
    <w:p w14:paraId="2EFAD7B9" w14:textId="193523D9" w:rsidR="00613500" w:rsidRPr="00BD0CDF" w:rsidRDefault="00613500" w:rsidP="00613500">
      <w:pPr>
        <w:spacing w:after="120"/>
      </w:pPr>
      <w:r>
        <w:t>C</w:t>
      </w:r>
      <w:r w:rsidRPr="00BD0CDF">
        <w:t>ommunity housing providers have informed the City of situations whereby pegging their rents to the market in Sydney (the NSW Government permits CHPs to charge up to 80</w:t>
      </w:r>
      <w:r w:rsidR="002B4EEC">
        <w:t xml:space="preserve"> per cent</w:t>
      </w:r>
      <w:r w:rsidRPr="00BD0CDF">
        <w:t xml:space="preserve"> of market rent) rather than to incomes (as the City’s affordable housing programs do – 30</w:t>
      </w:r>
      <w:r w:rsidR="002B4EEC">
        <w:t xml:space="preserve"> per cent</w:t>
      </w:r>
      <w:r w:rsidR="002B4EEC" w:rsidRPr="00BD0CDF">
        <w:t xml:space="preserve"> </w:t>
      </w:r>
      <w:r w:rsidRPr="00BD0CDF">
        <w:t>of income being the cap applied, with regard to the definition of housing stress) has resulted in affordable housing developments being unaffordable to the</w:t>
      </w:r>
      <w:r w:rsidR="002B4EEC">
        <w:t>ir</w:t>
      </w:r>
      <w:r w:rsidRPr="00BD0CDF">
        <w:t xml:space="preserve"> target tenant base</w:t>
      </w:r>
      <w:r w:rsidR="002B4EEC">
        <w:t xml:space="preserve"> and needing to be reduced</w:t>
      </w:r>
      <w:r w:rsidRPr="00BD0CDF">
        <w:t xml:space="preserve">.  </w:t>
      </w:r>
    </w:p>
    <w:p w14:paraId="68329D8F" w14:textId="77777777" w:rsidR="00042F13" w:rsidRDefault="00613500" w:rsidP="00042F13">
      <w:pPr>
        <w:spacing w:after="120"/>
      </w:pPr>
      <w:r w:rsidRPr="00BD0CDF">
        <w:t xml:space="preserve">This scenario is applicable in a more extreme way when it comes to social housing. Introducing a system for social housing rents whereby rents are linked to the housing market but social benefits-based incomes are </w:t>
      </w:r>
      <w:r w:rsidR="005D4E81">
        <w:t>linked to</w:t>
      </w:r>
      <w:r w:rsidR="00A11796">
        <w:t xml:space="preserve"> consumer price and wage</w:t>
      </w:r>
      <w:r w:rsidR="005D4E81">
        <w:t xml:space="preserve"> indexation</w:t>
      </w:r>
      <w:r w:rsidRPr="00BD0CDF">
        <w:t xml:space="preserve">, will </w:t>
      </w:r>
      <w:r w:rsidR="005D4E81">
        <w:t>inevitably leave social housing tenants worse off.</w:t>
      </w:r>
      <w:r w:rsidR="00042F13">
        <w:t xml:space="preserve"> If this proposal is implemented, the City strongly advocates the Commonwealth Government to</w:t>
      </w:r>
      <w:r w:rsidR="00042F13" w:rsidRPr="00042F13">
        <w:t xml:space="preserve"> </w:t>
      </w:r>
      <w:r w:rsidR="00042F13">
        <w:t>increase income support payments</w:t>
      </w:r>
      <w:r w:rsidR="00042F13" w:rsidRPr="005D4E81">
        <w:t xml:space="preserve"> to </w:t>
      </w:r>
      <w:r w:rsidR="00042F13">
        <w:t xml:space="preserve">a level that provides </w:t>
      </w:r>
      <w:r w:rsidR="00042F13" w:rsidRPr="005D4E81">
        <w:t>a</w:t>
      </w:r>
      <w:r w:rsidR="00042F13">
        <w:t xml:space="preserve"> decent</w:t>
      </w:r>
      <w:r w:rsidR="00042F13" w:rsidRPr="005D4E81">
        <w:t xml:space="preserve"> </w:t>
      </w:r>
      <w:r w:rsidR="00042F13">
        <w:t>standard of living and ensures no one lives in poverty.</w:t>
      </w:r>
    </w:p>
    <w:p w14:paraId="0F6C5D61" w14:textId="60B6C694" w:rsidR="00E67F5C" w:rsidRDefault="00613500" w:rsidP="00613500">
      <w:pPr>
        <w:spacing w:after="120"/>
      </w:pPr>
      <w:r>
        <w:t xml:space="preserve">The City has reservations about the proposed </w:t>
      </w:r>
      <w:r w:rsidR="00EB587A">
        <w:t>‘</w:t>
      </w:r>
      <w:r>
        <w:t>high-cost housing payment</w:t>
      </w:r>
      <w:r w:rsidR="00EB587A">
        <w:t>’</w:t>
      </w:r>
      <w:r>
        <w:t xml:space="preserve"> to be funded by State and Territory Governments. </w:t>
      </w:r>
      <w:r w:rsidR="00D52326">
        <w:t xml:space="preserve">The </w:t>
      </w:r>
      <w:r w:rsidR="00E67F5C">
        <w:t>NSW Government’s sale of public ho</w:t>
      </w:r>
      <w:r w:rsidR="00D52326">
        <w:t xml:space="preserve">using in Sydney’s Millers Point, Dawes Point and the Rocks </w:t>
      </w:r>
      <w:r w:rsidR="00E67F5C">
        <w:t>illus</w:t>
      </w:r>
      <w:r w:rsidR="00D52326">
        <w:t xml:space="preserve">trates the high risk that inner </w:t>
      </w:r>
      <w:r w:rsidR="00E67F5C">
        <w:t>city social housing tenants living in ‘in-demand’ properties will not be compensated to allow them to remain in their homes, further entrenching geospatial inequality in our cities.</w:t>
      </w:r>
    </w:p>
    <w:p w14:paraId="78D3707B" w14:textId="4BCA445F" w:rsidR="00613500" w:rsidRDefault="00D52326" w:rsidP="00613500">
      <w:pPr>
        <w:spacing w:after="120"/>
      </w:pPr>
      <w:r>
        <w:t xml:space="preserve">The high cost of housing in Sydney combined with historic underfunding of the NSW social housing system raises doubts about the state government’s commitment or capacity </w:t>
      </w:r>
      <w:r w:rsidR="00613500">
        <w:t>to adequately fund social housing tenants to cover the cost of market rental housing, particularly in expensive areas such as Sydney.</w:t>
      </w:r>
      <w:r w:rsidR="00E67F5C">
        <w:t xml:space="preserve"> </w:t>
      </w:r>
      <w:r w:rsidR="0066204F">
        <w:t>If implemented, governments must guarantee that social housing tenants will not be financially worse off as a result</w:t>
      </w:r>
      <w:r w:rsidR="00E67F5C">
        <w:t xml:space="preserve"> and that the existing number of social housing places in the inner-city will be maintained to preserve socio-economic diversity and vibrancy</w:t>
      </w:r>
      <w:r w:rsidR="0066204F">
        <w:t>.</w:t>
      </w:r>
    </w:p>
    <w:p w14:paraId="628F1059" w14:textId="18B8925B" w:rsidR="00A54AFC" w:rsidRPr="00A54AFC" w:rsidRDefault="00A54AFC" w:rsidP="00494696">
      <w:pPr>
        <w:spacing w:after="120"/>
        <w:rPr>
          <w:b/>
        </w:rPr>
      </w:pPr>
      <w:r w:rsidRPr="00A54AFC">
        <w:rPr>
          <w:b/>
        </w:rPr>
        <w:t xml:space="preserve">Recommendation 5.3 </w:t>
      </w:r>
      <w:r w:rsidR="00676B32">
        <w:rPr>
          <w:b/>
        </w:rPr>
        <w:t>–</w:t>
      </w:r>
      <w:r w:rsidR="00494696">
        <w:rPr>
          <w:b/>
        </w:rPr>
        <w:t xml:space="preserve"> </w:t>
      </w:r>
      <w:r w:rsidR="00676B32">
        <w:rPr>
          <w:b/>
        </w:rPr>
        <w:t>C</w:t>
      </w:r>
      <w:r w:rsidR="00494696" w:rsidRPr="00494696">
        <w:rPr>
          <w:b/>
        </w:rPr>
        <w:t>hoice-based letting for social housing</w:t>
      </w:r>
    </w:p>
    <w:p w14:paraId="2573154E" w14:textId="77777777" w:rsidR="00613500" w:rsidRDefault="00613500" w:rsidP="00A54AFC">
      <w:pPr>
        <w:spacing w:after="120"/>
      </w:pPr>
      <w:r>
        <w:t>The City supports the principle of user choice</w:t>
      </w:r>
      <w:r w:rsidRPr="00613500">
        <w:t xml:space="preserve"> </w:t>
      </w:r>
      <w:r>
        <w:t xml:space="preserve">and choice-based letting for tenants entering into and transferring between social housing properties. However </w:t>
      </w:r>
      <w:r w:rsidR="005D31A1">
        <w:t xml:space="preserve">we do not </w:t>
      </w:r>
      <w:r w:rsidR="0061064E">
        <w:t xml:space="preserve">agree with the Commission’s conclusion </w:t>
      </w:r>
      <w:r w:rsidR="005D31A1">
        <w:t xml:space="preserve">that </w:t>
      </w:r>
      <w:r w:rsidR="0061064E">
        <w:t>giving tenants choice</w:t>
      </w:r>
      <w:r w:rsidR="005D31A1">
        <w:t xml:space="preserve"> to </w:t>
      </w:r>
      <w:r w:rsidR="0061064E">
        <w:t xml:space="preserve">access </w:t>
      </w:r>
      <w:r w:rsidR="005D31A1">
        <w:t xml:space="preserve">private rental housing </w:t>
      </w:r>
      <w:r w:rsidR="0061064E">
        <w:t>will increase the availability of social housing for those most in need. This is due to</w:t>
      </w:r>
      <w:r>
        <w:t xml:space="preserve"> </w:t>
      </w:r>
      <w:r w:rsidR="007B3AA4">
        <w:t xml:space="preserve">the </w:t>
      </w:r>
      <w:r w:rsidR="00AD603B">
        <w:t>lack</w:t>
      </w:r>
      <w:r w:rsidR="005D31A1">
        <w:t xml:space="preserve"> </w:t>
      </w:r>
      <w:r w:rsidR="007B3AA4">
        <w:t>of affordable market and non-market housing</w:t>
      </w:r>
      <w:r w:rsidR="0061064E">
        <w:t xml:space="preserve"> </w:t>
      </w:r>
      <w:r w:rsidR="00EB587A">
        <w:t>across</w:t>
      </w:r>
      <w:r w:rsidR="0061064E">
        <w:t xml:space="preserve"> Australia</w:t>
      </w:r>
      <w:r>
        <w:t xml:space="preserve">. </w:t>
      </w:r>
    </w:p>
    <w:p w14:paraId="4B050530" w14:textId="4765C5ED" w:rsidR="0066204F" w:rsidRDefault="00AD603B" w:rsidP="00AD603B">
      <w:pPr>
        <w:spacing w:after="120"/>
      </w:pPr>
      <w:r>
        <w:t>Th</w:t>
      </w:r>
      <w:r w:rsidR="0066204F">
        <w:t>e</w:t>
      </w:r>
      <w:r>
        <w:t xml:space="preserve"> chronic undersupply of affordable rental housing is illustrated in </w:t>
      </w:r>
      <w:r w:rsidRPr="005D31A1">
        <w:t xml:space="preserve">Anglicare Australia's </w:t>
      </w:r>
      <w:r>
        <w:t xml:space="preserve">most recent </w:t>
      </w:r>
      <w:r w:rsidRPr="005D31A1">
        <w:t>Rental Affordability Snapshot</w:t>
      </w:r>
      <w:r>
        <w:t>.</w:t>
      </w:r>
      <w:r>
        <w:rPr>
          <w:rStyle w:val="FootnoteReference"/>
        </w:rPr>
        <w:footnoteReference w:id="16"/>
      </w:r>
      <w:r w:rsidRPr="005D31A1">
        <w:t xml:space="preserve"> It shows </w:t>
      </w:r>
      <w:r w:rsidR="002344E6">
        <w:t>that at a national level only 6 per cent</w:t>
      </w:r>
      <w:r w:rsidRPr="005D31A1">
        <w:t xml:space="preserve"> of dwellings </w:t>
      </w:r>
      <w:r w:rsidRPr="005D31A1">
        <w:lastRenderedPageBreak/>
        <w:t xml:space="preserve">surveyed were </w:t>
      </w:r>
      <w:r>
        <w:t xml:space="preserve">affordable for </w:t>
      </w:r>
      <w:r w:rsidRPr="005D31A1">
        <w:t xml:space="preserve">households in receipt of government </w:t>
      </w:r>
      <w:r>
        <w:t xml:space="preserve">income support payments. </w:t>
      </w:r>
      <w:r w:rsidR="005D4E81">
        <w:t xml:space="preserve">This situation is worse in NSW and Greater </w:t>
      </w:r>
      <w:r w:rsidR="005D4E81" w:rsidRPr="0066204F">
        <w:t>Sydney, where</w:t>
      </w:r>
      <w:r w:rsidR="0066204F" w:rsidRPr="0066204F">
        <w:t xml:space="preserve"> only 26 properties out of 13</w:t>
      </w:r>
      <w:r w:rsidR="0066204F">
        <w:t>,</w:t>
      </w:r>
      <w:r w:rsidR="0066204F" w:rsidRPr="0066204F">
        <w:t xml:space="preserve">447 </w:t>
      </w:r>
      <w:r w:rsidR="0066204F">
        <w:t xml:space="preserve">(0.20 per cent) </w:t>
      </w:r>
      <w:r w:rsidR="0066204F" w:rsidRPr="0066204F">
        <w:t xml:space="preserve">were </w:t>
      </w:r>
      <w:r w:rsidR="002344E6">
        <w:t>affordable and appropriate for h</w:t>
      </w:r>
      <w:r w:rsidR="0066204F" w:rsidRPr="0066204F">
        <w:t>ouseholds on income support payments</w:t>
      </w:r>
      <w:r w:rsidR="0066204F">
        <w:t>.</w:t>
      </w:r>
      <w:r w:rsidR="0066204F">
        <w:rPr>
          <w:rStyle w:val="FootnoteReference"/>
        </w:rPr>
        <w:footnoteReference w:id="17"/>
      </w:r>
      <w:r w:rsidR="0066204F" w:rsidRPr="0066204F">
        <w:t xml:space="preserve"> </w:t>
      </w:r>
    </w:p>
    <w:p w14:paraId="1AA4D097" w14:textId="73C1DF4C" w:rsidR="00AD603B" w:rsidRDefault="00AD603B" w:rsidP="00AD603B">
      <w:pPr>
        <w:spacing w:after="120"/>
      </w:pPr>
      <w:r>
        <w:t xml:space="preserve">This situation is not new or unusual. Over </w:t>
      </w:r>
      <w:r w:rsidR="0066204F">
        <w:t xml:space="preserve">the </w:t>
      </w:r>
      <w:r>
        <w:t xml:space="preserve">eight years of </w:t>
      </w:r>
      <w:r w:rsidR="0066204F">
        <w:t xml:space="preserve">Anglicare’s </w:t>
      </w:r>
      <w:r>
        <w:t>research</w:t>
      </w:r>
      <w:r w:rsidR="0066204F">
        <w:t>,</w:t>
      </w:r>
      <w:r>
        <w:t xml:space="preserve"> rental stress in Australia has been consistently bad or gotten worse. The report concludes</w:t>
      </w:r>
      <w:r w:rsidRPr="00AD603B">
        <w:t xml:space="preserve"> </w:t>
      </w:r>
      <w:r>
        <w:t xml:space="preserve">that </w:t>
      </w:r>
      <w:r w:rsidRPr="00AD603B">
        <w:t>for most people living on a low income in Australia</w:t>
      </w:r>
      <w:r w:rsidR="00A86486">
        <w:t>, ‘</w:t>
      </w:r>
      <w:r>
        <w:t>…</w:t>
      </w:r>
      <w:r w:rsidRPr="00AD603B">
        <w:t>there is almost nothing available on the market that could be a place to call home</w:t>
      </w:r>
      <w:r w:rsidR="00A86486">
        <w:t>.’</w:t>
      </w:r>
      <w:r>
        <w:rPr>
          <w:rStyle w:val="FootnoteReference"/>
        </w:rPr>
        <w:footnoteReference w:id="18"/>
      </w:r>
    </w:p>
    <w:p w14:paraId="3FE2F5A4" w14:textId="77777777" w:rsidR="00222336" w:rsidRDefault="0066204F" w:rsidP="00A54AFC">
      <w:pPr>
        <w:spacing w:after="120"/>
      </w:pPr>
      <w:r w:rsidRPr="00F0060F">
        <w:t>Australia has a shortfall of housing supply, estimated to be over 500,000 rental dwellings that are both affordable and available to the lowest income households.</w:t>
      </w:r>
      <w:r w:rsidRPr="00F0060F">
        <w:rPr>
          <w:vertAlign w:val="superscript"/>
        </w:rPr>
        <w:footnoteReference w:id="19"/>
      </w:r>
      <w:r>
        <w:t xml:space="preserve"> </w:t>
      </w:r>
      <w:r w:rsidR="00AC0589">
        <w:t>The C</w:t>
      </w:r>
      <w:r w:rsidR="00222336">
        <w:t xml:space="preserve">ity recognises that Commonwealth and NSW governments have progressed some initiatives to increase the supply of affordable housing, such as finance bond aggregators and affordable housing funds. However these measures are limited and will not deliver the scale or size of investment that is needed to meet current </w:t>
      </w:r>
      <w:r w:rsidR="00EB587A">
        <w:t>or</w:t>
      </w:r>
      <w:r w:rsidR="00222336">
        <w:t xml:space="preserve"> future demand.</w:t>
      </w:r>
      <w:r w:rsidR="00F0060F">
        <w:t xml:space="preserve"> </w:t>
      </w:r>
    </w:p>
    <w:p w14:paraId="00F664AE" w14:textId="77777777" w:rsidR="00494696" w:rsidRDefault="00613500" w:rsidP="00A54AFC">
      <w:pPr>
        <w:spacing w:after="120"/>
      </w:pPr>
      <w:r w:rsidRPr="00613500">
        <w:t xml:space="preserve">The City would like to see a clear commitment from </w:t>
      </w:r>
      <w:r>
        <w:t xml:space="preserve">Commonwealth and </w:t>
      </w:r>
      <w:r w:rsidRPr="00613500">
        <w:t>NSW Government</w:t>
      </w:r>
      <w:r>
        <w:t>s</w:t>
      </w:r>
      <w:r w:rsidRPr="00613500">
        <w:t xml:space="preserve"> to ensuring there is adequate safe, secure and quality social housing and affordable housing supply to meet need. The need for investment in social housing is the result of the failure of the private market to deliver housing for all people across the socio-economic spectrum. Meeting this challenge requires an absolute policy commitment and a strong funding commitment with it.</w:t>
      </w:r>
    </w:p>
    <w:p w14:paraId="0781215C" w14:textId="395BA61B" w:rsidR="00F0060F" w:rsidRDefault="005D31A1" w:rsidP="00AC0589">
      <w:pPr>
        <w:spacing w:after="120"/>
      </w:pPr>
      <w:r>
        <w:t xml:space="preserve">Without such an investment in the supply of </w:t>
      </w:r>
      <w:r w:rsidR="00F0060F">
        <w:t xml:space="preserve">social housing and affordable market and non-market housing, choice-based letting will be a hollow offering for tenants on low-incomes. </w:t>
      </w:r>
      <w:r w:rsidR="00AC0589">
        <w:t xml:space="preserve">Already we are seeing the impacts of the chronic lack of affordable housing manifest in the rising numbers of people who are </w:t>
      </w:r>
      <w:r w:rsidR="00F818BF">
        <w:t xml:space="preserve">experiencing </w:t>
      </w:r>
      <w:r w:rsidR="00AC0589">
        <w:t xml:space="preserve">homelessness. The City’s February 2017 </w:t>
      </w:r>
      <w:r w:rsidR="00AC0589">
        <w:rPr>
          <w:lang w:val="en"/>
        </w:rPr>
        <w:t xml:space="preserve">Street Count recorded 948 </w:t>
      </w:r>
      <w:r w:rsidR="00CF52A3">
        <w:rPr>
          <w:lang w:val="en"/>
        </w:rPr>
        <w:t xml:space="preserve">homeless people in our local area, including </w:t>
      </w:r>
      <w:r w:rsidR="00F818BF">
        <w:rPr>
          <w:lang w:val="en"/>
        </w:rPr>
        <w:t xml:space="preserve">433 </w:t>
      </w:r>
      <w:r w:rsidR="00AC0589">
        <w:rPr>
          <w:lang w:val="en"/>
        </w:rPr>
        <w:t xml:space="preserve">sleeping rough </w:t>
      </w:r>
      <w:r w:rsidR="00CF52A3">
        <w:rPr>
          <w:lang w:val="en"/>
        </w:rPr>
        <w:t>and others in temporary and crisis accommodation and hospitals.</w:t>
      </w:r>
      <w:r w:rsidR="00CF52A3">
        <w:rPr>
          <w:rStyle w:val="FootnoteReference"/>
          <w:lang w:val="en"/>
        </w:rPr>
        <w:footnoteReference w:id="20"/>
      </w:r>
    </w:p>
    <w:p w14:paraId="7FE97819" w14:textId="6BFF4F21" w:rsidR="00506BD6" w:rsidRPr="00506BD6" w:rsidRDefault="00506BD6" w:rsidP="00506BD6">
      <w:pPr>
        <w:spacing w:after="120"/>
      </w:pPr>
      <w:r w:rsidRPr="00506BD6">
        <w:t xml:space="preserve">To provide real choice to tenants, the Commonwealth must not only deliver substantially increased affordable housing stock, but it must also improve rental standards and tenancy regulation. Tenants in the private rental market face insecurity of tenure and in a demand-driven market often lack the power to enforce their rights to the maintenance of safe and secure accommodation. Any move to </w:t>
      </w:r>
      <w:r w:rsidR="00CF52A3">
        <w:t xml:space="preserve">expose social housing tenants to the </w:t>
      </w:r>
      <w:r w:rsidR="00496C4F" w:rsidRPr="00506BD6">
        <w:t xml:space="preserve">private rental market </w:t>
      </w:r>
      <w:r w:rsidRPr="00506BD6">
        <w:t xml:space="preserve">must also be accompanied by reforms to the Residential Tenancies legislation </w:t>
      </w:r>
      <w:r w:rsidR="008A01F5">
        <w:t xml:space="preserve">nationally </w:t>
      </w:r>
      <w:r w:rsidRPr="00506BD6">
        <w:t>to provide better protection for tenants and longer-term tenancies.</w:t>
      </w:r>
    </w:p>
    <w:p w14:paraId="3AB14CD5" w14:textId="02B2FDC0" w:rsidR="00A54AFC" w:rsidRDefault="00A54AFC" w:rsidP="00A54AFC">
      <w:pPr>
        <w:spacing w:after="120"/>
        <w:rPr>
          <w:b/>
        </w:rPr>
      </w:pPr>
      <w:r>
        <w:rPr>
          <w:b/>
        </w:rPr>
        <w:t>Recommendation 5.4</w:t>
      </w:r>
      <w:r w:rsidR="00676B32">
        <w:rPr>
          <w:b/>
        </w:rPr>
        <w:t xml:space="preserve"> – C</w:t>
      </w:r>
      <w:r w:rsidR="00494696">
        <w:rPr>
          <w:b/>
        </w:rPr>
        <w:t>ontestable social housing property management</w:t>
      </w:r>
    </w:p>
    <w:p w14:paraId="3EDD5F45" w14:textId="77777777" w:rsidR="00BD0CDF" w:rsidRDefault="00C27AF5" w:rsidP="00C27AF5">
      <w:pPr>
        <w:spacing w:after="120"/>
      </w:pPr>
      <w:r w:rsidRPr="005308DF">
        <w:t xml:space="preserve">The City supports the recommendation to make the management of social housing properties contestable and open to all providers on a staged basis. The </w:t>
      </w:r>
      <w:r w:rsidRPr="00C27AF5">
        <w:t xml:space="preserve">City believes the community housing sector is the future of social housing. The City supports the divestment of public housing assets to the community housing sector to enable providers to leverage assets for growth and expansion. However, the sector in NSW faces similar financial viability challenges to those of state government, and will need continued government subsidies in the short-to-medium term. </w:t>
      </w:r>
    </w:p>
    <w:p w14:paraId="7A887D31" w14:textId="77777777" w:rsidR="00F72A55" w:rsidRDefault="00F72A55" w:rsidP="001A0BB1">
      <w:pPr>
        <w:spacing w:after="120"/>
        <w:rPr>
          <w:rFonts w:asciiTheme="majorHAnsi" w:hAnsiTheme="majorHAnsi" w:cs="Arial"/>
          <w:b/>
          <w:color w:val="5B9BD5" w:themeColor="accent1"/>
          <w:sz w:val="28"/>
          <w:szCs w:val="28"/>
        </w:rPr>
      </w:pPr>
    </w:p>
    <w:p w14:paraId="4D9CB661" w14:textId="28D47B3C" w:rsidR="00E17861" w:rsidRDefault="000074BD" w:rsidP="001A0BB1">
      <w:pPr>
        <w:spacing w:after="120"/>
        <w:rPr>
          <w:rFonts w:asciiTheme="majorHAnsi" w:hAnsiTheme="majorHAnsi" w:cs="Arial"/>
          <w:b/>
          <w:color w:val="5B9BD5" w:themeColor="accent1"/>
          <w:sz w:val="28"/>
          <w:szCs w:val="28"/>
        </w:rPr>
      </w:pPr>
      <w:r w:rsidRPr="000074BD">
        <w:rPr>
          <w:rFonts w:asciiTheme="majorHAnsi" w:hAnsiTheme="majorHAnsi" w:cs="Arial"/>
          <w:b/>
          <w:color w:val="5B9BD5" w:themeColor="accent1"/>
          <w:sz w:val="28"/>
          <w:szCs w:val="28"/>
        </w:rPr>
        <w:lastRenderedPageBreak/>
        <w:t xml:space="preserve">Concluding comments </w:t>
      </w:r>
    </w:p>
    <w:p w14:paraId="100D78B0" w14:textId="76EC6CE8" w:rsidR="000074BD" w:rsidRDefault="00EB587A" w:rsidP="001A0BB1">
      <w:pPr>
        <w:spacing w:after="120"/>
      </w:pPr>
      <w:r>
        <w:t>T</w:t>
      </w:r>
      <w:r w:rsidR="000074BD">
        <w:t xml:space="preserve">he City urges </w:t>
      </w:r>
      <w:r>
        <w:t>the Productivity Commission</w:t>
      </w:r>
      <w:r w:rsidR="000074BD">
        <w:t xml:space="preserve"> to review </w:t>
      </w:r>
      <w:r>
        <w:t xml:space="preserve">its social housing recommendations </w:t>
      </w:r>
      <w:r w:rsidR="000074BD">
        <w:t xml:space="preserve">with regard to the fundamental recognition of social housing as </w:t>
      </w:r>
      <w:r w:rsidR="000074BD" w:rsidRPr="008D552B">
        <w:rPr>
          <w:i/>
        </w:rPr>
        <w:t>non-market</w:t>
      </w:r>
      <w:r w:rsidR="000074BD">
        <w:t xml:space="preserve"> housing supply – systems which by their nature and </w:t>
      </w:r>
      <w:r w:rsidR="002F24F6">
        <w:rPr>
          <w:rStyle w:val="Emphasis"/>
          <w:lang w:val="en"/>
        </w:rPr>
        <w:t xml:space="preserve">raison d'être </w:t>
      </w:r>
      <w:r w:rsidR="000074BD">
        <w:t xml:space="preserve">cannot be governed and operated </w:t>
      </w:r>
      <w:r w:rsidR="00FB0708">
        <w:t>through a market lens</w:t>
      </w:r>
      <w:r w:rsidR="000074BD">
        <w:t>.</w:t>
      </w:r>
      <w:r w:rsidR="006752C7">
        <w:t xml:space="preserve"> Building the supply of social and affordable housing is the most sustainable, evidence-based long-term solution to improving outcomes for disadvantaged people and out community as a whole.</w:t>
      </w:r>
    </w:p>
    <w:p w14:paraId="6FDBBC6B" w14:textId="77777777" w:rsidR="00E91F28" w:rsidRDefault="00E91F28" w:rsidP="001A0BB1">
      <w:pPr>
        <w:spacing w:after="120"/>
      </w:pPr>
      <w:r>
        <w:t>The most vulnerable in our community should not be made to pay for the failure of the housing market. The majority of social housing tenants’ incomes are fixed by federal government at a national level – with no account taken of areas in which these tenants are best located, commonly for access to health and other social services.</w:t>
      </w:r>
    </w:p>
    <w:p w14:paraId="5BD855D2" w14:textId="77777777" w:rsidR="00E91F28" w:rsidRDefault="0001675D" w:rsidP="000B5B7F">
      <w:pPr>
        <w:spacing w:after="120"/>
      </w:pPr>
      <w:r>
        <w:t xml:space="preserve">Rent </w:t>
      </w:r>
      <w:r w:rsidR="00E91F28">
        <w:t>increase</w:t>
      </w:r>
      <w:r>
        <w:t>s</w:t>
      </w:r>
      <w:r w:rsidR="00E91F28">
        <w:t>, without commensurate income increase</w:t>
      </w:r>
      <w:r>
        <w:t>s</w:t>
      </w:r>
      <w:r w:rsidR="00E91F28">
        <w:t xml:space="preserve">, </w:t>
      </w:r>
      <w:r>
        <w:t xml:space="preserve">will directly impact </w:t>
      </w:r>
      <w:r w:rsidR="00E91F28">
        <w:t>reductions in tenants’ necessary health, food and education expend</w:t>
      </w:r>
      <w:r>
        <w:t xml:space="preserve">iture – with resultant damage to their </w:t>
      </w:r>
      <w:r w:rsidR="00E91F28">
        <w:t xml:space="preserve">health and </w:t>
      </w:r>
      <w:r>
        <w:t xml:space="preserve">wellbeing, </w:t>
      </w:r>
      <w:r w:rsidR="00E91F28">
        <w:t>and knock-on costs to the economy and society.</w:t>
      </w:r>
      <w:r w:rsidR="000B5B7F">
        <w:t xml:space="preserve"> Proposed state and territory high-cost top-up payments are unlikely to fully ameliorate these impacts, leading to increased spatial inequality in our cities and regions.</w:t>
      </w:r>
    </w:p>
    <w:p w14:paraId="15614A5C" w14:textId="77777777" w:rsidR="007B52DB" w:rsidRDefault="000B5B7F" w:rsidP="001A0BB1">
      <w:pPr>
        <w:spacing w:after="120"/>
      </w:pPr>
      <w:r>
        <w:t xml:space="preserve">Increased tenant choice is a valid objective, but </w:t>
      </w:r>
      <w:r w:rsidR="007B52DB">
        <w:t xml:space="preserve">the real solution lies with an absolute commitment by government – through policy and funding – to </w:t>
      </w:r>
      <w:r>
        <w:t xml:space="preserve">increased </w:t>
      </w:r>
      <w:r w:rsidR="007B52DB">
        <w:t xml:space="preserve">investment in social and affordable housing infrastructure as underpinning </w:t>
      </w:r>
      <w:r w:rsidR="004E7B3E">
        <w:t>Australia’s</w:t>
      </w:r>
      <w:r w:rsidR="007B52DB">
        <w:t xml:space="preserve"> sustainable social and economic growth and resilience.</w:t>
      </w:r>
    </w:p>
    <w:sectPr w:rsidR="007B52D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5B8C" w14:textId="77777777" w:rsidR="00AB0AD6" w:rsidRDefault="00AB0AD6" w:rsidP="006C0785">
      <w:pPr>
        <w:spacing w:after="0" w:line="240" w:lineRule="auto"/>
      </w:pPr>
      <w:r>
        <w:separator/>
      </w:r>
    </w:p>
  </w:endnote>
  <w:endnote w:type="continuationSeparator" w:id="0">
    <w:p w14:paraId="527336ED" w14:textId="77777777" w:rsidR="00AB0AD6" w:rsidRDefault="00AB0AD6" w:rsidP="006C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141747"/>
      <w:docPartObj>
        <w:docPartGallery w:val="Page Numbers (Bottom of Page)"/>
        <w:docPartUnique/>
      </w:docPartObj>
    </w:sdtPr>
    <w:sdtEndPr>
      <w:rPr>
        <w:noProof/>
        <w:sz w:val="20"/>
        <w:szCs w:val="20"/>
      </w:rPr>
    </w:sdtEndPr>
    <w:sdtContent>
      <w:p w14:paraId="78B644F6" w14:textId="00AB1C99" w:rsidR="005053E1" w:rsidRPr="005053E1" w:rsidRDefault="005053E1" w:rsidP="005053E1">
        <w:pPr>
          <w:pStyle w:val="Footer"/>
          <w:pBdr>
            <w:top w:val="single" w:sz="4" w:space="1" w:color="auto"/>
          </w:pBdr>
          <w:ind w:firstLine="4320"/>
          <w:rPr>
            <w:sz w:val="20"/>
            <w:szCs w:val="20"/>
          </w:rPr>
        </w:pPr>
        <w:r w:rsidRPr="005053E1">
          <w:rPr>
            <w:sz w:val="20"/>
            <w:szCs w:val="20"/>
          </w:rPr>
          <w:t xml:space="preserve">July 2017                                          </w:t>
        </w:r>
        <w:r>
          <w:rPr>
            <w:sz w:val="20"/>
            <w:szCs w:val="20"/>
          </w:rPr>
          <w:tab/>
        </w:r>
        <w:r w:rsidRPr="005053E1">
          <w:rPr>
            <w:sz w:val="20"/>
            <w:szCs w:val="20"/>
          </w:rPr>
          <w:t xml:space="preserve"> </w:t>
        </w:r>
        <w:r w:rsidRPr="005053E1">
          <w:rPr>
            <w:sz w:val="20"/>
            <w:szCs w:val="20"/>
          </w:rPr>
          <w:fldChar w:fldCharType="begin"/>
        </w:r>
        <w:r w:rsidRPr="005053E1">
          <w:rPr>
            <w:sz w:val="20"/>
            <w:szCs w:val="20"/>
          </w:rPr>
          <w:instrText xml:space="preserve"> PAGE   \* MERGEFORMAT </w:instrText>
        </w:r>
        <w:r w:rsidRPr="005053E1">
          <w:rPr>
            <w:sz w:val="20"/>
            <w:szCs w:val="20"/>
          </w:rPr>
          <w:fldChar w:fldCharType="separate"/>
        </w:r>
        <w:r w:rsidR="00010624">
          <w:rPr>
            <w:noProof/>
            <w:sz w:val="20"/>
            <w:szCs w:val="20"/>
          </w:rPr>
          <w:t>2</w:t>
        </w:r>
        <w:r w:rsidRPr="005053E1">
          <w:rPr>
            <w:noProof/>
            <w:sz w:val="20"/>
            <w:szCs w:val="20"/>
          </w:rPr>
          <w:fldChar w:fldCharType="end"/>
        </w:r>
      </w:p>
    </w:sdtContent>
  </w:sdt>
  <w:p w14:paraId="096F6C76" w14:textId="4F89E8D6" w:rsidR="006B7768" w:rsidRDefault="006B7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C5759" w14:textId="77777777" w:rsidR="00AB0AD6" w:rsidRDefault="00AB0AD6" w:rsidP="006C0785">
      <w:pPr>
        <w:spacing w:after="0" w:line="240" w:lineRule="auto"/>
      </w:pPr>
      <w:r>
        <w:separator/>
      </w:r>
    </w:p>
  </w:footnote>
  <w:footnote w:type="continuationSeparator" w:id="0">
    <w:p w14:paraId="26720DB4" w14:textId="77777777" w:rsidR="00AB0AD6" w:rsidRDefault="00AB0AD6" w:rsidP="006C0785">
      <w:pPr>
        <w:spacing w:after="0" w:line="240" w:lineRule="auto"/>
      </w:pPr>
      <w:r>
        <w:continuationSeparator/>
      </w:r>
    </w:p>
  </w:footnote>
  <w:footnote w:id="1">
    <w:p w14:paraId="681C7C46" w14:textId="526FFB91" w:rsidR="00BA7AAC" w:rsidRDefault="00BA7AAC">
      <w:pPr>
        <w:pStyle w:val="FootnoteText"/>
      </w:pPr>
      <w:r>
        <w:rPr>
          <w:rStyle w:val="FootnoteReference"/>
        </w:rPr>
        <w:footnoteRef/>
      </w:r>
      <w:r>
        <w:t xml:space="preserve"> </w:t>
      </w:r>
      <w:hyperlink r:id="rId1" w:history="1">
        <w:r w:rsidRPr="00632145">
          <w:rPr>
            <w:rStyle w:val="Hyperlink"/>
          </w:rPr>
          <w:t>http://www.anglicare.asn.au/research-reports/the-rental-affordability-snapshot</w:t>
        </w:r>
      </w:hyperlink>
    </w:p>
  </w:footnote>
  <w:footnote w:id="2">
    <w:p w14:paraId="4756E84E" w14:textId="77777777" w:rsidR="00C27AF5" w:rsidRPr="003F5828" w:rsidRDefault="00C27AF5" w:rsidP="00A004A4">
      <w:pPr>
        <w:spacing w:after="60"/>
        <w:rPr>
          <w:rFonts w:cstheme="minorHAnsi"/>
          <w:sz w:val="20"/>
          <w:szCs w:val="20"/>
        </w:rPr>
      </w:pPr>
      <w:r w:rsidRPr="003F5828">
        <w:rPr>
          <w:rStyle w:val="FootnoteReference"/>
          <w:rFonts w:cstheme="minorHAnsi"/>
          <w:sz w:val="20"/>
          <w:szCs w:val="20"/>
        </w:rPr>
        <w:footnoteRef/>
      </w:r>
      <w:r w:rsidRPr="003F5828">
        <w:rPr>
          <w:rFonts w:cstheme="minorHAnsi"/>
          <w:sz w:val="20"/>
          <w:szCs w:val="20"/>
        </w:rPr>
        <w:t xml:space="preserve"> Source: City of Sydney Floorspace and Employment Survey 2012 and City data on residen</w:t>
      </w:r>
      <w:r>
        <w:rPr>
          <w:rFonts w:cstheme="minorHAnsi"/>
          <w:sz w:val="20"/>
          <w:szCs w:val="20"/>
        </w:rPr>
        <w:t xml:space="preserve">tial development. </w:t>
      </w:r>
      <w:r w:rsidRPr="003F5828">
        <w:rPr>
          <w:rFonts w:cstheme="minorHAnsi"/>
          <w:sz w:val="20"/>
          <w:szCs w:val="20"/>
        </w:rPr>
        <w:t>Figures current as at June/July 201</w:t>
      </w:r>
      <w:r>
        <w:rPr>
          <w:rFonts w:cstheme="minorHAnsi"/>
          <w:sz w:val="20"/>
          <w:szCs w:val="20"/>
        </w:rPr>
        <w:t>4</w:t>
      </w:r>
      <w:r w:rsidRPr="003F5828">
        <w:rPr>
          <w:rFonts w:cstheme="minorHAnsi"/>
          <w:sz w:val="20"/>
          <w:szCs w:val="20"/>
        </w:rPr>
        <w:t>.</w:t>
      </w:r>
    </w:p>
  </w:footnote>
  <w:footnote w:id="3">
    <w:p w14:paraId="6C1ACD9A" w14:textId="77777777" w:rsidR="00C27AF5" w:rsidRPr="003F5828" w:rsidRDefault="00C27AF5" w:rsidP="00A004A4">
      <w:pPr>
        <w:pStyle w:val="FootnoteText"/>
        <w:spacing w:after="60"/>
        <w:rPr>
          <w:rFonts w:cstheme="minorHAnsi"/>
        </w:rPr>
      </w:pPr>
      <w:r w:rsidRPr="003F5828">
        <w:rPr>
          <w:rStyle w:val="FootnoteReference"/>
          <w:rFonts w:cstheme="minorHAnsi"/>
        </w:rPr>
        <w:footnoteRef/>
      </w:r>
      <w:r w:rsidRPr="003F5828">
        <w:rPr>
          <w:rFonts w:cstheme="minorHAnsi"/>
        </w:rPr>
        <w:t xml:space="preserve"> This figure excludes boarding houses and student housing delivered through the private market, for consistency with the definitional parameters of the City of Sydney Affordable Rental Housing Strategy.</w:t>
      </w:r>
    </w:p>
  </w:footnote>
  <w:footnote w:id="4">
    <w:p w14:paraId="5B4E81E8" w14:textId="77777777" w:rsidR="00C27AF5" w:rsidRPr="00AA1E09" w:rsidRDefault="00C27AF5" w:rsidP="00A004A4">
      <w:pPr>
        <w:pStyle w:val="FootnoteText"/>
        <w:spacing w:after="60"/>
        <w:rPr>
          <w:rFonts w:ascii="Arial" w:hAnsi="Arial" w:cs="Arial"/>
          <w:sz w:val="18"/>
          <w:szCs w:val="18"/>
        </w:rPr>
      </w:pPr>
      <w:r w:rsidRPr="003F5828">
        <w:rPr>
          <w:rStyle w:val="FootnoteReference"/>
          <w:rFonts w:cstheme="minorHAnsi"/>
        </w:rPr>
        <w:footnoteRef/>
      </w:r>
      <w:r w:rsidRPr="003F5828">
        <w:rPr>
          <w:rFonts w:cstheme="minorHAnsi"/>
        </w:rPr>
        <w:t xml:space="preserve"> The ABS Census may underestimate social housing.  It has been speculated that this occurs because social housing tenants are reluctant to self-identify.</w:t>
      </w:r>
    </w:p>
  </w:footnote>
  <w:footnote w:id="5">
    <w:p w14:paraId="16308FD2" w14:textId="74B60EFC" w:rsidR="00C75073" w:rsidRDefault="00C75073" w:rsidP="00A004A4">
      <w:pPr>
        <w:pStyle w:val="FootnoteText"/>
        <w:spacing w:after="60"/>
      </w:pPr>
      <w:r>
        <w:rPr>
          <w:rStyle w:val="FootnoteReference"/>
        </w:rPr>
        <w:footnoteRef/>
      </w:r>
      <w:r>
        <w:t xml:space="preserve"> </w:t>
      </w:r>
      <w:hyperlink r:id="rId2" w:anchor="page-element-dload" w:history="1">
        <w:r w:rsidRPr="00B1483E">
          <w:rPr>
            <w:rStyle w:val="Hyperlink"/>
          </w:rPr>
          <w:t>City of Sydney Housing Issues Paper</w:t>
        </w:r>
      </w:hyperlink>
      <w:r>
        <w:t xml:space="preserve">, 2015, </w:t>
      </w:r>
      <w:r w:rsidRPr="00B1483E">
        <w:t>http://www.cityofsydney.nsw.gov.au/vision/towards-2030/communities-and-culture/affordable-housing#page-element-dload</w:t>
      </w:r>
    </w:p>
  </w:footnote>
  <w:footnote w:id="6">
    <w:p w14:paraId="6DDA8FF3" w14:textId="1E5B2EB4" w:rsidR="00C27AF5" w:rsidRDefault="00C27AF5" w:rsidP="00C27AF5">
      <w:pPr>
        <w:pStyle w:val="FootnoteText"/>
      </w:pPr>
      <w:r>
        <w:rPr>
          <w:rStyle w:val="FootnoteReference"/>
        </w:rPr>
        <w:footnoteRef/>
      </w:r>
      <w:r>
        <w:t xml:space="preserve"> </w:t>
      </w:r>
      <w:r w:rsidR="004505D7">
        <w:t>i</w:t>
      </w:r>
      <w:r w:rsidR="00C75073">
        <w:t>bid.</w:t>
      </w:r>
      <w:r>
        <w:t xml:space="preserve"> </w:t>
      </w:r>
    </w:p>
  </w:footnote>
  <w:footnote w:id="7">
    <w:p w14:paraId="74D141FA" w14:textId="77777777" w:rsidR="00EB587A" w:rsidRDefault="00EB587A" w:rsidP="00847492">
      <w:pPr>
        <w:pStyle w:val="FootnoteText"/>
      </w:pPr>
      <w:r>
        <w:rPr>
          <w:rStyle w:val="FootnoteReference"/>
        </w:rPr>
        <w:footnoteRef/>
      </w:r>
      <w:r>
        <w:t xml:space="preserve"> </w:t>
      </w:r>
      <w:hyperlink r:id="rId3" w:history="1">
        <w:r w:rsidRPr="00632145">
          <w:rPr>
            <w:rStyle w:val="Hyperlink"/>
          </w:rPr>
          <w:t>http://www.anglicare.asn.au/research-reports/the-rental-affordability-snapshot</w:t>
        </w:r>
      </w:hyperlink>
    </w:p>
  </w:footnote>
  <w:footnote w:id="8">
    <w:p w14:paraId="4B556284" w14:textId="405E2826" w:rsidR="00C75073" w:rsidRDefault="00C75073" w:rsidP="00A86486">
      <w:pPr>
        <w:pStyle w:val="FootnoteText"/>
        <w:spacing w:after="60"/>
      </w:pPr>
      <w:r>
        <w:rPr>
          <w:rStyle w:val="FootnoteReference"/>
        </w:rPr>
        <w:footnoteRef/>
      </w:r>
      <w:r>
        <w:t xml:space="preserve"> NSW Auditor-General, 2013 (forecast for 2016 waiting list), Report on the Performance Audit of Housing NSW and NSW Land and Housing Corporation: </w:t>
      </w:r>
      <w:r w:rsidRPr="00C75073">
        <w:rPr>
          <w:i/>
        </w:rPr>
        <w:t>Making the best use of public housing</w:t>
      </w:r>
    </w:p>
  </w:footnote>
  <w:footnote w:id="9">
    <w:p w14:paraId="6A5DAF7C" w14:textId="371B6648" w:rsidR="00911C42" w:rsidRDefault="00911C42" w:rsidP="00A86486">
      <w:pPr>
        <w:pStyle w:val="FootnoteText"/>
        <w:spacing w:after="60"/>
      </w:pPr>
      <w:r>
        <w:rPr>
          <w:rStyle w:val="FootnoteReference"/>
        </w:rPr>
        <w:footnoteRef/>
      </w:r>
      <w:r>
        <w:t xml:space="preserve"> </w:t>
      </w:r>
      <w:hyperlink r:id="rId4" w:history="1">
        <w:r w:rsidRPr="00632145">
          <w:rPr>
            <w:rStyle w:val="Hyperlink"/>
          </w:rPr>
          <w:t>http://www.anglicare.asn.au/research-reports/the-rental-affordability-snapshot</w:t>
        </w:r>
      </w:hyperlink>
    </w:p>
  </w:footnote>
  <w:footnote w:id="10">
    <w:p w14:paraId="50BAA58B" w14:textId="7C6D3934" w:rsidR="00192885" w:rsidRPr="009C562D" w:rsidRDefault="00192885" w:rsidP="00A86486">
      <w:pPr>
        <w:pStyle w:val="Heading2"/>
        <w:spacing w:after="60"/>
        <w:jc w:val="left"/>
        <w:rPr>
          <w:rFonts w:asciiTheme="minorHAnsi" w:eastAsiaTheme="minorHAnsi" w:hAnsiTheme="minorHAnsi" w:cstheme="minorBidi"/>
          <w:bCs w:val="0"/>
          <w:iCs w:val="0"/>
          <w:sz w:val="20"/>
          <w:szCs w:val="20"/>
        </w:rPr>
      </w:pPr>
      <w:r w:rsidRPr="009C562D">
        <w:rPr>
          <w:rStyle w:val="FootnoteReference"/>
          <w:rFonts w:asciiTheme="minorHAnsi" w:eastAsiaTheme="minorHAnsi" w:hAnsiTheme="minorHAnsi" w:cstheme="minorBidi"/>
          <w:bCs w:val="0"/>
          <w:iCs w:val="0"/>
          <w:sz w:val="20"/>
          <w:szCs w:val="20"/>
        </w:rPr>
        <w:footnoteRef/>
      </w:r>
      <w:r w:rsidRPr="009C562D">
        <w:rPr>
          <w:rStyle w:val="FootnoteReference"/>
          <w:rFonts w:asciiTheme="minorHAnsi" w:eastAsiaTheme="minorHAnsi" w:hAnsiTheme="minorHAnsi" w:cstheme="minorBidi"/>
          <w:bCs w:val="0"/>
          <w:iCs w:val="0"/>
          <w:sz w:val="20"/>
          <w:szCs w:val="20"/>
        </w:rPr>
        <w:t xml:space="preserve"> </w:t>
      </w:r>
      <w:r w:rsidRPr="009C562D">
        <w:rPr>
          <w:rStyle w:val="Hyperlink"/>
          <w:rFonts w:asciiTheme="minorHAnsi" w:eastAsiaTheme="minorHAnsi" w:hAnsiTheme="minorHAnsi" w:cstheme="minorBidi"/>
          <w:bCs w:val="0"/>
          <w:iCs w:val="0"/>
          <w:sz w:val="20"/>
          <w:szCs w:val="20"/>
        </w:rPr>
        <w:t xml:space="preserve">See Morris, A., 2017, </w:t>
      </w:r>
      <w:hyperlink r:id="rId5" w:history="1">
        <w:r w:rsidRPr="009C562D">
          <w:rPr>
            <w:rStyle w:val="Hyperlink"/>
            <w:rFonts w:asciiTheme="minorHAnsi" w:eastAsiaTheme="minorHAnsi" w:hAnsiTheme="minorHAnsi" w:cstheme="minorBidi"/>
            <w:bCs w:val="0"/>
            <w:iCs w:val="0"/>
            <w:sz w:val="20"/>
            <w:szCs w:val="20"/>
          </w:rPr>
          <w:t>‘The Removal of Millers Point Public Housing Tenants in Inner Sydney by the NSW Government: Narratives of Government and Tenants,’</w:t>
        </w:r>
      </w:hyperlink>
      <w:r w:rsidRPr="009C562D">
        <w:rPr>
          <w:rStyle w:val="Hyperlink"/>
          <w:rFonts w:asciiTheme="minorHAnsi" w:eastAsiaTheme="minorHAnsi" w:hAnsiTheme="minorHAnsi" w:cstheme="minorBidi"/>
          <w:bCs w:val="0"/>
          <w:iCs w:val="0"/>
          <w:sz w:val="20"/>
          <w:szCs w:val="20"/>
        </w:rPr>
        <w:t xml:space="preserve"> Urban Policy and Research (http://dx.doi.org/10.1080/08111146.2017.1335194)</w:t>
      </w:r>
    </w:p>
  </w:footnote>
  <w:footnote w:id="11">
    <w:p w14:paraId="1ADD18D2" w14:textId="77777777" w:rsidR="008331EB" w:rsidRDefault="008331EB" w:rsidP="00A86486">
      <w:pPr>
        <w:pStyle w:val="FootnoteText"/>
        <w:spacing w:after="60"/>
      </w:pPr>
      <w:r>
        <w:rPr>
          <w:rStyle w:val="FootnoteReference"/>
        </w:rPr>
        <w:footnoteRef/>
      </w:r>
      <w:r>
        <w:t xml:space="preserve"> </w:t>
      </w:r>
      <w:hyperlink r:id="rId6" w:history="1">
        <w:r w:rsidRPr="00632145">
          <w:rPr>
            <w:rStyle w:val="Hyperlink"/>
          </w:rPr>
          <w:t>http://www.pc.gov.au/inquiries/current/human-services/reforms/draft/human-services-reforms-draft.pdf</w:t>
        </w:r>
      </w:hyperlink>
    </w:p>
    <w:p w14:paraId="2F0DF3A7" w14:textId="77777777" w:rsidR="008331EB" w:rsidRDefault="008331EB" w:rsidP="009C562D">
      <w:pPr>
        <w:pStyle w:val="FootnoteText"/>
        <w:spacing w:after="60"/>
      </w:pPr>
      <w:r>
        <w:t>p161</w:t>
      </w:r>
    </w:p>
  </w:footnote>
  <w:footnote w:id="12">
    <w:p w14:paraId="45490C75" w14:textId="77777777" w:rsidR="009F72CD" w:rsidRDefault="009F72CD" w:rsidP="00AB20E3">
      <w:pPr>
        <w:pStyle w:val="FootnoteText"/>
        <w:spacing w:after="60"/>
      </w:pPr>
      <w:r>
        <w:rPr>
          <w:rStyle w:val="FootnoteReference"/>
        </w:rPr>
        <w:footnoteRef/>
      </w:r>
      <w:r>
        <w:t xml:space="preserve"> Australian Council of Social Service (2017) </w:t>
      </w:r>
      <w:r w:rsidRPr="00FF6D08">
        <w:rPr>
          <w:i/>
        </w:rPr>
        <w:t>Budget Priorities Statement 2017-18</w:t>
      </w:r>
      <w:r>
        <w:t>, ACOSS, Sydney, p71</w:t>
      </w:r>
    </w:p>
  </w:footnote>
  <w:footnote w:id="13">
    <w:p w14:paraId="706ED048" w14:textId="3B15986E" w:rsidR="002A3806" w:rsidRDefault="002A3806" w:rsidP="00AB20E3">
      <w:pPr>
        <w:pStyle w:val="FootnoteText"/>
        <w:spacing w:after="60"/>
      </w:pPr>
      <w:r>
        <w:rPr>
          <w:rStyle w:val="FootnoteReference"/>
        </w:rPr>
        <w:footnoteRef/>
      </w:r>
      <w:r>
        <w:t xml:space="preserve"> </w:t>
      </w:r>
      <w:r w:rsidR="008D468C">
        <w:t xml:space="preserve">City of Sydney submission to </w:t>
      </w:r>
      <w:r w:rsidR="00AB20E3">
        <w:t xml:space="preserve">NSW </w:t>
      </w:r>
      <w:r w:rsidR="008D468C" w:rsidRPr="00D7360E">
        <w:t>IPART Review of rent models for social and affordable housing</w:t>
      </w:r>
      <w:r w:rsidR="00AB20E3">
        <w:t>, 2017</w:t>
      </w:r>
    </w:p>
  </w:footnote>
  <w:footnote w:id="14">
    <w:p w14:paraId="1E6FC696" w14:textId="77777777" w:rsidR="009E5A20" w:rsidRDefault="009E5A20" w:rsidP="00AB20E3">
      <w:pPr>
        <w:pStyle w:val="FootnoteText"/>
        <w:spacing w:after="60"/>
      </w:pPr>
      <w:r>
        <w:rPr>
          <w:rStyle w:val="FootnoteReference"/>
        </w:rPr>
        <w:footnoteRef/>
      </w:r>
      <w:r>
        <w:t xml:space="preserve"> </w:t>
      </w:r>
      <w:hyperlink r:id="rId7" w:anchor="page-element-dload" w:history="1">
        <w:r w:rsidRPr="00B1483E">
          <w:rPr>
            <w:rStyle w:val="Hyperlink"/>
          </w:rPr>
          <w:t>City of Sydney Housing Issues Paper</w:t>
        </w:r>
      </w:hyperlink>
      <w:r>
        <w:t xml:space="preserve">, 2015, </w:t>
      </w:r>
      <w:r w:rsidRPr="00B1483E">
        <w:t>http://www.cityofsydney.nsw.gov.au/vision/towards-2030/communities-and-culture/affordable-housing#page-element-dload</w:t>
      </w:r>
    </w:p>
  </w:footnote>
  <w:footnote w:id="15">
    <w:p w14:paraId="4122396A" w14:textId="77777777" w:rsidR="009E5A20" w:rsidRDefault="009E5A20" w:rsidP="009E5A20">
      <w:pPr>
        <w:pStyle w:val="FootnoteText"/>
      </w:pPr>
      <w:r>
        <w:rPr>
          <w:rStyle w:val="FootnoteReference"/>
        </w:rPr>
        <w:footnoteRef/>
      </w:r>
      <w:r>
        <w:t xml:space="preserve"> </w:t>
      </w:r>
      <w:r w:rsidRPr="00670C6D">
        <w:t>http://www.cityofsydney.nsw.gov.au/__data/assets/pdf_file/0004/264442/Housing-Audit-June-2016.pdf</w:t>
      </w:r>
    </w:p>
  </w:footnote>
  <w:footnote w:id="16">
    <w:p w14:paraId="590177F0" w14:textId="77777777" w:rsidR="00AD603B" w:rsidRDefault="00AD603B">
      <w:pPr>
        <w:pStyle w:val="FootnoteText"/>
      </w:pPr>
      <w:r>
        <w:rPr>
          <w:rStyle w:val="FootnoteReference"/>
        </w:rPr>
        <w:footnoteRef/>
      </w:r>
      <w:r>
        <w:t xml:space="preserve"> </w:t>
      </w:r>
      <w:r w:rsidRPr="005D31A1">
        <w:t>Anglicare Australia</w:t>
      </w:r>
      <w:r>
        <w:t xml:space="preserve"> (2017) </w:t>
      </w:r>
      <w:r w:rsidRPr="00AD603B">
        <w:rPr>
          <w:i/>
        </w:rPr>
        <w:t>Rental Affordability Snapshot</w:t>
      </w:r>
      <w:r>
        <w:t xml:space="preserve">, Canberra, </w:t>
      </w:r>
      <w:hyperlink r:id="rId8" w:history="1">
        <w:r w:rsidRPr="00632145">
          <w:rPr>
            <w:rStyle w:val="Hyperlink"/>
          </w:rPr>
          <w:t>http://www.anglicare.asn.au/docs/default-source/default-document-library/rental-affordability-snapshot-2017.pdf?sfvrsn=4</w:t>
        </w:r>
      </w:hyperlink>
    </w:p>
  </w:footnote>
  <w:footnote w:id="17">
    <w:p w14:paraId="286329A0" w14:textId="0B5394E3" w:rsidR="0066204F" w:rsidRDefault="0066204F">
      <w:pPr>
        <w:pStyle w:val="FootnoteText"/>
      </w:pPr>
      <w:r>
        <w:rPr>
          <w:rStyle w:val="FootnoteReference"/>
        </w:rPr>
        <w:footnoteRef/>
      </w:r>
      <w:r w:rsidR="004505D7">
        <w:t xml:space="preserve"> i</w:t>
      </w:r>
      <w:r>
        <w:t>bid, p67-68</w:t>
      </w:r>
    </w:p>
  </w:footnote>
  <w:footnote w:id="18">
    <w:p w14:paraId="7F40A721" w14:textId="236F3567" w:rsidR="00AD603B" w:rsidRDefault="00AD603B">
      <w:pPr>
        <w:pStyle w:val="FootnoteText"/>
      </w:pPr>
      <w:r>
        <w:rPr>
          <w:rStyle w:val="FootnoteReference"/>
        </w:rPr>
        <w:footnoteRef/>
      </w:r>
      <w:r w:rsidR="004505D7">
        <w:t xml:space="preserve"> i</w:t>
      </w:r>
      <w:r>
        <w:t>bid, p26</w:t>
      </w:r>
    </w:p>
  </w:footnote>
  <w:footnote w:id="19">
    <w:p w14:paraId="6E588C2E" w14:textId="77777777" w:rsidR="0066204F" w:rsidRDefault="0066204F" w:rsidP="0066204F">
      <w:pPr>
        <w:pStyle w:val="FootnoteText"/>
      </w:pPr>
      <w:r>
        <w:rPr>
          <w:rStyle w:val="FootnoteReference"/>
        </w:rPr>
        <w:footnoteRef/>
      </w:r>
      <w:r>
        <w:t xml:space="preserve"> </w:t>
      </w:r>
      <w:r w:rsidRPr="00FF6D08">
        <w:t>National Housing Supply Council (2013)</w:t>
      </w:r>
      <w:r>
        <w:t xml:space="preserve">, </w:t>
      </w:r>
      <w:r w:rsidRPr="00FF6D08">
        <w:rPr>
          <w:i/>
        </w:rPr>
        <w:t>State of Supply Report 2012</w:t>
      </w:r>
      <w:r>
        <w:t xml:space="preserve">, cited in Australian Council of Social Service (2017) </w:t>
      </w:r>
      <w:r w:rsidRPr="00FF6D08">
        <w:rPr>
          <w:i/>
        </w:rPr>
        <w:t>Budget Priorities Statement 2017-18</w:t>
      </w:r>
      <w:r>
        <w:t>, ACOSS, Sydney, p66.</w:t>
      </w:r>
    </w:p>
  </w:footnote>
  <w:footnote w:id="20">
    <w:p w14:paraId="0C002F01" w14:textId="7CF690CF" w:rsidR="00CF52A3" w:rsidRDefault="00CF52A3" w:rsidP="00CF52A3">
      <w:pPr>
        <w:pStyle w:val="FootnoteText"/>
      </w:pPr>
      <w:r>
        <w:rPr>
          <w:rStyle w:val="FootnoteReference"/>
        </w:rPr>
        <w:footnoteRef/>
      </w:r>
      <w:r>
        <w:t xml:space="preserve"> </w:t>
      </w:r>
      <w:r w:rsidRPr="00F818BF">
        <w:rPr>
          <w:noProof/>
        </w:rPr>
        <w:t>http://www.cityofsydney.nsw.gov.au/community/community-support/homelessness/street-count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314"/>
    <w:multiLevelType w:val="hybridMultilevel"/>
    <w:tmpl w:val="1B364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62DB"/>
    <w:multiLevelType w:val="hybridMultilevel"/>
    <w:tmpl w:val="494C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55A5D"/>
    <w:multiLevelType w:val="hybridMultilevel"/>
    <w:tmpl w:val="C180074E"/>
    <w:lvl w:ilvl="0" w:tplc="F434FEC2">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EB0CDC"/>
    <w:multiLevelType w:val="hybridMultilevel"/>
    <w:tmpl w:val="F9A846A4"/>
    <w:lvl w:ilvl="0" w:tplc="FAAC378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2E6CCA"/>
    <w:multiLevelType w:val="hybridMultilevel"/>
    <w:tmpl w:val="7FFEA266"/>
    <w:lvl w:ilvl="0" w:tplc="FAAC378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EF7EE8"/>
    <w:multiLevelType w:val="hybridMultilevel"/>
    <w:tmpl w:val="5E881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8249B4"/>
    <w:multiLevelType w:val="hybridMultilevel"/>
    <w:tmpl w:val="2A0A2A0A"/>
    <w:lvl w:ilvl="0" w:tplc="ED72ECB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50147D8"/>
    <w:multiLevelType w:val="hybridMultilevel"/>
    <w:tmpl w:val="0A4EB032"/>
    <w:lvl w:ilvl="0" w:tplc="F434FEC2">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2717F9"/>
    <w:multiLevelType w:val="hybridMultilevel"/>
    <w:tmpl w:val="BC3AA7BC"/>
    <w:lvl w:ilvl="0" w:tplc="FAAC378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B022C1"/>
    <w:multiLevelType w:val="multilevel"/>
    <w:tmpl w:val="03B462FA"/>
    <w:lvl w:ilvl="0">
      <w:start w:val="1"/>
      <w:numFmt w:val="decimal"/>
      <w:lvlText w:val="%1."/>
      <w:lvlJc w:val="left"/>
      <w:pPr>
        <w:tabs>
          <w:tab w:val="num" w:pos="0"/>
        </w:tabs>
        <w:ind w:left="567" w:hanging="567"/>
      </w:pPr>
      <w:rPr>
        <w:rFonts w:asciiTheme="majorHAnsi" w:hAnsiTheme="majorHAnsi" w:cs="Arial" w:hint="default"/>
        <w:b/>
        <w:i w:val="0"/>
        <w:caps w:val="0"/>
        <w:smallCaps w:val="0"/>
        <w:strike w:val="0"/>
        <w:dstrike w:val="0"/>
        <w:vanish w:val="0"/>
        <w:webHidden w:val="0"/>
        <w:color w:val="2E74B5" w:themeColor="accent1" w:themeShade="BF"/>
        <w:w w:val="100"/>
        <w:kern w:val="28"/>
        <w:sz w:val="32"/>
        <w:szCs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134"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701"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268"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2835"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3402"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3969"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4535" w:hanging="566"/>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5102" w:hanging="567"/>
      </w:pPr>
      <w:rPr>
        <w:rFonts w:ascii="Arial" w:hAnsi="Arial" w:cs="Arial" w:hint="default"/>
        <w:b w:val="0"/>
        <w:i w:val="0"/>
        <w:caps w:val="0"/>
        <w:smallCaps w:val="0"/>
        <w:strike w:val="0"/>
        <w:dstrike w:val="0"/>
        <w:vanish w:val="0"/>
        <w:webHidden w:val="0"/>
        <w:color w:val="auto"/>
        <w:w w:val="100"/>
        <w:kern w:val="28"/>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5B1010"/>
    <w:multiLevelType w:val="hybridMultilevel"/>
    <w:tmpl w:val="5D08969C"/>
    <w:lvl w:ilvl="0" w:tplc="4AB8D1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C648C"/>
    <w:multiLevelType w:val="hybridMultilevel"/>
    <w:tmpl w:val="2A86CF3E"/>
    <w:lvl w:ilvl="0" w:tplc="4AB8D1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231470"/>
    <w:multiLevelType w:val="hybridMultilevel"/>
    <w:tmpl w:val="4AE25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805B19"/>
    <w:multiLevelType w:val="hybridMultilevel"/>
    <w:tmpl w:val="2A0A2A0A"/>
    <w:lvl w:ilvl="0" w:tplc="ED72ECB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37357E4"/>
    <w:multiLevelType w:val="hybridMultilevel"/>
    <w:tmpl w:val="01FC755E"/>
    <w:lvl w:ilvl="0" w:tplc="FAAC378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5E17C38"/>
    <w:multiLevelType w:val="hybridMultilevel"/>
    <w:tmpl w:val="6B38E026"/>
    <w:lvl w:ilvl="0" w:tplc="FAAC378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6366D3"/>
    <w:multiLevelType w:val="hybridMultilevel"/>
    <w:tmpl w:val="DDD27AE4"/>
    <w:lvl w:ilvl="0" w:tplc="4AB8D1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0B1CE2"/>
    <w:multiLevelType w:val="hybridMultilevel"/>
    <w:tmpl w:val="B7DAB584"/>
    <w:lvl w:ilvl="0" w:tplc="1D40A95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34C7620"/>
    <w:multiLevelType w:val="hybridMultilevel"/>
    <w:tmpl w:val="B7DAB584"/>
    <w:lvl w:ilvl="0" w:tplc="1D40A95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3775F85"/>
    <w:multiLevelType w:val="hybridMultilevel"/>
    <w:tmpl w:val="9E163F34"/>
    <w:lvl w:ilvl="0" w:tplc="FAAC378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628F9"/>
    <w:multiLevelType w:val="hybridMultilevel"/>
    <w:tmpl w:val="0F72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65C8F"/>
    <w:multiLevelType w:val="hybridMultilevel"/>
    <w:tmpl w:val="30CC91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CF4D8C"/>
    <w:multiLevelType w:val="hybridMultilevel"/>
    <w:tmpl w:val="4AE25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8359C"/>
    <w:multiLevelType w:val="hybridMultilevel"/>
    <w:tmpl w:val="C15A44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0"/>
  </w:num>
  <w:num w:numId="7">
    <w:abstractNumId w:val="7"/>
  </w:num>
  <w:num w:numId="8">
    <w:abstractNumId w:val="17"/>
  </w:num>
  <w:num w:numId="9">
    <w:abstractNumId w:val="6"/>
  </w:num>
  <w:num w:numId="10">
    <w:abstractNumId w:val="2"/>
  </w:num>
  <w:num w:numId="11">
    <w:abstractNumId w:val="18"/>
  </w:num>
  <w:num w:numId="12">
    <w:abstractNumId w:val="13"/>
  </w:num>
  <w:num w:numId="13">
    <w:abstractNumId w:val="1"/>
  </w:num>
  <w:num w:numId="14">
    <w:abstractNumId w:val="10"/>
  </w:num>
  <w:num w:numId="15">
    <w:abstractNumId w:val="16"/>
  </w:num>
  <w:num w:numId="16">
    <w:abstractNumId w:val="11"/>
  </w:num>
  <w:num w:numId="17">
    <w:abstractNumId w:val="4"/>
  </w:num>
  <w:num w:numId="18">
    <w:abstractNumId w:val="15"/>
  </w:num>
  <w:num w:numId="19">
    <w:abstractNumId w:val="19"/>
  </w:num>
  <w:num w:numId="20">
    <w:abstractNumId w:val="3"/>
  </w:num>
  <w:num w:numId="21">
    <w:abstractNumId w:val="8"/>
  </w:num>
  <w:num w:numId="22">
    <w:abstractNumId w:val="14"/>
  </w:num>
  <w:num w:numId="23">
    <w:abstractNumId w:val="22"/>
  </w:num>
  <w:num w:numId="24">
    <w:abstractNumId w:val="1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43"/>
    <w:rsid w:val="000074BD"/>
    <w:rsid w:val="00010624"/>
    <w:rsid w:val="00015F41"/>
    <w:rsid w:val="0001675D"/>
    <w:rsid w:val="00031C82"/>
    <w:rsid w:val="00042F13"/>
    <w:rsid w:val="00051A3B"/>
    <w:rsid w:val="000B5B7F"/>
    <w:rsid w:val="000D6FD5"/>
    <w:rsid w:val="00192885"/>
    <w:rsid w:val="001A0BB1"/>
    <w:rsid w:val="001B0462"/>
    <w:rsid w:val="001E197F"/>
    <w:rsid w:val="001E52A9"/>
    <w:rsid w:val="001F4390"/>
    <w:rsid w:val="00214AB8"/>
    <w:rsid w:val="00222336"/>
    <w:rsid w:val="002344E6"/>
    <w:rsid w:val="00243ABC"/>
    <w:rsid w:val="002A3806"/>
    <w:rsid w:val="002B4EEC"/>
    <w:rsid w:val="002D0BB8"/>
    <w:rsid w:val="002D135D"/>
    <w:rsid w:val="002F24F6"/>
    <w:rsid w:val="003024E2"/>
    <w:rsid w:val="003510DA"/>
    <w:rsid w:val="00357440"/>
    <w:rsid w:val="0038168E"/>
    <w:rsid w:val="003F017C"/>
    <w:rsid w:val="00414588"/>
    <w:rsid w:val="00415EBA"/>
    <w:rsid w:val="00421415"/>
    <w:rsid w:val="004505D7"/>
    <w:rsid w:val="00452768"/>
    <w:rsid w:val="00494696"/>
    <w:rsid w:val="00496C4F"/>
    <w:rsid w:val="004A7B50"/>
    <w:rsid w:val="004E7B3E"/>
    <w:rsid w:val="00500BC3"/>
    <w:rsid w:val="005053E1"/>
    <w:rsid w:val="00506BD6"/>
    <w:rsid w:val="00515602"/>
    <w:rsid w:val="0052505E"/>
    <w:rsid w:val="005257D1"/>
    <w:rsid w:val="005308DF"/>
    <w:rsid w:val="00543E5A"/>
    <w:rsid w:val="00556BE9"/>
    <w:rsid w:val="005768B5"/>
    <w:rsid w:val="005837A3"/>
    <w:rsid w:val="0059008B"/>
    <w:rsid w:val="005D31A1"/>
    <w:rsid w:val="005D4E81"/>
    <w:rsid w:val="005E7AD1"/>
    <w:rsid w:val="0061064E"/>
    <w:rsid w:val="00613500"/>
    <w:rsid w:val="0062688A"/>
    <w:rsid w:val="0066204F"/>
    <w:rsid w:val="00670C6D"/>
    <w:rsid w:val="006752C7"/>
    <w:rsid w:val="006760D6"/>
    <w:rsid w:val="00676B32"/>
    <w:rsid w:val="00683096"/>
    <w:rsid w:val="00686BAF"/>
    <w:rsid w:val="006A4874"/>
    <w:rsid w:val="006B2E1B"/>
    <w:rsid w:val="006B7768"/>
    <w:rsid w:val="006C0785"/>
    <w:rsid w:val="006D0E0D"/>
    <w:rsid w:val="006D69AD"/>
    <w:rsid w:val="006F64FE"/>
    <w:rsid w:val="007366AE"/>
    <w:rsid w:val="00756EB1"/>
    <w:rsid w:val="00763EA3"/>
    <w:rsid w:val="00784513"/>
    <w:rsid w:val="00793AA6"/>
    <w:rsid w:val="007B2D16"/>
    <w:rsid w:val="007B3AA4"/>
    <w:rsid w:val="007B52DB"/>
    <w:rsid w:val="007C3ECD"/>
    <w:rsid w:val="007E5C8C"/>
    <w:rsid w:val="0083088E"/>
    <w:rsid w:val="008331EB"/>
    <w:rsid w:val="00847492"/>
    <w:rsid w:val="00854453"/>
    <w:rsid w:val="008A01F5"/>
    <w:rsid w:val="008A2F43"/>
    <w:rsid w:val="008A74E9"/>
    <w:rsid w:val="008B4E7A"/>
    <w:rsid w:val="008D468C"/>
    <w:rsid w:val="008D552B"/>
    <w:rsid w:val="008E0A2D"/>
    <w:rsid w:val="00911C42"/>
    <w:rsid w:val="00983762"/>
    <w:rsid w:val="00987A72"/>
    <w:rsid w:val="0099474E"/>
    <w:rsid w:val="009C562D"/>
    <w:rsid w:val="009E5A20"/>
    <w:rsid w:val="009F72CD"/>
    <w:rsid w:val="00A004A4"/>
    <w:rsid w:val="00A0750A"/>
    <w:rsid w:val="00A11796"/>
    <w:rsid w:val="00A148B8"/>
    <w:rsid w:val="00A274E0"/>
    <w:rsid w:val="00A5002F"/>
    <w:rsid w:val="00A50E92"/>
    <w:rsid w:val="00A54AFC"/>
    <w:rsid w:val="00A8442A"/>
    <w:rsid w:val="00A86486"/>
    <w:rsid w:val="00A90E7A"/>
    <w:rsid w:val="00AB0AD6"/>
    <w:rsid w:val="00AB20E3"/>
    <w:rsid w:val="00AB6364"/>
    <w:rsid w:val="00AC0589"/>
    <w:rsid w:val="00AD603B"/>
    <w:rsid w:val="00B1483E"/>
    <w:rsid w:val="00B2079A"/>
    <w:rsid w:val="00B36FE4"/>
    <w:rsid w:val="00B66118"/>
    <w:rsid w:val="00B86938"/>
    <w:rsid w:val="00BA7AAC"/>
    <w:rsid w:val="00BC6A6A"/>
    <w:rsid w:val="00BD0CDF"/>
    <w:rsid w:val="00C27AF5"/>
    <w:rsid w:val="00C75073"/>
    <w:rsid w:val="00CA412C"/>
    <w:rsid w:val="00CA5474"/>
    <w:rsid w:val="00CB1AD6"/>
    <w:rsid w:val="00CB7476"/>
    <w:rsid w:val="00CE1546"/>
    <w:rsid w:val="00CF52A3"/>
    <w:rsid w:val="00D1656A"/>
    <w:rsid w:val="00D47393"/>
    <w:rsid w:val="00D52326"/>
    <w:rsid w:val="00D624E1"/>
    <w:rsid w:val="00D72400"/>
    <w:rsid w:val="00D7360E"/>
    <w:rsid w:val="00D76BC6"/>
    <w:rsid w:val="00D87CAE"/>
    <w:rsid w:val="00D91199"/>
    <w:rsid w:val="00DA477A"/>
    <w:rsid w:val="00DB1757"/>
    <w:rsid w:val="00DB73B6"/>
    <w:rsid w:val="00DB7FBE"/>
    <w:rsid w:val="00DC1374"/>
    <w:rsid w:val="00DC5DDF"/>
    <w:rsid w:val="00DF112A"/>
    <w:rsid w:val="00E17861"/>
    <w:rsid w:val="00E25E2B"/>
    <w:rsid w:val="00E67F5C"/>
    <w:rsid w:val="00E77794"/>
    <w:rsid w:val="00E91F28"/>
    <w:rsid w:val="00EB497B"/>
    <w:rsid w:val="00EB587A"/>
    <w:rsid w:val="00EC22B6"/>
    <w:rsid w:val="00F0060F"/>
    <w:rsid w:val="00F07A07"/>
    <w:rsid w:val="00F1616E"/>
    <w:rsid w:val="00F32996"/>
    <w:rsid w:val="00F35A1E"/>
    <w:rsid w:val="00F53229"/>
    <w:rsid w:val="00F579E9"/>
    <w:rsid w:val="00F72A55"/>
    <w:rsid w:val="00F818BF"/>
    <w:rsid w:val="00F87FDC"/>
    <w:rsid w:val="00FB0708"/>
    <w:rsid w:val="00FB48AF"/>
    <w:rsid w:val="00FC59DD"/>
    <w:rsid w:val="00FF6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15767"/>
  <w15:chartTrackingRefBased/>
  <w15:docId w15:val="{CA7B3DF1-F3A9-4644-85E7-822D17B6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C0785"/>
    <w:pPr>
      <w:spacing w:after="240" w:line="240" w:lineRule="auto"/>
      <w:jc w:val="both"/>
      <w:outlineLvl w:val="0"/>
    </w:pPr>
    <w:rPr>
      <w:rFonts w:ascii="Arial" w:eastAsia="Times New Roman" w:hAnsi="Arial" w:cs="Arial"/>
      <w:bCs/>
    </w:rPr>
  </w:style>
  <w:style w:type="paragraph" w:styleId="Heading2">
    <w:name w:val="heading 2"/>
    <w:link w:val="Heading2Char"/>
    <w:unhideWhenUsed/>
    <w:qFormat/>
    <w:rsid w:val="006C0785"/>
    <w:pPr>
      <w:spacing w:after="240" w:line="240" w:lineRule="auto"/>
      <w:jc w:val="both"/>
      <w:outlineLvl w:val="1"/>
    </w:pPr>
    <w:rPr>
      <w:rFonts w:ascii="Arial" w:eastAsia="Times New Roman" w:hAnsi="Arial" w:cs="Arial"/>
      <w:bCs/>
      <w:iCs/>
    </w:rPr>
  </w:style>
  <w:style w:type="paragraph" w:styleId="Heading3">
    <w:name w:val="heading 3"/>
    <w:link w:val="Heading3Char"/>
    <w:unhideWhenUsed/>
    <w:qFormat/>
    <w:rsid w:val="006C0785"/>
    <w:pPr>
      <w:spacing w:after="240" w:line="240" w:lineRule="auto"/>
      <w:jc w:val="both"/>
      <w:outlineLvl w:val="2"/>
    </w:pPr>
    <w:rPr>
      <w:rFonts w:ascii="Arial" w:eastAsia="Times New Roman" w:hAnsi="Arial" w:cs="Arial"/>
      <w:bCs/>
    </w:rPr>
  </w:style>
  <w:style w:type="paragraph" w:styleId="Heading4">
    <w:name w:val="heading 4"/>
    <w:link w:val="Heading4Char"/>
    <w:semiHidden/>
    <w:unhideWhenUsed/>
    <w:qFormat/>
    <w:rsid w:val="006C0785"/>
    <w:pPr>
      <w:spacing w:after="240" w:line="240" w:lineRule="auto"/>
      <w:jc w:val="both"/>
      <w:outlineLvl w:val="3"/>
    </w:pPr>
    <w:rPr>
      <w:rFonts w:ascii="Arial" w:eastAsia="Times New Roman" w:hAnsi="Arial" w:cs="Arial"/>
    </w:rPr>
  </w:style>
  <w:style w:type="paragraph" w:styleId="Heading5">
    <w:name w:val="heading 5"/>
    <w:link w:val="Heading5Char"/>
    <w:semiHidden/>
    <w:unhideWhenUsed/>
    <w:qFormat/>
    <w:rsid w:val="006C0785"/>
    <w:pPr>
      <w:spacing w:after="240" w:line="240" w:lineRule="auto"/>
      <w:jc w:val="both"/>
      <w:outlineLvl w:val="4"/>
    </w:pPr>
    <w:rPr>
      <w:rFonts w:ascii="Arial" w:eastAsia="Times New Roman" w:hAnsi="Arial" w:cs="Arial"/>
      <w:iCs/>
    </w:rPr>
  </w:style>
  <w:style w:type="paragraph" w:styleId="Heading6">
    <w:name w:val="heading 6"/>
    <w:link w:val="Heading6Char"/>
    <w:semiHidden/>
    <w:unhideWhenUsed/>
    <w:qFormat/>
    <w:rsid w:val="006C0785"/>
    <w:pPr>
      <w:spacing w:after="240" w:line="240" w:lineRule="auto"/>
      <w:jc w:val="both"/>
      <w:outlineLvl w:val="5"/>
    </w:pPr>
    <w:rPr>
      <w:rFonts w:ascii="Arial" w:eastAsia="Times New Roman" w:hAnsi="Arial" w:cs="Arial"/>
      <w:bCs/>
    </w:rPr>
  </w:style>
  <w:style w:type="paragraph" w:styleId="Heading7">
    <w:name w:val="heading 7"/>
    <w:link w:val="Heading7Char"/>
    <w:uiPriority w:val="99"/>
    <w:semiHidden/>
    <w:unhideWhenUsed/>
    <w:qFormat/>
    <w:rsid w:val="006C0785"/>
    <w:pPr>
      <w:spacing w:after="240" w:line="240" w:lineRule="auto"/>
      <w:jc w:val="both"/>
      <w:outlineLvl w:val="6"/>
    </w:pPr>
    <w:rPr>
      <w:rFonts w:ascii="Arial" w:eastAsia="Times New Roman" w:hAnsi="Arial" w:cs="Arial"/>
    </w:rPr>
  </w:style>
  <w:style w:type="paragraph" w:styleId="Heading8">
    <w:name w:val="heading 8"/>
    <w:link w:val="Heading8Char"/>
    <w:uiPriority w:val="99"/>
    <w:semiHidden/>
    <w:unhideWhenUsed/>
    <w:qFormat/>
    <w:rsid w:val="006C0785"/>
    <w:pPr>
      <w:spacing w:after="240" w:line="240" w:lineRule="auto"/>
      <w:jc w:val="both"/>
      <w:outlineLvl w:val="7"/>
    </w:pPr>
    <w:rPr>
      <w:rFonts w:ascii="Arial" w:eastAsia="Times New Roman" w:hAnsi="Arial" w:cs="Arial"/>
      <w:iCs/>
    </w:rPr>
  </w:style>
  <w:style w:type="paragraph" w:styleId="Heading9">
    <w:name w:val="heading 9"/>
    <w:link w:val="Heading9Char"/>
    <w:uiPriority w:val="99"/>
    <w:semiHidden/>
    <w:unhideWhenUsed/>
    <w:qFormat/>
    <w:rsid w:val="006C0785"/>
    <w:pPr>
      <w:spacing w:after="24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785"/>
    <w:rPr>
      <w:rFonts w:ascii="Arial" w:eastAsia="Times New Roman" w:hAnsi="Arial" w:cs="Arial"/>
      <w:bCs/>
    </w:rPr>
  </w:style>
  <w:style w:type="character" w:customStyle="1" w:styleId="Heading2Char">
    <w:name w:val="Heading 2 Char"/>
    <w:basedOn w:val="DefaultParagraphFont"/>
    <w:link w:val="Heading2"/>
    <w:rsid w:val="006C0785"/>
    <w:rPr>
      <w:rFonts w:ascii="Arial" w:eastAsia="Times New Roman" w:hAnsi="Arial" w:cs="Arial"/>
      <w:bCs/>
      <w:iCs/>
    </w:rPr>
  </w:style>
  <w:style w:type="character" w:customStyle="1" w:styleId="Heading3Char">
    <w:name w:val="Heading 3 Char"/>
    <w:basedOn w:val="DefaultParagraphFont"/>
    <w:link w:val="Heading3"/>
    <w:rsid w:val="006C0785"/>
    <w:rPr>
      <w:rFonts w:ascii="Arial" w:eastAsia="Times New Roman" w:hAnsi="Arial" w:cs="Arial"/>
      <w:bCs/>
    </w:rPr>
  </w:style>
  <w:style w:type="character" w:customStyle="1" w:styleId="Heading4Char">
    <w:name w:val="Heading 4 Char"/>
    <w:basedOn w:val="DefaultParagraphFont"/>
    <w:link w:val="Heading4"/>
    <w:semiHidden/>
    <w:rsid w:val="006C0785"/>
    <w:rPr>
      <w:rFonts w:ascii="Arial" w:eastAsia="Times New Roman" w:hAnsi="Arial" w:cs="Arial"/>
    </w:rPr>
  </w:style>
  <w:style w:type="character" w:customStyle="1" w:styleId="Heading5Char">
    <w:name w:val="Heading 5 Char"/>
    <w:basedOn w:val="DefaultParagraphFont"/>
    <w:link w:val="Heading5"/>
    <w:semiHidden/>
    <w:rsid w:val="006C0785"/>
    <w:rPr>
      <w:rFonts w:ascii="Arial" w:eastAsia="Times New Roman" w:hAnsi="Arial" w:cs="Arial"/>
      <w:iCs/>
    </w:rPr>
  </w:style>
  <w:style w:type="character" w:customStyle="1" w:styleId="Heading6Char">
    <w:name w:val="Heading 6 Char"/>
    <w:basedOn w:val="DefaultParagraphFont"/>
    <w:link w:val="Heading6"/>
    <w:semiHidden/>
    <w:rsid w:val="006C0785"/>
    <w:rPr>
      <w:rFonts w:ascii="Arial" w:eastAsia="Times New Roman" w:hAnsi="Arial" w:cs="Arial"/>
      <w:bCs/>
    </w:rPr>
  </w:style>
  <w:style w:type="character" w:customStyle="1" w:styleId="Heading7Char">
    <w:name w:val="Heading 7 Char"/>
    <w:basedOn w:val="DefaultParagraphFont"/>
    <w:link w:val="Heading7"/>
    <w:uiPriority w:val="99"/>
    <w:semiHidden/>
    <w:rsid w:val="006C0785"/>
    <w:rPr>
      <w:rFonts w:ascii="Arial" w:eastAsia="Times New Roman" w:hAnsi="Arial" w:cs="Arial"/>
    </w:rPr>
  </w:style>
  <w:style w:type="character" w:customStyle="1" w:styleId="Heading8Char">
    <w:name w:val="Heading 8 Char"/>
    <w:basedOn w:val="DefaultParagraphFont"/>
    <w:link w:val="Heading8"/>
    <w:uiPriority w:val="99"/>
    <w:semiHidden/>
    <w:rsid w:val="006C0785"/>
    <w:rPr>
      <w:rFonts w:ascii="Arial" w:eastAsia="Times New Roman" w:hAnsi="Arial" w:cs="Arial"/>
      <w:iCs/>
    </w:rPr>
  </w:style>
  <w:style w:type="character" w:customStyle="1" w:styleId="Heading9Char">
    <w:name w:val="Heading 9 Char"/>
    <w:basedOn w:val="DefaultParagraphFont"/>
    <w:link w:val="Heading9"/>
    <w:uiPriority w:val="99"/>
    <w:semiHidden/>
    <w:rsid w:val="006C0785"/>
    <w:rPr>
      <w:rFonts w:ascii="Arial" w:eastAsia="Times New Roman" w:hAnsi="Arial" w:cs="Arial"/>
    </w:rPr>
  </w:style>
  <w:style w:type="paragraph" w:styleId="ListParagraph">
    <w:name w:val="List Paragraph"/>
    <w:basedOn w:val="Normal"/>
    <w:uiPriority w:val="34"/>
    <w:qFormat/>
    <w:rsid w:val="006C0785"/>
    <w:pPr>
      <w:spacing w:after="200" w:line="276" w:lineRule="auto"/>
      <w:ind w:left="720"/>
      <w:contextualSpacing/>
    </w:pPr>
  </w:style>
  <w:style w:type="paragraph" w:styleId="FootnoteText">
    <w:name w:val="footnote text"/>
    <w:basedOn w:val="Normal"/>
    <w:link w:val="FootnoteTextChar"/>
    <w:uiPriority w:val="99"/>
    <w:semiHidden/>
    <w:unhideWhenUsed/>
    <w:rsid w:val="006C0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785"/>
    <w:rPr>
      <w:sz w:val="20"/>
      <w:szCs w:val="20"/>
    </w:rPr>
  </w:style>
  <w:style w:type="character" w:styleId="FootnoteReference">
    <w:name w:val="footnote reference"/>
    <w:basedOn w:val="DefaultParagraphFont"/>
    <w:uiPriority w:val="99"/>
    <w:semiHidden/>
    <w:unhideWhenUsed/>
    <w:rsid w:val="006C0785"/>
    <w:rPr>
      <w:vertAlign w:val="superscript"/>
    </w:rPr>
  </w:style>
  <w:style w:type="paragraph" w:styleId="EndnoteText">
    <w:name w:val="endnote text"/>
    <w:basedOn w:val="Normal"/>
    <w:link w:val="EndnoteTextChar"/>
    <w:uiPriority w:val="99"/>
    <w:semiHidden/>
    <w:unhideWhenUsed/>
    <w:rsid w:val="00B148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3E"/>
    <w:rPr>
      <w:sz w:val="20"/>
      <w:szCs w:val="20"/>
    </w:rPr>
  </w:style>
  <w:style w:type="character" w:styleId="EndnoteReference">
    <w:name w:val="endnote reference"/>
    <w:basedOn w:val="DefaultParagraphFont"/>
    <w:uiPriority w:val="99"/>
    <w:semiHidden/>
    <w:unhideWhenUsed/>
    <w:rsid w:val="00B1483E"/>
    <w:rPr>
      <w:vertAlign w:val="superscript"/>
    </w:rPr>
  </w:style>
  <w:style w:type="character" w:styleId="Hyperlink">
    <w:name w:val="Hyperlink"/>
    <w:basedOn w:val="DefaultParagraphFont"/>
    <w:uiPriority w:val="99"/>
    <w:unhideWhenUsed/>
    <w:rsid w:val="00B1483E"/>
    <w:rPr>
      <w:color w:val="0563C1" w:themeColor="hyperlink"/>
      <w:u w:val="single"/>
    </w:rPr>
  </w:style>
  <w:style w:type="paragraph" w:styleId="Header">
    <w:name w:val="header"/>
    <w:basedOn w:val="Normal"/>
    <w:link w:val="HeaderChar"/>
    <w:uiPriority w:val="99"/>
    <w:unhideWhenUsed/>
    <w:rsid w:val="006B2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1B"/>
  </w:style>
  <w:style w:type="paragraph" w:styleId="Footer">
    <w:name w:val="footer"/>
    <w:basedOn w:val="Normal"/>
    <w:link w:val="FooterChar"/>
    <w:uiPriority w:val="99"/>
    <w:unhideWhenUsed/>
    <w:rsid w:val="006B2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1B"/>
  </w:style>
  <w:style w:type="character" w:styleId="Emphasis">
    <w:name w:val="Emphasis"/>
    <w:basedOn w:val="DefaultParagraphFont"/>
    <w:uiPriority w:val="20"/>
    <w:qFormat/>
    <w:rsid w:val="002F24F6"/>
    <w:rPr>
      <w:i/>
      <w:iCs/>
    </w:rPr>
  </w:style>
  <w:style w:type="paragraph" w:styleId="BalloonText">
    <w:name w:val="Balloon Text"/>
    <w:basedOn w:val="Normal"/>
    <w:link w:val="BalloonTextChar"/>
    <w:uiPriority w:val="99"/>
    <w:semiHidden/>
    <w:unhideWhenUsed/>
    <w:rsid w:val="00670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C6D"/>
    <w:rPr>
      <w:rFonts w:ascii="Segoe UI" w:hAnsi="Segoe UI" w:cs="Segoe UI"/>
      <w:sz w:val="18"/>
      <w:szCs w:val="18"/>
    </w:rPr>
  </w:style>
  <w:style w:type="character" w:styleId="CommentReference">
    <w:name w:val="annotation reference"/>
    <w:basedOn w:val="DefaultParagraphFont"/>
    <w:uiPriority w:val="99"/>
    <w:semiHidden/>
    <w:unhideWhenUsed/>
    <w:rsid w:val="000B5B7F"/>
    <w:rPr>
      <w:sz w:val="16"/>
      <w:szCs w:val="16"/>
    </w:rPr>
  </w:style>
  <w:style w:type="paragraph" w:styleId="CommentText">
    <w:name w:val="annotation text"/>
    <w:basedOn w:val="Normal"/>
    <w:link w:val="CommentTextChar"/>
    <w:uiPriority w:val="99"/>
    <w:semiHidden/>
    <w:unhideWhenUsed/>
    <w:rsid w:val="000B5B7F"/>
    <w:pPr>
      <w:spacing w:line="240" w:lineRule="auto"/>
    </w:pPr>
    <w:rPr>
      <w:sz w:val="20"/>
      <w:szCs w:val="20"/>
    </w:rPr>
  </w:style>
  <w:style w:type="character" w:customStyle="1" w:styleId="CommentTextChar">
    <w:name w:val="Comment Text Char"/>
    <w:basedOn w:val="DefaultParagraphFont"/>
    <w:link w:val="CommentText"/>
    <w:uiPriority w:val="99"/>
    <w:semiHidden/>
    <w:rsid w:val="000B5B7F"/>
    <w:rPr>
      <w:sz w:val="20"/>
      <w:szCs w:val="20"/>
    </w:rPr>
  </w:style>
  <w:style w:type="paragraph" w:styleId="CommentSubject">
    <w:name w:val="annotation subject"/>
    <w:basedOn w:val="CommentText"/>
    <w:next w:val="CommentText"/>
    <w:link w:val="CommentSubjectChar"/>
    <w:uiPriority w:val="99"/>
    <w:semiHidden/>
    <w:unhideWhenUsed/>
    <w:rsid w:val="000B5B7F"/>
    <w:rPr>
      <w:b/>
      <w:bCs/>
    </w:rPr>
  </w:style>
  <w:style w:type="character" w:customStyle="1" w:styleId="CommentSubjectChar">
    <w:name w:val="Comment Subject Char"/>
    <w:basedOn w:val="CommentTextChar"/>
    <w:link w:val="CommentSubject"/>
    <w:uiPriority w:val="99"/>
    <w:semiHidden/>
    <w:rsid w:val="000B5B7F"/>
    <w:rPr>
      <w:b/>
      <w:bCs/>
      <w:sz w:val="20"/>
      <w:szCs w:val="20"/>
    </w:rPr>
  </w:style>
  <w:style w:type="character" w:styleId="FollowedHyperlink">
    <w:name w:val="FollowedHyperlink"/>
    <w:basedOn w:val="DefaultParagraphFont"/>
    <w:uiPriority w:val="99"/>
    <w:semiHidden/>
    <w:unhideWhenUsed/>
    <w:rsid w:val="00911C42"/>
    <w:rPr>
      <w:color w:val="954F72" w:themeColor="followedHyperlink"/>
      <w:u w:val="single"/>
    </w:rPr>
  </w:style>
  <w:style w:type="paragraph" w:styleId="Revision">
    <w:name w:val="Revision"/>
    <w:hidden/>
    <w:uiPriority w:val="99"/>
    <w:semiHidden/>
    <w:rsid w:val="00F81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5389">
      <w:bodyDiv w:val="1"/>
      <w:marLeft w:val="0"/>
      <w:marRight w:val="0"/>
      <w:marTop w:val="0"/>
      <w:marBottom w:val="0"/>
      <w:divBdr>
        <w:top w:val="none" w:sz="0" w:space="0" w:color="auto"/>
        <w:left w:val="none" w:sz="0" w:space="0" w:color="auto"/>
        <w:bottom w:val="none" w:sz="0" w:space="0" w:color="auto"/>
        <w:right w:val="none" w:sz="0" w:space="0" w:color="auto"/>
      </w:divBdr>
      <w:divsChild>
        <w:div w:id="977607519">
          <w:marLeft w:val="0"/>
          <w:marRight w:val="0"/>
          <w:marTop w:val="0"/>
          <w:marBottom w:val="0"/>
          <w:divBdr>
            <w:top w:val="none" w:sz="0" w:space="0" w:color="auto"/>
            <w:left w:val="none" w:sz="0" w:space="0" w:color="auto"/>
            <w:bottom w:val="none" w:sz="0" w:space="0" w:color="auto"/>
            <w:right w:val="none" w:sz="0" w:space="0" w:color="auto"/>
          </w:divBdr>
          <w:divsChild>
            <w:div w:id="665323345">
              <w:marLeft w:val="0"/>
              <w:marRight w:val="0"/>
              <w:marTop w:val="0"/>
              <w:marBottom w:val="0"/>
              <w:divBdr>
                <w:top w:val="none" w:sz="0" w:space="0" w:color="auto"/>
                <w:left w:val="none" w:sz="0" w:space="0" w:color="auto"/>
                <w:bottom w:val="none" w:sz="0" w:space="0" w:color="auto"/>
                <w:right w:val="none" w:sz="0" w:space="0" w:color="auto"/>
              </w:divBdr>
              <w:divsChild>
                <w:div w:id="710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0998">
      <w:bodyDiv w:val="1"/>
      <w:marLeft w:val="0"/>
      <w:marRight w:val="0"/>
      <w:marTop w:val="0"/>
      <w:marBottom w:val="0"/>
      <w:divBdr>
        <w:top w:val="none" w:sz="0" w:space="0" w:color="auto"/>
        <w:left w:val="none" w:sz="0" w:space="0" w:color="auto"/>
        <w:bottom w:val="none" w:sz="0" w:space="0" w:color="auto"/>
        <w:right w:val="none" w:sz="0" w:space="0" w:color="auto"/>
      </w:divBdr>
      <w:divsChild>
        <w:div w:id="625159921">
          <w:marLeft w:val="0"/>
          <w:marRight w:val="0"/>
          <w:marTop w:val="0"/>
          <w:marBottom w:val="0"/>
          <w:divBdr>
            <w:top w:val="none" w:sz="0" w:space="0" w:color="auto"/>
            <w:left w:val="none" w:sz="0" w:space="0" w:color="auto"/>
            <w:bottom w:val="none" w:sz="0" w:space="0" w:color="auto"/>
            <w:right w:val="none" w:sz="0" w:space="0" w:color="auto"/>
          </w:divBdr>
          <w:divsChild>
            <w:div w:id="27224145">
              <w:marLeft w:val="0"/>
              <w:marRight w:val="0"/>
              <w:marTop w:val="0"/>
              <w:marBottom w:val="0"/>
              <w:divBdr>
                <w:top w:val="none" w:sz="0" w:space="0" w:color="auto"/>
                <w:left w:val="none" w:sz="0" w:space="0" w:color="auto"/>
                <w:bottom w:val="none" w:sz="0" w:space="0" w:color="auto"/>
                <w:right w:val="none" w:sz="0" w:space="0" w:color="auto"/>
              </w:divBdr>
              <w:divsChild>
                <w:div w:id="191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ityofsydney.nsw.gov.au/__data/assets/pdf_file/0004/264442/Housing-Audit-June-2016.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ityofsydney.nsw.gov.au/vision/towards-2030/communities-and-culture/affordable-hous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nglicare.asn.au/docs/default-source/default-document-library/rental-affordability-snapshot-2017.pdf?sfvrsn=4" TargetMode="External"/><Relationship Id="rId3" Type="http://schemas.openxmlformats.org/officeDocument/2006/relationships/hyperlink" Target="http://www.anglicare.asn.au/research-reports/the-rental-affordability-snapshot" TargetMode="External"/><Relationship Id="rId7" Type="http://schemas.openxmlformats.org/officeDocument/2006/relationships/hyperlink" Target="http://www.cityofsydney.nsw.gov.au/vision/towards-2030/communities-and-culture/affordable-housing" TargetMode="External"/><Relationship Id="rId2" Type="http://schemas.openxmlformats.org/officeDocument/2006/relationships/hyperlink" Target="http://www.cityofsydney.nsw.gov.au/vision/towards-2030/communities-and-culture/affordable-housing" TargetMode="External"/><Relationship Id="rId1" Type="http://schemas.openxmlformats.org/officeDocument/2006/relationships/hyperlink" Target="http://www.anglicare.asn.au/research-reports/the-rental-affordability-snapshot" TargetMode="External"/><Relationship Id="rId6" Type="http://schemas.openxmlformats.org/officeDocument/2006/relationships/hyperlink" Target="http://www.pc.gov.au/inquiries/current/human-services/reforms/draft/human-services-reforms-draft.pdf" TargetMode="External"/><Relationship Id="rId5" Type="http://schemas.openxmlformats.org/officeDocument/2006/relationships/hyperlink" Target="http://www.tandfonline.com/doi/full/10.1080/08111146.2017.1335194" TargetMode="External"/><Relationship Id="rId4" Type="http://schemas.openxmlformats.org/officeDocument/2006/relationships/hyperlink" Target="http://www.anglicare.asn.au/research-reports/the-rental-affordability-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A17F-F077-4033-84DF-0B184ADBF2BF}">
  <ds:schemaRefs>
    <ds:schemaRef ds:uri="http://schemas.microsoft.com/office/2006/metadata/customXsn"/>
  </ds:schemaRefs>
</ds:datastoreItem>
</file>

<file path=customXml/itemProps2.xml><?xml version="1.0" encoding="utf-8"?>
<ds:datastoreItem xmlns:ds="http://schemas.openxmlformats.org/officeDocument/2006/customXml" ds:itemID="{06DB1E36-9DC5-43BB-9D39-EA0B594921F7}">
  <ds:schemaRefs>
    <ds:schemaRef ds:uri="Microsoft.SharePoint.Taxonomy.ContentTypeSync"/>
  </ds:schemaRefs>
</ds:datastoreItem>
</file>

<file path=customXml/itemProps3.xml><?xml version="1.0" encoding="utf-8"?>
<ds:datastoreItem xmlns:ds="http://schemas.openxmlformats.org/officeDocument/2006/customXml" ds:itemID="{C2334B22-A028-4622-B237-F5ED4ED22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C0D41-E1F9-42C8-981D-BD3CD30DFF0C}">
  <ds:schemaRef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http://purl.org/dc/terms/"/>
    <ds:schemaRef ds:uri="http://purl.org/dc/elements/1.1/"/>
    <ds:schemaRef ds:uri="http://schemas.microsoft.com/office/infopath/2007/PartnerControl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2EE00180-2939-4569-92C9-54559C401EFB}">
  <ds:schemaRefs>
    <ds:schemaRef ds:uri="http://schemas.microsoft.com/sharepoint/v3/contenttype/forms"/>
  </ds:schemaRefs>
</ds:datastoreItem>
</file>

<file path=customXml/itemProps6.xml><?xml version="1.0" encoding="utf-8"?>
<ds:datastoreItem xmlns:ds="http://schemas.openxmlformats.org/officeDocument/2006/customXml" ds:itemID="{6F3013CF-07BE-409D-ABB1-F0460E3F5BF4}">
  <ds:schemaRefs>
    <ds:schemaRef ds:uri="http://schemas.microsoft.com/sharepoint/events"/>
  </ds:schemaRefs>
</ds:datastoreItem>
</file>

<file path=customXml/itemProps7.xml><?xml version="1.0" encoding="utf-8"?>
<ds:datastoreItem xmlns:ds="http://schemas.openxmlformats.org/officeDocument/2006/customXml" ds:itemID="{1198FF83-4466-463A-80EA-7404661E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Submission DR540 - City of Sydney - Reforms to Human Services - Stage 2 of Human Services public inquiry</vt:lpstr>
    </vt:vector>
  </TitlesOfParts>
  <Company>City of Sydney</Company>
  <LinksUpToDate>false</LinksUpToDate>
  <CharactersWithSpaces>26231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DR540 - City of Sydney - Reforms to Human Services - Stage 2 of Human Services public inquiry</dc:title>
  <dc:subject/>
  <dc:creator>City of Sydney</dc:creator>
  <cp:keywords/>
  <dc:description/>
  <cp:lastModifiedBy>Pimperl, Mark</cp:lastModifiedBy>
  <cp:revision>3</cp:revision>
  <cp:lastPrinted>2017-06-26T04:48:00Z</cp:lastPrinted>
  <dcterms:created xsi:type="dcterms:W3CDTF">2017-07-14T06:25:00Z</dcterms:created>
  <dcterms:modified xsi:type="dcterms:W3CDTF">2017-07-17T23:21:00Z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