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1CE5E6B" w14:textId="4B41F21D" w:rsidR="005509F4" w:rsidRDefault="001565BB" w:rsidP="00BA6947">
      <w:pPr>
        <w:pStyle w:val="Frontpage"/>
      </w:pPr>
      <w:r>
        <w:t>S</w:t>
      </w:r>
      <w:r w:rsidR="005F33E5">
        <w:t xml:space="preserve">ubmission to the </w:t>
      </w:r>
      <w:r>
        <w:t>P</w:t>
      </w:r>
      <w:r w:rsidR="005F33E5">
        <w:t xml:space="preserve">roductivity </w:t>
      </w:r>
      <w:r>
        <w:t>C</w:t>
      </w:r>
      <w:r w:rsidR="005F33E5">
        <w:t xml:space="preserve">ommission inquiry on </w:t>
      </w:r>
      <w:r w:rsidR="005F33E5" w:rsidRPr="005F33E5">
        <w:t xml:space="preserve">collection models for </w:t>
      </w:r>
      <w:r>
        <w:t>GST</w:t>
      </w:r>
      <w:r w:rsidR="005F33E5" w:rsidRPr="005F33E5">
        <w:t xml:space="preserve"> on low value imported goods</w:t>
      </w:r>
    </w:p>
    <w:p w14:paraId="0434052C" w14:textId="66783EE3" w:rsidR="00057923" w:rsidRDefault="00697283" w:rsidP="00BA6947">
      <w:pPr>
        <w:pStyle w:val="Tableheading"/>
      </w:pPr>
      <w:r>
        <w:t xml:space="preserve">Dr </w:t>
      </w:r>
      <w:r w:rsidR="00057923">
        <w:t>Kathryn James, Senior Lecturer, Faculty of Law, Monash University</w:t>
      </w:r>
    </w:p>
    <w:p w14:paraId="361C5FCA" w14:textId="30950CF0" w:rsidR="00832769" w:rsidRDefault="00832769" w:rsidP="008C534C">
      <w:pPr>
        <w:pStyle w:val="Preliminaryheading"/>
      </w:pPr>
      <w:bookmarkStart w:id="0" w:name="_Toc317332846"/>
      <w:bookmarkStart w:id="1" w:name="_Toc317334673"/>
      <w:r>
        <w:t>Scope of submission</w:t>
      </w:r>
      <w:bookmarkStart w:id="2" w:name="_GoBack"/>
      <w:bookmarkEnd w:id="2"/>
    </w:p>
    <w:p w14:paraId="671825F3" w14:textId="6464707D" w:rsidR="00FE2C0C" w:rsidRDefault="00E33A5D" w:rsidP="004139FF">
      <w:pPr>
        <w:pStyle w:val="BodyStyle"/>
      </w:pPr>
      <w:r>
        <w:t xml:space="preserve">This submission responds to the following questions </w:t>
      </w:r>
      <w:r w:rsidR="00FE2C0C">
        <w:t>raised by</w:t>
      </w:r>
      <w:r>
        <w:t xml:space="preserve"> the Productivity Commission’s </w:t>
      </w:r>
      <w:r w:rsidR="002E705E">
        <w:t>‘</w:t>
      </w:r>
      <w:r>
        <w:t>Discussion Paper on Collection Models for GST on Low V</w:t>
      </w:r>
      <w:r w:rsidR="005F33E5">
        <w:t>alue Imported Goods</w:t>
      </w:r>
      <w:r w:rsidR="002E705E">
        <w:t>’</w:t>
      </w:r>
      <w:r w:rsidR="00FE2C0C">
        <w:t>:</w:t>
      </w:r>
    </w:p>
    <w:p w14:paraId="24A6261E" w14:textId="77777777" w:rsidR="00FE2C0C" w:rsidRDefault="00FE2C0C" w:rsidP="00816EFD">
      <w:pPr>
        <w:pStyle w:val="ListParagraph"/>
      </w:pPr>
      <w:r>
        <w:t>I</w:t>
      </w:r>
      <w:r w:rsidR="00697E64">
        <w:t xml:space="preserve">ssues that might affect compliance costs and rates by overseas vendors and </w:t>
      </w:r>
      <w:r>
        <w:t>electronic distribution platform</w:t>
      </w:r>
      <w:r w:rsidR="00697E64">
        <w:t>s</w:t>
      </w:r>
      <w:r>
        <w:t>;</w:t>
      </w:r>
      <w:r w:rsidR="00CC4A2C">
        <w:rPr>
          <w:rStyle w:val="FootnoteReference"/>
        </w:rPr>
        <w:footnoteReference w:id="1"/>
      </w:r>
      <w:r w:rsidR="00697E64">
        <w:t xml:space="preserve"> </w:t>
      </w:r>
    </w:p>
    <w:p w14:paraId="4DA27013" w14:textId="0D1BD0AD" w:rsidR="00E452AA" w:rsidRDefault="00FE2C0C" w:rsidP="00816EFD">
      <w:pPr>
        <w:pStyle w:val="ListParagraph"/>
      </w:pPr>
      <w:r>
        <w:t>W</w:t>
      </w:r>
      <w:r w:rsidR="00697E64">
        <w:t>hat ch</w:t>
      </w:r>
      <w:r w:rsidR="008C534C">
        <w:t>anges including to the legislated</w:t>
      </w:r>
      <w:r w:rsidR="00697E64">
        <w:t xml:space="preserve"> model might help to address this.</w:t>
      </w:r>
      <w:r w:rsidR="00CC4A2C">
        <w:rPr>
          <w:rStyle w:val="FootnoteReference"/>
        </w:rPr>
        <w:footnoteReference w:id="2"/>
      </w:r>
      <w:r w:rsidR="00697E64">
        <w:t xml:space="preserve"> </w:t>
      </w:r>
    </w:p>
    <w:p w14:paraId="3766DD1B" w14:textId="525A82A1" w:rsidR="00E452AA" w:rsidRDefault="00E452AA" w:rsidP="00816EFD">
      <w:pPr>
        <w:pStyle w:val="BodyStyle"/>
      </w:pPr>
      <w:r>
        <w:t xml:space="preserve">The Australian reforms are an ambitious attempt to move Australia from maintaining the highest threshold in the OECD for the relief of payment of GST on the importation of low value goods to effectively being one of the first OECD jurisdictions to </w:t>
      </w:r>
      <w:r w:rsidR="00EE3CB3">
        <w:t xml:space="preserve">attempt to </w:t>
      </w:r>
      <w:r>
        <w:t>tax</w:t>
      </w:r>
      <w:r w:rsidR="00EE3CB3">
        <w:t xml:space="preserve"> all</w:t>
      </w:r>
      <w:r>
        <w:t xml:space="preserve"> imports of low value goods.</w:t>
      </w:r>
      <w:r>
        <w:rPr>
          <w:rStyle w:val="FootnoteReference"/>
        </w:rPr>
        <w:footnoteReference w:id="3"/>
      </w:r>
      <w:r>
        <w:t xml:space="preserve"> </w:t>
      </w:r>
      <w:r w:rsidR="004139FF">
        <w:t>I am generally supportive of moves to apply the GST to all imported goods for reasons primarily relating to revenue integrity and competitive neutrality.</w:t>
      </w:r>
      <w:r w:rsidR="004139FF">
        <w:rPr>
          <w:rStyle w:val="FootnoteReference"/>
        </w:rPr>
        <w:footnoteReference w:id="4"/>
      </w:r>
      <w:r w:rsidR="004139FF">
        <w:t xml:space="preserve"> However, I have some concerns about the proposed execution of the </w:t>
      </w:r>
      <w:r w:rsidR="00816EFD">
        <w:t>legislated model</w:t>
      </w:r>
      <w:r w:rsidR="004139FF">
        <w:t>.</w:t>
      </w:r>
    </w:p>
    <w:p w14:paraId="043DC7A7" w14:textId="10E55E38" w:rsidR="00404F9E" w:rsidRPr="008C534C" w:rsidRDefault="00E452AA" w:rsidP="004E464D">
      <w:pPr>
        <w:pStyle w:val="Bulletedlist"/>
      </w:pPr>
      <w:r>
        <w:rPr>
          <w:lang w:val="en-AU"/>
        </w:rPr>
        <w:t xml:space="preserve">This submission </w:t>
      </w:r>
      <w:r w:rsidR="008C534C">
        <w:rPr>
          <w:lang w:val="en-AU"/>
        </w:rPr>
        <w:t xml:space="preserve">addresses </w:t>
      </w:r>
      <w:r w:rsidR="006E471B">
        <w:rPr>
          <w:lang w:val="en-AU"/>
        </w:rPr>
        <w:t>three</w:t>
      </w:r>
      <w:r w:rsidR="008C534C">
        <w:rPr>
          <w:lang w:val="en-AU"/>
        </w:rPr>
        <w:t xml:space="preserve"> issues in relation to the legislated model</w:t>
      </w:r>
      <w:r>
        <w:rPr>
          <w:lang w:val="en-AU"/>
        </w:rPr>
        <w:t xml:space="preserve">: </w:t>
      </w:r>
    </w:p>
    <w:p w14:paraId="3E848414" w14:textId="5A901E4F" w:rsidR="00404F9E" w:rsidRDefault="00404F9E" w:rsidP="00816EFD">
      <w:pPr>
        <w:pStyle w:val="Numberedlist"/>
        <w:numPr>
          <w:ilvl w:val="0"/>
          <w:numId w:val="44"/>
        </w:numPr>
        <w:rPr>
          <w:lang w:val="en-AU"/>
        </w:rPr>
      </w:pPr>
      <w:r>
        <w:rPr>
          <w:lang w:val="en-AU"/>
        </w:rPr>
        <w:t xml:space="preserve">The effectiveness of the </w:t>
      </w:r>
      <w:r w:rsidR="008C534C">
        <w:rPr>
          <w:lang w:val="en-AU"/>
        </w:rPr>
        <w:t>legislated model</w:t>
      </w:r>
      <w:r>
        <w:rPr>
          <w:lang w:val="en-AU"/>
        </w:rPr>
        <w:t xml:space="preserve"> </w:t>
      </w:r>
      <w:r w:rsidR="00F61FE5">
        <w:rPr>
          <w:lang w:val="en-AU"/>
        </w:rPr>
        <w:t>is</w:t>
      </w:r>
      <w:r>
        <w:rPr>
          <w:lang w:val="en-AU"/>
        </w:rPr>
        <w:t xml:space="preserve"> undermined by </w:t>
      </w:r>
      <w:r w:rsidR="00F61FE5">
        <w:rPr>
          <w:lang w:val="en-AU"/>
        </w:rPr>
        <w:t>its</w:t>
      </w:r>
      <w:r>
        <w:rPr>
          <w:lang w:val="en-AU"/>
        </w:rPr>
        <w:t xml:space="preserve"> </w:t>
      </w:r>
      <w:r w:rsidR="00E452AA">
        <w:rPr>
          <w:lang w:val="en-AU"/>
        </w:rPr>
        <w:t>complex</w:t>
      </w:r>
      <w:r>
        <w:rPr>
          <w:lang w:val="en-AU"/>
        </w:rPr>
        <w:t>ity</w:t>
      </w:r>
      <w:r w:rsidR="007A6106">
        <w:rPr>
          <w:lang w:val="en-AU"/>
        </w:rPr>
        <w:t>;</w:t>
      </w:r>
      <w:r w:rsidR="00E452AA">
        <w:rPr>
          <w:lang w:val="en-AU"/>
        </w:rPr>
        <w:t xml:space="preserve"> </w:t>
      </w:r>
    </w:p>
    <w:p w14:paraId="34D1B422" w14:textId="6F2D839F" w:rsidR="00404F9E" w:rsidRDefault="00404F9E" w:rsidP="001A61E6">
      <w:pPr>
        <w:pStyle w:val="Numberedlist"/>
        <w:numPr>
          <w:ilvl w:val="0"/>
          <w:numId w:val="44"/>
        </w:numPr>
        <w:rPr>
          <w:lang w:val="en-AU"/>
        </w:rPr>
      </w:pPr>
      <w:r>
        <w:rPr>
          <w:lang w:val="en-AU"/>
        </w:rPr>
        <w:t>C</w:t>
      </w:r>
      <w:r w:rsidR="00E452AA">
        <w:rPr>
          <w:lang w:val="en-AU"/>
        </w:rPr>
        <w:t>omplexity combined with weak enforcement capacity</w:t>
      </w:r>
      <w:r w:rsidR="008C534C">
        <w:rPr>
          <w:lang w:val="en-AU"/>
        </w:rPr>
        <w:t xml:space="preserve"> increases</w:t>
      </w:r>
      <w:r w:rsidR="00E452AA">
        <w:rPr>
          <w:lang w:val="en-AU"/>
        </w:rPr>
        <w:t xml:space="preserve"> risks </w:t>
      </w:r>
      <w:r w:rsidR="009F1B5A">
        <w:rPr>
          <w:lang w:val="en-AU"/>
        </w:rPr>
        <w:t xml:space="preserve">of </w:t>
      </w:r>
      <w:r w:rsidR="00E452AA">
        <w:rPr>
          <w:lang w:val="en-AU"/>
        </w:rPr>
        <w:t>non-compliance</w:t>
      </w:r>
      <w:r w:rsidR="00FE2C0C">
        <w:rPr>
          <w:lang w:val="en-AU"/>
        </w:rPr>
        <w:t xml:space="preserve"> which </w:t>
      </w:r>
      <w:r w:rsidR="00965325">
        <w:rPr>
          <w:lang w:val="en-AU"/>
        </w:rPr>
        <w:t>are</w:t>
      </w:r>
      <w:r w:rsidR="00FE2C0C">
        <w:rPr>
          <w:lang w:val="en-AU"/>
        </w:rPr>
        <w:t xml:space="preserve"> not sufficiently addressed by </w:t>
      </w:r>
      <w:r w:rsidR="001A61E6">
        <w:rPr>
          <w:lang w:val="en-AU"/>
        </w:rPr>
        <w:t>the legislated model</w:t>
      </w:r>
      <w:r w:rsidR="007A6106">
        <w:rPr>
          <w:lang w:val="en-AU"/>
        </w:rPr>
        <w:t>;</w:t>
      </w:r>
    </w:p>
    <w:p w14:paraId="79C4A1EA" w14:textId="6ADBE7D4" w:rsidR="00E452AA" w:rsidRPr="00816EFD" w:rsidRDefault="00040E60" w:rsidP="00816EFD">
      <w:pPr>
        <w:pStyle w:val="Numberedlist"/>
        <w:numPr>
          <w:ilvl w:val="0"/>
          <w:numId w:val="44"/>
        </w:numPr>
        <w:rPr>
          <w:lang w:val="en-AU"/>
        </w:rPr>
      </w:pPr>
      <w:r>
        <w:rPr>
          <w:lang w:val="en-AU"/>
        </w:rPr>
        <w:t>The</w:t>
      </w:r>
      <w:r w:rsidR="00EE46C0">
        <w:rPr>
          <w:lang w:val="en-AU"/>
        </w:rPr>
        <w:t>re are</w:t>
      </w:r>
      <w:r>
        <w:rPr>
          <w:lang w:val="en-AU"/>
        </w:rPr>
        <w:t xml:space="preserve"> risks of </w:t>
      </w:r>
      <w:r w:rsidR="00404F9E">
        <w:t>Australia being an early mover</w:t>
      </w:r>
      <w:r w:rsidR="007A6106">
        <w:t>.</w:t>
      </w:r>
    </w:p>
    <w:p w14:paraId="2EB56B18" w14:textId="42A2F53B" w:rsidR="007A6106" w:rsidRDefault="007A6106" w:rsidP="007A6106">
      <w:pPr>
        <w:pStyle w:val="Numberedlist"/>
        <w:rPr>
          <w:lang w:val="en-AU"/>
        </w:rPr>
      </w:pPr>
    </w:p>
    <w:p w14:paraId="00A6BD11" w14:textId="241E1E47" w:rsidR="007A6106" w:rsidRDefault="007A6106" w:rsidP="007A6106">
      <w:pPr>
        <w:pStyle w:val="Numberedlist"/>
        <w:rPr>
          <w:lang w:val="en-AU"/>
        </w:rPr>
      </w:pPr>
      <w:r>
        <w:lastRenderedPageBreak/>
        <w:t xml:space="preserve">This analysis is drawn from a more detailed study of the proposed legislative scheme which will shortly be published in an academic journal (and which I would be pleased to provide to the Commission if it may assist its inquiry). </w:t>
      </w:r>
    </w:p>
    <w:p w14:paraId="4A53C8D7" w14:textId="7DFFE7EB" w:rsidR="00B718E5" w:rsidRPr="001565BB" w:rsidRDefault="006E471B" w:rsidP="004139FF">
      <w:pPr>
        <w:pStyle w:val="BodyStyle"/>
      </w:pPr>
      <w:r>
        <w:t xml:space="preserve">Part 4 of the submission </w:t>
      </w:r>
      <w:r w:rsidR="00701AF5">
        <w:t>then provides some further comments</w:t>
      </w:r>
      <w:r w:rsidR="00EE3CB3">
        <w:t xml:space="preserve"> on</w:t>
      </w:r>
      <w:r w:rsidR="009338B7">
        <w:t xml:space="preserve"> </w:t>
      </w:r>
      <w:r w:rsidR="00701AF5">
        <w:t xml:space="preserve">points made by stakeholders </w:t>
      </w:r>
      <w:r w:rsidR="009338B7">
        <w:t xml:space="preserve">during </w:t>
      </w:r>
      <w:r w:rsidR="00EE3CB3">
        <w:t xml:space="preserve">the </w:t>
      </w:r>
      <w:r w:rsidR="00040E60">
        <w:t xml:space="preserve">public </w:t>
      </w:r>
      <w:r w:rsidR="00EE3CB3">
        <w:t>hearing</w:t>
      </w:r>
      <w:r w:rsidR="00040E60">
        <w:t>s</w:t>
      </w:r>
      <w:r>
        <w:t>.</w:t>
      </w:r>
    </w:p>
    <w:p w14:paraId="37DB7522" w14:textId="79081E85" w:rsidR="00EC388E" w:rsidRDefault="00EC388E" w:rsidP="00A63F6B">
      <w:pPr>
        <w:pStyle w:val="Heading1"/>
      </w:pPr>
      <w:r>
        <w:t>A well-intentioned but complex scheme</w:t>
      </w:r>
    </w:p>
    <w:p w14:paraId="1FA40173" w14:textId="6531A602" w:rsidR="00E452AA" w:rsidRDefault="00BB6A13" w:rsidP="004139FF">
      <w:pPr>
        <w:pStyle w:val="BodyStyle"/>
      </w:pPr>
      <w:r>
        <w:t xml:space="preserve">As the </w:t>
      </w:r>
      <w:r w:rsidR="00454FAA">
        <w:t xml:space="preserve">Productivity Commission </w:t>
      </w:r>
      <w:r>
        <w:t>Discussion Paper identifies</w:t>
      </w:r>
      <w:r w:rsidR="00E452AA">
        <w:t>, the</w:t>
      </w:r>
      <w:r>
        <w:t xml:space="preserve"> </w:t>
      </w:r>
      <w:r w:rsidR="008C534C">
        <w:t>legislated model</w:t>
      </w:r>
      <w:r w:rsidR="00E452AA">
        <w:t xml:space="preserve"> propose</w:t>
      </w:r>
      <w:r w:rsidR="00701AF5">
        <w:t>s</w:t>
      </w:r>
      <w:r w:rsidR="00E452AA">
        <w:t xml:space="preserve"> a combination of vendor and/or intermediary collection</w:t>
      </w:r>
      <w:r w:rsidR="008C534C">
        <w:t>.</w:t>
      </w:r>
      <w:r w:rsidR="00FE2C0C">
        <w:rPr>
          <w:rStyle w:val="FootnoteReference"/>
        </w:rPr>
        <w:footnoteReference w:id="5"/>
      </w:r>
      <w:r w:rsidR="008C534C">
        <w:t xml:space="preserve"> </w:t>
      </w:r>
      <w:r>
        <w:t xml:space="preserve"> </w:t>
      </w:r>
    </w:p>
    <w:p w14:paraId="3F1B15E5" w14:textId="23C164A6" w:rsidR="00C379FE" w:rsidRDefault="001863FF" w:rsidP="00563670">
      <w:pPr>
        <w:pStyle w:val="Bulletedlist"/>
      </w:pPr>
      <w:r>
        <w:t>The legislated model is complex</w:t>
      </w:r>
      <w:r w:rsidR="008F46D3">
        <w:t xml:space="preserve">. </w:t>
      </w:r>
      <w:r w:rsidR="001565BB">
        <w:t>Much</w:t>
      </w:r>
      <w:r w:rsidR="00002BC2">
        <w:t xml:space="preserve"> complexity arises from the fact that </w:t>
      </w:r>
      <w:r w:rsidR="00C379FE">
        <w:t>rather than tax low value goods as any other imported good, the legislated model proposes establishing a new system (of supplier or intermediary collection) for taxing imports of low value goods (which are treated as taxable supplies) alongside the existing traditional collection method for other imported goods (which are treated as taxable importations).</w:t>
      </w:r>
      <w:r w:rsidR="00184DF4">
        <w:t xml:space="preserve"> </w:t>
      </w:r>
    </w:p>
    <w:p w14:paraId="2EED1C62" w14:textId="77777777" w:rsidR="00C379FE" w:rsidRDefault="00C379FE" w:rsidP="004E464D">
      <w:pPr>
        <w:pStyle w:val="Bulletedlist"/>
      </w:pPr>
    </w:p>
    <w:p w14:paraId="578072FE" w14:textId="0C79D7F5" w:rsidR="006040A8" w:rsidRDefault="00C379FE" w:rsidP="001A61E6">
      <w:pPr>
        <w:pStyle w:val="Bulletedlist"/>
      </w:pPr>
      <w:r>
        <w:t>Specifically, the legislated model introduces a new category of taxable supply so that an offshore supply of low value goods is connected with the indirect tax zone if the recipient of the supply is a consumer of the supply.</w:t>
      </w:r>
      <w:r>
        <w:rPr>
          <w:rStyle w:val="FootnoteReference"/>
        </w:rPr>
        <w:footnoteReference w:id="6"/>
      </w:r>
      <w:r w:rsidR="00244D1D">
        <w:rPr>
          <w:rStyle w:val="FootnoteReference"/>
        </w:rPr>
        <w:t xml:space="preserve"> </w:t>
      </w:r>
      <w:r>
        <w:t>The model is similar, but not identical to, recent reforms to tax inbound supplies of intangible goods</w:t>
      </w:r>
      <w:r w:rsidR="00BA56A2">
        <w:t xml:space="preserve"> and services</w:t>
      </w:r>
      <w:r>
        <w:t xml:space="preserve"> – which also treats su</w:t>
      </w:r>
      <w:r w:rsidR="00A77637">
        <w:t>ch supplies as taxable supplies.</w:t>
      </w:r>
      <w:r w:rsidR="001565BB">
        <w:rPr>
          <w:rStyle w:val="FootnoteReference"/>
        </w:rPr>
        <w:footnoteReference w:id="7"/>
      </w:r>
      <w:r w:rsidR="00A77637">
        <w:t xml:space="preserve"> </w:t>
      </w:r>
      <w:r w:rsidR="00EE6B5E">
        <w:t>However, discrete issues arise when applying this model to tangible goods</w:t>
      </w:r>
      <w:r w:rsidR="00566A07">
        <w:t xml:space="preserve"> that do not arise in relation to inbound </w:t>
      </w:r>
      <w:r w:rsidR="001A61E6">
        <w:t>intangible</w:t>
      </w:r>
      <w:r w:rsidR="00566A07">
        <w:t xml:space="preserve"> supplies.</w:t>
      </w:r>
      <w:r w:rsidR="00EE6B5E">
        <w:t xml:space="preserve"> </w:t>
      </w:r>
      <w:r w:rsidR="00566A07">
        <w:t>This is</w:t>
      </w:r>
      <w:r w:rsidR="00EE6B5E">
        <w:t xml:space="preserve"> particularly </w:t>
      </w:r>
      <w:r w:rsidR="006040A8">
        <w:t>so</w:t>
      </w:r>
      <w:r w:rsidR="00566A07">
        <w:t xml:space="preserve"> in relation to</w:t>
      </w:r>
      <w:r w:rsidR="00EE6B5E">
        <w:t xml:space="preserve"> the interaction </w:t>
      </w:r>
      <w:r w:rsidR="00566A07">
        <w:t>between</w:t>
      </w:r>
      <w:r w:rsidR="00EE6B5E">
        <w:t xml:space="preserve"> </w:t>
      </w:r>
      <w:r w:rsidR="00566A07">
        <w:t xml:space="preserve">the </w:t>
      </w:r>
      <w:r w:rsidR="006040A8">
        <w:t>new</w:t>
      </w:r>
      <w:r w:rsidR="00EE6B5E">
        <w:t xml:space="preserve"> rules </w:t>
      </w:r>
      <w:r w:rsidR="00A77637">
        <w:t xml:space="preserve">for low value goods </w:t>
      </w:r>
      <w:r w:rsidR="006040A8">
        <w:t>and</w:t>
      </w:r>
      <w:r w:rsidR="00A77637">
        <w:t xml:space="preserve"> </w:t>
      </w:r>
      <w:r w:rsidR="00566A07">
        <w:t>the</w:t>
      </w:r>
      <w:r w:rsidR="00A77637">
        <w:t xml:space="preserve"> existing </w:t>
      </w:r>
      <w:r w:rsidR="006040A8">
        <w:t>rules</w:t>
      </w:r>
      <w:r w:rsidR="00A77637">
        <w:t xml:space="preserve"> for all other </w:t>
      </w:r>
      <w:r w:rsidR="006040A8">
        <w:t xml:space="preserve">imported </w:t>
      </w:r>
      <w:r w:rsidR="00A77637">
        <w:t>goods</w:t>
      </w:r>
      <w:r w:rsidR="00566A07">
        <w:t>.</w:t>
      </w:r>
      <w:r w:rsidR="00EE6B5E">
        <w:t xml:space="preserve"> </w:t>
      </w:r>
      <w:r>
        <w:t>This</w:t>
      </w:r>
      <w:r w:rsidR="001D24F1">
        <w:t xml:space="preserve"> dual-system</w:t>
      </w:r>
      <w:r>
        <w:t xml:space="preserve"> potentially undermines compliance which is already problematic given the lack of enforcement pow</w:t>
      </w:r>
      <w:r w:rsidR="006040A8">
        <w:t xml:space="preserve">er over non-resident suppliers. </w:t>
      </w:r>
    </w:p>
    <w:p w14:paraId="258E3D53" w14:textId="77777777" w:rsidR="006040A8" w:rsidRDefault="006040A8" w:rsidP="004E464D">
      <w:pPr>
        <w:pStyle w:val="Bulletedlist"/>
      </w:pPr>
    </w:p>
    <w:p w14:paraId="1D1392E4" w14:textId="7AF664E5" w:rsidR="00A275A9" w:rsidRDefault="00675D43" w:rsidP="00477725">
      <w:pPr>
        <w:pStyle w:val="Bulletedlist"/>
      </w:pPr>
      <w:r>
        <w:lastRenderedPageBreak/>
        <w:t>S</w:t>
      </w:r>
      <w:r w:rsidR="00BB6A13">
        <w:t>uppliers</w:t>
      </w:r>
      <w:r>
        <w:t xml:space="preserve"> (which can include vendors, the operators of electronic distribution platforms and re</w:t>
      </w:r>
      <w:r w:rsidR="00565975">
        <w:t>-</w:t>
      </w:r>
      <w:r>
        <w:t>deliverers)</w:t>
      </w:r>
      <w:r w:rsidR="00C33337">
        <w:rPr>
          <w:rStyle w:val="FootnoteReference"/>
        </w:rPr>
        <w:footnoteReference w:id="8"/>
      </w:r>
      <w:r w:rsidR="00BB6A13">
        <w:t xml:space="preserve"> </w:t>
      </w:r>
      <w:r w:rsidR="003773DC">
        <w:t xml:space="preserve">will </w:t>
      </w:r>
      <w:r w:rsidR="00BB6A13">
        <w:t xml:space="preserve">potentially </w:t>
      </w:r>
      <w:r w:rsidR="003773DC">
        <w:t xml:space="preserve">be obliged to </w:t>
      </w:r>
      <w:r w:rsidR="00BB6A13">
        <w:t>engage with two separate regimes depending on the value of the goods. This can matter to suppliers of goods with a value close to the relevant threshold or to suppliers who make mixed supplies of low value and other goods</w:t>
      </w:r>
      <w:r w:rsidR="005A0939">
        <w:t>, which can</w:t>
      </w:r>
      <w:r w:rsidR="00904BB2">
        <w:t xml:space="preserve"> give rise to</w:t>
      </w:r>
      <w:r w:rsidR="00BB6A13">
        <w:t xml:space="preserve"> potential complications, disputes and/or avoidance risks.</w:t>
      </w:r>
      <w:r w:rsidR="00BB6A13">
        <w:rPr>
          <w:rStyle w:val="FootnoteReference"/>
        </w:rPr>
        <w:footnoteReference w:id="9"/>
      </w:r>
      <w:r w:rsidR="00230584">
        <w:t xml:space="preserve"> This </w:t>
      </w:r>
      <w:r w:rsidR="00477725">
        <w:t xml:space="preserve">dual system </w:t>
      </w:r>
      <w:r w:rsidR="00230584">
        <w:t xml:space="preserve">can also lead to risks of double and non-taxation which the legislated model </w:t>
      </w:r>
      <w:r w:rsidR="00477725">
        <w:t>does not completely eliminate</w:t>
      </w:r>
      <w:r w:rsidR="00230584">
        <w:t>.</w:t>
      </w:r>
    </w:p>
    <w:p w14:paraId="49E3D80B" w14:textId="5989A910" w:rsidR="00A275A9" w:rsidRPr="00563670" w:rsidRDefault="00A275A9" w:rsidP="00563670">
      <w:pPr>
        <w:pStyle w:val="Tableheading"/>
      </w:pPr>
      <w:r w:rsidRPr="00563670">
        <w:t xml:space="preserve">Complexities associated with calculating value of </w:t>
      </w:r>
      <w:r w:rsidR="00477725">
        <w:t xml:space="preserve">a </w:t>
      </w:r>
      <w:r w:rsidRPr="00563670">
        <w:t>supply</w:t>
      </w:r>
    </w:p>
    <w:p w14:paraId="16A0C9B4" w14:textId="403A127F" w:rsidR="000E3B79" w:rsidRDefault="00A275A9" w:rsidP="00563670">
      <w:pPr>
        <w:pStyle w:val="BodyStyle"/>
      </w:pPr>
      <w:r>
        <w:t>S</w:t>
      </w:r>
      <w:r w:rsidR="00BB6A13">
        <w:t xml:space="preserve">uppliers of goods </w:t>
      </w:r>
      <w:r>
        <w:t>will be obliged to engage in two separate calculations</w:t>
      </w:r>
      <w:r w:rsidR="002A7B2E">
        <w:t>:</w:t>
      </w:r>
      <w:r w:rsidR="002A7B2E" w:rsidRPr="002A7B2E">
        <w:t xml:space="preserve"> one to determine whether the goods are below the low value goods threshold (and therefore which rules apply) and second</w:t>
      </w:r>
      <w:r w:rsidR="00563670">
        <w:t xml:space="preserve"> to determine</w:t>
      </w:r>
      <w:r w:rsidR="002A7B2E" w:rsidRPr="002A7B2E">
        <w:t xml:space="preserve"> the GST payable.</w:t>
      </w:r>
      <w:r>
        <w:t xml:space="preserve"> </w:t>
      </w:r>
    </w:p>
    <w:p w14:paraId="6AB81AAC" w14:textId="6BE9C92C" w:rsidR="000E3B79" w:rsidRDefault="00BB6A13" w:rsidP="00563670">
      <w:pPr>
        <w:pStyle w:val="BodyStyle"/>
      </w:pPr>
      <w:r>
        <w:t xml:space="preserve">For a good to qualify as a low value good to which the </w:t>
      </w:r>
      <w:r w:rsidR="00563670">
        <w:t>legislated model applies</w:t>
      </w:r>
      <w:r>
        <w:t xml:space="preserve">, it must have a </w:t>
      </w:r>
      <w:r w:rsidRPr="005D0939">
        <w:rPr>
          <w:i/>
          <w:iCs/>
        </w:rPr>
        <w:t>customs value</w:t>
      </w:r>
      <w:r>
        <w:t xml:space="preserve"> of less than $1000 (</w:t>
      </w:r>
      <w:r w:rsidR="00826D60">
        <w:t>excluding</w:t>
      </w:r>
      <w:r>
        <w:t xml:space="preserve"> GST, transport and insurance costs)</w:t>
      </w:r>
      <w:r>
        <w:rPr>
          <w:rStyle w:val="FootnoteReference"/>
        </w:rPr>
        <w:footnoteReference w:id="10"/>
      </w:r>
      <w:r>
        <w:t xml:space="preserve"> at the time the consideration of supply is first agreed.</w:t>
      </w:r>
      <w:r>
        <w:rPr>
          <w:rStyle w:val="FootnoteReference"/>
        </w:rPr>
        <w:footnoteReference w:id="11"/>
      </w:r>
      <w:r>
        <w:t xml:space="preserve"> </w:t>
      </w:r>
      <w:r w:rsidR="002A7B2E">
        <w:t xml:space="preserve">Thus, they must first establish the customs value, which is </w:t>
      </w:r>
      <w:r>
        <w:t>not necessarily straightforward</w:t>
      </w:r>
      <w:r w:rsidR="006040A8">
        <w:t>.</w:t>
      </w:r>
      <w:r>
        <w:rPr>
          <w:rStyle w:val="FootnoteReference"/>
        </w:rPr>
        <w:footnoteReference w:id="12"/>
      </w:r>
      <w:r>
        <w:t xml:space="preserve"> </w:t>
      </w:r>
    </w:p>
    <w:p w14:paraId="771FBE57" w14:textId="561990F1" w:rsidR="000E3B79" w:rsidRDefault="00BB6A13" w:rsidP="00BA56A2">
      <w:pPr>
        <w:pStyle w:val="BodyStyle"/>
      </w:pPr>
      <w:r>
        <w:t xml:space="preserve">Having established that the </w:t>
      </w:r>
      <w:r w:rsidR="00B106BE">
        <w:t>low value good</w:t>
      </w:r>
      <w:r>
        <w:t xml:space="preserve"> provisions apply at all, suppliers </w:t>
      </w:r>
      <w:r w:rsidR="00BB1C74">
        <w:t xml:space="preserve">would </w:t>
      </w:r>
      <w:r>
        <w:t xml:space="preserve">then need to </w:t>
      </w:r>
      <w:r w:rsidR="00BB1C74">
        <w:t xml:space="preserve">separately calculate the </w:t>
      </w:r>
      <w:r w:rsidR="00BB1C74" w:rsidRPr="00A2384F">
        <w:rPr>
          <w:i/>
        </w:rPr>
        <w:t>consideration for the supply</w:t>
      </w:r>
      <w:r w:rsidR="00BB1C74">
        <w:t xml:space="preserve"> (including the value of goods and any associated costs such as transport and insurance),</w:t>
      </w:r>
      <w:r w:rsidR="00F507D8" w:rsidRPr="00F507D8">
        <w:rPr>
          <w:sz w:val="20"/>
          <w:vertAlign w:val="superscript"/>
          <w:lang w:val="en-GB" w:bidi="th-TH"/>
        </w:rPr>
        <w:t xml:space="preserve"> </w:t>
      </w:r>
      <w:r w:rsidR="00BB1C74">
        <w:t>which is the value on which GST will be payable.</w:t>
      </w:r>
      <w:r w:rsidR="005A0939">
        <w:rPr>
          <w:rStyle w:val="FootnoteReference"/>
        </w:rPr>
        <w:footnoteReference w:id="13"/>
      </w:r>
      <w:r>
        <w:t xml:space="preserve"> </w:t>
      </w:r>
      <w:r w:rsidR="00563670">
        <w:t xml:space="preserve">These separate calculations add to compliance costs and might pose problems for goods near the threshold (ie that have a customs value below $1000 but where the consideration for the supply is over $1000). There is the potential in this instance </w:t>
      </w:r>
      <w:r w:rsidR="00BA56A2">
        <w:t>for</w:t>
      </w:r>
      <w:r w:rsidR="00563670">
        <w:t xml:space="preserve"> the goods to be treated as both a taxable supply and taxable importation (see more on this below).   </w:t>
      </w:r>
    </w:p>
    <w:p w14:paraId="7AAF0CE8" w14:textId="77777777" w:rsidR="001863FF" w:rsidRPr="00CC29C8" w:rsidRDefault="000E3B79" w:rsidP="00CC29C8">
      <w:pPr>
        <w:pStyle w:val="Tableheading"/>
      </w:pPr>
      <w:r w:rsidRPr="00CC29C8">
        <w:t>The ‘mixed supply</w:t>
      </w:r>
      <w:r w:rsidR="007E4BD8" w:rsidRPr="00CC29C8">
        <w:t>’</w:t>
      </w:r>
      <w:r w:rsidRPr="00CC29C8">
        <w:t xml:space="preserve"> problem</w:t>
      </w:r>
    </w:p>
    <w:p w14:paraId="0E79BD88" w14:textId="1D9FCF3F" w:rsidR="00BB6A13" w:rsidRDefault="007E4BD8" w:rsidP="00161E82">
      <w:pPr>
        <w:pStyle w:val="BodyStyle"/>
      </w:pPr>
      <w:r>
        <w:t>T</w:t>
      </w:r>
      <w:r w:rsidR="00BB6A13">
        <w:t>hese</w:t>
      </w:r>
      <w:r>
        <w:t xml:space="preserve"> complexities regarding</w:t>
      </w:r>
      <w:r w:rsidR="00BB6A13">
        <w:t xml:space="preserve"> valuation and compliance are amplified for mixed supplies </w:t>
      </w:r>
      <w:r>
        <w:t>(</w:t>
      </w:r>
      <w:r w:rsidR="00BB6A13">
        <w:t>ie supplies that includes both low value goods and goods above the threshold</w:t>
      </w:r>
      <w:r>
        <w:t>)</w:t>
      </w:r>
      <w:r w:rsidR="00BB6A13">
        <w:t xml:space="preserve">. The </w:t>
      </w:r>
      <w:r w:rsidR="001B5F16">
        <w:t>legislated model</w:t>
      </w:r>
      <w:r w:rsidR="00BB6A13">
        <w:t xml:space="preserve"> stipulate</w:t>
      </w:r>
      <w:r w:rsidR="001B5F16">
        <w:t>s</w:t>
      </w:r>
      <w:r w:rsidR="00BB6A13">
        <w:t xml:space="preserve"> that suppliers must account for each good separately (even if the total value of all goods supplied is </w:t>
      </w:r>
      <w:r w:rsidR="00BB6A13">
        <w:lastRenderedPageBreak/>
        <w:t xml:space="preserve">above the </w:t>
      </w:r>
      <w:r w:rsidR="00050F2B">
        <w:t>low value goods</w:t>
      </w:r>
      <w:r w:rsidR="00BB6A13">
        <w:t xml:space="preserve"> threshold).</w:t>
      </w:r>
      <w:r w:rsidR="00BB6A13">
        <w:rPr>
          <w:rStyle w:val="FootnoteReference"/>
        </w:rPr>
        <w:footnoteReference w:id="14"/>
      </w:r>
      <w:r w:rsidR="00BB6A13">
        <w:t xml:space="preserve"> Therefore suppliers must engage with the </w:t>
      </w:r>
      <w:r w:rsidR="00B106BE">
        <w:t>low value goods</w:t>
      </w:r>
      <w:r w:rsidR="00BB6A13">
        <w:t xml:space="preserve"> provisions for those goods with a customs value of $1000 or less</w:t>
      </w:r>
      <w:r w:rsidR="00B106BE">
        <w:t xml:space="preserve"> (ie taxable supplies)</w:t>
      </w:r>
      <w:r w:rsidR="00BB6A13">
        <w:t xml:space="preserve"> and the standard provisions for</w:t>
      </w:r>
      <w:r w:rsidR="001B5F16">
        <w:t xml:space="preserve"> all</w:t>
      </w:r>
      <w:r w:rsidR="00BB6A13">
        <w:t xml:space="preserve"> other goods (ie taxable importation</w:t>
      </w:r>
      <w:r w:rsidR="001B5F16">
        <w:t>s</w:t>
      </w:r>
      <w:r w:rsidR="00BB6A13">
        <w:t xml:space="preserve">). This would presumably require separate documentation and calculation (including assessing the customs value </w:t>
      </w:r>
      <w:r w:rsidR="00161E82">
        <w:t>separately from establishing</w:t>
      </w:r>
      <w:r w:rsidR="008E400D">
        <w:t xml:space="preserve"> the consideration for the supply for the purposes of calculating the GST liability</w:t>
      </w:r>
      <w:r w:rsidR="00BB6A13">
        <w:t>). Further complications might arise based on the manner in which the goods are consigned because the value of an importation is determined on the value of the whole consignment at the time of importation.</w:t>
      </w:r>
      <w:r w:rsidR="00BB6A13">
        <w:rPr>
          <w:rStyle w:val="FootnoteReference"/>
        </w:rPr>
        <w:footnoteReference w:id="15"/>
      </w:r>
      <w:r w:rsidR="00BB6A13">
        <w:t xml:space="preserve"> As the E</w:t>
      </w:r>
      <w:r w:rsidR="00904BB2">
        <w:t xml:space="preserve">xplanatory </w:t>
      </w:r>
      <w:r w:rsidR="00BB6A13">
        <w:t>M</w:t>
      </w:r>
      <w:r w:rsidR="00904BB2">
        <w:t>emorandum</w:t>
      </w:r>
      <w:r w:rsidR="00BB6A13">
        <w:t xml:space="preserve"> explains by way of example, if </w:t>
      </w:r>
      <w:r w:rsidR="00BB6A13" w:rsidRPr="003D6DA2">
        <w:t xml:space="preserve">many supplies of low value goods are shipped together </w:t>
      </w:r>
      <w:r w:rsidR="00BB6A13">
        <w:t>making the total value of the consignment exceed $1000</w:t>
      </w:r>
      <w:r w:rsidR="00B61AD6">
        <w:t>,</w:t>
      </w:r>
      <w:r w:rsidR="00BB6A13">
        <w:t xml:space="preserve"> </w:t>
      </w:r>
      <w:r w:rsidR="00BB6A13" w:rsidRPr="003D6DA2">
        <w:t xml:space="preserve">and this was not </w:t>
      </w:r>
      <w:r w:rsidR="00BB6A13">
        <w:t xml:space="preserve">reasonably </w:t>
      </w:r>
      <w:r w:rsidR="00BB6A13" w:rsidRPr="003D6DA2">
        <w:t>anticipated at the time of supply, then it would be possible for</w:t>
      </w:r>
      <w:r w:rsidR="008E400D">
        <w:t xml:space="preserve"> the</w:t>
      </w:r>
      <w:r w:rsidR="00BB6A13" w:rsidRPr="003D6DA2">
        <w:t xml:space="preserve"> GST to apply to both the supply</w:t>
      </w:r>
      <w:r w:rsidR="00BB6A13">
        <w:t xml:space="preserve"> (as an offshore supply of low value goods)</w:t>
      </w:r>
      <w:r w:rsidR="00BB6A13" w:rsidRPr="003D6DA2">
        <w:t xml:space="preserve"> and</w:t>
      </w:r>
      <w:r w:rsidR="00BB6A13">
        <w:t xml:space="preserve"> the</w:t>
      </w:r>
      <w:r w:rsidR="00BB6A13" w:rsidRPr="003D6DA2">
        <w:t xml:space="preserve"> importation</w:t>
      </w:r>
      <w:r w:rsidR="00BB6A13">
        <w:t xml:space="preserve"> (as a taxable importation).</w:t>
      </w:r>
      <w:r w:rsidR="00BB6A13">
        <w:rPr>
          <w:rStyle w:val="FootnoteReference"/>
        </w:rPr>
        <w:footnoteReference w:id="16"/>
      </w:r>
      <w:r w:rsidR="00BB6A13">
        <w:t xml:space="preserve"> </w:t>
      </w:r>
    </w:p>
    <w:p w14:paraId="15FD4140" w14:textId="441142BF" w:rsidR="00864019" w:rsidRPr="008E400D" w:rsidRDefault="008E400D" w:rsidP="00A2384F">
      <w:pPr>
        <w:pStyle w:val="Tableheading"/>
      </w:pPr>
      <w:r>
        <w:t>Rules to avoid double and non-taxation</w:t>
      </w:r>
    </w:p>
    <w:p w14:paraId="2D1E8371" w14:textId="77777777" w:rsidR="008E3537" w:rsidRDefault="00904BB2" w:rsidP="00477725">
      <w:pPr>
        <w:pStyle w:val="BodyStyle"/>
      </w:pPr>
      <w:r>
        <w:t>The maintenance of two separate regimes for taxing</w:t>
      </w:r>
      <w:r w:rsidR="00B106BE">
        <w:t xml:space="preserve"> </w:t>
      </w:r>
      <w:r>
        <w:t xml:space="preserve">supplies of low value goods </w:t>
      </w:r>
      <w:r w:rsidR="00B61AD6">
        <w:t>and</w:t>
      </w:r>
      <w:r>
        <w:t xml:space="preserve"> other imported goods necessitates the need for rules to address double and non-taxation. The legislated model does this, but </w:t>
      </w:r>
      <w:r w:rsidR="00BB6A13">
        <w:t xml:space="preserve">these rules </w:t>
      </w:r>
      <w:r w:rsidR="001D24F1">
        <w:t xml:space="preserve">also </w:t>
      </w:r>
      <w:r w:rsidR="00BB6A13">
        <w:t>give rise to their own complications and risks and can still result in either non-taxatio</w:t>
      </w:r>
      <w:r w:rsidR="00BB6A13" w:rsidRPr="001B5F16">
        <w:t>n or double-taxation (or at least consumers incurring irrecoverable GST)</w:t>
      </w:r>
      <w:r w:rsidR="00B274DC">
        <w:t xml:space="preserve"> which the reforms do not entirely prevent</w:t>
      </w:r>
      <w:r w:rsidR="00BB6A13">
        <w:t xml:space="preserve">. </w:t>
      </w:r>
      <w:r>
        <w:t xml:space="preserve">My forthcoming article </w:t>
      </w:r>
      <w:r w:rsidR="00FD7F6A">
        <w:t xml:space="preserve">addresses the issue in greater detail, but </w:t>
      </w:r>
      <w:r w:rsidR="00B106BE">
        <w:t>to demonstrate the issues</w:t>
      </w:r>
      <w:r w:rsidR="001B5F16">
        <w:t>,</w:t>
      </w:r>
      <w:r w:rsidR="00B106BE">
        <w:t xml:space="preserve"> this submission discusses </w:t>
      </w:r>
      <w:r w:rsidR="00FD7F6A">
        <w:t xml:space="preserve">the example quoted above from the Explanatory Memorandum. </w:t>
      </w:r>
    </w:p>
    <w:p w14:paraId="49A881FF" w14:textId="455C5C00" w:rsidR="00050F2B" w:rsidRDefault="00FD7F6A" w:rsidP="004648BA">
      <w:pPr>
        <w:pStyle w:val="BodyStyle"/>
      </w:pPr>
      <w:r>
        <w:t xml:space="preserve">The </w:t>
      </w:r>
      <w:r w:rsidR="00477725">
        <w:t>legislated model</w:t>
      </w:r>
      <w:r>
        <w:t xml:space="preserve"> provide</w:t>
      </w:r>
      <w:r w:rsidR="00477725">
        <w:t>s</w:t>
      </w:r>
      <w:r>
        <w:t xml:space="preserve"> for the avoidance of double taxation </w:t>
      </w:r>
      <w:r w:rsidR="00477725">
        <w:t xml:space="preserve">in this instance </w:t>
      </w:r>
      <w:r>
        <w:t xml:space="preserve">by allowing for the initial supply to be treated </w:t>
      </w:r>
      <w:r w:rsidRPr="00B349DF">
        <w:rPr>
          <w:i/>
          <w:iCs/>
        </w:rPr>
        <w:t>as if it were not a taxable supply</w:t>
      </w:r>
      <w:r>
        <w:t xml:space="preserve"> </w:t>
      </w:r>
      <w:r w:rsidR="00050F2B">
        <w:t xml:space="preserve">provided that, first, </w:t>
      </w:r>
      <w:r>
        <w:t>any GST passed on</w:t>
      </w:r>
      <w:r>
        <w:rPr>
          <w:rStyle w:val="FootnoteReference"/>
        </w:rPr>
        <w:footnoteReference w:id="17"/>
      </w:r>
      <w:r>
        <w:t xml:space="preserve"> (if any) by the supplier to another entity is reimbursed</w:t>
      </w:r>
      <w:r w:rsidR="00050F2B">
        <w:t xml:space="preserve"> and, second, </w:t>
      </w:r>
      <w:r>
        <w:t>an entity provides a declaration or information to the supplier that indicates GST has been paid on the taxable importation.</w:t>
      </w:r>
      <w:r>
        <w:rPr>
          <w:rStyle w:val="FootnoteReference"/>
        </w:rPr>
        <w:footnoteReference w:id="18"/>
      </w:r>
      <w:r>
        <w:t xml:space="preserve"> The onus is therefore on both the supplier (to establish whether or not any GST has been passed on and if so, provide the recipient a GST reimbursement and request the relevant declaration/information from the recipient (or another entity)) as well as the consumer </w:t>
      </w:r>
      <w:r w:rsidR="001D24F1">
        <w:t>(</w:t>
      </w:r>
      <w:r>
        <w:t xml:space="preserve">(or other relevant entity) to obtain the relevant declaration/information and provide it to the supplier) to avoid double taxation of the consumer. To address the issue that the recipient of the supply also bears a risk of incurring irrecoverable GST (if they pay GST on the </w:t>
      </w:r>
      <w:r w:rsidRPr="00B349DF">
        <w:rPr>
          <w:i/>
          <w:iCs/>
        </w:rPr>
        <w:t>taxable importation</w:t>
      </w:r>
      <w:r>
        <w:t xml:space="preserve"> after having also paid GST on the </w:t>
      </w:r>
      <w:r w:rsidRPr="00B349DF">
        <w:rPr>
          <w:i/>
          <w:iCs/>
        </w:rPr>
        <w:t>supplier-taxed offshore supply of low value goods</w:t>
      </w:r>
      <w:r>
        <w:t xml:space="preserve"> and do not in fact receive a reimbursement of GST already paid from the supplier), the </w:t>
      </w:r>
      <w:r w:rsidR="00193821">
        <w:t>legislated model</w:t>
      </w:r>
      <w:r>
        <w:t xml:space="preserve"> provide</w:t>
      </w:r>
      <w:r w:rsidR="009B7F0B">
        <w:t>s</w:t>
      </w:r>
      <w:r>
        <w:t xml:space="preserve"> that that an importation of goods is a </w:t>
      </w:r>
      <w:r w:rsidRPr="00B349DF">
        <w:rPr>
          <w:i/>
          <w:iCs/>
        </w:rPr>
        <w:t>non-taxable importation</w:t>
      </w:r>
      <w:r>
        <w:t xml:space="preserve"> to the extent that a supply of goods was a </w:t>
      </w:r>
      <w:r w:rsidRPr="00B349DF">
        <w:rPr>
          <w:i/>
          <w:iCs/>
        </w:rPr>
        <w:t>supplier-taxed offshore supply of low value goods</w:t>
      </w:r>
      <w:r>
        <w:t>. However, this only occurs if the Comptroller-General of Customs is notified by or on behalf of the importer of the goods that the supply was a taxable supply ‘at or before the time by which the taxable importation would have been made’.</w:t>
      </w:r>
      <w:r>
        <w:rPr>
          <w:rStyle w:val="FootnoteReference"/>
        </w:rPr>
        <w:footnoteReference w:id="19"/>
      </w:r>
      <w:r>
        <w:t xml:space="preserve"> In this case the obligation is on the recipient of the supply</w:t>
      </w:r>
      <w:r w:rsidR="00BA56A2">
        <w:t xml:space="preserve"> (or another relevant entity)</w:t>
      </w:r>
      <w:r>
        <w:t xml:space="preserve"> to provide timely information which might not necessarily be available to them. In the event that timely information is not provided, the recipient of the supply faces paying the GST </w:t>
      </w:r>
      <w:r w:rsidRPr="00B906C3">
        <w:t>twice over (once on the supply in the event that a refund is not forthcoming from the supplier and again on the importation).</w:t>
      </w:r>
      <w:r w:rsidRPr="00B906C3">
        <w:rPr>
          <w:rStyle w:val="FootnoteReference"/>
        </w:rPr>
        <w:footnoteReference w:id="20"/>
      </w:r>
      <w:r w:rsidRPr="00FD7F6A">
        <w:t xml:space="preserve"> </w:t>
      </w:r>
    </w:p>
    <w:p w14:paraId="57143B16" w14:textId="1D41C7BF" w:rsidR="00BB6A13" w:rsidRDefault="00FD7F6A" w:rsidP="006E5A9B">
      <w:pPr>
        <w:pStyle w:val="BodyStyle"/>
      </w:pPr>
      <w:r>
        <w:t>So far this discussion has presumed that all supplies are taxable supplies</w:t>
      </w:r>
      <w:r w:rsidR="00E8472C">
        <w:t>. However,</w:t>
      </w:r>
      <w:r>
        <w:t xml:space="preserve"> in the event that the goods supplied are GST-free or </w:t>
      </w:r>
      <w:r w:rsidR="006E5A9B">
        <w:t>input-taxed</w:t>
      </w:r>
      <w:r>
        <w:t>, further complications and costs arise.</w:t>
      </w:r>
      <w:r w:rsidR="00050F2B">
        <w:t xml:space="preserve"> </w:t>
      </w:r>
      <w:r>
        <w:t>Obviously any model contains imperfections, however, a real issue with the legislated model is</w:t>
      </w:r>
      <w:r w:rsidR="00B106BE">
        <w:t xml:space="preserve"> that it institutionalises </w:t>
      </w:r>
      <w:r>
        <w:t>separate systems for imported goods</w:t>
      </w:r>
      <w:r w:rsidR="00B106BE">
        <w:t xml:space="preserve"> depending on their value which </w:t>
      </w:r>
      <w:r w:rsidR="00E8472C">
        <w:t xml:space="preserve">not only </w:t>
      </w:r>
      <w:r w:rsidR="001D24F1">
        <w:t xml:space="preserve">gives rise to </w:t>
      </w:r>
      <w:r w:rsidR="00E8472C">
        <w:t xml:space="preserve">the </w:t>
      </w:r>
      <w:r w:rsidR="001D24F1">
        <w:t>complications</w:t>
      </w:r>
      <w:r w:rsidR="00E8472C">
        <w:t xml:space="preserve"> discussed above, but also</w:t>
      </w:r>
      <w:r w:rsidR="001D24F1">
        <w:t xml:space="preserve"> </w:t>
      </w:r>
      <w:r w:rsidR="00B106BE">
        <w:t>undermines the ability</w:t>
      </w:r>
      <w:r w:rsidR="00A42AD1">
        <w:t xml:space="preserve"> to </w:t>
      </w:r>
      <w:r w:rsidR="001B5F16">
        <w:t xml:space="preserve">apply the GST to all imported goods </w:t>
      </w:r>
      <w:r w:rsidR="00A42AD1">
        <w:t>when technolog</w:t>
      </w:r>
      <w:r w:rsidR="00B106BE">
        <w:t xml:space="preserve">ical and other advances permit </w:t>
      </w:r>
      <w:r w:rsidR="001B5F16">
        <w:t xml:space="preserve">this </w:t>
      </w:r>
      <w:r w:rsidR="00B106BE">
        <w:t>at a later stage</w:t>
      </w:r>
      <w:r w:rsidR="001D24F1">
        <w:t xml:space="preserve"> (outline</w:t>
      </w:r>
      <w:r w:rsidR="006040A8">
        <w:t>d</w:t>
      </w:r>
      <w:r w:rsidR="001D24F1">
        <w:t xml:space="preserve"> in section 3 of this submission)</w:t>
      </w:r>
      <w:r>
        <w:t xml:space="preserve">. </w:t>
      </w:r>
    </w:p>
    <w:p w14:paraId="47AE25EB" w14:textId="3B352F14" w:rsidR="00B718E5" w:rsidRDefault="00B106BE" w:rsidP="00A63F6B">
      <w:pPr>
        <w:pStyle w:val="Heading1"/>
      </w:pPr>
      <w:r>
        <w:t>The importance of deterring non-compliance</w:t>
      </w:r>
    </w:p>
    <w:p w14:paraId="14E227A3" w14:textId="5575CB8F" w:rsidR="00F5548F" w:rsidRDefault="00F5548F" w:rsidP="004E464D">
      <w:pPr>
        <w:pStyle w:val="Bulletedlist"/>
      </w:pPr>
      <w:r>
        <w:t xml:space="preserve">As with the application of the GST to services and intangibles, a system relying on compliance from non-resident actors faces steep risks of non-compliance. The OECD/G20 Report amongst others suggests a two-pronged approach to this risk – to incentivise compliance in the first instance (through simplified registration, reporting, and remitting (eg no input tax credits, no invoices)) and </w:t>
      </w:r>
      <w:r w:rsidR="001B5F16">
        <w:t xml:space="preserve">to </w:t>
      </w:r>
      <w:r>
        <w:t>deter non-compliance in the alternative (for example, through applying the slower and more cumbersome traditional collection method in the absence of vendor/intermediary collection).</w:t>
      </w:r>
      <w:r>
        <w:rPr>
          <w:rStyle w:val="FootnoteReference"/>
        </w:rPr>
        <w:footnoteReference w:id="21"/>
      </w:r>
    </w:p>
    <w:p w14:paraId="1D3EEB49" w14:textId="77777777" w:rsidR="00F5548F" w:rsidRDefault="00F5548F" w:rsidP="004E464D">
      <w:pPr>
        <w:pStyle w:val="Bulletedlist"/>
      </w:pPr>
    </w:p>
    <w:p w14:paraId="46914B2F" w14:textId="1698F7EC" w:rsidR="008A3ED4" w:rsidRDefault="00FD7F6A" w:rsidP="008E400D">
      <w:pPr>
        <w:pStyle w:val="Bulletedlist"/>
      </w:pPr>
      <w:r>
        <w:t>The combin</w:t>
      </w:r>
      <w:r w:rsidR="00F5548F">
        <w:t>ed</w:t>
      </w:r>
      <w:r>
        <w:t xml:space="preserve"> vendor and/or intermediary collection </w:t>
      </w:r>
      <w:r w:rsidR="00B106BE">
        <w:t>a</w:t>
      </w:r>
      <w:r>
        <w:t xml:space="preserve">dopted by the legislated model </w:t>
      </w:r>
      <w:r w:rsidR="00F5548F">
        <w:t xml:space="preserve">contains </w:t>
      </w:r>
      <w:r w:rsidR="000E3A1B">
        <w:t xml:space="preserve">several </w:t>
      </w:r>
      <w:r w:rsidR="00F5548F">
        <w:t>measures to simplify compliance (such as a registration threshold and simplified registration and reporting requirements)</w:t>
      </w:r>
      <w:r w:rsidR="001C598E">
        <w:rPr>
          <w:rStyle w:val="FootnoteReference"/>
        </w:rPr>
        <w:footnoteReference w:id="22"/>
      </w:r>
      <w:r w:rsidR="00F5548F">
        <w:t xml:space="preserve"> but lack</w:t>
      </w:r>
      <w:r w:rsidR="00B106BE">
        <w:t xml:space="preserve">s </w:t>
      </w:r>
      <w:r w:rsidR="00675D43">
        <w:t xml:space="preserve">sufficient </w:t>
      </w:r>
      <w:r w:rsidR="008E400D">
        <w:t xml:space="preserve">deterrence </w:t>
      </w:r>
      <w:r w:rsidR="00050F2B">
        <w:t>for</w:t>
      </w:r>
      <w:r w:rsidR="00B106BE">
        <w:t xml:space="preserve"> non-compli</w:t>
      </w:r>
      <w:r w:rsidR="00050F2B">
        <w:t>ance</w:t>
      </w:r>
      <w:r w:rsidR="00385175">
        <w:t>. F</w:t>
      </w:r>
      <w:r w:rsidR="00B106BE">
        <w:t>or example, there is no proposal to apply</w:t>
      </w:r>
      <w:r w:rsidR="00F5548F">
        <w:t xml:space="preserve"> the</w:t>
      </w:r>
      <w:r w:rsidR="008A3ED4">
        <w:t xml:space="preserve"> traditional collection method</w:t>
      </w:r>
      <w:r w:rsidR="00B106BE">
        <w:t xml:space="preserve"> or some other method</w:t>
      </w:r>
      <w:r w:rsidR="001B5F16">
        <w:t xml:space="preserve"> (</w:t>
      </w:r>
      <w:r w:rsidR="00805B45">
        <w:t xml:space="preserve">such as the hybrid model </w:t>
      </w:r>
      <w:r w:rsidR="001B5F16">
        <w:t xml:space="preserve">canvassed </w:t>
      </w:r>
      <w:r w:rsidR="00385175">
        <w:t>by</w:t>
      </w:r>
      <w:r w:rsidR="001B5F16">
        <w:t xml:space="preserve"> the </w:t>
      </w:r>
      <w:r w:rsidR="00385175" w:rsidRPr="003C0CF9">
        <w:rPr>
          <w:i/>
          <w:iCs/>
        </w:rPr>
        <w:t>Low Value Parcel Processing Taskforce</w:t>
      </w:r>
      <w:r w:rsidR="00D75F8E">
        <w:t>)</w:t>
      </w:r>
      <w:r w:rsidR="008A3ED4">
        <w:t xml:space="preserve"> as a fall-back option</w:t>
      </w:r>
      <w:r w:rsidR="00F5548F">
        <w:t xml:space="preserve"> for non</w:t>
      </w:r>
      <w:r w:rsidR="00B106BE">
        <w:t>-compliant suppliers</w:t>
      </w:r>
      <w:r w:rsidR="008A3ED4">
        <w:t>.</w:t>
      </w:r>
      <w:r w:rsidR="008A3ED4">
        <w:rPr>
          <w:rStyle w:val="FootnoteReference"/>
        </w:rPr>
        <w:footnoteReference w:id="23"/>
      </w:r>
      <w:r w:rsidR="008E400D">
        <w:t xml:space="preserve"> Nor is there a type of favoured vendor model to fast-track processing for compliant vendors beyond the optional simplified scheme. </w:t>
      </w:r>
    </w:p>
    <w:p w14:paraId="4680309A" w14:textId="77777777" w:rsidR="00675D43" w:rsidRDefault="00675D43" w:rsidP="004E464D">
      <w:pPr>
        <w:pStyle w:val="Bulletedlist"/>
      </w:pPr>
    </w:p>
    <w:p w14:paraId="2A5FC7B2" w14:textId="056BC8D8" w:rsidR="00DB6BE0" w:rsidRDefault="00F5548F" w:rsidP="004E464D">
      <w:pPr>
        <w:pStyle w:val="Bulletedlist"/>
      </w:pPr>
      <w:r>
        <w:t xml:space="preserve">There might be good practical reasons to do this, but the failure to seriously address </w:t>
      </w:r>
      <w:r w:rsidR="00A46D0C">
        <w:t>the question of deterrence</w:t>
      </w:r>
      <w:r w:rsidR="001B5F16">
        <w:t xml:space="preserve"> </w:t>
      </w:r>
      <w:r w:rsidR="00EB17D5">
        <w:t xml:space="preserve">might further </w:t>
      </w:r>
      <w:r w:rsidR="00A46D0C">
        <w:t>jeopardise</w:t>
      </w:r>
      <w:r w:rsidR="00EB17D5">
        <w:t xml:space="preserve"> compliance rates given the</w:t>
      </w:r>
      <w:r>
        <w:t xml:space="preserve"> potential complexity and costs of compliance. </w:t>
      </w:r>
      <w:r w:rsidR="00050F2B">
        <w:t xml:space="preserve">This submission does not specifically address the merits of these particular fall-back options, but it does urge serious consideration of such </w:t>
      </w:r>
      <w:r w:rsidR="00B91684">
        <w:t xml:space="preserve">measures to deter non-compliance or </w:t>
      </w:r>
      <w:r w:rsidR="008E400D">
        <w:t xml:space="preserve">to </w:t>
      </w:r>
      <w:r w:rsidR="00385175">
        <w:t xml:space="preserve">further </w:t>
      </w:r>
      <w:r w:rsidR="00B91684">
        <w:t>incentivise compliance</w:t>
      </w:r>
      <w:r w:rsidR="00050F2B">
        <w:t xml:space="preserve">. </w:t>
      </w:r>
    </w:p>
    <w:p w14:paraId="3E41BD17" w14:textId="7206437F" w:rsidR="002C4EC3" w:rsidRDefault="002C4EC3" w:rsidP="008B267E">
      <w:pPr>
        <w:pStyle w:val="Heading1"/>
      </w:pPr>
      <w:r>
        <w:t>The risk</w:t>
      </w:r>
      <w:r w:rsidR="008B267E">
        <w:t>s</w:t>
      </w:r>
      <w:r>
        <w:t xml:space="preserve"> of</w:t>
      </w:r>
      <w:r w:rsidR="008B267E">
        <w:t xml:space="preserve"> being an early mover</w:t>
      </w:r>
      <w:r>
        <w:t xml:space="preserve"> </w:t>
      </w:r>
    </w:p>
    <w:p w14:paraId="402A9E68" w14:textId="2C1E07FE" w:rsidR="00C73C49" w:rsidRDefault="000D3E69" w:rsidP="004E464D">
      <w:pPr>
        <w:pStyle w:val="Bulletedlist"/>
      </w:pPr>
      <w:r>
        <w:t>Russell Zimmerman from the Australian Retailers Association states that the ‘</w:t>
      </w:r>
      <w:r w:rsidRPr="000D3E69">
        <w:t>ARA fully supports implementation and collection as of 1 July 2018</w:t>
      </w:r>
      <w:r>
        <w:t>…</w:t>
      </w:r>
      <w:r w:rsidRPr="000D3E69">
        <w:t xml:space="preserve"> as a first step in collection and the quickest and simplest means on initial collection</w:t>
      </w:r>
      <w:r w:rsidR="0067547A">
        <w:t>’</w:t>
      </w:r>
      <w:r w:rsidR="00C73C49">
        <w:t xml:space="preserve">. Significantly however, he </w:t>
      </w:r>
      <w:r w:rsidR="0067547A">
        <w:t>also believes that ‘</w:t>
      </w:r>
      <w:r w:rsidRPr="000D3E69">
        <w:t>a transporter liability model is the next most practical step in implementation, which needs to also be operational as soon as the 1 July 2018 commencement date.</w:t>
      </w:r>
      <w:r w:rsidR="0067547A">
        <w:t>’</w:t>
      </w:r>
      <w:r w:rsidR="00D4638A">
        <w:rPr>
          <w:rStyle w:val="FootnoteReference"/>
        </w:rPr>
        <w:footnoteReference w:id="24"/>
      </w:r>
      <w:r w:rsidRPr="000D3E69">
        <w:t xml:space="preserve"> </w:t>
      </w:r>
    </w:p>
    <w:p w14:paraId="24457726" w14:textId="77777777" w:rsidR="00C73C49" w:rsidRDefault="00C73C49" w:rsidP="004E464D">
      <w:pPr>
        <w:pStyle w:val="Bulletedlist"/>
      </w:pPr>
    </w:p>
    <w:p w14:paraId="19E080AD" w14:textId="22B82C78" w:rsidR="00675D43" w:rsidRDefault="00C73C49" w:rsidP="00E973F8">
      <w:pPr>
        <w:pStyle w:val="Bulletedlist"/>
      </w:pPr>
      <w:r>
        <w:t>This high</w:t>
      </w:r>
      <w:r w:rsidR="00CA07E4">
        <w:t>lights a further potential risk: that, b</w:t>
      </w:r>
      <w:r>
        <w:t xml:space="preserve">y being an early mover in the introduction of GST on low value goods, Australia </w:t>
      </w:r>
      <w:r w:rsidR="00CA07E4">
        <w:t>could institutionalise</w:t>
      </w:r>
      <w:r>
        <w:t xml:space="preserve"> a complex scheme which could then prevent the introduction of a more simp</w:t>
      </w:r>
      <w:r w:rsidRPr="005A3211">
        <w:t xml:space="preserve">lified approach that treats all goods as taxable importations. </w:t>
      </w:r>
      <w:r w:rsidR="00CA07E4" w:rsidRPr="005A3211">
        <w:t xml:space="preserve">That is, </w:t>
      </w:r>
      <w:r w:rsidR="00675D43" w:rsidRPr="005A3211">
        <w:t xml:space="preserve">the adoption of </w:t>
      </w:r>
      <w:r w:rsidR="000F1E53" w:rsidRPr="005A3211">
        <w:t>the</w:t>
      </w:r>
      <w:r w:rsidR="00675D43" w:rsidRPr="005A3211">
        <w:t xml:space="preserve"> legislat</w:t>
      </w:r>
      <w:r w:rsidR="000F1E53" w:rsidRPr="005A3211">
        <w:t>ed model</w:t>
      </w:r>
      <w:r w:rsidR="00F1747B" w:rsidRPr="005A3211">
        <w:t xml:space="preserve"> which</w:t>
      </w:r>
      <w:r w:rsidR="00675D43" w:rsidRPr="005A3211">
        <w:t xml:space="preserve"> establishes</w:t>
      </w:r>
      <w:r w:rsidR="00675D43">
        <w:t xml:space="preserve"> two separate schemes for imported goods depending on their value, might prevent or increase the cost of moving to a </w:t>
      </w:r>
      <w:r w:rsidR="000F1E53">
        <w:t xml:space="preserve">single </w:t>
      </w:r>
      <w:r w:rsidR="00675D43">
        <w:t xml:space="preserve">scheme </w:t>
      </w:r>
      <w:r w:rsidR="000F1E53">
        <w:t>for</w:t>
      </w:r>
      <w:r w:rsidR="00675D43">
        <w:t xml:space="preserve"> all imported goods </w:t>
      </w:r>
      <w:r w:rsidR="000F1E53">
        <w:t>irrespective of value</w:t>
      </w:r>
      <w:r w:rsidR="00675D43">
        <w:t xml:space="preserve"> (as is possible under the transporter model).</w:t>
      </w:r>
    </w:p>
    <w:p w14:paraId="2B3C9967" w14:textId="16C97703" w:rsidR="00385175" w:rsidRDefault="00050F2B" w:rsidP="004139FF">
      <w:pPr>
        <w:pStyle w:val="BodyStyle"/>
      </w:pPr>
      <w:r>
        <w:t xml:space="preserve">A review of GST laws reveals </w:t>
      </w:r>
      <w:r w:rsidR="00675D43">
        <w:t>numerous instances of</w:t>
      </w:r>
      <w:r>
        <w:t xml:space="preserve"> </w:t>
      </w:r>
      <w:r w:rsidR="00E3158F" w:rsidRPr="007C718C">
        <w:rPr>
          <w:i/>
        </w:rPr>
        <w:t>path-dependence</w:t>
      </w:r>
      <w:r w:rsidR="000D3E69">
        <w:t xml:space="preserve"> </w:t>
      </w:r>
      <w:r w:rsidR="00675D43">
        <w:t>throughout.</w:t>
      </w:r>
      <w:r w:rsidR="00E3158F" w:rsidRPr="007C718C">
        <w:rPr>
          <w:rStyle w:val="FootnoteReference"/>
          <w:rFonts w:cs="Times New Roman"/>
        </w:rPr>
        <w:footnoteReference w:id="25"/>
      </w:r>
      <w:r w:rsidR="00E3158F" w:rsidRPr="007C718C">
        <w:t xml:space="preserve"> </w:t>
      </w:r>
      <w:r w:rsidR="00BA56A2">
        <w:t xml:space="preserve">One can see it in </w:t>
      </w:r>
      <w:r w:rsidR="00C1358E">
        <w:t>failed attempts to reform the GST treatment of financial supplies</w:t>
      </w:r>
      <w:r w:rsidR="000F1E53">
        <w:t>. An</w:t>
      </w:r>
      <w:r w:rsidR="00D23005">
        <w:t xml:space="preserve"> </w:t>
      </w:r>
      <w:r w:rsidR="00ED587B">
        <w:t>attem</w:t>
      </w:r>
      <w:r w:rsidR="00D23005">
        <w:t>pt</w:t>
      </w:r>
      <w:r w:rsidR="00ED587B">
        <w:t xml:space="preserve"> by the Australian</w:t>
      </w:r>
      <w:r w:rsidR="00AB4C4A">
        <w:t xml:space="preserve"> Treasury to redraft the </w:t>
      </w:r>
      <w:r w:rsidR="000F1E53">
        <w:t xml:space="preserve">financial supply </w:t>
      </w:r>
      <w:r w:rsidR="00AB4C4A">
        <w:t>provisio</w:t>
      </w:r>
      <w:r w:rsidR="00A46D0C">
        <w:t>ns in a principles-based manner</w:t>
      </w:r>
      <w:r w:rsidR="00AB4C4A">
        <w:rPr>
          <w:rStyle w:val="FootnoteReference"/>
        </w:rPr>
        <w:footnoteReference w:id="26"/>
      </w:r>
      <w:r w:rsidR="00AB4C4A">
        <w:t xml:space="preserve"> </w:t>
      </w:r>
      <w:r w:rsidR="00ED587B">
        <w:t>w</w:t>
      </w:r>
      <w:r w:rsidR="00D23005">
        <w:t>as</w:t>
      </w:r>
      <w:r w:rsidR="00AB4C4A">
        <w:t xml:space="preserve"> comprehensively rejected by stakeholders from the financial services industry who had previously complained of the complexity of the financial supply provisions.</w:t>
      </w:r>
      <w:r w:rsidR="00AB4C4A">
        <w:rPr>
          <w:rStyle w:val="FootnoteReference"/>
        </w:rPr>
        <w:footnoteReference w:id="27"/>
      </w:r>
      <w:r w:rsidR="00AB4C4A">
        <w:t xml:space="preserve"> As a result, the Australian Government undertook far less ambitious amendments and all but abandoned any efforts towards principles-based reform.</w:t>
      </w:r>
      <w:r w:rsidR="00AB4C4A">
        <w:rPr>
          <w:rStyle w:val="FootnoteReference"/>
        </w:rPr>
        <w:footnoteReference w:id="28"/>
      </w:r>
      <w:r w:rsidR="00AB4C4A">
        <w:t xml:space="preserve"> </w:t>
      </w:r>
      <w:r w:rsidR="00AB4C4A" w:rsidRPr="00F64720">
        <w:t>The finance industry’s support for the maintenance of the status quo</w:t>
      </w:r>
      <w:r w:rsidR="00385175">
        <w:t xml:space="preserve"> (despite their dissatisfaction with it)</w:t>
      </w:r>
      <w:r w:rsidR="00AB4C4A" w:rsidRPr="00F64720">
        <w:t xml:space="preserve"> demonstrate</w:t>
      </w:r>
      <w:r w:rsidR="00AB4C4A">
        <w:t>s</w:t>
      </w:r>
      <w:r w:rsidR="00D23005">
        <w:t xml:space="preserve"> how the </w:t>
      </w:r>
      <w:r w:rsidR="00AB4C4A" w:rsidRPr="00F64720">
        <w:t xml:space="preserve">costs </w:t>
      </w:r>
      <w:r w:rsidR="00385175">
        <w:t>of</w:t>
      </w:r>
      <w:r w:rsidR="00AB4C4A" w:rsidRPr="00F64720">
        <w:t xml:space="preserve"> complying with a complex tax regime (and the knowledge of the opportunities arising from th</w:t>
      </w:r>
      <w:r w:rsidR="00AB4C4A">
        <w:t>at</w:t>
      </w:r>
      <w:r w:rsidR="00AB4C4A" w:rsidRPr="00F64720">
        <w:t xml:space="preserve"> complexity) embodies the notion of increasing returns whereby ‘the probability of further steps along the same path increases with each move down that path’ because the cumulative costs of change increase.</w:t>
      </w:r>
      <w:r w:rsidR="00AB4C4A" w:rsidRPr="00F64720">
        <w:rPr>
          <w:rStyle w:val="FootnoteReference"/>
          <w:rFonts w:cs="Times New Roman"/>
        </w:rPr>
        <w:footnoteReference w:id="29"/>
      </w:r>
      <w:r w:rsidR="00AB4C4A" w:rsidRPr="00F64720">
        <w:t xml:space="preserve"> In turn, the industry’s own lobbying in support of the retention of the </w:t>
      </w:r>
      <w:r w:rsidR="00A46D0C">
        <w:t xml:space="preserve">existing </w:t>
      </w:r>
      <w:r w:rsidR="00AB4C4A" w:rsidRPr="00F64720">
        <w:t>provisions creates a type of positive feedback mechanism to reinforce the maintenance of the status quo.</w:t>
      </w:r>
      <w:r w:rsidR="00AB4C4A" w:rsidRPr="00F64720">
        <w:rPr>
          <w:rStyle w:val="FootnoteReference"/>
        </w:rPr>
        <w:footnoteReference w:id="30"/>
      </w:r>
      <w:r w:rsidR="00AB4C4A" w:rsidRPr="00F64720">
        <w:t xml:space="preserve"> </w:t>
      </w:r>
    </w:p>
    <w:p w14:paraId="7BAD9584" w14:textId="0CFF47DD" w:rsidR="00691F71" w:rsidRDefault="00AB4C4A" w:rsidP="00C07A53">
      <w:pPr>
        <w:pStyle w:val="BodyStyle"/>
      </w:pPr>
      <w:r>
        <w:t>Increasing returns present</w:t>
      </w:r>
      <w:r w:rsidRPr="00F64720">
        <w:t xml:space="preserve"> a direct challenge to suggestions </w:t>
      </w:r>
      <w:r w:rsidR="00ED587B">
        <w:t>that we can simply move to a better option when it becomes available</w:t>
      </w:r>
      <w:r w:rsidRPr="00F64720">
        <w:t>.</w:t>
      </w:r>
      <w:r>
        <w:t xml:space="preserve"> </w:t>
      </w:r>
      <w:r w:rsidR="00385175">
        <w:t xml:space="preserve">This is particularly the case for applying the GST to low value goods because there exists an incentive for stakeholders to shift compliance to other sectors (for example from suppliers to transporters and vice versa). Legislating a scheme that imposes collection obligations on suppliers is likely to add to the costs </w:t>
      </w:r>
      <w:r w:rsidR="00A2384F">
        <w:t>(</w:t>
      </w:r>
      <w:r w:rsidR="006E5A9B">
        <w:t xml:space="preserve">such as </w:t>
      </w:r>
      <w:r w:rsidR="00A2384F" w:rsidRPr="006E5A9B">
        <w:t xml:space="preserve">lock-in costs, sunk costs of compliance, transaction costs) </w:t>
      </w:r>
      <w:r w:rsidR="00385175" w:rsidRPr="006E5A9B">
        <w:t>of moving to an alternative model such as the</w:t>
      </w:r>
      <w:r w:rsidR="00385175">
        <w:t xml:space="preserve"> transporter model.</w:t>
      </w:r>
      <w:r w:rsidR="00E973F8">
        <w:t xml:space="preserve"> This is especially problematic given that the technological and regulatory framework needed for the transporter model to work </w:t>
      </w:r>
      <w:r w:rsidR="006E5A9B">
        <w:t>appears</w:t>
      </w:r>
      <w:r w:rsidR="00E973F8">
        <w:t xml:space="preserve"> </w:t>
      </w:r>
      <w:r w:rsidR="00A2384F">
        <w:t xml:space="preserve">relatively close (as the </w:t>
      </w:r>
      <w:r w:rsidR="00C07A53">
        <w:t>evidence</w:t>
      </w:r>
      <w:r w:rsidR="00A2384F">
        <w:t xml:space="preserve"> from Australia Post and Amazon </w:t>
      </w:r>
      <w:r w:rsidR="00C07A53">
        <w:t xml:space="preserve">to this Inquiry </w:t>
      </w:r>
      <w:r w:rsidR="00A2384F">
        <w:t xml:space="preserve">suggest). </w:t>
      </w:r>
      <w:r w:rsidR="00385175">
        <w:t xml:space="preserve">  </w:t>
      </w:r>
    </w:p>
    <w:p w14:paraId="4D4DF046" w14:textId="2963AA50" w:rsidR="00691F71" w:rsidRDefault="00691F71" w:rsidP="00691F71">
      <w:pPr>
        <w:pStyle w:val="Heading1"/>
      </w:pPr>
      <w:r>
        <w:t xml:space="preserve">Some comments on </w:t>
      </w:r>
      <w:r w:rsidR="00D76D8C">
        <w:t xml:space="preserve">other </w:t>
      </w:r>
      <w:r>
        <w:t>submissions</w:t>
      </w:r>
    </w:p>
    <w:p w14:paraId="52F7B960" w14:textId="6CBDC0D1" w:rsidR="00104CB8" w:rsidRPr="00A2384F" w:rsidRDefault="00CC4A2C" w:rsidP="004139FF">
      <w:pPr>
        <w:pStyle w:val="BodyStyle"/>
      </w:pPr>
      <w:r>
        <w:t xml:space="preserve">I had the benefit of </w:t>
      </w:r>
      <w:r w:rsidRPr="00370E7F">
        <w:t>attending the public hearings in Melbourne</w:t>
      </w:r>
      <w:r w:rsidR="00851AA5" w:rsidRPr="00370E7F">
        <w:t xml:space="preserve"> and in this final section offer comments </w:t>
      </w:r>
      <w:r w:rsidR="00370E7F" w:rsidRPr="00A2384F">
        <w:t>in response to some of the evidence provided there.</w:t>
      </w:r>
    </w:p>
    <w:p w14:paraId="08654A6E" w14:textId="1B556DDC" w:rsidR="0050580A" w:rsidRPr="00A2384F" w:rsidRDefault="00104CB8" w:rsidP="00A2384F">
      <w:pPr>
        <w:pStyle w:val="Tableheading"/>
      </w:pPr>
      <w:r w:rsidRPr="00A2384F">
        <w:t>O</w:t>
      </w:r>
      <w:r w:rsidR="00851AA5" w:rsidRPr="00A2384F">
        <w:t xml:space="preserve">n </w:t>
      </w:r>
      <w:r w:rsidR="00CC4A2C" w:rsidRPr="00A2384F">
        <w:t>the mod</w:t>
      </w:r>
      <w:r w:rsidR="00A46D0C" w:rsidRPr="00A2384F">
        <w:t>ernised</w:t>
      </w:r>
      <w:r w:rsidR="00CC4A2C" w:rsidRPr="00A2384F">
        <w:t xml:space="preserve"> transporter model proposed by </w:t>
      </w:r>
      <w:r w:rsidR="00691F71" w:rsidRPr="00A2384F">
        <w:t>Amazon</w:t>
      </w:r>
    </w:p>
    <w:p w14:paraId="3E7C7DA5" w14:textId="6DACF31C" w:rsidR="007A7FE0" w:rsidRDefault="00CC4A2C" w:rsidP="00017F35">
      <w:pPr>
        <w:pStyle w:val="BodyStyle"/>
      </w:pPr>
      <w:r>
        <w:t>Although the</w:t>
      </w:r>
      <w:r w:rsidR="00691F71">
        <w:t xml:space="preserve"> model</w:t>
      </w:r>
      <w:r>
        <w:t xml:space="preserve"> might have much to commend it, it</w:t>
      </w:r>
      <w:r w:rsidR="00691F71">
        <w:t xml:space="preserve"> risks breaking the </w:t>
      </w:r>
      <w:r w:rsidR="00F0419F">
        <w:t>GST</w:t>
      </w:r>
      <w:r w:rsidR="00691F71">
        <w:t xml:space="preserve"> chain</w:t>
      </w:r>
      <w:r w:rsidR="007A7FE0">
        <w:t xml:space="preserve">, that is, the </w:t>
      </w:r>
      <w:r w:rsidR="00691F71">
        <w:t xml:space="preserve">clear identification of </w:t>
      </w:r>
      <w:r w:rsidR="00A2384F">
        <w:t xml:space="preserve">the </w:t>
      </w:r>
      <w:r w:rsidR="00F0419F">
        <w:t>GS</w:t>
      </w:r>
      <w:r w:rsidR="00691F71">
        <w:t xml:space="preserve">T throughout </w:t>
      </w:r>
      <w:r w:rsidR="000F1E53">
        <w:t xml:space="preserve">the entire </w:t>
      </w:r>
      <w:r w:rsidR="00691F71">
        <w:t>product and distribution chain</w:t>
      </w:r>
      <w:r w:rsidR="007A7FE0">
        <w:t xml:space="preserve">. </w:t>
      </w:r>
      <w:r w:rsidR="005125EF">
        <w:t xml:space="preserve">This feature of the </w:t>
      </w:r>
      <w:r w:rsidR="00F0419F">
        <w:t>GS</w:t>
      </w:r>
      <w:r w:rsidR="005125EF">
        <w:t>T is considered one of its primary virtues</w:t>
      </w:r>
      <w:r w:rsidR="00F0419F">
        <w:t xml:space="preserve"> as it facilitates the correct identification and (ideally) the forward shifting of the GST to consumers</w:t>
      </w:r>
      <w:r w:rsidR="005125EF">
        <w:t>.</w:t>
      </w:r>
      <w:r w:rsidR="005125EF">
        <w:rPr>
          <w:rStyle w:val="FootnoteReference"/>
        </w:rPr>
        <w:footnoteReference w:id="31"/>
      </w:r>
      <w:r w:rsidR="005125EF">
        <w:t xml:space="preserve"> </w:t>
      </w:r>
      <w:r w:rsidR="007A7FE0">
        <w:t>Th</w:t>
      </w:r>
      <w:r w:rsidR="00F0419F">
        <w:t>e avoidance of identifying the VAT in the production and distribution chain</w:t>
      </w:r>
      <w:r w:rsidR="007A7FE0">
        <w:t xml:space="preserve"> is</w:t>
      </w:r>
      <w:r>
        <w:t xml:space="preserve"> presumably necessitated by </w:t>
      </w:r>
      <w:r w:rsidR="007A7FE0">
        <w:t xml:space="preserve">the desire to avoid </w:t>
      </w:r>
      <w:r w:rsidR="001D2EAF">
        <w:t xml:space="preserve">the need to change CM22 and CM23 </w:t>
      </w:r>
      <w:r w:rsidR="00A46D0C">
        <w:t xml:space="preserve">internal postage </w:t>
      </w:r>
      <w:r w:rsidR="001D2EAF">
        <w:t>documentation for letter and parcels respectively</w:t>
      </w:r>
      <w:r w:rsidR="00017F35">
        <w:t>,</w:t>
      </w:r>
      <w:r w:rsidR="001D2EAF">
        <w:t xml:space="preserve"> which</w:t>
      </w:r>
      <w:r w:rsidR="00017F35">
        <w:t xml:space="preserve"> would in turn require</w:t>
      </w:r>
      <w:r w:rsidR="001D2EAF">
        <w:t xml:space="preserve"> agreement through the </w:t>
      </w:r>
      <w:r w:rsidR="007A7FE0">
        <w:t>U</w:t>
      </w:r>
      <w:r w:rsidR="00A46D0C">
        <w:t xml:space="preserve">niversal </w:t>
      </w:r>
      <w:r w:rsidR="007A7FE0">
        <w:t>P</w:t>
      </w:r>
      <w:r w:rsidR="00A46D0C">
        <w:t xml:space="preserve">ostal </w:t>
      </w:r>
      <w:r w:rsidR="007A7FE0">
        <w:t>U</w:t>
      </w:r>
      <w:r w:rsidR="00A46D0C">
        <w:t>nion</w:t>
      </w:r>
      <w:r w:rsidR="007A7FE0">
        <w:t xml:space="preserve"> and World Customs Organisation. </w:t>
      </w:r>
      <w:r w:rsidR="00D23005">
        <w:t xml:space="preserve">However, the rush to a system before </w:t>
      </w:r>
      <w:r w:rsidR="00017F35">
        <w:t>a suitable</w:t>
      </w:r>
      <w:r w:rsidR="00D23005">
        <w:t xml:space="preserve"> regulatory or technological framework </w:t>
      </w:r>
      <w:r w:rsidR="00F0419F">
        <w:t xml:space="preserve">exists </w:t>
      </w:r>
      <w:r w:rsidR="00D23005">
        <w:t xml:space="preserve">can lead to </w:t>
      </w:r>
      <w:r w:rsidR="000F1E53">
        <w:t xml:space="preserve">its own risks and </w:t>
      </w:r>
      <w:r w:rsidR="00D23005">
        <w:t>unintended consequences</w:t>
      </w:r>
      <w:r w:rsidR="000F1E53">
        <w:t xml:space="preserve"> (such as over-payment or underpayment of </w:t>
      </w:r>
      <w:r w:rsidR="00610F25">
        <w:t xml:space="preserve">un-identified </w:t>
      </w:r>
      <w:r w:rsidR="000F1E53">
        <w:t>GST liability)</w:t>
      </w:r>
      <w:r w:rsidR="00D23005">
        <w:t xml:space="preserve">. </w:t>
      </w:r>
    </w:p>
    <w:p w14:paraId="4CF8A618" w14:textId="37645ABA" w:rsidR="00104CB8" w:rsidRPr="00A2384F" w:rsidRDefault="00104CB8" w:rsidP="004139FF">
      <w:pPr>
        <w:pStyle w:val="BodyStyle"/>
        <w:rPr>
          <w:b/>
        </w:rPr>
      </w:pPr>
      <w:r w:rsidRPr="00A2384F">
        <w:rPr>
          <w:b/>
        </w:rPr>
        <w:t>On</w:t>
      </w:r>
      <w:r w:rsidR="00665F57">
        <w:rPr>
          <w:b/>
        </w:rPr>
        <w:t xml:space="preserve"> international</w:t>
      </w:r>
      <w:r w:rsidRPr="00A2384F">
        <w:rPr>
          <w:b/>
        </w:rPr>
        <w:t xml:space="preserve"> enforcement</w:t>
      </w:r>
    </w:p>
    <w:p w14:paraId="6B35D915" w14:textId="07E86AAB" w:rsidR="00691F71" w:rsidRDefault="00FE7EE7" w:rsidP="004139FF">
      <w:pPr>
        <w:pStyle w:val="BodyStyle"/>
      </w:pPr>
      <w:r>
        <w:t>I</w:t>
      </w:r>
      <w:r w:rsidR="00CC4A2C">
        <w:t>n relation to the Australian government’s enforcement capacity</w:t>
      </w:r>
      <w:r>
        <w:t xml:space="preserve">, </w:t>
      </w:r>
      <w:r w:rsidR="00691F71" w:rsidRPr="00691F71">
        <w:t>M</w:t>
      </w:r>
      <w:r w:rsidR="006E5A9B">
        <w:t>r</w:t>
      </w:r>
      <w:r w:rsidR="00691F71" w:rsidRPr="00691F71">
        <w:t xml:space="preserve"> K</w:t>
      </w:r>
      <w:r w:rsidR="000758BA" w:rsidRPr="00691F71">
        <w:t>amalapuram</w:t>
      </w:r>
      <w:r w:rsidR="00691F71">
        <w:t xml:space="preserve"> </w:t>
      </w:r>
      <w:r w:rsidR="001D2EAF">
        <w:t xml:space="preserve">from </w:t>
      </w:r>
      <w:r w:rsidR="00691F71">
        <w:t>Amazon</w:t>
      </w:r>
      <w:r w:rsidR="001D2EAF">
        <w:t xml:space="preserve"> stated</w:t>
      </w:r>
      <w:r w:rsidR="000758BA">
        <w:t xml:space="preserve"> that</w:t>
      </w:r>
      <w:r w:rsidR="00691F71">
        <w:t>:</w:t>
      </w:r>
      <w:r w:rsidR="001D2EAF">
        <w:rPr>
          <w:rStyle w:val="FootnoteReference"/>
        </w:rPr>
        <w:footnoteReference w:id="32"/>
      </w:r>
    </w:p>
    <w:p w14:paraId="6DD17D07" w14:textId="210ABEF7" w:rsidR="00691F71" w:rsidRPr="00691F71" w:rsidRDefault="00691F71" w:rsidP="00691F71">
      <w:pPr>
        <w:pStyle w:val="Quotation"/>
        <w:rPr>
          <w:lang w:val="en-AU"/>
        </w:rPr>
      </w:pPr>
      <w:r w:rsidRPr="00691F71">
        <w:rPr>
          <w:lang w:val="en-AU"/>
        </w:rPr>
        <w:t xml:space="preserve">The problem that we have with the current model – and you were asking some questions earlier as to why wouldn’t foreign jurisdictions enforce your legislation.  Because you don’t have any agreement to.  There was a question raised as to when entering into multilateral agreements for information sharing but that doesn’t extend to sales taxes.  Most of the treaties today that exist that Australia has signed on with most of the jurisdictions only cover federal income taxes.  They don’t even cover state income taxes in most cases.  To expect that foreign jurisdictions to the point that Mr Sinclair was making that foreign jurisdictions would go out and enforce Australian GST legislation, I think, is really, in my mind, a pipedream actually.   </w:t>
      </w:r>
    </w:p>
    <w:p w14:paraId="2EC5B206" w14:textId="3F76C5AE" w:rsidR="00691F71" w:rsidRPr="00454FAA" w:rsidRDefault="00FE7EE7" w:rsidP="00254426">
      <w:pPr>
        <w:spacing w:before="280" w:after="280" w:line="360" w:lineRule="auto"/>
        <w:jc w:val="both"/>
        <w:rPr>
          <w:sz w:val="24"/>
          <w:lang w:val="en-AU"/>
        </w:rPr>
      </w:pPr>
      <w:r>
        <w:rPr>
          <w:sz w:val="24"/>
          <w:lang w:val="en-US"/>
        </w:rPr>
        <w:t>In my view, t</w:t>
      </w:r>
      <w:r w:rsidR="00CC4A2C" w:rsidRPr="00454FAA">
        <w:rPr>
          <w:sz w:val="24"/>
          <w:lang w:val="en-US"/>
        </w:rPr>
        <w:t xml:space="preserve">his statement is not </w:t>
      </w:r>
      <w:r w:rsidR="00A42AD1" w:rsidRPr="00454FAA">
        <w:rPr>
          <w:sz w:val="24"/>
          <w:lang w:val="en-US"/>
        </w:rPr>
        <w:t xml:space="preserve">entirely </w:t>
      </w:r>
      <w:r w:rsidR="00CC4A2C" w:rsidRPr="00454FAA">
        <w:rPr>
          <w:sz w:val="24"/>
          <w:lang w:val="en-US"/>
        </w:rPr>
        <w:t xml:space="preserve">correct. </w:t>
      </w:r>
      <w:r w:rsidR="00370E7F">
        <w:rPr>
          <w:sz w:val="24"/>
          <w:lang w:val="en-US"/>
        </w:rPr>
        <w:t>Australia could potentially utilize</w:t>
      </w:r>
      <w:r w:rsidR="007A7FE0" w:rsidRPr="00454FAA">
        <w:rPr>
          <w:sz w:val="24"/>
          <w:lang w:val="en-US"/>
        </w:rPr>
        <w:t xml:space="preserve"> a number of international instruments</w:t>
      </w:r>
      <w:r w:rsidR="00370E7F">
        <w:rPr>
          <w:sz w:val="24"/>
          <w:lang w:val="en-US"/>
        </w:rPr>
        <w:t xml:space="preserve"> </w:t>
      </w:r>
      <w:r w:rsidR="00A42AD1" w:rsidRPr="00454FAA">
        <w:rPr>
          <w:sz w:val="24"/>
          <w:lang w:val="en-US"/>
        </w:rPr>
        <w:t xml:space="preserve">– even if this does not yet </w:t>
      </w:r>
      <w:r w:rsidR="00F0419F">
        <w:rPr>
          <w:sz w:val="24"/>
          <w:lang w:val="en-US"/>
        </w:rPr>
        <w:t xml:space="preserve">fully </w:t>
      </w:r>
      <w:r w:rsidR="00A42AD1" w:rsidRPr="00454FAA">
        <w:rPr>
          <w:sz w:val="24"/>
          <w:lang w:val="en-US"/>
        </w:rPr>
        <w:t>happen in relation to the GST</w:t>
      </w:r>
      <w:r w:rsidR="007A7FE0" w:rsidRPr="00454FAA">
        <w:rPr>
          <w:sz w:val="24"/>
          <w:lang w:val="en-US"/>
        </w:rPr>
        <w:t xml:space="preserve">. </w:t>
      </w:r>
      <w:r w:rsidR="007D0172">
        <w:rPr>
          <w:sz w:val="24"/>
          <w:lang w:val="en-US"/>
        </w:rPr>
        <w:t xml:space="preserve">This goes to the question of </w:t>
      </w:r>
      <w:r w:rsidR="007D0172" w:rsidRPr="007D0172">
        <w:rPr>
          <w:sz w:val="24"/>
          <w:lang w:val="en-US"/>
        </w:rPr>
        <w:t>how effective ATO enforcement activities</w:t>
      </w:r>
      <w:r w:rsidR="00254426">
        <w:rPr>
          <w:sz w:val="24"/>
          <w:lang w:val="en-US"/>
        </w:rPr>
        <w:t xml:space="preserve"> will be.</w:t>
      </w:r>
      <w:r w:rsidR="007D0172">
        <w:rPr>
          <w:rStyle w:val="FootnoteReference"/>
          <w:sz w:val="24"/>
          <w:lang w:val="en-US"/>
        </w:rPr>
        <w:footnoteReference w:id="33"/>
      </w:r>
      <w:r w:rsidR="007D0172">
        <w:rPr>
          <w:sz w:val="24"/>
          <w:lang w:val="en-US"/>
        </w:rPr>
        <w:t xml:space="preserve"> </w:t>
      </w:r>
    </w:p>
    <w:p w14:paraId="714B5A48" w14:textId="4300560B" w:rsidR="00691F71" w:rsidRPr="00454FAA" w:rsidRDefault="00691F71" w:rsidP="000758BA">
      <w:pPr>
        <w:spacing w:before="280" w:after="280" w:line="360" w:lineRule="auto"/>
        <w:jc w:val="both"/>
        <w:rPr>
          <w:sz w:val="24"/>
          <w:lang w:val="en-US"/>
        </w:rPr>
      </w:pPr>
      <w:r w:rsidRPr="00454FAA">
        <w:rPr>
          <w:sz w:val="24"/>
          <w:lang w:val="en-US"/>
        </w:rPr>
        <w:t>The most important existing instrument for administrative cooperation</w:t>
      </w:r>
      <w:r w:rsidR="00CC4A2C" w:rsidRPr="00454FAA">
        <w:rPr>
          <w:sz w:val="24"/>
          <w:lang w:val="en-US"/>
        </w:rPr>
        <w:t xml:space="preserve"> for the GST</w:t>
      </w:r>
      <w:r w:rsidRPr="00454FAA">
        <w:rPr>
          <w:sz w:val="24"/>
          <w:lang w:val="en-US"/>
        </w:rPr>
        <w:t xml:space="preserve"> is likely to be the OECD/Council of Europe Multilateral Convention on Mutual Administrative Assistance in Tax Matters.</w:t>
      </w:r>
      <w:r w:rsidRPr="00454FAA">
        <w:rPr>
          <w:rStyle w:val="FootnoteReference"/>
          <w:sz w:val="24"/>
          <w:lang w:val="en-US"/>
        </w:rPr>
        <w:footnoteReference w:id="34"/>
      </w:r>
      <w:r w:rsidRPr="00454FAA">
        <w:rPr>
          <w:sz w:val="24"/>
          <w:lang w:val="en-US"/>
        </w:rPr>
        <w:t xml:space="preserve"> The Convention applies to general consumption taxes including value-added or sales taxes (as well as income and other taxes),</w:t>
      </w:r>
      <w:r w:rsidRPr="00454FAA">
        <w:rPr>
          <w:rStyle w:val="FootnoteReference"/>
          <w:sz w:val="24"/>
          <w:lang w:val="en-US"/>
        </w:rPr>
        <w:footnoteReference w:id="35"/>
      </w:r>
      <w:r w:rsidRPr="00454FAA">
        <w:rPr>
          <w:sz w:val="24"/>
          <w:lang w:val="en-US"/>
        </w:rPr>
        <w:t xml:space="preserve"> and is not restricted to residents or nationals.</w:t>
      </w:r>
      <w:r w:rsidRPr="00454FAA">
        <w:rPr>
          <w:rStyle w:val="FootnoteReference"/>
          <w:sz w:val="24"/>
          <w:lang w:val="en-US"/>
        </w:rPr>
        <w:footnoteReference w:id="36"/>
      </w:r>
      <w:r w:rsidRPr="00454FAA">
        <w:rPr>
          <w:sz w:val="24"/>
          <w:lang w:val="en-US"/>
        </w:rPr>
        <w:t xml:space="preserve"> The administrative assistance it promotes comprises exchange of information, assistance in recovery (including measures of conservancy)</w:t>
      </w:r>
      <w:r w:rsidRPr="00454FAA">
        <w:rPr>
          <w:rStyle w:val="FootnoteReference"/>
          <w:sz w:val="24"/>
          <w:lang w:val="en-US"/>
        </w:rPr>
        <w:footnoteReference w:id="37"/>
      </w:r>
      <w:r w:rsidRPr="00454FAA">
        <w:rPr>
          <w:sz w:val="24"/>
          <w:lang w:val="en-US"/>
        </w:rPr>
        <w:t xml:space="preserve"> and service of documents.</w:t>
      </w:r>
      <w:r w:rsidRPr="00454FAA">
        <w:rPr>
          <w:rStyle w:val="FootnoteReference"/>
          <w:sz w:val="24"/>
          <w:lang w:val="en-US"/>
        </w:rPr>
        <w:footnoteReference w:id="38"/>
      </w:r>
      <w:r w:rsidRPr="00454FAA">
        <w:rPr>
          <w:sz w:val="24"/>
          <w:lang w:val="en-US"/>
        </w:rPr>
        <w:t xml:space="preserve"> </w:t>
      </w:r>
      <w:r w:rsidR="000758BA" w:rsidRPr="00454FAA">
        <w:rPr>
          <w:sz w:val="24"/>
          <w:lang w:val="en-US"/>
        </w:rPr>
        <w:t>However, currently</w:t>
      </w:r>
      <w:r w:rsidRPr="00454FAA">
        <w:rPr>
          <w:sz w:val="24"/>
          <w:lang w:val="en-US"/>
        </w:rPr>
        <w:t xml:space="preserve"> many countries have made reservations to certain aspects of the Convention.</w:t>
      </w:r>
    </w:p>
    <w:p w14:paraId="72D36EA5" w14:textId="2ED72A13" w:rsidR="00691F71" w:rsidRPr="00454FAA" w:rsidRDefault="00A42AD1" w:rsidP="00691F71">
      <w:pPr>
        <w:spacing w:before="280" w:after="280" w:line="360" w:lineRule="auto"/>
        <w:jc w:val="both"/>
        <w:rPr>
          <w:sz w:val="24"/>
          <w:lang w:val="en-US"/>
        </w:rPr>
      </w:pPr>
      <w:r w:rsidRPr="00454FAA">
        <w:rPr>
          <w:sz w:val="24"/>
          <w:lang w:val="en-US"/>
        </w:rPr>
        <w:t>I</w:t>
      </w:r>
      <w:r w:rsidR="00691F71" w:rsidRPr="00454FAA">
        <w:rPr>
          <w:sz w:val="24"/>
          <w:lang w:val="en-US"/>
        </w:rPr>
        <w:t xml:space="preserve">ncome tax treaties are probably the </w:t>
      </w:r>
      <w:r w:rsidRPr="00454FAA">
        <w:rPr>
          <w:sz w:val="24"/>
          <w:lang w:val="en-US"/>
        </w:rPr>
        <w:t xml:space="preserve">next </w:t>
      </w:r>
      <w:r w:rsidR="00691F71" w:rsidRPr="00454FAA">
        <w:rPr>
          <w:sz w:val="24"/>
          <w:lang w:val="en-US"/>
        </w:rPr>
        <w:t>most important instrument for administrative cooperation. According to Art 26(1) of both the OECD and the UN Model Conventions:</w:t>
      </w:r>
      <w:r w:rsidR="00691F71" w:rsidRPr="00454FAA">
        <w:rPr>
          <w:rStyle w:val="FootnoteReference"/>
          <w:sz w:val="24"/>
          <w:lang w:val="en-US"/>
        </w:rPr>
        <w:footnoteReference w:id="39"/>
      </w:r>
      <w:r w:rsidR="00691F71" w:rsidRPr="00454FAA">
        <w:rPr>
          <w:sz w:val="24"/>
          <w:lang w:val="en-US"/>
        </w:rPr>
        <w:t xml:space="preserve"> </w:t>
      </w:r>
    </w:p>
    <w:p w14:paraId="34489EC3" w14:textId="77777777" w:rsidR="00691F71" w:rsidRPr="00454FAA" w:rsidRDefault="00691F71" w:rsidP="00691F71">
      <w:pPr>
        <w:pStyle w:val="Quotation"/>
        <w:rPr>
          <w:lang w:val="en-US"/>
        </w:rPr>
      </w:pPr>
      <w:r w:rsidRPr="00454FAA">
        <w:rPr>
          <w:lang w:val="en-US"/>
        </w:rPr>
        <w:t xml:space="preserve">The competent authorities of the Contracting States shall exchange such information as is foreseeably relevant […] to the administration or enforcement of the domestic laws concerning taxes of every kind and description imposed on behalf of the Contracting States, or of their political subdivisions or local authorities, insofar as the taxation thereunder is not contrary to the Convention. </w:t>
      </w:r>
    </w:p>
    <w:p w14:paraId="60FF6B31" w14:textId="113862EF" w:rsidR="00691F71" w:rsidRPr="00454FAA" w:rsidRDefault="00691F71" w:rsidP="00E956CC">
      <w:pPr>
        <w:spacing w:before="280" w:after="280" w:line="360" w:lineRule="auto"/>
        <w:jc w:val="both"/>
        <w:rPr>
          <w:sz w:val="24"/>
          <w:lang w:val="en-US"/>
        </w:rPr>
      </w:pPr>
      <w:r w:rsidRPr="00454FAA">
        <w:rPr>
          <w:sz w:val="24"/>
          <w:lang w:val="en-US"/>
        </w:rPr>
        <w:t xml:space="preserve">The OECD Commentary even explicitly provides an example of a case concerning </w:t>
      </w:r>
      <w:r w:rsidR="00E956CC">
        <w:rPr>
          <w:sz w:val="24"/>
          <w:lang w:val="en-US"/>
        </w:rPr>
        <w:t>the GST</w:t>
      </w:r>
      <w:r w:rsidRPr="00454FAA">
        <w:rPr>
          <w:sz w:val="24"/>
          <w:lang w:val="en-US"/>
        </w:rPr>
        <w:t xml:space="preserve"> that is covered by the provision.</w:t>
      </w:r>
      <w:r w:rsidRPr="00454FAA">
        <w:rPr>
          <w:rStyle w:val="FootnoteReference"/>
          <w:sz w:val="24"/>
          <w:lang w:val="en-US"/>
        </w:rPr>
        <w:footnoteReference w:id="40"/>
      </w:r>
      <w:r w:rsidRPr="00454FAA">
        <w:rPr>
          <w:sz w:val="24"/>
          <w:lang w:val="en-US"/>
        </w:rPr>
        <w:t xml:space="preserve"> Article 26(1) of the Model Conventions further establishes that the exchange of information is not restricted by Article 1 of the Model Conventions, with the effect that it can also cover information related to non-resident persons. It should be pointed out, however, that many states for different reasons</w:t>
      </w:r>
      <w:r w:rsidRPr="00454FAA">
        <w:rPr>
          <w:rStyle w:val="FootnoteReference"/>
          <w:sz w:val="24"/>
          <w:lang w:val="en-US"/>
        </w:rPr>
        <w:footnoteReference w:id="41"/>
      </w:r>
      <w:r w:rsidRPr="00454FAA">
        <w:rPr>
          <w:sz w:val="24"/>
          <w:lang w:val="en-US"/>
        </w:rPr>
        <w:t xml:space="preserve"> have not included such extensive exchange of information provision in their tax treaties.</w:t>
      </w:r>
    </w:p>
    <w:p w14:paraId="41C01429" w14:textId="29F14385" w:rsidR="00691F71" w:rsidRPr="00454FAA" w:rsidRDefault="00691F71" w:rsidP="00E956CC">
      <w:pPr>
        <w:spacing w:before="280" w:after="280" w:line="360" w:lineRule="auto"/>
        <w:jc w:val="both"/>
        <w:rPr>
          <w:sz w:val="24"/>
          <w:lang w:val="en-US"/>
        </w:rPr>
      </w:pPr>
      <w:r w:rsidRPr="00454FAA">
        <w:rPr>
          <w:sz w:val="24"/>
          <w:lang w:val="en-US"/>
        </w:rPr>
        <w:t xml:space="preserve">Modern income tax treaties generally also provide for assistance in the collection of taxes. Article 27 of the OECD and UN Model Conventions for instance provides that “[c]ontracting States shall lend assistance to each other in the collection of revenue claims”. The term “revenue claim” is defined as an “amount owed in respect of taxes of every kind of description” and hence also includes </w:t>
      </w:r>
      <w:r w:rsidR="00E956CC">
        <w:rPr>
          <w:sz w:val="24"/>
          <w:lang w:val="en-US"/>
        </w:rPr>
        <w:t>GST</w:t>
      </w:r>
      <w:r w:rsidRPr="00454FAA">
        <w:rPr>
          <w:sz w:val="24"/>
          <w:lang w:val="en-US"/>
        </w:rPr>
        <w:t xml:space="preserve"> claims. Again, in practice many income tax treaties do not contain such a provision</w:t>
      </w:r>
      <w:r w:rsidR="00017F35">
        <w:rPr>
          <w:sz w:val="24"/>
          <w:lang w:val="en-US"/>
        </w:rPr>
        <w:t xml:space="preserve"> – but this is not to suggest that they could not in the future</w:t>
      </w:r>
      <w:r w:rsidRPr="00454FAA">
        <w:rPr>
          <w:sz w:val="24"/>
          <w:lang w:val="en-US"/>
        </w:rPr>
        <w:t>.</w:t>
      </w:r>
      <w:r w:rsidRPr="00454FAA">
        <w:rPr>
          <w:rStyle w:val="FootnoteReference"/>
          <w:sz w:val="24"/>
          <w:lang w:val="en-US"/>
        </w:rPr>
        <w:footnoteReference w:id="42"/>
      </w:r>
    </w:p>
    <w:p w14:paraId="00D24F2D" w14:textId="503148CE" w:rsidR="00691F71" w:rsidRPr="00454FAA" w:rsidRDefault="00691F71" w:rsidP="00BF51CA">
      <w:pPr>
        <w:spacing w:before="280" w:after="280" w:line="360" w:lineRule="auto"/>
        <w:jc w:val="both"/>
        <w:rPr>
          <w:sz w:val="24"/>
          <w:lang w:val="en-US"/>
        </w:rPr>
      </w:pPr>
      <w:r w:rsidRPr="00454FAA">
        <w:rPr>
          <w:sz w:val="24"/>
          <w:lang w:val="en-US"/>
        </w:rPr>
        <w:t xml:space="preserve">Another legal framework for information exchange in tax matters involves tax information exchange agreements (TIEAs). In 2002 the OECD developed a </w:t>
      </w:r>
      <w:r w:rsidRPr="00454FAA">
        <w:rPr>
          <w:iCs/>
          <w:sz w:val="24"/>
          <w:lang w:val="en-US"/>
        </w:rPr>
        <w:t xml:space="preserve">Model Agreement on Exchange of Information on Tax Matters </w:t>
      </w:r>
      <w:r w:rsidRPr="00454FAA">
        <w:rPr>
          <w:sz w:val="24"/>
          <w:lang w:val="en-US"/>
        </w:rPr>
        <w:t>(OECD Information Exchange Model), which serves as the basis for many information exchange agreements.</w:t>
      </w:r>
      <w:r w:rsidRPr="00454FAA">
        <w:rPr>
          <w:rStyle w:val="FootnoteReference"/>
          <w:sz w:val="24"/>
          <w:lang w:val="en-US"/>
        </w:rPr>
        <w:footnoteReference w:id="43"/>
      </w:r>
      <w:r w:rsidRPr="00454FAA">
        <w:rPr>
          <w:sz w:val="24"/>
          <w:lang w:val="en-US"/>
        </w:rPr>
        <w:t xml:space="preserve"> The Model is presented both as a bilateral and a multilateral agreement. In practice, however, TIEAs rarely cover </w:t>
      </w:r>
      <w:r w:rsidR="00BF51CA">
        <w:rPr>
          <w:sz w:val="24"/>
          <w:lang w:val="en-US"/>
        </w:rPr>
        <w:t>the GST</w:t>
      </w:r>
      <w:r w:rsidRPr="00454FAA">
        <w:rPr>
          <w:sz w:val="24"/>
          <w:lang w:val="en-US"/>
        </w:rPr>
        <w:t xml:space="preserve">. The wording of the OECD Information Exchange Model does not </w:t>
      </w:r>
      <w:r w:rsidRPr="00454FAA">
        <w:rPr>
          <w:i/>
          <w:sz w:val="24"/>
          <w:lang w:val="en-US"/>
        </w:rPr>
        <w:t>prima facie</w:t>
      </w:r>
      <w:r w:rsidRPr="00454FAA">
        <w:rPr>
          <w:sz w:val="24"/>
          <w:lang w:val="en-US"/>
        </w:rPr>
        <w:t xml:space="preserve"> suggest that it applies to </w:t>
      </w:r>
      <w:r w:rsidR="00BF51CA">
        <w:rPr>
          <w:sz w:val="24"/>
          <w:lang w:val="en-US"/>
        </w:rPr>
        <w:t>the GST</w:t>
      </w:r>
      <w:r w:rsidRPr="00454FAA">
        <w:rPr>
          <w:sz w:val="24"/>
          <w:lang w:val="en-US"/>
        </w:rPr>
        <w:t xml:space="preserve">, but rather that it can apply if the parties so choose. Article 3(2) of the multilateral version of the agreement states that “[t]he Contracting Parties, in their instruments of ratification, acceptance or approval, may agree that the Agreement shall also apply to indirect taxes”. </w:t>
      </w:r>
    </w:p>
    <w:p w14:paraId="1F342281" w14:textId="77777777" w:rsidR="00691F71" w:rsidRPr="00454FAA" w:rsidRDefault="00691F71" w:rsidP="00691F71">
      <w:pPr>
        <w:tabs>
          <w:tab w:val="left" w:pos="2055"/>
        </w:tabs>
        <w:autoSpaceDE w:val="0"/>
        <w:autoSpaceDN w:val="0"/>
        <w:adjustRightInd w:val="0"/>
        <w:spacing w:line="360" w:lineRule="auto"/>
        <w:jc w:val="both"/>
        <w:rPr>
          <w:sz w:val="24"/>
          <w:lang w:val="en-US"/>
        </w:rPr>
      </w:pPr>
      <w:r w:rsidRPr="00454FAA">
        <w:rPr>
          <w:sz w:val="24"/>
          <w:lang w:val="en-US"/>
        </w:rPr>
        <w:t>Further legal bases for exchange of information may be agreements from other fields of law or the provisions in the domestic law of a country.</w:t>
      </w:r>
      <w:r w:rsidRPr="00454FAA">
        <w:rPr>
          <w:rStyle w:val="FootnoteReference"/>
          <w:sz w:val="24"/>
          <w:lang w:val="en-US"/>
        </w:rPr>
        <w:footnoteReference w:id="44"/>
      </w:r>
      <w:r w:rsidRPr="00454FAA">
        <w:rPr>
          <w:sz w:val="24"/>
          <w:lang w:val="en-US"/>
        </w:rPr>
        <w:t xml:space="preserve"> The same applies for assistance in recovery of taxes.</w:t>
      </w:r>
      <w:r w:rsidRPr="00454FAA">
        <w:rPr>
          <w:rStyle w:val="FootnoteReference"/>
          <w:sz w:val="24"/>
          <w:lang w:val="en-US"/>
        </w:rPr>
        <w:footnoteReference w:id="45"/>
      </w:r>
    </w:p>
    <w:p w14:paraId="7EF1B4C4" w14:textId="77777777" w:rsidR="000758BA" w:rsidRPr="00454FAA" w:rsidRDefault="000758BA" w:rsidP="00691F71">
      <w:pPr>
        <w:tabs>
          <w:tab w:val="left" w:pos="2055"/>
        </w:tabs>
        <w:autoSpaceDE w:val="0"/>
        <w:autoSpaceDN w:val="0"/>
        <w:adjustRightInd w:val="0"/>
        <w:spacing w:line="360" w:lineRule="auto"/>
        <w:jc w:val="both"/>
        <w:rPr>
          <w:sz w:val="24"/>
          <w:lang w:val="en-US"/>
        </w:rPr>
      </w:pPr>
    </w:p>
    <w:p w14:paraId="1C9664DF" w14:textId="26E11637" w:rsidR="0085577A" w:rsidRPr="00EE46C0" w:rsidRDefault="000758BA" w:rsidP="00C07A53">
      <w:pPr>
        <w:tabs>
          <w:tab w:val="left" w:pos="2055"/>
        </w:tabs>
        <w:autoSpaceDE w:val="0"/>
        <w:autoSpaceDN w:val="0"/>
        <w:adjustRightInd w:val="0"/>
        <w:spacing w:line="360" w:lineRule="auto"/>
        <w:jc w:val="both"/>
        <w:rPr>
          <w:sz w:val="24"/>
          <w:lang w:val="en-AU"/>
        </w:rPr>
      </w:pPr>
      <w:r w:rsidRPr="00454FAA">
        <w:rPr>
          <w:sz w:val="24"/>
          <w:lang w:val="en-US"/>
        </w:rPr>
        <w:t xml:space="preserve">This summary shows that the mechanisms </w:t>
      </w:r>
      <w:r w:rsidR="00C07A53">
        <w:rPr>
          <w:sz w:val="24"/>
          <w:lang w:val="en-US"/>
        </w:rPr>
        <w:t>exist</w:t>
      </w:r>
      <w:r w:rsidR="00E956CC">
        <w:rPr>
          <w:sz w:val="24"/>
          <w:lang w:val="en-US"/>
        </w:rPr>
        <w:t xml:space="preserve"> for information exchange and cooperation</w:t>
      </w:r>
      <w:r w:rsidRPr="00454FAA">
        <w:rPr>
          <w:sz w:val="24"/>
          <w:lang w:val="en-US"/>
        </w:rPr>
        <w:t xml:space="preserve">, however, it is </w:t>
      </w:r>
      <w:r w:rsidR="00C07A53">
        <w:rPr>
          <w:sz w:val="24"/>
          <w:lang w:val="en-US"/>
        </w:rPr>
        <w:t xml:space="preserve">still </w:t>
      </w:r>
      <w:r w:rsidRPr="00454FAA">
        <w:rPr>
          <w:sz w:val="24"/>
          <w:lang w:val="en-US"/>
        </w:rPr>
        <w:t xml:space="preserve">for states to effectively use these mechanisms to assist in the identification and enforcement of </w:t>
      </w:r>
      <w:r w:rsidR="00E956CC">
        <w:rPr>
          <w:sz w:val="24"/>
          <w:lang w:val="en-US"/>
        </w:rPr>
        <w:t>GST</w:t>
      </w:r>
      <w:r w:rsidRPr="00454FAA">
        <w:rPr>
          <w:sz w:val="24"/>
          <w:lang w:val="en-US"/>
        </w:rPr>
        <w:t xml:space="preserve"> liabilities. </w:t>
      </w:r>
      <w:r w:rsidR="00CD2CCE">
        <w:rPr>
          <w:sz w:val="24"/>
          <w:lang w:val="en-US"/>
        </w:rPr>
        <w:t>As states increasingly seek to enforce tax</w:t>
      </w:r>
      <w:r w:rsidR="00E956CC">
        <w:rPr>
          <w:sz w:val="24"/>
          <w:lang w:val="en-US"/>
        </w:rPr>
        <w:t xml:space="preserve"> (including GST)</w:t>
      </w:r>
      <w:r w:rsidR="00CD2CCE">
        <w:rPr>
          <w:sz w:val="24"/>
          <w:lang w:val="en-US"/>
        </w:rPr>
        <w:t xml:space="preserve"> liabilit</w:t>
      </w:r>
      <w:r w:rsidR="00E956CC">
        <w:rPr>
          <w:sz w:val="24"/>
          <w:lang w:val="en-US"/>
        </w:rPr>
        <w:t>ies</w:t>
      </w:r>
      <w:r w:rsidR="00CD2CCE">
        <w:rPr>
          <w:sz w:val="24"/>
          <w:lang w:val="en-US"/>
        </w:rPr>
        <w:t xml:space="preserve"> from non-resident </w:t>
      </w:r>
      <w:r w:rsidR="00E956CC">
        <w:rPr>
          <w:sz w:val="24"/>
          <w:lang w:val="en-US"/>
        </w:rPr>
        <w:t>entities</w:t>
      </w:r>
      <w:r w:rsidR="00CD2CCE">
        <w:rPr>
          <w:sz w:val="24"/>
          <w:lang w:val="en-US"/>
        </w:rPr>
        <w:t>, the incentives</w:t>
      </w:r>
      <w:r w:rsidR="004F5EAB">
        <w:rPr>
          <w:sz w:val="24"/>
          <w:lang w:val="en-US"/>
        </w:rPr>
        <w:t xml:space="preserve"> for all states</w:t>
      </w:r>
      <w:r w:rsidR="00CD2CCE">
        <w:rPr>
          <w:sz w:val="24"/>
          <w:lang w:val="en-US"/>
        </w:rPr>
        <w:t xml:space="preserve"> to utilize these legal instruments to greater effect might increase.</w:t>
      </w:r>
      <w:r w:rsidR="00AE32AC">
        <w:rPr>
          <w:sz w:val="24"/>
          <w:lang w:val="en-US"/>
        </w:rPr>
        <w:t xml:space="preserve"> </w:t>
      </w:r>
      <w:r w:rsidR="00AE32AC" w:rsidRPr="00AE32AC">
        <w:rPr>
          <w:sz w:val="24"/>
          <w:lang w:val="en-US"/>
        </w:rPr>
        <w:t xml:space="preserve">The </w:t>
      </w:r>
      <w:r w:rsidR="00AE32AC">
        <w:rPr>
          <w:sz w:val="24"/>
          <w:lang w:val="en-US"/>
        </w:rPr>
        <w:t>analysis above</w:t>
      </w:r>
      <w:r w:rsidR="00AE32AC" w:rsidRPr="00AE32AC">
        <w:rPr>
          <w:sz w:val="24"/>
          <w:lang w:val="en-US"/>
        </w:rPr>
        <w:t xml:space="preserve"> is taken from a paper I recently published with Dr Thomas Ecker</w:t>
      </w:r>
      <w:r w:rsidR="00A2384F">
        <w:rPr>
          <w:sz w:val="24"/>
          <w:lang w:val="en-US"/>
        </w:rPr>
        <w:t xml:space="preserve"> (</w:t>
      </w:r>
      <w:r w:rsidR="00AE32AC">
        <w:rPr>
          <w:sz w:val="24"/>
          <w:lang w:val="en-US"/>
        </w:rPr>
        <w:t>attached for the Commission’s further information</w:t>
      </w:r>
      <w:r w:rsidR="00A2384F">
        <w:rPr>
          <w:sz w:val="24"/>
          <w:lang w:val="en-US"/>
        </w:rPr>
        <w:t>)</w:t>
      </w:r>
      <w:r w:rsidR="00AE32AC" w:rsidRPr="00AE32AC">
        <w:rPr>
          <w:sz w:val="24"/>
          <w:lang w:val="en-US"/>
        </w:rPr>
        <w:t>.</w:t>
      </w:r>
      <w:r w:rsidR="004F5EAB">
        <w:rPr>
          <w:rStyle w:val="FootnoteReference"/>
          <w:sz w:val="24"/>
          <w:lang w:val="en-US"/>
        </w:rPr>
        <w:footnoteReference w:id="46"/>
      </w:r>
      <w:bookmarkEnd w:id="0"/>
      <w:bookmarkEnd w:id="1"/>
    </w:p>
    <w:sectPr w:rsidR="0085577A" w:rsidRPr="00EE46C0" w:rsidSect="009739C0">
      <w:headerReference w:type="default" r:id="rId14"/>
      <w:footerReference w:type="default" r:id="rId15"/>
      <w:pgSz w:w="11906" w:h="16838"/>
      <w:pgMar w:top="873" w:right="873" w:bottom="873" w:left="144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90D96AD" w14:textId="77777777" w:rsidR="00BA7EC6" w:rsidRDefault="00BA7EC6" w:rsidP="003D74C2">
      <w:r>
        <w:separator/>
      </w:r>
    </w:p>
  </w:endnote>
  <w:endnote w:type="continuationSeparator" w:id="0">
    <w:p w14:paraId="55D093B4" w14:textId="77777777" w:rsidR="00BA7EC6" w:rsidRDefault="00BA7EC6" w:rsidP="003D74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Wingdings 3">
    <w:panose1 w:val="05040102010807070707"/>
    <w:charset w:val="02"/>
    <w:family w:val="roman"/>
    <w:pitch w:val="variable"/>
    <w:sig w:usb0="00000000" w:usb1="10000000" w:usb2="00000000" w:usb3="00000000" w:csb0="80000000" w:csb1="00000000"/>
  </w:font>
  <w:font w:name="Angsana New">
    <w:altName w:val="Arial Unicode MS"/>
    <w:panose1 w:val="02020603050405020304"/>
    <w:charset w:val="DE"/>
    <w:family w:val="roman"/>
    <w:notTrueType/>
    <w:pitch w:val="variable"/>
    <w:sig w:usb0="01000000" w:usb1="00000000" w:usb2="00000000" w:usb3="00000000" w:csb0="00010000" w:csb1="00000000"/>
  </w:font>
  <w:font w:name="Garamond">
    <w:panose1 w:val="02020404030301010803"/>
    <w:charset w:val="00"/>
    <w:family w:val="roman"/>
    <w:pitch w:val="variable"/>
    <w:sig w:usb0="00000287" w:usb1="00000000" w:usb2="00000000" w:usb3="00000000" w:csb0="0000009F"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PMingLiU">
    <w:altName w:val="新細明體"/>
    <w:panose1 w:val="02010601000101010101"/>
    <w:charset w:val="88"/>
    <w:family w:val="auto"/>
    <w:notTrueType/>
    <w:pitch w:val="variable"/>
    <w:sig w:usb0="00000001" w:usb1="08080000" w:usb2="00000010" w:usb3="00000000" w:csb0="00100000" w:csb1="00000000"/>
  </w:font>
  <w:font w:name="Helvetica">
    <w:panose1 w:val="020B0604020202020204"/>
    <w:charset w:val="00"/>
    <w:family w:val="swiss"/>
    <w:notTrueType/>
    <w:pitch w:val="variable"/>
    <w:sig w:usb0="00000003" w:usb1="00000000" w:usb2="00000000" w:usb3="00000000" w:csb0="00000001" w:csb1="00000000"/>
  </w:font>
  <w:font w:name="HelveticaNeue">
    <w:altName w:val="HelveticaNeue"/>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Book Antiqua">
    <w:panose1 w:val="02040602050305030304"/>
    <w:charset w:val="00"/>
    <w:family w:val="roman"/>
    <w:pitch w:val="variable"/>
    <w:sig w:usb0="00000287" w:usb1="00000000" w:usb2="00000000" w:usb3="00000000" w:csb0="0000009F" w:csb1="00000000"/>
  </w:font>
  <w:font w:name="MS Mincho">
    <w:altName w:val="MS Gothic"/>
    <w:panose1 w:val="02020609040205080304"/>
    <w:charset w:val="80"/>
    <w:family w:val="roman"/>
    <w:notTrueType/>
    <w:pitch w:val="fixed"/>
    <w:sig w:usb0="00000000"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B42B26E" w14:textId="7C60131F" w:rsidR="00EC3AF7" w:rsidRDefault="00EC3AF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713526">
      <w:rPr>
        <w:rStyle w:val="PageNumber"/>
        <w:noProof/>
      </w:rPr>
      <w:t>1</w:t>
    </w:r>
    <w:r>
      <w:rPr>
        <w:rStyle w:val="PageNumber"/>
      </w:rPr>
      <w:fldChar w:fldCharType="end"/>
    </w:r>
  </w:p>
  <w:p w14:paraId="08C408A5" w14:textId="77777777" w:rsidR="00EC3AF7" w:rsidRDefault="00EC3AF7">
    <w:pPr>
      <w:pStyle w:val="Footer"/>
      <w:ind w:right="360"/>
    </w:pPr>
  </w:p>
  <w:p w14:paraId="638C5DE2" w14:textId="77777777" w:rsidR="00EC3AF7" w:rsidRDefault="00EC3AF7"/>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5633E05" w14:textId="77777777" w:rsidR="00BA7EC6" w:rsidRDefault="00BA7EC6" w:rsidP="003D74C2">
      <w:r>
        <w:separator/>
      </w:r>
    </w:p>
  </w:footnote>
  <w:footnote w:type="continuationSeparator" w:id="0">
    <w:p w14:paraId="738A1834" w14:textId="77777777" w:rsidR="00BA7EC6" w:rsidRDefault="00BA7EC6" w:rsidP="003D74C2">
      <w:r>
        <w:continuationSeparator/>
      </w:r>
    </w:p>
  </w:footnote>
  <w:footnote w:id="1">
    <w:p w14:paraId="0E91FC33" w14:textId="562EEA5F" w:rsidR="00CC4A2C" w:rsidRDefault="00CC4A2C" w:rsidP="00370E7F">
      <w:pPr>
        <w:pStyle w:val="FootnoteText"/>
      </w:pPr>
      <w:r>
        <w:rPr>
          <w:rStyle w:val="FootnoteReference"/>
        </w:rPr>
        <w:footnoteRef/>
      </w:r>
      <w:r>
        <w:t xml:space="preserve"> </w:t>
      </w:r>
      <w:r>
        <w:tab/>
        <w:t xml:space="preserve">Productivity Commission, </w:t>
      </w:r>
      <w:r w:rsidRPr="00365FE3">
        <w:rPr>
          <w:i/>
          <w:iCs/>
        </w:rPr>
        <w:t>Collection Models for GST on Low Value Imported Goods</w:t>
      </w:r>
      <w:r>
        <w:t>, Discussion Paper (July 2017), 16.</w:t>
      </w:r>
    </w:p>
  </w:footnote>
  <w:footnote w:id="2">
    <w:p w14:paraId="6588BB2D" w14:textId="3782BF20" w:rsidR="00CC4A2C" w:rsidRDefault="00CC4A2C" w:rsidP="00370E7F">
      <w:pPr>
        <w:pStyle w:val="FootnoteText"/>
      </w:pPr>
      <w:r>
        <w:rPr>
          <w:rStyle w:val="FootnoteReference"/>
        </w:rPr>
        <w:footnoteRef/>
      </w:r>
      <w:r>
        <w:t xml:space="preserve"> </w:t>
      </w:r>
      <w:r>
        <w:tab/>
        <w:t>Ibid. 17-18.</w:t>
      </w:r>
    </w:p>
  </w:footnote>
  <w:footnote w:id="3">
    <w:p w14:paraId="47447BB1" w14:textId="77777777" w:rsidR="00EC3AF7" w:rsidRDefault="00EC3AF7" w:rsidP="00370E7F">
      <w:pPr>
        <w:pStyle w:val="FootnoteText"/>
      </w:pPr>
      <w:r>
        <w:rPr>
          <w:rStyle w:val="FootnoteReference"/>
        </w:rPr>
        <w:footnoteRef/>
      </w:r>
      <w:r>
        <w:t xml:space="preserve"> </w:t>
      </w:r>
      <w:r>
        <w:tab/>
        <w:t xml:space="preserve">OECD, </w:t>
      </w:r>
      <w:r w:rsidRPr="00EE46C0">
        <w:rPr>
          <w:i/>
          <w:iCs/>
        </w:rPr>
        <w:t>Consumption Tax Trends 2016: VAT/GST and Excise Rates, Trends and Administration Issues</w:t>
      </w:r>
      <w:r>
        <w:t xml:space="preserve"> (OECD Publishing, 2016</w:t>
      </w:r>
      <w:r w:rsidRPr="00134C6E">
        <w:t>)</w:t>
      </w:r>
      <w:r>
        <w:t xml:space="preserve">, 48, Table 1.A1.10. </w:t>
      </w:r>
    </w:p>
  </w:footnote>
  <w:footnote w:id="4">
    <w:p w14:paraId="11FDE9AE" w14:textId="77777777" w:rsidR="004139FF" w:rsidRDefault="004139FF" w:rsidP="004139FF">
      <w:pPr>
        <w:pStyle w:val="FootnoteText"/>
      </w:pPr>
      <w:r>
        <w:rPr>
          <w:rStyle w:val="FootnoteReference"/>
        </w:rPr>
        <w:footnoteRef/>
      </w:r>
      <w:r>
        <w:t xml:space="preserve"> </w:t>
      </w:r>
      <w:r>
        <w:tab/>
        <w:t xml:space="preserve">See eg OECD/G20 Base Erosion and Profit Shifting Project, </w:t>
      </w:r>
      <w:r w:rsidRPr="005B2FAE">
        <w:rPr>
          <w:i/>
          <w:iCs/>
        </w:rPr>
        <w:t>BEPS Action 1: Addressing the Tax Challenges of the Digital Economy, 2015 Final Report</w:t>
      </w:r>
      <w:r>
        <w:t xml:space="preserve"> (OECD, 2015), Annex C, 182, 184.</w:t>
      </w:r>
    </w:p>
  </w:footnote>
  <w:footnote w:id="5">
    <w:p w14:paraId="288768E5" w14:textId="5AD62E55" w:rsidR="00FE2C0C" w:rsidRDefault="00FE2C0C" w:rsidP="00370E7F">
      <w:pPr>
        <w:pStyle w:val="FootnoteText"/>
      </w:pPr>
      <w:r>
        <w:rPr>
          <w:rStyle w:val="FootnoteReference"/>
        </w:rPr>
        <w:footnoteRef/>
      </w:r>
      <w:r>
        <w:t xml:space="preserve"> </w:t>
      </w:r>
      <w:r>
        <w:tab/>
        <w:t xml:space="preserve">Productivity Commission, </w:t>
      </w:r>
      <w:r w:rsidRPr="00365FE3">
        <w:rPr>
          <w:i/>
          <w:iCs/>
        </w:rPr>
        <w:t>Collection Models for GST on Low Value Imported Goods</w:t>
      </w:r>
      <w:r>
        <w:t>, Discussion Paper (July 2017), 16.</w:t>
      </w:r>
    </w:p>
  </w:footnote>
  <w:footnote w:id="6">
    <w:p w14:paraId="5604B02A" w14:textId="299958E2" w:rsidR="00EC3AF7" w:rsidRPr="001B5BD8" w:rsidRDefault="00EC3AF7" w:rsidP="00370E7F">
      <w:pPr>
        <w:pStyle w:val="FootnoteText"/>
      </w:pPr>
      <w:r>
        <w:rPr>
          <w:rStyle w:val="FootnoteReference"/>
        </w:rPr>
        <w:footnoteRef/>
      </w:r>
      <w:r>
        <w:t xml:space="preserve"> </w:t>
      </w:r>
      <w:r>
        <w:tab/>
      </w:r>
      <w:r w:rsidRPr="001B5BD8">
        <w:t>Treasury Laws Amendment (GST Low Value Goods) Bill 2017</w:t>
      </w:r>
      <w:r>
        <w:t xml:space="preserve"> (‘GST Low Value Goods Bill 2017’), Schedule 1, Items 1 and 38, s9-25(3A) and s84-75(1)</w:t>
      </w:r>
      <w:r w:rsidR="008960E0">
        <w:t>. Although this Bill has become law</w:t>
      </w:r>
      <w:r w:rsidR="00510469">
        <w:t xml:space="preserve"> (primarily sub-div 84-C of </w:t>
      </w:r>
      <w:r w:rsidR="00965325">
        <w:t xml:space="preserve">the </w:t>
      </w:r>
      <w:r w:rsidR="00510469" w:rsidRPr="00965325">
        <w:rPr>
          <w:i/>
          <w:iCs/>
        </w:rPr>
        <w:t>A New Tax System (Goods and Services Tax) Act 1999</w:t>
      </w:r>
      <w:r w:rsidR="00510469">
        <w:t xml:space="preserve"> (Cth))</w:t>
      </w:r>
      <w:r w:rsidR="008960E0">
        <w:t xml:space="preserve"> references are to the Bill</w:t>
      </w:r>
      <w:r w:rsidR="00510469">
        <w:t xml:space="preserve"> as this contains the entirety of the provisions legislated</w:t>
      </w:r>
      <w:r w:rsidR="008960E0">
        <w:t>.</w:t>
      </w:r>
      <w:r>
        <w:t xml:space="preserve"> </w:t>
      </w:r>
      <w:r w:rsidR="003F6BC4" w:rsidRPr="002C06AA">
        <w:t>Explanatory Memorandum, Treasury Laws Amendment (GST Low Value Goods) Bill 2017</w:t>
      </w:r>
      <w:r w:rsidR="003F6BC4">
        <w:t xml:space="preserve"> (Cth)</w:t>
      </w:r>
      <w:r w:rsidR="003F6BC4" w:rsidRPr="002C06AA">
        <w:t xml:space="preserve"> (‘</w:t>
      </w:r>
      <w:r w:rsidR="003F6BC4">
        <w:t>Low Value Goods</w:t>
      </w:r>
      <w:r w:rsidR="003F6BC4" w:rsidRPr="002C06AA">
        <w:t xml:space="preserve"> EM’)</w:t>
      </w:r>
      <w:r w:rsidR="003F6BC4">
        <w:t xml:space="preserve">, </w:t>
      </w:r>
      <w:r>
        <w:t>1.21.</w:t>
      </w:r>
    </w:p>
  </w:footnote>
  <w:footnote w:id="7">
    <w:p w14:paraId="7D3CCE47" w14:textId="287365DD" w:rsidR="00EC3AF7" w:rsidRDefault="00EC3AF7" w:rsidP="00370E7F">
      <w:pPr>
        <w:pStyle w:val="FootnoteText"/>
      </w:pPr>
      <w:r>
        <w:rPr>
          <w:rStyle w:val="FootnoteReference"/>
        </w:rPr>
        <w:footnoteRef/>
      </w:r>
      <w:r>
        <w:t xml:space="preserve"> </w:t>
      </w:r>
      <w:r>
        <w:tab/>
      </w:r>
      <w:r w:rsidRPr="005A3211">
        <w:rPr>
          <w:i/>
          <w:iCs/>
        </w:rPr>
        <w:t>A New Tax System (Goods and Services Tax) Act 1999</w:t>
      </w:r>
      <w:r>
        <w:t xml:space="preserve"> (Cth)</w:t>
      </w:r>
      <w:r w:rsidR="00847B30">
        <w:t>(‘ANTS Act 1999’)</w:t>
      </w:r>
      <w:r>
        <w:t>, sub-div 84-B.</w:t>
      </w:r>
    </w:p>
  </w:footnote>
  <w:footnote w:id="8">
    <w:p w14:paraId="76905FCC" w14:textId="25513030" w:rsidR="00C33337" w:rsidRDefault="00C33337" w:rsidP="00370E7F">
      <w:pPr>
        <w:pStyle w:val="FootnoteText"/>
      </w:pPr>
      <w:r>
        <w:rPr>
          <w:rStyle w:val="FootnoteReference"/>
        </w:rPr>
        <w:footnoteRef/>
      </w:r>
      <w:r>
        <w:t xml:space="preserve"> </w:t>
      </w:r>
      <w:r>
        <w:tab/>
        <w:t>GST Low Value Goods B</w:t>
      </w:r>
      <w:r w:rsidR="00770AF7">
        <w:t>ill 2017</w:t>
      </w:r>
      <w:r>
        <w:t>, Schedule 1, Item 38, s84-77, s84-81.</w:t>
      </w:r>
    </w:p>
  </w:footnote>
  <w:footnote w:id="9">
    <w:p w14:paraId="0EE311E6" w14:textId="77777777" w:rsidR="00EC3AF7" w:rsidRDefault="00EC3AF7" w:rsidP="00370E7F">
      <w:pPr>
        <w:pStyle w:val="FootnoteText"/>
      </w:pPr>
      <w:r>
        <w:rPr>
          <w:rStyle w:val="FootnoteReference"/>
        </w:rPr>
        <w:footnoteRef/>
      </w:r>
      <w:r>
        <w:t xml:space="preserve"> </w:t>
      </w:r>
      <w:r>
        <w:tab/>
        <w:t>Low Value Goods EM, Examples 1.10 – 1.12.</w:t>
      </w:r>
    </w:p>
  </w:footnote>
  <w:footnote w:id="10">
    <w:p w14:paraId="38326D50" w14:textId="77777777" w:rsidR="00EC3AF7" w:rsidRDefault="00EC3AF7" w:rsidP="00370E7F">
      <w:pPr>
        <w:pStyle w:val="FootnoteText"/>
      </w:pPr>
      <w:r>
        <w:rPr>
          <w:rStyle w:val="FootnoteReference"/>
        </w:rPr>
        <w:footnoteRef/>
      </w:r>
      <w:r>
        <w:t xml:space="preserve"> </w:t>
      </w:r>
      <w:r>
        <w:tab/>
      </w:r>
      <w:r w:rsidRPr="0011753C">
        <w:rPr>
          <w:i/>
          <w:iCs/>
        </w:rPr>
        <w:t>Customs Act 1901</w:t>
      </w:r>
      <w:r>
        <w:t xml:space="preserve"> (Cth), s159; Low Value Goods EM, 1.42.</w:t>
      </w:r>
    </w:p>
  </w:footnote>
  <w:footnote w:id="11">
    <w:p w14:paraId="019857DB" w14:textId="77777777" w:rsidR="00EC3AF7" w:rsidRDefault="00EC3AF7" w:rsidP="00370E7F">
      <w:pPr>
        <w:pStyle w:val="FootnoteText"/>
      </w:pPr>
      <w:r>
        <w:rPr>
          <w:rStyle w:val="FootnoteReference"/>
        </w:rPr>
        <w:footnoteRef/>
      </w:r>
      <w:r>
        <w:t xml:space="preserve"> </w:t>
      </w:r>
      <w:r>
        <w:tab/>
        <w:t>GST Low Value Goods Bill 2017, Schedule 1, Item 38, Section 84-79(4); Low Value Goods EM, 1.43.</w:t>
      </w:r>
    </w:p>
  </w:footnote>
  <w:footnote w:id="12">
    <w:p w14:paraId="4C6F0C1A" w14:textId="09AB07F3" w:rsidR="00EC3AF7" w:rsidRDefault="00EC3AF7" w:rsidP="00230584">
      <w:pPr>
        <w:pStyle w:val="FootnoteText"/>
      </w:pPr>
      <w:r>
        <w:rPr>
          <w:rStyle w:val="FootnoteReference"/>
        </w:rPr>
        <w:footnoteRef/>
      </w:r>
      <w:r>
        <w:t xml:space="preserve"> </w:t>
      </w:r>
      <w:r>
        <w:tab/>
      </w:r>
      <w:r w:rsidR="006040A8">
        <w:t xml:space="preserve">Suppliers need to make a number of assumptions about how the value of the goods would be calculated by Australian </w:t>
      </w:r>
      <w:r w:rsidR="00230584">
        <w:t>C</w:t>
      </w:r>
      <w:r w:rsidR="006040A8">
        <w:t xml:space="preserve">ustoms if it was an importation of goods from the supplier’s jurisdiction to Australia including assumptions about how the Collector of Customs might exercise a discretion (in a reasonable manner in accordance with the law) and choose from one of at least three specified ways  to convert values expressed in non-Australian currency to Australian currency: </w:t>
      </w:r>
      <w:r>
        <w:t>GST Low Value Goods Bill 2017, s84-79(4)(d)</w:t>
      </w:r>
      <w:r w:rsidR="006040A8">
        <w:t>(e)&amp;(5)</w:t>
      </w:r>
      <w:r>
        <w:t>.</w:t>
      </w:r>
    </w:p>
  </w:footnote>
  <w:footnote w:id="13">
    <w:p w14:paraId="138C94BC" w14:textId="4ACE0CE3" w:rsidR="005A0939" w:rsidRDefault="005A0939" w:rsidP="00370E7F">
      <w:pPr>
        <w:pStyle w:val="FootnoteText"/>
      </w:pPr>
      <w:r>
        <w:rPr>
          <w:rStyle w:val="FootnoteReference"/>
        </w:rPr>
        <w:footnoteRef/>
      </w:r>
      <w:r>
        <w:t xml:space="preserve"> </w:t>
      </w:r>
      <w:r>
        <w:tab/>
        <w:t>Low Value Goods EM, 1.47.</w:t>
      </w:r>
    </w:p>
  </w:footnote>
  <w:footnote w:id="14">
    <w:p w14:paraId="1F86962B" w14:textId="4EBB3A09" w:rsidR="00EC3AF7" w:rsidRDefault="00EC3AF7" w:rsidP="00370E7F">
      <w:pPr>
        <w:pStyle w:val="FootnoteText"/>
      </w:pPr>
      <w:r>
        <w:rPr>
          <w:rStyle w:val="FootnoteReference"/>
        </w:rPr>
        <w:footnoteRef/>
      </w:r>
      <w:r>
        <w:t xml:space="preserve"> </w:t>
      </w:r>
      <w:r>
        <w:tab/>
        <w:t xml:space="preserve">GST Low Value Goods Bill 2017, Schedule 1, Item 38, s84-79(2)&amp;(3). </w:t>
      </w:r>
    </w:p>
  </w:footnote>
  <w:footnote w:id="15">
    <w:p w14:paraId="093BA340" w14:textId="77777777" w:rsidR="00EC3AF7" w:rsidRDefault="00EC3AF7" w:rsidP="00370E7F">
      <w:pPr>
        <w:pStyle w:val="FootnoteText"/>
      </w:pPr>
      <w:r>
        <w:rPr>
          <w:rStyle w:val="FootnoteReference"/>
        </w:rPr>
        <w:footnoteRef/>
      </w:r>
      <w:r>
        <w:t xml:space="preserve"> </w:t>
      </w:r>
      <w:r>
        <w:tab/>
        <w:t>Low Value Goods EM, 1.76.</w:t>
      </w:r>
    </w:p>
  </w:footnote>
  <w:footnote w:id="16">
    <w:p w14:paraId="4FF2877F" w14:textId="1127BF08" w:rsidR="00EC3AF7" w:rsidRDefault="00EC3AF7" w:rsidP="00161E82">
      <w:pPr>
        <w:pStyle w:val="FootnoteText"/>
      </w:pPr>
      <w:r>
        <w:rPr>
          <w:rStyle w:val="FootnoteReference"/>
        </w:rPr>
        <w:footnoteRef/>
      </w:r>
      <w:r>
        <w:t xml:space="preserve"> </w:t>
      </w:r>
      <w:r>
        <w:tab/>
        <w:t>Low Value Goods EM, 1.76.</w:t>
      </w:r>
      <w:r w:rsidR="00161E82">
        <w:t xml:space="preserve"> This could also occur if </w:t>
      </w:r>
      <w:r w:rsidR="00161E82" w:rsidRPr="00105133">
        <w:t xml:space="preserve">the customs value </w:t>
      </w:r>
      <w:r w:rsidR="00161E82">
        <w:t xml:space="preserve">of the goods </w:t>
      </w:r>
      <w:r w:rsidR="00161E82" w:rsidRPr="00105133">
        <w:t>was under the $1000</w:t>
      </w:r>
      <w:r w:rsidR="00161E82">
        <w:t xml:space="preserve"> customs value</w:t>
      </w:r>
      <w:r w:rsidR="00161E82" w:rsidRPr="00105133">
        <w:t xml:space="preserve"> threshold at the time </w:t>
      </w:r>
      <w:r w:rsidR="00477725">
        <w:t xml:space="preserve">the </w:t>
      </w:r>
      <w:r w:rsidR="00161E82" w:rsidRPr="00105133">
        <w:t xml:space="preserve">consideration for supply </w:t>
      </w:r>
      <w:r w:rsidR="00161E82">
        <w:t xml:space="preserve">was </w:t>
      </w:r>
      <w:r w:rsidR="00161E82" w:rsidRPr="00105133">
        <w:t xml:space="preserve">agreed </w:t>
      </w:r>
      <w:r w:rsidR="00161E82">
        <w:t>up</w:t>
      </w:r>
      <w:r w:rsidR="00161E82" w:rsidRPr="00105133">
        <w:t>on but over the t</w:t>
      </w:r>
      <w:r w:rsidR="00161E82">
        <w:t>hreshol</w:t>
      </w:r>
      <w:r w:rsidR="00161E82" w:rsidRPr="00105133">
        <w:t>d at the time of importation</w:t>
      </w:r>
      <w:r w:rsidR="00161E82">
        <w:t xml:space="preserve"> due to, for example, exchange rate fluctuations: GST Low Value Goods Bill 2017, s84-85; Low Value Goods EM, Example 1.11.</w:t>
      </w:r>
    </w:p>
  </w:footnote>
  <w:footnote w:id="17">
    <w:p w14:paraId="17DAECBA" w14:textId="6A6F24C3" w:rsidR="00EC3AF7" w:rsidRDefault="00EC3AF7" w:rsidP="00370E7F">
      <w:pPr>
        <w:pStyle w:val="FootnoteText"/>
      </w:pPr>
      <w:r>
        <w:rPr>
          <w:rStyle w:val="FootnoteReference"/>
        </w:rPr>
        <w:footnoteRef/>
      </w:r>
      <w:r>
        <w:t xml:space="preserve"> </w:t>
      </w:r>
      <w:r>
        <w:tab/>
        <w:t>Passed on is a defined term</w:t>
      </w:r>
      <w:r w:rsidR="00193821">
        <w:t xml:space="preserve">: ANTS Act 1999, s142-25, </w:t>
      </w:r>
      <w:r>
        <w:t xml:space="preserve">s195-1. </w:t>
      </w:r>
    </w:p>
  </w:footnote>
  <w:footnote w:id="18">
    <w:p w14:paraId="44B84E39" w14:textId="77777777" w:rsidR="00EC3AF7" w:rsidRDefault="00EC3AF7" w:rsidP="00370E7F">
      <w:pPr>
        <w:pStyle w:val="FootnoteText"/>
      </w:pPr>
      <w:r>
        <w:rPr>
          <w:rStyle w:val="FootnoteReference"/>
        </w:rPr>
        <w:footnoteRef/>
      </w:r>
      <w:r>
        <w:t xml:space="preserve"> </w:t>
      </w:r>
      <w:r>
        <w:tab/>
        <w:t>GST Low Value Goods Bill 2017, s84-85(2).</w:t>
      </w:r>
    </w:p>
  </w:footnote>
  <w:footnote w:id="19">
    <w:p w14:paraId="21372A2E" w14:textId="77777777" w:rsidR="00EC3AF7" w:rsidRDefault="00EC3AF7" w:rsidP="00370E7F">
      <w:pPr>
        <w:pStyle w:val="FootnoteText"/>
      </w:pPr>
      <w:r>
        <w:rPr>
          <w:rStyle w:val="FootnoteReference"/>
        </w:rPr>
        <w:footnoteRef/>
      </w:r>
      <w:r>
        <w:t xml:space="preserve"> </w:t>
      </w:r>
      <w:r>
        <w:tab/>
        <w:t xml:space="preserve">GST Low Value Goods Bill 2017, Schedule 1, Item 19, s42-15(2). The EM states that: ‘It is expected that the information required will include the ABN or vendor registration number of the supplier and that this reporting will be combined with the other existing reporting on the entry of the goods for customs purposes’ – for example the obligations on suppliers to include relevant information in customs documents: GST Low Value Goods Bill 2017, Schedule 1, Item 38, s84-93: Low Value Goods EM, 1.80. </w:t>
      </w:r>
    </w:p>
  </w:footnote>
  <w:footnote w:id="20">
    <w:p w14:paraId="5C59E6EC" w14:textId="58114404" w:rsidR="00EC3AF7" w:rsidRDefault="00EC3AF7" w:rsidP="00477725">
      <w:pPr>
        <w:pStyle w:val="FootnoteText"/>
      </w:pPr>
      <w:r>
        <w:rPr>
          <w:rStyle w:val="FootnoteReference"/>
        </w:rPr>
        <w:footnoteRef/>
      </w:r>
      <w:r>
        <w:t xml:space="preserve"> </w:t>
      </w:r>
      <w:r>
        <w:tab/>
        <w:t xml:space="preserve">Low Value Goods EM 1.81. </w:t>
      </w:r>
    </w:p>
  </w:footnote>
  <w:footnote w:id="21">
    <w:p w14:paraId="2DE74B42" w14:textId="4504DB47" w:rsidR="00EC3AF7" w:rsidRDefault="00EC3AF7" w:rsidP="00370E7F">
      <w:pPr>
        <w:pStyle w:val="FootnoteText"/>
      </w:pPr>
      <w:r>
        <w:rPr>
          <w:rStyle w:val="FootnoteReference"/>
        </w:rPr>
        <w:footnoteRef/>
      </w:r>
      <w:r>
        <w:t xml:space="preserve"> </w:t>
      </w:r>
      <w:r>
        <w:tab/>
      </w:r>
      <w:r w:rsidR="00D75F8E">
        <w:t>OECD/G20 Base Erosion and Profit Shifting Project,</w:t>
      </w:r>
      <w:r w:rsidR="00D75F8E" w:rsidRPr="008E3537">
        <w:rPr>
          <w:i/>
          <w:iCs/>
        </w:rPr>
        <w:t xml:space="preserve"> BEPS Action 1: Addressing the Tax Challenges of the Digital Economy, 2015 Final Report</w:t>
      </w:r>
      <w:r w:rsidR="00D75F8E">
        <w:t xml:space="preserve"> (OECD, 2015), Annex C, </w:t>
      </w:r>
      <w:r>
        <w:t>20</w:t>
      </w:r>
      <w:r w:rsidR="00D75F8E">
        <w:t>1</w:t>
      </w:r>
      <w:r>
        <w:t>.</w:t>
      </w:r>
    </w:p>
  </w:footnote>
  <w:footnote w:id="22">
    <w:p w14:paraId="42EBC463" w14:textId="287EAC54" w:rsidR="001C598E" w:rsidRDefault="001C598E" w:rsidP="00370E7F">
      <w:pPr>
        <w:pStyle w:val="FootnoteText"/>
      </w:pPr>
      <w:r>
        <w:rPr>
          <w:rStyle w:val="FootnoteReference"/>
        </w:rPr>
        <w:footnoteRef/>
      </w:r>
      <w:r>
        <w:t xml:space="preserve"> </w:t>
      </w:r>
      <w:r>
        <w:tab/>
        <w:t>See eg GST Low Value Goods Bill 2017, Schedule 1, Item 42 and Item 49, Div 146.</w:t>
      </w:r>
    </w:p>
  </w:footnote>
  <w:footnote w:id="23">
    <w:p w14:paraId="07FF2AD0" w14:textId="228E931F" w:rsidR="00EC3AF7" w:rsidRDefault="00EC3AF7" w:rsidP="00370E7F">
      <w:pPr>
        <w:pStyle w:val="FootnoteText"/>
      </w:pPr>
      <w:r>
        <w:rPr>
          <w:rStyle w:val="FootnoteReference"/>
        </w:rPr>
        <w:footnoteRef/>
      </w:r>
      <w:r>
        <w:t xml:space="preserve"> </w:t>
      </w:r>
      <w:r>
        <w:tab/>
      </w:r>
      <w:r w:rsidR="00805B45">
        <w:t xml:space="preserve">Commonwealth of Australia Treasury, </w:t>
      </w:r>
      <w:r w:rsidR="00805B45" w:rsidRPr="003C0CF9">
        <w:rPr>
          <w:i/>
          <w:iCs/>
        </w:rPr>
        <w:t>The Low Value Parcel Processing Taskforce Final Report</w:t>
      </w:r>
      <w:r w:rsidR="00805B45">
        <w:t xml:space="preserve"> (Commonwealth of Australia Treasury, Canberra, 2012), 14</w:t>
      </w:r>
      <w:r>
        <w:t>.</w:t>
      </w:r>
    </w:p>
  </w:footnote>
  <w:footnote w:id="24">
    <w:p w14:paraId="1A1EE5B7" w14:textId="7A4C665F" w:rsidR="00D4638A" w:rsidRDefault="00D4638A" w:rsidP="004346A4">
      <w:pPr>
        <w:pStyle w:val="FootnoteText"/>
      </w:pPr>
      <w:r>
        <w:rPr>
          <w:rStyle w:val="FootnoteReference"/>
        </w:rPr>
        <w:footnoteRef/>
      </w:r>
      <w:r>
        <w:t xml:space="preserve"> </w:t>
      </w:r>
      <w:r>
        <w:tab/>
        <w:t xml:space="preserve">Productivity Commission, </w:t>
      </w:r>
      <w:r w:rsidR="004346A4">
        <w:t>‘</w:t>
      </w:r>
      <w:r w:rsidRPr="00D4638A">
        <w:t xml:space="preserve">Inquiry into collection models for </w:t>
      </w:r>
      <w:r w:rsidR="004346A4">
        <w:t>GST</w:t>
      </w:r>
      <w:r>
        <w:t xml:space="preserve"> on low value imported goods - Transcript of Proceedings</w:t>
      </w:r>
      <w:r w:rsidR="004346A4">
        <w:t>’</w:t>
      </w:r>
      <w:r>
        <w:t xml:space="preserve">, 22 August 2017, </w:t>
      </w:r>
      <w:r w:rsidR="00561CF8">
        <w:t xml:space="preserve">p </w:t>
      </w:r>
      <w:r>
        <w:t>3.</w:t>
      </w:r>
    </w:p>
  </w:footnote>
  <w:footnote w:id="25">
    <w:p w14:paraId="3216DB99" w14:textId="7BAF3473" w:rsidR="00E3158F" w:rsidRPr="00F02EC8" w:rsidRDefault="00E3158F" w:rsidP="000D1B9D">
      <w:pPr>
        <w:pStyle w:val="FootnoteText"/>
      </w:pPr>
      <w:r w:rsidRPr="00F02EC8">
        <w:rPr>
          <w:rStyle w:val="FootnoteReference"/>
          <w:vertAlign w:val="baseline"/>
        </w:rPr>
        <w:footnoteRef/>
      </w:r>
      <w:r>
        <w:t xml:space="preserve"> </w:t>
      </w:r>
      <w:r>
        <w:tab/>
      </w:r>
      <w:r w:rsidR="00675D43">
        <w:t>Path dependence describes the effect that</w:t>
      </w:r>
      <w:r w:rsidR="00675D43" w:rsidRPr="007C718C">
        <w:t xml:space="preserve"> earlier decisions, even seemingly inconsequential ones, </w:t>
      </w:r>
      <w:r w:rsidR="00675D43">
        <w:t>have</w:t>
      </w:r>
      <w:r w:rsidR="00675D43" w:rsidRPr="007C718C">
        <w:t xml:space="preserve"> on the perception of policy issues and </w:t>
      </w:r>
      <w:r w:rsidR="00675D43">
        <w:t xml:space="preserve">the range of </w:t>
      </w:r>
      <w:r w:rsidR="00675D43" w:rsidRPr="007C718C">
        <w:t xml:space="preserve">options </w:t>
      </w:r>
      <w:r w:rsidR="00675D43">
        <w:t xml:space="preserve">available </w:t>
      </w:r>
      <w:r w:rsidR="00675D43" w:rsidRPr="007C718C">
        <w:t>at a later stage</w:t>
      </w:r>
      <w:r w:rsidR="00675D43">
        <w:t xml:space="preserve"> whereby notions of </w:t>
      </w:r>
      <w:r w:rsidR="00675D43" w:rsidRPr="0092662D">
        <w:rPr>
          <w:i/>
        </w:rPr>
        <w:t>increasing returns</w:t>
      </w:r>
      <w:r w:rsidR="00675D43">
        <w:t xml:space="preserve"> or </w:t>
      </w:r>
      <w:r w:rsidR="00675D43" w:rsidRPr="0092662D">
        <w:rPr>
          <w:i/>
        </w:rPr>
        <w:t>positive feedback</w:t>
      </w:r>
      <w:r w:rsidR="00675D43">
        <w:t xml:space="preserve"> </w:t>
      </w:r>
      <w:r w:rsidR="00675D43" w:rsidRPr="00387DE5">
        <w:rPr>
          <w:i/>
        </w:rPr>
        <w:t>mechanisms</w:t>
      </w:r>
      <w:r w:rsidR="00675D43" w:rsidRPr="007C718C">
        <w:t xml:space="preserve"> </w:t>
      </w:r>
      <w:r w:rsidR="00675D43">
        <w:t>suggest</w:t>
      </w:r>
      <w:r w:rsidR="00675D43" w:rsidRPr="007C718C">
        <w:t xml:space="preserve"> that </w:t>
      </w:r>
      <w:r w:rsidR="00675D43">
        <w:t>the cost</w:t>
      </w:r>
      <w:r w:rsidR="000D1B9D">
        <w:t>s of exit</w:t>
      </w:r>
      <w:r w:rsidR="00675D43" w:rsidRPr="007C718C">
        <w:t xml:space="preserve"> increase</w:t>
      </w:r>
      <w:r w:rsidR="000D1B9D">
        <w:t>:</w:t>
      </w:r>
      <w:r w:rsidR="00675D43">
        <w:t xml:space="preserve"> </w:t>
      </w:r>
      <w:r w:rsidRPr="00F02EC8">
        <w:rPr>
          <w:noProof/>
        </w:rPr>
        <w:t xml:space="preserve">Paul Pierson, 'Increasing Returns, Path Dependence, and the Study of Politics' (2000) 94(2) </w:t>
      </w:r>
      <w:r w:rsidRPr="00F02EC8">
        <w:rPr>
          <w:i/>
          <w:noProof/>
        </w:rPr>
        <w:t>American Political Science Review</w:t>
      </w:r>
      <w:r>
        <w:rPr>
          <w:noProof/>
        </w:rPr>
        <w:t xml:space="preserve"> 251</w:t>
      </w:r>
      <w:r w:rsidRPr="00F02EC8">
        <w:t xml:space="preserve">, 252. </w:t>
      </w:r>
    </w:p>
  </w:footnote>
  <w:footnote w:id="26">
    <w:p w14:paraId="56CECA3B" w14:textId="77777777" w:rsidR="00AB4C4A" w:rsidRPr="007E2959" w:rsidRDefault="00AB4C4A" w:rsidP="00370E7F">
      <w:pPr>
        <w:pStyle w:val="FootnoteText"/>
      </w:pPr>
      <w:r w:rsidRPr="007E2959">
        <w:rPr>
          <w:rStyle w:val="FootnoteReference"/>
        </w:rPr>
        <w:footnoteRef/>
      </w:r>
      <w:r w:rsidRPr="007E2959">
        <w:t xml:space="preserve"> </w:t>
      </w:r>
      <w:r w:rsidRPr="007E2959">
        <w:tab/>
      </w:r>
      <w:r w:rsidRPr="007E2959">
        <w:rPr>
          <w:noProof/>
        </w:rPr>
        <w:t>Comm</w:t>
      </w:r>
      <w:r>
        <w:rPr>
          <w:noProof/>
        </w:rPr>
        <w:t>onwealth of Australia Treasury</w:t>
      </w:r>
      <w:r w:rsidRPr="007E2959">
        <w:rPr>
          <w:noProof/>
        </w:rPr>
        <w:t xml:space="preserve">, </w:t>
      </w:r>
      <w:r w:rsidRPr="007E2959">
        <w:rPr>
          <w:i/>
          <w:noProof/>
        </w:rPr>
        <w:t>Review of the GST Financial Supply Provisions - Consultation Paper</w:t>
      </w:r>
      <w:r w:rsidRPr="007E2959">
        <w:rPr>
          <w:noProof/>
        </w:rPr>
        <w:t xml:space="preserve"> (Australian Government, Canberra, 2009)</w:t>
      </w:r>
      <w:r w:rsidRPr="007E2959">
        <w:t xml:space="preserve"> 10-14.</w:t>
      </w:r>
    </w:p>
  </w:footnote>
  <w:footnote w:id="27">
    <w:p w14:paraId="56312B8C" w14:textId="77777777" w:rsidR="00AB4C4A" w:rsidRPr="007E2959" w:rsidRDefault="00AB4C4A" w:rsidP="00370E7F">
      <w:pPr>
        <w:pStyle w:val="FootnoteText"/>
      </w:pPr>
      <w:r w:rsidRPr="007E2959">
        <w:rPr>
          <w:rStyle w:val="FootnoteReference"/>
        </w:rPr>
        <w:footnoteRef/>
      </w:r>
      <w:r w:rsidRPr="007E2959">
        <w:t xml:space="preserve"> </w:t>
      </w:r>
      <w:r w:rsidRPr="007E2959">
        <w:tab/>
      </w:r>
      <w:r w:rsidRPr="007E2959">
        <w:rPr>
          <w:noProof/>
        </w:rPr>
        <w:t>Comm</w:t>
      </w:r>
      <w:r>
        <w:rPr>
          <w:noProof/>
        </w:rPr>
        <w:t xml:space="preserve">onwealth of Australia Treasury, </w:t>
      </w:r>
      <w:r w:rsidRPr="0058294A">
        <w:rPr>
          <w:i/>
          <w:iCs/>
          <w:noProof/>
        </w:rPr>
        <w:t>Submissions to Review of the GST financial supply provisions by the Commonwealth of Australia Treasury</w:t>
      </w:r>
      <w:r>
        <w:rPr>
          <w:noProof/>
        </w:rPr>
        <w:t xml:space="preserve">, (21 August 2009) </w:t>
      </w:r>
      <w:r w:rsidRPr="007E2959">
        <w:rPr>
          <w:noProof/>
        </w:rPr>
        <w:t xml:space="preserve"> &lt;</w:t>
      </w:r>
      <w:r w:rsidRPr="002A657E">
        <w:rPr>
          <w:noProof/>
        </w:rPr>
        <w:t>http://archive.treasury.gov.au/contentitem.asp?ContentID=1603&amp;NavID=</w:t>
      </w:r>
      <w:r w:rsidRPr="002A657E" w:rsidDel="002A657E">
        <w:rPr>
          <w:noProof/>
        </w:rPr>
        <w:t xml:space="preserve"> </w:t>
      </w:r>
      <w:r>
        <w:rPr>
          <w:noProof/>
        </w:rPr>
        <w:t>&gt;</w:t>
      </w:r>
      <w:r w:rsidRPr="007E2959">
        <w:t xml:space="preserve">. </w:t>
      </w:r>
    </w:p>
  </w:footnote>
  <w:footnote w:id="28">
    <w:p w14:paraId="37608C33" w14:textId="7E3C39CF" w:rsidR="00AB4C4A" w:rsidRPr="007E2959" w:rsidRDefault="00AB4C4A" w:rsidP="00370E7F">
      <w:pPr>
        <w:pStyle w:val="FootnoteText"/>
        <w:rPr>
          <w:lang w:val="en-US"/>
        </w:rPr>
      </w:pPr>
      <w:r w:rsidRPr="007E2959">
        <w:rPr>
          <w:rStyle w:val="FootnoteReference"/>
        </w:rPr>
        <w:footnoteRef/>
      </w:r>
      <w:r w:rsidRPr="007E2959">
        <w:t xml:space="preserve"> </w:t>
      </w:r>
      <w:r w:rsidRPr="007E2959">
        <w:tab/>
      </w:r>
      <w:r w:rsidRPr="007E2959">
        <w:rPr>
          <w:noProof/>
        </w:rPr>
        <w:t>Com</w:t>
      </w:r>
      <w:r>
        <w:rPr>
          <w:noProof/>
        </w:rPr>
        <w:t>monwealth of Australia Treasury</w:t>
      </w:r>
      <w:r w:rsidRPr="007E2959">
        <w:rPr>
          <w:noProof/>
        </w:rPr>
        <w:t xml:space="preserve">, </w:t>
      </w:r>
      <w:r w:rsidRPr="00017F35">
        <w:rPr>
          <w:i/>
          <w:iCs/>
          <w:noProof/>
        </w:rPr>
        <w:t>Implementation of the recommendations of Treasury's review of the GST financial supply provisions</w:t>
      </w:r>
      <w:r w:rsidRPr="007E2959">
        <w:rPr>
          <w:noProof/>
        </w:rPr>
        <w:t xml:space="preserve"> (Australian Government, Canberra, 2010)</w:t>
      </w:r>
      <w:r w:rsidRPr="007E2959">
        <w:t xml:space="preserve"> viii; </w:t>
      </w:r>
      <w:r w:rsidRPr="000F4855">
        <w:t>A New Tax System (Goods and Services Tax) Amendment Regulation 2012 (No 1)</w:t>
      </w:r>
      <w:r w:rsidRPr="0048487D">
        <w:t xml:space="preserve"> (Cth)</w:t>
      </w:r>
      <w:r>
        <w:t>;</w:t>
      </w:r>
      <w:r w:rsidRPr="0048487D">
        <w:t xml:space="preserve"> Tax Laws Amendment Act (2011 Measures No 9) Act 2012 (Cth)</w:t>
      </w:r>
      <w:r>
        <w:t>.</w:t>
      </w:r>
    </w:p>
  </w:footnote>
  <w:footnote w:id="29">
    <w:p w14:paraId="0DEF616A" w14:textId="77777777" w:rsidR="00AB4C4A" w:rsidRPr="007E2959" w:rsidRDefault="00AB4C4A" w:rsidP="00370E7F">
      <w:pPr>
        <w:pStyle w:val="FootnoteText"/>
      </w:pPr>
      <w:r w:rsidRPr="007E2959">
        <w:rPr>
          <w:rStyle w:val="FootnoteReference"/>
        </w:rPr>
        <w:footnoteRef/>
      </w:r>
      <w:r w:rsidRPr="007E2959">
        <w:t xml:space="preserve"> </w:t>
      </w:r>
      <w:r w:rsidRPr="007E2959">
        <w:tab/>
      </w:r>
      <w:r w:rsidRPr="007E2959">
        <w:rPr>
          <w:noProof/>
        </w:rPr>
        <w:t xml:space="preserve">Paul Pierson, 'Increasing Returns, Path Dependence, and the Study of Politics' (2000) 94(2) </w:t>
      </w:r>
      <w:r w:rsidRPr="007E2959">
        <w:rPr>
          <w:i/>
          <w:noProof/>
        </w:rPr>
        <w:t>American Political Science Review</w:t>
      </w:r>
      <w:r w:rsidRPr="007E2959">
        <w:rPr>
          <w:noProof/>
        </w:rPr>
        <w:t xml:space="preserve"> 251</w:t>
      </w:r>
      <w:r w:rsidRPr="007E2959">
        <w:t>, 252.</w:t>
      </w:r>
      <w:r>
        <w:t xml:space="preserve"> A PricewaterhouseCoopers publication to clients states that </w:t>
      </w:r>
      <w:r w:rsidRPr="007E2959">
        <w:t>‘</w:t>
      </w:r>
      <w:r>
        <w:t>[o]</w:t>
      </w:r>
      <w:r w:rsidRPr="007E2959">
        <w:t>verall, the financial services industry will be relieved that there will not be substantial changes to the existing provisions, particularly given the level of investment which has been made to address f</w:t>
      </w:r>
      <w:r>
        <w:t>undamentally complex provisions’: PricewaterhouseCoopers</w:t>
      </w:r>
      <w:r w:rsidRPr="007E2959">
        <w:t xml:space="preserve">, </w:t>
      </w:r>
      <w:r w:rsidRPr="007E2959">
        <w:rPr>
          <w:i/>
        </w:rPr>
        <w:t>TaxTalk: GST Special Edition</w:t>
      </w:r>
      <w:r w:rsidRPr="007E2959">
        <w:t>, (May 2010) &lt;http://www.pwc.com.au/tax/assets/taxtalk/</w:t>
      </w:r>
      <w:r>
        <w:t xml:space="preserve"> </w:t>
      </w:r>
      <w:r w:rsidRPr="007E2959">
        <w:t xml:space="preserve">TaxTalkSE_May10.pdf&gt;. </w:t>
      </w:r>
    </w:p>
  </w:footnote>
  <w:footnote w:id="30">
    <w:p w14:paraId="3378CDAA" w14:textId="77777777" w:rsidR="00AB4C4A" w:rsidRPr="007E2959" w:rsidRDefault="00AB4C4A" w:rsidP="00370E7F">
      <w:pPr>
        <w:pStyle w:val="FootnoteText"/>
      </w:pPr>
      <w:r w:rsidRPr="007E2959">
        <w:rPr>
          <w:rStyle w:val="FootnoteReference"/>
        </w:rPr>
        <w:footnoteRef/>
      </w:r>
      <w:r w:rsidRPr="007E2959">
        <w:t xml:space="preserve"> </w:t>
      </w:r>
      <w:r>
        <w:tab/>
      </w:r>
      <w:r w:rsidRPr="007E2959">
        <w:rPr>
          <w:noProof/>
        </w:rPr>
        <w:t xml:space="preserve">Paul Pierson, 'Increasing Returns, Path Dependence, and the Study of Politics' (2000) 94(2) </w:t>
      </w:r>
      <w:r w:rsidRPr="007E2959">
        <w:rPr>
          <w:i/>
          <w:noProof/>
        </w:rPr>
        <w:t>American Political Science Review</w:t>
      </w:r>
      <w:r w:rsidRPr="007E2959">
        <w:rPr>
          <w:noProof/>
        </w:rPr>
        <w:t xml:space="preserve"> 251</w:t>
      </w:r>
      <w:r>
        <w:t>,</w:t>
      </w:r>
      <w:r w:rsidRPr="007E2959">
        <w:t xml:space="preserve"> 259.</w:t>
      </w:r>
    </w:p>
  </w:footnote>
  <w:footnote w:id="31">
    <w:p w14:paraId="1ADC3BEA" w14:textId="629B2E37" w:rsidR="005125EF" w:rsidRPr="005125EF" w:rsidRDefault="005125EF" w:rsidP="00370E7F">
      <w:pPr>
        <w:pStyle w:val="FootnoteText"/>
      </w:pPr>
      <w:r>
        <w:rPr>
          <w:rStyle w:val="FootnoteReference"/>
        </w:rPr>
        <w:footnoteRef/>
      </w:r>
      <w:r>
        <w:t xml:space="preserve"> </w:t>
      </w:r>
      <w:r>
        <w:tab/>
        <w:t xml:space="preserve">Kathryn James, </w:t>
      </w:r>
      <w:r>
        <w:rPr>
          <w:i/>
          <w:iCs/>
        </w:rPr>
        <w:t xml:space="preserve">The Rise of the Value-Added Tax </w:t>
      </w:r>
      <w:r>
        <w:t>(Cambridge University Press, 2015)</w:t>
      </w:r>
      <w:r w:rsidR="00F2723D">
        <w:t>, 72.</w:t>
      </w:r>
    </w:p>
  </w:footnote>
  <w:footnote w:id="32">
    <w:p w14:paraId="4867ECC0" w14:textId="3BE25487" w:rsidR="001D2EAF" w:rsidRDefault="001D2EAF" w:rsidP="00370E7F">
      <w:pPr>
        <w:pStyle w:val="FootnoteText"/>
      </w:pPr>
      <w:r>
        <w:rPr>
          <w:rStyle w:val="FootnoteReference"/>
        </w:rPr>
        <w:footnoteRef/>
      </w:r>
      <w:r>
        <w:t xml:space="preserve"> </w:t>
      </w:r>
      <w:r>
        <w:tab/>
      </w:r>
      <w:r w:rsidR="001478F3">
        <w:t xml:space="preserve">Productivity Commission, </w:t>
      </w:r>
      <w:r w:rsidR="00E73B95">
        <w:t>‘</w:t>
      </w:r>
      <w:r w:rsidR="001478F3" w:rsidRPr="00D4638A">
        <w:t xml:space="preserve">Inquiry into collection models for </w:t>
      </w:r>
      <w:r w:rsidR="00E73B95">
        <w:t>GST</w:t>
      </w:r>
      <w:r w:rsidR="001478F3">
        <w:t xml:space="preserve"> on low value imported goods - Transcript of Proceedings, 2</w:t>
      </w:r>
      <w:r w:rsidR="00E73B95">
        <w:t>4</w:t>
      </w:r>
      <w:r w:rsidR="001478F3">
        <w:t xml:space="preserve"> August 2017,</w:t>
      </w:r>
      <w:r w:rsidR="00E73B95">
        <w:t>’</w:t>
      </w:r>
      <w:r w:rsidR="001478F3">
        <w:t xml:space="preserve"> p </w:t>
      </w:r>
      <w:r>
        <w:t>119 [para 15].</w:t>
      </w:r>
    </w:p>
  </w:footnote>
  <w:footnote w:id="33">
    <w:p w14:paraId="4A7CEBBB" w14:textId="098CD6FF" w:rsidR="007D0172" w:rsidRDefault="007D0172" w:rsidP="00370E7F">
      <w:pPr>
        <w:pStyle w:val="FootnoteText"/>
      </w:pPr>
      <w:r>
        <w:rPr>
          <w:rStyle w:val="FootnoteReference"/>
        </w:rPr>
        <w:footnoteRef/>
      </w:r>
      <w:r>
        <w:t xml:space="preserve"> </w:t>
      </w:r>
      <w:r>
        <w:tab/>
        <w:t xml:space="preserve">Productivity Commission, </w:t>
      </w:r>
      <w:r w:rsidRPr="00365FE3">
        <w:rPr>
          <w:i/>
          <w:iCs/>
        </w:rPr>
        <w:t>Collection Models for GST on Low Value Imported Goods</w:t>
      </w:r>
      <w:r>
        <w:t>, Discussion Paper (July 2017), 16.</w:t>
      </w:r>
    </w:p>
  </w:footnote>
  <w:footnote w:id="34">
    <w:p w14:paraId="3255ADBD" w14:textId="77777777" w:rsidR="00EC3AF7" w:rsidRDefault="00EC3AF7" w:rsidP="00370E7F">
      <w:pPr>
        <w:pStyle w:val="FootnoteText"/>
      </w:pPr>
      <w:r>
        <w:rPr>
          <w:rStyle w:val="FootnoteReference"/>
        </w:rPr>
        <w:footnoteRef/>
      </w:r>
      <w:r>
        <w:t xml:space="preserve"> </w:t>
      </w:r>
      <w:r>
        <w:tab/>
      </w:r>
      <w:r w:rsidRPr="00434BA8">
        <w:t>OECD/Council of Europe</w:t>
      </w:r>
      <w:r>
        <w:t>,</w:t>
      </w:r>
      <w:r w:rsidRPr="00434BA8">
        <w:t xml:space="preserve"> Multilateral Convention on Mutual Administrative Assistance in Tax Matters</w:t>
      </w:r>
      <w:r>
        <w:t>, 1988 as amended by the 2010 protocol [Mutual Assistance Convention], available at &lt;</w:t>
      </w:r>
      <w:r w:rsidRPr="003F24A6">
        <w:t>http://www.oecd.org/tax/exchange-of-tax-information/convention-on-mutual-administrative-assistance-in-tax-matters.htm</w:t>
      </w:r>
      <w:r>
        <w:t>&gt;.</w:t>
      </w:r>
    </w:p>
  </w:footnote>
  <w:footnote w:id="35">
    <w:p w14:paraId="1BF6FD5F" w14:textId="77777777" w:rsidR="00EC3AF7" w:rsidRPr="000175CA" w:rsidRDefault="00EC3AF7" w:rsidP="00370E7F">
      <w:pPr>
        <w:pStyle w:val="FootnoteText"/>
        <w:rPr>
          <w:lang w:val="en-US"/>
        </w:rPr>
      </w:pPr>
      <w:r>
        <w:rPr>
          <w:rStyle w:val="FootnoteReference"/>
        </w:rPr>
        <w:footnoteRef/>
      </w:r>
      <w:r>
        <w:t xml:space="preserve"> </w:t>
      </w:r>
      <w:r>
        <w:tab/>
        <w:t xml:space="preserve">See </w:t>
      </w:r>
      <w:r w:rsidRPr="000175CA">
        <w:t>Art 2(1)(b)(iii)(C) of the Mutual Assistance Convention</w:t>
      </w:r>
      <w:r>
        <w:t>.</w:t>
      </w:r>
    </w:p>
  </w:footnote>
  <w:footnote w:id="36">
    <w:p w14:paraId="6D62EF34" w14:textId="77777777" w:rsidR="00EC3AF7" w:rsidRPr="00D96F7E" w:rsidRDefault="00EC3AF7" w:rsidP="00370E7F">
      <w:pPr>
        <w:pStyle w:val="FootnoteText"/>
        <w:rPr>
          <w:lang w:val="en-US"/>
        </w:rPr>
      </w:pPr>
      <w:r>
        <w:rPr>
          <w:rStyle w:val="FootnoteReference"/>
        </w:rPr>
        <w:footnoteRef/>
      </w:r>
      <w:r>
        <w:t xml:space="preserve"> </w:t>
      </w:r>
      <w:r>
        <w:tab/>
      </w:r>
      <w:r w:rsidRPr="00623C3F">
        <w:t>See Art 1(3)</w:t>
      </w:r>
      <w:r>
        <w:t>,</w:t>
      </w:r>
      <w:r w:rsidRPr="00623C3F">
        <w:t xml:space="preserve"> Mutual Assistance Convention.</w:t>
      </w:r>
    </w:p>
  </w:footnote>
  <w:footnote w:id="37">
    <w:p w14:paraId="077F7D3E" w14:textId="77777777" w:rsidR="00EC3AF7" w:rsidRDefault="00EC3AF7" w:rsidP="00370E7F">
      <w:pPr>
        <w:pStyle w:val="FootnoteText"/>
      </w:pPr>
      <w:r>
        <w:rPr>
          <w:rStyle w:val="FootnoteReference"/>
        </w:rPr>
        <w:footnoteRef/>
      </w:r>
      <w:r>
        <w:t xml:space="preserve"> </w:t>
      </w:r>
      <w:r>
        <w:tab/>
        <w:t xml:space="preserve">A state seeking assistance from another state with the recovery of a tax debt can request the other state to take measures of conservancy (such as the seizure or freezing of assets) to preserve assets while the recovery process takes place: </w:t>
      </w:r>
      <w:r w:rsidRPr="00524E3B">
        <w:t>OECD/Council of Europe</w:t>
      </w:r>
      <w:r>
        <w:t xml:space="preserve">, Revised Explanatory Report to the Convention on Mutual Administrative Assistance in Tax Matters as amended by 2010 protocol, para 123 et seq. </w:t>
      </w:r>
    </w:p>
  </w:footnote>
  <w:footnote w:id="38">
    <w:p w14:paraId="40F45936" w14:textId="77777777" w:rsidR="00EC3AF7" w:rsidRPr="00462570" w:rsidRDefault="00EC3AF7" w:rsidP="00370E7F">
      <w:pPr>
        <w:pStyle w:val="FootnoteText"/>
        <w:rPr>
          <w:lang w:val="en-US"/>
        </w:rPr>
      </w:pPr>
      <w:r>
        <w:rPr>
          <w:rStyle w:val="FootnoteReference"/>
        </w:rPr>
        <w:footnoteRef/>
      </w:r>
      <w:r>
        <w:t xml:space="preserve"> </w:t>
      </w:r>
      <w:r>
        <w:tab/>
      </w:r>
      <w:r w:rsidRPr="00462570">
        <w:t>See Art 1(2)</w:t>
      </w:r>
      <w:r>
        <w:t>,</w:t>
      </w:r>
      <w:r w:rsidRPr="00462570">
        <w:t xml:space="preserve"> Mutual Assistance Convention.</w:t>
      </w:r>
    </w:p>
  </w:footnote>
  <w:footnote w:id="39">
    <w:p w14:paraId="2D222DED" w14:textId="77777777" w:rsidR="00EC3AF7" w:rsidRPr="002C788F" w:rsidRDefault="00EC3AF7" w:rsidP="00370E7F">
      <w:pPr>
        <w:pStyle w:val="FootnoteText"/>
      </w:pPr>
      <w:r>
        <w:rPr>
          <w:rStyle w:val="FootnoteReference"/>
        </w:rPr>
        <w:footnoteRef/>
      </w:r>
      <w:r>
        <w:t xml:space="preserve"> </w:t>
      </w:r>
      <w:r>
        <w:tab/>
        <w:t>United Nations Model Double Taxation Convention between Developed and Developing Countries (2011).</w:t>
      </w:r>
    </w:p>
  </w:footnote>
  <w:footnote w:id="40">
    <w:p w14:paraId="1348A389" w14:textId="77777777" w:rsidR="00EC3AF7" w:rsidRPr="00114D81" w:rsidRDefault="00EC3AF7" w:rsidP="00370E7F">
      <w:pPr>
        <w:pStyle w:val="FootnoteText"/>
      </w:pPr>
      <w:r>
        <w:rPr>
          <w:rStyle w:val="FootnoteReference"/>
        </w:rPr>
        <w:footnoteRef/>
      </w:r>
      <w:r>
        <w:t xml:space="preserve"> </w:t>
      </w:r>
      <w:r>
        <w:tab/>
        <w:t>See OECD Commentary, Art 26, para 8(d), that gives the following example of information relevant to the implementation of domestic law: “State A, for the purpose of verifying VAT input tax credits claimed by a company situated in its territory for services performed by a company resident in State B, requests confirmation that the cost of services was properly entered into the books and records of the company in State B”.</w:t>
      </w:r>
    </w:p>
  </w:footnote>
  <w:footnote w:id="41">
    <w:p w14:paraId="64B6685A" w14:textId="15D77172" w:rsidR="00EC3AF7" w:rsidRPr="002B2BDA" w:rsidRDefault="00EC3AF7" w:rsidP="00370E7F">
      <w:pPr>
        <w:pStyle w:val="FootnoteText"/>
      </w:pPr>
      <w:r>
        <w:rPr>
          <w:rStyle w:val="FootnoteReference"/>
        </w:rPr>
        <w:footnoteRef/>
      </w:r>
      <w:r>
        <w:t xml:space="preserve"> </w:t>
      </w:r>
      <w:r>
        <w:tab/>
        <w:t xml:space="preserve">For more details see </w:t>
      </w:r>
      <w:r w:rsidR="001478F3">
        <w:t xml:space="preserve">Thomas </w:t>
      </w:r>
      <w:r>
        <w:t xml:space="preserve">Ecker, </w:t>
      </w:r>
      <w:r>
        <w:rPr>
          <w:i/>
        </w:rPr>
        <w:t>A VAT/GST Model Convention</w:t>
      </w:r>
      <w:r w:rsidR="001478F3">
        <w:rPr>
          <w:iCs/>
        </w:rPr>
        <w:t xml:space="preserve"> </w:t>
      </w:r>
      <w:r w:rsidR="001478F3" w:rsidRPr="001478F3">
        <w:rPr>
          <w:iCs/>
        </w:rPr>
        <w:t>(IBFD Publications, 2013)</w:t>
      </w:r>
      <w:r>
        <w:rPr>
          <w:iCs/>
        </w:rPr>
        <w:t xml:space="preserve"> </w:t>
      </w:r>
      <w:r>
        <w:t>413.</w:t>
      </w:r>
    </w:p>
  </w:footnote>
  <w:footnote w:id="42">
    <w:p w14:paraId="44CE3DA1" w14:textId="1E396984" w:rsidR="00EC3AF7" w:rsidRPr="00A36AEC" w:rsidRDefault="00EC3AF7" w:rsidP="00370E7F">
      <w:pPr>
        <w:pStyle w:val="FootnoteText"/>
      </w:pPr>
      <w:r>
        <w:rPr>
          <w:rStyle w:val="FootnoteReference"/>
        </w:rPr>
        <w:footnoteRef/>
      </w:r>
      <w:r>
        <w:t xml:space="preserve"> </w:t>
      </w:r>
      <w:r w:rsidRPr="00A36AEC">
        <w:rPr>
          <w:lang w:val="en-US"/>
        </w:rPr>
        <w:tab/>
      </w:r>
      <w:r w:rsidR="001478F3">
        <w:t>Ibid</w:t>
      </w:r>
      <w:r>
        <w:rPr>
          <w:iCs/>
        </w:rPr>
        <w:t xml:space="preserve"> </w:t>
      </w:r>
      <w:r>
        <w:t>420.</w:t>
      </w:r>
    </w:p>
  </w:footnote>
  <w:footnote w:id="43">
    <w:p w14:paraId="371F29C6" w14:textId="77777777" w:rsidR="00EC3AF7" w:rsidRDefault="00EC3AF7" w:rsidP="00370E7F">
      <w:pPr>
        <w:pStyle w:val="FootnoteText"/>
      </w:pPr>
      <w:r>
        <w:rPr>
          <w:rStyle w:val="FootnoteReference"/>
        </w:rPr>
        <w:footnoteRef/>
      </w:r>
      <w:r>
        <w:t xml:space="preserve"> </w:t>
      </w:r>
      <w:r>
        <w:tab/>
        <w:t xml:space="preserve">OECD </w:t>
      </w:r>
      <w:r w:rsidRPr="00FD1ED7">
        <w:t>Model Agreement on Exchange of Information on Tax Matters</w:t>
      </w:r>
      <w:r>
        <w:t xml:space="preserve"> (2002).</w:t>
      </w:r>
    </w:p>
  </w:footnote>
  <w:footnote w:id="44">
    <w:p w14:paraId="41925411" w14:textId="33910AA1" w:rsidR="00EC3AF7" w:rsidRPr="002C788F" w:rsidRDefault="00EC3AF7" w:rsidP="00370E7F">
      <w:pPr>
        <w:pStyle w:val="FootnoteText"/>
      </w:pPr>
      <w:r>
        <w:rPr>
          <w:rStyle w:val="FootnoteReference"/>
        </w:rPr>
        <w:footnoteRef/>
      </w:r>
      <w:r>
        <w:tab/>
        <w:t xml:space="preserve">See Ecker, </w:t>
      </w:r>
      <w:r w:rsidR="001478F3">
        <w:t xml:space="preserve">Thomas Ecker, </w:t>
      </w:r>
      <w:r w:rsidR="001478F3">
        <w:rPr>
          <w:i/>
        </w:rPr>
        <w:t>A VAT/GST Model Convention</w:t>
      </w:r>
      <w:r w:rsidR="001478F3">
        <w:rPr>
          <w:iCs/>
        </w:rPr>
        <w:t xml:space="preserve"> </w:t>
      </w:r>
      <w:r w:rsidR="001478F3" w:rsidRPr="001478F3">
        <w:rPr>
          <w:iCs/>
        </w:rPr>
        <w:t>(IBFD Publications, 2013)</w:t>
      </w:r>
      <w:r w:rsidR="001478F3">
        <w:rPr>
          <w:iCs/>
        </w:rPr>
        <w:t xml:space="preserve"> </w:t>
      </w:r>
      <w:r>
        <w:t>416.</w:t>
      </w:r>
    </w:p>
  </w:footnote>
  <w:footnote w:id="45">
    <w:p w14:paraId="25AFE06D" w14:textId="5E5189E5" w:rsidR="00EC3AF7" w:rsidRPr="00A36AEC" w:rsidRDefault="00EC3AF7" w:rsidP="00370E7F">
      <w:pPr>
        <w:pStyle w:val="FootnoteText"/>
      </w:pPr>
      <w:r>
        <w:rPr>
          <w:rStyle w:val="FootnoteReference"/>
        </w:rPr>
        <w:footnoteRef/>
      </w:r>
      <w:r>
        <w:t xml:space="preserve"> </w:t>
      </w:r>
      <w:r>
        <w:tab/>
        <w:t>Ibid</w:t>
      </w:r>
      <w:r>
        <w:rPr>
          <w:iCs/>
        </w:rPr>
        <w:t xml:space="preserve"> </w:t>
      </w:r>
      <w:r>
        <w:t>423.</w:t>
      </w:r>
    </w:p>
  </w:footnote>
  <w:footnote w:id="46">
    <w:p w14:paraId="45EA781C" w14:textId="7FC73FDF" w:rsidR="004F5EAB" w:rsidRDefault="004F5EAB">
      <w:pPr>
        <w:pStyle w:val="FootnoteText"/>
      </w:pPr>
      <w:r>
        <w:rPr>
          <w:rStyle w:val="FootnoteReference"/>
        </w:rPr>
        <w:footnoteRef/>
      </w:r>
      <w:r>
        <w:t xml:space="preserve"> </w:t>
      </w:r>
      <w:r>
        <w:tab/>
        <w:t xml:space="preserve">Kathryn James and Thomas Ecker, </w:t>
      </w:r>
      <w:r w:rsidRPr="00AD77F9">
        <w:t>‘Relevance of the OECD International VAT/GST guidelines for non</w:t>
      </w:r>
      <w:r w:rsidRPr="00AD77F9">
        <w:rPr>
          <w:rFonts w:ascii="MS Mincho" w:hAnsi="MS Mincho" w:cs="MS Mincho"/>
        </w:rPr>
        <w:t>‑</w:t>
      </w:r>
      <w:r w:rsidRPr="00AD77F9">
        <w:t>OECD countries</w:t>
      </w:r>
      <w:r w:rsidRPr="00AD77F9">
        <w:rPr>
          <w:rFonts w:cs="Times New Roman"/>
        </w:rPr>
        <w:t>’</w:t>
      </w:r>
      <w:r w:rsidRPr="00AD77F9">
        <w:t xml:space="preserve"> (2017) 32 </w:t>
      </w:r>
      <w:r w:rsidRPr="00AD77F9">
        <w:rPr>
          <w:i/>
          <w:iCs/>
        </w:rPr>
        <w:t>Australian Tax Forum</w:t>
      </w:r>
      <w:r w:rsidRPr="00AD77F9">
        <w:t xml:space="preserve"> 317</w:t>
      </w:r>
      <w:r>
        <w:t>, 370—374.</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3A1C662" w14:textId="77777777" w:rsidR="00EC3AF7" w:rsidRDefault="00EC3AF7">
    <w:pPr>
      <w:pStyle w:val="Header"/>
      <w:jc w:val="right"/>
    </w:pPr>
  </w:p>
  <w:p w14:paraId="30448335" w14:textId="77777777" w:rsidR="00EC3AF7" w:rsidRDefault="00EC3AF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3"/>
    <w:multiLevelType w:val="singleLevel"/>
    <w:tmpl w:val="D764C86E"/>
    <w:lvl w:ilvl="0">
      <w:start w:val="1"/>
      <w:numFmt w:val="bullet"/>
      <w:pStyle w:val="ListBullet2"/>
      <w:lvlText w:val=""/>
      <w:lvlJc w:val="left"/>
      <w:pPr>
        <w:tabs>
          <w:tab w:val="num" w:pos="643"/>
        </w:tabs>
        <w:ind w:left="643" w:hanging="360"/>
      </w:pPr>
      <w:rPr>
        <w:rFonts w:ascii="Symbol" w:hAnsi="Symbol" w:hint="default"/>
      </w:rPr>
    </w:lvl>
  </w:abstractNum>
  <w:abstractNum w:abstractNumId="1" w15:restartNumberingAfterBreak="0">
    <w:nsid w:val="013C0B92"/>
    <w:multiLevelType w:val="hybridMultilevel"/>
    <w:tmpl w:val="A9ACAE24"/>
    <w:lvl w:ilvl="0" w:tplc="F7260D18">
      <w:start w:val="1"/>
      <w:numFmt w:val="decimal"/>
      <w:lvlText w:val="(%1)"/>
      <w:lvlJc w:val="left"/>
      <w:pPr>
        <w:ind w:left="72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03481A86"/>
    <w:multiLevelType w:val="hybridMultilevel"/>
    <w:tmpl w:val="A81E054A"/>
    <w:lvl w:ilvl="0" w:tplc="33BC0550">
      <w:start w:val="1"/>
      <w:numFmt w:val="bullet"/>
      <w:lvlText w:val=""/>
      <w:lvlJc w:val="left"/>
      <w:pPr>
        <w:ind w:left="720" w:hanging="360"/>
      </w:pPr>
      <w:rPr>
        <w:rFonts w:ascii="Symbol" w:hAnsi="Symbol" w:hint="default"/>
        <w:lang w:val="en-AU"/>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E8A755B"/>
    <w:multiLevelType w:val="hybridMultilevel"/>
    <w:tmpl w:val="C8BED88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2A1E7927"/>
    <w:multiLevelType w:val="hybridMultilevel"/>
    <w:tmpl w:val="A3D80396"/>
    <w:lvl w:ilvl="0" w:tplc="0C09000F">
      <w:start w:val="1"/>
      <w:numFmt w:val="decimal"/>
      <w:lvlText w:val="%1."/>
      <w:lvlJc w:val="left"/>
      <w:pPr>
        <w:ind w:left="72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30E90CE4"/>
    <w:multiLevelType w:val="singleLevel"/>
    <w:tmpl w:val="52F61D9A"/>
    <w:lvl w:ilvl="0">
      <w:start w:val="1"/>
      <w:numFmt w:val="bullet"/>
      <w:pStyle w:val="BoxListBullet"/>
      <w:lvlText w:val=""/>
      <w:lvlJc w:val="left"/>
      <w:pPr>
        <w:tabs>
          <w:tab w:val="num" w:pos="284"/>
        </w:tabs>
        <w:ind w:left="284" w:hanging="284"/>
      </w:pPr>
      <w:rPr>
        <w:rFonts w:ascii="Symbol" w:hAnsi="Symbol" w:hint="default"/>
        <w:sz w:val="18"/>
      </w:rPr>
    </w:lvl>
  </w:abstractNum>
  <w:abstractNum w:abstractNumId="6" w15:restartNumberingAfterBreak="0">
    <w:nsid w:val="337541F8"/>
    <w:multiLevelType w:val="singleLevel"/>
    <w:tmpl w:val="FDA8D89E"/>
    <w:lvl w:ilvl="0">
      <w:start w:val="1"/>
      <w:numFmt w:val="bullet"/>
      <w:pStyle w:val="BulletItem"/>
      <w:lvlText w:val=""/>
      <w:lvlJc w:val="left"/>
      <w:pPr>
        <w:tabs>
          <w:tab w:val="num" w:pos="360"/>
        </w:tabs>
        <w:ind w:left="360" w:hanging="360"/>
      </w:pPr>
      <w:rPr>
        <w:rFonts w:ascii="Symbol" w:hAnsi="Symbol" w:hint="default"/>
      </w:rPr>
    </w:lvl>
  </w:abstractNum>
  <w:abstractNum w:abstractNumId="7" w15:restartNumberingAfterBreak="0">
    <w:nsid w:val="342D4EC1"/>
    <w:multiLevelType w:val="singleLevel"/>
    <w:tmpl w:val="0EE02BA2"/>
    <w:lvl w:ilvl="0">
      <w:start w:val="1"/>
      <w:numFmt w:val="lowerLetter"/>
      <w:pStyle w:val="Indentlist"/>
      <w:lvlText w:val="%1)"/>
      <w:lvlJc w:val="left"/>
      <w:pPr>
        <w:ind w:left="717" w:hanging="360"/>
      </w:pPr>
      <w:rPr>
        <w:rFonts w:hint="default"/>
      </w:rPr>
    </w:lvl>
  </w:abstractNum>
  <w:abstractNum w:abstractNumId="8" w15:restartNumberingAfterBreak="0">
    <w:nsid w:val="3B2E19AC"/>
    <w:multiLevelType w:val="singleLevel"/>
    <w:tmpl w:val="07664886"/>
    <w:lvl w:ilvl="0">
      <w:start w:val="1"/>
      <w:numFmt w:val="lowerLetter"/>
      <w:lvlRestart w:val="0"/>
      <w:pStyle w:val="ChartandTableFootnoteAlpha"/>
      <w:lvlText w:val="(%1)"/>
      <w:lvlJc w:val="left"/>
      <w:pPr>
        <w:tabs>
          <w:tab w:val="num" w:pos="284"/>
        </w:tabs>
        <w:ind w:left="284" w:hanging="284"/>
      </w:pPr>
      <w:rPr>
        <w:rFonts w:ascii="Arial" w:hAnsi="Arial" w:cs="Arial"/>
        <w:b w:val="0"/>
        <w:i w:val="0"/>
        <w:color w:val="000000"/>
        <w:sz w:val="16"/>
      </w:rPr>
    </w:lvl>
  </w:abstractNum>
  <w:abstractNum w:abstractNumId="9" w15:restartNumberingAfterBreak="0">
    <w:nsid w:val="438636F0"/>
    <w:multiLevelType w:val="multilevel"/>
    <w:tmpl w:val="5F4E9EFA"/>
    <w:lvl w:ilvl="0">
      <w:start w:val="1"/>
      <w:numFmt w:val="decimal"/>
      <w:pStyle w:val="Heading1"/>
      <w:lvlText w:val="%1"/>
      <w:lvlJc w:val="left"/>
      <w:pPr>
        <w:ind w:left="1287" w:hanging="360"/>
      </w:pPr>
      <w:rPr>
        <w:rFonts w:hint="default"/>
      </w:rPr>
    </w:lvl>
    <w:lvl w:ilvl="1">
      <w:start w:val="2"/>
      <w:numFmt w:val="decimal"/>
      <w:isLgl/>
      <w:lvlText w:val="%1.%2"/>
      <w:lvlJc w:val="left"/>
      <w:pPr>
        <w:ind w:left="1452" w:hanging="525"/>
      </w:pPr>
      <w:rPr>
        <w:rFonts w:hint="default"/>
      </w:rPr>
    </w:lvl>
    <w:lvl w:ilvl="2">
      <w:start w:val="1"/>
      <w:numFmt w:val="decimal"/>
      <w:pStyle w:val="Heading3"/>
      <w:isLgl/>
      <w:lvlText w:val="%1.%2.%3"/>
      <w:lvlJc w:val="left"/>
      <w:pPr>
        <w:ind w:left="1647" w:hanging="720"/>
      </w:pPr>
      <w:rPr>
        <w:rFonts w:hint="default"/>
      </w:rPr>
    </w:lvl>
    <w:lvl w:ilvl="3">
      <w:start w:val="1"/>
      <w:numFmt w:val="decimal"/>
      <w:isLgl/>
      <w:lvlText w:val="%1.%2.%3.%4"/>
      <w:lvlJc w:val="left"/>
      <w:pPr>
        <w:ind w:left="1647" w:hanging="720"/>
      </w:pPr>
      <w:rPr>
        <w:rFonts w:hint="default"/>
      </w:rPr>
    </w:lvl>
    <w:lvl w:ilvl="4">
      <w:start w:val="1"/>
      <w:numFmt w:val="decimal"/>
      <w:isLgl/>
      <w:lvlText w:val="%1.%2.%3.%4.%5"/>
      <w:lvlJc w:val="left"/>
      <w:pPr>
        <w:ind w:left="2007" w:hanging="1080"/>
      </w:pPr>
      <w:rPr>
        <w:rFonts w:hint="default"/>
      </w:rPr>
    </w:lvl>
    <w:lvl w:ilvl="5">
      <w:start w:val="1"/>
      <w:numFmt w:val="decimal"/>
      <w:isLgl/>
      <w:lvlText w:val="%1.%2.%3.%4.%5.%6"/>
      <w:lvlJc w:val="left"/>
      <w:pPr>
        <w:ind w:left="2367" w:hanging="1440"/>
      </w:pPr>
      <w:rPr>
        <w:rFonts w:hint="default"/>
      </w:rPr>
    </w:lvl>
    <w:lvl w:ilvl="6">
      <w:start w:val="1"/>
      <w:numFmt w:val="decimal"/>
      <w:isLgl/>
      <w:lvlText w:val="%1.%2.%3.%4.%5.%6.%7"/>
      <w:lvlJc w:val="left"/>
      <w:pPr>
        <w:ind w:left="2367" w:hanging="1440"/>
      </w:pPr>
      <w:rPr>
        <w:rFonts w:hint="default"/>
      </w:rPr>
    </w:lvl>
    <w:lvl w:ilvl="7">
      <w:start w:val="1"/>
      <w:numFmt w:val="decimal"/>
      <w:isLgl/>
      <w:lvlText w:val="%1.%2.%3.%4.%5.%6.%7.%8"/>
      <w:lvlJc w:val="left"/>
      <w:pPr>
        <w:ind w:left="2727" w:hanging="1800"/>
      </w:pPr>
      <w:rPr>
        <w:rFonts w:hint="default"/>
      </w:rPr>
    </w:lvl>
    <w:lvl w:ilvl="8">
      <w:start w:val="1"/>
      <w:numFmt w:val="decimal"/>
      <w:isLgl/>
      <w:lvlText w:val="%1.%2.%3.%4.%5.%6.%7.%8.%9"/>
      <w:lvlJc w:val="left"/>
      <w:pPr>
        <w:ind w:left="2727" w:hanging="1800"/>
      </w:pPr>
      <w:rPr>
        <w:rFonts w:hint="default"/>
      </w:rPr>
    </w:lvl>
  </w:abstractNum>
  <w:abstractNum w:abstractNumId="10" w15:restartNumberingAfterBreak="0">
    <w:nsid w:val="52FB24D1"/>
    <w:multiLevelType w:val="hybridMultilevel"/>
    <w:tmpl w:val="C0C03B4E"/>
    <w:lvl w:ilvl="0" w:tplc="81F4EE72">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1" w15:restartNumberingAfterBreak="0">
    <w:nsid w:val="54382D6E"/>
    <w:multiLevelType w:val="singleLevel"/>
    <w:tmpl w:val="315ABD1E"/>
    <w:lvl w:ilvl="0">
      <w:numFmt w:val="bullet"/>
      <w:lvlText w:val=""/>
      <w:lvlJc w:val="left"/>
      <w:pPr>
        <w:tabs>
          <w:tab w:val="num" w:pos="340"/>
        </w:tabs>
        <w:ind w:left="340" w:hanging="340"/>
      </w:pPr>
      <w:rPr>
        <w:rFonts w:ascii="Symbol" w:hAnsi="Symbol" w:hint="default"/>
        <w:sz w:val="18"/>
      </w:rPr>
    </w:lvl>
  </w:abstractNum>
  <w:abstractNum w:abstractNumId="12" w15:restartNumberingAfterBreak="0">
    <w:nsid w:val="5C7967D7"/>
    <w:multiLevelType w:val="multilevel"/>
    <w:tmpl w:val="072A1DFA"/>
    <w:lvl w:ilvl="0">
      <w:start w:val="1"/>
      <w:numFmt w:val="decimal"/>
      <w:pStyle w:val="Appendixheading"/>
      <w:lvlText w:val="Appendix %1"/>
      <w:lvlJc w:val="left"/>
      <w:pPr>
        <w:tabs>
          <w:tab w:val="num" w:pos="851"/>
        </w:tabs>
        <w:ind w:left="851" w:hanging="851"/>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3" w15:restartNumberingAfterBreak="0">
    <w:nsid w:val="5D210FF5"/>
    <w:multiLevelType w:val="singleLevel"/>
    <w:tmpl w:val="DCFE9666"/>
    <w:lvl w:ilvl="0">
      <w:start w:val="1"/>
      <w:numFmt w:val="decimal"/>
      <w:lvlText w:val="%1."/>
      <w:lvlJc w:val="left"/>
      <w:pPr>
        <w:tabs>
          <w:tab w:val="num" w:pos="360"/>
        </w:tabs>
        <w:ind w:left="360" w:hanging="360"/>
      </w:pPr>
      <w:rPr>
        <w:rFonts w:hint="default"/>
      </w:rPr>
    </w:lvl>
  </w:abstractNum>
  <w:abstractNum w:abstractNumId="14" w15:restartNumberingAfterBreak="0">
    <w:nsid w:val="610709E8"/>
    <w:multiLevelType w:val="hybridMultilevel"/>
    <w:tmpl w:val="3C54CB4C"/>
    <w:lvl w:ilvl="0" w:tplc="F1FCEE6C">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62103A51"/>
    <w:multiLevelType w:val="multilevel"/>
    <w:tmpl w:val="DB6E8612"/>
    <w:lvl w:ilvl="0">
      <w:start w:val="3"/>
      <w:numFmt w:val="decimal"/>
      <w:pStyle w:val="Heading4"/>
      <w:lvlText w:val="%1."/>
      <w:lvlJc w:val="left"/>
      <w:pPr>
        <w:ind w:left="360" w:hanging="360"/>
      </w:pPr>
      <w:rPr>
        <w:rFonts w:hint="default"/>
      </w:rPr>
    </w:lvl>
    <w:lvl w:ilvl="1">
      <w:start w:val="2"/>
      <w:numFmt w:val="decimal"/>
      <w:lvlText w:val="%1.%2."/>
      <w:lvlJc w:val="left"/>
      <w:pPr>
        <w:ind w:left="2007" w:hanging="360"/>
      </w:pPr>
      <w:rPr>
        <w:rFonts w:hint="default"/>
      </w:rPr>
    </w:lvl>
    <w:lvl w:ilvl="2">
      <w:start w:val="1"/>
      <w:numFmt w:val="decimal"/>
      <w:lvlText w:val="%1.%2.%3."/>
      <w:lvlJc w:val="left"/>
      <w:pPr>
        <w:ind w:left="4014" w:hanging="720"/>
      </w:pPr>
      <w:rPr>
        <w:rFonts w:hint="default"/>
      </w:rPr>
    </w:lvl>
    <w:lvl w:ilvl="3">
      <w:start w:val="1"/>
      <w:numFmt w:val="decimal"/>
      <w:lvlText w:val="%1.%2.%3.%4."/>
      <w:lvlJc w:val="left"/>
      <w:pPr>
        <w:ind w:left="5661" w:hanging="720"/>
      </w:pPr>
      <w:rPr>
        <w:rFonts w:hint="default"/>
      </w:rPr>
    </w:lvl>
    <w:lvl w:ilvl="4">
      <w:start w:val="1"/>
      <w:numFmt w:val="decimal"/>
      <w:lvlText w:val="%1.%2.%3.%4.%5."/>
      <w:lvlJc w:val="left"/>
      <w:pPr>
        <w:ind w:left="7668" w:hanging="1080"/>
      </w:pPr>
      <w:rPr>
        <w:rFonts w:hint="default"/>
      </w:rPr>
    </w:lvl>
    <w:lvl w:ilvl="5">
      <w:start w:val="1"/>
      <w:numFmt w:val="decimal"/>
      <w:lvlText w:val="%1.%2.%3.%4.%5.%6."/>
      <w:lvlJc w:val="left"/>
      <w:pPr>
        <w:ind w:left="9315" w:hanging="1080"/>
      </w:pPr>
      <w:rPr>
        <w:rFonts w:hint="default"/>
      </w:rPr>
    </w:lvl>
    <w:lvl w:ilvl="6">
      <w:start w:val="1"/>
      <w:numFmt w:val="decimal"/>
      <w:lvlText w:val="%1.%2.%3.%4.%5.%6.%7."/>
      <w:lvlJc w:val="left"/>
      <w:pPr>
        <w:ind w:left="11322" w:hanging="1440"/>
      </w:pPr>
      <w:rPr>
        <w:rFonts w:hint="default"/>
      </w:rPr>
    </w:lvl>
    <w:lvl w:ilvl="7">
      <w:start w:val="1"/>
      <w:numFmt w:val="decimal"/>
      <w:lvlText w:val="%1.%2.%3.%4.%5.%6.%7.%8."/>
      <w:lvlJc w:val="left"/>
      <w:pPr>
        <w:ind w:left="12969" w:hanging="1440"/>
      </w:pPr>
      <w:rPr>
        <w:rFonts w:hint="default"/>
      </w:rPr>
    </w:lvl>
    <w:lvl w:ilvl="8">
      <w:start w:val="1"/>
      <w:numFmt w:val="decimal"/>
      <w:lvlText w:val="%1.%2.%3.%4.%5.%6.%7.%8.%9."/>
      <w:lvlJc w:val="left"/>
      <w:pPr>
        <w:ind w:left="14976" w:hanging="1800"/>
      </w:pPr>
      <w:rPr>
        <w:rFonts w:hint="default"/>
      </w:rPr>
    </w:lvl>
  </w:abstractNum>
  <w:abstractNum w:abstractNumId="16" w15:restartNumberingAfterBreak="0">
    <w:nsid w:val="63C53B6B"/>
    <w:multiLevelType w:val="hybridMultilevel"/>
    <w:tmpl w:val="BE961774"/>
    <w:lvl w:ilvl="0" w:tplc="3EE8BB82">
      <w:start w:val="1"/>
      <w:numFmt w:val="bullet"/>
      <w:pStyle w:val="ListParagraph"/>
      <w:lvlText w:val=""/>
      <w:lvlJc w:val="left"/>
      <w:pPr>
        <w:ind w:left="720" w:hanging="360"/>
      </w:pPr>
      <w:rPr>
        <w:rFonts w:ascii="Symbol" w:hAnsi="Symbol" w:hint="default"/>
      </w:rPr>
    </w:lvl>
    <w:lvl w:ilvl="1" w:tplc="07F806C0">
      <w:start w:val="1"/>
      <w:numFmt w:val="bullet"/>
      <w:lvlText w:val="o"/>
      <w:lvlJc w:val="left"/>
      <w:pPr>
        <w:ind w:left="1440" w:hanging="360"/>
      </w:pPr>
      <w:rPr>
        <w:rFonts w:ascii="Courier New" w:hAnsi="Courier New" w:cs="Courier New" w:hint="default"/>
      </w:rPr>
    </w:lvl>
    <w:lvl w:ilvl="2" w:tplc="4CFA64B4">
      <w:start w:val="1"/>
      <w:numFmt w:val="bullet"/>
      <w:lvlText w:val=""/>
      <w:lvlJc w:val="left"/>
      <w:pPr>
        <w:ind w:left="2160" w:hanging="360"/>
      </w:pPr>
      <w:rPr>
        <w:rFonts w:ascii="Wingdings" w:hAnsi="Wingdings" w:hint="default"/>
      </w:rPr>
    </w:lvl>
    <w:lvl w:ilvl="3" w:tplc="DCB25C0E" w:tentative="1">
      <w:start w:val="1"/>
      <w:numFmt w:val="bullet"/>
      <w:lvlText w:val=""/>
      <w:lvlJc w:val="left"/>
      <w:pPr>
        <w:ind w:left="2880" w:hanging="360"/>
      </w:pPr>
      <w:rPr>
        <w:rFonts w:ascii="Symbol" w:hAnsi="Symbol" w:hint="default"/>
      </w:rPr>
    </w:lvl>
    <w:lvl w:ilvl="4" w:tplc="096E3880" w:tentative="1">
      <w:start w:val="1"/>
      <w:numFmt w:val="bullet"/>
      <w:lvlText w:val="o"/>
      <w:lvlJc w:val="left"/>
      <w:pPr>
        <w:ind w:left="3600" w:hanging="360"/>
      </w:pPr>
      <w:rPr>
        <w:rFonts w:ascii="Courier New" w:hAnsi="Courier New" w:cs="Courier New" w:hint="default"/>
      </w:rPr>
    </w:lvl>
    <w:lvl w:ilvl="5" w:tplc="F9CA5DC6" w:tentative="1">
      <w:start w:val="1"/>
      <w:numFmt w:val="bullet"/>
      <w:lvlText w:val=""/>
      <w:lvlJc w:val="left"/>
      <w:pPr>
        <w:ind w:left="4320" w:hanging="360"/>
      </w:pPr>
      <w:rPr>
        <w:rFonts w:ascii="Wingdings" w:hAnsi="Wingdings" w:hint="default"/>
      </w:rPr>
    </w:lvl>
    <w:lvl w:ilvl="6" w:tplc="CA686DD4" w:tentative="1">
      <w:start w:val="1"/>
      <w:numFmt w:val="bullet"/>
      <w:lvlText w:val=""/>
      <w:lvlJc w:val="left"/>
      <w:pPr>
        <w:ind w:left="5040" w:hanging="360"/>
      </w:pPr>
      <w:rPr>
        <w:rFonts w:ascii="Symbol" w:hAnsi="Symbol" w:hint="default"/>
      </w:rPr>
    </w:lvl>
    <w:lvl w:ilvl="7" w:tplc="C0643CDC" w:tentative="1">
      <w:start w:val="1"/>
      <w:numFmt w:val="bullet"/>
      <w:lvlText w:val="o"/>
      <w:lvlJc w:val="left"/>
      <w:pPr>
        <w:ind w:left="5760" w:hanging="360"/>
      </w:pPr>
      <w:rPr>
        <w:rFonts w:ascii="Courier New" w:hAnsi="Courier New" w:cs="Courier New" w:hint="default"/>
      </w:rPr>
    </w:lvl>
    <w:lvl w:ilvl="8" w:tplc="1E504846" w:tentative="1">
      <w:start w:val="1"/>
      <w:numFmt w:val="bullet"/>
      <w:lvlText w:val=""/>
      <w:lvlJc w:val="left"/>
      <w:pPr>
        <w:ind w:left="6480" w:hanging="360"/>
      </w:pPr>
      <w:rPr>
        <w:rFonts w:ascii="Wingdings" w:hAnsi="Wingdings" w:hint="default"/>
      </w:rPr>
    </w:lvl>
  </w:abstractNum>
  <w:abstractNum w:abstractNumId="17" w15:restartNumberingAfterBreak="0">
    <w:nsid w:val="66AF1BE4"/>
    <w:multiLevelType w:val="hybridMultilevel"/>
    <w:tmpl w:val="03D44E2A"/>
    <w:lvl w:ilvl="0" w:tplc="0C090001">
      <w:start w:val="1"/>
      <w:numFmt w:val="bullet"/>
      <w:lvlText w:val=""/>
      <w:lvlJc w:val="left"/>
      <w:pPr>
        <w:ind w:left="720" w:hanging="360"/>
      </w:pPr>
      <w:rPr>
        <w:rFonts w:ascii="Symbol" w:hAnsi="Symbol" w:hint="default"/>
      </w:rPr>
    </w:lvl>
    <w:lvl w:ilvl="1" w:tplc="34949F62">
      <w:start w:val="1"/>
      <w:numFmt w:val="lowerLetter"/>
      <w:lvlText w:val="(%2)"/>
      <w:lvlJc w:val="left"/>
      <w:pPr>
        <w:ind w:left="1440" w:hanging="360"/>
      </w:pPr>
      <w:rPr>
        <w:rFonts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69757FFD"/>
    <w:multiLevelType w:val="hybridMultilevel"/>
    <w:tmpl w:val="B61E3028"/>
    <w:lvl w:ilvl="0" w:tplc="91500D0C">
      <w:numFmt w:val="bullet"/>
      <w:pStyle w:val="Bulletted2"/>
      <w:lvlText w:val="-"/>
      <w:lvlJc w:val="left"/>
      <w:pPr>
        <w:ind w:left="1440" w:hanging="360"/>
      </w:pPr>
      <w:rPr>
        <w:rFonts w:ascii="Calibri" w:eastAsiaTheme="minorEastAsia" w:hAnsi="Calibri" w:cs="Calibri" w:hint="default"/>
      </w:rPr>
    </w:lvl>
    <w:lvl w:ilvl="1" w:tplc="0A5CEDD6" w:tentative="1">
      <w:start w:val="1"/>
      <w:numFmt w:val="bullet"/>
      <w:lvlText w:val="o"/>
      <w:lvlJc w:val="left"/>
      <w:pPr>
        <w:ind w:left="2160" w:hanging="360"/>
      </w:pPr>
      <w:rPr>
        <w:rFonts w:ascii="Courier New" w:hAnsi="Courier New" w:cs="Courier New" w:hint="default"/>
      </w:rPr>
    </w:lvl>
    <w:lvl w:ilvl="2" w:tplc="E2D45B6C" w:tentative="1">
      <w:start w:val="1"/>
      <w:numFmt w:val="bullet"/>
      <w:lvlText w:val=""/>
      <w:lvlJc w:val="left"/>
      <w:pPr>
        <w:ind w:left="2880" w:hanging="360"/>
      </w:pPr>
      <w:rPr>
        <w:rFonts w:ascii="Wingdings" w:hAnsi="Wingdings" w:hint="default"/>
      </w:rPr>
    </w:lvl>
    <w:lvl w:ilvl="3" w:tplc="D7C42E76" w:tentative="1">
      <w:start w:val="1"/>
      <w:numFmt w:val="bullet"/>
      <w:lvlText w:val=""/>
      <w:lvlJc w:val="left"/>
      <w:pPr>
        <w:ind w:left="3600" w:hanging="360"/>
      </w:pPr>
      <w:rPr>
        <w:rFonts w:ascii="Symbol" w:hAnsi="Symbol" w:hint="default"/>
      </w:rPr>
    </w:lvl>
    <w:lvl w:ilvl="4" w:tplc="EA2C2344" w:tentative="1">
      <w:start w:val="1"/>
      <w:numFmt w:val="bullet"/>
      <w:lvlText w:val="o"/>
      <w:lvlJc w:val="left"/>
      <w:pPr>
        <w:ind w:left="4320" w:hanging="360"/>
      </w:pPr>
      <w:rPr>
        <w:rFonts w:ascii="Courier New" w:hAnsi="Courier New" w:cs="Courier New" w:hint="default"/>
      </w:rPr>
    </w:lvl>
    <w:lvl w:ilvl="5" w:tplc="724676FC" w:tentative="1">
      <w:start w:val="1"/>
      <w:numFmt w:val="bullet"/>
      <w:lvlText w:val=""/>
      <w:lvlJc w:val="left"/>
      <w:pPr>
        <w:ind w:left="5040" w:hanging="360"/>
      </w:pPr>
      <w:rPr>
        <w:rFonts w:ascii="Wingdings" w:hAnsi="Wingdings" w:hint="default"/>
      </w:rPr>
    </w:lvl>
    <w:lvl w:ilvl="6" w:tplc="2F0AF8B8" w:tentative="1">
      <w:start w:val="1"/>
      <w:numFmt w:val="bullet"/>
      <w:lvlText w:val=""/>
      <w:lvlJc w:val="left"/>
      <w:pPr>
        <w:ind w:left="5760" w:hanging="360"/>
      </w:pPr>
      <w:rPr>
        <w:rFonts w:ascii="Symbol" w:hAnsi="Symbol" w:hint="default"/>
      </w:rPr>
    </w:lvl>
    <w:lvl w:ilvl="7" w:tplc="44A84B6A" w:tentative="1">
      <w:start w:val="1"/>
      <w:numFmt w:val="bullet"/>
      <w:lvlText w:val="o"/>
      <w:lvlJc w:val="left"/>
      <w:pPr>
        <w:ind w:left="6480" w:hanging="360"/>
      </w:pPr>
      <w:rPr>
        <w:rFonts w:ascii="Courier New" w:hAnsi="Courier New" w:cs="Courier New" w:hint="default"/>
      </w:rPr>
    </w:lvl>
    <w:lvl w:ilvl="8" w:tplc="A8D47070" w:tentative="1">
      <w:start w:val="1"/>
      <w:numFmt w:val="bullet"/>
      <w:lvlText w:val=""/>
      <w:lvlJc w:val="left"/>
      <w:pPr>
        <w:ind w:left="7200" w:hanging="360"/>
      </w:pPr>
      <w:rPr>
        <w:rFonts w:ascii="Wingdings" w:hAnsi="Wingdings" w:hint="default"/>
      </w:rPr>
    </w:lvl>
  </w:abstractNum>
  <w:abstractNum w:abstractNumId="19" w15:restartNumberingAfterBreak="0">
    <w:nsid w:val="6A2612B6"/>
    <w:multiLevelType w:val="multilevel"/>
    <w:tmpl w:val="680286EE"/>
    <w:lvl w:ilvl="0">
      <w:start w:val="1"/>
      <w:numFmt w:val="decimal"/>
      <w:lvlText w:val="%1"/>
      <w:lvlJc w:val="left"/>
      <w:pPr>
        <w:tabs>
          <w:tab w:val="num" w:pos="851"/>
        </w:tabs>
        <w:ind w:left="851" w:hanging="851"/>
      </w:pPr>
      <w:rPr>
        <w:rFonts w:hint="default"/>
        <w:i w:val="0"/>
      </w:rPr>
    </w:lvl>
    <w:lvl w:ilvl="1">
      <w:start w:val="1"/>
      <w:numFmt w:val="decimal"/>
      <w:pStyle w:val="Heading2"/>
      <w:lvlText w:val="%1.%2"/>
      <w:lvlJc w:val="left"/>
      <w:pPr>
        <w:ind w:left="576" w:hanging="576"/>
      </w:pPr>
      <w:rPr>
        <w:rFonts w:ascii="Times New Roman" w:hAnsi="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20" w15:restartNumberingAfterBreak="0">
    <w:nsid w:val="6DC74CF4"/>
    <w:multiLevelType w:val="hybridMultilevel"/>
    <w:tmpl w:val="FE769FCE"/>
    <w:lvl w:ilvl="0" w:tplc="61B82F7E">
      <w:start w:val="1"/>
      <w:numFmt w:val="decimal"/>
      <w:lvlText w:val="%1."/>
      <w:lvlJc w:val="left"/>
      <w:pPr>
        <w:ind w:left="720" w:hanging="360"/>
      </w:pPr>
      <w:rPr>
        <w:rFonts w:cs="Times New Roman"/>
      </w:rPr>
    </w:lvl>
    <w:lvl w:ilvl="1" w:tplc="49CA5C7C" w:tentative="1">
      <w:start w:val="1"/>
      <w:numFmt w:val="lowerLetter"/>
      <w:lvlText w:val="%2."/>
      <w:lvlJc w:val="left"/>
      <w:pPr>
        <w:ind w:left="1440" w:hanging="360"/>
      </w:pPr>
      <w:rPr>
        <w:rFonts w:cs="Times New Roman"/>
      </w:rPr>
    </w:lvl>
    <w:lvl w:ilvl="2" w:tplc="8624B3CE" w:tentative="1">
      <w:start w:val="1"/>
      <w:numFmt w:val="lowerRoman"/>
      <w:lvlText w:val="%3."/>
      <w:lvlJc w:val="right"/>
      <w:pPr>
        <w:ind w:left="2160" w:hanging="180"/>
      </w:pPr>
      <w:rPr>
        <w:rFonts w:cs="Times New Roman"/>
      </w:rPr>
    </w:lvl>
    <w:lvl w:ilvl="3" w:tplc="9C7A743C" w:tentative="1">
      <w:start w:val="1"/>
      <w:numFmt w:val="decimal"/>
      <w:lvlText w:val="%4."/>
      <w:lvlJc w:val="left"/>
      <w:pPr>
        <w:ind w:left="2880" w:hanging="360"/>
      </w:pPr>
      <w:rPr>
        <w:rFonts w:cs="Times New Roman"/>
      </w:rPr>
    </w:lvl>
    <w:lvl w:ilvl="4" w:tplc="9D0C69B4" w:tentative="1">
      <w:start w:val="1"/>
      <w:numFmt w:val="lowerLetter"/>
      <w:lvlText w:val="%5."/>
      <w:lvlJc w:val="left"/>
      <w:pPr>
        <w:ind w:left="3600" w:hanging="360"/>
      </w:pPr>
      <w:rPr>
        <w:rFonts w:cs="Times New Roman"/>
      </w:rPr>
    </w:lvl>
    <w:lvl w:ilvl="5" w:tplc="B12EB252" w:tentative="1">
      <w:start w:val="1"/>
      <w:numFmt w:val="lowerRoman"/>
      <w:lvlText w:val="%6."/>
      <w:lvlJc w:val="right"/>
      <w:pPr>
        <w:ind w:left="4320" w:hanging="180"/>
      </w:pPr>
      <w:rPr>
        <w:rFonts w:cs="Times New Roman"/>
      </w:rPr>
    </w:lvl>
    <w:lvl w:ilvl="6" w:tplc="74F09CA4" w:tentative="1">
      <w:start w:val="1"/>
      <w:numFmt w:val="decimal"/>
      <w:lvlText w:val="%7."/>
      <w:lvlJc w:val="left"/>
      <w:pPr>
        <w:ind w:left="5040" w:hanging="360"/>
      </w:pPr>
      <w:rPr>
        <w:rFonts w:cs="Times New Roman"/>
      </w:rPr>
    </w:lvl>
    <w:lvl w:ilvl="7" w:tplc="C2E8D63E" w:tentative="1">
      <w:start w:val="1"/>
      <w:numFmt w:val="lowerLetter"/>
      <w:lvlText w:val="%8."/>
      <w:lvlJc w:val="left"/>
      <w:pPr>
        <w:ind w:left="5760" w:hanging="360"/>
      </w:pPr>
      <w:rPr>
        <w:rFonts w:cs="Times New Roman"/>
      </w:rPr>
    </w:lvl>
    <w:lvl w:ilvl="8" w:tplc="C0DC4D36" w:tentative="1">
      <w:start w:val="1"/>
      <w:numFmt w:val="lowerRoman"/>
      <w:lvlText w:val="%9."/>
      <w:lvlJc w:val="right"/>
      <w:pPr>
        <w:ind w:left="6480" w:hanging="180"/>
      </w:pPr>
      <w:rPr>
        <w:rFonts w:cs="Times New Roman"/>
      </w:rPr>
    </w:lvl>
  </w:abstractNum>
  <w:abstractNum w:abstractNumId="21" w15:restartNumberingAfterBreak="0">
    <w:nsid w:val="70B92F93"/>
    <w:multiLevelType w:val="hybridMultilevel"/>
    <w:tmpl w:val="FF10B160"/>
    <w:lvl w:ilvl="0" w:tplc="0C090001">
      <w:start w:val="1"/>
      <w:numFmt w:val="bullet"/>
      <w:lvlText w:val=""/>
      <w:lvlJc w:val="left"/>
      <w:pPr>
        <w:tabs>
          <w:tab w:val="num" w:pos="360"/>
        </w:tabs>
        <w:ind w:left="360" w:hanging="360"/>
      </w:pPr>
      <w:rPr>
        <w:rFonts w:ascii="Symbol" w:hAnsi="Symbol" w:hint="default"/>
      </w:rPr>
    </w:lvl>
    <w:lvl w:ilvl="1" w:tplc="0C090003">
      <w:start w:val="1"/>
      <w:numFmt w:val="lowerLetter"/>
      <w:lvlText w:val="%2."/>
      <w:lvlJc w:val="left"/>
      <w:pPr>
        <w:tabs>
          <w:tab w:val="num" w:pos="1080"/>
        </w:tabs>
        <w:ind w:left="1080" w:hanging="360"/>
      </w:pPr>
    </w:lvl>
    <w:lvl w:ilvl="2" w:tplc="0C090005" w:tentative="1">
      <w:start w:val="1"/>
      <w:numFmt w:val="lowerRoman"/>
      <w:lvlText w:val="%3."/>
      <w:lvlJc w:val="right"/>
      <w:pPr>
        <w:tabs>
          <w:tab w:val="num" w:pos="1800"/>
        </w:tabs>
        <w:ind w:left="1800" w:hanging="180"/>
      </w:pPr>
    </w:lvl>
    <w:lvl w:ilvl="3" w:tplc="0C090001" w:tentative="1">
      <w:start w:val="1"/>
      <w:numFmt w:val="decimal"/>
      <w:lvlText w:val="%4."/>
      <w:lvlJc w:val="left"/>
      <w:pPr>
        <w:tabs>
          <w:tab w:val="num" w:pos="2520"/>
        </w:tabs>
        <w:ind w:left="2520" w:hanging="360"/>
      </w:pPr>
    </w:lvl>
    <w:lvl w:ilvl="4" w:tplc="0C090003" w:tentative="1">
      <w:start w:val="1"/>
      <w:numFmt w:val="lowerLetter"/>
      <w:lvlText w:val="%5."/>
      <w:lvlJc w:val="left"/>
      <w:pPr>
        <w:tabs>
          <w:tab w:val="num" w:pos="3240"/>
        </w:tabs>
        <w:ind w:left="3240" w:hanging="360"/>
      </w:pPr>
    </w:lvl>
    <w:lvl w:ilvl="5" w:tplc="0C090005" w:tentative="1">
      <w:start w:val="1"/>
      <w:numFmt w:val="lowerRoman"/>
      <w:lvlText w:val="%6."/>
      <w:lvlJc w:val="right"/>
      <w:pPr>
        <w:tabs>
          <w:tab w:val="num" w:pos="3960"/>
        </w:tabs>
        <w:ind w:left="3960" w:hanging="180"/>
      </w:pPr>
    </w:lvl>
    <w:lvl w:ilvl="6" w:tplc="0C090001" w:tentative="1">
      <w:start w:val="1"/>
      <w:numFmt w:val="decimal"/>
      <w:lvlText w:val="%7."/>
      <w:lvlJc w:val="left"/>
      <w:pPr>
        <w:tabs>
          <w:tab w:val="num" w:pos="4680"/>
        </w:tabs>
        <w:ind w:left="4680" w:hanging="360"/>
      </w:pPr>
    </w:lvl>
    <w:lvl w:ilvl="7" w:tplc="0C090003" w:tentative="1">
      <w:start w:val="1"/>
      <w:numFmt w:val="lowerLetter"/>
      <w:lvlText w:val="%8."/>
      <w:lvlJc w:val="left"/>
      <w:pPr>
        <w:tabs>
          <w:tab w:val="num" w:pos="5400"/>
        </w:tabs>
        <w:ind w:left="5400" w:hanging="360"/>
      </w:pPr>
    </w:lvl>
    <w:lvl w:ilvl="8" w:tplc="0C090005" w:tentative="1">
      <w:start w:val="1"/>
      <w:numFmt w:val="lowerRoman"/>
      <w:lvlText w:val="%9."/>
      <w:lvlJc w:val="right"/>
      <w:pPr>
        <w:tabs>
          <w:tab w:val="num" w:pos="6120"/>
        </w:tabs>
        <w:ind w:left="6120" w:hanging="180"/>
      </w:pPr>
    </w:lvl>
  </w:abstractNum>
  <w:abstractNum w:abstractNumId="22" w15:restartNumberingAfterBreak="0">
    <w:nsid w:val="737E7E88"/>
    <w:multiLevelType w:val="hybridMultilevel"/>
    <w:tmpl w:val="E1E0FA7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748B468F"/>
    <w:multiLevelType w:val="hybridMultilevel"/>
    <w:tmpl w:val="3328EE34"/>
    <w:lvl w:ilvl="0" w:tplc="E758DE6E">
      <w:start w:val="1"/>
      <w:numFmt w:val="bullet"/>
      <w:lvlText w:val="•"/>
      <w:lvlJc w:val="left"/>
      <w:pPr>
        <w:tabs>
          <w:tab w:val="num" w:pos="720"/>
        </w:tabs>
        <w:ind w:left="720" w:hanging="360"/>
      </w:pPr>
      <w:rPr>
        <w:rFonts w:ascii="Arial" w:hAnsi="Arial" w:hint="default"/>
      </w:rPr>
    </w:lvl>
    <w:lvl w:ilvl="1" w:tplc="AFDC1F4A">
      <w:start w:val="1"/>
      <w:numFmt w:val="bullet"/>
      <w:lvlText w:val="•"/>
      <w:lvlJc w:val="left"/>
      <w:pPr>
        <w:tabs>
          <w:tab w:val="num" w:pos="1440"/>
        </w:tabs>
        <w:ind w:left="1440" w:hanging="360"/>
      </w:pPr>
      <w:rPr>
        <w:rFonts w:ascii="Arial" w:hAnsi="Arial" w:hint="default"/>
      </w:rPr>
    </w:lvl>
    <w:lvl w:ilvl="2" w:tplc="DD3E510E">
      <w:start w:val="55"/>
      <w:numFmt w:val="bullet"/>
      <w:lvlText w:val="•"/>
      <w:lvlJc w:val="left"/>
      <w:pPr>
        <w:tabs>
          <w:tab w:val="num" w:pos="2160"/>
        </w:tabs>
        <w:ind w:left="2160" w:hanging="360"/>
      </w:pPr>
      <w:rPr>
        <w:rFonts w:ascii="Arial" w:hAnsi="Arial" w:hint="default"/>
      </w:rPr>
    </w:lvl>
    <w:lvl w:ilvl="3" w:tplc="E830FBD4" w:tentative="1">
      <w:start w:val="1"/>
      <w:numFmt w:val="bullet"/>
      <w:lvlText w:val="•"/>
      <w:lvlJc w:val="left"/>
      <w:pPr>
        <w:tabs>
          <w:tab w:val="num" w:pos="2880"/>
        </w:tabs>
        <w:ind w:left="2880" w:hanging="360"/>
      </w:pPr>
      <w:rPr>
        <w:rFonts w:ascii="Arial" w:hAnsi="Arial" w:hint="default"/>
      </w:rPr>
    </w:lvl>
    <w:lvl w:ilvl="4" w:tplc="7DD01840" w:tentative="1">
      <w:start w:val="1"/>
      <w:numFmt w:val="bullet"/>
      <w:lvlText w:val="•"/>
      <w:lvlJc w:val="left"/>
      <w:pPr>
        <w:tabs>
          <w:tab w:val="num" w:pos="3600"/>
        </w:tabs>
        <w:ind w:left="3600" w:hanging="360"/>
      </w:pPr>
      <w:rPr>
        <w:rFonts w:ascii="Arial" w:hAnsi="Arial" w:hint="default"/>
      </w:rPr>
    </w:lvl>
    <w:lvl w:ilvl="5" w:tplc="C12EA3C8" w:tentative="1">
      <w:start w:val="1"/>
      <w:numFmt w:val="bullet"/>
      <w:lvlText w:val="•"/>
      <w:lvlJc w:val="left"/>
      <w:pPr>
        <w:tabs>
          <w:tab w:val="num" w:pos="4320"/>
        </w:tabs>
        <w:ind w:left="4320" w:hanging="360"/>
      </w:pPr>
      <w:rPr>
        <w:rFonts w:ascii="Arial" w:hAnsi="Arial" w:hint="default"/>
      </w:rPr>
    </w:lvl>
    <w:lvl w:ilvl="6" w:tplc="BCF80416" w:tentative="1">
      <w:start w:val="1"/>
      <w:numFmt w:val="bullet"/>
      <w:lvlText w:val="•"/>
      <w:lvlJc w:val="left"/>
      <w:pPr>
        <w:tabs>
          <w:tab w:val="num" w:pos="5040"/>
        </w:tabs>
        <w:ind w:left="5040" w:hanging="360"/>
      </w:pPr>
      <w:rPr>
        <w:rFonts w:ascii="Arial" w:hAnsi="Arial" w:hint="default"/>
      </w:rPr>
    </w:lvl>
    <w:lvl w:ilvl="7" w:tplc="2DB6F500" w:tentative="1">
      <w:start w:val="1"/>
      <w:numFmt w:val="bullet"/>
      <w:lvlText w:val="•"/>
      <w:lvlJc w:val="left"/>
      <w:pPr>
        <w:tabs>
          <w:tab w:val="num" w:pos="5760"/>
        </w:tabs>
        <w:ind w:left="5760" w:hanging="360"/>
      </w:pPr>
      <w:rPr>
        <w:rFonts w:ascii="Arial" w:hAnsi="Arial" w:hint="default"/>
      </w:rPr>
    </w:lvl>
    <w:lvl w:ilvl="8" w:tplc="B69E39E6" w:tentative="1">
      <w:start w:val="1"/>
      <w:numFmt w:val="bullet"/>
      <w:lvlText w:val="•"/>
      <w:lvlJc w:val="left"/>
      <w:pPr>
        <w:tabs>
          <w:tab w:val="num" w:pos="6480"/>
        </w:tabs>
        <w:ind w:left="6480" w:hanging="360"/>
      </w:pPr>
      <w:rPr>
        <w:rFonts w:ascii="Arial" w:hAnsi="Arial" w:hint="default"/>
      </w:rPr>
    </w:lvl>
  </w:abstractNum>
  <w:abstractNum w:abstractNumId="24" w15:restartNumberingAfterBreak="0">
    <w:nsid w:val="76A73480"/>
    <w:multiLevelType w:val="hybridMultilevel"/>
    <w:tmpl w:val="A49C98F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776E7C42"/>
    <w:multiLevelType w:val="multilevel"/>
    <w:tmpl w:val="1A42B0FE"/>
    <w:lvl w:ilvl="0">
      <w:start w:val="1"/>
      <w:numFmt w:val="bullet"/>
      <w:pStyle w:val="ListBullet"/>
      <w:lvlText w:val="–"/>
      <w:lvlJc w:val="left"/>
      <w:pPr>
        <w:tabs>
          <w:tab w:val="num" w:pos="360"/>
        </w:tabs>
        <w:ind w:left="360" w:hanging="360"/>
      </w:pPr>
      <w:rPr>
        <w:rFonts w:ascii="Times New Roman" w:hAnsi="Times New Roman" w:cs="Times New Roman" w:hint="default"/>
      </w:rPr>
    </w:lvl>
    <w:lvl w:ilvl="1">
      <w:start w:val="1"/>
      <w:numFmt w:val="bullet"/>
      <w:lvlText w:val="•"/>
      <w:lvlJc w:val="left"/>
      <w:pPr>
        <w:tabs>
          <w:tab w:val="num" w:pos="720"/>
        </w:tabs>
        <w:ind w:left="720" w:hanging="360"/>
      </w:pPr>
      <w:rPr>
        <w:rFonts w:ascii="Times New Roman" w:hAnsi="Times New Roman" w:cs="Times New Roman" w:hint="default"/>
      </w:rPr>
    </w:lvl>
    <w:lvl w:ilvl="2">
      <w:start w:val="1"/>
      <w:numFmt w:val="bullet"/>
      <w:pStyle w:val="ListBullet"/>
      <w:lvlText w:val="▪"/>
      <w:lvlJc w:val="left"/>
      <w:pPr>
        <w:tabs>
          <w:tab w:val="num" w:pos="1080"/>
        </w:tabs>
        <w:ind w:left="1080" w:hanging="360"/>
      </w:pPr>
      <w:rPr>
        <w:rFonts w:ascii="Times New Roman" w:hAnsi="Times New Roman" w:cs="Times New Roman" w:hint="default"/>
      </w:rPr>
    </w:lvl>
    <w:lvl w:ilvl="3">
      <w:start w:val="1"/>
      <w:numFmt w:val="bullet"/>
      <w:lvlText w:val=""/>
      <w:lvlJc w:val="left"/>
      <w:pPr>
        <w:tabs>
          <w:tab w:val="num" w:pos="1440"/>
        </w:tabs>
        <w:ind w:left="1440" w:hanging="360"/>
      </w:pPr>
      <w:rPr>
        <w:rFonts w:ascii="Wingdings 3" w:hAnsi="Wingdings 3" w:hint="default"/>
      </w:rPr>
    </w:lvl>
    <w:lvl w:ilvl="4">
      <w:start w:val="1"/>
      <w:numFmt w:val="bullet"/>
      <w:lvlText w:val=""/>
      <w:lvlJc w:val="left"/>
      <w:pPr>
        <w:tabs>
          <w:tab w:val="num" w:pos="1800"/>
        </w:tabs>
        <w:ind w:left="1800" w:hanging="360"/>
      </w:pPr>
      <w:rPr>
        <w:rFonts w:ascii="Wingdings" w:hAnsi="Wingdings" w:hint="default"/>
        <w:sz w:val="16"/>
      </w:rPr>
    </w:lvl>
    <w:lvl w:ilvl="5">
      <w:start w:val="1"/>
      <w:numFmt w:val="none"/>
      <w:lvlText w:val=""/>
      <w:lvlJc w:val="left"/>
      <w:pPr>
        <w:tabs>
          <w:tab w:val="num" w:pos="2160"/>
        </w:tabs>
        <w:ind w:left="2160" w:hanging="360"/>
      </w:pPr>
    </w:lvl>
    <w:lvl w:ilvl="6">
      <w:start w:val="1"/>
      <w:numFmt w:val="none"/>
      <w:lvlText w:val=""/>
      <w:lvlJc w:val="left"/>
      <w:pPr>
        <w:tabs>
          <w:tab w:val="num" w:pos="2520"/>
        </w:tabs>
        <w:ind w:left="2520" w:hanging="360"/>
      </w:pPr>
    </w:lvl>
    <w:lvl w:ilvl="7">
      <w:start w:val="1"/>
      <w:numFmt w:val="none"/>
      <w:lvlText w:val=""/>
      <w:lvlJc w:val="left"/>
      <w:pPr>
        <w:tabs>
          <w:tab w:val="num" w:pos="2880"/>
        </w:tabs>
        <w:ind w:left="2880" w:hanging="360"/>
      </w:pPr>
    </w:lvl>
    <w:lvl w:ilvl="8">
      <w:start w:val="1"/>
      <w:numFmt w:val="none"/>
      <w:lvlText w:val=""/>
      <w:lvlJc w:val="left"/>
      <w:pPr>
        <w:tabs>
          <w:tab w:val="num" w:pos="3240"/>
        </w:tabs>
        <w:ind w:left="3240" w:hanging="360"/>
      </w:pPr>
    </w:lvl>
  </w:abstractNum>
  <w:abstractNum w:abstractNumId="26" w15:restartNumberingAfterBreak="0">
    <w:nsid w:val="7B327A85"/>
    <w:multiLevelType w:val="hybridMultilevel"/>
    <w:tmpl w:val="048E0478"/>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7" w15:restartNumberingAfterBreak="0">
    <w:nsid w:val="7F500511"/>
    <w:multiLevelType w:val="hybridMultilevel"/>
    <w:tmpl w:val="C7827518"/>
    <w:lvl w:ilvl="0" w:tplc="B6CAE51C">
      <w:start w:val="1"/>
      <w:numFmt w:val="decimal"/>
      <w:pStyle w:val="Numbereditalicisedlist"/>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19"/>
  </w:num>
  <w:num w:numId="2">
    <w:abstractNumId w:val="19"/>
  </w:num>
  <w:num w:numId="3">
    <w:abstractNumId w:val="19"/>
  </w:num>
  <w:num w:numId="4">
    <w:abstractNumId w:val="19"/>
  </w:num>
  <w:num w:numId="5">
    <w:abstractNumId w:val="19"/>
  </w:num>
  <w:num w:numId="6">
    <w:abstractNumId w:val="17"/>
  </w:num>
  <w:num w:numId="7">
    <w:abstractNumId w:val="17"/>
  </w:num>
  <w:num w:numId="8">
    <w:abstractNumId w:val="6"/>
  </w:num>
  <w:num w:numId="9">
    <w:abstractNumId w:val="7"/>
  </w:num>
  <w:num w:numId="10">
    <w:abstractNumId w:val="13"/>
  </w:num>
  <w:num w:numId="11">
    <w:abstractNumId w:val="12"/>
  </w:num>
  <w:num w:numId="12">
    <w:abstractNumId w:val="0"/>
  </w:num>
  <w:num w:numId="13">
    <w:abstractNumId w:val="25"/>
    <w:lvlOverride w:ilvl="0"/>
    <w:lvlOverride w:ilvl="1"/>
    <w:lvlOverride w:ilvl="2"/>
    <w:lvlOverride w:ilvl="3"/>
    <w:lvlOverride w:ilvl="4"/>
    <w:lvlOverride w:ilvl="5">
      <w:startOverride w:val="1"/>
    </w:lvlOverride>
    <w:lvlOverride w:ilvl="6">
      <w:startOverride w:val="1"/>
    </w:lvlOverride>
    <w:lvlOverride w:ilvl="7">
      <w:startOverride w:val="1"/>
    </w:lvlOverride>
    <w:lvlOverride w:ilvl="8">
      <w:startOverride w:val="1"/>
    </w:lvlOverride>
  </w:num>
  <w:num w:numId="14">
    <w:abstractNumId w:val="18"/>
  </w:num>
  <w:num w:numId="15">
    <w:abstractNumId w:val="10"/>
  </w:num>
  <w:num w:numId="16">
    <w:abstractNumId w:val="8"/>
  </w:num>
  <w:num w:numId="17">
    <w:abstractNumId w:val="1"/>
  </w:num>
  <w:num w:numId="18">
    <w:abstractNumId w:val="20"/>
  </w:num>
  <w:num w:numId="19">
    <w:abstractNumId w:val="4"/>
  </w:num>
  <w:num w:numId="20">
    <w:abstractNumId w:val="22"/>
  </w:num>
  <w:num w:numId="21">
    <w:abstractNumId w:val="27"/>
  </w:num>
  <w:num w:numId="22">
    <w:abstractNumId w:val="27"/>
    <w:lvlOverride w:ilvl="0">
      <w:startOverride w:val="1"/>
    </w:lvlOverride>
  </w:num>
  <w:num w:numId="23">
    <w:abstractNumId w:val="27"/>
    <w:lvlOverride w:ilvl="0">
      <w:startOverride w:val="1"/>
    </w:lvlOverride>
  </w:num>
  <w:num w:numId="24">
    <w:abstractNumId w:val="7"/>
    <w:lvlOverride w:ilvl="0">
      <w:startOverride w:val="1"/>
    </w:lvlOverride>
  </w:num>
  <w:num w:numId="25">
    <w:abstractNumId w:val="7"/>
    <w:lvlOverride w:ilvl="0">
      <w:startOverride w:val="1"/>
    </w:lvlOverride>
  </w:num>
  <w:num w:numId="26">
    <w:abstractNumId w:val="7"/>
    <w:lvlOverride w:ilvl="0">
      <w:startOverride w:val="1"/>
    </w:lvlOverride>
  </w:num>
  <w:num w:numId="27">
    <w:abstractNumId w:val="7"/>
    <w:lvlOverride w:ilvl="0">
      <w:startOverride w:val="1"/>
    </w:lvlOverride>
  </w:num>
  <w:num w:numId="28">
    <w:abstractNumId w:val="7"/>
    <w:lvlOverride w:ilvl="0">
      <w:startOverride w:val="1"/>
    </w:lvlOverride>
  </w:num>
  <w:num w:numId="29">
    <w:abstractNumId w:val="14"/>
  </w:num>
  <w:num w:numId="30">
    <w:abstractNumId w:val="21"/>
  </w:num>
  <w:num w:numId="31">
    <w:abstractNumId w:val="16"/>
  </w:num>
  <w:num w:numId="32">
    <w:abstractNumId w:val="2"/>
  </w:num>
  <w:num w:numId="33">
    <w:abstractNumId w:val="23"/>
  </w:num>
  <w:num w:numId="34">
    <w:abstractNumId w:val="3"/>
  </w:num>
  <w:num w:numId="35">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9"/>
  </w:num>
  <w:num w:numId="37">
    <w:abstractNumId w:val="15"/>
  </w:num>
  <w:num w:numId="38">
    <w:abstractNumId w:val="9"/>
    <w:lvlOverride w:ilvl="0">
      <w:startOverride w:val="3"/>
    </w:lvlOverride>
    <w:lvlOverride w:ilvl="1">
      <w:startOverride w:val="2"/>
    </w:lvlOverride>
  </w:num>
  <w:num w:numId="39">
    <w:abstractNumId w:val="9"/>
  </w:num>
  <w:num w:numId="4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24"/>
  </w:num>
  <w:num w:numId="42">
    <w:abstractNumId w:val="11"/>
  </w:num>
  <w:num w:numId="43">
    <w:abstractNumId w:val="5"/>
  </w:num>
  <w:num w:numId="44">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mirrorMargins/>
  <w:defaultTabStop w:val="720"/>
  <w:characterSpacingControl w:val="doNotCompres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EN.InstantFormat" w:val="&lt;ENInstantFormat&gt;&lt;Enabled&gt;0&lt;/Enabled&gt;&lt;ScanUnformatted&gt;1&lt;/ScanUnformatted&gt;&lt;ScanChanges&gt;1&lt;/ScanChanges&gt;&lt;/ENInstantFormat&gt;"/>
  </w:docVars>
  <w:rsids>
    <w:rsidRoot w:val="003D74C2"/>
    <w:rsid w:val="00000E56"/>
    <w:rsid w:val="00002BC2"/>
    <w:rsid w:val="00003496"/>
    <w:rsid w:val="000034CB"/>
    <w:rsid w:val="000044E4"/>
    <w:rsid w:val="0000539F"/>
    <w:rsid w:val="00005C46"/>
    <w:rsid w:val="00005D29"/>
    <w:rsid w:val="000061C7"/>
    <w:rsid w:val="00006755"/>
    <w:rsid w:val="00006B6A"/>
    <w:rsid w:val="00007C1A"/>
    <w:rsid w:val="00007C32"/>
    <w:rsid w:val="00007D8F"/>
    <w:rsid w:val="00010981"/>
    <w:rsid w:val="00011355"/>
    <w:rsid w:val="000117AC"/>
    <w:rsid w:val="000118DF"/>
    <w:rsid w:val="000122FC"/>
    <w:rsid w:val="0001234C"/>
    <w:rsid w:val="0001269E"/>
    <w:rsid w:val="000134B3"/>
    <w:rsid w:val="00013F5F"/>
    <w:rsid w:val="00014719"/>
    <w:rsid w:val="00014EE7"/>
    <w:rsid w:val="00017174"/>
    <w:rsid w:val="00017A93"/>
    <w:rsid w:val="00017F35"/>
    <w:rsid w:val="00020749"/>
    <w:rsid w:val="00020C6D"/>
    <w:rsid w:val="00020DB7"/>
    <w:rsid w:val="0002368C"/>
    <w:rsid w:val="000241E7"/>
    <w:rsid w:val="000245B3"/>
    <w:rsid w:val="00027412"/>
    <w:rsid w:val="00031A59"/>
    <w:rsid w:val="00031E8B"/>
    <w:rsid w:val="00032651"/>
    <w:rsid w:val="0003284F"/>
    <w:rsid w:val="000332B0"/>
    <w:rsid w:val="00033362"/>
    <w:rsid w:val="00033AB4"/>
    <w:rsid w:val="00035DEE"/>
    <w:rsid w:val="00035E08"/>
    <w:rsid w:val="000401E0"/>
    <w:rsid w:val="000402A0"/>
    <w:rsid w:val="00040872"/>
    <w:rsid w:val="00040E60"/>
    <w:rsid w:val="00041A27"/>
    <w:rsid w:val="00042392"/>
    <w:rsid w:val="000432E1"/>
    <w:rsid w:val="00043C2B"/>
    <w:rsid w:val="00043D56"/>
    <w:rsid w:val="0004410F"/>
    <w:rsid w:val="00044276"/>
    <w:rsid w:val="000445C4"/>
    <w:rsid w:val="00045B89"/>
    <w:rsid w:val="00046426"/>
    <w:rsid w:val="0004670A"/>
    <w:rsid w:val="00046CDF"/>
    <w:rsid w:val="00050228"/>
    <w:rsid w:val="00050F2B"/>
    <w:rsid w:val="00052566"/>
    <w:rsid w:val="000525BD"/>
    <w:rsid w:val="00052E1F"/>
    <w:rsid w:val="00053311"/>
    <w:rsid w:val="000538F8"/>
    <w:rsid w:val="00055310"/>
    <w:rsid w:val="000566A9"/>
    <w:rsid w:val="00056FF1"/>
    <w:rsid w:val="00057923"/>
    <w:rsid w:val="00062D29"/>
    <w:rsid w:val="0006556E"/>
    <w:rsid w:val="000660BB"/>
    <w:rsid w:val="0007102F"/>
    <w:rsid w:val="000710D7"/>
    <w:rsid w:val="0007137F"/>
    <w:rsid w:val="00072335"/>
    <w:rsid w:val="000724F8"/>
    <w:rsid w:val="00073566"/>
    <w:rsid w:val="00073EC6"/>
    <w:rsid w:val="00073F7E"/>
    <w:rsid w:val="00074339"/>
    <w:rsid w:val="00074646"/>
    <w:rsid w:val="000758BA"/>
    <w:rsid w:val="00076196"/>
    <w:rsid w:val="00077841"/>
    <w:rsid w:val="00077D1F"/>
    <w:rsid w:val="00080DD1"/>
    <w:rsid w:val="00082DE3"/>
    <w:rsid w:val="00082E27"/>
    <w:rsid w:val="000834AD"/>
    <w:rsid w:val="00084E75"/>
    <w:rsid w:val="000879B1"/>
    <w:rsid w:val="00090898"/>
    <w:rsid w:val="00090CAC"/>
    <w:rsid w:val="00090E0E"/>
    <w:rsid w:val="000913AF"/>
    <w:rsid w:val="0009142B"/>
    <w:rsid w:val="000923DC"/>
    <w:rsid w:val="0009243E"/>
    <w:rsid w:val="00092BF3"/>
    <w:rsid w:val="00093A6B"/>
    <w:rsid w:val="0009489B"/>
    <w:rsid w:val="00095F71"/>
    <w:rsid w:val="00095FFB"/>
    <w:rsid w:val="00096B8C"/>
    <w:rsid w:val="0009716F"/>
    <w:rsid w:val="000A2225"/>
    <w:rsid w:val="000A258C"/>
    <w:rsid w:val="000A2AB0"/>
    <w:rsid w:val="000A3AFE"/>
    <w:rsid w:val="000A42DA"/>
    <w:rsid w:val="000A4F7E"/>
    <w:rsid w:val="000A5B14"/>
    <w:rsid w:val="000A64B2"/>
    <w:rsid w:val="000A6CF9"/>
    <w:rsid w:val="000A7340"/>
    <w:rsid w:val="000A7C38"/>
    <w:rsid w:val="000B018F"/>
    <w:rsid w:val="000B0B22"/>
    <w:rsid w:val="000B3822"/>
    <w:rsid w:val="000B3CFB"/>
    <w:rsid w:val="000B446F"/>
    <w:rsid w:val="000B501F"/>
    <w:rsid w:val="000B5B03"/>
    <w:rsid w:val="000B6353"/>
    <w:rsid w:val="000C0E2F"/>
    <w:rsid w:val="000C1BC8"/>
    <w:rsid w:val="000C2424"/>
    <w:rsid w:val="000C3827"/>
    <w:rsid w:val="000C4E64"/>
    <w:rsid w:val="000C68CB"/>
    <w:rsid w:val="000C7E9D"/>
    <w:rsid w:val="000D0BF2"/>
    <w:rsid w:val="000D1B9D"/>
    <w:rsid w:val="000D217F"/>
    <w:rsid w:val="000D3149"/>
    <w:rsid w:val="000D3699"/>
    <w:rsid w:val="000D3C13"/>
    <w:rsid w:val="000D3E69"/>
    <w:rsid w:val="000D4585"/>
    <w:rsid w:val="000D6D70"/>
    <w:rsid w:val="000D7694"/>
    <w:rsid w:val="000D7A1F"/>
    <w:rsid w:val="000D7FF6"/>
    <w:rsid w:val="000E0C23"/>
    <w:rsid w:val="000E2C6C"/>
    <w:rsid w:val="000E2E48"/>
    <w:rsid w:val="000E3322"/>
    <w:rsid w:val="000E3A1B"/>
    <w:rsid w:val="000E3B79"/>
    <w:rsid w:val="000E4561"/>
    <w:rsid w:val="000E50F0"/>
    <w:rsid w:val="000E78C4"/>
    <w:rsid w:val="000F01C4"/>
    <w:rsid w:val="000F1E53"/>
    <w:rsid w:val="000F2D03"/>
    <w:rsid w:val="000F2F15"/>
    <w:rsid w:val="000F3358"/>
    <w:rsid w:val="000F4084"/>
    <w:rsid w:val="000F488A"/>
    <w:rsid w:val="000F4994"/>
    <w:rsid w:val="000F564C"/>
    <w:rsid w:val="000F57B0"/>
    <w:rsid w:val="000F7720"/>
    <w:rsid w:val="000F796F"/>
    <w:rsid w:val="000F7D3F"/>
    <w:rsid w:val="000F7D91"/>
    <w:rsid w:val="001015A0"/>
    <w:rsid w:val="00101A38"/>
    <w:rsid w:val="00101AD1"/>
    <w:rsid w:val="0010210B"/>
    <w:rsid w:val="001023FA"/>
    <w:rsid w:val="00103B8D"/>
    <w:rsid w:val="00104CB8"/>
    <w:rsid w:val="00105133"/>
    <w:rsid w:val="001057FE"/>
    <w:rsid w:val="00106D36"/>
    <w:rsid w:val="001105E8"/>
    <w:rsid w:val="00110AD7"/>
    <w:rsid w:val="00111205"/>
    <w:rsid w:val="00111669"/>
    <w:rsid w:val="00111690"/>
    <w:rsid w:val="00111889"/>
    <w:rsid w:val="001119D7"/>
    <w:rsid w:val="00112485"/>
    <w:rsid w:val="001125E1"/>
    <w:rsid w:val="0011523E"/>
    <w:rsid w:val="00116840"/>
    <w:rsid w:val="0011753C"/>
    <w:rsid w:val="00120989"/>
    <w:rsid w:val="00121FD9"/>
    <w:rsid w:val="001233BE"/>
    <w:rsid w:val="00124421"/>
    <w:rsid w:val="0012472C"/>
    <w:rsid w:val="0013150E"/>
    <w:rsid w:val="00134C6E"/>
    <w:rsid w:val="0013524B"/>
    <w:rsid w:val="00135BA3"/>
    <w:rsid w:val="00137089"/>
    <w:rsid w:val="0014222D"/>
    <w:rsid w:val="00142611"/>
    <w:rsid w:val="00142F64"/>
    <w:rsid w:val="001462A7"/>
    <w:rsid w:val="001478F3"/>
    <w:rsid w:val="001530C3"/>
    <w:rsid w:val="00153ABA"/>
    <w:rsid w:val="0015551D"/>
    <w:rsid w:val="001565BB"/>
    <w:rsid w:val="00157694"/>
    <w:rsid w:val="00157B1B"/>
    <w:rsid w:val="0016073D"/>
    <w:rsid w:val="001610F2"/>
    <w:rsid w:val="001612DD"/>
    <w:rsid w:val="00161E82"/>
    <w:rsid w:val="00162655"/>
    <w:rsid w:val="00162FB1"/>
    <w:rsid w:val="0016437B"/>
    <w:rsid w:val="001644FD"/>
    <w:rsid w:val="00164C85"/>
    <w:rsid w:val="0016528A"/>
    <w:rsid w:val="001654C1"/>
    <w:rsid w:val="0016697C"/>
    <w:rsid w:val="0016734A"/>
    <w:rsid w:val="00167923"/>
    <w:rsid w:val="00167D6E"/>
    <w:rsid w:val="0017017A"/>
    <w:rsid w:val="0017098E"/>
    <w:rsid w:val="00172646"/>
    <w:rsid w:val="00172EC2"/>
    <w:rsid w:val="00174378"/>
    <w:rsid w:val="00175EC9"/>
    <w:rsid w:val="0017707E"/>
    <w:rsid w:val="0018030C"/>
    <w:rsid w:val="001807EE"/>
    <w:rsid w:val="00182449"/>
    <w:rsid w:val="001828C1"/>
    <w:rsid w:val="00182C21"/>
    <w:rsid w:val="0018444C"/>
    <w:rsid w:val="00184651"/>
    <w:rsid w:val="00184818"/>
    <w:rsid w:val="00184DF4"/>
    <w:rsid w:val="00185045"/>
    <w:rsid w:val="00185400"/>
    <w:rsid w:val="0018549D"/>
    <w:rsid w:val="00185B65"/>
    <w:rsid w:val="001863FF"/>
    <w:rsid w:val="00186CD3"/>
    <w:rsid w:val="00187391"/>
    <w:rsid w:val="00187B74"/>
    <w:rsid w:val="001914A7"/>
    <w:rsid w:val="00191D44"/>
    <w:rsid w:val="00191E2B"/>
    <w:rsid w:val="00191F6D"/>
    <w:rsid w:val="00193821"/>
    <w:rsid w:val="0019444D"/>
    <w:rsid w:val="00194DDB"/>
    <w:rsid w:val="00194F77"/>
    <w:rsid w:val="001974A8"/>
    <w:rsid w:val="001978D1"/>
    <w:rsid w:val="001A196A"/>
    <w:rsid w:val="001A22D8"/>
    <w:rsid w:val="001A2719"/>
    <w:rsid w:val="001A3635"/>
    <w:rsid w:val="001A3C61"/>
    <w:rsid w:val="001A4FA6"/>
    <w:rsid w:val="001A4FBD"/>
    <w:rsid w:val="001A60C7"/>
    <w:rsid w:val="001A61E6"/>
    <w:rsid w:val="001A6A34"/>
    <w:rsid w:val="001A6C59"/>
    <w:rsid w:val="001B30AA"/>
    <w:rsid w:val="001B3348"/>
    <w:rsid w:val="001B3B89"/>
    <w:rsid w:val="001B5649"/>
    <w:rsid w:val="001B5BD8"/>
    <w:rsid w:val="001B5F16"/>
    <w:rsid w:val="001B6192"/>
    <w:rsid w:val="001C1689"/>
    <w:rsid w:val="001C1FFC"/>
    <w:rsid w:val="001C3C33"/>
    <w:rsid w:val="001C46A2"/>
    <w:rsid w:val="001C47CD"/>
    <w:rsid w:val="001C4B36"/>
    <w:rsid w:val="001C598E"/>
    <w:rsid w:val="001C5EDA"/>
    <w:rsid w:val="001C6C93"/>
    <w:rsid w:val="001C74B6"/>
    <w:rsid w:val="001D057C"/>
    <w:rsid w:val="001D24F1"/>
    <w:rsid w:val="001D2EAF"/>
    <w:rsid w:val="001D4092"/>
    <w:rsid w:val="001D4411"/>
    <w:rsid w:val="001D4D56"/>
    <w:rsid w:val="001D681D"/>
    <w:rsid w:val="001E092B"/>
    <w:rsid w:val="001E0E38"/>
    <w:rsid w:val="001E2698"/>
    <w:rsid w:val="001E321C"/>
    <w:rsid w:val="001E35B5"/>
    <w:rsid w:val="001E3A27"/>
    <w:rsid w:val="001E5DA2"/>
    <w:rsid w:val="001E5E08"/>
    <w:rsid w:val="001E61A9"/>
    <w:rsid w:val="001E7026"/>
    <w:rsid w:val="001F0013"/>
    <w:rsid w:val="001F082B"/>
    <w:rsid w:val="001F0B23"/>
    <w:rsid w:val="001F1B73"/>
    <w:rsid w:val="001F1EDC"/>
    <w:rsid w:val="001F21D5"/>
    <w:rsid w:val="001F3789"/>
    <w:rsid w:val="001F479C"/>
    <w:rsid w:val="001F5257"/>
    <w:rsid w:val="001F52E1"/>
    <w:rsid w:val="001F56B5"/>
    <w:rsid w:val="001F5B84"/>
    <w:rsid w:val="00200439"/>
    <w:rsid w:val="0020152C"/>
    <w:rsid w:val="002025AA"/>
    <w:rsid w:val="00202BD4"/>
    <w:rsid w:val="00202CA3"/>
    <w:rsid w:val="00204D18"/>
    <w:rsid w:val="00205156"/>
    <w:rsid w:val="0020695D"/>
    <w:rsid w:val="00206D3F"/>
    <w:rsid w:val="0021062B"/>
    <w:rsid w:val="00210950"/>
    <w:rsid w:val="002112D0"/>
    <w:rsid w:val="002121E8"/>
    <w:rsid w:val="002128A0"/>
    <w:rsid w:val="0021387D"/>
    <w:rsid w:val="002138BF"/>
    <w:rsid w:val="00216101"/>
    <w:rsid w:val="002168E5"/>
    <w:rsid w:val="00216A6A"/>
    <w:rsid w:val="00217012"/>
    <w:rsid w:val="002173A4"/>
    <w:rsid w:val="00217899"/>
    <w:rsid w:val="00217914"/>
    <w:rsid w:val="00220BF2"/>
    <w:rsid w:val="00220EF1"/>
    <w:rsid w:val="0022136B"/>
    <w:rsid w:val="00222CD6"/>
    <w:rsid w:val="00223469"/>
    <w:rsid w:val="002236A1"/>
    <w:rsid w:val="00223C08"/>
    <w:rsid w:val="00224258"/>
    <w:rsid w:val="002258A8"/>
    <w:rsid w:val="00227220"/>
    <w:rsid w:val="00230089"/>
    <w:rsid w:val="00230584"/>
    <w:rsid w:val="00230D03"/>
    <w:rsid w:val="002315B6"/>
    <w:rsid w:val="002321A4"/>
    <w:rsid w:val="0023299C"/>
    <w:rsid w:val="0023351E"/>
    <w:rsid w:val="002344FE"/>
    <w:rsid w:val="00234CA0"/>
    <w:rsid w:val="00235040"/>
    <w:rsid w:val="002356FA"/>
    <w:rsid w:val="00236078"/>
    <w:rsid w:val="002373BE"/>
    <w:rsid w:val="00237578"/>
    <w:rsid w:val="00237B28"/>
    <w:rsid w:val="0024098D"/>
    <w:rsid w:val="0024162B"/>
    <w:rsid w:val="00243767"/>
    <w:rsid w:val="00243B8F"/>
    <w:rsid w:val="00244D1D"/>
    <w:rsid w:val="002451FF"/>
    <w:rsid w:val="00250011"/>
    <w:rsid w:val="002506C8"/>
    <w:rsid w:val="00250F19"/>
    <w:rsid w:val="00251838"/>
    <w:rsid w:val="00252B90"/>
    <w:rsid w:val="00253A3D"/>
    <w:rsid w:val="00254058"/>
    <w:rsid w:val="00254426"/>
    <w:rsid w:val="00254D52"/>
    <w:rsid w:val="0025591F"/>
    <w:rsid w:val="00255D89"/>
    <w:rsid w:val="002579F6"/>
    <w:rsid w:val="00257F5D"/>
    <w:rsid w:val="00260CE8"/>
    <w:rsid w:val="00261658"/>
    <w:rsid w:val="00261751"/>
    <w:rsid w:val="0026461C"/>
    <w:rsid w:val="00265761"/>
    <w:rsid w:val="0027039C"/>
    <w:rsid w:val="00270BEA"/>
    <w:rsid w:val="00272FC8"/>
    <w:rsid w:val="00272FDB"/>
    <w:rsid w:val="00273B01"/>
    <w:rsid w:val="00273D68"/>
    <w:rsid w:val="00274F56"/>
    <w:rsid w:val="0027508C"/>
    <w:rsid w:val="002768AF"/>
    <w:rsid w:val="002772E0"/>
    <w:rsid w:val="00277A77"/>
    <w:rsid w:val="00280865"/>
    <w:rsid w:val="00281D78"/>
    <w:rsid w:val="0028246F"/>
    <w:rsid w:val="00282EBB"/>
    <w:rsid w:val="00283135"/>
    <w:rsid w:val="0028370C"/>
    <w:rsid w:val="00284D06"/>
    <w:rsid w:val="00284F02"/>
    <w:rsid w:val="00285B0D"/>
    <w:rsid w:val="00286B40"/>
    <w:rsid w:val="0028716E"/>
    <w:rsid w:val="00290E9E"/>
    <w:rsid w:val="00291E2A"/>
    <w:rsid w:val="002937B2"/>
    <w:rsid w:val="00294843"/>
    <w:rsid w:val="00294C4B"/>
    <w:rsid w:val="002956C1"/>
    <w:rsid w:val="00296721"/>
    <w:rsid w:val="00297CBB"/>
    <w:rsid w:val="00297F4F"/>
    <w:rsid w:val="002A05B5"/>
    <w:rsid w:val="002A1F22"/>
    <w:rsid w:val="002A2131"/>
    <w:rsid w:val="002A2AD8"/>
    <w:rsid w:val="002A2CBD"/>
    <w:rsid w:val="002A320E"/>
    <w:rsid w:val="002A4F25"/>
    <w:rsid w:val="002A615A"/>
    <w:rsid w:val="002A7B2E"/>
    <w:rsid w:val="002B0D21"/>
    <w:rsid w:val="002B0DD5"/>
    <w:rsid w:val="002B0F00"/>
    <w:rsid w:val="002B143D"/>
    <w:rsid w:val="002B1D0A"/>
    <w:rsid w:val="002B3DE9"/>
    <w:rsid w:val="002B45DD"/>
    <w:rsid w:val="002B4C9A"/>
    <w:rsid w:val="002B507C"/>
    <w:rsid w:val="002B6440"/>
    <w:rsid w:val="002B7229"/>
    <w:rsid w:val="002B7EA1"/>
    <w:rsid w:val="002C02F5"/>
    <w:rsid w:val="002C06AA"/>
    <w:rsid w:val="002C1918"/>
    <w:rsid w:val="002C1CCB"/>
    <w:rsid w:val="002C2586"/>
    <w:rsid w:val="002C2A26"/>
    <w:rsid w:val="002C4267"/>
    <w:rsid w:val="002C46F9"/>
    <w:rsid w:val="002C4EC3"/>
    <w:rsid w:val="002C648B"/>
    <w:rsid w:val="002C6624"/>
    <w:rsid w:val="002D101F"/>
    <w:rsid w:val="002D103D"/>
    <w:rsid w:val="002D1880"/>
    <w:rsid w:val="002D315B"/>
    <w:rsid w:val="002D4338"/>
    <w:rsid w:val="002D49E9"/>
    <w:rsid w:val="002D4FCB"/>
    <w:rsid w:val="002D6A37"/>
    <w:rsid w:val="002D79C5"/>
    <w:rsid w:val="002E1EF4"/>
    <w:rsid w:val="002E21B4"/>
    <w:rsid w:val="002E2C82"/>
    <w:rsid w:val="002E3A61"/>
    <w:rsid w:val="002E3F8F"/>
    <w:rsid w:val="002E59F2"/>
    <w:rsid w:val="002E705E"/>
    <w:rsid w:val="002E7545"/>
    <w:rsid w:val="002F028E"/>
    <w:rsid w:val="002F100D"/>
    <w:rsid w:val="002F2F7C"/>
    <w:rsid w:val="002F43F7"/>
    <w:rsid w:val="002F6174"/>
    <w:rsid w:val="002F66CD"/>
    <w:rsid w:val="002F77C6"/>
    <w:rsid w:val="0030031F"/>
    <w:rsid w:val="00301D14"/>
    <w:rsid w:val="003032EE"/>
    <w:rsid w:val="00304501"/>
    <w:rsid w:val="003053FB"/>
    <w:rsid w:val="00305ED8"/>
    <w:rsid w:val="00306263"/>
    <w:rsid w:val="0030700A"/>
    <w:rsid w:val="003114B7"/>
    <w:rsid w:val="003138FE"/>
    <w:rsid w:val="00315CFB"/>
    <w:rsid w:val="00316BCA"/>
    <w:rsid w:val="0031757E"/>
    <w:rsid w:val="00320025"/>
    <w:rsid w:val="00320748"/>
    <w:rsid w:val="00322297"/>
    <w:rsid w:val="00322470"/>
    <w:rsid w:val="003225AF"/>
    <w:rsid w:val="00323C01"/>
    <w:rsid w:val="00323E70"/>
    <w:rsid w:val="00325302"/>
    <w:rsid w:val="003268F8"/>
    <w:rsid w:val="003302E1"/>
    <w:rsid w:val="00330534"/>
    <w:rsid w:val="00331CD3"/>
    <w:rsid w:val="0033258C"/>
    <w:rsid w:val="00334608"/>
    <w:rsid w:val="00334B7A"/>
    <w:rsid w:val="00335653"/>
    <w:rsid w:val="003358E7"/>
    <w:rsid w:val="00336639"/>
    <w:rsid w:val="003379C8"/>
    <w:rsid w:val="00337DA3"/>
    <w:rsid w:val="00340480"/>
    <w:rsid w:val="00341C33"/>
    <w:rsid w:val="0034226A"/>
    <w:rsid w:val="00342474"/>
    <w:rsid w:val="0034301E"/>
    <w:rsid w:val="00343765"/>
    <w:rsid w:val="00345043"/>
    <w:rsid w:val="00345BEE"/>
    <w:rsid w:val="003470B9"/>
    <w:rsid w:val="00347730"/>
    <w:rsid w:val="003479C2"/>
    <w:rsid w:val="00350555"/>
    <w:rsid w:val="00350A85"/>
    <w:rsid w:val="003519B6"/>
    <w:rsid w:val="003523AE"/>
    <w:rsid w:val="0035515B"/>
    <w:rsid w:val="0035716D"/>
    <w:rsid w:val="0036060E"/>
    <w:rsid w:val="00360AF3"/>
    <w:rsid w:val="00361E0B"/>
    <w:rsid w:val="00362141"/>
    <w:rsid w:val="003625D7"/>
    <w:rsid w:val="00362819"/>
    <w:rsid w:val="00362EEC"/>
    <w:rsid w:val="0036351B"/>
    <w:rsid w:val="00365FE3"/>
    <w:rsid w:val="00367189"/>
    <w:rsid w:val="0037069E"/>
    <w:rsid w:val="00370E7F"/>
    <w:rsid w:val="00371297"/>
    <w:rsid w:val="003715A8"/>
    <w:rsid w:val="00371FCC"/>
    <w:rsid w:val="00373810"/>
    <w:rsid w:val="00374FC8"/>
    <w:rsid w:val="00375740"/>
    <w:rsid w:val="00375937"/>
    <w:rsid w:val="003773DC"/>
    <w:rsid w:val="00377ECC"/>
    <w:rsid w:val="003824FA"/>
    <w:rsid w:val="00382B4F"/>
    <w:rsid w:val="00384D82"/>
    <w:rsid w:val="00385175"/>
    <w:rsid w:val="00385AB6"/>
    <w:rsid w:val="00385AFB"/>
    <w:rsid w:val="00386759"/>
    <w:rsid w:val="00386960"/>
    <w:rsid w:val="003905FA"/>
    <w:rsid w:val="00390987"/>
    <w:rsid w:val="00390ECF"/>
    <w:rsid w:val="00391421"/>
    <w:rsid w:val="00391944"/>
    <w:rsid w:val="00392DDF"/>
    <w:rsid w:val="00393782"/>
    <w:rsid w:val="00393CB2"/>
    <w:rsid w:val="00393CFE"/>
    <w:rsid w:val="00393DAB"/>
    <w:rsid w:val="00395289"/>
    <w:rsid w:val="003964F0"/>
    <w:rsid w:val="00397ADA"/>
    <w:rsid w:val="003A17FD"/>
    <w:rsid w:val="003A2BA8"/>
    <w:rsid w:val="003A2BE0"/>
    <w:rsid w:val="003A32C8"/>
    <w:rsid w:val="003A339E"/>
    <w:rsid w:val="003A3D2D"/>
    <w:rsid w:val="003A52EA"/>
    <w:rsid w:val="003A5365"/>
    <w:rsid w:val="003A68DC"/>
    <w:rsid w:val="003A73B7"/>
    <w:rsid w:val="003B0B3B"/>
    <w:rsid w:val="003B1D1D"/>
    <w:rsid w:val="003B2E5D"/>
    <w:rsid w:val="003B3A57"/>
    <w:rsid w:val="003B4819"/>
    <w:rsid w:val="003B556F"/>
    <w:rsid w:val="003B6C27"/>
    <w:rsid w:val="003C0CF9"/>
    <w:rsid w:val="003C1F0C"/>
    <w:rsid w:val="003C22BA"/>
    <w:rsid w:val="003C3FF6"/>
    <w:rsid w:val="003C439D"/>
    <w:rsid w:val="003C4C05"/>
    <w:rsid w:val="003C6A44"/>
    <w:rsid w:val="003D1003"/>
    <w:rsid w:val="003D2D5D"/>
    <w:rsid w:val="003D3300"/>
    <w:rsid w:val="003D366A"/>
    <w:rsid w:val="003D3D47"/>
    <w:rsid w:val="003D4385"/>
    <w:rsid w:val="003D617B"/>
    <w:rsid w:val="003D6AD2"/>
    <w:rsid w:val="003D6DA2"/>
    <w:rsid w:val="003D74C2"/>
    <w:rsid w:val="003E08C1"/>
    <w:rsid w:val="003E1103"/>
    <w:rsid w:val="003E1D15"/>
    <w:rsid w:val="003E1F34"/>
    <w:rsid w:val="003E2C14"/>
    <w:rsid w:val="003E34CB"/>
    <w:rsid w:val="003E3632"/>
    <w:rsid w:val="003E3997"/>
    <w:rsid w:val="003E4106"/>
    <w:rsid w:val="003E478B"/>
    <w:rsid w:val="003E5F5A"/>
    <w:rsid w:val="003E6F9A"/>
    <w:rsid w:val="003F0462"/>
    <w:rsid w:val="003F0F21"/>
    <w:rsid w:val="003F24C2"/>
    <w:rsid w:val="003F27F0"/>
    <w:rsid w:val="003F2BF4"/>
    <w:rsid w:val="003F36B6"/>
    <w:rsid w:val="003F4767"/>
    <w:rsid w:val="003F6AF8"/>
    <w:rsid w:val="003F6BC4"/>
    <w:rsid w:val="003F7CC8"/>
    <w:rsid w:val="004007B2"/>
    <w:rsid w:val="00400FBE"/>
    <w:rsid w:val="00401862"/>
    <w:rsid w:val="00401C6B"/>
    <w:rsid w:val="00401D2E"/>
    <w:rsid w:val="004030B9"/>
    <w:rsid w:val="00404F9E"/>
    <w:rsid w:val="00405513"/>
    <w:rsid w:val="00405780"/>
    <w:rsid w:val="00405FAA"/>
    <w:rsid w:val="004077FD"/>
    <w:rsid w:val="00410D15"/>
    <w:rsid w:val="00410E87"/>
    <w:rsid w:val="004122FC"/>
    <w:rsid w:val="004126F2"/>
    <w:rsid w:val="00412A58"/>
    <w:rsid w:val="004139FF"/>
    <w:rsid w:val="004147B2"/>
    <w:rsid w:val="00416D84"/>
    <w:rsid w:val="00417A3D"/>
    <w:rsid w:val="004203E9"/>
    <w:rsid w:val="004205E2"/>
    <w:rsid w:val="0042254A"/>
    <w:rsid w:val="004226F8"/>
    <w:rsid w:val="00423F49"/>
    <w:rsid w:val="004260C9"/>
    <w:rsid w:val="00426D03"/>
    <w:rsid w:val="004279EE"/>
    <w:rsid w:val="0043080C"/>
    <w:rsid w:val="00432012"/>
    <w:rsid w:val="00432089"/>
    <w:rsid w:val="00432E43"/>
    <w:rsid w:val="00433148"/>
    <w:rsid w:val="00433F6F"/>
    <w:rsid w:val="004346A4"/>
    <w:rsid w:val="00434EE4"/>
    <w:rsid w:val="00434F94"/>
    <w:rsid w:val="004408E3"/>
    <w:rsid w:val="00440939"/>
    <w:rsid w:val="00440FDF"/>
    <w:rsid w:val="004411EF"/>
    <w:rsid w:val="00441986"/>
    <w:rsid w:val="004419D3"/>
    <w:rsid w:val="00441C12"/>
    <w:rsid w:val="00442522"/>
    <w:rsid w:val="0044272F"/>
    <w:rsid w:val="00442A42"/>
    <w:rsid w:val="00442EBF"/>
    <w:rsid w:val="00443A1D"/>
    <w:rsid w:val="00445361"/>
    <w:rsid w:val="00445425"/>
    <w:rsid w:val="00445736"/>
    <w:rsid w:val="004466B0"/>
    <w:rsid w:val="00446F4C"/>
    <w:rsid w:val="00447EA9"/>
    <w:rsid w:val="00450284"/>
    <w:rsid w:val="00450D76"/>
    <w:rsid w:val="004510FF"/>
    <w:rsid w:val="004549E3"/>
    <w:rsid w:val="00454FAA"/>
    <w:rsid w:val="00456149"/>
    <w:rsid w:val="00456958"/>
    <w:rsid w:val="00456A0F"/>
    <w:rsid w:val="00460062"/>
    <w:rsid w:val="00460B50"/>
    <w:rsid w:val="00463DBD"/>
    <w:rsid w:val="00463F48"/>
    <w:rsid w:val="004648BA"/>
    <w:rsid w:val="00465A59"/>
    <w:rsid w:val="00467CE6"/>
    <w:rsid w:val="00467FB1"/>
    <w:rsid w:val="00470068"/>
    <w:rsid w:val="00470878"/>
    <w:rsid w:val="00470DE5"/>
    <w:rsid w:val="00473440"/>
    <w:rsid w:val="004774AE"/>
    <w:rsid w:val="00477725"/>
    <w:rsid w:val="0047772C"/>
    <w:rsid w:val="00480E85"/>
    <w:rsid w:val="00481FAB"/>
    <w:rsid w:val="004828DB"/>
    <w:rsid w:val="00485146"/>
    <w:rsid w:val="00485467"/>
    <w:rsid w:val="004857BD"/>
    <w:rsid w:val="004877E9"/>
    <w:rsid w:val="00490E26"/>
    <w:rsid w:val="00490F58"/>
    <w:rsid w:val="00491573"/>
    <w:rsid w:val="00492F1E"/>
    <w:rsid w:val="00492FF8"/>
    <w:rsid w:val="00493754"/>
    <w:rsid w:val="004963E0"/>
    <w:rsid w:val="00497612"/>
    <w:rsid w:val="00497B4C"/>
    <w:rsid w:val="004A0E79"/>
    <w:rsid w:val="004A2CB4"/>
    <w:rsid w:val="004A3425"/>
    <w:rsid w:val="004A381D"/>
    <w:rsid w:val="004A3AB1"/>
    <w:rsid w:val="004A5548"/>
    <w:rsid w:val="004A56AF"/>
    <w:rsid w:val="004A574B"/>
    <w:rsid w:val="004A6DDF"/>
    <w:rsid w:val="004A737A"/>
    <w:rsid w:val="004A73FC"/>
    <w:rsid w:val="004A76DC"/>
    <w:rsid w:val="004B126C"/>
    <w:rsid w:val="004B27C2"/>
    <w:rsid w:val="004B2D24"/>
    <w:rsid w:val="004B32E6"/>
    <w:rsid w:val="004B46A5"/>
    <w:rsid w:val="004B479A"/>
    <w:rsid w:val="004B5919"/>
    <w:rsid w:val="004B5A3C"/>
    <w:rsid w:val="004B6A62"/>
    <w:rsid w:val="004B7860"/>
    <w:rsid w:val="004C05B0"/>
    <w:rsid w:val="004C22A9"/>
    <w:rsid w:val="004C2421"/>
    <w:rsid w:val="004C2FCC"/>
    <w:rsid w:val="004C4EA1"/>
    <w:rsid w:val="004C51F4"/>
    <w:rsid w:val="004C5721"/>
    <w:rsid w:val="004C69B8"/>
    <w:rsid w:val="004C6A1E"/>
    <w:rsid w:val="004D0605"/>
    <w:rsid w:val="004D1A24"/>
    <w:rsid w:val="004D1A36"/>
    <w:rsid w:val="004D24C0"/>
    <w:rsid w:val="004D2700"/>
    <w:rsid w:val="004D2B59"/>
    <w:rsid w:val="004D2CCD"/>
    <w:rsid w:val="004D3344"/>
    <w:rsid w:val="004D4418"/>
    <w:rsid w:val="004D72AD"/>
    <w:rsid w:val="004D7A75"/>
    <w:rsid w:val="004E04CF"/>
    <w:rsid w:val="004E1643"/>
    <w:rsid w:val="004E17E4"/>
    <w:rsid w:val="004E37C0"/>
    <w:rsid w:val="004E3E6A"/>
    <w:rsid w:val="004E42F4"/>
    <w:rsid w:val="004E464D"/>
    <w:rsid w:val="004E5F1C"/>
    <w:rsid w:val="004F3599"/>
    <w:rsid w:val="004F3FBC"/>
    <w:rsid w:val="004F4A7A"/>
    <w:rsid w:val="004F4DAF"/>
    <w:rsid w:val="004F5DED"/>
    <w:rsid w:val="004F5EAB"/>
    <w:rsid w:val="004F5F68"/>
    <w:rsid w:val="004F6020"/>
    <w:rsid w:val="004F6C7D"/>
    <w:rsid w:val="005001E1"/>
    <w:rsid w:val="00500E70"/>
    <w:rsid w:val="00502DBE"/>
    <w:rsid w:val="0050359D"/>
    <w:rsid w:val="00504CDB"/>
    <w:rsid w:val="0050580A"/>
    <w:rsid w:val="00505AC1"/>
    <w:rsid w:val="005061FA"/>
    <w:rsid w:val="00506DDE"/>
    <w:rsid w:val="005078A8"/>
    <w:rsid w:val="00510469"/>
    <w:rsid w:val="00511F6F"/>
    <w:rsid w:val="005125EF"/>
    <w:rsid w:val="00513851"/>
    <w:rsid w:val="00513E27"/>
    <w:rsid w:val="0051786B"/>
    <w:rsid w:val="00520022"/>
    <w:rsid w:val="00521B1B"/>
    <w:rsid w:val="00521C7E"/>
    <w:rsid w:val="005222F7"/>
    <w:rsid w:val="00522435"/>
    <w:rsid w:val="005234B0"/>
    <w:rsid w:val="00523677"/>
    <w:rsid w:val="00523D8E"/>
    <w:rsid w:val="00524F5F"/>
    <w:rsid w:val="005255AA"/>
    <w:rsid w:val="00525BB4"/>
    <w:rsid w:val="00525F54"/>
    <w:rsid w:val="005260F6"/>
    <w:rsid w:val="005272C6"/>
    <w:rsid w:val="0053077A"/>
    <w:rsid w:val="005315BF"/>
    <w:rsid w:val="005315C1"/>
    <w:rsid w:val="005324C7"/>
    <w:rsid w:val="005337F6"/>
    <w:rsid w:val="00533DFC"/>
    <w:rsid w:val="00533E8F"/>
    <w:rsid w:val="00537338"/>
    <w:rsid w:val="00537D30"/>
    <w:rsid w:val="00540EFD"/>
    <w:rsid w:val="005411F1"/>
    <w:rsid w:val="00542C36"/>
    <w:rsid w:val="00544793"/>
    <w:rsid w:val="005458A2"/>
    <w:rsid w:val="005474C9"/>
    <w:rsid w:val="0055000D"/>
    <w:rsid w:val="0055062C"/>
    <w:rsid w:val="005509F4"/>
    <w:rsid w:val="005510A5"/>
    <w:rsid w:val="00551143"/>
    <w:rsid w:val="00551B31"/>
    <w:rsid w:val="005521D9"/>
    <w:rsid w:val="0055496D"/>
    <w:rsid w:val="00556C87"/>
    <w:rsid w:val="005573FA"/>
    <w:rsid w:val="00557A66"/>
    <w:rsid w:val="00560719"/>
    <w:rsid w:val="00560F52"/>
    <w:rsid w:val="00561307"/>
    <w:rsid w:val="00561CF8"/>
    <w:rsid w:val="00562252"/>
    <w:rsid w:val="00562625"/>
    <w:rsid w:val="005629A8"/>
    <w:rsid w:val="00563670"/>
    <w:rsid w:val="005647DC"/>
    <w:rsid w:val="00565975"/>
    <w:rsid w:val="0056666B"/>
    <w:rsid w:val="00566A07"/>
    <w:rsid w:val="00566AF5"/>
    <w:rsid w:val="00566F4A"/>
    <w:rsid w:val="005673AB"/>
    <w:rsid w:val="0057129B"/>
    <w:rsid w:val="00572A49"/>
    <w:rsid w:val="00572A62"/>
    <w:rsid w:val="00572DBF"/>
    <w:rsid w:val="00574739"/>
    <w:rsid w:val="00574FBD"/>
    <w:rsid w:val="00575B53"/>
    <w:rsid w:val="0058087F"/>
    <w:rsid w:val="0058158B"/>
    <w:rsid w:val="00581AF1"/>
    <w:rsid w:val="00582D4A"/>
    <w:rsid w:val="005838AA"/>
    <w:rsid w:val="00583E73"/>
    <w:rsid w:val="0058455F"/>
    <w:rsid w:val="00587911"/>
    <w:rsid w:val="0059198A"/>
    <w:rsid w:val="00591F43"/>
    <w:rsid w:val="00591FF3"/>
    <w:rsid w:val="00595597"/>
    <w:rsid w:val="005961FD"/>
    <w:rsid w:val="00596FBE"/>
    <w:rsid w:val="00597391"/>
    <w:rsid w:val="00597B13"/>
    <w:rsid w:val="005A0939"/>
    <w:rsid w:val="005A149D"/>
    <w:rsid w:val="005A1D49"/>
    <w:rsid w:val="005A2D5D"/>
    <w:rsid w:val="005A3211"/>
    <w:rsid w:val="005A3647"/>
    <w:rsid w:val="005A4488"/>
    <w:rsid w:val="005A4F65"/>
    <w:rsid w:val="005A5EA8"/>
    <w:rsid w:val="005A6DCE"/>
    <w:rsid w:val="005B2EE4"/>
    <w:rsid w:val="005B3116"/>
    <w:rsid w:val="005B3A00"/>
    <w:rsid w:val="005B4979"/>
    <w:rsid w:val="005B7DA9"/>
    <w:rsid w:val="005C0284"/>
    <w:rsid w:val="005C0E47"/>
    <w:rsid w:val="005C25EB"/>
    <w:rsid w:val="005C2975"/>
    <w:rsid w:val="005C31E1"/>
    <w:rsid w:val="005C3938"/>
    <w:rsid w:val="005C3BEC"/>
    <w:rsid w:val="005C54B1"/>
    <w:rsid w:val="005C55F1"/>
    <w:rsid w:val="005C5D3D"/>
    <w:rsid w:val="005C7A22"/>
    <w:rsid w:val="005C7CB5"/>
    <w:rsid w:val="005D0939"/>
    <w:rsid w:val="005D3770"/>
    <w:rsid w:val="005D4253"/>
    <w:rsid w:val="005D6217"/>
    <w:rsid w:val="005D633A"/>
    <w:rsid w:val="005D6D6E"/>
    <w:rsid w:val="005D77F8"/>
    <w:rsid w:val="005D7E20"/>
    <w:rsid w:val="005E153C"/>
    <w:rsid w:val="005E20B0"/>
    <w:rsid w:val="005E20EF"/>
    <w:rsid w:val="005E22AF"/>
    <w:rsid w:val="005E30D3"/>
    <w:rsid w:val="005E4AA2"/>
    <w:rsid w:val="005E5316"/>
    <w:rsid w:val="005E77A3"/>
    <w:rsid w:val="005F06BF"/>
    <w:rsid w:val="005F12F5"/>
    <w:rsid w:val="005F18BE"/>
    <w:rsid w:val="005F1E31"/>
    <w:rsid w:val="005F28BF"/>
    <w:rsid w:val="005F31DA"/>
    <w:rsid w:val="005F33E5"/>
    <w:rsid w:val="005F442D"/>
    <w:rsid w:val="00600770"/>
    <w:rsid w:val="00601745"/>
    <w:rsid w:val="00601AF3"/>
    <w:rsid w:val="006038B1"/>
    <w:rsid w:val="00603E90"/>
    <w:rsid w:val="006040A8"/>
    <w:rsid w:val="00605700"/>
    <w:rsid w:val="006068A5"/>
    <w:rsid w:val="00610DBC"/>
    <w:rsid w:val="00610F25"/>
    <w:rsid w:val="00611593"/>
    <w:rsid w:val="00616929"/>
    <w:rsid w:val="00617BBB"/>
    <w:rsid w:val="006203BB"/>
    <w:rsid w:val="006207EC"/>
    <w:rsid w:val="00620B59"/>
    <w:rsid w:val="00622496"/>
    <w:rsid w:val="00625446"/>
    <w:rsid w:val="00627664"/>
    <w:rsid w:val="00627783"/>
    <w:rsid w:val="006326D3"/>
    <w:rsid w:val="00632AAB"/>
    <w:rsid w:val="00633DC4"/>
    <w:rsid w:val="00634425"/>
    <w:rsid w:val="00634CC6"/>
    <w:rsid w:val="00634F66"/>
    <w:rsid w:val="006367EE"/>
    <w:rsid w:val="006408AE"/>
    <w:rsid w:val="00640A96"/>
    <w:rsid w:val="00640AA3"/>
    <w:rsid w:val="00641537"/>
    <w:rsid w:val="00642355"/>
    <w:rsid w:val="006439C9"/>
    <w:rsid w:val="00646405"/>
    <w:rsid w:val="006468BE"/>
    <w:rsid w:val="00650156"/>
    <w:rsid w:val="006515CD"/>
    <w:rsid w:val="006517E3"/>
    <w:rsid w:val="00651E9B"/>
    <w:rsid w:val="00652778"/>
    <w:rsid w:val="00653DC0"/>
    <w:rsid w:val="00655A96"/>
    <w:rsid w:val="00657DAE"/>
    <w:rsid w:val="00661475"/>
    <w:rsid w:val="00661F3A"/>
    <w:rsid w:val="00663722"/>
    <w:rsid w:val="006659E9"/>
    <w:rsid w:val="00665F57"/>
    <w:rsid w:val="00666F6D"/>
    <w:rsid w:val="00672FFC"/>
    <w:rsid w:val="00674275"/>
    <w:rsid w:val="00674741"/>
    <w:rsid w:val="00674E1A"/>
    <w:rsid w:val="0067547A"/>
    <w:rsid w:val="00675D43"/>
    <w:rsid w:val="006767D3"/>
    <w:rsid w:val="006818C5"/>
    <w:rsid w:val="006827E7"/>
    <w:rsid w:val="006832A0"/>
    <w:rsid w:val="006853F3"/>
    <w:rsid w:val="00686189"/>
    <w:rsid w:val="00690021"/>
    <w:rsid w:val="006904A1"/>
    <w:rsid w:val="00690572"/>
    <w:rsid w:val="00691F71"/>
    <w:rsid w:val="00692317"/>
    <w:rsid w:val="00692B0A"/>
    <w:rsid w:val="00692E39"/>
    <w:rsid w:val="00693189"/>
    <w:rsid w:val="00693D2E"/>
    <w:rsid w:val="00696394"/>
    <w:rsid w:val="00696435"/>
    <w:rsid w:val="00697283"/>
    <w:rsid w:val="00697301"/>
    <w:rsid w:val="006974F8"/>
    <w:rsid w:val="00697E64"/>
    <w:rsid w:val="006A09CF"/>
    <w:rsid w:val="006A1B9E"/>
    <w:rsid w:val="006A2BCB"/>
    <w:rsid w:val="006A3AEF"/>
    <w:rsid w:val="006A3B53"/>
    <w:rsid w:val="006A572E"/>
    <w:rsid w:val="006A5BAE"/>
    <w:rsid w:val="006A5D1E"/>
    <w:rsid w:val="006B00A8"/>
    <w:rsid w:val="006B0D10"/>
    <w:rsid w:val="006B137F"/>
    <w:rsid w:val="006B48FC"/>
    <w:rsid w:val="006B619F"/>
    <w:rsid w:val="006C1E7A"/>
    <w:rsid w:val="006C20A8"/>
    <w:rsid w:val="006C2CC1"/>
    <w:rsid w:val="006C48C4"/>
    <w:rsid w:val="006C4B17"/>
    <w:rsid w:val="006C57F2"/>
    <w:rsid w:val="006C5E29"/>
    <w:rsid w:val="006D102D"/>
    <w:rsid w:val="006D139C"/>
    <w:rsid w:val="006D14F8"/>
    <w:rsid w:val="006D25F7"/>
    <w:rsid w:val="006D2DF9"/>
    <w:rsid w:val="006D30E3"/>
    <w:rsid w:val="006D4624"/>
    <w:rsid w:val="006D709B"/>
    <w:rsid w:val="006D7A0A"/>
    <w:rsid w:val="006E01AA"/>
    <w:rsid w:val="006E0730"/>
    <w:rsid w:val="006E1876"/>
    <w:rsid w:val="006E1CD9"/>
    <w:rsid w:val="006E213C"/>
    <w:rsid w:val="006E471B"/>
    <w:rsid w:val="006E4C4D"/>
    <w:rsid w:val="006E527A"/>
    <w:rsid w:val="006E5A9B"/>
    <w:rsid w:val="006E7619"/>
    <w:rsid w:val="006F0164"/>
    <w:rsid w:val="006F06A2"/>
    <w:rsid w:val="006F20A4"/>
    <w:rsid w:val="006F21E4"/>
    <w:rsid w:val="006F2407"/>
    <w:rsid w:val="006F32B1"/>
    <w:rsid w:val="006F3E95"/>
    <w:rsid w:val="006F40C9"/>
    <w:rsid w:val="006F419B"/>
    <w:rsid w:val="006F51AC"/>
    <w:rsid w:val="006F533A"/>
    <w:rsid w:val="006F5CAB"/>
    <w:rsid w:val="006F7B6A"/>
    <w:rsid w:val="006F7B76"/>
    <w:rsid w:val="007007DF"/>
    <w:rsid w:val="00700F68"/>
    <w:rsid w:val="00701029"/>
    <w:rsid w:val="00701AF5"/>
    <w:rsid w:val="00702A78"/>
    <w:rsid w:val="00703284"/>
    <w:rsid w:val="007033B2"/>
    <w:rsid w:val="0070340E"/>
    <w:rsid w:val="00704784"/>
    <w:rsid w:val="00705712"/>
    <w:rsid w:val="00705894"/>
    <w:rsid w:val="007061D4"/>
    <w:rsid w:val="0070663F"/>
    <w:rsid w:val="00706D52"/>
    <w:rsid w:val="0070720A"/>
    <w:rsid w:val="00707C37"/>
    <w:rsid w:val="00710398"/>
    <w:rsid w:val="007108E8"/>
    <w:rsid w:val="00710D6D"/>
    <w:rsid w:val="007110AF"/>
    <w:rsid w:val="007110C3"/>
    <w:rsid w:val="00711197"/>
    <w:rsid w:val="00713526"/>
    <w:rsid w:val="007146A2"/>
    <w:rsid w:val="00715601"/>
    <w:rsid w:val="007156E8"/>
    <w:rsid w:val="0071667D"/>
    <w:rsid w:val="00716CDC"/>
    <w:rsid w:val="007179F0"/>
    <w:rsid w:val="0072038E"/>
    <w:rsid w:val="00722CC0"/>
    <w:rsid w:val="007251AE"/>
    <w:rsid w:val="0072728E"/>
    <w:rsid w:val="00730A5B"/>
    <w:rsid w:val="00730DF4"/>
    <w:rsid w:val="007310D4"/>
    <w:rsid w:val="00732027"/>
    <w:rsid w:val="007335C0"/>
    <w:rsid w:val="00733A99"/>
    <w:rsid w:val="00733BF7"/>
    <w:rsid w:val="007422BD"/>
    <w:rsid w:val="0074289B"/>
    <w:rsid w:val="00742BE7"/>
    <w:rsid w:val="0074352B"/>
    <w:rsid w:val="00743C4E"/>
    <w:rsid w:val="0074472D"/>
    <w:rsid w:val="00745711"/>
    <w:rsid w:val="00746466"/>
    <w:rsid w:val="00746B64"/>
    <w:rsid w:val="007475E4"/>
    <w:rsid w:val="00747B04"/>
    <w:rsid w:val="0075272A"/>
    <w:rsid w:val="00753ED8"/>
    <w:rsid w:val="0075609E"/>
    <w:rsid w:val="007572EF"/>
    <w:rsid w:val="00761815"/>
    <w:rsid w:val="00761BBC"/>
    <w:rsid w:val="007623E1"/>
    <w:rsid w:val="00762EAD"/>
    <w:rsid w:val="0076339F"/>
    <w:rsid w:val="00763711"/>
    <w:rsid w:val="0076481F"/>
    <w:rsid w:val="007655FA"/>
    <w:rsid w:val="00766BE1"/>
    <w:rsid w:val="00766C33"/>
    <w:rsid w:val="00770AF7"/>
    <w:rsid w:val="00771BF5"/>
    <w:rsid w:val="007741DE"/>
    <w:rsid w:val="00775272"/>
    <w:rsid w:val="00776DEB"/>
    <w:rsid w:val="007771FF"/>
    <w:rsid w:val="007802CA"/>
    <w:rsid w:val="00780DB4"/>
    <w:rsid w:val="00780EA6"/>
    <w:rsid w:val="00782917"/>
    <w:rsid w:val="00784AC6"/>
    <w:rsid w:val="00784D4B"/>
    <w:rsid w:val="00787540"/>
    <w:rsid w:val="00790164"/>
    <w:rsid w:val="00790F36"/>
    <w:rsid w:val="0079180E"/>
    <w:rsid w:val="00792302"/>
    <w:rsid w:val="00792899"/>
    <w:rsid w:val="007968CF"/>
    <w:rsid w:val="00796D12"/>
    <w:rsid w:val="00796EEC"/>
    <w:rsid w:val="00797198"/>
    <w:rsid w:val="007A195B"/>
    <w:rsid w:val="007A3085"/>
    <w:rsid w:val="007A38A6"/>
    <w:rsid w:val="007A3D41"/>
    <w:rsid w:val="007A4474"/>
    <w:rsid w:val="007A4652"/>
    <w:rsid w:val="007A6106"/>
    <w:rsid w:val="007A638B"/>
    <w:rsid w:val="007A71F7"/>
    <w:rsid w:val="007A7514"/>
    <w:rsid w:val="007A7D48"/>
    <w:rsid w:val="007A7FE0"/>
    <w:rsid w:val="007B038B"/>
    <w:rsid w:val="007B0789"/>
    <w:rsid w:val="007B07B5"/>
    <w:rsid w:val="007B120A"/>
    <w:rsid w:val="007B2FD8"/>
    <w:rsid w:val="007B5070"/>
    <w:rsid w:val="007B50B9"/>
    <w:rsid w:val="007B6423"/>
    <w:rsid w:val="007C04DD"/>
    <w:rsid w:val="007C05F7"/>
    <w:rsid w:val="007C1210"/>
    <w:rsid w:val="007C21FA"/>
    <w:rsid w:val="007C4C0C"/>
    <w:rsid w:val="007C7079"/>
    <w:rsid w:val="007C740C"/>
    <w:rsid w:val="007D0172"/>
    <w:rsid w:val="007D0563"/>
    <w:rsid w:val="007D1CCA"/>
    <w:rsid w:val="007D5ED0"/>
    <w:rsid w:val="007D7902"/>
    <w:rsid w:val="007D7E57"/>
    <w:rsid w:val="007E1337"/>
    <w:rsid w:val="007E139B"/>
    <w:rsid w:val="007E3F2E"/>
    <w:rsid w:val="007E4BD8"/>
    <w:rsid w:val="007E5ED8"/>
    <w:rsid w:val="007E7E94"/>
    <w:rsid w:val="007F0304"/>
    <w:rsid w:val="007F2092"/>
    <w:rsid w:val="007F333D"/>
    <w:rsid w:val="007F34C3"/>
    <w:rsid w:val="007F4CB5"/>
    <w:rsid w:val="007F59BF"/>
    <w:rsid w:val="0080150D"/>
    <w:rsid w:val="0080260D"/>
    <w:rsid w:val="00803A7D"/>
    <w:rsid w:val="00805B45"/>
    <w:rsid w:val="00806DC2"/>
    <w:rsid w:val="00806FF8"/>
    <w:rsid w:val="008073BB"/>
    <w:rsid w:val="008101C9"/>
    <w:rsid w:val="00811C31"/>
    <w:rsid w:val="008141C6"/>
    <w:rsid w:val="008141F1"/>
    <w:rsid w:val="008158FF"/>
    <w:rsid w:val="00816EFD"/>
    <w:rsid w:val="00820542"/>
    <w:rsid w:val="008223A8"/>
    <w:rsid w:val="00822F3D"/>
    <w:rsid w:val="00826234"/>
    <w:rsid w:val="00826D60"/>
    <w:rsid w:val="008271FC"/>
    <w:rsid w:val="00827D96"/>
    <w:rsid w:val="00830482"/>
    <w:rsid w:val="0083149D"/>
    <w:rsid w:val="00831DE8"/>
    <w:rsid w:val="0083205E"/>
    <w:rsid w:val="00832769"/>
    <w:rsid w:val="0083411A"/>
    <w:rsid w:val="00835A7E"/>
    <w:rsid w:val="00836FFE"/>
    <w:rsid w:val="008407A5"/>
    <w:rsid w:val="0084089C"/>
    <w:rsid w:val="00841392"/>
    <w:rsid w:val="00842FA9"/>
    <w:rsid w:val="008434B6"/>
    <w:rsid w:val="00843800"/>
    <w:rsid w:val="00843CA4"/>
    <w:rsid w:val="00846390"/>
    <w:rsid w:val="00846862"/>
    <w:rsid w:val="0084698C"/>
    <w:rsid w:val="00847B30"/>
    <w:rsid w:val="008501F4"/>
    <w:rsid w:val="00851033"/>
    <w:rsid w:val="0085169B"/>
    <w:rsid w:val="00851AA5"/>
    <w:rsid w:val="008530C9"/>
    <w:rsid w:val="008534B7"/>
    <w:rsid w:val="00853B11"/>
    <w:rsid w:val="008549B4"/>
    <w:rsid w:val="00854DD2"/>
    <w:rsid w:val="00854F8F"/>
    <w:rsid w:val="0085577A"/>
    <w:rsid w:val="00857E14"/>
    <w:rsid w:val="00860550"/>
    <w:rsid w:val="00860C96"/>
    <w:rsid w:val="00861343"/>
    <w:rsid w:val="00861C91"/>
    <w:rsid w:val="00862738"/>
    <w:rsid w:val="00862A9E"/>
    <w:rsid w:val="0086332C"/>
    <w:rsid w:val="00864019"/>
    <w:rsid w:val="0086640C"/>
    <w:rsid w:val="008667CD"/>
    <w:rsid w:val="008675FD"/>
    <w:rsid w:val="008677A3"/>
    <w:rsid w:val="0087096B"/>
    <w:rsid w:val="00870E01"/>
    <w:rsid w:val="008751A4"/>
    <w:rsid w:val="00875CA5"/>
    <w:rsid w:val="00876139"/>
    <w:rsid w:val="00876ACF"/>
    <w:rsid w:val="00876C37"/>
    <w:rsid w:val="008772A1"/>
    <w:rsid w:val="008806EB"/>
    <w:rsid w:val="008815FB"/>
    <w:rsid w:val="00883BF9"/>
    <w:rsid w:val="00884A04"/>
    <w:rsid w:val="00886C41"/>
    <w:rsid w:val="00886E08"/>
    <w:rsid w:val="00886F49"/>
    <w:rsid w:val="008870AF"/>
    <w:rsid w:val="008879BD"/>
    <w:rsid w:val="00890578"/>
    <w:rsid w:val="00890EC8"/>
    <w:rsid w:val="0089156C"/>
    <w:rsid w:val="00892448"/>
    <w:rsid w:val="0089255D"/>
    <w:rsid w:val="00892F1C"/>
    <w:rsid w:val="0089353A"/>
    <w:rsid w:val="0089353F"/>
    <w:rsid w:val="00894B90"/>
    <w:rsid w:val="00894C3F"/>
    <w:rsid w:val="00894C51"/>
    <w:rsid w:val="008957C5"/>
    <w:rsid w:val="00895BC7"/>
    <w:rsid w:val="008960E0"/>
    <w:rsid w:val="00896282"/>
    <w:rsid w:val="008966B1"/>
    <w:rsid w:val="008968C5"/>
    <w:rsid w:val="00896ECD"/>
    <w:rsid w:val="008971AE"/>
    <w:rsid w:val="00897663"/>
    <w:rsid w:val="008A20C2"/>
    <w:rsid w:val="008A228D"/>
    <w:rsid w:val="008A2F85"/>
    <w:rsid w:val="008A2FAD"/>
    <w:rsid w:val="008A3ACC"/>
    <w:rsid w:val="008A3ED4"/>
    <w:rsid w:val="008A4797"/>
    <w:rsid w:val="008A6CD2"/>
    <w:rsid w:val="008B00A1"/>
    <w:rsid w:val="008B0AFF"/>
    <w:rsid w:val="008B267E"/>
    <w:rsid w:val="008B283C"/>
    <w:rsid w:val="008B4245"/>
    <w:rsid w:val="008C05F0"/>
    <w:rsid w:val="008C0DAA"/>
    <w:rsid w:val="008C1AAC"/>
    <w:rsid w:val="008C1B25"/>
    <w:rsid w:val="008C1D91"/>
    <w:rsid w:val="008C2471"/>
    <w:rsid w:val="008C3111"/>
    <w:rsid w:val="008C3258"/>
    <w:rsid w:val="008C3578"/>
    <w:rsid w:val="008C358E"/>
    <w:rsid w:val="008C3DDE"/>
    <w:rsid w:val="008C3FBB"/>
    <w:rsid w:val="008C4963"/>
    <w:rsid w:val="008C534C"/>
    <w:rsid w:val="008C6139"/>
    <w:rsid w:val="008D021A"/>
    <w:rsid w:val="008D0E84"/>
    <w:rsid w:val="008D10A3"/>
    <w:rsid w:val="008D29BA"/>
    <w:rsid w:val="008D31E1"/>
    <w:rsid w:val="008D470B"/>
    <w:rsid w:val="008D4CBC"/>
    <w:rsid w:val="008D54D4"/>
    <w:rsid w:val="008D5BA7"/>
    <w:rsid w:val="008D5E8D"/>
    <w:rsid w:val="008D6026"/>
    <w:rsid w:val="008D6A36"/>
    <w:rsid w:val="008D754B"/>
    <w:rsid w:val="008E028C"/>
    <w:rsid w:val="008E04AD"/>
    <w:rsid w:val="008E0575"/>
    <w:rsid w:val="008E07EB"/>
    <w:rsid w:val="008E10CD"/>
    <w:rsid w:val="008E1AD1"/>
    <w:rsid w:val="008E21F2"/>
    <w:rsid w:val="008E2D92"/>
    <w:rsid w:val="008E3537"/>
    <w:rsid w:val="008E37EC"/>
    <w:rsid w:val="008E400D"/>
    <w:rsid w:val="008E6E31"/>
    <w:rsid w:val="008F063E"/>
    <w:rsid w:val="008F0D47"/>
    <w:rsid w:val="008F12FB"/>
    <w:rsid w:val="008F162B"/>
    <w:rsid w:val="008F1814"/>
    <w:rsid w:val="008F1A42"/>
    <w:rsid w:val="008F3779"/>
    <w:rsid w:val="008F46D3"/>
    <w:rsid w:val="008F474A"/>
    <w:rsid w:val="008F4E28"/>
    <w:rsid w:val="008F5B3B"/>
    <w:rsid w:val="008F5D25"/>
    <w:rsid w:val="009010F5"/>
    <w:rsid w:val="00902E1E"/>
    <w:rsid w:val="009034D6"/>
    <w:rsid w:val="00903CA8"/>
    <w:rsid w:val="009041F6"/>
    <w:rsid w:val="00904BB2"/>
    <w:rsid w:val="0090574D"/>
    <w:rsid w:val="00906016"/>
    <w:rsid w:val="00910E67"/>
    <w:rsid w:val="00911473"/>
    <w:rsid w:val="00912CA8"/>
    <w:rsid w:val="00915857"/>
    <w:rsid w:val="00916889"/>
    <w:rsid w:val="00917A87"/>
    <w:rsid w:val="00917D7F"/>
    <w:rsid w:val="00921DD2"/>
    <w:rsid w:val="00922162"/>
    <w:rsid w:val="009237DC"/>
    <w:rsid w:val="00923A2A"/>
    <w:rsid w:val="00923CA5"/>
    <w:rsid w:val="00923CD3"/>
    <w:rsid w:val="00924332"/>
    <w:rsid w:val="009249E5"/>
    <w:rsid w:val="00925754"/>
    <w:rsid w:val="009266D5"/>
    <w:rsid w:val="00926778"/>
    <w:rsid w:val="00930281"/>
    <w:rsid w:val="00930E58"/>
    <w:rsid w:val="00932E7C"/>
    <w:rsid w:val="009330AE"/>
    <w:rsid w:val="009338B7"/>
    <w:rsid w:val="00934356"/>
    <w:rsid w:val="00935F77"/>
    <w:rsid w:val="009369CF"/>
    <w:rsid w:val="009370B7"/>
    <w:rsid w:val="00941069"/>
    <w:rsid w:val="009421A1"/>
    <w:rsid w:val="00942E87"/>
    <w:rsid w:val="00942F71"/>
    <w:rsid w:val="009430A5"/>
    <w:rsid w:val="00943DE4"/>
    <w:rsid w:val="00943FF8"/>
    <w:rsid w:val="00944450"/>
    <w:rsid w:val="009448F0"/>
    <w:rsid w:val="00946604"/>
    <w:rsid w:val="0094784D"/>
    <w:rsid w:val="00947D2C"/>
    <w:rsid w:val="0095179A"/>
    <w:rsid w:val="00951CBF"/>
    <w:rsid w:val="00954FB6"/>
    <w:rsid w:val="00955CF1"/>
    <w:rsid w:val="00956221"/>
    <w:rsid w:val="00956564"/>
    <w:rsid w:val="0096047F"/>
    <w:rsid w:val="00960553"/>
    <w:rsid w:val="00961AF0"/>
    <w:rsid w:val="009629A5"/>
    <w:rsid w:val="009629F9"/>
    <w:rsid w:val="00962D91"/>
    <w:rsid w:val="009652D0"/>
    <w:rsid w:val="00965325"/>
    <w:rsid w:val="00966D42"/>
    <w:rsid w:val="00967A38"/>
    <w:rsid w:val="00971DB9"/>
    <w:rsid w:val="00972E41"/>
    <w:rsid w:val="009732F4"/>
    <w:rsid w:val="009739C0"/>
    <w:rsid w:val="00973ED0"/>
    <w:rsid w:val="0097620C"/>
    <w:rsid w:val="00976219"/>
    <w:rsid w:val="009777C1"/>
    <w:rsid w:val="00980339"/>
    <w:rsid w:val="0098085D"/>
    <w:rsid w:val="00980B20"/>
    <w:rsid w:val="00981187"/>
    <w:rsid w:val="00981415"/>
    <w:rsid w:val="00981911"/>
    <w:rsid w:val="00981D03"/>
    <w:rsid w:val="00982954"/>
    <w:rsid w:val="009841B4"/>
    <w:rsid w:val="009843D4"/>
    <w:rsid w:val="00985628"/>
    <w:rsid w:val="00986794"/>
    <w:rsid w:val="009870E7"/>
    <w:rsid w:val="0098794F"/>
    <w:rsid w:val="00990185"/>
    <w:rsid w:val="009904B1"/>
    <w:rsid w:val="0099138A"/>
    <w:rsid w:val="00993C9A"/>
    <w:rsid w:val="009944EC"/>
    <w:rsid w:val="00994509"/>
    <w:rsid w:val="009A0126"/>
    <w:rsid w:val="009A1C49"/>
    <w:rsid w:val="009A29A4"/>
    <w:rsid w:val="009A4611"/>
    <w:rsid w:val="009A59A3"/>
    <w:rsid w:val="009A5AF9"/>
    <w:rsid w:val="009A5F06"/>
    <w:rsid w:val="009A731F"/>
    <w:rsid w:val="009A7807"/>
    <w:rsid w:val="009B1183"/>
    <w:rsid w:val="009B13B1"/>
    <w:rsid w:val="009B2F5E"/>
    <w:rsid w:val="009B301C"/>
    <w:rsid w:val="009B4F92"/>
    <w:rsid w:val="009B7F0B"/>
    <w:rsid w:val="009B7FD7"/>
    <w:rsid w:val="009C0211"/>
    <w:rsid w:val="009C02E6"/>
    <w:rsid w:val="009C046B"/>
    <w:rsid w:val="009C1E9E"/>
    <w:rsid w:val="009C3A29"/>
    <w:rsid w:val="009C40F9"/>
    <w:rsid w:val="009C45D2"/>
    <w:rsid w:val="009C5210"/>
    <w:rsid w:val="009C53E8"/>
    <w:rsid w:val="009C5A43"/>
    <w:rsid w:val="009C6FBE"/>
    <w:rsid w:val="009C7421"/>
    <w:rsid w:val="009D0084"/>
    <w:rsid w:val="009D143A"/>
    <w:rsid w:val="009D17C1"/>
    <w:rsid w:val="009D2B45"/>
    <w:rsid w:val="009D3D9C"/>
    <w:rsid w:val="009D44C0"/>
    <w:rsid w:val="009D4C35"/>
    <w:rsid w:val="009D6869"/>
    <w:rsid w:val="009D7CDA"/>
    <w:rsid w:val="009D7EB7"/>
    <w:rsid w:val="009E0256"/>
    <w:rsid w:val="009E0DF2"/>
    <w:rsid w:val="009E461F"/>
    <w:rsid w:val="009E47F4"/>
    <w:rsid w:val="009E4C42"/>
    <w:rsid w:val="009E50CB"/>
    <w:rsid w:val="009E5A08"/>
    <w:rsid w:val="009E6450"/>
    <w:rsid w:val="009E6ADB"/>
    <w:rsid w:val="009E6DD7"/>
    <w:rsid w:val="009E6E25"/>
    <w:rsid w:val="009F0139"/>
    <w:rsid w:val="009F02DE"/>
    <w:rsid w:val="009F06E4"/>
    <w:rsid w:val="009F08DF"/>
    <w:rsid w:val="009F0985"/>
    <w:rsid w:val="009F1B5A"/>
    <w:rsid w:val="009F4376"/>
    <w:rsid w:val="009F5202"/>
    <w:rsid w:val="009F56B8"/>
    <w:rsid w:val="009F6CCD"/>
    <w:rsid w:val="009F7951"/>
    <w:rsid w:val="00A0177D"/>
    <w:rsid w:val="00A01925"/>
    <w:rsid w:val="00A01A04"/>
    <w:rsid w:val="00A01DF3"/>
    <w:rsid w:val="00A06211"/>
    <w:rsid w:val="00A07608"/>
    <w:rsid w:val="00A07B62"/>
    <w:rsid w:val="00A102A4"/>
    <w:rsid w:val="00A10621"/>
    <w:rsid w:val="00A10B43"/>
    <w:rsid w:val="00A11C2D"/>
    <w:rsid w:val="00A136FB"/>
    <w:rsid w:val="00A16775"/>
    <w:rsid w:val="00A169E0"/>
    <w:rsid w:val="00A20900"/>
    <w:rsid w:val="00A223A8"/>
    <w:rsid w:val="00A2384F"/>
    <w:rsid w:val="00A24961"/>
    <w:rsid w:val="00A24CFE"/>
    <w:rsid w:val="00A25523"/>
    <w:rsid w:val="00A256FF"/>
    <w:rsid w:val="00A260CD"/>
    <w:rsid w:val="00A260F1"/>
    <w:rsid w:val="00A261BB"/>
    <w:rsid w:val="00A261C0"/>
    <w:rsid w:val="00A26657"/>
    <w:rsid w:val="00A275A9"/>
    <w:rsid w:val="00A27FE4"/>
    <w:rsid w:val="00A30445"/>
    <w:rsid w:val="00A30E0B"/>
    <w:rsid w:val="00A31B50"/>
    <w:rsid w:val="00A32BD9"/>
    <w:rsid w:val="00A32EF2"/>
    <w:rsid w:val="00A343A7"/>
    <w:rsid w:val="00A34753"/>
    <w:rsid w:val="00A35497"/>
    <w:rsid w:val="00A35EDD"/>
    <w:rsid w:val="00A36820"/>
    <w:rsid w:val="00A418A4"/>
    <w:rsid w:val="00A42AD1"/>
    <w:rsid w:val="00A42D40"/>
    <w:rsid w:val="00A42D7B"/>
    <w:rsid w:val="00A44819"/>
    <w:rsid w:val="00A44CF8"/>
    <w:rsid w:val="00A44F94"/>
    <w:rsid w:val="00A46D0C"/>
    <w:rsid w:val="00A46D13"/>
    <w:rsid w:val="00A47200"/>
    <w:rsid w:val="00A51299"/>
    <w:rsid w:val="00A51390"/>
    <w:rsid w:val="00A524E1"/>
    <w:rsid w:val="00A5317C"/>
    <w:rsid w:val="00A547A4"/>
    <w:rsid w:val="00A54F65"/>
    <w:rsid w:val="00A553D3"/>
    <w:rsid w:val="00A61160"/>
    <w:rsid w:val="00A61BA1"/>
    <w:rsid w:val="00A61BCB"/>
    <w:rsid w:val="00A63088"/>
    <w:rsid w:val="00A63829"/>
    <w:rsid w:val="00A63F6B"/>
    <w:rsid w:val="00A6653D"/>
    <w:rsid w:val="00A67975"/>
    <w:rsid w:val="00A7046F"/>
    <w:rsid w:val="00A70EB7"/>
    <w:rsid w:val="00A713EB"/>
    <w:rsid w:val="00A72463"/>
    <w:rsid w:val="00A7331C"/>
    <w:rsid w:val="00A73D72"/>
    <w:rsid w:val="00A74C18"/>
    <w:rsid w:val="00A7624D"/>
    <w:rsid w:val="00A76489"/>
    <w:rsid w:val="00A77637"/>
    <w:rsid w:val="00A8425B"/>
    <w:rsid w:val="00A84556"/>
    <w:rsid w:val="00A85B12"/>
    <w:rsid w:val="00A85E98"/>
    <w:rsid w:val="00A86AD1"/>
    <w:rsid w:val="00A87E64"/>
    <w:rsid w:val="00A910FA"/>
    <w:rsid w:val="00A918FA"/>
    <w:rsid w:val="00A92C85"/>
    <w:rsid w:val="00A937BD"/>
    <w:rsid w:val="00A95C3D"/>
    <w:rsid w:val="00A979CC"/>
    <w:rsid w:val="00A97BF1"/>
    <w:rsid w:val="00AA00FD"/>
    <w:rsid w:val="00AA26F7"/>
    <w:rsid w:val="00AA2824"/>
    <w:rsid w:val="00AA4580"/>
    <w:rsid w:val="00AA46D9"/>
    <w:rsid w:val="00AA4B4D"/>
    <w:rsid w:val="00AA5157"/>
    <w:rsid w:val="00AA7DFD"/>
    <w:rsid w:val="00AB023E"/>
    <w:rsid w:val="00AB02B3"/>
    <w:rsid w:val="00AB0373"/>
    <w:rsid w:val="00AB096A"/>
    <w:rsid w:val="00AB1623"/>
    <w:rsid w:val="00AB1E50"/>
    <w:rsid w:val="00AB2325"/>
    <w:rsid w:val="00AB2986"/>
    <w:rsid w:val="00AB49E1"/>
    <w:rsid w:val="00AB4C4A"/>
    <w:rsid w:val="00AB4EB5"/>
    <w:rsid w:val="00AB51AE"/>
    <w:rsid w:val="00AB5B28"/>
    <w:rsid w:val="00AC012D"/>
    <w:rsid w:val="00AC03D8"/>
    <w:rsid w:val="00AC0527"/>
    <w:rsid w:val="00AC056E"/>
    <w:rsid w:val="00AC098D"/>
    <w:rsid w:val="00AC0CBB"/>
    <w:rsid w:val="00AC1374"/>
    <w:rsid w:val="00AC1D25"/>
    <w:rsid w:val="00AC21B3"/>
    <w:rsid w:val="00AC255B"/>
    <w:rsid w:val="00AC27B4"/>
    <w:rsid w:val="00AC2B8E"/>
    <w:rsid w:val="00AC408B"/>
    <w:rsid w:val="00AC4E2B"/>
    <w:rsid w:val="00AC67BD"/>
    <w:rsid w:val="00AC69AB"/>
    <w:rsid w:val="00AC7303"/>
    <w:rsid w:val="00AC7425"/>
    <w:rsid w:val="00AD12AD"/>
    <w:rsid w:val="00AD3131"/>
    <w:rsid w:val="00AD3221"/>
    <w:rsid w:val="00AD3980"/>
    <w:rsid w:val="00AD3EB4"/>
    <w:rsid w:val="00AD5BFE"/>
    <w:rsid w:val="00AD5DDD"/>
    <w:rsid w:val="00AD77F9"/>
    <w:rsid w:val="00AE25D9"/>
    <w:rsid w:val="00AE32AC"/>
    <w:rsid w:val="00AE33BC"/>
    <w:rsid w:val="00AE3B26"/>
    <w:rsid w:val="00AE4A2D"/>
    <w:rsid w:val="00AE4A30"/>
    <w:rsid w:val="00AE5805"/>
    <w:rsid w:val="00AE6ACB"/>
    <w:rsid w:val="00AE6D17"/>
    <w:rsid w:val="00AE6F3E"/>
    <w:rsid w:val="00AE734B"/>
    <w:rsid w:val="00AF05AA"/>
    <w:rsid w:val="00AF06F8"/>
    <w:rsid w:val="00AF0A11"/>
    <w:rsid w:val="00AF1762"/>
    <w:rsid w:val="00AF48C6"/>
    <w:rsid w:val="00B027CD"/>
    <w:rsid w:val="00B02A0A"/>
    <w:rsid w:val="00B03E61"/>
    <w:rsid w:val="00B04649"/>
    <w:rsid w:val="00B06AC2"/>
    <w:rsid w:val="00B070C1"/>
    <w:rsid w:val="00B07108"/>
    <w:rsid w:val="00B07F72"/>
    <w:rsid w:val="00B106BE"/>
    <w:rsid w:val="00B12066"/>
    <w:rsid w:val="00B12FDF"/>
    <w:rsid w:val="00B13447"/>
    <w:rsid w:val="00B13612"/>
    <w:rsid w:val="00B149EC"/>
    <w:rsid w:val="00B14E7B"/>
    <w:rsid w:val="00B20960"/>
    <w:rsid w:val="00B21104"/>
    <w:rsid w:val="00B2208B"/>
    <w:rsid w:val="00B239F2"/>
    <w:rsid w:val="00B23A8A"/>
    <w:rsid w:val="00B2490B"/>
    <w:rsid w:val="00B25464"/>
    <w:rsid w:val="00B274DC"/>
    <w:rsid w:val="00B30B40"/>
    <w:rsid w:val="00B3166D"/>
    <w:rsid w:val="00B342C9"/>
    <w:rsid w:val="00B349DF"/>
    <w:rsid w:val="00B35DE9"/>
    <w:rsid w:val="00B3649A"/>
    <w:rsid w:val="00B36EA7"/>
    <w:rsid w:val="00B41468"/>
    <w:rsid w:val="00B41CF4"/>
    <w:rsid w:val="00B440ED"/>
    <w:rsid w:val="00B45058"/>
    <w:rsid w:val="00B461BF"/>
    <w:rsid w:val="00B46B4D"/>
    <w:rsid w:val="00B46D58"/>
    <w:rsid w:val="00B47238"/>
    <w:rsid w:val="00B47A61"/>
    <w:rsid w:val="00B47FBF"/>
    <w:rsid w:val="00B504F0"/>
    <w:rsid w:val="00B508D5"/>
    <w:rsid w:val="00B50EF3"/>
    <w:rsid w:val="00B51249"/>
    <w:rsid w:val="00B51AD3"/>
    <w:rsid w:val="00B54061"/>
    <w:rsid w:val="00B57672"/>
    <w:rsid w:val="00B60716"/>
    <w:rsid w:val="00B61934"/>
    <w:rsid w:val="00B61AD6"/>
    <w:rsid w:val="00B61D0C"/>
    <w:rsid w:val="00B62CE4"/>
    <w:rsid w:val="00B63892"/>
    <w:rsid w:val="00B64461"/>
    <w:rsid w:val="00B66736"/>
    <w:rsid w:val="00B66F70"/>
    <w:rsid w:val="00B674C0"/>
    <w:rsid w:val="00B70094"/>
    <w:rsid w:val="00B705DC"/>
    <w:rsid w:val="00B71542"/>
    <w:rsid w:val="00B718E5"/>
    <w:rsid w:val="00B71978"/>
    <w:rsid w:val="00B746CC"/>
    <w:rsid w:val="00B7494C"/>
    <w:rsid w:val="00B7587A"/>
    <w:rsid w:val="00B763F2"/>
    <w:rsid w:val="00B76F77"/>
    <w:rsid w:val="00B76FB4"/>
    <w:rsid w:val="00B80777"/>
    <w:rsid w:val="00B8209E"/>
    <w:rsid w:val="00B83382"/>
    <w:rsid w:val="00B83456"/>
    <w:rsid w:val="00B83FE0"/>
    <w:rsid w:val="00B843B2"/>
    <w:rsid w:val="00B85BFB"/>
    <w:rsid w:val="00B86378"/>
    <w:rsid w:val="00B906C3"/>
    <w:rsid w:val="00B91684"/>
    <w:rsid w:val="00B9445E"/>
    <w:rsid w:val="00B965BB"/>
    <w:rsid w:val="00BA19FB"/>
    <w:rsid w:val="00BA1ED8"/>
    <w:rsid w:val="00BA2BAC"/>
    <w:rsid w:val="00BA3719"/>
    <w:rsid w:val="00BA48A7"/>
    <w:rsid w:val="00BA4FBC"/>
    <w:rsid w:val="00BA56A2"/>
    <w:rsid w:val="00BA59FC"/>
    <w:rsid w:val="00BA6867"/>
    <w:rsid w:val="00BA6947"/>
    <w:rsid w:val="00BA7EC6"/>
    <w:rsid w:val="00BB033F"/>
    <w:rsid w:val="00BB08CE"/>
    <w:rsid w:val="00BB163F"/>
    <w:rsid w:val="00BB1C74"/>
    <w:rsid w:val="00BB1DFC"/>
    <w:rsid w:val="00BB1FC0"/>
    <w:rsid w:val="00BB209F"/>
    <w:rsid w:val="00BB2A6A"/>
    <w:rsid w:val="00BB41A2"/>
    <w:rsid w:val="00BB48B5"/>
    <w:rsid w:val="00BB6A13"/>
    <w:rsid w:val="00BB6B68"/>
    <w:rsid w:val="00BB7A3A"/>
    <w:rsid w:val="00BC06A3"/>
    <w:rsid w:val="00BC1C76"/>
    <w:rsid w:val="00BC1E3B"/>
    <w:rsid w:val="00BC266A"/>
    <w:rsid w:val="00BC4E96"/>
    <w:rsid w:val="00BC58F7"/>
    <w:rsid w:val="00BC6321"/>
    <w:rsid w:val="00BD0033"/>
    <w:rsid w:val="00BD0CEA"/>
    <w:rsid w:val="00BD15AD"/>
    <w:rsid w:val="00BD234F"/>
    <w:rsid w:val="00BD2EB4"/>
    <w:rsid w:val="00BD5460"/>
    <w:rsid w:val="00BD5595"/>
    <w:rsid w:val="00BD6792"/>
    <w:rsid w:val="00BD7319"/>
    <w:rsid w:val="00BD7567"/>
    <w:rsid w:val="00BD7E80"/>
    <w:rsid w:val="00BD7FBF"/>
    <w:rsid w:val="00BE13A7"/>
    <w:rsid w:val="00BE1569"/>
    <w:rsid w:val="00BE1975"/>
    <w:rsid w:val="00BE1E12"/>
    <w:rsid w:val="00BE4EB3"/>
    <w:rsid w:val="00BE5B6B"/>
    <w:rsid w:val="00BE6C53"/>
    <w:rsid w:val="00BE6D2F"/>
    <w:rsid w:val="00BE7366"/>
    <w:rsid w:val="00BF0AAB"/>
    <w:rsid w:val="00BF10B2"/>
    <w:rsid w:val="00BF1286"/>
    <w:rsid w:val="00BF1A9A"/>
    <w:rsid w:val="00BF2261"/>
    <w:rsid w:val="00BF24CD"/>
    <w:rsid w:val="00BF2D00"/>
    <w:rsid w:val="00BF38EE"/>
    <w:rsid w:val="00BF43A2"/>
    <w:rsid w:val="00BF51CA"/>
    <w:rsid w:val="00BF526A"/>
    <w:rsid w:val="00BF5CCC"/>
    <w:rsid w:val="00BF67BB"/>
    <w:rsid w:val="00BF6A66"/>
    <w:rsid w:val="00BF763F"/>
    <w:rsid w:val="00BF78E3"/>
    <w:rsid w:val="00C007AA"/>
    <w:rsid w:val="00C00FB0"/>
    <w:rsid w:val="00C011DF"/>
    <w:rsid w:val="00C01977"/>
    <w:rsid w:val="00C02798"/>
    <w:rsid w:val="00C03283"/>
    <w:rsid w:val="00C035E3"/>
    <w:rsid w:val="00C03E41"/>
    <w:rsid w:val="00C0513C"/>
    <w:rsid w:val="00C05C46"/>
    <w:rsid w:val="00C07419"/>
    <w:rsid w:val="00C07A53"/>
    <w:rsid w:val="00C11C64"/>
    <w:rsid w:val="00C1358E"/>
    <w:rsid w:val="00C13A10"/>
    <w:rsid w:val="00C13FAB"/>
    <w:rsid w:val="00C1530C"/>
    <w:rsid w:val="00C162C8"/>
    <w:rsid w:val="00C16770"/>
    <w:rsid w:val="00C16FCF"/>
    <w:rsid w:val="00C201DE"/>
    <w:rsid w:val="00C21E9F"/>
    <w:rsid w:val="00C22BB1"/>
    <w:rsid w:val="00C25F48"/>
    <w:rsid w:val="00C268DC"/>
    <w:rsid w:val="00C27539"/>
    <w:rsid w:val="00C3004C"/>
    <w:rsid w:val="00C3087D"/>
    <w:rsid w:val="00C327BD"/>
    <w:rsid w:val="00C33337"/>
    <w:rsid w:val="00C34822"/>
    <w:rsid w:val="00C35315"/>
    <w:rsid w:val="00C37358"/>
    <w:rsid w:val="00C37961"/>
    <w:rsid w:val="00C379FE"/>
    <w:rsid w:val="00C37F17"/>
    <w:rsid w:val="00C403AD"/>
    <w:rsid w:val="00C41BB2"/>
    <w:rsid w:val="00C42199"/>
    <w:rsid w:val="00C42DF4"/>
    <w:rsid w:val="00C44E48"/>
    <w:rsid w:val="00C45B72"/>
    <w:rsid w:val="00C47D93"/>
    <w:rsid w:val="00C5171E"/>
    <w:rsid w:val="00C51AB6"/>
    <w:rsid w:val="00C52115"/>
    <w:rsid w:val="00C53050"/>
    <w:rsid w:val="00C536B5"/>
    <w:rsid w:val="00C53F8A"/>
    <w:rsid w:val="00C54B5F"/>
    <w:rsid w:val="00C55BC7"/>
    <w:rsid w:val="00C574E5"/>
    <w:rsid w:val="00C614B7"/>
    <w:rsid w:val="00C61CC2"/>
    <w:rsid w:val="00C62D07"/>
    <w:rsid w:val="00C63B9A"/>
    <w:rsid w:val="00C64B79"/>
    <w:rsid w:val="00C70560"/>
    <w:rsid w:val="00C70B3D"/>
    <w:rsid w:val="00C71C2E"/>
    <w:rsid w:val="00C738C9"/>
    <w:rsid w:val="00C73C49"/>
    <w:rsid w:val="00C7410E"/>
    <w:rsid w:val="00C74F4C"/>
    <w:rsid w:val="00C755B3"/>
    <w:rsid w:val="00C7691B"/>
    <w:rsid w:val="00C7696C"/>
    <w:rsid w:val="00C81031"/>
    <w:rsid w:val="00C81385"/>
    <w:rsid w:val="00C8240B"/>
    <w:rsid w:val="00C82F56"/>
    <w:rsid w:val="00C84ABA"/>
    <w:rsid w:val="00C86199"/>
    <w:rsid w:val="00C86630"/>
    <w:rsid w:val="00C86C67"/>
    <w:rsid w:val="00C86FFC"/>
    <w:rsid w:val="00C9043E"/>
    <w:rsid w:val="00C9060F"/>
    <w:rsid w:val="00C919ED"/>
    <w:rsid w:val="00C92958"/>
    <w:rsid w:val="00C92B3B"/>
    <w:rsid w:val="00C940A9"/>
    <w:rsid w:val="00C94BD1"/>
    <w:rsid w:val="00C95D97"/>
    <w:rsid w:val="00C96BE4"/>
    <w:rsid w:val="00C97D51"/>
    <w:rsid w:val="00C97FD4"/>
    <w:rsid w:val="00CA0264"/>
    <w:rsid w:val="00CA07E4"/>
    <w:rsid w:val="00CA1B14"/>
    <w:rsid w:val="00CA1BFA"/>
    <w:rsid w:val="00CA1F16"/>
    <w:rsid w:val="00CA2A07"/>
    <w:rsid w:val="00CA5290"/>
    <w:rsid w:val="00CA57AE"/>
    <w:rsid w:val="00CA725A"/>
    <w:rsid w:val="00CA7B26"/>
    <w:rsid w:val="00CB04F7"/>
    <w:rsid w:val="00CB075A"/>
    <w:rsid w:val="00CB1558"/>
    <w:rsid w:val="00CB16B4"/>
    <w:rsid w:val="00CB1809"/>
    <w:rsid w:val="00CB220E"/>
    <w:rsid w:val="00CB31FF"/>
    <w:rsid w:val="00CB5F54"/>
    <w:rsid w:val="00CB6BD0"/>
    <w:rsid w:val="00CB6E4B"/>
    <w:rsid w:val="00CC0C25"/>
    <w:rsid w:val="00CC1DDE"/>
    <w:rsid w:val="00CC29C8"/>
    <w:rsid w:val="00CC2AD7"/>
    <w:rsid w:val="00CC2CA3"/>
    <w:rsid w:val="00CC3455"/>
    <w:rsid w:val="00CC41F8"/>
    <w:rsid w:val="00CC47A1"/>
    <w:rsid w:val="00CC4A2C"/>
    <w:rsid w:val="00CC4BA2"/>
    <w:rsid w:val="00CC66A9"/>
    <w:rsid w:val="00CC68EA"/>
    <w:rsid w:val="00CC7B30"/>
    <w:rsid w:val="00CD01BB"/>
    <w:rsid w:val="00CD080E"/>
    <w:rsid w:val="00CD0CB1"/>
    <w:rsid w:val="00CD17D2"/>
    <w:rsid w:val="00CD2CCE"/>
    <w:rsid w:val="00CD5271"/>
    <w:rsid w:val="00CD5637"/>
    <w:rsid w:val="00CD59D2"/>
    <w:rsid w:val="00CD644A"/>
    <w:rsid w:val="00CD6518"/>
    <w:rsid w:val="00CE1100"/>
    <w:rsid w:val="00CE1F83"/>
    <w:rsid w:val="00CE2349"/>
    <w:rsid w:val="00CE3AE5"/>
    <w:rsid w:val="00CE4879"/>
    <w:rsid w:val="00CE581C"/>
    <w:rsid w:val="00CE59FB"/>
    <w:rsid w:val="00CE5ACF"/>
    <w:rsid w:val="00CE6361"/>
    <w:rsid w:val="00CE6FB7"/>
    <w:rsid w:val="00CF123C"/>
    <w:rsid w:val="00CF71DD"/>
    <w:rsid w:val="00CF7633"/>
    <w:rsid w:val="00CF76D9"/>
    <w:rsid w:val="00CF78AB"/>
    <w:rsid w:val="00D00539"/>
    <w:rsid w:val="00D01740"/>
    <w:rsid w:val="00D01C10"/>
    <w:rsid w:val="00D01F9A"/>
    <w:rsid w:val="00D036A8"/>
    <w:rsid w:val="00D0373C"/>
    <w:rsid w:val="00D03D07"/>
    <w:rsid w:val="00D03E93"/>
    <w:rsid w:val="00D0675D"/>
    <w:rsid w:val="00D07186"/>
    <w:rsid w:val="00D074EF"/>
    <w:rsid w:val="00D07676"/>
    <w:rsid w:val="00D07697"/>
    <w:rsid w:val="00D10891"/>
    <w:rsid w:val="00D108F9"/>
    <w:rsid w:val="00D118BC"/>
    <w:rsid w:val="00D12C42"/>
    <w:rsid w:val="00D14C54"/>
    <w:rsid w:val="00D14C9E"/>
    <w:rsid w:val="00D16E0E"/>
    <w:rsid w:val="00D17243"/>
    <w:rsid w:val="00D179A3"/>
    <w:rsid w:val="00D2172E"/>
    <w:rsid w:val="00D2206F"/>
    <w:rsid w:val="00D22E6B"/>
    <w:rsid w:val="00D23005"/>
    <w:rsid w:val="00D23506"/>
    <w:rsid w:val="00D24B47"/>
    <w:rsid w:val="00D25C75"/>
    <w:rsid w:val="00D26B1B"/>
    <w:rsid w:val="00D26BC2"/>
    <w:rsid w:val="00D2765A"/>
    <w:rsid w:val="00D27BFC"/>
    <w:rsid w:val="00D321D9"/>
    <w:rsid w:val="00D32D9A"/>
    <w:rsid w:val="00D33B6A"/>
    <w:rsid w:val="00D3650A"/>
    <w:rsid w:val="00D36E3C"/>
    <w:rsid w:val="00D375CE"/>
    <w:rsid w:val="00D41599"/>
    <w:rsid w:val="00D41B71"/>
    <w:rsid w:val="00D4379B"/>
    <w:rsid w:val="00D43AB4"/>
    <w:rsid w:val="00D44C7A"/>
    <w:rsid w:val="00D44CB3"/>
    <w:rsid w:val="00D45C4C"/>
    <w:rsid w:val="00D4638A"/>
    <w:rsid w:val="00D46A06"/>
    <w:rsid w:val="00D5046A"/>
    <w:rsid w:val="00D52396"/>
    <w:rsid w:val="00D52DE9"/>
    <w:rsid w:val="00D53094"/>
    <w:rsid w:val="00D54561"/>
    <w:rsid w:val="00D54B7A"/>
    <w:rsid w:val="00D560EF"/>
    <w:rsid w:val="00D56F95"/>
    <w:rsid w:val="00D57F89"/>
    <w:rsid w:val="00D6016A"/>
    <w:rsid w:val="00D6171E"/>
    <w:rsid w:val="00D62539"/>
    <w:rsid w:val="00D65DCE"/>
    <w:rsid w:val="00D66E23"/>
    <w:rsid w:val="00D672F1"/>
    <w:rsid w:val="00D67624"/>
    <w:rsid w:val="00D728EF"/>
    <w:rsid w:val="00D73738"/>
    <w:rsid w:val="00D73CCC"/>
    <w:rsid w:val="00D73E16"/>
    <w:rsid w:val="00D74645"/>
    <w:rsid w:val="00D75CBA"/>
    <w:rsid w:val="00D75F8E"/>
    <w:rsid w:val="00D76D8C"/>
    <w:rsid w:val="00D81AA0"/>
    <w:rsid w:val="00D82244"/>
    <w:rsid w:val="00D8418D"/>
    <w:rsid w:val="00D84DAD"/>
    <w:rsid w:val="00D86C27"/>
    <w:rsid w:val="00D90A16"/>
    <w:rsid w:val="00D93486"/>
    <w:rsid w:val="00D94DD7"/>
    <w:rsid w:val="00D97252"/>
    <w:rsid w:val="00DA0A4D"/>
    <w:rsid w:val="00DA164B"/>
    <w:rsid w:val="00DA2D91"/>
    <w:rsid w:val="00DA3B47"/>
    <w:rsid w:val="00DA3D4A"/>
    <w:rsid w:val="00DA5FC3"/>
    <w:rsid w:val="00DA6213"/>
    <w:rsid w:val="00DA7280"/>
    <w:rsid w:val="00DB0522"/>
    <w:rsid w:val="00DB1B7F"/>
    <w:rsid w:val="00DB2089"/>
    <w:rsid w:val="00DB3400"/>
    <w:rsid w:val="00DB4EC8"/>
    <w:rsid w:val="00DB50CA"/>
    <w:rsid w:val="00DB6BE0"/>
    <w:rsid w:val="00DC0E33"/>
    <w:rsid w:val="00DC101F"/>
    <w:rsid w:val="00DC10A9"/>
    <w:rsid w:val="00DC1128"/>
    <w:rsid w:val="00DC23EC"/>
    <w:rsid w:val="00DC2793"/>
    <w:rsid w:val="00DC331B"/>
    <w:rsid w:val="00DC40AC"/>
    <w:rsid w:val="00DC4CC0"/>
    <w:rsid w:val="00DC4F4F"/>
    <w:rsid w:val="00DC527C"/>
    <w:rsid w:val="00DC5AAF"/>
    <w:rsid w:val="00DC6279"/>
    <w:rsid w:val="00DC7261"/>
    <w:rsid w:val="00DD09BB"/>
    <w:rsid w:val="00DD1E98"/>
    <w:rsid w:val="00DD3097"/>
    <w:rsid w:val="00DD336A"/>
    <w:rsid w:val="00DD38EE"/>
    <w:rsid w:val="00DD3DAD"/>
    <w:rsid w:val="00DD6857"/>
    <w:rsid w:val="00DD76A4"/>
    <w:rsid w:val="00DD7B85"/>
    <w:rsid w:val="00DE3B96"/>
    <w:rsid w:val="00DE4793"/>
    <w:rsid w:val="00DE5486"/>
    <w:rsid w:val="00DE6209"/>
    <w:rsid w:val="00DE720B"/>
    <w:rsid w:val="00DF1C3C"/>
    <w:rsid w:val="00DF35C7"/>
    <w:rsid w:val="00DF3C21"/>
    <w:rsid w:val="00DF4445"/>
    <w:rsid w:val="00DF4719"/>
    <w:rsid w:val="00DF5587"/>
    <w:rsid w:val="00DF55BB"/>
    <w:rsid w:val="00DF560E"/>
    <w:rsid w:val="00DF5E1E"/>
    <w:rsid w:val="00DF5E53"/>
    <w:rsid w:val="00DF7276"/>
    <w:rsid w:val="00E01AC6"/>
    <w:rsid w:val="00E0402C"/>
    <w:rsid w:val="00E047F9"/>
    <w:rsid w:val="00E0494A"/>
    <w:rsid w:val="00E1067C"/>
    <w:rsid w:val="00E12E68"/>
    <w:rsid w:val="00E15039"/>
    <w:rsid w:val="00E1566A"/>
    <w:rsid w:val="00E1577B"/>
    <w:rsid w:val="00E1704D"/>
    <w:rsid w:val="00E17917"/>
    <w:rsid w:val="00E17B46"/>
    <w:rsid w:val="00E20759"/>
    <w:rsid w:val="00E208D4"/>
    <w:rsid w:val="00E21F5A"/>
    <w:rsid w:val="00E221D9"/>
    <w:rsid w:val="00E23568"/>
    <w:rsid w:val="00E23634"/>
    <w:rsid w:val="00E23C56"/>
    <w:rsid w:val="00E261A8"/>
    <w:rsid w:val="00E2634E"/>
    <w:rsid w:val="00E26BA0"/>
    <w:rsid w:val="00E27B88"/>
    <w:rsid w:val="00E3158F"/>
    <w:rsid w:val="00E318EB"/>
    <w:rsid w:val="00E31AD7"/>
    <w:rsid w:val="00E31E46"/>
    <w:rsid w:val="00E31E9E"/>
    <w:rsid w:val="00E328F3"/>
    <w:rsid w:val="00E33459"/>
    <w:rsid w:val="00E33999"/>
    <w:rsid w:val="00E33A5D"/>
    <w:rsid w:val="00E344C3"/>
    <w:rsid w:val="00E3630C"/>
    <w:rsid w:val="00E368FA"/>
    <w:rsid w:val="00E3692C"/>
    <w:rsid w:val="00E379EB"/>
    <w:rsid w:val="00E4002F"/>
    <w:rsid w:val="00E402D0"/>
    <w:rsid w:val="00E40B3C"/>
    <w:rsid w:val="00E42CA4"/>
    <w:rsid w:val="00E43032"/>
    <w:rsid w:val="00E43116"/>
    <w:rsid w:val="00E4345A"/>
    <w:rsid w:val="00E439CC"/>
    <w:rsid w:val="00E452AA"/>
    <w:rsid w:val="00E458E0"/>
    <w:rsid w:val="00E46B64"/>
    <w:rsid w:val="00E50528"/>
    <w:rsid w:val="00E50E0C"/>
    <w:rsid w:val="00E50F58"/>
    <w:rsid w:val="00E532EA"/>
    <w:rsid w:val="00E53BED"/>
    <w:rsid w:val="00E54140"/>
    <w:rsid w:val="00E543CD"/>
    <w:rsid w:val="00E54DB9"/>
    <w:rsid w:val="00E55496"/>
    <w:rsid w:val="00E55934"/>
    <w:rsid w:val="00E55FD2"/>
    <w:rsid w:val="00E57D37"/>
    <w:rsid w:val="00E616FC"/>
    <w:rsid w:val="00E62384"/>
    <w:rsid w:val="00E62D41"/>
    <w:rsid w:val="00E63134"/>
    <w:rsid w:val="00E643D8"/>
    <w:rsid w:val="00E647AA"/>
    <w:rsid w:val="00E648EA"/>
    <w:rsid w:val="00E64E0D"/>
    <w:rsid w:val="00E66344"/>
    <w:rsid w:val="00E665E5"/>
    <w:rsid w:val="00E6700F"/>
    <w:rsid w:val="00E6759E"/>
    <w:rsid w:val="00E71347"/>
    <w:rsid w:val="00E730D1"/>
    <w:rsid w:val="00E73607"/>
    <w:rsid w:val="00E73628"/>
    <w:rsid w:val="00E73739"/>
    <w:rsid w:val="00E73B95"/>
    <w:rsid w:val="00E75D92"/>
    <w:rsid w:val="00E767D6"/>
    <w:rsid w:val="00E76D36"/>
    <w:rsid w:val="00E800F2"/>
    <w:rsid w:val="00E81303"/>
    <w:rsid w:val="00E82584"/>
    <w:rsid w:val="00E82EC8"/>
    <w:rsid w:val="00E831E8"/>
    <w:rsid w:val="00E8472C"/>
    <w:rsid w:val="00E85889"/>
    <w:rsid w:val="00E8753F"/>
    <w:rsid w:val="00E940E4"/>
    <w:rsid w:val="00E95691"/>
    <w:rsid w:val="00E956CC"/>
    <w:rsid w:val="00E95DC9"/>
    <w:rsid w:val="00E971F0"/>
    <w:rsid w:val="00E973F8"/>
    <w:rsid w:val="00E97DEA"/>
    <w:rsid w:val="00EA77CD"/>
    <w:rsid w:val="00EB0DF8"/>
    <w:rsid w:val="00EB17D5"/>
    <w:rsid w:val="00EB2944"/>
    <w:rsid w:val="00EB44D5"/>
    <w:rsid w:val="00EB53A8"/>
    <w:rsid w:val="00EB5DCE"/>
    <w:rsid w:val="00EB6AFE"/>
    <w:rsid w:val="00EB778E"/>
    <w:rsid w:val="00EC0C52"/>
    <w:rsid w:val="00EC158D"/>
    <w:rsid w:val="00EC26D3"/>
    <w:rsid w:val="00EC2B3F"/>
    <w:rsid w:val="00EC388E"/>
    <w:rsid w:val="00EC3AF7"/>
    <w:rsid w:val="00EC44C7"/>
    <w:rsid w:val="00EC57B7"/>
    <w:rsid w:val="00EC5C94"/>
    <w:rsid w:val="00EC60F2"/>
    <w:rsid w:val="00EC6770"/>
    <w:rsid w:val="00EC713F"/>
    <w:rsid w:val="00ED15A4"/>
    <w:rsid w:val="00ED3D05"/>
    <w:rsid w:val="00ED587B"/>
    <w:rsid w:val="00ED6AAB"/>
    <w:rsid w:val="00EE1907"/>
    <w:rsid w:val="00EE191F"/>
    <w:rsid w:val="00EE2640"/>
    <w:rsid w:val="00EE297A"/>
    <w:rsid w:val="00EE2A55"/>
    <w:rsid w:val="00EE319D"/>
    <w:rsid w:val="00EE3CB3"/>
    <w:rsid w:val="00EE3D54"/>
    <w:rsid w:val="00EE4524"/>
    <w:rsid w:val="00EE4546"/>
    <w:rsid w:val="00EE45EE"/>
    <w:rsid w:val="00EE46C0"/>
    <w:rsid w:val="00EE4ACD"/>
    <w:rsid w:val="00EE50B4"/>
    <w:rsid w:val="00EE6B5E"/>
    <w:rsid w:val="00EE79C2"/>
    <w:rsid w:val="00EF130A"/>
    <w:rsid w:val="00EF33CB"/>
    <w:rsid w:val="00EF5414"/>
    <w:rsid w:val="00EF5AAB"/>
    <w:rsid w:val="00EF7515"/>
    <w:rsid w:val="00EF758D"/>
    <w:rsid w:val="00F00FFE"/>
    <w:rsid w:val="00F01D01"/>
    <w:rsid w:val="00F02093"/>
    <w:rsid w:val="00F02701"/>
    <w:rsid w:val="00F02F2F"/>
    <w:rsid w:val="00F03DC4"/>
    <w:rsid w:val="00F0419F"/>
    <w:rsid w:val="00F044DF"/>
    <w:rsid w:val="00F05697"/>
    <w:rsid w:val="00F05CC4"/>
    <w:rsid w:val="00F06AC1"/>
    <w:rsid w:val="00F06BC9"/>
    <w:rsid w:val="00F06CEF"/>
    <w:rsid w:val="00F07F79"/>
    <w:rsid w:val="00F10BB8"/>
    <w:rsid w:val="00F10C46"/>
    <w:rsid w:val="00F11E5E"/>
    <w:rsid w:val="00F12715"/>
    <w:rsid w:val="00F12D85"/>
    <w:rsid w:val="00F14B3A"/>
    <w:rsid w:val="00F1578E"/>
    <w:rsid w:val="00F15F48"/>
    <w:rsid w:val="00F162F0"/>
    <w:rsid w:val="00F16BF7"/>
    <w:rsid w:val="00F1747B"/>
    <w:rsid w:val="00F17C75"/>
    <w:rsid w:val="00F17ED7"/>
    <w:rsid w:val="00F21183"/>
    <w:rsid w:val="00F21877"/>
    <w:rsid w:val="00F22451"/>
    <w:rsid w:val="00F25133"/>
    <w:rsid w:val="00F26079"/>
    <w:rsid w:val="00F270F7"/>
    <w:rsid w:val="00F2723D"/>
    <w:rsid w:val="00F27957"/>
    <w:rsid w:val="00F30D53"/>
    <w:rsid w:val="00F31D40"/>
    <w:rsid w:val="00F33118"/>
    <w:rsid w:val="00F34A5A"/>
    <w:rsid w:val="00F35028"/>
    <w:rsid w:val="00F35C02"/>
    <w:rsid w:val="00F36157"/>
    <w:rsid w:val="00F37430"/>
    <w:rsid w:val="00F4131A"/>
    <w:rsid w:val="00F41845"/>
    <w:rsid w:val="00F439E9"/>
    <w:rsid w:val="00F43B15"/>
    <w:rsid w:val="00F43BD4"/>
    <w:rsid w:val="00F5065B"/>
    <w:rsid w:val="00F507D8"/>
    <w:rsid w:val="00F526C4"/>
    <w:rsid w:val="00F533D8"/>
    <w:rsid w:val="00F54C60"/>
    <w:rsid w:val="00F5548F"/>
    <w:rsid w:val="00F55555"/>
    <w:rsid w:val="00F573D5"/>
    <w:rsid w:val="00F57C94"/>
    <w:rsid w:val="00F57F98"/>
    <w:rsid w:val="00F61FE5"/>
    <w:rsid w:val="00F62A78"/>
    <w:rsid w:val="00F62B0D"/>
    <w:rsid w:val="00F66722"/>
    <w:rsid w:val="00F66D24"/>
    <w:rsid w:val="00F7188C"/>
    <w:rsid w:val="00F72710"/>
    <w:rsid w:val="00F73BA8"/>
    <w:rsid w:val="00F741A6"/>
    <w:rsid w:val="00F7664B"/>
    <w:rsid w:val="00F76AE2"/>
    <w:rsid w:val="00F7723B"/>
    <w:rsid w:val="00F7750E"/>
    <w:rsid w:val="00F8247D"/>
    <w:rsid w:val="00F865EC"/>
    <w:rsid w:val="00F91E9A"/>
    <w:rsid w:val="00F92D33"/>
    <w:rsid w:val="00F9317C"/>
    <w:rsid w:val="00F94DC4"/>
    <w:rsid w:val="00F9514C"/>
    <w:rsid w:val="00F95C55"/>
    <w:rsid w:val="00F97803"/>
    <w:rsid w:val="00F97DC1"/>
    <w:rsid w:val="00FA088C"/>
    <w:rsid w:val="00FA0A5A"/>
    <w:rsid w:val="00FA2512"/>
    <w:rsid w:val="00FA39BC"/>
    <w:rsid w:val="00FA3D41"/>
    <w:rsid w:val="00FA4877"/>
    <w:rsid w:val="00FA5229"/>
    <w:rsid w:val="00FA6AB7"/>
    <w:rsid w:val="00FA6DF2"/>
    <w:rsid w:val="00FA6E02"/>
    <w:rsid w:val="00FA7F90"/>
    <w:rsid w:val="00FB2B3C"/>
    <w:rsid w:val="00FB36BE"/>
    <w:rsid w:val="00FB3C5F"/>
    <w:rsid w:val="00FB3D8D"/>
    <w:rsid w:val="00FB4D45"/>
    <w:rsid w:val="00FB4E77"/>
    <w:rsid w:val="00FB6943"/>
    <w:rsid w:val="00FB6F67"/>
    <w:rsid w:val="00FC2440"/>
    <w:rsid w:val="00FC3F82"/>
    <w:rsid w:val="00FC434E"/>
    <w:rsid w:val="00FC5CD2"/>
    <w:rsid w:val="00FC7CF8"/>
    <w:rsid w:val="00FD0620"/>
    <w:rsid w:val="00FD2D25"/>
    <w:rsid w:val="00FD3A77"/>
    <w:rsid w:val="00FD3A9E"/>
    <w:rsid w:val="00FD5249"/>
    <w:rsid w:val="00FD6C3F"/>
    <w:rsid w:val="00FD7241"/>
    <w:rsid w:val="00FD7F6A"/>
    <w:rsid w:val="00FE002A"/>
    <w:rsid w:val="00FE065B"/>
    <w:rsid w:val="00FE141C"/>
    <w:rsid w:val="00FE15EA"/>
    <w:rsid w:val="00FE2C0C"/>
    <w:rsid w:val="00FE3098"/>
    <w:rsid w:val="00FE3344"/>
    <w:rsid w:val="00FE370B"/>
    <w:rsid w:val="00FE3A50"/>
    <w:rsid w:val="00FE3D70"/>
    <w:rsid w:val="00FE5351"/>
    <w:rsid w:val="00FE5F06"/>
    <w:rsid w:val="00FE6BF3"/>
    <w:rsid w:val="00FE7381"/>
    <w:rsid w:val="00FE7724"/>
    <w:rsid w:val="00FE7B62"/>
    <w:rsid w:val="00FE7EE7"/>
    <w:rsid w:val="00FF03CE"/>
    <w:rsid w:val="00FF1083"/>
    <w:rsid w:val="00FF51D3"/>
    <w:rsid w:val="00FF54AC"/>
    <w:rsid w:val="00FF5EFA"/>
    <w:rsid w:val="00FF754A"/>
    <w:rsid w:val="00FF7CA2"/>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C1D8573"/>
  <w15:docId w15:val="{3EB66206-C630-4114-9B40-8B003E37B9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0"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D74C2"/>
    <w:pPr>
      <w:spacing w:after="0" w:line="240" w:lineRule="auto"/>
    </w:pPr>
    <w:rPr>
      <w:rFonts w:ascii="Times New Roman" w:eastAsia="Times New Roman" w:hAnsi="Times New Roman" w:cs="Angsana New"/>
      <w:sz w:val="20"/>
      <w:szCs w:val="20"/>
      <w:lang w:val="en-GB" w:eastAsia="en-AU" w:bidi="th-TH"/>
    </w:rPr>
  </w:style>
  <w:style w:type="paragraph" w:styleId="Heading1">
    <w:name w:val="heading 1"/>
    <w:basedOn w:val="Normal"/>
    <w:next w:val="Normal"/>
    <w:link w:val="Heading1Char"/>
    <w:autoRedefine/>
    <w:uiPriority w:val="9"/>
    <w:qFormat/>
    <w:rsid w:val="00392DDF"/>
    <w:pPr>
      <w:keepNext/>
      <w:numPr>
        <w:numId w:val="36"/>
      </w:numPr>
      <w:spacing w:before="480" w:after="240" w:line="360" w:lineRule="auto"/>
      <w:outlineLvl w:val="0"/>
    </w:pPr>
    <w:rPr>
      <w:b/>
      <w:bCs/>
      <w:kern w:val="28"/>
      <w:sz w:val="40"/>
      <w:szCs w:val="40"/>
      <w:lang w:val="en-AU"/>
    </w:rPr>
  </w:style>
  <w:style w:type="paragraph" w:styleId="Heading2">
    <w:name w:val="heading 2"/>
    <w:basedOn w:val="Normal"/>
    <w:next w:val="BodyText"/>
    <w:link w:val="Heading2Char"/>
    <w:uiPriority w:val="9"/>
    <w:qFormat/>
    <w:rsid w:val="003D74C2"/>
    <w:pPr>
      <w:keepNext/>
      <w:numPr>
        <w:ilvl w:val="1"/>
        <w:numId w:val="1"/>
      </w:numPr>
      <w:spacing w:before="240" w:after="60" w:line="360" w:lineRule="auto"/>
      <w:jc w:val="both"/>
      <w:outlineLvl w:val="1"/>
    </w:pPr>
    <w:rPr>
      <w:b/>
      <w:bCs/>
      <w:iCs/>
      <w:sz w:val="28"/>
      <w:szCs w:val="28"/>
      <w:lang w:val="en-AU"/>
    </w:rPr>
  </w:style>
  <w:style w:type="paragraph" w:styleId="Heading3">
    <w:name w:val="heading 3"/>
    <w:basedOn w:val="Normal"/>
    <w:next w:val="BodyText"/>
    <w:link w:val="Heading3Char"/>
    <w:autoRedefine/>
    <w:uiPriority w:val="9"/>
    <w:qFormat/>
    <w:rsid w:val="002D79C5"/>
    <w:pPr>
      <w:keepNext/>
      <w:numPr>
        <w:ilvl w:val="2"/>
        <w:numId w:val="36"/>
      </w:numPr>
      <w:spacing w:before="400" w:after="240" w:line="360" w:lineRule="auto"/>
      <w:jc w:val="both"/>
      <w:outlineLvl w:val="2"/>
    </w:pPr>
    <w:rPr>
      <w:b/>
      <w:snapToGrid w:val="0"/>
      <w:sz w:val="26"/>
      <w:szCs w:val="24"/>
      <w:lang w:val="en-AU"/>
    </w:rPr>
  </w:style>
  <w:style w:type="paragraph" w:styleId="Heading4">
    <w:name w:val="heading 4"/>
    <w:basedOn w:val="Normal"/>
    <w:next w:val="BodyText"/>
    <w:link w:val="Heading4Char"/>
    <w:autoRedefine/>
    <w:uiPriority w:val="9"/>
    <w:qFormat/>
    <w:rsid w:val="008A228D"/>
    <w:pPr>
      <w:keepNext/>
      <w:numPr>
        <w:numId w:val="37"/>
      </w:numPr>
      <w:spacing w:before="240" w:after="240" w:line="360" w:lineRule="auto"/>
      <w:jc w:val="both"/>
      <w:outlineLvl w:val="3"/>
    </w:pPr>
    <w:rPr>
      <w:b/>
      <w:bCs/>
      <w:sz w:val="24"/>
      <w:szCs w:val="24"/>
    </w:rPr>
  </w:style>
  <w:style w:type="paragraph" w:styleId="Heading5">
    <w:name w:val="heading 5"/>
    <w:basedOn w:val="Normal"/>
    <w:next w:val="Normal"/>
    <w:link w:val="Heading5Char"/>
    <w:autoRedefine/>
    <w:uiPriority w:val="9"/>
    <w:qFormat/>
    <w:rsid w:val="003D74C2"/>
    <w:pPr>
      <w:keepNext/>
      <w:numPr>
        <w:ilvl w:val="4"/>
        <w:numId w:val="1"/>
      </w:numPr>
      <w:spacing w:before="360" w:after="240"/>
      <w:jc w:val="both"/>
      <w:outlineLvl w:val="4"/>
    </w:pPr>
    <w:rPr>
      <w:i/>
      <w:iCs/>
      <w:sz w:val="24"/>
      <w:szCs w:val="24"/>
    </w:rPr>
  </w:style>
  <w:style w:type="paragraph" w:styleId="Heading6">
    <w:name w:val="heading 6"/>
    <w:basedOn w:val="Normal"/>
    <w:next w:val="Normal"/>
    <w:link w:val="Heading6Char"/>
    <w:uiPriority w:val="9"/>
    <w:qFormat/>
    <w:rsid w:val="003D74C2"/>
    <w:pPr>
      <w:keepNext/>
      <w:numPr>
        <w:ilvl w:val="5"/>
        <w:numId w:val="1"/>
      </w:numPr>
      <w:jc w:val="both"/>
      <w:outlineLvl w:val="5"/>
    </w:pPr>
    <w:rPr>
      <w:rFonts w:ascii="Garamond" w:hAnsi="Garamond"/>
      <w:sz w:val="24"/>
      <w:szCs w:val="24"/>
      <w:lang w:val="en-AU"/>
    </w:rPr>
  </w:style>
  <w:style w:type="paragraph" w:styleId="Heading7">
    <w:name w:val="heading 7"/>
    <w:basedOn w:val="Normal"/>
    <w:next w:val="Normal"/>
    <w:link w:val="Heading7Char"/>
    <w:uiPriority w:val="9"/>
    <w:qFormat/>
    <w:rsid w:val="003D74C2"/>
    <w:pPr>
      <w:keepNext/>
      <w:numPr>
        <w:ilvl w:val="6"/>
        <w:numId w:val="1"/>
      </w:numPr>
      <w:jc w:val="both"/>
      <w:outlineLvl w:val="6"/>
    </w:pPr>
    <w:rPr>
      <w:rFonts w:ascii="Garamond" w:hAnsi="Garamond"/>
      <w:sz w:val="24"/>
      <w:szCs w:val="24"/>
    </w:rPr>
  </w:style>
  <w:style w:type="paragraph" w:styleId="Heading8">
    <w:name w:val="heading 8"/>
    <w:basedOn w:val="Normal"/>
    <w:next w:val="Normal"/>
    <w:link w:val="Heading8Char"/>
    <w:uiPriority w:val="9"/>
    <w:qFormat/>
    <w:rsid w:val="003D74C2"/>
    <w:pPr>
      <w:keepNext/>
      <w:numPr>
        <w:ilvl w:val="7"/>
        <w:numId w:val="1"/>
      </w:numPr>
      <w:outlineLvl w:val="7"/>
    </w:pPr>
    <w:rPr>
      <w:rFonts w:ascii="Garamond" w:hAnsi="Garamond"/>
      <w:i/>
      <w:iCs/>
      <w:sz w:val="24"/>
      <w:szCs w:val="24"/>
    </w:rPr>
  </w:style>
  <w:style w:type="paragraph" w:styleId="Heading9">
    <w:name w:val="heading 9"/>
    <w:basedOn w:val="Normal"/>
    <w:next w:val="Normal"/>
    <w:link w:val="Heading9Char"/>
    <w:uiPriority w:val="9"/>
    <w:qFormat/>
    <w:rsid w:val="003D74C2"/>
    <w:pPr>
      <w:keepNext/>
      <w:numPr>
        <w:ilvl w:val="8"/>
        <w:numId w:val="1"/>
      </w:numPr>
      <w:outlineLvl w:val="8"/>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Style">
    <w:name w:val="BodyStyle"/>
    <w:basedOn w:val="BodyText"/>
    <w:link w:val="BodyStyleChar"/>
    <w:autoRedefine/>
    <w:qFormat/>
    <w:rsid w:val="004139FF"/>
    <w:pPr>
      <w:spacing w:before="280" w:after="280"/>
      <w:jc w:val="both"/>
    </w:pPr>
    <w:rPr>
      <w:rFonts w:ascii="Times New Roman" w:hAnsi="Times New Roman"/>
      <w:lang w:val="en-AU" w:bidi="ar-SA"/>
    </w:rPr>
  </w:style>
  <w:style w:type="paragraph" w:styleId="BodyText">
    <w:name w:val="Body Text"/>
    <w:basedOn w:val="Normal"/>
    <w:link w:val="BodyTextChar"/>
    <w:uiPriority w:val="99"/>
    <w:rsid w:val="003D74C2"/>
    <w:pPr>
      <w:spacing w:line="360" w:lineRule="auto"/>
    </w:pPr>
    <w:rPr>
      <w:rFonts w:ascii="Garamond" w:hAnsi="Garamond"/>
      <w:sz w:val="24"/>
    </w:rPr>
  </w:style>
  <w:style w:type="character" w:customStyle="1" w:styleId="BodyTextChar">
    <w:name w:val="Body Text Char"/>
    <w:basedOn w:val="DefaultParagraphFont"/>
    <w:link w:val="BodyText"/>
    <w:uiPriority w:val="99"/>
    <w:rsid w:val="003D74C2"/>
    <w:rPr>
      <w:rFonts w:ascii="Garamond" w:eastAsia="Times New Roman" w:hAnsi="Garamond" w:cs="Angsana New"/>
      <w:sz w:val="24"/>
      <w:szCs w:val="20"/>
      <w:lang w:val="en-GB" w:eastAsia="en-AU" w:bidi="th-TH"/>
    </w:rPr>
  </w:style>
  <w:style w:type="character" w:customStyle="1" w:styleId="BodyStyleChar">
    <w:name w:val="BodyStyle Char"/>
    <w:basedOn w:val="BodyTextChar"/>
    <w:link w:val="BodyStyle"/>
    <w:rsid w:val="004139FF"/>
    <w:rPr>
      <w:rFonts w:ascii="Times New Roman" w:eastAsia="Times New Roman" w:hAnsi="Times New Roman" w:cs="Angsana New"/>
      <w:sz w:val="24"/>
      <w:szCs w:val="20"/>
      <w:lang w:val="en-GB" w:eastAsia="en-AU" w:bidi="th-TH"/>
    </w:rPr>
  </w:style>
  <w:style w:type="paragraph" w:customStyle="1" w:styleId="Tableentry">
    <w:name w:val="Table entry"/>
    <w:basedOn w:val="BodyText"/>
    <w:autoRedefine/>
    <w:qFormat/>
    <w:rsid w:val="003D74C2"/>
    <w:pPr>
      <w:spacing w:line="240" w:lineRule="auto"/>
    </w:pPr>
    <w:rPr>
      <w:rFonts w:ascii="Times New Roman" w:hAnsi="Times New Roman"/>
      <w:sz w:val="20"/>
      <w:lang w:val="en-AU"/>
    </w:rPr>
  </w:style>
  <w:style w:type="character" w:customStyle="1" w:styleId="Heading3Char">
    <w:name w:val="Heading 3 Char"/>
    <w:basedOn w:val="DefaultParagraphFont"/>
    <w:link w:val="Heading3"/>
    <w:uiPriority w:val="9"/>
    <w:rsid w:val="002D79C5"/>
    <w:rPr>
      <w:rFonts w:ascii="Times New Roman" w:eastAsia="Times New Roman" w:hAnsi="Times New Roman" w:cs="Angsana New"/>
      <w:b/>
      <w:snapToGrid w:val="0"/>
      <w:sz w:val="26"/>
      <w:szCs w:val="24"/>
      <w:lang w:eastAsia="en-AU" w:bidi="th-TH"/>
    </w:rPr>
  </w:style>
  <w:style w:type="character" w:customStyle="1" w:styleId="Heading1Char">
    <w:name w:val="Heading 1 Char"/>
    <w:basedOn w:val="DefaultParagraphFont"/>
    <w:link w:val="Heading1"/>
    <w:uiPriority w:val="9"/>
    <w:rsid w:val="00392DDF"/>
    <w:rPr>
      <w:rFonts w:ascii="Times New Roman" w:eastAsia="Times New Roman" w:hAnsi="Times New Roman" w:cs="Angsana New"/>
      <w:b/>
      <w:bCs/>
      <w:kern w:val="28"/>
      <w:sz w:val="40"/>
      <w:szCs w:val="40"/>
      <w:lang w:eastAsia="en-AU" w:bidi="th-TH"/>
    </w:rPr>
  </w:style>
  <w:style w:type="paragraph" w:customStyle="1" w:styleId="Tableheading">
    <w:name w:val="Table heading"/>
    <w:basedOn w:val="chartheading"/>
    <w:qFormat/>
    <w:rsid w:val="003D74C2"/>
    <w:rPr>
      <w:b/>
    </w:rPr>
  </w:style>
  <w:style w:type="paragraph" w:customStyle="1" w:styleId="Bulletaphalist">
    <w:name w:val="Bullet apha list"/>
    <w:basedOn w:val="ListParagraph"/>
    <w:link w:val="BulletaphalistChar"/>
    <w:autoRedefine/>
    <w:qFormat/>
    <w:rsid w:val="00261658"/>
    <w:pPr>
      <w:numPr>
        <w:numId w:val="0"/>
      </w:numPr>
      <w:ind w:left="720"/>
    </w:pPr>
  </w:style>
  <w:style w:type="paragraph" w:styleId="ListParagraph">
    <w:name w:val="List Paragraph"/>
    <w:basedOn w:val="Normal"/>
    <w:link w:val="ListParagraphChar"/>
    <w:autoRedefine/>
    <w:uiPriority w:val="34"/>
    <w:qFormat/>
    <w:rsid w:val="0089353A"/>
    <w:pPr>
      <w:numPr>
        <w:numId w:val="31"/>
      </w:numPr>
      <w:spacing w:line="360" w:lineRule="auto"/>
      <w:contextualSpacing/>
    </w:pPr>
    <w:rPr>
      <w:sz w:val="24"/>
    </w:rPr>
  </w:style>
  <w:style w:type="character" w:customStyle="1" w:styleId="BulletaphalistChar">
    <w:name w:val="Bullet apha list Char"/>
    <w:basedOn w:val="DefaultParagraphFont"/>
    <w:link w:val="Bulletaphalist"/>
    <w:rsid w:val="00261658"/>
    <w:rPr>
      <w:rFonts w:ascii="Times New Roman" w:eastAsia="Times New Roman" w:hAnsi="Times New Roman" w:cs="Angsana New"/>
      <w:sz w:val="24"/>
      <w:szCs w:val="20"/>
      <w:lang w:val="en-GB" w:eastAsia="en-AU" w:bidi="th-TH"/>
    </w:rPr>
  </w:style>
  <w:style w:type="paragraph" w:customStyle="1" w:styleId="Bulletedlist">
    <w:name w:val="Bulleted list"/>
    <w:basedOn w:val="ListParagraph"/>
    <w:autoRedefine/>
    <w:qFormat/>
    <w:rsid w:val="004E464D"/>
    <w:pPr>
      <w:numPr>
        <w:numId w:val="0"/>
      </w:numPr>
      <w:spacing w:before="240" w:after="240"/>
    </w:pPr>
  </w:style>
  <w:style w:type="paragraph" w:styleId="FootnoteText">
    <w:name w:val="footnote text"/>
    <w:aliases w:val="Footnote text 1 Char Char,Footnote text 1,Footnote Text Char1,Footnote Text Char Char,Kneebone1,Footnote,Text Char Char Char,Text Char,Footnote Text Char Char Char Char Char,Text Char Char Char Char,Footnote text 1 Char"/>
    <w:basedOn w:val="Normal"/>
    <w:link w:val="FootnoteTextChar"/>
    <w:autoRedefine/>
    <w:qFormat/>
    <w:rsid w:val="00370E7F"/>
    <w:pPr>
      <w:ind w:left="360" w:hanging="360"/>
      <w:jc w:val="both"/>
    </w:pPr>
    <w:rPr>
      <w:color w:val="000000"/>
      <w:lang w:val="en-AU"/>
    </w:rPr>
  </w:style>
  <w:style w:type="character" w:customStyle="1" w:styleId="FootnoteTextChar">
    <w:name w:val="Footnote Text Char"/>
    <w:aliases w:val="Footnote text 1 Char Char Char,Footnote text 1 Char1,Footnote Text Char1 Char,Footnote Text Char Char Char,Kneebone1 Char,Footnote Char,Text Char Char Char Char1,Text Char Char,Footnote Text Char Char Char Char Char Char"/>
    <w:basedOn w:val="DefaultParagraphFont"/>
    <w:link w:val="FootnoteText"/>
    <w:rsid w:val="00370E7F"/>
    <w:rPr>
      <w:rFonts w:ascii="Times New Roman" w:eastAsia="Times New Roman" w:hAnsi="Times New Roman" w:cs="Angsana New"/>
      <w:color w:val="000000"/>
      <w:sz w:val="20"/>
      <w:szCs w:val="20"/>
      <w:lang w:eastAsia="en-AU" w:bidi="th-TH"/>
    </w:rPr>
  </w:style>
  <w:style w:type="paragraph" w:customStyle="1" w:styleId="Footnotequote">
    <w:name w:val="Footnote quote"/>
    <w:basedOn w:val="FootnoteText"/>
    <w:link w:val="FootnotequoteChar"/>
    <w:autoRedefine/>
    <w:qFormat/>
    <w:rsid w:val="00055310"/>
    <w:pPr>
      <w:ind w:left="720" w:firstLine="0"/>
    </w:pPr>
  </w:style>
  <w:style w:type="character" w:customStyle="1" w:styleId="FootnotequoteChar">
    <w:name w:val="Footnote quote Char"/>
    <w:basedOn w:val="FootnoteTextChar"/>
    <w:link w:val="Footnotequote"/>
    <w:rsid w:val="00055310"/>
    <w:rPr>
      <w:rFonts w:ascii="Times New Roman" w:eastAsia="Times New Roman" w:hAnsi="Times New Roman" w:cs="Angsana New"/>
      <w:color w:val="000000"/>
      <w:sz w:val="20"/>
      <w:szCs w:val="20"/>
      <w:lang w:eastAsia="en-AU" w:bidi="th-TH"/>
    </w:rPr>
  </w:style>
  <w:style w:type="character" w:customStyle="1" w:styleId="Heading2Char">
    <w:name w:val="Heading 2 Char"/>
    <w:basedOn w:val="DefaultParagraphFont"/>
    <w:link w:val="Heading2"/>
    <w:uiPriority w:val="9"/>
    <w:rsid w:val="005509F4"/>
    <w:rPr>
      <w:rFonts w:ascii="Times New Roman" w:eastAsia="Times New Roman" w:hAnsi="Times New Roman" w:cs="Angsana New"/>
      <w:b/>
      <w:bCs/>
      <w:iCs/>
      <w:sz w:val="28"/>
      <w:szCs w:val="28"/>
      <w:lang w:eastAsia="en-AU" w:bidi="th-TH"/>
    </w:rPr>
  </w:style>
  <w:style w:type="character" w:customStyle="1" w:styleId="Heading4Char">
    <w:name w:val="Heading 4 Char"/>
    <w:basedOn w:val="DefaultParagraphFont"/>
    <w:link w:val="Heading4"/>
    <w:uiPriority w:val="9"/>
    <w:rsid w:val="008A228D"/>
    <w:rPr>
      <w:rFonts w:ascii="Times New Roman" w:eastAsia="Times New Roman" w:hAnsi="Times New Roman" w:cs="Angsana New"/>
      <w:b/>
      <w:bCs/>
      <w:sz w:val="24"/>
      <w:szCs w:val="24"/>
      <w:lang w:val="en-GB" w:eastAsia="en-AU" w:bidi="th-TH"/>
    </w:rPr>
  </w:style>
  <w:style w:type="character" w:customStyle="1" w:styleId="Heading5Char">
    <w:name w:val="Heading 5 Char"/>
    <w:basedOn w:val="DefaultParagraphFont"/>
    <w:link w:val="Heading5"/>
    <w:rsid w:val="003D74C2"/>
    <w:rPr>
      <w:rFonts w:ascii="Times New Roman" w:eastAsia="Times New Roman" w:hAnsi="Times New Roman" w:cs="Angsana New"/>
      <w:i/>
      <w:iCs/>
      <w:sz w:val="24"/>
      <w:szCs w:val="24"/>
      <w:lang w:val="en-GB" w:eastAsia="en-AU" w:bidi="th-TH"/>
    </w:rPr>
  </w:style>
  <w:style w:type="character" w:customStyle="1" w:styleId="Heading6Char">
    <w:name w:val="Heading 6 Char"/>
    <w:basedOn w:val="DefaultParagraphFont"/>
    <w:link w:val="Heading6"/>
    <w:uiPriority w:val="9"/>
    <w:rsid w:val="003D74C2"/>
    <w:rPr>
      <w:rFonts w:ascii="Garamond" w:eastAsia="Times New Roman" w:hAnsi="Garamond" w:cs="Angsana New"/>
      <w:sz w:val="24"/>
      <w:szCs w:val="24"/>
      <w:lang w:eastAsia="en-AU" w:bidi="th-TH"/>
    </w:rPr>
  </w:style>
  <w:style w:type="character" w:customStyle="1" w:styleId="Heading7Char">
    <w:name w:val="Heading 7 Char"/>
    <w:basedOn w:val="DefaultParagraphFont"/>
    <w:link w:val="Heading7"/>
    <w:uiPriority w:val="9"/>
    <w:rsid w:val="003D74C2"/>
    <w:rPr>
      <w:rFonts w:ascii="Garamond" w:eastAsia="Times New Roman" w:hAnsi="Garamond" w:cs="Angsana New"/>
      <w:sz w:val="24"/>
      <w:szCs w:val="24"/>
      <w:lang w:val="en-GB" w:eastAsia="en-AU" w:bidi="th-TH"/>
    </w:rPr>
  </w:style>
  <w:style w:type="character" w:customStyle="1" w:styleId="Heading8Char">
    <w:name w:val="Heading 8 Char"/>
    <w:basedOn w:val="DefaultParagraphFont"/>
    <w:link w:val="Heading8"/>
    <w:uiPriority w:val="9"/>
    <w:rsid w:val="003D74C2"/>
    <w:rPr>
      <w:rFonts w:ascii="Garamond" w:eastAsia="Times New Roman" w:hAnsi="Garamond" w:cs="Angsana New"/>
      <w:i/>
      <w:iCs/>
      <w:sz w:val="24"/>
      <w:szCs w:val="24"/>
      <w:lang w:val="en-GB" w:eastAsia="en-AU" w:bidi="th-TH"/>
    </w:rPr>
  </w:style>
  <w:style w:type="character" w:customStyle="1" w:styleId="Heading9Char">
    <w:name w:val="Heading 9 Char"/>
    <w:basedOn w:val="DefaultParagraphFont"/>
    <w:link w:val="Heading9"/>
    <w:uiPriority w:val="9"/>
    <w:rsid w:val="003D74C2"/>
    <w:rPr>
      <w:rFonts w:ascii="Times New Roman" w:eastAsia="Times New Roman" w:hAnsi="Times New Roman" w:cs="Angsana New"/>
      <w:b/>
      <w:bCs/>
      <w:sz w:val="20"/>
      <w:szCs w:val="20"/>
      <w:lang w:val="en-GB" w:eastAsia="en-AU" w:bidi="th-TH"/>
    </w:rPr>
  </w:style>
  <w:style w:type="paragraph" w:styleId="BodyTextIndent">
    <w:name w:val="Body Text Indent"/>
    <w:basedOn w:val="Normal"/>
    <w:link w:val="BodyTextIndentChar"/>
    <w:rsid w:val="003D74C2"/>
    <w:pPr>
      <w:ind w:left="720"/>
    </w:pPr>
    <w:rPr>
      <w:rFonts w:ascii="Arial" w:hAnsi="Arial"/>
      <w:lang w:val="en-AU"/>
    </w:rPr>
  </w:style>
  <w:style w:type="character" w:customStyle="1" w:styleId="BodyTextIndentChar">
    <w:name w:val="Body Text Indent Char"/>
    <w:basedOn w:val="DefaultParagraphFont"/>
    <w:link w:val="BodyTextIndent"/>
    <w:rsid w:val="003D74C2"/>
    <w:rPr>
      <w:rFonts w:ascii="Arial" w:eastAsia="Times New Roman" w:hAnsi="Arial" w:cs="Angsana New"/>
      <w:sz w:val="20"/>
      <w:szCs w:val="20"/>
      <w:lang w:eastAsia="en-AU" w:bidi="th-TH"/>
    </w:rPr>
  </w:style>
  <w:style w:type="paragraph" w:styleId="BodyText2">
    <w:name w:val="Body Text 2"/>
    <w:basedOn w:val="Normal"/>
    <w:link w:val="BodyText2Char"/>
    <w:rsid w:val="003D74C2"/>
    <w:rPr>
      <w:rFonts w:ascii="Arial" w:hAnsi="Arial"/>
      <w:snapToGrid w:val="0"/>
      <w:sz w:val="24"/>
      <w:szCs w:val="24"/>
      <w:lang w:val="en-US" w:eastAsia="en-US"/>
    </w:rPr>
  </w:style>
  <w:style w:type="character" w:customStyle="1" w:styleId="BodyText2Char">
    <w:name w:val="Body Text 2 Char"/>
    <w:basedOn w:val="DefaultParagraphFont"/>
    <w:link w:val="BodyText2"/>
    <w:rsid w:val="003D74C2"/>
    <w:rPr>
      <w:rFonts w:ascii="Arial" w:eastAsia="Times New Roman" w:hAnsi="Arial" w:cs="Angsana New"/>
      <w:snapToGrid w:val="0"/>
      <w:sz w:val="24"/>
      <w:szCs w:val="24"/>
      <w:lang w:val="en-US" w:bidi="th-TH"/>
    </w:rPr>
  </w:style>
  <w:style w:type="paragraph" w:customStyle="1" w:styleId="BulletItem">
    <w:name w:val="Bullet Item"/>
    <w:basedOn w:val="Normal"/>
    <w:rsid w:val="003D74C2"/>
    <w:pPr>
      <w:numPr>
        <w:numId w:val="8"/>
      </w:numPr>
      <w:tabs>
        <w:tab w:val="left" w:pos="227"/>
        <w:tab w:val="left" w:pos="454"/>
      </w:tabs>
      <w:jc w:val="both"/>
    </w:pPr>
    <w:rPr>
      <w:rFonts w:ascii="Times" w:hAnsi="Times"/>
    </w:rPr>
  </w:style>
  <w:style w:type="paragraph" w:styleId="BodyText3">
    <w:name w:val="Body Text 3"/>
    <w:basedOn w:val="Normal"/>
    <w:link w:val="BodyText3Char"/>
    <w:rsid w:val="003D74C2"/>
    <w:rPr>
      <w:rFonts w:ascii="Arial" w:hAnsi="Arial"/>
      <w:i/>
      <w:iCs/>
      <w:snapToGrid w:val="0"/>
      <w:sz w:val="24"/>
      <w:szCs w:val="24"/>
      <w:lang w:eastAsia="en-US"/>
    </w:rPr>
  </w:style>
  <w:style w:type="character" w:customStyle="1" w:styleId="BodyText3Char">
    <w:name w:val="Body Text 3 Char"/>
    <w:basedOn w:val="DefaultParagraphFont"/>
    <w:link w:val="BodyText3"/>
    <w:rsid w:val="003D74C2"/>
    <w:rPr>
      <w:rFonts w:ascii="Arial" w:eastAsia="Times New Roman" w:hAnsi="Arial" w:cs="Angsana New"/>
      <w:i/>
      <w:iCs/>
      <w:snapToGrid w:val="0"/>
      <w:sz w:val="24"/>
      <w:szCs w:val="24"/>
      <w:lang w:val="en-GB" w:bidi="th-TH"/>
    </w:rPr>
  </w:style>
  <w:style w:type="paragraph" w:styleId="BodyTextIndent2">
    <w:name w:val="Body Text Indent 2"/>
    <w:basedOn w:val="Normal"/>
    <w:link w:val="BodyTextIndent2Char"/>
    <w:rsid w:val="003D74C2"/>
    <w:pPr>
      <w:ind w:left="720"/>
    </w:pPr>
    <w:rPr>
      <w:rFonts w:ascii="Garamond" w:hAnsi="Garamond"/>
      <w:snapToGrid w:val="0"/>
      <w:sz w:val="24"/>
      <w:szCs w:val="24"/>
    </w:rPr>
  </w:style>
  <w:style w:type="character" w:customStyle="1" w:styleId="BodyTextIndent2Char">
    <w:name w:val="Body Text Indent 2 Char"/>
    <w:basedOn w:val="DefaultParagraphFont"/>
    <w:link w:val="BodyTextIndent2"/>
    <w:rsid w:val="003D74C2"/>
    <w:rPr>
      <w:rFonts w:ascii="Garamond" w:eastAsia="Times New Roman" w:hAnsi="Garamond" w:cs="Angsana New"/>
      <w:snapToGrid w:val="0"/>
      <w:sz w:val="24"/>
      <w:szCs w:val="24"/>
      <w:lang w:val="en-GB" w:eastAsia="en-AU" w:bidi="th-TH"/>
    </w:rPr>
  </w:style>
  <w:style w:type="paragraph" w:customStyle="1" w:styleId="bodyfirst">
    <w:name w:val="body_first"/>
    <w:basedOn w:val="Normal"/>
    <w:rsid w:val="003D74C2"/>
    <w:pPr>
      <w:jc w:val="both"/>
    </w:pPr>
    <w:rPr>
      <w:lang w:eastAsia="en-US"/>
    </w:rPr>
  </w:style>
  <w:style w:type="paragraph" w:customStyle="1" w:styleId="body-next">
    <w:name w:val="body-next"/>
    <w:basedOn w:val="Normal"/>
    <w:rsid w:val="003D74C2"/>
    <w:pPr>
      <w:ind w:firstLine="426"/>
      <w:jc w:val="both"/>
    </w:pPr>
    <w:rPr>
      <w:lang w:eastAsia="en-US"/>
    </w:rPr>
  </w:style>
  <w:style w:type="paragraph" w:customStyle="1" w:styleId="p1a">
    <w:name w:val="p1a"/>
    <w:basedOn w:val="Normal"/>
    <w:next w:val="Normal"/>
    <w:rsid w:val="003D74C2"/>
    <w:pPr>
      <w:jc w:val="both"/>
    </w:pPr>
    <w:rPr>
      <w:rFonts w:ascii="Times" w:hAnsi="Times"/>
      <w:lang w:eastAsia="en-US"/>
    </w:rPr>
  </w:style>
  <w:style w:type="paragraph" w:customStyle="1" w:styleId="heading40">
    <w:name w:val="heading4"/>
    <w:basedOn w:val="Normal"/>
    <w:next w:val="p1a"/>
    <w:rsid w:val="003D74C2"/>
    <w:pPr>
      <w:spacing w:before="320"/>
      <w:jc w:val="both"/>
    </w:pPr>
    <w:rPr>
      <w:rFonts w:ascii="Times" w:hAnsi="Times"/>
      <w:i/>
      <w:iCs/>
      <w:sz w:val="24"/>
      <w:szCs w:val="24"/>
      <w:lang w:val="en-US"/>
    </w:rPr>
  </w:style>
  <w:style w:type="paragraph" w:styleId="BodyTextIndent3">
    <w:name w:val="Body Text Indent 3"/>
    <w:basedOn w:val="Normal"/>
    <w:link w:val="BodyTextIndent3Char"/>
    <w:rsid w:val="003D74C2"/>
    <w:pPr>
      <w:ind w:left="720"/>
    </w:pPr>
    <w:rPr>
      <w:i/>
      <w:iCs/>
      <w:sz w:val="24"/>
      <w:szCs w:val="24"/>
      <w:lang w:val="en-US"/>
    </w:rPr>
  </w:style>
  <w:style w:type="character" w:customStyle="1" w:styleId="BodyTextIndent3Char">
    <w:name w:val="Body Text Indent 3 Char"/>
    <w:basedOn w:val="DefaultParagraphFont"/>
    <w:link w:val="BodyTextIndent3"/>
    <w:rsid w:val="003D74C2"/>
    <w:rPr>
      <w:rFonts w:ascii="Times New Roman" w:eastAsia="Times New Roman" w:hAnsi="Times New Roman" w:cs="Angsana New"/>
      <w:i/>
      <w:iCs/>
      <w:sz w:val="24"/>
      <w:szCs w:val="24"/>
      <w:lang w:val="en-US" w:eastAsia="en-AU" w:bidi="th-TH"/>
    </w:rPr>
  </w:style>
  <w:style w:type="paragraph" w:styleId="Header">
    <w:name w:val="header"/>
    <w:basedOn w:val="Normal"/>
    <w:link w:val="HeaderChar"/>
    <w:uiPriority w:val="99"/>
    <w:rsid w:val="003D74C2"/>
    <w:pPr>
      <w:tabs>
        <w:tab w:val="center" w:pos="4320"/>
        <w:tab w:val="right" w:pos="8640"/>
      </w:tabs>
    </w:pPr>
  </w:style>
  <w:style w:type="character" w:customStyle="1" w:styleId="HeaderChar">
    <w:name w:val="Header Char"/>
    <w:basedOn w:val="DefaultParagraphFont"/>
    <w:link w:val="Header"/>
    <w:uiPriority w:val="99"/>
    <w:rsid w:val="003D74C2"/>
    <w:rPr>
      <w:rFonts w:ascii="Times New Roman" w:eastAsia="Times New Roman" w:hAnsi="Times New Roman" w:cs="Angsana New"/>
      <w:sz w:val="20"/>
      <w:szCs w:val="20"/>
      <w:lang w:val="en-GB" w:eastAsia="en-AU" w:bidi="th-TH"/>
    </w:rPr>
  </w:style>
  <w:style w:type="paragraph" w:styleId="Footer">
    <w:name w:val="footer"/>
    <w:basedOn w:val="Normal"/>
    <w:link w:val="FooterChar"/>
    <w:uiPriority w:val="99"/>
    <w:rsid w:val="003D74C2"/>
    <w:pPr>
      <w:tabs>
        <w:tab w:val="center" w:pos="4320"/>
        <w:tab w:val="right" w:pos="8640"/>
      </w:tabs>
    </w:pPr>
  </w:style>
  <w:style w:type="character" w:customStyle="1" w:styleId="FooterChar">
    <w:name w:val="Footer Char"/>
    <w:basedOn w:val="DefaultParagraphFont"/>
    <w:link w:val="Footer"/>
    <w:uiPriority w:val="99"/>
    <w:rsid w:val="003D74C2"/>
    <w:rPr>
      <w:rFonts w:ascii="Times New Roman" w:eastAsia="Times New Roman" w:hAnsi="Times New Roman" w:cs="Angsana New"/>
      <w:sz w:val="20"/>
      <w:szCs w:val="20"/>
      <w:lang w:val="en-GB" w:eastAsia="en-AU" w:bidi="th-TH"/>
    </w:rPr>
  </w:style>
  <w:style w:type="character" w:styleId="FootnoteReference">
    <w:name w:val="footnote reference"/>
    <w:basedOn w:val="DefaultParagraphFont"/>
    <w:rsid w:val="003D74C2"/>
    <w:rPr>
      <w:vertAlign w:val="superscript"/>
    </w:rPr>
  </w:style>
  <w:style w:type="paragraph" w:customStyle="1" w:styleId="inter">
    <w:name w:val="inter"/>
    <w:basedOn w:val="BodyText"/>
    <w:rsid w:val="003D74C2"/>
    <w:pPr>
      <w:ind w:left="720"/>
    </w:pPr>
    <w:rPr>
      <w:rFonts w:ascii="Arial" w:hAnsi="Arial"/>
      <w:i/>
      <w:iCs/>
      <w:sz w:val="22"/>
      <w:szCs w:val="22"/>
    </w:rPr>
  </w:style>
  <w:style w:type="paragraph" w:customStyle="1" w:styleId="text">
    <w:name w:val="text"/>
    <w:basedOn w:val="BodyTextIndent"/>
    <w:rsid w:val="003D74C2"/>
    <w:pPr>
      <w:spacing w:before="120" w:after="120"/>
      <w:ind w:left="0"/>
      <w:jc w:val="both"/>
    </w:pPr>
    <w:rPr>
      <w:rFonts w:ascii="Times New Roman" w:hAnsi="Times New Roman"/>
      <w:sz w:val="24"/>
      <w:szCs w:val="24"/>
      <w:lang w:val="en-GB" w:eastAsia="en-US"/>
    </w:rPr>
  </w:style>
  <w:style w:type="character" w:styleId="PageNumber">
    <w:name w:val="page number"/>
    <w:basedOn w:val="DefaultParagraphFont"/>
    <w:rsid w:val="003D74C2"/>
  </w:style>
  <w:style w:type="paragraph" w:styleId="TOC2">
    <w:name w:val="toc 2"/>
    <w:basedOn w:val="Normal"/>
    <w:next w:val="Normal"/>
    <w:autoRedefine/>
    <w:uiPriority w:val="39"/>
    <w:rsid w:val="003D74C2"/>
    <w:pPr>
      <w:tabs>
        <w:tab w:val="left" w:pos="1134"/>
        <w:tab w:val="right" w:leader="dot" w:pos="8505"/>
      </w:tabs>
      <w:spacing w:before="120"/>
      <w:ind w:left="1134" w:right="567" w:hanging="708"/>
    </w:pPr>
    <w:rPr>
      <w:rFonts w:ascii="Garamond" w:hAnsi="Garamond"/>
      <w:noProof/>
      <w:sz w:val="24"/>
      <w:szCs w:val="24"/>
    </w:rPr>
  </w:style>
  <w:style w:type="paragraph" w:styleId="TOC1">
    <w:name w:val="toc 1"/>
    <w:basedOn w:val="BodyText"/>
    <w:next w:val="Normal"/>
    <w:autoRedefine/>
    <w:uiPriority w:val="39"/>
    <w:rsid w:val="003D74C2"/>
    <w:pPr>
      <w:tabs>
        <w:tab w:val="left" w:pos="567"/>
        <w:tab w:val="right" w:leader="dot" w:pos="8505"/>
      </w:tabs>
      <w:spacing w:before="240" w:line="240" w:lineRule="auto"/>
      <w:ind w:left="567" w:right="569" w:hanging="567"/>
    </w:pPr>
    <w:rPr>
      <w:b/>
      <w:noProof/>
      <w:kern w:val="28"/>
      <w:lang w:val="en-AU"/>
    </w:rPr>
  </w:style>
  <w:style w:type="paragraph" w:styleId="TOC3">
    <w:name w:val="toc 3"/>
    <w:basedOn w:val="Normal"/>
    <w:next w:val="Normal"/>
    <w:autoRedefine/>
    <w:uiPriority w:val="39"/>
    <w:rsid w:val="003D74C2"/>
    <w:pPr>
      <w:tabs>
        <w:tab w:val="left" w:pos="1418"/>
        <w:tab w:val="right" w:leader="dot" w:pos="8505"/>
      </w:tabs>
      <w:ind w:left="1418" w:right="569" w:hanging="851"/>
    </w:pPr>
    <w:rPr>
      <w:rFonts w:ascii="Garamond" w:hAnsi="Garamond"/>
      <w:noProof/>
      <w:sz w:val="22"/>
      <w:szCs w:val="22"/>
    </w:rPr>
  </w:style>
  <w:style w:type="paragraph" w:styleId="TOC4">
    <w:name w:val="toc 4"/>
    <w:basedOn w:val="Normal"/>
    <w:next w:val="Normal"/>
    <w:autoRedefine/>
    <w:uiPriority w:val="39"/>
    <w:rsid w:val="003D74C2"/>
    <w:pPr>
      <w:tabs>
        <w:tab w:val="left" w:pos="1701"/>
        <w:tab w:val="right" w:leader="dot" w:pos="8505"/>
      </w:tabs>
      <w:ind w:left="1701" w:right="569" w:hanging="992"/>
    </w:pPr>
    <w:rPr>
      <w:rFonts w:ascii="Garamond" w:hAnsi="Garamond"/>
      <w:noProof/>
      <w:sz w:val="22"/>
      <w:szCs w:val="22"/>
      <w:lang w:val="en-AU"/>
    </w:rPr>
  </w:style>
  <w:style w:type="paragraph" w:styleId="TOC5">
    <w:name w:val="toc 5"/>
    <w:basedOn w:val="Normal"/>
    <w:next w:val="Normal"/>
    <w:autoRedefine/>
    <w:rsid w:val="003D74C2"/>
    <w:pPr>
      <w:ind w:left="800"/>
    </w:pPr>
  </w:style>
  <w:style w:type="paragraph" w:styleId="TOC6">
    <w:name w:val="toc 6"/>
    <w:basedOn w:val="Normal"/>
    <w:next w:val="Normal"/>
    <w:autoRedefine/>
    <w:rsid w:val="003D74C2"/>
    <w:pPr>
      <w:ind w:left="1000"/>
    </w:pPr>
  </w:style>
  <w:style w:type="paragraph" w:styleId="TOC7">
    <w:name w:val="toc 7"/>
    <w:basedOn w:val="Normal"/>
    <w:next w:val="Normal"/>
    <w:autoRedefine/>
    <w:rsid w:val="003D74C2"/>
    <w:pPr>
      <w:ind w:left="1200"/>
    </w:pPr>
  </w:style>
  <w:style w:type="paragraph" w:styleId="TOC8">
    <w:name w:val="toc 8"/>
    <w:basedOn w:val="Normal"/>
    <w:next w:val="Normal"/>
    <w:autoRedefine/>
    <w:rsid w:val="003D74C2"/>
    <w:pPr>
      <w:ind w:left="1400"/>
    </w:pPr>
  </w:style>
  <w:style w:type="paragraph" w:styleId="TOC9">
    <w:name w:val="toc 9"/>
    <w:basedOn w:val="Normal"/>
    <w:next w:val="Normal"/>
    <w:autoRedefine/>
    <w:rsid w:val="003D74C2"/>
    <w:pPr>
      <w:ind w:left="1600"/>
    </w:pPr>
  </w:style>
  <w:style w:type="paragraph" w:styleId="Caption">
    <w:name w:val="caption"/>
    <w:basedOn w:val="Normal"/>
    <w:next w:val="Normal"/>
    <w:qFormat/>
    <w:rsid w:val="003D74C2"/>
    <w:pPr>
      <w:spacing w:before="120" w:after="120" w:line="360" w:lineRule="auto"/>
      <w:jc w:val="center"/>
    </w:pPr>
    <w:rPr>
      <w:rFonts w:ascii="Arial" w:hAnsi="Arial" w:cs="Arial"/>
      <w:b/>
      <w:bCs/>
      <w:szCs w:val="25"/>
    </w:rPr>
  </w:style>
  <w:style w:type="character" w:customStyle="1" w:styleId="ListParagraphChar">
    <w:name w:val="List Paragraph Char"/>
    <w:basedOn w:val="DefaultParagraphFont"/>
    <w:link w:val="ListParagraph"/>
    <w:uiPriority w:val="34"/>
    <w:rsid w:val="0089353A"/>
    <w:rPr>
      <w:rFonts w:ascii="Times New Roman" w:eastAsia="Times New Roman" w:hAnsi="Times New Roman" w:cs="Angsana New"/>
      <w:sz w:val="24"/>
      <w:szCs w:val="20"/>
      <w:lang w:val="en-GB" w:eastAsia="en-AU" w:bidi="th-TH"/>
    </w:rPr>
  </w:style>
  <w:style w:type="paragraph" w:customStyle="1" w:styleId="Numberedlist">
    <w:name w:val="Numbered list"/>
    <w:basedOn w:val="BodyText"/>
    <w:autoRedefine/>
    <w:qFormat/>
    <w:rsid w:val="007A6106"/>
    <w:rPr>
      <w:rFonts w:ascii="Times New Roman" w:hAnsi="Times New Roman"/>
    </w:rPr>
  </w:style>
  <w:style w:type="paragraph" w:customStyle="1" w:styleId="Antiheading1">
    <w:name w:val="Antiheading 1"/>
    <w:basedOn w:val="BodyText"/>
    <w:next w:val="BodyText"/>
    <w:qFormat/>
    <w:rsid w:val="003D74C2"/>
    <w:pPr>
      <w:spacing w:after="720"/>
    </w:pPr>
    <w:rPr>
      <w:rFonts w:ascii="Arial" w:hAnsi="Arial" w:cs="Arial"/>
      <w:b/>
      <w:kern w:val="28"/>
      <w:sz w:val="44"/>
      <w:szCs w:val="44"/>
      <w:lang w:val="en-AU"/>
    </w:rPr>
  </w:style>
  <w:style w:type="paragraph" w:customStyle="1" w:styleId="Antiheading2">
    <w:name w:val="Antiheading 2"/>
    <w:basedOn w:val="BodyText"/>
    <w:next w:val="BodyText"/>
    <w:qFormat/>
    <w:rsid w:val="003D74C2"/>
    <w:rPr>
      <w:rFonts w:ascii="Arial" w:hAnsi="Arial" w:cs="Arial"/>
      <w:b/>
      <w:i/>
      <w:kern w:val="28"/>
      <w:sz w:val="28"/>
    </w:rPr>
  </w:style>
  <w:style w:type="paragraph" w:customStyle="1" w:styleId="Quotation">
    <w:name w:val="Quotation"/>
    <w:basedOn w:val="BodyText"/>
    <w:next w:val="BodyText"/>
    <w:qFormat/>
    <w:rsid w:val="003D74C2"/>
    <w:pPr>
      <w:spacing w:before="120" w:after="120" w:line="240" w:lineRule="auto"/>
      <w:ind w:left="720" w:right="567"/>
      <w:jc w:val="both"/>
    </w:pPr>
    <w:rPr>
      <w:rFonts w:ascii="Times New Roman" w:hAnsi="Times New Roman"/>
    </w:rPr>
  </w:style>
  <w:style w:type="paragraph" w:customStyle="1" w:styleId="Speechquotation">
    <w:name w:val="Speech quotation"/>
    <w:basedOn w:val="BodyText"/>
    <w:next w:val="BodyText"/>
    <w:qFormat/>
    <w:rsid w:val="003D74C2"/>
    <w:pPr>
      <w:ind w:left="720"/>
      <w:jc w:val="both"/>
    </w:pPr>
    <w:rPr>
      <w:rFonts w:ascii="Arial" w:hAnsi="Arial"/>
      <w:i/>
    </w:rPr>
  </w:style>
  <w:style w:type="paragraph" w:customStyle="1" w:styleId="Appendixheading">
    <w:name w:val="Appendix heading"/>
    <w:basedOn w:val="Heading1"/>
    <w:next w:val="BodyText"/>
    <w:qFormat/>
    <w:rsid w:val="003D74C2"/>
    <w:pPr>
      <w:numPr>
        <w:numId w:val="11"/>
      </w:numPr>
    </w:pPr>
  </w:style>
  <w:style w:type="paragraph" w:styleId="Title">
    <w:name w:val="Title"/>
    <w:basedOn w:val="Normal"/>
    <w:next w:val="Normal"/>
    <w:link w:val="TitleChar"/>
    <w:uiPriority w:val="10"/>
    <w:qFormat/>
    <w:rsid w:val="003D74C2"/>
    <w:pPr>
      <w:spacing w:before="240" w:after="60"/>
      <w:ind w:right="569"/>
      <w:jc w:val="center"/>
      <w:outlineLvl w:val="0"/>
    </w:pPr>
    <w:rPr>
      <w:rFonts w:ascii="Arial" w:hAnsi="Arial" w:cs="Arial"/>
      <w:b/>
      <w:bCs/>
      <w:kern w:val="28"/>
      <w:sz w:val="52"/>
      <w:szCs w:val="52"/>
      <w:lang w:val="en-AU"/>
    </w:rPr>
  </w:style>
  <w:style w:type="character" w:customStyle="1" w:styleId="TitleChar">
    <w:name w:val="Title Char"/>
    <w:basedOn w:val="DefaultParagraphFont"/>
    <w:link w:val="Title"/>
    <w:uiPriority w:val="10"/>
    <w:rsid w:val="003D74C2"/>
    <w:rPr>
      <w:rFonts w:ascii="Arial" w:eastAsia="Times New Roman" w:hAnsi="Arial" w:cs="Arial"/>
      <w:b/>
      <w:bCs/>
      <w:kern w:val="28"/>
      <w:sz w:val="52"/>
      <w:szCs w:val="52"/>
      <w:lang w:eastAsia="en-AU" w:bidi="th-TH"/>
    </w:rPr>
  </w:style>
  <w:style w:type="paragraph" w:customStyle="1" w:styleId="Frontpage">
    <w:name w:val="Front page"/>
    <w:basedOn w:val="Heading1"/>
    <w:qFormat/>
    <w:rsid w:val="003D74C2"/>
    <w:pPr>
      <w:numPr>
        <w:numId w:val="0"/>
      </w:numPr>
      <w:ind w:right="569"/>
      <w:jc w:val="center"/>
    </w:pPr>
    <w:rPr>
      <w:sz w:val="32"/>
    </w:rPr>
  </w:style>
  <w:style w:type="paragraph" w:customStyle="1" w:styleId="Frontpage2">
    <w:name w:val="Front page 2"/>
    <w:basedOn w:val="Frontpage"/>
    <w:qFormat/>
    <w:rsid w:val="003D74C2"/>
    <w:pPr>
      <w:spacing w:before="0" w:after="0"/>
      <w:ind w:right="567"/>
    </w:pPr>
    <w:rPr>
      <w:b w:val="0"/>
      <w:sz w:val="24"/>
    </w:rPr>
  </w:style>
  <w:style w:type="character" w:styleId="Hyperlink">
    <w:name w:val="Hyperlink"/>
    <w:basedOn w:val="DefaultParagraphFont"/>
    <w:uiPriority w:val="99"/>
    <w:unhideWhenUsed/>
    <w:rsid w:val="003D74C2"/>
    <w:rPr>
      <w:color w:val="0000FF"/>
      <w:u w:val="single"/>
    </w:rPr>
  </w:style>
  <w:style w:type="paragraph" w:styleId="TableofFigures">
    <w:name w:val="table of figures"/>
    <w:basedOn w:val="TOC1"/>
    <w:next w:val="Normal"/>
    <w:uiPriority w:val="99"/>
    <w:rsid w:val="003D74C2"/>
    <w:rPr>
      <w:szCs w:val="25"/>
    </w:rPr>
  </w:style>
  <w:style w:type="paragraph" w:customStyle="1" w:styleId="Preliminaryheading">
    <w:name w:val="Preliminary heading"/>
    <w:basedOn w:val="Heading1"/>
    <w:next w:val="BodyText"/>
    <w:qFormat/>
    <w:rsid w:val="003D74C2"/>
    <w:pPr>
      <w:numPr>
        <w:numId w:val="0"/>
      </w:numPr>
      <w:spacing w:line="240" w:lineRule="auto"/>
    </w:pPr>
  </w:style>
  <w:style w:type="paragraph" w:styleId="BalloonText">
    <w:name w:val="Balloon Text"/>
    <w:basedOn w:val="Normal"/>
    <w:link w:val="BalloonTextChar"/>
    <w:uiPriority w:val="99"/>
    <w:rsid w:val="003D74C2"/>
    <w:rPr>
      <w:rFonts w:ascii="Tahoma" w:hAnsi="Tahoma"/>
      <w:sz w:val="16"/>
    </w:rPr>
  </w:style>
  <w:style w:type="character" w:customStyle="1" w:styleId="BalloonTextChar">
    <w:name w:val="Balloon Text Char"/>
    <w:basedOn w:val="DefaultParagraphFont"/>
    <w:link w:val="BalloonText"/>
    <w:uiPriority w:val="99"/>
    <w:rsid w:val="003D74C2"/>
    <w:rPr>
      <w:rFonts w:ascii="Tahoma" w:eastAsia="Times New Roman" w:hAnsi="Tahoma" w:cs="Angsana New"/>
      <w:sz w:val="16"/>
      <w:szCs w:val="20"/>
      <w:lang w:val="en-GB" w:eastAsia="en-AU" w:bidi="th-TH"/>
    </w:rPr>
  </w:style>
  <w:style w:type="paragraph" w:styleId="NormalWeb">
    <w:name w:val="Normal (Web)"/>
    <w:basedOn w:val="Normal"/>
    <w:uiPriority w:val="99"/>
    <w:unhideWhenUsed/>
    <w:rsid w:val="003D74C2"/>
    <w:pPr>
      <w:spacing w:before="100" w:beforeAutospacing="1" w:after="100" w:afterAutospacing="1"/>
    </w:pPr>
    <w:rPr>
      <w:rFonts w:cs="Times New Roman"/>
      <w:sz w:val="24"/>
      <w:szCs w:val="24"/>
      <w:lang w:val="en-AU" w:bidi="ar-SA"/>
    </w:rPr>
  </w:style>
  <w:style w:type="paragraph" w:styleId="DocumentMap">
    <w:name w:val="Document Map"/>
    <w:basedOn w:val="Normal"/>
    <w:link w:val="DocumentMapChar"/>
    <w:uiPriority w:val="99"/>
    <w:rsid w:val="003D74C2"/>
    <w:rPr>
      <w:rFonts w:ascii="Tahoma" w:hAnsi="Tahoma"/>
      <w:sz w:val="16"/>
    </w:rPr>
  </w:style>
  <w:style w:type="character" w:customStyle="1" w:styleId="DocumentMapChar">
    <w:name w:val="Document Map Char"/>
    <w:basedOn w:val="DefaultParagraphFont"/>
    <w:link w:val="DocumentMap"/>
    <w:uiPriority w:val="99"/>
    <w:rsid w:val="003D74C2"/>
    <w:rPr>
      <w:rFonts w:ascii="Tahoma" w:eastAsia="Times New Roman" w:hAnsi="Tahoma" w:cs="Angsana New"/>
      <w:sz w:val="16"/>
      <w:szCs w:val="20"/>
      <w:lang w:val="en-GB" w:eastAsia="en-AU" w:bidi="th-TH"/>
    </w:rPr>
  </w:style>
  <w:style w:type="paragraph" w:styleId="Quote">
    <w:name w:val="Quote"/>
    <w:basedOn w:val="Normal"/>
    <w:next w:val="Normal"/>
    <w:link w:val="QuoteChar"/>
    <w:rsid w:val="003D74C2"/>
    <w:rPr>
      <w:i/>
      <w:iCs/>
      <w:color w:val="000000"/>
      <w:szCs w:val="25"/>
    </w:rPr>
  </w:style>
  <w:style w:type="character" w:customStyle="1" w:styleId="QuoteChar">
    <w:name w:val="Quote Char"/>
    <w:basedOn w:val="DefaultParagraphFont"/>
    <w:link w:val="Quote"/>
    <w:rsid w:val="003D74C2"/>
    <w:rPr>
      <w:rFonts w:ascii="Times New Roman" w:eastAsia="Times New Roman" w:hAnsi="Times New Roman" w:cs="Angsana New"/>
      <w:i/>
      <w:iCs/>
      <w:color w:val="000000"/>
      <w:sz w:val="20"/>
      <w:szCs w:val="25"/>
      <w:lang w:val="en-GB" w:eastAsia="en-AU" w:bidi="th-TH"/>
    </w:rPr>
  </w:style>
  <w:style w:type="paragraph" w:customStyle="1" w:styleId="BodyText0">
    <w:name w:val="BodyText"/>
    <w:basedOn w:val="BodyText"/>
    <w:link w:val="BodyTextChar0"/>
    <w:autoRedefine/>
    <w:rsid w:val="003D74C2"/>
    <w:pPr>
      <w:spacing w:after="240"/>
      <w:jc w:val="both"/>
    </w:pPr>
    <w:rPr>
      <w:rFonts w:ascii="Arial" w:hAnsi="Arial"/>
      <w:lang w:val="en-AU"/>
    </w:rPr>
  </w:style>
  <w:style w:type="character" w:customStyle="1" w:styleId="BodyTextChar0">
    <w:name w:val="BodyText Char"/>
    <w:basedOn w:val="BodyTextChar"/>
    <w:link w:val="BodyText0"/>
    <w:rsid w:val="003D74C2"/>
    <w:rPr>
      <w:rFonts w:ascii="Arial" w:eastAsia="Times New Roman" w:hAnsi="Arial" w:cs="Angsana New"/>
      <w:sz w:val="24"/>
      <w:szCs w:val="20"/>
      <w:lang w:val="en-GB" w:eastAsia="en-AU" w:bidi="th-TH"/>
    </w:rPr>
  </w:style>
  <w:style w:type="character" w:styleId="SubtleReference">
    <w:name w:val="Subtle Reference"/>
    <w:aliases w:val="Chapter Title"/>
    <w:basedOn w:val="DefaultParagraphFont"/>
    <w:uiPriority w:val="31"/>
    <w:rsid w:val="003D74C2"/>
    <w:rPr>
      <w:u w:val="single"/>
    </w:rPr>
  </w:style>
  <w:style w:type="paragraph" w:customStyle="1" w:styleId="ChapterStart">
    <w:name w:val="Chapter Start"/>
    <w:basedOn w:val="Heading1"/>
    <w:link w:val="ChapterStartChar"/>
    <w:autoRedefine/>
    <w:rsid w:val="003D74C2"/>
    <w:pPr>
      <w:numPr>
        <w:numId w:val="0"/>
      </w:numPr>
      <w:tabs>
        <w:tab w:val="left" w:pos="8789"/>
      </w:tabs>
      <w:spacing w:before="0" w:after="0" w:line="240" w:lineRule="auto"/>
    </w:pPr>
    <w:rPr>
      <w:smallCaps/>
    </w:rPr>
  </w:style>
  <w:style w:type="character" w:customStyle="1" w:styleId="ChapterStartChar">
    <w:name w:val="Chapter Start Char"/>
    <w:basedOn w:val="DefaultParagraphFont"/>
    <w:link w:val="ChapterStart"/>
    <w:rsid w:val="003D74C2"/>
    <w:rPr>
      <w:rFonts w:ascii="Times New Roman" w:eastAsia="Times New Roman" w:hAnsi="Times New Roman" w:cs="Angsana New"/>
      <w:b/>
      <w:bCs/>
      <w:smallCaps/>
      <w:kern w:val="28"/>
      <w:sz w:val="40"/>
      <w:szCs w:val="40"/>
      <w:lang w:eastAsia="en-AU" w:bidi="th-TH"/>
    </w:rPr>
  </w:style>
  <w:style w:type="paragraph" w:customStyle="1" w:styleId="ChapterHeading">
    <w:name w:val="Chapter Heading"/>
    <w:basedOn w:val="ChapterStart"/>
    <w:link w:val="ChapterHeadingChar"/>
    <w:rsid w:val="003D74C2"/>
  </w:style>
  <w:style w:type="character" w:customStyle="1" w:styleId="ChapterHeadingChar">
    <w:name w:val="Chapter Heading Char"/>
    <w:basedOn w:val="ChapterStartChar"/>
    <w:link w:val="ChapterHeading"/>
    <w:rsid w:val="003D74C2"/>
    <w:rPr>
      <w:rFonts w:ascii="Times New Roman" w:eastAsia="Times New Roman" w:hAnsi="Times New Roman" w:cs="Angsana New"/>
      <w:b/>
      <w:bCs/>
      <w:smallCaps/>
      <w:kern w:val="28"/>
      <w:sz w:val="40"/>
      <w:szCs w:val="40"/>
      <w:lang w:eastAsia="en-AU" w:bidi="th-TH"/>
    </w:rPr>
  </w:style>
  <w:style w:type="paragraph" w:customStyle="1" w:styleId="ChapterHeading0">
    <w:name w:val="ChapterHeading"/>
    <w:basedOn w:val="Heading1"/>
    <w:link w:val="ChapterHeadingChar0"/>
    <w:autoRedefine/>
    <w:qFormat/>
    <w:rsid w:val="00BE6C53"/>
    <w:pPr>
      <w:numPr>
        <w:numId w:val="0"/>
      </w:numPr>
      <w:tabs>
        <w:tab w:val="left" w:pos="8789"/>
      </w:tabs>
      <w:spacing w:before="0" w:after="0"/>
    </w:pPr>
    <w:rPr>
      <w:smallCaps/>
    </w:rPr>
  </w:style>
  <w:style w:type="character" w:customStyle="1" w:styleId="ChapterHeadingChar0">
    <w:name w:val="ChapterHeading Char"/>
    <w:basedOn w:val="DefaultParagraphFont"/>
    <w:link w:val="ChapterHeading0"/>
    <w:rsid w:val="00BE6C53"/>
    <w:rPr>
      <w:rFonts w:ascii="Times New Roman" w:eastAsia="Times New Roman" w:hAnsi="Times New Roman" w:cs="Angsana New"/>
      <w:b/>
      <w:bCs/>
      <w:smallCaps/>
      <w:kern w:val="28"/>
      <w:sz w:val="40"/>
      <w:szCs w:val="40"/>
      <w:lang w:eastAsia="en-AU" w:bidi="th-TH"/>
    </w:rPr>
  </w:style>
  <w:style w:type="paragraph" w:styleId="ListBullet2">
    <w:name w:val="List Bullet 2"/>
    <w:basedOn w:val="Normal"/>
    <w:link w:val="ListBullet2Char"/>
    <w:unhideWhenUsed/>
    <w:rsid w:val="003D74C2"/>
    <w:pPr>
      <w:numPr>
        <w:numId w:val="12"/>
      </w:numPr>
      <w:tabs>
        <w:tab w:val="clear" w:pos="643"/>
        <w:tab w:val="num" w:pos="720"/>
      </w:tabs>
      <w:spacing w:before="120" w:after="120"/>
      <w:ind w:left="720"/>
      <w:jc w:val="both"/>
    </w:pPr>
    <w:rPr>
      <w:rFonts w:cs="Times New Roman"/>
      <w:sz w:val="24"/>
      <w:szCs w:val="24"/>
      <w:lang w:val="en-AU" w:eastAsia="en-US" w:bidi="ar-SA"/>
    </w:rPr>
  </w:style>
  <w:style w:type="character" w:customStyle="1" w:styleId="ListBullet2Char">
    <w:name w:val="List Bullet 2 Char"/>
    <w:basedOn w:val="DefaultParagraphFont"/>
    <w:link w:val="ListBullet2"/>
    <w:locked/>
    <w:rsid w:val="003D74C2"/>
    <w:rPr>
      <w:rFonts w:ascii="Times New Roman" w:eastAsia="Times New Roman" w:hAnsi="Times New Roman" w:cs="Times New Roman"/>
      <w:sz w:val="24"/>
      <w:szCs w:val="24"/>
    </w:rPr>
  </w:style>
  <w:style w:type="character" w:styleId="CommentReference">
    <w:name w:val="annotation reference"/>
    <w:basedOn w:val="DefaultParagraphFont"/>
    <w:uiPriority w:val="99"/>
    <w:unhideWhenUsed/>
    <w:rsid w:val="003D74C2"/>
    <w:rPr>
      <w:sz w:val="16"/>
      <w:szCs w:val="16"/>
    </w:rPr>
  </w:style>
  <w:style w:type="paragraph" w:styleId="CommentText">
    <w:name w:val="annotation text"/>
    <w:basedOn w:val="Normal"/>
    <w:link w:val="CommentTextChar"/>
    <w:uiPriority w:val="99"/>
    <w:unhideWhenUsed/>
    <w:rsid w:val="003D74C2"/>
    <w:pPr>
      <w:spacing w:after="200"/>
      <w:jc w:val="both"/>
    </w:pPr>
    <w:rPr>
      <w:rFonts w:ascii="Arial" w:eastAsia="PMingLiU" w:hAnsi="Arial" w:cstheme="minorBidi"/>
      <w:lang w:val="en-AU" w:eastAsia="en-US" w:bidi="ar-SA"/>
    </w:rPr>
  </w:style>
  <w:style w:type="character" w:customStyle="1" w:styleId="CommentTextChar">
    <w:name w:val="Comment Text Char"/>
    <w:basedOn w:val="DefaultParagraphFont"/>
    <w:link w:val="CommentText"/>
    <w:uiPriority w:val="99"/>
    <w:rsid w:val="003D74C2"/>
    <w:rPr>
      <w:rFonts w:ascii="Arial" w:eastAsia="PMingLiU" w:hAnsi="Arial"/>
      <w:sz w:val="20"/>
      <w:szCs w:val="20"/>
    </w:rPr>
  </w:style>
  <w:style w:type="paragraph" w:styleId="CommentSubject">
    <w:name w:val="annotation subject"/>
    <w:basedOn w:val="CommentText"/>
    <w:next w:val="CommentText"/>
    <w:link w:val="CommentSubjectChar"/>
    <w:uiPriority w:val="99"/>
    <w:unhideWhenUsed/>
    <w:rsid w:val="003D74C2"/>
    <w:rPr>
      <w:b/>
      <w:bCs/>
    </w:rPr>
  </w:style>
  <w:style w:type="character" w:customStyle="1" w:styleId="CommentSubjectChar">
    <w:name w:val="Comment Subject Char"/>
    <w:basedOn w:val="CommentTextChar"/>
    <w:link w:val="CommentSubject"/>
    <w:uiPriority w:val="99"/>
    <w:rsid w:val="003D74C2"/>
    <w:rPr>
      <w:rFonts w:ascii="Arial" w:eastAsia="PMingLiU" w:hAnsi="Arial"/>
      <w:b/>
      <w:bCs/>
      <w:sz w:val="20"/>
      <w:szCs w:val="20"/>
    </w:rPr>
  </w:style>
  <w:style w:type="character" w:styleId="Emphasis">
    <w:name w:val="Emphasis"/>
    <w:basedOn w:val="DefaultParagraphFont"/>
    <w:uiPriority w:val="20"/>
    <w:qFormat/>
    <w:rsid w:val="003D74C2"/>
    <w:rPr>
      <w:i/>
      <w:iCs/>
    </w:rPr>
  </w:style>
  <w:style w:type="character" w:customStyle="1" w:styleId="searchword">
    <w:name w:val="searchword"/>
    <w:basedOn w:val="DefaultParagraphFont"/>
    <w:rsid w:val="003D74C2"/>
  </w:style>
  <w:style w:type="paragraph" w:customStyle="1" w:styleId="answers">
    <w:name w:val="answers"/>
    <w:basedOn w:val="Normal"/>
    <w:link w:val="answersChar"/>
    <w:rsid w:val="003D74C2"/>
    <w:pPr>
      <w:jc w:val="both"/>
    </w:pPr>
    <w:rPr>
      <w:rFonts w:ascii="Arial" w:hAnsi="Arial" w:cs="Times New Roman"/>
      <w:sz w:val="24"/>
      <w:lang w:val="en-AU" w:eastAsia="en-US" w:bidi="ar-SA"/>
    </w:rPr>
  </w:style>
  <w:style w:type="character" w:customStyle="1" w:styleId="answersChar">
    <w:name w:val="answers Char"/>
    <w:basedOn w:val="DefaultParagraphFont"/>
    <w:link w:val="answers"/>
    <w:rsid w:val="003D74C2"/>
    <w:rPr>
      <w:rFonts w:ascii="Arial" w:eastAsia="Times New Roman" w:hAnsi="Arial" w:cs="Times New Roman"/>
      <w:sz w:val="24"/>
      <w:szCs w:val="20"/>
    </w:rPr>
  </w:style>
  <w:style w:type="paragraph" w:styleId="ListBullet">
    <w:name w:val="List Bullet"/>
    <w:basedOn w:val="Normal"/>
    <w:unhideWhenUsed/>
    <w:rsid w:val="003D74C2"/>
    <w:pPr>
      <w:numPr>
        <w:ilvl w:val="2"/>
        <w:numId w:val="13"/>
      </w:numPr>
      <w:tabs>
        <w:tab w:val="clear" w:pos="1080"/>
        <w:tab w:val="num" w:pos="360"/>
      </w:tabs>
      <w:spacing w:before="120" w:after="120"/>
      <w:ind w:left="360"/>
      <w:jc w:val="both"/>
    </w:pPr>
    <w:rPr>
      <w:rFonts w:cs="Times New Roman"/>
      <w:sz w:val="24"/>
      <w:szCs w:val="24"/>
      <w:lang w:val="en-AU" w:eastAsia="en-US" w:bidi="ar-SA"/>
    </w:rPr>
  </w:style>
  <w:style w:type="paragraph" w:styleId="ListBullet3">
    <w:name w:val="List Bullet 3"/>
    <w:basedOn w:val="Normal"/>
    <w:unhideWhenUsed/>
    <w:rsid w:val="003D74C2"/>
    <w:pPr>
      <w:tabs>
        <w:tab w:val="num" w:pos="1080"/>
      </w:tabs>
      <w:spacing w:before="120" w:after="120"/>
      <w:ind w:left="1080" w:hanging="360"/>
      <w:jc w:val="both"/>
    </w:pPr>
    <w:rPr>
      <w:rFonts w:cs="Times New Roman"/>
      <w:sz w:val="24"/>
      <w:szCs w:val="24"/>
      <w:lang w:val="en-AU" w:eastAsia="en-US" w:bidi="ar-SA"/>
    </w:rPr>
  </w:style>
  <w:style w:type="paragraph" w:styleId="ListBullet4">
    <w:name w:val="List Bullet 4"/>
    <w:basedOn w:val="Normal"/>
    <w:unhideWhenUsed/>
    <w:rsid w:val="003D74C2"/>
    <w:pPr>
      <w:tabs>
        <w:tab w:val="num" w:pos="1440"/>
      </w:tabs>
      <w:spacing w:before="120" w:after="120"/>
      <w:ind w:left="1440" w:hanging="360"/>
      <w:jc w:val="both"/>
    </w:pPr>
    <w:rPr>
      <w:rFonts w:cs="Times New Roman"/>
      <w:sz w:val="24"/>
      <w:szCs w:val="24"/>
      <w:lang w:val="en-AU" w:eastAsia="en-US" w:bidi="ar-SA"/>
    </w:rPr>
  </w:style>
  <w:style w:type="paragraph" w:styleId="ListBullet5">
    <w:name w:val="List Bullet 5"/>
    <w:basedOn w:val="Normal"/>
    <w:unhideWhenUsed/>
    <w:rsid w:val="003D74C2"/>
    <w:pPr>
      <w:tabs>
        <w:tab w:val="num" w:pos="1800"/>
      </w:tabs>
      <w:spacing w:before="120" w:after="120"/>
      <w:ind w:left="1800" w:hanging="360"/>
      <w:jc w:val="both"/>
    </w:pPr>
    <w:rPr>
      <w:rFonts w:cs="Times New Roman"/>
      <w:sz w:val="24"/>
      <w:szCs w:val="24"/>
      <w:lang w:val="en-AU" w:eastAsia="en-US" w:bidi="ar-SA"/>
    </w:rPr>
  </w:style>
  <w:style w:type="paragraph" w:customStyle="1" w:styleId="Bulletted2">
    <w:name w:val="Bulletted2"/>
    <w:basedOn w:val="ListParagraph"/>
    <w:link w:val="Bulletted2Char"/>
    <w:qFormat/>
    <w:rsid w:val="003D74C2"/>
    <w:pPr>
      <w:numPr>
        <w:numId w:val="14"/>
      </w:numPr>
      <w:spacing w:after="200" w:line="276" w:lineRule="auto"/>
      <w:ind w:left="1321" w:hanging="357"/>
    </w:pPr>
    <w:rPr>
      <w:rFonts w:cs="Arial"/>
      <w:sz w:val="22"/>
    </w:rPr>
  </w:style>
  <w:style w:type="character" w:customStyle="1" w:styleId="Bulletted2Char">
    <w:name w:val="Bulletted2 Char"/>
    <w:basedOn w:val="ListParagraphChar"/>
    <w:link w:val="Bulletted2"/>
    <w:rsid w:val="003D74C2"/>
    <w:rPr>
      <w:rFonts w:ascii="Times New Roman" w:eastAsia="Times New Roman" w:hAnsi="Times New Roman" w:cs="Arial"/>
      <w:sz w:val="24"/>
      <w:szCs w:val="20"/>
      <w:lang w:val="en-GB" w:eastAsia="en-AU" w:bidi="th-TH"/>
    </w:rPr>
  </w:style>
  <w:style w:type="character" w:styleId="Strong">
    <w:name w:val="Strong"/>
    <w:basedOn w:val="DefaultParagraphFont"/>
    <w:uiPriority w:val="22"/>
    <w:qFormat/>
    <w:rsid w:val="003D74C2"/>
    <w:rPr>
      <w:b/>
      <w:bCs/>
    </w:rPr>
  </w:style>
  <w:style w:type="paragraph" w:customStyle="1" w:styleId="ChapterStart2">
    <w:name w:val="Chapter Start 2"/>
    <w:basedOn w:val="ChapterHeading0"/>
    <w:link w:val="ChapterStart2Char"/>
    <w:rsid w:val="003D74C2"/>
    <w:rPr>
      <w:smallCaps w:val="0"/>
    </w:rPr>
  </w:style>
  <w:style w:type="character" w:customStyle="1" w:styleId="ChapterStart2Char">
    <w:name w:val="Chapter Start 2 Char"/>
    <w:basedOn w:val="ChapterHeadingChar0"/>
    <w:link w:val="ChapterStart2"/>
    <w:rsid w:val="003D74C2"/>
    <w:rPr>
      <w:rFonts w:ascii="Times New Roman" w:eastAsia="Times New Roman" w:hAnsi="Times New Roman" w:cs="Angsana New"/>
      <w:b/>
      <w:bCs/>
      <w:smallCaps/>
      <w:kern w:val="28"/>
      <w:sz w:val="40"/>
      <w:szCs w:val="40"/>
      <w:lang w:eastAsia="en-AU" w:bidi="th-TH"/>
    </w:rPr>
  </w:style>
  <w:style w:type="paragraph" w:customStyle="1" w:styleId="ChapterStart1">
    <w:name w:val="Chapter Start 1"/>
    <w:basedOn w:val="ChapterHeading0"/>
    <w:link w:val="ChapterStart1Char"/>
    <w:autoRedefine/>
    <w:qFormat/>
    <w:rsid w:val="003D74C2"/>
    <w:pPr>
      <w:pageBreakBefore/>
    </w:pPr>
    <w:rPr>
      <w:smallCaps w:val="0"/>
      <w:u w:val="single"/>
    </w:rPr>
  </w:style>
  <w:style w:type="character" w:customStyle="1" w:styleId="ChapterStart1Char">
    <w:name w:val="Chapter Start 1 Char"/>
    <w:basedOn w:val="ChapterHeadingChar0"/>
    <w:link w:val="ChapterStart1"/>
    <w:rsid w:val="003D74C2"/>
    <w:rPr>
      <w:rFonts w:ascii="Times New Roman" w:eastAsia="Times New Roman" w:hAnsi="Times New Roman" w:cs="Angsana New"/>
      <w:b/>
      <w:bCs/>
      <w:smallCaps/>
      <w:kern w:val="28"/>
      <w:sz w:val="40"/>
      <w:szCs w:val="40"/>
      <w:u w:val="single"/>
      <w:lang w:eastAsia="en-AU" w:bidi="th-TH"/>
    </w:rPr>
  </w:style>
  <w:style w:type="paragraph" w:customStyle="1" w:styleId="Indenta">
    <w:name w:val="Indent(a)"/>
    <w:uiPriority w:val="99"/>
    <w:rsid w:val="003D74C2"/>
    <w:pPr>
      <w:tabs>
        <w:tab w:val="right" w:pos="1332"/>
        <w:tab w:val="left" w:pos="1616"/>
      </w:tabs>
      <w:spacing w:before="80" w:after="0" w:line="260" w:lineRule="atLeast"/>
      <w:ind w:left="1616" w:hanging="1616"/>
    </w:pPr>
    <w:rPr>
      <w:rFonts w:ascii="Times New Roman" w:eastAsiaTheme="minorEastAsia" w:hAnsi="Times New Roman" w:cs="Times New Roman"/>
      <w:sz w:val="24"/>
      <w:szCs w:val="24"/>
    </w:rPr>
  </w:style>
  <w:style w:type="paragraph" w:customStyle="1" w:styleId="NewSectionHeading">
    <w:name w:val="New Section Heading"/>
    <w:basedOn w:val="Normal"/>
    <w:next w:val="Normal"/>
    <w:link w:val="NewSectionHeadingChar"/>
    <w:uiPriority w:val="99"/>
    <w:rsid w:val="003D74C2"/>
    <w:pPr>
      <w:keepNext/>
      <w:keepLines/>
      <w:widowControl w:val="0"/>
      <w:spacing w:after="240"/>
      <w:ind w:left="1100" w:hanging="1100"/>
      <w:outlineLvl w:val="4"/>
    </w:pPr>
    <w:rPr>
      <w:rFonts w:ascii="Helvetica" w:eastAsia="PMingLiU" w:hAnsi="Helvetica" w:cs="Helvetica"/>
      <w:b/>
      <w:bCs/>
      <w:sz w:val="24"/>
      <w:szCs w:val="24"/>
      <w:lang w:val="en-AU" w:bidi="ar-SA"/>
    </w:rPr>
  </w:style>
  <w:style w:type="character" w:customStyle="1" w:styleId="NewSectionHeadingChar">
    <w:name w:val="New Section Heading Char"/>
    <w:basedOn w:val="DefaultParagraphFont"/>
    <w:link w:val="NewSectionHeading"/>
    <w:uiPriority w:val="99"/>
    <w:locked/>
    <w:rsid w:val="003D74C2"/>
    <w:rPr>
      <w:rFonts w:ascii="Helvetica" w:eastAsia="PMingLiU" w:hAnsi="Helvetica" w:cs="Helvetica"/>
      <w:b/>
      <w:bCs/>
      <w:sz w:val="24"/>
      <w:szCs w:val="24"/>
      <w:lang w:eastAsia="en-AU"/>
    </w:rPr>
  </w:style>
  <w:style w:type="character" w:customStyle="1" w:styleId="SubsectionChar">
    <w:name w:val="Subsection Char"/>
    <w:basedOn w:val="DefaultParagraphFont"/>
    <w:link w:val="Subsection"/>
    <w:uiPriority w:val="99"/>
    <w:locked/>
    <w:rsid w:val="003D74C2"/>
    <w:rPr>
      <w:rFonts w:ascii="Helvetica" w:hAnsi="Helvetica" w:cs="Helvetica"/>
      <w:sz w:val="24"/>
      <w:szCs w:val="24"/>
    </w:rPr>
  </w:style>
  <w:style w:type="paragraph" w:customStyle="1" w:styleId="Subsection">
    <w:name w:val="Subsection"/>
    <w:basedOn w:val="Normal"/>
    <w:link w:val="SubsectionChar"/>
    <w:uiPriority w:val="99"/>
    <w:rsid w:val="003D74C2"/>
    <w:pPr>
      <w:widowControl w:val="0"/>
      <w:tabs>
        <w:tab w:val="right" w:pos="902"/>
      </w:tabs>
      <w:spacing w:after="240"/>
      <w:ind w:left="1100" w:hanging="1100"/>
      <w:jc w:val="both"/>
    </w:pPr>
    <w:rPr>
      <w:rFonts w:ascii="Helvetica" w:eastAsiaTheme="minorHAnsi" w:hAnsi="Helvetica" w:cs="Helvetica"/>
      <w:sz w:val="24"/>
      <w:szCs w:val="24"/>
      <w:lang w:val="en-AU" w:eastAsia="en-US" w:bidi="ar-SA"/>
    </w:rPr>
  </w:style>
  <w:style w:type="character" w:customStyle="1" w:styleId="ParagraphChar">
    <w:name w:val="Paragraph Char"/>
    <w:basedOn w:val="SubsectionChar"/>
    <w:link w:val="Paragraph"/>
    <w:uiPriority w:val="99"/>
    <w:locked/>
    <w:rsid w:val="003D74C2"/>
    <w:rPr>
      <w:rFonts w:ascii="Helvetica" w:hAnsi="Helvetica" w:cs="Helvetica"/>
      <w:sz w:val="24"/>
      <w:szCs w:val="24"/>
    </w:rPr>
  </w:style>
  <w:style w:type="paragraph" w:customStyle="1" w:styleId="Paragraph">
    <w:name w:val="Paragraph"/>
    <w:basedOn w:val="Normal"/>
    <w:link w:val="ParagraphChar"/>
    <w:uiPriority w:val="99"/>
    <w:rsid w:val="003D74C2"/>
    <w:pPr>
      <w:widowControl w:val="0"/>
      <w:spacing w:after="240"/>
      <w:ind w:left="1667" w:hanging="567"/>
      <w:jc w:val="both"/>
    </w:pPr>
    <w:rPr>
      <w:rFonts w:ascii="Helvetica" w:eastAsiaTheme="minorHAnsi" w:hAnsi="Helvetica" w:cs="Helvetica"/>
      <w:sz w:val="24"/>
      <w:szCs w:val="24"/>
      <w:lang w:val="en-AU" w:eastAsia="en-US" w:bidi="ar-SA"/>
    </w:rPr>
  </w:style>
  <w:style w:type="table" w:styleId="TableGrid">
    <w:name w:val="Table Grid"/>
    <w:basedOn w:val="TableNormal"/>
    <w:uiPriority w:val="59"/>
    <w:rsid w:val="003D74C2"/>
    <w:pPr>
      <w:spacing w:after="0" w:line="240" w:lineRule="auto"/>
    </w:pPr>
    <w:rPr>
      <w:rFonts w:ascii="Times New Roman" w:eastAsia="Times New Roman" w:hAnsi="Times New Roman"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ubfielddata">
    <w:name w:val="subfielddata"/>
    <w:basedOn w:val="DefaultParagraphFont"/>
    <w:rsid w:val="003D74C2"/>
  </w:style>
  <w:style w:type="character" w:customStyle="1" w:styleId="sectionhighlight">
    <w:name w:val="sectionhighlight"/>
    <w:basedOn w:val="DefaultParagraphFont"/>
    <w:rsid w:val="003D74C2"/>
  </w:style>
  <w:style w:type="character" w:styleId="FollowedHyperlink">
    <w:name w:val="FollowedHyperlink"/>
    <w:basedOn w:val="DefaultParagraphFont"/>
    <w:uiPriority w:val="99"/>
    <w:unhideWhenUsed/>
    <w:rsid w:val="003D74C2"/>
    <w:rPr>
      <w:color w:val="800080" w:themeColor="followedHyperlink"/>
      <w:u w:val="single"/>
    </w:rPr>
  </w:style>
  <w:style w:type="paragraph" w:customStyle="1" w:styleId="Pa2">
    <w:name w:val="Pa2"/>
    <w:basedOn w:val="Normal"/>
    <w:next w:val="Normal"/>
    <w:uiPriority w:val="99"/>
    <w:rsid w:val="003D74C2"/>
    <w:pPr>
      <w:autoSpaceDE w:val="0"/>
      <w:autoSpaceDN w:val="0"/>
      <w:adjustRightInd w:val="0"/>
      <w:spacing w:line="481" w:lineRule="atLeast"/>
    </w:pPr>
    <w:rPr>
      <w:rFonts w:ascii="HelveticaNeue" w:eastAsiaTheme="minorHAnsi" w:hAnsi="HelveticaNeue" w:cstheme="minorBidi"/>
      <w:sz w:val="24"/>
      <w:szCs w:val="24"/>
      <w:lang w:val="en-AU" w:eastAsia="en-US" w:bidi="ar-SA"/>
    </w:rPr>
  </w:style>
  <w:style w:type="character" w:customStyle="1" w:styleId="A2">
    <w:name w:val="A2"/>
    <w:uiPriority w:val="99"/>
    <w:rsid w:val="003D74C2"/>
    <w:rPr>
      <w:rFonts w:cs="HelveticaNeue"/>
      <w:color w:val="000000"/>
      <w:sz w:val="36"/>
      <w:szCs w:val="36"/>
    </w:rPr>
  </w:style>
  <w:style w:type="paragraph" w:customStyle="1" w:styleId="Pa0">
    <w:name w:val="Pa0"/>
    <w:basedOn w:val="Normal"/>
    <w:next w:val="Normal"/>
    <w:uiPriority w:val="99"/>
    <w:rsid w:val="003D74C2"/>
    <w:pPr>
      <w:autoSpaceDE w:val="0"/>
      <w:autoSpaceDN w:val="0"/>
      <w:adjustRightInd w:val="0"/>
      <w:spacing w:line="201" w:lineRule="atLeast"/>
    </w:pPr>
    <w:rPr>
      <w:rFonts w:ascii="HelveticaNeue" w:eastAsiaTheme="minorHAnsi" w:hAnsi="HelveticaNeue" w:cstheme="minorBidi"/>
      <w:sz w:val="24"/>
      <w:szCs w:val="24"/>
      <w:lang w:val="en-AU" w:eastAsia="en-US" w:bidi="ar-SA"/>
    </w:rPr>
  </w:style>
  <w:style w:type="paragraph" w:customStyle="1" w:styleId="Pa3">
    <w:name w:val="Pa3"/>
    <w:basedOn w:val="Normal"/>
    <w:next w:val="Normal"/>
    <w:uiPriority w:val="99"/>
    <w:rsid w:val="003D74C2"/>
    <w:pPr>
      <w:autoSpaceDE w:val="0"/>
      <w:autoSpaceDN w:val="0"/>
      <w:adjustRightInd w:val="0"/>
      <w:spacing w:line="201" w:lineRule="atLeast"/>
    </w:pPr>
    <w:rPr>
      <w:rFonts w:ascii="HelveticaNeue" w:eastAsiaTheme="minorHAnsi" w:hAnsi="HelveticaNeue" w:cstheme="minorBidi"/>
      <w:sz w:val="24"/>
      <w:szCs w:val="24"/>
      <w:lang w:val="en-AU" w:eastAsia="en-US" w:bidi="ar-SA"/>
    </w:rPr>
  </w:style>
  <w:style w:type="paragraph" w:customStyle="1" w:styleId="Default">
    <w:name w:val="Default"/>
    <w:rsid w:val="003D74C2"/>
    <w:pPr>
      <w:autoSpaceDE w:val="0"/>
      <w:autoSpaceDN w:val="0"/>
      <w:adjustRightInd w:val="0"/>
      <w:spacing w:after="0" w:line="240" w:lineRule="auto"/>
    </w:pPr>
    <w:rPr>
      <w:rFonts w:ascii="Arial" w:hAnsi="Arial" w:cs="Arial"/>
      <w:color w:val="000000"/>
      <w:sz w:val="24"/>
      <w:szCs w:val="24"/>
    </w:rPr>
  </w:style>
  <w:style w:type="paragraph" w:customStyle="1" w:styleId="hp">
    <w:name w:val="hp"/>
    <w:basedOn w:val="Normal"/>
    <w:rsid w:val="003D74C2"/>
    <w:pPr>
      <w:spacing w:before="100" w:beforeAutospacing="1" w:after="100" w:afterAutospacing="1"/>
    </w:pPr>
    <w:rPr>
      <w:rFonts w:cs="Times New Roman"/>
      <w:sz w:val="24"/>
      <w:szCs w:val="24"/>
      <w:lang w:val="en-AU" w:bidi="ar-SA"/>
    </w:rPr>
  </w:style>
  <w:style w:type="character" w:styleId="HTMLCite">
    <w:name w:val="HTML Cite"/>
    <w:basedOn w:val="DefaultParagraphFont"/>
    <w:uiPriority w:val="99"/>
    <w:unhideWhenUsed/>
    <w:rsid w:val="003D74C2"/>
    <w:rPr>
      <w:i/>
      <w:iCs/>
    </w:rPr>
  </w:style>
  <w:style w:type="paragraph" w:styleId="TOCHeading">
    <w:name w:val="TOC Heading"/>
    <w:basedOn w:val="Heading1"/>
    <w:next w:val="Normal"/>
    <w:uiPriority w:val="39"/>
    <w:semiHidden/>
    <w:unhideWhenUsed/>
    <w:qFormat/>
    <w:rsid w:val="003D74C2"/>
    <w:pPr>
      <w:keepLines/>
      <w:numPr>
        <w:numId w:val="0"/>
      </w:numPr>
      <w:spacing w:after="0" w:line="276" w:lineRule="auto"/>
      <w:outlineLvl w:val="9"/>
    </w:pPr>
    <w:rPr>
      <w:rFonts w:asciiTheme="majorHAnsi" w:eastAsiaTheme="majorEastAsia" w:hAnsiTheme="majorHAnsi" w:cstheme="majorBidi"/>
      <w:color w:val="365F91" w:themeColor="accent1" w:themeShade="BF"/>
      <w:kern w:val="0"/>
      <w:sz w:val="28"/>
      <w:szCs w:val="28"/>
      <w:lang w:val="en-US" w:eastAsia="en-US" w:bidi="ar-SA"/>
    </w:rPr>
  </w:style>
  <w:style w:type="character" w:customStyle="1" w:styleId="resizable-content">
    <w:name w:val="resizable-content"/>
    <w:basedOn w:val="DefaultParagraphFont"/>
    <w:rsid w:val="003D74C2"/>
  </w:style>
  <w:style w:type="paragraph" w:customStyle="1" w:styleId="heading1anotoc">
    <w:name w:val="heading1anotoc"/>
    <w:basedOn w:val="Normal"/>
    <w:rsid w:val="003D74C2"/>
    <w:pPr>
      <w:spacing w:before="100" w:beforeAutospacing="1" w:after="100" w:afterAutospacing="1"/>
    </w:pPr>
    <w:rPr>
      <w:rFonts w:cs="Times New Roman"/>
      <w:sz w:val="24"/>
      <w:szCs w:val="24"/>
      <w:lang w:val="en-AU" w:bidi="ar-SA"/>
    </w:rPr>
  </w:style>
  <w:style w:type="paragraph" w:customStyle="1" w:styleId="ChartHeading0">
    <w:name w:val="Chart Heading"/>
    <w:basedOn w:val="Normal"/>
    <w:next w:val="ChartGraphic"/>
    <w:link w:val="ChartHeadingChar"/>
    <w:uiPriority w:val="99"/>
    <w:rsid w:val="003D74C2"/>
    <w:pPr>
      <w:keepNext/>
      <w:spacing w:before="120" w:after="20"/>
      <w:jc w:val="center"/>
    </w:pPr>
    <w:rPr>
      <w:rFonts w:ascii="Arial" w:hAnsi="Arial" w:cs="Times New Roman"/>
      <w:b/>
      <w:color w:val="002B54"/>
      <w:lang w:val="en-AU" w:bidi="ar-SA"/>
    </w:rPr>
  </w:style>
  <w:style w:type="paragraph" w:customStyle="1" w:styleId="ChartGraphic">
    <w:name w:val="Chart Graphic"/>
    <w:basedOn w:val="Normal"/>
    <w:link w:val="ChartGraphicChar"/>
    <w:uiPriority w:val="99"/>
    <w:rsid w:val="003D74C2"/>
    <w:pPr>
      <w:keepNext/>
      <w:jc w:val="center"/>
    </w:pPr>
    <w:rPr>
      <w:rFonts w:ascii="Arial" w:hAnsi="Arial" w:cs="Times New Roman"/>
      <w:color w:val="002B54"/>
      <w:lang w:val="en-AU" w:bidi="ar-SA"/>
    </w:rPr>
  </w:style>
  <w:style w:type="character" w:customStyle="1" w:styleId="ChartGraphicChar">
    <w:name w:val="Chart Graphic Char"/>
    <w:basedOn w:val="DefaultParagraphFont"/>
    <w:link w:val="ChartGraphic"/>
    <w:uiPriority w:val="99"/>
    <w:locked/>
    <w:rsid w:val="003D74C2"/>
    <w:rPr>
      <w:rFonts w:ascii="Arial" w:eastAsia="Times New Roman" w:hAnsi="Arial" w:cs="Times New Roman"/>
      <w:color w:val="002B54"/>
      <w:sz w:val="20"/>
      <w:szCs w:val="20"/>
      <w:lang w:eastAsia="en-AU"/>
    </w:rPr>
  </w:style>
  <w:style w:type="character" w:customStyle="1" w:styleId="ChartHeadingChar">
    <w:name w:val="Chart Heading Char"/>
    <w:basedOn w:val="DefaultParagraphFont"/>
    <w:link w:val="ChartHeading0"/>
    <w:uiPriority w:val="99"/>
    <w:rsid w:val="003D74C2"/>
    <w:rPr>
      <w:rFonts w:ascii="Arial" w:eastAsia="Times New Roman" w:hAnsi="Arial" w:cs="Times New Roman"/>
      <w:b/>
      <w:color w:val="002B54"/>
      <w:sz w:val="20"/>
      <w:szCs w:val="20"/>
      <w:lang w:eastAsia="en-AU"/>
    </w:rPr>
  </w:style>
  <w:style w:type="paragraph" w:customStyle="1" w:styleId="ChartandTableFootnoteAlpha">
    <w:name w:val="Chart and Table Footnote Alpha"/>
    <w:basedOn w:val="Normal"/>
    <w:next w:val="Normal"/>
    <w:link w:val="ChartandTableFootnoteAlphaChar"/>
    <w:rsid w:val="003D74C2"/>
    <w:pPr>
      <w:numPr>
        <w:numId w:val="16"/>
      </w:numPr>
      <w:jc w:val="both"/>
    </w:pPr>
    <w:rPr>
      <w:rFonts w:ascii="Arial" w:hAnsi="Arial" w:cs="Times New Roman"/>
      <w:color w:val="000000"/>
      <w:sz w:val="16"/>
      <w:lang w:val="en-AU" w:bidi="ar-SA"/>
    </w:rPr>
  </w:style>
  <w:style w:type="character" w:customStyle="1" w:styleId="ChartandTableFootnoteAlphaChar">
    <w:name w:val="Chart and Table Footnote Alpha Char"/>
    <w:basedOn w:val="DefaultParagraphFont"/>
    <w:link w:val="ChartandTableFootnoteAlpha"/>
    <w:rsid w:val="003D74C2"/>
    <w:rPr>
      <w:rFonts w:ascii="Arial" w:eastAsia="Times New Roman" w:hAnsi="Arial" w:cs="Times New Roman"/>
      <w:color w:val="000000"/>
      <w:sz w:val="16"/>
      <w:szCs w:val="20"/>
      <w:lang w:eastAsia="en-AU"/>
    </w:rPr>
  </w:style>
  <w:style w:type="paragraph" w:customStyle="1" w:styleId="Source">
    <w:name w:val="Source"/>
    <w:basedOn w:val="Normal"/>
    <w:link w:val="SourceChar"/>
    <w:uiPriority w:val="99"/>
    <w:rsid w:val="003D74C2"/>
    <w:pPr>
      <w:tabs>
        <w:tab w:val="left" w:pos="284"/>
      </w:tabs>
      <w:spacing w:after="240"/>
      <w:jc w:val="both"/>
    </w:pPr>
    <w:rPr>
      <w:rFonts w:ascii="Arial" w:hAnsi="Arial" w:cs="Times New Roman"/>
      <w:sz w:val="16"/>
      <w:lang w:val="en-AU" w:bidi="ar-SA"/>
    </w:rPr>
  </w:style>
  <w:style w:type="character" w:customStyle="1" w:styleId="SourceChar">
    <w:name w:val="Source Char"/>
    <w:basedOn w:val="DefaultParagraphFont"/>
    <w:link w:val="Source"/>
    <w:uiPriority w:val="99"/>
    <w:locked/>
    <w:rsid w:val="003D74C2"/>
    <w:rPr>
      <w:rFonts w:ascii="Arial" w:eastAsia="Times New Roman" w:hAnsi="Arial" w:cs="Times New Roman"/>
      <w:sz w:val="16"/>
      <w:szCs w:val="20"/>
      <w:lang w:eastAsia="en-AU"/>
    </w:rPr>
  </w:style>
  <w:style w:type="paragraph" w:customStyle="1" w:styleId="chartheading">
    <w:name w:val="chart_heading"/>
    <w:basedOn w:val="Normal"/>
    <w:rsid w:val="003D74C2"/>
    <w:pPr>
      <w:spacing w:before="100" w:beforeAutospacing="1" w:after="100" w:afterAutospacing="1"/>
    </w:pPr>
    <w:rPr>
      <w:rFonts w:cs="Times New Roman"/>
      <w:sz w:val="24"/>
      <w:szCs w:val="24"/>
      <w:lang w:val="en-AU" w:bidi="ar-SA"/>
    </w:rPr>
  </w:style>
  <w:style w:type="paragraph" w:customStyle="1" w:styleId="chartgraphic0">
    <w:name w:val="chart_graphic"/>
    <w:basedOn w:val="Normal"/>
    <w:rsid w:val="003D74C2"/>
    <w:pPr>
      <w:spacing w:before="100" w:beforeAutospacing="1" w:after="100" w:afterAutospacing="1"/>
    </w:pPr>
    <w:rPr>
      <w:rFonts w:cs="Times New Roman"/>
      <w:sz w:val="24"/>
      <w:szCs w:val="24"/>
      <w:lang w:val="en-AU" w:bidi="ar-SA"/>
    </w:rPr>
  </w:style>
  <w:style w:type="paragraph" w:customStyle="1" w:styleId="ChartandTableFootnote">
    <w:name w:val="Chart and Table Footnote"/>
    <w:basedOn w:val="Normal"/>
    <w:next w:val="Normal"/>
    <w:uiPriority w:val="99"/>
    <w:rsid w:val="003D74C2"/>
    <w:pPr>
      <w:tabs>
        <w:tab w:val="left" w:pos="284"/>
      </w:tabs>
      <w:jc w:val="both"/>
    </w:pPr>
    <w:rPr>
      <w:rFonts w:ascii="Arial" w:hAnsi="Arial" w:cs="Times New Roman"/>
      <w:color w:val="000000"/>
      <w:sz w:val="16"/>
      <w:lang w:val="en-AU" w:bidi="ar-SA"/>
    </w:rPr>
  </w:style>
  <w:style w:type="paragraph" w:customStyle="1" w:styleId="FileProperties">
    <w:name w:val="File Properties"/>
    <w:basedOn w:val="Normal"/>
    <w:uiPriority w:val="99"/>
    <w:rsid w:val="003D74C2"/>
    <w:pPr>
      <w:spacing w:after="240" w:line="260" w:lineRule="exact"/>
      <w:jc w:val="both"/>
    </w:pPr>
    <w:rPr>
      <w:rFonts w:ascii="Book Antiqua" w:hAnsi="Book Antiqua" w:cs="Times New Roman"/>
      <w:i/>
      <w:szCs w:val="24"/>
      <w:lang w:val="en-AU" w:eastAsia="en-US" w:bidi="ar-SA"/>
    </w:rPr>
  </w:style>
  <w:style w:type="paragraph" w:customStyle="1" w:styleId="chartsecondheading">
    <w:name w:val="chart_second_heading"/>
    <w:basedOn w:val="Normal"/>
    <w:rsid w:val="003D74C2"/>
    <w:pPr>
      <w:spacing w:before="100" w:beforeAutospacing="1" w:after="100" w:afterAutospacing="1"/>
    </w:pPr>
    <w:rPr>
      <w:rFonts w:cs="Times New Roman"/>
      <w:sz w:val="24"/>
      <w:szCs w:val="24"/>
      <w:lang w:val="en-AU" w:bidi="ar-SA"/>
    </w:rPr>
  </w:style>
  <w:style w:type="paragraph" w:customStyle="1" w:styleId="Numbereditalicisedlist">
    <w:name w:val="Numbered italicised list"/>
    <w:basedOn w:val="BodyStyle"/>
    <w:link w:val="NumbereditalicisedlistChar"/>
    <w:qFormat/>
    <w:rsid w:val="003D74C2"/>
    <w:pPr>
      <w:numPr>
        <w:numId w:val="21"/>
      </w:numPr>
    </w:pPr>
    <w:rPr>
      <w:i/>
    </w:rPr>
  </w:style>
  <w:style w:type="character" w:customStyle="1" w:styleId="NumbereditalicisedlistChar">
    <w:name w:val="Numbered italicised list Char"/>
    <w:basedOn w:val="BodyStyleChar"/>
    <w:link w:val="Numbereditalicisedlist"/>
    <w:rsid w:val="003D74C2"/>
    <w:rPr>
      <w:rFonts w:ascii="Times New Roman" w:eastAsia="Times New Roman" w:hAnsi="Times New Roman" w:cs="Angsana New"/>
      <w:i/>
      <w:sz w:val="24"/>
      <w:szCs w:val="20"/>
      <w:lang w:val="en-GB" w:eastAsia="en-AU" w:bidi="th-TH"/>
    </w:rPr>
  </w:style>
  <w:style w:type="paragraph" w:customStyle="1" w:styleId="Indentlist">
    <w:name w:val="Indent list"/>
    <w:basedOn w:val="ListParagraph"/>
    <w:link w:val="IndentlistChar"/>
    <w:qFormat/>
    <w:rsid w:val="003D74C2"/>
    <w:pPr>
      <w:numPr>
        <w:numId w:val="9"/>
      </w:numPr>
    </w:pPr>
  </w:style>
  <w:style w:type="character" w:customStyle="1" w:styleId="IndentlistChar">
    <w:name w:val="Indent list Char"/>
    <w:basedOn w:val="ListParagraphChar"/>
    <w:link w:val="Indentlist"/>
    <w:rsid w:val="003D74C2"/>
    <w:rPr>
      <w:rFonts w:ascii="Times New Roman" w:eastAsia="Times New Roman" w:hAnsi="Times New Roman" w:cs="Angsana New"/>
      <w:sz w:val="24"/>
      <w:szCs w:val="20"/>
      <w:lang w:val="en-GB" w:eastAsia="en-AU" w:bidi="th-TH"/>
    </w:rPr>
  </w:style>
  <w:style w:type="table" w:styleId="MediumShading2-Accent5">
    <w:name w:val="Medium Shading 2 Accent 5"/>
    <w:basedOn w:val="TableNormal"/>
    <w:uiPriority w:val="64"/>
    <w:rsid w:val="003D74C2"/>
    <w:pPr>
      <w:spacing w:after="0" w:line="240" w:lineRule="auto"/>
    </w:pPr>
    <w:rPr>
      <w:rFonts w:ascii="Times New Roman" w:eastAsia="Times New Roman" w:hAnsi="Times New Roman" w:cs="Times New Roman"/>
      <w:sz w:val="20"/>
      <w:szCs w:val="20"/>
      <w:lang w:eastAsia="en-AU"/>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MediumShading11">
    <w:name w:val="Medium Shading 11"/>
    <w:basedOn w:val="TableNormal"/>
    <w:uiPriority w:val="63"/>
    <w:rsid w:val="003D74C2"/>
    <w:pPr>
      <w:spacing w:after="0" w:line="240" w:lineRule="auto"/>
    </w:pPr>
    <w:rPr>
      <w:rFonts w:ascii="Times New Roman" w:eastAsia="Times New Roman" w:hAnsi="Times New Roman" w:cs="Times New Roman"/>
      <w:sz w:val="20"/>
      <w:szCs w:val="20"/>
      <w:lang w:eastAsia="en-AU"/>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paragraph" w:styleId="Revision">
    <w:name w:val="Revision"/>
    <w:hidden/>
    <w:uiPriority w:val="99"/>
    <w:semiHidden/>
    <w:rsid w:val="004F6020"/>
    <w:pPr>
      <w:spacing w:after="0" w:line="240" w:lineRule="auto"/>
    </w:pPr>
    <w:rPr>
      <w:rFonts w:ascii="Times New Roman" w:eastAsia="Times New Roman" w:hAnsi="Times New Roman" w:cs="Angsana New"/>
      <w:sz w:val="20"/>
      <w:szCs w:val="25"/>
      <w:lang w:val="en-GB" w:eastAsia="en-AU" w:bidi="th-TH"/>
    </w:rPr>
  </w:style>
  <w:style w:type="paragraph" w:styleId="NoSpacing">
    <w:name w:val="No Spacing"/>
    <w:uiPriority w:val="1"/>
    <w:qFormat/>
    <w:rsid w:val="008A20C2"/>
    <w:pPr>
      <w:spacing w:after="0" w:line="240" w:lineRule="auto"/>
    </w:pPr>
    <w:rPr>
      <w:rFonts w:ascii="Times New Roman" w:eastAsia="Times New Roman" w:hAnsi="Times New Roman" w:cs="Angsana New"/>
      <w:sz w:val="20"/>
      <w:szCs w:val="25"/>
      <w:lang w:val="en-GB" w:eastAsia="en-AU" w:bidi="th-TH"/>
    </w:rPr>
  </w:style>
  <w:style w:type="paragraph" w:customStyle="1" w:styleId="Footnoteafterquote">
    <w:name w:val="Footnote after quote"/>
    <w:basedOn w:val="FootnoteText"/>
    <w:link w:val="FootnoteafterquoteChar"/>
    <w:autoRedefine/>
    <w:qFormat/>
    <w:rsid w:val="003A5365"/>
    <w:pPr>
      <w:ind w:left="357" w:firstLine="0"/>
    </w:pPr>
  </w:style>
  <w:style w:type="character" w:customStyle="1" w:styleId="FootnoteafterquoteChar">
    <w:name w:val="Footnote after quote Char"/>
    <w:basedOn w:val="FootnoteTextChar"/>
    <w:link w:val="Footnoteafterquote"/>
    <w:rsid w:val="003A5365"/>
    <w:rPr>
      <w:rFonts w:ascii="Times New Roman" w:eastAsia="Times New Roman" w:hAnsi="Times New Roman" w:cs="Angsana New"/>
      <w:color w:val="000000"/>
      <w:sz w:val="20"/>
      <w:szCs w:val="20"/>
      <w:lang w:eastAsia="en-AU" w:bidi="th-TH"/>
    </w:rPr>
  </w:style>
  <w:style w:type="character" w:customStyle="1" w:styleId="nlmarticle-title">
    <w:name w:val="nlm_article-title"/>
    <w:basedOn w:val="DefaultParagraphFont"/>
    <w:rsid w:val="00334B7A"/>
  </w:style>
  <w:style w:type="character" w:customStyle="1" w:styleId="apple-converted-space">
    <w:name w:val="apple-converted-space"/>
    <w:basedOn w:val="DefaultParagraphFont"/>
    <w:rsid w:val="00C07419"/>
  </w:style>
  <w:style w:type="paragraph" w:customStyle="1" w:styleId="definition">
    <w:name w:val="definition"/>
    <w:basedOn w:val="Normal"/>
    <w:rsid w:val="00BB48B5"/>
    <w:pPr>
      <w:spacing w:before="100" w:beforeAutospacing="1" w:after="100" w:afterAutospacing="1"/>
    </w:pPr>
    <w:rPr>
      <w:rFonts w:cs="Times New Roman"/>
      <w:sz w:val="24"/>
      <w:szCs w:val="24"/>
      <w:lang w:val="en-AU" w:eastAsia="zh-CN" w:bidi="ar-SA"/>
    </w:rPr>
  </w:style>
  <w:style w:type="paragraph" w:customStyle="1" w:styleId="acthead5">
    <w:name w:val="acthead5"/>
    <w:basedOn w:val="Normal"/>
    <w:rsid w:val="00111669"/>
    <w:pPr>
      <w:spacing w:before="100" w:beforeAutospacing="1" w:after="100" w:afterAutospacing="1"/>
    </w:pPr>
    <w:rPr>
      <w:rFonts w:cs="Times New Roman"/>
      <w:sz w:val="24"/>
      <w:szCs w:val="24"/>
      <w:lang w:val="en-AU" w:eastAsia="zh-CN" w:bidi="ar-SA"/>
    </w:rPr>
  </w:style>
  <w:style w:type="character" w:customStyle="1" w:styleId="charsectno">
    <w:name w:val="charsectno"/>
    <w:basedOn w:val="DefaultParagraphFont"/>
    <w:rsid w:val="00111669"/>
  </w:style>
  <w:style w:type="paragraph" w:customStyle="1" w:styleId="subsection0">
    <w:name w:val="subsection"/>
    <w:basedOn w:val="Normal"/>
    <w:rsid w:val="00111669"/>
    <w:pPr>
      <w:spacing w:before="100" w:beforeAutospacing="1" w:after="100" w:afterAutospacing="1"/>
    </w:pPr>
    <w:rPr>
      <w:rFonts w:cs="Times New Roman"/>
      <w:sz w:val="24"/>
      <w:szCs w:val="24"/>
      <w:lang w:val="en-AU" w:eastAsia="zh-CN" w:bidi="ar-SA"/>
    </w:rPr>
  </w:style>
  <w:style w:type="paragraph" w:customStyle="1" w:styleId="notetext">
    <w:name w:val="notetext"/>
    <w:basedOn w:val="Normal"/>
    <w:rsid w:val="00111669"/>
    <w:pPr>
      <w:spacing w:before="100" w:beforeAutospacing="1" w:after="100" w:afterAutospacing="1"/>
    </w:pPr>
    <w:rPr>
      <w:rFonts w:cs="Times New Roman"/>
      <w:sz w:val="24"/>
      <w:szCs w:val="24"/>
      <w:lang w:val="en-AU" w:eastAsia="zh-CN" w:bidi="ar-SA"/>
    </w:rPr>
  </w:style>
  <w:style w:type="paragraph" w:customStyle="1" w:styleId="formula">
    <w:name w:val="formula"/>
    <w:basedOn w:val="Normal"/>
    <w:rsid w:val="00FB6F67"/>
    <w:pPr>
      <w:spacing w:before="100" w:beforeAutospacing="1" w:after="100" w:afterAutospacing="1"/>
    </w:pPr>
    <w:rPr>
      <w:rFonts w:cs="Times New Roman"/>
      <w:sz w:val="24"/>
      <w:szCs w:val="24"/>
      <w:lang w:val="en-AU" w:eastAsia="zh-CN" w:bidi="ar-SA"/>
    </w:rPr>
  </w:style>
  <w:style w:type="paragraph" w:customStyle="1" w:styleId="subsection2">
    <w:name w:val="subsection2"/>
    <w:basedOn w:val="Normal"/>
    <w:rsid w:val="00FB6F67"/>
    <w:pPr>
      <w:spacing w:before="100" w:beforeAutospacing="1" w:after="100" w:afterAutospacing="1"/>
    </w:pPr>
    <w:rPr>
      <w:rFonts w:cs="Times New Roman"/>
      <w:sz w:val="24"/>
      <w:szCs w:val="24"/>
      <w:lang w:val="en-AU" w:eastAsia="zh-CN" w:bidi="ar-SA"/>
    </w:rPr>
  </w:style>
  <w:style w:type="paragraph" w:customStyle="1" w:styleId="paragraph0">
    <w:name w:val="paragraph"/>
    <w:basedOn w:val="Normal"/>
    <w:rsid w:val="00FB6F67"/>
    <w:pPr>
      <w:spacing w:before="100" w:beforeAutospacing="1" w:after="100" w:afterAutospacing="1"/>
    </w:pPr>
    <w:rPr>
      <w:rFonts w:cs="Times New Roman"/>
      <w:sz w:val="24"/>
      <w:szCs w:val="24"/>
      <w:lang w:val="en-AU" w:eastAsia="zh-CN" w:bidi="ar-SA"/>
    </w:rPr>
  </w:style>
  <w:style w:type="paragraph" w:customStyle="1" w:styleId="BoxListBullet">
    <w:name w:val="Box List Bullet"/>
    <w:basedOn w:val="BodyText"/>
    <w:rsid w:val="004E3E6A"/>
    <w:pPr>
      <w:keepNext/>
      <w:numPr>
        <w:numId w:val="43"/>
      </w:numPr>
      <w:spacing w:before="100" w:line="260" w:lineRule="atLeast"/>
      <w:jc w:val="both"/>
    </w:pPr>
    <w:rPr>
      <w:rFonts w:ascii="Arial" w:hAnsi="Arial" w:cs="Times New Roman"/>
      <w:sz w:val="20"/>
      <w:lang w:val="en-AU" w:bidi="ar-SA"/>
    </w:rPr>
  </w:style>
  <w:style w:type="paragraph" w:customStyle="1" w:styleId="InformationRequestTitle">
    <w:name w:val="Information Request Title"/>
    <w:basedOn w:val="Normal"/>
    <w:next w:val="Normal"/>
    <w:rsid w:val="004E3E6A"/>
    <w:pPr>
      <w:keepNext/>
      <w:keepLines/>
      <w:spacing w:before="240" w:line="280" w:lineRule="atLeast"/>
      <w:jc w:val="both"/>
    </w:pPr>
    <w:rPr>
      <w:rFonts w:ascii="Arial" w:hAnsi="Arial" w:cs="Times New Roman"/>
      <w:i/>
      <w:caps/>
      <w:sz w:val="18"/>
      <w:lang w:val="en-AU"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7309486">
      <w:bodyDiv w:val="1"/>
      <w:marLeft w:val="0"/>
      <w:marRight w:val="0"/>
      <w:marTop w:val="0"/>
      <w:marBottom w:val="0"/>
      <w:divBdr>
        <w:top w:val="none" w:sz="0" w:space="0" w:color="auto"/>
        <w:left w:val="none" w:sz="0" w:space="0" w:color="auto"/>
        <w:bottom w:val="none" w:sz="0" w:space="0" w:color="auto"/>
        <w:right w:val="none" w:sz="0" w:space="0" w:color="auto"/>
      </w:divBdr>
    </w:div>
    <w:div w:id="183832346">
      <w:bodyDiv w:val="1"/>
      <w:marLeft w:val="0"/>
      <w:marRight w:val="0"/>
      <w:marTop w:val="0"/>
      <w:marBottom w:val="0"/>
      <w:divBdr>
        <w:top w:val="none" w:sz="0" w:space="0" w:color="auto"/>
        <w:left w:val="none" w:sz="0" w:space="0" w:color="auto"/>
        <w:bottom w:val="none" w:sz="0" w:space="0" w:color="auto"/>
        <w:right w:val="none" w:sz="0" w:space="0" w:color="auto"/>
      </w:divBdr>
      <w:divsChild>
        <w:div w:id="1951088747">
          <w:marLeft w:val="360"/>
          <w:marRight w:val="0"/>
          <w:marTop w:val="0"/>
          <w:marBottom w:val="0"/>
          <w:divBdr>
            <w:top w:val="none" w:sz="0" w:space="0" w:color="auto"/>
            <w:left w:val="none" w:sz="0" w:space="0" w:color="auto"/>
            <w:bottom w:val="none" w:sz="0" w:space="0" w:color="auto"/>
            <w:right w:val="none" w:sz="0" w:space="0" w:color="auto"/>
          </w:divBdr>
        </w:div>
        <w:div w:id="223221804">
          <w:marLeft w:val="360"/>
          <w:marRight w:val="0"/>
          <w:marTop w:val="0"/>
          <w:marBottom w:val="0"/>
          <w:divBdr>
            <w:top w:val="none" w:sz="0" w:space="0" w:color="auto"/>
            <w:left w:val="none" w:sz="0" w:space="0" w:color="auto"/>
            <w:bottom w:val="none" w:sz="0" w:space="0" w:color="auto"/>
            <w:right w:val="none" w:sz="0" w:space="0" w:color="auto"/>
          </w:divBdr>
        </w:div>
        <w:div w:id="684788093">
          <w:marLeft w:val="360"/>
          <w:marRight w:val="0"/>
          <w:marTop w:val="0"/>
          <w:marBottom w:val="0"/>
          <w:divBdr>
            <w:top w:val="none" w:sz="0" w:space="0" w:color="auto"/>
            <w:left w:val="none" w:sz="0" w:space="0" w:color="auto"/>
            <w:bottom w:val="none" w:sz="0" w:space="0" w:color="auto"/>
            <w:right w:val="none" w:sz="0" w:space="0" w:color="auto"/>
          </w:divBdr>
        </w:div>
        <w:div w:id="1023752839">
          <w:marLeft w:val="274"/>
          <w:marRight w:val="0"/>
          <w:marTop w:val="0"/>
          <w:marBottom w:val="0"/>
          <w:divBdr>
            <w:top w:val="none" w:sz="0" w:space="0" w:color="auto"/>
            <w:left w:val="none" w:sz="0" w:space="0" w:color="auto"/>
            <w:bottom w:val="none" w:sz="0" w:space="0" w:color="auto"/>
            <w:right w:val="none" w:sz="0" w:space="0" w:color="auto"/>
          </w:divBdr>
        </w:div>
        <w:div w:id="451363180">
          <w:marLeft w:val="274"/>
          <w:marRight w:val="0"/>
          <w:marTop w:val="0"/>
          <w:marBottom w:val="0"/>
          <w:divBdr>
            <w:top w:val="none" w:sz="0" w:space="0" w:color="auto"/>
            <w:left w:val="none" w:sz="0" w:space="0" w:color="auto"/>
            <w:bottom w:val="none" w:sz="0" w:space="0" w:color="auto"/>
            <w:right w:val="none" w:sz="0" w:space="0" w:color="auto"/>
          </w:divBdr>
        </w:div>
        <w:div w:id="609243485">
          <w:marLeft w:val="274"/>
          <w:marRight w:val="0"/>
          <w:marTop w:val="0"/>
          <w:marBottom w:val="0"/>
          <w:divBdr>
            <w:top w:val="none" w:sz="0" w:space="0" w:color="auto"/>
            <w:left w:val="none" w:sz="0" w:space="0" w:color="auto"/>
            <w:bottom w:val="none" w:sz="0" w:space="0" w:color="auto"/>
            <w:right w:val="none" w:sz="0" w:space="0" w:color="auto"/>
          </w:divBdr>
        </w:div>
        <w:div w:id="163404624">
          <w:marLeft w:val="274"/>
          <w:marRight w:val="0"/>
          <w:marTop w:val="0"/>
          <w:marBottom w:val="0"/>
          <w:divBdr>
            <w:top w:val="none" w:sz="0" w:space="0" w:color="auto"/>
            <w:left w:val="none" w:sz="0" w:space="0" w:color="auto"/>
            <w:bottom w:val="none" w:sz="0" w:space="0" w:color="auto"/>
            <w:right w:val="none" w:sz="0" w:space="0" w:color="auto"/>
          </w:divBdr>
        </w:div>
        <w:div w:id="1735734596">
          <w:marLeft w:val="274"/>
          <w:marRight w:val="0"/>
          <w:marTop w:val="0"/>
          <w:marBottom w:val="0"/>
          <w:divBdr>
            <w:top w:val="none" w:sz="0" w:space="0" w:color="auto"/>
            <w:left w:val="none" w:sz="0" w:space="0" w:color="auto"/>
            <w:bottom w:val="none" w:sz="0" w:space="0" w:color="auto"/>
            <w:right w:val="none" w:sz="0" w:space="0" w:color="auto"/>
          </w:divBdr>
        </w:div>
      </w:divsChild>
    </w:div>
    <w:div w:id="194195825">
      <w:bodyDiv w:val="1"/>
      <w:marLeft w:val="0"/>
      <w:marRight w:val="0"/>
      <w:marTop w:val="0"/>
      <w:marBottom w:val="0"/>
      <w:divBdr>
        <w:top w:val="none" w:sz="0" w:space="0" w:color="auto"/>
        <w:left w:val="none" w:sz="0" w:space="0" w:color="auto"/>
        <w:bottom w:val="none" w:sz="0" w:space="0" w:color="auto"/>
        <w:right w:val="none" w:sz="0" w:space="0" w:color="auto"/>
      </w:divBdr>
    </w:div>
    <w:div w:id="228542198">
      <w:bodyDiv w:val="1"/>
      <w:marLeft w:val="0"/>
      <w:marRight w:val="0"/>
      <w:marTop w:val="0"/>
      <w:marBottom w:val="0"/>
      <w:divBdr>
        <w:top w:val="none" w:sz="0" w:space="0" w:color="auto"/>
        <w:left w:val="none" w:sz="0" w:space="0" w:color="auto"/>
        <w:bottom w:val="none" w:sz="0" w:space="0" w:color="auto"/>
        <w:right w:val="none" w:sz="0" w:space="0" w:color="auto"/>
      </w:divBdr>
    </w:div>
    <w:div w:id="499078109">
      <w:bodyDiv w:val="1"/>
      <w:marLeft w:val="0"/>
      <w:marRight w:val="0"/>
      <w:marTop w:val="0"/>
      <w:marBottom w:val="0"/>
      <w:divBdr>
        <w:top w:val="none" w:sz="0" w:space="0" w:color="auto"/>
        <w:left w:val="none" w:sz="0" w:space="0" w:color="auto"/>
        <w:bottom w:val="none" w:sz="0" w:space="0" w:color="auto"/>
        <w:right w:val="none" w:sz="0" w:space="0" w:color="auto"/>
      </w:divBdr>
      <w:divsChild>
        <w:div w:id="1435321983">
          <w:marLeft w:val="274"/>
          <w:marRight w:val="0"/>
          <w:marTop w:val="60"/>
          <w:marBottom w:val="0"/>
          <w:divBdr>
            <w:top w:val="none" w:sz="0" w:space="0" w:color="auto"/>
            <w:left w:val="none" w:sz="0" w:space="0" w:color="auto"/>
            <w:bottom w:val="none" w:sz="0" w:space="0" w:color="auto"/>
            <w:right w:val="none" w:sz="0" w:space="0" w:color="auto"/>
          </w:divBdr>
        </w:div>
        <w:div w:id="1791126794">
          <w:marLeft w:val="634"/>
          <w:marRight w:val="0"/>
          <w:marTop w:val="60"/>
          <w:marBottom w:val="0"/>
          <w:divBdr>
            <w:top w:val="none" w:sz="0" w:space="0" w:color="auto"/>
            <w:left w:val="none" w:sz="0" w:space="0" w:color="auto"/>
            <w:bottom w:val="none" w:sz="0" w:space="0" w:color="auto"/>
            <w:right w:val="none" w:sz="0" w:space="0" w:color="auto"/>
          </w:divBdr>
        </w:div>
        <w:div w:id="1737631580">
          <w:marLeft w:val="634"/>
          <w:marRight w:val="0"/>
          <w:marTop w:val="60"/>
          <w:marBottom w:val="0"/>
          <w:divBdr>
            <w:top w:val="none" w:sz="0" w:space="0" w:color="auto"/>
            <w:left w:val="none" w:sz="0" w:space="0" w:color="auto"/>
            <w:bottom w:val="none" w:sz="0" w:space="0" w:color="auto"/>
            <w:right w:val="none" w:sz="0" w:space="0" w:color="auto"/>
          </w:divBdr>
        </w:div>
        <w:div w:id="1621186413">
          <w:marLeft w:val="274"/>
          <w:marRight w:val="0"/>
          <w:marTop w:val="60"/>
          <w:marBottom w:val="0"/>
          <w:divBdr>
            <w:top w:val="none" w:sz="0" w:space="0" w:color="auto"/>
            <w:left w:val="none" w:sz="0" w:space="0" w:color="auto"/>
            <w:bottom w:val="none" w:sz="0" w:space="0" w:color="auto"/>
            <w:right w:val="none" w:sz="0" w:space="0" w:color="auto"/>
          </w:divBdr>
        </w:div>
        <w:div w:id="1543667171">
          <w:marLeft w:val="274"/>
          <w:marRight w:val="0"/>
          <w:marTop w:val="60"/>
          <w:marBottom w:val="0"/>
          <w:divBdr>
            <w:top w:val="none" w:sz="0" w:space="0" w:color="auto"/>
            <w:left w:val="none" w:sz="0" w:space="0" w:color="auto"/>
            <w:bottom w:val="none" w:sz="0" w:space="0" w:color="auto"/>
            <w:right w:val="none" w:sz="0" w:space="0" w:color="auto"/>
          </w:divBdr>
        </w:div>
      </w:divsChild>
    </w:div>
    <w:div w:id="536309696">
      <w:bodyDiv w:val="1"/>
      <w:marLeft w:val="0"/>
      <w:marRight w:val="0"/>
      <w:marTop w:val="0"/>
      <w:marBottom w:val="0"/>
      <w:divBdr>
        <w:top w:val="none" w:sz="0" w:space="0" w:color="auto"/>
        <w:left w:val="none" w:sz="0" w:space="0" w:color="auto"/>
        <w:bottom w:val="none" w:sz="0" w:space="0" w:color="auto"/>
        <w:right w:val="none" w:sz="0" w:space="0" w:color="auto"/>
      </w:divBdr>
    </w:div>
    <w:div w:id="542791991">
      <w:bodyDiv w:val="1"/>
      <w:marLeft w:val="0"/>
      <w:marRight w:val="0"/>
      <w:marTop w:val="0"/>
      <w:marBottom w:val="0"/>
      <w:divBdr>
        <w:top w:val="none" w:sz="0" w:space="0" w:color="auto"/>
        <w:left w:val="none" w:sz="0" w:space="0" w:color="auto"/>
        <w:bottom w:val="none" w:sz="0" w:space="0" w:color="auto"/>
        <w:right w:val="none" w:sz="0" w:space="0" w:color="auto"/>
      </w:divBdr>
    </w:div>
    <w:div w:id="608392973">
      <w:bodyDiv w:val="1"/>
      <w:marLeft w:val="0"/>
      <w:marRight w:val="0"/>
      <w:marTop w:val="0"/>
      <w:marBottom w:val="0"/>
      <w:divBdr>
        <w:top w:val="none" w:sz="0" w:space="0" w:color="auto"/>
        <w:left w:val="none" w:sz="0" w:space="0" w:color="auto"/>
        <w:bottom w:val="none" w:sz="0" w:space="0" w:color="auto"/>
        <w:right w:val="none" w:sz="0" w:space="0" w:color="auto"/>
      </w:divBdr>
      <w:divsChild>
        <w:div w:id="467167666">
          <w:marLeft w:val="274"/>
          <w:marRight w:val="0"/>
          <w:marTop w:val="0"/>
          <w:marBottom w:val="0"/>
          <w:divBdr>
            <w:top w:val="none" w:sz="0" w:space="0" w:color="auto"/>
            <w:left w:val="none" w:sz="0" w:space="0" w:color="auto"/>
            <w:bottom w:val="none" w:sz="0" w:space="0" w:color="auto"/>
            <w:right w:val="none" w:sz="0" w:space="0" w:color="auto"/>
          </w:divBdr>
        </w:div>
        <w:div w:id="545070633">
          <w:marLeft w:val="274"/>
          <w:marRight w:val="0"/>
          <w:marTop w:val="0"/>
          <w:marBottom w:val="0"/>
          <w:divBdr>
            <w:top w:val="none" w:sz="0" w:space="0" w:color="auto"/>
            <w:left w:val="none" w:sz="0" w:space="0" w:color="auto"/>
            <w:bottom w:val="none" w:sz="0" w:space="0" w:color="auto"/>
            <w:right w:val="none" w:sz="0" w:space="0" w:color="auto"/>
          </w:divBdr>
        </w:div>
        <w:div w:id="1201211857">
          <w:marLeft w:val="274"/>
          <w:marRight w:val="0"/>
          <w:marTop w:val="0"/>
          <w:marBottom w:val="0"/>
          <w:divBdr>
            <w:top w:val="none" w:sz="0" w:space="0" w:color="auto"/>
            <w:left w:val="none" w:sz="0" w:space="0" w:color="auto"/>
            <w:bottom w:val="none" w:sz="0" w:space="0" w:color="auto"/>
            <w:right w:val="none" w:sz="0" w:space="0" w:color="auto"/>
          </w:divBdr>
        </w:div>
        <w:div w:id="1631279120">
          <w:marLeft w:val="274"/>
          <w:marRight w:val="0"/>
          <w:marTop w:val="0"/>
          <w:marBottom w:val="0"/>
          <w:divBdr>
            <w:top w:val="none" w:sz="0" w:space="0" w:color="auto"/>
            <w:left w:val="none" w:sz="0" w:space="0" w:color="auto"/>
            <w:bottom w:val="none" w:sz="0" w:space="0" w:color="auto"/>
            <w:right w:val="none" w:sz="0" w:space="0" w:color="auto"/>
          </w:divBdr>
        </w:div>
      </w:divsChild>
    </w:div>
    <w:div w:id="840319127">
      <w:bodyDiv w:val="1"/>
      <w:marLeft w:val="0"/>
      <w:marRight w:val="0"/>
      <w:marTop w:val="0"/>
      <w:marBottom w:val="0"/>
      <w:divBdr>
        <w:top w:val="none" w:sz="0" w:space="0" w:color="auto"/>
        <w:left w:val="none" w:sz="0" w:space="0" w:color="auto"/>
        <w:bottom w:val="none" w:sz="0" w:space="0" w:color="auto"/>
        <w:right w:val="none" w:sz="0" w:space="0" w:color="auto"/>
      </w:divBdr>
    </w:div>
    <w:div w:id="882064141">
      <w:bodyDiv w:val="1"/>
      <w:marLeft w:val="0"/>
      <w:marRight w:val="0"/>
      <w:marTop w:val="0"/>
      <w:marBottom w:val="0"/>
      <w:divBdr>
        <w:top w:val="none" w:sz="0" w:space="0" w:color="auto"/>
        <w:left w:val="none" w:sz="0" w:space="0" w:color="auto"/>
        <w:bottom w:val="none" w:sz="0" w:space="0" w:color="auto"/>
        <w:right w:val="none" w:sz="0" w:space="0" w:color="auto"/>
      </w:divBdr>
    </w:div>
    <w:div w:id="930431700">
      <w:bodyDiv w:val="1"/>
      <w:marLeft w:val="0"/>
      <w:marRight w:val="0"/>
      <w:marTop w:val="0"/>
      <w:marBottom w:val="0"/>
      <w:divBdr>
        <w:top w:val="none" w:sz="0" w:space="0" w:color="auto"/>
        <w:left w:val="none" w:sz="0" w:space="0" w:color="auto"/>
        <w:bottom w:val="none" w:sz="0" w:space="0" w:color="auto"/>
        <w:right w:val="none" w:sz="0" w:space="0" w:color="auto"/>
      </w:divBdr>
      <w:divsChild>
        <w:div w:id="98061693">
          <w:marLeft w:val="274"/>
          <w:marRight w:val="0"/>
          <w:marTop w:val="0"/>
          <w:marBottom w:val="0"/>
          <w:divBdr>
            <w:top w:val="none" w:sz="0" w:space="0" w:color="auto"/>
            <w:left w:val="none" w:sz="0" w:space="0" w:color="auto"/>
            <w:bottom w:val="none" w:sz="0" w:space="0" w:color="auto"/>
            <w:right w:val="none" w:sz="0" w:space="0" w:color="auto"/>
          </w:divBdr>
        </w:div>
        <w:div w:id="201748250">
          <w:marLeft w:val="274"/>
          <w:marRight w:val="0"/>
          <w:marTop w:val="0"/>
          <w:marBottom w:val="0"/>
          <w:divBdr>
            <w:top w:val="none" w:sz="0" w:space="0" w:color="auto"/>
            <w:left w:val="none" w:sz="0" w:space="0" w:color="auto"/>
            <w:bottom w:val="none" w:sz="0" w:space="0" w:color="auto"/>
            <w:right w:val="none" w:sz="0" w:space="0" w:color="auto"/>
          </w:divBdr>
        </w:div>
        <w:div w:id="765152328">
          <w:marLeft w:val="274"/>
          <w:marRight w:val="0"/>
          <w:marTop w:val="0"/>
          <w:marBottom w:val="0"/>
          <w:divBdr>
            <w:top w:val="none" w:sz="0" w:space="0" w:color="auto"/>
            <w:left w:val="none" w:sz="0" w:space="0" w:color="auto"/>
            <w:bottom w:val="none" w:sz="0" w:space="0" w:color="auto"/>
            <w:right w:val="none" w:sz="0" w:space="0" w:color="auto"/>
          </w:divBdr>
        </w:div>
        <w:div w:id="952518364">
          <w:marLeft w:val="274"/>
          <w:marRight w:val="0"/>
          <w:marTop w:val="0"/>
          <w:marBottom w:val="0"/>
          <w:divBdr>
            <w:top w:val="none" w:sz="0" w:space="0" w:color="auto"/>
            <w:left w:val="none" w:sz="0" w:space="0" w:color="auto"/>
            <w:bottom w:val="none" w:sz="0" w:space="0" w:color="auto"/>
            <w:right w:val="none" w:sz="0" w:space="0" w:color="auto"/>
          </w:divBdr>
        </w:div>
        <w:div w:id="986319451">
          <w:marLeft w:val="274"/>
          <w:marRight w:val="0"/>
          <w:marTop w:val="0"/>
          <w:marBottom w:val="0"/>
          <w:divBdr>
            <w:top w:val="none" w:sz="0" w:space="0" w:color="auto"/>
            <w:left w:val="none" w:sz="0" w:space="0" w:color="auto"/>
            <w:bottom w:val="none" w:sz="0" w:space="0" w:color="auto"/>
            <w:right w:val="none" w:sz="0" w:space="0" w:color="auto"/>
          </w:divBdr>
        </w:div>
        <w:div w:id="1040665994">
          <w:marLeft w:val="274"/>
          <w:marRight w:val="0"/>
          <w:marTop w:val="0"/>
          <w:marBottom w:val="0"/>
          <w:divBdr>
            <w:top w:val="none" w:sz="0" w:space="0" w:color="auto"/>
            <w:left w:val="none" w:sz="0" w:space="0" w:color="auto"/>
            <w:bottom w:val="none" w:sz="0" w:space="0" w:color="auto"/>
            <w:right w:val="none" w:sz="0" w:space="0" w:color="auto"/>
          </w:divBdr>
        </w:div>
        <w:div w:id="1129863575">
          <w:marLeft w:val="274"/>
          <w:marRight w:val="0"/>
          <w:marTop w:val="0"/>
          <w:marBottom w:val="0"/>
          <w:divBdr>
            <w:top w:val="none" w:sz="0" w:space="0" w:color="auto"/>
            <w:left w:val="none" w:sz="0" w:space="0" w:color="auto"/>
            <w:bottom w:val="none" w:sz="0" w:space="0" w:color="auto"/>
            <w:right w:val="none" w:sz="0" w:space="0" w:color="auto"/>
          </w:divBdr>
        </w:div>
        <w:div w:id="1571578378">
          <w:marLeft w:val="274"/>
          <w:marRight w:val="0"/>
          <w:marTop w:val="0"/>
          <w:marBottom w:val="0"/>
          <w:divBdr>
            <w:top w:val="none" w:sz="0" w:space="0" w:color="auto"/>
            <w:left w:val="none" w:sz="0" w:space="0" w:color="auto"/>
            <w:bottom w:val="none" w:sz="0" w:space="0" w:color="auto"/>
            <w:right w:val="none" w:sz="0" w:space="0" w:color="auto"/>
          </w:divBdr>
        </w:div>
        <w:div w:id="1629699676">
          <w:marLeft w:val="274"/>
          <w:marRight w:val="0"/>
          <w:marTop w:val="0"/>
          <w:marBottom w:val="0"/>
          <w:divBdr>
            <w:top w:val="none" w:sz="0" w:space="0" w:color="auto"/>
            <w:left w:val="none" w:sz="0" w:space="0" w:color="auto"/>
            <w:bottom w:val="none" w:sz="0" w:space="0" w:color="auto"/>
            <w:right w:val="none" w:sz="0" w:space="0" w:color="auto"/>
          </w:divBdr>
        </w:div>
        <w:div w:id="1989094148">
          <w:marLeft w:val="274"/>
          <w:marRight w:val="0"/>
          <w:marTop w:val="0"/>
          <w:marBottom w:val="0"/>
          <w:divBdr>
            <w:top w:val="none" w:sz="0" w:space="0" w:color="auto"/>
            <w:left w:val="none" w:sz="0" w:space="0" w:color="auto"/>
            <w:bottom w:val="none" w:sz="0" w:space="0" w:color="auto"/>
            <w:right w:val="none" w:sz="0" w:space="0" w:color="auto"/>
          </w:divBdr>
        </w:div>
        <w:div w:id="2077700690">
          <w:marLeft w:val="274"/>
          <w:marRight w:val="0"/>
          <w:marTop w:val="0"/>
          <w:marBottom w:val="0"/>
          <w:divBdr>
            <w:top w:val="none" w:sz="0" w:space="0" w:color="auto"/>
            <w:left w:val="none" w:sz="0" w:space="0" w:color="auto"/>
            <w:bottom w:val="none" w:sz="0" w:space="0" w:color="auto"/>
            <w:right w:val="none" w:sz="0" w:space="0" w:color="auto"/>
          </w:divBdr>
        </w:div>
      </w:divsChild>
    </w:div>
    <w:div w:id="1054738131">
      <w:bodyDiv w:val="1"/>
      <w:marLeft w:val="0"/>
      <w:marRight w:val="0"/>
      <w:marTop w:val="0"/>
      <w:marBottom w:val="0"/>
      <w:divBdr>
        <w:top w:val="none" w:sz="0" w:space="0" w:color="auto"/>
        <w:left w:val="none" w:sz="0" w:space="0" w:color="auto"/>
        <w:bottom w:val="none" w:sz="0" w:space="0" w:color="auto"/>
        <w:right w:val="none" w:sz="0" w:space="0" w:color="auto"/>
      </w:divBdr>
      <w:divsChild>
        <w:div w:id="772361799">
          <w:marLeft w:val="274"/>
          <w:marRight w:val="0"/>
          <w:marTop w:val="0"/>
          <w:marBottom w:val="0"/>
          <w:divBdr>
            <w:top w:val="none" w:sz="0" w:space="0" w:color="auto"/>
            <w:left w:val="none" w:sz="0" w:space="0" w:color="auto"/>
            <w:bottom w:val="none" w:sz="0" w:space="0" w:color="auto"/>
            <w:right w:val="none" w:sz="0" w:space="0" w:color="auto"/>
          </w:divBdr>
        </w:div>
        <w:div w:id="1135030324">
          <w:marLeft w:val="274"/>
          <w:marRight w:val="0"/>
          <w:marTop w:val="0"/>
          <w:marBottom w:val="0"/>
          <w:divBdr>
            <w:top w:val="none" w:sz="0" w:space="0" w:color="auto"/>
            <w:left w:val="none" w:sz="0" w:space="0" w:color="auto"/>
            <w:bottom w:val="none" w:sz="0" w:space="0" w:color="auto"/>
            <w:right w:val="none" w:sz="0" w:space="0" w:color="auto"/>
          </w:divBdr>
        </w:div>
      </w:divsChild>
    </w:div>
    <w:div w:id="1178033333">
      <w:bodyDiv w:val="1"/>
      <w:marLeft w:val="0"/>
      <w:marRight w:val="0"/>
      <w:marTop w:val="0"/>
      <w:marBottom w:val="0"/>
      <w:divBdr>
        <w:top w:val="none" w:sz="0" w:space="0" w:color="auto"/>
        <w:left w:val="none" w:sz="0" w:space="0" w:color="auto"/>
        <w:bottom w:val="none" w:sz="0" w:space="0" w:color="auto"/>
        <w:right w:val="none" w:sz="0" w:space="0" w:color="auto"/>
      </w:divBdr>
      <w:divsChild>
        <w:div w:id="2119324096">
          <w:marLeft w:val="0"/>
          <w:marRight w:val="0"/>
          <w:marTop w:val="0"/>
          <w:marBottom w:val="0"/>
          <w:divBdr>
            <w:top w:val="none" w:sz="0" w:space="0" w:color="auto"/>
            <w:left w:val="none" w:sz="0" w:space="0" w:color="auto"/>
            <w:bottom w:val="none" w:sz="0" w:space="0" w:color="auto"/>
            <w:right w:val="none" w:sz="0" w:space="0" w:color="auto"/>
          </w:divBdr>
          <w:divsChild>
            <w:div w:id="875891416">
              <w:marLeft w:val="0"/>
              <w:marRight w:val="0"/>
              <w:marTop w:val="0"/>
              <w:marBottom w:val="0"/>
              <w:divBdr>
                <w:top w:val="none" w:sz="0" w:space="0" w:color="auto"/>
                <w:left w:val="none" w:sz="0" w:space="0" w:color="auto"/>
                <w:bottom w:val="none" w:sz="0" w:space="0" w:color="auto"/>
                <w:right w:val="none" w:sz="0" w:space="0" w:color="auto"/>
              </w:divBdr>
              <w:divsChild>
                <w:div w:id="2145807786">
                  <w:marLeft w:val="0"/>
                  <w:marRight w:val="0"/>
                  <w:marTop w:val="0"/>
                  <w:marBottom w:val="0"/>
                  <w:divBdr>
                    <w:top w:val="none" w:sz="0" w:space="0" w:color="auto"/>
                    <w:left w:val="none" w:sz="0" w:space="0" w:color="auto"/>
                    <w:bottom w:val="none" w:sz="0" w:space="0" w:color="auto"/>
                    <w:right w:val="none" w:sz="0" w:space="0" w:color="auto"/>
                  </w:divBdr>
                  <w:divsChild>
                    <w:div w:id="830751068">
                      <w:marLeft w:val="0"/>
                      <w:marRight w:val="0"/>
                      <w:marTop w:val="0"/>
                      <w:marBottom w:val="0"/>
                      <w:divBdr>
                        <w:top w:val="none" w:sz="0" w:space="0" w:color="auto"/>
                        <w:left w:val="none" w:sz="0" w:space="0" w:color="auto"/>
                        <w:bottom w:val="none" w:sz="0" w:space="0" w:color="auto"/>
                        <w:right w:val="none" w:sz="0" w:space="0" w:color="auto"/>
                      </w:divBdr>
                      <w:divsChild>
                        <w:div w:id="355348745">
                          <w:marLeft w:val="0"/>
                          <w:marRight w:val="0"/>
                          <w:marTop w:val="0"/>
                          <w:marBottom w:val="0"/>
                          <w:divBdr>
                            <w:top w:val="none" w:sz="0" w:space="0" w:color="auto"/>
                            <w:left w:val="none" w:sz="0" w:space="0" w:color="auto"/>
                            <w:bottom w:val="none" w:sz="0" w:space="0" w:color="auto"/>
                            <w:right w:val="none" w:sz="0" w:space="0" w:color="auto"/>
                          </w:divBdr>
                          <w:divsChild>
                            <w:div w:id="717169700">
                              <w:marLeft w:val="0"/>
                              <w:marRight w:val="0"/>
                              <w:marTop w:val="0"/>
                              <w:marBottom w:val="0"/>
                              <w:divBdr>
                                <w:top w:val="none" w:sz="0" w:space="0" w:color="auto"/>
                                <w:left w:val="none" w:sz="0" w:space="0" w:color="auto"/>
                                <w:bottom w:val="none" w:sz="0" w:space="0" w:color="auto"/>
                                <w:right w:val="none" w:sz="0" w:space="0" w:color="auto"/>
                              </w:divBdr>
                              <w:divsChild>
                                <w:div w:id="878980230">
                                  <w:marLeft w:val="0"/>
                                  <w:marRight w:val="0"/>
                                  <w:marTop w:val="0"/>
                                  <w:marBottom w:val="0"/>
                                  <w:divBdr>
                                    <w:top w:val="none" w:sz="0" w:space="0" w:color="auto"/>
                                    <w:left w:val="none" w:sz="0" w:space="0" w:color="auto"/>
                                    <w:bottom w:val="none" w:sz="0" w:space="0" w:color="auto"/>
                                    <w:right w:val="none" w:sz="0" w:space="0" w:color="auto"/>
                                  </w:divBdr>
                                  <w:divsChild>
                                    <w:div w:id="2089040334">
                                      <w:marLeft w:val="0"/>
                                      <w:marRight w:val="0"/>
                                      <w:marTop w:val="0"/>
                                      <w:marBottom w:val="0"/>
                                      <w:divBdr>
                                        <w:top w:val="none" w:sz="0" w:space="0" w:color="auto"/>
                                        <w:left w:val="none" w:sz="0" w:space="0" w:color="auto"/>
                                        <w:bottom w:val="none" w:sz="0" w:space="0" w:color="auto"/>
                                        <w:right w:val="none" w:sz="0" w:space="0" w:color="auto"/>
                                      </w:divBdr>
                                      <w:divsChild>
                                        <w:div w:id="1337537433">
                                          <w:marLeft w:val="0"/>
                                          <w:marRight w:val="0"/>
                                          <w:marTop w:val="0"/>
                                          <w:marBottom w:val="0"/>
                                          <w:divBdr>
                                            <w:top w:val="none" w:sz="0" w:space="0" w:color="auto"/>
                                            <w:left w:val="none" w:sz="0" w:space="0" w:color="auto"/>
                                            <w:bottom w:val="none" w:sz="0" w:space="0" w:color="auto"/>
                                            <w:right w:val="none" w:sz="0" w:space="0" w:color="auto"/>
                                          </w:divBdr>
                                          <w:divsChild>
                                            <w:div w:id="703212155">
                                              <w:marLeft w:val="0"/>
                                              <w:marRight w:val="0"/>
                                              <w:marTop w:val="0"/>
                                              <w:marBottom w:val="0"/>
                                              <w:divBdr>
                                                <w:top w:val="none" w:sz="0" w:space="0" w:color="auto"/>
                                                <w:left w:val="none" w:sz="0" w:space="0" w:color="auto"/>
                                                <w:bottom w:val="none" w:sz="0" w:space="0" w:color="auto"/>
                                                <w:right w:val="none" w:sz="0" w:space="0" w:color="auto"/>
                                              </w:divBdr>
                                              <w:divsChild>
                                                <w:div w:id="67580836">
                                                  <w:marLeft w:val="0"/>
                                                  <w:marRight w:val="0"/>
                                                  <w:marTop w:val="0"/>
                                                  <w:marBottom w:val="0"/>
                                                  <w:divBdr>
                                                    <w:top w:val="none" w:sz="0" w:space="0" w:color="auto"/>
                                                    <w:left w:val="none" w:sz="0" w:space="0" w:color="auto"/>
                                                    <w:bottom w:val="none" w:sz="0" w:space="0" w:color="auto"/>
                                                    <w:right w:val="none" w:sz="0" w:space="0" w:color="auto"/>
                                                  </w:divBdr>
                                                  <w:divsChild>
                                                    <w:div w:id="1730498319">
                                                      <w:marLeft w:val="0"/>
                                                      <w:marRight w:val="0"/>
                                                      <w:marTop w:val="0"/>
                                                      <w:marBottom w:val="0"/>
                                                      <w:divBdr>
                                                        <w:top w:val="none" w:sz="0" w:space="0" w:color="auto"/>
                                                        <w:left w:val="none" w:sz="0" w:space="0" w:color="auto"/>
                                                        <w:bottom w:val="none" w:sz="0" w:space="0" w:color="auto"/>
                                                        <w:right w:val="none" w:sz="0" w:space="0" w:color="auto"/>
                                                      </w:divBdr>
                                                      <w:divsChild>
                                                        <w:div w:id="1829205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364861941">
      <w:bodyDiv w:val="1"/>
      <w:marLeft w:val="0"/>
      <w:marRight w:val="0"/>
      <w:marTop w:val="0"/>
      <w:marBottom w:val="0"/>
      <w:divBdr>
        <w:top w:val="none" w:sz="0" w:space="0" w:color="auto"/>
        <w:left w:val="none" w:sz="0" w:space="0" w:color="auto"/>
        <w:bottom w:val="none" w:sz="0" w:space="0" w:color="auto"/>
        <w:right w:val="none" w:sz="0" w:space="0" w:color="auto"/>
      </w:divBdr>
      <w:divsChild>
        <w:div w:id="873349194">
          <w:marLeft w:val="547"/>
          <w:marRight w:val="0"/>
          <w:marTop w:val="139"/>
          <w:marBottom w:val="0"/>
          <w:divBdr>
            <w:top w:val="none" w:sz="0" w:space="0" w:color="auto"/>
            <w:left w:val="none" w:sz="0" w:space="0" w:color="auto"/>
            <w:bottom w:val="none" w:sz="0" w:space="0" w:color="auto"/>
            <w:right w:val="none" w:sz="0" w:space="0" w:color="auto"/>
          </w:divBdr>
        </w:div>
        <w:div w:id="900143188">
          <w:marLeft w:val="547"/>
          <w:marRight w:val="0"/>
          <w:marTop w:val="139"/>
          <w:marBottom w:val="0"/>
          <w:divBdr>
            <w:top w:val="none" w:sz="0" w:space="0" w:color="auto"/>
            <w:left w:val="none" w:sz="0" w:space="0" w:color="auto"/>
            <w:bottom w:val="none" w:sz="0" w:space="0" w:color="auto"/>
            <w:right w:val="none" w:sz="0" w:space="0" w:color="auto"/>
          </w:divBdr>
        </w:div>
        <w:div w:id="910775354">
          <w:marLeft w:val="1166"/>
          <w:marRight w:val="0"/>
          <w:marTop w:val="139"/>
          <w:marBottom w:val="0"/>
          <w:divBdr>
            <w:top w:val="none" w:sz="0" w:space="0" w:color="auto"/>
            <w:left w:val="none" w:sz="0" w:space="0" w:color="auto"/>
            <w:bottom w:val="none" w:sz="0" w:space="0" w:color="auto"/>
            <w:right w:val="none" w:sz="0" w:space="0" w:color="auto"/>
          </w:divBdr>
        </w:div>
        <w:div w:id="932595222">
          <w:marLeft w:val="547"/>
          <w:marRight w:val="0"/>
          <w:marTop w:val="139"/>
          <w:marBottom w:val="0"/>
          <w:divBdr>
            <w:top w:val="none" w:sz="0" w:space="0" w:color="auto"/>
            <w:left w:val="none" w:sz="0" w:space="0" w:color="auto"/>
            <w:bottom w:val="none" w:sz="0" w:space="0" w:color="auto"/>
            <w:right w:val="none" w:sz="0" w:space="0" w:color="auto"/>
          </w:divBdr>
        </w:div>
        <w:div w:id="1908420520">
          <w:marLeft w:val="547"/>
          <w:marRight w:val="0"/>
          <w:marTop w:val="139"/>
          <w:marBottom w:val="0"/>
          <w:divBdr>
            <w:top w:val="none" w:sz="0" w:space="0" w:color="auto"/>
            <w:left w:val="none" w:sz="0" w:space="0" w:color="auto"/>
            <w:bottom w:val="none" w:sz="0" w:space="0" w:color="auto"/>
            <w:right w:val="none" w:sz="0" w:space="0" w:color="auto"/>
          </w:divBdr>
        </w:div>
        <w:div w:id="2096899477">
          <w:marLeft w:val="1354"/>
          <w:marRight w:val="0"/>
          <w:marTop w:val="139"/>
          <w:marBottom w:val="0"/>
          <w:divBdr>
            <w:top w:val="none" w:sz="0" w:space="0" w:color="auto"/>
            <w:left w:val="none" w:sz="0" w:space="0" w:color="auto"/>
            <w:bottom w:val="none" w:sz="0" w:space="0" w:color="auto"/>
            <w:right w:val="none" w:sz="0" w:space="0" w:color="auto"/>
          </w:divBdr>
        </w:div>
      </w:divsChild>
    </w:div>
    <w:div w:id="1388334527">
      <w:bodyDiv w:val="1"/>
      <w:marLeft w:val="0"/>
      <w:marRight w:val="0"/>
      <w:marTop w:val="0"/>
      <w:marBottom w:val="0"/>
      <w:divBdr>
        <w:top w:val="none" w:sz="0" w:space="0" w:color="auto"/>
        <w:left w:val="none" w:sz="0" w:space="0" w:color="auto"/>
        <w:bottom w:val="none" w:sz="0" w:space="0" w:color="auto"/>
        <w:right w:val="none" w:sz="0" w:space="0" w:color="auto"/>
      </w:divBdr>
      <w:divsChild>
        <w:div w:id="80027492">
          <w:marLeft w:val="0"/>
          <w:marRight w:val="0"/>
          <w:marTop w:val="0"/>
          <w:marBottom w:val="0"/>
          <w:divBdr>
            <w:top w:val="none" w:sz="0" w:space="0" w:color="auto"/>
            <w:left w:val="none" w:sz="0" w:space="0" w:color="auto"/>
            <w:bottom w:val="none" w:sz="0" w:space="0" w:color="auto"/>
            <w:right w:val="none" w:sz="0" w:space="0" w:color="auto"/>
          </w:divBdr>
        </w:div>
        <w:div w:id="625114895">
          <w:marLeft w:val="0"/>
          <w:marRight w:val="0"/>
          <w:marTop w:val="0"/>
          <w:marBottom w:val="0"/>
          <w:divBdr>
            <w:top w:val="none" w:sz="0" w:space="0" w:color="auto"/>
            <w:left w:val="none" w:sz="0" w:space="0" w:color="auto"/>
            <w:bottom w:val="none" w:sz="0" w:space="0" w:color="auto"/>
            <w:right w:val="none" w:sz="0" w:space="0" w:color="auto"/>
          </w:divBdr>
        </w:div>
        <w:div w:id="676737862">
          <w:marLeft w:val="0"/>
          <w:marRight w:val="0"/>
          <w:marTop w:val="0"/>
          <w:marBottom w:val="0"/>
          <w:divBdr>
            <w:top w:val="none" w:sz="0" w:space="0" w:color="auto"/>
            <w:left w:val="none" w:sz="0" w:space="0" w:color="auto"/>
            <w:bottom w:val="none" w:sz="0" w:space="0" w:color="auto"/>
            <w:right w:val="none" w:sz="0" w:space="0" w:color="auto"/>
          </w:divBdr>
        </w:div>
        <w:div w:id="1455564023">
          <w:marLeft w:val="0"/>
          <w:marRight w:val="0"/>
          <w:marTop w:val="0"/>
          <w:marBottom w:val="0"/>
          <w:divBdr>
            <w:top w:val="none" w:sz="0" w:space="0" w:color="auto"/>
            <w:left w:val="none" w:sz="0" w:space="0" w:color="auto"/>
            <w:bottom w:val="none" w:sz="0" w:space="0" w:color="auto"/>
            <w:right w:val="none" w:sz="0" w:space="0" w:color="auto"/>
          </w:divBdr>
        </w:div>
      </w:divsChild>
    </w:div>
    <w:div w:id="1466318179">
      <w:bodyDiv w:val="1"/>
      <w:marLeft w:val="0"/>
      <w:marRight w:val="0"/>
      <w:marTop w:val="0"/>
      <w:marBottom w:val="0"/>
      <w:divBdr>
        <w:top w:val="none" w:sz="0" w:space="0" w:color="auto"/>
        <w:left w:val="none" w:sz="0" w:space="0" w:color="auto"/>
        <w:bottom w:val="none" w:sz="0" w:space="0" w:color="auto"/>
        <w:right w:val="none" w:sz="0" w:space="0" w:color="auto"/>
      </w:divBdr>
    </w:div>
    <w:div w:id="1567184779">
      <w:bodyDiv w:val="1"/>
      <w:marLeft w:val="0"/>
      <w:marRight w:val="0"/>
      <w:marTop w:val="0"/>
      <w:marBottom w:val="0"/>
      <w:divBdr>
        <w:top w:val="none" w:sz="0" w:space="0" w:color="auto"/>
        <w:left w:val="none" w:sz="0" w:space="0" w:color="auto"/>
        <w:bottom w:val="none" w:sz="0" w:space="0" w:color="auto"/>
        <w:right w:val="none" w:sz="0" w:space="0" w:color="auto"/>
      </w:divBdr>
      <w:divsChild>
        <w:div w:id="1898586874">
          <w:marLeft w:val="274"/>
          <w:marRight w:val="0"/>
          <w:marTop w:val="0"/>
          <w:marBottom w:val="0"/>
          <w:divBdr>
            <w:top w:val="none" w:sz="0" w:space="0" w:color="auto"/>
            <w:left w:val="none" w:sz="0" w:space="0" w:color="auto"/>
            <w:bottom w:val="none" w:sz="0" w:space="0" w:color="auto"/>
            <w:right w:val="none" w:sz="0" w:space="0" w:color="auto"/>
          </w:divBdr>
        </w:div>
      </w:divsChild>
    </w:div>
    <w:div w:id="1597594593">
      <w:bodyDiv w:val="1"/>
      <w:marLeft w:val="0"/>
      <w:marRight w:val="0"/>
      <w:marTop w:val="0"/>
      <w:marBottom w:val="0"/>
      <w:divBdr>
        <w:top w:val="none" w:sz="0" w:space="0" w:color="auto"/>
        <w:left w:val="none" w:sz="0" w:space="0" w:color="auto"/>
        <w:bottom w:val="none" w:sz="0" w:space="0" w:color="auto"/>
        <w:right w:val="none" w:sz="0" w:space="0" w:color="auto"/>
      </w:divBdr>
    </w:div>
    <w:div w:id="1853032635">
      <w:bodyDiv w:val="1"/>
      <w:marLeft w:val="0"/>
      <w:marRight w:val="0"/>
      <w:marTop w:val="0"/>
      <w:marBottom w:val="0"/>
      <w:divBdr>
        <w:top w:val="none" w:sz="0" w:space="0" w:color="auto"/>
        <w:left w:val="none" w:sz="0" w:space="0" w:color="auto"/>
        <w:bottom w:val="none" w:sz="0" w:space="0" w:color="auto"/>
        <w:right w:val="none" w:sz="0" w:space="0" w:color="auto"/>
      </w:divBdr>
    </w:div>
    <w:div w:id="1971669051">
      <w:bodyDiv w:val="1"/>
      <w:marLeft w:val="0"/>
      <w:marRight w:val="0"/>
      <w:marTop w:val="0"/>
      <w:marBottom w:val="0"/>
      <w:divBdr>
        <w:top w:val="none" w:sz="0" w:space="0" w:color="auto"/>
        <w:left w:val="none" w:sz="0" w:space="0" w:color="auto"/>
        <w:bottom w:val="none" w:sz="0" w:space="0" w:color="auto"/>
        <w:right w:val="none" w:sz="0" w:space="0" w:color="auto"/>
      </w:divBdr>
    </w:div>
    <w:div w:id="1991398432">
      <w:bodyDiv w:val="1"/>
      <w:marLeft w:val="0"/>
      <w:marRight w:val="0"/>
      <w:marTop w:val="0"/>
      <w:marBottom w:val="0"/>
      <w:divBdr>
        <w:top w:val="none" w:sz="0" w:space="0" w:color="auto"/>
        <w:left w:val="none" w:sz="0" w:space="0" w:color="auto"/>
        <w:bottom w:val="none" w:sz="0" w:space="0" w:color="auto"/>
        <w:right w:val="none" w:sz="0" w:space="0" w:color="auto"/>
      </w:divBdr>
      <w:divsChild>
        <w:div w:id="1764496815">
          <w:marLeft w:val="0"/>
          <w:marRight w:val="0"/>
          <w:marTop w:val="0"/>
          <w:marBottom w:val="0"/>
          <w:divBdr>
            <w:top w:val="none" w:sz="0" w:space="0" w:color="auto"/>
            <w:left w:val="none" w:sz="0" w:space="0" w:color="auto"/>
            <w:bottom w:val="none" w:sz="0" w:space="0" w:color="auto"/>
            <w:right w:val="none" w:sz="0" w:space="0" w:color="auto"/>
          </w:divBdr>
        </w:div>
        <w:div w:id="1806846284">
          <w:marLeft w:val="0"/>
          <w:marRight w:val="0"/>
          <w:marTop w:val="0"/>
          <w:marBottom w:val="0"/>
          <w:divBdr>
            <w:top w:val="none" w:sz="0" w:space="0" w:color="auto"/>
            <w:left w:val="none" w:sz="0" w:space="0" w:color="auto"/>
            <w:bottom w:val="none" w:sz="0" w:space="0" w:color="auto"/>
            <w:right w:val="none" w:sz="0" w:space="0" w:color="auto"/>
          </w:divBdr>
        </w:div>
      </w:divsChild>
    </w:div>
    <w:div w:id="19996476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settings" Target="settings.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2.xml><?xml version="1.0" encoding="utf-8"?>
<?mso-contentType ?>
<customXsn xmlns="http://schemas.microsoft.com/office/2006/metadata/customXsn">
  <xsnLocation/>
  <cached>True</cached>
  <openByDefault>False</openByDefault>
  <xsnScope/>
</customXsn>
</file>

<file path=customXml/item3.xml><?xml version="1.0" encoding="utf-8"?>
<?mso-contentType ?>
<SharedContentType xmlns="Microsoft.SharePoint.Taxonomy.ContentTypeSync" SourceId="70da5c63-8548-4ac8-9616-83b0f373280e" ContentTypeId="0x0101007916246811615643A710C6FEAFF56A871105" PreviousValue="false"/>
</file>

<file path=customXml/item4.xml><?xml version="1.0" encoding="utf-8"?>
<ct:contentTypeSchema xmlns:ct="http://schemas.microsoft.com/office/2006/metadata/contentType" xmlns:ma="http://schemas.microsoft.com/office/2006/metadata/properties/metaAttributes" ct:_="" ma:_="" ma:contentTypeName="Subs" ma:contentTypeID="0x0101007916246811615643A710C6FEAFF56A87110500291FD1E327E7384398F3C3AC51C91E92" ma:contentTypeVersion="0" ma:contentTypeDescription="" ma:contentTypeScope="" ma:versionID="479194a1647d8ad362b82632a12c358c">
  <xsd:schema xmlns:xsd="http://www.w3.org/2001/XMLSchema" xmlns:xs="http://www.w3.org/2001/XMLSchema" xmlns:p="http://schemas.microsoft.com/office/2006/metadata/properties" xmlns:ns1="http://schemas.microsoft.com/sharepoint/v3" xmlns:ns2="3f4bcce7-ac1a-4c9d-aa3e-7e77695652db" targetNamespace="http://schemas.microsoft.com/office/2006/metadata/properties" ma:root="true" ma:fieldsID="61d85b9d91c6a086f80a16fcf2f50a5c" ns1:_="" ns2:_="">
    <xsd:import namespace="http://schemas.microsoft.com/sharepoint/v3"/>
    <xsd:import namespace="3f4bcce7-ac1a-4c9d-aa3e-7e77695652db"/>
    <xsd:element name="properties">
      <xsd:complexType>
        <xsd:sequence>
          <xsd:element name="documentManagement">
            <xsd:complexType>
              <xsd:all>
                <xsd:element ref="ns2:TaxCatchAll" minOccurs="0"/>
                <xsd:element ref="ns2:TaxCatchAllLabel" minOccurs="0"/>
                <xsd:element ref="ns2:p7a0baa8c88445a78b6f55906390ba17" minOccurs="0"/>
                <xsd:element ref="ns2:TaxKeywordTaxHTField" minOccurs="0"/>
                <xsd:element ref="ns2:_dlc_DocId" minOccurs="0"/>
                <xsd:element ref="ns2:_dlc_DocIdUrl" minOccurs="0"/>
                <xsd:element ref="ns2:_dlc_DocIdPersistId" minOccurs="0"/>
                <xsd:element ref="ns1:V3Comme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V3Comments" ma:index="17" nillable="true" ma:displayName="Append-Only Comments" ma:internalName="V3Comment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f4bcce7-ac1a-4c9d-aa3e-7e77695652db" elementFormDefault="qualified">
    <xsd:import namespace="http://schemas.microsoft.com/office/2006/documentManagement/types"/>
    <xsd:import namespace="http://schemas.microsoft.com/office/infopath/2007/PartnerControls"/>
    <xsd:element name="TaxCatchAll" ma:index="8" nillable="true" ma:displayName="Taxonomy Catch All Column" ma:hidden="true" ma:list="{cc469927-f3de-4bce-906c-cafcd61f2a2b}" ma:internalName="TaxCatchAll" ma:showField="CatchAllData" ma:web="8044c801-d84b-4ee1-a77e-678f8dcdee17">
      <xsd:complexType>
        <xsd:complexContent>
          <xsd:extension base="dms:MultiChoiceLookup">
            <xsd:sequence>
              <xsd:element name="Value" type="dms:Lookup" maxOccurs="unbounded" minOccurs="0" nillable="true"/>
            </xsd:sequence>
          </xsd:extension>
        </xsd:complexContent>
      </xsd:complexType>
    </xsd:element>
    <xsd:element name="TaxCatchAllLabel" ma:index="9" nillable="true" ma:displayName="Taxonomy Catch All Column1" ma:hidden="true" ma:list="{cc469927-f3de-4bce-906c-cafcd61f2a2b}" ma:internalName="TaxCatchAllLabel" ma:readOnly="true" ma:showField="CatchAllDataLabel" ma:web="8044c801-d84b-4ee1-a77e-678f8dcdee17">
      <xsd:complexType>
        <xsd:complexContent>
          <xsd:extension base="dms:MultiChoiceLookup">
            <xsd:sequence>
              <xsd:element name="Value" type="dms:Lookup" maxOccurs="unbounded" minOccurs="0" nillable="true"/>
            </xsd:sequence>
          </xsd:extension>
        </xsd:complexContent>
      </xsd:complexType>
    </xsd:element>
    <xsd:element name="p7a0baa8c88445a78b6f55906390ba17" ma:index="10" ma:taxonomy="true" ma:internalName="p7a0baa8c88445a78b6f55906390ba17" ma:taxonomyFieldName="Record_x0020_Tag" ma:displayName="Record" ma:default="139;#Submissions|c6e0dbf8-5444-433c-844d-d567dd519a05" ma:fieldId="{97a0baa8-c884-45a7-8b6f-55906390ba17}" ma:sspId="70da5c63-8548-4ac8-9616-83b0f373280e" ma:termSetId="e99b77ca-c000-4e3f-a77f-a64077d5e2f2" ma:anchorId="4e6d87af-2d6b-4cf1-a010-4111d6830e3c" ma:open="false" ma:isKeyword="false">
      <xsd:complexType>
        <xsd:sequence>
          <xsd:element ref="pc:Terms" minOccurs="0" maxOccurs="1"/>
        </xsd:sequence>
      </xsd:complexType>
    </xsd:element>
    <xsd:element name="TaxKeywordTaxHTField" ma:index="12" nillable="true" ma:taxonomy="true" ma:internalName="TaxKeywordTaxHTField" ma:taxonomyFieldName="TaxKeyword" ma:displayName="Enterprise Keywords" ma:fieldId="{23f27201-bee3-471e-b2e7-b64fd8b7ca38}" ma:taxonomyMulti="true" ma:sspId="70da5c63-8548-4ac8-9616-83b0f373280e" ma:termSetId="00000000-0000-0000-0000-000000000000" ma:anchorId="00000000-0000-0000-0000-000000000000" ma:open="true" ma:isKeyword="true">
      <xsd:complexType>
        <xsd:sequence>
          <xsd:element ref="pc:Terms" minOccurs="0" maxOccurs="1"/>
        </xsd:sequence>
      </xsd:complexType>
    </xsd:element>
    <xsd:element name="_dlc_DocId" ma:index="14" nillable="true" ma:displayName="Document ID Value" ma:description="The value of the document ID assigned to this item." ma:internalName="_dlc_DocId" ma:readOnly="true">
      <xsd:simpleType>
        <xsd:restriction base="dms:Text"/>
      </xsd:simpleType>
    </xsd:element>
    <xsd:element name="_dlc_DocIdUrl" ma:index="1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6"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TaxKeywordTaxHTField xmlns="3f4bcce7-ac1a-4c9d-aa3e-7e77695652db">
      <Terms xmlns="http://schemas.microsoft.com/office/infopath/2007/PartnerControls"/>
    </TaxKeywordTaxHTField>
    <V3Comments xmlns="http://schemas.microsoft.com/sharepoint/v3" xsi:nil="true"/>
    <p7a0baa8c88445a78b6f55906390ba17 xmlns="3f4bcce7-ac1a-4c9d-aa3e-7e77695652db">
      <Terms xmlns="http://schemas.microsoft.com/office/infopath/2007/PartnerControls">
        <TermInfo xmlns="http://schemas.microsoft.com/office/infopath/2007/PartnerControls">
          <TermName xmlns="http://schemas.microsoft.com/office/infopath/2007/PartnerControls">Submissions</TermName>
          <TermId xmlns="http://schemas.microsoft.com/office/infopath/2007/PartnerControls">c6e0dbf8-5444-433c-844d-d567dd519a05</TermId>
        </TermInfo>
      </Terms>
    </p7a0baa8c88445a78b6f55906390ba17>
    <TaxCatchAll xmlns="3f4bcce7-ac1a-4c9d-aa3e-7e77695652db">
      <Value>139</Value>
    </TaxCatchAll>
    <_dlc_DocId xmlns="3f4bcce7-ac1a-4c9d-aa3e-7e77695652db">PCDOC-232068674-23</_dlc_DocId>
    <_dlc_DocIdUrl xmlns="3f4bcce7-ac1a-4c9d-aa3e-7e77695652db">
      <Url>http://inet.pc.gov.au/pmo/inq/gstlowvalue/_layouts/15/DocIdRedir.aspx?ID=PCDOC-232068674-23</Url>
      <Description>PCDOC-232068674-23</Description>
    </_dlc_DocIdUrl>
  </documentManagement>
</p:properties>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CE6B44C-9204-4E37-A08C-2098952636AF}">
  <ds:schemaRefs>
    <ds:schemaRef ds:uri="http://schemas.microsoft.com/sharepoint/events"/>
  </ds:schemaRefs>
</ds:datastoreItem>
</file>

<file path=customXml/itemProps2.xml><?xml version="1.0" encoding="utf-8"?>
<ds:datastoreItem xmlns:ds="http://schemas.openxmlformats.org/officeDocument/2006/customXml" ds:itemID="{3590A5CA-5012-47B6-B8DF-B5D2CE21C7D6}">
  <ds:schemaRefs>
    <ds:schemaRef ds:uri="http://schemas.microsoft.com/office/2006/metadata/customXsn"/>
  </ds:schemaRefs>
</ds:datastoreItem>
</file>

<file path=customXml/itemProps3.xml><?xml version="1.0" encoding="utf-8"?>
<ds:datastoreItem xmlns:ds="http://schemas.openxmlformats.org/officeDocument/2006/customXml" ds:itemID="{EECD8165-1519-4ED5-A92B-520472C49BF2}">
  <ds:schemaRefs>
    <ds:schemaRef ds:uri="Microsoft.SharePoint.Taxonomy.ContentTypeSync"/>
  </ds:schemaRefs>
</ds:datastoreItem>
</file>

<file path=customXml/itemProps4.xml><?xml version="1.0" encoding="utf-8"?>
<ds:datastoreItem xmlns:ds="http://schemas.openxmlformats.org/officeDocument/2006/customXml" ds:itemID="{82C703D4-56D3-48F5-B154-E641A0C25D1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3f4bcce7-ac1a-4c9d-aa3e-7e77695652d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22C173D0-2031-4A94-95C7-A42D7CB72630}">
  <ds:schemaRefs>
    <ds:schemaRef ds:uri="http://schemas.microsoft.com/office/2006/metadata/properties"/>
    <ds:schemaRef ds:uri="http://purl.org/dc/terms/"/>
    <ds:schemaRef ds:uri="http://schemas.microsoft.com/office/2006/documentManagement/types"/>
    <ds:schemaRef ds:uri="http://schemas.openxmlformats.org/package/2006/metadata/core-properties"/>
    <ds:schemaRef ds:uri="http://purl.org/dc/elements/1.1/"/>
    <ds:schemaRef ds:uri="http://schemas.microsoft.com/office/infopath/2007/PartnerControls"/>
    <ds:schemaRef ds:uri="http://schemas.microsoft.com/sharepoint/v3"/>
    <ds:schemaRef ds:uri="3f4bcce7-ac1a-4c9d-aa3e-7e77695652db"/>
    <ds:schemaRef ds:uri="http://www.w3.org/XML/1998/namespace"/>
    <ds:schemaRef ds:uri="http://purl.org/dc/dcmitype/"/>
  </ds:schemaRefs>
</ds:datastoreItem>
</file>

<file path=customXml/itemProps6.xml><?xml version="1.0" encoding="utf-8"?>
<ds:datastoreItem xmlns:ds="http://schemas.openxmlformats.org/officeDocument/2006/customXml" ds:itemID="{A9D89B4C-7629-4A10-9538-10E61D4BF6A8}">
  <ds:schemaRefs>
    <ds:schemaRef ds:uri="http://schemas.microsoft.com/sharepoint/v3/contenttype/forms"/>
  </ds:schemaRefs>
</ds:datastoreItem>
</file>

<file path=customXml/itemProps7.xml><?xml version="1.0" encoding="utf-8"?>
<ds:datastoreItem xmlns:ds="http://schemas.openxmlformats.org/officeDocument/2006/customXml" ds:itemID="{0C295CE8-2D17-4DAF-A655-8088EA70BE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3208</Words>
  <Characters>17426</Characters>
  <Application>Microsoft Office Word</Application>
  <DocSecurity>0</DocSecurity>
  <Lines>145</Lines>
  <Paragraphs>41</Paragraphs>
  <ScaleCrop>false</ScaleCrop>
  <HeadingPairs>
    <vt:vector size="2" baseType="variant">
      <vt:variant>
        <vt:lpstr>Title</vt:lpstr>
      </vt:variant>
      <vt:variant>
        <vt:i4>1</vt:i4>
      </vt:variant>
    </vt:vector>
  </HeadingPairs>
  <TitlesOfParts>
    <vt:vector size="1" baseType="lpstr">
      <vt:lpstr>Submission 28 - Dr Kathryn James - Collection Models for GST on Low Value Imported Goods - Public inquiry</vt:lpstr>
    </vt:vector>
  </TitlesOfParts>
  <Company>Dr Kathryn James</Company>
  <LinksUpToDate>false</LinksUpToDate>
  <CharactersWithSpaces>20593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 28 - Dr Kathryn James - Collection Models for GST on Low Value Imported Goods - Public inquiry</dc:title>
  <dc:subject/>
  <dc:creator>Dr Kathryn James</dc:creator>
  <cp:keywords/>
  <dc:description/>
  <cp:lastModifiedBy>Productivity Commission</cp:lastModifiedBy>
  <cp:revision>3</cp:revision>
  <cp:lastPrinted>2016-08-31T06:02:00Z</cp:lastPrinted>
  <dcterms:created xsi:type="dcterms:W3CDTF">2017-09-01T03:57:00Z</dcterms:created>
  <dcterms:modified xsi:type="dcterms:W3CDTF">2017-09-01T05:22:00Z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0x0101007916246811615643A710C6FEAFF56A87110500291FD1E327E7384398F3C3AC51C91E92</vt:lpwstr>
  </property>
  <property fmtid="{D5CDD505-2E9C-101B-9397-08002B2CF9AE}" pid="3" name="_dlc_DocIdItemGuid">
    <vt:lpwstr>11571bb1-b394-4bad-9dea-ad4319522272</vt:lpwstr>
  </property>
  <property fmtid="{D5CDD505-2E9C-101B-9397-08002B2CF9AE}" pid="4" name="Record Tag">
    <vt:lpwstr>139;#Submissions|c6e0dbf8-5444-433c-844d-d567dd519a05</vt:lpwstr>
  </property>
  <property fmtid="{D5CDD505-2E9C-101B-9397-08002B2CF9AE}" pid="5" name="TaxKeyword">
    <vt:lpwstr/>
  </property>
</Properties>
</file>