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A0938" w14:textId="77777777" w:rsidR="00EC5F8D" w:rsidRPr="00B37F96" w:rsidRDefault="00337D40" w:rsidP="00051841">
      <w:pPr>
        <w:rPr>
          <w:spacing w:val="-2"/>
        </w:rPr>
      </w:pPr>
      <w:bookmarkStart w:id="0" w:name="_GoBack"/>
      <w:bookmarkEnd w:id="0"/>
      <w:r w:rsidRPr="00B37F96">
        <w:rPr>
          <w:noProof/>
          <w:spacing w:val="-2"/>
        </w:rPr>
        <w:drawing>
          <wp:anchor distT="0" distB="0" distL="114300" distR="114300" simplePos="0" relativeHeight="251677696" behindDoc="0" locked="0" layoutInCell="1" allowOverlap="1" wp14:anchorId="62DD85A6" wp14:editId="675D23A5">
            <wp:simplePos x="0" y="0"/>
            <wp:positionH relativeFrom="column">
              <wp:posOffset>-586740</wp:posOffset>
            </wp:positionH>
            <wp:positionV relativeFrom="paragraph">
              <wp:posOffset>-193040</wp:posOffset>
            </wp:positionV>
            <wp:extent cx="1618104" cy="57600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tg-primary-mon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8104" cy="576000"/>
                    </a:xfrm>
                    <a:prstGeom prst="rect">
                      <a:avLst/>
                    </a:prstGeom>
                  </pic:spPr>
                </pic:pic>
              </a:graphicData>
            </a:graphic>
            <wp14:sizeRelH relativeFrom="page">
              <wp14:pctWidth>0</wp14:pctWidth>
            </wp14:sizeRelH>
            <wp14:sizeRelV relativeFrom="page">
              <wp14:pctHeight>0</wp14:pctHeight>
            </wp14:sizeRelV>
          </wp:anchor>
        </w:drawing>
      </w:r>
    </w:p>
    <w:p w14:paraId="55B082A8" w14:textId="77777777" w:rsidR="00EC5F8D" w:rsidRPr="00B37F96" w:rsidRDefault="00EC5F8D" w:rsidP="00051841">
      <w:pPr>
        <w:rPr>
          <w:spacing w:val="-2"/>
        </w:rPr>
      </w:pPr>
      <w:r w:rsidRPr="00B37F96">
        <w:rPr>
          <w:noProof/>
          <w:spacing w:val="-2"/>
        </w:rPr>
        <mc:AlternateContent>
          <mc:Choice Requires="wps">
            <w:drawing>
              <wp:anchor distT="0" distB="0" distL="114300" distR="114300" simplePos="0" relativeHeight="251665408" behindDoc="0" locked="0" layoutInCell="1" allowOverlap="1" wp14:anchorId="7B2D51D2" wp14:editId="14A8E02D">
                <wp:simplePos x="0" y="0"/>
                <wp:positionH relativeFrom="column">
                  <wp:posOffset>-615950</wp:posOffset>
                </wp:positionH>
                <wp:positionV relativeFrom="paragraph">
                  <wp:posOffset>275921</wp:posOffset>
                </wp:positionV>
                <wp:extent cx="1527175" cy="9214485"/>
                <wp:effectExtent l="0" t="0" r="0" b="57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175" cy="9214485"/>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1A8FA" id="Rectangle 2" o:spid="_x0000_s1026" style="position:absolute;margin-left:-48.5pt;margin-top:21.75pt;width:120.25pt;height:7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" fillcolor="#e36c0a [2409]" stroked="f"/>
            </w:pict>
          </mc:Fallback>
        </mc:AlternateContent>
      </w:r>
    </w:p>
    <w:p w14:paraId="6F9154A6" w14:textId="77777777" w:rsidR="00EC5F8D" w:rsidRPr="00B37F96" w:rsidRDefault="00EC5F8D" w:rsidP="00051841">
      <w:pPr>
        <w:rPr>
          <w:spacing w:val="-2"/>
        </w:rPr>
      </w:pPr>
    </w:p>
    <w:p w14:paraId="35695A8B" w14:textId="77777777" w:rsidR="00EC5F8D" w:rsidRPr="00B37F96" w:rsidRDefault="00EC5F8D" w:rsidP="00051841">
      <w:pPr>
        <w:rPr>
          <w:spacing w:val="-2"/>
        </w:rPr>
      </w:pPr>
    </w:p>
    <w:p w14:paraId="25C35240" w14:textId="77777777" w:rsidR="00EC5F8D" w:rsidRPr="00B37F96" w:rsidRDefault="00EC5F8D" w:rsidP="00051841">
      <w:pPr>
        <w:rPr>
          <w:spacing w:val="-2"/>
        </w:rPr>
      </w:pPr>
    </w:p>
    <w:p w14:paraId="51372D3A" w14:textId="77777777" w:rsidR="00EC5F8D" w:rsidRPr="00B37F96" w:rsidRDefault="00EC5F8D" w:rsidP="00051841">
      <w:pPr>
        <w:rPr>
          <w:spacing w:val="-2"/>
        </w:rPr>
      </w:pPr>
    </w:p>
    <w:p w14:paraId="4CCEEAF4" w14:textId="77777777" w:rsidR="00EC5F8D" w:rsidRPr="00B37F96" w:rsidRDefault="00EC5F8D" w:rsidP="00051841">
      <w:pPr>
        <w:rPr>
          <w:spacing w:val="-2"/>
        </w:rPr>
      </w:pPr>
    </w:p>
    <w:p w14:paraId="39186729" w14:textId="77777777" w:rsidR="00EC5F8D" w:rsidRPr="00B37F96" w:rsidRDefault="00EC5F8D" w:rsidP="00051841">
      <w:pPr>
        <w:rPr>
          <w:spacing w:val="-2"/>
        </w:rPr>
      </w:pPr>
    </w:p>
    <w:p w14:paraId="783A6589" w14:textId="77777777" w:rsidR="00EC5F8D" w:rsidRPr="00B37F96" w:rsidRDefault="00EC5F8D" w:rsidP="00051841">
      <w:pPr>
        <w:rPr>
          <w:spacing w:val="-2"/>
        </w:rPr>
      </w:pPr>
    </w:p>
    <w:p w14:paraId="73562A35" w14:textId="77777777" w:rsidR="00DC69A4" w:rsidRPr="00B37F96" w:rsidRDefault="00DC69A4" w:rsidP="00051841">
      <w:pPr>
        <w:rPr>
          <w:spacing w:val="-2"/>
        </w:rPr>
      </w:pPr>
    </w:p>
    <w:p w14:paraId="4B9E33C1" w14:textId="77777777" w:rsidR="009A6616" w:rsidRPr="00B37F96" w:rsidRDefault="00337D40" w:rsidP="00DC69A4">
      <w:pPr>
        <w:ind w:left="1701"/>
        <w:rPr>
          <w:b/>
          <w:color w:val="E36C0A" w:themeColor="accent6" w:themeShade="BF"/>
          <w:spacing w:val="-2"/>
          <w:sz w:val="48"/>
          <w:szCs w:val="48"/>
        </w:rPr>
      </w:pPr>
      <w:r w:rsidRPr="00B37F96">
        <w:rPr>
          <w:b/>
          <w:color w:val="E36C0A" w:themeColor="accent6" w:themeShade="BF"/>
          <w:spacing w:val="-2"/>
          <w:sz w:val="48"/>
          <w:szCs w:val="48"/>
        </w:rPr>
        <w:t xml:space="preserve">Northern Territory Government Submission to the Productivity Commission Inquiry into </w:t>
      </w:r>
      <w:r w:rsidRPr="00B37F96">
        <w:rPr>
          <w:b/>
          <w:color w:val="E36C0A" w:themeColor="accent6" w:themeShade="BF"/>
          <w:spacing w:val="-2"/>
          <w:sz w:val="48"/>
          <w:szCs w:val="48"/>
        </w:rPr>
        <w:br/>
      </w:r>
      <w:r w:rsidR="00DB6BB2" w:rsidRPr="00B37F96">
        <w:rPr>
          <w:b/>
          <w:color w:val="E36C0A" w:themeColor="accent6" w:themeShade="BF"/>
          <w:spacing w:val="-2"/>
          <w:sz w:val="48"/>
          <w:szCs w:val="48"/>
        </w:rPr>
        <w:t>Reforms to Human Services</w:t>
      </w:r>
    </w:p>
    <w:p w14:paraId="0F3460BD" w14:textId="77777777" w:rsidR="00EC5F8D" w:rsidRPr="00B37F96" w:rsidRDefault="00F34A68" w:rsidP="00051841">
      <w:pPr>
        <w:rPr>
          <w:spacing w:val="-2"/>
        </w:rPr>
      </w:pPr>
      <w:r w:rsidRPr="00B37F96">
        <w:rPr>
          <w:spacing w:val="-2"/>
        </w:rPr>
        <w:t xml:space="preserve">July </w:t>
      </w:r>
      <w:r w:rsidR="00EC5F8D" w:rsidRPr="00B37F96">
        <w:rPr>
          <w:spacing w:val="-2"/>
        </w:rPr>
        <w:t>201</w:t>
      </w:r>
      <w:r w:rsidR="009A6616" w:rsidRPr="00B37F96">
        <w:rPr>
          <w:spacing w:val="-2"/>
        </w:rPr>
        <w:t>7</w:t>
      </w:r>
    </w:p>
    <w:p w14:paraId="676FDC2B" w14:textId="77777777" w:rsidR="00896928" w:rsidRPr="00B37F96" w:rsidRDefault="00896928" w:rsidP="00051841">
      <w:pPr>
        <w:rPr>
          <w:spacing w:val="-2"/>
        </w:rPr>
      </w:pPr>
    </w:p>
    <w:p w14:paraId="495E4F96" w14:textId="77777777" w:rsidR="00D61A15" w:rsidRPr="00B37F96" w:rsidRDefault="00D61A15" w:rsidP="00051841">
      <w:pPr>
        <w:rPr>
          <w:spacing w:val="-2"/>
        </w:rPr>
      </w:pPr>
    </w:p>
    <w:p w14:paraId="422011E5" w14:textId="77777777" w:rsidR="009409B5" w:rsidRPr="00B37F96" w:rsidRDefault="009409B5" w:rsidP="00051841">
      <w:pPr>
        <w:rPr>
          <w:spacing w:val="-2"/>
        </w:rPr>
      </w:pPr>
      <w:r w:rsidRPr="00B37F96">
        <w:rPr>
          <w:spacing w:val="-2"/>
        </w:rPr>
        <w:br w:type="page"/>
      </w:r>
    </w:p>
    <w:p w14:paraId="635B6750" w14:textId="77777777" w:rsidR="00EC5F8D" w:rsidRPr="00B37F96" w:rsidRDefault="00E53042" w:rsidP="00051841">
      <w:pPr>
        <w:rPr>
          <w:b/>
          <w:color w:val="E36C0A" w:themeColor="accent6" w:themeShade="BF"/>
          <w:spacing w:val="-2"/>
          <w:sz w:val="26"/>
          <w:szCs w:val="26"/>
        </w:rPr>
      </w:pPr>
      <w:r w:rsidRPr="00B37F96">
        <w:rPr>
          <w:b/>
          <w:color w:val="E36C0A" w:themeColor="accent6" w:themeShade="BF"/>
          <w:spacing w:val="-2"/>
          <w:sz w:val="26"/>
          <w:szCs w:val="26"/>
        </w:rPr>
        <w:lastRenderedPageBreak/>
        <w:t>Contents</w:t>
      </w:r>
    </w:p>
    <w:p w14:paraId="6DAB1A8F" w14:textId="77777777" w:rsidR="00480145" w:rsidRDefault="007D1CC2">
      <w:pPr>
        <w:pStyle w:val="TOC2"/>
        <w:tabs>
          <w:tab w:val="right" w:leader="dot" w:pos="9038"/>
        </w:tabs>
        <w:rPr>
          <w:b w:val="0"/>
          <w:noProof/>
          <w:color w:val="auto"/>
          <w:sz w:val="22"/>
          <w:szCs w:val="22"/>
        </w:rPr>
      </w:pPr>
      <w:r w:rsidRPr="00B37F96">
        <w:rPr>
          <w:spacing w:val="-2"/>
        </w:rPr>
        <w:fldChar w:fldCharType="begin"/>
      </w:r>
      <w:r w:rsidRPr="00B37F96">
        <w:rPr>
          <w:spacing w:val="-2"/>
        </w:rPr>
        <w:instrText xml:space="preserve"> TOC \o "1-3" \h \z \u </w:instrText>
      </w:r>
      <w:r w:rsidRPr="00B37F96">
        <w:rPr>
          <w:spacing w:val="-2"/>
        </w:rPr>
        <w:fldChar w:fldCharType="separate"/>
      </w:r>
      <w:hyperlink w:anchor="_Toc490477134" w:history="1">
        <w:r w:rsidR="00480145" w:rsidRPr="00490E07">
          <w:rPr>
            <w:rStyle w:val="Hyperlink"/>
            <w:noProof/>
            <w:spacing w:val="-2"/>
          </w:rPr>
          <w:t>Executive summary</w:t>
        </w:r>
        <w:r w:rsidR="00480145">
          <w:rPr>
            <w:noProof/>
            <w:webHidden/>
          </w:rPr>
          <w:tab/>
        </w:r>
        <w:r w:rsidR="00480145">
          <w:rPr>
            <w:noProof/>
            <w:webHidden/>
          </w:rPr>
          <w:fldChar w:fldCharType="begin"/>
        </w:r>
        <w:r w:rsidR="00480145">
          <w:rPr>
            <w:noProof/>
            <w:webHidden/>
          </w:rPr>
          <w:instrText xml:space="preserve"> PAGEREF _Toc490477134 \h </w:instrText>
        </w:r>
        <w:r w:rsidR="00480145">
          <w:rPr>
            <w:noProof/>
            <w:webHidden/>
          </w:rPr>
        </w:r>
        <w:r w:rsidR="00480145">
          <w:rPr>
            <w:noProof/>
            <w:webHidden/>
          </w:rPr>
          <w:fldChar w:fldCharType="separate"/>
        </w:r>
        <w:r w:rsidR="000F3021">
          <w:rPr>
            <w:noProof/>
            <w:webHidden/>
          </w:rPr>
          <w:t>4</w:t>
        </w:r>
        <w:r w:rsidR="00480145">
          <w:rPr>
            <w:noProof/>
            <w:webHidden/>
          </w:rPr>
          <w:fldChar w:fldCharType="end"/>
        </w:r>
      </w:hyperlink>
    </w:p>
    <w:p w14:paraId="5826DAC1" w14:textId="77777777" w:rsidR="00480145" w:rsidRDefault="00A65282">
      <w:pPr>
        <w:pStyle w:val="TOC2"/>
        <w:tabs>
          <w:tab w:val="right" w:leader="dot" w:pos="9038"/>
        </w:tabs>
        <w:rPr>
          <w:b w:val="0"/>
          <w:noProof/>
          <w:color w:val="auto"/>
          <w:sz w:val="22"/>
          <w:szCs w:val="22"/>
        </w:rPr>
      </w:pPr>
      <w:hyperlink w:anchor="_Toc490477135" w:history="1">
        <w:r w:rsidR="00480145" w:rsidRPr="00490E07">
          <w:rPr>
            <w:rStyle w:val="Hyperlink"/>
            <w:noProof/>
            <w:spacing w:val="-2"/>
          </w:rPr>
          <w:t>End-of-life care</w:t>
        </w:r>
        <w:r w:rsidR="00480145">
          <w:rPr>
            <w:noProof/>
            <w:webHidden/>
          </w:rPr>
          <w:tab/>
        </w:r>
        <w:r w:rsidR="00480145">
          <w:rPr>
            <w:noProof/>
            <w:webHidden/>
          </w:rPr>
          <w:fldChar w:fldCharType="begin"/>
        </w:r>
        <w:r w:rsidR="00480145">
          <w:rPr>
            <w:noProof/>
            <w:webHidden/>
          </w:rPr>
          <w:instrText xml:space="preserve"> PAGEREF _Toc490477135 \h </w:instrText>
        </w:r>
        <w:r w:rsidR="00480145">
          <w:rPr>
            <w:noProof/>
            <w:webHidden/>
          </w:rPr>
        </w:r>
        <w:r w:rsidR="00480145">
          <w:rPr>
            <w:noProof/>
            <w:webHidden/>
          </w:rPr>
          <w:fldChar w:fldCharType="separate"/>
        </w:r>
        <w:r w:rsidR="000F3021">
          <w:rPr>
            <w:noProof/>
            <w:webHidden/>
          </w:rPr>
          <w:t>9</w:t>
        </w:r>
        <w:r w:rsidR="00480145">
          <w:rPr>
            <w:noProof/>
            <w:webHidden/>
          </w:rPr>
          <w:fldChar w:fldCharType="end"/>
        </w:r>
      </w:hyperlink>
    </w:p>
    <w:p w14:paraId="65A31339" w14:textId="77777777" w:rsidR="00480145" w:rsidRDefault="00A65282">
      <w:pPr>
        <w:pStyle w:val="TOC2"/>
        <w:tabs>
          <w:tab w:val="right" w:leader="dot" w:pos="9038"/>
        </w:tabs>
        <w:rPr>
          <w:b w:val="0"/>
          <w:noProof/>
          <w:color w:val="auto"/>
          <w:sz w:val="22"/>
          <w:szCs w:val="22"/>
        </w:rPr>
      </w:pPr>
      <w:hyperlink w:anchor="_Toc490477136" w:history="1">
        <w:r w:rsidR="00480145" w:rsidRPr="00490E07">
          <w:rPr>
            <w:rStyle w:val="Hyperlink"/>
            <w:noProof/>
            <w:spacing w:val="-2"/>
          </w:rPr>
          <w:t>Social housing</w:t>
        </w:r>
        <w:r w:rsidR="00480145">
          <w:rPr>
            <w:noProof/>
            <w:webHidden/>
          </w:rPr>
          <w:tab/>
        </w:r>
        <w:r w:rsidR="00480145">
          <w:rPr>
            <w:noProof/>
            <w:webHidden/>
          </w:rPr>
          <w:fldChar w:fldCharType="begin"/>
        </w:r>
        <w:r w:rsidR="00480145">
          <w:rPr>
            <w:noProof/>
            <w:webHidden/>
          </w:rPr>
          <w:instrText xml:space="preserve"> PAGEREF _Toc490477136 \h </w:instrText>
        </w:r>
        <w:r w:rsidR="00480145">
          <w:rPr>
            <w:noProof/>
            <w:webHidden/>
          </w:rPr>
        </w:r>
        <w:r w:rsidR="00480145">
          <w:rPr>
            <w:noProof/>
            <w:webHidden/>
          </w:rPr>
          <w:fldChar w:fldCharType="separate"/>
        </w:r>
        <w:r w:rsidR="000F3021">
          <w:rPr>
            <w:noProof/>
            <w:webHidden/>
          </w:rPr>
          <w:t>10</w:t>
        </w:r>
        <w:r w:rsidR="00480145">
          <w:rPr>
            <w:noProof/>
            <w:webHidden/>
          </w:rPr>
          <w:fldChar w:fldCharType="end"/>
        </w:r>
      </w:hyperlink>
    </w:p>
    <w:p w14:paraId="3C256E3D" w14:textId="77777777" w:rsidR="00480145" w:rsidRDefault="00A65282">
      <w:pPr>
        <w:pStyle w:val="TOC3"/>
        <w:tabs>
          <w:tab w:val="right" w:leader="dot" w:pos="9038"/>
        </w:tabs>
        <w:rPr>
          <w:i w:val="0"/>
          <w:noProof/>
          <w:color w:val="auto"/>
          <w:sz w:val="22"/>
          <w:szCs w:val="22"/>
        </w:rPr>
      </w:pPr>
      <w:hyperlink w:anchor="_Toc490477137" w:history="1">
        <w:r w:rsidR="00480145" w:rsidRPr="00490E07">
          <w:rPr>
            <w:rStyle w:val="Hyperlink"/>
            <w:noProof/>
            <w:spacing w:val="-2"/>
          </w:rPr>
          <w:t>Housing assistance</w:t>
        </w:r>
        <w:r w:rsidR="00480145">
          <w:rPr>
            <w:noProof/>
            <w:webHidden/>
          </w:rPr>
          <w:tab/>
        </w:r>
        <w:r w:rsidR="00480145">
          <w:rPr>
            <w:noProof/>
            <w:webHidden/>
          </w:rPr>
          <w:fldChar w:fldCharType="begin"/>
        </w:r>
        <w:r w:rsidR="00480145">
          <w:rPr>
            <w:noProof/>
            <w:webHidden/>
          </w:rPr>
          <w:instrText xml:space="preserve"> PAGEREF _Toc490477137 \h </w:instrText>
        </w:r>
        <w:r w:rsidR="00480145">
          <w:rPr>
            <w:noProof/>
            <w:webHidden/>
          </w:rPr>
        </w:r>
        <w:r w:rsidR="00480145">
          <w:rPr>
            <w:noProof/>
            <w:webHidden/>
          </w:rPr>
          <w:fldChar w:fldCharType="separate"/>
        </w:r>
        <w:r w:rsidR="000F3021">
          <w:rPr>
            <w:noProof/>
            <w:webHidden/>
          </w:rPr>
          <w:t>10</w:t>
        </w:r>
        <w:r w:rsidR="00480145">
          <w:rPr>
            <w:noProof/>
            <w:webHidden/>
          </w:rPr>
          <w:fldChar w:fldCharType="end"/>
        </w:r>
      </w:hyperlink>
    </w:p>
    <w:p w14:paraId="0302EFA8" w14:textId="77777777" w:rsidR="00480145" w:rsidRDefault="00A65282">
      <w:pPr>
        <w:pStyle w:val="TOC3"/>
        <w:tabs>
          <w:tab w:val="right" w:leader="dot" w:pos="9038"/>
        </w:tabs>
        <w:rPr>
          <w:i w:val="0"/>
          <w:noProof/>
          <w:color w:val="auto"/>
          <w:sz w:val="22"/>
          <w:szCs w:val="22"/>
        </w:rPr>
      </w:pPr>
      <w:hyperlink w:anchor="_Toc490477138" w:history="1">
        <w:r w:rsidR="00480145" w:rsidRPr="00490E07">
          <w:rPr>
            <w:rStyle w:val="Hyperlink"/>
            <w:noProof/>
            <w:spacing w:val="-2"/>
          </w:rPr>
          <w:t>Reforming the current assistance model for social housing</w:t>
        </w:r>
        <w:r w:rsidR="00480145">
          <w:rPr>
            <w:noProof/>
            <w:webHidden/>
          </w:rPr>
          <w:tab/>
        </w:r>
        <w:r w:rsidR="00480145">
          <w:rPr>
            <w:noProof/>
            <w:webHidden/>
          </w:rPr>
          <w:fldChar w:fldCharType="begin"/>
        </w:r>
        <w:r w:rsidR="00480145">
          <w:rPr>
            <w:noProof/>
            <w:webHidden/>
          </w:rPr>
          <w:instrText xml:space="preserve"> PAGEREF _Toc490477138 \h </w:instrText>
        </w:r>
        <w:r w:rsidR="00480145">
          <w:rPr>
            <w:noProof/>
            <w:webHidden/>
          </w:rPr>
        </w:r>
        <w:r w:rsidR="00480145">
          <w:rPr>
            <w:noProof/>
            <w:webHidden/>
          </w:rPr>
          <w:fldChar w:fldCharType="separate"/>
        </w:r>
        <w:r w:rsidR="000F3021">
          <w:rPr>
            <w:noProof/>
            <w:webHidden/>
          </w:rPr>
          <w:t>10</w:t>
        </w:r>
        <w:r w:rsidR="00480145">
          <w:rPr>
            <w:noProof/>
            <w:webHidden/>
          </w:rPr>
          <w:fldChar w:fldCharType="end"/>
        </w:r>
      </w:hyperlink>
    </w:p>
    <w:p w14:paraId="22B0BD2D" w14:textId="77777777" w:rsidR="00480145" w:rsidRDefault="00A65282">
      <w:pPr>
        <w:pStyle w:val="TOC3"/>
        <w:tabs>
          <w:tab w:val="right" w:leader="dot" w:pos="9038"/>
        </w:tabs>
        <w:rPr>
          <w:i w:val="0"/>
          <w:noProof/>
          <w:color w:val="auto"/>
          <w:sz w:val="22"/>
          <w:szCs w:val="22"/>
        </w:rPr>
      </w:pPr>
      <w:hyperlink w:anchor="_Toc490477139" w:history="1">
        <w:r w:rsidR="00480145" w:rsidRPr="00490E07">
          <w:rPr>
            <w:rStyle w:val="Hyperlink"/>
            <w:noProof/>
            <w:spacing w:val="-2"/>
          </w:rPr>
          <w:t>Choice-based letting</w:t>
        </w:r>
        <w:r w:rsidR="00480145">
          <w:rPr>
            <w:noProof/>
            <w:webHidden/>
          </w:rPr>
          <w:tab/>
        </w:r>
        <w:r w:rsidR="00480145">
          <w:rPr>
            <w:noProof/>
            <w:webHidden/>
          </w:rPr>
          <w:fldChar w:fldCharType="begin"/>
        </w:r>
        <w:r w:rsidR="00480145">
          <w:rPr>
            <w:noProof/>
            <w:webHidden/>
          </w:rPr>
          <w:instrText xml:space="preserve"> PAGEREF _Toc490477139 \h </w:instrText>
        </w:r>
        <w:r w:rsidR="00480145">
          <w:rPr>
            <w:noProof/>
            <w:webHidden/>
          </w:rPr>
        </w:r>
        <w:r w:rsidR="00480145">
          <w:rPr>
            <w:noProof/>
            <w:webHidden/>
          </w:rPr>
          <w:fldChar w:fldCharType="separate"/>
        </w:r>
        <w:r w:rsidR="000F3021">
          <w:rPr>
            <w:noProof/>
            <w:webHidden/>
          </w:rPr>
          <w:t>12</w:t>
        </w:r>
        <w:r w:rsidR="00480145">
          <w:rPr>
            <w:noProof/>
            <w:webHidden/>
          </w:rPr>
          <w:fldChar w:fldCharType="end"/>
        </w:r>
      </w:hyperlink>
    </w:p>
    <w:p w14:paraId="71562337" w14:textId="77777777" w:rsidR="00480145" w:rsidRDefault="00A65282">
      <w:pPr>
        <w:pStyle w:val="TOC3"/>
        <w:tabs>
          <w:tab w:val="right" w:leader="dot" w:pos="9038"/>
        </w:tabs>
        <w:rPr>
          <w:i w:val="0"/>
          <w:noProof/>
          <w:color w:val="auto"/>
          <w:sz w:val="22"/>
          <w:szCs w:val="22"/>
        </w:rPr>
      </w:pPr>
      <w:hyperlink w:anchor="_Toc490477140" w:history="1">
        <w:r w:rsidR="00480145" w:rsidRPr="00490E07">
          <w:rPr>
            <w:rStyle w:val="Hyperlink"/>
            <w:noProof/>
            <w:spacing w:val="-2"/>
          </w:rPr>
          <w:t>Contestable management of social housing</w:t>
        </w:r>
        <w:r w:rsidR="00480145">
          <w:rPr>
            <w:noProof/>
            <w:webHidden/>
          </w:rPr>
          <w:tab/>
        </w:r>
        <w:r w:rsidR="00480145">
          <w:rPr>
            <w:noProof/>
            <w:webHidden/>
          </w:rPr>
          <w:fldChar w:fldCharType="begin"/>
        </w:r>
        <w:r w:rsidR="00480145">
          <w:rPr>
            <w:noProof/>
            <w:webHidden/>
          </w:rPr>
          <w:instrText xml:space="preserve"> PAGEREF _Toc490477140 \h </w:instrText>
        </w:r>
        <w:r w:rsidR="00480145">
          <w:rPr>
            <w:noProof/>
            <w:webHidden/>
          </w:rPr>
        </w:r>
        <w:r w:rsidR="00480145">
          <w:rPr>
            <w:noProof/>
            <w:webHidden/>
          </w:rPr>
          <w:fldChar w:fldCharType="separate"/>
        </w:r>
        <w:r w:rsidR="000F3021">
          <w:rPr>
            <w:noProof/>
            <w:webHidden/>
          </w:rPr>
          <w:t>12</w:t>
        </w:r>
        <w:r w:rsidR="00480145">
          <w:rPr>
            <w:noProof/>
            <w:webHidden/>
          </w:rPr>
          <w:fldChar w:fldCharType="end"/>
        </w:r>
      </w:hyperlink>
    </w:p>
    <w:p w14:paraId="1091EAD9" w14:textId="77777777" w:rsidR="00480145" w:rsidRDefault="00A65282">
      <w:pPr>
        <w:pStyle w:val="TOC3"/>
        <w:tabs>
          <w:tab w:val="right" w:leader="dot" w:pos="9038"/>
        </w:tabs>
        <w:rPr>
          <w:i w:val="0"/>
          <w:noProof/>
          <w:color w:val="auto"/>
          <w:sz w:val="22"/>
          <w:szCs w:val="22"/>
        </w:rPr>
      </w:pPr>
      <w:hyperlink w:anchor="_Toc490477141" w:history="1">
        <w:r w:rsidR="00480145" w:rsidRPr="00490E07">
          <w:rPr>
            <w:rStyle w:val="Hyperlink"/>
            <w:noProof/>
            <w:spacing w:val="-2"/>
          </w:rPr>
          <w:t>Commissioning tenancy support services</w:t>
        </w:r>
        <w:r w:rsidR="00480145">
          <w:rPr>
            <w:noProof/>
            <w:webHidden/>
          </w:rPr>
          <w:tab/>
        </w:r>
        <w:r w:rsidR="00480145">
          <w:rPr>
            <w:noProof/>
            <w:webHidden/>
          </w:rPr>
          <w:fldChar w:fldCharType="begin"/>
        </w:r>
        <w:r w:rsidR="00480145">
          <w:rPr>
            <w:noProof/>
            <w:webHidden/>
          </w:rPr>
          <w:instrText xml:space="preserve"> PAGEREF _Toc490477141 \h </w:instrText>
        </w:r>
        <w:r w:rsidR="00480145">
          <w:rPr>
            <w:noProof/>
            <w:webHidden/>
          </w:rPr>
        </w:r>
        <w:r w:rsidR="00480145">
          <w:rPr>
            <w:noProof/>
            <w:webHidden/>
          </w:rPr>
          <w:fldChar w:fldCharType="separate"/>
        </w:r>
        <w:r w:rsidR="000F3021">
          <w:rPr>
            <w:noProof/>
            <w:webHidden/>
          </w:rPr>
          <w:t>13</w:t>
        </w:r>
        <w:r w:rsidR="00480145">
          <w:rPr>
            <w:noProof/>
            <w:webHidden/>
          </w:rPr>
          <w:fldChar w:fldCharType="end"/>
        </w:r>
      </w:hyperlink>
    </w:p>
    <w:p w14:paraId="48EB2FAB" w14:textId="77777777" w:rsidR="00480145" w:rsidRDefault="00A65282">
      <w:pPr>
        <w:pStyle w:val="TOC3"/>
        <w:tabs>
          <w:tab w:val="right" w:leader="dot" w:pos="9038"/>
        </w:tabs>
        <w:rPr>
          <w:i w:val="0"/>
          <w:noProof/>
          <w:color w:val="auto"/>
          <w:sz w:val="22"/>
          <w:szCs w:val="22"/>
        </w:rPr>
      </w:pPr>
      <w:hyperlink w:anchor="_Toc490477142" w:history="1">
        <w:r w:rsidR="00480145" w:rsidRPr="00490E07">
          <w:rPr>
            <w:rStyle w:val="Hyperlink"/>
            <w:noProof/>
            <w:spacing w:val="-2"/>
          </w:rPr>
          <w:t>Separation of social housing management from social housing policy</w:t>
        </w:r>
        <w:r w:rsidR="00480145">
          <w:rPr>
            <w:noProof/>
            <w:webHidden/>
          </w:rPr>
          <w:tab/>
        </w:r>
        <w:r w:rsidR="00480145">
          <w:rPr>
            <w:noProof/>
            <w:webHidden/>
          </w:rPr>
          <w:fldChar w:fldCharType="begin"/>
        </w:r>
        <w:r w:rsidR="00480145">
          <w:rPr>
            <w:noProof/>
            <w:webHidden/>
          </w:rPr>
          <w:instrText xml:space="preserve"> PAGEREF _Toc490477142 \h </w:instrText>
        </w:r>
        <w:r w:rsidR="00480145">
          <w:rPr>
            <w:noProof/>
            <w:webHidden/>
          </w:rPr>
        </w:r>
        <w:r w:rsidR="00480145">
          <w:rPr>
            <w:noProof/>
            <w:webHidden/>
          </w:rPr>
          <w:fldChar w:fldCharType="separate"/>
        </w:r>
        <w:r w:rsidR="000F3021">
          <w:rPr>
            <w:noProof/>
            <w:webHidden/>
          </w:rPr>
          <w:t>13</w:t>
        </w:r>
        <w:r w:rsidR="00480145">
          <w:rPr>
            <w:noProof/>
            <w:webHidden/>
          </w:rPr>
          <w:fldChar w:fldCharType="end"/>
        </w:r>
      </w:hyperlink>
    </w:p>
    <w:p w14:paraId="01908CBD" w14:textId="77777777" w:rsidR="00480145" w:rsidRDefault="00A65282">
      <w:pPr>
        <w:pStyle w:val="TOC3"/>
        <w:tabs>
          <w:tab w:val="right" w:leader="dot" w:pos="9038"/>
        </w:tabs>
        <w:rPr>
          <w:i w:val="0"/>
          <w:noProof/>
          <w:color w:val="auto"/>
          <w:sz w:val="22"/>
          <w:szCs w:val="22"/>
        </w:rPr>
      </w:pPr>
      <w:hyperlink w:anchor="_Toc490477143" w:history="1">
        <w:r w:rsidR="00480145" w:rsidRPr="00490E07">
          <w:rPr>
            <w:rStyle w:val="Hyperlink"/>
            <w:noProof/>
            <w:spacing w:val="-2"/>
          </w:rPr>
          <w:t>Information for applicants</w:t>
        </w:r>
        <w:r w:rsidR="00480145">
          <w:rPr>
            <w:noProof/>
            <w:webHidden/>
          </w:rPr>
          <w:tab/>
        </w:r>
        <w:r w:rsidR="00480145">
          <w:rPr>
            <w:noProof/>
            <w:webHidden/>
          </w:rPr>
          <w:fldChar w:fldCharType="begin"/>
        </w:r>
        <w:r w:rsidR="00480145">
          <w:rPr>
            <w:noProof/>
            <w:webHidden/>
          </w:rPr>
          <w:instrText xml:space="preserve"> PAGEREF _Toc490477143 \h </w:instrText>
        </w:r>
        <w:r w:rsidR="00480145">
          <w:rPr>
            <w:noProof/>
            <w:webHidden/>
          </w:rPr>
        </w:r>
        <w:r w:rsidR="00480145">
          <w:rPr>
            <w:noProof/>
            <w:webHidden/>
          </w:rPr>
          <w:fldChar w:fldCharType="separate"/>
        </w:r>
        <w:r w:rsidR="000F3021">
          <w:rPr>
            <w:noProof/>
            <w:webHidden/>
          </w:rPr>
          <w:t>14</w:t>
        </w:r>
        <w:r w:rsidR="00480145">
          <w:rPr>
            <w:noProof/>
            <w:webHidden/>
          </w:rPr>
          <w:fldChar w:fldCharType="end"/>
        </w:r>
      </w:hyperlink>
    </w:p>
    <w:p w14:paraId="2173EB6E" w14:textId="77777777" w:rsidR="00480145" w:rsidRDefault="00A65282">
      <w:pPr>
        <w:pStyle w:val="TOC3"/>
        <w:tabs>
          <w:tab w:val="right" w:leader="dot" w:pos="9038"/>
        </w:tabs>
        <w:rPr>
          <w:i w:val="0"/>
          <w:noProof/>
          <w:color w:val="auto"/>
          <w:sz w:val="22"/>
          <w:szCs w:val="22"/>
        </w:rPr>
      </w:pPr>
      <w:hyperlink w:anchor="_Toc490477144" w:history="1">
        <w:r w:rsidR="00480145" w:rsidRPr="00490E07">
          <w:rPr>
            <w:rStyle w:val="Hyperlink"/>
            <w:noProof/>
            <w:spacing w:val="-2"/>
          </w:rPr>
          <w:t>Data on outcomes</w:t>
        </w:r>
        <w:r w:rsidR="00480145">
          <w:rPr>
            <w:noProof/>
            <w:webHidden/>
          </w:rPr>
          <w:tab/>
        </w:r>
        <w:r w:rsidR="00480145">
          <w:rPr>
            <w:noProof/>
            <w:webHidden/>
          </w:rPr>
          <w:fldChar w:fldCharType="begin"/>
        </w:r>
        <w:r w:rsidR="00480145">
          <w:rPr>
            <w:noProof/>
            <w:webHidden/>
          </w:rPr>
          <w:instrText xml:space="preserve"> PAGEREF _Toc490477144 \h </w:instrText>
        </w:r>
        <w:r w:rsidR="00480145">
          <w:rPr>
            <w:noProof/>
            <w:webHidden/>
          </w:rPr>
        </w:r>
        <w:r w:rsidR="00480145">
          <w:rPr>
            <w:noProof/>
            <w:webHidden/>
          </w:rPr>
          <w:fldChar w:fldCharType="separate"/>
        </w:r>
        <w:r w:rsidR="000F3021">
          <w:rPr>
            <w:noProof/>
            <w:webHidden/>
          </w:rPr>
          <w:t>14</w:t>
        </w:r>
        <w:r w:rsidR="00480145">
          <w:rPr>
            <w:noProof/>
            <w:webHidden/>
          </w:rPr>
          <w:fldChar w:fldCharType="end"/>
        </w:r>
      </w:hyperlink>
    </w:p>
    <w:p w14:paraId="771B9A59" w14:textId="77777777" w:rsidR="00480145" w:rsidRDefault="00A65282">
      <w:pPr>
        <w:pStyle w:val="TOC3"/>
        <w:tabs>
          <w:tab w:val="right" w:leader="dot" w:pos="9038"/>
        </w:tabs>
        <w:rPr>
          <w:i w:val="0"/>
          <w:noProof/>
          <w:color w:val="auto"/>
          <w:sz w:val="22"/>
          <w:szCs w:val="22"/>
        </w:rPr>
      </w:pPr>
      <w:hyperlink w:anchor="_Toc490477145" w:history="1">
        <w:r w:rsidR="00480145" w:rsidRPr="00490E07">
          <w:rPr>
            <w:rStyle w:val="Hyperlink"/>
            <w:noProof/>
            <w:spacing w:val="-2"/>
          </w:rPr>
          <w:t>Accessible information for applicants</w:t>
        </w:r>
        <w:r w:rsidR="00480145">
          <w:rPr>
            <w:noProof/>
            <w:webHidden/>
          </w:rPr>
          <w:tab/>
        </w:r>
        <w:r w:rsidR="00480145">
          <w:rPr>
            <w:noProof/>
            <w:webHidden/>
          </w:rPr>
          <w:fldChar w:fldCharType="begin"/>
        </w:r>
        <w:r w:rsidR="00480145">
          <w:rPr>
            <w:noProof/>
            <w:webHidden/>
          </w:rPr>
          <w:instrText xml:space="preserve"> PAGEREF _Toc490477145 \h </w:instrText>
        </w:r>
        <w:r w:rsidR="00480145">
          <w:rPr>
            <w:noProof/>
            <w:webHidden/>
          </w:rPr>
        </w:r>
        <w:r w:rsidR="00480145">
          <w:rPr>
            <w:noProof/>
            <w:webHidden/>
          </w:rPr>
          <w:fldChar w:fldCharType="separate"/>
        </w:r>
        <w:r w:rsidR="000F3021">
          <w:rPr>
            <w:noProof/>
            <w:webHidden/>
          </w:rPr>
          <w:t>14</w:t>
        </w:r>
        <w:r w:rsidR="00480145">
          <w:rPr>
            <w:noProof/>
            <w:webHidden/>
          </w:rPr>
          <w:fldChar w:fldCharType="end"/>
        </w:r>
      </w:hyperlink>
    </w:p>
    <w:p w14:paraId="78FD474B" w14:textId="77777777" w:rsidR="00480145" w:rsidRDefault="00A65282">
      <w:pPr>
        <w:pStyle w:val="TOC3"/>
        <w:tabs>
          <w:tab w:val="right" w:leader="dot" w:pos="9038"/>
        </w:tabs>
        <w:rPr>
          <w:i w:val="0"/>
          <w:noProof/>
          <w:color w:val="auto"/>
          <w:sz w:val="22"/>
          <w:szCs w:val="22"/>
        </w:rPr>
      </w:pPr>
      <w:hyperlink w:anchor="_Toc490477146" w:history="1">
        <w:r w:rsidR="00480145" w:rsidRPr="00490E07">
          <w:rPr>
            <w:rStyle w:val="Hyperlink"/>
            <w:noProof/>
            <w:spacing w:val="-2"/>
          </w:rPr>
          <w:t>Information request</w:t>
        </w:r>
        <w:r w:rsidR="00480145">
          <w:rPr>
            <w:noProof/>
            <w:webHidden/>
          </w:rPr>
          <w:tab/>
        </w:r>
        <w:r w:rsidR="00480145">
          <w:rPr>
            <w:noProof/>
            <w:webHidden/>
          </w:rPr>
          <w:fldChar w:fldCharType="begin"/>
        </w:r>
        <w:r w:rsidR="00480145">
          <w:rPr>
            <w:noProof/>
            <w:webHidden/>
          </w:rPr>
          <w:instrText xml:space="preserve"> PAGEREF _Toc490477146 \h </w:instrText>
        </w:r>
        <w:r w:rsidR="00480145">
          <w:rPr>
            <w:noProof/>
            <w:webHidden/>
          </w:rPr>
        </w:r>
        <w:r w:rsidR="00480145">
          <w:rPr>
            <w:noProof/>
            <w:webHidden/>
          </w:rPr>
          <w:fldChar w:fldCharType="separate"/>
        </w:r>
        <w:r w:rsidR="000F3021">
          <w:rPr>
            <w:noProof/>
            <w:webHidden/>
          </w:rPr>
          <w:t>15</w:t>
        </w:r>
        <w:r w:rsidR="00480145">
          <w:rPr>
            <w:noProof/>
            <w:webHidden/>
          </w:rPr>
          <w:fldChar w:fldCharType="end"/>
        </w:r>
      </w:hyperlink>
    </w:p>
    <w:p w14:paraId="27A513B1" w14:textId="77777777" w:rsidR="00480145" w:rsidRDefault="00A65282">
      <w:pPr>
        <w:pStyle w:val="TOC2"/>
        <w:tabs>
          <w:tab w:val="right" w:leader="dot" w:pos="9038"/>
        </w:tabs>
        <w:rPr>
          <w:b w:val="0"/>
          <w:noProof/>
          <w:color w:val="auto"/>
          <w:sz w:val="22"/>
          <w:szCs w:val="22"/>
        </w:rPr>
      </w:pPr>
      <w:hyperlink w:anchor="_Toc490477147" w:history="1">
        <w:r w:rsidR="00480145" w:rsidRPr="00490E07">
          <w:rPr>
            <w:rStyle w:val="Hyperlink"/>
            <w:noProof/>
            <w:spacing w:val="-2"/>
          </w:rPr>
          <w:t>Family and community services</w:t>
        </w:r>
        <w:r w:rsidR="00480145">
          <w:rPr>
            <w:noProof/>
            <w:webHidden/>
          </w:rPr>
          <w:tab/>
        </w:r>
        <w:r w:rsidR="00480145">
          <w:rPr>
            <w:noProof/>
            <w:webHidden/>
          </w:rPr>
          <w:fldChar w:fldCharType="begin"/>
        </w:r>
        <w:r w:rsidR="00480145">
          <w:rPr>
            <w:noProof/>
            <w:webHidden/>
          </w:rPr>
          <w:instrText xml:space="preserve"> PAGEREF _Toc490477147 \h </w:instrText>
        </w:r>
        <w:r w:rsidR="00480145">
          <w:rPr>
            <w:noProof/>
            <w:webHidden/>
          </w:rPr>
        </w:r>
        <w:r w:rsidR="00480145">
          <w:rPr>
            <w:noProof/>
            <w:webHidden/>
          </w:rPr>
          <w:fldChar w:fldCharType="separate"/>
        </w:r>
        <w:r w:rsidR="000F3021">
          <w:rPr>
            <w:noProof/>
            <w:webHidden/>
          </w:rPr>
          <w:t>16</w:t>
        </w:r>
        <w:r w:rsidR="00480145">
          <w:rPr>
            <w:noProof/>
            <w:webHidden/>
          </w:rPr>
          <w:fldChar w:fldCharType="end"/>
        </w:r>
      </w:hyperlink>
    </w:p>
    <w:p w14:paraId="02F12221" w14:textId="77777777" w:rsidR="00480145" w:rsidRDefault="00A65282">
      <w:pPr>
        <w:pStyle w:val="TOC3"/>
        <w:tabs>
          <w:tab w:val="right" w:leader="dot" w:pos="9038"/>
        </w:tabs>
        <w:rPr>
          <w:i w:val="0"/>
          <w:noProof/>
          <w:color w:val="auto"/>
          <w:sz w:val="22"/>
          <w:szCs w:val="22"/>
        </w:rPr>
      </w:pPr>
      <w:hyperlink w:anchor="_Toc490477148" w:history="1">
        <w:r w:rsidR="00480145" w:rsidRPr="00490E07">
          <w:rPr>
            <w:rStyle w:val="Hyperlink"/>
            <w:noProof/>
            <w:spacing w:val="-2"/>
          </w:rPr>
          <w:t>Family and community services data collection, analysis and service plans</w:t>
        </w:r>
        <w:r w:rsidR="00480145">
          <w:rPr>
            <w:noProof/>
            <w:webHidden/>
          </w:rPr>
          <w:tab/>
        </w:r>
        <w:r w:rsidR="00480145">
          <w:rPr>
            <w:noProof/>
            <w:webHidden/>
          </w:rPr>
          <w:fldChar w:fldCharType="begin"/>
        </w:r>
        <w:r w:rsidR="00480145">
          <w:rPr>
            <w:noProof/>
            <w:webHidden/>
          </w:rPr>
          <w:instrText xml:space="preserve"> PAGEREF _Toc490477148 \h </w:instrText>
        </w:r>
        <w:r w:rsidR="00480145">
          <w:rPr>
            <w:noProof/>
            <w:webHidden/>
          </w:rPr>
        </w:r>
        <w:r w:rsidR="00480145">
          <w:rPr>
            <w:noProof/>
            <w:webHidden/>
          </w:rPr>
          <w:fldChar w:fldCharType="separate"/>
        </w:r>
        <w:r w:rsidR="000F3021">
          <w:rPr>
            <w:noProof/>
            <w:webHidden/>
          </w:rPr>
          <w:t>16</w:t>
        </w:r>
        <w:r w:rsidR="00480145">
          <w:rPr>
            <w:noProof/>
            <w:webHidden/>
          </w:rPr>
          <w:fldChar w:fldCharType="end"/>
        </w:r>
      </w:hyperlink>
    </w:p>
    <w:p w14:paraId="77B701A2" w14:textId="77777777" w:rsidR="00480145" w:rsidRDefault="00A65282">
      <w:pPr>
        <w:pStyle w:val="TOC3"/>
        <w:tabs>
          <w:tab w:val="right" w:leader="dot" w:pos="9038"/>
        </w:tabs>
        <w:rPr>
          <w:i w:val="0"/>
          <w:noProof/>
          <w:color w:val="auto"/>
          <w:sz w:val="22"/>
          <w:szCs w:val="22"/>
        </w:rPr>
      </w:pPr>
      <w:hyperlink w:anchor="_Toc490477149" w:history="1">
        <w:r w:rsidR="00480145" w:rsidRPr="00490E07">
          <w:rPr>
            <w:rStyle w:val="Hyperlink"/>
            <w:noProof/>
            <w:spacing w:val="-2"/>
          </w:rPr>
          <w:t>Provider selection processes</w:t>
        </w:r>
        <w:r w:rsidR="00480145">
          <w:rPr>
            <w:noProof/>
            <w:webHidden/>
          </w:rPr>
          <w:tab/>
        </w:r>
        <w:r w:rsidR="00480145">
          <w:rPr>
            <w:noProof/>
            <w:webHidden/>
          </w:rPr>
          <w:fldChar w:fldCharType="begin"/>
        </w:r>
        <w:r w:rsidR="00480145">
          <w:rPr>
            <w:noProof/>
            <w:webHidden/>
          </w:rPr>
          <w:instrText xml:space="preserve"> PAGEREF _Toc490477149 \h </w:instrText>
        </w:r>
        <w:r w:rsidR="00480145">
          <w:rPr>
            <w:noProof/>
            <w:webHidden/>
          </w:rPr>
        </w:r>
        <w:r w:rsidR="00480145">
          <w:rPr>
            <w:noProof/>
            <w:webHidden/>
          </w:rPr>
          <w:fldChar w:fldCharType="separate"/>
        </w:r>
        <w:r w:rsidR="000F3021">
          <w:rPr>
            <w:noProof/>
            <w:webHidden/>
          </w:rPr>
          <w:t>16</w:t>
        </w:r>
        <w:r w:rsidR="00480145">
          <w:rPr>
            <w:noProof/>
            <w:webHidden/>
          </w:rPr>
          <w:fldChar w:fldCharType="end"/>
        </w:r>
      </w:hyperlink>
    </w:p>
    <w:p w14:paraId="42C6A628" w14:textId="77777777" w:rsidR="00480145" w:rsidRDefault="00A65282">
      <w:pPr>
        <w:pStyle w:val="TOC3"/>
        <w:tabs>
          <w:tab w:val="right" w:leader="dot" w:pos="9038"/>
        </w:tabs>
        <w:rPr>
          <w:i w:val="0"/>
          <w:noProof/>
          <w:color w:val="auto"/>
          <w:sz w:val="22"/>
          <w:szCs w:val="22"/>
        </w:rPr>
      </w:pPr>
      <w:hyperlink w:anchor="_Toc490477150" w:history="1">
        <w:r w:rsidR="00480145" w:rsidRPr="00490E07">
          <w:rPr>
            <w:rStyle w:val="Hyperlink"/>
            <w:noProof/>
            <w:spacing w:val="-2"/>
          </w:rPr>
          <w:t>User-focused outcome measures</w:t>
        </w:r>
        <w:r w:rsidR="00480145">
          <w:rPr>
            <w:noProof/>
            <w:webHidden/>
          </w:rPr>
          <w:tab/>
        </w:r>
        <w:r w:rsidR="00480145">
          <w:rPr>
            <w:noProof/>
            <w:webHidden/>
          </w:rPr>
          <w:fldChar w:fldCharType="begin"/>
        </w:r>
        <w:r w:rsidR="00480145">
          <w:rPr>
            <w:noProof/>
            <w:webHidden/>
          </w:rPr>
          <w:instrText xml:space="preserve"> PAGEREF _Toc490477150 \h </w:instrText>
        </w:r>
        <w:r w:rsidR="00480145">
          <w:rPr>
            <w:noProof/>
            <w:webHidden/>
          </w:rPr>
        </w:r>
        <w:r w:rsidR="00480145">
          <w:rPr>
            <w:noProof/>
            <w:webHidden/>
          </w:rPr>
          <w:fldChar w:fldCharType="separate"/>
        </w:r>
        <w:r w:rsidR="000F3021">
          <w:rPr>
            <w:noProof/>
            <w:webHidden/>
          </w:rPr>
          <w:t>16</w:t>
        </w:r>
        <w:r w:rsidR="00480145">
          <w:rPr>
            <w:noProof/>
            <w:webHidden/>
          </w:rPr>
          <w:fldChar w:fldCharType="end"/>
        </w:r>
      </w:hyperlink>
    </w:p>
    <w:p w14:paraId="59E11223" w14:textId="77777777" w:rsidR="00480145" w:rsidRDefault="00A65282">
      <w:pPr>
        <w:pStyle w:val="TOC3"/>
        <w:tabs>
          <w:tab w:val="right" w:leader="dot" w:pos="9038"/>
        </w:tabs>
        <w:rPr>
          <w:i w:val="0"/>
          <w:noProof/>
          <w:color w:val="auto"/>
          <w:sz w:val="22"/>
          <w:szCs w:val="22"/>
        </w:rPr>
      </w:pPr>
      <w:hyperlink w:anchor="_Toc490477151" w:history="1">
        <w:r w:rsidR="00480145" w:rsidRPr="00490E07">
          <w:rPr>
            <w:rStyle w:val="Hyperlink"/>
            <w:noProof/>
            <w:spacing w:val="-2"/>
          </w:rPr>
          <w:t>Systems improvement</w:t>
        </w:r>
        <w:r w:rsidR="00480145">
          <w:rPr>
            <w:noProof/>
            <w:webHidden/>
          </w:rPr>
          <w:tab/>
        </w:r>
        <w:r w:rsidR="00480145">
          <w:rPr>
            <w:noProof/>
            <w:webHidden/>
          </w:rPr>
          <w:fldChar w:fldCharType="begin"/>
        </w:r>
        <w:r w:rsidR="00480145">
          <w:rPr>
            <w:noProof/>
            <w:webHidden/>
          </w:rPr>
          <w:instrText xml:space="preserve"> PAGEREF _Toc490477151 \h </w:instrText>
        </w:r>
        <w:r w:rsidR="00480145">
          <w:rPr>
            <w:noProof/>
            <w:webHidden/>
          </w:rPr>
        </w:r>
        <w:r w:rsidR="00480145">
          <w:rPr>
            <w:noProof/>
            <w:webHidden/>
          </w:rPr>
          <w:fldChar w:fldCharType="separate"/>
        </w:r>
        <w:r w:rsidR="000F3021">
          <w:rPr>
            <w:noProof/>
            <w:webHidden/>
          </w:rPr>
          <w:t>16</w:t>
        </w:r>
        <w:r w:rsidR="00480145">
          <w:rPr>
            <w:noProof/>
            <w:webHidden/>
          </w:rPr>
          <w:fldChar w:fldCharType="end"/>
        </w:r>
      </w:hyperlink>
    </w:p>
    <w:p w14:paraId="2A81BF1A" w14:textId="77777777" w:rsidR="00480145" w:rsidRDefault="00A65282">
      <w:pPr>
        <w:pStyle w:val="TOC3"/>
        <w:tabs>
          <w:tab w:val="right" w:leader="dot" w:pos="9038"/>
        </w:tabs>
        <w:rPr>
          <w:i w:val="0"/>
          <w:noProof/>
          <w:color w:val="auto"/>
          <w:sz w:val="22"/>
          <w:szCs w:val="22"/>
        </w:rPr>
      </w:pPr>
      <w:hyperlink w:anchor="_Toc490477152" w:history="1">
        <w:r w:rsidR="00480145" w:rsidRPr="00490E07">
          <w:rPr>
            <w:rStyle w:val="Hyperlink"/>
            <w:noProof/>
            <w:spacing w:val="-2"/>
          </w:rPr>
          <w:t>Seven-year contracts</w:t>
        </w:r>
        <w:r w:rsidR="00480145">
          <w:rPr>
            <w:noProof/>
            <w:webHidden/>
          </w:rPr>
          <w:tab/>
        </w:r>
        <w:r w:rsidR="00480145">
          <w:rPr>
            <w:noProof/>
            <w:webHidden/>
          </w:rPr>
          <w:fldChar w:fldCharType="begin"/>
        </w:r>
        <w:r w:rsidR="00480145">
          <w:rPr>
            <w:noProof/>
            <w:webHidden/>
          </w:rPr>
          <w:instrText xml:space="preserve"> PAGEREF _Toc490477152 \h </w:instrText>
        </w:r>
        <w:r w:rsidR="00480145">
          <w:rPr>
            <w:noProof/>
            <w:webHidden/>
          </w:rPr>
        </w:r>
        <w:r w:rsidR="00480145">
          <w:rPr>
            <w:noProof/>
            <w:webHidden/>
          </w:rPr>
          <w:fldChar w:fldCharType="separate"/>
        </w:r>
        <w:r w:rsidR="000F3021">
          <w:rPr>
            <w:noProof/>
            <w:webHidden/>
          </w:rPr>
          <w:t>17</w:t>
        </w:r>
        <w:r w:rsidR="00480145">
          <w:rPr>
            <w:noProof/>
            <w:webHidden/>
          </w:rPr>
          <w:fldChar w:fldCharType="end"/>
        </w:r>
      </w:hyperlink>
    </w:p>
    <w:p w14:paraId="4E8D21FC" w14:textId="77777777" w:rsidR="00480145" w:rsidRDefault="00A65282">
      <w:pPr>
        <w:pStyle w:val="TOC3"/>
        <w:tabs>
          <w:tab w:val="right" w:leader="dot" w:pos="9038"/>
        </w:tabs>
        <w:rPr>
          <w:i w:val="0"/>
          <w:noProof/>
          <w:color w:val="auto"/>
          <w:sz w:val="22"/>
          <w:szCs w:val="22"/>
        </w:rPr>
      </w:pPr>
      <w:hyperlink w:anchor="_Toc490477153" w:history="1">
        <w:r w:rsidR="00480145" w:rsidRPr="00490E07">
          <w:rPr>
            <w:rStyle w:val="Hyperlink"/>
            <w:noProof/>
            <w:spacing w:val="-2"/>
          </w:rPr>
          <w:t>Efficient cost of service provision</w:t>
        </w:r>
        <w:r w:rsidR="00480145">
          <w:rPr>
            <w:noProof/>
            <w:webHidden/>
          </w:rPr>
          <w:tab/>
        </w:r>
        <w:r w:rsidR="00480145">
          <w:rPr>
            <w:noProof/>
            <w:webHidden/>
          </w:rPr>
          <w:fldChar w:fldCharType="begin"/>
        </w:r>
        <w:r w:rsidR="00480145">
          <w:rPr>
            <w:noProof/>
            <w:webHidden/>
          </w:rPr>
          <w:instrText xml:space="preserve"> PAGEREF _Toc490477153 \h </w:instrText>
        </w:r>
        <w:r w:rsidR="00480145">
          <w:rPr>
            <w:noProof/>
            <w:webHidden/>
          </w:rPr>
        </w:r>
        <w:r w:rsidR="00480145">
          <w:rPr>
            <w:noProof/>
            <w:webHidden/>
          </w:rPr>
          <w:fldChar w:fldCharType="separate"/>
        </w:r>
        <w:r w:rsidR="000F3021">
          <w:rPr>
            <w:noProof/>
            <w:webHidden/>
          </w:rPr>
          <w:t>17</w:t>
        </w:r>
        <w:r w:rsidR="00480145">
          <w:rPr>
            <w:noProof/>
            <w:webHidden/>
          </w:rPr>
          <w:fldChar w:fldCharType="end"/>
        </w:r>
      </w:hyperlink>
    </w:p>
    <w:p w14:paraId="175D9CB6" w14:textId="77777777" w:rsidR="00480145" w:rsidRDefault="00A65282">
      <w:pPr>
        <w:pStyle w:val="TOC3"/>
        <w:tabs>
          <w:tab w:val="right" w:leader="dot" w:pos="9038"/>
        </w:tabs>
        <w:rPr>
          <w:i w:val="0"/>
          <w:noProof/>
          <w:color w:val="auto"/>
          <w:sz w:val="22"/>
          <w:szCs w:val="22"/>
        </w:rPr>
      </w:pPr>
      <w:hyperlink w:anchor="_Toc490477154" w:history="1">
        <w:r w:rsidR="00480145" w:rsidRPr="00490E07">
          <w:rPr>
            <w:rStyle w:val="Hyperlink"/>
            <w:noProof/>
            <w:spacing w:val="-2"/>
          </w:rPr>
          <w:t>Outcomes based approaches and relational approaches to contract management</w:t>
        </w:r>
        <w:r w:rsidR="00480145">
          <w:rPr>
            <w:noProof/>
            <w:webHidden/>
          </w:rPr>
          <w:tab/>
        </w:r>
        <w:r w:rsidR="00480145">
          <w:rPr>
            <w:noProof/>
            <w:webHidden/>
          </w:rPr>
          <w:fldChar w:fldCharType="begin"/>
        </w:r>
        <w:r w:rsidR="00480145">
          <w:rPr>
            <w:noProof/>
            <w:webHidden/>
          </w:rPr>
          <w:instrText xml:space="preserve"> PAGEREF _Toc490477154 \h </w:instrText>
        </w:r>
        <w:r w:rsidR="00480145">
          <w:rPr>
            <w:noProof/>
            <w:webHidden/>
          </w:rPr>
        </w:r>
        <w:r w:rsidR="00480145">
          <w:rPr>
            <w:noProof/>
            <w:webHidden/>
          </w:rPr>
          <w:fldChar w:fldCharType="separate"/>
        </w:r>
        <w:r w:rsidR="000F3021">
          <w:rPr>
            <w:noProof/>
            <w:webHidden/>
          </w:rPr>
          <w:t>17</w:t>
        </w:r>
        <w:r w:rsidR="00480145">
          <w:rPr>
            <w:noProof/>
            <w:webHidden/>
          </w:rPr>
          <w:fldChar w:fldCharType="end"/>
        </w:r>
      </w:hyperlink>
    </w:p>
    <w:p w14:paraId="7D51B5A0" w14:textId="77777777" w:rsidR="00480145" w:rsidRDefault="00A65282">
      <w:pPr>
        <w:pStyle w:val="TOC2"/>
        <w:tabs>
          <w:tab w:val="right" w:leader="dot" w:pos="9038"/>
        </w:tabs>
        <w:rPr>
          <w:b w:val="0"/>
          <w:noProof/>
          <w:color w:val="auto"/>
          <w:sz w:val="22"/>
          <w:szCs w:val="22"/>
        </w:rPr>
      </w:pPr>
      <w:hyperlink w:anchor="_Toc490477155" w:history="1">
        <w:r w:rsidR="00480145" w:rsidRPr="00490E07">
          <w:rPr>
            <w:rStyle w:val="Hyperlink"/>
            <w:noProof/>
            <w:spacing w:val="-2"/>
          </w:rPr>
          <w:t>Services in remote Indigenous communities</w:t>
        </w:r>
        <w:r w:rsidR="00480145">
          <w:rPr>
            <w:noProof/>
            <w:webHidden/>
          </w:rPr>
          <w:tab/>
        </w:r>
        <w:r w:rsidR="00480145">
          <w:rPr>
            <w:noProof/>
            <w:webHidden/>
          </w:rPr>
          <w:fldChar w:fldCharType="begin"/>
        </w:r>
        <w:r w:rsidR="00480145">
          <w:rPr>
            <w:noProof/>
            <w:webHidden/>
          </w:rPr>
          <w:instrText xml:space="preserve"> PAGEREF _Toc490477155 \h </w:instrText>
        </w:r>
        <w:r w:rsidR="00480145">
          <w:rPr>
            <w:noProof/>
            <w:webHidden/>
          </w:rPr>
        </w:r>
        <w:r w:rsidR="00480145">
          <w:rPr>
            <w:noProof/>
            <w:webHidden/>
          </w:rPr>
          <w:fldChar w:fldCharType="separate"/>
        </w:r>
        <w:r w:rsidR="000F3021">
          <w:rPr>
            <w:noProof/>
            <w:webHidden/>
          </w:rPr>
          <w:t>18</w:t>
        </w:r>
        <w:r w:rsidR="00480145">
          <w:rPr>
            <w:noProof/>
            <w:webHidden/>
          </w:rPr>
          <w:fldChar w:fldCharType="end"/>
        </w:r>
      </w:hyperlink>
    </w:p>
    <w:p w14:paraId="42B1AE37" w14:textId="77777777" w:rsidR="00480145" w:rsidRDefault="00A65282">
      <w:pPr>
        <w:pStyle w:val="TOC3"/>
        <w:tabs>
          <w:tab w:val="right" w:leader="dot" w:pos="9038"/>
        </w:tabs>
        <w:rPr>
          <w:i w:val="0"/>
          <w:noProof/>
          <w:color w:val="auto"/>
          <w:sz w:val="22"/>
          <w:szCs w:val="22"/>
        </w:rPr>
      </w:pPr>
      <w:hyperlink w:anchor="_Toc490477156" w:history="1">
        <w:r w:rsidR="00480145" w:rsidRPr="00490E07">
          <w:rPr>
            <w:rStyle w:val="Hyperlink"/>
            <w:noProof/>
            <w:spacing w:val="-2"/>
          </w:rPr>
          <w:t>Ten</w:t>
        </w:r>
        <w:r w:rsidR="00480145" w:rsidRPr="00490E07">
          <w:rPr>
            <w:rStyle w:val="Hyperlink"/>
            <w:noProof/>
            <w:spacing w:val="-2"/>
          </w:rPr>
          <w:noBreakHyphen/>
          <w:t>year contracts</w:t>
        </w:r>
        <w:r w:rsidR="00480145">
          <w:rPr>
            <w:noProof/>
            <w:webHidden/>
          </w:rPr>
          <w:tab/>
        </w:r>
        <w:r w:rsidR="00480145">
          <w:rPr>
            <w:noProof/>
            <w:webHidden/>
          </w:rPr>
          <w:fldChar w:fldCharType="begin"/>
        </w:r>
        <w:r w:rsidR="00480145">
          <w:rPr>
            <w:noProof/>
            <w:webHidden/>
          </w:rPr>
          <w:instrText xml:space="preserve"> PAGEREF _Toc490477156 \h </w:instrText>
        </w:r>
        <w:r w:rsidR="00480145">
          <w:rPr>
            <w:noProof/>
            <w:webHidden/>
          </w:rPr>
        </w:r>
        <w:r w:rsidR="00480145">
          <w:rPr>
            <w:noProof/>
            <w:webHidden/>
          </w:rPr>
          <w:fldChar w:fldCharType="separate"/>
        </w:r>
        <w:r w:rsidR="000F3021">
          <w:rPr>
            <w:noProof/>
            <w:webHidden/>
          </w:rPr>
          <w:t>19</w:t>
        </w:r>
        <w:r w:rsidR="00480145">
          <w:rPr>
            <w:noProof/>
            <w:webHidden/>
          </w:rPr>
          <w:fldChar w:fldCharType="end"/>
        </w:r>
      </w:hyperlink>
    </w:p>
    <w:p w14:paraId="35754DD2" w14:textId="77777777" w:rsidR="00480145" w:rsidRDefault="00A65282">
      <w:pPr>
        <w:pStyle w:val="TOC3"/>
        <w:tabs>
          <w:tab w:val="right" w:leader="dot" w:pos="9038"/>
        </w:tabs>
        <w:rPr>
          <w:i w:val="0"/>
          <w:noProof/>
          <w:color w:val="auto"/>
          <w:sz w:val="22"/>
          <w:szCs w:val="22"/>
        </w:rPr>
      </w:pPr>
      <w:hyperlink w:anchor="_Toc490477157" w:history="1">
        <w:r w:rsidR="00480145" w:rsidRPr="00490E07">
          <w:rPr>
            <w:rStyle w:val="Hyperlink"/>
            <w:noProof/>
            <w:spacing w:val="-2"/>
          </w:rPr>
          <w:t>Provider selection processes</w:t>
        </w:r>
        <w:r w:rsidR="00480145">
          <w:rPr>
            <w:noProof/>
            <w:webHidden/>
          </w:rPr>
          <w:tab/>
        </w:r>
        <w:r w:rsidR="00480145">
          <w:rPr>
            <w:noProof/>
            <w:webHidden/>
          </w:rPr>
          <w:fldChar w:fldCharType="begin"/>
        </w:r>
        <w:r w:rsidR="00480145">
          <w:rPr>
            <w:noProof/>
            <w:webHidden/>
          </w:rPr>
          <w:instrText xml:space="preserve"> PAGEREF _Toc490477157 \h </w:instrText>
        </w:r>
        <w:r w:rsidR="00480145">
          <w:rPr>
            <w:noProof/>
            <w:webHidden/>
          </w:rPr>
        </w:r>
        <w:r w:rsidR="00480145">
          <w:rPr>
            <w:noProof/>
            <w:webHidden/>
          </w:rPr>
          <w:fldChar w:fldCharType="separate"/>
        </w:r>
        <w:r w:rsidR="000F3021">
          <w:rPr>
            <w:noProof/>
            <w:webHidden/>
          </w:rPr>
          <w:t>19</w:t>
        </w:r>
        <w:r w:rsidR="00480145">
          <w:rPr>
            <w:noProof/>
            <w:webHidden/>
          </w:rPr>
          <w:fldChar w:fldCharType="end"/>
        </w:r>
      </w:hyperlink>
    </w:p>
    <w:p w14:paraId="703742F5" w14:textId="77777777" w:rsidR="00480145" w:rsidRDefault="00A65282">
      <w:pPr>
        <w:pStyle w:val="TOC3"/>
        <w:tabs>
          <w:tab w:val="right" w:leader="dot" w:pos="9038"/>
        </w:tabs>
        <w:rPr>
          <w:i w:val="0"/>
          <w:noProof/>
          <w:color w:val="auto"/>
          <w:sz w:val="22"/>
          <w:szCs w:val="22"/>
        </w:rPr>
      </w:pPr>
      <w:hyperlink w:anchor="_Toc490477158" w:history="1">
        <w:r w:rsidR="00480145" w:rsidRPr="00490E07">
          <w:rPr>
            <w:rStyle w:val="Hyperlink"/>
            <w:noProof/>
          </w:rPr>
          <w:t>Commissioning processes</w:t>
        </w:r>
        <w:r w:rsidR="00480145">
          <w:rPr>
            <w:noProof/>
            <w:webHidden/>
          </w:rPr>
          <w:tab/>
        </w:r>
        <w:r w:rsidR="00480145">
          <w:rPr>
            <w:noProof/>
            <w:webHidden/>
          </w:rPr>
          <w:fldChar w:fldCharType="begin"/>
        </w:r>
        <w:r w:rsidR="00480145">
          <w:rPr>
            <w:noProof/>
            <w:webHidden/>
          </w:rPr>
          <w:instrText xml:space="preserve"> PAGEREF _Toc490477158 \h </w:instrText>
        </w:r>
        <w:r w:rsidR="00480145">
          <w:rPr>
            <w:noProof/>
            <w:webHidden/>
          </w:rPr>
        </w:r>
        <w:r w:rsidR="00480145">
          <w:rPr>
            <w:noProof/>
            <w:webHidden/>
          </w:rPr>
          <w:fldChar w:fldCharType="separate"/>
        </w:r>
        <w:r w:rsidR="000F3021">
          <w:rPr>
            <w:noProof/>
            <w:webHidden/>
          </w:rPr>
          <w:t>19</w:t>
        </w:r>
        <w:r w:rsidR="00480145">
          <w:rPr>
            <w:noProof/>
            <w:webHidden/>
          </w:rPr>
          <w:fldChar w:fldCharType="end"/>
        </w:r>
      </w:hyperlink>
    </w:p>
    <w:p w14:paraId="1310B0C2" w14:textId="77777777" w:rsidR="00480145" w:rsidRDefault="00A65282">
      <w:pPr>
        <w:pStyle w:val="TOC3"/>
        <w:tabs>
          <w:tab w:val="right" w:leader="dot" w:pos="9038"/>
        </w:tabs>
        <w:rPr>
          <w:i w:val="0"/>
          <w:noProof/>
          <w:color w:val="auto"/>
          <w:sz w:val="22"/>
          <w:szCs w:val="22"/>
        </w:rPr>
      </w:pPr>
      <w:hyperlink w:anchor="_Toc490477159" w:history="1">
        <w:r w:rsidR="00480145" w:rsidRPr="00490E07">
          <w:rPr>
            <w:rStyle w:val="Hyperlink"/>
            <w:noProof/>
          </w:rPr>
          <w:t>Selecting providers of human services in remote Indigenous communities</w:t>
        </w:r>
        <w:r w:rsidR="00480145">
          <w:rPr>
            <w:noProof/>
            <w:webHidden/>
          </w:rPr>
          <w:tab/>
        </w:r>
        <w:r w:rsidR="00480145">
          <w:rPr>
            <w:noProof/>
            <w:webHidden/>
          </w:rPr>
          <w:fldChar w:fldCharType="begin"/>
        </w:r>
        <w:r w:rsidR="00480145">
          <w:rPr>
            <w:noProof/>
            <w:webHidden/>
          </w:rPr>
          <w:instrText xml:space="preserve"> PAGEREF _Toc490477159 \h </w:instrText>
        </w:r>
        <w:r w:rsidR="00480145">
          <w:rPr>
            <w:noProof/>
            <w:webHidden/>
          </w:rPr>
        </w:r>
        <w:r w:rsidR="00480145">
          <w:rPr>
            <w:noProof/>
            <w:webHidden/>
          </w:rPr>
          <w:fldChar w:fldCharType="separate"/>
        </w:r>
        <w:r w:rsidR="000F3021">
          <w:rPr>
            <w:noProof/>
            <w:webHidden/>
          </w:rPr>
          <w:t>20</w:t>
        </w:r>
        <w:r w:rsidR="00480145">
          <w:rPr>
            <w:noProof/>
            <w:webHidden/>
          </w:rPr>
          <w:fldChar w:fldCharType="end"/>
        </w:r>
      </w:hyperlink>
    </w:p>
    <w:p w14:paraId="0259D0C8" w14:textId="77777777" w:rsidR="00480145" w:rsidRDefault="00A65282">
      <w:pPr>
        <w:pStyle w:val="TOC3"/>
        <w:tabs>
          <w:tab w:val="right" w:leader="dot" w:pos="9038"/>
        </w:tabs>
        <w:rPr>
          <w:i w:val="0"/>
          <w:noProof/>
          <w:color w:val="auto"/>
          <w:sz w:val="22"/>
          <w:szCs w:val="22"/>
        </w:rPr>
      </w:pPr>
      <w:hyperlink w:anchor="_Toc490477160" w:history="1">
        <w:r w:rsidR="00480145" w:rsidRPr="00490E07">
          <w:rPr>
            <w:rStyle w:val="Hyperlink"/>
            <w:noProof/>
            <w:spacing w:val="-2"/>
          </w:rPr>
          <w:t>Better systems for service delivery in remote Indigenous communities</w:t>
        </w:r>
        <w:r w:rsidR="00480145">
          <w:rPr>
            <w:noProof/>
            <w:webHidden/>
          </w:rPr>
          <w:tab/>
        </w:r>
        <w:r w:rsidR="00480145">
          <w:rPr>
            <w:noProof/>
            <w:webHidden/>
          </w:rPr>
          <w:fldChar w:fldCharType="begin"/>
        </w:r>
        <w:r w:rsidR="00480145">
          <w:rPr>
            <w:noProof/>
            <w:webHidden/>
          </w:rPr>
          <w:instrText xml:space="preserve"> PAGEREF _Toc490477160 \h </w:instrText>
        </w:r>
        <w:r w:rsidR="00480145">
          <w:rPr>
            <w:noProof/>
            <w:webHidden/>
          </w:rPr>
        </w:r>
        <w:r w:rsidR="00480145">
          <w:rPr>
            <w:noProof/>
            <w:webHidden/>
          </w:rPr>
          <w:fldChar w:fldCharType="separate"/>
        </w:r>
        <w:r w:rsidR="000F3021">
          <w:rPr>
            <w:noProof/>
            <w:webHidden/>
          </w:rPr>
          <w:t>21</w:t>
        </w:r>
        <w:r w:rsidR="00480145">
          <w:rPr>
            <w:noProof/>
            <w:webHidden/>
          </w:rPr>
          <w:fldChar w:fldCharType="end"/>
        </w:r>
      </w:hyperlink>
    </w:p>
    <w:p w14:paraId="4AAB3503" w14:textId="77777777" w:rsidR="00480145" w:rsidRDefault="00A65282">
      <w:pPr>
        <w:pStyle w:val="TOC2"/>
        <w:tabs>
          <w:tab w:val="right" w:leader="dot" w:pos="9038"/>
        </w:tabs>
        <w:rPr>
          <w:b w:val="0"/>
          <w:noProof/>
          <w:color w:val="auto"/>
          <w:sz w:val="22"/>
          <w:szCs w:val="22"/>
        </w:rPr>
      </w:pPr>
      <w:hyperlink w:anchor="_Toc490477161" w:history="1">
        <w:r w:rsidR="00480145" w:rsidRPr="00490E07">
          <w:rPr>
            <w:rStyle w:val="Hyperlink"/>
            <w:noProof/>
            <w:spacing w:val="-2"/>
          </w:rPr>
          <w:t>Public hospital services</w:t>
        </w:r>
        <w:r w:rsidR="00480145">
          <w:rPr>
            <w:noProof/>
            <w:webHidden/>
          </w:rPr>
          <w:tab/>
        </w:r>
        <w:r w:rsidR="00480145">
          <w:rPr>
            <w:noProof/>
            <w:webHidden/>
          </w:rPr>
          <w:fldChar w:fldCharType="begin"/>
        </w:r>
        <w:r w:rsidR="00480145">
          <w:rPr>
            <w:noProof/>
            <w:webHidden/>
          </w:rPr>
          <w:instrText xml:space="preserve"> PAGEREF _Toc490477161 \h </w:instrText>
        </w:r>
        <w:r w:rsidR="00480145">
          <w:rPr>
            <w:noProof/>
            <w:webHidden/>
          </w:rPr>
        </w:r>
        <w:r w:rsidR="00480145">
          <w:rPr>
            <w:noProof/>
            <w:webHidden/>
          </w:rPr>
          <w:fldChar w:fldCharType="separate"/>
        </w:r>
        <w:r w:rsidR="000F3021">
          <w:rPr>
            <w:noProof/>
            <w:webHidden/>
          </w:rPr>
          <w:t>22</w:t>
        </w:r>
        <w:r w:rsidR="00480145">
          <w:rPr>
            <w:noProof/>
            <w:webHidden/>
          </w:rPr>
          <w:fldChar w:fldCharType="end"/>
        </w:r>
      </w:hyperlink>
    </w:p>
    <w:p w14:paraId="251DA250" w14:textId="77777777" w:rsidR="00480145" w:rsidRDefault="00A65282">
      <w:pPr>
        <w:pStyle w:val="TOC3"/>
        <w:tabs>
          <w:tab w:val="right" w:leader="dot" w:pos="9038"/>
        </w:tabs>
        <w:rPr>
          <w:i w:val="0"/>
          <w:noProof/>
          <w:color w:val="auto"/>
          <w:sz w:val="22"/>
          <w:szCs w:val="22"/>
        </w:rPr>
      </w:pPr>
      <w:hyperlink w:anchor="_Toc490477162" w:history="1">
        <w:r w:rsidR="00480145" w:rsidRPr="00490E07">
          <w:rPr>
            <w:rStyle w:val="Hyperlink"/>
            <w:noProof/>
            <w:spacing w:val="-2"/>
          </w:rPr>
          <w:t>Information to support patient choice and performance improvement in hospitals</w:t>
        </w:r>
        <w:r w:rsidR="00480145">
          <w:rPr>
            <w:noProof/>
            <w:webHidden/>
          </w:rPr>
          <w:tab/>
        </w:r>
        <w:r w:rsidR="00480145">
          <w:rPr>
            <w:noProof/>
            <w:webHidden/>
          </w:rPr>
          <w:fldChar w:fldCharType="begin"/>
        </w:r>
        <w:r w:rsidR="00480145">
          <w:rPr>
            <w:noProof/>
            <w:webHidden/>
          </w:rPr>
          <w:instrText xml:space="preserve"> PAGEREF _Toc490477162 \h </w:instrText>
        </w:r>
        <w:r w:rsidR="00480145">
          <w:rPr>
            <w:noProof/>
            <w:webHidden/>
          </w:rPr>
        </w:r>
        <w:r w:rsidR="00480145">
          <w:rPr>
            <w:noProof/>
            <w:webHidden/>
          </w:rPr>
          <w:fldChar w:fldCharType="separate"/>
        </w:r>
        <w:r w:rsidR="000F3021">
          <w:rPr>
            <w:noProof/>
            <w:webHidden/>
          </w:rPr>
          <w:t>22</w:t>
        </w:r>
        <w:r w:rsidR="00480145">
          <w:rPr>
            <w:noProof/>
            <w:webHidden/>
          </w:rPr>
          <w:fldChar w:fldCharType="end"/>
        </w:r>
      </w:hyperlink>
    </w:p>
    <w:p w14:paraId="7CE8A8F5" w14:textId="77777777" w:rsidR="00480145" w:rsidRDefault="00A65282">
      <w:pPr>
        <w:pStyle w:val="TOC2"/>
        <w:tabs>
          <w:tab w:val="right" w:leader="dot" w:pos="9038"/>
        </w:tabs>
        <w:rPr>
          <w:b w:val="0"/>
          <w:noProof/>
          <w:color w:val="auto"/>
          <w:sz w:val="22"/>
          <w:szCs w:val="22"/>
        </w:rPr>
      </w:pPr>
      <w:hyperlink w:anchor="_Toc490477163" w:history="1">
        <w:r w:rsidR="00480145" w:rsidRPr="00490E07">
          <w:rPr>
            <w:rStyle w:val="Hyperlink"/>
            <w:noProof/>
            <w:spacing w:val="-2"/>
          </w:rPr>
          <w:t>Public dental services</w:t>
        </w:r>
        <w:r w:rsidR="00480145">
          <w:rPr>
            <w:noProof/>
            <w:webHidden/>
          </w:rPr>
          <w:tab/>
        </w:r>
        <w:r w:rsidR="00480145">
          <w:rPr>
            <w:noProof/>
            <w:webHidden/>
          </w:rPr>
          <w:fldChar w:fldCharType="begin"/>
        </w:r>
        <w:r w:rsidR="00480145">
          <w:rPr>
            <w:noProof/>
            <w:webHidden/>
          </w:rPr>
          <w:instrText xml:space="preserve"> PAGEREF _Toc490477163 \h </w:instrText>
        </w:r>
        <w:r w:rsidR="00480145">
          <w:rPr>
            <w:noProof/>
            <w:webHidden/>
          </w:rPr>
        </w:r>
        <w:r w:rsidR="00480145">
          <w:rPr>
            <w:noProof/>
            <w:webHidden/>
          </w:rPr>
          <w:fldChar w:fldCharType="separate"/>
        </w:r>
        <w:r w:rsidR="000F3021">
          <w:rPr>
            <w:noProof/>
            <w:webHidden/>
          </w:rPr>
          <w:t>23</w:t>
        </w:r>
        <w:r w:rsidR="00480145">
          <w:rPr>
            <w:noProof/>
            <w:webHidden/>
          </w:rPr>
          <w:fldChar w:fldCharType="end"/>
        </w:r>
      </w:hyperlink>
    </w:p>
    <w:p w14:paraId="04A6AD4D" w14:textId="77777777" w:rsidR="00480145" w:rsidRDefault="00A65282">
      <w:pPr>
        <w:pStyle w:val="TOC3"/>
        <w:tabs>
          <w:tab w:val="right" w:leader="dot" w:pos="9038"/>
        </w:tabs>
        <w:rPr>
          <w:i w:val="0"/>
          <w:noProof/>
          <w:color w:val="auto"/>
          <w:sz w:val="22"/>
          <w:szCs w:val="22"/>
        </w:rPr>
      </w:pPr>
      <w:hyperlink w:anchor="_Toc490477164" w:history="1">
        <w:r w:rsidR="00480145" w:rsidRPr="00490E07">
          <w:rPr>
            <w:rStyle w:val="Hyperlink"/>
            <w:noProof/>
            <w:spacing w:val="-2"/>
          </w:rPr>
          <w:t>The role of integrated health policy</w:t>
        </w:r>
        <w:r w:rsidR="00480145">
          <w:rPr>
            <w:noProof/>
            <w:webHidden/>
          </w:rPr>
          <w:tab/>
        </w:r>
        <w:r w:rsidR="00480145">
          <w:rPr>
            <w:noProof/>
            <w:webHidden/>
          </w:rPr>
          <w:fldChar w:fldCharType="begin"/>
        </w:r>
        <w:r w:rsidR="00480145">
          <w:rPr>
            <w:noProof/>
            <w:webHidden/>
          </w:rPr>
          <w:instrText xml:space="preserve"> PAGEREF _Toc490477164 \h </w:instrText>
        </w:r>
        <w:r w:rsidR="00480145">
          <w:rPr>
            <w:noProof/>
            <w:webHidden/>
          </w:rPr>
        </w:r>
        <w:r w:rsidR="00480145">
          <w:rPr>
            <w:noProof/>
            <w:webHidden/>
          </w:rPr>
          <w:fldChar w:fldCharType="separate"/>
        </w:r>
        <w:r w:rsidR="000F3021">
          <w:rPr>
            <w:noProof/>
            <w:webHidden/>
          </w:rPr>
          <w:t>23</w:t>
        </w:r>
        <w:r w:rsidR="00480145">
          <w:rPr>
            <w:noProof/>
            <w:webHidden/>
          </w:rPr>
          <w:fldChar w:fldCharType="end"/>
        </w:r>
      </w:hyperlink>
    </w:p>
    <w:p w14:paraId="095324D7" w14:textId="77777777" w:rsidR="00480145" w:rsidRDefault="00A65282">
      <w:pPr>
        <w:pStyle w:val="TOC3"/>
        <w:tabs>
          <w:tab w:val="right" w:leader="dot" w:pos="9038"/>
        </w:tabs>
        <w:rPr>
          <w:i w:val="0"/>
          <w:noProof/>
          <w:color w:val="auto"/>
          <w:sz w:val="22"/>
          <w:szCs w:val="22"/>
        </w:rPr>
      </w:pPr>
      <w:hyperlink w:anchor="_Toc490477165" w:history="1">
        <w:r w:rsidR="00480145" w:rsidRPr="00490E07">
          <w:rPr>
            <w:rStyle w:val="Hyperlink"/>
            <w:noProof/>
            <w:spacing w:val="-2"/>
          </w:rPr>
          <w:t>Eligibility for public dental services</w:t>
        </w:r>
        <w:r w:rsidR="00480145">
          <w:rPr>
            <w:noProof/>
            <w:webHidden/>
          </w:rPr>
          <w:tab/>
        </w:r>
        <w:r w:rsidR="00480145">
          <w:rPr>
            <w:noProof/>
            <w:webHidden/>
          </w:rPr>
          <w:fldChar w:fldCharType="begin"/>
        </w:r>
        <w:r w:rsidR="00480145">
          <w:rPr>
            <w:noProof/>
            <w:webHidden/>
          </w:rPr>
          <w:instrText xml:space="preserve"> PAGEREF _Toc490477165 \h </w:instrText>
        </w:r>
        <w:r w:rsidR="00480145">
          <w:rPr>
            <w:noProof/>
            <w:webHidden/>
          </w:rPr>
        </w:r>
        <w:r w:rsidR="00480145">
          <w:rPr>
            <w:noProof/>
            <w:webHidden/>
          </w:rPr>
          <w:fldChar w:fldCharType="separate"/>
        </w:r>
        <w:r w:rsidR="000F3021">
          <w:rPr>
            <w:noProof/>
            <w:webHidden/>
          </w:rPr>
          <w:t>23</w:t>
        </w:r>
        <w:r w:rsidR="00480145">
          <w:rPr>
            <w:noProof/>
            <w:webHidden/>
          </w:rPr>
          <w:fldChar w:fldCharType="end"/>
        </w:r>
      </w:hyperlink>
    </w:p>
    <w:p w14:paraId="55B8F29E" w14:textId="77777777" w:rsidR="00480145" w:rsidRDefault="00A65282">
      <w:pPr>
        <w:pStyle w:val="TOC3"/>
        <w:tabs>
          <w:tab w:val="right" w:leader="dot" w:pos="9038"/>
        </w:tabs>
        <w:rPr>
          <w:i w:val="0"/>
          <w:noProof/>
          <w:color w:val="auto"/>
          <w:sz w:val="22"/>
          <w:szCs w:val="22"/>
        </w:rPr>
      </w:pPr>
      <w:hyperlink w:anchor="_Toc490477166" w:history="1">
        <w:r w:rsidR="00480145" w:rsidRPr="00490E07">
          <w:rPr>
            <w:rStyle w:val="Hyperlink"/>
            <w:noProof/>
            <w:spacing w:val="-2"/>
          </w:rPr>
          <w:t>Workforce</w:t>
        </w:r>
        <w:r w:rsidR="00480145">
          <w:rPr>
            <w:noProof/>
            <w:webHidden/>
          </w:rPr>
          <w:tab/>
        </w:r>
        <w:r w:rsidR="00480145">
          <w:rPr>
            <w:noProof/>
            <w:webHidden/>
          </w:rPr>
          <w:fldChar w:fldCharType="begin"/>
        </w:r>
        <w:r w:rsidR="00480145">
          <w:rPr>
            <w:noProof/>
            <w:webHidden/>
          </w:rPr>
          <w:instrText xml:space="preserve"> PAGEREF _Toc490477166 \h </w:instrText>
        </w:r>
        <w:r w:rsidR="00480145">
          <w:rPr>
            <w:noProof/>
            <w:webHidden/>
          </w:rPr>
        </w:r>
        <w:r w:rsidR="00480145">
          <w:rPr>
            <w:noProof/>
            <w:webHidden/>
          </w:rPr>
          <w:fldChar w:fldCharType="separate"/>
        </w:r>
        <w:r w:rsidR="000F3021">
          <w:rPr>
            <w:noProof/>
            <w:webHidden/>
          </w:rPr>
          <w:t>23</w:t>
        </w:r>
        <w:r w:rsidR="00480145">
          <w:rPr>
            <w:noProof/>
            <w:webHidden/>
          </w:rPr>
          <w:fldChar w:fldCharType="end"/>
        </w:r>
      </w:hyperlink>
    </w:p>
    <w:p w14:paraId="33407F2D" w14:textId="77777777" w:rsidR="00480145" w:rsidRDefault="00A65282">
      <w:pPr>
        <w:pStyle w:val="TOC3"/>
        <w:tabs>
          <w:tab w:val="right" w:leader="dot" w:pos="9038"/>
        </w:tabs>
        <w:rPr>
          <w:i w:val="0"/>
          <w:noProof/>
          <w:color w:val="auto"/>
          <w:sz w:val="22"/>
          <w:szCs w:val="22"/>
        </w:rPr>
      </w:pPr>
      <w:hyperlink w:anchor="_Toc490477167" w:history="1">
        <w:r w:rsidR="00480145" w:rsidRPr="00490E07">
          <w:rPr>
            <w:rStyle w:val="Hyperlink"/>
            <w:noProof/>
            <w:spacing w:val="-2"/>
          </w:rPr>
          <w:t>Targeted preventative care</w:t>
        </w:r>
        <w:r w:rsidR="00480145">
          <w:rPr>
            <w:noProof/>
            <w:webHidden/>
          </w:rPr>
          <w:tab/>
        </w:r>
        <w:r w:rsidR="00480145">
          <w:rPr>
            <w:noProof/>
            <w:webHidden/>
          </w:rPr>
          <w:fldChar w:fldCharType="begin"/>
        </w:r>
        <w:r w:rsidR="00480145">
          <w:rPr>
            <w:noProof/>
            <w:webHidden/>
          </w:rPr>
          <w:instrText xml:space="preserve"> PAGEREF _Toc490477167 \h </w:instrText>
        </w:r>
        <w:r w:rsidR="00480145">
          <w:rPr>
            <w:noProof/>
            <w:webHidden/>
          </w:rPr>
        </w:r>
        <w:r w:rsidR="00480145">
          <w:rPr>
            <w:noProof/>
            <w:webHidden/>
          </w:rPr>
          <w:fldChar w:fldCharType="separate"/>
        </w:r>
        <w:r w:rsidR="000F3021">
          <w:rPr>
            <w:noProof/>
            <w:webHidden/>
          </w:rPr>
          <w:t>23</w:t>
        </w:r>
        <w:r w:rsidR="00480145">
          <w:rPr>
            <w:noProof/>
            <w:webHidden/>
          </w:rPr>
          <w:fldChar w:fldCharType="end"/>
        </w:r>
      </w:hyperlink>
    </w:p>
    <w:p w14:paraId="4C5BAAC7" w14:textId="77777777" w:rsidR="00480145" w:rsidRDefault="00A65282">
      <w:pPr>
        <w:pStyle w:val="TOC3"/>
        <w:tabs>
          <w:tab w:val="right" w:leader="dot" w:pos="9038"/>
        </w:tabs>
        <w:rPr>
          <w:i w:val="0"/>
          <w:noProof/>
          <w:color w:val="auto"/>
          <w:sz w:val="22"/>
          <w:szCs w:val="22"/>
        </w:rPr>
      </w:pPr>
      <w:hyperlink w:anchor="_Toc490477168" w:history="1">
        <w:r w:rsidR="00480145" w:rsidRPr="00490E07">
          <w:rPr>
            <w:rStyle w:val="Hyperlink"/>
            <w:noProof/>
            <w:spacing w:val="-2"/>
          </w:rPr>
          <w:t>Outcomes frameworks</w:t>
        </w:r>
        <w:r w:rsidR="00480145">
          <w:rPr>
            <w:noProof/>
            <w:webHidden/>
          </w:rPr>
          <w:tab/>
        </w:r>
        <w:r w:rsidR="00480145">
          <w:rPr>
            <w:noProof/>
            <w:webHidden/>
          </w:rPr>
          <w:fldChar w:fldCharType="begin"/>
        </w:r>
        <w:r w:rsidR="00480145">
          <w:rPr>
            <w:noProof/>
            <w:webHidden/>
          </w:rPr>
          <w:instrText xml:space="preserve"> PAGEREF _Toc490477168 \h </w:instrText>
        </w:r>
        <w:r w:rsidR="00480145">
          <w:rPr>
            <w:noProof/>
            <w:webHidden/>
          </w:rPr>
        </w:r>
        <w:r w:rsidR="00480145">
          <w:rPr>
            <w:noProof/>
            <w:webHidden/>
          </w:rPr>
          <w:fldChar w:fldCharType="separate"/>
        </w:r>
        <w:r w:rsidR="000F3021">
          <w:rPr>
            <w:noProof/>
            <w:webHidden/>
          </w:rPr>
          <w:t>24</w:t>
        </w:r>
        <w:r w:rsidR="00480145">
          <w:rPr>
            <w:noProof/>
            <w:webHidden/>
          </w:rPr>
          <w:fldChar w:fldCharType="end"/>
        </w:r>
      </w:hyperlink>
    </w:p>
    <w:p w14:paraId="73B36E6E" w14:textId="77777777" w:rsidR="00480145" w:rsidRDefault="00A65282">
      <w:pPr>
        <w:pStyle w:val="TOC3"/>
        <w:tabs>
          <w:tab w:val="right" w:leader="dot" w:pos="9038"/>
        </w:tabs>
        <w:rPr>
          <w:i w:val="0"/>
          <w:noProof/>
          <w:color w:val="auto"/>
          <w:sz w:val="22"/>
          <w:szCs w:val="22"/>
        </w:rPr>
      </w:pPr>
      <w:hyperlink w:anchor="_Toc490477169" w:history="1">
        <w:r w:rsidR="00480145" w:rsidRPr="00490E07">
          <w:rPr>
            <w:rStyle w:val="Hyperlink"/>
            <w:noProof/>
            <w:spacing w:val="-2"/>
          </w:rPr>
          <w:t>Consumer-directed care</w:t>
        </w:r>
        <w:r w:rsidR="00480145">
          <w:rPr>
            <w:noProof/>
            <w:webHidden/>
          </w:rPr>
          <w:tab/>
        </w:r>
        <w:r w:rsidR="00480145">
          <w:rPr>
            <w:noProof/>
            <w:webHidden/>
          </w:rPr>
          <w:fldChar w:fldCharType="begin"/>
        </w:r>
        <w:r w:rsidR="00480145">
          <w:rPr>
            <w:noProof/>
            <w:webHidden/>
          </w:rPr>
          <w:instrText xml:space="preserve"> PAGEREF _Toc490477169 \h </w:instrText>
        </w:r>
        <w:r w:rsidR="00480145">
          <w:rPr>
            <w:noProof/>
            <w:webHidden/>
          </w:rPr>
        </w:r>
        <w:r w:rsidR="00480145">
          <w:rPr>
            <w:noProof/>
            <w:webHidden/>
          </w:rPr>
          <w:fldChar w:fldCharType="separate"/>
        </w:r>
        <w:r w:rsidR="000F3021">
          <w:rPr>
            <w:noProof/>
            <w:webHidden/>
          </w:rPr>
          <w:t>24</w:t>
        </w:r>
        <w:r w:rsidR="00480145">
          <w:rPr>
            <w:noProof/>
            <w:webHidden/>
          </w:rPr>
          <w:fldChar w:fldCharType="end"/>
        </w:r>
      </w:hyperlink>
    </w:p>
    <w:p w14:paraId="45A05F82" w14:textId="77777777" w:rsidR="00480145" w:rsidRDefault="00A65282">
      <w:pPr>
        <w:pStyle w:val="TOC3"/>
        <w:tabs>
          <w:tab w:val="right" w:leader="dot" w:pos="9038"/>
        </w:tabs>
        <w:rPr>
          <w:i w:val="0"/>
          <w:noProof/>
          <w:color w:val="auto"/>
          <w:sz w:val="22"/>
          <w:szCs w:val="22"/>
        </w:rPr>
      </w:pPr>
      <w:hyperlink w:anchor="_Toc490477170" w:history="1">
        <w:r w:rsidR="00480145" w:rsidRPr="00490E07">
          <w:rPr>
            <w:rStyle w:val="Hyperlink"/>
            <w:noProof/>
            <w:spacing w:val="-2"/>
          </w:rPr>
          <w:t>Feedback on model</w:t>
        </w:r>
        <w:r w:rsidR="00480145">
          <w:rPr>
            <w:noProof/>
            <w:webHidden/>
          </w:rPr>
          <w:tab/>
        </w:r>
        <w:r w:rsidR="00480145">
          <w:rPr>
            <w:noProof/>
            <w:webHidden/>
          </w:rPr>
          <w:fldChar w:fldCharType="begin"/>
        </w:r>
        <w:r w:rsidR="00480145">
          <w:rPr>
            <w:noProof/>
            <w:webHidden/>
          </w:rPr>
          <w:instrText xml:space="preserve"> PAGEREF _Toc490477170 \h </w:instrText>
        </w:r>
        <w:r w:rsidR="00480145">
          <w:rPr>
            <w:noProof/>
            <w:webHidden/>
          </w:rPr>
        </w:r>
        <w:r w:rsidR="00480145">
          <w:rPr>
            <w:noProof/>
            <w:webHidden/>
          </w:rPr>
          <w:fldChar w:fldCharType="separate"/>
        </w:r>
        <w:r w:rsidR="000F3021">
          <w:rPr>
            <w:noProof/>
            <w:webHidden/>
          </w:rPr>
          <w:t>25</w:t>
        </w:r>
        <w:r w:rsidR="00480145">
          <w:rPr>
            <w:noProof/>
            <w:webHidden/>
          </w:rPr>
          <w:fldChar w:fldCharType="end"/>
        </w:r>
      </w:hyperlink>
    </w:p>
    <w:p w14:paraId="347CC748" w14:textId="77777777" w:rsidR="00480145" w:rsidRDefault="00A65282">
      <w:pPr>
        <w:pStyle w:val="TOC3"/>
        <w:tabs>
          <w:tab w:val="right" w:leader="dot" w:pos="9038"/>
        </w:tabs>
        <w:rPr>
          <w:i w:val="0"/>
          <w:noProof/>
          <w:color w:val="auto"/>
          <w:sz w:val="22"/>
          <w:szCs w:val="22"/>
        </w:rPr>
      </w:pPr>
      <w:hyperlink w:anchor="_Toc490477171" w:history="1">
        <w:r w:rsidR="00480145" w:rsidRPr="00490E07">
          <w:rPr>
            <w:rStyle w:val="Hyperlink"/>
            <w:noProof/>
            <w:spacing w:val="-2"/>
          </w:rPr>
          <w:t>Initial screening and assessments</w:t>
        </w:r>
        <w:r w:rsidR="00480145">
          <w:rPr>
            <w:noProof/>
            <w:webHidden/>
          </w:rPr>
          <w:tab/>
        </w:r>
        <w:r w:rsidR="00480145">
          <w:rPr>
            <w:noProof/>
            <w:webHidden/>
          </w:rPr>
          <w:fldChar w:fldCharType="begin"/>
        </w:r>
        <w:r w:rsidR="00480145">
          <w:rPr>
            <w:noProof/>
            <w:webHidden/>
          </w:rPr>
          <w:instrText xml:space="preserve"> PAGEREF _Toc490477171 \h </w:instrText>
        </w:r>
        <w:r w:rsidR="00480145">
          <w:rPr>
            <w:noProof/>
            <w:webHidden/>
          </w:rPr>
        </w:r>
        <w:r w:rsidR="00480145">
          <w:rPr>
            <w:noProof/>
            <w:webHidden/>
          </w:rPr>
          <w:fldChar w:fldCharType="separate"/>
        </w:r>
        <w:r w:rsidR="000F3021">
          <w:rPr>
            <w:noProof/>
            <w:webHidden/>
          </w:rPr>
          <w:t>25</w:t>
        </w:r>
        <w:r w:rsidR="00480145">
          <w:rPr>
            <w:noProof/>
            <w:webHidden/>
          </w:rPr>
          <w:fldChar w:fldCharType="end"/>
        </w:r>
      </w:hyperlink>
    </w:p>
    <w:p w14:paraId="31F5F2D1" w14:textId="77777777" w:rsidR="00480145" w:rsidRDefault="00A65282">
      <w:pPr>
        <w:pStyle w:val="TOC3"/>
        <w:tabs>
          <w:tab w:val="right" w:leader="dot" w:pos="9038"/>
        </w:tabs>
        <w:rPr>
          <w:i w:val="0"/>
          <w:noProof/>
          <w:color w:val="auto"/>
          <w:sz w:val="22"/>
          <w:szCs w:val="22"/>
        </w:rPr>
      </w:pPr>
      <w:hyperlink w:anchor="_Toc490477172" w:history="1">
        <w:r w:rsidR="00480145" w:rsidRPr="00490E07">
          <w:rPr>
            <w:rStyle w:val="Hyperlink"/>
            <w:noProof/>
            <w:spacing w:val="-2"/>
          </w:rPr>
          <w:t>Centrally managed allocation system</w:t>
        </w:r>
        <w:r w:rsidR="00480145">
          <w:rPr>
            <w:noProof/>
            <w:webHidden/>
          </w:rPr>
          <w:tab/>
        </w:r>
        <w:r w:rsidR="00480145">
          <w:rPr>
            <w:noProof/>
            <w:webHidden/>
          </w:rPr>
          <w:fldChar w:fldCharType="begin"/>
        </w:r>
        <w:r w:rsidR="00480145">
          <w:rPr>
            <w:noProof/>
            <w:webHidden/>
          </w:rPr>
          <w:instrText xml:space="preserve"> PAGEREF _Toc490477172 \h </w:instrText>
        </w:r>
        <w:r w:rsidR="00480145">
          <w:rPr>
            <w:noProof/>
            <w:webHidden/>
          </w:rPr>
        </w:r>
        <w:r w:rsidR="00480145">
          <w:rPr>
            <w:noProof/>
            <w:webHidden/>
          </w:rPr>
          <w:fldChar w:fldCharType="separate"/>
        </w:r>
        <w:r w:rsidR="000F3021">
          <w:rPr>
            <w:noProof/>
            <w:webHidden/>
          </w:rPr>
          <w:t>25</w:t>
        </w:r>
        <w:r w:rsidR="00480145">
          <w:rPr>
            <w:noProof/>
            <w:webHidden/>
          </w:rPr>
          <w:fldChar w:fldCharType="end"/>
        </w:r>
      </w:hyperlink>
    </w:p>
    <w:p w14:paraId="437117B7" w14:textId="77777777" w:rsidR="00480145" w:rsidRDefault="00A65282">
      <w:pPr>
        <w:pStyle w:val="TOC3"/>
        <w:tabs>
          <w:tab w:val="right" w:leader="dot" w:pos="9038"/>
        </w:tabs>
        <w:rPr>
          <w:i w:val="0"/>
          <w:noProof/>
          <w:color w:val="auto"/>
          <w:sz w:val="22"/>
          <w:szCs w:val="22"/>
        </w:rPr>
      </w:pPr>
      <w:hyperlink w:anchor="_Toc490477173" w:history="1">
        <w:r w:rsidR="00480145" w:rsidRPr="00490E07">
          <w:rPr>
            <w:rStyle w:val="Hyperlink"/>
            <w:noProof/>
            <w:spacing w:val="-2"/>
          </w:rPr>
          <w:t>Outcomes-based commissioning</w:t>
        </w:r>
        <w:r w:rsidR="00480145">
          <w:rPr>
            <w:noProof/>
            <w:webHidden/>
          </w:rPr>
          <w:tab/>
        </w:r>
        <w:r w:rsidR="00480145">
          <w:rPr>
            <w:noProof/>
            <w:webHidden/>
          </w:rPr>
          <w:fldChar w:fldCharType="begin"/>
        </w:r>
        <w:r w:rsidR="00480145">
          <w:rPr>
            <w:noProof/>
            <w:webHidden/>
          </w:rPr>
          <w:instrText xml:space="preserve"> PAGEREF _Toc490477173 \h </w:instrText>
        </w:r>
        <w:r w:rsidR="00480145">
          <w:rPr>
            <w:noProof/>
            <w:webHidden/>
          </w:rPr>
        </w:r>
        <w:r w:rsidR="00480145">
          <w:rPr>
            <w:noProof/>
            <w:webHidden/>
          </w:rPr>
          <w:fldChar w:fldCharType="separate"/>
        </w:r>
        <w:r w:rsidR="000F3021">
          <w:rPr>
            <w:noProof/>
            <w:webHidden/>
          </w:rPr>
          <w:t>26</w:t>
        </w:r>
        <w:r w:rsidR="00480145">
          <w:rPr>
            <w:noProof/>
            <w:webHidden/>
          </w:rPr>
          <w:fldChar w:fldCharType="end"/>
        </w:r>
      </w:hyperlink>
    </w:p>
    <w:p w14:paraId="6941AA15" w14:textId="77777777" w:rsidR="00CA43F0" w:rsidRPr="00B37F96" w:rsidRDefault="007D1CC2" w:rsidP="00051841">
      <w:pPr>
        <w:rPr>
          <w:spacing w:val="-2"/>
        </w:rPr>
      </w:pPr>
      <w:r w:rsidRPr="00B37F96">
        <w:rPr>
          <w:color w:val="E36C0A"/>
          <w:spacing w:val="-2"/>
          <w:sz w:val="26"/>
          <w:szCs w:val="26"/>
        </w:rPr>
        <w:fldChar w:fldCharType="end"/>
      </w:r>
    </w:p>
    <w:p w14:paraId="1726CB36" w14:textId="77777777" w:rsidR="00143DDF" w:rsidRPr="00B37F96" w:rsidRDefault="00143DDF" w:rsidP="00051841">
      <w:pPr>
        <w:rPr>
          <w:color w:val="E36C0A"/>
          <w:spacing w:val="-2"/>
          <w:sz w:val="26"/>
          <w:szCs w:val="26"/>
        </w:rPr>
      </w:pPr>
      <w:r w:rsidRPr="00B37F96">
        <w:rPr>
          <w:spacing w:val="-2"/>
        </w:rPr>
        <w:br w:type="page"/>
      </w:r>
    </w:p>
    <w:p w14:paraId="464E9974" w14:textId="4BD46F7D" w:rsidR="005F0A52" w:rsidRPr="00B37F96" w:rsidRDefault="005F0A52" w:rsidP="00051841">
      <w:pPr>
        <w:pStyle w:val="Heading2"/>
        <w:rPr>
          <w:spacing w:val="-2"/>
        </w:rPr>
      </w:pPr>
      <w:bookmarkStart w:id="1" w:name="_Toc490477134"/>
      <w:r w:rsidRPr="00B37F96">
        <w:rPr>
          <w:spacing w:val="-2"/>
        </w:rPr>
        <w:lastRenderedPageBreak/>
        <w:t xml:space="preserve">Executive </w:t>
      </w:r>
      <w:r w:rsidR="0090427A">
        <w:rPr>
          <w:spacing w:val="-2"/>
        </w:rPr>
        <w:t>s</w:t>
      </w:r>
      <w:r w:rsidRPr="00B37F96">
        <w:rPr>
          <w:spacing w:val="-2"/>
        </w:rPr>
        <w:t>ummary</w:t>
      </w:r>
      <w:bookmarkEnd w:id="1"/>
    </w:p>
    <w:p w14:paraId="5061D1E1" w14:textId="43DB0E60" w:rsidR="00155A31" w:rsidRPr="00B37F96" w:rsidRDefault="00143DDF" w:rsidP="00051841">
      <w:pPr>
        <w:pStyle w:val="CGCBulletlist"/>
        <w:rPr>
          <w:spacing w:val="-2"/>
        </w:rPr>
      </w:pPr>
      <w:r w:rsidRPr="00B37F96">
        <w:rPr>
          <w:spacing w:val="-2"/>
        </w:rPr>
        <w:t xml:space="preserve">The Northern Territory Government (NTG) welcomes the Productivity Commission’s </w:t>
      </w:r>
      <w:r w:rsidRPr="00B37F96">
        <w:rPr>
          <w:i/>
          <w:spacing w:val="-2"/>
        </w:rPr>
        <w:t>Draft Report into Reforms to Human Services</w:t>
      </w:r>
      <w:r w:rsidRPr="00B37F96">
        <w:rPr>
          <w:spacing w:val="-2"/>
        </w:rPr>
        <w:t xml:space="preserve"> and notes the breadth and compl</w:t>
      </w:r>
      <w:r w:rsidR="00B37F96" w:rsidRPr="00B37F96">
        <w:rPr>
          <w:spacing w:val="-2"/>
        </w:rPr>
        <w:t>exity of the issues considered.</w:t>
      </w:r>
    </w:p>
    <w:p w14:paraId="064C9ACB" w14:textId="77777777" w:rsidR="00B37F96" w:rsidRPr="00B37F96" w:rsidRDefault="00B37F96" w:rsidP="00051841">
      <w:pPr>
        <w:pStyle w:val="CGCBulletlist"/>
        <w:rPr>
          <w:spacing w:val="-2"/>
        </w:rPr>
      </w:pPr>
    </w:p>
    <w:p w14:paraId="6421BD8E" w14:textId="62B69982" w:rsidR="00304F73" w:rsidRPr="00B37F96" w:rsidRDefault="00E74412" w:rsidP="00304F73">
      <w:pPr>
        <w:pStyle w:val="CGCBulletlist"/>
        <w:rPr>
          <w:spacing w:val="-2"/>
        </w:rPr>
      </w:pPr>
      <w:r>
        <w:rPr>
          <w:spacing w:val="-2"/>
        </w:rPr>
        <w:t>T</w:t>
      </w:r>
      <w:r w:rsidR="00304F73" w:rsidRPr="00B37F96">
        <w:rPr>
          <w:spacing w:val="-2"/>
        </w:rPr>
        <w:t xml:space="preserve">he NTG is </w:t>
      </w:r>
      <w:r>
        <w:rPr>
          <w:spacing w:val="-2"/>
        </w:rPr>
        <w:t xml:space="preserve">generally </w:t>
      </w:r>
      <w:r w:rsidR="00304F73" w:rsidRPr="00B37F96">
        <w:rPr>
          <w:spacing w:val="-2"/>
        </w:rPr>
        <w:t>supportive of the direction of the proposed reforms, subject to considerations of cost</w:t>
      </w:r>
      <w:r w:rsidR="00432966">
        <w:rPr>
          <w:spacing w:val="-2"/>
        </w:rPr>
        <w:t>s and benefits</w:t>
      </w:r>
      <w:r w:rsidR="00304F73" w:rsidRPr="00B37F96">
        <w:rPr>
          <w:spacing w:val="-2"/>
        </w:rPr>
        <w:t>, the appropriateness to different contexts and the maintenance of quality services. Effective delivery of human services contributes to the welfare of the entire community, and many of the Productivity Commission’s recommendations</w:t>
      </w:r>
      <w:r w:rsidR="00F500FD">
        <w:rPr>
          <w:spacing w:val="-2"/>
        </w:rPr>
        <w:t>,</w:t>
      </w:r>
      <w:r w:rsidR="00304F73" w:rsidRPr="00B37F96">
        <w:rPr>
          <w:spacing w:val="-2"/>
        </w:rPr>
        <w:t xml:space="preserve"> particularly thos</w:t>
      </w:r>
      <w:r w:rsidR="00BB311A">
        <w:rPr>
          <w:spacing w:val="-2"/>
        </w:rPr>
        <w:t>e that focus on outcomes and co</w:t>
      </w:r>
      <w:r w:rsidR="00BB311A">
        <w:rPr>
          <w:spacing w:val="-2"/>
        </w:rPr>
        <w:noBreakHyphen/>
      </w:r>
      <w:r w:rsidR="00304F73" w:rsidRPr="00B37F96">
        <w:rPr>
          <w:spacing w:val="-2"/>
        </w:rPr>
        <w:t>design</w:t>
      </w:r>
      <w:r w:rsidR="00F500FD">
        <w:rPr>
          <w:spacing w:val="-2"/>
        </w:rPr>
        <w:t xml:space="preserve">, </w:t>
      </w:r>
      <w:r w:rsidR="00304F73" w:rsidRPr="00B37F96">
        <w:rPr>
          <w:spacing w:val="-2"/>
        </w:rPr>
        <w:t>are consistent with reforms being implemented by the NTG.  The underpinning principle for reform should be to establish an environment where services are delivered effectively and efficiently with a guaranteed level of serv</w:t>
      </w:r>
      <w:r w:rsidR="00D815FC">
        <w:rPr>
          <w:spacing w:val="-2"/>
        </w:rPr>
        <w:t>ice delivery tailored to need.</w:t>
      </w:r>
    </w:p>
    <w:p w14:paraId="7DCF2AEF" w14:textId="77777777" w:rsidR="00811FDB" w:rsidRPr="00B37F96" w:rsidRDefault="00811FDB" w:rsidP="00051841">
      <w:pPr>
        <w:pStyle w:val="CGCBulletlist"/>
        <w:rPr>
          <w:spacing w:val="-2"/>
        </w:rPr>
      </w:pPr>
    </w:p>
    <w:p w14:paraId="43D24D19" w14:textId="58D61E29" w:rsidR="006D4EDB" w:rsidRPr="00B37F96" w:rsidRDefault="00811FDB" w:rsidP="006D4EDB">
      <w:pPr>
        <w:pStyle w:val="CGCBulletlist"/>
        <w:rPr>
          <w:spacing w:val="-2"/>
        </w:rPr>
      </w:pPr>
      <w:r w:rsidRPr="00B37F96">
        <w:rPr>
          <w:spacing w:val="-2"/>
        </w:rPr>
        <w:t xml:space="preserve">The NTG’s response to the Draft Report’s recommendations reflects the </w:t>
      </w:r>
      <w:r w:rsidR="00F500FD">
        <w:rPr>
          <w:spacing w:val="-2"/>
        </w:rPr>
        <w:t>Northern Territory</w:t>
      </w:r>
      <w:r w:rsidRPr="00B37F96">
        <w:rPr>
          <w:spacing w:val="-2"/>
        </w:rPr>
        <w:t xml:space="preserve">’s </w:t>
      </w:r>
      <w:r w:rsidR="00D815FC">
        <w:rPr>
          <w:spacing w:val="-2"/>
        </w:rPr>
        <w:t>operating</w:t>
      </w:r>
      <w:r w:rsidRPr="00B37F96">
        <w:rPr>
          <w:spacing w:val="-2"/>
        </w:rPr>
        <w:t xml:space="preserve"> environment. The Draft Report recognises the challenges of human services delivery in remote areas with th</w:t>
      </w:r>
      <w:r w:rsidR="00B37F96" w:rsidRPr="00B37F96">
        <w:rPr>
          <w:spacing w:val="-2"/>
        </w:rPr>
        <w:t xml:space="preserve">in markets. </w:t>
      </w:r>
      <w:r w:rsidR="00D815FC">
        <w:rPr>
          <w:spacing w:val="-2"/>
        </w:rPr>
        <w:t>T</w:t>
      </w:r>
      <w:r w:rsidRPr="00B37F96">
        <w:rPr>
          <w:spacing w:val="-2"/>
        </w:rPr>
        <w:t xml:space="preserve">he Northern Territory faces particular challenges in human service delivery. </w:t>
      </w:r>
      <w:r w:rsidR="006D4EDB" w:rsidRPr="00B37F96">
        <w:rPr>
          <w:spacing w:val="-2"/>
        </w:rPr>
        <w:t xml:space="preserve">The </w:t>
      </w:r>
      <w:r w:rsidRPr="00B37F96">
        <w:rPr>
          <w:spacing w:val="-2"/>
        </w:rPr>
        <w:t>vast distances and small population mean it is more difficult to achieve economies of scale and contestability in delive</w:t>
      </w:r>
      <w:r w:rsidR="006D4EDB" w:rsidRPr="00B37F96">
        <w:rPr>
          <w:spacing w:val="-2"/>
        </w:rPr>
        <w:t xml:space="preserve">ring services in the Territory. </w:t>
      </w:r>
      <w:r w:rsidR="00B37F96" w:rsidRPr="00B37F96">
        <w:rPr>
          <w:spacing w:val="-2"/>
        </w:rPr>
        <w:t>Also, a l</w:t>
      </w:r>
      <w:r w:rsidR="006D4EDB" w:rsidRPr="00B37F96">
        <w:rPr>
          <w:spacing w:val="-2"/>
        </w:rPr>
        <w:t xml:space="preserve">ack of infrastructure and extreme climatic conditions </w:t>
      </w:r>
      <w:r w:rsidR="00B37F96" w:rsidRPr="00B37F96">
        <w:rPr>
          <w:spacing w:val="-2"/>
        </w:rPr>
        <w:t xml:space="preserve">can </w:t>
      </w:r>
      <w:r w:rsidR="006D4EDB" w:rsidRPr="00B37F96">
        <w:rPr>
          <w:spacing w:val="-2"/>
        </w:rPr>
        <w:t xml:space="preserve">restrict access to some remote areas for parts of the year. </w:t>
      </w:r>
      <w:r w:rsidR="00B37F96" w:rsidRPr="00B37F96">
        <w:rPr>
          <w:spacing w:val="-2"/>
        </w:rPr>
        <w:t>For example, a</w:t>
      </w:r>
      <w:r w:rsidR="006D4EDB" w:rsidRPr="00B37F96">
        <w:rPr>
          <w:spacing w:val="-2"/>
        </w:rPr>
        <w:t xml:space="preserve"> lack of internet access in remote areas</w:t>
      </w:r>
      <w:r w:rsidR="00B37F96" w:rsidRPr="00B37F96">
        <w:rPr>
          <w:spacing w:val="-2"/>
        </w:rPr>
        <w:t xml:space="preserve"> can inhibit</w:t>
      </w:r>
      <w:r w:rsidR="006D4EDB" w:rsidRPr="00B37F96">
        <w:rPr>
          <w:spacing w:val="-2"/>
        </w:rPr>
        <w:t xml:space="preserve"> consumer information, choice, innovation and efficiency in service delivery.</w:t>
      </w:r>
    </w:p>
    <w:p w14:paraId="7C4CB330" w14:textId="69EE0513" w:rsidR="006D4EDB" w:rsidRPr="00B37F96" w:rsidRDefault="006D4EDB" w:rsidP="00051841">
      <w:pPr>
        <w:pStyle w:val="CGCBulletlist"/>
        <w:rPr>
          <w:spacing w:val="-2"/>
        </w:rPr>
      </w:pPr>
    </w:p>
    <w:p w14:paraId="2DFAAA5F" w14:textId="2204F645" w:rsidR="006D4EDB" w:rsidRPr="00B37F96" w:rsidRDefault="006D4EDB" w:rsidP="006D4EDB">
      <w:pPr>
        <w:pStyle w:val="CGCBulletlist"/>
        <w:rPr>
          <w:spacing w:val="-2"/>
        </w:rPr>
      </w:pPr>
      <w:r w:rsidRPr="00B37F96">
        <w:rPr>
          <w:spacing w:val="-2"/>
        </w:rPr>
        <w:t>Almost 30</w:t>
      </w:r>
      <w:r w:rsidR="00B37F96" w:rsidRPr="00B37F96">
        <w:rPr>
          <w:spacing w:val="-2"/>
        </w:rPr>
        <w:t> </w:t>
      </w:r>
      <w:r w:rsidRPr="00B37F96">
        <w:rPr>
          <w:spacing w:val="-2"/>
        </w:rPr>
        <w:t>per cent of the</w:t>
      </w:r>
      <w:r w:rsidR="00B37F96" w:rsidRPr="00B37F96">
        <w:rPr>
          <w:spacing w:val="-2"/>
        </w:rPr>
        <w:t xml:space="preserve"> Territory’s</w:t>
      </w:r>
      <w:r w:rsidRPr="00B37F96">
        <w:rPr>
          <w:spacing w:val="-2"/>
        </w:rPr>
        <w:t xml:space="preserve"> population is </w:t>
      </w:r>
      <w:r w:rsidR="00B37F96" w:rsidRPr="00B37F96">
        <w:rPr>
          <w:spacing w:val="-2"/>
        </w:rPr>
        <w:t>Aboriginal</w:t>
      </w:r>
      <w:r w:rsidR="008D4729">
        <w:rPr>
          <w:rStyle w:val="FootnoteReference"/>
          <w:spacing w:val="-2"/>
        </w:rPr>
        <w:footnoteReference w:id="2"/>
      </w:r>
      <w:r w:rsidR="008D4729">
        <w:rPr>
          <w:spacing w:val="-2"/>
        </w:rPr>
        <w:t>. In the Territory</w:t>
      </w:r>
      <w:r w:rsidR="00F500FD">
        <w:rPr>
          <w:spacing w:val="-2"/>
        </w:rPr>
        <w:t>,</w:t>
      </w:r>
      <w:r w:rsidR="00B37F96" w:rsidRPr="00B37F96">
        <w:rPr>
          <w:spacing w:val="-2"/>
        </w:rPr>
        <w:t xml:space="preserve"> 79 per </w:t>
      </w:r>
      <w:r w:rsidRPr="00B37F96">
        <w:rPr>
          <w:spacing w:val="-2"/>
        </w:rPr>
        <w:t>cent</w:t>
      </w:r>
      <w:r w:rsidR="008D4729">
        <w:rPr>
          <w:spacing w:val="-2"/>
        </w:rPr>
        <w:t xml:space="preserve"> of Aboriginal people</w:t>
      </w:r>
      <w:r w:rsidRPr="00B37F96">
        <w:rPr>
          <w:spacing w:val="-2"/>
        </w:rPr>
        <w:t xml:space="preserve"> live in remote areas and</w:t>
      </w:r>
      <w:r w:rsidR="008D4729">
        <w:rPr>
          <w:spacing w:val="-2"/>
        </w:rPr>
        <w:t>, of these,</w:t>
      </w:r>
      <w:r w:rsidRPr="00B37F96">
        <w:rPr>
          <w:spacing w:val="-2"/>
        </w:rPr>
        <w:t xml:space="preserve"> 70 per cent </w:t>
      </w:r>
      <w:r w:rsidR="008D4729">
        <w:rPr>
          <w:spacing w:val="-2"/>
        </w:rPr>
        <w:t>speak a language other than</w:t>
      </w:r>
      <w:r w:rsidRPr="00B37F96">
        <w:rPr>
          <w:spacing w:val="-2"/>
        </w:rPr>
        <w:t xml:space="preserve"> English </w:t>
      </w:r>
      <w:r w:rsidR="008D4729">
        <w:rPr>
          <w:spacing w:val="-2"/>
        </w:rPr>
        <w:t xml:space="preserve">at </w:t>
      </w:r>
      <w:r w:rsidR="008D4729" w:rsidRPr="00040E3E">
        <w:rPr>
          <w:spacing w:val="-2"/>
        </w:rPr>
        <w:t>home</w:t>
      </w:r>
      <w:r w:rsidR="0040421F" w:rsidRPr="00040E3E">
        <w:rPr>
          <w:rStyle w:val="FootnoteReference"/>
          <w:spacing w:val="-2"/>
        </w:rPr>
        <w:footnoteReference w:id="3"/>
      </w:r>
      <w:r w:rsidRPr="00040E3E">
        <w:rPr>
          <w:spacing w:val="-2"/>
        </w:rPr>
        <w:t xml:space="preserve">. The </w:t>
      </w:r>
      <w:r w:rsidR="00F500FD">
        <w:rPr>
          <w:spacing w:val="-2"/>
        </w:rPr>
        <w:t>Territory</w:t>
      </w:r>
      <w:r w:rsidRPr="00040E3E">
        <w:rPr>
          <w:spacing w:val="-2"/>
        </w:rPr>
        <w:t>’s</w:t>
      </w:r>
      <w:r w:rsidRPr="00B37F96">
        <w:rPr>
          <w:spacing w:val="-2"/>
        </w:rPr>
        <w:t xml:space="preserve"> demographics, remoteness and limited choice of service providers</w:t>
      </w:r>
      <w:r w:rsidR="00F500FD">
        <w:rPr>
          <w:spacing w:val="-2"/>
        </w:rPr>
        <w:t>,</w:t>
      </w:r>
      <w:r w:rsidRPr="00B37F96">
        <w:rPr>
          <w:spacing w:val="-2"/>
        </w:rPr>
        <w:t xml:space="preserve"> all impact on service delivery.</w:t>
      </w:r>
    </w:p>
    <w:p w14:paraId="62806104" w14:textId="77777777" w:rsidR="00BA4975" w:rsidRPr="00B37F96" w:rsidRDefault="00BA4975" w:rsidP="006D4EDB">
      <w:pPr>
        <w:pStyle w:val="CGCBulletlist"/>
        <w:rPr>
          <w:spacing w:val="-2"/>
        </w:rPr>
      </w:pPr>
    </w:p>
    <w:p w14:paraId="0466BB95" w14:textId="26380B87" w:rsidR="006D4EDB" w:rsidRPr="00B37F96" w:rsidRDefault="00BA4975" w:rsidP="006D4EDB">
      <w:pPr>
        <w:tabs>
          <w:tab w:val="clear" w:pos="1134"/>
        </w:tabs>
        <w:spacing w:before="0" w:after="0" w:line="240" w:lineRule="auto"/>
        <w:rPr>
          <w:spacing w:val="-2"/>
        </w:rPr>
      </w:pPr>
      <w:r w:rsidRPr="00B37F96">
        <w:rPr>
          <w:spacing w:val="-2"/>
        </w:rPr>
        <w:t>Th</w:t>
      </w:r>
      <w:r w:rsidR="00866A5A">
        <w:rPr>
          <w:spacing w:val="-2"/>
        </w:rPr>
        <w:t>e Draft Report acknowledges</w:t>
      </w:r>
      <w:r w:rsidR="006D4EDB" w:rsidRPr="00B37F96">
        <w:rPr>
          <w:spacing w:val="-2"/>
        </w:rPr>
        <w:t xml:space="preserve"> different implementation pathways for competition reform may be needed in re</w:t>
      </w:r>
      <w:r w:rsidR="00866A5A">
        <w:rPr>
          <w:spacing w:val="-2"/>
        </w:rPr>
        <w:t>gional and remote areas</w:t>
      </w:r>
      <w:r w:rsidR="006D4EDB" w:rsidRPr="00B37F96">
        <w:rPr>
          <w:spacing w:val="-2"/>
        </w:rPr>
        <w:t xml:space="preserve"> to ensure the best consumer outcomes. To support implementation </w:t>
      </w:r>
      <w:r w:rsidR="00866A5A">
        <w:rPr>
          <w:spacing w:val="-2"/>
        </w:rPr>
        <w:t xml:space="preserve">it is suggested </w:t>
      </w:r>
      <w:r w:rsidR="006D4EDB" w:rsidRPr="00B37F96">
        <w:rPr>
          <w:spacing w:val="-2"/>
        </w:rPr>
        <w:t xml:space="preserve">the following </w:t>
      </w:r>
      <w:r w:rsidR="00866A5A">
        <w:rPr>
          <w:spacing w:val="-2"/>
        </w:rPr>
        <w:t xml:space="preserve">issues </w:t>
      </w:r>
      <w:r w:rsidR="006D4EDB" w:rsidRPr="00B37F96">
        <w:rPr>
          <w:spacing w:val="-2"/>
        </w:rPr>
        <w:t>should be addressed:</w:t>
      </w:r>
    </w:p>
    <w:p w14:paraId="7436F807" w14:textId="22156AD7" w:rsidR="00040E3E" w:rsidRDefault="006D4EDB"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 xml:space="preserve">regular reporting </w:t>
      </w:r>
      <w:r w:rsidR="00866A5A">
        <w:rPr>
          <w:spacing w:val="-2"/>
        </w:rPr>
        <w:t>on implementation of competition and choice</w:t>
      </w:r>
      <w:r w:rsidRPr="00B37F96">
        <w:rPr>
          <w:spacing w:val="-2"/>
        </w:rPr>
        <w:t xml:space="preserve"> reforms </w:t>
      </w:r>
      <w:r w:rsidR="00866A5A">
        <w:rPr>
          <w:spacing w:val="-2"/>
        </w:rPr>
        <w:t>is included in</w:t>
      </w:r>
      <w:r w:rsidRPr="00B37F96">
        <w:rPr>
          <w:spacing w:val="-2"/>
        </w:rPr>
        <w:t xml:space="preserve"> ongoing evaluation</w:t>
      </w:r>
      <w:r w:rsidR="00866A5A">
        <w:rPr>
          <w:spacing w:val="-2"/>
        </w:rPr>
        <w:t>, including the</w:t>
      </w:r>
      <w:r w:rsidRPr="00B37F96">
        <w:rPr>
          <w:spacing w:val="-2"/>
        </w:rPr>
        <w:t xml:space="preserve"> sharing o</w:t>
      </w:r>
      <w:r w:rsidR="00866A5A">
        <w:rPr>
          <w:spacing w:val="-2"/>
        </w:rPr>
        <w:t xml:space="preserve">f implementation experiences, </w:t>
      </w:r>
      <w:r w:rsidRPr="00B37F96">
        <w:rPr>
          <w:spacing w:val="-2"/>
        </w:rPr>
        <w:t>reform outcomes</w:t>
      </w:r>
      <w:r w:rsidR="00866A5A">
        <w:rPr>
          <w:spacing w:val="-2"/>
        </w:rPr>
        <w:t xml:space="preserve"> and</w:t>
      </w:r>
      <w:r w:rsidRPr="00B37F96">
        <w:rPr>
          <w:spacing w:val="-2"/>
        </w:rPr>
        <w:t xml:space="preserve"> best practice reform activi</w:t>
      </w:r>
      <w:r w:rsidR="00866A5A">
        <w:rPr>
          <w:spacing w:val="-2"/>
        </w:rPr>
        <w:t>ty in regional and remote areas;</w:t>
      </w:r>
    </w:p>
    <w:p w14:paraId="2AB09080" w14:textId="77777777" w:rsidR="00040E3E" w:rsidRDefault="00040E3E">
      <w:pPr>
        <w:tabs>
          <w:tab w:val="clear" w:pos="1134"/>
        </w:tabs>
        <w:spacing w:before="0" w:after="200" w:line="276" w:lineRule="auto"/>
        <w:rPr>
          <w:spacing w:val="-2"/>
        </w:rPr>
      </w:pPr>
      <w:r>
        <w:rPr>
          <w:spacing w:val="-2"/>
        </w:rPr>
        <w:br w:type="page"/>
      </w:r>
    </w:p>
    <w:p w14:paraId="38B20FD0" w14:textId="77777777" w:rsidR="006D4EDB" w:rsidRPr="00040E3E" w:rsidRDefault="006D4EDB" w:rsidP="00040E3E">
      <w:pPr>
        <w:tabs>
          <w:tab w:val="clear" w:pos="1134"/>
        </w:tabs>
        <w:spacing w:after="0" w:line="240" w:lineRule="auto"/>
        <w:rPr>
          <w:spacing w:val="-2"/>
        </w:rPr>
      </w:pPr>
    </w:p>
    <w:p w14:paraId="7BD60785" w14:textId="5A1460B7" w:rsidR="006D4EDB" w:rsidRPr="00B37F96" w:rsidRDefault="006D4EDB"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implementation principles should be developed to guide policy makers in the design and implementation of competition reforms, including:</w:t>
      </w:r>
    </w:p>
    <w:p w14:paraId="3E56F57F" w14:textId="77777777" w:rsidR="00F500FD" w:rsidRDefault="00866A5A" w:rsidP="00F500FD">
      <w:pPr>
        <w:pStyle w:val="ListParagraph"/>
        <w:numPr>
          <w:ilvl w:val="1"/>
          <w:numId w:val="2"/>
        </w:numPr>
        <w:tabs>
          <w:tab w:val="clear" w:pos="1134"/>
        </w:tabs>
        <w:spacing w:after="0" w:line="240" w:lineRule="auto"/>
        <w:ind w:left="782" w:hanging="357"/>
        <w:contextualSpacing w:val="0"/>
        <w:rPr>
          <w:spacing w:val="-2"/>
        </w:rPr>
      </w:pPr>
      <w:r>
        <w:rPr>
          <w:spacing w:val="-2"/>
        </w:rPr>
        <w:t>i</w:t>
      </w:r>
      <w:r w:rsidR="006D4EDB" w:rsidRPr="00B37F96">
        <w:rPr>
          <w:spacing w:val="-2"/>
        </w:rPr>
        <w:t xml:space="preserve">nvesting to understand the markets which competition </w:t>
      </w:r>
      <w:r>
        <w:rPr>
          <w:spacing w:val="-2"/>
        </w:rPr>
        <w:t xml:space="preserve">and choice </w:t>
      </w:r>
      <w:r w:rsidR="006D4EDB" w:rsidRPr="00B37F96">
        <w:rPr>
          <w:spacing w:val="-2"/>
        </w:rPr>
        <w:t>reform is going to affect, including</w:t>
      </w:r>
      <w:r>
        <w:rPr>
          <w:spacing w:val="-2"/>
        </w:rPr>
        <w:t xml:space="preserve"> market settings,</w:t>
      </w:r>
      <w:r w:rsidR="006D4EDB" w:rsidRPr="00B37F96">
        <w:rPr>
          <w:spacing w:val="-2"/>
        </w:rPr>
        <w:t xml:space="preserve"> regulatory frameworks, cost and pricing structures, barriers to entry and exit, current and expected future </w:t>
      </w:r>
      <w:r w:rsidR="00BA4975" w:rsidRPr="00B37F96">
        <w:rPr>
          <w:spacing w:val="-2"/>
        </w:rPr>
        <w:t>demand and</w:t>
      </w:r>
      <w:r w:rsidR="006D4EDB" w:rsidRPr="00B37F96">
        <w:rPr>
          <w:spacing w:val="-2"/>
        </w:rPr>
        <w:t xml:space="preserve"> supply profiles, and workforce implications</w:t>
      </w:r>
      <w:r>
        <w:rPr>
          <w:spacing w:val="-2"/>
        </w:rPr>
        <w:t>;</w:t>
      </w:r>
    </w:p>
    <w:p w14:paraId="0A96406D" w14:textId="5541A421" w:rsidR="00F500FD" w:rsidRDefault="00866A5A" w:rsidP="00F500FD">
      <w:pPr>
        <w:pStyle w:val="ListParagraph"/>
        <w:numPr>
          <w:ilvl w:val="1"/>
          <w:numId w:val="2"/>
        </w:numPr>
        <w:tabs>
          <w:tab w:val="clear" w:pos="1134"/>
        </w:tabs>
        <w:spacing w:after="0" w:line="240" w:lineRule="auto"/>
        <w:ind w:left="782" w:hanging="357"/>
        <w:contextualSpacing w:val="0"/>
        <w:rPr>
          <w:spacing w:val="-2"/>
        </w:rPr>
      </w:pPr>
      <w:r w:rsidRPr="00F500FD">
        <w:rPr>
          <w:spacing w:val="-2"/>
        </w:rPr>
        <w:t>be</w:t>
      </w:r>
      <w:r w:rsidR="00BA4975" w:rsidRPr="00F500FD">
        <w:rPr>
          <w:spacing w:val="-2"/>
        </w:rPr>
        <w:t>ing</w:t>
      </w:r>
      <w:r w:rsidR="006D4EDB" w:rsidRPr="00F500FD">
        <w:rPr>
          <w:spacing w:val="-2"/>
        </w:rPr>
        <w:t xml:space="preserve"> open to different implementation pathways</w:t>
      </w:r>
      <w:r w:rsidR="00F500FD">
        <w:rPr>
          <w:spacing w:val="-2"/>
        </w:rPr>
        <w:t>,</w:t>
      </w:r>
      <w:r w:rsidR="006D4EDB" w:rsidRPr="00F500FD">
        <w:rPr>
          <w:spacing w:val="-2"/>
        </w:rPr>
        <w:t xml:space="preserve"> based on specific market characteristics, to mitigate the risk to consumers of provider failure, inequitable outcomes for</w:t>
      </w:r>
      <w:r w:rsidRPr="00F500FD">
        <w:rPr>
          <w:spacing w:val="-2"/>
        </w:rPr>
        <w:t xml:space="preserve"> consumers and unforeseen costs;</w:t>
      </w:r>
    </w:p>
    <w:p w14:paraId="6065207B" w14:textId="77777777" w:rsidR="00F500FD" w:rsidRDefault="00866A5A" w:rsidP="00F500FD">
      <w:pPr>
        <w:pStyle w:val="ListParagraph"/>
        <w:numPr>
          <w:ilvl w:val="1"/>
          <w:numId w:val="2"/>
        </w:numPr>
        <w:tabs>
          <w:tab w:val="clear" w:pos="1134"/>
        </w:tabs>
        <w:spacing w:after="0" w:line="240" w:lineRule="auto"/>
        <w:ind w:left="782" w:hanging="357"/>
        <w:contextualSpacing w:val="0"/>
        <w:rPr>
          <w:spacing w:val="-2"/>
        </w:rPr>
      </w:pPr>
      <w:r w:rsidRPr="00F500FD">
        <w:rPr>
          <w:spacing w:val="-2"/>
        </w:rPr>
        <w:t>b</w:t>
      </w:r>
      <w:r w:rsidR="00BA4975" w:rsidRPr="00F500FD">
        <w:rPr>
          <w:spacing w:val="-2"/>
        </w:rPr>
        <w:t>eing</w:t>
      </w:r>
      <w:r w:rsidR="006D4EDB" w:rsidRPr="00F500FD">
        <w:rPr>
          <w:spacing w:val="-2"/>
        </w:rPr>
        <w:t xml:space="preserve"> cognisant of how competition</w:t>
      </w:r>
      <w:r w:rsidRPr="00F500FD">
        <w:rPr>
          <w:spacing w:val="-2"/>
        </w:rPr>
        <w:t xml:space="preserve"> and choice</w:t>
      </w:r>
      <w:r w:rsidR="006D4EDB" w:rsidRPr="00F500FD">
        <w:rPr>
          <w:spacing w:val="-2"/>
        </w:rPr>
        <w:t xml:space="preserve"> reforms impact on other policy objectives, noting that the goal is to maximise overall consumer welfare</w:t>
      </w:r>
      <w:r w:rsidRPr="00F500FD">
        <w:rPr>
          <w:spacing w:val="-2"/>
        </w:rPr>
        <w:t>;</w:t>
      </w:r>
      <w:r w:rsidR="006D4EDB" w:rsidRPr="00B37F96">
        <w:rPr>
          <w:rStyle w:val="FootnoteReference"/>
          <w:spacing w:val="-2"/>
        </w:rPr>
        <w:footnoteReference w:id="4"/>
      </w:r>
    </w:p>
    <w:p w14:paraId="5E7BE36E" w14:textId="77777777" w:rsidR="00F500FD" w:rsidRDefault="00866A5A" w:rsidP="00F500FD">
      <w:pPr>
        <w:pStyle w:val="ListParagraph"/>
        <w:numPr>
          <w:ilvl w:val="1"/>
          <w:numId w:val="2"/>
        </w:numPr>
        <w:tabs>
          <w:tab w:val="clear" w:pos="1134"/>
        </w:tabs>
        <w:spacing w:after="0" w:line="240" w:lineRule="auto"/>
        <w:ind w:left="782" w:hanging="357"/>
        <w:contextualSpacing w:val="0"/>
        <w:rPr>
          <w:spacing w:val="-2"/>
        </w:rPr>
      </w:pPr>
      <w:r w:rsidRPr="00F500FD">
        <w:rPr>
          <w:spacing w:val="-2"/>
        </w:rPr>
        <w:t>e</w:t>
      </w:r>
      <w:r w:rsidR="00BA4975" w:rsidRPr="00F500FD">
        <w:rPr>
          <w:spacing w:val="-2"/>
        </w:rPr>
        <w:t>nsuring</w:t>
      </w:r>
      <w:r w:rsidR="006D4EDB" w:rsidRPr="00F500FD">
        <w:rPr>
          <w:spacing w:val="-2"/>
        </w:rPr>
        <w:t xml:space="preserve"> that policy design protects necessary standards of access and equity, such as through explici</w:t>
      </w:r>
      <w:r w:rsidRPr="00F500FD">
        <w:rPr>
          <w:spacing w:val="-2"/>
        </w:rPr>
        <w:t>t community service obligations; and</w:t>
      </w:r>
    </w:p>
    <w:p w14:paraId="7C8D77E3" w14:textId="51D0E081" w:rsidR="006D4EDB" w:rsidRPr="00F500FD" w:rsidRDefault="00866A5A" w:rsidP="00F500FD">
      <w:pPr>
        <w:pStyle w:val="ListParagraph"/>
        <w:numPr>
          <w:ilvl w:val="1"/>
          <w:numId w:val="2"/>
        </w:numPr>
        <w:tabs>
          <w:tab w:val="clear" w:pos="1134"/>
        </w:tabs>
        <w:spacing w:after="0" w:line="240" w:lineRule="auto"/>
        <w:ind w:left="782" w:hanging="357"/>
        <w:contextualSpacing w:val="0"/>
        <w:rPr>
          <w:spacing w:val="-2"/>
        </w:rPr>
      </w:pPr>
      <w:r w:rsidRPr="00F500FD">
        <w:rPr>
          <w:spacing w:val="-2"/>
        </w:rPr>
        <w:t>u</w:t>
      </w:r>
      <w:r w:rsidR="00BA4975" w:rsidRPr="00F500FD">
        <w:rPr>
          <w:spacing w:val="-2"/>
        </w:rPr>
        <w:t>nderstanding</w:t>
      </w:r>
      <w:r w:rsidRPr="00F500FD">
        <w:rPr>
          <w:spacing w:val="-2"/>
        </w:rPr>
        <w:t xml:space="preserve"> and tailoring</w:t>
      </w:r>
      <w:r w:rsidR="006D4EDB" w:rsidRPr="00F500FD">
        <w:rPr>
          <w:spacing w:val="-2"/>
        </w:rPr>
        <w:t xml:space="preserve"> reform</w:t>
      </w:r>
      <w:r w:rsidRPr="00F500FD">
        <w:rPr>
          <w:spacing w:val="-2"/>
        </w:rPr>
        <w:t>s</w:t>
      </w:r>
      <w:r w:rsidR="006D4EDB" w:rsidRPr="00F500FD">
        <w:rPr>
          <w:spacing w:val="-2"/>
        </w:rPr>
        <w:t xml:space="preserve"> to meet the particular needs of vulner</w:t>
      </w:r>
      <w:r w:rsidRPr="00F500FD">
        <w:rPr>
          <w:spacing w:val="-2"/>
        </w:rPr>
        <w:t>able and disadvantaged clients.</w:t>
      </w:r>
    </w:p>
    <w:p w14:paraId="47C7E454" w14:textId="77777777" w:rsidR="00143DDF" w:rsidRPr="00B37F96" w:rsidRDefault="00143DDF" w:rsidP="009036A6">
      <w:pPr>
        <w:pStyle w:val="CGCBulletlist"/>
        <w:spacing w:before="0" w:after="0"/>
        <w:rPr>
          <w:spacing w:val="-2"/>
        </w:rPr>
      </w:pPr>
    </w:p>
    <w:p w14:paraId="5A8F427B" w14:textId="62729E1B" w:rsidR="00143DDF" w:rsidRPr="00B37F96" w:rsidRDefault="00143DDF" w:rsidP="00051841">
      <w:pPr>
        <w:pStyle w:val="CGCBulletlist"/>
        <w:rPr>
          <w:spacing w:val="-2"/>
        </w:rPr>
      </w:pPr>
      <w:r w:rsidRPr="00B37F96">
        <w:rPr>
          <w:spacing w:val="-2"/>
        </w:rPr>
        <w:t xml:space="preserve">The NTG considers that competition and contestability are </w:t>
      </w:r>
      <w:r w:rsidR="00811FDB" w:rsidRPr="00B37F96">
        <w:rPr>
          <w:spacing w:val="-2"/>
        </w:rPr>
        <w:t xml:space="preserve">a </w:t>
      </w:r>
      <w:r w:rsidRPr="00B37F96">
        <w:rPr>
          <w:spacing w:val="-2"/>
        </w:rPr>
        <w:t>means to an end – improving the effectiveness of service provision</w:t>
      </w:r>
      <w:r w:rsidR="00D22BEB">
        <w:rPr>
          <w:spacing w:val="-2"/>
        </w:rPr>
        <w:t xml:space="preserve">, </w:t>
      </w:r>
      <w:r w:rsidRPr="00B37F96">
        <w:rPr>
          <w:spacing w:val="-2"/>
        </w:rPr>
        <w:t>rather than ends in themselves. Introducing greater competition and/or contestability will not always deliver better consumer outcomes or deliver better value for money, and other policy options should always be available for consideration</w:t>
      </w:r>
      <w:r w:rsidR="00A44AB8">
        <w:rPr>
          <w:spacing w:val="-2"/>
        </w:rPr>
        <w:t xml:space="preserve">. This is </w:t>
      </w:r>
      <w:r w:rsidRPr="00B37F96">
        <w:rPr>
          <w:spacing w:val="-2"/>
        </w:rPr>
        <w:t xml:space="preserve">particularly </w:t>
      </w:r>
      <w:r w:rsidR="00A44AB8">
        <w:rPr>
          <w:spacing w:val="-2"/>
        </w:rPr>
        <w:t xml:space="preserve">relevant </w:t>
      </w:r>
      <w:r w:rsidRPr="00B37F96">
        <w:rPr>
          <w:spacing w:val="-2"/>
        </w:rPr>
        <w:t>where there is limited capacity or no choice of service providers to deliver human services. Increasing ‘user voice’ and co-design between clients, service provid</w:t>
      </w:r>
      <w:r w:rsidR="00A44AB8">
        <w:rPr>
          <w:spacing w:val="-2"/>
        </w:rPr>
        <w:t xml:space="preserve">ers and funders can help to deliver </w:t>
      </w:r>
      <w:r w:rsidRPr="00B37F96">
        <w:rPr>
          <w:spacing w:val="-2"/>
        </w:rPr>
        <w:t>a focus on users when user choice is not an option.</w:t>
      </w:r>
    </w:p>
    <w:p w14:paraId="44F64BF7" w14:textId="77777777" w:rsidR="00143DDF" w:rsidRPr="00B37F96" w:rsidRDefault="00143DDF" w:rsidP="00051841">
      <w:pPr>
        <w:pStyle w:val="CGCBulletlist"/>
        <w:rPr>
          <w:spacing w:val="-2"/>
        </w:rPr>
      </w:pPr>
    </w:p>
    <w:p w14:paraId="37CD100F" w14:textId="4FB00A3B" w:rsidR="00143DDF" w:rsidRPr="00B37F96" w:rsidRDefault="00A44AB8" w:rsidP="00051841">
      <w:pPr>
        <w:pStyle w:val="CGCBulletlist"/>
        <w:rPr>
          <w:spacing w:val="-2"/>
        </w:rPr>
      </w:pPr>
      <w:r>
        <w:rPr>
          <w:spacing w:val="-2"/>
        </w:rPr>
        <w:t xml:space="preserve">The NTG supports </w:t>
      </w:r>
      <w:r w:rsidR="00811FDB" w:rsidRPr="00B37F96">
        <w:rPr>
          <w:spacing w:val="-2"/>
        </w:rPr>
        <w:t xml:space="preserve">recommendations regarding improved data collection and coordination to inform better policy and program design. </w:t>
      </w:r>
      <w:r w:rsidR="00143DDF" w:rsidRPr="00B37F96">
        <w:rPr>
          <w:spacing w:val="-2"/>
        </w:rPr>
        <w:t xml:space="preserve">The NTG agrees that governments need to improve coordination between </w:t>
      </w:r>
      <w:r w:rsidR="00811FDB" w:rsidRPr="00B37F96">
        <w:rPr>
          <w:spacing w:val="-2"/>
        </w:rPr>
        <w:t xml:space="preserve">levels of government, within governments </w:t>
      </w:r>
      <w:r w:rsidR="00143DDF" w:rsidRPr="00B37F96">
        <w:rPr>
          <w:spacing w:val="-2"/>
        </w:rPr>
        <w:t>and with providers and users. Coordination is particularly important at the service design stage. As reforms to human services can be complex and costly, the NTG agrees with the Commission that transitions need to be carefully planned. As suggested in the Draft Report, governments can use staged rollouts and policy trials to inform service delivery reform.</w:t>
      </w:r>
    </w:p>
    <w:p w14:paraId="50EDD44F" w14:textId="77777777" w:rsidR="00143DDF" w:rsidRPr="00B37F96" w:rsidRDefault="00143DDF" w:rsidP="00051841">
      <w:pPr>
        <w:pStyle w:val="CGCBulletlist"/>
        <w:rPr>
          <w:spacing w:val="-2"/>
        </w:rPr>
      </w:pPr>
    </w:p>
    <w:p w14:paraId="4EF6B1C4" w14:textId="11FCE1C8" w:rsidR="00143DDF" w:rsidRPr="00B37F96" w:rsidRDefault="00076349" w:rsidP="00051841">
      <w:pPr>
        <w:pStyle w:val="CGCBulletlist"/>
        <w:rPr>
          <w:spacing w:val="-2"/>
        </w:rPr>
      </w:pPr>
      <w:r>
        <w:rPr>
          <w:spacing w:val="-2"/>
        </w:rPr>
        <w:t>All governments</w:t>
      </w:r>
      <w:r w:rsidR="00143DDF" w:rsidRPr="00B37F96">
        <w:rPr>
          <w:spacing w:val="-2"/>
        </w:rPr>
        <w:t xml:space="preserve"> need to develop a better understanding of the costs of service provision</w:t>
      </w:r>
      <w:r w:rsidR="00A44AB8">
        <w:rPr>
          <w:spacing w:val="-2"/>
        </w:rPr>
        <w:t xml:space="preserve"> </w:t>
      </w:r>
      <w:r w:rsidR="00143DDF" w:rsidRPr="00B37F96">
        <w:rPr>
          <w:spacing w:val="-2"/>
        </w:rPr>
        <w:t>across the population and by location. The Commission acknowledges that delivering more effective human services may involve additional costs for governments which may be offset by reduced expenditure over the long run. The Commission considers that the benefits of its draft</w:t>
      </w:r>
      <w:r w:rsidR="00A44AB8">
        <w:rPr>
          <w:spacing w:val="-2"/>
        </w:rPr>
        <w:t xml:space="preserve"> recommendations</w:t>
      </w:r>
      <w:r w:rsidR="00143DDF" w:rsidRPr="00B37F96">
        <w:rPr>
          <w:spacing w:val="-2"/>
        </w:rPr>
        <w:t xml:space="preserve"> would outweigh the fiscal (and other) costs. It would be useful if the final report contained more detailed modelling about the potential upfront costs versus savings over time. For example, it would be helpful to present actual costs and saving</w:t>
      </w:r>
      <w:r w:rsidR="00743C62" w:rsidRPr="00B37F96">
        <w:rPr>
          <w:spacing w:val="-2"/>
        </w:rPr>
        <w:t>s</w:t>
      </w:r>
      <w:r w:rsidR="00A44AB8">
        <w:rPr>
          <w:spacing w:val="-2"/>
        </w:rPr>
        <w:t xml:space="preserve"> in figures 7 and </w:t>
      </w:r>
      <w:r w:rsidR="00143DDF" w:rsidRPr="00B37F96">
        <w:rPr>
          <w:spacing w:val="-2"/>
        </w:rPr>
        <w:t>11.1.</w:t>
      </w:r>
    </w:p>
    <w:p w14:paraId="690E8896" w14:textId="77777777" w:rsidR="00143DDF" w:rsidRPr="00B37F96" w:rsidRDefault="00143DDF" w:rsidP="00051841">
      <w:pPr>
        <w:pStyle w:val="CGCBulletlist"/>
        <w:rPr>
          <w:spacing w:val="-2"/>
        </w:rPr>
      </w:pPr>
    </w:p>
    <w:p w14:paraId="04CE96BD" w14:textId="50341063" w:rsidR="00BB311A" w:rsidRDefault="00E74412" w:rsidP="00BB311A">
      <w:pPr>
        <w:pStyle w:val="CGCBulletlist"/>
        <w:rPr>
          <w:spacing w:val="-2"/>
        </w:rPr>
      </w:pPr>
      <w:r>
        <w:rPr>
          <w:spacing w:val="-2"/>
        </w:rPr>
        <w:lastRenderedPageBreak/>
        <w:t>The Commission notes</w:t>
      </w:r>
      <w:r w:rsidR="00143DDF" w:rsidRPr="00B37F96">
        <w:rPr>
          <w:spacing w:val="-2"/>
        </w:rPr>
        <w:t xml:space="preserve"> </w:t>
      </w:r>
      <w:r w:rsidR="00BA4975" w:rsidRPr="00B37F96">
        <w:rPr>
          <w:spacing w:val="-2"/>
        </w:rPr>
        <w:t>the cost of these reforms will likely be unequally distributed across the different levels of government</w:t>
      </w:r>
      <w:r>
        <w:rPr>
          <w:spacing w:val="-2"/>
        </w:rPr>
        <w:t>, but</w:t>
      </w:r>
      <w:r w:rsidR="00BA4975" w:rsidRPr="00B37F96">
        <w:rPr>
          <w:spacing w:val="-2"/>
        </w:rPr>
        <w:t xml:space="preserve"> that this should not be a barrier to implementation</w:t>
      </w:r>
      <w:r w:rsidR="00076349">
        <w:rPr>
          <w:spacing w:val="-2"/>
        </w:rPr>
        <w:t>. The NTG agrees in </w:t>
      </w:r>
      <w:r w:rsidR="00143DDF" w:rsidRPr="00B37F96">
        <w:rPr>
          <w:spacing w:val="-2"/>
        </w:rPr>
        <w:t>principl</w:t>
      </w:r>
      <w:r w:rsidR="00BB311A">
        <w:rPr>
          <w:spacing w:val="-2"/>
        </w:rPr>
        <w:t>e</w:t>
      </w:r>
      <w:r>
        <w:rPr>
          <w:spacing w:val="-2"/>
        </w:rPr>
        <w:t xml:space="preserve"> with this, but t</w:t>
      </w:r>
      <w:r w:rsidR="00BB311A">
        <w:rPr>
          <w:spacing w:val="-2"/>
        </w:rPr>
        <w:t xml:space="preserve">he reality is </w:t>
      </w:r>
      <w:r w:rsidR="00A44AB8">
        <w:rPr>
          <w:spacing w:val="-2"/>
        </w:rPr>
        <w:t>the cost of some of the proposed</w:t>
      </w:r>
      <w:r w:rsidR="00143DDF" w:rsidRPr="00B37F96">
        <w:rPr>
          <w:spacing w:val="-2"/>
        </w:rPr>
        <w:t xml:space="preserve"> reforms </w:t>
      </w:r>
      <w:r w:rsidR="00A44AB8">
        <w:rPr>
          <w:spacing w:val="-2"/>
        </w:rPr>
        <w:t xml:space="preserve">could </w:t>
      </w:r>
      <w:r>
        <w:rPr>
          <w:spacing w:val="-2"/>
        </w:rPr>
        <w:t>be relatively</w:t>
      </w:r>
      <w:r w:rsidR="00143DDF" w:rsidRPr="00B37F96">
        <w:rPr>
          <w:spacing w:val="-2"/>
        </w:rPr>
        <w:t xml:space="preserve"> greater for the NT, reflecting </w:t>
      </w:r>
      <w:r w:rsidR="00F14C68" w:rsidRPr="00B37F96">
        <w:rPr>
          <w:spacing w:val="-2"/>
        </w:rPr>
        <w:t xml:space="preserve">a </w:t>
      </w:r>
      <w:r w:rsidR="00BB311A">
        <w:rPr>
          <w:spacing w:val="-2"/>
        </w:rPr>
        <w:t xml:space="preserve">small, widely dispersed </w:t>
      </w:r>
      <w:r w:rsidR="00143DDF" w:rsidRPr="00B37F96">
        <w:rPr>
          <w:spacing w:val="-2"/>
        </w:rPr>
        <w:t xml:space="preserve">population, remoteness and </w:t>
      </w:r>
      <w:r w:rsidR="00F14C68" w:rsidRPr="00B37F96">
        <w:rPr>
          <w:spacing w:val="-2"/>
        </w:rPr>
        <w:t xml:space="preserve">the </w:t>
      </w:r>
      <w:r w:rsidR="00A44AB8">
        <w:rPr>
          <w:spacing w:val="-2"/>
        </w:rPr>
        <w:t>service</w:t>
      </w:r>
      <w:r w:rsidR="00143DDF" w:rsidRPr="00B37F96">
        <w:rPr>
          <w:spacing w:val="-2"/>
        </w:rPr>
        <w:t xml:space="preserve"> need</w:t>
      </w:r>
      <w:r w:rsidR="00A44AB8">
        <w:rPr>
          <w:spacing w:val="-2"/>
        </w:rPr>
        <w:t>s of the Aboriginal population.</w:t>
      </w:r>
      <w:r w:rsidR="00BB311A">
        <w:rPr>
          <w:spacing w:val="-2"/>
        </w:rPr>
        <w:t xml:space="preserve"> </w:t>
      </w:r>
      <w:r w:rsidR="00BA4975" w:rsidRPr="00B37F96">
        <w:rPr>
          <w:spacing w:val="-2"/>
        </w:rPr>
        <w:t>Reform should therefore be supported by an evidence base</w:t>
      </w:r>
      <w:r w:rsidR="00A44AB8">
        <w:rPr>
          <w:spacing w:val="-2"/>
        </w:rPr>
        <w:t>.</w:t>
      </w:r>
      <w:r w:rsidR="00BA4975" w:rsidRPr="00B37F96">
        <w:rPr>
          <w:spacing w:val="-2"/>
        </w:rPr>
        <w:t xml:space="preserve"> It is also fundamental that stakeholders are involved in the design, implementation and review of human services.</w:t>
      </w:r>
    </w:p>
    <w:p w14:paraId="019822EE" w14:textId="77777777" w:rsidR="00723736" w:rsidRDefault="00723736" w:rsidP="00BB311A">
      <w:pPr>
        <w:pStyle w:val="CGCBulletlist"/>
        <w:rPr>
          <w:spacing w:val="-2"/>
        </w:rPr>
      </w:pPr>
    </w:p>
    <w:p w14:paraId="2B6218C9" w14:textId="77777777" w:rsidR="00743C62" w:rsidRPr="00B37F96" w:rsidRDefault="00743C62" w:rsidP="00B37F96">
      <w:pPr>
        <w:rPr>
          <w:i/>
          <w:color w:val="E36C0A" w:themeColor="accent6" w:themeShade="BF"/>
        </w:rPr>
      </w:pPr>
      <w:r w:rsidRPr="00B37F96">
        <w:rPr>
          <w:i/>
          <w:color w:val="E36C0A" w:themeColor="accent6" w:themeShade="BF"/>
        </w:rPr>
        <w:t>End-of-life care</w:t>
      </w:r>
    </w:p>
    <w:p w14:paraId="163E70EF" w14:textId="6B436F38" w:rsidR="00133959" w:rsidRPr="00B37F96" w:rsidRDefault="00133959" w:rsidP="00133959">
      <w:pPr>
        <w:rPr>
          <w:spacing w:val="-2"/>
        </w:rPr>
      </w:pPr>
      <w:r w:rsidRPr="00B37F96">
        <w:rPr>
          <w:spacing w:val="-2"/>
        </w:rPr>
        <w:t xml:space="preserve">The NTG </w:t>
      </w:r>
      <w:r w:rsidR="00A44AB8">
        <w:rPr>
          <w:spacing w:val="-2"/>
        </w:rPr>
        <w:t>supports</w:t>
      </w:r>
      <w:r w:rsidR="00076349">
        <w:rPr>
          <w:spacing w:val="-2"/>
        </w:rPr>
        <w:t xml:space="preserve"> in </w:t>
      </w:r>
      <w:r w:rsidRPr="00B37F96">
        <w:rPr>
          <w:spacing w:val="-2"/>
        </w:rPr>
        <w:t>principle Draft Recommendation</w:t>
      </w:r>
      <w:r w:rsidR="00A44AB8">
        <w:rPr>
          <w:spacing w:val="-2"/>
        </w:rPr>
        <w:t> </w:t>
      </w:r>
      <w:r w:rsidRPr="00B37F96">
        <w:rPr>
          <w:spacing w:val="-2"/>
        </w:rPr>
        <w:t>4</w:t>
      </w:r>
      <w:r w:rsidR="00A44AB8">
        <w:rPr>
          <w:spacing w:val="-2"/>
        </w:rPr>
        <w:t>.1 </w:t>
      </w:r>
      <w:r w:rsidRPr="00B37F96">
        <w:rPr>
          <w:spacing w:val="-2"/>
        </w:rPr>
        <w:t xml:space="preserve">that people with a preference to die at home should be able to access support from community based </w:t>
      </w:r>
      <w:r w:rsidR="00A44AB8">
        <w:rPr>
          <w:spacing w:val="-2"/>
        </w:rPr>
        <w:t>end</w:t>
      </w:r>
      <w:r w:rsidR="00A44AB8">
        <w:rPr>
          <w:spacing w:val="-2"/>
        </w:rPr>
        <w:noBreakHyphen/>
        <w:t>of</w:t>
      </w:r>
      <w:r w:rsidR="00A44AB8">
        <w:rPr>
          <w:spacing w:val="-2"/>
        </w:rPr>
        <w:noBreakHyphen/>
        <w:t xml:space="preserve">life </w:t>
      </w:r>
      <w:r w:rsidRPr="00B37F96">
        <w:rPr>
          <w:spacing w:val="-2"/>
        </w:rPr>
        <w:t xml:space="preserve">care services </w:t>
      </w:r>
      <w:r w:rsidR="00A44AB8">
        <w:rPr>
          <w:spacing w:val="-2"/>
        </w:rPr>
        <w:t xml:space="preserve">to enable them to do so. The </w:t>
      </w:r>
      <w:r w:rsidR="00D22BEB">
        <w:rPr>
          <w:spacing w:val="-2"/>
        </w:rPr>
        <w:t>Northern Territory</w:t>
      </w:r>
      <w:r w:rsidR="00A44AB8">
        <w:rPr>
          <w:spacing w:val="-2"/>
        </w:rPr>
        <w:t> </w:t>
      </w:r>
      <w:r w:rsidRPr="00B37F96">
        <w:rPr>
          <w:spacing w:val="-2"/>
        </w:rPr>
        <w:t>supp</w:t>
      </w:r>
      <w:r w:rsidR="00A44AB8">
        <w:rPr>
          <w:spacing w:val="-2"/>
        </w:rPr>
        <w:t>orts flexible approaches to end</w:t>
      </w:r>
      <w:r w:rsidR="00A44AB8">
        <w:rPr>
          <w:spacing w:val="-2"/>
        </w:rPr>
        <w:noBreakHyphen/>
      </w:r>
      <w:r w:rsidRPr="00B37F96">
        <w:rPr>
          <w:spacing w:val="-2"/>
        </w:rPr>
        <w:t>of</w:t>
      </w:r>
      <w:r w:rsidR="00D22BEB">
        <w:rPr>
          <w:spacing w:val="-2"/>
        </w:rPr>
        <w:noBreakHyphen/>
        <w:t>life care</w:t>
      </w:r>
      <w:r w:rsidR="00A44AB8">
        <w:rPr>
          <w:spacing w:val="-2"/>
        </w:rPr>
        <w:t>,</w:t>
      </w:r>
      <w:r w:rsidRPr="00B37F96">
        <w:rPr>
          <w:spacing w:val="-2"/>
        </w:rPr>
        <w:t xml:space="preserve"> but the challenges of delivering culturally appropriate services to remote clients in a timely, consistent and cost-effective manner are significant</w:t>
      </w:r>
      <w:r w:rsidR="00A44AB8">
        <w:rPr>
          <w:spacing w:val="-2"/>
        </w:rPr>
        <w:t>,</w:t>
      </w:r>
      <w:r w:rsidRPr="00B37F96">
        <w:rPr>
          <w:spacing w:val="-2"/>
        </w:rPr>
        <w:t xml:space="preserve"> and will put considerable strain on resources.</w:t>
      </w:r>
    </w:p>
    <w:p w14:paraId="3C936DE6" w14:textId="77777777" w:rsidR="00743C62" w:rsidRPr="00B37F96" w:rsidRDefault="00743C62" w:rsidP="00051841">
      <w:pPr>
        <w:pStyle w:val="CGCBulletlist"/>
        <w:rPr>
          <w:spacing w:val="-2"/>
        </w:rPr>
      </w:pPr>
    </w:p>
    <w:p w14:paraId="7EEBE4D8" w14:textId="77777777" w:rsidR="00743C62" w:rsidRPr="00B37F96" w:rsidRDefault="00743C62" w:rsidP="00B37F96">
      <w:pPr>
        <w:rPr>
          <w:i/>
          <w:color w:val="E36C0A" w:themeColor="accent6" w:themeShade="BF"/>
        </w:rPr>
      </w:pPr>
      <w:r w:rsidRPr="00B37F96">
        <w:rPr>
          <w:i/>
          <w:color w:val="E36C0A" w:themeColor="accent6" w:themeShade="BF"/>
        </w:rPr>
        <w:t>Social housing</w:t>
      </w:r>
    </w:p>
    <w:p w14:paraId="3AB73FEF" w14:textId="14FC5C9C" w:rsidR="00C34D1F" w:rsidRPr="00B37F96" w:rsidRDefault="00743C62" w:rsidP="00743C62">
      <w:pPr>
        <w:rPr>
          <w:spacing w:val="-2"/>
        </w:rPr>
      </w:pPr>
      <w:r w:rsidRPr="00B37F96">
        <w:rPr>
          <w:spacing w:val="-2"/>
        </w:rPr>
        <w:t>There are challenges with the current system of housing assistance and the inequity that arises from differences in the level of assistance provided to people living in public housing compared with those in the private rent</w:t>
      </w:r>
      <w:r w:rsidR="00A44AB8">
        <w:rPr>
          <w:spacing w:val="-2"/>
        </w:rPr>
        <w:t>al market. Draft Recommendation </w:t>
      </w:r>
      <w:r w:rsidRPr="00B37F96">
        <w:rPr>
          <w:spacing w:val="-2"/>
        </w:rPr>
        <w:t xml:space="preserve">5.2 suggests </w:t>
      </w:r>
      <w:r w:rsidR="00D22BEB" w:rsidRPr="00B37F96">
        <w:rPr>
          <w:spacing w:val="-2"/>
        </w:rPr>
        <w:t>state and territory governments should abolish the current assistance model for social housing</w:t>
      </w:r>
      <w:r w:rsidR="00D22BEB">
        <w:rPr>
          <w:spacing w:val="-2"/>
        </w:rPr>
        <w:t>,</w:t>
      </w:r>
      <w:r w:rsidR="00D22BEB" w:rsidRPr="00B37F96">
        <w:rPr>
          <w:spacing w:val="-2"/>
        </w:rPr>
        <w:t xml:space="preserve"> </w:t>
      </w:r>
      <w:r w:rsidRPr="00B37F96">
        <w:rPr>
          <w:spacing w:val="-2"/>
        </w:rPr>
        <w:t>where rents are set at a proportion of the tenant’s income, and move towards models that enhance user choice. Further consideration would be required to un</w:t>
      </w:r>
      <w:r w:rsidR="00A44AB8">
        <w:rPr>
          <w:spacing w:val="-2"/>
        </w:rPr>
        <w:t>derstand the overall cost</w:t>
      </w:r>
      <w:r w:rsidRPr="00B37F96">
        <w:rPr>
          <w:spacing w:val="-2"/>
        </w:rPr>
        <w:t xml:space="preserve"> of this reform (including administrative costs for all levels of government) before the NTG could support this approach. </w:t>
      </w:r>
      <w:r w:rsidR="00A44AB8">
        <w:rPr>
          <w:spacing w:val="-2"/>
        </w:rPr>
        <w:t>Applying a market</w:t>
      </w:r>
      <w:r w:rsidR="00A44AB8">
        <w:rPr>
          <w:spacing w:val="-2"/>
        </w:rPr>
        <w:noBreakHyphen/>
      </w:r>
      <w:r w:rsidR="008E4918" w:rsidRPr="00B37F96">
        <w:rPr>
          <w:spacing w:val="-2"/>
        </w:rPr>
        <w:t>based rent model would be difficult, if not impossible, in remote areas due to the absence of a commercia</w:t>
      </w:r>
      <w:r w:rsidR="00BB311A">
        <w:rPr>
          <w:spacing w:val="-2"/>
        </w:rPr>
        <w:t>l housing market. The NTG </w:t>
      </w:r>
      <w:r w:rsidR="008E4918" w:rsidRPr="00B37F96">
        <w:rPr>
          <w:spacing w:val="-2"/>
        </w:rPr>
        <w:t xml:space="preserve">is </w:t>
      </w:r>
      <w:r w:rsidR="00BB311A">
        <w:rPr>
          <w:spacing w:val="-2"/>
        </w:rPr>
        <w:t xml:space="preserve">also </w:t>
      </w:r>
      <w:r w:rsidR="008E4918" w:rsidRPr="00B37F96">
        <w:rPr>
          <w:spacing w:val="-2"/>
        </w:rPr>
        <w:t>concerned about the potential impacts of moving people on very low and low incomes from an income</w:t>
      </w:r>
      <w:r w:rsidR="00D22BEB">
        <w:rPr>
          <w:spacing w:val="-2"/>
        </w:rPr>
        <w:t>-</w:t>
      </w:r>
      <w:r w:rsidR="008E4918" w:rsidRPr="00B37F96">
        <w:rPr>
          <w:spacing w:val="-2"/>
        </w:rPr>
        <w:t>based rent model to a market</w:t>
      </w:r>
      <w:r w:rsidR="00D22BEB">
        <w:rPr>
          <w:spacing w:val="-2"/>
        </w:rPr>
        <w:t>-</w:t>
      </w:r>
      <w:r w:rsidR="008E4918" w:rsidRPr="00B37F96">
        <w:rPr>
          <w:spacing w:val="-2"/>
        </w:rPr>
        <w:t>based approach</w:t>
      </w:r>
      <w:r w:rsidR="00782CC0">
        <w:rPr>
          <w:spacing w:val="-2"/>
        </w:rPr>
        <w:t xml:space="preserve">, especially with the </w:t>
      </w:r>
      <w:r w:rsidR="00782CC0">
        <w:t>fluctuations in rents</w:t>
      </w:r>
      <w:r w:rsidR="00782CC0" w:rsidRPr="00E54FB4">
        <w:t xml:space="preserve"> associated with major projects</w:t>
      </w:r>
      <w:r w:rsidR="00076349">
        <w:rPr>
          <w:spacing w:val="-2"/>
        </w:rPr>
        <w:t>.</w:t>
      </w:r>
    </w:p>
    <w:p w14:paraId="231C8B45" w14:textId="77777777" w:rsidR="00C34D1F" w:rsidRPr="00B37F96" w:rsidRDefault="00C34D1F" w:rsidP="00743C62">
      <w:pPr>
        <w:rPr>
          <w:spacing w:val="-2"/>
        </w:rPr>
      </w:pPr>
    </w:p>
    <w:p w14:paraId="3F82D706" w14:textId="76A87CF1" w:rsidR="004F02DB" w:rsidRPr="00B37F96" w:rsidRDefault="00C34D1F" w:rsidP="00743C62">
      <w:pPr>
        <w:rPr>
          <w:spacing w:val="-2"/>
        </w:rPr>
      </w:pPr>
      <w:r w:rsidRPr="00B37F96">
        <w:rPr>
          <w:spacing w:val="-2"/>
        </w:rPr>
        <w:t>Based on current waiting times for pu</w:t>
      </w:r>
      <w:r w:rsidR="00BB311A">
        <w:rPr>
          <w:spacing w:val="-2"/>
        </w:rPr>
        <w:t>blic housing</w:t>
      </w:r>
      <w:r w:rsidR="00D22BEB">
        <w:rPr>
          <w:spacing w:val="-2"/>
        </w:rPr>
        <w:t>,</w:t>
      </w:r>
      <w:r w:rsidR="00BB311A">
        <w:rPr>
          <w:spacing w:val="-2"/>
        </w:rPr>
        <w:t xml:space="preserve"> a significant lead</w:t>
      </w:r>
      <w:r w:rsidR="00BB311A">
        <w:rPr>
          <w:spacing w:val="-2"/>
        </w:rPr>
        <w:noBreakHyphen/>
      </w:r>
      <w:r w:rsidRPr="00B37F96">
        <w:rPr>
          <w:spacing w:val="-2"/>
        </w:rPr>
        <w:t xml:space="preserve">in time would </w:t>
      </w:r>
      <w:r w:rsidR="00BB311A">
        <w:rPr>
          <w:spacing w:val="-2"/>
        </w:rPr>
        <w:t>be required before choice</w:t>
      </w:r>
      <w:r w:rsidR="00BB311A">
        <w:rPr>
          <w:spacing w:val="-2"/>
        </w:rPr>
        <w:noBreakHyphen/>
        <w:t xml:space="preserve">based </w:t>
      </w:r>
      <w:r w:rsidRPr="00B37F96">
        <w:rPr>
          <w:spacing w:val="-2"/>
        </w:rPr>
        <w:t xml:space="preserve">letting could be implemented in the </w:t>
      </w:r>
      <w:r w:rsidR="00D22BEB">
        <w:rPr>
          <w:spacing w:val="-2"/>
        </w:rPr>
        <w:t>Northern Territory,</w:t>
      </w:r>
      <w:r w:rsidRPr="00B37F96">
        <w:rPr>
          <w:spacing w:val="-2"/>
        </w:rPr>
        <w:t> due to the undersupply o</w:t>
      </w:r>
      <w:r w:rsidR="00BB311A">
        <w:rPr>
          <w:spacing w:val="-2"/>
        </w:rPr>
        <w:t>f public and community housing.</w:t>
      </w:r>
    </w:p>
    <w:p w14:paraId="5A52715B" w14:textId="77777777" w:rsidR="004F02DB" w:rsidRPr="00B37F96" w:rsidRDefault="004F02DB" w:rsidP="00743C62">
      <w:pPr>
        <w:rPr>
          <w:spacing w:val="-2"/>
        </w:rPr>
      </w:pPr>
    </w:p>
    <w:p w14:paraId="19178892" w14:textId="11722260" w:rsidR="00743C62" w:rsidRPr="00B37F96" w:rsidRDefault="00743C62" w:rsidP="00743C62">
      <w:pPr>
        <w:rPr>
          <w:spacing w:val="-2"/>
        </w:rPr>
      </w:pPr>
      <w:r w:rsidRPr="00B37F96">
        <w:rPr>
          <w:spacing w:val="-2"/>
        </w:rPr>
        <w:t>The NTG supports Draft Recommendation 5.4 on making the management of social housing contestable, on a staged basis. The</w:t>
      </w:r>
      <w:r w:rsidR="00BB311A">
        <w:rPr>
          <w:spacing w:val="-2"/>
        </w:rPr>
        <w:t xml:space="preserve"> NTG is exploring options for</w:t>
      </w:r>
      <w:r w:rsidRPr="00B37F96">
        <w:rPr>
          <w:spacing w:val="-2"/>
        </w:rPr>
        <w:t xml:space="preserve"> implementation of a contestable approach to engaging </w:t>
      </w:r>
      <w:r w:rsidR="00782CC0">
        <w:rPr>
          <w:spacing w:val="-2"/>
        </w:rPr>
        <w:t>c</w:t>
      </w:r>
      <w:r w:rsidR="00782CC0" w:rsidRPr="00B37F96">
        <w:rPr>
          <w:spacing w:val="-2"/>
        </w:rPr>
        <w:t xml:space="preserve">ommunity </w:t>
      </w:r>
      <w:r w:rsidR="00782CC0">
        <w:rPr>
          <w:spacing w:val="-2"/>
        </w:rPr>
        <w:t>h</w:t>
      </w:r>
      <w:r w:rsidR="00782CC0" w:rsidRPr="00B37F96">
        <w:rPr>
          <w:spacing w:val="-2"/>
        </w:rPr>
        <w:t xml:space="preserve">ousing </w:t>
      </w:r>
      <w:r w:rsidR="00782CC0">
        <w:rPr>
          <w:spacing w:val="-2"/>
        </w:rPr>
        <w:t>p</w:t>
      </w:r>
      <w:r w:rsidR="00782CC0" w:rsidRPr="00B37F96">
        <w:rPr>
          <w:spacing w:val="-2"/>
        </w:rPr>
        <w:t>roviders </w:t>
      </w:r>
      <w:r w:rsidRPr="00B37F96">
        <w:rPr>
          <w:spacing w:val="-2"/>
        </w:rPr>
        <w:t>(CHPs) for the management of social housing properties.</w:t>
      </w:r>
    </w:p>
    <w:p w14:paraId="36DF0CDA" w14:textId="77777777" w:rsidR="00743C62" w:rsidRPr="00B37F96" w:rsidRDefault="00743C62" w:rsidP="00051841">
      <w:pPr>
        <w:pStyle w:val="CGCBulletlist"/>
        <w:rPr>
          <w:spacing w:val="-2"/>
        </w:rPr>
      </w:pPr>
    </w:p>
    <w:p w14:paraId="32E76E13" w14:textId="742DB8CE" w:rsidR="00921AF7" w:rsidRDefault="00743C62" w:rsidP="00921AF7">
      <w:pPr>
        <w:pStyle w:val="CGCBulletlist"/>
        <w:rPr>
          <w:spacing w:val="-2"/>
        </w:rPr>
      </w:pPr>
      <w:r w:rsidRPr="00B37F96">
        <w:rPr>
          <w:spacing w:val="-2"/>
        </w:rPr>
        <w:t>Draft Recommendation 6.1 reco</w:t>
      </w:r>
      <w:r w:rsidR="00BB311A">
        <w:rPr>
          <w:spacing w:val="-2"/>
        </w:rPr>
        <w:t>mmends that g</w:t>
      </w:r>
      <w:r w:rsidRPr="00B37F96">
        <w:rPr>
          <w:spacing w:val="-2"/>
        </w:rPr>
        <w:t>overnments should clearly separate the funding and commissioning of tenancy support services from tenancy management services</w:t>
      </w:r>
      <w:r w:rsidR="00BB311A">
        <w:rPr>
          <w:spacing w:val="-2"/>
        </w:rPr>
        <w:t xml:space="preserve">, </w:t>
      </w:r>
      <w:r w:rsidRPr="00B37F96">
        <w:rPr>
          <w:spacing w:val="-2"/>
        </w:rPr>
        <w:t>and that tenants renting in the private market have the same access to support services as tenants in social housing. The NTG </w:t>
      </w:r>
      <w:r w:rsidR="00BB311A">
        <w:rPr>
          <w:spacing w:val="-2"/>
        </w:rPr>
        <w:t>supports this approach. The NTG </w:t>
      </w:r>
      <w:r w:rsidRPr="00B37F96">
        <w:rPr>
          <w:spacing w:val="-2"/>
        </w:rPr>
        <w:t xml:space="preserve">gives in-principle </w:t>
      </w:r>
      <w:r w:rsidR="00BB311A">
        <w:rPr>
          <w:spacing w:val="-2"/>
        </w:rPr>
        <w:t>support to draft Recommendation </w:t>
      </w:r>
      <w:r w:rsidRPr="00B37F96">
        <w:rPr>
          <w:spacing w:val="-2"/>
        </w:rPr>
        <w:t>6.2</w:t>
      </w:r>
      <w:r w:rsidR="00BB311A">
        <w:rPr>
          <w:spacing w:val="-2"/>
        </w:rPr>
        <w:t> </w:t>
      </w:r>
      <w:r w:rsidRPr="00B37F96">
        <w:rPr>
          <w:spacing w:val="-2"/>
        </w:rPr>
        <w:t>regarding the separation of social housing management from social housing policy. The NTG</w:t>
      </w:r>
      <w:r w:rsidR="00BB311A">
        <w:rPr>
          <w:spacing w:val="-2"/>
        </w:rPr>
        <w:t> </w:t>
      </w:r>
      <w:r w:rsidRPr="00B37F96">
        <w:rPr>
          <w:spacing w:val="-2"/>
        </w:rPr>
        <w:t xml:space="preserve">supports Draft Recommendation 6.4 regarding improved data collection, noting it would require significant investment in business systems such as the </w:t>
      </w:r>
      <w:r w:rsidRPr="00B37F96">
        <w:rPr>
          <w:spacing w:val="-2"/>
        </w:rPr>
        <w:lastRenderedPageBreak/>
        <w:t>Specialist Homelessness Ser</w:t>
      </w:r>
      <w:r w:rsidR="00BB311A">
        <w:rPr>
          <w:spacing w:val="-2"/>
        </w:rPr>
        <w:t>vices Collection </w:t>
      </w:r>
      <w:r w:rsidRPr="00B37F96">
        <w:rPr>
          <w:spacing w:val="-2"/>
        </w:rPr>
        <w:t>(SHSC), tenancy management systems and systems which support analysis of data collected. There would be an impact on service providers, social housing organisations and government agencies. Resourcing needs would include system development and training for all serv</w:t>
      </w:r>
      <w:r w:rsidR="00BB311A">
        <w:rPr>
          <w:spacing w:val="-2"/>
        </w:rPr>
        <w:t xml:space="preserve">ice providers. The NTG supports </w:t>
      </w:r>
      <w:r w:rsidR="00782CC0" w:rsidRPr="00B37F96">
        <w:rPr>
          <w:spacing w:val="-2"/>
        </w:rPr>
        <w:t>Draft Recommendation</w:t>
      </w:r>
      <w:r w:rsidR="00782CC0">
        <w:rPr>
          <w:spacing w:val="-2"/>
        </w:rPr>
        <w:t> 6.5 </w:t>
      </w:r>
      <w:r w:rsidR="00BB311A">
        <w:rPr>
          <w:spacing w:val="-2"/>
        </w:rPr>
        <w:t>in</w:t>
      </w:r>
      <w:r w:rsidR="00782CC0">
        <w:rPr>
          <w:spacing w:val="-2"/>
        </w:rPr>
        <w:t> </w:t>
      </w:r>
      <w:r w:rsidR="00BB311A">
        <w:rPr>
          <w:spacing w:val="-2"/>
        </w:rPr>
        <w:t>principle</w:t>
      </w:r>
      <w:r w:rsidR="00782CC0">
        <w:rPr>
          <w:spacing w:val="-2"/>
        </w:rPr>
        <w:t>,</w:t>
      </w:r>
      <w:r w:rsidRPr="00B37F96">
        <w:rPr>
          <w:spacing w:val="-2"/>
        </w:rPr>
        <w:t xml:space="preserve"> </w:t>
      </w:r>
      <w:r w:rsidR="00782CC0">
        <w:rPr>
          <w:spacing w:val="-2"/>
        </w:rPr>
        <w:t>to publish</w:t>
      </w:r>
      <w:r w:rsidRPr="00B37F96">
        <w:rPr>
          <w:spacing w:val="-2"/>
        </w:rPr>
        <w:t xml:space="preserve"> information on available social housing properties, including waiting times and regulatory reports.</w:t>
      </w:r>
    </w:p>
    <w:p w14:paraId="26743DE4" w14:textId="77777777" w:rsidR="00921AF7" w:rsidRDefault="00921AF7" w:rsidP="00921AF7">
      <w:pPr>
        <w:pStyle w:val="CGCBulletlist"/>
        <w:rPr>
          <w:spacing w:val="-2"/>
        </w:rPr>
      </w:pPr>
    </w:p>
    <w:p w14:paraId="3D979662" w14:textId="73768FB6" w:rsidR="00716EF1" w:rsidRPr="00921AF7" w:rsidRDefault="00716EF1" w:rsidP="00921AF7">
      <w:pPr>
        <w:pStyle w:val="CGCBulletlist"/>
        <w:rPr>
          <w:spacing w:val="-2"/>
        </w:rPr>
      </w:pPr>
      <w:r w:rsidRPr="00B37F96">
        <w:rPr>
          <w:i/>
          <w:color w:val="E36C0A" w:themeColor="accent6" w:themeShade="BF"/>
        </w:rPr>
        <w:t xml:space="preserve">Family and </w:t>
      </w:r>
      <w:r w:rsidR="00FC409C" w:rsidRPr="00B37F96">
        <w:rPr>
          <w:i/>
          <w:color w:val="E36C0A" w:themeColor="accent6" w:themeShade="BF"/>
        </w:rPr>
        <w:t>c</w:t>
      </w:r>
      <w:r w:rsidRPr="00B37F96">
        <w:rPr>
          <w:i/>
          <w:color w:val="E36C0A" w:themeColor="accent6" w:themeShade="BF"/>
        </w:rPr>
        <w:t xml:space="preserve">ommunity </w:t>
      </w:r>
      <w:r w:rsidR="00FC409C" w:rsidRPr="00B37F96">
        <w:rPr>
          <w:i/>
          <w:color w:val="E36C0A" w:themeColor="accent6" w:themeShade="BF"/>
        </w:rPr>
        <w:t>s</w:t>
      </w:r>
      <w:r w:rsidRPr="00B37F96">
        <w:rPr>
          <w:i/>
          <w:color w:val="E36C0A" w:themeColor="accent6" w:themeShade="BF"/>
        </w:rPr>
        <w:t>ervices</w:t>
      </w:r>
    </w:p>
    <w:p w14:paraId="7B70F90D" w14:textId="3C549DB6" w:rsidR="00716EF1" w:rsidRPr="00B37F96" w:rsidRDefault="00BB311A" w:rsidP="00051841">
      <w:pPr>
        <w:pStyle w:val="CGCBulletlist"/>
        <w:rPr>
          <w:spacing w:val="-2"/>
        </w:rPr>
      </w:pPr>
      <w:r>
        <w:rPr>
          <w:spacing w:val="-2"/>
        </w:rPr>
        <w:t>The NTG </w:t>
      </w:r>
      <w:r w:rsidR="00716EF1" w:rsidRPr="00B37F96">
        <w:rPr>
          <w:spacing w:val="-2"/>
        </w:rPr>
        <w:t>supports the application of consistent outcomes measures as outli</w:t>
      </w:r>
      <w:r>
        <w:rPr>
          <w:spacing w:val="-2"/>
        </w:rPr>
        <w:t>ned in Draft Recommendation 7.3 </w:t>
      </w:r>
      <w:r w:rsidR="00716EF1" w:rsidRPr="00B37F96">
        <w:rPr>
          <w:spacing w:val="-2"/>
        </w:rPr>
        <w:t>and improved data collection. Syst</w:t>
      </w:r>
      <w:r>
        <w:rPr>
          <w:spacing w:val="-2"/>
        </w:rPr>
        <w:t>ems improvement is supported in</w:t>
      </w:r>
      <w:r w:rsidR="00782CC0">
        <w:rPr>
          <w:spacing w:val="-2"/>
        </w:rPr>
        <w:t> </w:t>
      </w:r>
      <w:r w:rsidR="00716EF1" w:rsidRPr="00B37F96">
        <w:rPr>
          <w:spacing w:val="-2"/>
        </w:rPr>
        <w:t>principle</w:t>
      </w:r>
      <w:r>
        <w:rPr>
          <w:spacing w:val="-2"/>
        </w:rPr>
        <w:t>,</w:t>
      </w:r>
      <w:r w:rsidR="00716EF1" w:rsidRPr="00B37F96">
        <w:rPr>
          <w:spacing w:val="-2"/>
        </w:rPr>
        <w:t xml:space="preserve"> but w</w:t>
      </w:r>
      <w:r>
        <w:rPr>
          <w:spacing w:val="-2"/>
        </w:rPr>
        <w:t>ill</w:t>
      </w:r>
      <w:r w:rsidR="00716EF1" w:rsidRPr="00B37F96">
        <w:rPr>
          <w:spacing w:val="-2"/>
        </w:rPr>
        <w:t xml:space="preserve"> be complex and expensive</w:t>
      </w:r>
      <w:r>
        <w:rPr>
          <w:spacing w:val="-2"/>
        </w:rPr>
        <w:t xml:space="preserve"> to undertake</w:t>
      </w:r>
      <w:r w:rsidR="00716EF1" w:rsidRPr="00B37F96">
        <w:rPr>
          <w:spacing w:val="-2"/>
        </w:rPr>
        <w:t>.</w:t>
      </w:r>
    </w:p>
    <w:p w14:paraId="380F648E" w14:textId="77777777" w:rsidR="00716EF1" w:rsidRPr="00B37F96" w:rsidRDefault="00716EF1" w:rsidP="00051841">
      <w:pPr>
        <w:pStyle w:val="CGCBulletlist"/>
        <w:rPr>
          <w:spacing w:val="-2"/>
        </w:rPr>
      </w:pPr>
    </w:p>
    <w:p w14:paraId="419166BD" w14:textId="08B1589F" w:rsidR="00716EF1" w:rsidRPr="00B37F96" w:rsidRDefault="00BB311A" w:rsidP="00051841">
      <w:pPr>
        <w:pStyle w:val="CGCBulletlist"/>
        <w:rPr>
          <w:spacing w:val="-2"/>
        </w:rPr>
      </w:pPr>
      <w:r>
        <w:rPr>
          <w:spacing w:val="-2"/>
        </w:rPr>
        <w:t>The NTG </w:t>
      </w:r>
      <w:r w:rsidR="00716EF1" w:rsidRPr="00B37F96">
        <w:rPr>
          <w:spacing w:val="-2"/>
        </w:rPr>
        <w:t xml:space="preserve">is supportive of longer term contracts for providers of family </w:t>
      </w:r>
      <w:r>
        <w:rPr>
          <w:spacing w:val="-2"/>
        </w:rPr>
        <w:t xml:space="preserve">and community services, and </w:t>
      </w:r>
      <w:r w:rsidR="00716EF1" w:rsidRPr="00B37F96">
        <w:rPr>
          <w:spacing w:val="-2"/>
        </w:rPr>
        <w:t xml:space="preserve">is in </w:t>
      </w:r>
      <w:r>
        <w:rPr>
          <w:spacing w:val="-2"/>
        </w:rPr>
        <w:t>the process of introducing five</w:t>
      </w:r>
      <w:r w:rsidR="00782CC0">
        <w:rPr>
          <w:spacing w:val="-2"/>
        </w:rPr>
        <w:t>-</w:t>
      </w:r>
      <w:r w:rsidR="00716EF1" w:rsidRPr="00B37F96">
        <w:rPr>
          <w:spacing w:val="-2"/>
        </w:rPr>
        <w:t>year funding agr</w:t>
      </w:r>
      <w:r>
        <w:rPr>
          <w:spacing w:val="-2"/>
        </w:rPr>
        <w:t>eements for</w:t>
      </w:r>
      <w:r w:rsidR="00716EF1" w:rsidRPr="00B37F96">
        <w:rPr>
          <w:spacing w:val="-2"/>
        </w:rPr>
        <w:t xml:space="preserve"> service</w:t>
      </w:r>
      <w:r>
        <w:rPr>
          <w:spacing w:val="-2"/>
        </w:rPr>
        <w:t xml:space="preserve"> provider</w:t>
      </w:r>
      <w:r w:rsidR="00716EF1" w:rsidRPr="00B37F96">
        <w:rPr>
          <w:spacing w:val="-2"/>
        </w:rPr>
        <w:t>s. At this stage the NTG</w:t>
      </w:r>
      <w:r>
        <w:rPr>
          <w:spacing w:val="-2"/>
        </w:rPr>
        <w:t> </w:t>
      </w:r>
      <w:r w:rsidR="00716EF1" w:rsidRPr="00B37F96">
        <w:rPr>
          <w:spacing w:val="-2"/>
        </w:rPr>
        <w:t>is not considering seven</w:t>
      </w:r>
      <w:r w:rsidR="00782CC0">
        <w:rPr>
          <w:spacing w:val="-2"/>
        </w:rPr>
        <w:t>-</w:t>
      </w:r>
      <w:r w:rsidR="00716EF1" w:rsidRPr="00B37F96">
        <w:rPr>
          <w:spacing w:val="-2"/>
        </w:rPr>
        <w:t xml:space="preserve">year contracts as a default option, </w:t>
      </w:r>
      <w:r>
        <w:rPr>
          <w:spacing w:val="-2"/>
        </w:rPr>
        <w:t>but there may be scope for five</w:t>
      </w:r>
      <w:r w:rsidR="00782CC0">
        <w:rPr>
          <w:spacing w:val="-2"/>
        </w:rPr>
        <w:t>-</w:t>
      </w:r>
      <w:r w:rsidR="00716EF1" w:rsidRPr="00B37F96">
        <w:rPr>
          <w:spacing w:val="-2"/>
        </w:rPr>
        <w:t>year contracts with a possible extension of two years. This Draft Recommendation would require a commitment to policy durability across all levels of government for at least seven years, and to date there are limited examples of this occurring.</w:t>
      </w:r>
    </w:p>
    <w:p w14:paraId="021F419F" w14:textId="77777777" w:rsidR="00FC409C" w:rsidRPr="00B37F96" w:rsidRDefault="00FC409C" w:rsidP="00051841">
      <w:pPr>
        <w:pStyle w:val="CGCBulletlist"/>
        <w:rPr>
          <w:spacing w:val="-2"/>
        </w:rPr>
      </w:pPr>
    </w:p>
    <w:p w14:paraId="042525E4" w14:textId="77777777" w:rsidR="00FC409C" w:rsidRPr="00B37F96" w:rsidRDefault="00FC409C" w:rsidP="00B37F96">
      <w:pPr>
        <w:rPr>
          <w:i/>
          <w:color w:val="E36C0A" w:themeColor="accent6" w:themeShade="BF"/>
        </w:rPr>
      </w:pPr>
      <w:r w:rsidRPr="00B37F96">
        <w:rPr>
          <w:i/>
          <w:color w:val="E36C0A" w:themeColor="accent6" w:themeShade="BF"/>
        </w:rPr>
        <w:t>Services in remote Indigenous communities</w:t>
      </w:r>
    </w:p>
    <w:p w14:paraId="202B46FE" w14:textId="71EA8317" w:rsidR="00FC409C" w:rsidRPr="00B37F96" w:rsidRDefault="00FC409C" w:rsidP="00FC409C">
      <w:pPr>
        <w:rPr>
          <w:spacing w:val="-2"/>
        </w:rPr>
      </w:pPr>
      <w:r w:rsidRPr="00B37F96">
        <w:rPr>
          <w:spacing w:val="-2"/>
        </w:rPr>
        <w:t>The services identified for reform in re</w:t>
      </w:r>
      <w:r w:rsidR="00D815FC">
        <w:rPr>
          <w:spacing w:val="-2"/>
        </w:rPr>
        <w:t>mote Aboriginal communities would</w:t>
      </w:r>
      <w:r w:rsidRPr="00B37F96">
        <w:rPr>
          <w:spacing w:val="-2"/>
        </w:rPr>
        <w:t xml:space="preserve"> require changes</w:t>
      </w:r>
      <w:r w:rsidR="004E51D0">
        <w:rPr>
          <w:spacing w:val="-2"/>
        </w:rPr>
        <w:t xml:space="preserve"> </w:t>
      </w:r>
      <w:r w:rsidRPr="00B37F96">
        <w:rPr>
          <w:spacing w:val="-2"/>
        </w:rPr>
        <w:t>in workforce capacity and service providers’ capability to provide flexible</w:t>
      </w:r>
      <w:r w:rsidR="004E51D0">
        <w:rPr>
          <w:spacing w:val="-2"/>
        </w:rPr>
        <w:t xml:space="preserve"> ‘user choice’. The</w:t>
      </w:r>
      <w:r w:rsidRPr="00B37F96">
        <w:rPr>
          <w:spacing w:val="-2"/>
        </w:rPr>
        <w:t xml:space="preserve"> remoteness of many Aboriginal communities and the number of services funded or delivered by the NTG </w:t>
      </w:r>
      <w:r w:rsidR="004E51D0">
        <w:rPr>
          <w:spacing w:val="-2"/>
        </w:rPr>
        <w:t xml:space="preserve">may </w:t>
      </w:r>
      <w:r w:rsidRPr="00B37F96">
        <w:rPr>
          <w:spacing w:val="-2"/>
        </w:rPr>
        <w:t>restrict the ability to apply the competition principles and user choice.</w:t>
      </w:r>
    </w:p>
    <w:p w14:paraId="374F3A5C" w14:textId="77777777" w:rsidR="00554FEE" w:rsidRPr="00B37F96" w:rsidRDefault="00554FEE" w:rsidP="00FC409C">
      <w:pPr>
        <w:rPr>
          <w:spacing w:val="-2"/>
        </w:rPr>
      </w:pPr>
    </w:p>
    <w:p w14:paraId="757E9992" w14:textId="77777777" w:rsidR="00554FEE" w:rsidRPr="00B37F96" w:rsidRDefault="00554FEE" w:rsidP="00B37F96">
      <w:pPr>
        <w:rPr>
          <w:i/>
          <w:color w:val="E36C0A" w:themeColor="accent6" w:themeShade="BF"/>
        </w:rPr>
      </w:pPr>
      <w:r w:rsidRPr="00B37F96">
        <w:rPr>
          <w:i/>
          <w:color w:val="E36C0A" w:themeColor="accent6" w:themeShade="BF"/>
        </w:rPr>
        <w:t>Public hospital services</w:t>
      </w:r>
    </w:p>
    <w:p w14:paraId="5067CFBD" w14:textId="69BB7F0D" w:rsidR="00133959" w:rsidRPr="00B37F96" w:rsidRDefault="00133959" w:rsidP="00133959">
      <w:pPr>
        <w:rPr>
          <w:spacing w:val="-2"/>
        </w:rPr>
      </w:pPr>
      <w:r w:rsidRPr="00B37F96">
        <w:rPr>
          <w:spacing w:val="-2"/>
        </w:rPr>
        <w:t>The NTG supports further consideration of recommendations to increase patient c</w:t>
      </w:r>
      <w:r w:rsidR="004E51D0">
        <w:rPr>
          <w:spacing w:val="-2"/>
        </w:rPr>
        <w:t>hoice, noting that</w:t>
      </w:r>
      <w:r w:rsidR="00237D13">
        <w:rPr>
          <w:spacing w:val="-2"/>
        </w:rPr>
        <w:t xml:space="preserve"> </w:t>
      </w:r>
      <w:r w:rsidRPr="00B37F96">
        <w:rPr>
          <w:spacing w:val="-2"/>
        </w:rPr>
        <w:t>thin market</w:t>
      </w:r>
      <w:r w:rsidR="00237D13">
        <w:rPr>
          <w:spacing w:val="-2"/>
        </w:rPr>
        <w:t>s</w:t>
      </w:r>
      <w:r w:rsidRPr="00B37F96">
        <w:rPr>
          <w:spacing w:val="-2"/>
        </w:rPr>
        <w:t xml:space="preserve"> in specialist servi</w:t>
      </w:r>
      <w:r w:rsidR="00237D13">
        <w:rPr>
          <w:spacing w:val="-2"/>
        </w:rPr>
        <w:t>ces will mean that patients</w:t>
      </w:r>
      <w:r w:rsidRPr="00B37F96">
        <w:rPr>
          <w:spacing w:val="-2"/>
        </w:rPr>
        <w:t xml:space="preserve"> have limited choice of specialists</w:t>
      </w:r>
      <w:r w:rsidR="00237D13">
        <w:rPr>
          <w:spacing w:val="-2"/>
        </w:rPr>
        <w:t>,</w:t>
      </w:r>
      <w:r w:rsidRPr="00B37F96">
        <w:rPr>
          <w:spacing w:val="-2"/>
        </w:rPr>
        <w:t xml:space="preserve"> which can affect waiting times. Access to remote referral and appointments is one meas</w:t>
      </w:r>
      <w:r w:rsidR="00237D13">
        <w:rPr>
          <w:spacing w:val="-2"/>
        </w:rPr>
        <w:t>ure to support improved access.</w:t>
      </w:r>
    </w:p>
    <w:p w14:paraId="037D0F19" w14:textId="77777777" w:rsidR="00554FEE" w:rsidRPr="00B37F96" w:rsidRDefault="00554FEE" w:rsidP="00FC409C">
      <w:pPr>
        <w:rPr>
          <w:spacing w:val="-2"/>
        </w:rPr>
      </w:pPr>
    </w:p>
    <w:p w14:paraId="6FB8E5C8" w14:textId="77777777" w:rsidR="00554FEE" w:rsidRPr="00B37F96" w:rsidRDefault="00554FEE" w:rsidP="00B37F96">
      <w:pPr>
        <w:rPr>
          <w:i/>
          <w:color w:val="E36C0A" w:themeColor="accent6" w:themeShade="BF"/>
        </w:rPr>
      </w:pPr>
      <w:r w:rsidRPr="00B37F96">
        <w:rPr>
          <w:i/>
          <w:color w:val="E36C0A" w:themeColor="accent6" w:themeShade="BF"/>
        </w:rPr>
        <w:t>Public dental services</w:t>
      </w:r>
    </w:p>
    <w:p w14:paraId="2EF0BC27" w14:textId="4F97B66E" w:rsidR="00133959" w:rsidRPr="00B37F96" w:rsidRDefault="00133959" w:rsidP="00133959">
      <w:pPr>
        <w:rPr>
          <w:spacing w:val="-2"/>
        </w:rPr>
      </w:pPr>
      <w:r w:rsidRPr="00B37F96">
        <w:rPr>
          <w:spacing w:val="-2"/>
        </w:rPr>
        <w:t xml:space="preserve">The NTG supports Draft Recommendation 11.2 regarding establishing an outcomes framework for public dental services. </w:t>
      </w:r>
      <w:r w:rsidRPr="00B37F96">
        <w:rPr>
          <w:rFonts w:cstheme="minorHAnsi"/>
          <w:spacing w:val="-2"/>
        </w:rPr>
        <w:t xml:space="preserve">This </w:t>
      </w:r>
      <w:r w:rsidR="00237D13">
        <w:rPr>
          <w:rFonts w:cstheme="minorHAnsi"/>
          <w:spacing w:val="-2"/>
        </w:rPr>
        <w:t>r</w:t>
      </w:r>
      <w:r w:rsidRPr="00B37F96">
        <w:rPr>
          <w:rFonts w:cstheme="minorHAnsi"/>
          <w:spacing w:val="-2"/>
        </w:rPr>
        <w:t xml:space="preserve">ecommendation currently places the responsibility solely on </w:t>
      </w:r>
      <w:r w:rsidR="003822B4">
        <w:rPr>
          <w:rFonts w:cstheme="minorHAnsi"/>
          <w:spacing w:val="-2"/>
        </w:rPr>
        <w:t>s</w:t>
      </w:r>
      <w:r w:rsidR="003822B4" w:rsidRPr="00B37F96">
        <w:rPr>
          <w:rFonts w:cstheme="minorHAnsi"/>
          <w:spacing w:val="-2"/>
        </w:rPr>
        <w:t xml:space="preserve">tate </w:t>
      </w:r>
      <w:r w:rsidRPr="00B37F96">
        <w:rPr>
          <w:rFonts w:cstheme="minorHAnsi"/>
          <w:spacing w:val="-2"/>
        </w:rPr>
        <w:t xml:space="preserve">and </w:t>
      </w:r>
      <w:r w:rsidR="003822B4">
        <w:rPr>
          <w:rFonts w:cstheme="minorHAnsi"/>
          <w:spacing w:val="-2"/>
        </w:rPr>
        <w:t>t</w:t>
      </w:r>
      <w:r w:rsidR="003822B4" w:rsidRPr="00B37F96">
        <w:rPr>
          <w:rFonts w:cstheme="minorHAnsi"/>
          <w:spacing w:val="-2"/>
        </w:rPr>
        <w:t xml:space="preserve">erritory </w:t>
      </w:r>
      <w:r w:rsidRPr="00B37F96">
        <w:rPr>
          <w:rFonts w:cstheme="minorHAnsi"/>
          <w:spacing w:val="-2"/>
        </w:rPr>
        <w:t>governments to commit to outcome</w:t>
      </w:r>
      <w:r w:rsidR="00237D13">
        <w:rPr>
          <w:rFonts w:cstheme="minorHAnsi"/>
          <w:spacing w:val="-2"/>
        </w:rPr>
        <w:noBreakHyphen/>
      </w:r>
      <w:r w:rsidRPr="00B37F96">
        <w:rPr>
          <w:rFonts w:cstheme="minorHAnsi"/>
          <w:spacing w:val="-2"/>
        </w:rPr>
        <w:t>focused report</w:t>
      </w:r>
      <w:r w:rsidR="00237D13">
        <w:rPr>
          <w:rFonts w:cstheme="minorHAnsi"/>
          <w:spacing w:val="-2"/>
        </w:rPr>
        <w:t>ing. The Commonwealth</w:t>
      </w:r>
      <w:r w:rsidRPr="00B37F96">
        <w:rPr>
          <w:rFonts w:cstheme="minorHAnsi"/>
          <w:spacing w:val="-2"/>
        </w:rPr>
        <w:t xml:space="preserve">’s responsibilities should be similarly articulated. </w:t>
      </w:r>
      <w:r w:rsidR="00237D13">
        <w:rPr>
          <w:spacing w:val="-2"/>
        </w:rPr>
        <w:t>The NTG gives in</w:t>
      </w:r>
      <w:r w:rsidR="00237D13">
        <w:rPr>
          <w:spacing w:val="-2"/>
        </w:rPr>
        <w:noBreakHyphen/>
      </w:r>
      <w:r w:rsidRPr="00B37F96">
        <w:rPr>
          <w:spacing w:val="-2"/>
        </w:rPr>
        <w:t>principle support to the development of comprehensive digital oral health records in Draft Recommendation 11.3, noting that further integration with national health systems will support more coordinated patient care.</w:t>
      </w:r>
    </w:p>
    <w:p w14:paraId="646EE0B5" w14:textId="77777777" w:rsidR="00133959" w:rsidRPr="00B37F96" w:rsidRDefault="00133959" w:rsidP="00133959">
      <w:pPr>
        <w:rPr>
          <w:spacing w:val="-2"/>
        </w:rPr>
      </w:pPr>
    </w:p>
    <w:p w14:paraId="1A328D30" w14:textId="359E82A7" w:rsidR="00E536DE" w:rsidRDefault="00133959" w:rsidP="00051841">
      <w:pPr>
        <w:rPr>
          <w:spacing w:val="-2"/>
        </w:rPr>
      </w:pPr>
      <w:r w:rsidRPr="00B37F96">
        <w:rPr>
          <w:spacing w:val="-2"/>
        </w:rPr>
        <w:t>Draft Recommendation 12.1 r</w:t>
      </w:r>
      <w:r w:rsidR="00237D13">
        <w:rPr>
          <w:spacing w:val="-2"/>
        </w:rPr>
        <w:t>egarding consumer directed care</w:t>
      </w:r>
      <w:r w:rsidRPr="00B37F96">
        <w:rPr>
          <w:spacing w:val="-2"/>
        </w:rPr>
        <w:t xml:space="preserve"> aims to ensure patients are offered a choice of provider, and to shift the focus of public dental services towards prevention and early intervention. This is a</w:t>
      </w:r>
      <w:r w:rsidR="00237D13">
        <w:rPr>
          <w:spacing w:val="-2"/>
        </w:rPr>
        <w:t xml:space="preserve"> complex proposal, and the risks require detailed consideration</w:t>
      </w:r>
      <w:r w:rsidRPr="00B37F96">
        <w:rPr>
          <w:spacing w:val="-2"/>
        </w:rPr>
        <w:t>. Significant financial investment (</w:t>
      </w:r>
      <w:r w:rsidR="003822B4">
        <w:rPr>
          <w:spacing w:val="-2"/>
        </w:rPr>
        <w:t>s</w:t>
      </w:r>
      <w:r w:rsidR="003822B4" w:rsidRPr="00B37F96">
        <w:rPr>
          <w:spacing w:val="-2"/>
        </w:rPr>
        <w:t>tate</w:t>
      </w:r>
      <w:r w:rsidRPr="00B37F96">
        <w:rPr>
          <w:spacing w:val="-2"/>
        </w:rPr>
        <w:t xml:space="preserve">, </w:t>
      </w:r>
      <w:r w:rsidR="003822B4">
        <w:rPr>
          <w:spacing w:val="-2"/>
        </w:rPr>
        <w:t>t</w:t>
      </w:r>
      <w:r w:rsidR="003822B4" w:rsidRPr="00B37F96">
        <w:rPr>
          <w:spacing w:val="-2"/>
        </w:rPr>
        <w:t>erritory</w:t>
      </w:r>
      <w:r w:rsidR="003822B4">
        <w:rPr>
          <w:spacing w:val="-2"/>
        </w:rPr>
        <w:t xml:space="preserve"> </w:t>
      </w:r>
      <w:r w:rsidR="00237D13">
        <w:rPr>
          <w:spacing w:val="-2"/>
        </w:rPr>
        <w:t>and Commonwealth) and long</w:t>
      </w:r>
      <w:r w:rsidRPr="00B37F96">
        <w:rPr>
          <w:spacing w:val="-2"/>
        </w:rPr>
        <w:t xml:space="preserve"> timeframes would be required to implement this reform</w:t>
      </w:r>
      <w:r w:rsidR="00237D13">
        <w:rPr>
          <w:spacing w:val="-2"/>
        </w:rPr>
        <w:t>.</w:t>
      </w:r>
      <w:r w:rsidR="00922AC9" w:rsidRPr="00B37F96">
        <w:rPr>
          <w:spacing w:val="-2"/>
        </w:rPr>
        <w:br w:type="page"/>
      </w:r>
    </w:p>
    <w:p w14:paraId="1E3E35FB" w14:textId="77777777" w:rsidR="00E536DE" w:rsidRDefault="00E536DE">
      <w:pPr>
        <w:tabs>
          <w:tab w:val="clear" w:pos="1134"/>
        </w:tabs>
        <w:spacing w:before="0" w:after="200" w:line="276" w:lineRule="auto"/>
        <w:rPr>
          <w:spacing w:val="-2"/>
        </w:rPr>
        <w:sectPr w:rsidR="00E536DE" w:rsidSect="00694FC0">
          <w:footerReference w:type="default" r:id="rId15"/>
          <w:headerReference w:type="first" r:id="rId16"/>
          <w:footerReference w:type="first" r:id="rId17"/>
          <w:pgSz w:w="11906" w:h="16838" w:code="9"/>
          <w:pgMar w:top="992" w:right="1418" w:bottom="1021" w:left="1440" w:header="709" w:footer="709" w:gutter="0"/>
          <w:pgNumType w:start="1"/>
          <w:cols w:space="708"/>
          <w:titlePg/>
          <w:docGrid w:linePitch="360"/>
        </w:sectPr>
      </w:pPr>
      <w:r>
        <w:rPr>
          <w:spacing w:val="-2"/>
        </w:rPr>
        <w:lastRenderedPageBreak/>
        <w:br w:type="page"/>
      </w:r>
    </w:p>
    <w:p w14:paraId="205F1D17" w14:textId="3B8BE604" w:rsidR="00105860" w:rsidRPr="00B37F96" w:rsidRDefault="00DB6BB2" w:rsidP="00051841">
      <w:pPr>
        <w:pStyle w:val="Heading2"/>
        <w:rPr>
          <w:spacing w:val="-2"/>
        </w:rPr>
      </w:pPr>
      <w:bookmarkStart w:id="2" w:name="_Toc490477135"/>
      <w:r w:rsidRPr="00B37F96">
        <w:rPr>
          <w:spacing w:val="-2"/>
        </w:rPr>
        <w:lastRenderedPageBreak/>
        <w:t>End-of-life care</w:t>
      </w:r>
      <w:bookmarkEnd w:id="2"/>
    </w:p>
    <w:p w14:paraId="148F118D" w14:textId="333AAE4A" w:rsidR="00133959" w:rsidRPr="00B37F96" w:rsidRDefault="0082303A" w:rsidP="00133959">
      <w:pPr>
        <w:rPr>
          <w:spacing w:val="-2"/>
        </w:rPr>
      </w:pPr>
      <w:r>
        <w:rPr>
          <w:spacing w:val="-2"/>
        </w:rPr>
        <w:t>The NTG gives in</w:t>
      </w:r>
      <w:r>
        <w:rPr>
          <w:spacing w:val="-2"/>
        </w:rPr>
        <w:noBreakHyphen/>
      </w:r>
      <w:r w:rsidR="00133959" w:rsidRPr="00B37F96">
        <w:rPr>
          <w:spacing w:val="-2"/>
        </w:rPr>
        <w:t>principle supp</w:t>
      </w:r>
      <w:r>
        <w:rPr>
          <w:spacing w:val="-2"/>
        </w:rPr>
        <w:t>ort to Draft Recommendation 4.1 </w:t>
      </w:r>
      <w:r w:rsidR="00133959" w:rsidRPr="00B37F96">
        <w:rPr>
          <w:spacing w:val="-2"/>
        </w:rPr>
        <w:t xml:space="preserve">that people with a preference to die at home should be able to access support from </w:t>
      </w:r>
      <w:r w:rsidR="00694FC0">
        <w:rPr>
          <w:spacing w:val="-2"/>
        </w:rPr>
        <w:t>end-</w:t>
      </w:r>
      <w:r w:rsidR="00133959" w:rsidRPr="00B37F96">
        <w:rPr>
          <w:spacing w:val="-2"/>
        </w:rPr>
        <w:t>of</w:t>
      </w:r>
      <w:r w:rsidR="00694FC0">
        <w:rPr>
          <w:spacing w:val="-2"/>
        </w:rPr>
        <w:t>-</w:t>
      </w:r>
      <w:r w:rsidR="00133959" w:rsidRPr="00B37F96">
        <w:rPr>
          <w:spacing w:val="-2"/>
        </w:rPr>
        <w:t>life care services to enable them to do so. The NTG supp</w:t>
      </w:r>
      <w:r w:rsidR="00694FC0">
        <w:rPr>
          <w:spacing w:val="-2"/>
        </w:rPr>
        <w:t>orts flexible approaches to end-of-</w:t>
      </w:r>
      <w:r w:rsidR="00133959" w:rsidRPr="00B37F96">
        <w:rPr>
          <w:spacing w:val="-2"/>
        </w:rPr>
        <w:t>life care. Appr</w:t>
      </w:r>
      <w:r>
        <w:rPr>
          <w:spacing w:val="-2"/>
        </w:rPr>
        <w:t>oximately 150 people are under end</w:t>
      </w:r>
      <w:r>
        <w:rPr>
          <w:spacing w:val="-2"/>
        </w:rPr>
        <w:noBreakHyphen/>
        <w:t>of</w:t>
      </w:r>
      <w:r>
        <w:rPr>
          <w:spacing w:val="-2"/>
        </w:rPr>
        <w:noBreakHyphen/>
        <w:t>life</w:t>
      </w:r>
      <w:r w:rsidR="00133959" w:rsidRPr="00B37F96">
        <w:rPr>
          <w:spacing w:val="-2"/>
        </w:rPr>
        <w:t xml:space="preserve"> care management at any one time in the </w:t>
      </w:r>
      <w:r w:rsidR="00694FC0">
        <w:rPr>
          <w:spacing w:val="-2"/>
        </w:rPr>
        <w:t>Northern Territory</w:t>
      </w:r>
      <w:r w:rsidR="00133959" w:rsidRPr="00B37F96">
        <w:rPr>
          <w:spacing w:val="-2"/>
        </w:rPr>
        <w:t xml:space="preserve">. Of these around 20 will be in hospice </w:t>
      </w:r>
      <w:r>
        <w:rPr>
          <w:spacing w:val="-2"/>
        </w:rPr>
        <w:t>or hospital settings, around 25 or 30 w</w:t>
      </w:r>
      <w:r w:rsidR="00133959" w:rsidRPr="00B37F96">
        <w:rPr>
          <w:spacing w:val="-2"/>
        </w:rPr>
        <w:t>ill be in residential aged</w:t>
      </w:r>
      <w:r w:rsidR="00694FC0">
        <w:rPr>
          <w:spacing w:val="-2"/>
        </w:rPr>
        <w:t>-</w:t>
      </w:r>
      <w:r w:rsidR="00133959" w:rsidRPr="00B37F96">
        <w:rPr>
          <w:spacing w:val="-2"/>
        </w:rPr>
        <w:t>care facilities and the remainder will be accessing community</w:t>
      </w:r>
      <w:r w:rsidR="00133959" w:rsidRPr="00B37F96">
        <w:rPr>
          <w:spacing w:val="-2"/>
        </w:rPr>
        <w:noBreakHyphen/>
        <w:t>based support. These palliative care services are delivered to patients using a mix of public, for</w:t>
      </w:r>
      <w:r w:rsidR="003822B4">
        <w:rPr>
          <w:spacing w:val="-2"/>
        </w:rPr>
        <w:t>-</w:t>
      </w:r>
      <w:r w:rsidR="00133959" w:rsidRPr="00B37F96">
        <w:rPr>
          <w:spacing w:val="-2"/>
        </w:rPr>
        <w:t>profit</w:t>
      </w:r>
      <w:r w:rsidR="00694FC0">
        <w:rPr>
          <w:spacing w:val="-2"/>
        </w:rPr>
        <w:t>,</w:t>
      </w:r>
      <w:r w:rsidR="00133959" w:rsidRPr="00B37F96">
        <w:rPr>
          <w:spacing w:val="-2"/>
        </w:rPr>
        <w:t xml:space="preserve"> and not</w:t>
      </w:r>
      <w:r w:rsidR="00DC7347">
        <w:rPr>
          <w:spacing w:val="-2"/>
        </w:rPr>
        <w:t>-</w:t>
      </w:r>
      <w:r w:rsidR="00133959" w:rsidRPr="00B37F96">
        <w:rPr>
          <w:spacing w:val="-2"/>
        </w:rPr>
        <w:t>for</w:t>
      </w:r>
      <w:r w:rsidR="00DC7347">
        <w:rPr>
          <w:spacing w:val="-2"/>
        </w:rPr>
        <w:t>-</w:t>
      </w:r>
      <w:r w:rsidR="00133959" w:rsidRPr="00B37F96">
        <w:rPr>
          <w:spacing w:val="-2"/>
        </w:rPr>
        <w:t>profit providers. It is anticipated that this model of pr</w:t>
      </w:r>
      <w:r>
        <w:rPr>
          <w:spacing w:val="-2"/>
        </w:rPr>
        <w:t>oviding services will continue.</w:t>
      </w:r>
    </w:p>
    <w:p w14:paraId="4FA10EA9" w14:textId="77777777" w:rsidR="00133959" w:rsidRPr="00B37F96" w:rsidRDefault="00133959" w:rsidP="00133959">
      <w:pPr>
        <w:rPr>
          <w:spacing w:val="-2"/>
        </w:rPr>
      </w:pPr>
    </w:p>
    <w:p w14:paraId="70BC4B53" w14:textId="374D1823" w:rsidR="00133959" w:rsidRPr="00B37F96" w:rsidRDefault="00133959" w:rsidP="00133959">
      <w:pPr>
        <w:rPr>
          <w:spacing w:val="-2"/>
        </w:rPr>
      </w:pPr>
      <w:r w:rsidRPr="00B37F96">
        <w:rPr>
          <w:spacing w:val="-2"/>
        </w:rPr>
        <w:t xml:space="preserve">The NTG anticipates that demand for palliative care ‘on country’ will be an area of service growth as the Aboriginal population in the </w:t>
      </w:r>
      <w:r w:rsidR="00DC7347">
        <w:rPr>
          <w:spacing w:val="-2"/>
        </w:rPr>
        <w:t>Northern Territory</w:t>
      </w:r>
      <w:r w:rsidRPr="00B37F96">
        <w:rPr>
          <w:spacing w:val="-2"/>
        </w:rPr>
        <w:t xml:space="preserve"> ages. Population ageing is by no means unique to the </w:t>
      </w:r>
      <w:r w:rsidR="00DC7347">
        <w:rPr>
          <w:spacing w:val="-2"/>
        </w:rPr>
        <w:t>Territory</w:t>
      </w:r>
      <w:r w:rsidRPr="00B37F96">
        <w:rPr>
          <w:spacing w:val="-2"/>
        </w:rPr>
        <w:t>, but the challenges of delivering culturally appropriate services to remote clients in a timely, consistent and cost</w:t>
      </w:r>
      <w:r w:rsidRPr="00B37F96">
        <w:rPr>
          <w:spacing w:val="-2"/>
        </w:rPr>
        <w:noBreakHyphen/>
        <w:t>effective manner are significant</w:t>
      </w:r>
      <w:r w:rsidR="00DC7347">
        <w:rPr>
          <w:spacing w:val="-2"/>
        </w:rPr>
        <w:t>,</w:t>
      </w:r>
      <w:r w:rsidRPr="00B37F96">
        <w:rPr>
          <w:spacing w:val="-2"/>
        </w:rPr>
        <w:t xml:space="preserve"> and will put considerable strain on resources.</w:t>
      </w:r>
    </w:p>
    <w:p w14:paraId="2C615F6C" w14:textId="77777777" w:rsidR="00143DDF" w:rsidRPr="00B37F96" w:rsidRDefault="00143DDF" w:rsidP="00051841">
      <w:pPr>
        <w:pStyle w:val="CGCBulletlist"/>
        <w:rPr>
          <w:spacing w:val="-2"/>
        </w:rPr>
      </w:pPr>
    </w:p>
    <w:p w14:paraId="2E967273" w14:textId="5F78FE43" w:rsidR="00143DDF" w:rsidRPr="00B37F96" w:rsidRDefault="00BA4975" w:rsidP="00051841">
      <w:pPr>
        <w:pStyle w:val="CGCBulletlist"/>
        <w:rPr>
          <w:spacing w:val="-2"/>
        </w:rPr>
      </w:pPr>
      <w:r w:rsidRPr="00B37F96">
        <w:rPr>
          <w:spacing w:val="-2"/>
        </w:rPr>
        <w:t>Citizens and governments would be assisted by analysis of the average costs of private residential care versus community</w:t>
      </w:r>
      <w:r w:rsidR="00DC7347">
        <w:rPr>
          <w:spacing w:val="-2"/>
        </w:rPr>
        <w:t>-</w:t>
      </w:r>
      <w:r w:rsidRPr="00B37F96">
        <w:rPr>
          <w:spacing w:val="-2"/>
        </w:rPr>
        <w:t>based palliative care providing the same level of service to better enable choice.</w:t>
      </w:r>
    </w:p>
    <w:p w14:paraId="51C00490" w14:textId="77777777" w:rsidR="00E536DE" w:rsidRDefault="00E536DE">
      <w:pPr>
        <w:tabs>
          <w:tab w:val="clear" w:pos="1134"/>
        </w:tabs>
        <w:spacing w:before="0" w:after="200" w:line="276" w:lineRule="auto"/>
        <w:rPr>
          <w:spacing w:val="-2"/>
        </w:rPr>
        <w:sectPr w:rsidR="00E536DE" w:rsidSect="00B86419">
          <w:headerReference w:type="default" r:id="rId18"/>
          <w:pgSz w:w="11906" w:h="16838" w:code="9"/>
          <w:pgMar w:top="993" w:right="1440" w:bottom="1135" w:left="1440" w:header="709" w:footer="709" w:gutter="0"/>
          <w:pgNumType w:start="9"/>
          <w:cols w:space="708"/>
          <w:docGrid w:linePitch="360"/>
        </w:sectPr>
      </w:pPr>
    </w:p>
    <w:p w14:paraId="1E8E1830" w14:textId="362B0BEE" w:rsidR="00DB6BB2" w:rsidRPr="00B37F96" w:rsidRDefault="00E536DE" w:rsidP="00051841">
      <w:pPr>
        <w:pStyle w:val="Heading2"/>
        <w:rPr>
          <w:spacing w:val="-2"/>
        </w:rPr>
      </w:pPr>
      <w:bookmarkStart w:id="3" w:name="_Toc490477136"/>
      <w:r>
        <w:rPr>
          <w:spacing w:val="-2"/>
        </w:rPr>
        <w:lastRenderedPageBreak/>
        <w:t>S</w:t>
      </w:r>
      <w:r w:rsidR="00DB6BB2" w:rsidRPr="00B37F96">
        <w:rPr>
          <w:spacing w:val="-2"/>
        </w:rPr>
        <w:t>ocial housing</w:t>
      </w:r>
      <w:bookmarkEnd w:id="3"/>
    </w:p>
    <w:p w14:paraId="4C42AAA0" w14:textId="77777777" w:rsidR="00DB6BB2" w:rsidRPr="00B37F96" w:rsidRDefault="00DB6BB2" w:rsidP="00DC69A4">
      <w:pPr>
        <w:pStyle w:val="Heading3"/>
        <w:rPr>
          <w:spacing w:val="-2"/>
        </w:rPr>
      </w:pPr>
      <w:bookmarkStart w:id="4" w:name="_Toc490477137"/>
      <w:r w:rsidRPr="00B37F96">
        <w:rPr>
          <w:spacing w:val="-2"/>
        </w:rPr>
        <w:t>Housing assistance</w:t>
      </w:r>
      <w:bookmarkEnd w:id="4"/>
    </w:p>
    <w:p w14:paraId="34989704" w14:textId="27620BA3" w:rsidR="00051841" w:rsidRPr="00B37F96" w:rsidRDefault="00051841" w:rsidP="00051841">
      <w:pPr>
        <w:rPr>
          <w:spacing w:val="-2"/>
        </w:rPr>
      </w:pPr>
      <w:r w:rsidRPr="00B37F96">
        <w:rPr>
          <w:spacing w:val="-2"/>
        </w:rPr>
        <w:t>The NTG gives in-principle support to Draft Recommendation 5.1 that the Commonwealth Government should enhance Commonwealth Rent Assistance (CRA) by extending coverage to tenants in public housing, increasing the current maximum by 15 per cent and indexing the maximum CRA payment to reflect changes in rental prices nationally.</w:t>
      </w:r>
      <w:r w:rsidR="0082303A">
        <w:rPr>
          <w:spacing w:val="-2"/>
        </w:rPr>
        <w:t xml:space="preserve"> The NTG </w:t>
      </w:r>
      <w:r w:rsidR="004F02DB" w:rsidRPr="00B37F96">
        <w:rPr>
          <w:spacing w:val="-2"/>
        </w:rPr>
        <w:t>suggests implementation of this recommendation should not be dependent on the introduction of market</w:t>
      </w:r>
      <w:r w:rsidR="0082303A">
        <w:rPr>
          <w:spacing w:val="-2"/>
        </w:rPr>
        <w:noBreakHyphen/>
      </w:r>
      <w:r w:rsidR="004F02DB" w:rsidRPr="00B37F96">
        <w:rPr>
          <w:spacing w:val="-2"/>
        </w:rPr>
        <w:t xml:space="preserve">based rents for </w:t>
      </w:r>
      <w:r w:rsidR="00651D38" w:rsidRPr="00B37F96">
        <w:rPr>
          <w:spacing w:val="-2"/>
        </w:rPr>
        <w:t>social housing.</w:t>
      </w:r>
    </w:p>
    <w:p w14:paraId="5CE63497" w14:textId="77777777" w:rsidR="00051841" w:rsidRPr="00B37F96" w:rsidRDefault="00051841" w:rsidP="00051841">
      <w:pPr>
        <w:rPr>
          <w:spacing w:val="-2"/>
        </w:rPr>
      </w:pPr>
    </w:p>
    <w:p w14:paraId="067C7148" w14:textId="01A48784" w:rsidR="00051841" w:rsidRPr="00B37F96" w:rsidRDefault="00051841" w:rsidP="00051841">
      <w:pPr>
        <w:rPr>
          <w:spacing w:val="-2"/>
        </w:rPr>
      </w:pPr>
      <w:r w:rsidRPr="00B37F96">
        <w:rPr>
          <w:spacing w:val="-2"/>
        </w:rPr>
        <w:t>There are challenges with the current system of housing assistance and the inequity that arises from differences in the level of assistance provided to people living in public housing compared with those in the private rental market. To improve affordability in the private market, increased CRA</w:t>
      </w:r>
      <w:r w:rsidR="00DC7347">
        <w:rPr>
          <w:spacing w:val="-2"/>
        </w:rPr>
        <w:t>,</w:t>
      </w:r>
      <w:r w:rsidRPr="00B37F96">
        <w:rPr>
          <w:spacing w:val="-2"/>
        </w:rPr>
        <w:t> and a flexible high cost housing payment may be neces</w:t>
      </w:r>
      <w:r w:rsidR="0082303A">
        <w:rPr>
          <w:spacing w:val="-2"/>
        </w:rPr>
        <w:t>sary. These payments may help</w:t>
      </w:r>
      <w:r w:rsidRPr="00B37F96">
        <w:rPr>
          <w:spacing w:val="-2"/>
        </w:rPr>
        <w:t xml:space="preserve"> ensure that people living across different locations with the same income/demographics get equitable support whether in social housing or private rental.</w:t>
      </w:r>
    </w:p>
    <w:p w14:paraId="6F128443" w14:textId="77777777" w:rsidR="00051841" w:rsidRPr="00B37F96" w:rsidRDefault="00051841" w:rsidP="00051841">
      <w:pPr>
        <w:pStyle w:val="CGCBulletlist"/>
        <w:rPr>
          <w:spacing w:val="-2"/>
        </w:rPr>
      </w:pPr>
    </w:p>
    <w:p w14:paraId="3468E584" w14:textId="7258244C" w:rsidR="00051841" w:rsidRPr="00B37F96" w:rsidRDefault="00051841" w:rsidP="00051841">
      <w:pPr>
        <w:pStyle w:val="CGCBulletlist"/>
        <w:rPr>
          <w:spacing w:val="-2"/>
        </w:rPr>
      </w:pPr>
      <w:r w:rsidRPr="00B37F96">
        <w:rPr>
          <w:spacing w:val="-2"/>
        </w:rPr>
        <w:t>Reforms that increase user choice in the rental market could prompt some tenants living in public housing to move into the private rental market to access housi</w:t>
      </w:r>
      <w:r w:rsidR="00526541" w:rsidRPr="00B37F96">
        <w:rPr>
          <w:spacing w:val="-2"/>
        </w:rPr>
        <w:t xml:space="preserve">ng at a higher level of amenity, </w:t>
      </w:r>
      <w:r w:rsidR="004A553F" w:rsidRPr="00B37F96">
        <w:rPr>
          <w:spacing w:val="-2"/>
        </w:rPr>
        <w:t xml:space="preserve">as long as safeguards regarding security of tenure and tenants’ rights are in place. </w:t>
      </w:r>
      <w:r w:rsidRPr="00B37F96">
        <w:rPr>
          <w:spacing w:val="-2"/>
        </w:rPr>
        <w:t>This has the potential to reduce demand for public housing, and free</w:t>
      </w:r>
      <w:r w:rsidR="0082303A">
        <w:rPr>
          <w:spacing w:val="-2"/>
        </w:rPr>
        <w:t xml:space="preserve"> </w:t>
      </w:r>
      <w:r w:rsidRPr="00B37F96">
        <w:rPr>
          <w:spacing w:val="-2"/>
        </w:rPr>
        <w:t xml:space="preserve">up dwellings for people with more complex support needs. It could also reduce wait times for public housing. </w:t>
      </w:r>
      <w:r w:rsidR="0082303A">
        <w:rPr>
          <w:spacing w:val="-2"/>
        </w:rPr>
        <w:t>Implementation would require</w:t>
      </w:r>
      <w:r w:rsidRPr="00B37F96">
        <w:rPr>
          <w:spacing w:val="-2"/>
        </w:rPr>
        <w:t xml:space="preserve"> careful planning to avoid concentrations of disadvantage as people on low incomes choose to live </w:t>
      </w:r>
      <w:r w:rsidR="0082303A">
        <w:rPr>
          <w:spacing w:val="-2"/>
        </w:rPr>
        <w:t>in areas where</w:t>
      </w:r>
      <w:r w:rsidRPr="00B37F96">
        <w:rPr>
          <w:spacing w:val="-2"/>
        </w:rPr>
        <w:t xml:space="preserve"> low-cost </w:t>
      </w:r>
      <w:r w:rsidR="0082303A">
        <w:rPr>
          <w:spacing w:val="-2"/>
        </w:rPr>
        <w:t xml:space="preserve">private </w:t>
      </w:r>
      <w:r w:rsidRPr="00B37F96">
        <w:rPr>
          <w:spacing w:val="-2"/>
        </w:rPr>
        <w:t>housing exists.</w:t>
      </w:r>
    </w:p>
    <w:p w14:paraId="077903C2" w14:textId="77777777" w:rsidR="00E63137" w:rsidRPr="00B37F96" w:rsidRDefault="00E63137" w:rsidP="00051841">
      <w:pPr>
        <w:pStyle w:val="CGCBulletlist"/>
        <w:rPr>
          <w:spacing w:val="-2"/>
        </w:rPr>
      </w:pPr>
    </w:p>
    <w:p w14:paraId="4891DB14" w14:textId="11AA9D78" w:rsidR="00E63137" w:rsidRPr="00B37F96" w:rsidRDefault="00E63137" w:rsidP="00E63137">
      <w:pPr>
        <w:rPr>
          <w:spacing w:val="-2"/>
        </w:rPr>
      </w:pPr>
      <w:r w:rsidRPr="00B37F96">
        <w:rPr>
          <w:spacing w:val="-2"/>
        </w:rPr>
        <w:t>Another factor to be considered is the</w:t>
      </w:r>
      <w:r w:rsidR="0082303A">
        <w:rPr>
          <w:spacing w:val="-2"/>
        </w:rPr>
        <w:t xml:space="preserve"> nature of the </w:t>
      </w:r>
      <w:r w:rsidR="00DC7347">
        <w:rPr>
          <w:spacing w:val="-2"/>
        </w:rPr>
        <w:t>Northern Territory</w:t>
      </w:r>
      <w:r w:rsidR="0082303A">
        <w:rPr>
          <w:spacing w:val="-2"/>
        </w:rPr>
        <w:t> </w:t>
      </w:r>
      <w:r w:rsidR="00A37991">
        <w:rPr>
          <w:spacing w:val="-2"/>
        </w:rPr>
        <w:t>economy.</w:t>
      </w:r>
      <w:r w:rsidRPr="00B37F96">
        <w:rPr>
          <w:spacing w:val="-2"/>
        </w:rPr>
        <w:t xml:space="preserve"> </w:t>
      </w:r>
      <w:r w:rsidR="003822B4">
        <w:rPr>
          <w:spacing w:val="-2"/>
        </w:rPr>
        <w:t xml:space="preserve">Major construction projects and a </w:t>
      </w:r>
      <w:r w:rsidRPr="00B37F96">
        <w:rPr>
          <w:spacing w:val="-2"/>
        </w:rPr>
        <w:t xml:space="preserve">transient </w:t>
      </w:r>
      <w:r w:rsidR="0082303A">
        <w:rPr>
          <w:spacing w:val="-2"/>
        </w:rPr>
        <w:t xml:space="preserve">population can contribute to large fluctuations in </w:t>
      </w:r>
      <w:r w:rsidR="003822B4">
        <w:rPr>
          <w:spacing w:val="-2"/>
        </w:rPr>
        <w:t>the housing market</w:t>
      </w:r>
      <w:r w:rsidR="0082303A">
        <w:rPr>
          <w:spacing w:val="-2"/>
        </w:rPr>
        <w:t>.</w:t>
      </w:r>
      <w:r w:rsidRPr="00B37F96">
        <w:rPr>
          <w:spacing w:val="-2"/>
        </w:rPr>
        <w:t xml:space="preserve"> Secure housing solutions are required for long term tenants.</w:t>
      </w:r>
    </w:p>
    <w:p w14:paraId="3739D770" w14:textId="77777777" w:rsidR="00051841" w:rsidRPr="00B37F96" w:rsidRDefault="00051841" w:rsidP="00051841">
      <w:pPr>
        <w:pStyle w:val="CGCBulletlist"/>
        <w:rPr>
          <w:spacing w:val="-2"/>
        </w:rPr>
      </w:pPr>
    </w:p>
    <w:p w14:paraId="410ABF66" w14:textId="77777777" w:rsidR="00DB6BB2" w:rsidRPr="00B37F96" w:rsidRDefault="00DB6BB2" w:rsidP="00DC69A4">
      <w:pPr>
        <w:pStyle w:val="Heading3"/>
        <w:rPr>
          <w:spacing w:val="-2"/>
        </w:rPr>
      </w:pPr>
      <w:bookmarkStart w:id="5" w:name="_Toc490477138"/>
      <w:r w:rsidRPr="00B37F96">
        <w:rPr>
          <w:spacing w:val="-2"/>
        </w:rPr>
        <w:t>Reforming the current assistance model for social housing</w:t>
      </w:r>
      <w:bookmarkEnd w:id="5"/>
    </w:p>
    <w:p w14:paraId="545D927B" w14:textId="37B270D2" w:rsidR="00051841" w:rsidRPr="00B37F96" w:rsidRDefault="0082303A" w:rsidP="00051841">
      <w:pPr>
        <w:rPr>
          <w:spacing w:val="-2"/>
        </w:rPr>
      </w:pPr>
      <w:r>
        <w:rPr>
          <w:spacing w:val="-2"/>
        </w:rPr>
        <w:t>Draft Recommendation </w:t>
      </w:r>
      <w:r w:rsidR="00051841" w:rsidRPr="00B37F96">
        <w:rPr>
          <w:spacing w:val="-2"/>
        </w:rPr>
        <w:t xml:space="preserve">5.2 suggests </w:t>
      </w:r>
      <w:r w:rsidR="00DC7347" w:rsidRPr="00B37F96">
        <w:rPr>
          <w:spacing w:val="-2"/>
        </w:rPr>
        <w:t xml:space="preserve">state and territory governments </w:t>
      </w:r>
      <w:r w:rsidR="00051841" w:rsidRPr="00B37F96">
        <w:rPr>
          <w:spacing w:val="-2"/>
        </w:rPr>
        <w:t xml:space="preserve">should abolish the current assistance model for social housing where rents are set at a proportion of the tenant’s income, and move towards models that enhance user choice. Further consideration would be required to understand the overall cost impact of this reform </w:t>
      </w:r>
      <w:r w:rsidR="00973FDC" w:rsidRPr="00B37F96">
        <w:rPr>
          <w:spacing w:val="-2"/>
        </w:rPr>
        <w:t>before the NTG could support this approach</w:t>
      </w:r>
      <w:r w:rsidR="00973FDC">
        <w:rPr>
          <w:spacing w:val="-2"/>
        </w:rPr>
        <w:t xml:space="preserve">, </w:t>
      </w:r>
      <w:r w:rsidR="00051841" w:rsidRPr="00B37F96">
        <w:rPr>
          <w:spacing w:val="-2"/>
        </w:rPr>
        <w:t>including administrative cos</w:t>
      </w:r>
      <w:r w:rsidR="00DC7347">
        <w:rPr>
          <w:spacing w:val="-2"/>
        </w:rPr>
        <w:t>ts for all levels of government</w:t>
      </w:r>
      <w:r w:rsidR="00973FDC">
        <w:rPr>
          <w:spacing w:val="-2"/>
        </w:rPr>
        <w:t>.</w:t>
      </w:r>
    </w:p>
    <w:p w14:paraId="24C95E23" w14:textId="77777777" w:rsidR="00051841" w:rsidRPr="00B37F96" w:rsidRDefault="00051841" w:rsidP="00051841">
      <w:pPr>
        <w:rPr>
          <w:spacing w:val="-2"/>
        </w:rPr>
      </w:pPr>
    </w:p>
    <w:p w14:paraId="5C2D3C4E" w14:textId="3EEFCA69" w:rsidR="00051841" w:rsidRPr="00B37F96" w:rsidRDefault="003822B4" w:rsidP="00051841">
      <w:pPr>
        <w:rPr>
          <w:spacing w:val="-2"/>
        </w:rPr>
      </w:pPr>
      <w:r>
        <w:rPr>
          <w:spacing w:val="-2"/>
        </w:rPr>
        <w:t>I</w:t>
      </w:r>
      <w:r w:rsidR="00E63137" w:rsidRPr="00B37F96">
        <w:rPr>
          <w:spacing w:val="-2"/>
        </w:rPr>
        <w:t>n the</w:t>
      </w:r>
      <w:r w:rsidR="00DC7347">
        <w:rPr>
          <w:spacing w:val="-2"/>
        </w:rPr>
        <w:t xml:space="preserve"> Northern Territory</w:t>
      </w:r>
      <w:r w:rsidR="00A37991">
        <w:rPr>
          <w:spacing w:val="-2"/>
        </w:rPr>
        <w:t>, rent that public housing tenants pay is</w:t>
      </w:r>
      <w:r>
        <w:rPr>
          <w:spacing w:val="-2"/>
        </w:rPr>
        <w:t xml:space="preserve"> </w:t>
      </w:r>
      <w:r w:rsidR="00E63137" w:rsidRPr="00B37F96">
        <w:rPr>
          <w:spacing w:val="-2"/>
        </w:rPr>
        <w:t xml:space="preserve">based on household income. </w:t>
      </w:r>
      <w:r w:rsidR="00651D38" w:rsidRPr="00B37F96">
        <w:rPr>
          <w:spacing w:val="-2"/>
        </w:rPr>
        <w:t xml:space="preserve">The NTG is reviewing the way in which public housing rents are calculated, but </w:t>
      </w:r>
      <w:r w:rsidR="00DC7347">
        <w:rPr>
          <w:spacing w:val="-2"/>
        </w:rPr>
        <w:t xml:space="preserve">it </w:t>
      </w:r>
      <w:r w:rsidR="00651D38" w:rsidRPr="00B37F96">
        <w:rPr>
          <w:spacing w:val="-2"/>
        </w:rPr>
        <w:t>is not currently considering how a market</w:t>
      </w:r>
      <w:r w:rsidR="00DC7347">
        <w:rPr>
          <w:spacing w:val="-2"/>
        </w:rPr>
        <w:t>-</w:t>
      </w:r>
      <w:r w:rsidR="00651D38" w:rsidRPr="00B37F96">
        <w:rPr>
          <w:spacing w:val="-2"/>
        </w:rPr>
        <w:t xml:space="preserve">based approach to charging rents might operate in the </w:t>
      </w:r>
      <w:r w:rsidR="00DC7347">
        <w:rPr>
          <w:spacing w:val="-2"/>
        </w:rPr>
        <w:t>Territory</w:t>
      </w:r>
      <w:r w:rsidR="00651D38" w:rsidRPr="00B37F96">
        <w:rPr>
          <w:spacing w:val="-2"/>
        </w:rPr>
        <w:t xml:space="preserve">. </w:t>
      </w:r>
      <w:r w:rsidR="00051841" w:rsidRPr="00B37F96">
        <w:rPr>
          <w:spacing w:val="-2"/>
        </w:rPr>
        <w:t>The NTG notes the potential value of a carefully managed transition to market based ren</w:t>
      </w:r>
      <w:r w:rsidR="00DC7347">
        <w:rPr>
          <w:spacing w:val="-2"/>
        </w:rPr>
        <w:t>ts for social housing including</w:t>
      </w:r>
      <w:r w:rsidR="00051841" w:rsidRPr="00B37F96">
        <w:rPr>
          <w:spacing w:val="-2"/>
        </w:rPr>
        <w:t xml:space="preserve"> incentives for the private sector to build, maintain and lease suitable housing</w:t>
      </w:r>
      <w:r w:rsidR="00DC7347">
        <w:rPr>
          <w:spacing w:val="-2"/>
        </w:rPr>
        <w:t>,</w:t>
      </w:r>
      <w:r w:rsidR="00051841" w:rsidRPr="00B37F96">
        <w:rPr>
          <w:spacing w:val="-2"/>
        </w:rPr>
        <w:t xml:space="preserve"> increased user choice (by minimising the cost difference between public and private sector)</w:t>
      </w:r>
      <w:r w:rsidR="00DC7347">
        <w:rPr>
          <w:spacing w:val="-2"/>
        </w:rPr>
        <w:t>,</w:t>
      </w:r>
      <w:r w:rsidR="00973FDC">
        <w:rPr>
          <w:spacing w:val="-2"/>
        </w:rPr>
        <w:t xml:space="preserve"> </w:t>
      </w:r>
      <w:r w:rsidR="00051841" w:rsidRPr="00B37F96">
        <w:rPr>
          <w:spacing w:val="-2"/>
        </w:rPr>
        <w:t xml:space="preserve">and more appropriate matching of tenants </w:t>
      </w:r>
      <w:r w:rsidR="00973FDC">
        <w:rPr>
          <w:spacing w:val="-2"/>
        </w:rPr>
        <w:t>to available housing resources.</w:t>
      </w:r>
    </w:p>
    <w:p w14:paraId="4E6F6323" w14:textId="77777777" w:rsidR="00051841" w:rsidRPr="00B37F96" w:rsidRDefault="00051841" w:rsidP="00051841">
      <w:pPr>
        <w:rPr>
          <w:spacing w:val="-2"/>
        </w:rPr>
      </w:pPr>
    </w:p>
    <w:p w14:paraId="223B17A6" w14:textId="2136FFF2" w:rsidR="00051841" w:rsidRPr="00B37F96" w:rsidRDefault="00051841" w:rsidP="00051841">
      <w:pPr>
        <w:rPr>
          <w:caps/>
          <w:spacing w:val="-2"/>
        </w:rPr>
      </w:pPr>
      <w:r w:rsidRPr="00B37F96">
        <w:rPr>
          <w:spacing w:val="-2"/>
        </w:rPr>
        <w:lastRenderedPageBreak/>
        <w:t>The NTG acknowledges the current system does not have a sufficient disincentive for mismatched housing (e.g. a single person in a two or three bedroom ho</w:t>
      </w:r>
      <w:r w:rsidR="00973FDC">
        <w:rPr>
          <w:spacing w:val="-2"/>
        </w:rPr>
        <w:t>us</w:t>
      </w:r>
      <w:r w:rsidRPr="00B37F96">
        <w:rPr>
          <w:spacing w:val="-2"/>
        </w:rPr>
        <w:t xml:space="preserve">e). In </w:t>
      </w:r>
      <w:r w:rsidR="00287670" w:rsidRPr="00B37F96">
        <w:rPr>
          <w:spacing w:val="-2"/>
        </w:rPr>
        <w:t xml:space="preserve">urban areas of </w:t>
      </w:r>
      <w:r w:rsidRPr="00B37F96">
        <w:rPr>
          <w:spacing w:val="-2"/>
        </w:rPr>
        <w:t xml:space="preserve">the </w:t>
      </w:r>
      <w:r w:rsidR="00DC7347">
        <w:rPr>
          <w:spacing w:val="-2"/>
        </w:rPr>
        <w:t>Territory,</w:t>
      </w:r>
      <w:r w:rsidRPr="00B37F96">
        <w:rPr>
          <w:spacing w:val="-2"/>
        </w:rPr>
        <w:t xml:space="preserve"> about eight per cent of </w:t>
      </w:r>
      <w:r w:rsidR="00D172C6">
        <w:rPr>
          <w:spacing w:val="-2"/>
        </w:rPr>
        <w:t>households in social housing</w:t>
      </w:r>
      <w:r w:rsidR="00D172C6" w:rsidRPr="00B37F96">
        <w:rPr>
          <w:spacing w:val="-2"/>
        </w:rPr>
        <w:t xml:space="preserve"> </w:t>
      </w:r>
      <w:r w:rsidRPr="00B37F96">
        <w:rPr>
          <w:spacing w:val="-2"/>
        </w:rPr>
        <w:t>are overcrowded and seven per cent are underutilised (two or more bedrooms surplus to requirements)</w:t>
      </w:r>
      <w:r w:rsidRPr="00B37F96">
        <w:rPr>
          <w:rStyle w:val="FootnoteReference"/>
          <w:spacing w:val="-2"/>
        </w:rPr>
        <w:footnoteReference w:id="5"/>
      </w:r>
      <w:r w:rsidR="00973FDC">
        <w:rPr>
          <w:spacing w:val="-2"/>
        </w:rPr>
        <w:t>.</w:t>
      </w:r>
    </w:p>
    <w:p w14:paraId="5006FE4A" w14:textId="77777777" w:rsidR="00051841" w:rsidRPr="00B37F96" w:rsidRDefault="00051841" w:rsidP="00051841">
      <w:pPr>
        <w:rPr>
          <w:spacing w:val="-2"/>
        </w:rPr>
      </w:pPr>
    </w:p>
    <w:p w14:paraId="3756458F" w14:textId="40912220" w:rsidR="00051841" w:rsidRPr="00B37F96" w:rsidRDefault="00051841" w:rsidP="00051841">
      <w:pPr>
        <w:rPr>
          <w:spacing w:val="-2"/>
        </w:rPr>
      </w:pPr>
      <w:r w:rsidRPr="00B37F96">
        <w:rPr>
          <w:spacing w:val="-2"/>
        </w:rPr>
        <w:t xml:space="preserve">Despite the </w:t>
      </w:r>
      <w:r w:rsidR="00E63137" w:rsidRPr="00B37F96">
        <w:rPr>
          <w:spacing w:val="-2"/>
        </w:rPr>
        <w:t xml:space="preserve">potential </w:t>
      </w:r>
      <w:r w:rsidRPr="00B37F96">
        <w:rPr>
          <w:spacing w:val="-2"/>
        </w:rPr>
        <w:t>benefits of moving to a more market based approach that creates greater choice, the NTG is concerned about the potential impacts of moving people on very low and low incomes from an income based rent model to a market based approach</w:t>
      </w:r>
      <w:r w:rsidR="00D172C6">
        <w:rPr>
          <w:spacing w:val="-2"/>
        </w:rPr>
        <w:t xml:space="preserve"> </w:t>
      </w:r>
      <w:r w:rsidRPr="00B37F96">
        <w:rPr>
          <w:spacing w:val="-2"/>
        </w:rPr>
        <w:t xml:space="preserve">Even with the option of continuing with the current system for up to ten years and </w:t>
      </w:r>
      <w:r w:rsidR="00973FDC">
        <w:rPr>
          <w:spacing w:val="-2"/>
        </w:rPr>
        <w:t>with</w:t>
      </w:r>
      <w:r w:rsidRPr="00B37F96">
        <w:rPr>
          <w:spacing w:val="-2"/>
        </w:rPr>
        <w:t xml:space="preserve"> additional payment</w:t>
      </w:r>
      <w:r w:rsidR="00973FDC">
        <w:rPr>
          <w:spacing w:val="-2"/>
        </w:rPr>
        <w:t>s</w:t>
      </w:r>
      <w:r w:rsidRPr="00B37F96">
        <w:rPr>
          <w:spacing w:val="-2"/>
        </w:rPr>
        <w:t xml:space="preserve"> for tenants with a demonstrated need, appropriate safeguards would be required to ensure tenants are not placed in undue rental stress</w:t>
      </w:r>
      <w:r w:rsidR="00287670" w:rsidRPr="00B37F96">
        <w:rPr>
          <w:spacing w:val="-2"/>
        </w:rPr>
        <w:t xml:space="preserve"> </w:t>
      </w:r>
      <w:r w:rsidR="00DC7347">
        <w:rPr>
          <w:spacing w:val="-2"/>
        </w:rPr>
        <w:t>i.e.</w:t>
      </w:r>
      <w:r w:rsidR="00287670" w:rsidRPr="00B37F96">
        <w:rPr>
          <w:spacing w:val="-2"/>
        </w:rPr>
        <w:t xml:space="preserve"> paying more than 30</w:t>
      </w:r>
      <w:r w:rsidR="00DC7347">
        <w:rPr>
          <w:spacing w:val="-2"/>
        </w:rPr>
        <w:t xml:space="preserve"> per cent</w:t>
      </w:r>
      <w:r w:rsidR="00287670" w:rsidRPr="00B37F96">
        <w:rPr>
          <w:spacing w:val="-2"/>
        </w:rPr>
        <w:t xml:space="preserve"> of their assessable income towards rent</w:t>
      </w:r>
      <w:r w:rsidRPr="00B37F96">
        <w:rPr>
          <w:spacing w:val="-2"/>
        </w:rPr>
        <w:t xml:space="preserve">. The NTG welcomes further information from the Commission about appropriate </w:t>
      </w:r>
      <w:r w:rsidR="003E06C7" w:rsidRPr="00B37F96">
        <w:rPr>
          <w:spacing w:val="-2"/>
        </w:rPr>
        <w:t>methods to measure</w:t>
      </w:r>
      <w:r w:rsidR="00DC7347">
        <w:rPr>
          <w:spacing w:val="-2"/>
        </w:rPr>
        <w:t xml:space="preserve"> rental stress, </w:t>
      </w:r>
      <w:r w:rsidRPr="00B37F96">
        <w:rPr>
          <w:spacing w:val="-2"/>
        </w:rPr>
        <w:t xml:space="preserve">including </w:t>
      </w:r>
      <w:r w:rsidR="00DC7347">
        <w:rPr>
          <w:spacing w:val="-2"/>
        </w:rPr>
        <w:t>the ‘residual income’ approach,</w:t>
      </w:r>
      <w:r w:rsidRPr="00B37F96">
        <w:rPr>
          <w:spacing w:val="-2"/>
        </w:rPr>
        <w:t xml:space="preserve"> and how these could be implemented</w:t>
      </w:r>
      <w:r w:rsidR="003E06C7" w:rsidRPr="00B37F96">
        <w:rPr>
          <w:spacing w:val="-2"/>
        </w:rPr>
        <w:t>.</w:t>
      </w:r>
    </w:p>
    <w:p w14:paraId="03B74F47" w14:textId="77777777" w:rsidR="00051841" w:rsidRPr="00B37F96" w:rsidRDefault="00051841" w:rsidP="00051841">
      <w:pPr>
        <w:rPr>
          <w:caps/>
          <w:spacing w:val="-2"/>
        </w:rPr>
      </w:pPr>
    </w:p>
    <w:p w14:paraId="2A68FF7B" w14:textId="7107C809" w:rsidR="00051841" w:rsidRPr="00B37F96" w:rsidRDefault="00051841" w:rsidP="00051841">
      <w:pPr>
        <w:rPr>
          <w:caps/>
          <w:spacing w:val="-2"/>
        </w:rPr>
      </w:pPr>
      <w:r w:rsidRPr="00B37F96">
        <w:rPr>
          <w:spacing w:val="-2"/>
        </w:rPr>
        <w:t xml:space="preserve">An additional payment for tenants with a demonstrated need would be an essential part of a </w:t>
      </w:r>
      <w:r w:rsidR="00DC7347">
        <w:rPr>
          <w:spacing w:val="-2"/>
        </w:rPr>
        <w:t>move to a market-</w:t>
      </w:r>
      <w:r w:rsidR="00713A2C" w:rsidRPr="00B37F96">
        <w:rPr>
          <w:spacing w:val="-2"/>
        </w:rPr>
        <w:t xml:space="preserve">based </w:t>
      </w:r>
      <w:r w:rsidR="00713A2C" w:rsidRPr="00040E3E">
        <w:rPr>
          <w:spacing w:val="-2"/>
        </w:rPr>
        <w:t>approach</w:t>
      </w:r>
      <w:r w:rsidR="00973FDC" w:rsidRPr="00040E3E">
        <w:rPr>
          <w:spacing w:val="-2"/>
        </w:rPr>
        <w:t>, and</w:t>
      </w:r>
      <w:r w:rsidR="002F1A5E" w:rsidRPr="00040E3E">
        <w:rPr>
          <w:spacing w:val="-2"/>
        </w:rPr>
        <w:t xml:space="preserve"> f</w:t>
      </w:r>
      <w:r w:rsidRPr="00040E3E">
        <w:rPr>
          <w:spacing w:val="-2"/>
        </w:rPr>
        <w:t xml:space="preserve">urther modelling would be required to determine the costs of this reform in the </w:t>
      </w:r>
      <w:r w:rsidR="00DC7347">
        <w:rPr>
          <w:spacing w:val="-2"/>
        </w:rPr>
        <w:t>Northern Territory</w:t>
      </w:r>
      <w:r w:rsidRPr="00040E3E">
        <w:rPr>
          <w:spacing w:val="-2"/>
        </w:rPr>
        <w:t xml:space="preserve">. </w:t>
      </w:r>
      <w:r w:rsidR="002F1A5E" w:rsidRPr="00040E3E">
        <w:rPr>
          <w:spacing w:val="-2"/>
        </w:rPr>
        <w:t xml:space="preserve">The Commission argues that </w:t>
      </w:r>
      <w:r w:rsidR="00DC7347" w:rsidRPr="00040E3E">
        <w:rPr>
          <w:spacing w:val="-2"/>
        </w:rPr>
        <w:t xml:space="preserve">state and territory governments would be able to fund the additional payment from increased revenue </w:t>
      </w:r>
      <w:r w:rsidR="002F1A5E" w:rsidRPr="00040E3E">
        <w:rPr>
          <w:spacing w:val="-2"/>
        </w:rPr>
        <w:t xml:space="preserve">from market based rents. However, </w:t>
      </w:r>
      <w:r w:rsidR="009F4ED1">
        <w:rPr>
          <w:spacing w:val="-2"/>
        </w:rPr>
        <w:t xml:space="preserve">this </w:t>
      </w:r>
      <w:r w:rsidR="009B34DA">
        <w:rPr>
          <w:spacing w:val="-2"/>
        </w:rPr>
        <w:t>w</w:t>
      </w:r>
      <w:r w:rsidR="009F4ED1">
        <w:rPr>
          <w:spacing w:val="-2"/>
        </w:rPr>
        <w:t xml:space="preserve">ould be fiscally challenging </w:t>
      </w:r>
      <w:r w:rsidR="009B34DA">
        <w:rPr>
          <w:spacing w:val="-2"/>
        </w:rPr>
        <w:t>in the Northern Territory</w:t>
      </w:r>
      <w:r w:rsidR="009F4ED1">
        <w:rPr>
          <w:spacing w:val="-2"/>
        </w:rPr>
        <w:t xml:space="preserve"> due to the proportion of tenants that would need help and the large gap between public housing rents and markets rents</w:t>
      </w:r>
      <w:r w:rsidR="009F4ED1" w:rsidRPr="00B37F96">
        <w:rPr>
          <w:spacing w:val="-2"/>
        </w:rPr>
        <w:t xml:space="preserve">. </w:t>
      </w:r>
      <w:r w:rsidR="009F4ED1">
        <w:rPr>
          <w:spacing w:val="-2"/>
        </w:rPr>
        <w:t>T</w:t>
      </w:r>
      <w:r w:rsidR="00DC7347">
        <w:rPr>
          <w:spacing w:val="-2"/>
        </w:rPr>
        <w:t>he</w:t>
      </w:r>
      <w:r w:rsidR="00040E3E" w:rsidRPr="00040E3E">
        <w:rPr>
          <w:spacing w:val="-2"/>
        </w:rPr>
        <w:t xml:space="preserve"> average </w:t>
      </w:r>
      <w:r w:rsidR="00DC7347">
        <w:rPr>
          <w:spacing w:val="-2"/>
        </w:rPr>
        <w:t xml:space="preserve">public housing subsidy in the Territory is $281 per week, </w:t>
      </w:r>
      <w:r w:rsidR="00040E3E" w:rsidRPr="00040E3E">
        <w:rPr>
          <w:spacing w:val="-2"/>
        </w:rPr>
        <w:t xml:space="preserve">compared </w:t>
      </w:r>
      <w:r w:rsidR="00DC7347">
        <w:rPr>
          <w:spacing w:val="-2"/>
        </w:rPr>
        <w:t>to</w:t>
      </w:r>
      <w:r w:rsidR="00040E3E" w:rsidRPr="00040E3E">
        <w:rPr>
          <w:spacing w:val="-2"/>
        </w:rPr>
        <w:t xml:space="preserve"> an average of $181 per week nationally</w:t>
      </w:r>
      <w:r w:rsidR="00040E3E" w:rsidRPr="00040E3E">
        <w:rPr>
          <w:rStyle w:val="FootnoteReference"/>
          <w:spacing w:val="-2"/>
        </w:rPr>
        <w:footnoteReference w:id="6"/>
      </w:r>
      <w:r w:rsidR="00040E3E" w:rsidRPr="00040E3E">
        <w:rPr>
          <w:spacing w:val="-2"/>
        </w:rPr>
        <w:t xml:space="preserve">. </w:t>
      </w:r>
      <w:r w:rsidR="00DF0557" w:rsidRPr="00040E3E">
        <w:rPr>
          <w:spacing w:val="-2"/>
        </w:rPr>
        <w:t xml:space="preserve">Under the Commission’s </w:t>
      </w:r>
      <w:r w:rsidR="007B39F6" w:rsidRPr="00040E3E">
        <w:rPr>
          <w:spacing w:val="-2"/>
        </w:rPr>
        <w:t>proposed</w:t>
      </w:r>
      <w:r w:rsidR="00DF0557" w:rsidRPr="00040E3E">
        <w:rPr>
          <w:spacing w:val="-2"/>
        </w:rPr>
        <w:t xml:space="preserve"> system, </w:t>
      </w:r>
      <w:r w:rsidR="009F4ED1">
        <w:rPr>
          <w:spacing w:val="-2"/>
        </w:rPr>
        <w:t xml:space="preserve">the vast majority of public housing tenants in the Northern Territory would be </w:t>
      </w:r>
      <w:r w:rsidRPr="00040E3E">
        <w:rPr>
          <w:spacing w:val="-2"/>
        </w:rPr>
        <w:t xml:space="preserve">eligible for </w:t>
      </w:r>
      <w:r w:rsidR="00DF0557" w:rsidRPr="00040E3E">
        <w:rPr>
          <w:spacing w:val="-2"/>
        </w:rPr>
        <w:t>the additional</w:t>
      </w:r>
      <w:r w:rsidRPr="00040E3E">
        <w:rPr>
          <w:spacing w:val="-2"/>
        </w:rPr>
        <w:t xml:space="preserve"> payment</w:t>
      </w:r>
      <w:r w:rsidR="009F4ED1">
        <w:rPr>
          <w:spacing w:val="-2"/>
        </w:rPr>
        <w:t>.</w:t>
      </w:r>
      <w:r w:rsidRPr="00B37F96">
        <w:rPr>
          <w:spacing w:val="-2"/>
        </w:rPr>
        <w:t xml:space="preserve"> Sustainable funding arrangements would need to be negotiated with the Commonwealth</w:t>
      </w:r>
      <w:r w:rsidR="00973FDC">
        <w:rPr>
          <w:spacing w:val="-2"/>
        </w:rPr>
        <w:t xml:space="preserve">, and would need to consider </w:t>
      </w:r>
      <w:r w:rsidR="00DF0557">
        <w:rPr>
          <w:spacing w:val="-2"/>
        </w:rPr>
        <w:t xml:space="preserve">further </w:t>
      </w:r>
      <w:r w:rsidR="00973FDC">
        <w:rPr>
          <w:spacing w:val="-2"/>
        </w:rPr>
        <w:t>CRA top up amounts and</w:t>
      </w:r>
      <w:r w:rsidRPr="00B37F96">
        <w:rPr>
          <w:spacing w:val="-2"/>
        </w:rPr>
        <w:t xml:space="preserve"> indexation</w:t>
      </w:r>
      <w:r w:rsidR="00973FDC">
        <w:rPr>
          <w:spacing w:val="-2"/>
        </w:rPr>
        <w:t xml:space="preserve"> to </w:t>
      </w:r>
      <w:r w:rsidRPr="00B37F96">
        <w:rPr>
          <w:spacing w:val="-2"/>
        </w:rPr>
        <w:t>local housing market</w:t>
      </w:r>
      <w:r w:rsidR="00973FDC">
        <w:rPr>
          <w:spacing w:val="-2"/>
        </w:rPr>
        <w:t xml:space="preserve"> conditions.</w:t>
      </w:r>
    </w:p>
    <w:p w14:paraId="191DDD5D" w14:textId="77777777" w:rsidR="00051841" w:rsidRPr="00B37F96" w:rsidRDefault="00051841" w:rsidP="00051841">
      <w:pPr>
        <w:rPr>
          <w:spacing w:val="-2"/>
        </w:rPr>
      </w:pPr>
    </w:p>
    <w:p w14:paraId="3AF0E7FF" w14:textId="446C666E" w:rsidR="002A1964" w:rsidRPr="00B37F96" w:rsidRDefault="00051841" w:rsidP="00051841">
      <w:pPr>
        <w:rPr>
          <w:spacing w:val="-2"/>
        </w:rPr>
      </w:pPr>
      <w:r w:rsidRPr="00B37F96">
        <w:rPr>
          <w:spacing w:val="-2"/>
        </w:rPr>
        <w:t xml:space="preserve">Applying a market-based rent model would be difficult, if not impossible, in remote areas due to the absence of a commercial housing market. </w:t>
      </w:r>
      <w:r w:rsidR="009B34DA">
        <w:rPr>
          <w:spacing w:val="-2"/>
        </w:rPr>
        <w:t>The majority of t</w:t>
      </w:r>
      <w:r w:rsidR="009B34DA" w:rsidRPr="00B37F96">
        <w:rPr>
          <w:spacing w:val="-2"/>
        </w:rPr>
        <w:t xml:space="preserve">enants </w:t>
      </w:r>
      <w:r w:rsidRPr="00B37F96">
        <w:rPr>
          <w:spacing w:val="-2"/>
        </w:rPr>
        <w:t xml:space="preserve">renting in remote areas </w:t>
      </w:r>
      <w:r w:rsidR="00B6502F">
        <w:rPr>
          <w:spacing w:val="-2"/>
        </w:rPr>
        <w:t>will</w:t>
      </w:r>
      <w:r w:rsidRPr="00B37F96">
        <w:rPr>
          <w:spacing w:val="-2"/>
        </w:rPr>
        <w:t xml:space="preserve"> be excluded from accessing CRA under current rules</w:t>
      </w:r>
      <w:r w:rsidR="009B34DA">
        <w:rPr>
          <w:spacing w:val="-2"/>
        </w:rPr>
        <w:t>.</w:t>
      </w:r>
      <w:r w:rsidR="00011C0A">
        <w:rPr>
          <w:spacing w:val="-2"/>
        </w:rPr>
        <w:t xml:space="preserve"> Many </w:t>
      </w:r>
      <w:r w:rsidRPr="00B37F96">
        <w:rPr>
          <w:spacing w:val="-2"/>
        </w:rPr>
        <w:t xml:space="preserve">houses </w:t>
      </w:r>
      <w:r w:rsidR="00011C0A">
        <w:rPr>
          <w:spacing w:val="-2"/>
        </w:rPr>
        <w:t xml:space="preserve">in remote communities </w:t>
      </w:r>
      <w:r w:rsidRPr="00B37F96">
        <w:rPr>
          <w:spacing w:val="-2"/>
        </w:rPr>
        <w:t xml:space="preserve">are overcrowded and </w:t>
      </w:r>
      <w:r w:rsidR="00011C0A">
        <w:rPr>
          <w:spacing w:val="-2"/>
        </w:rPr>
        <w:t>when</w:t>
      </w:r>
      <w:r w:rsidR="00011C0A" w:rsidRPr="00B37F96">
        <w:rPr>
          <w:spacing w:val="-2"/>
        </w:rPr>
        <w:t xml:space="preserve"> </w:t>
      </w:r>
      <w:r w:rsidRPr="00B37F96">
        <w:rPr>
          <w:spacing w:val="-2"/>
        </w:rPr>
        <w:t>a number of adults contribute to rent</w:t>
      </w:r>
      <w:r w:rsidR="00653421">
        <w:rPr>
          <w:spacing w:val="-2"/>
        </w:rPr>
        <w:t>,</w:t>
      </w:r>
      <w:r w:rsidRPr="00B37F96">
        <w:rPr>
          <w:spacing w:val="-2"/>
        </w:rPr>
        <w:t xml:space="preserve"> they may not meet the minimum threshold rent required to trigger </w:t>
      </w:r>
      <w:r w:rsidR="00011C0A">
        <w:rPr>
          <w:spacing w:val="-2"/>
        </w:rPr>
        <w:t xml:space="preserve">the </w:t>
      </w:r>
      <w:r w:rsidRPr="00B37F96">
        <w:rPr>
          <w:spacing w:val="-2"/>
        </w:rPr>
        <w:t>CRA</w:t>
      </w:r>
      <w:r w:rsidR="00011C0A">
        <w:rPr>
          <w:spacing w:val="-2"/>
        </w:rPr>
        <w:t>.</w:t>
      </w:r>
      <w:r w:rsidRPr="00B37F96">
        <w:rPr>
          <w:spacing w:val="-2"/>
        </w:rPr>
        <w:t xml:space="preserve"> It is also likely that there would be significant operational cha</w:t>
      </w:r>
      <w:r w:rsidR="00973FDC">
        <w:rPr>
          <w:spacing w:val="-2"/>
        </w:rPr>
        <w:t>llenges to implementing</w:t>
      </w:r>
      <w:r w:rsidRPr="00B37F96">
        <w:rPr>
          <w:spacing w:val="-2"/>
        </w:rPr>
        <w:t xml:space="preserve"> this recommendation in remote communities as there is a </w:t>
      </w:r>
      <w:r w:rsidR="00973FDC">
        <w:rPr>
          <w:spacing w:val="-2"/>
        </w:rPr>
        <w:t>very high</w:t>
      </w:r>
      <w:r w:rsidRPr="00B37F96">
        <w:rPr>
          <w:spacing w:val="-2"/>
        </w:rPr>
        <w:t xml:space="preserve"> degree of </w:t>
      </w:r>
      <w:r w:rsidR="00973FDC" w:rsidRPr="00B37F96">
        <w:rPr>
          <w:spacing w:val="-2"/>
        </w:rPr>
        <w:t>individual and fami</w:t>
      </w:r>
      <w:r w:rsidR="00973FDC">
        <w:rPr>
          <w:spacing w:val="-2"/>
        </w:rPr>
        <w:t>ly</w:t>
      </w:r>
      <w:r w:rsidR="00973FDC" w:rsidRPr="00B37F96">
        <w:rPr>
          <w:spacing w:val="-2"/>
        </w:rPr>
        <w:t xml:space="preserve"> </w:t>
      </w:r>
      <w:r w:rsidRPr="00B37F96">
        <w:rPr>
          <w:spacing w:val="-2"/>
        </w:rPr>
        <w:t>mobility between dwellings. It would</w:t>
      </w:r>
      <w:r w:rsidR="00973FDC">
        <w:rPr>
          <w:spacing w:val="-2"/>
        </w:rPr>
        <w:t xml:space="preserve"> be useful if the Commission’s final r</w:t>
      </w:r>
      <w:r w:rsidRPr="00B37F96">
        <w:rPr>
          <w:spacing w:val="-2"/>
        </w:rPr>
        <w:t>eport include</w:t>
      </w:r>
      <w:r w:rsidR="00973FDC">
        <w:rPr>
          <w:spacing w:val="-2"/>
        </w:rPr>
        <w:t>s</w:t>
      </w:r>
      <w:r w:rsidRPr="00B37F96">
        <w:rPr>
          <w:spacing w:val="-2"/>
        </w:rPr>
        <w:t xml:space="preserve"> conside</w:t>
      </w:r>
      <w:r w:rsidR="00AE2DF3">
        <w:rPr>
          <w:spacing w:val="-2"/>
        </w:rPr>
        <w:t>ration of whether such a model c</w:t>
      </w:r>
      <w:r w:rsidRPr="00B37F96">
        <w:rPr>
          <w:spacing w:val="-2"/>
        </w:rPr>
        <w:t>ould be appli</w:t>
      </w:r>
      <w:r w:rsidR="00AE2DF3">
        <w:rPr>
          <w:spacing w:val="-2"/>
        </w:rPr>
        <w:t>ed</w:t>
      </w:r>
      <w:r w:rsidRPr="00B37F96">
        <w:rPr>
          <w:spacing w:val="-2"/>
        </w:rPr>
        <w:t xml:space="preserve"> in remote Aboriginal communities</w:t>
      </w:r>
      <w:r w:rsidR="00AE2DF3">
        <w:rPr>
          <w:spacing w:val="-2"/>
        </w:rPr>
        <w:t xml:space="preserve"> in the Northern Territory subject to the </w:t>
      </w:r>
      <w:r w:rsidR="00AE2DF3" w:rsidRPr="00AE2DF3">
        <w:rPr>
          <w:i/>
          <w:spacing w:val="-2"/>
        </w:rPr>
        <w:t>Aboriginal Land Rights (Northern Territory)</w:t>
      </w:r>
      <w:r w:rsidR="00AE2DF3">
        <w:rPr>
          <w:i/>
          <w:spacing w:val="-2"/>
        </w:rPr>
        <w:t> </w:t>
      </w:r>
      <w:r w:rsidR="00AE2DF3" w:rsidRPr="00AE2DF3">
        <w:rPr>
          <w:i/>
          <w:spacing w:val="-2"/>
        </w:rPr>
        <w:t>Act 1976</w:t>
      </w:r>
      <w:r w:rsidRPr="00B37F96">
        <w:rPr>
          <w:spacing w:val="-2"/>
        </w:rPr>
        <w:t>.</w:t>
      </w:r>
    </w:p>
    <w:p w14:paraId="0E74B82E" w14:textId="77777777" w:rsidR="00040E3E" w:rsidRPr="00040E3E" w:rsidRDefault="00040E3E">
      <w:pPr>
        <w:tabs>
          <w:tab w:val="clear" w:pos="1134"/>
        </w:tabs>
        <w:spacing w:before="0" w:after="200" w:line="276" w:lineRule="auto"/>
        <w:rPr>
          <w:spacing w:val="-2"/>
        </w:rPr>
      </w:pPr>
      <w:r>
        <w:rPr>
          <w:spacing w:val="-2"/>
        </w:rPr>
        <w:br w:type="page"/>
      </w:r>
    </w:p>
    <w:p w14:paraId="2BDE4EE5" w14:textId="16EFF41D" w:rsidR="00DB6BB2" w:rsidRPr="00B37F96" w:rsidRDefault="00DB6BB2" w:rsidP="00DC69A4">
      <w:pPr>
        <w:pStyle w:val="Heading3"/>
        <w:rPr>
          <w:spacing w:val="-2"/>
        </w:rPr>
      </w:pPr>
      <w:bookmarkStart w:id="6" w:name="_Toc490477139"/>
      <w:r w:rsidRPr="00B37F96">
        <w:rPr>
          <w:spacing w:val="-2"/>
        </w:rPr>
        <w:lastRenderedPageBreak/>
        <w:t>Choice-based letting</w:t>
      </w:r>
      <w:bookmarkEnd w:id="6"/>
    </w:p>
    <w:p w14:paraId="29D7AC5C" w14:textId="4A45736C" w:rsidR="00052FD2" w:rsidRPr="00B37F96" w:rsidRDefault="007D1CC2" w:rsidP="007D1CC2">
      <w:pPr>
        <w:rPr>
          <w:spacing w:val="-2"/>
        </w:rPr>
      </w:pPr>
      <w:r w:rsidRPr="00B37F96">
        <w:rPr>
          <w:spacing w:val="-2"/>
        </w:rPr>
        <w:t>Draft Recommendation 5.3 </w:t>
      </w:r>
      <w:r w:rsidR="00052FD2" w:rsidRPr="00B37F96">
        <w:rPr>
          <w:spacing w:val="-2"/>
        </w:rPr>
        <w:t xml:space="preserve">recommends introducing </w:t>
      </w:r>
      <w:r w:rsidRPr="00B37F96">
        <w:rPr>
          <w:spacing w:val="-2"/>
        </w:rPr>
        <w:t>choice</w:t>
      </w:r>
      <w:r w:rsidRPr="00B37F96">
        <w:rPr>
          <w:spacing w:val="-2"/>
        </w:rPr>
        <w:noBreakHyphen/>
        <w:t xml:space="preserve">based letting that allows public housing clients to make choices about where they want to live and the type of house they would prefer to live in. </w:t>
      </w:r>
      <w:r w:rsidR="00973550">
        <w:rPr>
          <w:spacing w:val="-2"/>
        </w:rPr>
        <w:t>The NTG supports this concept in</w:t>
      </w:r>
      <w:r w:rsidR="00BB1AB3">
        <w:rPr>
          <w:spacing w:val="-2"/>
        </w:rPr>
        <w:t> </w:t>
      </w:r>
      <w:r w:rsidR="00052FD2" w:rsidRPr="00B37F96">
        <w:rPr>
          <w:spacing w:val="-2"/>
        </w:rPr>
        <w:t>principle,</w:t>
      </w:r>
      <w:r w:rsidR="00973550">
        <w:rPr>
          <w:spacing w:val="-2"/>
        </w:rPr>
        <w:t xml:space="preserve"> but acknowledges that</w:t>
      </w:r>
      <w:r w:rsidR="00052FD2" w:rsidRPr="00B37F96">
        <w:rPr>
          <w:spacing w:val="-2"/>
        </w:rPr>
        <w:t xml:space="preserve"> it is difficult to offer choice</w:t>
      </w:r>
      <w:r w:rsidR="00653421">
        <w:rPr>
          <w:spacing w:val="-2"/>
        </w:rPr>
        <w:t>-</w:t>
      </w:r>
      <w:r w:rsidR="00052FD2" w:rsidRPr="00B37F96">
        <w:rPr>
          <w:spacing w:val="-2"/>
        </w:rPr>
        <w:t>based letting</w:t>
      </w:r>
      <w:r w:rsidR="00973550">
        <w:rPr>
          <w:spacing w:val="-2"/>
        </w:rPr>
        <w:t xml:space="preserve"> when</w:t>
      </w:r>
      <w:r w:rsidR="00052FD2" w:rsidRPr="00B37F96">
        <w:rPr>
          <w:spacing w:val="-2"/>
        </w:rPr>
        <w:t xml:space="preserve"> housing supply is </w:t>
      </w:r>
      <w:r w:rsidR="008E4918" w:rsidRPr="00B37F96">
        <w:rPr>
          <w:spacing w:val="-2"/>
        </w:rPr>
        <w:t>constrained and mismatched to need</w:t>
      </w:r>
      <w:r w:rsidR="00052FD2" w:rsidRPr="00B37F96">
        <w:rPr>
          <w:spacing w:val="-2"/>
        </w:rPr>
        <w:t>. Based on current waiting times for public housing</w:t>
      </w:r>
      <w:r w:rsidR="00011C0A">
        <w:rPr>
          <w:spacing w:val="-2"/>
        </w:rPr>
        <w:t>,</w:t>
      </w:r>
      <w:r w:rsidR="00052FD2" w:rsidRPr="00B37F96">
        <w:rPr>
          <w:spacing w:val="-2"/>
        </w:rPr>
        <w:t xml:space="preserve"> a significant lead-in time would be required before choice based-letting could be implemented in the </w:t>
      </w:r>
      <w:r w:rsidR="00653421">
        <w:rPr>
          <w:spacing w:val="-2"/>
        </w:rPr>
        <w:t>Territory</w:t>
      </w:r>
      <w:r w:rsidR="00052FD2" w:rsidRPr="00B37F96">
        <w:rPr>
          <w:spacing w:val="-2"/>
        </w:rPr>
        <w:t> due to the undersupply of public and community housing.</w:t>
      </w:r>
    </w:p>
    <w:p w14:paraId="4ED82F91" w14:textId="77777777" w:rsidR="00052FD2" w:rsidRPr="00B37F96" w:rsidRDefault="00052FD2" w:rsidP="007D1CC2">
      <w:pPr>
        <w:rPr>
          <w:spacing w:val="-2"/>
        </w:rPr>
      </w:pPr>
    </w:p>
    <w:p w14:paraId="0A85805C" w14:textId="0B963B80" w:rsidR="007D1CC2" w:rsidRPr="00B37F96" w:rsidRDefault="00052FD2" w:rsidP="007D1CC2">
      <w:pPr>
        <w:rPr>
          <w:spacing w:val="-2"/>
        </w:rPr>
      </w:pPr>
      <w:r w:rsidRPr="00B37F96">
        <w:rPr>
          <w:spacing w:val="-2"/>
        </w:rPr>
        <w:t>Choice</w:t>
      </w:r>
      <w:r w:rsidRPr="00B37F96">
        <w:rPr>
          <w:spacing w:val="-2"/>
        </w:rPr>
        <w:noBreakHyphen/>
        <w:t>ba</w:t>
      </w:r>
      <w:r w:rsidR="00653421">
        <w:rPr>
          <w:spacing w:val="-2"/>
        </w:rPr>
        <w:t>sed letting typically involves new</w:t>
      </w:r>
      <w:r w:rsidRPr="00B37F96">
        <w:rPr>
          <w:spacing w:val="-2"/>
        </w:rPr>
        <w:t xml:space="preserve"> </w:t>
      </w:r>
      <w:r w:rsidR="00011C0A">
        <w:rPr>
          <w:spacing w:val="-2"/>
        </w:rPr>
        <w:t xml:space="preserve">public housing </w:t>
      </w:r>
      <w:r w:rsidRPr="00B37F96">
        <w:rPr>
          <w:spacing w:val="-2"/>
        </w:rPr>
        <w:t>listings being advertised</w:t>
      </w:r>
      <w:r w:rsidR="00973550">
        <w:rPr>
          <w:spacing w:val="-2"/>
        </w:rPr>
        <w:t>,</w:t>
      </w:r>
      <w:r w:rsidRPr="00B37F96">
        <w:rPr>
          <w:spacing w:val="-2"/>
        </w:rPr>
        <w:t xml:space="preserve"> with public housing clients then being able to nominate interest in a dwelling. Applicants are subsequently shortlisted and assessed by need or highest priority. </w:t>
      </w:r>
      <w:r w:rsidR="007D1CC2" w:rsidRPr="00B37F96">
        <w:rPr>
          <w:spacing w:val="-2"/>
        </w:rPr>
        <w:t xml:space="preserve">This is in contrast to the approach the NTG currently has in place which, in urban areas, allocates </w:t>
      </w:r>
      <w:r w:rsidR="00011C0A">
        <w:rPr>
          <w:spacing w:val="-2"/>
        </w:rPr>
        <w:t xml:space="preserve">public </w:t>
      </w:r>
      <w:r w:rsidR="007D1CC2" w:rsidRPr="00B37F96">
        <w:rPr>
          <w:spacing w:val="-2"/>
        </w:rPr>
        <w:t>hous</w:t>
      </w:r>
      <w:r w:rsidR="00011C0A">
        <w:rPr>
          <w:spacing w:val="-2"/>
        </w:rPr>
        <w:t>ing</w:t>
      </w:r>
      <w:r w:rsidR="007D1CC2" w:rsidRPr="00B37F96">
        <w:rPr>
          <w:spacing w:val="-2"/>
        </w:rPr>
        <w:t xml:space="preserve"> based on a wait list of approved applicants. In remote areas, allocations are made in consultation with the community, </w:t>
      </w:r>
      <w:r w:rsidR="00973550">
        <w:rPr>
          <w:spacing w:val="-2"/>
        </w:rPr>
        <w:t xml:space="preserve">and </w:t>
      </w:r>
      <w:r w:rsidR="007D1CC2" w:rsidRPr="00B37F96">
        <w:rPr>
          <w:spacing w:val="-2"/>
        </w:rPr>
        <w:t xml:space="preserve">based on operational and cultural considerations. </w:t>
      </w:r>
    </w:p>
    <w:p w14:paraId="3E9A02BE" w14:textId="77777777" w:rsidR="007D1CC2" w:rsidRPr="00B37F96" w:rsidRDefault="007D1CC2" w:rsidP="007D1CC2">
      <w:pPr>
        <w:rPr>
          <w:spacing w:val="-2"/>
        </w:rPr>
      </w:pPr>
    </w:p>
    <w:p w14:paraId="35680B24" w14:textId="20930669" w:rsidR="007D1CC2" w:rsidRPr="00B37F96" w:rsidRDefault="007D1CC2" w:rsidP="007D1CC2">
      <w:pPr>
        <w:rPr>
          <w:spacing w:val="-2"/>
        </w:rPr>
      </w:pPr>
      <w:r w:rsidRPr="00B37F96">
        <w:rPr>
          <w:spacing w:val="-2"/>
        </w:rPr>
        <w:t>In remote Abori</w:t>
      </w:r>
      <w:r w:rsidR="00973550">
        <w:rPr>
          <w:spacing w:val="-2"/>
        </w:rPr>
        <w:t xml:space="preserve">ginal communities across the </w:t>
      </w:r>
      <w:r w:rsidR="00B553E3">
        <w:rPr>
          <w:spacing w:val="-2"/>
        </w:rPr>
        <w:t>Northern Territory,</w:t>
      </w:r>
      <w:r w:rsidR="00973550">
        <w:rPr>
          <w:spacing w:val="-2"/>
        </w:rPr>
        <w:t> </w:t>
      </w:r>
      <w:r w:rsidRPr="00B37F96">
        <w:rPr>
          <w:spacing w:val="-2"/>
        </w:rPr>
        <w:t>housing supply is a critical issue</w:t>
      </w:r>
      <w:r w:rsidR="00B553E3">
        <w:rPr>
          <w:spacing w:val="-2"/>
        </w:rPr>
        <w:t xml:space="preserve"> with</w:t>
      </w:r>
      <w:r w:rsidR="00861D4D">
        <w:rPr>
          <w:spacing w:val="-2"/>
        </w:rPr>
        <w:t xml:space="preserve"> more than 50</w:t>
      </w:r>
      <w:r w:rsidR="00B553E3">
        <w:rPr>
          <w:spacing w:val="-2"/>
        </w:rPr>
        <w:t xml:space="preserve"> per cent</w:t>
      </w:r>
      <w:r w:rsidR="00861D4D">
        <w:rPr>
          <w:spacing w:val="-2"/>
        </w:rPr>
        <w:t xml:space="preserve"> of existing houses need</w:t>
      </w:r>
      <w:r w:rsidR="00B553E3">
        <w:rPr>
          <w:spacing w:val="-2"/>
        </w:rPr>
        <w:t>ing</w:t>
      </w:r>
      <w:r w:rsidR="00861D4D">
        <w:rPr>
          <w:spacing w:val="-2"/>
        </w:rPr>
        <w:t xml:space="preserve"> one or more e</w:t>
      </w:r>
      <w:r w:rsidR="00B553E3">
        <w:rPr>
          <w:spacing w:val="-2"/>
        </w:rPr>
        <w:t>xtra bedroom</w:t>
      </w:r>
      <w:r w:rsidR="00861D4D">
        <w:rPr>
          <w:rStyle w:val="FootnoteReference"/>
          <w:spacing w:val="-2"/>
        </w:rPr>
        <w:footnoteReference w:id="7"/>
      </w:r>
      <w:r w:rsidRPr="00B37F96">
        <w:rPr>
          <w:spacing w:val="-2"/>
        </w:rPr>
        <w:t>. Public housing dwellings are the only dwellings available due to complex land tenure issues</w:t>
      </w:r>
      <w:r w:rsidR="00B553E3">
        <w:rPr>
          <w:spacing w:val="-2"/>
        </w:rPr>
        <w:t>,</w:t>
      </w:r>
      <w:r w:rsidRPr="00B37F96">
        <w:rPr>
          <w:spacing w:val="-2"/>
        </w:rPr>
        <w:t xml:space="preserve"> and limited infrastructure which restricts the number of serviced residential lots available. As a result</w:t>
      </w:r>
      <w:r w:rsidR="00B553E3">
        <w:rPr>
          <w:spacing w:val="-2"/>
        </w:rPr>
        <w:t>,</w:t>
      </w:r>
      <w:r w:rsidRPr="00B37F96">
        <w:rPr>
          <w:spacing w:val="-2"/>
        </w:rPr>
        <w:t xml:space="preserve"> there is chronic overcrowding of the public housing dwellings in </w:t>
      </w:r>
      <w:r w:rsidR="00F338ED" w:rsidRPr="00B37F96">
        <w:rPr>
          <w:spacing w:val="-2"/>
        </w:rPr>
        <w:t xml:space="preserve">most </w:t>
      </w:r>
      <w:r w:rsidRPr="00B37F96">
        <w:rPr>
          <w:spacing w:val="-2"/>
        </w:rPr>
        <w:t>of these communities. In Darw</w:t>
      </w:r>
      <w:r w:rsidR="00973550">
        <w:rPr>
          <w:spacing w:val="-2"/>
        </w:rPr>
        <w:t>in, Katherine and Alice Springs</w:t>
      </w:r>
      <w:r w:rsidR="00B553E3">
        <w:rPr>
          <w:spacing w:val="-2"/>
        </w:rPr>
        <w:t>,</w:t>
      </w:r>
      <w:r w:rsidRPr="00B37F96">
        <w:rPr>
          <w:spacing w:val="-2"/>
        </w:rPr>
        <w:t xml:space="preserve"> demand for social and affordable housing significantly outstrips supply. Given this, th</w:t>
      </w:r>
      <w:r w:rsidR="00973550">
        <w:rPr>
          <w:spacing w:val="-2"/>
        </w:rPr>
        <w:t>ere are major challenges to implement</w:t>
      </w:r>
      <w:r w:rsidR="00011C0A">
        <w:rPr>
          <w:spacing w:val="-2"/>
        </w:rPr>
        <w:t>ing</w:t>
      </w:r>
      <w:r w:rsidR="00B553E3">
        <w:rPr>
          <w:spacing w:val="-2"/>
        </w:rPr>
        <w:t xml:space="preserve"> </w:t>
      </w:r>
      <w:r w:rsidRPr="00B37F96">
        <w:rPr>
          <w:spacing w:val="-2"/>
        </w:rPr>
        <w:t xml:space="preserve">choice-based letting in the </w:t>
      </w:r>
      <w:r w:rsidR="00B553E3">
        <w:rPr>
          <w:spacing w:val="-2"/>
        </w:rPr>
        <w:t>Northern Territory</w:t>
      </w:r>
      <w:r w:rsidRPr="00B37F96">
        <w:rPr>
          <w:spacing w:val="-2"/>
        </w:rPr>
        <w:t>. Current assets are ageing</w:t>
      </w:r>
      <w:r w:rsidR="00B553E3">
        <w:rPr>
          <w:spacing w:val="-2"/>
        </w:rPr>
        <w:t>,</w:t>
      </w:r>
      <w:r w:rsidRPr="00B37F96">
        <w:rPr>
          <w:spacing w:val="-2"/>
        </w:rPr>
        <w:t xml:space="preserve"> or are generally not fit for purpose due to changes in demographic need. It is not easy to refresh stock, so moving to user choice is further constrained.</w:t>
      </w:r>
    </w:p>
    <w:p w14:paraId="558DEF67" w14:textId="77777777" w:rsidR="007D1CC2" w:rsidRPr="00B37F96" w:rsidRDefault="007D1CC2" w:rsidP="007D1CC2">
      <w:pPr>
        <w:rPr>
          <w:spacing w:val="-2"/>
        </w:rPr>
      </w:pPr>
    </w:p>
    <w:p w14:paraId="6EB4FA88" w14:textId="1D755865" w:rsidR="007D1CC2" w:rsidRPr="00B37F96" w:rsidRDefault="00FA65F8" w:rsidP="007D1CC2">
      <w:pPr>
        <w:rPr>
          <w:spacing w:val="-2"/>
        </w:rPr>
      </w:pPr>
      <w:r>
        <w:rPr>
          <w:spacing w:val="-2"/>
        </w:rPr>
        <w:t>As part of a five</w:t>
      </w:r>
      <w:r w:rsidR="00B553E3">
        <w:rPr>
          <w:spacing w:val="-2"/>
        </w:rPr>
        <w:t>-</w:t>
      </w:r>
      <w:r>
        <w:rPr>
          <w:spacing w:val="-2"/>
        </w:rPr>
        <w:t>year plan to increase choice and availability</w:t>
      </w:r>
      <w:r w:rsidR="00011C0A">
        <w:rPr>
          <w:spacing w:val="-2"/>
        </w:rPr>
        <w:t>,</w:t>
      </w:r>
      <w:r>
        <w:rPr>
          <w:spacing w:val="-2"/>
        </w:rPr>
        <w:t xml:space="preserve"> t</w:t>
      </w:r>
      <w:r w:rsidR="00501712" w:rsidRPr="00B37F96">
        <w:rPr>
          <w:spacing w:val="-2"/>
        </w:rPr>
        <w:t>he NTG</w:t>
      </w:r>
      <w:r>
        <w:rPr>
          <w:spacing w:val="-2"/>
        </w:rPr>
        <w:t> </w:t>
      </w:r>
      <w:r w:rsidR="00501712" w:rsidRPr="00B37F96">
        <w:rPr>
          <w:spacing w:val="-2"/>
        </w:rPr>
        <w:t xml:space="preserve">has released requests for proposals to increase </w:t>
      </w:r>
      <w:r>
        <w:rPr>
          <w:spacing w:val="-2"/>
        </w:rPr>
        <w:t>the</w:t>
      </w:r>
      <w:r w:rsidR="00501712" w:rsidRPr="00B37F96">
        <w:rPr>
          <w:spacing w:val="-2"/>
        </w:rPr>
        <w:t xml:space="preserve"> stock of social housing</w:t>
      </w:r>
      <w:r>
        <w:rPr>
          <w:spacing w:val="-2"/>
        </w:rPr>
        <w:t xml:space="preserve"> </w:t>
      </w:r>
      <w:r w:rsidRPr="00B37F96">
        <w:rPr>
          <w:spacing w:val="-2"/>
        </w:rPr>
        <w:t>by 250</w:t>
      </w:r>
      <w:r>
        <w:rPr>
          <w:spacing w:val="-2"/>
        </w:rPr>
        <w:t> </w:t>
      </w:r>
      <w:r w:rsidRPr="00B37F96">
        <w:rPr>
          <w:spacing w:val="-2"/>
        </w:rPr>
        <w:t>properties</w:t>
      </w:r>
      <w:r w:rsidR="00793089" w:rsidRPr="00B37F96">
        <w:rPr>
          <w:spacing w:val="-2"/>
        </w:rPr>
        <w:t xml:space="preserve">. The head-leasing initiative will give property developers </w:t>
      </w:r>
      <w:r w:rsidR="003D461D" w:rsidRPr="00B37F96">
        <w:rPr>
          <w:spacing w:val="-2"/>
        </w:rPr>
        <w:t>financial security, with six</w:t>
      </w:r>
      <w:r w:rsidR="00011C0A">
        <w:rPr>
          <w:spacing w:val="-2"/>
        </w:rPr>
        <w:t>-</w:t>
      </w:r>
      <w:r w:rsidR="003D461D" w:rsidRPr="00B37F96">
        <w:rPr>
          <w:spacing w:val="-2"/>
        </w:rPr>
        <w:t>year leases at market rent, with the potential to extend for a further three years. In addition, t</w:t>
      </w:r>
      <w:r w:rsidR="007D1CC2" w:rsidRPr="00B37F96">
        <w:rPr>
          <w:spacing w:val="-2"/>
        </w:rPr>
        <w:t>he NTG currently head</w:t>
      </w:r>
      <w:r w:rsidR="007D1CC2" w:rsidRPr="00B37F96">
        <w:rPr>
          <w:spacing w:val="-2"/>
        </w:rPr>
        <w:noBreakHyphen/>
        <w:t>leases dwellings from the private rental market to provide social housing for eligible applicants. The NTG also head</w:t>
      </w:r>
      <w:r w:rsidR="007D1CC2" w:rsidRPr="00B37F96">
        <w:rPr>
          <w:spacing w:val="-2"/>
        </w:rPr>
        <w:noBreakHyphen/>
        <w:t>leases dwellings from the private sector to provide more affordable rental homes for workers in key service areas (</w:t>
      </w:r>
      <w:hyperlink r:id="rId19" w:history="1">
        <w:r w:rsidR="007D1CC2" w:rsidRPr="00B37F96">
          <w:rPr>
            <w:rStyle w:val="Hyperlink"/>
            <w:spacing w:val="-2"/>
          </w:rPr>
          <w:t>Housing for Growth Head-Leasing initiative</w:t>
        </w:r>
      </w:hyperlink>
      <w:r w:rsidR="00B553E3">
        <w:rPr>
          <w:spacing w:val="-2"/>
        </w:rPr>
        <w:t xml:space="preserve">). Head </w:t>
      </w:r>
      <w:r w:rsidR="007D1CC2" w:rsidRPr="00B37F96">
        <w:rPr>
          <w:spacing w:val="-2"/>
        </w:rPr>
        <w:t xml:space="preserve">leasing has significant operational costs associated with the leasing of dwellings at market rates and providing rental rebates to tenants. </w:t>
      </w:r>
    </w:p>
    <w:p w14:paraId="79CA940A" w14:textId="77777777" w:rsidR="007D1CC2" w:rsidRPr="00B37F96" w:rsidRDefault="007D1CC2" w:rsidP="007D1CC2">
      <w:pPr>
        <w:rPr>
          <w:spacing w:val="-2"/>
        </w:rPr>
      </w:pPr>
    </w:p>
    <w:p w14:paraId="6B9E33E0" w14:textId="77777777" w:rsidR="00DB6BB2" w:rsidRPr="00B37F96" w:rsidRDefault="00DB6BB2" w:rsidP="00DC69A4">
      <w:pPr>
        <w:pStyle w:val="Heading3"/>
        <w:rPr>
          <w:spacing w:val="-2"/>
        </w:rPr>
      </w:pPr>
      <w:bookmarkStart w:id="7" w:name="_Toc490477140"/>
      <w:r w:rsidRPr="00B37F96">
        <w:rPr>
          <w:spacing w:val="-2"/>
        </w:rPr>
        <w:t>Contestable management of social housing</w:t>
      </w:r>
      <w:bookmarkEnd w:id="7"/>
    </w:p>
    <w:p w14:paraId="2F38F61D" w14:textId="77777777" w:rsidR="007D1CC2" w:rsidRPr="00B37F96" w:rsidRDefault="007D1CC2" w:rsidP="007D1CC2">
      <w:pPr>
        <w:rPr>
          <w:caps/>
          <w:spacing w:val="-2"/>
        </w:rPr>
      </w:pPr>
      <w:r w:rsidRPr="00B37F96">
        <w:rPr>
          <w:spacing w:val="-2"/>
        </w:rPr>
        <w:t>The NTG supports Draft Recommendation 5.4 on making the management of social housing contestable, on a staged basis. The NTG is exploring options for the implementation of a contestable approach to engaging Community Housing Providers (CHPs) for the management of social housing properties.</w:t>
      </w:r>
    </w:p>
    <w:p w14:paraId="37467301" w14:textId="77777777" w:rsidR="007D1CC2" w:rsidRPr="00B37F96" w:rsidRDefault="007D1CC2" w:rsidP="007D1CC2">
      <w:pPr>
        <w:rPr>
          <w:caps/>
          <w:spacing w:val="-2"/>
        </w:rPr>
      </w:pPr>
    </w:p>
    <w:p w14:paraId="24B6B73F" w14:textId="4D4C248E" w:rsidR="007D1CC2" w:rsidRPr="00B37F96" w:rsidRDefault="007D1CC2" w:rsidP="007D1CC2">
      <w:pPr>
        <w:rPr>
          <w:spacing w:val="-2"/>
        </w:rPr>
      </w:pPr>
      <w:r w:rsidRPr="00B37F96">
        <w:rPr>
          <w:spacing w:val="-2"/>
        </w:rPr>
        <w:t xml:space="preserve">As the community housing sector in the </w:t>
      </w:r>
      <w:r w:rsidR="00B553E3">
        <w:rPr>
          <w:spacing w:val="-2"/>
        </w:rPr>
        <w:t>Northern Territory</w:t>
      </w:r>
      <w:r w:rsidRPr="00B37F96">
        <w:rPr>
          <w:spacing w:val="-2"/>
        </w:rPr>
        <w:t xml:space="preserve"> is in </w:t>
      </w:r>
      <w:r w:rsidR="00FA65F8">
        <w:rPr>
          <w:spacing w:val="-2"/>
        </w:rPr>
        <w:t xml:space="preserve">the early stages of </w:t>
      </w:r>
      <w:r w:rsidRPr="00B37F96">
        <w:rPr>
          <w:spacing w:val="-2"/>
        </w:rPr>
        <w:t xml:space="preserve">development, gearing up </w:t>
      </w:r>
      <w:r w:rsidR="00FA65F8">
        <w:rPr>
          <w:spacing w:val="-2"/>
        </w:rPr>
        <w:t xml:space="preserve">sector </w:t>
      </w:r>
      <w:r w:rsidR="00FA65F8" w:rsidRPr="00B37F96">
        <w:rPr>
          <w:spacing w:val="-2"/>
        </w:rPr>
        <w:t>capacity</w:t>
      </w:r>
      <w:r w:rsidR="00FA65F8">
        <w:rPr>
          <w:spacing w:val="-2"/>
        </w:rPr>
        <w:t xml:space="preserve"> to manage a greater</w:t>
      </w:r>
      <w:r w:rsidRPr="00B37F96">
        <w:rPr>
          <w:spacing w:val="-2"/>
        </w:rPr>
        <w:t xml:space="preserve"> </w:t>
      </w:r>
      <w:r w:rsidR="00FA65F8">
        <w:rPr>
          <w:spacing w:val="-2"/>
        </w:rPr>
        <w:t xml:space="preserve">number </w:t>
      </w:r>
      <w:r w:rsidRPr="00B37F96">
        <w:rPr>
          <w:spacing w:val="-2"/>
        </w:rPr>
        <w:t xml:space="preserve">of social housing properties is being </w:t>
      </w:r>
      <w:r w:rsidR="00FA65F8">
        <w:rPr>
          <w:spacing w:val="-2"/>
        </w:rPr>
        <w:t>done</w:t>
      </w:r>
      <w:r w:rsidRPr="00B37F96">
        <w:rPr>
          <w:spacing w:val="-2"/>
        </w:rPr>
        <w:t xml:space="preserve"> on a staged basis. The NTG is preparing a Communit</w:t>
      </w:r>
      <w:r w:rsidR="00FA65F8">
        <w:rPr>
          <w:spacing w:val="-2"/>
        </w:rPr>
        <w:t>y Housing Strategy to inform</w:t>
      </w:r>
      <w:r w:rsidRPr="00B37F96">
        <w:rPr>
          <w:spacing w:val="-2"/>
        </w:rPr>
        <w:t xml:space="preserve"> further development of the sector</w:t>
      </w:r>
      <w:r w:rsidR="00FA65F8">
        <w:rPr>
          <w:spacing w:val="-2"/>
        </w:rPr>
        <w:t>, including the future transfer of</w:t>
      </w:r>
      <w:r w:rsidRPr="00B37F96">
        <w:rPr>
          <w:spacing w:val="-2"/>
        </w:rPr>
        <w:t xml:space="preserve"> management responsibility </w:t>
      </w:r>
      <w:r w:rsidR="00FA65F8">
        <w:rPr>
          <w:spacing w:val="-2"/>
        </w:rPr>
        <w:t>and/</w:t>
      </w:r>
      <w:r w:rsidRPr="00B37F96">
        <w:rPr>
          <w:spacing w:val="-2"/>
        </w:rPr>
        <w:t>or title for social housing from government to CHPs.</w:t>
      </w:r>
    </w:p>
    <w:p w14:paraId="10A0A31D" w14:textId="77777777" w:rsidR="007D1CC2" w:rsidRPr="00B37F96" w:rsidRDefault="007D1CC2" w:rsidP="007D1CC2">
      <w:pPr>
        <w:rPr>
          <w:spacing w:val="-2"/>
        </w:rPr>
      </w:pPr>
    </w:p>
    <w:p w14:paraId="7D9E3DFD" w14:textId="77777777" w:rsidR="00DB6BB2" w:rsidRPr="00B37F96" w:rsidRDefault="00DB6BB2" w:rsidP="00DC69A4">
      <w:pPr>
        <w:pStyle w:val="Heading3"/>
        <w:rPr>
          <w:spacing w:val="-2"/>
        </w:rPr>
      </w:pPr>
      <w:bookmarkStart w:id="8" w:name="_Toc490477141"/>
      <w:r w:rsidRPr="00B37F96">
        <w:rPr>
          <w:spacing w:val="-2"/>
        </w:rPr>
        <w:t>Commissioning tenancy support services</w:t>
      </w:r>
      <w:bookmarkEnd w:id="8"/>
    </w:p>
    <w:p w14:paraId="3ABD046D" w14:textId="4C136B68" w:rsidR="007D1CC2" w:rsidRPr="00B37F96" w:rsidRDefault="007D1CC2" w:rsidP="00B553E3">
      <w:pPr>
        <w:rPr>
          <w:spacing w:val="-2"/>
        </w:rPr>
      </w:pPr>
      <w:r w:rsidRPr="00B37F96">
        <w:rPr>
          <w:spacing w:val="-2"/>
        </w:rPr>
        <w:t xml:space="preserve">Draft Recommendation 6.1 recommends </w:t>
      </w:r>
      <w:r w:rsidR="00B553E3" w:rsidRPr="00B37F96">
        <w:rPr>
          <w:spacing w:val="-2"/>
        </w:rPr>
        <w:t xml:space="preserve">that state and territory governments </w:t>
      </w:r>
      <w:r w:rsidRPr="00B37F96">
        <w:rPr>
          <w:spacing w:val="-2"/>
        </w:rPr>
        <w:t>should clearly separate the funding and commissioning of tenancy support services from tenancy management services</w:t>
      </w:r>
      <w:r w:rsidR="00FA65F8">
        <w:rPr>
          <w:spacing w:val="-2"/>
        </w:rPr>
        <w:t>,</w:t>
      </w:r>
      <w:r w:rsidRPr="00B37F96">
        <w:rPr>
          <w:spacing w:val="-2"/>
        </w:rPr>
        <w:t xml:space="preserve"> and that tenants renting in the private market have the same access to support services as tenants in social housing. The NTG supports this approach. In the </w:t>
      </w:r>
      <w:r w:rsidR="00B553E3">
        <w:rPr>
          <w:spacing w:val="-2"/>
        </w:rPr>
        <w:t>Northern Territory,</w:t>
      </w:r>
      <w:r w:rsidRPr="00B37F96">
        <w:rPr>
          <w:spacing w:val="-2"/>
        </w:rPr>
        <w:t> tenancy management and tenancy support services are provided separately in the public housing system. Tenancy support services are funded through providers in the specialist homelessness services system, while tenancy management services are provided directly through the public housing system. Recent changes have extended support services to those who are homeless or at risk of homelessness throughout the</w:t>
      </w:r>
      <w:r w:rsidR="00B553E3">
        <w:rPr>
          <w:spacing w:val="-2"/>
        </w:rPr>
        <w:t xml:space="preserve"> Territory</w:t>
      </w:r>
      <w:r w:rsidRPr="00B37F96">
        <w:rPr>
          <w:spacing w:val="-2"/>
        </w:rPr>
        <w:t xml:space="preserve">, including public housing clients who are at risk of failing to sustain a tenancy. </w:t>
      </w:r>
    </w:p>
    <w:p w14:paraId="005FAAA2" w14:textId="77777777" w:rsidR="007D1CC2" w:rsidRPr="00B37F96" w:rsidRDefault="007D1CC2" w:rsidP="007D1CC2">
      <w:pPr>
        <w:rPr>
          <w:spacing w:val="-2"/>
        </w:rPr>
      </w:pPr>
    </w:p>
    <w:p w14:paraId="41A90EB7" w14:textId="3BB4D1CE" w:rsidR="007D1CC2" w:rsidRPr="00B37F96" w:rsidRDefault="007D1CC2" w:rsidP="007D1CC2">
      <w:pPr>
        <w:rPr>
          <w:spacing w:val="-2"/>
        </w:rPr>
      </w:pPr>
      <w:r w:rsidRPr="00B37F96">
        <w:rPr>
          <w:spacing w:val="-2"/>
        </w:rPr>
        <w:t>These new support services include broad eligibility criteria to allow service providers to respond to clients living in any t</w:t>
      </w:r>
      <w:r w:rsidR="00FA65F8">
        <w:rPr>
          <w:spacing w:val="-2"/>
        </w:rPr>
        <w:t>enancy type (public or private),</w:t>
      </w:r>
      <w:r w:rsidRPr="00B37F96">
        <w:rPr>
          <w:spacing w:val="-2"/>
        </w:rPr>
        <w:t xml:space="preserve"> and case management that follows the client and is tailored to needs. </w:t>
      </w:r>
      <w:r w:rsidR="00FA65F8">
        <w:rPr>
          <w:spacing w:val="-2"/>
        </w:rPr>
        <w:t>T</w:t>
      </w:r>
      <w:r w:rsidRPr="00B37F96">
        <w:rPr>
          <w:spacing w:val="-2"/>
        </w:rPr>
        <w:t>he NTG is also developing a Homelessness Strategy that will further consider the role of tenancy support services in preventing homelessness</w:t>
      </w:r>
      <w:r w:rsidR="00B553E3">
        <w:rPr>
          <w:spacing w:val="-2"/>
        </w:rPr>
        <w:t>,</w:t>
      </w:r>
      <w:r w:rsidR="00FA65F8">
        <w:rPr>
          <w:spacing w:val="-2"/>
        </w:rPr>
        <w:t xml:space="preserve"> for </w:t>
      </w:r>
      <w:r w:rsidRPr="00B37F96">
        <w:rPr>
          <w:spacing w:val="-2"/>
        </w:rPr>
        <w:t>people living in public housing and in the priv</w:t>
      </w:r>
      <w:r w:rsidR="00FA65F8">
        <w:rPr>
          <w:spacing w:val="-2"/>
        </w:rPr>
        <w:t>ate rental market.</w:t>
      </w:r>
      <w:r w:rsidR="00F84FA1">
        <w:rPr>
          <w:spacing w:val="-2"/>
        </w:rPr>
        <w:t xml:space="preserve"> </w:t>
      </w:r>
      <w:r w:rsidRPr="00B37F96">
        <w:rPr>
          <w:spacing w:val="-2"/>
        </w:rPr>
        <w:t xml:space="preserve">The extension of tenancy support services to people in the private market has </w:t>
      </w:r>
      <w:r w:rsidR="00FA65F8">
        <w:rPr>
          <w:spacing w:val="-2"/>
        </w:rPr>
        <w:t xml:space="preserve">the </w:t>
      </w:r>
      <w:r w:rsidRPr="00B37F96">
        <w:rPr>
          <w:spacing w:val="-2"/>
        </w:rPr>
        <w:t xml:space="preserve">potential to improve social housing and homelessness outcomes in the </w:t>
      </w:r>
      <w:r w:rsidR="00B553E3">
        <w:rPr>
          <w:spacing w:val="-2"/>
        </w:rPr>
        <w:t>Territory</w:t>
      </w:r>
      <w:r w:rsidRPr="00B37F96">
        <w:rPr>
          <w:spacing w:val="-2"/>
        </w:rPr>
        <w:t xml:space="preserve">, </w:t>
      </w:r>
      <w:r w:rsidR="00FA65F8">
        <w:rPr>
          <w:spacing w:val="-2"/>
        </w:rPr>
        <w:t>but</w:t>
      </w:r>
      <w:r w:rsidRPr="00B37F96">
        <w:rPr>
          <w:spacing w:val="-2"/>
        </w:rPr>
        <w:t xml:space="preserve"> ther</w:t>
      </w:r>
      <w:r w:rsidR="00FA65F8">
        <w:rPr>
          <w:spacing w:val="-2"/>
        </w:rPr>
        <w:t>e are significant up</w:t>
      </w:r>
      <w:r w:rsidR="00FA65F8">
        <w:rPr>
          <w:spacing w:val="-2"/>
        </w:rPr>
        <w:noBreakHyphen/>
        <w:t>front costs</w:t>
      </w:r>
      <w:r w:rsidR="00F84FA1">
        <w:rPr>
          <w:spacing w:val="-2"/>
        </w:rPr>
        <w:t>.</w:t>
      </w:r>
    </w:p>
    <w:p w14:paraId="0DA6579A" w14:textId="77777777" w:rsidR="007D1CC2" w:rsidRPr="00B37F96" w:rsidRDefault="007D1CC2" w:rsidP="007D1CC2">
      <w:pPr>
        <w:rPr>
          <w:caps/>
          <w:spacing w:val="-2"/>
        </w:rPr>
      </w:pPr>
    </w:p>
    <w:p w14:paraId="417B6F9C" w14:textId="140B78EF" w:rsidR="007D1CC2" w:rsidRPr="00B37F96" w:rsidRDefault="007D1CC2" w:rsidP="007D1CC2">
      <w:pPr>
        <w:rPr>
          <w:spacing w:val="-2"/>
        </w:rPr>
      </w:pPr>
      <w:r w:rsidRPr="00B37F96">
        <w:rPr>
          <w:spacing w:val="-2"/>
        </w:rPr>
        <w:t xml:space="preserve">Delivering tenancy support to people living in remote public housing in the </w:t>
      </w:r>
      <w:r w:rsidR="00B553E3">
        <w:rPr>
          <w:spacing w:val="-2"/>
        </w:rPr>
        <w:t>Northern Territory</w:t>
      </w:r>
      <w:r w:rsidRPr="00B37F96">
        <w:rPr>
          <w:spacing w:val="-2"/>
        </w:rPr>
        <w:t> is fiscally and logistically challenging. The Productivity Commission’s final report could address options to improve accessibility to these types of services in remote areas.</w:t>
      </w:r>
    </w:p>
    <w:p w14:paraId="37758425" w14:textId="77777777" w:rsidR="007D1CC2" w:rsidRPr="00B37F96" w:rsidRDefault="007D1CC2" w:rsidP="007D1CC2">
      <w:pPr>
        <w:rPr>
          <w:spacing w:val="-2"/>
        </w:rPr>
      </w:pPr>
    </w:p>
    <w:p w14:paraId="325B5C6E" w14:textId="77777777" w:rsidR="00DB6BB2" w:rsidRPr="00B37F96" w:rsidRDefault="00DB6BB2" w:rsidP="00DC69A4">
      <w:pPr>
        <w:pStyle w:val="Heading3"/>
        <w:rPr>
          <w:spacing w:val="-2"/>
        </w:rPr>
      </w:pPr>
      <w:bookmarkStart w:id="9" w:name="_Toc490477142"/>
      <w:r w:rsidRPr="00B37F96">
        <w:rPr>
          <w:spacing w:val="-2"/>
        </w:rPr>
        <w:t>Separation of social housing management from social housing policy</w:t>
      </w:r>
      <w:bookmarkEnd w:id="9"/>
    </w:p>
    <w:p w14:paraId="75F5AB65" w14:textId="77777777" w:rsidR="007D1CC2" w:rsidRPr="00B37F96" w:rsidRDefault="007D1CC2" w:rsidP="007D1CC2">
      <w:pPr>
        <w:rPr>
          <w:spacing w:val="-2"/>
        </w:rPr>
      </w:pPr>
      <w:r w:rsidRPr="00B37F96">
        <w:rPr>
          <w:spacing w:val="-2"/>
        </w:rPr>
        <w:t>The NTG gives in</w:t>
      </w:r>
      <w:r w:rsidRPr="00B37F96">
        <w:rPr>
          <w:spacing w:val="-2"/>
        </w:rPr>
        <w:noBreakHyphen/>
        <w:t>principle support to Draft Recommendation 6.2 regarding the separation of social housing management from social housing policy. The NTG is seeking to increase the quantity of social housing managed by CHPs, which creates separation of managing social housing assets from social housing policy.</w:t>
      </w:r>
    </w:p>
    <w:p w14:paraId="6CBD2DCF" w14:textId="77777777" w:rsidR="007D1CC2" w:rsidRPr="00B37F96" w:rsidRDefault="007D1CC2" w:rsidP="007D1CC2">
      <w:pPr>
        <w:rPr>
          <w:spacing w:val="-2"/>
        </w:rPr>
      </w:pPr>
    </w:p>
    <w:p w14:paraId="34AB80DC" w14:textId="40FB6007" w:rsidR="007D1CC2" w:rsidRPr="00B37F96" w:rsidRDefault="007D1CC2" w:rsidP="007D1CC2">
      <w:pPr>
        <w:rPr>
          <w:spacing w:val="-2"/>
        </w:rPr>
      </w:pPr>
      <w:r w:rsidRPr="00B37F96">
        <w:rPr>
          <w:spacing w:val="-2"/>
        </w:rPr>
        <w:t xml:space="preserve">Currently, public housing provision and policy are conducted within the same agency with little separation. </w:t>
      </w:r>
      <w:r w:rsidR="00543359">
        <w:rPr>
          <w:spacing w:val="-2"/>
        </w:rPr>
        <w:t>Although</w:t>
      </w:r>
      <w:r w:rsidR="00543359" w:rsidRPr="00B37F96">
        <w:rPr>
          <w:spacing w:val="-2"/>
        </w:rPr>
        <w:t xml:space="preserve"> </w:t>
      </w:r>
      <w:r w:rsidRPr="00B37F96">
        <w:rPr>
          <w:spacing w:val="-2"/>
        </w:rPr>
        <w:t xml:space="preserve">a separation of the entities within the department is not currently planned, </w:t>
      </w:r>
      <w:r w:rsidR="00F84FA1">
        <w:rPr>
          <w:spacing w:val="-2"/>
        </w:rPr>
        <w:t>the NTG </w:t>
      </w:r>
      <w:r w:rsidR="00991C8E" w:rsidRPr="00B37F96">
        <w:rPr>
          <w:spacing w:val="-2"/>
        </w:rPr>
        <w:t>is developing</w:t>
      </w:r>
      <w:r w:rsidRPr="00B37F96">
        <w:rPr>
          <w:spacing w:val="-2"/>
        </w:rPr>
        <w:t xml:space="preserve"> the community housing sector and transfer</w:t>
      </w:r>
      <w:r w:rsidR="00A50AF9" w:rsidRPr="00B37F96">
        <w:rPr>
          <w:spacing w:val="-2"/>
        </w:rPr>
        <w:t>ring</w:t>
      </w:r>
      <w:r w:rsidRPr="00B37F96">
        <w:rPr>
          <w:spacing w:val="-2"/>
        </w:rPr>
        <w:t xml:space="preserve"> </w:t>
      </w:r>
      <w:r w:rsidR="00F84FA1">
        <w:rPr>
          <w:spacing w:val="-2"/>
        </w:rPr>
        <w:t xml:space="preserve">some </w:t>
      </w:r>
      <w:r w:rsidRPr="00B37F96">
        <w:rPr>
          <w:spacing w:val="-2"/>
        </w:rPr>
        <w:t xml:space="preserve">management responsibility </w:t>
      </w:r>
      <w:r w:rsidR="00F84FA1">
        <w:rPr>
          <w:spacing w:val="-2"/>
        </w:rPr>
        <w:t>and/</w:t>
      </w:r>
      <w:r w:rsidRPr="00B37F96">
        <w:rPr>
          <w:spacing w:val="-2"/>
        </w:rPr>
        <w:t>or title of properties to CHPs.</w:t>
      </w:r>
      <w:r w:rsidR="00F84FA1">
        <w:rPr>
          <w:spacing w:val="-2"/>
        </w:rPr>
        <w:t xml:space="preserve"> </w:t>
      </w:r>
      <w:r w:rsidRPr="00B37F96">
        <w:rPr>
          <w:spacing w:val="-2"/>
        </w:rPr>
        <w:t xml:space="preserve">Development of the sector through the </w:t>
      </w:r>
      <w:r w:rsidRPr="00F84FA1">
        <w:rPr>
          <w:i/>
          <w:spacing w:val="-2"/>
        </w:rPr>
        <w:t>Community Ho</w:t>
      </w:r>
      <w:r w:rsidR="00F84FA1" w:rsidRPr="00F84FA1">
        <w:rPr>
          <w:i/>
          <w:spacing w:val="-2"/>
        </w:rPr>
        <w:t>using Strategy</w:t>
      </w:r>
      <w:r w:rsidR="00F84FA1">
        <w:rPr>
          <w:spacing w:val="-2"/>
        </w:rPr>
        <w:t xml:space="preserve"> will result in a greater number of </w:t>
      </w:r>
      <w:r w:rsidR="00543359">
        <w:rPr>
          <w:spacing w:val="-2"/>
        </w:rPr>
        <w:t>dwellings</w:t>
      </w:r>
      <w:r w:rsidRPr="00B37F96">
        <w:rPr>
          <w:spacing w:val="-2"/>
        </w:rPr>
        <w:t xml:space="preserve"> being managed by entities separate to government.</w:t>
      </w:r>
    </w:p>
    <w:p w14:paraId="327B3EA8" w14:textId="77777777" w:rsidR="00F201C2" w:rsidRPr="00B37F96" w:rsidRDefault="00F201C2" w:rsidP="00F84FA1">
      <w:pPr>
        <w:rPr>
          <w:spacing w:val="-2"/>
        </w:rPr>
      </w:pPr>
    </w:p>
    <w:p w14:paraId="3D1F787E" w14:textId="77777777" w:rsidR="00DB6BB2" w:rsidRPr="00B37F96" w:rsidRDefault="00DB6BB2" w:rsidP="00DC69A4">
      <w:pPr>
        <w:pStyle w:val="Heading3"/>
        <w:rPr>
          <w:spacing w:val="-2"/>
        </w:rPr>
      </w:pPr>
      <w:bookmarkStart w:id="10" w:name="_Toc490477143"/>
      <w:r w:rsidRPr="00B37F96">
        <w:rPr>
          <w:spacing w:val="-2"/>
        </w:rPr>
        <w:t>Information for applicants</w:t>
      </w:r>
      <w:bookmarkEnd w:id="10"/>
    </w:p>
    <w:p w14:paraId="3C90FCE1" w14:textId="069FB72D" w:rsidR="007D1CC2" w:rsidRPr="00B37F96" w:rsidRDefault="007D1CC2" w:rsidP="007D1CC2">
      <w:pPr>
        <w:rPr>
          <w:caps/>
          <w:spacing w:val="-2"/>
        </w:rPr>
      </w:pPr>
      <w:r w:rsidRPr="00B37F96">
        <w:rPr>
          <w:spacing w:val="-2"/>
        </w:rPr>
        <w:t>The NTG gives in</w:t>
      </w:r>
      <w:r w:rsidRPr="00B37F96">
        <w:rPr>
          <w:spacing w:val="-2"/>
        </w:rPr>
        <w:noBreakHyphen/>
        <w:t xml:space="preserve">principle </w:t>
      </w:r>
      <w:r w:rsidR="00F84FA1">
        <w:rPr>
          <w:spacing w:val="-2"/>
        </w:rPr>
        <w:t>support to Draft Recommendation </w:t>
      </w:r>
      <w:r w:rsidRPr="00B37F96">
        <w:rPr>
          <w:spacing w:val="-2"/>
        </w:rPr>
        <w:t xml:space="preserve">6.3 regarding improved information for social housing applicants about the payments and support they </w:t>
      </w:r>
      <w:r w:rsidR="00F84FA1">
        <w:rPr>
          <w:spacing w:val="-2"/>
        </w:rPr>
        <w:t>are</w:t>
      </w:r>
      <w:r w:rsidRPr="00B37F96">
        <w:rPr>
          <w:spacing w:val="-2"/>
        </w:rPr>
        <w:t xml:space="preserve"> eligible for whether in social housing or the private market.</w:t>
      </w:r>
      <w:r w:rsidR="00F84FA1">
        <w:rPr>
          <w:spacing w:val="-2"/>
        </w:rPr>
        <w:t xml:space="preserve"> In developing the </w:t>
      </w:r>
      <w:r w:rsidR="00F84FA1" w:rsidRPr="00F84FA1">
        <w:rPr>
          <w:i/>
          <w:spacing w:val="-2"/>
        </w:rPr>
        <w:t>NT Homelessness Strategy</w:t>
      </w:r>
      <w:r w:rsidR="00543359">
        <w:rPr>
          <w:i/>
          <w:spacing w:val="-2"/>
        </w:rPr>
        <w:t>,</w:t>
      </w:r>
      <w:r w:rsidR="00F84FA1" w:rsidRPr="00F84FA1">
        <w:rPr>
          <w:i/>
          <w:spacing w:val="-2"/>
        </w:rPr>
        <w:t xml:space="preserve"> </w:t>
      </w:r>
      <w:r w:rsidR="00F84FA1">
        <w:rPr>
          <w:spacing w:val="-2"/>
        </w:rPr>
        <w:t>t</w:t>
      </w:r>
      <w:r w:rsidRPr="00B37F96">
        <w:rPr>
          <w:spacing w:val="-2"/>
        </w:rPr>
        <w:t>he NTG </w:t>
      </w:r>
      <w:r w:rsidR="00F338ED" w:rsidRPr="00B37F96">
        <w:rPr>
          <w:spacing w:val="-2"/>
        </w:rPr>
        <w:t>will consider</w:t>
      </w:r>
      <w:r w:rsidR="00F84FA1">
        <w:rPr>
          <w:spacing w:val="-2"/>
        </w:rPr>
        <w:t xml:space="preserve"> if </w:t>
      </w:r>
      <w:r w:rsidR="00F338ED" w:rsidRPr="00B37F96">
        <w:rPr>
          <w:spacing w:val="-2"/>
        </w:rPr>
        <w:t xml:space="preserve">it is feasible to </w:t>
      </w:r>
      <w:r w:rsidRPr="00B37F96">
        <w:rPr>
          <w:spacing w:val="-2"/>
        </w:rPr>
        <w:t xml:space="preserve">develop a service intake model </w:t>
      </w:r>
      <w:r w:rsidR="00F84FA1">
        <w:rPr>
          <w:spacing w:val="-2"/>
        </w:rPr>
        <w:t>characterised by a ‘</w:t>
      </w:r>
      <w:r w:rsidRPr="00B37F96">
        <w:rPr>
          <w:spacing w:val="-2"/>
        </w:rPr>
        <w:t>no wrong door</w:t>
      </w:r>
      <w:r w:rsidR="00F84FA1">
        <w:rPr>
          <w:spacing w:val="-2"/>
        </w:rPr>
        <w:t>’</w:t>
      </w:r>
      <w:r w:rsidRPr="00B37F96">
        <w:rPr>
          <w:rStyle w:val="FootnoteReference"/>
          <w:spacing w:val="-2"/>
        </w:rPr>
        <w:footnoteReference w:id="8"/>
      </w:r>
      <w:r w:rsidR="00F84FA1">
        <w:rPr>
          <w:spacing w:val="-2"/>
        </w:rPr>
        <w:t>, or ‘</w:t>
      </w:r>
      <w:r w:rsidRPr="00B37F96">
        <w:rPr>
          <w:spacing w:val="-2"/>
        </w:rPr>
        <w:t>one stop shop</w:t>
      </w:r>
      <w:r w:rsidR="00F84FA1">
        <w:rPr>
          <w:spacing w:val="-2"/>
        </w:rPr>
        <w:t>’</w:t>
      </w:r>
      <w:r w:rsidRPr="00B37F96">
        <w:rPr>
          <w:spacing w:val="-2"/>
        </w:rPr>
        <w:t xml:space="preserve"> approach to service delivery and referrals</w:t>
      </w:r>
      <w:r w:rsidR="00F84FA1">
        <w:rPr>
          <w:spacing w:val="-2"/>
        </w:rPr>
        <w:t>.</w:t>
      </w:r>
    </w:p>
    <w:p w14:paraId="21421543" w14:textId="77777777" w:rsidR="007D1CC2" w:rsidRPr="00B37F96" w:rsidRDefault="007D1CC2" w:rsidP="007D1CC2">
      <w:pPr>
        <w:rPr>
          <w:caps/>
          <w:spacing w:val="-2"/>
        </w:rPr>
      </w:pPr>
    </w:p>
    <w:p w14:paraId="7F3676CA" w14:textId="3E5B0FA1" w:rsidR="007D1CC2" w:rsidRPr="00B37F96" w:rsidRDefault="007D1CC2" w:rsidP="007D1CC2">
      <w:pPr>
        <w:rPr>
          <w:spacing w:val="-2"/>
        </w:rPr>
      </w:pPr>
      <w:r w:rsidRPr="00B37F96">
        <w:rPr>
          <w:spacing w:val="-2"/>
        </w:rPr>
        <w:t>As noted previously, transitioning to a market based rental model</w:t>
      </w:r>
      <w:r w:rsidR="00F84FA1">
        <w:rPr>
          <w:spacing w:val="-2"/>
        </w:rPr>
        <w:t>,</w:t>
      </w:r>
      <w:r w:rsidRPr="00B37F96">
        <w:rPr>
          <w:spacing w:val="-2"/>
        </w:rPr>
        <w:t xml:space="preserve"> with additional high cost housing payments where </w:t>
      </w:r>
      <w:r w:rsidR="00F84FA1">
        <w:rPr>
          <w:spacing w:val="-2"/>
        </w:rPr>
        <w:t xml:space="preserve">required, would be contingent </w:t>
      </w:r>
      <w:r w:rsidRPr="00B37F96">
        <w:rPr>
          <w:spacing w:val="-2"/>
        </w:rPr>
        <w:t>on significant national reforms to funding for social housing</w:t>
      </w:r>
      <w:r w:rsidR="00F84FA1">
        <w:rPr>
          <w:spacing w:val="-2"/>
        </w:rPr>
        <w:t>,</w:t>
      </w:r>
      <w:r w:rsidRPr="00B37F96">
        <w:rPr>
          <w:spacing w:val="-2"/>
        </w:rPr>
        <w:t xml:space="preserve"> including consideration </w:t>
      </w:r>
      <w:r w:rsidR="00F84FA1">
        <w:rPr>
          <w:spacing w:val="-2"/>
        </w:rPr>
        <w:t>of</w:t>
      </w:r>
      <w:r w:rsidRPr="00B37F96">
        <w:rPr>
          <w:spacing w:val="-2"/>
        </w:rPr>
        <w:t xml:space="preserve"> the distribution of costs and funding as discussed in relation to the above recommendations.</w:t>
      </w:r>
    </w:p>
    <w:p w14:paraId="67782036" w14:textId="77777777" w:rsidR="007D1CC2" w:rsidRPr="00B37F96" w:rsidRDefault="007D1CC2" w:rsidP="007D1CC2">
      <w:pPr>
        <w:rPr>
          <w:spacing w:val="-2"/>
        </w:rPr>
      </w:pPr>
    </w:p>
    <w:p w14:paraId="0678A923" w14:textId="77777777" w:rsidR="00DB6BB2" w:rsidRPr="00B37F96" w:rsidRDefault="00DB6BB2" w:rsidP="00DC69A4">
      <w:pPr>
        <w:pStyle w:val="Heading3"/>
        <w:rPr>
          <w:spacing w:val="-2"/>
        </w:rPr>
      </w:pPr>
      <w:bookmarkStart w:id="11" w:name="_Toc490477144"/>
      <w:r w:rsidRPr="00B37F96">
        <w:rPr>
          <w:spacing w:val="-2"/>
        </w:rPr>
        <w:t>Data on outcomes</w:t>
      </w:r>
      <w:bookmarkEnd w:id="11"/>
    </w:p>
    <w:p w14:paraId="5DFD5E4F" w14:textId="4B9C08E7" w:rsidR="007D1CC2" w:rsidRPr="00B37F96" w:rsidRDefault="007D1CC2" w:rsidP="007D1CC2">
      <w:pPr>
        <w:rPr>
          <w:caps/>
          <w:spacing w:val="-2"/>
        </w:rPr>
      </w:pPr>
      <w:r w:rsidRPr="00B37F96">
        <w:rPr>
          <w:spacing w:val="-2"/>
        </w:rPr>
        <w:t>The NT</w:t>
      </w:r>
      <w:r w:rsidR="002B78D8">
        <w:rPr>
          <w:spacing w:val="-2"/>
        </w:rPr>
        <w:t>G supports Draft Recommendation </w:t>
      </w:r>
      <w:r w:rsidRPr="00B37F96">
        <w:rPr>
          <w:spacing w:val="-2"/>
        </w:rPr>
        <w:t>6.4 regarding impr</w:t>
      </w:r>
      <w:r w:rsidR="002B78D8">
        <w:rPr>
          <w:spacing w:val="-2"/>
        </w:rPr>
        <w:t>oved data collection. The NTG </w:t>
      </w:r>
      <w:r w:rsidRPr="00B37F96">
        <w:rPr>
          <w:spacing w:val="-2"/>
        </w:rPr>
        <w:t>support</w:t>
      </w:r>
      <w:r w:rsidR="002B78D8">
        <w:rPr>
          <w:spacing w:val="-2"/>
        </w:rPr>
        <w:t>s</w:t>
      </w:r>
      <w:r w:rsidRPr="00B37F96">
        <w:rPr>
          <w:spacing w:val="-2"/>
        </w:rPr>
        <w:t xml:space="preserve"> improving the measurement of client outcomes but acknowledges there are a range of challenges</w:t>
      </w:r>
      <w:r w:rsidR="00B553E3">
        <w:rPr>
          <w:spacing w:val="-2"/>
        </w:rPr>
        <w:t xml:space="preserve">, </w:t>
      </w:r>
      <w:r w:rsidRPr="00B37F96">
        <w:rPr>
          <w:spacing w:val="-2"/>
        </w:rPr>
        <w:t>such as data sharing and privacy</w:t>
      </w:r>
      <w:r w:rsidR="00B553E3">
        <w:rPr>
          <w:spacing w:val="-2"/>
        </w:rPr>
        <w:t xml:space="preserve">, </w:t>
      </w:r>
      <w:r w:rsidRPr="00B37F96">
        <w:rPr>
          <w:spacing w:val="-2"/>
        </w:rPr>
        <w:t xml:space="preserve">which human services agencies at </w:t>
      </w:r>
      <w:r w:rsidR="002B78D8">
        <w:rPr>
          <w:spacing w:val="-2"/>
        </w:rPr>
        <w:t>all levels of government</w:t>
      </w:r>
      <w:r w:rsidRPr="00B37F96">
        <w:rPr>
          <w:spacing w:val="-2"/>
        </w:rPr>
        <w:t xml:space="preserve"> must overcome. The NTG is working with other jurisdictions and the Commonwealth to improve the measurement of national indicators relating to the efficiency of public housing.</w:t>
      </w:r>
      <w:r w:rsidR="00A50AF9" w:rsidRPr="00B37F96">
        <w:rPr>
          <w:spacing w:val="-2"/>
        </w:rPr>
        <w:t xml:space="preserve"> It is important </w:t>
      </w:r>
      <w:r w:rsidR="002B78D8">
        <w:rPr>
          <w:spacing w:val="-2"/>
        </w:rPr>
        <w:t xml:space="preserve">to recognise </w:t>
      </w:r>
      <w:r w:rsidR="00A50AF9" w:rsidRPr="00B37F96">
        <w:rPr>
          <w:spacing w:val="-2"/>
        </w:rPr>
        <w:t xml:space="preserve">that outputs </w:t>
      </w:r>
      <w:r w:rsidR="002B78D8">
        <w:rPr>
          <w:spacing w:val="-2"/>
        </w:rPr>
        <w:t>should</w:t>
      </w:r>
      <w:r w:rsidR="00A50AF9" w:rsidRPr="00B37F96">
        <w:rPr>
          <w:spacing w:val="-2"/>
        </w:rPr>
        <w:t xml:space="preserve"> not confused with outcomes</w:t>
      </w:r>
      <w:r w:rsidR="002B78D8">
        <w:rPr>
          <w:spacing w:val="-2"/>
        </w:rPr>
        <w:t>, and that all</w:t>
      </w:r>
      <w:r w:rsidR="00A50AF9" w:rsidRPr="00B37F96">
        <w:rPr>
          <w:spacing w:val="-2"/>
        </w:rPr>
        <w:t xml:space="preserve"> stakeholders should be involved in evaluating outcomes and determining indicators of</w:t>
      </w:r>
      <w:r w:rsidR="002B78D8">
        <w:rPr>
          <w:spacing w:val="-2"/>
        </w:rPr>
        <w:t xml:space="preserve"> effectiveness.</w:t>
      </w:r>
      <w:r w:rsidR="00A50AF9" w:rsidRPr="00B37F96">
        <w:rPr>
          <w:spacing w:val="-2"/>
        </w:rPr>
        <w:t xml:space="preserve"> These are likely to be different depending on context.</w:t>
      </w:r>
    </w:p>
    <w:p w14:paraId="5C17D82F" w14:textId="77777777" w:rsidR="007D1CC2" w:rsidRPr="00B37F96" w:rsidRDefault="007D1CC2" w:rsidP="007D1CC2">
      <w:pPr>
        <w:rPr>
          <w:caps/>
          <w:spacing w:val="-2"/>
        </w:rPr>
      </w:pPr>
    </w:p>
    <w:p w14:paraId="568D20C1" w14:textId="16C1D8A3" w:rsidR="007D1CC2" w:rsidRPr="00B37F96" w:rsidRDefault="002B78D8" w:rsidP="007D1CC2">
      <w:pPr>
        <w:rPr>
          <w:spacing w:val="-2"/>
        </w:rPr>
      </w:pPr>
      <w:r>
        <w:rPr>
          <w:spacing w:val="-2"/>
        </w:rPr>
        <w:t>Through the NT </w:t>
      </w:r>
      <w:r w:rsidR="007D1CC2" w:rsidRPr="00B37F96">
        <w:rPr>
          <w:spacing w:val="-2"/>
        </w:rPr>
        <w:t>Homelessness Innovation Fund</w:t>
      </w:r>
      <w:r w:rsidR="00543359">
        <w:rPr>
          <w:spacing w:val="-2"/>
        </w:rPr>
        <w:t>,</w:t>
      </w:r>
      <w:r w:rsidR="007D1CC2" w:rsidRPr="00B37F96">
        <w:rPr>
          <w:spacing w:val="-2"/>
        </w:rPr>
        <w:t xml:space="preserve"> an outcomes model that measures client outcomes is being trialled. The model will inform further work on a framework that measures client outcomes into the future. More generally, the NTG will be developing a social outcomes framework in collaboration with the non</w:t>
      </w:r>
      <w:r w:rsidR="007D1CC2" w:rsidRPr="00B37F96">
        <w:rPr>
          <w:spacing w:val="-2"/>
        </w:rPr>
        <w:noBreakHyphen/>
        <w:t>government sector. This will enable a gradual transition to outcomes</w:t>
      </w:r>
      <w:r w:rsidR="007D1CC2" w:rsidRPr="00B37F96">
        <w:rPr>
          <w:spacing w:val="-2"/>
        </w:rPr>
        <w:noBreakHyphen/>
        <w:t>based funding for services provided by non-government organisations.</w:t>
      </w:r>
    </w:p>
    <w:p w14:paraId="7F2E7DA0" w14:textId="77777777" w:rsidR="007D1CC2" w:rsidRPr="00B37F96" w:rsidRDefault="007D1CC2" w:rsidP="007D1CC2">
      <w:pPr>
        <w:rPr>
          <w:spacing w:val="-2"/>
        </w:rPr>
      </w:pPr>
    </w:p>
    <w:p w14:paraId="1C10992F" w14:textId="764CA6EB" w:rsidR="007D1CC2" w:rsidRPr="00B37F96" w:rsidRDefault="007D1CC2" w:rsidP="007D1CC2">
      <w:pPr>
        <w:rPr>
          <w:spacing w:val="-2"/>
        </w:rPr>
      </w:pPr>
      <w:r w:rsidRPr="00B37F96">
        <w:rPr>
          <w:spacing w:val="-2"/>
        </w:rPr>
        <w:t>This Draft Recommendation would require significant investment in business systems such as the Specialist Homelessness Services Collection (SHSC), tenancy management systems and systems which support analysis of data collected. There would be an impact on service providers, social housing organisations and government agencies. Resourcing needs would include system development and training for all service providers to ensure quality and comparable data is collected.</w:t>
      </w:r>
    </w:p>
    <w:p w14:paraId="43D16349" w14:textId="77777777" w:rsidR="00F201C2" w:rsidRPr="00B37F96" w:rsidRDefault="00F201C2" w:rsidP="007D1CC2">
      <w:pPr>
        <w:rPr>
          <w:spacing w:val="-2"/>
        </w:rPr>
      </w:pPr>
    </w:p>
    <w:p w14:paraId="52DABEBC" w14:textId="77777777" w:rsidR="007D1CC2" w:rsidRPr="00B37F96" w:rsidRDefault="00DB6BB2" w:rsidP="007D1CC2">
      <w:pPr>
        <w:pStyle w:val="Heading3"/>
        <w:rPr>
          <w:spacing w:val="-2"/>
        </w:rPr>
      </w:pPr>
      <w:bookmarkStart w:id="12" w:name="_Toc490477145"/>
      <w:r w:rsidRPr="00B37F96">
        <w:rPr>
          <w:spacing w:val="-2"/>
        </w:rPr>
        <w:t>Accessible information for applicants</w:t>
      </w:r>
      <w:bookmarkEnd w:id="12"/>
    </w:p>
    <w:p w14:paraId="2CD41C9F" w14:textId="3842E987" w:rsidR="007D1CC2" w:rsidRPr="00B37F96" w:rsidRDefault="007D1CC2" w:rsidP="007D1CC2">
      <w:pPr>
        <w:rPr>
          <w:caps/>
          <w:spacing w:val="-2"/>
        </w:rPr>
      </w:pPr>
      <w:r w:rsidRPr="00B37F96">
        <w:rPr>
          <w:spacing w:val="-2"/>
        </w:rPr>
        <w:t>The NTG gives in</w:t>
      </w:r>
      <w:r w:rsidRPr="00B37F96">
        <w:rPr>
          <w:spacing w:val="-2"/>
        </w:rPr>
        <w:noBreakHyphen/>
        <w:t xml:space="preserve">principle support to Draft Recommendation 6.5 on publishing information on available social housing properties, including waiting times and regulatory reports. The </w:t>
      </w:r>
      <w:r w:rsidRPr="00B37F96">
        <w:rPr>
          <w:spacing w:val="-2"/>
        </w:rPr>
        <w:lastRenderedPageBreak/>
        <w:t xml:space="preserve">NTG currently publishes estimated wait times, </w:t>
      </w:r>
      <w:r w:rsidR="002B78D8">
        <w:rPr>
          <w:spacing w:val="-2"/>
        </w:rPr>
        <w:t>which</w:t>
      </w:r>
      <w:r w:rsidRPr="00B37F96">
        <w:rPr>
          <w:spacing w:val="-2"/>
        </w:rPr>
        <w:t xml:space="preserve"> </w:t>
      </w:r>
      <w:r w:rsidR="002B78D8">
        <w:rPr>
          <w:spacing w:val="-2"/>
        </w:rPr>
        <w:t>is typically used</w:t>
      </w:r>
      <w:r w:rsidRPr="00B37F96">
        <w:rPr>
          <w:spacing w:val="-2"/>
        </w:rPr>
        <w:t xml:space="preserve"> as a reference for public housing appl</w:t>
      </w:r>
      <w:r w:rsidR="002B78D8">
        <w:rPr>
          <w:spacing w:val="-2"/>
        </w:rPr>
        <w:t xml:space="preserve">icants and those </w:t>
      </w:r>
      <w:r w:rsidR="00543359">
        <w:rPr>
          <w:spacing w:val="-2"/>
        </w:rPr>
        <w:t xml:space="preserve">who </w:t>
      </w:r>
      <w:r w:rsidR="002B78D8">
        <w:rPr>
          <w:spacing w:val="-2"/>
        </w:rPr>
        <w:t>may be looking to</w:t>
      </w:r>
      <w:r w:rsidRPr="00B37F96">
        <w:rPr>
          <w:spacing w:val="-2"/>
        </w:rPr>
        <w:t xml:space="preserve"> seek assistance from the NTG, and </w:t>
      </w:r>
      <w:r w:rsidR="002B78D8">
        <w:rPr>
          <w:spacing w:val="-2"/>
        </w:rPr>
        <w:t xml:space="preserve">by </w:t>
      </w:r>
      <w:r w:rsidRPr="00B37F96">
        <w:rPr>
          <w:spacing w:val="-2"/>
        </w:rPr>
        <w:t>other interested parties. The estimated wait times for public housing applicants, by bedroom entitlement/type and geographic region, are displayed at front counters</w:t>
      </w:r>
      <w:r w:rsidR="006F517A">
        <w:rPr>
          <w:spacing w:val="-2"/>
        </w:rPr>
        <w:t xml:space="preserve"> of the Department of Housing and Community Development</w:t>
      </w:r>
      <w:r w:rsidRPr="00B37F96">
        <w:rPr>
          <w:spacing w:val="-2"/>
        </w:rPr>
        <w:t>, and published on the NTG website.</w:t>
      </w:r>
    </w:p>
    <w:p w14:paraId="605ACFEF" w14:textId="77777777" w:rsidR="007D1CC2" w:rsidRPr="00B37F96" w:rsidRDefault="007D1CC2" w:rsidP="007D1CC2">
      <w:pPr>
        <w:rPr>
          <w:caps/>
          <w:spacing w:val="-2"/>
        </w:rPr>
      </w:pPr>
    </w:p>
    <w:p w14:paraId="16E7EB4E" w14:textId="7A05B203" w:rsidR="007D1CC2" w:rsidRPr="00B37F96" w:rsidRDefault="007D1CC2" w:rsidP="007D1CC2">
      <w:pPr>
        <w:rPr>
          <w:caps/>
          <w:spacing w:val="-2"/>
        </w:rPr>
      </w:pPr>
      <w:r w:rsidRPr="00B37F96">
        <w:rPr>
          <w:spacing w:val="-2"/>
        </w:rPr>
        <w:t xml:space="preserve">The NTG is not opposed to making performance reports </w:t>
      </w:r>
      <w:r w:rsidR="00543359">
        <w:rPr>
          <w:spacing w:val="-2"/>
        </w:rPr>
        <w:t>publicly</w:t>
      </w:r>
      <w:r w:rsidR="00543359" w:rsidRPr="00B37F96">
        <w:rPr>
          <w:spacing w:val="-2"/>
        </w:rPr>
        <w:t xml:space="preserve"> </w:t>
      </w:r>
      <w:r w:rsidRPr="00B37F96">
        <w:rPr>
          <w:spacing w:val="-2"/>
        </w:rPr>
        <w:t>available. Support from the jurisdictional National Regulatory System for Community Housing (NRSCH) Registrars and community housing sector representatives will be an essential element to progressing this recommendation. The NRSCH website should be the portal for accessing performance reports</w:t>
      </w:r>
      <w:r w:rsidR="008E4918" w:rsidRPr="00B37F96">
        <w:rPr>
          <w:spacing w:val="-2"/>
        </w:rPr>
        <w:t xml:space="preserve"> on community housing providers</w:t>
      </w:r>
      <w:r w:rsidRPr="00B37F96">
        <w:rPr>
          <w:spacing w:val="-2"/>
        </w:rPr>
        <w:t>.</w:t>
      </w:r>
    </w:p>
    <w:p w14:paraId="5A3ABCE4" w14:textId="77777777" w:rsidR="007D1CC2" w:rsidRPr="00B37F96" w:rsidRDefault="007D1CC2" w:rsidP="007D1CC2">
      <w:pPr>
        <w:rPr>
          <w:caps/>
          <w:spacing w:val="-2"/>
        </w:rPr>
      </w:pPr>
    </w:p>
    <w:p w14:paraId="1A6D6174" w14:textId="3D4BEAE0" w:rsidR="007D1CC2" w:rsidRPr="00F84FA1" w:rsidRDefault="007D1CC2" w:rsidP="007D1CC2">
      <w:pPr>
        <w:rPr>
          <w:caps/>
          <w:spacing w:val="-2"/>
        </w:rPr>
      </w:pPr>
      <w:r w:rsidRPr="00B37F96">
        <w:rPr>
          <w:spacing w:val="-2"/>
        </w:rPr>
        <w:t xml:space="preserve">Publishing information about dwelling location, rental charges and availability would be contingent upon the </w:t>
      </w:r>
      <w:r w:rsidR="00A7399E">
        <w:rPr>
          <w:spacing w:val="-2"/>
        </w:rPr>
        <w:t>Northern Territory</w:t>
      </w:r>
      <w:r w:rsidRPr="00B37F96">
        <w:rPr>
          <w:spacing w:val="-2"/>
        </w:rPr>
        <w:t> being able to implement Draft Recommendation 5.3 (choice</w:t>
      </w:r>
      <w:r w:rsidR="00A7399E">
        <w:rPr>
          <w:spacing w:val="-2"/>
        </w:rPr>
        <w:t>-</w:t>
      </w:r>
      <w:r w:rsidRPr="00B37F96">
        <w:rPr>
          <w:spacing w:val="-2"/>
        </w:rPr>
        <w:t xml:space="preserve">based letting) and would be likely to have operational and systems implications and significant </w:t>
      </w:r>
      <w:r w:rsidR="00F84FA1" w:rsidRPr="00F84FA1">
        <w:rPr>
          <w:spacing w:val="-2"/>
        </w:rPr>
        <w:t>challenges in remote locations, where there is a constrained housing market and no choice.</w:t>
      </w:r>
    </w:p>
    <w:p w14:paraId="714064D2" w14:textId="77777777" w:rsidR="007D1CC2" w:rsidRPr="00F84FA1" w:rsidRDefault="007D1CC2" w:rsidP="00F84FA1">
      <w:pPr>
        <w:rPr>
          <w:caps/>
          <w:spacing w:val="-2"/>
        </w:rPr>
      </w:pPr>
    </w:p>
    <w:p w14:paraId="4E68C9A5" w14:textId="77777777" w:rsidR="00DB6BB2" w:rsidRPr="00B37F96" w:rsidRDefault="00DB6BB2" w:rsidP="00DC69A4">
      <w:pPr>
        <w:pStyle w:val="Heading3"/>
        <w:rPr>
          <w:spacing w:val="-2"/>
        </w:rPr>
      </w:pPr>
      <w:bookmarkStart w:id="13" w:name="_Toc490477146"/>
      <w:r w:rsidRPr="00B37F96">
        <w:rPr>
          <w:spacing w:val="-2"/>
        </w:rPr>
        <w:t>Information request</w:t>
      </w:r>
      <w:bookmarkEnd w:id="13"/>
    </w:p>
    <w:p w14:paraId="250C9470" w14:textId="2D3992B6" w:rsidR="007D1CC2" w:rsidRPr="00B37F96" w:rsidRDefault="007D1CC2" w:rsidP="007D1CC2">
      <w:pPr>
        <w:rPr>
          <w:caps/>
          <w:spacing w:val="-2"/>
        </w:rPr>
      </w:pPr>
      <w:r w:rsidRPr="00B37F96">
        <w:rPr>
          <w:spacing w:val="-2"/>
        </w:rPr>
        <w:t>The N</w:t>
      </w:r>
      <w:r w:rsidR="00A7399E">
        <w:rPr>
          <w:spacing w:val="-2"/>
        </w:rPr>
        <w:t>orthern Territory</w:t>
      </w:r>
      <w:r w:rsidRPr="00B37F96">
        <w:rPr>
          <w:spacing w:val="-2"/>
        </w:rPr>
        <w:t> has one registered community housing provider and has received enquiries from four other organisations. The NRSCH</w:t>
      </w:r>
      <w:r w:rsidR="002B78D8">
        <w:rPr>
          <w:spacing w:val="-2"/>
        </w:rPr>
        <w:t> </w:t>
      </w:r>
      <w:r w:rsidRPr="00B37F96">
        <w:rPr>
          <w:spacing w:val="-2"/>
        </w:rPr>
        <w:t xml:space="preserve">is at this time adequate to accommodate the potential community housing providers anticipated to seek registration in the </w:t>
      </w:r>
      <w:r w:rsidR="00A7399E">
        <w:rPr>
          <w:spacing w:val="-2"/>
        </w:rPr>
        <w:t>Territory</w:t>
      </w:r>
      <w:r w:rsidRPr="00B37F96">
        <w:rPr>
          <w:spacing w:val="-2"/>
        </w:rPr>
        <w:t xml:space="preserve">. No changes are recommended by the </w:t>
      </w:r>
      <w:r w:rsidR="00A7399E">
        <w:rPr>
          <w:spacing w:val="-2"/>
        </w:rPr>
        <w:t>Territory</w:t>
      </w:r>
      <w:r w:rsidRPr="00B37F96">
        <w:rPr>
          <w:spacing w:val="-2"/>
        </w:rPr>
        <w:t>.</w:t>
      </w:r>
    </w:p>
    <w:p w14:paraId="6EA749D4" w14:textId="77777777" w:rsidR="007D1CC2" w:rsidRPr="00B37F96" w:rsidRDefault="007D1CC2" w:rsidP="007D1CC2">
      <w:pPr>
        <w:rPr>
          <w:caps/>
          <w:spacing w:val="-2"/>
        </w:rPr>
      </w:pPr>
    </w:p>
    <w:p w14:paraId="74564BD1" w14:textId="3AE5475C" w:rsidR="00DB6BB2" w:rsidRPr="00B37F96" w:rsidRDefault="007D1CC2" w:rsidP="002B78D8">
      <w:pPr>
        <w:rPr>
          <w:spacing w:val="-2"/>
        </w:rPr>
      </w:pPr>
      <w:r w:rsidRPr="00B37F96">
        <w:rPr>
          <w:spacing w:val="-2"/>
        </w:rPr>
        <w:t>One advantage of the NRSCH is that any changes required to the regulatory system requiring investment are equitably shared amongst participating jurisdictions</w:t>
      </w:r>
      <w:r w:rsidR="002B78D8">
        <w:rPr>
          <w:spacing w:val="-2"/>
        </w:rPr>
        <w:t>,</w:t>
      </w:r>
      <w:r w:rsidRPr="00B37F96">
        <w:rPr>
          <w:spacing w:val="-2"/>
        </w:rPr>
        <w:t xml:space="preserve"> thus reducing the burden on a single jurisdiction. Smaller jurisdictions</w:t>
      </w:r>
      <w:r w:rsidR="00A7399E">
        <w:rPr>
          <w:spacing w:val="-2"/>
        </w:rPr>
        <w:t>,</w:t>
      </w:r>
      <w:r w:rsidRPr="00B37F96">
        <w:rPr>
          <w:spacing w:val="-2"/>
        </w:rPr>
        <w:t xml:space="preserve"> such as the </w:t>
      </w:r>
      <w:r w:rsidR="00A7399E">
        <w:rPr>
          <w:spacing w:val="-2"/>
        </w:rPr>
        <w:t>Territory,</w:t>
      </w:r>
      <w:r w:rsidRPr="00B37F96">
        <w:rPr>
          <w:spacing w:val="-2"/>
        </w:rPr>
        <w:t> are able to capitalise on the broader skills and experiences from larger jurisdictions which has a flow on benefit to community housing providers and tenants.</w:t>
      </w:r>
    </w:p>
    <w:p w14:paraId="2DA79673" w14:textId="77777777" w:rsidR="00D50172" w:rsidRPr="002B78D8" w:rsidRDefault="00D50172" w:rsidP="002B78D8">
      <w:pPr>
        <w:pStyle w:val="CGCBulletlist"/>
        <w:rPr>
          <w:spacing w:val="-2"/>
        </w:rPr>
      </w:pPr>
      <w:r w:rsidRPr="00B37F96">
        <w:rPr>
          <w:spacing w:val="-2"/>
        </w:rPr>
        <w:br w:type="page"/>
      </w:r>
    </w:p>
    <w:p w14:paraId="114387A2" w14:textId="2059125B" w:rsidR="00DB6BB2" w:rsidRPr="00B37F96" w:rsidRDefault="00DB6BB2" w:rsidP="00051841">
      <w:pPr>
        <w:pStyle w:val="Heading2"/>
        <w:rPr>
          <w:spacing w:val="-2"/>
        </w:rPr>
      </w:pPr>
      <w:bookmarkStart w:id="14" w:name="_Toc490477147"/>
      <w:r w:rsidRPr="00B37F96">
        <w:rPr>
          <w:spacing w:val="-2"/>
        </w:rPr>
        <w:lastRenderedPageBreak/>
        <w:t xml:space="preserve">Family and </w:t>
      </w:r>
      <w:r w:rsidR="00543359">
        <w:rPr>
          <w:spacing w:val="-2"/>
        </w:rPr>
        <w:t>c</w:t>
      </w:r>
      <w:r w:rsidRPr="00B37F96">
        <w:rPr>
          <w:spacing w:val="-2"/>
        </w:rPr>
        <w:t xml:space="preserve">ommunity </w:t>
      </w:r>
      <w:r w:rsidR="00543359">
        <w:rPr>
          <w:spacing w:val="-2"/>
        </w:rPr>
        <w:t>s</w:t>
      </w:r>
      <w:r w:rsidRPr="00B37F96">
        <w:rPr>
          <w:spacing w:val="-2"/>
        </w:rPr>
        <w:t>ervices</w:t>
      </w:r>
      <w:bookmarkEnd w:id="14"/>
    </w:p>
    <w:p w14:paraId="66B6FAC3" w14:textId="6C454299" w:rsidR="00DB6BB2" w:rsidRPr="00B37F96" w:rsidRDefault="00DB6BB2" w:rsidP="00DC69A4">
      <w:pPr>
        <w:pStyle w:val="Heading3"/>
        <w:rPr>
          <w:spacing w:val="-2"/>
        </w:rPr>
      </w:pPr>
      <w:bookmarkStart w:id="15" w:name="_Toc490477148"/>
      <w:r w:rsidRPr="00B37F96">
        <w:rPr>
          <w:spacing w:val="-2"/>
        </w:rPr>
        <w:t xml:space="preserve">Family and </w:t>
      </w:r>
      <w:r w:rsidR="00543359">
        <w:rPr>
          <w:spacing w:val="-2"/>
        </w:rPr>
        <w:t>c</w:t>
      </w:r>
      <w:r w:rsidRPr="00B37F96">
        <w:rPr>
          <w:spacing w:val="-2"/>
        </w:rPr>
        <w:t xml:space="preserve">ommunity </w:t>
      </w:r>
      <w:r w:rsidR="00543359">
        <w:rPr>
          <w:spacing w:val="-2"/>
        </w:rPr>
        <w:t>s</w:t>
      </w:r>
      <w:r w:rsidRPr="00B37F96">
        <w:rPr>
          <w:spacing w:val="-2"/>
        </w:rPr>
        <w:t>ervices data collection, analysis and service plans</w:t>
      </w:r>
      <w:bookmarkEnd w:id="15"/>
    </w:p>
    <w:p w14:paraId="571DC9A6" w14:textId="03FB086E" w:rsidR="007D1CC2" w:rsidRPr="00B37F96" w:rsidRDefault="007D1CC2" w:rsidP="007D1CC2">
      <w:pPr>
        <w:rPr>
          <w:spacing w:val="-2"/>
        </w:rPr>
      </w:pPr>
      <w:r w:rsidRPr="00B37F96">
        <w:rPr>
          <w:spacing w:val="-2"/>
        </w:rPr>
        <w:t>The NT</w:t>
      </w:r>
      <w:r w:rsidR="002B78D8">
        <w:rPr>
          <w:spacing w:val="-2"/>
        </w:rPr>
        <w:t>G supports Draft Recommendation </w:t>
      </w:r>
      <w:r w:rsidRPr="00B37F96">
        <w:rPr>
          <w:spacing w:val="-2"/>
        </w:rPr>
        <w:t xml:space="preserve">7.1 that the Commonwealth, </w:t>
      </w:r>
      <w:r w:rsidR="00A7399E" w:rsidRPr="00B37F96">
        <w:rPr>
          <w:spacing w:val="-2"/>
        </w:rPr>
        <w:t xml:space="preserve">state and territory governments work together to develop and publish data-driven maps of existing family </w:t>
      </w:r>
      <w:r w:rsidRPr="00B37F96">
        <w:rPr>
          <w:spacing w:val="-2"/>
        </w:rPr>
        <w:t>and community services, analyse the service</w:t>
      </w:r>
      <w:r w:rsidR="00A7399E">
        <w:rPr>
          <w:spacing w:val="-2"/>
        </w:rPr>
        <w:t>-</w:t>
      </w:r>
      <w:r w:rsidRPr="00B37F96">
        <w:rPr>
          <w:spacing w:val="-2"/>
        </w:rPr>
        <w:t>user population and service plans to address the needs of people experiencing hardship.</w:t>
      </w:r>
      <w:r w:rsidR="002B78D8">
        <w:rPr>
          <w:spacing w:val="-2"/>
        </w:rPr>
        <w:t xml:space="preserve"> </w:t>
      </w:r>
      <w:r w:rsidRPr="00B37F96">
        <w:rPr>
          <w:spacing w:val="-2"/>
        </w:rPr>
        <w:t xml:space="preserve">The NTG is currently investigating options to improve data representation through the use of spatial mapping tools. </w:t>
      </w:r>
      <w:r w:rsidR="002B78D8">
        <w:rPr>
          <w:spacing w:val="-2"/>
        </w:rPr>
        <w:t>This will provide accurate data</w:t>
      </w:r>
      <w:r w:rsidR="002B78D8">
        <w:rPr>
          <w:spacing w:val="-2"/>
        </w:rPr>
        <w:noBreakHyphen/>
      </w:r>
      <w:r w:rsidRPr="00B37F96">
        <w:rPr>
          <w:spacing w:val="-2"/>
        </w:rPr>
        <w:t>driven maps that can be used to analyse services and programs.</w:t>
      </w:r>
    </w:p>
    <w:p w14:paraId="2CCDD553" w14:textId="77777777" w:rsidR="007D1CC2" w:rsidRPr="00B37F96" w:rsidRDefault="007D1CC2" w:rsidP="007D1CC2">
      <w:pPr>
        <w:rPr>
          <w:spacing w:val="-2"/>
        </w:rPr>
      </w:pPr>
    </w:p>
    <w:p w14:paraId="6F7D99D5" w14:textId="77777777" w:rsidR="00DB6BB2" w:rsidRPr="00B37F96" w:rsidRDefault="00DB6BB2" w:rsidP="00DC69A4">
      <w:pPr>
        <w:pStyle w:val="Heading3"/>
        <w:rPr>
          <w:spacing w:val="-2"/>
        </w:rPr>
      </w:pPr>
      <w:bookmarkStart w:id="16" w:name="_Toc490477149"/>
      <w:r w:rsidRPr="00B37F96">
        <w:rPr>
          <w:spacing w:val="-2"/>
        </w:rPr>
        <w:t>Provider selection processes</w:t>
      </w:r>
      <w:bookmarkEnd w:id="16"/>
    </w:p>
    <w:p w14:paraId="40836190" w14:textId="3400D38B" w:rsidR="007D1CC2" w:rsidRPr="00B37F96" w:rsidRDefault="002B78D8" w:rsidP="007D1CC2">
      <w:pPr>
        <w:rPr>
          <w:caps/>
          <w:spacing w:val="-2"/>
        </w:rPr>
      </w:pPr>
      <w:r>
        <w:rPr>
          <w:spacing w:val="-2"/>
        </w:rPr>
        <w:t>Draft Recommendation </w:t>
      </w:r>
      <w:r w:rsidR="007D1CC2" w:rsidRPr="00B37F96">
        <w:rPr>
          <w:spacing w:val="-2"/>
        </w:rPr>
        <w:t xml:space="preserve">7.2 on provider selection processes in the family and community services broadly aligns with reforms currently being undertaken in the </w:t>
      </w:r>
      <w:r w:rsidR="00A7399E">
        <w:rPr>
          <w:spacing w:val="-2"/>
        </w:rPr>
        <w:t>Northern Territory</w:t>
      </w:r>
      <w:r w:rsidR="007D1CC2" w:rsidRPr="00B37F96">
        <w:rPr>
          <w:spacing w:val="-2"/>
        </w:rPr>
        <w:t>.</w:t>
      </w:r>
    </w:p>
    <w:p w14:paraId="0B429B6C" w14:textId="77777777" w:rsidR="007D1CC2" w:rsidRPr="00B37F96" w:rsidRDefault="007D1CC2" w:rsidP="007D1CC2">
      <w:pPr>
        <w:rPr>
          <w:spacing w:val="-2"/>
        </w:rPr>
      </w:pPr>
    </w:p>
    <w:p w14:paraId="15512400" w14:textId="643AB3F3" w:rsidR="00DB6BB2" w:rsidRPr="00B37F96" w:rsidRDefault="00A7399E" w:rsidP="00DC69A4">
      <w:pPr>
        <w:pStyle w:val="Heading3"/>
        <w:rPr>
          <w:spacing w:val="-2"/>
        </w:rPr>
      </w:pPr>
      <w:bookmarkStart w:id="17" w:name="_Toc490477150"/>
      <w:r>
        <w:rPr>
          <w:spacing w:val="-2"/>
        </w:rPr>
        <w:t>User-focus</w:t>
      </w:r>
      <w:r w:rsidR="00DB6BB2" w:rsidRPr="00B37F96">
        <w:rPr>
          <w:spacing w:val="-2"/>
        </w:rPr>
        <w:t>ed outcome measures</w:t>
      </w:r>
      <w:bookmarkEnd w:id="17"/>
    </w:p>
    <w:p w14:paraId="64DEDC74" w14:textId="2FC3E85F" w:rsidR="007D1CC2" w:rsidRPr="00B37F96" w:rsidRDefault="007D1CC2" w:rsidP="007D1CC2">
      <w:pPr>
        <w:rPr>
          <w:spacing w:val="-2"/>
        </w:rPr>
      </w:pPr>
      <w:r w:rsidRPr="00B37F96">
        <w:rPr>
          <w:spacing w:val="-2"/>
        </w:rPr>
        <w:t>The NTG supports the application of consistent outcomes measures as outlined in Draft Recommendation 7.3. The NTG is working with the cross-jurisdiction Children and Families Secretaries group to agree on national outcome statements and measures. This includes working with Aboriginal organisations to define outcome measures for the safety and wel</w:t>
      </w:r>
      <w:r w:rsidR="003F4799">
        <w:rPr>
          <w:spacing w:val="-2"/>
        </w:rPr>
        <w:t>lbeing of Aboriginal children.</w:t>
      </w:r>
    </w:p>
    <w:p w14:paraId="54BC40C8" w14:textId="77777777" w:rsidR="007D1CC2" w:rsidRPr="00B37F96" w:rsidRDefault="007D1CC2" w:rsidP="007D1CC2">
      <w:pPr>
        <w:rPr>
          <w:spacing w:val="-2"/>
        </w:rPr>
      </w:pPr>
    </w:p>
    <w:p w14:paraId="550E0F0C" w14:textId="77777777" w:rsidR="007D1CC2" w:rsidRPr="00B37F96" w:rsidRDefault="007D1CC2" w:rsidP="007D1CC2">
      <w:pPr>
        <w:rPr>
          <w:spacing w:val="-2"/>
        </w:rPr>
      </w:pPr>
      <w:r w:rsidRPr="00B37F96">
        <w:rPr>
          <w:spacing w:val="-2"/>
        </w:rPr>
        <w:t>By design, consistent outcomes for children and families are reflective of universal services and early intervention programs that span and cover multiple government portfolios. This can often result in a dilution of responsibility and accountability for outcomes and measures.</w:t>
      </w:r>
    </w:p>
    <w:p w14:paraId="176429C3" w14:textId="77777777" w:rsidR="007D1CC2" w:rsidRPr="00B37F96" w:rsidRDefault="007D1CC2" w:rsidP="007D1CC2">
      <w:pPr>
        <w:rPr>
          <w:spacing w:val="-2"/>
        </w:rPr>
      </w:pPr>
    </w:p>
    <w:p w14:paraId="78A2CE9D" w14:textId="42364422" w:rsidR="007D1CC2" w:rsidRPr="00B37F96" w:rsidRDefault="00543359" w:rsidP="007D1CC2">
      <w:pPr>
        <w:rPr>
          <w:spacing w:val="-2"/>
        </w:rPr>
      </w:pPr>
      <w:r>
        <w:rPr>
          <w:spacing w:val="-2"/>
        </w:rPr>
        <w:t>Although</w:t>
      </w:r>
      <w:r w:rsidRPr="00B37F96">
        <w:rPr>
          <w:spacing w:val="-2"/>
        </w:rPr>
        <w:t xml:space="preserve"> </w:t>
      </w:r>
      <w:r w:rsidR="007D1CC2" w:rsidRPr="00B37F96">
        <w:rPr>
          <w:spacing w:val="-2"/>
        </w:rPr>
        <w:t>consist</w:t>
      </w:r>
      <w:r w:rsidR="00F02DBE" w:rsidRPr="00B37F96">
        <w:rPr>
          <w:spacing w:val="-2"/>
        </w:rPr>
        <w:t>ent</w:t>
      </w:r>
      <w:r w:rsidR="007D1CC2" w:rsidRPr="00B37F96">
        <w:rPr>
          <w:spacing w:val="-2"/>
        </w:rPr>
        <w:t xml:space="preserve"> and high-level outcomes measures for family and community services will assist program design and delivery, varying community issues and circumstances often require unique service delivery responses and approaches that are tailored to specific need. Consequently, working with communities, service providers and other stakeholders to determine community needs should be part of effective service design and delivery.</w:t>
      </w:r>
    </w:p>
    <w:p w14:paraId="18DD66C2" w14:textId="77777777" w:rsidR="007D1CC2" w:rsidRPr="00B37F96" w:rsidRDefault="007D1CC2" w:rsidP="007D1CC2">
      <w:pPr>
        <w:rPr>
          <w:spacing w:val="-2"/>
        </w:rPr>
      </w:pPr>
    </w:p>
    <w:p w14:paraId="00BBCE90" w14:textId="77777777" w:rsidR="00DB6BB2" w:rsidRPr="00B37F96" w:rsidRDefault="00DB6BB2" w:rsidP="00DC69A4">
      <w:pPr>
        <w:pStyle w:val="Heading3"/>
        <w:rPr>
          <w:spacing w:val="-2"/>
        </w:rPr>
      </w:pPr>
      <w:bookmarkStart w:id="18" w:name="_Toc490477151"/>
      <w:r w:rsidRPr="00B37F96">
        <w:rPr>
          <w:spacing w:val="-2"/>
        </w:rPr>
        <w:t>Systems improvement</w:t>
      </w:r>
      <w:bookmarkEnd w:id="18"/>
    </w:p>
    <w:p w14:paraId="3FF012A0" w14:textId="5299A14B" w:rsidR="007D1CC2" w:rsidRPr="00B37F96" w:rsidRDefault="007D1CC2" w:rsidP="007D1CC2">
      <w:pPr>
        <w:rPr>
          <w:spacing w:val="-2"/>
        </w:rPr>
      </w:pPr>
      <w:r w:rsidRPr="00B37F96">
        <w:rPr>
          <w:spacing w:val="-2"/>
        </w:rPr>
        <w:t>The NTG gives in-principle support to Draft Recommendation 7.4 on improving systems to identify service delivery models, service providers, programs and systems that are associated with achieving outcomes for users. System improvement is a complex and often expensive undertaking.</w:t>
      </w:r>
      <w:r w:rsidR="003F4799">
        <w:rPr>
          <w:spacing w:val="-2"/>
        </w:rPr>
        <w:t xml:space="preserve"> This is compounded by</w:t>
      </w:r>
      <w:r w:rsidRPr="00B37F96">
        <w:rPr>
          <w:spacing w:val="-2"/>
        </w:rPr>
        <w:t xml:space="preserve"> </w:t>
      </w:r>
      <w:r w:rsidR="003F4799">
        <w:rPr>
          <w:spacing w:val="-2"/>
        </w:rPr>
        <w:t xml:space="preserve">often </w:t>
      </w:r>
      <w:r w:rsidRPr="00B37F96">
        <w:rPr>
          <w:spacing w:val="-2"/>
        </w:rPr>
        <w:t>complex and interlinked client needs – for example, alcohol abuse may be the primary ‘condition’, but is has strong associations with health, community safety and justice, and child protection matters</w:t>
      </w:r>
      <w:r w:rsidR="00A7399E">
        <w:rPr>
          <w:spacing w:val="-2"/>
        </w:rPr>
        <w:t>,</w:t>
      </w:r>
      <w:r w:rsidRPr="00B37F96">
        <w:rPr>
          <w:spacing w:val="-2"/>
        </w:rPr>
        <w:t xml:space="preserve"> and </w:t>
      </w:r>
      <w:r w:rsidR="00D05545">
        <w:rPr>
          <w:spacing w:val="-2"/>
        </w:rPr>
        <w:t>that</w:t>
      </w:r>
      <w:r w:rsidR="003F4799">
        <w:rPr>
          <w:spacing w:val="-2"/>
        </w:rPr>
        <w:t xml:space="preserve"> delivery of services may be</w:t>
      </w:r>
      <w:r w:rsidRPr="00B37F96">
        <w:rPr>
          <w:spacing w:val="-2"/>
        </w:rPr>
        <w:t xml:space="preserve"> dispara</w:t>
      </w:r>
      <w:r w:rsidR="003F4799">
        <w:rPr>
          <w:spacing w:val="-2"/>
        </w:rPr>
        <w:t>te and siloed services</w:t>
      </w:r>
      <w:r w:rsidRPr="00B37F96">
        <w:rPr>
          <w:spacing w:val="-2"/>
        </w:rPr>
        <w:t>.</w:t>
      </w:r>
    </w:p>
    <w:p w14:paraId="78075353" w14:textId="77777777" w:rsidR="007D1CC2" w:rsidRPr="00B37F96" w:rsidRDefault="007D1CC2" w:rsidP="007D1CC2">
      <w:pPr>
        <w:rPr>
          <w:spacing w:val="-2"/>
        </w:rPr>
      </w:pPr>
    </w:p>
    <w:p w14:paraId="4C147C3B" w14:textId="701D45DA" w:rsidR="007D1CC2" w:rsidRPr="00B37F96" w:rsidRDefault="007D1CC2" w:rsidP="007D1CC2">
      <w:pPr>
        <w:rPr>
          <w:spacing w:val="-2"/>
        </w:rPr>
      </w:pPr>
      <w:r w:rsidRPr="00B37F96">
        <w:rPr>
          <w:spacing w:val="-2"/>
        </w:rPr>
        <w:t>Success in improving performance data will only be possible to the extent that system upgrades and the establishment of baseline reporting standards are appropriately funded and prioritised.</w:t>
      </w:r>
      <w:r w:rsidR="00D05545">
        <w:rPr>
          <w:spacing w:val="-2"/>
        </w:rPr>
        <w:t xml:space="preserve"> There appears to be a role</w:t>
      </w:r>
      <w:r w:rsidRPr="00B37F96">
        <w:rPr>
          <w:spacing w:val="-2"/>
        </w:rPr>
        <w:t xml:space="preserve"> for the Commonwealth</w:t>
      </w:r>
      <w:r w:rsidR="00D05545">
        <w:rPr>
          <w:spacing w:val="-2"/>
        </w:rPr>
        <w:t xml:space="preserve"> or </w:t>
      </w:r>
      <w:r w:rsidRPr="00B37F96">
        <w:rPr>
          <w:spacing w:val="-2"/>
        </w:rPr>
        <w:t>COAG</w:t>
      </w:r>
      <w:r w:rsidR="00D05545">
        <w:rPr>
          <w:spacing w:val="-2"/>
        </w:rPr>
        <w:t> </w:t>
      </w:r>
      <w:r w:rsidRPr="00B37F96">
        <w:rPr>
          <w:spacing w:val="-2"/>
        </w:rPr>
        <w:t>to drive this agenda.</w:t>
      </w:r>
    </w:p>
    <w:p w14:paraId="0A13B5C7" w14:textId="2ED1B879" w:rsidR="007D1CC2" w:rsidRPr="00B37F96" w:rsidRDefault="00D05545" w:rsidP="007D1CC2">
      <w:pPr>
        <w:rPr>
          <w:spacing w:val="-2"/>
        </w:rPr>
      </w:pPr>
      <w:r>
        <w:rPr>
          <w:spacing w:val="-2"/>
        </w:rPr>
        <w:lastRenderedPageBreak/>
        <w:t>T</w:t>
      </w:r>
      <w:r w:rsidR="007D1CC2" w:rsidRPr="00B37F96">
        <w:rPr>
          <w:spacing w:val="-2"/>
        </w:rPr>
        <w:t>he NTG supports evaluation of providers, services and programs</w:t>
      </w:r>
      <w:r>
        <w:rPr>
          <w:spacing w:val="-2"/>
        </w:rPr>
        <w:t xml:space="preserve"> in</w:t>
      </w:r>
      <w:r w:rsidR="00480145">
        <w:rPr>
          <w:spacing w:val="-2"/>
        </w:rPr>
        <w:t> </w:t>
      </w:r>
      <w:r>
        <w:rPr>
          <w:spacing w:val="-2"/>
        </w:rPr>
        <w:t>principle</w:t>
      </w:r>
      <w:r w:rsidR="007D1CC2" w:rsidRPr="00B37F96">
        <w:rPr>
          <w:spacing w:val="-2"/>
        </w:rPr>
        <w:t xml:space="preserve">. </w:t>
      </w:r>
      <w:r>
        <w:rPr>
          <w:spacing w:val="-2"/>
        </w:rPr>
        <w:t>Improved d</w:t>
      </w:r>
      <w:r w:rsidR="007D1CC2" w:rsidRPr="00B37F96">
        <w:rPr>
          <w:spacing w:val="-2"/>
        </w:rPr>
        <w:t xml:space="preserve">ata sharing would be beneficial </w:t>
      </w:r>
      <w:r>
        <w:rPr>
          <w:spacing w:val="-2"/>
        </w:rPr>
        <w:t xml:space="preserve">to </w:t>
      </w:r>
      <w:r w:rsidR="007D1CC2" w:rsidRPr="00B37F96">
        <w:rPr>
          <w:spacing w:val="-2"/>
        </w:rPr>
        <w:t>improv</w:t>
      </w:r>
      <w:r>
        <w:rPr>
          <w:spacing w:val="-2"/>
        </w:rPr>
        <w:t>ing</w:t>
      </w:r>
      <w:r w:rsidR="007D1CC2" w:rsidRPr="00B37F96">
        <w:rPr>
          <w:spacing w:val="-2"/>
        </w:rPr>
        <w:t xml:space="preserve"> outcomes for families.</w:t>
      </w:r>
    </w:p>
    <w:p w14:paraId="313148DE" w14:textId="77777777" w:rsidR="007D1CC2" w:rsidRPr="00B37F96" w:rsidRDefault="007D1CC2" w:rsidP="007D1CC2">
      <w:pPr>
        <w:rPr>
          <w:spacing w:val="-2"/>
        </w:rPr>
      </w:pPr>
    </w:p>
    <w:p w14:paraId="4AC5419E" w14:textId="602CBBD0" w:rsidR="00DB6BB2" w:rsidRPr="00B37F96" w:rsidRDefault="00DB6BB2" w:rsidP="00DC69A4">
      <w:pPr>
        <w:pStyle w:val="Heading3"/>
        <w:rPr>
          <w:spacing w:val="-2"/>
        </w:rPr>
      </w:pPr>
      <w:bookmarkStart w:id="19" w:name="_Toc490477152"/>
      <w:r w:rsidRPr="00B37F96">
        <w:rPr>
          <w:spacing w:val="-2"/>
        </w:rPr>
        <w:t>Seven</w:t>
      </w:r>
      <w:r w:rsidR="00543359">
        <w:rPr>
          <w:spacing w:val="-2"/>
        </w:rPr>
        <w:t>-</w:t>
      </w:r>
      <w:r w:rsidRPr="00B37F96">
        <w:rPr>
          <w:spacing w:val="-2"/>
        </w:rPr>
        <w:t>year contracts</w:t>
      </w:r>
      <w:bookmarkEnd w:id="19"/>
    </w:p>
    <w:p w14:paraId="0C73237E" w14:textId="64A78E83" w:rsidR="007D1CC2" w:rsidRPr="00B37F96" w:rsidRDefault="007D1CC2" w:rsidP="007D1CC2">
      <w:pPr>
        <w:rPr>
          <w:spacing w:val="-2"/>
        </w:rPr>
      </w:pPr>
      <w:r w:rsidRPr="00B37F96">
        <w:rPr>
          <w:spacing w:val="-2"/>
        </w:rPr>
        <w:t>The NTG is supportive of longer</w:t>
      </w:r>
      <w:r w:rsidR="00480145">
        <w:rPr>
          <w:spacing w:val="-2"/>
        </w:rPr>
        <w:t xml:space="preserve"> </w:t>
      </w:r>
      <w:r w:rsidRPr="00B37F96">
        <w:rPr>
          <w:spacing w:val="-2"/>
        </w:rPr>
        <w:t xml:space="preserve">term contracts for providers of family and community services, </w:t>
      </w:r>
      <w:r w:rsidR="0008279D">
        <w:rPr>
          <w:spacing w:val="-2"/>
        </w:rPr>
        <w:t xml:space="preserve">especially as it may assist to </w:t>
      </w:r>
      <w:r w:rsidRPr="00B37F96">
        <w:rPr>
          <w:spacing w:val="-2"/>
        </w:rPr>
        <w:t>attract and retain</w:t>
      </w:r>
      <w:r w:rsidR="0008279D">
        <w:rPr>
          <w:spacing w:val="-2"/>
        </w:rPr>
        <w:t xml:space="preserve"> staff, and to allow more stable service provider</w:t>
      </w:r>
      <w:r w:rsidR="0008279D">
        <w:rPr>
          <w:spacing w:val="-2"/>
        </w:rPr>
        <w:noBreakHyphen/>
        <w:t>client relationships</w:t>
      </w:r>
      <w:r w:rsidRPr="00B37F96">
        <w:rPr>
          <w:spacing w:val="-2"/>
        </w:rPr>
        <w:t xml:space="preserve">. This </w:t>
      </w:r>
      <w:r w:rsidR="0008279D">
        <w:rPr>
          <w:spacing w:val="-2"/>
        </w:rPr>
        <w:t>can be a challenge w</w:t>
      </w:r>
      <w:r w:rsidRPr="00B37F96">
        <w:rPr>
          <w:spacing w:val="-2"/>
        </w:rPr>
        <w:t>here funding uncertainty undermines job security</w:t>
      </w:r>
      <w:r w:rsidR="0008279D">
        <w:rPr>
          <w:spacing w:val="-2"/>
        </w:rPr>
        <w:t xml:space="preserve"> and client outcomes. The NTG i</w:t>
      </w:r>
      <w:r w:rsidRPr="00B37F96">
        <w:rPr>
          <w:spacing w:val="-2"/>
        </w:rPr>
        <w:t>s currently undertaking a range of reforms and is working towards longer term funding arrangements</w:t>
      </w:r>
      <w:r w:rsidR="00CF2C36">
        <w:rPr>
          <w:spacing w:val="-2"/>
        </w:rPr>
        <w:t>, including introducing five</w:t>
      </w:r>
      <w:r w:rsidR="00166A78">
        <w:rPr>
          <w:spacing w:val="-2"/>
        </w:rPr>
        <w:noBreakHyphen/>
      </w:r>
      <w:r w:rsidR="00CF2C36">
        <w:rPr>
          <w:spacing w:val="-2"/>
        </w:rPr>
        <w:t>year funding agreements</w:t>
      </w:r>
      <w:r w:rsidRPr="00B37F96">
        <w:rPr>
          <w:spacing w:val="-2"/>
        </w:rPr>
        <w:t xml:space="preserve">. At this stage the NTG is not considering seven-year contracts as a default option, </w:t>
      </w:r>
      <w:r w:rsidR="00CF2C36">
        <w:rPr>
          <w:spacing w:val="-2"/>
        </w:rPr>
        <w:t>but there may be scope for five</w:t>
      </w:r>
      <w:r w:rsidR="00A7399E">
        <w:rPr>
          <w:spacing w:val="-2"/>
        </w:rPr>
        <w:t>-</w:t>
      </w:r>
      <w:r w:rsidR="00CF2C36">
        <w:rPr>
          <w:spacing w:val="-2"/>
        </w:rPr>
        <w:t>y</w:t>
      </w:r>
      <w:r w:rsidRPr="00B37F96">
        <w:rPr>
          <w:spacing w:val="-2"/>
        </w:rPr>
        <w:t xml:space="preserve">ear contracts with </w:t>
      </w:r>
      <w:r w:rsidR="00543359">
        <w:rPr>
          <w:spacing w:val="-2"/>
        </w:rPr>
        <w:t xml:space="preserve">an option for </w:t>
      </w:r>
      <w:r w:rsidRPr="00B37F96">
        <w:rPr>
          <w:spacing w:val="-2"/>
        </w:rPr>
        <w:t>extension of two years.</w:t>
      </w:r>
    </w:p>
    <w:p w14:paraId="38254B20" w14:textId="77777777" w:rsidR="007D1CC2" w:rsidRPr="00B37F96" w:rsidRDefault="007D1CC2" w:rsidP="007D1CC2">
      <w:pPr>
        <w:rPr>
          <w:spacing w:val="-2"/>
          <w:highlight w:val="yellow"/>
        </w:rPr>
      </w:pPr>
    </w:p>
    <w:p w14:paraId="39C105CF" w14:textId="4D2B439A" w:rsidR="007D1CC2" w:rsidRPr="00B37F96" w:rsidRDefault="007D1CC2" w:rsidP="007D1CC2">
      <w:pPr>
        <w:rPr>
          <w:spacing w:val="-2"/>
        </w:rPr>
      </w:pPr>
      <w:r w:rsidRPr="00B37F96">
        <w:rPr>
          <w:spacing w:val="-2"/>
        </w:rPr>
        <w:t>There are both administrative and program delivery efficiencies in long</w:t>
      </w:r>
      <w:r w:rsidR="00166A78">
        <w:rPr>
          <w:spacing w:val="-2"/>
        </w:rPr>
        <w:t>-</w:t>
      </w:r>
      <w:r w:rsidRPr="00B37F96">
        <w:rPr>
          <w:spacing w:val="-2"/>
        </w:rPr>
        <w:t>term contracts, both for governments and service providers. However, where the service sector is in a developing phase, long</w:t>
      </w:r>
      <w:r w:rsidR="00A7399E">
        <w:rPr>
          <w:spacing w:val="-2"/>
        </w:rPr>
        <w:t>-</w:t>
      </w:r>
      <w:r w:rsidRPr="00B37F96">
        <w:rPr>
          <w:spacing w:val="-2"/>
        </w:rPr>
        <w:t>term contracts require stringent safeguards to protect users from service failure.</w:t>
      </w:r>
      <w:r w:rsidR="00CF2C36">
        <w:rPr>
          <w:spacing w:val="-2"/>
        </w:rPr>
        <w:t xml:space="preserve"> This r</w:t>
      </w:r>
      <w:r w:rsidRPr="00B37F96">
        <w:rPr>
          <w:spacing w:val="-2"/>
        </w:rPr>
        <w:t>ecommendation would require a commitment to policy durability across all levels of government for at least seven years, and to date there are limited examples of this occurring.</w:t>
      </w:r>
    </w:p>
    <w:p w14:paraId="3D08B06A" w14:textId="77777777" w:rsidR="007D1CC2" w:rsidRPr="00B37F96" w:rsidRDefault="007D1CC2" w:rsidP="007D1CC2">
      <w:pPr>
        <w:rPr>
          <w:spacing w:val="-2"/>
        </w:rPr>
      </w:pPr>
    </w:p>
    <w:p w14:paraId="719C0CCE" w14:textId="29EF9D17" w:rsidR="007D1CC2" w:rsidRPr="00B37F96" w:rsidRDefault="007D1CC2" w:rsidP="007D1CC2">
      <w:pPr>
        <w:rPr>
          <w:spacing w:val="-2"/>
        </w:rPr>
      </w:pPr>
      <w:r w:rsidRPr="00B37F96">
        <w:rPr>
          <w:spacing w:val="-2"/>
        </w:rPr>
        <w:t xml:space="preserve">Currently, there is an environment of significant reform which could </w:t>
      </w:r>
      <w:r w:rsidR="00CF2C36">
        <w:rPr>
          <w:spacing w:val="-2"/>
        </w:rPr>
        <w:t xml:space="preserve">be complicated if </w:t>
      </w:r>
      <w:r w:rsidRPr="00B37F96">
        <w:rPr>
          <w:spacing w:val="-2"/>
        </w:rPr>
        <w:t>long</w:t>
      </w:r>
      <w:r w:rsidR="00166A78">
        <w:rPr>
          <w:spacing w:val="-2"/>
        </w:rPr>
        <w:noBreakHyphen/>
      </w:r>
      <w:r w:rsidRPr="00B37F96">
        <w:rPr>
          <w:spacing w:val="-2"/>
        </w:rPr>
        <w:t>term contracts are in place. In some cases (e.g. the provision of an accommodation facility) i</w:t>
      </w:r>
      <w:r w:rsidR="00BB1AB3">
        <w:rPr>
          <w:spacing w:val="-2"/>
        </w:rPr>
        <w:t>t may be possible to offer long-</w:t>
      </w:r>
      <w:r w:rsidRPr="00B37F96">
        <w:rPr>
          <w:spacing w:val="-2"/>
        </w:rPr>
        <w:t>term contracts.</w:t>
      </w:r>
      <w:r w:rsidR="00CF2C36">
        <w:rPr>
          <w:spacing w:val="-2"/>
        </w:rPr>
        <w:t xml:space="preserve"> The Commonwealth</w:t>
      </w:r>
      <w:r w:rsidRPr="00B37F96">
        <w:rPr>
          <w:spacing w:val="-2"/>
        </w:rPr>
        <w:t xml:space="preserve"> could also lead by example</w:t>
      </w:r>
      <w:r w:rsidR="00CF2C36">
        <w:rPr>
          <w:spacing w:val="-2"/>
        </w:rPr>
        <w:t xml:space="preserve">, and </w:t>
      </w:r>
      <w:r w:rsidRPr="00B37F96">
        <w:rPr>
          <w:spacing w:val="-2"/>
        </w:rPr>
        <w:t>lengthen</w:t>
      </w:r>
      <w:r w:rsidR="00CF2C36">
        <w:rPr>
          <w:spacing w:val="-2"/>
        </w:rPr>
        <w:t xml:space="preserve"> funding agreements</w:t>
      </w:r>
      <w:r w:rsidRPr="00B37F96">
        <w:rPr>
          <w:spacing w:val="-2"/>
        </w:rPr>
        <w:t>.</w:t>
      </w:r>
    </w:p>
    <w:p w14:paraId="0AA441B6" w14:textId="77777777" w:rsidR="007D1CC2" w:rsidRPr="00B37F96" w:rsidRDefault="007D1CC2" w:rsidP="007D1CC2">
      <w:pPr>
        <w:rPr>
          <w:spacing w:val="-2"/>
        </w:rPr>
      </w:pPr>
    </w:p>
    <w:p w14:paraId="5A7994CB" w14:textId="77777777" w:rsidR="00DB6BB2" w:rsidRPr="00B37F96" w:rsidRDefault="00DB6BB2" w:rsidP="00DC69A4">
      <w:pPr>
        <w:pStyle w:val="Heading3"/>
        <w:rPr>
          <w:spacing w:val="-2"/>
        </w:rPr>
      </w:pPr>
      <w:bookmarkStart w:id="20" w:name="_Toc490477153"/>
      <w:r w:rsidRPr="00B37F96">
        <w:rPr>
          <w:spacing w:val="-2"/>
        </w:rPr>
        <w:t>Efficient cost of service provision</w:t>
      </w:r>
      <w:bookmarkEnd w:id="20"/>
    </w:p>
    <w:p w14:paraId="45548166" w14:textId="77777777" w:rsidR="00CF2C36" w:rsidRDefault="00CF2C36" w:rsidP="007D1CC2">
      <w:pPr>
        <w:rPr>
          <w:spacing w:val="-2"/>
        </w:rPr>
      </w:pPr>
      <w:r>
        <w:rPr>
          <w:spacing w:val="-2"/>
        </w:rPr>
        <w:t>The NTG </w:t>
      </w:r>
      <w:r w:rsidR="00581BE5" w:rsidRPr="00B37F96">
        <w:rPr>
          <w:spacing w:val="-2"/>
        </w:rPr>
        <w:t xml:space="preserve">gives in-principle </w:t>
      </w:r>
      <w:r>
        <w:rPr>
          <w:spacing w:val="-2"/>
        </w:rPr>
        <w:t>support to Draft Recommendation </w:t>
      </w:r>
      <w:r w:rsidR="00581BE5" w:rsidRPr="00B37F96">
        <w:rPr>
          <w:spacing w:val="-2"/>
        </w:rPr>
        <w:t>7.6</w:t>
      </w:r>
      <w:r>
        <w:rPr>
          <w:spacing w:val="-2"/>
        </w:rPr>
        <w:t> </w:t>
      </w:r>
      <w:r w:rsidR="00581BE5" w:rsidRPr="00B37F96">
        <w:rPr>
          <w:spacing w:val="-2"/>
        </w:rPr>
        <w:t xml:space="preserve">on paying the efficient cost of service provision to </w:t>
      </w:r>
      <w:r>
        <w:rPr>
          <w:spacing w:val="-2"/>
        </w:rPr>
        <w:t xml:space="preserve">service </w:t>
      </w:r>
      <w:r w:rsidR="00581BE5" w:rsidRPr="00B37F96">
        <w:rPr>
          <w:spacing w:val="-2"/>
        </w:rPr>
        <w:t>providers. The Commission makes the point that payments for service providers tend to be arbitrary ‘carve ups’ of an available funding stream or a continuation of historic levels of funding, rather than an assessment of the efficient cos</w:t>
      </w:r>
      <w:r>
        <w:rPr>
          <w:spacing w:val="-2"/>
        </w:rPr>
        <w:t>t of provision. In this context</w:t>
      </w:r>
      <w:r w:rsidR="00581BE5" w:rsidRPr="00B37F96">
        <w:rPr>
          <w:spacing w:val="-2"/>
        </w:rPr>
        <w:t xml:space="preserve"> the Commission defines an efficient cost as the full cost of achieving outcomes for people and accounting for fa</w:t>
      </w:r>
      <w:r>
        <w:rPr>
          <w:spacing w:val="-2"/>
        </w:rPr>
        <w:t>ctors that cause costs to vary.</w:t>
      </w:r>
    </w:p>
    <w:p w14:paraId="31690F9F" w14:textId="77777777" w:rsidR="00CF2C36" w:rsidRDefault="00CF2C36" w:rsidP="007D1CC2">
      <w:pPr>
        <w:rPr>
          <w:spacing w:val="-2"/>
        </w:rPr>
      </w:pPr>
    </w:p>
    <w:p w14:paraId="054E1A00" w14:textId="43134049" w:rsidR="00CF2C36" w:rsidRDefault="00CF2C36" w:rsidP="007D1CC2">
      <w:pPr>
        <w:rPr>
          <w:spacing w:val="-2"/>
        </w:rPr>
      </w:pPr>
      <w:r>
        <w:rPr>
          <w:spacing w:val="-2"/>
        </w:rPr>
        <w:t>C</w:t>
      </w:r>
      <w:r w:rsidR="00581BE5" w:rsidRPr="00B37F96">
        <w:rPr>
          <w:spacing w:val="-2"/>
        </w:rPr>
        <w:t xml:space="preserve">hallenges in the Territory </w:t>
      </w:r>
      <w:r>
        <w:rPr>
          <w:spacing w:val="-2"/>
        </w:rPr>
        <w:t>– such as</w:t>
      </w:r>
      <w:r w:rsidR="00581BE5" w:rsidRPr="00B37F96">
        <w:rPr>
          <w:spacing w:val="-2"/>
        </w:rPr>
        <w:t xml:space="preserve"> recruitment difficulties, high cost of living, remoteness and </w:t>
      </w:r>
      <w:r>
        <w:rPr>
          <w:spacing w:val="-2"/>
        </w:rPr>
        <w:t>service capacity shortfalls –</w:t>
      </w:r>
      <w:r w:rsidR="00581BE5" w:rsidRPr="00B37F96">
        <w:rPr>
          <w:spacing w:val="-2"/>
        </w:rPr>
        <w:t xml:space="preserve"> add to the cost of s</w:t>
      </w:r>
      <w:r>
        <w:rPr>
          <w:spacing w:val="-2"/>
        </w:rPr>
        <w:t>ervice provision</w:t>
      </w:r>
      <w:r w:rsidR="00514F39">
        <w:rPr>
          <w:spacing w:val="-2"/>
        </w:rPr>
        <w:t xml:space="preserve">, and </w:t>
      </w:r>
      <w:r w:rsidR="00581BE5" w:rsidRPr="00B37F96">
        <w:rPr>
          <w:spacing w:val="-2"/>
        </w:rPr>
        <w:t>cost</w:t>
      </w:r>
      <w:r w:rsidR="00514F39">
        <w:rPr>
          <w:spacing w:val="-2"/>
        </w:rPr>
        <w:t>s can be significantly higher in non</w:t>
      </w:r>
      <w:r w:rsidR="00514F39">
        <w:rPr>
          <w:spacing w:val="-2"/>
        </w:rPr>
        <w:noBreakHyphen/>
        <w:t xml:space="preserve">urban settings, as can be </w:t>
      </w:r>
      <w:r w:rsidR="00581BE5" w:rsidRPr="00B37F96">
        <w:rPr>
          <w:spacing w:val="-2"/>
        </w:rPr>
        <w:t>culturally approp</w:t>
      </w:r>
      <w:r w:rsidR="00A7399E">
        <w:rPr>
          <w:spacing w:val="-2"/>
        </w:rPr>
        <w:t>riate services. Therefore, the efficient</w:t>
      </w:r>
      <w:r w:rsidR="00581BE5" w:rsidRPr="00B37F96">
        <w:rPr>
          <w:spacing w:val="-2"/>
        </w:rPr>
        <w:t xml:space="preserve"> cost is relative to the context</w:t>
      </w:r>
      <w:r w:rsidR="00514F39">
        <w:rPr>
          <w:spacing w:val="-2"/>
        </w:rPr>
        <w:t>, and t</w:t>
      </w:r>
      <w:r>
        <w:rPr>
          <w:spacing w:val="-2"/>
        </w:rPr>
        <w:t>he NTG </w:t>
      </w:r>
      <w:r w:rsidR="00940DD0" w:rsidRPr="00B37F96">
        <w:rPr>
          <w:spacing w:val="-2"/>
        </w:rPr>
        <w:t>aims to provide funding to improve outcomes, and support</w:t>
      </w:r>
      <w:r>
        <w:rPr>
          <w:spacing w:val="-2"/>
        </w:rPr>
        <w:t>s</w:t>
      </w:r>
      <w:r w:rsidR="00940DD0" w:rsidRPr="00B37F96">
        <w:rPr>
          <w:spacing w:val="-2"/>
        </w:rPr>
        <w:t xml:space="preserve"> the viability of service providers, within fiscal constraints.</w:t>
      </w:r>
    </w:p>
    <w:p w14:paraId="781C2A0F" w14:textId="5A27C61B" w:rsidR="00CF2C36" w:rsidRDefault="00CF2C36" w:rsidP="00CF2C36">
      <w:pPr>
        <w:rPr>
          <w:spacing w:val="-2"/>
        </w:rPr>
      </w:pPr>
    </w:p>
    <w:p w14:paraId="085467B5" w14:textId="77777777" w:rsidR="00354892" w:rsidRPr="00B37F96" w:rsidRDefault="00354892" w:rsidP="00DC69A4">
      <w:pPr>
        <w:pStyle w:val="Heading3"/>
        <w:rPr>
          <w:spacing w:val="-2"/>
        </w:rPr>
      </w:pPr>
      <w:bookmarkStart w:id="21" w:name="_Toc490477154"/>
      <w:r w:rsidRPr="00B37F96">
        <w:rPr>
          <w:spacing w:val="-2"/>
        </w:rPr>
        <w:t>Outcomes based approaches and relational approaches to contract management</w:t>
      </w:r>
      <w:bookmarkEnd w:id="21"/>
    </w:p>
    <w:p w14:paraId="1F143962" w14:textId="4A2873A6" w:rsidR="007D1CC2" w:rsidRPr="00CF2C36" w:rsidRDefault="007D1CC2" w:rsidP="00CF2C36">
      <w:pPr>
        <w:rPr>
          <w:spacing w:val="-2"/>
        </w:rPr>
      </w:pPr>
      <w:r w:rsidRPr="00B37F96">
        <w:rPr>
          <w:spacing w:val="-2"/>
        </w:rPr>
        <w:t>The NTG supports Draft Recommendation 7.7 to train staff to implement outcomes-based approaches and trialling relational approaches</w:t>
      </w:r>
      <w:r w:rsidRPr="00B37F96">
        <w:rPr>
          <w:rStyle w:val="FootnoteReference"/>
          <w:spacing w:val="-2"/>
        </w:rPr>
        <w:footnoteReference w:id="9"/>
      </w:r>
      <w:r w:rsidR="00CF2C36">
        <w:rPr>
          <w:spacing w:val="-2"/>
        </w:rPr>
        <w:t xml:space="preserve"> to contract management</w:t>
      </w:r>
      <w:r w:rsidRPr="00B37F96">
        <w:rPr>
          <w:spacing w:val="-2"/>
        </w:rPr>
        <w:t>.</w:t>
      </w:r>
      <w:r w:rsidRPr="00B37F96">
        <w:rPr>
          <w:spacing w:val="-2"/>
        </w:rPr>
        <w:br w:type="page"/>
      </w:r>
    </w:p>
    <w:p w14:paraId="65EA39B8" w14:textId="77777777" w:rsidR="00DB6BB2" w:rsidRPr="00B37F96" w:rsidRDefault="00354892" w:rsidP="00051841">
      <w:pPr>
        <w:pStyle w:val="Heading2"/>
        <w:rPr>
          <w:spacing w:val="-2"/>
        </w:rPr>
      </w:pPr>
      <w:bookmarkStart w:id="22" w:name="_Toc490477155"/>
      <w:r w:rsidRPr="00B37F96">
        <w:rPr>
          <w:spacing w:val="-2"/>
        </w:rPr>
        <w:lastRenderedPageBreak/>
        <w:t>Services in remote Indigenous communities</w:t>
      </w:r>
      <w:bookmarkEnd w:id="22"/>
    </w:p>
    <w:p w14:paraId="7BDD5CE7" w14:textId="1A701FCA" w:rsidR="00991C8E" w:rsidRPr="00B37F96" w:rsidRDefault="00991C8E" w:rsidP="00991C8E">
      <w:pPr>
        <w:rPr>
          <w:spacing w:val="-2"/>
        </w:rPr>
      </w:pPr>
      <w:r w:rsidRPr="00B37F96">
        <w:rPr>
          <w:spacing w:val="-2"/>
        </w:rPr>
        <w:t>The NTG</w:t>
      </w:r>
      <w:r w:rsidR="00514F39">
        <w:rPr>
          <w:spacing w:val="-2"/>
        </w:rPr>
        <w:t> </w:t>
      </w:r>
      <w:r w:rsidRPr="00B37F96">
        <w:rPr>
          <w:spacing w:val="-2"/>
        </w:rPr>
        <w:t>is supportive of a wellbeing framewor</w:t>
      </w:r>
      <w:r w:rsidR="00514F39">
        <w:rPr>
          <w:spacing w:val="-2"/>
        </w:rPr>
        <w:t xml:space="preserve">k approach to Closing the Gap. </w:t>
      </w:r>
      <w:r w:rsidRPr="00B37F96">
        <w:rPr>
          <w:spacing w:val="-2"/>
        </w:rPr>
        <w:t>This emphasises an outcomes focus based on evidence and evaluation, coordination and integration across service providers and programs, co-design and engagement, and responsiveness to context.</w:t>
      </w:r>
    </w:p>
    <w:p w14:paraId="5D75662B" w14:textId="77777777" w:rsidR="00991C8E" w:rsidRPr="00B37F96" w:rsidRDefault="00991C8E" w:rsidP="007D1CC2">
      <w:pPr>
        <w:rPr>
          <w:spacing w:val="-2"/>
        </w:rPr>
      </w:pPr>
    </w:p>
    <w:p w14:paraId="65B52EDE" w14:textId="757A09DF" w:rsidR="007D1CC2" w:rsidRPr="00B37F96" w:rsidRDefault="007D1CC2" w:rsidP="007D1CC2">
      <w:pPr>
        <w:rPr>
          <w:spacing w:val="-2"/>
        </w:rPr>
      </w:pPr>
      <w:r w:rsidRPr="00B37F96">
        <w:rPr>
          <w:spacing w:val="-2"/>
        </w:rPr>
        <w:t>The services identified for reform in remote Aboriginal commun</w:t>
      </w:r>
      <w:r w:rsidR="00D815FC">
        <w:rPr>
          <w:spacing w:val="-2"/>
        </w:rPr>
        <w:t>ities would</w:t>
      </w:r>
      <w:r w:rsidRPr="00B37F96">
        <w:rPr>
          <w:spacing w:val="-2"/>
        </w:rPr>
        <w:t xml:space="preserve"> requ</w:t>
      </w:r>
      <w:r w:rsidR="00514F39">
        <w:rPr>
          <w:spacing w:val="-2"/>
        </w:rPr>
        <w:t>ire changes, particularly in</w:t>
      </w:r>
      <w:r w:rsidRPr="00B37F96">
        <w:rPr>
          <w:spacing w:val="-2"/>
        </w:rPr>
        <w:t xml:space="preserve"> workforce capacity and service providers’ capability to provide flexible </w:t>
      </w:r>
      <w:r w:rsidR="00514F39">
        <w:rPr>
          <w:spacing w:val="-2"/>
        </w:rPr>
        <w:t xml:space="preserve">‘user choice’. The </w:t>
      </w:r>
      <w:r w:rsidRPr="00B37F96">
        <w:rPr>
          <w:spacing w:val="-2"/>
        </w:rPr>
        <w:t xml:space="preserve">remoteness of many Aboriginal communities and the number of services funded </w:t>
      </w:r>
      <w:r w:rsidRPr="00514F39">
        <w:rPr>
          <w:spacing w:val="-4"/>
        </w:rPr>
        <w:t>or delivered by the NTG restricts the ability to apply the compet</w:t>
      </w:r>
      <w:r w:rsidR="00514F39" w:rsidRPr="00514F39">
        <w:rPr>
          <w:spacing w:val="-4"/>
        </w:rPr>
        <w:t>ition principles and user</w:t>
      </w:r>
      <w:r w:rsidR="00514F39">
        <w:rPr>
          <w:spacing w:val="-2"/>
        </w:rPr>
        <w:t xml:space="preserve"> choice</w:t>
      </w:r>
      <w:r w:rsidRPr="00B37F96">
        <w:rPr>
          <w:spacing w:val="-2"/>
        </w:rPr>
        <w:t>.</w:t>
      </w:r>
    </w:p>
    <w:p w14:paraId="72D3F17B" w14:textId="77777777" w:rsidR="007D1CC2" w:rsidRPr="00B37F96" w:rsidRDefault="007D1CC2" w:rsidP="007D1CC2">
      <w:pPr>
        <w:rPr>
          <w:spacing w:val="-2"/>
        </w:rPr>
      </w:pPr>
    </w:p>
    <w:p w14:paraId="47E3FF08" w14:textId="7B2D6067" w:rsidR="00716EF1" w:rsidRPr="00514F39" w:rsidRDefault="00716EF1" w:rsidP="00716EF1">
      <w:pPr>
        <w:rPr>
          <w:rStyle w:val="Hyperlink"/>
          <w:color w:val="auto"/>
          <w:spacing w:val="-2"/>
        </w:rPr>
      </w:pPr>
      <w:r w:rsidRPr="00B37F96">
        <w:rPr>
          <w:spacing w:val="-2"/>
        </w:rPr>
        <w:t xml:space="preserve">The NTG is currently implementing the </w:t>
      </w:r>
      <w:r w:rsidRPr="00514F39">
        <w:rPr>
          <w:i/>
          <w:spacing w:val="-2"/>
        </w:rPr>
        <w:t>Remote Engagement and Coordination Strategy</w:t>
      </w:r>
      <w:r w:rsidRPr="00B37F96">
        <w:rPr>
          <w:spacing w:val="-2"/>
        </w:rPr>
        <w:t xml:space="preserve">. The strategy provides public servants with best practice for engaging Aboriginal communities and providing mechanisms for community feedback and ‘closing the loop’. </w:t>
      </w:r>
      <w:r w:rsidR="00514F39">
        <w:rPr>
          <w:spacing w:val="-2"/>
        </w:rPr>
        <w:t>Information regarding the</w:t>
      </w:r>
      <w:r w:rsidRPr="00B37F96">
        <w:rPr>
          <w:spacing w:val="-2"/>
        </w:rPr>
        <w:t xml:space="preserve"> strategy and associated tools can be found at </w:t>
      </w:r>
      <w:hyperlink r:id="rId20" w:history="1">
        <w:r w:rsidRPr="00B37F96">
          <w:rPr>
            <w:rStyle w:val="Hyperlink"/>
            <w:spacing w:val="-2"/>
          </w:rPr>
          <w:t>http://www.bushready.nt.gov.au/</w:t>
        </w:r>
      </w:hyperlink>
      <w:r w:rsidRPr="00514F39">
        <w:rPr>
          <w:rStyle w:val="Hyperlink"/>
          <w:color w:val="auto"/>
          <w:spacing w:val="-2"/>
        </w:rPr>
        <w:t>.</w:t>
      </w:r>
    </w:p>
    <w:p w14:paraId="10BBBFC8" w14:textId="77777777" w:rsidR="00716EF1" w:rsidRPr="00B37F96" w:rsidRDefault="00716EF1" w:rsidP="007D1CC2">
      <w:pPr>
        <w:rPr>
          <w:spacing w:val="-2"/>
        </w:rPr>
      </w:pPr>
    </w:p>
    <w:p w14:paraId="3E1FC0FE" w14:textId="430A69FF" w:rsidR="00991C8E" w:rsidRPr="00B37F96" w:rsidRDefault="00514F39" w:rsidP="00991C8E">
      <w:pPr>
        <w:rPr>
          <w:spacing w:val="-2"/>
        </w:rPr>
      </w:pPr>
      <w:r>
        <w:rPr>
          <w:spacing w:val="-2"/>
        </w:rPr>
        <w:t>In June 2017, the NTG released its</w:t>
      </w:r>
      <w:r w:rsidR="00991C8E" w:rsidRPr="00B37F96">
        <w:rPr>
          <w:spacing w:val="-2"/>
        </w:rPr>
        <w:t xml:space="preserve"> </w:t>
      </w:r>
      <w:hyperlink r:id="rId21" w:history="1">
        <w:r w:rsidR="00991C8E" w:rsidRPr="00516364">
          <w:rPr>
            <w:rStyle w:val="Hyperlink"/>
            <w:i/>
            <w:spacing w:val="-2"/>
          </w:rPr>
          <w:t>Economic Development Framework</w:t>
        </w:r>
        <w:r w:rsidRPr="00516364">
          <w:rPr>
            <w:rStyle w:val="Hyperlink"/>
            <w:spacing w:val="-2"/>
          </w:rPr>
          <w:t> </w:t>
        </w:r>
        <w:r w:rsidR="00991C8E" w:rsidRPr="00516364">
          <w:rPr>
            <w:rStyle w:val="Hyperlink"/>
            <w:spacing w:val="-2"/>
          </w:rPr>
          <w:t>(EDF)</w:t>
        </w:r>
      </w:hyperlink>
      <w:r>
        <w:rPr>
          <w:spacing w:val="-2"/>
        </w:rPr>
        <w:t xml:space="preserve">. In human services the EDF has actions to change </w:t>
      </w:r>
      <w:r w:rsidR="00991C8E" w:rsidRPr="00B37F96">
        <w:rPr>
          <w:spacing w:val="-2"/>
        </w:rPr>
        <w:t xml:space="preserve">the way governments deliver human services </w:t>
      </w:r>
      <w:r>
        <w:rPr>
          <w:spacing w:val="-2"/>
        </w:rPr>
        <w:t>in non</w:t>
      </w:r>
      <w:r>
        <w:rPr>
          <w:spacing w:val="-2"/>
        </w:rPr>
        <w:noBreakHyphen/>
        <w:t xml:space="preserve">urban areas </w:t>
      </w:r>
      <w:r w:rsidR="00991C8E" w:rsidRPr="00B37F96">
        <w:rPr>
          <w:spacing w:val="-2"/>
        </w:rPr>
        <w:t>to create economic development opportunities, including</w:t>
      </w:r>
      <w:r>
        <w:rPr>
          <w:spacing w:val="-2"/>
        </w:rPr>
        <w:t xml:space="preserve"> by</w:t>
      </w:r>
      <w:r w:rsidR="00991C8E" w:rsidRPr="00B37F96">
        <w:rPr>
          <w:spacing w:val="-2"/>
          <w:lang w:val="en-GB"/>
        </w:rPr>
        <w:t>:</w:t>
      </w:r>
    </w:p>
    <w:p w14:paraId="633B93DB" w14:textId="27E2F6BC" w:rsidR="00991C8E" w:rsidRPr="00B37F96" w:rsidRDefault="00991C8E"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exploring business models that increase local service delivery, employment and business development opportunities</w:t>
      </w:r>
      <w:r w:rsidR="00514F39">
        <w:rPr>
          <w:spacing w:val="-2"/>
        </w:rPr>
        <w:t>;</w:t>
      </w:r>
    </w:p>
    <w:p w14:paraId="7FA4329D" w14:textId="2C1A89C8" w:rsidR="00991C8E" w:rsidRPr="00B37F96" w:rsidRDefault="00991C8E"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exploring incentives and support t</w:t>
      </w:r>
      <w:r w:rsidR="00514F39">
        <w:rPr>
          <w:spacing w:val="-2"/>
        </w:rPr>
        <w:t>o</w:t>
      </w:r>
      <w:r w:rsidRPr="00B37F96">
        <w:rPr>
          <w:spacing w:val="-2"/>
        </w:rPr>
        <w:t xml:space="preserve"> encourage </w:t>
      </w:r>
      <w:r w:rsidR="00514F39">
        <w:rPr>
          <w:spacing w:val="-2"/>
        </w:rPr>
        <w:t>non</w:t>
      </w:r>
      <w:r w:rsidR="00514F39">
        <w:rPr>
          <w:spacing w:val="-2"/>
        </w:rPr>
        <w:noBreakHyphen/>
        <w:t>urban</w:t>
      </w:r>
      <w:r w:rsidRPr="00B37F96">
        <w:rPr>
          <w:spacing w:val="-2"/>
        </w:rPr>
        <w:t xml:space="preserve"> service providers to deliver services using local businesses and staff, and building the capacity of local businesses</w:t>
      </w:r>
      <w:r w:rsidR="00514F39">
        <w:rPr>
          <w:spacing w:val="-2"/>
        </w:rPr>
        <w:t>;</w:t>
      </w:r>
    </w:p>
    <w:p w14:paraId="5936AD1D" w14:textId="4E38BB4C" w:rsidR="00991C8E" w:rsidRPr="00B37F96" w:rsidRDefault="00991C8E"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developing a framework to deliver more human services using local businesses</w:t>
      </w:r>
      <w:r w:rsidR="00514F39">
        <w:rPr>
          <w:spacing w:val="-2"/>
        </w:rPr>
        <w:t>;</w:t>
      </w:r>
    </w:p>
    <w:p w14:paraId="219C29F2" w14:textId="7176293A" w:rsidR="00991C8E" w:rsidRPr="00B37F96" w:rsidRDefault="00991C8E"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exploring the potential for a Centre of Excellence, including innovator-in-residence, for the innovative delivery of human services in remote settings</w:t>
      </w:r>
      <w:r w:rsidR="00514F39">
        <w:rPr>
          <w:spacing w:val="-2"/>
        </w:rPr>
        <w:t>;</w:t>
      </w:r>
    </w:p>
    <w:p w14:paraId="7F01FEC7" w14:textId="5D188603" w:rsidR="00991C8E" w:rsidRPr="00B37F96" w:rsidRDefault="00991C8E"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upskilling, reskilling, training and educating Territorians, particularly Aboriginal Territorians, to build capacity in the human services sector by delivering focused education and training</w:t>
      </w:r>
      <w:r w:rsidR="00514F39">
        <w:rPr>
          <w:spacing w:val="-2"/>
        </w:rPr>
        <w:t>; and</w:t>
      </w:r>
    </w:p>
    <w:p w14:paraId="0A981EA5" w14:textId="77777777" w:rsidR="00991C8E" w:rsidRPr="00B37F96" w:rsidRDefault="00991C8E"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 xml:space="preserve">building the capacity of NGOs and their boards in contemporary organisational practices to prepare for new opportunities. </w:t>
      </w:r>
    </w:p>
    <w:p w14:paraId="112485E4" w14:textId="77777777" w:rsidR="00514F39" w:rsidRDefault="00514F39" w:rsidP="007D1CC2">
      <w:pPr>
        <w:rPr>
          <w:spacing w:val="-2"/>
          <w:lang w:val="en-GB"/>
        </w:rPr>
      </w:pPr>
    </w:p>
    <w:p w14:paraId="5E1DF3D3" w14:textId="19D93C32" w:rsidR="00991C8E" w:rsidRPr="00B37F96" w:rsidRDefault="00991C8E" w:rsidP="007D1CC2">
      <w:pPr>
        <w:rPr>
          <w:spacing w:val="-2"/>
        </w:rPr>
      </w:pPr>
      <w:r w:rsidRPr="00B37F96">
        <w:rPr>
          <w:spacing w:val="-2"/>
          <w:lang w:val="en-GB"/>
        </w:rPr>
        <w:t>The principles of these actions broadly align with draft recommendations</w:t>
      </w:r>
      <w:r w:rsidR="00514F39">
        <w:rPr>
          <w:spacing w:val="-2"/>
          <w:lang w:val="en-GB"/>
        </w:rPr>
        <w:t> </w:t>
      </w:r>
      <w:r w:rsidRPr="00B37F96">
        <w:rPr>
          <w:spacing w:val="-2"/>
          <w:lang w:val="en-GB"/>
        </w:rPr>
        <w:t>8.3, 8.4</w:t>
      </w:r>
      <w:r w:rsidR="00514F39">
        <w:rPr>
          <w:spacing w:val="-2"/>
          <w:lang w:val="en-GB"/>
        </w:rPr>
        <w:t> </w:t>
      </w:r>
      <w:r w:rsidRPr="00B37F96">
        <w:rPr>
          <w:spacing w:val="-2"/>
          <w:lang w:val="en-GB"/>
        </w:rPr>
        <w:t>and 8.5. The N</w:t>
      </w:r>
      <w:r w:rsidR="00C8266E">
        <w:rPr>
          <w:spacing w:val="-2"/>
          <w:lang w:val="en-GB"/>
        </w:rPr>
        <w:t>TG </w:t>
      </w:r>
      <w:r w:rsidRPr="00B37F96">
        <w:rPr>
          <w:spacing w:val="-2"/>
          <w:lang w:val="en-GB"/>
        </w:rPr>
        <w:t>is currently developing an im</w:t>
      </w:r>
      <w:r w:rsidR="00C8266E">
        <w:rPr>
          <w:spacing w:val="-2"/>
          <w:lang w:val="en-GB"/>
        </w:rPr>
        <w:t>plementation plan for these EDF </w:t>
      </w:r>
      <w:r w:rsidRPr="00B37F96">
        <w:rPr>
          <w:spacing w:val="-2"/>
          <w:lang w:val="en-GB"/>
        </w:rPr>
        <w:t xml:space="preserve">actions. </w:t>
      </w:r>
    </w:p>
    <w:p w14:paraId="0DB92863" w14:textId="1D48A506" w:rsidR="007D1CC2" w:rsidRPr="00B37F96" w:rsidRDefault="007D1CC2" w:rsidP="007D1CC2">
      <w:pPr>
        <w:rPr>
          <w:spacing w:val="-2"/>
        </w:rPr>
      </w:pPr>
      <w:r w:rsidRPr="00B37F96">
        <w:rPr>
          <w:spacing w:val="-2"/>
        </w:rPr>
        <w:t xml:space="preserve">The Commission identifies that </w:t>
      </w:r>
      <w:r w:rsidRPr="00B37F96">
        <w:rPr>
          <w:i/>
          <w:spacing w:val="-2"/>
        </w:rPr>
        <w:t>ad hoc</w:t>
      </w:r>
      <w:r w:rsidRPr="00B37F96">
        <w:rPr>
          <w:spacing w:val="-2"/>
        </w:rPr>
        <w:t xml:space="preserve"> service provision is a major concern for remote Aboriginal communities, resulting in wasted resource</w:t>
      </w:r>
      <w:r w:rsidR="00C8266E">
        <w:rPr>
          <w:spacing w:val="-2"/>
        </w:rPr>
        <w:t>s and duplication of effort. A</w:t>
      </w:r>
      <w:r w:rsidRPr="00B37F96">
        <w:rPr>
          <w:spacing w:val="-2"/>
        </w:rPr>
        <w:t xml:space="preserve"> short</w:t>
      </w:r>
      <w:r w:rsidR="00A7399E">
        <w:rPr>
          <w:spacing w:val="-2"/>
        </w:rPr>
        <w:t>-</w:t>
      </w:r>
      <w:r w:rsidRPr="00B37F96">
        <w:rPr>
          <w:spacing w:val="-2"/>
        </w:rPr>
        <w:t>term catalyst f</w:t>
      </w:r>
      <w:r w:rsidR="00C8266E">
        <w:rPr>
          <w:spacing w:val="-2"/>
        </w:rPr>
        <w:t xml:space="preserve">or change in the </w:t>
      </w:r>
      <w:r w:rsidR="00A7399E">
        <w:rPr>
          <w:spacing w:val="-2"/>
        </w:rPr>
        <w:t xml:space="preserve">Northern Territory is the roll </w:t>
      </w:r>
      <w:r w:rsidRPr="00B37F96">
        <w:rPr>
          <w:spacing w:val="-2"/>
        </w:rPr>
        <w:t>out of the National Disability Insurance Scheme</w:t>
      </w:r>
      <w:r w:rsidR="00C8266E">
        <w:rPr>
          <w:spacing w:val="-2"/>
        </w:rPr>
        <w:t> (NDIS)</w:t>
      </w:r>
      <w:r w:rsidRPr="00B37F96">
        <w:rPr>
          <w:spacing w:val="-2"/>
        </w:rPr>
        <w:t>, which has a clear focus on local service providers delivering servi</w:t>
      </w:r>
      <w:r w:rsidR="00C8266E">
        <w:rPr>
          <w:spacing w:val="-2"/>
        </w:rPr>
        <w:t>ces. Local service delivery can</w:t>
      </w:r>
      <w:r w:rsidRPr="00B37F96">
        <w:rPr>
          <w:spacing w:val="-2"/>
        </w:rPr>
        <w:t xml:space="preserve"> support sustainable employment opportunities in communities, and improve the resilience of community and regional economies. Importantly, the Commission observes tha</w:t>
      </w:r>
      <w:r w:rsidR="00A7399E">
        <w:rPr>
          <w:spacing w:val="-2"/>
        </w:rPr>
        <w:t>t: ‘</w:t>
      </w:r>
      <w:r w:rsidRPr="00B37F96">
        <w:rPr>
          <w:spacing w:val="-2"/>
        </w:rPr>
        <w:t xml:space="preserve">Indigenous communities will only develop trust in governments if they see that there is genuine commitment to taking their views into </w:t>
      </w:r>
      <w:r w:rsidR="00A7399E">
        <w:rPr>
          <w:spacing w:val="-2"/>
        </w:rPr>
        <w:t>account when decisions are made’</w:t>
      </w:r>
      <w:r w:rsidRPr="00B37F96">
        <w:rPr>
          <w:spacing w:val="-2"/>
        </w:rPr>
        <w:t> (p. 250).</w:t>
      </w:r>
    </w:p>
    <w:p w14:paraId="134F1172" w14:textId="77777777" w:rsidR="007D1CC2" w:rsidRPr="00B37F96" w:rsidRDefault="007D1CC2" w:rsidP="007D1CC2">
      <w:pPr>
        <w:rPr>
          <w:spacing w:val="-2"/>
        </w:rPr>
      </w:pPr>
    </w:p>
    <w:p w14:paraId="57993C18" w14:textId="00EBE286" w:rsidR="00991C8E" w:rsidRPr="00B37F96" w:rsidRDefault="00991C8E" w:rsidP="007D1CC2">
      <w:pPr>
        <w:rPr>
          <w:spacing w:val="-2"/>
        </w:rPr>
      </w:pPr>
      <w:r w:rsidRPr="00B37F96">
        <w:rPr>
          <w:spacing w:val="-2"/>
        </w:rPr>
        <w:lastRenderedPageBreak/>
        <w:t>To date</w:t>
      </w:r>
      <w:r w:rsidR="00A7399E">
        <w:rPr>
          <w:spacing w:val="-2"/>
        </w:rPr>
        <w:t>,</w:t>
      </w:r>
      <w:r w:rsidRPr="00B37F96">
        <w:rPr>
          <w:spacing w:val="-2"/>
        </w:rPr>
        <w:t xml:space="preserve"> the roll</w:t>
      </w:r>
      <w:r w:rsidR="00A7399E">
        <w:rPr>
          <w:spacing w:val="-2"/>
        </w:rPr>
        <w:t xml:space="preserve"> </w:t>
      </w:r>
      <w:r w:rsidRPr="00B37F96">
        <w:rPr>
          <w:spacing w:val="-2"/>
        </w:rPr>
        <w:t>out of the NDIS</w:t>
      </w:r>
      <w:r w:rsidR="00C8266E">
        <w:rPr>
          <w:spacing w:val="-2"/>
        </w:rPr>
        <w:t> </w:t>
      </w:r>
      <w:r w:rsidRPr="00B37F96">
        <w:rPr>
          <w:spacing w:val="-2"/>
        </w:rPr>
        <w:t>in the Northern Territory has identified both opportunities</w:t>
      </w:r>
      <w:r w:rsidR="00A7399E">
        <w:rPr>
          <w:spacing w:val="-2"/>
        </w:rPr>
        <w:t xml:space="preserve"> and challenges in the way the s</w:t>
      </w:r>
      <w:r w:rsidRPr="00B37F96">
        <w:rPr>
          <w:spacing w:val="-2"/>
        </w:rPr>
        <w:t>cheme is implemented in remote Aboriginal communities. In order to successfully develop the thin disability markets</w:t>
      </w:r>
      <w:r w:rsidR="00166A78">
        <w:rPr>
          <w:spacing w:val="-2"/>
        </w:rPr>
        <w:t>,</w:t>
      </w:r>
      <w:r w:rsidR="00C8266E">
        <w:rPr>
          <w:spacing w:val="-2"/>
        </w:rPr>
        <w:t xml:space="preserve"> </w:t>
      </w:r>
      <w:r w:rsidRPr="00B37F96">
        <w:rPr>
          <w:spacing w:val="-2"/>
        </w:rPr>
        <w:t>the NTG</w:t>
      </w:r>
      <w:r w:rsidR="00C8266E">
        <w:rPr>
          <w:spacing w:val="-2"/>
        </w:rPr>
        <w:t> </w:t>
      </w:r>
      <w:r w:rsidRPr="00B37F96">
        <w:rPr>
          <w:spacing w:val="-2"/>
        </w:rPr>
        <w:t>has</w:t>
      </w:r>
      <w:r w:rsidR="00A7399E">
        <w:rPr>
          <w:spacing w:val="-2"/>
        </w:rPr>
        <w:t xml:space="preserve"> worked to</w:t>
      </w:r>
      <w:r w:rsidR="00C8266E">
        <w:rPr>
          <w:spacing w:val="-2"/>
        </w:rPr>
        <w:t xml:space="preserve"> gain </w:t>
      </w:r>
      <w:r w:rsidRPr="00B37F96">
        <w:rPr>
          <w:spacing w:val="-2"/>
        </w:rPr>
        <w:t>a high level of</w:t>
      </w:r>
      <w:r w:rsidR="00A7399E">
        <w:rPr>
          <w:spacing w:val="-2"/>
        </w:rPr>
        <w:t xml:space="preserve"> cross-government collaboration,</w:t>
      </w:r>
      <w:r w:rsidRPr="00B37F96">
        <w:rPr>
          <w:spacing w:val="-2"/>
        </w:rPr>
        <w:t xml:space="preserve"> leverage established community organisations</w:t>
      </w:r>
      <w:r w:rsidR="00A7399E">
        <w:rPr>
          <w:spacing w:val="-2"/>
        </w:rPr>
        <w:t>,</w:t>
      </w:r>
      <w:r w:rsidRPr="00B37F96">
        <w:rPr>
          <w:spacing w:val="-2"/>
        </w:rPr>
        <w:t xml:space="preserve"> utilise hub and spoke approache</w:t>
      </w:r>
      <w:r w:rsidR="00A7399E">
        <w:rPr>
          <w:spacing w:val="-2"/>
        </w:rPr>
        <w:t>s,</w:t>
      </w:r>
      <w:r w:rsidRPr="00B37F96">
        <w:rPr>
          <w:spacing w:val="-2"/>
        </w:rPr>
        <w:t xml:space="preserve"> and</w:t>
      </w:r>
      <w:r w:rsidR="00A7399E">
        <w:rPr>
          <w:spacing w:val="-2"/>
        </w:rPr>
        <w:t xml:space="preserve"> </w:t>
      </w:r>
      <w:r w:rsidRPr="00B37F96">
        <w:rPr>
          <w:spacing w:val="-2"/>
        </w:rPr>
        <w:t>rely on other mainstream service providers. These measures, along with facilitating innovation and collaboration among local service providers and organisations</w:t>
      </w:r>
      <w:r w:rsidR="00C8266E">
        <w:rPr>
          <w:spacing w:val="-2"/>
        </w:rPr>
        <w:t>, are</w:t>
      </w:r>
      <w:r w:rsidRPr="00B37F96">
        <w:rPr>
          <w:spacing w:val="-2"/>
        </w:rPr>
        <w:t xml:space="preserve"> being employed in th</w:t>
      </w:r>
      <w:r w:rsidR="00A7399E">
        <w:rPr>
          <w:spacing w:val="-2"/>
        </w:rPr>
        <w:t xml:space="preserve">e roll </w:t>
      </w:r>
      <w:r w:rsidR="00C8266E">
        <w:rPr>
          <w:spacing w:val="-2"/>
        </w:rPr>
        <w:t>out of the NDIS. A place</w:t>
      </w:r>
      <w:r w:rsidR="00A7399E">
        <w:rPr>
          <w:spacing w:val="-2"/>
        </w:rPr>
        <w:t>-</w:t>
      </w:r>
      <w:r w:rsidRPr="00B37F96">
        <w:rPr>
          <w:spacing w:val="-2"/>
        </w:rPr>
        <w:t xml:space="preserve">based approach has been the principle taken to the measures employed, rather than </w:t>
      </w:r>
      <w:r w:rsidR="00C8266E">
        <w:rPr>
          <w:spacing w:val="-2"/>
        </w:rPr>
        <w:t xml:space="preserve">a </w:t>
      </w:r>
      <w:r w:rsidRPr="00B37F96">
        <w:rPr>
          <w:spacing w:val="-2"/>
        </w:rPr>
        <w:t>one size fits all</w:t>
      </w:r>
      <w:r w:rsidR="00C8266E">
        <w:rPr>
          <w:spacing w:val="-2"/>
        </w:rPr>
        <w:t xml:space="preserve"> approach</w:t>
      </w:r>
      <w:r w:rsidRPr="00B37F96">
        <w:rPr>
          <w:spacing w:val="-2"/>
        </w:rPr>
        <w:t>.</w:t>
      </w:r>
    </w:p>
    <w:p w14:paraId="2CA336C4" w14:textId="77777777" w:rsidR="00991C8E" w:rsidRPr="00B37F96" w:rsidRDefault="00991C8E" w:rsidP="007D1CC2">
      <w:pPr>
        <w:rPr>
          <w:spacing w:val="-2"/>
        </w:rPr>
      </w:pPr>
    </w:p>
    <w:p w14:paraId="5B5CEDB9" w14:textId="6B519B81" w:rsidR="007D1CC2" w:rsidRPr="00B37F96" w:rsidRDefault="007D1CC2" w:rsidP="007D1CC2">
      <w:pPr>
        <w:rPr>
          <w:spacing w:val="-2"/>
        </w:rPr>
      </w:pPr>
      <w:r w:rsidRPr="00B37F96">
        <w:rPr>
          <w:spacing w:val="-2"/>
        </w:rPr>
        <w:t xml:space="preserve">Recommendations regarding collaboration between the Commonwealth, </w:t>
      </w:r>
      <w:r w:rsidR="00A7399E" w:rsidRPr="00B37F96">
        <w:rPr>
          <w:spacing w:val="-2"/>
        </w:rPr>
        <w:t xml:space="preserve">state and territory </w:t>
      </w:r>
      <w:r w:rsidR="00A7399E" w:rsidRPr="00C8266E">
        <w:rPr>
          <w:spacing w:val="-4"/>
        </w:rPr>
        <w:t>governments should be strengthened, particularly in relation to actual service</w:t>
      </w:r>
      <w:r w:rsidR="00A7399E">
        <w:rPr>
          <w:spacing w:val="-2"/>
        </w:rPr>
        <w:t xml:space="preserve"> provision </w:t>
      </w:r>
      <w:r w:rsidRPr="00B37F96">
        <w:rPr>
          <w:spacing w:val="-2"/>
        </w:rPr>
        <w:t>(other than just mapping existing services).</w:t>
      </w:r>
    </w:p>
    <w:p w14:paraId="1718AB99" w14:textId="77777777" w:rsidR="007D1CC2" w:rsidRPr="00B37F96" w:rsidRDefault="007D1CC2" w:rsidP="007D1CC2">
      <w:pPr>
        <w:rPr>
          <w:spacing w:val="-2"/>
        </w:rPr>
      </w:pPr>
    </w:p>
    <w:p w14:paraId="287BDACF" w14:textId="4F95930C" w:rsidR="00354892" w:rsidRPr="00B37F96" w:rsidRDefault="00354892" w:rsidP="00DC69A4">
      <w:pPr>
        <w:pStyle w:val="Heading3"/>
        <w:rPr>
          <w:spacing w:val="-2"/>
        </w:rPr>
      </w:pPr>
      <w:bookmarkStart w:id="23" w:name="_Toc490477156"/>
      <w:r w:rsidRPr="00B37F96">
        <w:rPr>
          <w:spacing w:val="-2"/>
        </w:rPr>
        <w:t>Ten</w:t>
      </w:r>
      <w:r w:rsidR="00166A78">
        <w:rPr>
          <w:spacing w:val="-2"/>
        </w:rPr>
        <w:noBreakHyphen/>
      </w:r>
      <w:r w:rsidRPr="00B37F96">
        <w:rPr>
          <w:spacing w:val="-2"/>
        </w:rPr>
        <w:t>year contracts</w:t>
      </w:r>
      <w:bookmarkEnd w:id="23"/>
    </w:p>
    <w:p w14:paraId="328602F4" w14:textId="3DCA02C2" w:rsidR="007D1CC2" w:rsidRPr="00B37F96" w:rsidRDefault="007D1CC2" w:rsidP="007D1CC2">
      <w:pPr>
        <w:rPr>
          <w:spacing w:val="-2"/>
        </w:rPr>
      </w:pPr>
      <w:r w:rsidRPr="00B37F96">
        <w:rPr>
          <w:spacing w:val="-2"/>
        </w:rPr>
        <w:t>The NTG gives in-principle support to Draft Recommendation 8.1 regarding ten</w:t>
      </w:r>
      <w:r w:rsidR="00A7399E">
        <w:rPr>
          <w:spacing w:val="-2"/>
        </w:rPr>
        <w:t>-</w:t>
      </w:r>
      <w:r w:rsidRPr="00B37F96">
        <w:rPr>
          <w:spacing w:val="-2"/>
        </w:rPr>
        <w:t>year contracts in remote Aboriginal communities, noting the challenges mentioned with respect to seven</w:t>
      </w:r>
      <w:r w:rsidR="00166A78">
        <w:rPr>
          <w:spacing w:val="-2"/>
        </w:rPr>
        <w:noBreakHyphen/>
      </w:r>
      <w:r w:rsidRPr="00B37F96">
        <w:rPr>
          <w:spacing w:val="-2"/>
        </w:rPr>
        <w:t>year contracts (in Draft Recommendation 7.5) are also relevant here. The NTG is in the process of introducing five</w:t>
      </w:r>
      <w:r w:rsidR="00A7399E">
        <w:rPr>
          <w:spacing w:val="-2"/>
        </w:rPr>
        <w:t>-</w:t>
      </w:r>
      <w:r w:rsidRPr="00B37F96">
        <w:rPr>
          <w:spacing w:val="-2"/>
        </w:rPr>
        <w:t>year funding agreements</w:t>
      </w:r>
      <w:r w:rsidR="00C8266E">
        <w:rPr>
          <w:spacing w:val="-2"/>
        </w:rPr>
        <w:t xml:space="preserve"> for non</w:t>
      </w:r>
      <w:r w:rsidR="00C8266E">
        <w:rPr>
          <w:spacing w:val="-2"/>
        </w:rPr>
        <w:noBreakHyphen/>
        <w:t>government organisation service providers. At this stage</w:t>
      </w:r>
      <w:r w:rsidRPr="00B37F96">
        <w:rPr>
          <w:spacing w:val="-2"/>
        </w:rPr>
        <w:t xml:space="preserve"> NTG is not considering ten</w:t>
      </w:r>
      <w:r w:rsidR="00A7399E">
        <w:rPr>
          <w:spacing w:val="-2"/>
        </w:rPr>
        <w:t>-</w:t>
      </w:r>
      <w:r w:rsidRPr="00B37F96">
        <w:rPr>
          <w:spacing w:val="-2"/>
        </w:rPr>
        <w:t>year contracts as a default for services in remote Aboriginal communities, but there may be scope for five</w:t>
      </w:r>
      <w:r w:rsidR="00166A78">
        <w:rPr>
          <w:spacing w:val="-2"/>
        </w:rPr>
        <w:noBreakHyphen/>
      </w:r>
      <w:r w:rsidRPr="00B37F96">
        <w:rPr>
          <w:spacing w:val="-2"/>
        </w:rPr>
        <w:t>year contracts with the option for a further five years.</w:t>
      </w:r>
    </w:p>
    <w:p w14:paraId="5A2C169E" w14:textId="77777777" w:rsidR="007D1CC2" w:rsidRPr="00B37F96" w:rsidRDefault="007D1CC2" w:rsidP="007D1CC2">
      <w:pPr>
        <w:rPr>
          <w:spacing w:val="-2"/>
        </w:rPr>
      </w:pPr>
    </w:p>
    <w:p w14:paraId="686C8C47" w14:textId="77777777" w:rsidR="00354892" w:rsidRPr="00B37F96" w:rsidRDefault="00354892" w:rsidP="00DC69A4">
      <w:pPr>
        <w:pStyle w:val="Heading3"/>
        <w:rPr>
          <w:spacing w:val="-2"/>
        </w:rPr>
      </w:pPr>
      <w:bookmarkStart w:id="24" w:name="_Toc490477157"/>
      <w:r w:rsidRPr="00B37F96">
        <w:rPr>
          <w:spacing w:val="-2"/>
        </w:rPr>
        <w:t>Provider selection processes</w:t>
      </w:r>
      <w:bookmarkEnd w:id="24"/>
    </w:p>
    <w:p w14:paraId="274E7AAD" w14:textId="77777777" w:rsidR="007D1CC2" w:rsidRPr="00B37F96" w:rsidRDefault="007D1CC2" w:rsidP="007D1CC2">
      <w:pPr>
        <w:rPr>
          <w:spacing w:val="-2"/>
        </w:rPr>
      </w:pPr>
      <w:r w:rsidRPr="00B37F96">
        <w:rPr>
          <w:spacing w:val="-2"/>
        </w:rPr>
        <w:t>The NTG gives in-principle support to Draft Recommendation 8.2 on provider selection processes for services in remote Aboriginal communities. This is broadly consistent with the direction of other NTG reforms, noting it will be a staged process.</w:t>
      </w:r>
    </w:p>
    <w:p w14:paraId="08C5147F" w14:textId="77777777" w:rsidR="007D1CC2" w:rsidRPr="00B37F96" w:rsidRDefault="007D1CC2" w:rsidP="007D1CC2">
      <w:pPr>
        <w:rPr>
          <w:spacing w:val="-2"/>
        </w:rPr>
      </w:pPr>
    </w:p>
    <w:p w14:paraId="0BAFF0DB" w14:textId="77777777" w:rsidR="00354892" w:rsidRPr="00C8266E" w:rsidRDefault="00354892" w:rsidP="00480145">
      <w:pPr>
        <w:pStyle w:val="Heading3"/>
      </w:pPr>
      <w:bookmarkStart w:id="25" w:name="_Toc490477158"/>
      <w:r w:rsidRPr="00C8266E">
        <w:t>Commissioning processes</w:t>
      </w:r>
      <w:bookmarkEnd w:id="25"/>
    </w:p>
    <w:p w14:paraId="77B7B52E" w14:textId="5CA50597" w:rsidR="003D26E7" w:rsidRPr="00B37F96" w:rsidRDefault="003D26E7" w:rsidP="003D26E7">
      <w:pPr>
        <w:rPr>
          <w:spacing w:val="-2"/>
        </w:rPr>
      </w:pPr>
      <w:r w:rsidRPr="00B37F96">
        <w:rPr>
          <w:spacing w:val="-2"/>
        </w:rPr>
        <w:t>The NTG supports Draft Recommend</w:t>
      </w:r>
      <w:r w:rsidR="00C8266E">
        <w:rPr>
          <w:spacing w:val="-2"/>
        </w:rPr>
        <w:t xml:space="preserve">ation 8.3 which recommends </w:t>
      </w:r>
      <w:r w:rsidRPr="00B37F96">
        <w:rPr>
          <w:spacing w:val="-2"/>
        </w:rPr>
        <w:t>commissioning processes for human services in remote Aboriginal communities have a strong focus on transferring skills an</w:t>
      </w:r>
      <w:r w:rsidR="00C8266E">
        <w:rPr>
          <w:spacing w:val="-2"/>
        </w:rPr>
        <w:t xml:space="preserve">d capacity. The NTG is </w:t>
      </w:r>
      <w:r w:rsidRPr="00B37F96">
        <w:rPr>
          <w:spacing w:val="-2"/>
        </w:rPr>
        <w:t>changing the way it delivers human services in regional and remote Aboriginal communities, with a focus on upskilling, training and education for local people to build community capacity to delive</w:t>
      </w:r>
      <w:r w:rsidR="00C8266E">
        <w:rPr>
          <w:spacing w:val="-2"/>
        </w:rPr>
        <w:t>r culturally appropriate</w:t>
      </w:r>
      <w:r w:rsidRPr="00B37F96">
        <w:rPr>
          <w:spacing w:val="-2"/>
        </w:rPr>
        <w:t xml:space="preserve"> services. Local Decision Making will provide Aboriginal communities with the opportunity to make informed decisions on service provision and programs to be funded in their communities.</w:t>
      </w:r>
    </w:p>
    <w:p w14:paraId="5DAEABAE" w14:textId="77777777" w:rsidR="003D26E7" w:rsidRPr="00B37F96" w:rsidRDefault="003D26E7" w:rsidP="003D26E7">
      <w:pPr>
        <w:rPr>
          <w:spacing w:val="-2"/>
        </w:rPr>
      </w:pPr>
    </w:p>
    <w:p w14:paraId="10FD29BA" w14:textId="5709C7C1" w:rsidR="003D26E7" w:rsidRPr="00B37F96" w:rsidRDefault="003D26E7" w:rsidP="003D26E7">
      <w:pPr>
        <w:rPr>
          <w:spacing w:val="-2"/>
        </w:rPr>
      </w:pPr>
      <w:r w:rsidRPr="00B37F96">
        <w:rPr>
          <w:spacing w:val="-2"/>
        </w:rPr>
        <w:t>The NTG is undertaking a ten</w:t>
      </w:r>
      <w:r w:rsidR="00A7399E">
        <w:rPr>
          <w:spacing w:val="-2"/>
        </w:rPr>
        <w:t>-</w:t>
      </w:r>
      <w:r w:rsidRPr="00B37F96">
        <w:rPr>
          <w:spacing w:val="-2"/>
        </w:rPr>
        <w:t>year $1.1 billion remote housing program to improve living conditions for people in remote communities. A key part of this program is the delivery of training and employment to people living in communities. The intention of this jobs program is to also create long</w:t>
      </w:r>
      <w:r w:rsidR="00166A78">
        <w:rPr>
          <w:spacing w:val="-2"/>
        </w:rPr>
        <w:noBreakHyphen/>
      </w:r>
      <w:r w:rsidRPr="00B37F96">
        <w:rPr>
          <w:spacing w:val="-2"/>
        </w:rPr>
        <w:t xml:space="preserve">term jobs based on the establishment and growth of locally based </w:t>
      </w:r>
      <w:r w:rsidR="00223629" w:rsidRPr="00B37F96">
        <w:rPr>
          <w:spacing w:val="-2"/>
        </w:rPr>
        <w:t xml:space="preserve">Aboriginal </w:t>
      </w:r>
      <w:r w:rsidRPr="00B37F96">
        <w:rPr>
          <w:spacing w:val="-2"/>
        </w:rPr>
        <w:t>Business Enterprises (</w:t>
      </w:r>
      <w:r w:rsidR="00223629" w:rsidRPr="00B37F96">
        <w:rPr>
          <w:spacing w:val="-2"/>
        </w:rPr>
        <w:t>A</w:t>
      </w:r>
      <w:r w:rsidRPr="00B37F96">
        <w:rPr>
          <w:spacing w:val="-2"/>
        </w:rPr>
        <w:t xml:space="preserve">BEs). </w:t>
      </w:r>
      <w:r w:rsidR="00223629" w:rsidRPr="00B37F96">
        <w:rPr>
          <w:spacing w:val="-2"/>
        </w:rPr>
        <w:t>A</w:t>
      </w:r>
      <w:r w:rsidRPr="00B37F96">
        <w:rPr>
          <w:spacing w:val="-2"/>
        </w:rPr>
        <w:t>BEs are being contracted to deliver work that contributes to the $1.1 billion remote housing program and ongoing tenancy management and maintenance contracts.</w:t>
      </w:r>
    </w:p>
    <w:p w14:paraId="5B366D2E" w14:textId="77777777" w:rsidR="003D26E7" w:rsidRPr="00B37F96" w:rsidRDefault="003D26E7" w:rsidP="003D26E7">
      <w:pPr>
        <w:rPr>
          <w:spacing w:val="-2"/>
        </w:rPr>
      </w:pPr>
    </w:p>
    <w:p w14:paraId="520768C8" w14:textId="3950BA29" w:rsidR="003D26E7" w:rsidRPr="00B37F96" w:rsidRDefault="003D26E7" w:rsidP="003D26E7">
      <w:pPr>
        <w:rPr>
          <w:caps/>
          <w:spacing w:val="-2"/>
        </w:rPr>
      </w:pPr>
      <w:r w:rsidRPr="00B37F96">
        <w:rPr>
          <w:spacing w:val="-2"/>
        </w:rPr>
        <w:lastRenderedPageBreak/>
        <w:t>The remote housing investment include</w:t>
      </w:r>
      <w:r w:rsidR="00223629" w:rsidRPr="00B37F96">
        <w:rPr>
          <w:spacing w:val="-2"/>
        </w:rPr>
        <w:t>s</w:t>
      </w:r>
      <w:r w:rsidRPr="00B37F96">
        <w:rPr>
          <w:spacing w:val="-2"/>
        </w:rPr>
        <w:t xml:space="preserve"> $10 million fast-tracked for the Room to Breathe program. This </w:t>
      </w:r>
      <w:r w:rsidR="00223629" w:rsidRPr="00B37F96">
        <w:rPr>
          <w:spacing w:val="-2"/>
        </w:rPr>
        <w:t>has</w:t>
      </w:r>
      <w:r w:rsidRPr="00B37F96">
        <w:rPr>
          <w:spacing w:val="-2"/>
        </w:rPr>
        <w:t xml:space="preserve"> involve</w:t>
      </w:r>
      <w:r w:rsidR="00223629" w:rsidRPr="00B37F96">
        <w:rPr>
          <w:spacing w:val="-2"/>
        </w:rPr>
        <w:t>d</w:t>
      </w:r>
      <w:r w:rsidRPr="00B37F96">
        <w:rPr>
          <w:spacing w:val="-2"/>
        </w:rPr>
        <w:t xml:space="preserve"> training and employing local workers to build additional living spaces onto existing houses to help reduce overcrowding in remote A</w:t>
      </w:r>
      <w:r w:rsidR="00C8266E">
        <w:rPr>
          <w:spacing w:val="-2"/>
        </w:rPr>
        <w:t>boriginal communities.</w:t>
      </w:r>
    </w:p>
    <w:p w14:paraId="014BB027" w14:textId="77777777" w:rsidR="003D26E7" w:rsidRPr="00B37F96" w:rsidRDefault="003D26E7" w:rsidP="003D26E7">
      <w:pPr>
        <w:rPr>
          <w:spacing w:val="-2"/>
        </w:rPr>
      </w:pPr>
    </w:p>
    <w:p w14:paraId="60690AE9" w14:textId="61D460C9" w:rsidR="00C8266E" w:rsidRDefault="00166A78" w:rsidP="00C8266E">
      <w:pPr>
        <w:rPr>
          <w:spacing w:val="-2"/>
        </w:rPr>
      </w:pPr>
      <w:r>
        <w:rPr>
          <w:spacing w:val="-2"/>
        </w:rPr>
        <w:t>Although i</w:t>
      </w:r>
      <w:r w:rsidR="00991C8E" w:rsidRPr="00B37F96">
        <w:rPr>
          <w:spacing w:val="-2"/>
        </w:rPr>
        <w:t>mplementation of the NDIS </w:t>
      </w:r>
      <w:r>
        <w:rPr>
          <w:spacing w:val="-2"/>
        </w:rPr>
        <w:t>is</w:t>
      </w:r>
      <w:r w:rsidRPr="00B37F96">
        <w:rPr>
          <w:spacing w:val="-2"/>
        </w:rPr>
        <w:t xml:space="preserve"> </w:t>
      </w:r>
      <w:r w:rsidR="00991C8E" w:rsidRPr="00B37F96">
        <w:rPr>
          <w:spacing w:val="-2"/>
        </w:rPr>
        <w:t>a significant challenge</w:t>
      </w:r>
      <w:r>
        <w:rPr>
          <w:spacing w:val="-2"/>
        </w:rPr>
        <w:t xml:space="preserve"> for the Territory, it </w:t>
      </w:r>
      <w:r w:rsidR="00480145">
        <w:rPr>
          <w:spacing w:val="-2"/>
        </w:rPr>
        <w:t>does</w:t>
      </w:r>
      <w:r w:rsidR="00480145" w:rsidRPr="00B37F96">
        <w:rPr>
          <w:spacing w:val="-2"/>
        </w:rPr>
        <w:t xml:space="preserve"> provide</w:t>
      </w:r>
      <w:r w:rsidR="00991C8E" w:rsidRPr="00B37F96">
        <w:rPr>
          <w:spacing w:val="-2"/>
        </w:rPr>
        <w:t xml:space="preserve"> significant opportunities for workforce, capability-building and business development in regional and </w:t>
      </w:r>
      <w:r w:rsidR="00C8266E">
        <w:rPr>
          <w:spacing w:val="-2"/>
        </w:rPr>
        <w:t>remote Aboriginal communities. W</w:t>
      </w:r>
      <w:r w:rsidR="00991C8E" w:rsidRPr="00B37F96">
        <w:rPr>
          <w:spacing w:val="-2"/>
        </w:rPr>
        <w:t>orkforce capability is a critical enabler for the success of the NDIS, particularly in regional, remote and Aboriginal communities. Building a suitably skille</w:t>
      </w:r>
      <w:r w:rsidR="00C8266E">
        <w:rPr>
          <w:spacing w:val="-2"/>
        </w:rPr>
        <w:t>d local workforce to support</w:t>
      </w:r>
      <w:r w:rsidR="00991C8E" w:rsidRPr="00B37F96">
        <w:rPr>
          <w:spacing w:val="-2"/>
        </w:rPr>
        <w:t xml:space="preserve"> NDIS</w:t>
      </w:r>
      <w:r w:rsidR="00C8266E">
        <w:rPr>
          <w:spacing w:val="-2"/>
        </w:rPr>
        <w:t> will</w:t>
      </w:r>
      <w:r w:rsidR="00991C8E" w:rsidRPr="00B37F96">
        <w:rPr>
          <w:spacing w:val="-2"/>
        </w:rPr>
        <w:t xml:space="preserve"> also build a transferable workforce pool for a range of human service sectors</w:t>
      </w:r>
      <w:r w:rsidR="00C8266E">
        <w:rPr>
          <w:spacing w:val="-2"/>
        </w:rPr>
        <w:t xml:space="preserve"> – </w:t>
      </w:r>
      <w:r w:rsidR="00991C8E" w:rsidRPr="00B37F96">
        <w:rPr>
          <w:spacing w:val="-2"/>
        </w:rPr>
        <w:t>including aged care and child protection</w:t>
      </w:r>
      <w:r w:rsidR="00C8266E">
        <w:rPr>
          <w:spacing w:val="-2"/>
        </w:rPr>
        <w:t xml:space="preserve"> – </w:t>
      </w:r>
      <w:r w:rsidR="00991C8E" w:rsidRPr="00B37F96">
        <w:rPr>
          <w:spacing w:val="-2"/>
        </w:rPr>
        <w:t>while boosting Aboriginal economic par</w:t>
      </w:r>
      <w:r w:rsidR="00E74412">
        <w:rPr>
          <w:spacing w:val="-2"/>
        </w:rPr>
        <w:t>ticipation in local communities</w:t>
      </w:r>
      <w:r w:rsidR="00991C8E" w:rsidRPr="00B37F96">
        <w:rPr>
          <w:spacing w:val="-2"/>
        </w:rPr>
        <w:t xml:space="preserve">. The Northern Territory </w:t>
      </w:r>
      <w:r w:rsidR="00E74412">
        <w:rPr>
          <w:spacing w:val="-2"/>
        </w:rPr>
        <w:t xml:space="preserve">has </w:t>
      </w:r>
      <w:r w:rsidR="00991C8E" w:rsidRPr="00B37F96">
        <w:rPr>
          <w:spacing w:val="-2"/>
        </w:rPr>
        <w:t>a tailored approach to implementing the NDIS</w:t>
      </w:r>
      <w:r w:rsidR="00E74412">
        <w:rPr>
          <w:spacing w:val="-2"/>
        </w:rPr>
        <w:t>,</w:t>
      </w:r>
      <w:r w:rsidR="00991C8E" w:rsidRPr="00B37F96">
        <w:rPr>
          <w:spacing w:val="-2"/>
        </w:rPr>
        <w:t xml:space="preserve"> with a strong focus on ensuring supports are in place to develop a sustainable market that provides access, choice and control, particularly for remote and regional Territorians. This i</w:t>
      </w:r>
      <w:r w:rsidR="00E74412">
        <w:rPr>
          <w:spacing w:val="-2"/>
        </w:rPr>
        <w:t>ncludes a range of</w:t>
      </w:r>
      <w:r w:rsidR="00991C8E" w:rsidRPr="00B37F96">
        <w:rPr>
          <w:spacing w:val="-2"/>
        </w:rPr>
        <w:t xml:space="preserve"> measures </w:t>
      </w:r>
      <w:r w:rsidR="00E74412">
        <w:rPr>
          <w:spacing w:val="-2"/>
        </w:rPr>
        <w:t xml:space="preserve">to improve </w:t>
      </w:r>
      <w:r w:rsidR="00991C8E" w:rsidRPr="00B37F96">
        <w:rPr>
          <w:spacing w:val="-2"/>
        </w:rPr>
        <w:t>Aboriginal economic participation and workforce training</w:t>
      </w:r>
      <w:r w:rsidR="00E74412">
        <w:rPr>
          <w:spacing w:val="-2"/>
        </w:rPr>
        <w:t>, local business development (</w:t>
      </w:r>
      <w:r w:rsidR="00991C8E" w:rsidRPr="00B37F96">
        <w:rPr>
          <w:spacing w:val="-2"/>
        </w:rPr>
        <w:t>through innovation grants, regional business development consultants, capacity building activitie</w:t>
      </w:r>
      <w:r w:rsidR="00E74412">
        <w:rPr>
          <w:spacing w:val="-2"/>
        </w:rPr>
        <w:t>s and training) and a community</w:t>
      </w:r>
      <w:r w:rsidR="00E74412">
        <w:rPr>
          <w:spacing w:val="-2"/>
        </w:rPr>
        <w:noBreakHyphen/>
        <w:t>by</w:t>
      </w:r>
      <w:r w:rsidR="00E74412">
        <w:rPr>
          <w:spacing w:val="-2"/>
        </w:rPr>
        <w:noBreakHyphen/>
      </w:r>
      <w:r w:rsidR="00C8266E">
        <w:rPr>
          <w:spacing w:val="-2"/>
        </w:rPr>
        <w:t>community planning approach.</w:t>
      </w:r>
    </w:p>
    <w:p w14:paraId="4C96B93A" w14:textId="77777777" w:rsidR="00C8266E" w:rsidRDefault="00C8266E" w:rsidP="00C8266E">
      <w:pPr>
        <w:rPr>
          <w:spacing w:val="-2"/>
        </w:rPr>
      </w:pPr>
    </w:p>
    <w:p w14:paraId="687F27FD" w14:textId="38D488F4" w:rsidR="00354892" w:rsidRPr="00480145" w:rsidRDefault="00354892" w:rsidP="00480145">
      <w:pPr>
        <w:pStyle w:val="Heading3"/>
      </w:pPr>
      <w:bookmarkStart w:id="26" w:name="_Toc490477159"/>
      <w:r w:rsidRPr="00480145">
        <w:t>Selecting providers of human services in remote Indigenous communities</w:t>
      </w:r>
      <w:bookmarkEnd w:id="26"/>
    </w:p>
    <w:p w14:paraId="712E0E24" w14:textId="7ED8EB69" w:rsidR="003D26E7" w:rsidRPr="00B37F96" w:rsidRDefault="003D26E7" w:rsidP="003D26E7">
      <w:pPr>
        <w:rPr>
          <w:spacing w:val="-2"/>
        </w:rPr>
      </w:pPr>
      <w:r w:rsidRPr="00B37F96">
        <w:rPr>
          <w:spacing w:val="-2"/>
        </w:rPr>
        <w:t>The NTG supports Draft Recommendation 8.4 that when selecting providers of human services in remote Aboriginal communities</w:t>
      </w:r>
      <w:r w:rsidR="00665285">
        <w:rPr>
          <w:spacing w:val="-2"/>
        </w:rPr>
        <w:t>,</w:t>
      </w:r>
      <w:r w:rsidRPr="00B37F96">
        <w:rPr>
          <w:spacing w:val="-2"/>
        </w:rPr>
        <w:t xml:space="preserve"> governments should take into account the attributes of providers that contribute to achieving the outcomes sought. This includes attributes around culturally appropriate service provision, community engagement and governance arrangements, collaboration and coordination with existing service providers and community bodies and employment and training of local and/or Aboriginal </w:t>
      </w:r>
      <w:r w:rsidR="006C595B">
        <w:rPr>
          <w:spacing w:val="-2"/>
        </w:rPr>
        <w:t>staff. For example, A</w:t>
      </w:r>
      <w:r w:rsidRPr="00B37F96">
        <w:rPr>
          <w:spacing w:val="-2"/>
        </w:rPr>
        <w:t>BEs contracted to support the delivery of housing, tenancy management and maintenance services in remote communities are able to deliver culturally appropriate service provision and promote employment, training and engagement of local staff.</w:t>
      </w:r>
    </w:p>
    <w:p w14:paraId="0EE1773D" w14:textId="77777777" w:rsidR="003D26E7" w:rsidRPr="00B37F96" w:rsidRDefault="003D26E7" w:rsidP="003D26E7">
      <w:pPr>
        <w:rPr>
          <w:spacing w:val="-2"/>
        </w:rPr>
      </w:pPr>
    </w:p>
    <w:p w14:paraId="7AA811E2" w14:textId="0C1202C7" w:rsidR="003D26E7" w:rsidRPr="00B37F96" w:rsidRDefault="003D26E7" w:rsidP="003D26E7">
      <w:pPr>
        <w:rPr>
          <w:spacing w:val="-2"/>
        </w:rPr>
      </w:pPr>
      <w:r w:rsidRPr="00B37F96">
        <w:rPr>
          <w:spacing w:val="-2"/>
        </w:rPr>
        <w:t>The NTG is currently developing a Community D</w:t>
      </w:r>
      <w:r w:rsidR="006C595B">
        <w:rPr>
          <w:spacing w:val="-2"/>
        </w:rPr>
        <w:t>evelopment Policy to ensure</w:t>
      </w:r>
      <w:r w:rsidRPr="00B37F96">
        <w:rPr>
          <w:spacing w:val="-2"/>
        </w:rPr>
        <w:t xml:space="preserve"> program</w:t>
      </w:r>
      <w:r w:rsidR="003122CA">
        <w:rPr>
          <w:spacing w:val="-2"/>
        </w:rPr>
        <w:t>s</w:t>
      </w:r>
      <w:r w:rsidRPr="00B37F96">
        <w:rPr>
          <w:spacing w:val="-2"/>
        </w:rPr>
        <w:t xml:space="preserve"> provide avenues for skill transfer and capacity develop</w:t>
      </w:r>
      <w:r w:rsidR="003122CA">
        <w:rPr>
          <w:spacing w:val="-2"/>
        </w:rPr>
        <w:t>ment for community members and A</w:t>
      </w:r>
      <w:r w:rsidRPr="00B37F96">
        <w:rPr>
          <w:spacing w:val="-2"/>
        </w:rPr>
        <w:t xml:space="preserve">BEs. A key component of this </w:t>
      </w:r>
      <w:r w:rsidR="003122CA" w:rsidRPr="00B37F96">
        <w:rPr>
          <w:spacing w:val="-2"/>
        </w:rPr>
        <w:t xml:space="preserve">place based </w:t>
      </w:r>
      <w:r w:rsidRPr="00B37F96">
        <w:rPr>
          <w:spacing w:val="-2"/>
        </w:rPr>
        <w:t xml:space="preserve">policy </w:t>
      </w:r>
      <w:r w:rsidR="003122CA">
        <w:rPr>
          <w:spacing w:val="-2"/>
        </w:rPr>
        <w:t>is</w:t>
      </w:r>
      <w:r w:rsidRPr="00B37F96">
        <w:rPr>
          <w:spacing w:val="-2"/>
        </w:rPr>
        <w:t xml:space="preserve"> participatory decision making</w:t>
      </w:r>
      <w:r w:rsidR="003122CA">
        <w:rPr>
          <w:spacing w:val="-2"/>
        </w:rPr>
        <w:t>, and</w:t>
      </w:r>
      <w:r w:rsidRPr="00B37F96">
        <w:rPr>
          <w:spacing w:val="-2"/>
        </w:rPr>
        <w:t xml:space="preserve"> </w:t>
      </w:r>
      <w:r w:rsidRPr="003122CA">
        <w:rPr>
          <w:spacing w:val="-4"/>
        </w:rPr>
        <w:t>understanding that each community is unique</w:t>
      </w:r>
      <w:r w:rsidR="003122CA" w:rsidRPr="003122CA">
        <w:rPr>
          <w:spacing w:val="-4"/>
        </w:rPr>
        <w:t xml:space="preserve"> in terms of </w:t>
      </w:r>
      <w:r w:rsidRPr="003122CA">
        <w:rPr>
          <w:spacing w:val="-4"/>
        </w:rPr>
        <w:t xml:space="preserve">governance </w:t>
      </w:r>
      <w:r w:rsidR="003122CA" w:rsidRPr="003122CA">
        <w:rPr>
          <w:spacing w:val="-4"/>
        </w:rPr>
        <w:t>and community</w:t>
      </w:r>
      <w:r w:rsidR="003122CA">
        <w:rPr>
          <w:spacing w:val="-2"/>
        </w:rPr>
        <w:t xml:space="preserve"> capacity</w:t>
      </w:r>
      <w:r w:rsidRPr="00B37F96">
        <w:rPr>
          <w:spacing w:val="-2"/>
        </w:rPr>
        <w:t>.</w:t>
      </w:r>
    </w:p>
    <w:p w14:paraId="1CC30A2F" w14:textId="77777777" w:rsidR="003D26E7" w:rsidRPr="00B37F96" w:rsidRDefault="003D26E7" w:rsidP="003D26E7">
      <w:pPr>
        <w:rPr>
          <w:spacing w:val="-2"/>
        </w:rPr>
      </w:pPr>
    </w:p>
    <w:p w14:paraId="016A62F4" w14:textId="4E4710BF" w:rsidR="003D26E7" w:rsidRPr="00B37F96" w:rsidRDefault="003D26E7" w:rsidP="003D26E7">
      <w:pPr>
        <w:rPr>
          <w:rFonts w:eastAsia="Times New Roman"/>
          <w:spacing w:val="-2"/>
        </w:rPr>
      </w:pPr>
      <w:r w:rsidRPr="00B37F96">
        <w:rPr>
          <w:spacing w:val="-2"/>
        </w:rPr>
        <w:t xml:space="preserve">Recommended provider selection processes are broadly consistent with the direction of </w:t>
      </w:r>
      <w:r w:rsidR="003122CA">
        <w:rPr>
          <w:spacing w:val="-2"/>
        </w:rPr>
        <w:t>NTG reforms</w:t>
      </w:r>
      <w:r w:rsidRPr="00B37F96">
        <w:rPr>
          <w:spacing w:val="-2"/>
        </w:rPr>
        <w:t xml:space="preserve">. For example, under the Buy Local Plan NTG agencies must allocate a minimum weighting </w:t>
      </w:r>
      <w:r w:rsidR="003122CA">
        <w:rPr>
          <w:spacing w:val="-2"/>
        </w:rPr>
        <w:t>of 30</w:t>
      </w:r>
      <w:r w:rsidR="00665285">
        <w:rPr>
          <w:spacing w:val="-2"/>
        </w:rPr>
        <w:t xml:space="preserve"> per cent</w:t>
      </w:r>
      <w:r w:rsidR="003122CA">
        <w:rPr>
          <w:spacing w:val="-2"/>
        </w:rPr>
        <w:t xml:space="preserve"> to the Local Content </w:t>
      </w:r>
      <w:r w:rsidRPr="00B37F96">
        <w:rPr>
          <w:spacing w:val="-2"/>
        </w:rPr>
        <w:t xml:space="preserve">criteria, which </w:t>
      </w:r>
      <w:r w:rsidRPr="003122CA">
        <w:rPr>
          <w:spacing w:val="-4"/>
        </w:rPr>
        <w:t>includes Aboriginal development opportunities</w:t>
      </w:r>
      <w:r w:rsidRPr="00B37F96">
        <w:rPr>
          <w:spacing w:val="-2"/>
        </w:rPr>
        <w:t>.</w:t>
      </w:r>
      <w:r w:rsidRPr="00B37F96">
        <w:rPr>
          <w:rFonts w:ascii="Lato" w:eastAsia="Times New Roman" w:hAnsi="Lato"/>
          <w:spacing w:val="-2"/>
        </w:rPr>
        <w:t xml:space="preserve"> </w:t>
      </w:r>
      <w:r w:rsidR="003122CA">
        <w:rPr>
          <w:rFonts w:eastAsia="Times New Roman"/>
          <w:spacing w:val="-2"/>
        </w:rPr>
        <w:t xml:space="preserve">Buy Local </w:t>
      </w:r>
      <w:r w:rsidRPr="00B37F96">
        <w:rPr>
          <w:rFonts w:eastAsia="Times New Roman"/>
          <w:spacing w:val="-2"/>
        </w:rPr>
        <w:t>typically include</w:t>
      </w:r>
      <w:r w:rsidR="00166A78">
        <w:rPr>
          <w:rFonts w:eastAsia="Times New Roman"/>
          <w:spacing w:val="-2"/>
        </w:rPr>
        <w:t>s</w:t>
      </w:r>
      <w:r w:rsidR="003122CA">
        <w:rPr>
          <w:rFonts w:eastAsia="Times New Roman"/>
          <w:spacing w:val="-2"/>
        </w:rPr>
        <w:t xml:space="preserve"> assessments of local</w:t>
      </w:r>
      <w:r w:rsidRPr="00B37F96">
        <w:rPr>
          <w:rFonts w:eastAsia="Times New Roman"/>
          <w:spacing w:val="-2"/>
        </w:rPr>
        <w:t>:</w:t>
      </w:r>
    </w:p>
    <w:p w14:paraId="6962CEC1" w14:textId="7E27EA34" w:rsidR="003D26E7" w:rsidRPr="00B37F96" w:rsidRDefault="003D26E7"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employment</w:t>
      </w:r>
      <w:r w:rsidR="003122CA">
        <w:rPr>
          <w:spacing w:val="-2"/>
        </w:rPr>
        <w:t>;</w:t>
      </w:r>
    </w:p>
    <w:p w14:paraId="0EA2B116" w14:textId="5C50D735" w:rsidR="003D26E7" w:rsidRPr="00B37F96" w:rsidRDefault="003D26E7"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up-skilling (including apprenticeships, formal and informal training)</w:t>
      </w:r>
      <w:r w:rsidR="003122CA">
        <w:rPr>
          <w:spacing w:val="-2"/>
        </w:rPr>
        <w:t>;</w:t>
      </w:r>
    </w:p>
    <w:p w14:paraId="1270584F" w14:textId="245CF215" w:rsidR="003D26E7" w:rsidRPr="00B37F96" w:rsidRDefault="003D26E7"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local industry participation (as contractors and part of the supply chain)</w:t>
      </w:r>
      <w:r w:rsidR="003122CA">
        <w:rPr>
          <w:spacing w:val="-2"/>
        </w:rPr>
        <w:t>;</w:t>
      </w:r>
    </w:p>
    <w:p w14:paraId="7AF894D4" w14:textId="1CBFE3B3" w:rsidR="003D26E7" w:rsidRPr="00B37F96" w:rsidRDefault="003D26E7"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local industry development initiatives</w:t>
      </w:r>
      <w:r w:rsidR="003122CA">
        <w:rPr>
          <w:spacing w:val="-2"/>
        </w:rPr>
        <w:t>;</w:t>
      </w:r>
    </w:p>
    <w:p w14:paraId="2D7289D2" w14:textId="088F1C3A" w:rsidR="003D26E7" w:rsidRPr="00B37F96" w:rsidRDefault="003D26E7"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Aboriginal development initiatives</w:t>
      </w:r>
      <w:r w:rsidR="003122CA">
        <w:rPr>
          <w:spacing w:val="-2"/>
        </w:rPr>
        <w:t>; and</w:t>
      </w:r>
    </w:p>
    <w:p w14:paraId="1E1DFA0F" w14:textId="77777777" w:rsidR="003D26E7" w:rsidRPr="00B37F96" w:rsidRDefault="003D26E7" w:rsidP="009036A6">
      <w:pPr>
        <w:pStyle w:val="ListParagraph"/>
        <w:numPr>
          <w:ilvl w:val="0"/>
          <w:numId w:val="2"/>
        </w:numPr>
        <w:tabs>
          <w:tab w:val="clear" w:pos="1134"/>
        </w:tabs>
        <w:spacing w:after="0" w:line="240" w:lineRule="auto"/>
        <w:ind w:left="425" w:hanging="425"/>
        <w:contextualSpacing w:val="0"/>
        <w:rPr>
          <w:spacing w:val="-2"/>
        </w:rPr>
      </w:pPr>
      <w:r w:rsidRPr="00B37F96">
        <w:rPr>
          <w:spacing w:val="-2"/>
        </w:rPr>
        <w:t>regional development initiatives.</w:t>
      </w:r>
    </w:p>
    <w:p w14:paraId="7F0ED0D6" w14:textId="77777777" w:rsidR="003D26E7" w:rsidRPr="00B37F96" w:rsidRDefault="003D26E7" w:rsidP="003D26E7">
      <w:pPr>
        <w:rPr>
          <w:spacing w:val="-2"/>
        </w:rPr>
      </w:pPr>
    </w:p>
    <w:p w14:paraId="766E9534" w14:textId="77777777" w:rsidR="00354892" w:rsidRPr="00B37F96" w:rsidRDefault="00354892" w:rsidP="00DC69A4">
      <w:pPr>
        <w:pStyle w:val="Heading3"/>
        <w:rPr>
          <w:spacing w:val="-2"/>
        </w:rPr>
      </w:pPr>
      <w:bookmarkStart w:id="27" w:name="_Toc490477160"/>
      <w:r w:rsidRPr="00B37F96">
        <w:rPr>
          <w:spacing w:val="-2"/>
        </w:rPr>
        <w:t>Better systems for service delivery in remote Indigenous communities</w:t>
      </w:r>
      <w:bookmarkEnd w:id="27"/>
    </w:p>
    <w:p w14:paraId="0B5EE8A6" w14:textId="7C454F6D" w:rsidR="003D26E7" w:rsidRPr="00B37F96" w:rsidRDefault="003D26E7" w:rsidP="003D26E7">
      <w:pPr>
        <w:rPr>
          <w:spacing w:val="-2"/>
        </w:rPr>
      </w:pPr>
      <w:r w:rsidRPr="00B37F96">
        <w:rPr>
          <w:spacing w:val="-2"/>
        </w:rPr>
        <w:t>The NTG supports Draft Recommendation 8.5 on better systems to underpin service delivery in remote Aboriginal communities. The NTG </w:t>
      </w:r>
      <w:r w:rsidR="003122CA">
        <w:rPr>
          <w:spacing w:val="-2"/>
        </w:rPr>
        <w:t xml:space="preserve">is </w:t>
      </w:r>
      <w:r w:rsidRPr="00B37F96">
        <w:rPr>
          <w:spacing w:val="-2"/>
        </w:rPr>
        <w:t>redeveloping and expanding the BushTel website (</w:t>
      </w:r>
      <w:hyperlink r:id="rId22" w:history="1">
        <w:r w:rsidR="00FC409C" w:rsidRPr="00B37F96">
          <w:rPr>
            <w:rStyle w:val="Hyperlink"/>
            <w:spacing w:val="-2"/>
          </w:rPr>
          <w:t>www.bushtel.nt.gov.au</w:t>
        </w:r>
      </w:hyperlink>
      <w:r w:rsidRPr="00B37F96">
        <w:rPr>
          <w:spacing w:val="-2"/>
        </w:rPr>
        <w:t xml:space="preserve">) to improve </w:t>
      </w:r>
      <w:r w:rsidR="003122CA">
        <w:rPr>
          <w:spacing w:val="-2"/>
        </w:rPr>
        <w:t xml:space="preserve">information on </w:t>
      </w:r>
      <w:r w:rsidRPr="00B37F96">
        <w:rPr>
          <w:spacing w:val="-2"/>
        </w:rPr>
        <w:t>remote Aboriginal communit</w:t>
      </w:r>
      <w:r w:rsidR="003122CA">
        <w:rPr>
          <w:spacing w:val="-2"/>
        </w:rPr>
        <w:t xml:space="preserve">ies </w:t>
      </w:r>
      <w:r w:rsidRPr="00B37F96">
        <w:rPr>
          <w:spacing w:val="-2"/>
        </w:rPr>
        <w:t>being available in a central location. The first stage of the BushTel website was redeveloped and launched on 19 January 2017, with expanded community profiles detailing com</w:t>
      </w:r>
      <w:r w:rsidR="003122CA">
        <w:rPr>
          <w:spacing w:val="-2"/>
        </w:rPr>
        <w:t>mon services and access,</w:t>
      </w:r>
      <w:r w:rsidRPr="00B37F96">
        <w:rPr>
          <w:spacing w:val="-2"/>
        </w:rPr>
        <w:t xml:space="preserve"> population </w:t>
      </w:r>
      <w:r w:rsidR="003122CA">
        <w:rPr>
          <w:spacing w:val="-2"/>
        </w:rPr>
        <w:t xml:space="preserve">data </w:t>
      </w:r>
      <w:r w:rsidRPr="00B37F96">
        <w:rPr>
          <w:spacing w:val="-2"/>
        </w:rPr>
        <w:t xml:space="preserve">and </w:t>
      </w:r>
      <w:r w:rsidR="003122CA">
        <w:rPr>
          <w:spacing w:val="-2"/>
        </w:rPr>
        <w:t>information on</w:t>
      </w:r>
      <w:r w:rsidRPr="00B37F96">
        <w:rPr>
          <w:spacing w:val="-2"/>
        </w:rPr>
        <w:t xml:space="preserve"> events that impact on service delivery and engagement.</w:t>
      </w:r>
    </w:p>
    <w:p w14:paraId="45D298A2" w14:textId="77777777" w:rsidR="003D26E7" w:rsidRPr="00B37F96" w:rsidRDefault="003D26E7" w:rsidP="003D26E7">
      <w:pPr>
        <w:rPr>
          <w:spacing w:val="-2"/>
        </w:rPr>
      </w:pPr>
    </w:p>
    <w:p w14:paraId="2E2EF8E6" w14:textId="2D66C7AB" w:rsidR="00354892" w:rsidRPr="00B37F96" w:rsidRDefault="003D26E7" w:rsidP="0094378B">
      <w:pPr>
        <w:rPr>
          <w:spacing w:val="-2"/>
        </w:rPr>
      </w:pPr>
      <w:r w:rsidRPr="00B37F96">
        <w:rPr>
          <w:spacing w:val="-2"/>
        </w:rPr>
        <w:t>The NTG suggests the Commission considers the important role of effective interpreting services when engaging with remote Aboriginal communities. Interpreting services are important for many Aboriginal Territorians to fully understand and use human services such as housing, health and social services. Almost 35 000 Territorians speak one of 35 </w:t>
      </w:r>
      <w:r w:rsidR="0094378B">
        <w:rPr>
          <w:spacing w:val="-2"/>
        </w:rPr>
        <w:t xml:space="preserve">main </w:t>
      </w:r>
      <w:r w:rsidRPr="00B37F96">
        <w:rPr>
          <w:spacing w:val="-2"/>
        </w:rPr>
        <w:t>Aboriginal languages</w:t>
      </w:r>
      <w:r w:rsidR="0094378B">
        <w:rPr>
          <w:spacing w:val="-2"/>
        </w:rPr>
        <w:t>, and</w:t>
      </w:r>
      <w:r w:rsidRPr="00B37F96">
        <w:rPr>
          <w:spacing w:val="-2"/>
        </w:rPr>
        <w:t xml:space="preserve"> effective interpretation</w:t>
      </w:r>
      <w:r w:rsidR="00166A78">
        <w:rPr>
          <w:spacing w:val="-2"/>
        </w:rPr>
        <w:t xml:space="preserve"> and translation</w:t>
      </w:r>
      <w:r w:rsidRPr="00B37F96">
        <w:rPr>
          <w:spacing w:val="-2"/>
        </w:rPr>
        <w:t xml:space="preserve"> is essential</w:t>
      </w:r>
      <w:r w:rsidR="0094378B">
        <w:rPr>
          <w:spacing w:val="-2"/>
        </w:rPr>
        <w:t xml:space="preserve"> to maintain meaningful two</w:t>
      </w:r>
      <w:r w:rsidR="0094378B">
        <w:rPr>
          <w:spacing w:val="-2"/>
        </w:rPr>
        <w:noBreakHyphen/>
      </w:r>
      <w:r w:rsidRPr="00B37F96">
        <w:rPr>
          <w:spacing w:val="-2"/>
        </w:rPr>
        <w:t>way communication with governments an</w:t>
      </w:r>
      <w:r w:rsidR="0094378B">
        <w:rPr>
          <w:spacing w:val="-2"/>
        </w:rPr>
        <w:t>d service providers. The NTG committed</w:t>
      </w:r>
      <w:r w:rsidRPr="00B37F96">
        <w:rPr>
          <w:spacing w:val="-2"/>
        </w:rPr>
        <w:t xml:space="preserve"> an additional $1 million </w:t>
      </w:r>
      <w:r w:rsidR="0094378B">
        <w:rPr>
          <w:spacing w:val="-2"/>
        </w:rPr>
        <w:t xml:space="preserve">in its </w:t>
      </w:r>
      <w:r w:rsidRPr="00B37F96">
        <w:rPr>
          <w:spacing w:val="-2"/>
        </w:rPr>
        <w:t>2017</w:t>
      </w:r>
      <w:r w:rsidR="0094378B">
        <w:rPr>
          <w:spacing w:val="-2"/>
        </w:rPr>
        <w:noBreakHyphen/>
        <w:t xml:space="preserve">18 Budget for </w:t>
      </w:r>
      <w:r w:rsidR="00FC409C" w:rsidRPr="00B37F96">
        <w:rPr>
          <w:spacing w:val="-2"/>
        </w:rPr>
        <w:t>Aboriginal Interpreter Services</w:t>
      </w:r>
      <w:r w:rsidR="0094378B">
        <w:rPr>
          <w:spacing w:val="-2"/>
        </w:rPr>
        <w:t>.</w:t>
      </w:r>
    </w:p>
    <w:p w14:paraId="5B0F5264" w14:textId="77777777" w:rsidR="00D50172" w:rsidRPr="003122CA" w:rsidRDefault="00D50172">
      <w:pPr>
        <w:tabs>
          <w:tab w:val="clear" w:pos="1134"/>
        </w:tabs>
        <w:spacing w:before="0" w:after="200" w:line="276" w:lineRule="auto"/>
        <w:rPr>
          <w:spacing w:val="-2"/>
        </w:rPr>
      </w:pPr>
      <w:r w:rsidRPr="00B37F96">
        <w:rPr>
          <w:spacing w:val="-2"/>
        </w:rPr>
        <w:br w:type="page"/>
      </w:r>
    </w:p>
    <w:p w14:paraId="75D8A110" w14:textId="77777777" w:rsidR="00DB6BB2" w:rsidRPr="00B37F96" w:rsidRDefault="00354892" w:rsidP="00051841">
      <w:pPr>
        <w:pStyle w:val="Heading2"/>
        <w:rPr>
          <w:spacing w:val="-2"/>
        </w:rPr>
      </w:pPr>
      <w:bookmarkStart w:id="28" w:name="_Toc490477161"/>
      <w:r w:rsidRPr="00B37F96">
        <w:rPr>
          <w:spacing w:val="-2"/>
        </w:rPr>
        <w:lastRenderedPageBreak/>
        <w:t>Public hospital services</w:t>
      </w:r>
      <w:bookmarkEnd w:id="28"/>
    </w:p>
    <w:p w14:paraId="01D55E4A" w14:textId="7BF08C15" w:rsidR="00133959" w:rsidRPr="00B37F96" w:rsidRDefault="00133959" w:rsidP="00133959">
      <w:pPr>
        <w:rPr>
          <w:spacing w:val="-2"/>
        </w:rPr>
      </w:pPr>
      <w:r w:rsidRPr="00B37F96">
        <w:rPr>
          <w:spacing w:val="-2"/>
        </w:rPr>
        <w:t>Draft Recommendations 9.1 and 9.2 aim to increase patient choice with respect to who treats them by making it clearer that, when referred to a specialist, they have the option to choose the public outpatient clinic or private specialist they attend for their initial consultation. The NTG supports further consideration of these recommendation</w:t>
      </w:r>
      <w:r w:rsidR="00613DCD">
        <w:rPr>
          <w:spacing w:val="-2"/>
        </w:rPr>
        <w:t>s by the Commonwealth</w:t>
      </w:r>
      <w:r w:rsidRPr="00B37F96">
        <w:rPr>
          <w:spacing w:val="-2"/>
        </w:rPr>
        <w:t xml:space="preserve"> in consultation wit</w:t>
      </w:r>
      <w:r w:rsidR="00613DCD">
        <w:rPr>
          <w:spacing w:val="-2"/>
        </w:rPr>
        <w:t>h relevant professional bodies, noting</w:t>
      </w:r>
      <w:r w:rsidRPr="00B37F96">
        <w:rPr>
          <w:spacing w:val="-2"/>
        </w:rPr>
        <w:t xml:space="preserve"> that in the </w:t>
      </w:r>
      <w:r w:rsidR="00D6220E">
        <w:rPr>
          <w:spacing w:val="-2"/>
        </w:rPr>
        <w:t xml:space="preserve">Northern Territory, </w:t>
      </w:r>
      <w:r w:rsidRPr="00B37F96">
        <w:rPr>
          <w:spacing w:val="-2"/>
        </w:rPr>
        <w:t>the thin market in specialist services will mean that patients will have limited choice of specialists. Where it is clinically appropriate</w:t>
      </w:r>
      <w:r w:rsidR="00D6220E">
        <w:rPr>
          <w:spacing w:val="-2"/>
        </w:rPr>
        <w:t>,</w:t>
      </w:r>
      <w:r w:rsidRPr="00B37F96">
        <w:rPr>
          <w:spacing w:val="-2"/>
        </w:rPr>
        <w:t xml:space="preserve"> patients will be referred to specialists in locations other than the patient</w:t>
      </w:r>
      <w:r w:rsidR="00D6220E">
        <w:rPr>
          <w:spacing w:val="-2"/>
        </w:rPr>
        <w:t>’</w:t>
      </w:r>
      <w:r w:rsidRPr="00B37F96">
        <w:rPr>
          <w:spacing w:val="-2"/>
        </w:rPr>
        <w:t>s local community or town</w:t>
      </w:r>
      <w:r w:rsidR="00613DCD">
        <w:rPr>
          <w:spacing w:val="-2"/>
        </w:rPr>
        <w:t>,</w:t>
      </w:r>
      <w:r w:rsidRPr="00B37F96">
        <w:rPr>
          <w:spacing w:val="-2"/>
        </w:rPr>
        <w:t xml:space="preserve"> including interstate.</w:t>
      </w:r>
    </w:p>
    <w:p w14:paraId="132950CA" w14:textId="77777777" w:rsidR="00133959" w:rsidRPr="00B37F96" w:rsidRDefault="00133959" w:rsidP="00133959">
      <w:pPr>
        <w:rPr>
          <w:spacing w:val="-2"/>
        </w:rPr>
      </w:pPr>
    </w:p>
    <w:p w14:paraId="330D1500" w14:textId="301D2144" w:rsidR="00133959" w:rsidRPr="00B37F96" w:rsidRDefault="006544BE" w:rsidP="00133959">
      <w:pPr>
        <w:rPr>
          <w:spacing w:val="-2"/>
        </w:rPr>
      </w:pPr>
      <w:r w:rsidRPr="00B37F96">
        <w:rPr>
          <w:spacing w:val="-2"/>
        </w:rPr>
        <w:t>The NTG </w:t>
      </w:r>
      <w:r w:rsidR="00133959" w:rsidRPr="00B37F96">
        <w:rPr>
          <w:spacing w:val="-2"/>
        </w:rPr>
        <w:t xml:space="preserve">notes that the five hospitals in the </w:t>
      </w:r>
      <w:r w:rsidR="00665285">
        <w:rPr>
          <w:spacing w:val="-2"/>
        </w:rPr>
        <w:t>Northern Territory</w:t>
      </w:r>
      <w:r w:rsidR="00133959" w:rsidRPr="00B37F96">
        <w:rPr>
          <w:spacing w:val="-2"/>
        </w:rPr>
        <w:t> are geographically dispersed</w:t>
      </w:r>
      <w:r w:rsidR="00665285">
        <w:rPr>
          <w:spacing w:val="-2"/>
        </w:rPr>
        <w:t>,</w:t>
      </w:r>
      <w:r w:rsidR="00133959" w:rsidRPr="00B37F96">
        <w:rPr>
          <w:spacing w:val="-2"/>
        </w:rPr>
        <w:t xml:space="preserve"> with each separated </w:t>
      </w:r>
      <w:r w:rsidRPr="00B37F96">
        <w:rPr>
          <w:spacing w:val="-2"/>
        </w:rPr>
        <w:t xml:space="preserve">by </w:t>
      </w:r>
      <w:r w:rsidR="00D6220E">
        <w:rPr>
          <w:spacing w:val="-2"/>
        </w:rPr>
        <w:t xml:space="preserve">distances of </w:t>
      </w:r>
      <w:r w:rsidR="00133959" w:rsidRPr="00B37F96">
        <w:rPr>
          <w:spacing w:val="-2"/>
        </w:rPr>
        <w:t>300km to 650km. Currently patients are treated at the closest outpatient clinic with the necessary clinical services. Under Draft Recommendation 9.4, if patients chose not to be treated at the closest clinic, travel subsidies would be based on the cost of getting to the nearest provider and the patient would be responsible for any additional cost. This proposal would require detailed consideration to assess potential implications such as cross</w:t>
      </w:r>
      <w:r w:rsidR="00133959" w:rsidRPr="00B37F96">
        <w:rPr>
          <w:spacing w:val="-2"/>
        </w:rPr>
        <w:noBreakHyphen/>
        <w:t xml:space="preserve">border transfers. In the </w:t>
      </w:r>
      <w:r w:rsidR="00BB1AB3">
        <w:rPr>
          <w:spacing w:val="-2"/>
        </w:rPr>
        <w:t xml:space="preserve">Northern Territory </w:t>
      </w:r>
      <w:r w:rsidR="00133959" w:rsidRPr="00B37F96">
        <w:rPr>
          <w:spacing w:val="-2"/>
        </w:rPr>
        <w:t>context</w:t>
      </w:r>
      <w:r w:rsidR="00D6220E">
        <w:rPr>
          <w:spacing w:val="-2"/>
        </w:rPr>
        <w:t>,</w:t>
      </w:r>
      <w:r w:rsidR="00133959" w:rsidRPr="00B37F96">
        <w:rPr>
          <w:spacing w:val="-2"/>
        </w:rPr>
        <w:t xml:space="preserve"> high levels of population cross</w:t>
      </w:r>
      <w:r w:rsidR="00133959" w:rsidRPr="00B37F96">
        <w:rPr>
          <w:spacing w:val="-2"/>
        </w:rPr>
        <w:noBreakHyphen/>
        <w:t>border</w:t>
      </w:r>
      <w:r w:rsidR="00133959" w:rsidRPr="00B37F96">
        <w:rPr>
          <w:spacing w:val="-2"/>
        </w:rPr>
        <w:noBreakHyphen/>
        <w:t>transience may undermine the sustainability of local services</w:t>
      </w:r>
      <w:r w:rsidR="00D6220E">
        <w:rPr>
          <w:spacing w:val="-2"/>
        </w:rPr>
        <w:t>,</w:t>
      </w:r>
      <w:r w:rsidRPr="00B37F96">
        <w:rPr>
          <w:spacing w:val="-2"/>
        </w:rPr>
        <w:t xml:space="preserve"> creating a two tier system that is most likely to further disadvantage those who are already disadvantaged and experience barriers to access</w:t>
      </w:r>
      <w:r w:rsidR="00133959" w:rsidRPr="00B37F96">
        <w:rPr>
          <w:spacing w:val="-2"/>
        </w:rPr>
        <w:t>.</w:t>
      </w:r>
    </w:p>
    <w:p w14:paraId="17EB5CA5" w14:textId="77777777" w:rsidR="00133959" w:rsidRPr="00B37F96" w:rsidRDefault="00133959" w:rsidP="00133959">
      <w:pPr>
        <w:rPr>
          <w:spacing w:val="-2"/>
        </w:rPr>
      </w:pPr>
    </w:p>
    <w:p w14:paraId="3B4DEFE5" w14:textId="7BA05ED8" w:rsidR="00133959" w:rsidRPr="00B37F96" w:rsidRDefault="00133959" w:rsidP="00133959">
      <w:pPr>
        <w:rPr>
          <w:spacing w:val="-2"/>
        </w:rPr>
      </w:pPr>
      <w:r w:rsidRPr="00B37F96">
        <w:rPr>
          <w:spacing w:val="-2"/>
        </w:rPr>
        <w:t xml:space="preserve">Opportunities for provision of new health care </w:t>
      </w:r>
      <w:r w:rsidR="00D6220E">
        <w:rPr>
          <w:spacing w:val="-2"/>
        </w:rPr>
        <w:t xml:space="preserve">models – in </w:t>
      </w:r>
      <w:r w:rsidRPr="00B37F96">
        <w:rPr>
          <w:spacing w:val="-2"/>
        </w:rPr>
        <w:t>partnership with the Commonwealth</w:t>
      </w:r>
      <w:r w:rsidR="00613DCD">
        <w:rPr>
          <w:spacing w:val="-2"/>
        </w:rPr>
        <w:t> </w:t>
      </w:r>
      <w:r w:rsidRPr="00B37F96">
        <w:rPr>
          <w:spacing w:val="-2"/>
        </w:rPr>
        <w:t>(i</w:t>
      </w:r>
      <w:r w:rsidR="00613DCD">
        <w:rPr>
          <w:spacing w:val="-2"/>
        </w:rPr>
        <w:t xml:space="preserve">.e. in the </w:t>
      </w:r>
      <w:r w:rsidR="00D6220E">
        <w:rPr>
          <w:spacing w:val="-2"/>
        </w:rPr>
        <w:t xml:space="preserve">aged care sector) – may </w:t>
      </w:r>
      <w:r w:rsidRPr="00B37F96">
        <w:rPr>
          <w:spacing w:val="-2"/>
        </w:rPr>
        <w:t>offer increased</w:t>
      </w:r>
      <w:r w:rsidR="00613DCD">
        <w:rPr>
          <w:spacing w:val="-2"/>
        </w:rPr>
        <w:t xml:space="preserve"> choice and improved outcomes, but</w:t>
      </w:r>
      <w:r w:rsidRPr="00B37F96">
        <w:rPr>
          <w:spacing w:val="-2"/>
        </w:rPr>
        <w:t xml:space="preserve"> w</w:t>
      </w:r>
      <w:r w:rsidR="00613DCD">
        <w:rPr>
          <w:spacing w:val="-2"/>
        </w:rPr>
        <w:t xml:space="preserve">ill require consideration of </w:t>
      </w:r>
      <w:r w:rsidR="00665285">
        <w:rPr>
          <w:spacing w:val="-2"/>
        </w:rPr>
        <w:t>Territory</w:t>
      </w:r>
      <w:r w:rsidR="00613DCD">
        <w:rPr>
          <w:spacing w:val="-2"/>
        </w:rPr>
        <w:t> </w:t>
      </w:r>
      <w:r w:rsidRPr="00B37F96">
        <w:rPr>
          <w:spacing w:val="-2"/>
        </w:rPr>
        <w:t xml:space="preserve">geography and demographics. </w:t>
      </w:r>
    </w:p>
    <w:p w14:paraId="37F908BF" w14:textId="77777777" w:rsidR="00133959" w:rsidRPr="00B37F96" w:rsidRDefault="00133959" w:rsidP="00133959">
      <w:pPr>
        <w:rPr>
          <w:spacing w:val="-2"/>
        </w:rPr>
      </w:pPr>
    </w:p>
    <w:p w14:paraId="67D15815" w14:textId="77777777"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29" w:name="_Toc490477162"/>
      <w:r w:rsidRPr="00B37F96">
        <w:rPr>
          <w:i/>
          <w:color w:val="E36C0A" w:themeColor="accent6" w:themeShade="BF"/>
          <w:spacing w:val="-2"/>
          <w:szCs w:val="24"/>
        </w:rPr>
        <w:t>Information to support patient choice and performance improvement in hospitals</w:t>
      </w:r>
      <w:bookmarkEnd w:id="29"/>
    </w:p>
    <w:p w14:paraId="2889ED9F" w14:textId="5745853E" w:rsidR="00354892" w:rsidRPr="00B37F96" w:rsidRDefault="00133959" w:rsidP="005B5753">
      <w:pPr>
        <w:rPr>
          <w:spacing w:val="-2"/>
        </w:rPr>
      </w:pPr>
      <w:r w:rsidRPr="00B37F96">
        <w:rPr>
          <w:spacing w:val="-2"/>
        </w:rPr>
        <w:t>The NTG gives in-principle support to Draft Recommendations 10.1 and 10.2 regarding expanding public reporting and reforming the MyHospitals website. These recommendations will require detailed consideration at the Australian Health Ministers Advisory Council (AHMAC) or a similar forum.</w:t>
      </w:r>
    </w:p>
    <w:p w14:paraId="4E6DB97D" w14:textId="77777777" w:rsidR="003D26E7" w:rsidRPr="005B5753" w:rsidRDefault="003D26E7" w:rsidP="005B5753">
      <w:pPr>
        <w:pStyle w:val="CGCBulletlist"/>
        <w:rPr>
          <w:spacing w:val="-2"/>
        </w:rPr>
      </w:pPr>
      <w:r w:rsidRPr="00B37F96">
        <w:rPr>
          <w:spacing w:val="-2"/>
        </w:rPr>
        <w:br w:type="page"/>
      </w:r>
    </w:p>
    <w:p w14:paraId="6271CA3F" w14:textId="77777777" w:rsidR="00DB6BB2" w:rsidRPr="00B37F96" w:rsidRDefault="00354892" w:rsidP="00051841">
      <w:pPr>
        <w:pStyle w:val="Heading2"/>
        <w:rPr>
          <w:spacing w:val="-2"/>
        </w:rPr>
      </w:pPr>
      <w:bookmarkStart w:id="30" w:name="_Toc490477163"/>
      <w:r w:rsidRPr="00B37F96">
        <w:rPr>
          <w:spacing w:val="-2"/>
        </w:rPr>
        <w:lastRenderedPageBreak/>
        <w:t>Public dental services</w:t>
      </w:r>
      <w:bookmarkEnd w:id="30"/>
    </w:p>
    <w:p w14:paraId="395C4176" w14:textId="77777777"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31" w:name="_Toc490477164"/>
      <w:r w:rsidRPr="00B37F96">
        <w:rPr>
          <w:i/>
          <w:color w:val="E36C0A" w:themeColor="accent6" w:themeShade="BF"/>
          <w:spacing w:val="-2"/>
          <w:szCs w:val="24"/>
        </w:rPr>
        <w:t>The role of integrated health policy</w:t>
      </w:r>
      <w:bookmarkEnd w:id="31"/>
    </w:p>
    <w:p w14:paraId="23794FCE" w14:textId="5742B6C2" w:rsidR="00133959" w:rsidRPr="00B37F96" w:rsidRDefault="00133959" w:rsidP="00133959">
      <w:pPr>
        <w:rPr>
          <w:rFonts w:cstheme="minorHAnsi"/>
          <w:spacing w:val="-2"/>
          <w:lang w:val="en-GB"/>
        </w:rPr>
      </w:pPr>
      <w:r w:rsidRPr="00B37F96">
        <w:rPr>
          <w:rFonts w:cstheme="minorHAnsi"/>
          <w:spacing w:val="-2"/>
          <w:lang w:val="en-GB"/>
        </w:rPr>
        <w:t xml:space="preserve">The Commission references the significant costs placed on individuals, governments, communities and the health system arising from oral disease, noting that many of these costs are avoidable with timely access to care. The Draft Report has not captured the need to </w:t>
      </w:r>
      <w:r w:rsidRPr="005B5753">
        <w:rPr>
          <w:rFonts w:cstheme="minorHAnsi"/>
          <w:spacing w:val="-4"/>
          <w:lang w:val="en-GB"/>
        </w:rPr>
        <w:t xml:space="preserve">integrate oral health </w:t>
      </w:r>
      <w:r w:rsidR="005B5753" w:rsidRPr="005B5753">
        <w:rPr>
          <w:rFonts w:cstheme="minorHAnsi"/>
          <w:spacing w:val="-4"/>
          <w:lang w:val="en-GB"/>
        </w:rPr>
        <w:t>care</w:t>
      </w:r>
      <w:r w:rsidRPr="005B5753">
        <w:rPr>
          <w:rFonts w:cstheme="minorHAnsi"/>
          <w:spacing w:val="-4"/>
          <w:lang w:val="en-GB"/>
        </w:rPr>
        <w:t xml:space="preserve"> and promotion with broader </w:t>
      </w:r>
      <w:r w:rsidRPr="00B37F96">
        <w:rPr>
          <w:rFonts w:cstheme="minorHAnsi"/>
          <w:spacing w:val="-2"/>
          <w:lang w:val="en-GB"/>
        </w:rPr>
        <w:t>str</w:t>
      </w:r>
      <w:r w:rsidR="005B5753">
        <w:rPr>
          <w:rFonts w:cstheme="minorHAnsi"/>
          <w:spacing w:val="-2"/>
          <w:lang w:val="en-GB"/>
        </w:rPr>
        <w:t>ategic health reform. T</w:t>
      </w:r>
      <w:r w:rsidRPr="00B37F96">
        <w:rPr>
          <w:rFonts w:cstheme="minorHAnsi"/>
          <w:spacing w:val="-2"/>
          <w:lang w:val="en-GB"/>
        </w:rPr>
        <w:t xml:space="preserve">he risk factors for oral disease are shared by Australia’s </w:t>
      </w:r>
      <w:r w:rsidR="005B5753">
        <w:rPr>
          <w:rFonts w:cstheme="minorHAnsi"/>
          <w:spacing w:val="-2"/>
          <w:lang w:val="en-GB"/>
        </w:rPr>
        <w:t>most prevalent chronic diseases </w:t>
      </w:r>
      <w:r w:rsidRPr="00B37F96">
        <w:rPr>
          <w:rFonts w:cstheme="minorHAnsi"/>
          <w:spacing w:val="-2"/>
          <w:lang w:val="en-GB"/>
        </w:rPr>
        <w:t>(cardiovascular disease, obesity and tobacco</w:t>
      </w:r>
      <w:r w:rsidRPr="00B37F96">
        <w:rPr>
          <w:rFonts w:cstheme="minorHAnsi"/>
          <w:spacing w:val="-2"/>
          <w:lang w:val="en-GB"/>
        </w:rPr>
        <w:noBreakHyphen/>
        <w:t xml:space="preserve">related illnesses), </w:t>
      </w:r>
      <w:r w:rsidR="005B5753">
        <w:rPr>
          <w:rFonts w:cstheme="minorHAnsi"/>
          <w:spacing w:val="-2"/>
          <w:lang w:val="en-GB"/>
        </w:rPr>
        <w:t xml:space="preserve">and </w:t>
      </w:r>
      <w:r w:rsidRPr="00B37F96">
        <w:rPr>
          <w:rFonts w:cstheme="minorHAnsi"/>
          <w:spacing w:val="-2"/>
          <w:lang w:val="en-GB"/>
        </w:rPr>
        <w:t xml:space="preserve">there are </w:t>
      </w:r>
      <w:r w:rsidR="005B5753">
        <w:rPr>
          <w:rFonts w:cstheme="minorHAnsi"/>
          <w:spacing w:val="-2"/>
          <w:lang w:val="en-GB"/>
        </w:rPr>
        <w:t xml:space="preserve">likely to be </w:t>
      </w:r>
      <w:r w:rsidRPr="00B37F96">
        <w:rPr>
          <w:rFonts w:cstheme="minorHAnsi"/>
          <w:spacing w:val="-2"/>
          <w:lang w:val="en-GB"/>
        </w:rPr>
        <w:t xml:space="preserve">significant efficiency </w:t>
      </w:r>
      <w:r w:rsidR="005B5753">
        <w:rPr>
          <w:rFonts w:cstheme="minorHAnsi"/>
          <w:spacing w:val="-2"/>
          <w:lang w:val="en-GB"/>
        </w:rPr>
        <w:t>gains from</w:t>
      </w:r>
      <w:r w:rsidRPr="00B37F96">
        <w:rPr>
          <w:rFonts w:cstheme="minorHAnsi"/>
          <w:spacing w:val="-2"/>
          <w:lang w:val="en-GB"/>
        </w:rPr>
        <w:t xml:space="preserve"> shared approaches which target Australia’s most prevalent non</w:t>
      </w:r>
      <w:r w:rsidRPr="00B37F96">
        <w:rPr>
          <w:rFonts w:cstheme="minorHAnsi"/>
          <w:spacing w:val="-2"/>
          <w:lang w:val="en-GB"/>
        </w:rPr>
        <w:noBreakHyphen/>
        <w:t>communicable diseases, such as nationally consistent preventive health policy. Many lessons could be lea</w:t>
      </w:r>
      <w:r w:rsidR="005B5753">
        <w:rPr>
          <w:rFonts w:cstheme="minorHAnsi"/>
          <w:spacing w:val="-2"/>
          <w:lang w:val="en-GB"/>
        </w:rPr>
        <w:t xml:space="preserve">rned from South Australia’s </w:t>
      </w:r>
      <w:r w:rsidRPr="005B5753">
        <w:rPr>
          <w:rFonts w:cstheme="minorHAnsi"/>
          <w:i/>
          <w:spacing w:val="-2"/>
          <w:lang w:val="en-GB"/>
        </w:rPr>
        <w:t>Health in All Policies</w:t>
      </w:r>
      <w:r w:rsidRPr="00B37F96">
        <w:rPr>
          <w:rFonts w:cstheme="minorHAnsi"/>
          <w:spacing w:val="-2"/>
          <w:lang w:val="en-GB"/>
        </w:rPr>
        <w:t xml:space="preserve"> approach.</w:t>
      </w:r>
    </w:p>
    <w:p w14:paraId="7FF7593D" w14:textId="77777777" w:rsidR="00133959" w:rsidRPr="00B37F96" w:rsidRDefault="00133959" w:rsidP="00133959">
      <w:pPr>
        <w:rPr>
          <w:spacing w:val="-2"/>
        </w:rPr>
      </w:pPr>
    </w:p>
    <w:p w14:paraId="4F277D55" w14:textId="2EC55118"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32" w:name="_Toc490477165"/>
      <w:r w:rsidRPr="00B37F96">
        <w:rPr>
          <w:i/>
          <w:color w:val="E36C0A" w:themeColor="accent6" w:themeShade="BF"/>
          <w:spacing w:val="-2"/>
          <w:szCs w:val="24"/>
        </w:rPr>
        <w:t xml:space="preserve">Eligibility for </w:t>
      </w:r>
      <w:r w:rsidR="00193022">
        <w:rPr>
          <w:i/>
          <w:color w:val="E36C0A" w:themeColor="accent6" w:themeShade="BF"/>
          <w:spacing w:val="-2"/>
          <w:szCs w:val="24"/>
        </w:rPr>
        <w:t>p</w:t>
      </w:r>
      <w:r w:rsidRPr="00B37F96">
        <w:rPr>
          <w:i/>
          <w:color w:val="E36C0A" w:themeColor="accent6" w:themeShade="BF"/>
          <w:spacing w:val="-2"/>
          <w:szCs w:val="24"/>
        </w:rPr>
        <w:t xml:space="preserve">ublic </w:t>
      </w:r>
      <w:r w:rsidR="00193022">
        <w:rPr>
          <w:i/>
          <w:color w:val="E36C0A" w:themeColor="accent6" w:themeShade="BF"/>
          <w:spacing w:val="-2"/>
          <w:szCs w:val="24"/>
        </w:rPr>
        <w:t>d</w:t>
      </w:r>
      <w:r w:rsidR="00193022" w:rsidRPr="00B37F96">
        <w:rPr>
          <w:i/>
          <w:color w:val="E36C0A" w:themeColor="accent6" w:themeShade="BF"/>
          <w:spacing w:val="-2"/>
          <w:szCs w:val="24"/>
        </w:rPr>
        <w:t xml:space="preserve">ental </w:t>
      </w:r>
      <w:r w:rsidR="00193022">
        <w:rPr>
          <w:i/>
          <w:color w:val="E36C0A" w:themeColor="accent6" w:themeShade="BF"/>
          <w:spacing w:val="-2"/>
          <w:szCs w:val="24"/>
        </w:rPr>
        <w:t>s</w:t>
      </w:r>
      <w:r w:rsidR="00193022" w:rsidRPr="00B37F96">
        <w:rPr>
          <w:i/>
          <w:color w:val="E36C0A" w:themeColor="accent6" w:themeShade="BF"/>
          <w:spacing w:val="-2"/>
          <w:szCs w:val="24"/>
        </w:rPr>
        <w:t>ervices</w:t>
      </w:r>
      <w:bookmarkEnd w:id="32"/>
    </w:p>
    <w:p w14:paraId="39000F9A" w14:textId="44B03B70" w:rsidR="00133959" w:rsidRPr="00B37F96" w:rsidRDefault="00133959" w:rsidP="00133959">
      <w:pPr>
        <w:rPr>
          <w:rFonts w:cstheme="minorHAnsi"/>
          <w:spacing w:val="-2"/>
          <w:lang w:val="en-GB"/>
        </w:rPr>
      </w:pPr>
      <w:r w:rsidRPr="00B37F96">
        <w:rPr>
          <w:rFonts w:cstheme="minorHAnsi"/>
          <w:spacing w:val="-2"/>
          <w:lang w:val="en-GB"/>
        </w:rPr>
        <w:t>Footno</w:t>
      </w:r>
      <w:r w:rsidR="005B5753">
        <w:rPr>
          <w:rFonts w:cstheme="minorHAnsi"/>
          <w:spacing w:val="-2"/>
          <w:lang w:val="en-GB"/>
        </w:rPr>
        <w:t>te 1 on</w:t>
      </w:r>
      <w:r w:rsidRPr="00B37F96">
        <w:rPr>
          <w:rFonts w:cstheme="minorHAnsi"/>
          <w:spacing w:val="-2"/>
          <w:lang w:val="en-GB"/>
        </w:rPr>
        <w:t xml:space="preserve"> page 314 notes that eligibility for public dental services for adults is determined </w:t>
      </w:r>
      <w:r w:rsidR="00724530">
        <w:rPr>
          <w:rFonts w:cstheme="minorHAnsi"/>
          <w:spacing w:val="-2"/>
          <w:lang w:val="en-GB"/>
        </w:rPr>
        <w:t>by</w:t>
      </w:r>
      <w:r w:rsidRPr="00B37F96">
        <w:rPr>
          <w:rFonts w:cstheme="minorHAnsi"/>
          <w:spacing w:val="-2"/>
          <w:lang w:val="en-GB"/>
        </w:rPr>
        <w:t xml:space="preserve"> holding a concession card. It is important to note that eligibility criteria, while reflective of disadvantaged populations, are not exclusively based on Concession Health Care Cards. In the </w:t>
      </w:r>
      <w:r w:rsidR="00193022">
        <w:rPr>
          <w:rFonts w:cstheme="minorHAnsi"/>
          <w:spacing w:val="-2"/>
          <w:lang w:val="en-GB"/>
        </w:rPr>
        <w:t xml:space="preserve">Northern Territory, </w:t>
      </w:r>
      <w:r w:rsidRPr="00B37F96">
        <w:rPr>
          <w:rFonts w:cstheme="minorHAnsi"/>
          <w:spacing w:val="-2"/>
          <w:lang w:val="en-GB"/>
        </w:rPr>
        <w:t>eligibility for public dental services includes all children, all remote residents living 100km or more from a private dental practice</w:t>
      </w:r>
      <w:r w:rsidR="00193022">
        <w:rPr>
          <w:rFonts w:cstheme="minorHAnsi"/>
          <w:spacing w:val="-2"/>
          <w:lang w:val="en-GB"/>
        </w:rPr>
        <w:t>,</w:t>
      </w:r>
      <w:r w:rsidRPr="00B37F96">
        <w:rPr>
          <w:rFonts w:cstheme="minorHAnsi"/>
          <w:spacing w:val="-2"/>
          <w:lang w:val="en-GB"/>
        </w:rPr>
        <w:t xml:space="preserve"> and identified special needs groups (such as rheumatic heart disease and cancer patients, amongst others). This is reflective of the degree of community need, comparative social disadvantage and disease burden of these populations.</w:t>
      </w:r>
    </w:p>
    <w:p w14:paraId="52636C19" w14:textId="77777777" w:rsidR="00133959" w:rsidRPr="00B37F96" w:rsidRDefault="00133959" w:rsidP="00133959">
      <w:pPr>
        <w:rPr>
          <w:rFonts w:cstheme="minorHAnsi"/>
          <w:spacing w:val="-2"/>
          <w:lang w:val="en-GB"/>
        </w:rPr>
      </w:pPr>
    </w:p>
    <w:p w14:paraId="4B36DD2A" w14:textId="42EA9C93" w:rsidR="00133959" w:rsidRPr="00B37F96" w:rsidRDefault="00133959" w:rsidP="00133959">
      <w:pPr>
        <w:rPr>
          <w:rFonts w:cstheme="minorHAnsi"/>
          <w:spacing w:val="-2"/>
          <w:lang w:val="en-GB"/>
        </w:rPr>
      </w:pPr>
      <w:r w:rsidRPr="00B37F96">
        <w:rPr>
          <w:rFonts w:cstheme="minorHAnsi"/>
          <w:spacing w:val="-2"/>
          <w:lang w:val="en-GB"/>
        </w:rPr>
        <w:t>This is consistent with the priority populations identified by the National Oral Health Plan. Unfortunately, this is not recognised in the context of funding, where the Commonwealth has used concession card holder numbers to apportio</w:t>
      </w:r>
      <w:r w:rsidR="00724530">
        <w:rPr>
          <w:rFonts w:cstheme="minorHAnsi"/>
          <w:spacing w:val="-2"/>
          <w:lang w:val="en-GB"/>
        </w:rPr>
        <w:t>n funding. It is suggested the final r</w:t>
      </w:r>
      <w:r w:rsidRPr="00B37F96">
        <w:rPr>
          <w:rFonts w:cstheme="minorHAnsi"/>
          <w:spacing w:val="-2"/>
          <w:lang w:val="en-GB"/>
        </w:rPr>
        <w:t xml:space="preserve">eport outlines the need for socially-equitable eligibility criteria </w:t>
      </w:r>
      <w:r w:rsidR="00724530">
        <w:rPr>
          <w:rFonts w:cstheme="minorHAnsi"/>
          <w:spacing w:val="-2"/>
          <w:lang w:val="en-GB"/>
        </w:rPr>
        <w:t xml:space="preserve">and funding </w:t>
      </w:r>
      <w:r w:rsidRPr="00B37F96">
        <w:rPr>
          <w:rFonts w:cstheme="minorHAnsi"/>
          <w:spacing w:val="-2"/>
          <w:lang w:val="en-GB"/>
        </w:rPr>
        <w:t>allocation formulae.</w:t>
      </w:r>
    </w:p>
    <w:p w14:paraId="12CF652F" w14:textId="77777777" w:rsidR="00133959" w:rsidRPr="00B37F96" w:rsidRDefault="00133959" w:rsidP="00133959">
      <w:pPr>
        <w:rPr>
          <w:spacing w:val="-2"/>
        </w:rPr>
      </w:pPr>
    </w:p>
    <w:p w14:paraId="39697625" w14:textId="77777777"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33" w:name="_Toc490477166"/>
      <w:r w:rsidRPr="00B37F96">
        <w:rPr>
          <w:i/>
          <w:color w:val="E36C0A" w:themeColor="accent6" w:themeShade="BF"/>
          <w:spacing w:val="-2"/>
          <w:szCs w:val="24"/>
        </w:rPr>
        <w:t>Workforce</w:t>
      </w:r>
      <w:bookmarkEnd w:id="33"/>
    </w:p>
    <w:p w14:paraId="1DE63A84" w14:textId="00F8885E" w:rsidR="00133959" w:rsidRPr="00B37F96" w:rsidRDefault="00133959" w:rsidP="00133959">
      <w:pPr>
        <w:rPr>
          <w:rFonts w:cstheme="minorHAnsi"/>
          <w:spacing w:val="-2"/>
          <w:lang w:val="en-GB"/>
        </w:rPr>
      </w:pPr>
      <w:r w:rsidRPr="00B37F96">
        <w:rPr>
          <w:rFonts w:cstheme="minorHAnsi"/>
          <w:spacing w:val="-2"/>
          <w:lang w:val="en-GB"/>
        </w:rPr>
        <w:t>A significant proportion of the public sector dental workforce is engaged under short</w:t>
      </w:r>
      <w:r w:rsidR="00665285">
        <w:rPr>
          <w:rFonts w:cstheme="minorHAnsi"/>
          <w:spacing w:val="-2"/>
          <w:lang w:val="en-GB"/>
        </w:rPr>
        <w:t>-</w:t>
      </w:r>
      <w:r w:rsidR="00724530">
        <w:rPr>
          <w:rFonts w:cstheme="minorHAnsi"/>
          <w:spacing w:val="-2"/>
          <w:lang w:val="en-GB"/>
        </w:rPr>
        <w:t xml:space="preserve">term contractual arrangements </w:t>
      </w:r>
      <w:r w:rsidRPr="00B37F96">
        <w:rPr>
          <w:rFonts w:cstheme="minorHAnsi"/>
          <w:spacing w:val="-2"/>
          <w:lang w:val="en-GB"/>
        </w:rPr>
        <w:t>by virtue of Commonwealth funding</w:t>
      </w:r>
      <w:r w:rsidR="00724530">
        <w:rPr>
          <w:rFonts w:cstheme="minorHAnsi"/>
          <w:spacing w:val="-2"/>
          <w:lang w:val="en-GB"/>
        </w:rPr>
        <w:t xml:space="preserve"> arrangements, which </w:t>
      </w:r>
      <w:r w:rsidRPr="00B37F96">
        <w:rPr>
          <w:rFonts w:cstheme="minorHAnsi"/>
          <w:spacing w:val="-2"/>
          <w:lang w:val="en-GB"/>
        </w:rPr>
        <w:t>has meant that expansion of the dental workforce – particularly in regional and remote locations where there is minimal private sector representation – is proportional to funding cycle length</w:t>
      </w:r>
      <w:r w:rsidR="00724530">
        <w:rPr>
          <w:rFonts w:cstheme="minorHAnsi"/>
          <w:spacing w:val="-2"/>
          <w:lang w:val="en-GB"/>
        </w:rPr>
        <w:t xml:space="preserve">. This has </w:t>
      </w:r>
      <w:r w:rsidR="0067707B" w:rsidRPr="00B37F96">
        <w:rPr>
          <w:rFonts w:cstheme="minorHAnsi"/>
          <w:spacing w:val="-2"/>
          <w:lang w:val="en-GB"/>
        </w:rPr>
        <w:t>limit</w:t>
      </w:r>
      <w:r w:rsidR="00724530">
        <w:rPr>
          <w:rFonts w:cstheme="minorHAnsi"/>
          <w:spacing w:val="-2"/>
          <w:lang w:val="en-GB"/>
        </w:rPr>
        <w:t>ed</w:t>
      </w:r>
      <w:r w:rsidR="0067707B" w:rsidRPr="00B37F96">
        <w:rPr>
          <w:rFonts w:cstheme="minorHAnsi"/>
          <w:spacing w:val="-2"/>
          <w:lang w:val="en-GB"/>
        </w:rPr>
        <w:t xml:space="preserve"> the ability to recruit and retain professionals</w:t>
      </w:r>
      <w:r w:rsidR="00724530">
        <w:rPr>
          <w:rFonts w:cstheme="minorHAnsi"/>
          <w:spacing w:val="-2"/>
          <w:lang w:val="en-GB"/>
        </w:rPr>
        <w:t xml:space="preserve"> over the long term.</w:t>
      </w:r>
    </w:p>
    <w:p w14:paraId="245FA1F6" w14:textId="77777777" w:rsidR="00133959" w:rsidRPr="00B37F96" w:rsidRDefault="00133959" w:rsidP="00133959">
      <w:pPr>
        <w:rPr>
          <w:spacing w:val="-2"/>
        </w:rPr>
      </w:pPr>
    </w:p>
    <w:p w14:paraId="03D52334" w14:textId="77777777"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34" w:name="_Toc490477167"/>
      <w:r w:rsidRPr="00B37F96">
        <w:rPr>
          <w:i/>
          <w:color w:val="E36C0A" w:themeColor="accent6" w:themeShade="BF"/>
          <w:spacing w:val="-2"/>
          <w:szCs w:val="24"/>
        </w:rPr>
        <w:t>Targeted preventative care</w:t>
      </w:r>
      <w:bookmarkEnd w:id="34"/>
    </w:p>
    <w:p w14:paraId="73E0C64E" w14:textId="6E81B6AE" w:rsidR="00133959" w:rsidRPr="00B37F96" w:rsidRDefault="00133959" w:rsidP="00133959">
      <w:pPr>
        <w:rPr>
          <w:rFonts w:cstheme="minorHAnsi"/>
          <w:spacing w:val="-2"/>
        </w:rPr>
      </w:pPr>
      <w:r w:rsidRPr="00B37F96">
        <w:rPr>
          <w:rFonts w:cstheme="minorHAnsi"/>
          <w:spacing w:val="-2"/>
        </w:rPr>
        <w:t>The discussion at pages 322-23 on the benefits of preventive care to avoid the larger costs of oral disease h</w:t>
      </w:r>
      <w:r w:rsidR="00724530">
        <w:rPr>
          <w:rFonts w:cstheme="minorHAnsi"/>
          <w:spacing w:val="-2"/>
        </w:rPr>
        <w:t>as missed a crucial point –</w:t>
      </w:r>
      <w:r w:rsidRPr="00B37F96">
        <w:rPr>
          <w:rFonts w:cstheme="minorHAnsi"/>
          <w:spacing w:val="-2"/>
        </w:rPr>
        <w:t xml:space="preserve"> the most disadvantaged populations who are most likely to be affected by oral disease are the least likely to access preventative care and are more likely to report delaying treatment when symptoms occur. Many of these populations do not have ready access to dental services, or report significant barriers to accessing c</w:t>
      </w:r>
      <w:r w:rsidR="00724530">
        <w:rPr>
          <w:rFonts w:cstheme="minorHAnsi"/>
          <w:spacing w:val="-2"/>
        </w:rPr>
        <w:t>are. It would be useful if the final r</w:t>
      </w:r>
      <w:r w:rsidRPr="00B37F96">
        <w:rPr>
          <w:rFonts w:cstheme="minorHAnsi"/>
          <w:spacing w:val="-2"/>
        </w:rPr>
        <w:t>eport includes commentary on the role of integrated heal</w:t>
      </w:r>
      <w:r w:rsidR="00724530">
        <w:rPr>
          <w:rFonts w:cstheme="minorHAnsi"/>
          <w:spacing w:val="-2"/>
        </w:rPr>
        <w:t>th policy in targeting these at</w:t>
      </w:r>
      <w:r w:rsidR="00724530">
        <w:rPr>
          <w:rFonts w:cstheme="minorHAnsi"/>
          <w:spacing w:val="-2"/>
        </w:rPr>
        <w:noBreakHyphen/>
      </w:r>
      <w:r w:rsidRPr="00B37F96">
        <w:rPr>
          <w:rFonts w:cstheme="minorHAnsi"/>
          <w:spacing w:val="-2"/>
        </w:rPr>
        <w:t xml:space="preserve">risk populations through broader health promotion. Targeted and integrated investment in general health promotion and chronic disease prevention for the </w:t>
      </w:r>
      <w:r w:rsidRPr="00B37F96">
        <w:rPr>
          <w:rFonts w:cstheme="minorHAnsi"/>
          <w:spacing w:val="-2"/>
        </w:rPr>
        <w:lastRenderedPageBreak/>
        <w:t>most vulnerable populations should be included in the r</w:t>
      </w:r>
      <w:r w:rsidR="00665285">
        <w:rPr>
          <w:rFonts w:cstheme="minorHAnsi"/>
          <w:spacing w:val="-2"/>
        </w:rPr>
        <w:t>eport’s commentary on the ‘</w:t>
      </w:r>
      <w:r w:rsidRPr="00B37F96">
        <w:rPr>
          <w:rFonts w:cstheme="minorHAnsi"/>
          <w:spacing w:val="-2"/>
        </w:rPr>
        <w:t>considered a</w:t>
      </w:r>
      <w:r w:rsidR="00665285">
        <w:rPr>
          <w:rFonts w:cstheme="minorHAnsi"/>
          <w:spacing w:val="-2"/>
        </w:rPr>
        <w:t>nd long term approach to reform’</w:t>
      </w:r>
      <w:r w:rsidRPr="00B37F96">
        <w:rPr>
          <w:rFonts w:cstheme="minorHAnsi"/>
          <w:spacing w:val="-2"/>
        </w:rPr>
        <w:t>.</w:t>
      </w:r>
    </w:p>
    <w:p w14:paraId="11248A9C" w14:textId="77777777" w:rsidR="00133959" w:rsidRPr="00B37F96" w:rsidRDefault="00133959" w:rsidP="00133959">
      <w:pPr>
        <w:rPr>
          <w:spacing w:val="-2"/>
        </w:rPr>
      </w:pPr>
    </w:p>
    <w:p w14:paraId="41E64848" w14:textId="77777777"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35" w:name="_Toc490477168"/>
      <w:r w:rsidRPr="00B37F96">
        <w:rPr>
          <w:i/>
          <w:color w:val="E36C0A" w:themeColor="accent6" w:themeShade="BF"/>
          <w:spacing w:val="-2"/>
          <w:szCs w:val="24"/>
        </w:rPr>
        <w:t>Outcomes frameworks</w:t>
      </w:r>
      <w:bookmarkEnd w:id="35"/>
    </w:p>
    <w:p w14:paraId="6C79383F" w14:textId="6BDDE2B1" w:rsidR="00133959" w:rsidRPr="00B37F96" w:rsidRDefault="00133959" w:rsidP="00133959">
      <w:pPr>
        <w:rPr>
          <w:spacing w:val="-2"/>
        </w:rPr>
      </w:pPr>
      <w:r w:rsidRPr="00B37F96">
        <w:rPr>
          <w:spacing w:val="-2"/>
        </w:rPr>
        <w:t>The NTG supports Draft Recommendation 11.2 regarding establishing an outcomes framework for public dental services. The NTG welcomes this opportunity, and looks forward to assessing the work done by Dental Health Services Victoria.</w:t>
      </w:r>
      <w:r w:rsidRPr="00B37F96">
        <w:rPr>
          <w:rFonts w:cstheme="minorHAnsi"/>
          <w:spacing w:val="-2"/>
        </w:rPr>
        <w:t xml:space="preserve"> This Draft Recommendation currently places the responsibility solely on </w:t>
      </w:r>
      <w:r w:rsidR="00193022">
        <w:rPr>
          <w:rFonts w:cstheme="minorHAnsi"/>
          <w:spacing w:val="-2"/>
        </w:rPr>
        <w:t>s</w:t>
      </w:r>
      <w:r w:rsidR="00193022" w:rsidRPr="00B37F96">
        <w:rPr>
          <w:rFonts w:cstheme="minorHAnsi"/>
          <w:spacing w:val="-2"/>
        </w:rPr>
        <w:t xml:space="preserve">tate </w:t>
      </w:r>
      <w:r w:rsidRPr="00B37F96">
        <w:rPr>
          <w:rFonts w:cstheme="minorHAnsi"/>
          <w:spacing w:val="-2"/>
        </w:rPr>
        <w:t xml:space="preserve">and </w:t>
      </w:r>
      <w:r w:rsidR="00193022">
        <w:rPr>
          <w:rFonts w:cstheme="minorHAnsi"/>
          <w:spacing w:val="-2"/>
        </w:rPr>
        <w:t>t</w:t>
      </w:r>
      <w:r w:rsidR="00193022" w:rsidRPr="00B37F96">
        <w:rPr>
          <w:rFonts w:cstheme="minorHAnsi"/>
          <w:spacing w:val="-2"/>
        </w:rPr>
        <w:t xml:space="preserve">erritory </w:t>
      </w:r>
      <w:r w:rsidRPr="00B37F96">
        <w:rPr>
          <w:rFonts w:cstheme="minorHAnsi"/>
          <w:spacing w:val="-2"/>
        </w:rPr>
        <w:t>governments to commit to outcome-focused report</w:t>
      </w:r>
      <w:r w:rsidR="00724530">
        <w:rPr>
          <w:rFonts w:cstheme="minorHAnsi"/>
          <w:spacing w:val="-2"/>
        </w:rPr>
        <w:t>ing. The Commonwealth</w:t>
      </w:r>
      <w:r w:rsidRPr="00B37F96">
        <w:rPr>
          <w:rFonts w:cstheme="minorHAnsi"/>
          <w:spacing w:val="-2"/>
        </w:rPr>
        <w:t>’s responsibilities s</w:t>
      </w:r>
      <w:r w:rsidR="00724530">
        <w:rPr>
          <w:rFonts w:cstheme="minorHAnsi"/>
          <w:spacing w:val="-2"/>
        </w:rPr>
        <w:t>hould be similarly articulated.</w:t>
      </w:r>
    </w:p>
    <w:p w14:paraId="016FCB6A" w14:textId="77777777" w:rsidR="00133959" w:rsidRPr="00B37F96" w:rsidRDefault="00133959" w:rsidP="00133959">
      <w:pPr>
        <w:rPr>
          <w:rFonts w:cstheme="minorHAnsi"/>
          <w:spacing w:val="-2"/>
          <w:lang w:val="en-GB"/>
        </w:rPr>
      </w:pPr>
    </w:p>
    <w:p w14:paraId="53C4FD49" w14:textId="3A4E9B69" w:rsidR="00133959" w:rsidRPr="00B37F96" w:rsidRDefault="00133959" w:rsidP="00133959">
      <w:pPr>
        <w:rPr>
          <w:rFonts w:cstheme="minorHAnsi"/>
          <w:spacing w:val="-2"/>
          <w:lang w:val="en-GB"/>
        </w:rPr>
      </w:pPr>
      <w:r w:rsidRPr="00B37F96">
        <w:rPr>
          <w:rFonts w:cstheme="minorHAnsi"/>
          <w:spacing w:val="-2"/>
          <w:lang w:val="en-GB"/>
        </w:rPr>
        <w:t>To effectively support decision</w:t>
      </w:r>
      <w:r w:rsidR="00193022">
        <w:rPr>
          <w:rFonts w:cstheme="minorHAnsi"/>
          <w:spacing w:val="-2"/>
          <w:lang w:val="en-GB"/>
        </w:rPr>
        <w:t xml:space="preserve"> </w:t>
      </w:r>
      <w:r w:rsidRPr="00B37F96">
        <w:rPr>
          <w:rFonts w:cstheme="minorHAnsi"/>
          <w:spacing w:val="-2"/>
          <w:lang w:val="en-GB"/>
        </w:rPr>
        <w:t>makers</w:t>
      </w:r>
      <w:r w:rsidR="00193022">
        <w:rPr>
          <w:rFonts w:cstheme="minorHAnsi"/>
          <w:spacing w:val="-2"/>
          <w:lang w:val="en-GB"/>
        </w:rPr>
        <w:t>,</w:t>
      </w:r>
      <w:r w:rsidRPr="00B37F96">
        <w:rPr>
          <w:rFonts w:cstheme="minorHAnsi"/>
          <w:spacing w:val="-2"/>
          <w:lang w:val="en-GB"/>
        </w:rPr>
        <w:t xml:space="preserve"> the outcome-based indicator framework could consider how outcome indicators could be used in cost-benefit analyses. </w:t>
      </w:r>
      <w:r w:rsidR="00193022">
        <w:rPr>
          <w:rFonts w:cstheme="minorHAnsi"/>
          <w:spacing w:val="-2"/>
          <w:lang w:val="en-GB"/>
        </w:rPr>
        <w:t xml:space="preserve">Public dental services need to be regarded as an investment rather than only a cost. </w:t>
      </w:r>
      <w:r w:rsidRPr="00B37F96">
        <w:rPr>
          <w:rFonts w:cstheme="minorHAnsi"/>
          <w:spacing w:val="-2"/>
          <w:lang w:val="en-GB"/>
        </w:rPr>
        <w:t>This is important in the context of vulnerable populations, in order to consider the relative value in providing general and preventative dental services. This is particularly relevant to remote populations where service delivery costs can be substantial, but health and social benefits provided to disadvantaged individuals and communities are often overlooked in modelling.</w:t>
      </w:r>
    </w:p>
    <w:p w14:paraId="4735B695" w14:textId="77777777" w:rsidR="00133959" w:rsidRPr="00B37F96" w:rsidRDefault="00133959" w:rsidP="00133959">
      <w:pPr>
        <w:rPr>
          <w:spacing w:val="-2"/>
        </w:rPr>
      </w:pPr>
    </w:p>
    <w:p w14:paraId="72AA3C88" w14:textId="74ACCF67"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36" w:name="_Toc490477169"/>
      <w:r w:rsidRPr="00B37F96">
        <w:rPr>
          <w:i/>
          <w:color w:val="E36C0A" w:themeColor="accent6" w:themeShade="BF"/>
          <w:spacing w:val="-2"/>
          <w:szCs w:val="24"/>
        </w:rPr>
        <w:t>Consumer</w:t>
      </w:r>
      <w:r w:rsidR="00193022">
        <w:rPr>
          <w:i/>
          <w:color w:val="E36C0A" w:themeColor="accent6" w:themeShade="BF"/>
          <w:spacing w:val="-2"/>
          <w:szCs w:val="24"/>
        </w:rPr>
        <w:t>-</w:t>
      </w:r>
      <w:r w:rsidRPr="00B37F96">
        <w:rPr>
          <w:i/>
          <w:color w:val="E36C0A" w:themeColor="accent6" w:themeShade="BF"/>
          <w:spacing w:val="-2"/>
          <w:szCs w:val="24"/>
        </w:rPr>
        <w:t>directed care</w:t>
      </w:r>
      <w:bookmarkEnd w:id="36"/>
    </w:p>
    <w:p w14:paraId="07E11569" w14:textId="7DF51110" w:rsidR="00133959" w:rsidRPr="00B37F96" w:rsidRDefault="00133959" w:rsidP="00133959">
      <w:pPr>
        <w:rPr>
          <w:spacing w:val="-2"/>
        </w:rPr>
      </w:pPr>
      <w:r w:rsidRPr="00B37F96">
        <w:rPr>
          <w:spacing w:val="-2"/>
        </w:rPr>
        <w:t>Draft Recommendation 12.1 regarding consumer</w:t>
      </w:r>
      <w:r w:rsidR="00665285">
        <w:rPr>
          <w:spacing w:val="-2"/>
        </w:rPr>
        <w:t>-</w:t>
      </w:r>
      <w:r w:rsidRPr="00B37F96">
        <w:rPr>
          <w:spacing w:val="-2"/>
        </w:rPr>
        <w:t>directed care, aims to ensure patients are offered a choice of provider, and to shift the focus of public dental services towards prevention and early intervention. This is a complex proposal with potential risks which require significant consideration in relation to clinical governance and other issues. Significant financial investment (</w:t>
      </w:r>
      <w:r w:rsidR="00193022">
        <w:rPr>
          <w:spacing w:val="-2"/>
        </w:rPr>
        <w:t>s</w:t>
      </w:r>
      <w:r w:rsidR="00193022" w:rsidRPr="00B37F96">
        <w:rPr>
          <w:spacing w:val="-2"/>
        </w:rPr>
        <w:t>tate</w:t>
      </w:r>
      <w:r w:rsidRPr="00B37F96">
        <w:rPr>
          <w:spacing w:val="-2"/>
        </w:rPr>
        <w:t xml:space="preserve">, </w:t>
      </w:r>
      <w:r w:rsidR="00193022">
        <w:rPr>
          <w:spacing w:val="-2"/>
        </w:rPr>
        <w:t>t</w:t>
      </w:r>
      <w:r w:rsidRPr="00B37F96">
        <w:rPr>
          <w:spacing w:val="-2"/>
        </w:rPr>
        <w:t xml:space="preserve">erritory and Commonwealth) and </w:t>
      </w:r>
      <w:r w:rsidR="00193022">
        <w:rPr>
          <w:spacing w:val="-2"/>
        </w:rPr>
        <w:t>long</w:t>
      </w:r>
      <w:r w:rsidR="00193022" w:rsidRPr="00B37F96">
        <w:rPr>
          <w:spacing w:val="-2"/>
        </w:rPr>
        <w:t xml:space="preserve"> </w:t>
      </w:r>
      <w:r w:rsidRPr="00B37F96">
        <w:rPr>
          <w:spacing w:val="-2"/>
        </w:rPr>
        <w:t>timeframes would be required to implement this reform.</w:t>
      </w:r>
    </w:p>
    <w:p w14:paraId="60FF151D" w14:textId="77777777" w:rsidR="00133959" w:rsidRPr="00B37F96" w:rsidRDefault="00133959" w:rsidP="00133959">
      <w:pPr>
        <w:rPr>
          <w:spacing w:val="-2"/>
        </w:rPr>
      </w:pPr>
    </w:p>
    <w:p w14:paraId="34D9EDAD" w14:textId="3D9C85D4" w:rsidR="00133959" w:rsidRPr="00B37F96" w:rsidRDefault="000C7EF9" w:rsidP="00133959">
      <w:pPr>
        <w:rPr>
          <w:spacing w:val="-2"/>
        </w:rPr>
      </w:pPr>
      <w:r>
        <w:rPr>
          <w:spacing w:val="-2"/>
        </w:rPr>
        <w:t>Although</w:t>
      </w:r>
      <w:r w:rsidRPr="00B37F96">
        <w:rPr>
          <w:spacing w:val="-2"/>
        </w:rPr>
        <w:t xml:space="preserve"> </w:t>
      </w:r>
      <w:r w:rsidR="00133959" w:rsidRPr="00B37F96">
        <w:rPr>
          <w:spacing w:val="-2"/>
        </w:rPr>
        <w:t xml:space="preserve">this approach may incentivise preferential treatment for people with higher needs through private sector engagement, the anticipated benefits may not be realised to the same extent in </w:t>
      </w:r>
      <w:r w:rsidR="00665285">
        <w:rPr>
          <w:spacing w:val="-2"/>
        </w:rPr>
        <w:t>the Northern Territory</w:t>
      </w:r>
      <w:r w:rsidR="00133959" w:rsidRPr="00B37F96">
        <w:rPr>
          <w:spacing w:val="-2"/>
        </w:rPr>
        <w:t>. Current population data report</w:t>
      </w:r>
      <w:r w:rsidR="00751007">
        <w:rPr>
          <w:spacing w:val="-2"/>
        </w:rPr>
        <w:t>s that</w:t>
      </w:r>
      <w:r w:rsidR="00133959" w:rsidRPr="00B37F96">
        <w:rPr>
          <w:spacing w:val="-2"/>
        </w:rPr>
        <w:t xml:space="preserve"> the </w:t>
      </w:r>
      <w:r w:rsidR="00751007">
        <w:rPr>
          <w:spacing w:val="-2"/>
        </w:rPr>
        <w:t xml:space="preserve">Northern Territory </w:t>
      </w:r>
      <w:r w:rsidR="00133959" w:rsidRPr="00B37F96">
        <w:rPr>
          <w:spacing w:val="-2"/>
        </w:rPr>
        <w:t xml:space="preserve">has the highest rates of oral disease in the country, with the highest burden experienced by remote populations, particularly Aboriginal people. The public sector is the main provider of dental services to these communities and is limited in its capacity </w:t>
      </w:r>
      <w:r w:rsidR="00724530">
        <w:rPr>
          <w:spacing w:val="-2"/>
        </w:rPr>
        <w:t>to increase remote services</w:t>
      </w:r>
      <w:r w:rsidR="00133959" w:rsidRPr="00B37F96">
        <w:rPr>
          <w:spacing w:val="-2"/>
        </w:rPr>
        <w:t>.</w:t>
      </w:r>
    </w:p>
    <w:p w14:paraId="277FCE28" w14:textId="77777777" w:rsidR="00133959" w:rsidRPr="00B37F96" w:rsidRDefault="00133959" w:rsidP="00133959">
      <w:pPr>
        <w:rPr>
          <w:spacing w:val="-2"/>
        </w:rPr>
      </w:pPr>
    </w:p>
    <w:p w14:paraId="6D1492DF" w14:textId="38C6E8F6" w:rsidR="00133959" w:rsidRPr="00B37F96" w:rsidRDefault="00133959" w:rsidP="00133959">
      <w:pPr>
        <w:rPr>
          <w:spacing w:val="-2"/>
        </w:rPr>
      </w:pPr>
      <w:r w:rsidRPr="00B37F96">
        <w:rPr>
          <w:spacing w:val="-2"/>
        </w:rPr>
        <w:t xml:space="preserve">The majority of dental services provided to these communities is emergency treatment and relief of pain. Costs of providing remote services are significant. There are no private sector providers in these areas and limited opportunities to achieve the efficiencies and economies of scale realised in other jurisdictions with large private markets. </w:t>
      </w:r>
      <w:r w:rsidR="000C7EF9">
        <w:rPr>
          <w:spacing w:val="-2"/>
        </w:rPr>
        <w:t>Although</w:t>
      </w:r>
      <w:r w:rsidR="000C7EF9" w:rsidRPr="00B37F96">
        <w:rPr>
          <w:spacing w:val="-2"/>
        </w:rPr>
        <w:t xml:space="preserve"> </w:t>
      </w:r>
      <w:r w:rsidRPr="00B37F96">
        <w:rPr>
          <w:spacing w:val="-2"/>
        </w:rPr>
        <w:t>there may be benefits offered by the capitation</w:t>
      </w:r>
      <w:r w:rsidR="00724530">
        <w:rPr>
          <w:spacing w:val="-2"/>
        </w:rPr>
        <w:t xml:space="preserve"> payment model, </w:t>
      </w:r>
      <w:r w:rsidRPr="00B37F96">
        <w:rPr>
          <w:spacing w:val="-2"/>
        </w:rPr>
        <w:t xml:space="preserve">further analysis of the </w:t>
      </w:r>
      <w:r w:rsidR="00751007">
        <w:rPr>
          <w:spacing w:val="-2"/>
        </w:rPr>
        <w:t xml:space="preserve">Northern Territory </w:t>
      </w:r>
      <w:r w:rsidRPr="00B37F96">
        <w:rPr>
          <w:spacing w:val="-2"/>
        </w:rPr>
        <w:t>context is needed to understand how this reform might be implemented in our high need areas, and what potential outcomes could realistically be achieved and measured.</w:t>
      </w:r>
    </w:p>
    <w:p w14:paraId="495353A5" w14:textId="77777777" w:rsidR="00133959" w:rsidRPr="00B37F96" w:rsidRDefault="00133959" w:rsidP="00133959">
      <w:pPr>
        <w:rPr>
          <w:spacing w:val="-2"/>
        </w:rPr>
      </w:pPr>
    </w:p>
    <w:p w14:paraId="1CBCCAAB" w14:textId="3EAF11D6" w:rsidR="00133959" w:rsidRDefault="00133959" w:rsidP="00133959">
      <w:pPr>
        <w:rPr>
          <w:rFonts w:cstheme="minorHAnsi"/>
          <w:spacing w:val="-2"/>
          <w:lang w:val="en-GB"/>
        </w:rPr>
      </w:pPr>
      <w:r w:rsidRPr="00B37F96">
        <w:rPr>
          <w:rFonts w:cstheme="minorHAnsi"/>
          <w:spacing w:val="-2"/>
          <w:lang w:val="en-GB"/>
        </w:rPr>
        <w:t xml:space="preserve">In addition to recognising the economic and efficiency benefits offered by consumer choice, the </w:t>
      </w:r>
      <w:r w:rsidR="00724530">
        <w:rPr>
          <w:rFonts w:cstheme="minorHAnsi"/>
          <w:spacing w:val="-2"/>
          <w:lang w:val="en-GB"/>
        </w:rPr>
        <w:t>f</w:t>
      </w:r>
      <w:r w:rsidRPr="00B37F96">
        <w:rPr>
          <w:rFonts w:cstheme="minorHAnsi"/>
          <w:spacing w:val="-2"/>
          <w:lang w:val="en-GB"/>
        </w:rPr>
        <w:t xml:space="preserve">inal </w:t>
      </w:r>
      <w:r w:rsidR="00724530">
        <w:rPr>
          <w:rFonts w:cstheme="minorHAnsi"/>
          <w:spacing w:val="-2"/>
          <w:lang w:val="en-GB"/>
        </w:rPr>
        <w:t>report could</w:t>
      </w:r>
      <w:r w:rsidRPr="00B37F96">
        <w:rPr>
          <w:rFonts w:cstheme="minorHAnsi"/>
          <w:spacing w:val="-2"/>
          <w:lang w:val="en-GB"/>
        </w:rPr>
        <w:t xml:space="preserve"> acknowledge </w:t>
      </w:r>
      <w:r w:rsidR="00724530">
        <w:rPr>
          <w:rFonts w:cstheme="minorHAnsi"/>
          <w:spacing w:val="-2"/>
          <w:lang w:val="en-GB"/>
        </w:rPr>
        <w:t xml:space="preserve">the </w:t>
      </w:r>
      <w:r w:rsidRPr="00B37F96">
        <w:rPr>
          <w:rFonts w:cstheme="minorHAnsi"/>
          <w:spacing w:val="-2"/>
          <w:lang w:val="en-GB"/>
        </w:rPr>
        <w:t xml:space="preserve">benefits where patients are able to exercise individual </w:t>
      </w:r>
      <w:r w:rsidRPr="00B37F96">
        <w:rPr>
          <w:rFonts w:cstheme="minorHAnsi"/>
          <w:spacing w:val="-2"/>
          <w:lang w:val="en-GB"/>
        </w:rPr>
        <w:lastRenderedPageBreak/>
        <w:t>preference and are afforded greater continuity of providers. Good quality therapeutic relationships</w:t>
      </w:r>
      <w:r w:rsidR="00724530">
        <w:rPr>
          <w:rFonts w:cstheme="minorHAnsi"/>
          <w:spacing w:val="-2"/>
          <w:lang w:val="en-GB"/>
        </w:rPr>
        <w:t xml:space="preserve"> between the </w:t>
      </w:r>
      <w:r w:rsidR="008F228A" w:rsidRPr="00B37F96">
        <w:rPr>
          <w:rFonts w:cstheme="minorHAnsi"/>
          <w:spacing w:val="-2"/>
          <w:lang w:val="en-GB"/>
        </w:rPr>
        <w:t>patient and practitioner</w:t>
      </w:r>
      <w:r w:rsidR="008F228A">
        <w:rPr>
          <w:rFonts w:cstheme="minorHAnsi"/>
          <w:spacing w:val="-2"/>
          <w:lang w:val="en-GB"/>
        </w:rPr>
        <w:t xml:space="preserve"> </w:t>
      </w:r>
      <w:r w:rsidRPr="00B37F96">
        <w:rPr>
          <w:rFonts w:cstheme="minorHAnsi"/>
          <w:spacing w:val="-2"/>
          <w:lang w:val="en-GB"/>
        </w:rPr>
        <w:t>underpin good clinical outcomes.</w:t>
      </w:r>
    </w:p>
    <w:p w14:paraId="11B7C0EA" w14:textId="77777777" w:rsidR="00133959" w:rsidRPr="00B37F96" w:rsidRDefault="00133959" w:rsidP="00133959">
      <w:pPr>
        <w:rPr>
          <w:spacing w:val="-2"/>
        </w:rPr>
      </w:pPr>
    </w:p>
    <w:p w14:paraId="65D38C7E" w14:textId="5465A18C" w:rsidR="00133959" w:rsidRPr="00B37F96" w:rsidRDefault="00133959" w:rsidP="00386A5D">
      <w:pPr>
        <w:tabs>
          <w:tab w:val="clear" w:pos="1134"/>
          <w:tab w:val="left" w:pos="993"/>
        </w:tabs>
        <w:spacing w:before="0" w:after="120" w:line="276" w:lineRule="auto"/>
        <w:outlineLvl w:val="2"/>
        <w:rPr>
          <w:i/>
          <w:color w:val="E36C0A" w:themeColor="accent6" w:themeShade="BF"/>
          <w:spacing w:val="-2"/>
          <w:szCs w:val="24"/>
        </w:rPr>
      </w:pPr>
      <w:bookmarkStart w:id="37" w:name="_Toc490477170"/>
      <w:r w:rsidRPr="00B37F96">
        <w:rPr>
          <w:i/>
          <w:color w:val="E36C0A" w:themeColor="accent6" w:themeShade="BF"/>
          <w:spacing w:val="-2"/>
          <w:szCs w:val="24"/>
        </w:rPr>
        <w:t>Feedback on model</w:t>
      </w:r>
      <w:bookmarkEnd w:id="37"/>
    </w:p>
    <w:p w14:paraId="7FC19E34" w14:textId="633280E1" w:rsidR="00133959" w:rsidRPr="00B37F96" w:rsidRDefault="00133959" w:rsidP="00133959">
      <w:pPr>
        <w:rPr>
          <w:rFonts w:cstheme="minorHAnsi"/>
          <w:spacing w:val="-2"/>
          <w:lang w:val="en-GB"/>
        </w:rPr>
      </w:pPr>
      <w:r w:rsidRPr="00B37F96">
        <w:rPr>
          <w:rFonts w:cstheme="minorHAnsi"/>
          <w:spacing w:val="-2"/>
          <w:lang w:val="en-GB"/>
        </w:rPr>
        <w:t xml:space="preserve">The proposed delivery model has not addressed how it might be applied in remote settings. </w:t>
      </w:r>
      <w:r w:rsidRPr="006B15F5">
        <w:rPr>
          <w:rFonts w:cstheme="minorHAnsi"/>
          <w:spacing w:val="-4"/>
          <w:lang w:val="en-GB"/>
        </w:rPr>
        <w:t xml:space="preserve">Consumer choice in remote areas is </w:t>
      </w:r>
      <w:r w:rsidR="000C7EF9">
        <w:rPr>
          <w:rFonts w:cstheme="minorHAnsi"/>
          <w:spacing w:val="-4"/>
          <w:lang w:val="en-GB"/>
        </w:rPr>
        <w:t>severely</w:t>
      </w:r>
      <w:r w:rsidR="000C7EF9" w:rsidRPr="006B15F5">
        <w:rPr>
          <w:rFonts w:cstheme="minorHAnsi"/>
          <w:spacing w:val="-4"/>
          <w:lang w:val="en-GB"/>
        </w:rPr>
        <w:t xml:space="preserve"> </w:t>
      </w:r>
      <w:r w:rsidRPr="006B15F5">
        <w:rPr>
          <w:rFonts w:cstheme="minorHAnsi"/>
          <w:spacing w:val="-4"/>
          <w:lang w:val="en-GB"/>
        </w:rPr>
        <w:t xml:space="preserve">limited due to minimal </w:t>
      </w:r>
      <w:r w:rsidR="006B15F5" w:rsidRPr="006B15F5">
        <w:rPr>
          <w:rFonts w:cstheme="minorHAnsi"/>
          <w:spacing w:val="-4"/>
          <w:lang w:val="en-GB"/>
        </w:rPr>
        <w:t>private sector</w:t>
      </w:r>
      <w:r w:rsidR="006B15F5" w:rsidRPr="00B37F96">
        <w:rPr>
          <w:rFonts w:cstheme="minorHAnsi"/>
          <w:spacing w:val="-2"/>
          <w:lang w:val="en-GB"/>
        </w:rPr>
        <w:t xml:space="preserve"> </w:t>
      </w:r>
      <w:r w:rsidR="000C7EF9">
        <w:rPr>
          <w:rFonts w:cstheme="minorHAnsi"/>
          <w:spacing w:val="-2"/>
          <w:lang w:val="en-GB"/>
        </w:rPr>
        <w:t>presence</w:t>
      </w:r>
      <w:r w:rsidR="006B15F5">
        <w:rPr>
          <w:rFonts w:cstheme="minorHAnsi"/>
          <w:spacing w:val="-2"/>
          <w:lang w:val="en-GB"/>
        </w:rPr>
        <w:t>. It would be helpful if the f</w:t>
      </w:r>
      <w:r w:rsidRPr="00B37F96">
        <w:rPr>
          <w:rFonts w:cstheme="minorHAnsi"/>
          <w:spacing w:val="-2"/>
          <w:lang w:val="en-GB"/>
        </w:rPr>
        <w:t xml:space="preserve">inal </w:t>
      </w:r>
      <w:r w:rsidR="006B15F5">
        <w:rPr>
          <w:rFonts w:cstheme="minorHAnsi"/>
          <w:spacing w:val="-2"/>
          <w:lang w:val="en-GB"/>
        </w:rPr>
        <w:t>r</w:t>
      </w:r>
      <w:r w:rsidRPr="00B37F96">
        <w:rPr>
          <w:rFonts w:cstheme="minorHAnsi"/>
          <w:spacing w:val="-2"/>
          <w:lang w:val="en-GB"/>
        </w:rPr>
        <w:t>eport provided examples of alternative contestability arrang</w:t>
      </w:r>
      <w:r w:rsidR="006B15F5">
        <w:rPr>
          <w:rFonts w:cstheme="minorHAnsi"/>
          <w:spacing w:val="-2"/>
          <w:lang w:val="en-GB"/>
        </w:rPr>
        <w:t>ements which</w:t>
      </w:r>
      <w:r w:rsidRPr="00B37F96">
        <w:rPr>
          <w:rFonts w:cstheme="minorHAnsi"/>
          <w:spacing w:val="-2"/>
          <w:lang w:val="en-GB"/>
        </w:rPr>
        <w:t xml:space="preserve"> governments could consider for implementation in remote areas. This might include having larger teams provide visiting services for longer periods, utilising contractual arrangements to promote visiting private sector and NGO engagement in remote areas, and providing culturally appropriate consumer information.</w:t>
      </w:r>
    </w:p>
    <w:p w14:paraId="41DF2854" w14:textId="77777777" w:rsidR="00133959" w:rsidRPr="00B37F96" w:rsidRDefault="00133959" w:rsidP="00133959">
      <w:pPr>
        <w:rPr>
          <w:rFonts w:cstheme="minorHAnsi"/>
          <w:spacing w:val="-2"/>
          <w:lang w:val="en-GB"/>
        </w:rPr>
      </w:pPr>
    </w:p>
    <w:p w14:paraId="291AE6AC" w14:textId="59C18B6F" w:rsidR="00133959" w:rsidRPr="00B37F96" w:rsidRDefault="00133959" w:rsidP="00133959">
      <w:pPr>
        <w:rPr>
          <w:rFonts w:cstheme="minorHAnsi"/>
          <w:spacing w:val="-2"/>
          <w:lang w:val="en-GB"/>
        </w:rPr>
      </w:pPr>
      <w:r w:rsidRPr="00B37F96">
        <w:rPr>
          <w:rFonts w:cstheme="minorHAnsi"/>
          <w:spacing w:val="-2"/>
          <w:lang w:val="en-GB"/>
        </w:rPr>
        <w:t xml:space="preserve">Similarly, it would be useful if appropriate remote area triage models could be included in the </w:t>
      </w:r>
      <w:r w:rsidR="006B15F5">
        <w:rPr>
          <w:rFonts w:cstheme="minorHAnsi"/>
          <w:spacing w:val="-2"/>
          <w:lang w:val="en-GB"/>
        </w:rPr>
        <w:t>f</w:t>
      </w:r>
      <w:r w:rsidRPr="00B37F96">
        <w:rPr>
          <w:rFonts w:cstheme="minorHAnsi"/>
          <w:spacing w:val="-2"/>
          <w:lang w:val="en-GB"/>
        </w:rPr>
        <w:t xml:space="preserve">inal </w:t>
      </w:r>
      <w:r w:rsidR="006B15F5">
        <w:rPr>
          <w:rFonts w:cstheme="minorHAnsi"/>
          <w:spacing w:val="-2"/>
          <w:lang w:val="en-GB"/>
        </w:rPr>
        <w:t>r</w:t>
      </w:r>
      <w:r w:rsidRPr="00B37F96">
        <w:rPr>
          <w:rFonts w:cstheme="minorHAnsi"/>
          <w:spacing w:val="-2"/>
          <w:lang w:val="en-GB"/>
        </w:rPr>
        <w:t xml:space="preserve">eport. This might include using </w:t>
      </w:r>
      <w:r w:rsidR="006B15F5">
        <w:rPr>
          <w:rFonts w:cstheme="minorHAnsi"/>
          <w:spacing w:val="-2"/>
          <w:lang w:val="en-GB"/>
        </w:rPr>
        <w:t xml:space="preserve">service </w:t>
      </w:r>
      <w:r w:rsidRPr="00B37F96">
        <w:rPr>
          <w:rFonts w:cstheme="minorHAnsi"/>
          <w:spacing w:val="-2"/>
          <w:lang w:val="en-GB"/>
        </w:rPr>
        <w:t>trend data to triage population groups most likely to experience poor oral health and allocate services and resources accordingly</w:t>
      </w:r>
      <w:r w:rsidR="00751007">
        <w:rPr>
          <w:rFonts w:cstheme="minorHAnsi"/>
          <w:spacing w:val="-2"/>
          <w:lang w:val="en-GB"/>
        </w:rPr>
        <w:t>,</w:t>
      </w:r>
      <w:r w:rsidRPr="00B37F96">
        <w:rPr>
          <w:rFonts w:cstheme="minorHAnsi"/>
          <w:spacing w:val="-2"/>
          <w:lang w:val="en-GB"/>
        </w:rPr>
        <w:t xml:space="preserve"> engaging remote allied health teams to collect triage information and initiate referrals</w:t>
      </w:r>
      <w:r w:rsidR="00BB1AB3">
        <w:rPr>
          <w:rFonts w:cstheme="minorHAnsi"/>
          <w:spacing w:val="-2"/>
          <w:lang w:val="en-GB"/>
        </w:rPr>
        <w:t>,</w:t>
      </w:r>
      <w:r w:rsidRPr="00B37F96">
        <w:rPr>
          <w:rFonts w:cstheme="minorHAnsi"/>
          <w:spacing w:val="-2"/>
          <w:lang w:val="en-GB"/>
        </w:rPr>
        <w:t xml:space="preserve"> </w:t>
      </w:r>
      <w:r w:rsidR="00BB1AB3">
        <w:rPr>
          <w:rFonts w:cstheme="minorHAnsi"/>
          <w:spacing w:val="-2"/>
          <w:lang w:val="en-GB"/>
        </w:rPr>
        <w:t>and</w:t>
      </w:r>
      <w:r w:rsidRPr="00B37F96">
        <w:rPr>
          <w:rFonts w:cstheme="minorHAnsi"/>
          <w:spacing w:val="-2"/>
          <w:lang w:val="en-GB"/>
        </w:rPr>
        <w:t xml:space="preserve"> improving training and skills of the permanent remote allied health workforce to enable basic oral health or hygiene services to be provided</w:t>
      </w:r>
      <w:r w:rsidR="006B15F5">
        <w:rPr>
          <w:rFonts w:cstheme="minorHAnsi"/>
          <w:spacing w:val="-2"/>
          <w:lang w:val="en-GB"/>
        </w:rPr>
        <w:t xml:space="preserve"> locally</w:t>
      </w:r>
      <w:r w:rsidRPr="00B37F96">
        <w:rPr>
          <w:rFonts w:cstheme="minorHAnsi"/>
          <w:spacing w:val="-2"/>
          <w:lang w:val="en-GB"/>
        </w:rPr>
        <w:t>.</w:t>
      </w:r>
    </w:p>
    <w:p w14:paraId="08102B41" w14:textId="77777777" w:rsidR="00133959" w:rsidRPr="00B37F96" w:rsidRDefault="00133959" w:rsidP="00133959">
      <w:pPr>
        <w:rPr>
          <w:spacing w:val="-2"/>
        </w:rPr>
      </w:pPr>
    </w:p>
    <w:p w14:paraId="6F581D20" w14:textId="77777777"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38" w:name="_Toc490477171"/>
      <w:r w:rsidRPr="00B37F96">
        <w:rPr>
          <w:i/>
          <w:color w:val="E36C0A" w:themeColor="accent6" w:themeShade="BF"/>
          <w:spacing w:val="-2"/>
          <w:szCs w:val="24"/>
        </w:rPr>
        <w:t>Initial screening and assessments</w:t>
      </w:r>
      <w:bookmarkEnd w:id="38"/>
    </w:p>
    <w:p w14:paraId="22623D87" w14:textId="2387303A" w:rsidR="00133959" w:rsidRPr="00B37F96" w:rsidRDefault="006B15F5" w:rsidP="00133959">
      <w:pPr>
        <w:rPr>
          <w:rFonts w:cstheme="minorHAnsi"/>
          <w:spacing w:val="-2"/>
          <w:lang w:val="en-GB"/>
        </w:rPr>
      </w:pPr>
      <w:r>
        <w:rPr>
          <w:rFonts w:cstheme="minorHAnsi"/>
          <w:spacing w:val="-2"/>
          <w:lang w:val="en-GB"/>
        </w:rPr>
        <w:t>T</w:t>
      </w:r>
      <w:r w:rsidR="00133959" w:rsidRPr="00B37F96">
        <w:rPr>
          <w:rFonts w:cstheme="minorHAnsi"/>
          <w:spacing w:val="-2"/>
          <w:lang w:val="en-GB"/>
        </w:rPr>
        <w:t>riaging and placing risk</w:t>
      </w:r>
      <w:r w:rsidR="000C7EF9">
        <w:rPr>
          <w:rFonts w:cstheme="minorHAnsi"/>
          <w:spacing w:val="-2"/>
          <w:lang w:val="en-GB"/>
        </w:rPr>
        <w:t> </w:t>
      </w:r>
      <w:r w:rsidR="00133959" w:rsidRPr="00B37F96">
        <w:rPr>
          <w:rFonts w:cstheme="minorHAnsi"/>
          <w:spacing w:val="-2"/>
          <w:lang w:val="en-GB"/>
        </w:rPr>
        <w:t xml:space="preserve">weightings on capitation payments is supported, </w:t>
      </w:r>
      <w:r>
        <w:rPr>
          <w:rFonts w:cstheme="minorHAnsi"/>
          <w:spacing w:val="-2"/>
          <w:lang w:val="en-GB"/>
        </w:rPr>
        <w:t>but f</w:t>
      </w:r>
      <w:r w:rsidR="00133959" w:rsidRPr="00B37F96">
        <w:rPr>
          <w:rFonts w:cstheme="minorHAnsi"/>
          <w:spacing w:val="-2"/>
          <w:lang w:val="en-GB"/>
        </w:rPr>
        <w:t>urther exploration and development of the suggested model is needed, partic</w:t>
      </w:r>
      <w:r>
        <w:rPr>
          <w:rFonts w:cstheme="minorHAnsi"/>
          <w:spacing w:val="-2"/>
          <w:lang w:val="en-GB"/>
        </w:rPr>
        <w:t>ularly in the context of small,</w:t>
      </w:r>
      <w:r w:rsidR="00133959" w:rsidRPr="00B37F96">
        <w:rPr>
          <w:rFonts w:cstheme="minorHAnsi"/>
          <w:spacing w:val="-2"/>
          <w:lang w:val="en-GB"/>
        </w:rPr>
        <w:t xml:space="preserve"> remote services. Inefficiencies in models of screening and assessment can be significant for smaller services due to limited workforce numbers and available infrastructure. South Australia has</w:t>
      </w:r>
      <w:r>
        <w:rPr>
          <w:rFonts w:cstheme="minorHAnsi"/>
          <w:spacing w:val="-2"/>
          <w:lang w:val="en-GB"/>
        </w:rPr>
        <w:t xml:space="preserve"> developed and evaluated a self</w:t>
      </w:r>
      <w:r>
        <w:rPr>
          <w:rFonts w:cstheme="minorHAnsi"/>
          <w:spacing w:val="-2"/>
          <w:lang w:val="en-GB"/>
        </w:rPr>
        <w:noBreakHyphen/>
      </w:r>
      <w:r w:rsidR="00133959" w:rsidRPr="00B37F96">
        <w:rPr>
          <w:rFonts w:cstheme="minorHAnsi"/>
          <w:spacing w:val="-2"/>
          <w:lang w:val="en-GB"/>
        </w:rPr>
        <w:t>administered oral health assessment tool</w:t>
      </w:r>
      <w:r>
        <w:rPr>
          <w:rFonts w:cstheme="minorHAnsi"/>
          <w:spacing w:val="-2"/>
          <w:lang w:val="en-GB"/>
        </w:rPr>
        <w:t>,</w:t>
      </w:r>
      <w:r w:rsidR="00133959" w:rsidRPr="00B37F96">
        <w:rPr>
          <w:rFonts w:cstheme="minorHAnsi"/>
          <w:spacing w:val="-2"/>
          <w:lang w:val="en-GB"/>
        </w:rPr>
        <w:t xml:space="preserve"> and demonstra</w:t>
      </w:r>
      <w:r w:rsidR="00751007">
        <w:rPr>
          <w:rFonts w:cstheme="minorHAnsi"/>
          <w:spacing w:val="-2"/>
          <w:lang w:val="en-GB"/>
        </w:rPr>
        <w:t>ted that patients were able to self-triage</w:t>
      </w:r>
      <w:r w:rsidR="00133959" w:rsidRPr="00B37F96">
        <w:rPr>
          <w:rFonts w:cstheme="minorHAnsi"/>
          <w:spacing w:val="-2"/>
          <w:lang w:val="en-GB"/>
        </w:rPr>
        <w:t xml:space="preserve"> with a notable degree of accuracy compared with clinical assessment.</w:t>
      </w:r>
    </w:p>
    <w:p w14:paraId="2DDF22E9" w14:textId="77777777" w:rsidR="00133959" w:rsidRPr="00B37F96" w:rsidRDefault="00133959" w:rsidP="00133959">
      <w:pPr>
        <w:rPr>
          <w:rFonts w:cstheme="minorHAnsi"/>
          <w:spacing w:val="-2"/>
          <w:lang w:val="en-GB"/>
        </w:rPr>
      </w:pPr>
    </w:p>
    <w:p w14:paraId="644B0754" w14:textId="7AA8ECD4" w:rsidR="00133959" w:rsidRPr="00B37F96" w:rsidRDefault="006B15F5" w:rsidP="00133959">
      <w:pPr>
        <w:rPr>
          <w:rFonts w:cstheme="minorHAnsi"/>
          <w:spacing w:val="-2"/>
          <w:lang w:val="en-GB"/>
        </w:rPr>
      </w:pPr>
      <w:r>
        <w:rPr>
          <w:rFonts w:cstheme="minorHAnsi"/>
          <w:spacing w:val="-2"/>
          <w:lang w:val="en-GB"/>
        </w:rPr>
        <w:t xml:space="preserve">The </w:t>
      </w:r>
      <w:r w:rsidR="00751007">
        <w:rPr>
          <w:rFonts w:cstheme="minorHAnsi"/>
          <w:spacing w:val="-2"/>
          <w:lang w:val="en-GB"/>
        </w:rPr>
        <w:t>Northern Territory</w:t>
      </w:r>
      <w:r>
        <w:rPr>
          <w:rFonts w:cstheme="minorHAnsi"/>
          <w:spacing w:val="-2"/>
          <w:lang w:val="en-GB"/>
        </w:rPr>
        <w:t> </w:t>
      </w:r>
      <w:r w:rsidR="00133959" w:rsidRPr="00B37F96">
        <w:rPr>
          <w:rFonts w:cstheme="minorHAnsi"/>
          <w:spacing w:val="-2"/>
          <w:lang w:val="en-GB"/>
        </w:rPr>
        <w:t>u</w:t>
      </w:r>
      <w:r>
        <w:rPr>
          <w:rFonts w:cstheme="minorHAnsi"/>
          <w:spacing w:val="-2"/>
          <w:lang w:val="en-GB"/>
        </w:rPr>
        <w:t xml:space="preserve">ses </w:t>
      </w:r>
      <w:r w:rsidR="00133959" w:rsidRPr="00B37F96">
        <w:rPr>
          <w:rFonts w:cstheme="minorHAnsi"/>
          <w:spacing w:val="-2"/>
          <w:lang w:val="en-GB"/>
        </w:rPr>
        <w:t>the health workforce in remote areas (particularly remote area nurses, Aboriginal health practitioners</w:t>
      </w:r>
      <w:r w:rsidR="00751007">
        <w:rPr>
          <w:rFonts w:cstheme="minorHAnsi"/>
          <w:spacing w:val="-2"/>
          <w:lang w:val="en-GB"/>
        </w:rPr>
        <w:t>,</w:t>
      </w:r>
      <w:r w:rsidR="00133959" w:rsidRPr="00B37F96">
        <w:rPr>
          <w:rFonts w:cstheme="minorHAnsi"/>
          <w:spacing w:val="-2"/>
          <w:lang w:val="en-GB"/>
        </w:rPr>
        <w:t xml:space="preserve"> medical practitioners) to undertake visual screenings and initiate referrals in response to particular dental issues once identified. It is important for alternative screening and assessment strategies to be emphasised for smaller services, in order to enhance efficiencies and to mitigate negative impacts which the demands of clinical screenings could place on clinical service provision.</w:t>
      </w:r>
    </w:p>
    <w:p w14:paraId="2D6514AF" w14:textId="77777777" w:rsidR="00133959" w:rsidRPr="00B37F96" w:rsidRDefault="00133959" w:rsidP="00133959">
      <w:pPr>
        <w:rPr>
          <w:spacing w:val="-2"/>
        </w:rPr>
      </w:pPr>
    </w:p>
    <w:p w14:paraId="19D73805" w14:textId="77777777" w:rsidR="00133959" w:rsidRPr="00B37F96" w:rsidRDefault="00133959" w:rsidP="00133959">
      <w:pPr>
        <w:tabs>
          <w:tab w:val="clear" w:pos="1134"/>
          <w:tab w:val="left" w:pos="993"/>
        </w:tabs>
        <w:spacing w:before="0" w:after="120" w:line="276" w:lineRule="auto"/>
        <w:outlineLvl w:val="2"/>
        <w:rPr>
          <w:i/>
          <w:color w:val="E36C0A" w:themeColor="accent6" w:themeShade="BF"/>
          <w:spacing w:val="-2"/>
          <w:szCs w:val="24"/>
        </w:rPr>
      </w:pPr>
      <w:bookmarkStart w:id="39" w:name="_Toc490477172"/>
      <w:r w:rsidRPr="00B37F96">
        <w:rPr>
          <w:i/>
          <w:color w:val="E36C0A" w:themeColor="accent6" w:themeShade="BF"/>
          <w:spacing w:val="-2"/>
          <w:szCs w:val="24"/>
        </w:rPr>
        <w:t>Centrally managed allocation system</w:t>
      </w:r>
      <w:bookmarkEnd w:id="39"/>
    </w:p>
    <w:p w14:paraId="6F25C823" w14:textId="77777777" w:rsidR="00480145" w:rsidRDefault="00133959" w:rsidP="00480145">
      <w:pPr>
        <w:rPr>
          <w:spacing w:val="-2"/>
        </w:rPr>
      </w:pPr>
      <w:r w:rsidRPr="00B37F96">
        <w:rPr>
          <w:spacing w:val="-2"/>
        </w:rPr>
        <w:t xml:space="preserve">The NTG supports Draft Recommendation 12.4 regarding a centrally managed allocation system. This is similar to what </w:t>
      </w:r>
      <w:r w:rsidR="00751007">
        <w:rPr>
          <w:spacing w:val="-2"/>
        </w:rPr>
        <w:t>the Northern Territory</w:t>
      </w:r>
      <w:r w:rsidRPr="00B37F96">
        <w:rPr>
          <w:spacing w:val="-2"/>
        </w:rPr>
        <w:t> will be implementing through the Client Access and Priority Pathways system, which prioritises patients based on clinical need and allocat</w:t>
      </w:r>
      <w:r w:rsidR="006B15F5">
        <w:rPr>
          <w:spacing w:val="-2"/>
        </w:rPr>
        <w:t>es</w:t>
      </w:r>
      <w:r w:rsidRPr="00B37F96">
        <w:rPr>
          <w:spacing w:val="-2"/>
        </w:rPr>
        <w:t xml:space="preserve"> resources to those most in need</w:t>
      </w:r>
      <w:r w:rsidR="00751007">
        <w:rPr>
          <w:spacing w:val="-2"/>
        </w:rPr>
        <w:t>,</w:t>
      </w:r>
      <w:r w:rsidRPr="00B37F96">
        <w:rPr>
          <w:spacing w:val="-2"/>
        </w:rPr>
        <w:t xml:space="preserve"> noting that in the </w:t>
      </w:r>
      <w:r w:rsidR="00751007">
        <w:rPr>
          <w:spacing w:val="-2"/>
        </w:rPr>
        <w:t>Territory,</w:t>
      </w:r>
      <w:r w:rsidRPr="00B37F96">
        <w:rPr>
          <w:spacing w:val="-2"/>
        </w:rPr>
        <w:t> there is ongoing difficulty in encouraging the most vulnerable patients to</w:t>
      </w:r>
      <w:r w:rsidR="006B15F5">
        <w:rPr>
          <w:spacing w:val="-2"/>
        </w:rPr>
        <w:t xml:space="preserve"> access available services. It needs to be noted that</w:t>
      </w:r>
      <w:r w:rsidR="000C7EF9">
        <w:rPr>
          <w:spacing w:val="-2"/>
        </w:rPr>
        <w:t>,</w:t>
      </w:r>
      <w:r w:rsidR="006B15F5">
        <w:rPr>
          <w:spacing w:val="-2"/>
        </w:rPr>
        <w:t xml:space="preserve"> </w:t>
      </w:r>
      <w:r w:rsidR="000C7EF9">
        <w:rPr>
          <w:spacing w:val="-2"/>
        </w:rPr>
        <w:t>although</w:t>
      </w:r>
      <w:r w:rsidR="000C7EF9" w:rsidRPr="00B37F96">
        <w:rPr>
          <w:spacing w:val="-2"/>
        </w:rPr>
        <w:t xml:space="preserve"> </w:t>
      </w:r>
      <w:r w:rsidRPr="00B37F96">
        <w:rPr>
          <w:spacing w:val="-2"/>
        </w:rPr>
        <w:t>the centrally</w:t>
      </w:r>
      <w:r w:rsidR="000C7EF9">
        <w:rPr>
          <w:spacing w:val="-2"/>
        </w:rPr>
        <w:t> </w:t>
      </w:r>
      <w:r w:rsidRPr="00B37F96">
        <w:rPr>
          <w:spacing w:val="-2"/>
        </w:rPr>
        <w:t>managed allocation system aims to achieve prioritisation of treatment for those most in need</w:t>
      </w:r>
      <w:r w:rsidR="000C7EF9">
        <w:rPr>
          <w:spacing w:val="-2"/>
        </w:rPr>
        <w:t>,</w:t>
      </w:r>
      <w:r w:rsidRPr="00B37F96">
        <w:rPr>
          <w:spacing w:val="-2"/>
        </w:rPr>
        <w:t xml:space="preserve"> if there is insufficient funding to meet the full demand </w:t>
      </w:r>
      <w:r w:rsidRPr="00B37F96">
        <w:rPr>
          <w:spacing w:val="-2"/>
        </w:rPr>
        <w:lastRenderedPageBreak/>
        <w:t>for services within the recommended timeframes it could re</w:t>
      </w:r>
      <w:r w:rsidR="006B15F5">
        <w:rPr>
          <w:spacing w:val="-2"/>
        </w:rPr>
        <w:t>sult in a small number of clients</w:t>
      </w:r>
      <w:r w:rsidRPr="00B37F96">
        <w:rPr>
          <w:spacing w:val="-2"/>
        </w:rPr>
        <w:t xml:space="preserve"> receiving high quality serv</w:t>
      </w:r>
      <w:r w:rsidR="006B15F5">
        <w:rPr>
          <w:spacing w:val="-2"/>
        </w:rPr>
        <w:t>ices</w:t>
      </w:r>
      <w:r w:rsidRPr="00B37F96">
        <w:rPr>
          <w:spacing w:val="-2"/>
        </w:rPr>
        <w:t xml:space="preserve"> </w:t>
      </w:r>
      <w:r w:rsidR="000C7EF9" w:rsidRPr="00B37F96">
        <w:rPr>
          <w:spacing w:val="-2"/>
        </w:rPr>
        <w:t>whil</w:t>
      </w:r>
      <w:r w:rsidR="000C7EF9">
        <w:rPr>
          <w:spacing w:val="-2"/>
        </w:rPr>
        <w:t>e</w:t>
      </w:r>
      <w:r w:rsidR="000C7EF9" w:rsidRPr="00B37F96">
        <w:rPr>
          <w:spacing w:val="-2"/>
        </w:rPr>
        <w:t xml:space="preserve"> </w:t>
      </w:r>
      <w:r w:rsidRPr="00B37F96">
        <w:rPr>
          <w:spacing w:val="-2"/>
        </w:rPr>
        <w:t>others miss out.</w:t>
      </w:r>
      <w:bookmarkStart w:id="40" w:name="_Toc490477173"/>
    </w:p>
    <w:p w14:paraId="071D19B5" w14:textId="77777777" w:rsidR="00480145" w:rsidRDefault="00480145" w:rsidP="00480145">
      <w:pPr>
        <w:rPr>
          <w:spacing w:val="-2"/>
        </w:rPr>
      </w:pPr>
    </w:p>
    <w:p w14:paraId="1653925F" w14:textId="177BE56C" w:rsidR="00133959" w:rsidRPr="00480145" w:rsidRDefault="00133959" w:rsidP="00480145">
      <w:pPr>
        <w:rPr>
          <w:spacing w:val="-2"/>
        </w:rPr>
      </w:pPr>
      <w:r w:rsidRPr="00B37F96">
        <w:rPr>
          <w:i/>
          <w:color w:val="E36C0A" w:themeColor="accent6" w:themeShade="BF"/>
          <w:spacing w:val="-2"/>
          <w:szCs w:val="24"/>
        </w:rPr>
        <w:t>Outcomes-based commissioning</w:t>
      </w:r>
      <w:bookmarkEnd w:id="40"/>
    </w:p>
    <w:p w14:paraId="1F230C1F" w14:textId="5C7F6FF7" w:rsidR="00133959" w:rsidRPr="00B37F96" w:rsidRDefault="00133959" w:rsidP="00133959">
      <w:pPr>
        <w:rPr>
          <w:spacing w:val="-2"/>
        </w:rPr>
      </w:pPr>
      <w:r w:rsidRPr="00B37F96">
        <w:rPr>
          <w:spacing w:val="-2"/>
        </w:rPr>
        <w:t>Larger jurisdictions such as New South Wales, Victoria and Queensland</w:t>
      </w:r>
      <w:r w:rsidR="006B15F5">
        <w:rPr>
          <w:spacing w:val="-2"/>
        </w:rPr>
        <w:t xml:space="preserve"> have evolved market</w:t>
      </w:r>
      <w:r w:rsidR="006B15F5">
        <w:rPr>
          <w:spacing w:val="-2"/>
        </w:rPr>
        <w:noBreakHyphen/>
      </w:r>
      <w:r w:rsidRPr="00B37F96">
        <w:rPr>
          <w:spacing w:val="-2"/>
        </w:rPr>
        <w:t>driven models which have lowered the cost of outsourced public dental services and achieved significant economies o</w:t>
      </w:r>
      <w:r w:rsidR="006B15F5">
        <w:rPr>
          <w:spacing w:val="-2"/>
        </w:rPr>
        <w:t>f scale. These states report</w:t>
      </w:r>
      <w:r w:rsidRPr="00B37F96">
        <w:rPr>
          <w:spacing w:val="-2"/>
        </w:rPr>
        <w:t xml:space="preserve"> this due to the notable saturation of dental practitioners in metropolitan areas. In Australia dental practitioners are disproportionally under</w:t>
      </w:r>
      <w:r w:rsidR="000C7EF9">
        <w:rPr>
          <w:spacing w:val="-2"/>
        </w:rPr>
        <w:t>-</w:t>
      </w:r>
      <w:r w:rsidRPr="00B37F96">
        <w:rPr>
          <w:spacing w:val="-2"/>
        </w:rPr>
        <w:t>represented in re</w:t>
      </w:r>
      <w:r w:rsidR="006B15F5">
        <w:rPr>
          <w:spacing w:val="-2"/>
        </w:rPr>
        <w:t>gional and remote areas, and the NT </w:t>
      </w:r>
      <w:r w:rsidRPr="00B37F96">
        <w:rPr>
          <w:spacing w:val="-2"/>
        </w:rPr>
        <w:t xml:space="preserve">has the lowest dentist-to-population ratio nationally. </w:t>
      </w:r>
      <w:r w:rsidR="000C7EF9">
        <w:rPr>
          <w:spacing w:val="-2"/>
        </w:rPr>
        <w:t>Although</w:t>
      </w:r>
      <w:r w:rsidR="000C7EF9" w:rsidRPr="00B37F96">
        <w:rPr>
          <w:spacing w:val="-2"/>
        </w:rPr>
        <w:t xml:space="preserve"> </w:t>
      </w:r>
      <w:r w:rsidRPr="00B37F96">
        <w:rPr>
          <w:spacing w:val="-2"/>
        </w:rPr>
        <w:t>contestability theory states that a contestable market does not require a large number of independent private providers, the way in which the co</w:t>
      </w:r>
      <w:r w:rsidR="006B15F5">
        <w:rPr>
          <w:spacing w:val="-2"/>
        </w:rPr>
        <w:t>mparatively under</w:t>
      </w:r>
      <w:r w:rsidR="000C7EF9">
        <w:rPr>
          <w:spacing w:val="-2"/>
        </w:rPr>
        <w:t>-</w:t>
      </w:r>
      <w:r w:rsidR="006B15F5">
        <w:rPr>
          <w:spacing w:val="-2"/>
        </w:rPr>
        <w:t>represented NT </w:t>
      </w:r>
      <w:r w:rsidRPr="00B37F96">
        <w:rPr>
          <w:spacing w:val="-2"/>
        </w:rPr>
        <w:t>private sector could engage with contestab</w:t>
      </w:r>
      <w:r w:rsidR="000C7EF9">
        <w:rPr>
          <w:spacing w:val="-2"/>
        </w:rPr>
        <w:t>le</w:t>
      </w:r>
      <w:r w:rsidRPr="00B37F96">
        <w:rPr>
          <w:spacing w:val="-2"/>
        </w:rPr>
        <w:t xml:space="preserve"> arrangements is unknown.</w:t>
      </w:r>
    </w:p>
    <w:p w14:paraId="1E94D14A" w14:textId="4FB6B7D8" w:rsidR="00133959" w:rsidRPr="00B37F96" w:rsidRDefault="00133959" w:rsidP="00133959">
      <w:pPr>
        <w:rPr>
          <w:spacing w:val="-2"/>
        </w:rPr>
      </w:pPr>
    </w:p>
    <w:p w14:paraId="4E2DB70F" w14:textId="74F7D92F" w:rsidR="00133959" w:rsidRPr="00B37F96" w:rsidRDefault="006B15F5" w:rsidP="00133959">
      <w:pPr>
        <w:rPr>
          <w:spacing w:val="-2"/>
        </w:rPr>
      </w:pPr>
      <w:r>
        <w:rPr>
          <w:spacing w:val="-2"/>
        </w:rPr>
        <w:t xml:space="preserve">The </w:t>
      </w:r>
      <w:r w:rsidR="00751007">
        <w:rPr>
          <w:spacing w:val="-2"/>
        </w:rPr>
        <w:t>Northern Territory</w:t>
      </w:r>
      <w:r>
        <w:rPr>
          <w:spacing w:val="-2"/>
        </w:rPr>
        <w:t> </w:t>
      </w:r>
      <w:r w:rsidR="00133959" w:rsidRPr="00B37F96">
        <w:rPr>
          <w:spacing w:val="-2"/>
        </w:rPr>
        <w:t>has very little objective or representative data on</w:t>
      </w:r>
      <w:r>
        <w:rPr>
          <w:spacing w:val="-2"/>
        </w:rPr>
        <w:t xml:space="preserve"> the</w:t>
      </w:r>
      <w:r w:rsidR="00133959" w:rsidRPr="00B37F96">
        <w:rPr>
          <w:spacing w:val="-2"/>
        </w:rPr>
        <w:t xml:space="preserve"> local private dental market and the potential uptake of outsourced p</w:t>
      </w:r>
      <w:r w:rsidR="00100631">
        <w:rPr>
          <w:spacing w:val="-2"/>
        </w:rPr>
        <w:t xml:space="preserve">ublic dental services by the </w:t>
      </w:r>
      <w:r w:rsidR="00133959" w:rsidRPr="00B37F96">
        <w:rPr>
          <w:spacing w:val="-2"/>
        </w:rPr>
        <w:t>private sector is untested. It is unlikely that the same market mechanisms exploited by other jurisd</w:t>
      </w:r>
      <w:r w:rsidR="00100631">
        <w:rPr>
          <w:spacing w:val="-2"/>
        </w:rPr>
        <w:t xml:space="preserve">ictions could be realised in </w:t>
      </w:r>
      <w:r w:rsidR="00751007">
        <w:rPr>
          <w:spacing w:val="-2"/>
        </w:rPr>
        <w:t>Northern Territory</w:t>
      </w:r>
      <w:r w:rsidR="00100631">
        <w:rPr>
          <w:spacing w:val="-2"/>
        </w:rPr>
        <w:t> </w:t>
      </w:r>
      <w:r w:rsidR="00133959" w:rsidRPr="00B37F96">
        <w:rPr>
          <w:spacing w:val="-2"/>
        </w:rPr>
        <w:t>to the same extent, or whether the same market mech</w:t>
      </w:r>
      <w:r w:rsidR="00100631">
        <w:rPr>
          <w:spacing w:val="-2"/>
        </w:rPr>
        <w:t xml:space="preserve">anisms are applicable to the </w:t>
      </w:r>
      <w:r w:rsidR="00751007">
        <w:rPr>
          <w:spacing w:val="-2"/>
        </w:rPr>
        <w:t>Northern Territory</w:t>
      </w:r>
      <w:r w:rsidR="00100631">
        <w:rPr>
          <w:spacing w:val="-2"/>
        </w:rPr>
        <w:t> given its</w:t>
      </w:r>
      <w:r w:rsidR="00133959" w:rsidRPr="00B37F96">
        <w:rPr>
          <w:spacing w:val="-2"/>
        </w:rPr>
        <w:t xml:space="preserve"> unique workforce profile and population health profile.</w:t>
      </w:r>
    </w:p>
    <w:p w14:paraId="4AD4969C" w14:textId="77777777" w:rsidR="00133959" w:rsidRPr="00B37F96" w:rsidRDefault="00133959" w:rsidP="00133959">
      <w:pPr>
        <w:rPr>
          <w:spacing w:val="-2"/>
        </w:rPr>
      </w:pPr>
    </w:p>
    <w:p w14:paraId="6063771D" w14:textId="6353DE1A" w:rsidR="00380FD3" w:rsidRPr="00B37F96" w:rsidRDefault="00133959" w:rsidP="008F228A">
      <w:pPr>
        <w:rPr>
          <w:spacing w:val="-2"/>
        </w:rPr>
      </w:pPr>
      <w:r w:rsidRPr="00B37F96">
        <w:rPr>
          <w:spacing w:val="-2"/>
        </w:rPr>
        <w:t xml:space="preserve">Therefore, further work is required to develop and test a contestability model for public dental services in the </w:t>
      </w:r>
      <w:r w:rsidR="00751007">
        <w:rPr>
          <w:spacing w:val="-2"/>
        </w:rPr>
        <w:t>Northern Territory</w:t>
      </w:r>
      <w:r w:rsidRPr="00B37F96">
        <w:rPr>
          <w:spacing w:val="-2"/>
        </w:rPr>
        <w:t xml:space="preserve">. The model would need to recognise local industry preferences and limitations, population health needs and </w:t>
      </w:r>
      <w:r w:rsidR="00100631">
        <w:rPr>
          <w:spacing w:val="-2"/>
        </w:rPr>
        <w:t xml:space="preserve">the </w:t>
      </w:r>
      <w:r w:rsidRPr="00B37F96">
        <w:rPr>
          <w:spacing w:val="-2"/>
        </w:rPr>
        <w:t>pub</w:t>
      </w:r>
      <w:r w:rsidR="00100631">
        <w:rPr>
          <w:spacing w:val="-2"/>
        </w:rPr>
        <w:t>lic interest. Moreover, the NTG </w:t>
      </w:r>
      <w:r w:rsidRPr="00B37F96">
        <w:rPr>
          <w:spacing w:val="-2"/>
        </w:rPr>
        <w:t>will need to develop appropriate administration and compliance mechanisms to manage costing estimates, benchmarking, performance monitoring and risk mitigation strategies. This will most likely require additional capacity for data management, analysis and monitoring.</w:t>
      </w:r>
    </w:p>
    <w:sectPr w:rsidR="00380FD3" w:rsidRPr="00B37F96" w:rsidSect="00B86419">
      <w:headerReference w:type="default" r:id="rId23"/>
      <w:headerReference w:type="first" r:id="rId24"/>
      <w:pgSz w:w="11906" w:h="16838" w:code="9"/>
      <w:pgMar w:top="709" w:right="1440" w:bottom="851" w:left="1440"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0A73D" w14:textId="77777777" w:rsidR="003822B4" w:rsidRDefault="003822B4" w:rsidP="00051841">
      <w:r>
        <w:separator/>
      </w:r>
    </w:p>
  </w:endnote>
  <w:endnote w:type="continuationSeparator" w:id="0">
    <w:p w14:paraId="71883CEF" w14:textId="77777777" w:rsidR="003822B4" w:rsidRDefault="003822B4" w:rsidP="00051841">
      <w:r>
        <w:continuationSeparator/>
      </w:r>
    </w:p>
  </w:endnote>
  <w:endnote w:type="continuationNotice" w:id="1">
    <w:p w14:paraId="34D6E0F4" w14:textId="77777777" w:rsidR="003822B4" w:rsidRDefault="003822B4" w:rsidP="00051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ato">
    <w:altName w:val="Calibri"/>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6C64" w14:textId="405AE4FF" w:rsidR="003822B4" w:rsidRPr="0095077C" w:rsidRDefault="003822B4" w:rsidP="00051841">
    <w:pPr>
      <w:pStyle w:val="Footer"/>
      <w:rPr>
        <w:sz w:val="20"/>
      </w:rPr>
    </w:pPr>
    <w:r>
      <w:rPr>
        <w:sz w:val="20"/>
      </w:rPr>
      <w:t>Northern Territory Government Submission to</w:t>
    </w:r>
    <w:r w:rsidRPr="0095077C">
      <w:rPr>
        <w:sz w:val="20"/>
      </w:rPr>
      <w:t xml:space="preserve"> </w:t>
    </w:r>
    <w:r>
      <w:rPr>
        <w:sz w:val="20"/>
      </w:rPr>
      <w:t xml:space="preserve">the </w:t>
    </w:r>
    <w:r w:rsidRPr="0095077C">
      <w:rPr>
        <w:sz w:val="20"/>
      </w:rPr>
      <w:t>Inquiry into Reforms to Human Services</w:t>
    </w:r>
    <w:r>
      <w:rPr>
        <w:sz w:val="20"/>
      </w:rPr>
      <w:tab/>
    </w:r>
    <w:r w:rsidRPr="0095077C" w:rsidDel="00337D40">
      <w:rPr>
        <w:sz w:val="20"/>
      </w:rPr>
      <w:t xml:space="preserve"> </w:t>
    </w:r>
    <w:r w:rsidRPr="0095077C">
      <w:rPr>
        <w:b/>
        <w:color w:val="E36C0A" w:themeColor="accent6" w:themeShade="BF"/>
        <w:sz w:val="20"/>
      </w:rPr>
      <w:t xml:space="preserve">| </w:t>
    </w:r>
    <w:r w:rsidRPr="0095077C">
      <w:rPr>
        <w:sz w:val="20"/>
      </w:rPr>
      <w:fldChar w:fldCharType="begin"/>
    </w:r>
    <w:r w:rsidRPr="0095077C">
      <w:rPr>
        <w:sz w:val="20"/>
      </w:rPr>
      <w:instrText xml:space="preserve"> PAGE   \* MERGEFORMAT </w:instrText>
    </w:r>
    <w:r w:rsidRPr="0095077C">
      <w:rPr>
        <w:sz w:val="20"/>
      </w:rPr>
      <w:fldChar w:fldCharType="separate"/>
    </w:r>
    <w:r w:rsidR="00A65282">
      <w:rPr>
        <w:noProof/>
        <w:sz w:val="20"/>
      </w:rPr>
      <w:t>2</w:t>
    </w:r>
    <w:r w:rsidRPr="0095077C">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761A" w14:textId="77777777" w:rsidR="003822B4" w:rsidRDefault="003822B4" w:rsidP="00051841">
    <w:pPr>
      <w:pStyle w:val="Footer"/>
    </w:pPr>
    <w:r w:rsidRPr="008D3D0A">
      <w:rPr>
        <w:b/>
        <w:color w:val="E36C0A" w:themeColor="accent6" w:themeShade="BF"/>
        <w:sz w:val="32"/>
        <w:szCs w:val="32"/>
      </w:rPr>
      <w:t>|</w:t>
    </w:r>
    <w:r>
      <w:rPr>
        <w:b/>
        <w:color w:val="E36C0A" w:themeColor="accent6" w:themeShade="BF"/>
        <w:sz w:val="32"/>
      </w:rPr>
      <w:t xml:space="preserve"> </w:t>
    </w:r>
    <w:r w:rsidRPr="008D3D0A">
      <w:fldChar w:fldCharType="begin"/>
    </w:r>
    <w:r w:rsidRPr="008D3D0A">
      <w:instrText xml:space="preserve"> PAGE   \* MERGEFORMAT </w:instrText>
    </w:r>
    <w:r w:rsidRPr="008D3D0A">
      <w:fldChar w:fldCharType="separate"/>
    </w:r>
    <w:r w:rsidR="00A65282">
      <w:rPr>
        <w:noProof/>
      </w:rPr>
      <w:t>1</w:t>
    </w:r>
    <w:r w:rsidRPr="008D3D0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943B5" w14:textId="77777777" w:rsidR="003822B4" w:rsidRDefault="003822B4" w:rsidP="00051841">
      <w:r>
        <w:separator/>
      </w:r>
    </w:p>
  </w:footnote>
  <w:footnote w:type="continuationSeparator" w:id="0">
    <w:p w14:paraId="6BF7285F" w14:textId="77777777" w:rsidR="003822B4" w:rsidRDefault="003822B4" w:rsidP="00051841">
      <w:r>
        <w:continuationSeparator/>
      </w:r>
    </w:p>
  </w:footnote>
  <w:footnote w:type="continuationNotice" w:id="1">
    <w:p w14:paraId="1201CF75" w14:textId="77777777" w:rsidR="003822B4" w:rsidRDefault="003822B4" w:rsidP="00051841"/>
  </w:footnote>
  <w:footnote w:id="2">
    <w:p w14:paraId="294045C0" w14:textId="3F66ADEC" w:rsidR="003822B4" w:rsidRDefault="003822B4">
      <w:pPr>
        <w:pStyle w:val="FootnoteText"/>
      </w:pPr>
      <w:r>
        <w:rPr>
          <w:rStyle w:val="FootnoteReference"/>
        </w:rPr>
        <w:footnoteRef/>
      </w:r>
      <w:r>
        <w:t xml:space="preserve"> Australian Bureau of Statistics, 2011 Census of Population and Housing, Aboriginal and Torres Strait Island Peoples (Indigenous) Profile, Catalogue number 2002.0. (Estimated Residential Population data not yet available for 2016 Census)</w:t>
      </w:r>
    </w:p>
  </w:footnote>
  <w:footnote w:id="3">
    <w:p w14:paraId="65FA2FFA" w14:textId="5557BD56" w:rsidR="003822B4" w:rsidRDefault="003822B4">
      <w:pPr>
        <w:pStyle w:val="FootnoteText"/>
      </w:pPr>
      <w:r>
        <w:rPr>
          <w:rStyle w:val="FootnoteReference"/>
        </w:rPr>
        <w:footnoteRef/>
      </w:r>
      <w:r>
        <w:t xml:space="preserve"> ibid</w:t>
      </w:r>
    </w:p>
  </w:footnote>
  <w:footnote w:id="4">
    <w:p w14:paraId="26CE2924" w14:textId="1DD966F8" w:rsidR="003822B4" w:rsidRPr="00866A5A" w:rsidRDefault="003822B4" w:rsidP="00866A5A">
      <w:pPr>
        <w:pStyle w:val="FootnoteText"/>
        <w:spacing w:before="0"/>
      </w:pPr>
      <w:r>
        <w:rPr>
          <w:rStyle w:val="FootnoteReference"/>
        </w:rPr>
        <w:footnoteRef/>
      </w:r>
      <w:r>
        <w:t xml:space="preserve"> </w:t>
      </w:r>
      <w:r w:rsidRPr="00866A5A">
        <w:rPr>
          <w:i/>
        </w:rPr>
        <w:t xml:space="preserve">Competition Policy - </w:t>
      </w:r>
      <w:r>
        <w:rPr>
          <w:i/>
        </w:rPr>
        <w:t>i</w:t>
      </w:r>
      <w:r w:rsidRPr="00866A5A">
        <w:rPr>
          <w:i/>
        </w:rPr>
        <w:t xml:space="preserve">mplementing competition reforms </w:t>
      </w:r>
      <w:r>
        <w:rPr>
          <w:i/>
        </w:rPr>
        <w:t>in r</w:t>
      </w:r>
      <w:r w:rsidRPr="00866A5A">
        <w:rPr>
          <w:i/>
        </w:rPr>
        <w:t xml:space="preserve">egional and </w:t>
      </w:r>
      <w:r>
        <w:rPr>
          <w:i/>
        </w:rPr>
        <w:t>r</w:t>
      </w:r>
      <w:r w:rsidRPr="00866A5A">
        <w:rPr>
          <w:i/>
        </w:rPr>
        <w:t>emote Australia</w:t>
      </w:r>
      <w:r>
        <w:t> (2016). Report prepared by Northern Territory, New South Wales and Commonwealth governments.</w:t>
      </w:r>
    </w:p>
  </w:footnote>
  <w:footnote w:id="5">
    <w:p w14:paraId="3379CC0F" w14:textId="1FF73FB5" w:rsidR="003822B4" w:rsidRPr="0052025D" w:rsidRDefault="003822B4" w:rsidP="00051841">
      <w:pPr>
        <w:pStyle w:val="FootnoteText"/>
        <w:rPr>
          <w:sz w:val="18"/>
          <w:szCs w:val="18"/>
        </w:rPr>
      </w:pPr>
      <w:r w:rsidRPr="0052025D">
        <w:rPr>
          <w:rStyle w:val="FootnoteReference"/>
          <w:sz w:val="18"/>
          <w:szCs w:val="18"/>
        </w:rPr>
        <w:footnoteRef/>
      </w:r>
      <w:r w:rsidRPr="0052025D">
        <w:rPr>
          <w:sz w:val="18"/>
          <w:szCs w:val="18"/>
        </w:rPr>
        <w:t xml:space="preserve"> </w:t>
      </w:r>
      <w:r w:rsidR="00D172C6">
        <w:rPr>
          <w:sz w:val="18"/>
          <w:szCs w:val="18"/>
        </w:rPr>
        <w:t xml:space="preserve">HAA Dwelling and Household size at </w:t>
      </w:r>
      <w:hyperlink r:id="rId1" w:history="1">
        <w:r w:rsidR="00D172C6" w:rsidRPr="00F87EF3">
          <w:rPr>
            <w:rStyle w:val="Hyperlink"/>
            <w:sz w:val="18"/>
            <w:szCs w:val="18"/>
          </w:rPr>
          <w:t>http://www.aihw.gov.au/housing-assistance/haa/2017/data</w:t>
        </w:r>
      </w:hyperlink>
      <w:r w:rsidR="00D172C6">
        <w:rPr>
          <w:sz w:val="18"/>
          <w:szCs w:val="18"/>
        </w:rPr>
        <w:t xml:space="preserve"> </w:t>
      </w:r>
    </w:p>
  </w:footnote>
  <w:footnote w:id="6">
    <w:p w14:paraId="2BDEC7D6" w14:textId="77777777" w:rsidR="003822B4" w:rsidRDefault="003822B4" w:rsidP="00040E3E">
      <w:pPr>
        <w:pStyle w:val="FootnoteText"/>
      </w:pPr>
      <w:r>
        <w:rPr>
          <w:rStyle w:val="FootnoteReference"/>
        </w:rPr>
        <w:footnoteRef/>
      </w:r>
      <w:r>
        <w:t xml:space="preserve"> Report of Government Services, 2017, Table 18A.21</w:t>
      </w:r>
    </w:p>
  </w:footnote>
  <w:footnote w:id="7">
    <w:p w14:paraId="54313B45" w14:textId="6A436020" w:rsidR="003822B4" w:rsidRDefault="003822B4">
      <w:pPr>
        <w:pStyle w:val="FootnoteText"/>
      </w:pPr>
      <w:r>
        <w:rPr>
          <w:rStyle w:val="FootnoteReference"/>
        </w:rPr>
        <w:footnoteRef/>
      </w:r>
      <w:r>
        <w:t xml:space="preserve"> National Aboriginal and Torres Strait Islander Social Survey, Australia 2014</w:t>
      </w:r>
      <w:r>
        <w:noBreakHyphen/>
        <w:t>15</w:t>
      </w:r>
    </w:p>
  </w:footnote>
  <w:footnote w:id="8">
    <w:p w14:paraId="6296367C" w14:textId="0843076D" w:rsidR="003822B4" w:rsidRPr="0052025D" w:rsidRDefault="003822B4" w:rsidP="007D1CC2">
      <w:pPr>
        <w:pStyle w:val="FootnoteText"/>
        <w:rPr>
          <w:sz w:val="18"/>
          <w:szCs w:val="18"/>
        </w:rPr>
      </w:pPr>
      <w:r w:rsidRPr="0052025D">
        <w:rPr>
          <w:rStyle w:val="FootnoteReference"/>
          <w:sz w:val="18"/>
          <w:szCs w:val="18"/>
        </w:rPr>
        <w:footnoteRef/>
      </w:r>
      <w:r w:rsidRPr="0052025D">
        <w:rPr>
          <w:sz w:val="18"/>
          <w:szCs w:val="18"/>
        </w:rPr>
        <w:t xml:space="preserve"> The no wrong door principle sets out that a client seeking housing advice and assistance through any service delivery door of a participating social housing provider will be assisted to link to the most appropriate service provider. For example, where a social housing provider does not deliver a specific housing service, the provider will assist the client to link with a provider of the service that is needed. A key aim is to provide a consistent standard of housing advice and streamlined access to services.</w:t>
      </w:r>
    </w:p>
  </w:footnote>
  <w:footnote w:id="9">
    <w:p w14:paraId="37B5277C" w14:textId="1142CB08" w:rsidR="003822B4" w:rsidRPr="00EE1179" w:rsidRDefault="003822B4" w:rsidP="007D1CC2">
      <w:pPr>
        <w:pStyle w:val="FootnoteText"/>
        <w:rPr>
          <w:sz w:val="18"/>
          <w:szCs w:val="18"/>
        </w:rPr>
      </w:pPr>
      <w:r w:rsidRPr="00EE1179">
        <w:rPr>
          <w:rStyle w:val="FootnoteReference"/>
          <w:sz w:val="18"/>
          <w:szCs w:val="18"/>
        </w:rPr>
        <w:footnoteRef/>
      </w:r>
      <w:r w:rsidRPr="00EE1179">
        <w:rPr>
          <w:sz w:val="18"/>
          <w:szCs w:val="18"/>
        </w:rPr>
        <w:t xml:space="preserve"> </w:t>
      </w:r>
      <w:r>
        <w:rPr>
          <w:sz w:val="18"/>
          <w:szCs w:val="18"/>
        </w:rPr>
        <w:t>Where the funder is less interested in micro</w:t>
      </w:r>
      <w:r>
        <w:rPr>
          <w:sz w:val="18"/>
          <w:szCs w:val="18"/>
        </w:rPr>
        <w:noBreakHyphen/>
        <w:t xml:space="preserve">managing service providers and, instead, is </w:t>
      </w:r>
      <w:r w:rsidRPr="00EE1179">
        <w:rPr>
          <w:sz w:val="18"/>
          <w:szCs w:val="18"/>
        </w:rPr>
        <w:t>prepared to state the</w:t>
      </w:r>
      <w:r>
        <w:rPr>
          <w:sz w:val="18"/>
          <w:szCs w:val="18"/>
        </w:rPr>
        <w:t xml:space="preserve"> </w:t>
      </w:r>
      <w:r w:rsidRPr="00EE1179">
        <w:rPr>
          <w:sz w:val="18"/>
          <w:szCs w:val="18"/>
        </w:rPr>
        <w:t xml:space="preserve">outcomes </w:t>
      </w:r>
      <w:r>
        <w:rPr>
          <w:sz w:val="18"/>
          <w:szCs w:val="18"/>
        </w:rPr>
        <w:t xml:space="preserve">sought, and allow service providers </w:t>
      </w:r>
      <w:r w:rsidRPr="00EE1179">
        <w:rPr>
          <w:sz w:val="18"/>
          <w:szCs w:val="18"/>
        </w:rPr>
        <w:t>latitude to</w:t>
      </w:r>
      <w:r>
        <w:rPr>
          <w:sz w:val="18"/>
          <w:szCs w:val="18"/>
        </w:rPr>
        <w:t xml:space="preserve"> innovate and </w:t>
      </w:r>
      <w:r w:rsidRPr="00EE1179">
        <w:rPr>
          <w:sz w:val="18"/>
          <w:szCs w:val="18"/>
        </w:rPr>
        <w:t xml:space="preserve">choose the right approaches for each </w:t>
      </w:r>
      <w:r>
        <w:rPr>
          <w:sz w:val="18"/>
          <w:szCs w:val="18"/>
        </w:rPr>
        <w:t>client</w:t>
      </w:r>
      <w:r w:rsidRPr="00EE1179">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60E3" w14:textId="1F502F32" w:rsidR="003822B4" w:rsidRPr="00723736" w:rsidRDefault="003822B4">
    <w:pPr>
      <w:pStyle w:val="Header"/>
      <w:rPr>
        <w:b/>
      </w:rPr>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91BC" w14:textId="10083CD3" w:rsidR="003822B4" w:rsidRPr="00D815FC" w:rsidRDefault="003822B4" w:rsidP="00E536DE">
    <w:pPr>
      <w:tabs>
        <w:tab w:val="clear" w:pos="1134"/>
      </w:tabs>
      <w:spacing w:before="0" w:after="200" w:line="276" w:lineRule="auto"/>
      <w:rPr>
        <w:b/>
        <w:color w:val="E36C0A" w:themeColor="accent6" w:themeShade="BF"/>
        <w:spacing w:val="-2"/>
        <w:sz w:val="48"/>
        <w:szCs w:val="48"/>
      </w:rPr>
    </w:pPr>
    <w:r w:rsidRPr="00D815FC">
      <w:rPr>
        <w:b/>
        <w:color w:val="E36C0A" w:themeColor="accent6" w:themeShade="BF"/>
        <w:spacing w:val="-2"/>
        <w:sz w:val="48"/>
        <w:szCs w:val="48"/>
      </w:rPr>
      <w:t>Response in detail</w:t>
    </w:r>
  </w:p>
  <w:p w14:paraId="3DC9218D" w14:textId="51473F4B" w:rsidR="003822B4" w:rsidRPr="00E536DE" w:rsidRDefault="00A65282" w:rsidP="00E536DE">
    <w:pPr>
      <w:pStyle w:val="Header"/>
    </w:pPr>
    <w:r>
      <w:pict w14:anchorId="1E01B70D">
        <v:rect id="_x0000_i1025" style="width:451.3pt;height:1.5pt;mso-position-vertical:absolute" o:hralign="center" o:hrstd="t" o:hrnoshade="t" o:hr="t" fillcolor="#e36c0a [2409]"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3EF4" w14:textId="165C79CB" w:rsidR="003822B4" w:rsidRPr="00E536DE" w:rsidRDefault="00A65282" w:rsidP="00E536DE">
    <w:pPr>
      <w:pStyle w:val="Header"/>
    </w:pPr>
    <w:r>
      <w:pict w14:anchorId="39D72DF6">
        <v:rect id="_x0000_i1026" style="width:451.3pt;height:1.5pt;mso-position-vertical:absolute" o:hralign="center" o:hrstd="t" o:hrnoshade="t" o:hr="t" fillcolor="#e36c0a [2409]" stroked="f"/>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AF675" w14:textId="77777777" w:rsidR="003822B4" w:rsidRPr="00723736" w:rsidRDefault="003822B4">
    <w:pPr>
      <w:pStyle w:val="Header"/>
      <w:rPr>
        <w:b/>
      </w:rPr>
    </w:pPr>
    <w:r>
      <w:tab/>
    </w:r>
    <w:r>
      <w:tab/>
    </w:r>
    <w:r>
      <w:tab/>
    </w:r>
    <w:r w:rsidRPr="00723736">
      <w:rPr>
        <w:b/>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6740B"/>
    <w:multiLevelType w:val="hybridMultilevel"/>
    <w:tmpl w:val="48205B5E"/>
    <w:lvl w:ilvl="0" w:tplc="B0C295CA">
      <w:start w:val="1"/>
      <w:numFmt w:val="bullet"/>
      <w:lvlText w:val="•"/>
      <w:lvlJc w:val="left"/>
      <w:pPr>
        <w:tabs>
          <w:tab w:val="num" w:pos="720"/>
        </w:tabs>
        <w:ind w:left="720" w:hanging="360"/>
      </w:pPr>
      <w:rPr>
        <w:rFonts w:ascii="Arial" w:hAnsi="Arial" w:hint="default"/>
      </w:rPr>
    </w:lvl>
    <w:lvl w:ilvl="1" w:tplc="CC38FE78" w:tentative="1">
      <w:start w:val="1"/>
      <w:numFmt w:val="bullet"/>
      <w:lvlText w:val="•"/>
      <w:lvlJc w:val="left"/>
      <w:pPr>
        <w:tabs>
          <w:tab w:val="num" w:pos="1440"/>
        </w:tabs>
        <w:ind w:left="1440" w:hanging="360"/>
      </w:pPr>
      <w:rPr>
        <w:rFonts w:ascii="Arial" w:hAnsi="Arial" w:hint="default"/>
      </w:rPr>
    </w:lvl>
    <w:lvl w:ilvl="2" w:tplc="C730F590" w:tentative="1">
      <w:start w:val="1"/>
      <w:numFmt w:val="bullet"/>
      <w:lvlText w:val="•"/>
      <w:lvlJc w:val="left"/>
      <w:pPr>
        <w:tabs>
          <w:tab w:val="num" w:pos="2160"/>
        </w:tabs>
        <w:ind w:left="2160" w:hanging="360"/>
      </w:pPr>
      <w:rPr>
        <w:rFonts w:ascii="Arial" w:hAnsi="Arial" w:hint="default"/>
      </w:rPr>
    </w:lvl>
    <w:lvl w:ilvl="3" w:tplc="4FF4CBA0" w:tentative="1">
      <w:start w:val="1"/>
      <w:numFmt w:val="bullet"/>
      <w:lvlText w:val="•"/>
      <w:lvlJc w:val="left"/>
      <w:pPr>
        <w:tabs>
          <w:tab w:val="num" w:pos="2880"/>
        </w:tabs>
        <w:ind w:left="2880" w:hanging="360"/>
      </w:pPr>
      <w:rPr>
        <w:rFonts w:ascii="Arial" w:hAnsi="Arial" w:hint="default"/>
      </w:rPr>
    </w:lvl>
    <w:lvl w:ilvl="4" w:tplc="6CAC8F92" w:tentative="1">
      <w:start w:val="1"/>
      <w:numFmt w:val="bullet"/>
      <w:lvlText w:val="•"/>
      <w:lvlJc w:val="left"/>
      <w:pPr>
        <w:tabs>
          <w:tab w:val="num" w:pos="3600"/>
        </w:tabs>
        <w:ind w:left="3600" w:hanging="360"/>
      </w:pPr>
      <w:rPr>
        <w:rFonts w:ascii="Arial" w:hAnsi="Arial" w:hint="default"/>
      </w:rPr>
    </w:lvl>
    <w:lvl w:ilvl="5" w:tplc="7B3C3646" w:tentative="1">
      <w:start w:val="1"/>
      <w:numFmt w:val="bullet"/>
      <w:lvlText w:val="•"/>
      <w:lvlJc w:val="left"/>
      <w:pPr>
        <w:tabs>
          <w:tab w:val="num" w:pos="4320"/>
        </w:tabs>
        <w:ind w:left="4320" w:hanging="360"/>
      </w:pPr>
      <w:rPr>
        <w:rFonts w:ascii="Arial" w:hAnsi="Arial" w:hint="default"/>
      </w:rPr>
    </w:lvl>
    <w:lvl w:ilvl="6" w:tplc="A63A791A" w:tentative="1">
      <w:start w:val="1"/>
      <w:numFmt w:val="bullet"/>
      <w:lvlText w:val="•"/>
      <w:lvlJc w:val="left"/>
      <w:pPr>
        <w:tabs>
          <w:tab w:val="num" w:pos="5040"/>
        </w:tabs>
        <w:ind w:left="5040" w:hanging="360"/>
      </w:pPr>
      <w:rPr>
        <w:rFonts w:ascii="Arial" w:hAnsi="Arial" w:hint="default"/>
      </w:rPr>
    </w:lvl>
    <w:lvl w:ilvl="7" w:tplc="6C2E920C" w:tentative="1">
      <w:start w:val="1"/>
      <w:numFmt w:val="bullet"/>
      <w:lvlText w:val="•"/>
      <w:lvlJc w:val="left"/>
      <w:pPr>
        <w:tabs>
          <w:tab w:val="num" w:pos="5760"/>
        </w:tabs>
        <w:ind w:left="5760" w:hanging="360"/>
      </w:pPr>
      <w:rPr>
        <w:rFonts w:ascii="Arial" w:hAnsi="Arial" w:hint="default"/>
      </w:rPr>
    </w:lvl>
    <w:lvl w:ilvl="8" w:tplc="7C2C2E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9003067"/>
    <w:multiLevelType w:val="hybridMultilevel"/>
    <w:tmpl w:val="4CDC2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1A0A10"/>
    <w:multiLevelType w:val="hybridMultilevel"/>
    <w:tmpl w:val="6336A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7477EA"/>
    <w:multiLevelType w:val="multilevel"/>
    <w:tmpl w:val="475CF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characterSpacingControl w:val="doNotCompress"/>
  <w:hdrShapeDefaults>
    <o:shapedefaults v:ext="edit" spidmax="3481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15"/>
    <w:rsid w:val="00000064"/>
    <w:rsid w:val="00000569"/>
    <w:rsid w:val="000005B2"/>
    <w:rsid w:val="00000914"/>
    <w:rsid w:val="00000C42"/>
    <w:rsid w:val="00001692"/>
    <w:rsid w:val="00001B19"/>
    <w:rsid w:val="00002C2A"/>
    <w:rsid w:val="00003DE2"/>
    <w:rsid w:val="0000442F"/>
    <w:rsid w:val="000051D9"/>
    <w:rsid w:val="0000539F"/>
    <w:rsid w:val="0000669E"/>
    <w:rsid w:val="00007252"/>
    <w:rsid w:val="00011C0A"/>
    <w:rsid w:val="00012324"/>
    <w:rsid w:val="00014BEB"/>
    <w:rsid w:val="000154BA"/>
    <w:rsid w:val="00015BF0"/>
    <w:rsid w:val="000163F3"/>
    <w:rsid w:val="000169A1"/>
    <w:rsid w:val="00016FEF"/>
    <w:rsid w:val="00017DA4"/>
    <w:rsid w:val="00022F95"/>
    <w:rsid w:val="00024246"/>
    <w:rsid w:val="00024270"/>
    <w:rsid w:val="00024E76"/>
    <w:rsid w:val="00025F29"/>
    <w:rsid w:val="00026658"/>
    <w:rsid w:val="00030D8C"/>
    <w:rsid w:val="00031287"/>
    <w:rsid w:val="000322DB"/>
    <w:rsid w:val="0003364D"/>
    <w:rsid w:val="000345E2"/>
    <w:rsid w:val="00034E3F"/>
    <w:rsid w:val="00034FA1"/>
    <w:rsid w:val="00035149"/>
    <w:rsid w:val="00035933"/>
    <w:rsid w:val="00035C70"/>
    <w:rsid w:val="00035DD3"/>
    <w:rsid w:val="000370E4"/>
    <w:rsid w:val="00037B9E"/>
    <w:rsid w:val="0004079F"/>
    <w:rsid w:val="00040E3E"/>
    <w:rsid w:val="000416D8"/>
    <w:rsid w:val="00041FD8"/>
    <w:rsid w:val="00042E51"/>
    <w:rsid w:val="0004355A"/>
    <w:rsid w:val="00044746"/>
    <w:rsid w:val="00044D55"/>
    <w:rsid w:val="000452A0"/>
    <w:rsid w:val="000455DC"/>
    <w:rsid w:val="00045757"/>
    <w:rsid w:val="00045A86"/>
    <w:rsid w:val="00045EEE"/>
    <w:rsid w:val="00050954"/>
    <w:rsid w:val="00051841"/>
    <w:rsid w:val="000521E2"/>
    <w:rsid w:val="00052E46"/>
    <w:rsid w:val="00052F4B"/>
    <w:rsid w:val="00052FD2"/>
    <w:rsid w:val="00054FA1"/>
    <w:rsid w:val="000559E0"/>
    <w:rsid w:val="00055E11"/>
    <w:rsid w:val="00056B48"/>
    <w:rsid w:val="00057809"/>
    <w:rsid w:val="00060C86"/>
    <w:rsid w:val="00061915"/>
    <w:rsid w:val="00063879"/>
    <w:rsid w:val="00064744"/>
    <w:rsid w:val="00064B71"/>
    <w:rsid w:val="00065226"/>
    <w:rsid w:val="000653A2"/>
    <w:rsid w:val="00067010"/>
    <w:rsid w:val="00067013"/>
    <w:rsid w:val="000717CB"/>
    <w:rsid w:val="00071A4E"/>
    <w:rsid w:val="00072B8E"/>
    <w:rsid w:val="00073830"/>
    <w:rsid w:val="0007389A"/>
    <w:rsid w:val="000743E0"/>
    <w:rsid w:val="000747BD"/>
    <w:rsid w:val="00075079"/>
    <w:rsid w:val="00075A9E"/>
    <w:rsid w:val="00075B07"/>
    <w:rsid w:val="00076243"/>
    <w:rsid w:val="00076349"/>
    <w:rsid w:val="000763D4"/>
    <w:rsid w:val="000769FD"/>
    <w:rsid w:val="00076E37"/>
    <w:rsid w:val="000809ED"/>
    <w:rsid w:val="00081667"/>
    <w:rsid w:val="00081766"/>
    <w:rsid w:val="0008279D"/>
    <w:rsid w:val="0008310A"/>
    <w:rsid w:val="00084D1B"/>
    <w:rsid w:val="000873C2"/>
    <w:rsid w:val="000913D2"/>
    <w:rsid w:val="0009140E"/>
    <w:rsid w:val="00092E66"/>
    <w:rsid w:val="0009359E"/>
    <w:rsid w:val="00093A29"/>
    <w:rsid w:val="0009403D"/>
    <w:rsid w:val="000948D6"/>
    <w:rsid w:val="0009553B"/>
    <w:rsid w:val="00097C15"/>
    <w:rsid w:val="000A1790"/>
    <w:rsid w:val="000A1B07"/>
    <w:rsid w:val="000A23E3"/>
    <w:rsid w:val="000A43EB"/>
    <w:rsid w:val="000A4EDF"/>
    <w:rsid w:val="000A57E9"/>
    <w:rsid w:val="000B03FE"/>
    <w:rsid w:val="000B1055"/>
    <w:rsid w:val="000B1AAD"/>
    <w:rsid w:val="000B1EAF"/>
    <w:rsid w:val="000B31FC"/>
    <w:rsid w:val="000B4183"/>
    <w:rsid w:val="000B4379"/>
    <w:rsid w:val="000B485F"/>
    <w:rsid w:val="000B4E5D"/>
    <w:rsid w:val="000B5286"/>
    <w:rsid w:val="000B52F0"/>
    <w:rsid w:val="000B5E5B"/>
    <w:rsid w:val="000B6F9F"/>
    <w:rsid w:val="000B6FD8"/>
    <w:rsid w:val="000B7A68"/>
    <w:rsid w:val="000C03FF"/>
    <w:rsid w:val="000C0E6D"/>
    <w:rsid w:val="000C1094"/>
    <w:rsid w:val="000C1C82"/>
    <w:rsid w:val="000C2E0A"/>
    <w:rsid w:val="000C2E6D"/>
    <w:rsid w:val="000C47B8"/>
    <w:rsid w:val="000C48DA"/>
    <w:rsid w:val="000C528C"/>
    <w:rsid w:val="000C6E8F"/>
    <w:rsid w:val="000C6ECE"/>
    <w:rsid w:val="000C7EF9"/>
    <w:rsid w:val="000C7F15"/>
    <w:rsid w:val="000D073C"/>
    <w:rsid w:val="000D1513"/>
    <w:rsid w:val="000D1966"/>
    <w:rsid w:val="000D230B"/>
    <w:rsid w:val="000D3004"/>
    <w:rsid w:val="000D3A81"/>
    <w:rsid w:val="000D4708"/>
    <w:rsid w:val="000D66E2"/>
    <w:rsid w:val="000E088A"/>
    <w:rsid w:val="000E0A99"/>
    <w:rsid w:val="000E1798"/>
    <w:rsid w:val="000E1861"/>
    <w:rsid w:val="000E2214"/>
    <w:rsid w:val="000E257C"/>
    <w:rsid w:val="000E2B68"/>
    <w:rsid w:val="000E2F35"/>
    <w:rsid w:val="000E498E"/>
    <w:rsid w:val="000E5EA9"/>
    <w:rsid w:val="000E6916"/>
    <w:rsid w:val="000E6D67"/>
    <w:rsid w:val="000E7992"/>
    <w:rsid w:val="000F0278"/>
    <w:rsid w:val="000F0280"/>
    <w:rsid w:val="000F113F"/>
    <w:rsid w:val="000F21FB"/>
    <w:rsid w:val="000F299D"/>
    <w:rsid w:val="000F2FEF"/>
    <w:rsid w:val="000F3021"/>
    <w:rsid w:val="000F45EC"/>
    <w:rsid w:val="000F56DA"/>
    <w:rsid w:val="000F5CA2"/>
    <w:rsid w:val="000F698D"/>
    <w:rsid w:val="000F79AE"/>
    <w:rsid w:val="000F7C97"/>
    <w:rsid w:val="000F7E89"/>
    <w:rsid w:val="001000CB"/>
    <w:rsid w:val="00100631"/>
    <w:rsid w:val="001025FA"/>
    <w:rsid w:val="001036B4"/>
    <w:rsid w:val="00105860"/>
    <w:rsid w:val="00106942"/>
    <w:rsid w:val="00110743"/>
    <w:rsid w:val="00111151"/>
    <w:rsid w:val="001115E1"/>
    <w:rsid w:val="00111AC9"/>
    <w:rsid w:val="00112659"/>
    <w:rsid w:val="00114099"/>
    <w:rsid w:val="001144A1"/>
    <w:rsid w:val="00114A28"/>
    <w:rsid w:val="00115AB9"/>
    <w:rsid w:val="00115F0A"/>
    <w:rsid w:val="00116220"/>
    <w:rsid w:val="00116718"/>
    <w:rsid w:val="00116A0E"/>
    <w:rsid w:val="00116A4F"/>
    <w:rsid w:val="00116AEB"/>
    <w:rsid w:val="00117600"/>
    <w:rsid w:val="00117D00"/>
    <w:rsid w:val="0012071C"/>
    <w:rsid w:val="00120D46"/>
    <w:rsid w:val="0012213E"/>
    <w:rsid w:val="001236A1"/>
    <w:rsid w:val="00125E60"/>
    <w:rsid w:val="00126DEC"/>
    <w:rsid w:val="0013180E"/>
    <w:rsid w:val="00131865"/>
    <w:rsid w:val="0013205E"/>
    <w:rsid w:val="00132EC3"/>
    <w:rsid w:val="001332DE"/>
    <w:rsid w:val="001335A2"/>
    <w:rsid w:val="00133959"/>
    <w:rsid w:val="001339C7"/>
    <w:rsid w:val="00134B7A"/>
    <w:rsid w:val="00134B90"/>
    <w:rsid w:val="0013509A"/>
    <w:rsid w:val="001350C0"/>
    <w:rsid w:val="001362FE"/>
    <w:rsid w:val="00137871"/>
    <w:rsid w:val="00137BE9"/>
    <w:rsid w:val="00137E2C"/>
    <w:rsid w:val="001415AC"/>
    <w:rsid w:val="00142C37"/>
    <w:rsid w:val="00142DCC"/>
    <w:rsid w:val="00143DDF"/>
    <w:rsid w:val="00143FDF"/>
    <w:rsid w:val="001443D0"/>
    <w:rsid w:val="00144702"/>
    <w:rsid w:val="00144A09"/>
    <w:rsid w:val="00145216"/>
    <w:rsid w:val="0014788E"/>
    <w:rsid w:val="00147DD6"/>
    <w:rsid w:val="00150DF0"/>
    <w:rsid w:val="0015157F"/>
    <w:rsid w:val="0015276A"/>
    <w:rsid w:val="0015284F"/>
    <w:rsid w:val="00152D44"/>
    <w:rsid w:val="00153622"/>
    <w:rsid w:val="00155A31"/>
    <w:rsid w:val="00157730"/>
    <w:rsid w:val="0016067B"/>
    <w:rsid w:val="00160996"/>
    <w:rsid w:val="0016152D"/>
    <w:rsid w:val="00161A84"/>
    <w:rsid w:val="00161F1E"/>
    <w:rsid w:val="00162E7E"/>
    <w:rsid w:val="00162FEC"/>
    <w:rsid w:val="001633C5"/>
    <w:rsid w:val="00163CB7"/>
    <w:rsid w:val="0016463A"/>
    <w:rsid w:val="0016567B"/>
    <w:rsid w:val="00166A78"/>
    <w:rsid w:val="00167A07"/>
    <w:rsid w:val="0017027A"/>
    <w:rsid w:val="001717B2"/>
    <w:rsid w:val="00171916"/>
    <w:rsid w:val="001731BF"/>
    <w:rsid w:val="00173BCC"/>
    <w:rsid w:val="00174F8B"/>
    <w:rsid w:val="00176969"/>
    <w:rsid w:val="00177F09"/>
    <w:rsid w:val="0018061B"/>
    <w:rsid w:val="001822B9"/>
    <w:rsid w:val="00182937"/>
    <w:rsid w:val="001838CE"/>
    <w:rsid w:val="0018428F"/>
    <w:rsid w:val="00185BC9"/>
    <w:rsid w:val="001864BC"/>
    <w:rsid w:val="00186A7A"/>
    <w:rsid w:val="00190824"/>
    <w:rsid w:val="00190AA8"/>
    <w:rsid w:val="00190F1D"/>
    <w:rsid w:val="00193022"/>
    <w:rsid w:val="00193140"/>
    <w:rsid w:val="00193D29"/>
    <w:rsid w:val="00193EB8"/>
    <w:rsid w:val="00193FD2"/>
    <w:rsid w:val="0019409D"/>
    <w:rsid w:val="0019558B"/>
    <w:rsid w:val="00196946"/>
    <w:rsid w:val="00197282"/>
    <w:rsid w:val="0019743C"/>
    <w:rsid w:val="00197A61"/>
    <w:rsid w:val="001A05E9"/>
    <w:rsid w:val="001A0F48"/>
    <w:rsid w:val="001A1116"/>
    <w:rsid w:val="001A16CA"/>
    <w:rsid w:val="001A1C52"/>
    <w:rsid w:val="001A2534"/>
    <w:rsid w:val="001A2964"/>
    <w:rsid w:val="001A2D85"/>
    <w:rsid w:val="001A37CD"/>
    <w:rsid w:val="001A3C63"/>
    <w:rsid w:val="001A5BAD"/>
    <w:rsid w:val="001A6312"/>
    <w:rsid w:val="001A6A7F"/>
    <w:rsid w:val="001A773B"/>
    <w:rsid w:val="001B02C0"/>
    <w:rsid w:val="001B031F"/>
    <w:rsid w:val="001B07D5"/>
    <w:rsid w:val="001B1BC6"/>
    <w:rsid w:val="001B5159"/>
    <w:rsid w:val="001B5D29"/>
    <w:rsid w:val="001B72A5"/>
    <w:rsid w:val="001B730E"/>
    <w:rsid w:val="001B790C"/>
    <w:rsid w:val="001B7B6D"/>
    <w:rsid w:val="001C03EB"/>
    <w:rsid w:val="001C079C"/>
    <w:rsid w:val="001C18DB"/>
    <w:rsid w:val="001C191C"/>
    <w:rsid w:val="001C1F2D"/>
    <w:rsid w:val="001C222D"/>
    <w:rsid w:val="001C3535"/>
    <w:rsid w:val="001C6905"/>
    <w:rsid w:val="001C773F"/>
    <w:rsid w:val="001D65E0"/>
    <w:rsid w:val="001E0AB9"/>
    <w:rsid w:val="001E0E4B"/>
    <w:rsid w:val="001E1261"/>
    <w:rsid w:val="001E1836"/>
    <w:rsid w:val="001E1C92"/>
    <w:rsid w:val="001E5D13"/>
    <w:rsid w:val="001E6264"/>
    <w:rsid w:val="001E6F57"/>
    <w:rsid w:val="001E760A"/>
    <w:rsid w:val="001E7C62"/>
    <w:rsid w:val="001F01F4"/>
    <w:rsid w:val="001F079C"/>
    <w:rsid w:val="001F1516"/>
    <w:rsid w:val="001F1FFB"/>
    <w:rsid w:val="001F24E8"/>
    <w:rsid w:val="001F26A8"/>
    <w:rsid w:val="001F315D"/>
    <w:rsid w:val="001F3591"/>
    <w:rsid w:val="001F3A51"/>
    <w:rsid w:val="001F3A59"/>
    <w:rsid w:val="001F3F90"/>
    <w:rsid w:val="001F4141"/>
    <w:rsid w:val="001F4251"/>
    <w:rsid w:val="001F4AB4"/>
    <w:rsid w:val="001F4B3B"/>
    <w:rsid w:val="001F5797"/>
    <w:rsid w:val="001F5F82"/>
    <w:rsid w:val="00200E98"/>
    <w:rsid w:val="002011C8"/>
    <w:rsid w:val="002011CB"/>
    <w:rsid w:val="00201236"/>
    <w:rsid w:val="00203469"/>
    <w:rsid w:val="00205F19"/>
    <w:rsid w:val="002069FE"/>
    <w:rsid w:val="00207158"/>
    <w:rsid w:val="00207751"/>
    <w:rsid w:val="002109D1"/>
    <w:rsid w:val="00211949"/>
    <w:rsid w:val="002138EB"/>
    <w:rsid w:val="002147D8"/>
    <w:rsid w:val="00216134"/>
    <w:rsid w:val="00221D92"/>
    <w:rsid w:val="00223629"/>
    <w:rsid w:val="00223B55"/>
    <w:rsid w:val="00224135"/>
    <w:rsid w:val="00225156"/>
    <w:rsid w:val="00226B6D"/>
    <w:rsid w:val="00227197"/>
    <w:rsid w:val="00231091"/>
    <w:rsid w:val="00231674"/>
    <w:rsid w:val="00233021"/>
    <w:rsid w:val="002355CA"/>
    <w:rsid w:val="00236734"/>
    <w:rsid w:val="00236C6A"/>
    <w:rsid w:val="002371F2"/>
    <w:rsid w:val="002379A3"/>
    <w:rsid w:val="00237D13"/>
    <w:rsid w:val="00237F3A"/>
    <w:rsid w:val="00240618"/>
    <w:rsid w:val="00241387"/>
    <w:rsid w:val="00241657"/>
    <w:rsid w:val="00241D75"/>
    <w:rsid w:val="00242057"/>
    <w:rsid w:val="00242A99"/>
    <w:rsid w:val="00242EB8"/>
    <w:rsid w:val="0024341F"/>
    <w:rsid w:val="0024349D"/>
    <w:rsid w:val="00243B39"/>
    <w:rsid w:val="002447CF"/>
    <w:rsid w:val="0024494E"/>
    <w:rsid w:val="00246181"/>
    <w:rsid w:val="00246968"/>
    <w:rsid w:val="002470DD"/>
    <w:rsid w:val="0025064E"/>
    <w:rsid w:val="002509F2"/>
    <w:rsid w:val="00250B9C"/>
    <w:rsid w:val="002539D2"/>
    <w:rsid w:val="00253BFA"/>
    <w:rsid w:val="00255426"/>
    <w:rsid w:val="002560C8"/>
    <w:rsid w:val="00256340"/>
    <w:rsid w:val="002576C9"/>
    <w:rsid w:val="0026071C"/>
    <w:rsid w:val="00261607"/>
    <w:rsid w:val="00261816"/>
    <w:rsid w:val="00264BA4"/>
    <w:rsid w:val="002669B2"/>
    <w:rsid w:val="002671CE"/>
    <w:rsid w:val="0026762A"/>
    <w:rsid w:val="00267CDB"/>
    <w:rsid w:val="002700A2"/>
    <w:rsid w:val="002703D6"/>
    <w:rsid w:val="002715C3"/>
    <w:rsid w:val="00272C20"/>
    <w:rsid w:val="002730C1"/>
    <w:rsid w:val="0027390B"/>
    <w:rsid w:val="00273E91"/>
    <w:rsid w:val="00275096"/>
    <w:rsid w:val="002772B2"/>
    <w:rsid w:val="00280320"/>
    <w:rsid w:val="002804EB"/>
    <w:rsid w:val="00280A8E"/>
    <w:rsid w:val="00280DE4"/>
    <w:rsid w:val="00281834"/>
    <w:rsid w:val="00281E8C"/>
    <w:rsid w:val="002823D5"/>
    <w:rsid w:val="00282D5A"/>
    <w:rsid w:val="00285939"/>
    <w:rsid w:val="00285C70"/>
    <w:rsid w:val="00285E0F"/>
    <w:rsid w:val="0028668F"/>
    <w:rsid w:val="00287619"/>
    <w:rsid w:val="00287670"/>
    <w:rsid w:val="00287FFA"/>
    <w:rsid w:val="0029000A"/>
    <w:rsid w:val="00290457"/>
    <w:rsid w:val="00290BDB"/>
    <w:rsid w:val="00291968"/>
    <w:rsid w:val="00291A10"/>
    <w:rsid w:val="00292124"/>
    <w:rsid w:val="00293122"/>
    <w:rsid w:val="00293EB1"/>
    <w:rsid w:val="002945E9"/>
    <w:rsid w:val="00294641"/>
    <w:rsid w:val="002952DE"/>
    <w:rsid w:val="002963AC"/>
    <w:rsid w:val="002964FB"/>
    <w:rsid w:val="00296828"/>
    <w:rsid w:val="00296DDC"/>
    <w:rsid w:val="002970D4"/>
    <w:rsid w:val="0029733E"/>
    <w:rsid w:val="0029749A"/>
    <w:rsid w:val="0029774B"/>
    <w:rsid w:val="00297BFC"/>
    <w:rsid w:val="002A00D9"/>
    <w:rsid w:val="002A095D"/>
    <w:rsid w:val="002A0D00"/>
    <w:rsid w:val="002A116F"/>
    <w:rsid w:val="002A1964"/>
    <w:rsid w:val="002A20F6"/>
    <w:rsid w:val="002A4884"/>
    <w:rsid w:val="002A4B69"/>
    <w:rsid w:val="002A4C43"/>
    <w:rsid w:val="002A6E0D"/>
    <w:rsid w:val="002A77CA"/>
    <w:rsid w:val="002B053D"/>
    <w:rsid w:val="002B2C8D"/>
    <w:rsid w:val="002B55F5"/>
    <w:rsid w:val="002B7488"/>
    <w:rsid w:val="002B778D"/>
    <w:rsid w:val="002B7844"/>
    <w:rsid w:val="002B786F"/>
    <w:rsid w:val="002B78D8"/>
    <w:rsid w:val="002B7FBE"/>
    <w:rsid w:val="002C0379"/>
    <w:rsid w:val="002C1A6A"/>
    <w:rsid w:val="002C1CCA"/>
    <w:rsid w:val="002C2276"/>
    <w:rsid w:val="002C28D0"/>
    <w:rsid w:val="002C2D6F"/>
    <w:rsid w:val="002C3772"/>
    <w:rsid w:val="002C57BF"/>
    <w:rsid w:val="002C6488"/>
    <w:rsid w:val="002C64B4"/>
    <w:rsid w:val="002C6E55"/>
    <w:rsid w:val="002C7CBD"/>
    <w:rsid w:val="002C7D78"/>
    <w:rsid w:val="002D079E"/>
    <w:rsid w:val="002D08C7"/>
    <w:rsid w:val="002D10FD"/>
    <w:rsid w:val="002D1EB6"/>
    <w:rsid w:val="002D2397"/>
    <w:rsid w:val="002D3145"/>
    <w:rsid w:val="002D3180"/>
    <w:rsid w:val="002D339F"/>
    <w:rsid w:val="002D3930"/>
    <w:rsid w:val="002D4B2E"/>
    <w:rsid w:val="002D4C86"/>
    <w:rsid w:val="002D7A7E"/>
    <w:rsid w:val="002E008A"/>
    <w:rsid w:val="002E05D9"/>
    <w:rsid w:val="002E1475"/>
    <w:rsid w:val="002E1C6D"/>
    <w:rsid w:val="002E2987"/>
    <w:rsid w:val="002E3025"/>
    <w:rsid w:val="002E36AC"/>
    <w:rsid w:val="002E455B"/>
    <w:rsid w:val="002E4FB3"/>
    <w:rsid w:val="002E6858"/>
    <w:rsid w:val="002E75A3"/>
    <w:rsid w:val="002F0396"/>
    <w:rsid w:val="002F03AB"/>
    <w:rsid w:val="002F0640"/>
    <w:rsid w:val="002F06B6"/>
    <w:rsid w:val="002F09E5"/>
    <w:rsid w:val="002F127B"/>
    <w:rsid w:val="002F1A5E"/>
    <w:rsid w:val="002F1E96"/>
    <w:rsid w:val="002F2E9C"/>
    <w:rsid w:val="002F3A6F"/>
    <w:rsid w:val="0030295B"/>
    <w:rsid w:val="00303534"/>
    <w:rsid w:val="00303CCA"/>
    <w:rsid w:val="00304F73"/>
    <w:rsid w:val="00305D7A"/>
    <w:rsid w:val="00307E87"/>
    <w:rsid w:val="00310B60"/>
    <w:rsid w:val="00310FAC"/>
    <w:rsid w:val="00311E88"/>
    <w:rsid w:val="00312092"/>
    <w:rsid w:val="003120E1"/>
    <w:rsid w:val="003122CA"/>
    <w:rsid w:val="00312897"/>
    <w:rsid w:val="00313E5E"/>
    <w:rsid w:val="00314B82"/>
    <w:rsid w:val="00315F3F"/>
    <w:rsid w:val="003173F5"/>
    <w:rsid w:val="003175AA"/>
    <w:rsid w:val="00317CD5"/>
    <w:rsid w:val="00321376"/>
    <w:rsid w:val="0032294B"/>
    <w:rsid w:val="003232F5"/>
    <w:rsid w:val="003235A3"/>
    <w:rsid w:val="003248CE"/>
    <w:rsid w:val="003262A8"/>
    <w:rsid w:val="00326A3E"/>
    <w:rsid w:val="00326BDB"/>
    <w:rsid w:val="00326FD0"/>
    <w:rsid w:val="00327238"/>
    <w:rsid w:val="0032731B"/>
    <w:rsid w:val="00327381"/>
    <w:rsid w:val="00331423"/>
    <w:rsid w:val="003318EF"/>
    <w:rsid w:val="0033202D"/>
    <w:rsid w:val="00332D33"/>
    <w:rsid w:val="00333001"/>
    <w:rsid w:val="003356BA"/>
    <w:rsid w:val="0033574E"/>
    <w:rsid w:val="00336DCB"/>
    <w:rsid w:val="0033730F"/>
    <w:rsid w:val="00337CCA"/>
    <w:rsid w:val="00337D40"/>
    <w:rsid w:val="00341507"/>
    <w:rsid w:val="00341D08"/>
    <w:rsid w:val="003433E9"/>
    <w:rsid w:val="003437C4"/>
    <w:rsid w:val="00343E60"/>
    <w:rsid w:val="0034487B"/>
    <w:rsid w:val="00350D58"/>
    <w:rsid w:val="00351C49"/>
    <w:rsid w:val="003520B7"/>
    <w:rsid w:val="00353723"/>
    <w:rsid w:val="00354621"/>
    <w:rsid w:val="00354892"/>
    <w:rsid w:val="00355105"/>
    <w:rsid w:val="003560F4"/>
    <w:rsid w:val="00356AD5"/>
    <w:rsid w:val="00360B0E"/>
    <w:rsid w:val="003612E3"/>
    <w:rsid w:val="0036166B"/>
    <w:rsid w:val="00364E74"/>
    <w:rsid w:val="003660E8"/>
    <w:rsid w:val="00367534"/>
    <w:rsid w:val="00370977"/>
    <w:rsid w:val="00370F8B"/>
    <w:rsid w:val="003712F1"/>
    <w:rsid w:val="0037192D"/>
    <w:rsid w:val="00371D1C"/>
    <w:rsid w:val="003729CB"/>
    <w:rsid w:val="00372BE5"/>
    <w:rsid w:val="00373784"/>
    <w:rsid w:val="0037513A"/>
    <w:rsid w:val="00375E20"/>
    <w:rsid w:val="003760C6"/>
    <w:rsid w:val="003806F0"/>
    <w:rsid w:val="00380FD3"/>
    <w:rsid w:val="00381308"/>
    <w:rsid w:val="003822B4"/>
    <w:rsid w:val="003828B7"/>
    <w:rsid w:val="00382C42"/>
    <w:rsid w:val="00383352"/>
    <w:rsid w:val="0038342D"/>
    <w:rsid w:val="00383D98"/>
    <w:rsid w:val="003842BC"/>
    <w:rsid w:val="003851E8"/>
    <w:rsid w:val="003857BD"/>
    <w:rsid w:val="00385A20"/>
    <w:rsid w:val="0038604A"/>
    <w:rsid w:val="00386A5D"/>
    <w:rsid w:val="00387B78"/>
    <w:rsid w:val="003912B1"/>
    <w:rsid w:val="00391586"/>
    <w:rsid w:val="003923D2"/>
    <w:rsid w:val="00392441"/>
    <w:rsid w:val="00392BCA"/>
    <w:rsid w:val="0039321C"/>
    <w:rsid w:val="00393494"/>
    <w:rsid w:val="00395B3C"/>
    <w:rsid w:val="00395E5B"/>
    <w:rsid w:val="00395E7E"/>
    <w:rsid w:val="003961F7"/>
    <w:rsid w:val="00397BAB"/>
    <w:rsid w:val="00397DA1"/>
    <w:rsid w:val="003A0C21"/>
    <w:rsid w:val="003A12D8"/>
    <w:rsid w:val="003A1C8A"/>
    <w:rsid w:val="003A1DA8"/>
    <w:rsid w:val="003A2E89"/>
    <w:rsid w:val="003A3E1B"/>
    <w:rsid w:val="003A3E5D"/>
    <w:rsid w:val="003A619A"/>
    <w:rsid w:val="003B14B3"/>
    <w:rsid w:val="003B1A65"/>
    <w:rsid w:val="003B2C15"/>
    <w:rsid w:val="003B342B"/>
    <w:rsid w:val="003B509A"/>
    <w:rsid w:val="003B7BFC"/>
    <w:rsid w:val="003B7D38"/>
    <w:rsid w:val="003C08D7"/>
    <w:rsid w:val="003C2CE7"/>
    <w:rsid w:val="003C583B"/>
    <w:rsid w:val="003C5894"/>
    <w:rsid w:val="003C5BA7"/>
    <w:rsid w:val="003C61BF"/>
    <w:rsid w:val="003C761A"/>
    <w:rsid w:val="003D0076"/>
    <w:rsid w:val="003D197A"/>
    <w:rsid w:val="003D22C6"/>
    <w:rsid w:val="003D26E7"/>
    <w:rsid w:val="003D3042"/>
    <w:rsid w:val="003D3606"/>
    <w:rsid w:val="003D461D"/>
    <w:rsid w:val="003D51C3"/>
    <w:rsid w:val="003D5A52"/>
    <w:rsid w:val="003D5BD8"/>
    <w:rsid w:val="003D5FE8"/>
    <w:rsid w:val="003D6340"/>
    <w:rsid w:val="003D7F56"/>
    <w:rsid w:val="003E02A0"/>
    <w:rsid w:val="003E06C7"/>
    <w:rsid w:val="003E0B0F"/>
    <w:rsid w:val="003E0EFD"/>
    <w:rsid w:val="003E1FB7"/>
    <w:rsid w:val="003E252B"/>
    <w:rsid w:val="003E2FFF"/>
    <w:rsid w:val="003E451F"/>
    <w:rsid w:val="003E4A70"/>
    <w:rsid w:val="003E4B3F"/>
    <w:rsid w:val="003E547C"/>
    <w:rsid w:val="003E585D"/>
    <w:rsid w:val="003E5B09"/>
    <w:rsid w:val="003F0116"/>
    <w:rsid w:val="003F07C5"/>
    <w:rsid w:val="003F106A"/>
    <w:rsid w:val="003F1150"/>
    <w:rsid w:val="003F222E"/>
    <w:rsid w:val="003F4799"/>
    <w:rsid w:val="003F5515"/>
    <w:rsid w:val="003F75D7"/>
    <w:rsid w:val="003F78EB"/>
    <w:rsid w:val="004015E8"/>
    <w:rsid w:val="00401A46"/>
    <w:rsid w:val="0040202C"/>
    <w:rsid w:val="004027B1"/>
    <w:rsid w:val="004032F9"/>
    <w:rsid w:val="00404016"/>
    <w:rsid w:val="0040421F"/>
    <w:rsid w:val="004054D5"/>
    <w:rsid w:val="004055FA"/>
    <w:rsid w:val="00406B82"/>
    <w:rsid w:val="00406F73"/>
    <w:rsid w:val="004074B7"/>
    <w:rsid w:val="0040789A"/>
    <w:rsid w:val="004117C3"/>
    <w:rsid w:val="00411938"/>
    <w:rsid w:val="00412D0E"/>
    <w:rsid w:val="0041302F"/>
    <w:rsid w:val="004144E5"/>
    <w:rsid w:val="0041541D"/>
    <w:rsid w:val="004154A9"/>
    <w:rsid w:val="004157AA"/>
    <w:rsid w:val="00416438"/>
    <w:rsid w:val="00417398"/>
    <w:rsid w:val="0041788A"/>
    <w:rsid w:val="00417E26"/>
    <w:rsid w:val="00420C6C"/>
    <w:rsid w:val="0042276D"/>
    <w:rsid w:val="00422A61"/>
    <w:rsid w:val="00426C7F"/>
    <w:rsid w:val="00426ED4"/>
    <w:rsid w:val="004272C7"/>
    <w:rsid w:val="00427D8F"/>
    <w:rsid w:val="00430354"/>
    <w:rsid w:val="00430E93"/>
    <w:rsid w:val="00431429"/>
    <w:rsid w:val="00432544"/>
    <w:rsid w:val="00432966"/>
    <w:rsid w:val="0043306F"/>
    <w:rsid w:val="00433F3A"/>
    <w:rsid w:val="004359DF"/>
    <w:rsid w:val="00435D02"/>
    <w:rsid w:val="00435DED"/>
    <w:rsid w:val="00436404"/>
    <w:rsid w:val="004376CB"/>
    <w:rsid w:val="004377D1"/>
    <w:rsid w:val="004378FE"/>
    <w:rsid w:val="00440B90"/>
    <w:rsid w:val="0044407A"/>
    <w:rsid w:val="004449B2"/>
    <w:rsid w:val="004451C1"/>
    <w:rsid w:val="004457E8"/>
    <w:rsid w:val="00445CF5"/>
    <w:rsid w:val="00447040"/>
    <w:rsid w:val="0044786C"/>
    <w:rsid w:val="004501BF"/>
    <w:rsid w:val="004504E0"/>
    <w:rsid w:val="00450740"/>
    <w:rsid w:val="00450DBF"/>
    <w:rsid w:val="00452023"/>
    <w:rsid w:val="0045584F"/>
    <w:rsid w:val="00455E7A"/>
    <w:rsid w:val="00456514"/>
    <w:rsid w:val="00456E28"/>
    <w:rsid w:val="00457846"/>
    <w:rsid w:val="0046152B"/>
    <w:rsid w:val="00461B39"/>
    <w:rsid w:val="00462933"/>
    <w:rsid w:val="00462D05"/>
    <w:rsid w:val="0046492F"/>
    <w:rsid w:val="00464B19"/>
    <w:rsid w:val="00471F3C"/>
    <w:rsid w:val="004720C1"/>
    <w:rsid w:val="00472976"/>
    <w:rsid w:val="00472EAC"/>
    <w:rsid w:val="004739DD"/>
    <w:rsid w:val="0047421F"/>
    <w:rsid w:val="0047459A"/>
    <w:rsid w:val="00474881"/>
    <w:rsid w:val="00474F9A"/>
    <w:rsid w:val="004775D2"/>
    <w:rsid w:val="0047790C"/>
    <w:rsid w:val="00480145"/>
    <w:rsid w:val="004817FC"/>
    <w:rsid w:val="00482A1A"/>
    <w:rsid w:val="00482EF6"/>
    <w:rsid w:val="00484653"/>
    <w:rsid w:val="00486180"/>
    <w:rsid w:val="0048623D"/>
    <w:rsid w:val="00486767"/>
    <w:rsid w:val="0048708F"/>
    <w:rsid w:val="004879B3"/>
    <w:rsid w:val="0049204C"/>
    <w:rsid w:val="0049272C"/>
    <w:rsid w:val="004928E4"/>
    <w:rsid w:val="00493872"/>
    <w:rsid w:val="00493CAE"/>
    <w:rsid w:val="004941EA"/>
    <w:rsid w:val="00494C67"/>
    <w:rsid w:val="00495E01"/>
    <w:rsid w:val="00496C97"/>
    <w:rsid w:val="00497E32"/>
    <w:rsid w:val="00497EF6"/>
    <w:rsid w:val="004A09C7"/>
    <w:rsid w:val="004A2DD6"/>
    <w:rsid w:val="004A2FB9"/>
    <w:rsid w:val="004A48D7"/>
    <w:rsid w:val="004A5135"/>
    <w:rsid w:val="004A5403"/>
    <w:rsid w:val="004A553F"/>
    <w:rsid w:val="004A5660"/>
    <w:rsid w:val="004A7582"/>
    <w:rsid w:val="004A79E9"/>
    <w:rsid w:val="004A7D83"/>
    <w:rsid w:val="004B0505"/>
    <w:rsid w:val="004B0695"/>
    <w:rsid w:val="004B0726"/>
    <w:rsid w:val="004B1F41"/>
    <w:rsid w:val="004B2302"/>
    <w:rsid w:val="004B37F8"/>
    <w:rsid w:val="004B3E97"/>
    <w:rsid w:val="004B4A08"/>
    <w:rsid w:val="004B6FA5"/>
    <w:rsid w:val="004C0471"/>
    <w:rsid w:val="004C172C"/>
    <w:rsid w:val="004C1E40"/>
    <w:rsid w:val="004C31DC"/>
    <w:rsid w:val="004C472C"/>
    <w:rsid w:val="004C4CB8"/>
    <w:rsid w:val="004C564B"/>
    <w:rsid w:val="004C5F03"/>
    <w:rsid w:val="004C5F4B"/>
    <w:rsid w:val="004C6D09"/>
    <w:rsid w:val="004D09C0"/>
    <w:rsid w:val="004D0CE2"/>
    <w:rsid w:val="004D0F44"/>
    <w:rsid w:val="004D1D41"/>
    <w:rsid w:val="004D479E"/>
    <w:rsid w:val="004D4BE7"/>
    <w:rsid w:val="004D4FF2"/>
    <w:rsid w:val="004D5CC3"/>
    <w:rsid w:val="004D5EDE"/>
    <w:rsid w:val="004D6407"/>
    <w:rsid w:val="004D79AE"/>
    <w:rsid w:val="004E0C0A"/>
    <w:rsid w:val="004E0FD0"/>
    <w:rsid w:val="004E2068"/>
    <w:rsid w:val="004E218B"/>
    <w:rsid w:val="004E22CB"/>
    <w:rsid w:val="004E29F9"/>
    <w:rsid w:val="004E2BE5"/>
    <w:rsid w:val="004E39AC"/>
    <w:rsid w:val="004E4C49"/>
    <w:rsid w:val="004E4F79"/>
    <w:rsid w:val="004E51D0"/>
    <w:rsid w:val="004E5522"/>
    <w:rsid w:val="004E5B02"/>
    <w:rsid w:val="004E75D1"/>
    <w:rsid w:val="004F02DB"/>
    <w:rsid w:val="004F28EE"/>
    <w:rsid w:val="004F4500"/>
    <w:rsid w:val="004F4CF5"/>
    <w:rsid w:val="004F5354"/>
    <w:rsid w:val="004F6E60"/>
    <w:rsid w:val="004F6EB5"/>
    <w:rsid w:val="004F7314"/>
    <w:rsid w:val="004F7A3E"/>
    <w:rsid w:val="005009A3"/>
    <w:rsid w:val="00501712"/>
    <w:rsid w:val="0050209D"/>
    <w:rsid w:val="0050331F"/>
    <w:rsid w:val="00503FE7"/>
    <w:rsid w:val="0050478F"/>
    <w:rsid w:val="00505104"/>
    <w:rsid w:val="005068D7"/>
    <w:rsid w:val="00510136"/>
    <w:rsid w:val="00510242"/>
    <w:rsid w:val="005105AC"/>
    <w:rsid w:val="005105C0"/>
    <w:rsid w:val="0051074E"/>
    <w:rsid w:val="005108E1"/>
    <w:rsid w:val="005109DC"/>
    <w:rsid w:val="00511737"/>
    <w:rsid w:val="005124AB"/>
    <w:rsid w:val="005131B5"/>
    <w:rsid w:val="005137E2"/>
    <w:rsid w:val="00513F22"/>
    <w:rsid w:val="00514EB0"/>
    <w:rsid w:val="00514F39"/>
    <w:rsid w:val="00515F62"/>
    <w:rsid w:val="00516364"/>
    <w:rsid w:val="005164F3"/>
    <w:rsid w:val="005206C7"/>
    <w:rsid w:val="00521143"/>
    <w:rsid w:val="00521490"/>
    <w:rsid w:val="00521496"/>
    <w:rsid w:val="005226E3"/>
    <w:rsid w:val="00523E4A"/>
    <w:rsid w:val="00524190"/>
    <w:rsid w:val="00524BC9"/>
    <w:rsid w:val="00524CF6"/>
    <w:rsid w:val="00525DB4"/>
    <w:rsid w:val="00526541"/>
    <w:rsid w:val="005267C9"/>
    <w:rsid w:val="00526BF9"/>
    <w:rsid w:val="005274EB"/>
    <w:rsid w:val="00527B59"/>
    <w:rsid w:val="00527E1D"/>
    <w:rsid w:val="00530805"/>
    <w:rsid w:val="00531A58"/>
    <w:rsid w:val="00531CB0"/>
    <w:rsid w:val="0053212C"/>
    <w:rsid w:val="0053228A"/>
    <w:rsid w:val="00532FB9"/>
    <w:rsid w:val="005337B4"/>
    <w:rsid w:val="00533C51"/>
    <w:rsid w:val="00534372"/>
    <w:rsid w:val="00535802"/>
    <w:rsid w:val="00536631"/>
    <w:rsid w:val="00537E73"/>
    <w:rsid w:val="00541318"/>
    <w:rsid w:val="00543261"/>
    <w:rsid w:val="00543359"/>
    <w:rsid w:val="005435CF"/>
    <w:rsid w:val="005437DF"/>
    <w:rsid w:val="00544776"/>
    <w:rsid w:val="00545AEE"/>
    <w:rsid w:val="00546371"/>
    <w:rsid w:val="0054693B"/>
    <w:rsid w:val="0055166F"/>
    <w:rsid w:val="00551CCE"/>
    <w:rsid w:val="00552E71"/>
    <w:rsid w:val="0055438E"/>
    <w:rsid w:val="00554A50"/>
    <w:rsid w:val="00554AB5"/>
    <w:rsid w:val="00554FEE"/>
    <w:rsid w:val="005567D4"/>
    <w:rsid w:val="00556D1B"/>
    <w:rsid w:val="00557128"/>
    <w:rsid w:val="00557346"/>
    <w:rsid w:val="005607CF"/>
    <w:rsid w:val="00562029"/>
    <w:rsid w:val="00563C1E"/>
    <w:rsid w:val="00563C65"/>
    <w:rsid w:val="00566A73"/>
    <w:rsid w:val="00566EB8"/>
    <w:rsid w:val="00567857"/>
    <w:rsid w:val="00567B15"/>
    <w:rsid w:val="0057086D"/>
    <w:rsid w:val="00572D0B"/>
    <w:rsid w:val="00573273"/>
    <w:rsid w:val="005732BC"/>
    <w:rsid w:val="005736E6"/>
    <w:rsid w:val="005750D3"/>
    <w:rsid w:val="0057608D"/>
    <w:rsid w:val="00577376"/>
    <w:rsid w:val="0057743B"/>
    <w:rsid w:val="00577A2C"/>
    <w:rsid w:val="00577D77"/>
    <w:rsid w:val="00580012"/>
    <w:rsid w:val="0058046F"/>
    <w:rsid w:val="00581BE5"/>
    <w:rsid w:val="00582B41"/>
    <w:rsid w:val="005840EF"/>
    <w:rsid w:val="00584927"/>
    <w:rsid w:val="00584C6F"/>
    <w:rsid w:val="0058501C"/>
    <w:rsid w:val="00586306"/>
    <w:rsid w:val="005864EA"/>
    <w:rsid w:val="00590027"/>
    <w:rsid w:val="00590739"/>
    <w:rsid w:val="00590CF2"/>
    <w:rsid w:val="00590DF2"/>
    <w:rsid w:val="00592FC0"/>
    <w:rsid w:val="005930C5"/>
    <w:rsid w:val="00593875"/>
    <w:rsid w:val="00593AD8"/>
    <w:rsid w:val="0059477F"/>
    <w:rsid w:val="0059504E"/>
    <w:rsid w:val="0059533F"/>
    <w:rsid w:val="00595A99"/>
    <w:rsid w:val="00595B30"/>
    <w:rsid w:val="00597B2E"/>
    <w:rsid w:val="005A0FDF"/>
    <w:rsid w:val="005A1C15"/>
    <w:rsid w:val="005A27F8"/>
    <w:rsid w:val="005A29B1"/>
    <w:rsid w:val="005A3380"/>
    <w:rsid w:val="005A36B2"/>
    <w:rsid w:val="005A4175"/>
    <w:rsid w:val="005A43D4"/>
    <w:rsid w:val="005A47FA"/>
    <w:rsid w:val="005A4D56"/>
    <w:rsid w:val="005A4FDF"/>
    <w:rsid w:val="005A7720"/>
    <w:rsid w:val="005B1E60"/>
    <w:rsid w:val="005B1EDB"/>
    <w:rsid w:val="005B21F4"/>
    <w:rsid w:val="005B27E7"/>
    <w:rsid w:val="005B3150"/>
    <w:rsid w:val="005B33B3"/>
    <w:rsid w:val="005B41B4"/>
    <w:rsid w:val="005B4756"/>
    <w:rsid w:val="005B5315"/>
    <w:rsid w:val="005B5753"/>
    <w:rsid w:val="005B79D8"/>
    <w:rsid w:val="005B7A82"/>
    <w:rsid w:val="005C19F8"/>
    <w:rsid w:val="005C2361"/>
    <w:rsid w:val="005C2A37"/>
    <w:rsid w:val="005C36B7"/>
    <w:rsid w:val="005C4595"/>
    <w:rsid w:val="005C50CD"/>
    <w:rsid w:val="005C51A1"/>
    <w:rsid w:val="005C5781"/>
    <w:rsid w:val="005C5FB4"/>
    <w:rsid w:val="005C6589"/>
    <w:rsid w:val="005C76E1"/>
    <w:rsid w:val="005D008B"/>
    <w:rsid w:val="005D03F7"/>
    <w:rsid w:val="005D2E2F"/>
    <w:rsid w:val="005D2EE2"/>
    <w:rsid w:val="005D2F61"/>
    <w:rsid w:val="005D4130"/>
    <w:rsid w:val="005D698D"/>
    <w:rsid w:val="005E0ED7"/>
    <w:rsid w:val="005E1F90"/>
    <w:rsid w:val="005E1F9E"/>
    <w:rsid w:val="005E2B97"/>
    <w:rsid w:val="005E2BD0"/>
    <w:rsid w:val="005E2D4F"/>
    <w:rsid w:val="005E399A"/>
    <w:rsid w:val="005E5C63"/>
    <w:rsid w:val="005E7DBB"/>
    <w:rsid w:val="005F0A52"/>
    <w:rsid w:val="005F242E"/>
    <w:rsid w:val="005F28C7"/>
    <w:rsid w:val="005F3F58"/>
    <w:rsid w:val="005F4857"/>
    <w:rsid w:val="005F50BE"/>
    <w:rsid w:val="005F5F9E"/>
    <w:rsid w:val="005F7698"/>
    <w:rsid w:val="00602431"/>
    <w:rsid w:val="00602A70"/>
    <w:rsid w:val="00603093"/>
    <w:rsid w:val="00604563"/>
    <w:rsid w:val="006047F1"/>
    <w:rsid w:val="0060533C"/>
    <w:rsid w:val="00606A8A"/>
    <w:rsid w:val="00606C9A"/>
    <w:rsid w:val="00610025"/>
    <w:rsid w:val="0061094E"/>
    <w:rsid w:val="0061196B"/>
    <w:rsid w:val="006121B2"/>
    <w:rsid w:val="0061315C"/>
    <w:rsid w:val="00613790"/>
    <w:rsid w:val="0061380A"/>
    <w:rsid w:val="00613DCD"/>
    <w:rsid w:val="006159E9"/>
    <w:rsid w:val="00616147"/>
    <w:rsid w:val="0061638C"/>
    <w:rsid w:val="00616C6A"/>
    <w:rsid w:val="00617544"/>
    <w:rsid w:val="0061761B"/>
    <w:rsid w:val="0061767B"/>
    <w:rsid w:val="006206C3"/>
    <w:rsid w:val="0062084C"/>
    <w:rsid w:val="00620E73"/>
    <w:rsid w:val="006211D3"/>
    <w:rsid w:val="006240AD"/>
    <w:rsid w:val="00624A72"/>
    <w:rsid w:val="0062512B"/>
    <w:rsid w:val="0062543E"/>
    <w:rsid w:val="0062548A"/>
    <w:rsid w:val="00627425"/>
    <w:rsid w:val="00630108"/>
    <w:rsid w:val="006306FC"/>
    <w:rsid w:val="00630BA4"/>
    <w:rsid w:val="006316D6"/>
    <w:rsid w:val="00632953"/>
    <w:rsid w:val="006358C9"/>
    <w:rsid w:val="006361AA"/>
    <w:rsid w:val="00636B66"/>
    <w:rsid w:val="00640EAC"/>
    <w:rsid w:val="00641E11"/>
    <w:rsid w:val="00642714"/>
    <w:rsid w:val="00643C87"/>
    <w:rsid w:val="006442FB"/>
    <w:rsid w:val="00644B62"/>
    <w:rsid w:val="00644BAA"/>
    <w:rsid w:val="0064567E"/>
    <w:rsid w:val="00645E3D"/>
    <w:rsid w:val="006468AC"/>
    <w:rsid w:val="00646F26"/>
    <w:rsid w:val="00650AD3"/>
    <w:rsid w:val="0065166E"/>
    <w:rsid w:val="00651D38"/>
    <w:rsid w:val="0065271C"/>
    <w:rsid w:val="00653421"/>
    <w:rsid w:val="0065378E"/>
    <w:rsid w:val="006544BE"/>
    <w:rsid w:val="00654911"/>
    <w:rsid w:val="00654FC9"/>
    <w:rsid w:val="00656C9B"/>
    <w:rsid w:val="0065733A"/>
    <w:rsid w:val="006575B8"/>
    <w:rsid w:val="006606BB"/>
    <w:rsid w:val="00660CD8"/>
    <w:rsid w:val="0066128F"/>
    <w:rsid w:val="00661ED1"/>
    <w:rsid w:val="006629F6"/>
    <w:rsid w:val="00665285"/>
    <w:rsid w:val="00667BBC"/>
    <w:rsid w:val="00671CD2"/>
    <w:rsid w:val="0067363D"/>
    <w:rsid w:val="0067487F"/>
    <w:rsid w:val="00675DC9"/>
    <w:rsid w:val="00676BE3"/>
    <w:rsid w:val="0067707B"/>
    <w:rsid w:val="00680512"/>
    <w:rsid w:val="00680E5D"/>
    <w:rsid w:val="00680EA8"/>
    <w:rsid w:val="0068196C"/>
    <w:rsid w:val="00681B06"/>
    <w:rsid w:val="00682DDD"/>
    <w:rsid w:val="0068304B"/>
    <w:rsid w:val="006853CF"/>
    <w:rsid w:val="006858A3"/>
    <w:rsid w:val="00686BE3"/>
    <w:rsid w:val="006879D1"/>
    <w:rsid w:val="00687DF5"/>
    <w:rsid w:val="006905EF"/>
    <w:rsid w:val="0069129B"/>
    <w:rsid w:val="00691BD2"/>
    <w:rsid w:val="00692A68"/>
    <w:rsid w:val="00693AD7"/>
    <w:rsid w:val="00693ECD"/>
    <w:rsid w:val="00694FC0"/>
    <w:rsid w:val="0069547B"/>
    <w:rsid w:val="0069575E"/>
    <w:rsid w:val="00695CD2"/>
    <w:rsid w:val="00696ACC"/>
    <w:rsid w:val="006A03E6"/>
    <w:rsid w:val="006A2F9A"/>
    <w:rsid w:val="006A37DD"/>
    <w:rsid w:val="006A49A3"/>
    <w:rsid w:val="006A6C83"/>
    <w:rsid w:val="006A7453"/>
    <w:rsid w:val="006B08ED"/>
    <w:rsid w:val="006B1059"/>
    <w:rsid w:val="006B11E4"/>
    <w:rsid w:val="006B15F5"/>
    <w:rsid w:val="006B3801"/>
    <w:rsid w:val="006B591F"/>
    <w:rsid w:val="006B68DA"/>
    <w:rsid w:val="006B6C86"/>
    <w:rsid w:val="006B78AE"/>
    <w:rsid w:val="006C2F65"/>
    <w:rsid w:val="006C364E"/>
    <w:rsid w:val="006C3AEA"/>
    <w:rsid w:val="006C4277"/>
    <w:rsid w:val="006C595B"/>
    <w:rsid w:val="006C5B1E"/>
    <w:rsid w:val="006C60F9"/>
    <w:rsid w:val="006C62EB"/>
    <w:rsid w:val="006C6BA8"/>
    <w:rsid w:val="006C6C5F"/>
    <w:rsid w:val="006C6DEA"/>
    <w:rsid w:val="006C6E43"/>
    <w:rsid w:val="006D12C5"/>
    <w:rsid w:val="006D2369"/>
    <w:rsid w:val="006D2CCD"/>
    <w:rsid w:val="006D2E95"/>
    <w:rsid w:val="006D2FBD"/>
    <w:rsid w:val="006D2FC2"/>
    <w:rsid w:val="006D33CA"/>
    <w:rsid w:val="006D364D"/>
    <w:rsid w:val="006D4EDB"/>
    <w:rsid w:val="006D50AB"/>
    <w:rsid w:val="006D55E9"/>
    <w:rsid w:val="006D5876"/>
    <w:rsid w:val="006D5ACE"/>
    <w:rsid w:val="006E0064"/>
    <w:rsid w:val="006E062A"/>
    <w:rsid w:val="006E08E9"/>
    <w:rsid w:val="006E12D7"/>
    <w:rsid w:val="006E16F5"/>
    <w:rsid w:val="006E1952"/>
    <w:rsid w:val="006E2A49"/>
    <w:rsid w:val="006E3604"/>
    <w:rsid w:val="006E3837"/>
    <w:rsid w:val="006E5C55"/>
    <w:rsid w:val="006E6A74"/>
    <w:rsid w:val="006F23E8"/>
    <w:rsid w:val="006F3348"/>
    <w:rsid w:val="006F3E9B"/>
    <w:rsid w:val="006F45FF"/>
    <w:rsid w:val="006F46C8"/>
    <w:rsid w:val="006F517A"/>
    <w:rsid w:val="006F5A5B"/>
    <w:rsid w:val="006F5B32"/>
    <w:rsid w:val="006F60EC"/>
    <w:rsid w:val="006F611E"/>
    <w:rsid w:val="006F61F1"/>
    <w:rsid w:val="00700DC1"/>
    <w:rsid w:val="00701630"/>
    <w:rsid w:val="00702217"/>
    <w:rsid w:val="0070296E"/>
    <w:rsid w:val="007033CC"/>
    <w:rsid w:val="00703622"/>
    <w:rsid w:val="007046B0"/>
    <w:rsid w:val="00704B0E"/>
    <w:rsid w:val="00704E5B"/>
    <w:rsid w:val="00704FD0"/>
    <w:rsid w:val="007053E3"/>
    <w:rsid w:val="00705504"/>
    <w:rsid w:val="00705786"/>
    <w:rsid w:val="00705ED7"/>
    <w:rsid w:val="007078E2"/>
    <w:rsid w:val="00707E39"/>
    <w:rsid w:val="00711389"/>
    <w:rsid w:val="00711B0F"/>
    <w:rsid w:val="00712D89"/>
    <w:rsid w:val="007138A0"/>
    <w:rsid w:val="00713A2C"/>
    <w:rsid w:val="00713BE7"/>
    <w:rsid w:val="00716EF1"/>
    <w:rsid w:val="00717F87"/>
    <w:rsid w:val="00720659"/>
    <w:rsid w:val="0072084D"/>
    <w:rsid w:val="007216FC"/>
    <w:rsid w:val="00721E2C"/>
    <w:rsid w:val="00722B33"/>
    <w:rsid w:val="00723736"/>
    <w:rsid w:val="00724530"/>
    <w:rsid w:val="0072565B"/>
    <w:rsid w:val="00725BB7"/>
    <w:rsid w:val="00725F45"/>
    <w:rsid w:val="0072702C"/>
    <w:rsid w:val="00731352"/>
    <w:rsid w:val="00732524"/>
    <w:rsid w:val="00732728"/>
    <w:rsid w:val="007335A8"/>
    <w:rsid w:val="0073402A"/>
    <w:rsid w:val="00734269"/>
    <w:rsid w:val="00735277"/>
    <w:rsid w:val="007358D0"/>
    <w:rsid w:val="00735A6B"/>
    <w:rsid w:val="00735BE2"/>
    <w:rsid w:val="00737070"/>
    <w:rsid w:val="00737BF4"/>
    <w:rsid w:val="007412B5"/>
    <w:rsid w:val="00741DAE"/>
    <w:rsid w:val="00743A44"/>
    <w:rsid w:val="00743C62"/>
    <w:rsid w:val="0074460A"/>
    <w:rsid w:val="00747C0E"/>
    <w:rsid w:val="00751007"/>
    <w:rsid w:val="0075280F"/>
    <w:rsid w:val="00753397"/>
    <w:rsid w:val="00754D3E"/>
    <w:rsid w:val="00756177"/>
    <w:rsid w:val="007575E5"/>
    <w:rsid w:val="0076025F"/>
    <w:rsid w:val="007622E3"/>
    <w:rsid w:val="00762C5C"/>
    <w:rsid w:val="00763DF7"/>
    <w:rsid w:val="007644F4"/>
    <w:rsid w:val="00767837"/>
    <w:rsid w:val="007716BA"/>
    <w:rsid w:val="00772BEE"/>
    <w:rsid w:val="007742D3"/>
    <w:rsid w:val="007750C6"/>
    <w:rsid w:val="007752BB"/>
    <w:rsid w:val="00776D00"/>
    <w:rsid w:val="0078166E"/>
    <w:rsid w:val="00781D6E"/>
    <w:rsid w:val="00781F24"/>
    <w:rsid w:val="007821F9"/>
    <w:rsid w:val="00782CC0"/>
    <w:rsid w:val="00782E42"/>
    <w:rsid w:val="0078323B"/>
    <w:rsid w:val="00784ECF"/>
    <w:rsid w:val="00785605"/>
    <w:rsid w:val="00786B3C"/>
    <w:rsid w:val="007900E5"/>
    <w:rsid w:val="0079041D"/>
    <w:rsid w:val="0079120D"/>
    <w:rsid w:val="00791345"/>
    <w:rsid w:val="007915BA"/>
    <w:rsid w:val="00791CF1"/>
    <w:rsid w:val="00793089"/>
    <w:rsid w:val="00794C81"/>
    <w:rsid w:val="00795062"/>
    <w:rsid w:val="007952FD"/>
    <w:rsid w:val="007963FD"/>
    <w:rsid w:val="00796E72"/>
    <w:rsid w:val="007A0C9B"/>
    <w:rsid w:val="007A25EE"/>
    <w:rsid w:val="007A29B4"/>
    <w:rsid w:val="007A2E15"/>
    <w:rsid w:val="007A3401"/>
    <w:rsid w:val="007A3D98"/>
    <w:rsid w:val="007A45C3"/>
    <w:rsid w:val="007A4F71"/>
    <w:rsid w:val="007A6694"/>
    <w:rsid w:val="007A6ED2"/>
    <w:rsid w:val="007B0D34"/>
    <w:rsid w:val="007B0E53"/>
    <w:rsid w:val="007B19BD"/>
    <w:rsid w:val="007B1C43"/>
    <w:rsid w:val="007B1D32"/>
    <w:rsid w:val="007B300C"/>
    <w:rsid w:val="007B388B"/>
    <w:rsid w:val="007B39F6"/>
    <w:rsid w:val="007B411C"/>
    <w:rsid w:val="007B42A7"/>
    <w:rsid w:val="007B4A5F"/>
    <w:rsid w:val="007B4B02"/>
    <w:rsid w:val="007B53B1"/>
    <w:rsid w:val="007B7012"/>
    <w:rsid w:val="007B7E66"/>
    <w:rsid w:val="007C0A25"/>
    <w:rsid w:val="007C1A9A"/>
    <w:rsid w:val="007C2876"/>
    <w:rsid w:val="007C41C3"/>
    <w:rsid w:val="007C5180"/>
    <w:rsid w:val="007D041B"/>
    <w:rsid w:val="007D1CC2"/>
    <w:rsid w:val="007D471C"/>
    <w:rsid w:val="007D53C9"/>
    <w:rsid w:val="007D5457"/>
    <w:rsid w:val="007D5C68"/>
    <w:rsid w:val="007D66D2"/>
    <w:rsid w:val="007D788D"/>
    <w:rsid w:val="007D7F7F"/>
    <w:rsid w:val="007E05D9"/>
    <w:rsid w:val="007E50E2"/>
    <w:rsid w:val="007E5782"/>
    <w:rsid w:val="007E5A48"/>
    <w:rsid w:val="007E787B"/>
    <w:rsid w:val="007F0272"/>
    <w:rsid w:val="007F2014"/>
    <w:rsid w:val="007F2C3E"/>
    <w:rsid w:val="007F4DBA"/>
    <w:rsid w:val="007F52F5"/>
    <w:rsid w:val="007F5C62"/>
    <w:rsid w:val="007F6E6E"/>
    <w:rsid w:val="007F7B2A"/>
    <w:rsid w:val="00800DDE"/>
    <w:rsid w:val="00801B88"/>
    <w:rsid w:val="00801C28"/>
    <w:rsid w:val="00805EA4"/>
    <w:rsid w:val="008064BD"/>
    <w:rsid w:val="008073A6"/>
    <w:rsid w:val="00807BD0"/>
    <w:rsid w:val="00811FDB"/>
    <w:rsid w:val="0081313B"/>
    <w:rsid w:val="00813196"/>
    <w:rsid w:val="00814EAE"/>
    <w:rsid w:val="008159BA"/>
    <w:rsid w:val="00815C03"/>
    <w:rsid w:val="00816BDF"/>
    <w:rsid w:val="00816F1E"/>
    <w:rsid w:val="008174A8"/>
    <w:rsid w:val="00817B1D"/>
    <w:rsid w:val="00817DBF"/>
    <w:rsid w:val="00817F48"/>
    <w:rsid w:val="00822336"/>
    <w:rsid w:val="0082303A"/>
    <w:rsid w:val="008232A5"/>
    <w:rsid w:val="00823357"/>
    <w:rsid w:val="00824A54"/>
    <w:rsid w:val="00826A27"/>
    <w:rsid w:val="00830972"/>
    <w:rsid w:val="00830A33"/>
    <w:rsid w:val="00833D4D"/>
    <w:rsid w:val="008340E6"/>
    <w:rsid w:val="00835400"/>
    <w:rsid w:val="00836BEF"/>
    <w:rsid w:val="008374B3"/>
    <w:rsid w:val="008377AE"/>
    <w:rsid w:val="00837EF2"/>
    <w:rsid w:val="0084080F"/>
    <w:rsid w:val="008409BE"/>
    <w:rsid w:val="00840F6F"/>
    <w:rsid w:val="00841796"/>
    <w:rsid w:val="008430AC"/>
    <w:rsid w:val="008503AE"/>
    <w:rsid w:val="0085059B"/>
    <w:rsid w:val="00851117"/>
    <w:rsid w:val="00852273"/>
    <w:rsid w:val="00853765"/>
    <w:rsid w:val="00853EA2"/>
    <w:rsid w:val="00854B64"/>
    <w:rsid w:val="008557C0"/>
    <w:rsid w:val="00856438"/>
    <w:rsid w:val="0086059F"/>
    <w:rsid w:val="00861CE3"/>
    <w:rsid w:val="00861D4D"/>
    <w:rsid w:val="00862FC2"/>
    <w:rsid w:val="00864697"/>
    <w:rsid w:val="008648C9"/>
    <w:rsid w:val="00864A54"/>
    <w:rsid w:val="008654A4"/>
    <w:rsid w:val="008660FE"/>
    <w:rsid w:val="00866A5A"/>
    <w:rsid w:val="00870591"/>
    <w:rsid w:val="008708B7"/>
    <w:rsid w:val="0087501E"/>
    <w:rsid w:val="00875EB0"/>
    <w:rsid w:val="008777D4"/>
    <w:rsid w:val="0088299D"/>
    <w:rsid w:val="00882C6E"/>
    <w:rsid w:val="00882CDD"/>
    <w:rsid w:val="00883DE2"/>
    <w:rsid w:val="00886D3A"/>
    <w:rsid w:val="00886EB9"/>
    <w:rsid w:val="008902DC"/>
    <w:rsid w:val="008903BA"/>
    <w:rsid w:val="00891228"/>
    <w:rsid w:val="00894111"/>
    <w:rsid w:val="00894DFF"/>
    <w:rsid w:val="00895431"/>
    <w:rsid w:val="00895D0E"/>
    <w:rsid w:val="00895F69"/>
    <w:rsid w:val="00896928"/>
    <w:rsid w:val="008972DF"/>
    <w:rsid w:val="00897ECC"/>
    <w:rsid w:val="008A00CD"/>
    <w:rsid w:val="008A0367"/>
    <w:rsid w:val="008A0912"/>
    <w:rsid w:val="008A1E04"/>
    <w:rsid w:val="008A279A"/>
    <w:rsid w:val="008A297C"/>
    <w:rsid w:val="008A3842"/>
    <w:rsid w:val="008A6A27"/>
    <w:rsid w:val="008A7478"/>
    <w:rsid w:val="008A771C"/>
    <w:rsid w:val="008A7E7F"/>
    <w:rsid w:val="008A7F0A"/>
    <w:rsid w:val="008B0C23"/>
    <w:rsid w:val="008B0E13"/>
    <w:rsid w:val="008B116D"/>
    <w:rsid w:val="008B17BC"/>
    <w:rsid w:val="008B2525"/>
    <w:rsid w:val="008B3E84"/>
    <w:rsid w:val="008B3F52"/>
    <w:rsid w:val="008B43F2"/>
    <w:rsid w:val="008B45D1"/>
    <w:rsid w:val="008B49A2"/>
    <w:rsid w:val="008B5227"/>
    <w:rsid w:val="008B532E"/>
    <w:rsid w:val="008B5CAE"/>
    <w:rsid w:val="008B68F4"/>
    <w:rsid w:val="008B784C"/>
    <w:rsid w:val="008B7A7C"/>
    <w:rsid w:val="008C0DA4"/>
    <w:rsid w:val="008C108F"/>
    <w:rsid w:val="008C1699"/>
    <w:rsid w:val="008C2139"/>
    <w:rsid w:val="008C2AF8"/>
    <w:rsid w:val="008C3276"/>
    <w:rsid w:val="008C43ED"/>
    <w:rsid w:val="008C6685"/>
    <w:rsid w:val="008C7D0F"/>
    <w:rsid w:val="008C7DE9"/>
    <w:rsid w:val="008D023A"/>
    <w:rsid w:val="008D036F"/>
    <w:rsid w:val="008D10E6"/>
    <w:rsid w:val="008D3D0A"/>
    <w:rsid w:val="008D437F"/>
    <w:rsid w:val="008D4729"/>
    <w:rsid w:val="008D4E15"/>
    <w:rsid w:val="008D5126"/>
    <w:rsid w:val="008E085D"/>
    <w:rsid w:val="008E1BAB"/>
    <w:rsid w:val="008E1C2C"/>
    <w:rsid w:val="008E27E3"/>
    <w:rsid w:val="008E2EC4"/>
    <w:rsid w:val="008E4918"/>
    <w:rsid w:val="008E5B0E"/>
    <w:rsid w:val="008E6348"/>
    <w:rsid w:val="008F0081"/>
    <w:rsid w:val="008F116F"/>
    <w:rsid w:val="008F1C3E"/>
    <w:rsid w:val="008F1D97"/>
    <w:rsid w:val="008F219B"/>
    <w:rsid w:val="008F228A"/>
    <w:rsid w:val="008F2A95"/>
    <w:rsid w:val="008F5B3F"/>
    <w:rsid w:val="008F6240"/>
    <w:rsid w:val="009011CF"/>
    <w:rsid w:val="009036A6"/>
    <w:rsid w:val="0090379F"/>
    <w:rsid w:val="0090427A"/>
    <w:rsid w:val="00904646"/>
    <w:rsid w:val="0090533B"/>
    <w:rsid w:val="00906332"/>
    <w:rsid w:val="00910EB3"/>
    <w:rsid w:val="00912005"/>
    <w:rsid w:val="009120D0"/>
    <w:rsid w:val="0091320A"/>
    <w:rsid w:val="00914B31"/>
    <w:rsid w:val="00914C26"/>
    <w:rsid w:val="00914E8C"/>
    <w:rsid w:val="00914F20"/>
    <w:rsid w:val="009155DA"/>
    <w:rsid w:val="00915861"/>
    <w:rsid w:val="00915AD1"/>
    <w:rsid w:val="009167EC"/>
    <w:rsid w:val="009174AC"/>
    <w:rsid w:val="00917801"/>
    <w:rsid w:val="00917A7D"/>
    <w:rsid w:val="0092057C"/>
    <w:rsid w:val="00920A14"/>
    <w:rsid w:val="00921AF7"/>
    <w:rsid w:val="00921B96"/>
    <w:rsid w:val="00922AC9"/>
    <w:rsid w:val="009257C9"/>
    <w:rsid w:val="009268E8"/>
    <w:rsid w:val="00930467"/>
    <w:rsid w:val="009305FB"/>
    <w:rsid w:val="0093087C"/>
    <w:rsid w:val="009315F7"/>
    <w:rsid w:val="009318DE"/>
    <w:rsid w:val="00931937"/>
    <w:rsid w:val="009331EB"/>
    <w:rsid w:val="0093321E"/>
    <w:rsid w:val="009346C4"/>
    <w:rsid w:val="00934F06"/>
    <w:rsid w:val="00935062"/>
    <w:rsid w:val="0093708C"/>
    <w:rsid w:val="00937491"/>
    <w:rsid w:val="00937633"/>
    <w:rsid w:val="009409B5"/>
    <w:rsid w:val="00940C8F"/>
    <w:rsid w:val="00940DD0"/>
    <w:rsid w:val="009423DF"/>
    <w:rsid w:val="00942DCA"/>
    <w:rsid w:val="00943195"/>
    <w:rsid w:val="0094378B"/>
    <w:rsid w:val="00945FF3"/>
    <w:rsid w:val="00946CF2"/>
    <w:rsid w:val="00947653"/>
    <w:rsid w:val="0095077C"/>
    <w:rsid w:val="00953439"/>
    <w:rsid w:val="00953B66"/>
    <w:rsid w:val="009545F8"/>
    <w:rsid w:val="009549B6"/>
    <w:rsid w:val="00954A69"/>
    <w:rsid w:val="00955E61"/>
    <w:rsid w:val="00956823"/>
    <w:rsid w:val="00956B3B"/>
    <w:rsid w:val="0096030B"/>
    <w:rsid w:val="009610D1"/>
    <w:rsid w:val="00961ADD"/>
    <w:rsid w:val="00963004"/>
    <w:rsid w:val="00964907"/>
    <w:rsid w:val="00964C1A"/>
    <w:rsid w:val="00964CC8"/>
    <w:rsid w:val="009653F7"/>
    <w:rsid w:val="00965BF1"/>
    <w:rsid w:val="00967461"/>
    <w:rsid w:val="0096746A"/>
    <w:rsid w:val="009679EC"/>
    <w:rsid w:val="00970613"/>
    <w:rsid w:val="0097088C"/>
    <w:rsid w:val="0097189B"/>
    <w:rsid w:val="009718F3"/>
    <w:rsid w:val="00973550"/>
    <w:rsid w:val="00973DCE"/>
    <w:rsid w:val="00973FDC"/>
    <w:rsid w:val="00973FEB"/>
    <w:rsid w:val="00974A81"/>
    <w:rsid w:val="00975023"/>
    <w:rsid w:val="0097691B"/>
    <w:rsid w:val="00976940"/>
    <w:rsid w:val="00976BBC"/>
    <w:rsid w:val="0098141C"/>
    <w:rsid w:val="00981686"/>
    <w:rsid w:val="009816A5"/>
    <w:rsid w:val="00982F93"/>
    <w:rsid w:val="0098362E"/>
    <w:rsid w:val="00985C63"/>
    <w:rsid w:val="00987C7A"/>
    <w:rsid w:val="0099035B"/>
    <w:rsid w:val="0099045A"/>
    <w:rsid w:val="009907A3"/>
    <w:rsid w:val="00991C8E"/>
    <w:rsid w:val="009925C9"/>
    <w:rsid w:val="0099261B"/>
    <w:rsid w:val="009954B1"/>
    <w:rsid w:val="009955A7"/>
    <w:rsid w:val="009964A2"/>
    <w:rsid w:val="009965BC"/>
    <w:rsid w:val="009965F1"/>
    <w:rsid w:val="0099670B"/>
    <w:rsid w:val="00996817"/>
    <w:rsid w:val="00996B3B"/>
    <w:rsid w:val="009A2879"/>
    <w:rsid w:val="009A3209"/>
    <w:rsid w:val="009A3610"/>
    <w:rsid w:val="009A3AFB"/>
    <w:rsid w:val="009A446D"/>
    <w:rsid w:val="009A4536"/>
    <w:rsid w:val="009A6107"/>
    <w:rsid w:val="009A6616"/>
    <w:rsid w:val="009A6E44"/>
    <w:rsid w:val="009A7C02"/>
    <w:rsid w:val="009B0BF8"/>
    <w:rsid w:val="009B10AC"/>
    <w:rsid w:val="009B202A"/>
    <w:rsid w:val="009B3348"/>
    <w:rsid w:val="009B34DA"/>
    <w:rsid w:val="009B396A"/>
    <w:rsid w:val="009B3AA9"/>
    <w:rsid w:val="009B45AE"/>
    <w:rsid w:val="009B5159"/>
    <w:rsid w:val="009B54A1"/>
    <w:rsid w:val="009B7155"/>
    <w:rsid w:val="009C055A"/>
    <w:rsid w:val="009C1721"/>
    <w:rsid w:val="009C1F30"/>
    <w:rsid w:val="009C2394"/>
    <w:rsid w:val="009C3116"/>
    <w:rsid w:val="009C376A"/>
    <w:rsid w:val="009C3F6F"/>
    <w:rsid w:val="009C66FD"/>
    <w:rsid w:val="009C69E3"/>
    <w:rsid w:val="009D13C2"/>
    <w:rsid w:val="009D168F"/>
    <w:rsid w:val="009D1DB5"/>
    <w:rsid w:val="009D1F51"/>
    <w:rsid w:val="009D2076"/>
    <w:rsid w:val="009D213E"/>
    <w:rsid w:val="009D2305"/>
    <w:rsid w:val="009D3D29"/>
    <w:rsid w:val="009D56AF"/>
    <w:rsid w:val="009D6312"/>
    <w:rsid w:val="009E0415"/>
    <w:rsid w:val="009E1655"/>
    <w:rsid w:val="009E1F82"/>
    <w:rsid w:val="009E3CDB"/>
    <w:rsid w:val="009E4B4E"/>
    <w:rsid w:val="009E5582"/>
    <w:rsid w:val="009E561F"/>
    <w:rsid w:val="009E59BE"/>
    <w:rsid w:val="009E66FB"/>
    <w:rsid w:val="009E6953"/>
    <w:rsid w:val="009E718C"/>
    <w:rsid w:val="009F0697"/>
    <w:rsid w:val="009F2278"/>
    <w:rsid w:val="009F2DF4"/>
    <w:rsid w:val="009F4A77"/>
    <w:rsid w:val="009F4EB8"/>
    <w:rsid w:val="009F4ED1"/>
    <w:rsid w:val="009F583F"/>
    <w:rsid w:val="009F6769"/>
    <w:rsid w:val="009F6DEF"/>
    <w:rsid w:val="009F7029"/>
    <w:rsid w:val="00A00097"/>
    <w:rsid w:val="00A0095B"/>
    <w:rsid w:val="00A00B72"/>
    <w:rsid w:val="00A01500"/>
    <w:rsid w:val="00A0168E"/>
    <w:rsid w:val="00A01A1D"/>
    <w:rsid w:val="00A0271C"/>
    <w:rsid w:val="00A03818"/>
    <w:rsid w:val="00A03D50"/>
    <w:rsid w:val="00A05511"/>
    <w:rsid w:val="00A057A6"/>
    <w:rsid w:val="00A06E76"/>
    <w:rsid w:val="00A07CE6"/>
    <w:rsid w:val="00A11748"/>
    <w:rsid w:val="00A128EB"/>
    <w:rsid w:val="00A12E1D"/>
    <w:rsid w:val="00A1405D"/>
    <w:rsid w:val="00A15660"/>
    <w:rsid w:val="00A16693"/>
    <w:rsid w:val="00A166B0"/>
    <w:rsid w:val="00A169E1"/>
    <w:rsid w:val="00A16BE6"/>
    <w:rsid w:val="00A170D9"/>
    <w:rsid w:val="00A20204"/>
    <w:rsid w:val="00A20259"/>
    <w:rsid w:val="00A209CC"/>
    <w:rsid w:val="00A20D08"/>
    <w:rsid w:val="00A20E57"/>
    <w:rsid w:val="00A21B78"/>
    <w:rsid w:val="00A23355"/>
    <w:rsid w:val="00A24E5E"/>
    <w:rsid w:val="00A25B08"/>
    <w:rsid w:val="00A26345"/>
    <w:rsid w:val="00A26C35"/>
    <w:rsid w:val="00A26E8C"/>
    <w:rsid w:val="00A26F1F"/>
    <w:rsid w:val="00A3088F"/>
    <w:rsid w:val="00A30E1C"/>
    <w:rsid w:val="00A33C14"/>
    <w:rsid w:val="00A34369"/>
    <w:rsid w:val="00A343BF"/>
    <w:rsid w:val="00A343C0"/>
    <w:rsid w:val="00A34643"/>
    <w:rsid w:val="00A34E55"/>
    <w:rsid w:val="00A35B51"/>
    <w:rsid w:val="00A36795"/>
    <w:rsid w:val="00A367F2"/>
    <w:rsid w:val="00A368AD"/>
    <w:rsid w:val="00A37991"/>
    <w:rsid w:val="00A37A3B"/>
    <w:rsid w:val="00A42A2A"/>
    <w:rsid w:val="00A44AB8"/>
    <w:rsid w:val="00A45629"/>
    <w:rsid w:val="00A47B6F"/>
    <w:rsid w:val="00A50259"/>
    <w:rsid w:val="00A50AF9"/>
    <w:rsid w:val="00A51790"/>
    <w:rsid w:val="00A51D32"/>
    <w:rsid w:val="00A51D3A"/>
    <w:rsid w:val="00A5234A"/>
    <w:rsid w:val="00A5394B"/>
    <w:rsid w:val="00A54796"/>
    <w:rsid w:val="00A55D0B"/>
    <w:rsid w:val="00A60C60"/>
    <w:rsid w:val="00A60E3B"/>
    <w:rsid w:val="00A638BC"/>
    <w:rsid w:val="00A64552"/>
    <w:rsid w:val="00A65111"/>
    <w:rsid w:val="00A6517F"/>
    <w:rsid w:val="00A65282"/>
    <w:rsid w:val="00A660E9"/>
    <w:rsid w:val="00A713F8"/>
    <w:rsid w:val="00A715F1"/>
    <w:rsid w:val="00A7263D"/>
    <w:rsid w:val="00A728CF"/>
    <w:rsid w:val="00A7399E"/>
    <w:rsid w:val="00A73B0E"/>
    <w:rsid w:val="00A758E8"/>
    <w:rsid w:val="00A75C00"/>
    <w:rsid w:val="00A76AB3"/>
    <w:rsid w:val="00A76DB6"/>
    <w:rsid w:val="00A80D6A"/>
    <w:rsid w:val="00A86763"/>
    <w:rsid w:val="00A8684F"/>
    <w:rsid w:val="00A86C29"/>
    <w:rsid w:val="00A8719F"/>
    <w:rsid w:val="00A87C35"/>
    <w:rsid w:val="00A9445F"/>
    <w:rsid w:val="00A96DDF"/>
    <w:rsid w:val="00AA250A"/>
    <w:rsid w:val="00AA42A8"/>
    <w:rsid w:val="00AA4530"/>
    <w:rsid w:val="00AA5655"/>
    <w:rsid w:val="00AA7B87"/>
    <w:rsid w:val="00AA7ED5"/>
    <w:rsid w:val="00AB15A0"/>
    <w:rsid w:val="00AB2647"/>
    <w:rsid w:val="00AB352F"/>
    <w:rsid w:val="00AB3904"/>
    <w:rsid w:val="00AB394A"/>
    <w:rsid w:val="00AB4650"/>
    <w:rsid w:val="00AB49BE"/>
    <w:rsid w:val="00AB4EDB"/>
    <w:rsid w:val="00AB511B"/>
    <w:rsid w:val="00AB58F8"/>
    <w:rsid w:val="00AB6844"/>
    <w:rsid w:val="00AB6E1F"/>
    <w:rsid w:val="00AB76C2"/>
    <w:rsid w:val="00AC097C"/>
    <w:rsid w:val="00AC16F4"/>
    <w:rsid w:val="00AC18F3"/>
    <w:rsid w:val="00AC27CB"/>
    <w:rsid w:val="00AC2D12"/>
    <w:rsid w:val="00AC32A3"/>
    <w:rsid w:val="00AC347C"/>
    <w:rsid w:val="00AC3DB3"/>
    <w:rsid w:val="00AC4005"/>
    <w:rsid w:val="00AC5890"/>
    <w:rsid w:val="00AC7F33"/>
    <w:rsid w:val="00AD03D6"/>
    <w:rsid w:val="00AD2DCF"/>
    <w:rsid w:val="00AD429D"/>
    <w:rsid w:val="00AD569D"/>
    <w:rsid w:val="00AD5C6A"/>
    <w:rsid w:val="00AD6ACB"/>
    <w:rsid w:val="00AD7A9E"/>
    <w:rsid w:val="00AE0E6C"/>
    <w:rsid w:val="00AE1430"/>
    <w:rsid w:val="00AE1EF4"/>
    <w:rsid w:val="00AE2495"/>
    <w:rsid w:val="00AE25C2"/>
    <w:rsid w:val="00AE264B"/>
    <w:rsid w:val="00AE2DF3"/>
    <w:rsid w:val="00AE3512"/>
    <w:rsid w:val="00AE51A4"/>
    <w:rsid w:val="00AE5DCD"/>
    <w:rsid w:val="00AE63E6"/>
    <w:rsid w:val="00AE6DCB"/>
    <w:rsid w:val="00AF06D9"/>
    <w:rsid w:val="00AF09B0"/>
    <w:rsid w:val="00AF13D1"/>
    <w:rsid w:val="00AF2AD8"/>
    <w:rsid w:val="00AF4472"/>
    <w:rsid w:val="00AF46FB"/>
    <w:rsid w:val="00AF4AF7"/>
    <w:rsid w:val="00AF4D23"/>
    <w:rsid w:val="00AF55F6"/>
    <w:rsid w:val="00AF5AE2"/>
    <w:rsid w:val="00AF5B63"/>
    <w:rsid w:val="00AF6C04"/>
    <w:rsid w:val="00AF6FF3"/>
    <w:rsid w:val="00B00202"/>
    <w:rsid w:val="00B00973"/>
    <w:rsid w:val="00B0363A"/>
    <w:rsid w:val="00B047B3"/>
    <w:rsid w:val="00B118E8"/>
    <w:rsid w:val="00B11ADD"/>
    <w:rsid w:val="00B139AE"/>
    <w:rsid w:val="00B23EE7"/>
    <w:rsid w:val="00B24E4E"/>
    <w:rsid w:val="00B3001E"/>
    <w:rsid w:val="00B30107"/>
    <w:rsid w:val="00B303B8"/>
    <w:rsid w:val="00B30C4B"/>
    <w:rsid w:val="00B30C6B"/>
    <w:rsid w:val="00B3386C"/>
    <w:rsid w:val="00B34CC3"/>
    <w:rsid w:val="00B34EC8"/>
    <w:rsid w:val="00B35B6B"/>
    <w:rsid w:val="00B3634A"/>
    <w:rsid w:val="00B367FD"/>
    <w:rsid w:val="00B378AB"/>
    <w:rsid w:val="00B37CBF"/>
    <w:rsid w:val="00B37F96"/>
    <w:rsid w:val="00B41020"/>
    <w:rsid w:val="00B4106D"/>
    <w:rsid w:val="00B442C1"/>
    <w:rsid w:val="00B46938"/>
    <w:rsid w:val="00B471AE"/>
    <w:rsid w:val="00B51F04"/>
    <w:rsid w:val="00B521DF"/>
    <w:rsid w:val="00B5355B"/>
    <w:rsid w:val="00B53582"/>
    <w:rsid w:val="00B538EF"/>
    <w:rsid w:val="00B54A8A"/>
    <w:rsid w:val="00B55278"/>
    <w:rsid w:val="00B553E3"/>
    <w:rsid w:val="00B559C4"/>
    <w:rsid w:val="00B55AAF"/>
    <w:rsid w:val="00B57A87"/>
    <w:rsid w:val="00B60316"/>
    <w:rsid w:val="00B60588"/>
    <w:rsid w:val="00B608F5"/>
    <w:rsid w:val="00B60F67"/>
    <w:rsid w:val="00B61CFF"/>
    <w:rsid w:val="00B622D5"/>
    <w:rsid w:val="00B62615"/>
    <w:rsid w:val="00B62A79"/>
    <w:rsid w:val="00B648D0"/>
    <w:rsid w:val="00B64FEB"/>
    <w:rsid w:val="00B6502F"/>
    <w:rsid w:val="00B66FDC"/>
    <w:rsid w:val="00B67158"/>
    <w:rsid w:val="00B67518"/>
    <w:rsid w:val="00B675A0"/>
    <w:rsid w:val="00B67BF1"/>
    <w:rsid w:val="00B67C30"/>
    <w:rsid w:val="00B702BB"/>
    <w:rsid w:val="00B71123"/>
    <w:rsid w:val="00B7178A"/>
    <w:rsid w:val="00B72DD1"/>
    <w:rsid w:val="00B72E83"/>
    <w:rsid w:val="00B7374B"/>
    <w:rsid w:val="00B738A2"/>
    <w:rsid w:val="00B7530E"/>
    <w:rsid w:val="00B75791"/>
    <w:rsid w:val="00B7712C"/>
    <w:rsid w:val="00B8058D"/>
    <w:rsid w:val="00B80BDA"/>
    <w:rsid w:val="00B81276"/>
    <w:rsid w:val="00B830F2"/>
    <w:rsid w:val="00B84A67"/>
    <w:rsid w:val="00B84C58"/>
    <w:rsid w:val="00B84E44"/>
    <w:rsid w:val="00B85C58"/>
    <w:rsid w:val="00B86419"/>
    <w:rsid w:val="00B90F10"/>
    <w:rsid w:val="00B9140C"/>
    <w:rsid w:val="00B914F8"/>
    <w:rsid w:val="00B91CBF"/>
    <w:rsid w:val="00B93A53"/>
    <w:rsid w:val="00B9474D"/>
    <w:rsid w:val="00B951B3"/>
    <w:rsid w:val="00B95B18"/>
    <w:rsid w:val="00B963FE"/>
    <w:rsid w:val="00B96479"/>
    <w:rsid w:val="00B966E2"/>
    <w:rsid w:val="00B97FA4"/>
    <w:rsid w:val="00BA1C88"/>
    <w:rsid w:val="00BA1ED7"/>
    <w:rsid w:val="00BA4150"/>
    <w:rsid w:val="00BA461B"/>
    <w:rsid w:val="00BA4975"/>
    <w:rsid w:val="00BA5E26"/>
    <w:rsid w:val="00BA630F"/>
    <w:rsid w:val="00BA6967"/>
    <w:rsid w:val="00BA6D5E"/>
    <w:rsid w:val="00BA7C72"/>
    <w:rsid w:val="00BB0577"/>
    <w:rsid w:val="00BB1AB3"/>
    <w:rsid w:val="00BB2611"/>
    <w:rsid w:val="00BB27E4"/>
    <w:rsid w:val="00BB2A33"/>
    <w:rsid w:val="00BB304A"/>
    <w:rsid w:val="00BB308E"/>
    <w:rsid w:val="00BB311A"/>
    <w:rsid w:val="00BB3642"/>
    <w:rsid w:val="00BB3C1D"/>
    <w:rsid w:val="00BB5DDD"/>
    <w:rsid w:val="00BB6C4F"/>
    <w:rsid w:val="00BB7759"/>
    <w:rsid w:val="00BB7997"/>
    <w:rsid w:val="00BC02C6"/>
    <w:rsid w:val="00BC137C"/>
    <w:rsid w:val="00BC2DC4"/>
    <w:rsid w:val="00BC4C96"/>
    <w:rsid w:val="00BC61D8"/>
    <w:rsid w:val="00BC6916"/>
    <w:rsid w:val="00BC75B6"/>
    <w:rsid w:val="00BD03BE"/>
    <w:rsid w:val="00BD07FB"/>
    <w:rsid w:val="00BD208F"/>
    <w:rsid w:val="00BD2226"/>
    <w:rsid w:val="00BD254B"/>
    <w:rsid w:val="00BD2661"/>
    <w:rsid w:val="00BD2AAB"/>
    <w:rsid w:val="00BD4223"/>
    <w:rsid w:val="00BD454E"/>
    <w:rsid w:val="00BD4E15"/>
    <w:rsid w:val="00BD4FA9"/>
    <w:rsid w:val="00BD52DF"/>
    <w:rsid w:val="00BD67F5"/>
    <w:rsid w:val="00BE055B"/>
    <w:rsid w:val="00BE0781"/>
    <w:rsid w:val="00BE1D52"/>
    <w:rsid w:val="00BE4CC3"/>
    <w:rsid w:val="00BE53C5"/>
    <w:rsid w:val="00BE6049"/>
    <w:rsid w:val="00BE643F"/>
    <w:rsid w:val="00BE7504"/>
    <w:rsid w:val="00BE7EBA"/>
    <w:rsid w:val="00BF07ED"/>
    <w:rsid w:val="00BF1720"/>
    <w:rsid w:val="00BF1B10"/>
    <w:rsid w:val="00BF3730"/>
    <w:rsid w:val="00BF4FC1"/>
    <w:rsid w:val="00BF5104"/>
    <w:rsid w:val="00BF5AA0"/>
    <w:rsid w:val="00BF7735"/>
    <w:rsid w:val="00C00B50"/>
    <w:rsid w:val="00C0166A"/>
    <w:rsid w:val="00C01A62"/>
    <w:rsid w:val="00C0395A"/>
    <w:rsid w:val="00C03DA3"/>
    <w:rsid w:val="00C04A6B"/>
    <w:rsid w:val="00C04E14"/>
    <w:rsid w:val="00C04FFE"/>
    <w:rsid w:val="00C05325"/>
    <w:rsid w:val="00C062EC"/>
    <w:rsid w:val="00C0779A"/>
    <w:rsid w:val="00C07F3F"/>
    <w:rsid w:val="00C1055F"/>
    <w:rsid w:val="00C10642"/>
    <w:rsid w:val="00C110C3"/>
    <w:rsid w:val="00C11308"/>
    <w:rsid w:val="00C11428"/>
    <w:rsid w:val="00C11C6F"/>
    <w:rsid w:val="00C11E50"/>
    <w:rsid w:val="00C125AA"/>
    <w:rsid w:val="00C129B4"/>
    <w:rsid w:val="00C138B6"/>
    <w:rsid w:val="00C14631"/>
    <w:rsid w:val="00C164AA"/>
    <w:rsid w:val="00C17302"/>
    <w:rsid w:val="00C17D98"/>
    <w:rsid w:val="00C204B0"/>
    <w:rsid w:val="00C21E01"/>
    <w:rsid w:val="00C2349B"/>
    <w:rsid w:val="00C24272"/>
    <w:rsid w:val="00C242E7"/>
    <w:rsid w:val="00C25820"/>
    <w:rsid w:val="00C26805"/>
    <w:rsid w:val="00C32C22"/>
    <w:rsid w:val="00C34D1F"/>
    <w:rsid w:val="00C36DCC"/>
    <w:rsid w:val="00C37887"/>
    <w:rsid w:val="00C4001D"/>
    <w:rsid w:val="00C40246"/>
    <w:rsid w:val="00C40E2F"/>
    <w:rsid w:val="00C41692"/>
    <w:rsid w:val="00C41C62"/>
    <w:rsid w:val="00C4296F"/>
    <w:rsid w:val="00C42DE6"/>
    <w:rsid w:val="00C42FB6"/>
    <w:rsid w:val="00C436DE"/>
    <w:rsid w:val="00C43A6F"/>
    <w:rsid w:val="00C43E05"/>
    <w:rsid w:val="00C45070"/>
    <w:rsid w:val="00C46E3A"/>
    <w:rsid w:val="00C50AD1"/>
    <w:rsid w:val="00C513FF"/>
    <w:rsid w:val="00C537DE"/>
    <w:rsid w:val="00C53AFC"/>
    <w:rsid w:val="00C53B97"/>
    <w:rsid w:val="00C53D51"/>
    <w:rsid w:val="00C54C9C"/>
    <w:rsid w:val="00C54F4B"/>
    <w:rsid w:val="00C56602"/>
    <w:rsid w:val="00C567EC"/>
    <w:rsid w:val="00C56AC6"/>
    <w:rsid w:val="00C56EF0"/>
    <w:rsid w:val="00C57B73"/>
    <w:rsid w:val="00C57E16"/>
    <w:rsid w:val="00C60B51"/>
    <w:rsid w:val="00C61160"/>
    <w:rsid w:val="00C61473"/>
    <w:rsid w:val="00C626EB"/>
    <w:rsid w:val="00C64370"/>
    <w:rsid w:val="00C65C41"/>
    <w:rsid w:val="00C65E9D"/>
    <w:rsid w:val="00C6623F"/>
    <w:rsid w:val="00C67BF7"/>
    <w:rsid w:val="00C72D0C"/>
    <w:rsid w:val="00C73A10"/>
    <w:rsid w:val="00C740CB"/>
    <w:rsid w:val="00C7422F"/>
    <w:rsid w:val="00C74494"/>
    <w:rsid w:val="00C744DB"/>
    <w:rsid w:val="00C7568C"/>
    <w:rsid w:val="00C75C5E"/>
    <w:rsid w:val="00C76A6C"/>
    <w:rsid w:val="00C76AC1"/>
    <w:rsid w:val="00C76B83"/>
    <w:rsid w:val="00C77386"/>
    <w:rsid w:val="00C77397"/>
    <w:rsid w:val="00C80602"/>
    <w:rsid w:val="00C80FD7"/>
    <w:rsid w:val="00C812EB"/>
    <w:rsid w:val="00C821B5"/>
    <w:rsid w:val="00C8266E"/>
    <w:rsid w:val="00C826A7"/>
    <w:rsid w:val="00C82CAB"/>
    <w:rsid w:val="00C84558"/>
    <w:rsid w:val="00C850CA"/>
    <w:rsid w:val="00C8565B"/>
    <w:rsid w:val="00C85E8D"/>
    <w:rsid w:val="00C86368"/>
    <w:rsid w:val="00C86EBB"/>
    <w:rsid w:val="00C87347"/>
    <w:rsid w:val="00C873C1"/>
    <w:rsid w:val="00C9012E"/>
    <w:rsid w:val="00C90FCA"/>
    <w:rsid w:val="00C91DAC"/>
    <w:rsid w:val="00C92314"/>
    <w:rsid w:val="00C94B8D"/>
    <w:rsid w:val="00C97033"/>
    <w:rsid w:val="00C972EE"/>
    <w:rsid w:val="00C97453"/>
    <w:rsid w:val="00C977F8"/>
    <w:rsid w:val="00CA1209"/>
    <w:rsid w:val="00CA15E7"/>
    <w:rsid w:val="00CA27EF"/>
    <w:rsid w:val="00CA2B71"/>
    <w:rsid w:val="00CA43F0"/>
    <w:rsid w:val="00CA4F0A"/>
    <w:rsid w:val="00CA5B76"/>
    <w:rsid w:val="00CA6145"/>
    <w:rsid w:val="00CA7841"/>
    <w:rsid w:val="00CA7A5E"/>
    <w:rsid w:val="00CB1A15"/>
    <w:rsid w:val="00CB2613"/>
    <w:rsid w:val="00CB2E4B"/>
    <w:rsid w:val="00CB2F15"/>
    <w:rsid w:val="00CB3B63"/>
    <w:rsid w:val="00CB4090"/>
    <w:rsid w:val="00CB4605"/>
    <w:rsid w:val="00CB47ED"/>
    <w:rsid w:val="00CB4A94"/>
    <w:rsid w:val="00CB570A"/>
    <w:rsid w:val="00CC0A9F"/>
    <w:rsid w:val="00CC0B08"/>
    <w:rsid w:val="00CC23E5"/>
    <w:rsid w:val="00CC33ED"/>
    <w:rsid w:val="00CC3FD3"/>
    <w:rsid w:val="00CC55D2"/>
    <w:rsid w:val="00CC5B62"/>
    <w:rsid w:val="00CC634A"/>
    <w:rsid w:val="00CC66D4"/>
    <w:rsid w:val="00CC74A9"/>
    <w:rsid w:val="00CD2B8E"/>
    <w:rsid w:val="00CD50A7"/>
    <w:rsid w:val="00CD5C51"/>
    <w:rsid w:val="00CD5F82"/>
    <w:rsid w:val="00CE010E"/>
    <w:rsid w:val="00CE01EF"/>
    <w:rsid w:val="00CE1DA3"/>
    <w:rsid w:val="00CE2361"/>
    <w:rsid w:val="00CE348E"/>
    <w:rsid w:val="00CE3D94"/>
    <w:rsid w:val="00CE454D"/>
    <w:rsid w:val="00CE4B98"/>
    <w:rsid w:val="00CE4D74"/>
    <w:rsid w:val="00CE6562"/>
    <w:rsid w:val="00CE7981"/>
    <w:rsid w:val="00CE7F96"/>
    <w:rsid w:val="00CF029D"/>
    <w:rsid w:val="00CF2116"/>
    <w:rsid w:val="00CF2249"/>
    <w:rsid w:val="00CF2C36"/>
    <w:rsid w:val="00CF4B75"/>
    <w:rsid w:val="00CF4F30"/>
    <w:rsid w:val="00CF55E8"/>
    <w:rsid w:val="00CF5772"/>
    <w:rsid w:val="00CF5CCF"/>
    <w:rsid w:val="00CF5FBD"/>
    <w:rsid w:val="00CF6126"/>
    <w:rsid w:val="00CF6280"/>
    <w:rsid w:val="00CF692A"/>
    <w:rsid w:val="00CF7550"/>
    <w:rsid w:val="00D0093B"/>
    <w:rsid w:val="00D027AC"/>
    <w:rsid w:val="00D02C1A"/>
    <w:rsid w:val="00D04D29"/>
    <w:rsid w:val="00D04E96"/>
    <w:rsid w:val="00D05545"/>
    <w:rsid w:val="00D05908"/>
    <w:rsid w:val="00D07309"/>
    <w:rsid w:val="00D07F18"/>
    <w:rsid w:val="00D111C5"/>
    <w:rsid w:val="00D12265"/>
    <w:rsid w:val="00D122B9"/>
    <w:rsid w:val="00D12999"/>
    <w:rsid w:val="00D12B86"/>
    <w:rsid w:val="00D13944"/>
    <w:rsid w:val="00D15BF6"/>
    <w:rsid w:val="00D16AA4"/>
    <w:rsid w:val="00D172C6"/>
    <w:rsid w:val="00D173C7"/>
    <w:rsid w:val="00D20929"/>
    <w:rsid w:val="00D20BD2"/>
    <w:rsid w:val="00D21982"/>
    <w:rsid w:val="00D21F23"/>
    <w:rsid w:val="00D22BEB"/>
    <w:rsid w:val="00D2415B"/>
    <w:rsid w:val="00D2424B"/>
    <w:rsid w:val="00D25EE7"/>
    <w:rsid w:val="00D26347"/>
    <w:rsid w:val="00D2785E"/>
    <w:rsid w:val="00D27BE0"/>
    <w:rsid w:val="00D3010E"/>
    <w:rsid w:val="00D30627"/>
    <w:rsid w:val="00D31169"/>
    <w:rsid w:val="00D324D9"/>
    <w:rsid w:val="00D33203"/>
    <w:rsid w:val="00D34385"/>
    <w:rsid w:val="00D35963"/>
    <w:rsid w:val="00D36755"/>
    <w:rsid w:val="00D369F7"/>
    <w:rsid w:val="00D404EC"/>
    <w:rsid w:val="00D40857"/>
    <w:rsid w:val="00D40A29"/>
    <w:rsid w:val="00D412CA"/>
    <w:rsid w:val="00D4297A"/>
    <w:rsid w:val="00D42CD7"/>
    <w:rsid w:val="00D43EDB"/>
    <w:rsid w:val="00D44589"/>
    <w:rsid w:val="00D4527B"/>
    <w:rsid w:val="00D470A6"/>
    <w:rsid w:val="00D472CA"/>
    <w:rsid w:val="00D47BDD"/>
    <w:rsid w:val="00D50172"/>
    <w:rsid w:val="00D522FA"/>
    <w:rsid w:val="00D52619"/>
    <w:rsid w:val="00D5281B"/>
    <w:rsid w:val="00D52E5F"/>
    <w:rsid w:val="00D56436"/>
    <w:rsid w:val="00D56C34"/>
    <w:rsid w:val="00D56C47"/>
    <w:rsid w:val="00D57BC6"/>
    <w:rsid w:val="00D6022D"/>
    <w:rsid w:val="00D6053D"/>
    <w:rsid w:val="00D60D7F"/>
    <w:rsid w:val="00D61A15"/>
    <w:rsid w:val="00D6220E"/>
    <w:rsid w:val="00D626ED"/>
    <w:rsid w:val="00D64272"/>
    <w:rsid w:val="00D6428B"/>
    <w:rsid w:val="00D6478A"/>
    <w:rsid w:val="00D65D82"/>
    <w:rsid w:val="00D65FB6"/>
    <w:rsid w:val="00D677F4"/>
    <w:rsid w:val="00D67883"/>
    <w:rsid w:val="00D67B49"/>
    <w:rsid w:val="00D73D19"/>
    <w:rsid w:val="00D77C22"/>
    <w:rsid w:val="00D8052C"/>
    <w:rsid w:val="00D80DA6"/>
    <w:rsid w:val="00D80F49"/>
    <w:rsid w:val="00D815FC"/>
    <w:rsid w:val="00D81951"/>
    <w:rsid w:val="00D81C92"/>
    <w:rsid w:val="00D81E60"/>
    <w:rsid w:val="00D81F2E"/>
    <w:rsid w:val="00D82996"/>
    <w:rsid w:val="00D82B92"/>
    <w:rsid w:val="00D83C8E"/>
    <w:rsid w:val="00D843CD"/>
    <w:rsid w:val="00D85164"/>
    <w:rsid w:val="00D8520D"/>
    <w:rsid w:val="00D85216"/>
    <w:rsid w:val="00D852C8"/>
    <w:rsid w:val="00D86CC5"/>
    <w:rsid w:val="00D86F6F"/>
    <w:rsid w:val="00D915E2"/>
    <w:rsid w:val="00D92122"/>
    <w:rsid w:val="00D939CC"/>
    <w:rsid w:val="00D947C3"/>
    <w:rsid w:val="00D96023"/>
    <w:rsid w:val="00D96C1C"/>
    <w:rsid w:val="00DA0545"/>
    <w:rsid w:val="00DA1512"/>
    <w:rsid w:val="00DA1888"/>
    <w:rsid w:val="00DA4890"/>
    <w:rsid w:val="00DA4B0F"/>
    <w:rsid w:val="00DA6304"/>
    <w:rsid w:val="00DA64C6"/>
    <w:rsid w:val="00DA6EBF"/>
    <w:rsid w:val="00DA72B0"/>
    <w:rsid w:val="00DA78F8"/>
    <w:rsid w:val="00DB0FE1"/>
    <w:rsid w:val="00DB47B0"/>
    <w:rsid w:val="00DB6BB2"/>
    <w:rsid w:val="00DB7F07"/>
    <w:rsid w:val="00DC0080"/>
    <w:rsid w:val="00DC067D"/>
    <w:rsid w:val="00DC0C6D"/>
    <w:rsid w:val="00DC1917"/>
    <w:rsid w:val="00DC1CFB"/>
    <w:rsid w:val="00DC2F0C"/>
    <w:rsid w:val="00DC308C"/>
    <w:rsid w:val="00DC5435"/>
    <w:rsid w:val="00DC61B6"/>
    <w:rsid w:val="00DC651F"/>
    <w:rsid w:val="00DC69A4"/>
    <w:rsid w:val="00DC7347"/>
    <w:rsid w:val="00DC749C"/>
    <w:rsid w:val="00DC7D79"/>
    <w:rsid w:val="00DC7F2B"/>
    <w:rsid w:val="00DD0974"/>
    <w:rsid w:val="00DD32AF"/>
    <w:rsid w:val="00DD6285"/>
    <w:rsid w:val="00DD6AF4"/>
    <w:rsid w:val="00DD7B77"/>
    <w:rsid w:val="00DE08B3"/>
    <w:rsid w:val="00DE142F"/>
    <w:rsid w:val="00DE206A"/>
    <w:rsid w:val="00DE2090"/>
    <w:rsid w:val="00DE54BA"/>
    <w:rsid w:val="00DE5F79"/>
    <w:rsid w:val="00DE6812"/>
    <w:rsid w:val="00DF0557"/>
    <w:rsid w:val="00DF0611"/>
    <w:rsid w:val="00DF1841"/>
    <w:rsid w:val="00DF25BA"/>
    <w:rsid w:val="00DF3B6A"/>
    <w:rsid w:val="00DF429B"/>
    <w:rsid w:val="00DF5AD5"/>
    <w:rsid w:val="00DF5CAC"/>
    <w:rsid w:val="00DF73D6"/>
    <w:rsid w:val="00E0323A"/>
    <w:rsid w:val="00E108B6"/>
    <w:rsid w:val="00E10909"/>
    <w:rsid w:val="00E14CAB"/>
    <w:rsid w:val="00E14DD4"/>
    <w:rsid w:val="00E1531C"/>
    <w:rsid w:val="00E15423"/>
    <w:rsid w:val="00E15C7E"/>
    <w:rsid w:val="00E16046"/>
    <w:rsid w:val="00E17650"/>
    <w:rsid w:val="00E1777D"/>
    <w:rsid w:val="00E20618"/>
    <w:rsid w:val="00E21BCF"/>
    <w:rsid w:val="00E21F44"/>
    <w:rsid w:val="00E23173"/>
    <w:rsid w:val="00E24A01"/>
    <w:rsid w:val="00E25180"/>
    <w:rsid w:val="00E252E4"/>
    <w:rsid w:val="00E25CA8"/>
    <w:rsid w:val="00E25CF1"/>
    <w:rsid w:val="00E26ED6"/>
    <w:rsid w:val="00E2714F"/>
    <w:rsid w:val="00E27D9C"/>
    <w:rsid w:val="00E310D2"/>
    <w:rsid w:val="00E33EDC"/>
    <w:rsid w:val="00E33FBF"/>
    <w:rsid w:val="00E33FD3"/>
    <w:rsid w:val="00E359D0"/>
    <w:rsid w:val="00E35E3B"/>
    <w:rsid w:val="00E365E8"/>
    <w:rsid w:val="00E37BA3"/>
    <w:rsid w:val="00E37D45"/>
    <w:rsid w:val="00E4073D"/>
    <w:rsid w:val="00E409BC"/>
    <w:rsid w:val="00E42364"/>
    <w:rsid w:val="00E428F2"/>
    <w:rsid w:val="00E43DDD"/>
    <w:rsid w:val="00E444C4"/>
    <w:rsid w:val="00E44D03"/>
    <w:rsid w:val="00E455DD"/>
    <w:rsid w:val="00E45719"/>
    <w:rsid w:val="00E46F05"/>
    <w:rsid w:val="00E506A5"/>
    <w:rsid w:val="00E51802"/>
    <w:rsid w:val="00E527BC"/>
    <w:rsid w:val="00E52C35"/>
    <w:rsid w:val="00E53042"/>
    <w:rsid w:val="00E5343D"/>
    <w:rsid w:val="00E536DE"/>
    <w:rsid w:val="00E539CF"/>
    <w:rsid w:val="00E53D8A"/>
    <w:rsid w:val="00E541A0"/>
    <w:rsid w:val="00E5434E"/>
    <w:rsid w:val="00E558B7"/>
    <w:rsid w:val="00E55A61"/>
    <w:rsid w:val="00E57042"/>
    <w:rsid w:val="00E6049D"/>
    <w:rsid w:val="00E60BA4"/>
    <w:rsid w:val="00E60E0E"/>
    <w:rsid w:val="00E61066"/>
    <w:rsid w:val="00E6219D"/>
    <w:rsid w:val="00E62EB3"/>
    <w:rsid w:val="00E63055"/>
    <w:rsid w:val="00E63137"/>
    <w:rsid w:val="00E64AF7"/>
    <w:rsid w:val="00E65444"/>
    <w:rsid w:val="00E6615E"/>
    <w:rsid w:val="00E6736D"/>
    <w:rsid w:val="00E674E6"/>
    <w:rsid w:val="00E707F5"/>
    <w:rsid w:val="00E70A3B"/>
    <w:rsid w:val="00E732BF"/>
    <w:rsid w:val="00E741EE"/>
    <w:rsid w:val="00E74412"/>
    <w:rsid w:val="00E754B3"/>
    <w:rsid w:val="00E75C9F"/>
    <w:rsid w:val="00E76CBD"/>
    <w:rsid w:val="00E774B1"/>
    <w:rsid w:val="00E77A32"/>
    <w:rsid w:val="00E81AD9"/>
    <w:rsid w:val="00E81BE1"/>
    <w:rsid w:val="00E828AF"/>
    <w:rsid w:val="00E8370F"/>
    <w:rsid w:val="00E84D02"/>
    <w:rsid w:val="00E85F84"/>
    <w:rsid w:val="00E86694"/>
    <w:rsid w:val="00E87793"/>
    <w:rsid w:val="00E87AFF"/>
    <w:rsid w:val="00E90432"/>
    <w:rsid w:val="00E905C0"/>
    <w:rsid w:val="00E9073C"/>
    <w:rsid w:val="00E92118"/>
    <w:rsid w:val="00E92498"/>
    <w:rsid w:val="00E94507"/>
    <w:rsid w:val="00E9578E"/>
    <w:rsid w:val="00E971CE"/>
    <w:rsid w:val="00E9761D"/>
    <w:rsid w:val="00E97A91"/>
    <w:rsid w:val="00E97D7B"/>
    <w:rsid w:val="00EA1843"/>
    <w:rsid w:val="00EA327D"/>
    <w:rsid w:val="00EA36AE"/>
    <w:rsid w:val="00EA373B"/>
    <w:rsid w:val="00EA3ABA"/>
    <w:rsid w:val="00EA7A01"/>
    <w:rsid w:val="00EB06D3"/>
    <w:rsid w:val="00EB0776"/>
    <w:rsid w:val="00EB2B70"/>
    <w:rsid w:val="00EB3FCB"/>
    <w:rsid w:val="00EB52FB"/>
    <w:rsid w:val="00EB558D"/>
    <w:rsid w:val="00EB6091"/>
    <w:rsid w:val="00EB6BC6"/>
    <w:rsid w:val="00EB6DC5"/>
    <w:rsid w:val="00EB74EC"/>
    <w:rsid w:val="00EB7B27"/>
    <w:rsid w:val="00EC118D"/>
    <w:rsid w:val="00EC17D7"/>
    <w:rsid w:val="00EC3519"/>
    <w:rsid w:val="00EC36EA"/>
    <w:rsid w:val="00EC449E"/>
    <w:rsid w:val="00EC527C"/>
    <w:rsid w:val="00EC5AD7"/>
    <w:rsid w:val="00EC5D2A"/>
    <w:rsid w:val="00EC5F8D"/>
    <w:rsid w:val="00EC6414"/>
    <w:rsid w:val="00ED15B1"/>
    <w:rsid w:val="00ED2A63"/>
    <w:rsid w:val="00ED2DB8"/>
    <w:rsid w:val="00ED3336"/>
    <w:rsid w:val="00ED3441"/>
    <w:rsid w:val="00ED5A65"/>
    <w:rsid w:val="00ED6089"/>
    <w:rsid w:val="00EE06A1"/>
    <w:rsid w:val="00EE284F"/>
    <w:rsid w:val="00EE3676"/>
    <w:rsid w:val="00EE49D9"/>
    <w:rsid w:val="00EE7001"/>
    <w:rsid w:val="00EF0486"/>
    <w:rsid w:val="00EF0B0F"/>
    <w:rsid w:val="00EF1685"/>
    <w:rsid w:val="00EF4080"/>
    <w:rsid w:val="00EF42AC"/>
    <w:rsid w:val="00EF57C2"/>
    <w:rsid w:val="00EF5905"/>
    <w:rsid w:val="00F02DBE"/>
    <w:rsid w:val="00F033BA"/>
    <w:rsid w:val="00F044D7"/>
    <w:rsid w:val="00F04D14"/>
    <w:rsid w:val="00F056F2"/>
    <w:rsid w:val="00F05C01"/>
    <w:rsid w:val="00F060B6"/>
    <w:rsid w:val="00F060F7"/>
    <w:rsid w:val="00F0622F"/>
    <w:rsid w:val="00F07EEC"/>
    <w:rsid w:val="00F11E60"/>
    <w:rsid w:val="00F12B59"/>
    <w:rsid w:val="00F13D38"/>
    <w:rsid w:val="00F14373"/>
    <w:rsid w:val="00F1469E"/>
    <w:rsid w:val="00F14C68"/>
    <w:rsid w:val="00F159AF"/>
    <w:rsid w:val="00F166C8"/>
    <w:rsid w:val="00F201C2"/>
    <w:rsid w:val="00F203E1"/>
    <w:rsid w:val="00F2070C"/>
    <w:rsid w:val="00F20D5E"/>
    <w:rsid w:val="00F242C9"/>
    <w:rsid w:val="00F264E3"/>
    <w:rsid w:val="00F2708A"/>
    <w:rsid w:val="00F313FD"/>
    <w:rsid w:val="00F31634"/>
    <w:rsid w:val="00F31CF3"/>
    <w:rsid w:val="00F3206C"/>
    <w:rsid w:val="00F32DF4"/>
    <w:rsid w:val="00F334BF"/>
    <w:rsid w:val="00F33783"/>
    <w:rsid w:val="00F338ED"/>
    <w:rsid w:val="00F34516"/>
    <w:rsid w:val="00F34A68"/>
    <w:rsid w:val="00F350B5"/>
    <w:rsid w:val="00F35FD8"/>
    <w:rsid w:val="00F36CF4"/>
    <w:rsid w:val="00F3760C"/>
    <w:rsid w:val="00F37D96"/>
    <w:rsid w:val="00F37E9C"/>
    <w:rsid w:val="00F41457"/>
    <w:rsid w:val="00F42498"/>
    <w:rsid w:val="00F425C0"/>
    <w:rsid w:val="00F43C82"/>
    <w:rsid w:val="00F44014"/>
    <w:rsid w:val="00F44966"/>
    <w:rsid w:val="00F45403"/>
    <w:rsid w:val="00F46687"/>
    <w:rsid w:val="00F46D0A"/>
    <w:rsid w:val="00F47FD9"/>
    <w:rsid w:val="00F500FD"/>
    <w:rsid w:val="00F50106"/>
    <w:rsid w:val="00F50498"/>
    <w:rsid w:val="00F51222"/>
    <w:rsid w:val="00F5188A"/>
    <w:rsid w:val="00F518BF"/>
    <w:rsid w:val="00F51957"/>
    <w:rsid w:val="00F51EC2"/>
    <w:rsid w:val="00F52AE5"/>
    <w:rsid w:val="00F5474A"/>
    <w:rsid w:val="00F54F87"/>
    <w:rsid w:val="00F55BEA"/>
    <w:rsid w:val="00F5646A"/>
    <w:rsid w:val="00F60666"/>
    <w:rsid w:val="00F60F5D"/>
    <w:rsid w:val="00F6214D"/>
    <w:rsid w:val="00F70039"/>
    <w:rsid w:val="00F70275"/>
    <w:rsid w:val="00F725DB"/>
    <w:rsid w:val="00F731D0"/>
    <w:rsid w:val="00F74CCA"/>
    <w:rsid w:val="00F74E85"/>
    <w:rsid w:val="00F752B9"/>
    <w:rsid w:val="00F7555B"/>
    <w:rsid w:val="00F761AB"/>
    <w:rsid w:val="00F76AFD"/>
    <w:rsid w:val="00F77396"/>
    <w:rsid w:val="00F77731"/>
    <w:rsid w:val="00F778DE"/>
    <w:rsid w:val="00F81580"/>
    <w:rsid w:val="00F81A20"/>
    <w:rsid w:val="00F83C09"/>
    <w:rsid w:val="00F848E7"/>
    <w:rsid w:val="00F84FA1"/>
    <w:rsid w:val="00F900ED"/>
    <w:rsid w:val="00F908B5"/>
    <w:rsid w:val="00F90FD3"/>
    <w:rsid w:val="00F91E9B"/>
    <w:rsid w:val="00F920B3"/>
    <w:rsid w:val="00F92FB4"/>
    <w:rsid w:val="00F94826"/>
    <w:rsid w:val="00F957E9"/>
    <w:rsid w:val="00F96B2C"/>
    <w:rsid w:val="00FA0563"/>
    <w:rsid w:val="00FA1FE0"/>
    <w:rsid w:val="00FA2DA4"/>
    <w:rsid w:val="00FA65F8"/>
    <w:rsid w:val="00FA68D4"/>
    <w:rsid w:val="00FA7936"/>
    <w:rsid w:val="00FB04F9"/>
    <w:rsid w:val="00FB1923"/>
    <w:rsid w:val="00FB26F8"/>
    <w:rsid w:val="00FB3D04"/>
    <w:rsid w:val="00FB51A8"/>
    <w:rsid w:val="00FB5339"/>
    <w:rsid w:val="00FB71B5"/>
    <w:rsid w:val="00FB7255"/>
    <w:rsid w:val="00FB737C"/>
    <w:rsid w:val="00FB78A4"/>
    <w:rsid w:val="00FC15B7"/>
    <w:rsid w:val="00FC16D9"/>
    <w:rsid w:val="00FC1B2E"/>
    <w:rsid w:val="00FC327A"/>
    <w:rsid w:val="00FC3AEC"/>
    <w:rsid w:val="00FC4092"/>
    <w:rsid w:val="00FC409C"/>
    <w:rsid w:val="00FC764C"/>
    <w:rsid w:val="00FC7A96"/>
    <w:rsid w:val="00FD09E8"/>
    <w:rsid w:val="00FD491D"/>
    <w:rsid w:val="00FD65E9"/>
    <w:rsid w:val="00FD686D"/>
    <w:rsid w:val="00FD6C34"/>
    <w:rsid w:val="00FD7E27"/>
    <w:rsid w:val="00FE0E46"/>
    <w:rsid w:val="00FE12D5"/>
    <w:rsid w:val="00FE22E3"/>
    <w:rsid w:val="00FE295A"/>
    <w:rsid w:val="00FE3303"/>
    <w:rsid w:val="00FE3C7A"/>
    <w:rsid w:val="00FE4450"/>
    <w:rsid w:val="00FE714A"/>
    <w:rsid w:val="00FE72F2"/>
    <w:rsid w:val="00FE7D0C"/>
    <w:rsid w:val="00FE7F22"/>
    <w:rsid w:val="00FF04BD"/>
    <w:rsid w:val="00FF5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14:docId w14:val="34B40C04"/>
  <w15:docId w15:val="{4EDD538C-75B8-43C8-A08D-2AB9FBA8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841"/>
    <w:pPr>
      <w:tabs>
        <w:tab w:val="left" w:pos="1134"/>
      </w:tabs>
      <w:spacing w:before="80" w:after="80" w:line="300" w:lineRule="atLeast"/>
    </w:pPr>
    <w:rPr>
      <w:rFonts w:eastAsiaTheme="minorEastAsia"/>
      <w:sz w:val="24"/>
      <w:szCs w:val="20"/>
      <w:lang w:eastAsia="en-AU"/>
    </w:rPr>
  </w:style>
  <w:style w:type="paragraph" w:styleId="Heading1">
    <w:name w:val="heading 1"/>
    <w:basedOn w:val="Normal"/>
    <w:next w:val="Normal"/>
    <w:link w:val="Heading1Char"/>
    <w:uiPriority w:val="9"/>
    <w:qFormat/>
    <w:rsid w:val="00CA43F0"/>
    <w:pPr>
      <w:pBdr>
        <w:left w:val="single" w:sz="24" w:space="4" w:color="E36C0A" w:themeColor="accent6" w:themeShade="BF"/>
      </w:pBdr>
      <w:spacing w:before="240"/>
      <w:outlineLvl w:val="0"/>
    </w:pPr>
    <w:rPr>
      <w:noProof/>
      <w:color w:val="E36C0A" w:themeColor="accent6" w:themeShade="BF"/>
      <w:sz w:val="48"/>
      <w:szCs w:val="48"/>
    </w:rPr>
  </w:style>
  <w:style w:type="paragraph" w:styleId="Heading2">
    <w:name w:val="heading 2"/>
    <w:basedOn w:val="CGCBulletlist"/>
    <w:next w:val="Normal"/>
    <w:link w:val="Heading2Char"/>
    <w:uiPriority w:val="9"/>
    <w:unhideWhenUsed/>
    <w:qFormat/>
    <w:rsid w:val="00CA43F0"/>
    <w:pPr>
      <w:tabs>
        <w:tab w:val="clear" w:pos="1134"/>
        <w:tab w:val="left" w:pos="0"/>
      </w:tabs>
      <w:spacing w:before="240" w:after="120" w:line="276" w:lineRule="auto"/>
      <w:outlineLvl w:val="1"/>
    </w:pPr>
    <w:rPr>
      <w:b/>
      <w:color w:val="E36C0A"/>
      <w:sz w:val="26"/>
      <w:szCs w:val="26"/>
    </w:rPr>
  </w:style>
  <w:style w:type="paragraph" w:styleId="Heading3">
    <w:name w:val="heading 3"/>
    <w:basedOn w:val="CGCBulletlist"/>
    <w:next w:val="Normal"/>
    <w:link w:val="Heading3Char"/>
    <w:uiPriority w:val="9"/>
    <w:unhideWhenUsed/>
    <w:qFormat/>
    <w:rsid w:val="00DC69A4"/>
    <w:pPr>
      <w:tabs>
        <w:tab w:val="clear" w:pos="1134"/>
        <w:tab w:val="left" w:pos="993"/>
      </w:tabs>
      <w:spacing w:before="0" w:after="120" w:line="276" w:lineRule="auto"/>
      <w:outlineLvl w:val="2"/>
    </w:pPr>
    <w:rPr>
      <w:i/>
      <w:color w:val="E36C0A" w:themeColor="accent6" w:themeShade="BF"/>
      <w:szCs w:val="24"/>
    </w:rPr>
  </w:style>
  <w:style w:type="paragraph" w:styleId="Heading4">
    <w:name w:val="heading 4"/>
    <w:basedOn w:val="Heading3"/>
    <w:next w:val="Normal"/>
    <w:link w:val="Heading4Char"/>
    <w:uiPriority w:val="9"/>
    <w:unhideWhenUsed/>
    <w:qFormat/>
    <w:rsid w:val="00C8266E"/>
    <w:pPr>
      <w:outlineLvl w:val="3"/>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Bulletlist">
    <w:name w:val="CGC Bullet list"/>
    <w:aliases w:val="CGC List 1"/>
    <w:basedOn w:val="Normal"/>
    <w:link w:val="CGCBulletlistCharChar"/>
    <w:qFormat/>
    <w:rsid w:val="00D61A15"/>
  </w:style>
  <w:style w:type="character" w:customStyle="1" w:styleId="CGCBulletlistCharChar">
    <w:name w:val="CGC Bullet list Char Char"/>
    <w:basedOn w:val="DefaultParagraphFont"/>
    <w:link w:val="CGCBulletlist"/>
    <w:rsid w:val="00D61A15"/>
    <w:rPr>
      <w:rFonts w:eastAsiaTheme="minorEastAsia"/>
      <w:sz w:val="24"/>
      <w:szCs w:val="20"/>
      <w:lang w:eastAsia="en-AU"/>
    </w:rPr>
  </w:style>
  <w:style w:type="paragraph" w:styleId="ListParagraph">
    <w:name w:val="List Paragraph"/>
    <w:aliases w:val="List Paragraph1,Recommendation,List Paragraph11,Content descriptions,Bullet point"/>
    <w:basedOn w:val="Normal"/>
    <w:link w:val="ListParagraphChar"/>
    <w:uiPriority w:val="34"/>
    <w:qFormat/>
    <w:rsid w:val="00D61A15"/>
    <w:pPr>
      <w:ind w:left="720"/>
      <w:contextualSpacing/>
    </w:pPr>
  </w:style>
  <w:style w:type="character" w:customStyle="1" w:styleId="ListParagraphChar">
    <w:name w:val="List Paragraph Char"/>
    <w:aliases w:val="List Paragraph1 Char,Recommendation Char,List Paragraph11 Char,Content descriptions Char,Bullet point Char"/>
    <w:basedOn w:val="DefaultParagraphFont"/>
    <w:link w:val="ListParagraph"/>
    <w:uiPriority w:val="34"/>
    <w:locked/>
    <w:rsid w:val="00D61A15"/>
    <w:rPr>
      <w:rFonts w:eastAsiaTheme="minorEastAsia"/>
      <w:lang w:eastAsia="en-AU"/>
    </w:rPr>
  </w:style>
  <w:style w:type="paragraph" w:styleId="FootnoteText">
    <w:name w:val="footnote text"/>
    <w:basedOn w:val="Normal"/>
    <w:link w:val="FootnoteTextChar"/>
    <w:uiPriority w:val="99"/>
    <w:unhideWhenUsed/>
    <w:rsid w:val="000B1EAF"/>
    <w:pPr>
      <w:spacing w:after="0" w:line="240" w:lineRule="auto"/>
    </w:pPr>
    <w:rPr>
      <w:sz w:val="20"/>
    </w:rPr>
  </w:style>
  <w:style w:type="character" w:customStyle="1" w:styleId="FootnoteTextChar">
    <w:name w:val="Footnote Text Char"/>
    <w:basedOn w:val="DefaultParagraphFont"/>
    <w:link w:val="FootnoteText"/>
    <w:uiPriority w:val="99"/>
    <w:rsid w:val="000B1EAF"/>
    <w:rPr>
      <w:rFonts w:eastAsiaTheme="minorEastAsia"/>
      <w:sz w:val="20"/>
      <w:szCs w:val="20"/>
      <w:lang w:eastAsia="en-AU"/>
    </w:rPr>
  </w:style>
  <w:style w:type="character" w:styleId="FootnoteReference">
    <w:name w:val="footnote reference"/>
    <w:basedOn w:val="DefaultParagraphFont"/>
    <w:uiPriority w:val="99"/>
    <w:semiHidden/>
    <w:unhideWhenUsed/>
    <w:rsid w:val="000B1EAF"/>
    <w:rPr>
      <w:vertAlign w:val="superscript"/>
    </w:rPr>
  </w:style>
  <w:style w:type="paragraph" w:customStyle="1" w:styleId="ACnormalpara">
    <w:name w:val="AC normal para"/>
    <w:basedOn w:val="Normal"/>
    <w:rsid w:val="000B1EAF"/>
    <w:pPr>
      <w:spacing w:after="160" w:line="240" w:lineRule="auto"/>
      <w:jc w:val="both"/>
    </w:pPr>
    <w:rPr>
      <w:rFonts w:ascii="Times New Roman" w:eastAsia="Times New Roman" w:hAnsi="Times New Roman" w:cs="Times New Roman"/>
      <w:szCs w:val="24"/>
    </w:rPr>
  </w:style>
  <w:style w:type="paragraph" w:styleId="Header">
    <w:name w:val="header"/>
    <w:basedOn w:val="Normal"/>
    <w:link w:val="HeaderChar"/>
    <w:uiPriority w:val="99"/>
    <w:unhideWhenUsed/>
    <w:rsid w:val="00D60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53D"/>
  </w:style>
  <w:style w:type="paragraph" w:styleId="Footer">
    <w:name w:val="footer"/>
    <w:basedOn w:val="Normal"/>
    <w:link w:val="FooterChar"/>
    <w:uiPriority w:val="99"/>
    <w:unhideWhenUsed/>
    <w:rsid w:val="00D60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53D"/>
  </w:style>
  <w:style w:type="table" w:styleId="TableGrid">
    <w:name w:val="Table Grid"/>
    <w:basedOn w:val="TableNormal"/>
    <w:rsid w:val="00B4106D"/>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06D"/>
    <w:rPr>
      <w:rFonts w:ascii="Tahoma" w:hAnsi="Tahoma" w:cs="Tahoma"/>
      <w:sz w:val="16"/>
      <w:szCs w:val="16"/>
    </w:rPr>
  </w:style>
  <w:style w:type="paragraph" w:customStyle="1" w:styleId="SBTableNumbers">
    <w:name w:val="SB Table Numbers"/>
    <w:basedOn w:val="Normal"/>
    <w:qFormat/>
    <w:rsid w:val="001350C0"/>
    <w:pPr>
      <w:spacing w:after="0" w:line="240" w:lineRule="auto"/>
      <w:ind w:right="170"/>
      <w:jc w:val="right"/>
    </w:pPr>
    <w:rPr>
      <w:rFonts w:ascii="Arial" w:eastAsia="Times New Roman" w:hAnsi="Arial" w:cs="Arial"/>
      <w:noProof/>
      <w:sz w:val="19"/>
      <w:szCs w:val="19"/>
    </w:rPr>
  </w:style>
  <w:style w:type="character" w:styleId="CommentReference">
    <w:name w:val="annotation reference"/>
    <w:basedOn w:val="DefaultParagraphFont"/>
    <w:uiPriority w:val="99"/>
    <w:semiHidden/>
    <w:unhideWhenUsed/>
    <w:rsid w:val="000A43EB"/>
    <w:rPr>
      <w:sz w:val="16"/>
      <w:szCs w:val="16"/>
    </w:rPr>
  </w:style>
  <w:style w:type="paragraph" w:styleId="CommentText">
    <w:name w:val="annotation text"/>
    <w:basedOn w:val="Normal"/>
    <w:link w:val="CommentTextChar"/>
    <w:uiPriority w:val="99"/>
    <w:semiHidden/>
    <w:unhideWhenUsed/>
    <w:rsid w:val="000A43EB"/>
    <w:pPr>
      <w:spacing w:line="240" w:lineRule="auto"/>
    </w:pPr>
    <w:rPr>
      <w:sz w:val="20"/>
    </w:rPr>
  </w:style>
  <w:style w:type="character" w:customStyle="1" w:styleId="CommentTextChar">
    <w:name w:val="Comment Text Char"/>
    <w:basedOn w:val="DefaultParagraphFont"/>
    <w:link w:val="CommentText"/>
    <w:uiPriority w:val="99"/>
    <w:semiHidden/>
    <w:rsid w:val="000A43EB"/>
    <w:rPr>
      <w:sz w:val="20"/>
      <w:szCs w:val="20"/>
    </w:rPr>
  </w:style>
  <w:style w:type="paragraph" w:styleId="CommentSubject">
    <w:name w:val="annotation subject"/>
    <w:basedOn w:val="CommentText"/>
    <w:next w:val="CommentText"/>
    <w:link w:val="CommentSubjectChar"/>
    <w:uiPriority w:val="99"/>
    <w:semiHidden/>
    <w:unhideWhenUsed/>
    <w:rsid w:val="000A43EB"/>
    <w:rPr>
      <w:b/>
      <w:bCs/>
    </w:rPr>
  </w:style>
  <w:style w:type="character" w:customStyle="1" w:styleId="CommentSubjectChar">
    <w:name w:val="Comment Subject Char"/>
    <w:basedOn w:val="CommentTextChar"/>
    <w:link w:val="CommentSubject"/>
    <w:uiPriority w:val="99"/>
    <w:semiHidden/>
    <w:rsid w:val="000A43EB"/>
    <w:rPr>
      <w:b/>
      <w:bCs/>
      <w:sz w:val="20"/>
      <w:szCs w:val="20"/>
    </w:rPr>
  </w:style>
  <w:style w:type="paragraph" w:styleId="NormalWeb">
    <w:name w:val="Normal (Web)"/>
    <w:basedOn w:val="Normal"/>
    <w:uiPriority w:val="99"/>
    <w:unhideWhenUsed/>
    <w:rsid w:val="00035DD3"/>
    <w:pPr>
      <w:spacing w:after="150"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3A0C21"/>
    <w:rPr>
      <w:color w:val="0000FF" w:themeColor="hyperlink"/>
      <w:u w:val="single"/>
    </w:rPr>
  </w:style>
  <w:style w:type="table" w:styleId="GridTable2-Accent1">
    <w:name w:val="Grid Table 2 Accent 1"/>
    <w:basedOn w:val="TableNormal"/>
    <w:uiPriority w:val="47"/>
    <w:rsid w:val="00205F1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3D22C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55AAF"/>
    <w:pPr>
      <w:spacing w:after="0" w:line="240" w:lineRule="auto"/>
    </w:pPr>
  </w:style>
  <w:style w:type="paragraph" w:customStyle="1" w:styleId="UTMBodyText">
    <w:name w:val="UTM Body Text"/>
    <w:rsid w:val="00DC7D79"/>
    <w:pPr>
      <w:spacing w:after="0" w:line="300" w:lineRule="exact"/>
    </w:pPr>
    <w:rPr>
      <w:rFonts w:ascii="Arial" w:eastAsia="Times New Roman" w:hAnsi="Arial" w:cs="Times New Roman"/>
      <w:szCs w:val="20"/>
      <w:lang w:eastAsia="en-AU"/>
    </w:rPr>
  </w:style>
  <w:style w:type="character" w:customStyle="1" w:styleId="Heading1Char">
    <w:name w:val="Heading 1 Char"/>
    <w:basedOn w:val="DefaultParagraphFont"/>
    <w:link w:val="Heading1"/>
    <w:uiPriority w:val="9"/>
    <w:rsid w:val="00CA43F0"/>
    <w:rPr>
      <w:noProof/>
      <w:color w:val="E36C0A" w:themeColor="accent6" w:themeShade="BF"/>
      <w:sz w:val="48"/>
      <w:szCs w:val="48"/>
      <w:lang w:eastAsia="en-AU"/>
    </w:rPr>
  </w:style>
  <w:style w:type="character" w:customStyle="1" w:styleId="Heading2Char">
    <w:name w:val="Heading 2 Char"/>
    <w:basedOn w:val="DefaultParagraphFont"/>
    <w:link w:val="Heading2"/>
    <w:uiPriority w:val="9"/>
    <w:rsid w:val="00CA43F0"/>
    <w:rPr>
      <w:rFonts w:eastAsiaTheme="minorEastAsia"/>
      <w:b/>
      <w:color w:val="E36C0A"/>
      <w:sz w:val="26"/>
      <w:szCs w:val="26"/>
      <w:lang w:eastAsia="en-AU"/>
    </w:rPr>
  </w:style>
  <w:style w:type="character" w:customStyle="1" w:styleId="Heading3Char">
    <w:name w:val="Heading 3 Char"/>
    <w:basedOn w:val="DefaultParagraphFont"/>
    <w:link w:val="Heading3"/>
    <w:uiPriority w:val="9"/>
    <w:rsid w:val="00DC69A4"/>
    <w:rPr>
      <w:rFonts w:eastAsiaTheme="minorEastAsia"/>
      <w:i/>
      <w:color w:val="E36C0A" w:themeColor="accent6" w:themeShade="BF"/>
      <w:sz w:val="24"/>
      <w:szCs w:val="24"/>
      <w:lang w:eastAsia="en-AU"/>
    </w:rPr>
  </w:style>
  <w:style w:type="paragraph" w:styleId="TOC1">
    <w:name w:val="toc 1"/>
    <w:basedOn w:val="Heading1"/>
    <w:next w:val="Normal"/>
    <w:autoRedefine/>
    <w:uiPriority w:val="39"/>
    <w:unhideWhenUsed/>
    <w:rsid w:val="00914B31"/>
    <w:pPr>
      <w:spacing w:after="100"/>
    </w:pPr>
  </w:style>
  <w:style w:type="paragraph" w:styleId="TOC2">
    <w:name w:val="toc 2"/>
    <w:basedOn w:val="Heading2"/>
    <w:next w:val="Normal"/>
    <w:autoRedefine/>
    <w:uiPriority w:val="39"/>
    <w:unhideWhenUsed/>
    <w:rsid w:val="007D1CC2"/>
    <w:pPr>
      <w:tabs>
        <w:tab w:val="clear" w:pos="0"/>
      </w:tabs>
      <w:spacing w:after="100"/>
      <w:ind w:left="221"/>
    </w:pPr>
  </w:style>
  <w:style w:type="paragraph" w:styleId="TOC3">
    <w:name w:val="toc 3"/>
    <w:basedOn w:val="Heading3"/>
    <w:next w:val="Normal"/>
    <w:autoRedefine/>
    <w:uiPriority w:val="39"/>
    <w:unhideWhenUsed/>
    <w:rsid w:val="007D1CC2"/>
    <w:pPr>
      <w:tabs>
        <w:tab w:val="clear" w:pos="993"/>
      </w:tabs>
      <w:spacing w:after="100"/>
      <w:ind w:left="442"/>
    </w:pPr>
  </w:style>
  <w:style w:type="paragraph" w:styleId="TOCHeading">
    <w:name w:val="TOC Heading"/>
    <w:basedOn w:val="Heading1"/>
    <w:next w:val="Normal"/>
    <w:uiPriority w:val="39"/>
    <w:unhideWhenUsed/>
    <w:qFormat/>
    <w:rsid w:val="00CA43F0"/>
    <w:pPr>
      <w:keepNext/>
      <w:keepLines/>
      <w:pBdr>
        <w:left w:val="none" w:sz="0" w:space="0" w:color="auto"/>
      </w:pBdr>
      <w:spacing w:after="0" w:line="259" w:lineRule="auto"/>
      <w:outlineLvl w:val="9"/>
    </w:pPr>
    <w:rPr>
      <w:rFonts w:asciiTheme="majorHAnsi" w:eastAsiaTheme="majorEastAsia" w:hAnsiTheme="majorHAnsi" w:cstheme="majorBidi"/>
      <w:noProof w:val="0"/>
      <w:color w:val="365F91" w:themeColor="accent1" w:themeShade="BF"/>
      <w:sz w:val="32"/>
      <w:szCs w:val="32"/>
      <w:lang w:val="en-US" w:eastAsia="en-US"/>
    </w:rPr>
  </w:style>
  <w:style w:type="character" w:customStyle="1" w:styleId="Heading4Char">
    <w:name w:val="Heading 4 Char"/>
    <w:basedOn w:val="DefaultParagraphFont"/>
    <w:link w:val="Heading4"/>
    <w:uiPriority w:val="9"/>
    <w:rsid w:val="00C8266E"/>
    <w:rPr>
      <w:rFonts w:eastAsiaTheme="minorEastAsia"/>
      <w:i/>
      <w:color w:val="E36C0A" w:themeColor="accent6" w:themeShade="BF"/>
      <w:spacing w:val="-2"/>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75204">
      <w:bodyDiv w:val="1"/>
      <w:marLeft w:val="0"/>
      <w:marRight w:val="0"/>
      <w:marTop w:val="0"/>
      <w:marBottom w:val="0"/>
      <w:divBdr>
        <w:top w:val="none" w:sz="0" w:space="0" w:color="auto"/>
        <w:left w:val="none" w:sz="0" w:space="0" w:color="auto"/>
        <w:bottom w:val="none" w:sz="0" w:space="0" w:color="auto"/>
        <w:right w:val="none" w:sz="0" w:space="0" w:color="auto"/>
      </w:divBdr>
    </w:div>
    <w:div w:id="306783310">
      <w:bodyDiv w:val="1"/>
      <w:marLeft w:val="0"/>
      <w:marRight w:val="0"/>
      <w:marTop w:val="0"/>
      <w:marBottom w:val="0"/>
      <w:divBdr>
        <w:top w:val="none" w:sz="0" w:space="0" w:color="auto"/>
        <w:left w:val="none" w:sz="0" w:space="0" w:color="auto"/>
        <w:bottom w:val="none" w:sz="0" w:space="0" w:color="auto"/>
        <w:right w:val="none" w:sz="0" w:space="0" w:color="auto"/>
      </w:divBdr>
    </w:div>
    <w:div w:id="343017607">
      <w:bodyDiv w:val="1"/>
      <w:marLeft w:val="0"/>
      <w:marRight w:val="0"/>
      <w:marTop w:val="0"/>
      <w:marBottom w:val="0"/>
      <w:divBdr>
        <w:top w:val="none" w:sz="0" w:space="0" w:color="auto"/>
        <w:left w:val="none" w:sz="0" w:space="0" w:color="auto"/>
        <w:bottom w:val="none" w:sz="0" w:space="0" w:color="auto"/>
        <w:right w:val="none" w:sz="0" w:space="0" w:color="auto"/>
      </w:divBdr>
    </w:div>
    <w:div w:id="413940714">
      <w:bodyDiv w:val="1"/>
      <w:marLeft w:val="0"/>
      <w:marRight w:val="0"/>
      <w:marTop w:val="0"/>
      <w:marBottom w:val="0"/>
      <w:divBdr>
        <w:top w:val="none" w:sz="0" w:space="0" w:color="auto"/>
        <w:left w:val="none" w:sz="0" w:space="0" w:color="auto"/>
        <w:bottom w:val="none" w:sz="0" w:space="0" w:color="auto"/>
        <w:right w:val="none" w:sz="0" w:space="0" w:color="auto"/>
      </w:divBdr>
      <w:divsChild>
        <w:div w:id="844634517">
          <w:marLeft w:val="562"/>
          <w:marRight w:val="0"/>
          <w:marTop w:val="0"/>
          <w:marBottom w:val="360"/>
          <w:divBdr>
            <w:top w:val="none" w:sz="0" w:space="0" w:color="auto"/>
            <w:left w:val="none" w:sz="0" w:space="0" w:color="auto"/>
            <w:bottom w:val="none" w:sz="0" w:space="0" w:color="auto"/>
            <w:right w:val="none" w:sz="0" w:space="0" w:color="auto"/>
          </w:divBdr>
        </w:div>
        <w:div w:id="477068583">
          <w:marLeft w:val="562"/>
          <w:marRight w:val="0"/>
          <w:marTop w:val="0"/>
          <w:marBottom w:val="360"/>
          <w:divBdr>
            <w:top w:val="none" w:sz="0" w:space="0" w:color="auto"/>
            <w:left w:val="none" w:sz="0" w:space="0" w:color="auto"/>
            <w:bottom w:val="none" w:sz="0" w:space="0" w:color="auto"/>
            <w:right w:val="none" w:sz="0" w:space="0" w:color="auto"/>
          </w:divBdr>
        </w:div>
        <w:div w:id="1655790519">
          <w:marLeft w:val="562"/>
          <w:marRight w:val="0"/>
          <w:marTop w:val="0"/>
          <w:marBottom w:val="360"/>
          <w:divBdr>
            <w:top w:val="none" w:sz="0" w:space="0" w:color="auto"/>
            <w:left w:val="none" w:sz="0" w:space="0" w:color="auto"/>
            <w:bottom w:val="none" w:sz="0" w:space="0" w:color="auto"/>
            <w:right w:val="none" w:sz="0" w:space="0" w:color="auto"/>
          </w:divBdr>
        </w:div>
        <w:div w:id="1219786147">
          <w:marLeft w:val="562"/>
          <w:marRight w:val="0"/>
          <w:marTop w:val="0"/>
          <w:marBottom w:val="360"/>
          <w:divBdr>
            <w:top w:val="none" w:sz="0" w:space="0" w:color="auto"/>
            <w:left w:val="none" w:sz="0" w:space="0" w:color="auto"/>
            <w:bottom w:val="none" w:sz="0" w:space="0" w:color="auto"/>
            <w:right w:val="none" w:sz="0" w:space="0" w:color="auto"/>
          </w:divBdr>
        </w:div>
      </w:divsChild>
    </w:div>
    <w:div w:id="424807792">
      <w:bodyDiv w:val="1"/>
      <w:marLeft w:val="0"/>
      <w:marRight w:val="0"/>
      <w:marTop w:val="0"/>
      <w:marBottom w:val="0"/>
      <w:divBdr>
        <w:top w:val="none" w:sz="0" w:space="0" w:color="auto"/>
        <w:left w:val="none" w:sz="0" w:space="0" w:color="auto"/>
        <w:bottom w:val="none" w:sz="0" w:space="0" w:color="auto"/>
        <w:right w:val="none" w:sz="0" w:space="0" w:color="auto"/>
      </w:divBdr>
    </w:div>
    <w:div w:id="591206700">
      <w:bodyDiv w:val="1"/>
      <w:marLeft w:val="0"/>
      <w:marRight w:val="0"/>
      <w:marTop w:val="0"/>
      <w:marBottom w:val="0"/>
      <w:divBdr>
        <w:top w:val="none" w:sz="0" w:space="0" w:color="auto"/>
        <w:left w:val="none" w:sz="0" w:space="0" w:color="auto"/>
        <w:bottom w:val="none" w:sz="0" w:space="0" w:color="auto"/>
        <w:right w:val="none" w:sz="0" w:space="0" w:color="auto"/>
      </w:divBdr>
    </w:div>
    <w:div w:id="637566836">
      <w:bodyDiv w:val="1"/>
      <w:marLeft w:val="0"/>
      <w:marRight w:val="0"/>
      <w:marTop w:val="0"/>
      <w:marBottom w:val="0"/>
      <w:divBdr>
        <w:top w:val="none" w:sz="0" w:space="0" w:color="auto"/>
        <w:left w:val="none" w:sz="0" w:space="0" w:color="auto"/>
        <w:bottom w:val="none" w:sz="0" w:space="0" w:color="auto"/>
        <w:right w:val="none" w:sz="0" w:space="0" w:color="auto"/>
      </w:divBdr>
    </w:div>
    <w:div w:id="802161935">
      <w:bodyDiv w:val="1"/>
      <w:marLeft w:val="0"/>
      <w:marRight w:val="0"/>
      <w:marTop w:val="0"/>
      <w:marBottom w:val="0"/>
      <w:divBdr>
        <w:top w:val="none" w:sz="0" w:space="0" w:color="auto"/>
        <w:left w:val="none" w:sz="0" w:space="0" w:color="auto"/>
        <w:bottom w:val="none" w:sz="0" w:space="0" w:color="auto"/>
        <w:right w:val="none" w:sz="0" w:space="0" w:color="auto"/>
      </w:divBdr>
    </w:div>
    <w:div w:id="821894563">
      <w:bodyDiv w:val="1"/>
      <w:marLeft w:val="0"/>
      <w:marRight w:val="0"/>
      <w:marTop w:val="0"/>
      <w:marBottom w:val="0"/>
      <w:divBdr>
        <w:top w:val="none" w:sz="0" w:space="0" w:color="auto"/>
        <w:left w:val="none" w:sz="0" w:space="0" w:color="auto"/>
        <w:bottom w:val="none" w:sz="0" w:space="0" w:color="auto"/>
        <w:right w:val="none" w:sz="0" w:space="0" w:color="auto"/>
      </w:divBdr>
    </w:div>
    <w:div w:id="843470008">
      <w:bodyDiv w:val="1"/>
      <w:marLeft w:val="0"/>
      <w:marRight w:val="0"/>
      <w:marTop w:val="0"/>
      <w:marBottom w:val="0"/>
      <w:divBdr>
        <w:top w:val="none" w:sz="0" w:space="0" w:color="auto"/>
        <w:left w:val="none" w:sz="0" w:space="0" w:color="auto"/>
        <w:bottom w:val="none" w:sz="0" w:space="0" w:color="auto"/>
        <w:right w:val="none" w:sz="0" w:space="0" w:color="auto"/>
      </w:divBdr>
    </w:div>
    <w:div w:id="851458083">
      <w:bodyDiv w:val="1"/>
      <w:marLeft w:val="0"/>
      <w:marRight w:val="0"/>
      <w:marTop w:val="0"/>
      <w:marBottom w:val="0"/>
      <w:divBdr>
        <w:top w:val="none" w:sz="0" w:space="0" w:color="auto"/>
        <w:left w:val="none" w:sz="0" w:space="0" w:color="auto"/>
        <w:bottom w:val="none" w:sz="0" w:space="0" w:color="auto"/>
        <w:right w:val="none" w:sz="0" w:space="0" w:color="auto"/>
      </w:divBdr>
      <w:divsChild>
        <w:div w:id="1555506179">
          <w:marLeft w:val="562"/>
          <w:marRight w:val="0"/>
          <w:marTop w:val="0"/>
          <w:marBottom w:val="0"/>
          <w:divBdr>
            <w:top w:val="none" w:sz="0" w:space="0" w:color="auto"/>
            <w:left w:val="none" w:sz="0" w:space="0" w:color="auto"/>
            <w:bottom w:val="none" w:sz="0" w:space="0" w:color="auto"/>
            <w:right w:val="none" w:sz="0" w:space="0" w:color="auto"/>
          </w:divBdr>
        </w:div>
        <w:div w:id="1613054914">
          <w:marLeft w:val="562"/>
          <w:marRight w:val="0"/>
          <w:marTop w:val="0"/>
          <w:marBottom w:val="0"/>
          <w:divBdr>
            <w:top w:val="none" w:sz="0" w:space="0" w:color="auto"/>
            <w:left w:val="none" w:sz="0" w:space="0" w:color="auto"/>
            <w:bottom w:val="none" w:sz="0" w:space="0" w:color="auto"/>
            <w:right w:val="none" w:sz="0" w:space="0" w:color="auto"/>
          </w:divBdr>
        </w:div>
        <w:div w:id="103156214">
          <w:marLeft w:val="562"/>
          <w:marRight w:val="0"/>
          <w:marTop w:val="0"/>
          <w:marBottom w:val="0"/>
          <w:divBdr>
            <w:top w:val="none" w:sz="0" w:space="0" w:color="auto"/>
            <w:left w:val="none" w:sz="0" w:space="0" w:color="auto"/>
            <w:bottom w:val="none" w:sz="0" w:space="0" w:color="auto"/>
            <w:right w:val="none" w:sz="0" w:space="0" w:color="auto"/>
          </w:divBdr>
        </w:div>
        <w:div w:id="46414803">
          <w:marLeft w:val="562"/>
          <w:marRight w:val="0"/>
          <w:marTop w:val="0"/>
          <w:marBottom w:val="360"/>
          <w:divBdr>
            <w:top w:val="none" w:sz="0" w:space="0" w:color="auto"/>
            <w:left w:val="none" w:sz="0" w:space="0" w:color="auto"/>
            <w:bottom w:val="none" w:sz="0" w:space="0" w:color="auto"/>
            <w:right w:val="none" w:sz="0" w:space="0" w:color="auto"/>
          </w:divBdr>
        </w:div>
      </w:divsChild>
    </w:div>
    <w:div w:id="882711868">
      <w:bodyDiv w:val="1"/>
      <w:marLeft w:val="0"/>
      <w:marRight w:val="0"/>
      <w:marTop w:val="0"/>
      <w:marBottom w:val="0"/>
      <w:divBdr>
        <w:top w:val="none" w:sz="0" w:space="0" w:color="auto"/>
        <w:left w:val="none" w:sz="0" w:space="0" w:color="auto"/>
        <w:bottom w:val="none" w:sz="0" w:space="0" w:color="auto"/>
        <w:right w:val="none" w:sz="0" w:space="0" w:color="auto"/>
      </w:divBdr>
    </w:div>
    <w:div w:id="927084404">
      <w:bodyDiv w:val="1"/>
      <w:marLeft w:val="0"/>
      <w:marRight w:val="0"/>
      <w:marTop w:val="0"/>
      <w:marBottom w:val="0"/>
      <w:divBdr>
        <w:top w:val="none" w:sz="0" w:space="0" w:color="auto"/>
        <w:left w:val="none" w:sz="0" w:space="0" w:color="auto"/>
        <w:bottom w:val="none" w:sz="0" w:space="0" w:color="auto"/>
        <w:right w:val="none" w:sz="0" w:space="0" w:color="auto"/>
      </w:divBdr>
    </w:div>
    <w:div w:id="971639145">
      <w:bodyDiv w:val="1"/>
      <w:marLeft w:val="0"/>
      <w:marRight w:val="0"/>
      <w:marTop w:val="0"/>
      <w:marBottom w:val="0"/>
      <w:divBdr>
        <w:top w:val="none" w:sz="0" w:space="0" w:color="auto"/>
        <w:left w:val="none" w:sz="0" w:space="0" w:color="auto"/>
        <w:bottom w:val="none" w:sz="0" w:space="0" w:color="auto"/>
        <w:right w:val="none" w:sz="0" w:space="0" w:color="auto"/>
      </w:divBdr>
    </w:div>
    <w:div w:id="1001203354">
      <w:bodyDiv w:val="1"/>
      <w:marLeft w:val="0"/>
      <w:marRight w:val="0"/>
      <w:marTop w:val="0"/>
      <w:marBottom w:val="0"/>
      <w:divBdr>
        <w:top w:val="none" w:sz="0" w:space="0" w:color="auto"/>
        <w:left w:val="none" w:sz="0" w:space="0" w:color="auto"/>
        <w:bottom w:val="none" w:sz="0" w:space="0" w:color="auto"/>
        <w:right w:val="none" w:sz="0" w:space="0" w:color="auto"/>
      </w:divBdr>
    </w:div>
    <w:div w:id="1024945520">
      <w:bodyDiv w:val="1"/>
      <w:marLeft w:val="0"/>
      <w:marRight w:val="0"/>
      <w:marTop w:val="0"/>
      <w:marBottom w:val="0"/>
      <w:divBdr>
        <w:top w:val="none" w:sz="0" w:space="0" w:color="auto"/>
        <w:left w:val="none" w:sz="0" w:space="0" w:color="auto"/>
        <w:bottom w:val="none" w:sz="0" w:space="0" w:color="auto"/>
        <w:right w:val="none" w:sz="0" w:space="0" w:color="auto"/>
      </w:divBdr>
      <w:divsChild>
        <w:div w:id="1262495988">
          <w:marLeft w:val="0"/>
          <w:marRight w:val="0"/>
          <w:marTop w:val="0"/>
          <w:marBottom w:val="0"/>
          <w:divBdr>
            <w:top w:val="none" w:sz="0" w:space="0" w:color="auto"/>
            <w:left w:val="none" w:sz="0" w:space="0" w:color="auto"/>
            <w:bottom w:val="none" w:sz="0" w:space="0" w:color="auto"/>
            <w:right w:val="none" w:sz="0" w:space="0" w:color="auto"/>
          </w:divBdr>
          <w:divsChild>
            <w:div w:id="615259457">
              <w:marLeft w:val="0"/>
              <w:marRight w:val="0"/>
              <w:marTop w:val="0"/>
              <w:marBottom w:val="0"/>
              <w:divBdr>
                <w:top w:val="none" w:sz="0" w:space="0" w:color="auto"/>
                <w:left w:val="none" w:sz="0" w:space="0" w:color="auto"/>
                <w:bottom w:val="none" w:sz="0" w:space="0" w:color="auto"/>
                <w:right w:val="none" w:sz="0" w:space="0" w:color="auto"/>
              </w:divBdr>
              <w:divsChild>
                <w:div w:id="1064446216">
                  <w:marLeft w:val="0"/>
                  <w:marRight w:val="0"/>
                  <w:marTop w:val="0"/>
                  <w:marBottom w:val="0"/>
                  <w:divBdr>
                    <w:top w:val="none" w:sz="0" w:space="0" w:color="auto"/>
                    <w:left w:val="none" w:sz="0" w:space="0" w:color="auto"/>
                    <w:bottom w:val="none" w:sz="0" w:space="0" w:color="auto"/>
                    <w:right w:val="none" w:sz="0" w:space="0" w:color="auto"/>
                  </w:divBdr>
                  <w:divsChild>
                    <w:div w:id="846476900">
                      <w:marLeft w:val="0"/>
                      <w:marRight w:val="0"/>
                      <w:marTop w:val="0"/>
                      <w:marBottom w:val="0"/>
                      <w:divBdr>
                        <w:top w:val="none" w:sz="0" w:space="0" w:color="auto"/>
                        <w:left w:val="none" w:sz="0" w:space="0" w:color="auto"/>
                        <w:bottom w:val="none" w:sz="0" w:space="0" w:color="auto"/>
                        <w:right w:val="none" w:sz="0" w:space="0" w:color="auto"/>
                      </w:divBdr>
                      <w:divsChild>
                        <w:div w:id="290594105">
                          <w:marLeft w:val="0"/>
                          <w:marRight w:val="0"/>
                          <w:marTop w:val="0"/>
                          <w:marBottom w:val="150"/>
                          <w:divBdr>
                            <w:top w:val="none" w:sz="0" w:space="0" w:color="auto"/>
                            <w:left w:val="none" w:sz="0" w:space="0" w:color="auto"/>
                            <w:bottom w:val="none" w:sz="0" w:space="0" w:color="auto"/>
                            <w:right w:val="none" w:sz="0" w:space="0" w:color="auto"/>
                          </w:divBdr>
                          <w:divsChild>
                            <w:div w:id="603727475">
                              <w:marLeft w:val="-225"/>
                              <w:marRight w:val="-225"/>
                              <w:marTop w:val="0"/>
                              <w:marBottom w:val="0"/>
                              <w:divBdr>
                                <w:top w:val="none" w:sz="0" w:space="0" w:color="auto"/>
                                <w:left w:val="none" w:sz="0" w:space="0" w:color="auto"/>
                                <w:bottom w:val="none" w:sz="0" w:space="0" w:color="auto"/>
                                <w:right w:val="none" w:sz="0" w:space="0" w:color="auto"/>
                              </w:divBdr>
                              <w:divsChild>
                                <w:div w:id="407844692">
                                  <w:marLeft w:val="0"/>
                                  <w:marRight w:val="0"/>
                                  <w:marTop w:val="0"/>
                                  <w:marBottom w:val="0"/>
                                  <w:divBdr>
                                    <w:top w:val="none" w:sz="0" w:space="0" w:color="auto"/>
                                    <w:left w:val="none" w:sz="0" w:space="0" w:color="auto"/>
                                    <w:bottom w:val="none" w:sz="0" w:space="0" w:color="auto"/>
                                    <w:right w:val="none" w:sz="0" w:space="0" w:color="auto"/>
                                  </w:divBdr>
                                  <w:divsChild>
                                    <w:div w:id="13872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662080">
      <w:bodyDiv w:val="1"/>
      <w:marLeft w:val="0"/>
      <w:marRight w:val="0"/>
      <w:marTop w:val="0"/>
      <w:marBottom w:val="0"/>
      <w:divBdr>
        <w:top w:val="none" w:sz="0" w:space="0" w:color="auto"/>
        <w:left w:val="none" w:sz="0" w:space="0" w:color="auto"/>
        <w:bottom w:val="none" w:sz="0" w:space="0" w:color="auto"/>
        <w:right w:val="none" w:sz="0" w:space="0" w:color="auto"/>
      </w:divBdr>
    </w:div>
    <w:div w:id="1399551290">
      <w:bodyDiv w:val="1"/>
      <w:marLeft w:val="0"/>
      <w:marRight w:val="0"/>
      <w:marTop w:val="0"/>
      <w:marBottom w:val="0"/>
      <w:divBdr>
        <w:top w:val="none" w:sz="0" w:space="0" w:color="auto"/>
        <w:left w:val="none" w:sz="0" w:space="0" w:color="auto"/>
        <w:bottom w:val="none" w:sz="0" w:space="0" w:color="auto"/>
        <w:right w:val="none" w:sz="0" w:space="0" w:color="auto"/>
      </w:divBdr>
    </w:div>
    <w:div w:id="1438866326">
      <w:bodyDiv w:val="1"/>
      <w:marLeft w:val="0"/>
      <w:marRight w:val="0"/>
      <w:marTop w:val="0"/>
      <w:marBottom w:val="0"/>
      <w:divBdr>
        <w:top w:val="none" w:sz="0" w:space="0" w:color="auto"/>
        <w:left w:val="none" w:sz="0" w:space="0" w:color="auto"/>
        <w:bottom w:val="none" w:sz="0" w:space="0" w:color="auto"/>
        <w:right w:val="none" w:sz="0" w:space="0" w:color="auto"/>
      </w:divBdr>
    </w:div>
    <w:div w:id="1615014760">
      <w:bodyDiv w:val="1"/>
      <w:marLeft w:val="0"/>
      <w:marRight w:val="0"/>
      <w:marTop w:val="0"/>
      <w:marBottom w:val="0"/>
      <w:divBdr>
        <w:top w:val="none" w:sz="0" w:space="0" w:color="auto"/>
        <w:left w:val="none" w:sz="0" w:space="0" w:color="auto"/>
        <w:bottom w:val="none" w:sz="0" w:space="0" w:color="auto"/>
        <w:right w:val="none" w:sz="0" w:space="0" w:color="auto"/>
      </w:divBdr>
    </w:div>
    <w:div w:id="1846286302">
      <w:bodyDiv w:val="1"/>
      <w:marLeft w:val="0"/>
      <w:marRight w:val="0"/>
      <w:marTop w:val="0"/>
      <w:marBottom w:val="0"/>
      <w:divBdr>
        <w:top w:val="none" w:sz="0" w:space="0" w:color="auto"/>
        <w:left w:val="none" w:sz="0" w:space="0" w:color="auto"/>
        <w:bottom w:val="none" w:sz="0" w:space="0" w:color="auto"/>
        <w:right w:val="none" w:sz="0" w:space="0" w:color="auto"/>
      </w:divBdr>
    </w:div>
    <w:div w:id="1858078376">
      <w:bodyDiv w:val="1"/>
      <w:marLeft w:val="0"/>
      <w:marRight w:val="0"/>
      <w:marTop w:val="0"/>
      <w:marBottom w:val="0"/>
      <w:divBdr>
        <w:top w:val="none" w:sz="0" w:space="0" w:color="auto"/>
        <w:left w:val="none" w:sz="0" w:space="0" w:color="auto"/>
        <w:bottom w:val="none" w:sz="0" w:space="0" w:color="auto"/>
        <w:right w:val="none" w:sz="0" w:space="0" w:color="auto"/>
      </w:divBdr>
    </w:div>
    <w:div w:id="1957788546">
      <w:bodyDiv w:val="1"/>
      <w:marLeft w:val="0"/>
      <w:marRight w:val="0"/>
      <w:marTop w:val="0"/>
      <w:marBottom w:val="0"/>
      <w:divBdr>
        <w:top w:val="none" w:sz="0" w:space="0" w:color="auto"/>
        <w:left w:val="none" w:sz="0" w:space="0" w:color="auto"/>
        <w:bottom w:val="none" w:sz="0" w:space="0" w:color="auto"/>
        <w:right w:val="none" w:sz="0" w:space="0" w:color="auto"/>
      </w:divBdr>
    </w:div>
    <w:div w:id="2092191544">
      <w:bodyDiv w:val="1"/>
      <w:marLeft w:val="0"/>
      <w:marRight w:val="0"/>
      <w:marTop w:val="0"/>
      <w:marBottom w:val="0"/>
      <w:divBdr>
        <w:top w:val="none" w:sz="0" w:space="0" w:color="auto"/>
        <w:left w:val="none" w:sz="0" w:space="0" w:color="auto"/>
        <w:bottom w:val="none" w:sz="0" w:space="0" w:color="auto"/>
        <w:right w:val="none" w:sz="0" w:space="0" w:color="auto"/>
      </w:divBdr>
    </w:div>
    <w:div w:id="2095741670">
      <w:bodyDiv w:val="1"/>
      <w:marLeft w:val="0"/>
      <w:marRight w:val="0"/>
      <w:marTop w:val="0"/>
      <w:marBottom w:val="0"/>
      <w:divBdr>
        <w:top w:val="none" w:sz="0" w:space="0" w:color="auto"/>
        <w:left w:val="none" w:sz="0" w:space="0" w:color="auto"/>
        <w:bottom w:val="none" w:sz="0" w:space="0" w:color="auto"/>
        <w:right w:val="none" w:sz="0" w:space="0" w:color="auto"/>
      </w:divBdr>
    </w:div>
    <w:div w:id="2110588839">
      <w:bodyDiv w:val="1"/>
      <w:marLeft w:val="0"/>
      <w:marRight w:val="0"/>
      <w:marTop w:val="0"/>
      <w:marBottom w:val="0"/>
      <w:divBdr>
        <w:top w:val="none" w:sz="0" w:space="0" w:color="auto"/>
        <w:left w:val="none" w:sz="0" w:space="0" w:color="auto"/>
        <w:bottom w:val="none" w:sz="0" w:space="0" w:color="auto"/>
        <w:right w:val="none" w:sz="0" w:space="0" w:color="auto"/>
      </w:divBdr>
    </w:div>
    <w:div w:id="2120876604">
      <w:bodyDiv w:val="1"/>
      <w:marLeft w:val="0"/>
      <w:marRight w:val="0"/>
      <w:marTop w:val="0"/>
      <w:marBottom w:val="0"/>
      <w:divBdr>
        <w:top w:val="none" w:sz="0" w:space="0" w:color="auto"/>
        <w:left w:val="none" w:sz="0" w:space="0" w:color="auto"/>
        <w:bottom w:val="none" w:sz="0" w:space="0" w:color="auto"/>
        <w:right w:val="none" w:sz="0" w:space="0" w:color="auto"/>
      </w:divBdr>
    </w:div>
    <w:div w:id="21239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df.nt.gov.au/the-economic-development-framewor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bushready.nt.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nt.gov.au/property/renters/affordable-options-for-rentin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bushtel.nt.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ihw.gov.au/housing-assistance/haa/2017/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94E38-C0BA-466B-9803-86617C22B99F}">
  <ds:schemaRefs>
    <ds:schemaRef ds:uri="http://schemas.microsoft.com/sharepoint/events"/>
  </ds:schemaRefs>
</ds:datastoreItem>
</file>

<file path=customXml/itemProps2.xml><?xml version="1.0" encoding="utf-8"?>
<ds:datastoreItem xmlns:ds="http://schemas.openxmlformats.org/officeDocument/2006/customXml" ds:itemID="{2A73984C-8F08-4EB6-8AD2-B92104A0B909}">
  <ds:schemaRefs>
    <ds:schemaRef ds:uri="http://schemas.microsoft.com/office/2006/metadata/customXsn"/>
  </ds:schemaRefs>
</ds:datastoreItem>
</file>

<file path=customXml/itemProps3.xml><?xml version="1.0" encoding="utf-8"?>
<ds:datastoreItem xmlns:ds="http://schemas.openxmlformats.org/officeDocument/2006/customXml" ds:itemID="{36ACE8B6-6DFF-45CD-BB13-21132D8123A6}">
  <ds:schemaRefs>
    <ds:schemaRef ds:uri="Microsoft.SharePoint.Taxonomy.ContentTypeSync"/>
  </ds:schemaRefs>
</ds:datastoreItem>
</file>

<file path=customXml/itemProps4.xml><?xml version="1.0" encoding="utf-8"?>
<ds:datastoreItem xmlns:ds="http://schemas.openxmlformats.org/officeDocument/2006/customXml" ds:itemID="{1AD1BA93-A022-4B7C-99A5-38849A33C58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A889D4F3-8296-425D-826D-5C011EF91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51A425-4AA3-428C-9ACA-030F11B3E328}">
  <ds:schemaRefs>
    <ds:schemaRef ds:uri="http://schemas.microsoft.com/sharepoint/v3/contenttype/forms"/>
  </ds:schemaRefs>
</ds:datastoreItem>
</file>

<file path=customXml/itemProps7.xml><?xml version="1.0" encoding="utf-8"?>
<ds:datastoreItem xmlns:ds="http://schemas.openxmlformats.org/officeDocument/2006/customXml" ds:itemID="{45076CC0-869E-4B24-9195-76873306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9594</Words>
  <Characters>54686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Submission DR593 - Northern Territory Government - Reforms to Human Services - Stage 2 of Human Services public inquiry</vt:lpstr>
    </vt:vector>
  </TitlesOfParts>
  <Company>Northern Territory Government</Company>
  <LinksUpToDate>false</LinksUpToDate>
  <CharactersWithSpaces>64152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DR593 - Northern Territory Government - Reforms to Human Services - Stage 2 of Human Services public inquiry</dc:title>
  <dc:creator>Northern Territory Government</dc:creator>
  <cp:keywords/>
  <cp:lastModifiedBy>Pimperl, Mark</cp:lastModifiedBy>
  <cp:revision>3</cp:revision>
  <cp:lastPrinted>2017-08-15T00:52:00Z</cp:lastPrinted>
  <dcterms:created xsi:type="dcterms:W3CDTF">2017-09-07T02:01:00Z</dcterms:created>
  <dcterms:modified xsi:type="dcterms:W3CDTF">2017-09-14T00:29:00Z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