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0BE" w:rsidRPr="000C5BC1" w:rsidRDefault="00B64ED4" w:rsidP="00601FC7">
      <w:pPr>
        <w:spacing w:after="0"/>
        <w:rPr>
          <w:rFonts w:cstheme="minorHAnsi"/>
        </w:rPr>
      </w:pPr>
      <w:bookmarkStart w:id="0" w:name="_GoBack"/>
      <w:bookmarkEnd w:id="0"/>
      <w:r w:rsidRPr="000C5BC1">
        <w:rPr>
          <w:rFonts w:cstheme="minorHAnsi"/>
          <w:noProof/>
          <w:lang w:eastAsia="en-AU"/>
        </w:rPr>
        <w:drawing>
          <wp:anchor distT="0" distB="0" distL="114300" distR="114300" simplePos="0" relativeHeight="251661312" behindDoc="1" locked="0" layoutInCell="1" allowOverlap="1" wp14:anchorId="3E9D2955" wp14:editId="2E478084">
            <wp:simplePos x="0" y="0"/>
            <wp:positionH relativeFrom="column">
              <wp:posOffset>-323215</wp:posOffset>
            </wp:positionH>
            <wp:positionV relativeFrom="paragraph">
              <wp:posOffset>5080</wp:posOffset>
            </wp:positionV>
            <wp:extent cx="6336106" cy="894397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MELB_0515-cover.jpg"/>
                    <pic:cNvPicPr/>
                  </pic:nvPicPr>
                  <pic:blipFill>
                    <a:blip r:embed="rId8">
                      <a:extLst>
                        <a:ext uri="{28A0092B-C50C-407E-A947-70E740481C1C}">
                          <a14:useLocalDpi xmlns:a14="http://schemas.microsoft.com/office/drawing/2010/main" val="0"/>
                        </a:ext>
                      </a:extLst>
                    </a:blip>
                    <a:stretch>
                      <a:fillRect/>
                    </a:stretch>
                  </pic:blipFill>
                  <pic:spPr>
                    <a:xfrm>
                      <a:off x="0" y="0"/>
                      <a:ext cx="6336106" cy="8943975"/>
                    </a:xfrm>
                    <a:prstGeom prst="rect">
                      <a:avLst/>
                    </a:prstGeom>
                  </pic:spPr>
                </pic:pic>
              </a:graphicData>
            </a:graphic>
            <wp14:sizeRelH relativeFrom="page">
              <wp14:pctWidth>0</wp14:pctWidth>
            </wp14:sizeRelH>
            <wp14:sizeRelV relativeFrom="page">
              <wp14:pctHeight>0</wp14:pctHeight>
            </wp14:sizeRelV>
          </wp:anchor>
        </w:drawing>
      </w:r>
    </w:p>
    <w:p w:rsidR="001F10BE" w:rsidRPr="000C5BC1" w:rsidRDefault="001F10BE" w:rsidP="00601FC7">
      <w:pPr>
        <w:spacing w:after="0"/>
        <w:rPr>
          <w:rFonts w:cstheme="minorHAnsi"/>
        </w:rPr>
      </w:pPr>
    </w:p>
    <w:p w:rsidR="001F10BE" w:rsidRPr="000C5BC1" w:rsidRDefault="001F10BE" w:rsidP="00601FC7">
      <w:pPr>
        <w:spacing w:after="0"/>
        <w:rPr>
          <w:rFonts w:cstheme="minorHAnsi"/>
        </w:rPr>
      </w:pPr>
    </w:p>
    <w:p w:rsidR="001F10BE" w:rsidRPr="000C5BC1" w:rsidRDefault="001F10BE" w:rsidP="00601FC7">
      <w:pPr>
        <w:spacing w:after="0"/>
        <w:rPr>
          <w:rFonts w:cstheme="minorHAnsi"/>
        </w:rPr>
      </w:pPr>
    </w:p>
    <w:p w:rsidR="009E0982" w:rsidRPr="000C5BC1" w:rsidRDefault="009E0982" w:rsidP="00601FC7">
      <w:pPr>
        <w:spacing w:after="0"/>
        <w:rPr>
          <w:rFonts w:cstheme="minorHAnsi"/>
        </w:rPr>
      </w:pPr>
    </w:p>
    <w:p w:rsidR="003E6BB1" w:rsidRPr="000C5BC1" w:rsidRDefault="00E8095B" w:rsidP="00601FC7">
      <w:pPr>
        <w:spacing w:after="0"/>
        <w:rPr>
          <w:rFonts w:cstheme="minorHAnsi"/>
        </w:rPr>
        <w:sectPr w:rsidR="003E6BB1" w:rsidRPr="000C5BC1" w:rsidSect="006E72C4">
          <w:headerReference w:type="default" r:id="rId9"/>
          <w:footerReference w:type="default" r:id="rId10"/>
          <w:headerReference w:type="first" r:id="rId11"/>
          <w:footerReference w:type="first" r:id="rId12"/>
          <w:pgSz w:w="11906" w:h="16838"/>
          <w:pgMar w:top="1701" w:right="1440" w:bottom="1440" w:left="1440" w:header="709" w:footer="709" w:gutter="0"/>
          <w:cols w:space="708"/>
          <w:titlePg/>
          <w:docGrid w:linePitch="360"/>
        </w:sectPr>
      </w:pPr>
      <w:r w:rsidRPr="000C5BC1">
        <w:rPr>
          <w:rFonts w:cstheme="minorHAnsi"/>
          <w:noProof/>
          <w:lang w:eastAsia="en-AU"/>
        </w:rPr>
        <mc:AlternateContent>
          <mc:Choice Requires="wps">
            <w:drawing>
              <wp:anchor distT="0" distB="0" distL="114300" distR="114300" simplePos="0" relativeHeight="251660288" behindDoc="0" locked="0" layoutInCell="1" allowOverlap="1" wp14:anchorId="081A0B3E" wp14:editId="6A2E0158">
                <wp:simplePos x="0" y="0"/>
                <wp:positionH relativeFrom="column">
                  <wp:posOffset>-333376</wp:posOffset>
                </wp:positionH>
                <wp:positionV relativeFrom="paragraph">
                  <wp:posOffset>4644390</wp:posOffset>
                </wp:positionV>
                <wp:extent cx="62007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3985"/>
                        </a:xfrm>
                        <a:prstGeom prst="rect">
                          <a:avLst/>
                        </a:prstGeom>
                        <a:solidFill>
                          <a:srgbClr val="FFFFFF"/>
                        </a:solidFill>
                        <a:ln w="9525">
                          <a:noFill/>
                          <a:miter lim="800000"/>
                          <a:headEnd/>
                          <a:tailEnd/>
                        </a:ln>
                      </wps:spPr>
                      <wps:txbx>
                        <w:txbxContent>
                          <w:p w:rsidR="00540B6A" w:rsidRDefault="00540B6A" w:rsidP="00E8095B">
                            <w:pPr>
                              <w:rPr>
                                <w:rFonts w:ascii="Georgia" w:eastAsiaTheme="majorEastAsia" w:hAnsi="Georgia" w:cstheme="majorBidi"/>
                                <w:b/>
                                <w:color w:val="013A81"/>
                                <w:spacing w:val="5"/>
                                <w:kern w:val="28"/>
                                <w:sz w:val="52"/>
                                <w:szCs w:val="52"/>
                              </w:rPr>
                            </w:pPr>
                            <w:r>
                              <w:rPr>
                                <w:rFonts w:ascii="Georgia" w:eastAsiaTheme="majorEastAsia" w:hAnsi="Georgia" w:cstheme="majorBidi"/>
                                <w:b/>
                                <w:color w:val="013A81"/>
                                <w:spacing w:val="5"/>
                                <w:kern w:val="28"/>
                                <w:sz w:val="52"/>
                                <w:szCs w:val="52"/>
                              </w:rPr>
                              <w:t>Draft Report:</w:t>
                            </w:r>
                            <w:r w:rsidRPr="00540B6A">
                              <w:rPr>
                                <w:rFonts w:ascii="Georgia" w:eastAsiaTheme="majorEastAsia" w:hAnsi="Georgia" w:cstheme="majorBidi"/>
                                <w:b/>
                                <w:color w:val="013A81"/>
                                <w:spacing w:val="5"/>
                                <w:kern w:val="28"/>
                                <w:sz w:val="52"/>
                                <w:szCs w:val="52"/>
                              </w:rPr>
                              <w:t xml:space="preserve"> Assessing Efficiency </w:t>
                            </w:r>
                            <w:r>
                              <w:rPr>
                                <w:rFonts w:ascii="Georgia" w:eastAsiaTheme="majorEastAsia" w:hAnsi="Georgia" w:cstheme="majorBidi"/>
                                <w:b/>
                                <w:color w:val="013A81"/>
                                <w:spacing w:val="5"/>
                                <w:kern w:val="28"/>
                                <w:sz w:val="52"/>
                                <w:szCs w:val="52"/>
                              </w:rPr>
                              <w:t>&amp;</w:t>
                            </w:r>
                            <w:r w:rsidRPr="00540B6A">
                              <w:rPr>
                                <w:rFonts w:ascii="Georgia" w:eastAsiaTheme="majorEastAsia" w:hAnsi="Georgia" w:cstheme="majorBidi"/>
                                <w:b/>
                                <w:color w:val="013A81"/>
                                <w:spacing w:val="5"/>
                                <w:kern w:val="28"/>
                                <w:sz w:val="52"/>
                                <w:szCs w:val="52"/>
                              </w:rPr>
                              <w:t xml:space="preserve"> Competitiveness</w:t>
                            </w:r>
                          </w:p>
                          <w:p w:rsidR="00756A32" w:rsidRPr="00E8095B" w:rsidRDefault="00756A32" w:rsidP="00E8095B">
                            <w:pPr>
                              <w:rPr>
                                <w:rStyle w:val="Emphasis"/>
                              </w:rPr>
                            </w:pPr>
                            <w:r w:rsidRPr="00E8095B">
                              <w:rPr>
                                <w:rStyle w:val="Emphasis"/>
                              </w:rPr>
                              <w:t xml:space="preserve">Submission by </w:t>
                            </w:r>
                            <w:r>
                              <w:rPr>
                                <w:rStyle w:val="Emphasis"/>
                              </w:rPr>
                              <w:t>UniSuper</w:t>
                            </w:r>
                          </w:p>
                          <w:p w:rsidR="00756A32" w:rsidRPr="00E8095B" w:rsidRDefault="00540B6A" w:rsidP="00E8095B">
                            <w:pPr>
                              <w:rPr>
                                <w:rFonts w:ascii="Arial" w:hAnsi="Arial"/>
                                <w:b/>
                                <w:iCs/>
                              </w:rPr>
                            </w:pPr>
                            <w:r>
                              <w:rPr>
                                <w:rStyle w:val="Emphasis"/>
                              </w:rPr>
                              <w:t>13 July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1A0B3E" id="_x0000_t202" coordsize="21600,21600" o:spt="202" path="m,l,21600r21600,l21600,xe">
                <v:stroke joinstyle="miter"/>
                <v:path gradientshapeok="t" o:connecttype="rect"/>
              </v:shapetype>
              <v:shape id="Text Box 2" o:spid="_x0000_s1026" type="#_x0000_t202" style="position:absolute;margin-left:-26.25pt;margin-top:365.7pt;width:488.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1sIgIAAB4EAAAOAAAAZHJzL2Uyb0RvYy54bWysU81u2zAMvg/YOwi6L3bSpEmMOEWXLsOA&#10;7gdo9wC0LMfCZFGTlNjd05dS0jTbbsN0EEiR/ER+JFc3Q6fZQTqv0JR8PMo5k0Zgrcyu5N8ft+8W&#10;nPkApgaNRpb8SXp+s377ZtXbQk6wRV1LxwjE+KK3JW9DsEWWedHKDvwIrTRkbNB1EEh1u6x20BN6&#10;p7NJnl9nPbraOhTSe3q9Oxr5OuE3jRTha9N4GZguOeUW0u3SXcU7W6+g2DmwrRKnNOAfsuhAGfr0&#10;DHUHAdjeqb+gOiUcemzCSGCXYdMoIVMNVM04/6OahxasTLUQOd6eafL/D1Z8OXxzTNUlv8rnnBno&#10;qEmPcgjsPQ5sEvnprS/I7cGSYxjomfqcavX2HsUPzwxuWjA7eesc9q2EmvIbx8jsIvSI4yNI1X/G&#10;mr6BfcAENDSui+QRHYzQqU9P597EVAQ9XlO35/MZZ4Js42l+tVzM0h9QvIRb58NHiR2LQskdNT/B&#10;w+Heh5gOFC8u8TePWtVbpXVS3K7aaMcOQIOyTeeE/pubNqwv+XI2mSVkgzE+zVCnAg2yVl3JF3k8&#10;MRyKSMcHUyc5gNJHmTLR5sRPpORIThiqgRwjaRXWT8SUw+PA0oKR0KL7xVlPw1py/3MPTnKmPxli&#10;ezmeTuN0J2U6m09IcZeW6tICRhBUyQNnR3ET0kYkHuwtdWWrEl+vmZxypSFMNJ4WJk75pZ68Xtd6&#10;/QwAAP//AwBQSwMEFAAGAAgAAAAhAB6zaMrfAAAACwEAAA8AAABkcnMvZG93bnJldi54bWxMj0tP&#10;wzAQhO9I/Adrkbi1TkPDI8SpKiouHJAoSHB0400c4ZdsNw3/nu0JbjuaT7MzzWa2hk0Y0+idgNWy&#10;AIau82p0g4CP9+fFPbCUpVPSeIcCfjDBpr28aGSt/Mm94bTPA6MQl2opQOccas5Tp9HKtPQBHXm9&#10;j1ZmknHgKsoThVvDy6K45VaOjj5oGfBJY/e9P1oBn1aPahdfv3plpt1Lv63CHIMQ11fz9hFYxjn/&#10;wXCuT9WhpU4Hf3QqMSNgUZUVoQLublZrYEQ8lGtad6DjbPG24f83tL8AAAD//wMAUEsBAi0AFAAG&#10;AAgAAAAhALaDOJL+AAAA4QEAABMAAAAAAAAAAAAAAAAAAAAAAFtDb250ZW50X1R5cGVzXS54bWxQ&#10;SwECLQAUAAYACAAAACEAOP0h/9YAAACUAQAACwAAAAAAAAAAAAAAAAAvAQAAX3JlbHMvLnJlbHNQ&#10;SwECLQAUAAYACAAAACEAGGPdbCICAAAeBAAADgAAAAAAAAAAAAAAAAAuAgAAZHJzL2Uyb0RvYy54&#10;bWxQSwECLQAUAAYACAAAACEAHrNoyt8AAAALAQAADwAAAAAAAAAAAAAAAAB8BAAAZHJzL2Rvd25y&#10;ZXYueG1sUEsFBgAAAAAEAAQA8wAAAIgFAAAAAA==&#10;" stroked="f">
                <v:textbox style="mso-fit-shape-to-text:t">
                  <w:txbxContent>
                    <w:p w:rsidR="00540B6A" w:rsidRDefault="00540B6A" w:rsidP="00E8095B">
                      <w:pPr>
                        <w:rPr>
                          <w:rFonts w:ascii="Georgia" w:eastAsiaTheme="majorEastAsia" w:hAnsi="Georgia" w:cstheme="majorBidi"/>
                          <w:b/>
                          <w:color w:val="013A81"/>
                          <w:spacing w:val="5"/>
                          <w:kern w:val="28"/>
                          <w:sz w:val="52"/>
                          <w:szCs w:val="52"/>
                        </w:rPr>
                      </w:pPr>
                      <w:r>
                        <w:rPr>
                          <w:rFonts w:ascii="Georgia" w:eastAsiaTheme="majorEastAsia" w:hAnsi="Georgia" w:cstheme="majorBidi"/>
                          <w:b/>
                          <w:color w:val="013A81"/>
                          <w:spacing w:val="5"/>
                          <w:kern w:val="28"/>
                          <w:sz w:val="52"/>
                          <w:szCs w:val="52"/>
                        </w:rPr>
                        <w:t>Draft Report:</w:t>
                      </w:r>
                      <w:r w:rsidRPr="00540B6A">
                        <w:rPr>
                          <w:rFonts w:ascii="Georgia" w:eastAsiaTheme="majorEastAsia" w:hAnsi="Georgia" w:cstheme="majorBidi"/>
                          <w:b/>
                          <w:color w:val="013A81"/>
                          <w:spacing w:val="5"/>
                          <w:kern w:val="28"/>
                          <w:sz w:val="52"/>
                          <w:szCs w:val="52"/>
                        </w:rPr>
                        <w:t xml:space="preserve"> Assessing Efficiency </w:t>
                      </w:r>
                      <w:r>
                        <w:rPr>
                          <w:rFonts w:ascii="Georgia" w:eastAsiaTheme="majorEastAsia" w:hAnsi="Georgia" w:cstheme="majorBidi"/>
                          <w:b/>
                          <w:color w:val="013A81"/>
                          <w:spacing w:val="5"/>
                          <w:kern w:val="28"/>
                          <w:sz w:val="52"/>
                          <w:szCs w:val="52"/>
                        </w:rPr>
                        <w:t>&amp;</w:t>
                      </w:r>
                      <w:r w:rsidRPr="00540B6A">
                        <w:rPr>
                          <w:rFonts w:ascii="Georgia" w:eastAsiaTheme="majorEastAsia" w:hAnsi="Georgia" w:cstheme="majorBidi"/>
                          <w:b/>
                          <w:color w:val="013A81"/>
                          <w:spacing w:val="5"/>
                          <w:kern w:val="28"/>
                          <w:sz w:val="52"/>
                          <w:szCs w:val="52"/>
                        </w:rPr>
                        <w:t xml:space="preserve"> Competitiveness</w:t>
                      </w:r>
                    </w:p>
                    <w:p w:rsidR="00756A32" w:rsidRPr="00E8095B" w:rsidRDefault="00756A32" w:rsidP="00E8095B">
                      <w:pPr>
                        <w:rPr>
                          <w:rStyle w:val="Emphasis"/>
                        </w:rPr>
                      </w:pPr>
                      <w:r w:rsidRPr="00E8095B">
                        <w:rPr>
                          <w:rStyle w:val="Emphasis"/>
                        </w:rPr>
                        <w:t xml:space="preserve">Submission by </w:t>
                      </w:r>
                      <w:r>
                        <w:rPr>
                          <w:rStyle w:val="Emphasis"/>
                        </w:rPr>
                        <w:t>UniSuper</w:t>
                      </w:r>
                    </w:p>
                    <w:p w:rsidR="00756A32" w:rsidRPr="00E8095B" w:rsidRDefault="00540B6A" w:rsidP="00E8095B">
                      <w:pPr>
                        <w:rPr>
                          <w:rFonts w:ascii="Arial" w:hAnsi="Arial"/>
                          <w:b/>
                          <w:iCs/>
                        </w:rPr>
                      </w:pPr>
                      <w:r>
                        <w:rPr>
                          <w:rStyle w:val="Emphasis"/>
                        </w:rPr>
                        <w:t>13 July 2018</w:t>
                      </w:r>
                    </w:p>
                  </w:txbxContent>
                </v:textbox>
              </v:shape>
            </w:pict>
          </mc:Fallback>
        </mc:AlternateContent>
      </w:r>
    </w:p>
    <w:p w:rsidR="009E0982" w:rsidRPr="000C5BC1" w:rsidRDefault="00EB61EE" w:rsidP="00601FC7">
      <w:pPr>
        <w:pStyle w:val="Heading1"/>
        <w:numPr>
          <w:ilvl w:val="0"/>
          <w:numId w:val="0"/>
        </w:numPr>
        <w:spacing w:before="0" w:after="0"/>
        <w:ind w:left="432" w:hanging="432"/>
        <w:rPr>
          <w:rFonts w:asciiTheme="minorHAnsi" w:hAnsiTheme="minorHAnsi" w:cstheme="minorHAnsi"/>
        </w:rPr>
      </w:pPr>
      <w:r>
        <w:rPr>
          <w:rFonts w:asciiTheme="minorHAnsi" w:hAnsiTheme="minorHAnsi" w:cstheme="minorHAnsi"/>
        </w:rPr>
        <w:lastRenderedPageBreak/>
        <w:t>About UniSuper</w:t>
      </w:r>
    </w:p>
    <w:p w:rsidR="002E473C" w:rsidRDefault="002E473C" w:rsidP="00601FC7">
      <w:pPr>
        <w:spacing w:after="0"/>
      </w:pPr>
    </w:p>
    <w:p w:rsidR="00601FC7" w:rsidRDefault="009A1702" w:rsidP="00601FC7">
      <w:pPr>
        <w:spacing w:after="0"/>
      </w:pPr>
      <w:r>
        <w:t>UniSuper is the superannuation fund dedicated to people working in Australia's higher education and research sector. With appro</w:t>
      </w:r>
      <w:r w:rsidR="00AD3AC7">
        <w:t xml:space="preserve">ximately 400,000 members </w:t>
      </w:r>
      <w:r w:rsidR="00AD3AC7" w:rsidRPr="002434CF">
        <w:t xml:space="preserve">and </w:t>
      </w:r>
      <w:r w:rsidR="00886B9C" w:rsidRPr="002434CF">
        <w:t>$</w:t>
      </w:r>
      <w:r w:rsidR="00540B6A">
        <w:t>63</w:t>
      </w:r>
      <w:r w:rsidR="00886B9C" w:rsidRPr="002434CF">
        <w:t xml:space="preserve"> billion </w:t>
      </w:r>
      <w:r w:rsidR="00AA2A1F" w:rsidRPr="002434CF">
        <w:t xml:space="preserve">in </w:t>
      </w:r>
      <w:r w:rsidR="0048248D" w:rsidRPr="002434CF">
        <w:t>assets</w:t>
      </w:r>
      <w:r w:rsidR="00AA2A1F" w:rsidRPr="002434CF">
        <w:t xml:space="preserve"> under management, </w:t>
      </w:r>
      <w:r w:rsidRPr="002434CF">
        <w:t>UniSuper is one of Australia's</w:t>
      </w:r>
      <w:r>
        <w:t xml:space="preserve"> largest superannuation funds and has one of the very few open defined benefit schemes. </w:t>
      </w:r>
    </w:p>
    <w:p w:rsidR="00601FC7" w:rsidRDefault="00601FC7" w:rsidP="00601FC7">
      <w:pPr>
        <w:spacing w:after="0"/>
      </w:pPr>
    </w:p>
    <w:p w:rsidR="00BB5BD1" w:rsidRDefault="00BB5BD1" w:rsidP="00BB5BD1">
      <w:pPr>
        <w:spacing w:after="0"/>
      </w:pPr>
      <w:r>
        <w:t>UniSuper, established in 1983 as</w:t>
      </w:r>
      <w:r w:rsidRPr="00FC221D">
        <w:t xml:space="preserve"> a defined benefit </w:t>
      </w:r>
      <w:r>
        <w:t>(DB) scheme</w:t>
      </w:r>
      <w:r w:rsidR="003444E0">
        <w:t>, was</w:t>
      </w:r>
      <w:r>
        <w:t xml:space="preserve"> modelled broadly on then </w:t>
      </w:r>
      <w:r w:rsidRPr="00FC221D">
        <w:t>contemporary DB schemes in the Australian public sector and overseas peer funds</w:t>
      </w:r>
      <w:r>
        <w:t>.</w:t>
      </w:r>
      <w:r w:rsidRPr="00FC221D">
        <w:t xml:space="preserve"> The benefit design from its outset </w:t>
      </w:r>
      <w:r>
        <w:t>offered</w:t>
      </w:r>
      <w:r w:rsidRPr="00FC221D">
        <w:t xml:space="preserve"> full portability of benefits acr</w:t>
      </w:r>
      <w:r>
        <w:t>oss all participating employers</w:t>
      </w:r>
      <w:r w:rsidRPr="00FC221D">
        <w:t xml:space="preserve"> and coverage of all permanent employees in the sector, </w:t>
      </w:r>
      <w:r>
        <w:t>including general,</w:t>
      </w:r>
      <w:r w:rsidRPr="00FC221D">
        <w:t xml:space="preserve"> academic</w:t>
      </w:r>
      <w:r>
        <w:t xml:space="preserve"> </w:t>
      </w:r>
      <w:r w:rsidRPr="00FC221D">
        <w:t>and professional</w:t>
      </w:r>
      <w:r>
        <w:t xml:space="preserve"> staff</w:t>
      </w:r>
      <w:r w:rsidRPr="00FC221D">
        <w:t>.</w:t>
      </w:r>
      <w:r>
        <w:t xml:space="preserve"> </w:t>
      </w:r>
    </w:p>
    <w:p w:rsidR="00BB5BD1" w:rsidRPr="00FC221D" w:rsidRDefault="00BB5BD1" w:rsidP="00BB5BD1">
      <w:pPr>
        <w:spacing w:after="0"/>
      </w:pPr>
    </w:p>
    <w:p w:rsidR="00BB5BD1" w:rsidRPr="00FC221D" w:rsidRDefault="00BB5BD1" w:rsidP="00BB5BD1">
      <w:pPr>
        <w:spacing w:after="0"/>
      </w:pPr>
      <w:r w:rsidRPr="00FC221D">
        <w:t xml:space="preserve">The multi-employer nature of </w:t>
      </w:r>
      <w:r w:rsidR="005E1091">
        <w:t>UniSuper</w:t>
      </w:r>
      <w:r w:rsidRPr="00FC221D">
        <w:t xml:space="preserve"> led to some important distinguishing features from its commencement, in particular: </w:t>
      </w:r>
      <w:r>
        <w:br/>
      </w:r>
    </w:p>
    <w:p w:rsidR="00BB5BD1" w:rsidRPr="009B5A61" w:rsidRDefault="00BB5BD1" w:rsidP="009E0C8D">
      <w:pPr>
        <w:pStyle w:val="ListParagraph"/>
        <w:numPr>
          <w:ilvl w:val="0"/>
          <w:numId w:val="4"/>
        </w:numPr>
      </w:pPr>
      <w:r w:rsidRPr="009B5A61">
        <w:t xml:space="preserve">a </w:t>
      </w:r>
      <w:r w:rsidRPr="00BB5BD1">
        <w:rPr>
          <w:iCs/>
        </w:rPr>
        <w:t xml:space="preserve">fixed contribution rate </w:t>
      </w:r>
      <w:r w:rsidRPr="009B5A61">
        <w:t xml:space="preserve">of 14% of salary p.a. for employers and 7% </w:t>
      </w:r>
      <w:r w:rsidR="003444E0" w:rsidRPr="009B5A61">
        <w:t xml:space="preserve">of salary p.a. </w:t>
      </w:r>
      <w:r w:rsidRPr="009B5A61">
        <w:t xml:space="preserve">for </w:t>
      </w:r>
      <w:r w:rsidR="003444E0">
        <w:t xml:space="preserve">contributing </w:t>
      </w:r>
      <w:r w:rsidRPr="009B5A61">
        <w:t xml:space="preserve">members; </w:t>
      </w:r>
    </w:p>
    <w:p w:rsidR="00BB5BD1" w:rsidRPr="000E4222" w:rsidRDefault="00BB5BD1" w:rsidP="009E0C8D">
      <w:pPr>
        <w:pStyle w:val="ListParagraph"/>
        <w:numPr>
          <w:ilvl w:val="0"/>
          <w:numId w:val="4"/>
        </w:numPr>
      </w:pPr>
      <w:r w:rsidRPr="000E4222">
        <w:t>by covering the whole university sector, members can maintain defined benefit membership when transferring between employers</w:t>
      </w:r>
      <w:r w:rsidR="003444E0">
        <w:t xml:space="preserve"> within the sector</w:t>
      </w:r>
      <w:r w:rsidRPr="000E4222">
        <w:t xml:space="preserve">; </w:t>
      </w:r>
    </w:p>
    <w:p w:rsidR="00BB5BD1" w:rsidRPr="000E4222" w:rsidRDefault="00BB5BD1" w:rsidP="009E0C8D">
      <w:pPr>
        <w:pStyle w:val="ListParagraph"/>
        <w:numPr>
          <w:ilvl w:val="0"/>
          <w:numId w:val="4"/>
        </w:numPr>
      </w:pPr>
      <w:r w:rsidRPr="000E4222">
        <w:t>members can defer their benefits (so maintain membership) through periods when not employed in the university sector;</w:t>
      </w:r>
    </w:p>
    <w:p w:rsidR="00BB5BD1" w:rsidRPr="009B5A61" w:rsidRDefault="00BB5BD1" w:rsidP="009E0C8D">
      <w:pPr>
        <w:pStyle w:val="ListParagraph"/>
        <w:numPr>
          <w:ilvl w:val="0"/>
          <w:numId w:val="4"/>
        </w:numPr>
      </w:pPr>
      <w:proofErr w:type="gramStart"/>
      <w:r w:rsidRPr="009B5A61">
        <w:t>a</w:t>
      </w:r>
      <w:proofErr w:type="gramEnd"/>
      <w:r w:rsidRPr="009B5A61">
        <w:t xml:space="preserve"> </w:t>
      </w:r>
      <w:r w:rsidRPr="00BB5BD1">
        <w:rPr>
          <w:iCs/>
        </w:rPr>
        <w:t xml:space="preserve">formula-based benefit </w:t>
      </w:r>
      <w:r w:rsidRPr="009B5A61">
        <w:t>related to member’s</w:t>
      </w:r>
      <w:r w:rsidRPr="00BB5BD1">
        <w:rPr>
          <w:rFonts w:eastAsia="MS Mincho" w:hAnsi="MS Mincho"/>
        </w:rPr>
        <w:t xml:space="preserve"> </w:t>
      </w:r>
      <w:r w:rsidRPr="009B5A61">
        <w:t>salary, tenure and employment experience.</w:t>
      </w:r>
    </w:p>
    <w:p w:rsidR="00BB5BD1" w:rsidRDefault="00BB5BD1" w:rsidP="00BB5BD1">
      <w:pPr>
        <w:spacing w:after="0"/>
      </w:pPr>
    </w:p>
    <w:p w:rsidR="00BB5BD1" w:rsidRDefault="00BB5BD1" w:rsidP="00BB5BD1">
      <w:pPr>
        <w:spacing w:after="0"/>
      </w:pPr>
      <w:r w:rsidRPr="00FC221D">
        <w:t xml:space="preserve">Over its foundation years, </w:t>
      </w:r>
      <w:r w:rsidR="005E1091">
        <w:t>UniSuper</w:t>
      </w:r>
      <w:r w:rsidRPr="00FC221D">
        <w:t xml:space="preserve"> succeeded in obtaining </w:t>
      </w:r>
      <w:r w:rsidR="005E1091">
        <w:t>broad</w:t>
      </w:r>
      <w:r w:rsidRPr="00FC221D">
        <w:t xml:space="preserve"> coverage of permanent employees in t</w:t>
      </w:r>
      <w:r>
        <w:t>he Australian university sector</w:t>
      </w:r>
      <w:r w:rsidRPr="00FC221D">
        <w:t xml:space="preserve"> and</w:t>
      </w:r>
      <w:r w:rsidR="00D06150">
        <w:t xml:space="preserve"> </w:t>
      </w:r>
      <w:r w:rsidR="005E1091">
        <w:t>“folded</w:t>
      </w:r>
      <w:r>
        <w:t xml:space="preserve"> in”</w:t>
      </w:r>
      <w:r w:rsidRPr="00FC221D">
        <w:t xml:space="preserve"> a large number of legacy </w:t>
      </w:r>
      <w:r w:rsidR="006527E6" w:rsidRPr="006527E6">
        <w:t>defined benefit</w:t>
      </w:r>
      <w:r w:rsidRPr="00FC221D">
        <w:t xml:space="preserve"> superannuation and pension schemes from individual institutions on a successor fund </w:t>
      </w:r>
      <w:r>
        <w:t>and/or optional transfer basis.</w:t>
      </w:r>
    </w:p>
    <w:p w:rsidR="00BB5BD1" w:rsidRPr="00FC221D" w:rsidRDefault="00BB5BD1" w:rsidP="00BB5BD1">
      <w:pPr>
        <w:spacing w:after="0"/>
      </w:pPr>
    </w:p>
    <w:p w:rsidR="005E1091" w:rsidRDefault="005E1091" w:rsidP="00BB5BD1">
      <w:pPr>
        <w:spacing w:after="0"/>
      </w:pPr>
      <w:r>
        <w:t xml:space="preserve">Today, 37 universities and roughly 200 related bodies are participating employers. </w:t>
      </w:r>
    </w:p>
    <w:p w:rsidR="005E1091" w:rsidRDefault="005E1091" w:rsidP="00BB5BD1">
      <w:pPr>
        <w:spacing w:after="0"/>
      </w:pPr>
      <w:r>
        <w:t xml:space="preserve">The </w:t>
      </w:r>
      <w:r w:rsidR="00BB5BD1">
        <w:t>Defined Benefit Division (DBD)</w:t>
      </w:r>
      <w:r>
        <w:t xml:space="preserve"> </w:t>
      </w:r>
      <w:r w:rsidR="00BB5BD1" w:rsidRPr="00FC221D">
        <w:t xml:space="preserve">remains funded by </w:t>
      </w:r>
      <w:r>
        <w:t>a</w:t>
      </w:r>
      <w:r w:rsidR="00BB5BD1" w:rsidRPr="00FC221D">
        <w:t xml:space="preserve"> 14% employer contribution and 7% default member contribution (</w:t>
      </w:r>
      <w:r>
        <w:t>which</w:t>
      </w:r>
      <w:r w:rsidR="00BB5BD1">
        <w:t xml:space="preserve"> members can reduce with appropriate benefit adjustments</w:t>
      </w:r>
      <w:r w:rsidR="00BB5BD1" w:rsidRPr="00FC221D">
        <w:t>)</w:t>
      </w:r>
      <w:r w:rsidR="00D82DA9">
        <w:t>. Many members also receive an additional 3% “award” contribution paid into an associated accumulation account, making a total employer contribution of 17%.</w:t>
      </w:r>
    </w:p>
    <w:p w:rsidR="005E1091" w:rsidRDefault="005E1091" w:rsidP="00BB5BD1">
      <w:pPr>
        <w:spacing w:after="0"/>
      </w:pPr>
    </w:p>
    <w:p w:rsidR="00BB5BD1" w:rsidRDefault="005E1091" w:rsidP="00BB5BD1">
      <w:pPr>
        <w:spacing w:after="0"/>
      </w:pPr>
      <w:r>
        <w:t>We also manage two defined contribution</w:t>
      </w:r>
      <w:r w:rsidR="0083130C">
        <w:t xml:space="preserve"> (DC)</w:t>
      </w:r>
      <w:r>
        <w:t>, accumulation-style accounts.</w:t>
      </w:r>
      <w:r w:rsidR="00BB5BD1">
        <w:t xml:space="preserve"> Accumulation 1</w:t>
      </w:r>
      <w:r>
        <w:t>,</w:t>
      </w:r>
      <w:r w:rsidR="00BB5BD1">
        <w:t xml:space="preserve"> </w:t>
      </w:r>
      <w:r w:rsidR="003444E0">
        <w:t xml:space="preserve">is </w:t>
      </w:r>
      <w:r w:rsidR="00BB5BD1">
        <w:t>for members who are not entitled to DBD membership</w:t>
      </w:r>
      <w:r>
        <w:t xml:space="preserve"> and Accumulation 2</w:t>
      </w:r>
      <w:r w:rsidR="00BB5BD1">
        <w:t xml:space="preserve"> </w:t>
      </w:r>
      <w:r w:rsidR="003444E0">
        <w:t xml:space="preserve">is </w:t>
      </w:r>
      <w:r w:rsidR="00BB5BD1">
        <w:t>based on the same 14%</w:t>
      </w:r>
      <w:r w:rsidR="00D82DA9">
        <w:t>/17%</w:t>
      </w:r>
      <w:r w:rsidR="00BB5BD1">
        <w:t xml:space="preserve"> employer contributions </w:t>
      </w:r>
      <w:r>
        <w:t xml:space="preserve">paid by participating employers for those who </w:t>
      </w:r>
      <w:r w:rsidR="00887510">
        <w:t xml:space="preserve">exercise a form of choice and </w:t>
      </w:r>
      <w:r>
        <w:t>opt out of DBD membership.</w:t>
      </w:r>
    </w:p>
    <w:p w:rsidR="00BB5BD1" w:rsidRDefault="00BB5BD1" w:rsidP="00BB5BD1">
      <w:pPr>
        <w:spacing w:after="0"/>
      </w:pPr>
    </w:p>
    <w:p w:rsidR="000E2A8E" w:rsidRDefault="000E2A8E">
      <w:pPr>
        <w:spacing w:after="200"/>
      </w:pPr>
      <w:r>
        <w:br w:type="page"/>
      </w:r>
    </w:p>
    <w:p w:rsidR="00922ED3" w:rsidRDefault="00BB5BD1" w:rsidP="00BB5BD1">
      <w:pPr>
        <w:spacing w:after="0"/>
      </w:pPr>
      <w:r>
        <w:lastRenderedPageBreak/>
        <w:t xml:space="preserve">UniSuper is proud to be recognised as one of Australia’s most awarded super funds. Over the years we have received a string of awards and high ratings from independent ratings and research agencies. </w:t>
      </w:r>
      <w:r w:rsidR="00C96389" w:rsidRPr="00C96389">
        <w:rPr>
          <w:rFonts w:ascii="Arial" w:hAnsi="Arial" w:cs="Arial"/>
        </w:rPr>
        <w:t xml:space="preserve">We strive to offer our members the best from customer service through to online experience and of course a competitive product suite. </w:t>
      </w:r>
      <w:r w:rsidR="00C96389">
        <w:rPr>
          <w:rFonts w:ascii="Arial" w:hAnsi="Arial" w:cs="Arial"/>
        </w:rPr>
        <w:t xml:space="preserve">We have </w:t>
      </w:r>
      <w:r w:rsidR="00C96389" w:rsidRPr="00C96389">
        <w:rPr>
          <w:rFonts w:ascii="Arial" w:hAnsi="Arial" w:cs="Arial"/>
        </w:rPr>
        <w:t xml:space="preserve">been recognised by SuperRatings, an independent superannuation research company, </w:t>
      </w:r>
      <w:r w:rsidR="00922ED3">
        <w:rPr>
          <w:rFonts w:ascii="Arial" w:hAnsi="Arial" w:cs="Arial"/>
        </w:rPr>
        <w:t xml:space="preserve">for Platinum </w:t>
      </w:r>
      <w:r w:rsidR="00A2639E">
        <w:rPr>
          <w:rFonts w:ascii="Arial" w:hAnsi="Arial" w:cs="Arial"/>
        </w:rPr>
        <w:t>Performance</w:t>
      </w:r>
      <w:r w:rsidR="00C96389" w:rsidRPr="00C96389">
        <w:rPr>
          <w:rFonts w:ascii="Arial" w:hAnsi="Arial" w:cs="Arial"/>
        </w:rPr>
        <w:t xml:space="preserve"> </w:t>
      </w:r>
      <w:r w:rsidR="00922ED3">
        <w:rPr>
          <w:rFonts w:ascii="Arial" w:hAnsi="Arial" w:cs="Arial"/>
        </w:rPr>
        <w:t>for ten consecutive years (2008</w:t>
      </w:r>
      <w:r w:rsidR="00C96389" w:rsidRPr="00C96389">
        <w:rPr>
          <w:rFonts w:ascii="Arial" w:hAnsi="Arial" w:cs="Arial"/>
        </w:rPr>
        <w:t xml:space="preserve"> -</w:t>
      </w:r>
      <w:r w:rsidR="00887510">
        <w:rPr>
          <w:rFonts w:ascii="Arial" w:hAnsi="Arial" w:cs="Arial"/>
        </w:rPr>
        <w:t xml:space="preserve"> </w:t>
      </w:r>
      <w:r w:rsidR="00922ED3">
        <w:rPr>
          <w:rFonts w:ascii="Arial" w:hAnsi="Arial" w:cs="Arial"/>
        </w:rPr>
        <w:t>2018</w:t>
      </w:r>
      <w:r w:rsidR="00C96389" w:rsidRPr="00C96389">
        <w:rPr>
          <w:rFonts w:ascii="Arial" w:hAnsi="Arial" w:cs="Arial"/>
        </w:rPr>
        <w:t>).</w:t>
      </w:r>
      <w:r w:rsidR="00C96389">
        <w:rPr>
          <w:rFonts w:ascii="Arial" w:hAnsi="Arial" w:cs="Arial"/>
        </w:rPr>
        <w:t xml:space="preserve"> </w:t>
      </w:r>
      <w:r w:rsidR="00C96389" w:rsidRPr="00C96389">
        <w:t>We were named</w:t>
      </w:r>
      <w:r w:rsidR="00922ED3">
        <w:t xml:space="preserve"> ‘Pension Fund of the Year’ in both 2017 and 2018 </w:t>
      </w:r>
      <w:r w:rsidR="00A2639E">
        <w:t>and</w:t>
      </w:r>
      <w:r w:rsidRPr="00C96389">
        <w:t xml:space="preserve"> ‘Super Fund of the Year’ </w:t>
      </w:r>
      <w:r w:rsidR="00C96389" w:rsidRPr="00C96389">
        <w:t>in both 2015 and 2016</w:t>
      </w:r>
      <w:r w:rsidR="00922ED3">
        <w:t xml:space="preserve"> by Chant West. </w:t>
      </w:r>
      <w:r w:rsidR="003D7859">
        <w:t>Additionally, Chant West has consistently awarded UniSuper</w:t>
      </w:r>
      <w:r w:rsidRPr="00C96389">
        <w:t xml:space="preserve"> </w:t>
      </w:r>
      <w:r w:rsidR="003D7859">
        <w:t>‘</w:t>
      </w:r>
      <w:r w:rsidRPr="00C96389">
        <w:t>5 apples</w:t>
      </w:r>
      <w:r w:rsidR="003D7859">
        <w:t>’</w:t>
      </w:r>
      <w:r w:rsidRPr="00C96389">
        <w:t xml:space="preserve"> ratings for our Accumulation 1</w:t>
      </w:r>
      <w:r w:rsidR="003D7859">
        <w:t>,</w:t>
      </w:r>
      <w:r w:rsidRPr="00C96389">
        <w:t xml:space="preserve"> Accumulation 2 </w:t>
      </w:r>
      <w:r w:rsidR="003D7859">
        <w:t xml:space="preserve">and Flexi Pension </w:t>
      </w:r>
      <w:r w:rsidRPr="00C96389">
        <w:t>products. These awards reflect our ongoing commitment to providing members with the highest quality products and services, along with our competitive investment returns.</w:t>
      </w:r>
    </w:p>
    <w:p w:rsidR="00922ED3" w:rsidRDefault="00922ED3" w:rsidP="00BB5BD1">
      <w:pPr>
        <w:spacing w:after="0"/>
      </w:pPr>
    </w:p>
    <w:p w:rsidR="00540B6A" w:rsidRDefault="00922ED3" w:rsidP="00BB5BD1">
      <w:pPr>
        <w:spacing w:after="0"/>
      </w:pPr>
      <w:r>
        <w:t xml:space="preserve">Our long-term track record for top quartile </w:t>
      </w:r>
      <w:r w:rsidR="00A2639E">
        <w:t>performance</w:t>
      </w:r>
      <w:r>
        <w:t xml:space="preserve"> as at 31 May 2018, follows:</w:t>
      </w:r>
    </w:p>
    <w:p w:rsidR="00922ED3" w:rsidRDefault="00922ED3" w:rsidP="00BB5BD1">
      <w:pPr>
        <w:spacing w:after="0"/>
      </w:pPr>
    </w:p>
    <w:p w:rsidR="00F87C04" w:rsidRPr="00F87C04" w:rsidRDefault="00540B6A" w:rsidP="00BB5BD1">
      <w:pPr>
        <w:spacing w:after="0"/>
        <w:rPr>
          <w:rFonts w:ascii="Arial" w:hAnsi="Arial" w:cs="Arial"/>
          <w:bCs/>
          <w:sz w:val="24"/>
          <w:szCs w:val="24"/>
          <w:lang w:eastAsia="en-AU"/>
        </w:rPr>
      </w:pPr>
      <w:r>
        <w:rPr>
          <w:rFonts w:ascii="Arial" w:hAnsi="Arial" w:cs="Arial"/>
          <w:b/>
          <w:bCs/>
          <w:sz w:val="24"/>
          <w:szCs w:val="24"/>
          <w:lang w:eastAsia="en-AU"/>
        </w:rPr>
        <w:t>SuperRatings Crediting Rate Survey (Published)</w:t>
      </w:r>
    </w:p>
    <w:tbl>
      <w:tblPr>
        <w:tblW w:w="9901" w:type="dxa"/>
        <w:tblCellMar>
          <w:left w:w="0" w:type="dxa"/>
          <w:right w:w="0" w:type="dxa"/>
        </w:tblCellMar>
        <w:tblLook w:val="04A0" w:firstRow="1" w:lastRow="0" w:firstColumn="1" w:lastColumn="0" w:noHBand="0" w:noVBand="1"/>
      </w:tblPr>
      <w:tblGrid>
        <w:gridCol w:w="2587"/>
        <w:gridCol w:w="1323"/>
        <w:gridCol w:w="1381"/>
        <w:gridCol w:w="1148"/>
        <w:gridCol w:w="1164"/>
        <w:gridCol w:w="1092"/>
        <w:gridCol w:w="1206"/>
      </w:tblGrid>
      <w:tr w:rsidR="00540B6A" w:rsidRPr="00540B6A" w:rsidTr="00540B6A">
        <w:trPr>
          <w:trHeight w:val="255"/>
        </w:trPr>
        <w:tc>
          <w:tcPr>
            <w:tcW w:w="1970" w:type="dxa"/>
            <w:noWrap/>
            <w:tcMar>
              <w:top w:w="0" w:type="dxa"/>
              <w:left w:w="108" w:type="dxa"/>
              <w:bottom w:w="0" w:type="dxa"/>
              <w:right w:w="108" w:type="dxa"/>
            </w:tcMar>
            <w:vAlign w:val="bottom"/>
            <w:hideMark/>
          </w:tcPr>
          <w:p w:rsidR="00540B6A" w:rsidRPr="00540B6A" w:rsidRDefault="00540B6A" w:rsidP="00540B6A">
            <w:pPr>
              <w:spacing w:after="0" w:line="240" w:lineRule="auto"/>
              <w:rPr>
                <w:rFonts w:ascii="Times New Roman" w:eastAsia="Times New Roman" w:hAnsi="Times New Roman" w:cs="Times New Roman"/>
                <w:sz w:val="20"/>
                <w:szCs w:val="20"/>
                <w:lang w:eastAsia="en-AU"/>
              </w:rPr>
            </w:pPr>
          </w:p>
        </w:tc>
        <w:tc>
          <w:tcPr>
            <w:tcW w:w="1007" w:type="dxa"/>
            <w:noWrap/>
            <w:tcMar>
              <w:top w:w="0" w:type="dxa"/>
              <w:left w:w="108" w:type="dxa"/>
              <w:bottom w:w="0" w:type="dxa"/>
              <w:right w:w="108" w:type="dxa"/>
            </w:tcMar>
            <w:vAlign w:val="bottom"/>
            <w:hideMark/>
          </w:tcPr>
          <w:p w:rsidR="00540B6A" w:rsidRPr="00540B6A" w:rsidRDefault="00540B6A" w:rsidP="00540B6A">
            <w:pPr>
              <w:spacing w:after="0" w:line="240" w:lineRule="auto"/>
              <w:rPr>
                <w:rFonts w:ascii="Times New Roman" w:eastAsia="Times New Roman" w:hAnsi="Times New Roman" w:cs="Times New Roman"/>
                <w:sz w:val="20"/>
                <w:szCs w:val="20"/>
                <w:lang w:eastAsia="en-AU"/>
              </w:rPr>
            </w:pPr>
          </w:p>
        </w:tc>
        <w:tc>
          <w:tcPr>
            <w:tcW w:w="1051" w:type="dxa"/>
            <w:noWrap/>
            <w:tcMar>
              <w:top w:w="0" w:type="dxa"/>
              <w:left w:w="108" w:type="dxa"/>
              <w:bottom w:w="0" w:type="dxa"/>
              <w:right w:w="108" w:type="dxa"/>
            </w:tcMar>
            <w:vAlign w:val="bottom"/>
            <w:hideMark/>
          </w:tcPr>
          <w:p w:rsidR="00540B6A" w:rsidRPr="00540B6A" w:rsidRDefault="00540B6A" w:rsidP="00540B6A">
            <w:pPr>
              <w:spacing w:after="0" w:line="240" w:lineRule="auto"/>
              <w:rPr>
                <w:rFonts w:ascii="Times New Roman" w:eastAsia="Times New Roman" w:hAnsi="Times New Roman" w:cs="Times New Roman"/>
                <w:sz w:val="20"/>
                <w:szCs w:val="20"/>
                <w:lang w:eastAsia="en-AU"/>
              </w:rPr>
            </w:pPr>
          </w:p>
        </w:tc>
        <w:tc>
          <w:tcPr>
            <w:tcW w:w="874" w:type="dxa"/>
            <w:noWrap/>
            <w:tcMar>
              <w:top w:w="0" w:type="dxa"/>
              <w:left w:w="108" w:type="dxa"/>
              <w:bottom w:w="0" w:type="dxa"/>
              <w:right w:w="108" w:type="dxa"/>
            </w:tcMar>
            <w:vAlign w:val="bottom"/>
            <w:hideMark/>
          </w:tcPr>
          <w:p w:rsidR="00540B6A" w:rsidRPr="00540B6A" w:rsidRDefault="00540B6A" w:rsidP="00540B6A">
            <w:pPr>
              <w:spacing w:after="0" w:line="240" w:lineRule="auto"/>
              <w:rPr>
                <w:rFonts w:ascii="Times New Roman" w:eastAsia="Times New Roman" w:hAnsi="Times New Roman" w:cs="Times New Roman"/>
                <w:sz w:val="20"/>
                <w:szCs w:val="20"/>
                <w:lang w:eastAsia="en-AU"/>
              </w:rPr>
            </w:pPr>
          </w:p>
        </w:tc>
        <w:tc>
          <w:tcPr>
            <w:tcW w:w="886" w:type="dxa"/>
            <w:noWrap/>
            <w:tcMar>
              <w:top w:w="0" w:type="dxa"/>
              <w:left w:w="108" w:type="dxa"/>
              <w:bottom w:w="0" w:type="dxa"/>
              <w:right w:w="108" w:type="dxa"/>
            </w:tcMar>
            <w:vAlign w:val="bottom"/>
            <w:hideMark/>
          </w:tcPr>
          <w:p w:rsidR="00540B6A" w:rsidRPr="00540B6A" w:rsidRDefault="00540B6A" w:rsidP="00540B6A">
            <w:pPr>
              <w:spacing w:after="0" w:line="240" w:lineRule="auto"/>
              <w:rPr>
                <w:rFonts w:ascii="Times New Roman" w:eastAsia="Times New Roman" w:hAnsi="Times New Roman" w:cs="Times New Roman"/>
                <w:sz w:val="20"/>
                <w:szCs w:val="20"/>
                <w:lang w:eastAsia="en-AU"/>
              </w:rPr>
            </w:pPr>
          </w:p>
        </w:tc>
        <w:tc>
          <w:tcPr>
            <w:tcW w:w="831" w:type="dxa"/>
            <w:noWrap/>
            <w:tcMar>
              <w:top w:w="0" w:type="dxa"/>
              <w:left w:w="108" w:type="dxa"/>
              <w:bottom w:w="0" w:type="dxa"/>
              <w:right w:w="108" w:type="dxa"/>
            </w:tcMar>
            <w:vAlign w:val="bottom"/>
            <w:hideMark/>
          </w:tcPr>
          <w:p w:rsidR="00540B6A" w:rsidRPr="00540B6A" w:rsidRDefault="00540B6A" w:rsidP="00540B6A">
            <w:pPr>
              <w:spacing w:after="0" w:line="240" w:lineRule="auto"/>
              <w:rPr>
                <w:rFonts w:ascii="Times New Roman" w:eastAsia="Times New Roman" w:hAnsi="Times New Roman" w:cs="Times New Roman"/>
                <w:sz w:val="20"/>
                <w:szCs w:val="20"/>
                <w:lang w:eastAsia="en-AU"/>
              </w:rPr>
            </w:pPr>
          </w:p>
        </w:tc>
        <w:tc>
          <w:tcPr>
            <w:tcW w:w="918" w:type="dxa"/>
            <w:noWrap/>
            <w:tcMar>
              <w:top w:w="0" w:type="dxa"/>
              <w:left w:w="108" w:type="dxa"/>
              <w:bottom w:w="0" w:type="dxa"/>
              <w:right w:w="108" w:type="dxa"/>
            </w:tcMar>
            <w:vAlign w:val="bottom"/>
            <w:hideMark/>
          </w:tcPr>
          <w:p w:rsidR="00540B6A" w:rsidRPr="00540B6A" w:rsidRDefault="00540B6A" w:rsidP="00540B6A">
            <w:pPr>
              <w:spacing w:after="0" w:line="240" w:lineRule="auto"/>
              <w:rPr>
                <w:rFonts w:ascii="Times New Roman" w:eastAsia="Times New Roman" w:hAnsi="Times New Roman" w:cs="Times New Roman"/>
                <w:sz w:val="20"/>
                <w:szCs w:val="20"/>
                <w:lang w:eastAsia="en-AU"/>
              </w:rPr>
            </w:pPr>
          </w:p>
        </w:tc>
      </w:tr>
      <w:tr w:rsidR="00540B6A" w:rsidRPr="00540B6A" w:rsidTr="00540B6A">
        <w:trPr>
          <w:trHeight w:val="510"/>
        </w:trPr>
        <w:tc>
          <w:tcPr>
            <w:tcW w:w="1970" w:type="dxa"/>
            <w:tcBorders>
              <w:top w:val="single" w:sz="8" w:space="0" w:color="auto"/>
              <w:left w:val="single" w:sz="8" w:space="0" w:color="auto"/>
              <w:bottom w:val="single" w:sz="8" w:space="0" w:color="auto"/>
              <w:right w:val="single" w:sz="8" w:space="0" w:color="FFFFFF"/>
            </w:tcBorders>
            <w:shd w:val="clear" w:color="auto" w:fill="000080"/>
            <w:tcMar>
              <w:top w:w="0" w:type="dxa"/>
              <w:left w:w="108" w:type="dxa"/>
              <w:bottom w:w="0" w:type="dxa"/>
              <w:right w:w="108" w:type="dxa"/>
            </w:tcMar>
            <w:vAlign w:val="center"/>
            <w:hideMark/>
          </w:tcPr>
          <w:p w:rsidR="00540B6A" w:rsidRPr="00540B6A" w:rsidRDefault="00540B6A" w:rsidP="00540B6A">
            <w:pPr>
              <w:spacing w:after="0" w:line="240" w:lineRule="auto"/>
              <w:rPr>
                <w:rFonts w:ascii="Arial" w:eastAsia="Calibri" w:hAnsi="Arial" w:cs="Arial"/>
                <w:color w:val="FFFFFF"/>
                <w:sz w:val="20"/>
                <w:szCs w:val="20"/>
                <w:lang w:eastAsia="en-AU"/>
              </w:rPr>
            </w:pPr>
            <w:r w:rsidRPr="00540B6A">
              <w:rPr>
                <w:rFonts w:ascii="Arial" w:eastAsia="Calibri" w:hAnsi="Arial" w:cs="Arial"/>
                <w:color w:val="FFFFFF"/>
                <w:sz w:val="20"/>
                <w:szCs w:val="20"/>
                <w:lang w:eastAsia="en-AU"/>
              </w:rPr>
              <w:t>Option</w:t>
            </w:r>
          </w:p>
        </w:tc>
        <w:tc>
          <w:tcPr>
            <w:tcW w:w="1007" w:type="dxa"/>
            <w:tcBorders>
              <w:top w:val="single" w:sz="8" w:space="0" w:color="auto"/>
              <w:left w:val="nil"/>
              <w:bottom w:val="single" w:sz="8" w:space="0" w:color="auto"/>
              <w:right w:val="single" w:sz="8" w:space="0" w:color="FFFFFF"/>
            </w:tcBorders>
            <w:shd w:val="clear" w:color="auto" w:fill="000080"/>
            <w:tcMar>
              <w:top w:w="0" w:type="dxa"/>
              <w:left w:w="108" w:type="dxa"/>
              <w:bottom w:w="0" w:type="dxa"/>
              <w:right w:w="108" w:type="dxa"/>
            </w:tcMar>
            <w:vAlign w:val="center"/>
            <w:hideMark/>
          </w:tcPr>
          <w:p w:rsidR="00540B6A" w:rsidRPr="00540B6A" w:rsidRDefault="00540B6A" w:rsidP="00540B6A">
            <w:pPr>
              <w:spacing w:after="0" w:line="240" w:lineRule="auto"/>
              <w:rPr>
                <w:rFonts w:ascii="Arial" w:eastAsia="Calibri" w:hAnsi="Arial" w:cs="Arial"/>
                <w:color w:val="FFFFFF"/>
                <w:sz w:val="20"/>
                <w:szCs w:val="20"/>
                <w:lang w:eastAsia="en-AU"/>
              </w:rPr>
            </w:pPr>
            <w:r w:rsidRPr="00540B6A">
              <w:rPr>
                <w:rFonts w:ascii="Arial" w:eastAsia="Calibri" w:hAnsi="Arial" w:cs="Arial"/>
                <w:color w:val="FFFFFF"/>
                <w:sz w:val="20"/>
                <w:szCs w:val="20"/>
                <w:lang w:eastAsia="en-AU"/>
              </w:rPr>
              <w:t>Period</w:t>
            </w:r>
          </w:p>
        </w:tc>
        <w:tc>
          <w:tcPr>
            <w:tcW w:w="1051" w:type="dxa"/>
            <w:tcBorders>
              <w:top w:val="single" w:sz="8" w:space="0" w:color="auto"/>
              <w:left w:val="nil"/>
              <w:bottom w:val="single" w:sz="8" w:space="0" w:color="auto"/>
              <w:right w:val="single" w:sz="8" w:space="0" w:color="FFFFFF"/>
            </w:tcBorders>
            <w:shd w:val="clear" w:color="auto" w:fill="000080"/>
            <w:tcMar>
              <w:top w:w="0" w:type="dxa"/>
              <w:left w:w="108" w:type="dxa"/>
              <w:bottom w:w="0" w:type="dxa"/>
              <w:right w:w="108" w:type="dxa"/>
            </w:tcMar>
            <w:vAlign w:val="center"/>
            <w:hideMark/>
          </w:tcPr>
          <w:p w:rsidR="00540B6A" w:rsidRPr="00540B6A" w:rsidRDefault="00540B6A" w:rsidP="00540B6A">
            <w:pPr>
              <w:spacing w:after="0" w:line="240" w:lineRule="auto"/>
              <w:jc w:val="center"/>
              <w:rPr>
                <w:rFonts w:ascii="Arial" w:eastAsia="Calibri" w:hAnsi="Arial" w:cs="Arial"/>
                <w:color w:val="FFFFFF"/>
                <w:sz w:val="20"/>
                <w:szCs w:val="20"/>
                <w:lang w:eastAsia="en-AU"/>
              </w:rPr>
            </w:pPr>
            <w:r w:rsidRPr="00540B6A">
              <w:rPr>
                <w:rFonts w:ascii="Arial" w:eastAsia="Calibri" w:hAnsi="Arial" w:cs="Arial"/>
                <w:color w:val="FFFFFF"/>
                <w:sz w:val="20"/>
                <w:szCs w:val="20"/>
                <w:lang w:eastAsia="en-AU"/>
              </w:rPr>
              <w:t>UniSuper</w:t>
            </w:r>
          </w:p>
        </w:tc>
        <w:tc>
          <w:tcPr>
            <w:tcW w:w="874" w:type="dxa"/>
            <w:tcBorders>
              <w:top w:val="single" w:sz="8" w:space="0" w:color="auto"/>
              <w:left w:val="nil"/>
              <w:bottom w:val="single" w:sz="8" w:space="0" w:color="auto"/>
              <w:right w:val="single" w:sz="8" w:space="0" w:color="FFFFFF"/>
            </w:tcBorders>
            <w:shd w:val="clear" w:color="auto" w:fill="000080"/>
            <w:tcMar>
              <w:top w:w="0" w:type="dxa"/>
              <w:left w:w="108" w:type="dxa"/>
              <w:bottom w:w="0" w:type="dxa"/>
              <w:right w:w="108" w:type="dxa"/>
            </w:tcMar>
            <w:vAlign w:val="center"/>
            <w:hideMark/>
          </w:tcPr>
          <w:p w:rsidR="00540B6A" w:rsidRPr="00540B6A" w:rsidRDefault="00540B6A" w:rsidP="00540B6A">
            <w:pPr>
              <w:spacing w:after="0" w:line="240" w:lineRule="auto"/>
              <w:jc w:val="center"/>
              <w:rPr>
                <w:rFonts w:ascii="Arial" w:eastAsia="Calibri" w:hAnsi="Arial" w:cs="Arial"/>
                <w:color w:val="FFFFFF"/>
                <w:sz w:val="20"/>
                <w:szCs w:val="20"/>
                <w:lang w:eastAsia="en-AU"/>
              </w:rPr>
            </w:pPr>
            <w:r w:rsidRPr="00540B6A">
              <w:rPr>
                <w:rFonts w:ascii="Arial" w:eastAsia="Calibri" w:hAnsi="Arial" w:cs="Arial"/>
                <w:color w:val="FFFFFF"/>
                <w:sz w:val="20"/>
                <w:szCs w:val="20"/>
                <w:lang w:eastAsia="en-AU"/>
              </w:rPr>
              <w:t>All Fund Median</w:t>
            </w:r>
          </w:p>
        </w:tc>
        <w:tc>
          <w:tcPr>
            <w:tcW w:w="886" w:type="dxa"/>
            <w:tcBorders>
              <w:top w:val="single" w:sz="8" w:space="0" w:color="auto"/>
              <w:left w:val="nil"/>
              <w:bottom w:val="single" w:sz="8" w:space="0" w:color="auto"/>
              <w:right w:val="single" w:sz="8" w:space="0" w:color="FFFFFF"/>
            </w:tcBorders>
            <w:shd w:val="clear" w:color="auto" w:fill="000080"/>
            <w:tcMar>
              <w:top w:w="0" w:type="dxa"/>
              <w:left w:w="108" w:type="dxa"/>
              <w:bottom w:w="0" w:type="dxa"/>
              <w:right w:w="108" w:type="dxa"/>
            </w:tcMar>
            <w:vAlign w:val="center"/>
            <w:hideMark/>
          </w:tcPr>
          <w:p w:rsidR="00540B6A" w:rsidRPr="00540B6A" w:rsidRDefault="00540B6A" w:rsidP="00540B6A">
            <w:pPr>
              <w:spacing w:after="0" w:line="240" w:lineRule="auto"/>
              <w:jc w:val="center"/>
              <w:rPr>
                <w:rFonts w:ascii="Arial" w:eastAsia="Calibri" w:hAnsi="Arial" w:cs="Arial"/>
                <w:color w:val="FFFFFF"/>
                <w:sz w:val="20"/>
                <w:szCs w:val="20"/>
                <w:lang w:eastAsia="en-AU"/>
              </w:rPr>
            </w:pPr>
            <w:r w:rsidRPr="00540B6A">
              <w:rPr>
                <w:rFonts w:ascii="Arial" w:eastAsia="Calibri" w:hAnsi="Arial" w:cs="Arial"/>
                <w:color w:val="FFFFFF"/>
                <w:sz w:val="20"/>
                <w:szCs w:val="20"/>
                <w:lang w:eastAsia="en-AU"/>
              </w:rPr>
              <w:t>Out/per</w:t>
            </w:r>
          </w:p>
        </w:tc>
        <w:tc>
          <w:tcPr>
            <w:tcW w:w="831" w:type="dxa"/>
            <w:tcBorders>
              <w:top w:val="single" w:sz="8" w:space="0" w:color="auto"/>
              <w:left w:val="nil"/>
              <w:bottom w:val="single" w:sz="8" w:space="0" w:color="auto"/>
              <w:right w:val="single" w:sz="8" w:space="0" w:color="FFFFFF"/>
            </w:tcBorders>
            <w:shd w:val="clear" w:color="auto" w:fill="000080"/>
            <w:tcMar>
              <w:top w:w="0" w:type="dxa"/>
              <w:left w:w="108" w:type="dxa"/>
              <w:bottom w:w="0" w:type="dxa"/>
              <w:right w:w="108" w:type="dxa"/>
            </w:tcMar>
            <w:vAlign w:val="center"/>
            <w:hideMark/>
          </w:tcPr>
          <w:p w:rsidR="00540B6A" w:rsidRPr="00540B6A" w:rsidRDefault="00540B6A" w:rsidP="00540B6A">
            <w:pPr>
              <w:spacing w:after="0" w:line="240" w:lineRule="auto"/>
              <w:jc w:val="center"/>
              <w:rPr>
                <w:rFonts w:ascii="Arial" w:eastAsia="Calibri" w:hAnsi="Arial" w:cs="Arial"/>
                <w:color w:val="FFFFFF"/>
                <w:sz w:val="20"/>
                <w:szCs w:val="20"/>
                <w:lang w:eastAsia="en-AU"/>
              </w:rPr>
            </w:pPr>
            <w:r w:rsidRPr="00540B6A">
              <w:rPr>
                <w:rFonts w:ascii="Arial" w:eastAsia="Calibri" w:hAnsi="Arial" w:cs="Arial"/>
                <w:color w:val="FFFFFF"/>
                <w:sz w:val="20"/>
                <w:szCs w:val="20"/>
                <w:lang w:eastAsia="en-AU"/>
              </w:rPr>
              <w:t>Rank</w:t>
            </w:r>
          </w:p>
        </w:tc>
        <w:tc>
          <w:tcPr>
            <w:tcW w:w="918" w:type="dxa"/>
            <w:tcBorders>
              <w:top w:val="single" w:sz="8" w:space="0" w:color="auto"/>
              <w:left w:val="nil"/>
              <w:bottom w:val="single" w:sz="8" w:space="0" w:color="auto"/>
              <w:right w:val="single" w:sz="8" w:space="0" w:color="auto"/>
            </w:tcBorders>
            <w:shd w:val="clear" w:color="auto" w:fill="000080"/>
            <w:tcMar>
              <w:top w:w="0" w:type="dxa"/>
              <w:left w:w="108" w:type="dxa"/>
              <w:bottom w:w="0" w:type="dxa"/>
              <w:right w:w="108" w:type="dxa"/>
            </w:tcMar>
            <w:vAlign w:val="center"/>
            <w:hideMark/>
          </w:tcPr>
          <w:p w:rsidR="00540B6A" w:rsidRPr="00540B6A" w:rsidRDefault="00540B6A" w:rsidP="00540B6A">
            <w:pPr>
              <w:spacing w:after="0" w:line="240" w:lineRule="auto"/>
              <w:jc w:val="center"/>
              <w:rPr>
                <w:rFonts w:ascii="Arial" w:eastAsia="Calibri" w:hAnsi="Arial" w:cs="Arial"/>
                <w:color w:val="FFFFFF"/>
                <w:sz w:val="20"/>
                <w:szCs w:val="20"/>
                <w:lang w:eastAsia="en-AU"/>
              </w:rPr>
            </w:pPr>
            <w:r w:rsidRPr="00540B6A">
              <w:rPr>
                <w:rFonts w:ascii="Arial" w:eastAsia="Calibri" w:hAnsi="Arial" w:cs="Arial"/>
                <w:color w:val="FFFFFF"/>
                <w:sz w:val="20"/>
                <w:szCs w:val="20"/>
                <w:lang w:eastAsia="en-AU"/>
              </w:rPr>
              <w:t>Quartile</w:t>
            </w:r>
          </w:p>
        </w:tc>
      </w:tr>
      <w:tr w:rsidR="00540B6A" w:rsidRPr="00540B6A" w:rsidTr="00540B6A">
        <w:trPr>
          <w:trHeight w:val="255"/>
        </w:trPr>
        <w:tc>
          <w:tcPr>
            <w:tcW w:w="1970"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Pr>
                <w:rFonts w:ascii="Arial" w:eastAsia="Calibri" w:hAnsi="Arial" w:cs="Arial"/>
                <w:sz w:val="20"/>
                <w:szCs w:val="20"/>
                <w:lang w:eastAsia="en-AU"/>
              </w:rPr>
              <w:t>UniSuper B</w:t>
            </w:r>
            <w:r w:rsidRPr="00540B6A">
              <w:rPr>
                <w:rFonts w:ascii="Arial" w:eastAsia="Calibri" w:hAnsi="Arial" w:cs="Arial"/>
                <w:sz w:val="20"/>
                <w:szCs w:val="20"/>
                <w:lang w:eastAsia="en-AU"/>
              </w:rPr>
              <w:t>alanced</w:t>
            </w:r>
          </w:p>
        </w:tc>
        <w:tc>
          <w:tcPr>
            <w:tcW w:w="100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 xml:space="preserve">1 </w:t>
            </w:r>
            <w:proofErr w:type="spellStart"/>
            <w:r w:rsidRPr="00540B6A">
              <w:rPr>
                <w:rFonts w:ascii="Arial" w:eastAsia="Calibri" w:hAnsi="Arial" w:cs="Arial"/>
                <w:sz w:val="20"/>
                <w:szCs w:val="20"/>
                <w:lang w:eastAsia="en-AU"/>
              </w:rPr>
              <w:t>mth</w:t>
            </w:r>
            <w:proofErr w:type="spellEnd"/>
          </w:p>
        </w:tc>
        <w:tc>
          <w:tcPr>
            <w:tcW w:w="1051"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1.56</w:t>
            </w:r>
          </w:p>
        </w:tc>
        <w:tc>
          <w:tcPr>
            <w:tcW w:w="874" w:type="dxa"/>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0.42</w:t>
            </w:r>
          </w:p>
        </w:tc>
        <w:tc>
          <w:tcPr>
            <w:tcW w:w="886"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1.14</w:t>
            </w:r>
          </w:p>
        </w:tc>
        <w:tc>
          <w:tcPr>
            <w:tcW w:w="831"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1/208</w:t>
            </w:r>
          </w:p>
        </w:tc>
        <w:tc>
          <w:tcPr>
            <w:tcW w:w="918"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Q1</w:t>
            </w:r>
          </w:p>
        </w:tc>
      </w:tr>
      <w:tr w:rsidR="00540B6A" w:rsidRPr="00540B6A" w:rsidTr="00540B6A">
        <w:trPr>
          <w:trHeight w:val="255"/>
        </w:trPr>
        <w:tc>
          <w:tcPr>
            <w:tcW w:w="1970"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 </w:t>
            </w:r>
          </w:p>
        </w:tc>
        <w:tc>
          <w:tcPr>
            <w:tcW w:w="100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 xml:space="preserve">3 </w:t>
            </w:r>
            <w:proofErr w:type="spellStart"/>
            <w:r w:rsidRPr="00540B6A">
              <w:rPr>
                <w:rFonts w:ascii="Arial" w:eastAsia="Calibri" w:hAnsi="Arial" w:cs="Arial"/>
                <w:sz w:val="20"/>
                <w:szCs w:val="20"/>
                <w:lang w:eastAsia="en-AU"/>
              </w:rPr>
              <w:t>mth</w:t>
            </w:r>
            <w:r w:rsidR="000E516C">
              <w:rPr>
                <w:rFonts w:ascii="Arial" w:eastAsia="Calibri" w:hAnsi="Arial" w:cs="Arial"/>
                <w:sz w:val="20"/>
                <w:szCs w:val="20"/>
                <w:lang w:eastAsia="en-AU"/>
              </w:rPr>
              <w:t>s</w:t>
            </w:r>
            <w:proofErr w:type="spellEnd"/>
          </w:p>
        </w:tc>
        <w:tc>
          <w:tcPr>
            <w:tcW w:w="1051"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2.58</w:t>
            </w:r>
          </w:p>
        </w:tc>
        <w:tc>
          <w:tcPr>
            <w:tcW w:w="874" w:type="dxa"/>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1.26</w:t>
            </w:r>
          </w:p>
        </w:tc>
        <w:tc>
          <w:tcPr>
            <w:tcW w:w="886"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1.32</w:t>
            </w:r>
          </w:p>
        </w:tc>
        <w:tc>
          <w:tcPr>
            <w:tcW w:w="831"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1/206</w:t>
            </w:r>
          </w:p>
        </w:tc>
        <w:tc>
          <w:tcPr>
            <w:tcW w:w="918"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Q1</w:t>
            </w:r>
          </w:p>
        </w:tc>
      </w:tr>
      <w:tr w:rsidR="00540B6A" w:rsidRPr="00540B6A" w:rsidTr="00540B6A">
        <w:trPr>
          <w:trHeight w:val="255"/>
        </w:trPr>
        <w:tc>
          <w:tcPr>
            <w:tcW w:w="1970"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 </w:t>
            </w:r>
          </w:p>
        </w:tc>
        <w:tc>
          <w:tcPr>
            <w:tcW w:w="100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FYTD</w:t>
            </w:r>
          </w:p>
        </w:tc>
        <w:tc>
          <w:tcPr>
            <w:tcW w:w="1051"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8.61</w:t>
            </w:r>
          </w:p>
        </w:tc>
        <w:tc>
          <w:tcPr>
            <w:tcW w:w="874" w:type="dxa"/>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7.27</w:t>
            </w:r>
          </w:p>
        </w:tc>
        <w:tc>
          <w:tcPr>
            <w:tcW w:w="886"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1.34</w:t>
            </w:r>
          </w:p>
        </w:tc>
        <w:tc>
          <w:tcPr>
            <w:tcW w:w="831"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33/202</w:t>
            </w:r>
          </w:p>
        </w:tc>
        <w:tc>
          <w:tcPr>
            <w:tcW w:w="918"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Q1</w:t>
            </w:r>
          </w:p>
        </w:tc>
      </w:tr>
      <w:tr w:rsidR="00540B6A" w:rsidRPr="00540B6A" w:rsidTr="00540B6A">
        <w:trPr>
          <w:trHeight w:val="255"/>
        </w:trPr>
        <w:tc>
          <w:tcPr>
            <w:tcW w:w="1970"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 </w:t>
            </w:r>
          </w:p>
        </w:tc>
        <w:tc>
          <w:tcPr>
            <w:tcW w:w="100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1 year</w:t>
            </w:r>
          </w:p>
        </w:tc>
        <w:tc>
          <w:tcPr>
            <w:tcW w:w="1051"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8.73</w:t>
            </w:r>
          </w:p>
        </w:tc>
        <w:tc>
          <w:tcPr>
            <w:tcW w:w="874" w:type="dxa"/>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6.95</w:t>
            </w:r>
          </w:p>
        </w:tc>
        <w:tc>
          <w:tcPr>
            <w:tcW w:w="886"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1.78</w:t>
            </w:r>
          </w:p>
        </w:tc>
        <w:tc>
          <w:tcPr>
            <w:tcW w:w="831"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41/205</w:t>
            </w:r>
          </w:p>
        </w:tc>
        <w:tc>
          <w:tcPr>
            <w:tcW w:w="918"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Q1</w:t>
            </w:r>
          </w:p>
        </w:tc>
      </w:tr>
      <w:tr w:rsidR="00540B6A" w:rsidRPr="00540B6A" w:rsidTr="00540B6A">
        <w:trPr>
          <w:trHeight w:val="255"/>
        </w:trPr>
        <w:tc>
          <w:tcPr>
            <w:tcW w:w="1970"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 </w:t>
            </w:r>
          </w:p>
        </w:tc>
        <w:tc>
          <w:tcPr>
            <w:tcW w:w="100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3 years</w:t>
            </w:r>
          </w:p>
        </w:tc>
        <w:tc>
          <w:tcPr>
            <w:tcW w:w="1051"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7.04</w:t>
            </w:r>
          </w:p>
        </w:tc>
        <w:tc>
          <w:tcPr>
            <w:tcW w:w="874" w:type="dxa"/>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5.74</w:t>
            </w:r>
          </w:p>
        </w:tc>
        <w:tc>
          <w:tcPr>
            <w:tcW w:w="886"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1.30</w:t>
            </w:r>
          </w:p>
        </w:tc>
        <w:tc>
          <w:tcPr>
            <w:tcW w:w="831"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40/194</w:t>
            </w:r>
          </w:p>
        </w:tc>
        <w:tc>
          <w:tcPr>
            <w:tcW w:w="918"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Q1</w:t>
            </w:r>
          </w:p>
        </w:tc>
      </w:tr>
      <w:tr w:rsidR="00540B6A" w:rsidRPr="00540B6A" w:rsidTr="00540B6A">
        <w:trPr>
          <w:trHeight w:val="255"/>
        </w:trPr>
        <w:tc>
          <w:tcPr>
            <w:tcW w:w="1970"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 </w:t>
            </w:r>
          </w:p>
        </w:tc>
        <w:tc>
          <w:tcPr>
            <w:tcW w:w="100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5 years</w:t>
            </w:r>
          </w:p>
        </w:tc>
        <w:tc>
          <w:tcPr>
            <w:tcW w:w="1051"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9.66</w:t>
            </w:r>
          </w:p>
        </w:tc>
        <w:tc>
          <w:tcPr>
            <w:tcW w:w="874" w:type="dxa"/>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8.29</w:t>
            </w:r>
          </w:p>
        </w:tc>
        <w:tc>
          <w:tcPr>
            <w:tcW w:w="886"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1.37</w:t>
            </w:r>
          </w:p>
        </w:tc>
        <w:tc>
          <w:tcPr>
            <w:tcW w:w="831"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14/165</w:t>
            </w:r>
          </w:p>
        </w:tc>
        <w:tc>
          <w:tcPr>
            <w:tcW w:w="918"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Q1</w:t>
            </w:r>
          </w:p>
        </w:tc>
      </w:tr>
      <w:tr w:rsidR="00540B6A" w:rsidRPr="00540B6A" w:rsidTr="00540B6A">
        <w:trPr>
          <w:trHeight w:val="255"/>
        </w:trPr>
        <w:tc>
          <w:tcPr>
            <w:tcW w:w="1970"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 </w:t>
            </w:r>
          </w:p>
        </w:tc>
        <w:tc>
          <w:tcPr>
            <w:tcW w:w="100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7 years</w:t>
            </w:r>
          </w:p>
        </w:tc>
        <w:tc>
          <w:tcPr>
            <w:tcW w:w="1051"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9.34</w:t>
            </w:r>
          </w:p>
        </w:tc>
        <w:tc>
          <w:tcPr>
            <w:tcW w:w="874" w:type="dxa"/>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8.10</w:t>
            </w:r>
          </w:p>
        </w:tc>
        <w:tc>
          <w:tcPr>
            <w:tcW w:w="886" w:type="dxa"/>
            <w:tcBorders>
              <w:top w:val="nil"/>
              <w:left w:val="single" w:sz="8" w:space="0" w:color="auto"/>
              <w:bottom w:val="nil"/>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1.24</w:t>
            </w:r>
          </w:p>
        </w:tc>
        <w:tc>
          <w:tcPr>
            <w:tcW w:w="831"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12/155</w:t>
            </w:r>
          </w:p>
        </w:tc>
        <w:tc>
          <w:tcPr>
            <w:tcW w:w="918" w:type="dxa"/>
            <w:tcBorders>
              <w:top w:val="nil"/>
              <w:left w:val="nil"/>
              <w:bottom w:val="nil"/>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Q1</w:t>
            </w:r>
          </w:p>
        </w:tc>
      </w:tr>
      <w:tr w:rsidR="00540B6A" w:rsidRPr="00540B6A" w:rsidTr="00540B6A">
        <w:trPr>
          <w:trHeight w:val="255"/>
        </w:trPr>
        <w:tc>
          <w:tcPr>
            <w:tcW w:w="197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 </w:t>
            </w:r>
          </w:p>
        </w:tc>
        <w:tc>
          <w:tcPr>
            <w:tcW w:w="10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rPr>
                <w:rFonts w:ascii="Arial" w:eastAsia="Calibri" w:hAnsi="Arial" w:cs="Arial"/>
                <w:sz w:val="20"/>
                <w:szCs w:val="20"/>
                <w:lang w:eastAsia="en-AU"/>
              </w:rPr>
            </w:pPr>
            <w:r w:rsidRPr="00540B6A">
              <w:rPr>
                <w:rFonts w:ascii="Arial" w:eastAsia="Calibri" w:hAnsi="Arial" w:cs="Arial"/>
                <w:sz w:val="20"/>
                <w:szCs w:val="20"/>
                <w:lang w:eastAsia="en-AU"/>
              </w:rPr>
              <w:t>10 years</w:t>
            </w:r>
          </w:p>
        </w:tc>
        <w:tc>
          <w:tcPr>
            <w:tcW w:w="10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6.99</w:t>
            </w:r>
          </w:p>
        </w:tc>
        <w:tc>
          <w:tcPr>
            <w:tcW w:w="874" w:type="dxa"/>
            <w:tcBorders>
              <w:top w:val="nil"/>
              <w:left w:val="nil"/>
              <w:bottom w:val="single" w:sz="8" w:space="0" w:color="auto"/>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5.83</w:t>
            </w:r>
          </w:p>
        </w:tc>
        <w:tc>
          <w:tcPr>
            <w:tcW w:w="886"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1.16</w:t>
            </w:r>
          </w:p>
        </w:tc>
        <w:tc>
          <w:tcPr>
            <w:tcW w:w="8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2/135</w:t>
            </w:r>
          </w:p>
        </w:tc>
        <w:tc>
          <w:tcPr>
            <w:tcW w:w="9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40B6A" w:rsidRPr="00540B6A" w:rsidRDefault="00540B6A" w:rsidP="00540B6A">
            <w:pPr>
              <w:spacing w:after="0" w:line="240" w:lineRule="auto"/>
              <w:jc w:val="center"/>
              <w:rPr>
                <w:rFonts w:ascii="Arial" w:eastAsia="Calibri" w:hAnsi="Arial" w:cs="Arial"/>
                <w:sz w:val="20"/>
                <w:szCs w:val="20"/>
                <w:lang w:eastAsia="en-AU"/>
              </w:rPr>
            </w:pPr>
            <w:r w:rsidRPr="00540B6A">
              <w:rPr>
                <w:rFonts w:ascii="Arial" w:eastAsia="Calibri" w:hAnsi="Arial" w:cs="Arial"/>
                <w:sz w:val="20"/>
                <w:szCs w:val="20"/>
                <w:lang w:eastAsia="en-AU"/>
              </w:rPr>
              <w:t>Q1</w:t>
            </w:r>
          </w:p>
        </w:tc>
      </w:tr>
    </w:tbl>
    <w:p w:rsidR="00586F74" w:rsidRPr="00442562" w:rsidRDefault="00586F74" w:rsidP="00601FC7">
      <w:pPr>
        <w:spacing w:after="0"/>
      </w:pPr>
      <w:r>
        <w:br/>
      </w:r>
      <w:r w:rsidR="00EB61EE" w:rsidRPr="000C5BC1">
        <w:rPr>
          <w:rFonts w:cstheme="minorHAnsi"/>
        </w:rPr>
        <w:t xml:space="preserve">UniSuper Management Pty Ltd would welcome the opportunity to discuss the submission further and to provide additional information in respect of the comments made in this submission. Should you have further queries, </w:t>
      </w:r>
      <w:r w:rsidR="00CB5DBD">
        <w:rPr>
          <w:rFonts w:cstheme="minorHAnsi"/>
        </w:rPr>
        <w:t xml:space="preserve">please contact </w:t>
      </w:r>
      <w:r w:rsidR="000E2A8E">
        <w:rPr>
          <w:rFonts w:cstheme="minorHAnsi"/>
        </w:rPr>
        <w:t>Benedict Davies</w:t>
      </w:r>
      <w:r w:rsidR="004709B0">
        <w:rPr>
          <w:rFonts w:cstheme="minorHAnsi"/>
        </w:rPr>
        <w:t>.</w:t>
      </w:r>
      <w:r w:rsidR="000E2A8E">
        <w:rPr>
          <w:rFonts w:cstheme="minorHAnsi"/>
        </w:rPr>
        <w:t xml:space="preserve"> </w:t>
      </w:r>
    </w:p>
    <w:p w:rsidR="00E71615" w:rsidRPr="000C5BC1" w:rsidRDefault="00E71615" w:rsidP="00601FC7">
      <w:pPr>
        <w:spacing w:after="0" w:line="360" w:lineRule="auto"/>
        <w:rPr>
          <w:rFonts w:cstheme="minorHAnsi"/>
        </w:rPr>
      </w:pPr>
    </w:p>
    <w:p w:rsidR="003E6BB1" w:rsidRPr="000C5BC1" w:rsidRDefault="003E6BB1" w:rsidP="00601FC7">
      <w:pPr>
        <w:spacing w:after="0"/>
        <w:rPr>
          <w:rFonts w:cstheme="minorHAnsi"/>
        </w:rPr>
      </w:pPr>
    </w:p>
    <w:p w:rsidR="003309BE" w:rsidRPr="000C5BC1" w:rsidRDefault="003309BE" w:rsidP="00601FC7">
      <w:pPr>
        <w:spacing w:after="0"/>
        <w:rPr>
          <w:rFonts w:eastAsiaTheme="majorEastAsia" w:cstheme="minorHAnsi"/>
          <w:b/>
          <w:bCs/>
          <w:color w:val="013A81"/>
          <w:sz w:val="28"/>
          <w:szCs w:val="28"/>
        </w:rPr>
      </w:pPr>
    </w:p>
    <w:p w:rsidR="006C320C" w:rsidRPr="000C5BC1" w:rsidRDefault="006C320C" w:rsidP="008854D2">
      <w:pPr>
        <w:pStyle w:val="Heading1"/>
        <w:numPr>
          <w:ilvl w:val="0"/>
          <w:numId w:val="0"/>
        </w:numPr>
        <w:spacing w:before="0" w:after="0"/>
        <w:ind w:left="432" w:hanging="432"/>
        <w:rPr>
          <w:rFonts w:cstheme="minorHAnsi"/>
        </w:rPr>
      </w:pPr>
      <w:r w:rsidRPr="000C5BC1">
        <w:rPr>
          <w:rFonts w:cstheme="minorHAnsi"/>
        </w:rPr>
        <w:br w:type="page"/>
      </w:r>
    </w:p>
    <w:p w:rsidR="00F5077A" w:rsidRPr="00E936FF" w:rsidRDefault="00F5077A" w:rsidP="00F5077A">
      <w:pPr>
        <w:pStyle w:val="Heading1"/>
        <w:numPr>
          <w:ilvl w:val="0"/>
          <w:numId w:val="0"/>
        </w:numPr>
        <w:spacing w:before="0" w:after="0"/>
        <w:ind w:left="432" w:hanging="432"/>
        <w:rPr>
          <w:rFonts w:asciiTheme="minorHAnsi" w:hAnsiTheme="minorHAnsi" w:cstheme="minorHAnsi"/>
        </w:rPr>
      </w:pPr>
      <w:r>
        <w:rPr>
          <w:rFonts w:asciiTheme="minorHAnsi" w:hAnsiTheme="minorHAnsi" w:cstheme="minorHAnsi"/>
        </w:rPr>
        <w:t>Introduction</w:t>
      </w:r>
    </w:p>
    <w:p w:rsidR="000E516C" w:rsidRDefault="008854D2" w:rsidP="008854D2">
      <w:pPr>
        <w:tabs>
          <w:tab w:val="left" w:pos="8133"/>
        </w:tabs>
        <w:spacing w:before="60"/>
        <w:rPr>
          <w:bCs/>
        </w:rPr>
      </w:pPr>
      <w:r>
        <w:rPr>
          <w:bCs/>
        </w:rPr>
        <w:br/>
      </w:r>
      <w:r w:rsidR="00F5077A">
        <w:rPr>
          <w:bCs/>
        </w:rPr>
        <w:t>We are proud of our investment performance and the great value we provide to our members</w:t>
      </w:r>
      <w:r w:rsidR="0083130C">
        <w:rPr>
          <w:bCs/>
        </w:rPr>
        <w:t xml:space="preserve"> in </w:t>
      </w:r>
      <w:r>
        <w:rPr>
          <w:bCs/>
        </w:rPr>
        <w:t xml:space="preserve">our </w:t>
      </w:r>
      <w:r w:rsidR="00D675E3">
        <w:rPr>
          <w:bCs/>
        </w:rPr>
        <w:t>defined benefit</w:t>
      </w:r>
      <w:r w:rsidR="00F5077A">
        <w:rPr>
          <w:bCs/>
        </w:rPr>
        <w:t xml:space="preserve"> and </w:t>
      </w:r>
      <w:r w:rsidR="00D675E3">
        <w:rPr>
          <w:bCs/>
        </w:rPr>
        <w:t>defined contribution</w:t>
      </w:r>
      <w:r w:rsidR="0083130C">
        <w:rPr>
          <w:bCs/>
        </w:rPr>
        <w:t xml:space="preserve"> schemes</w:t>
      </w:r>
      <w:r w:rsidR="000E516C">
        <w:rPr>
          <w:bCs/>
        </w:rPr>
        <w:t>. We will continue to be a strong</w:t>
      </w:r>
      <w:r>
        <w:rPr>
          <w:bCs/>
        </w:rPr>
        <w:t>,</w:t>
      </w:r>
      <w:r w:rsidR="00F5077A">
        <w:rPr>
          <w:bCs/>
        </w:rPr>
        <w:t xml:space="preserve"> </w:t>
      </w:r>
      <w:r>
        <w:rPr>
          <w:bCs/>
        </w:rPr>
        <w:t>well-managed</w:t>
      </w:r>
      <w:r w:rsidR="00F5077A">
        <w:rPr>
          <w:bCs/>
        </w:rPr>
        <w:t xml:space="preserve"> fund, regardless of the </w:t>
      </w:r>
      <w:r w:rsidR="00FE0F91">
        <w:rPr>
          <w:bCs/>
        </w:rPr>
        <w:t>default arrangements.</w:t>
      </w:r>
    </w:p>
    <w:p w:rsidR="00F5077A" w:rsidRDefault="00F5077A" w:rsidP="008854D2">
      <w:pPr>
        <w:tabs>
          <w:tab w:val="left" w:pos="8133"/>
        </w:tabs>
        <w:spacing w:before="60"/>
        <w:rPr>
          <w:bCs/>
        </w:rPr>
      </w:pPr>
      <w:r>
        <w:rPr>
          <w:bCs/>
        </w:rPr>
        <w:t>But we encourage the Commission to consider the potential negative impact on a significant number of Australians in the event of the default arrangements not adequately catering</w:t>
      </w:r>
      <w:r w:rsidR="00FE0F91">
        <w:rPr>
          <w:bCs/>
        </w:rPr>
        <w:t xml:space="preserve"> for</w:t>
      </w:r>
      <w:r w:rsidR="00FE0F91" w:rsidRPr="006527E6">
        <w:rPr>
          <w:bCs/>
        </w:rPr>
        <w:t>/recognising</w:t>
      </w:r>
      <w:r w:rsidR="00FE0F91">
        <w:rPr>
          <w:bCs/>
        </w:rPr>
        <w:t xml:space="preserve"> the particular benefits provided by defined benefit schemes. </w:t>
      </w:r>
    </w:p>
    <w:p w:rsidR="00FE0F91" w:rsidRDefault="00FE0F91" w:rsidP="00F5077A">
      <w:pPr>
        <w:spacing w:before="60"/>
        <w:rPr>
          <w:bCs/>
        </w:rPr>
      </w:pPr>
      <w:r>
        <w:rPr>
          <w:bCs/>
        </w:rPr>
        <w:t>As a result we beli</w:t>
      </w:r>
      <w:r w:rsidR="0083130C">
        <w:rPr>
          <w:bCs/>
        </w:rPr>
        <w:t>e</w:t>
      </w:r>
      <w:r>
        <w:rPr>
          <w:bCs/>
        </w:rPr>
        <w:t xml:space="preserve">ve that the Commission should exempt multi-employer defined benefit arrangements from any new default requirements. </w:t>
      </w:r>
    </w:p>
    <w:p w:rsidR="00FE0F91" w:rsidRDefault="00FE0F91" w:rsidP="00F5077A">
      <w:pPr>
        <w:spacing w:before="60"/>
        <w:rPr>
          <w:bCs/>
        </w:rPr>
      </w:pPr>
      <w:r>
        <w:rPr>
          <w:bCs/>
        </w:rPr>
        <w:t>The information below provides detail regarding UniSuper’s arrangements and the rationale for our “recommendation”</w:t>
      </w:r>
    </w:p>
    <w:p w:rsidR="00F5077A" w:rsidRPr="004550FA" w:rsidRDefault="00F5077A" w:rsidP="00F5077A">
      <w:pPr>
        <w:spacing w:before="60"/>
        <w:rPr>
          <w:bCs/>
        </w:rPr>
      </w:pPr>
    </w:p>
    <w:p w:rsidR="00C71D5B" w:rsidRPr="00E936FF" w:rsidRDefault="00AC4B16" w:rsidP="00C71D5B">
      <w:pPr>
        <w:pStyle w:val="Heading1"/>
        <w:numPr>
          <w:ilvl w:val="0"/>
          <w:numId w:val="0"/>
        </w:numPr>
        <w:spacing w:before="0" w:after="0"/>
        <w:ind w:left="432" w:hanging="432"/>
        <w:rPr>
          <w:rFonts w:asciiTheme="minorHAnsi" w:hAnsiTheme="minorHAnsi" w:cstheme="minorHAnsi"/>
        </w:rPr>
      </w:pPr>
      <w:r>
        <w:rPr>
          <w:rFonts w:asciiTheme="minorHAnsi" w:hAnsiTheme="minorHAnsi" w:cstheme="minorHAnsi"/>
        </w:rPr>
        <w:t>Draft Report</w:t>
      </w:r>
      <w:r w:rsidR="000E2A8E">
        <w:rPr>
          <w:rFonts w:asciiTheme="minorHAnsi" w:hAnsiTheme="minorHAnsi" w:cstheme="minorHAnsi"/>
        </w:rPr>
        <w:t xml:space="preserve">: </w:t>
      </w:r>
      <w:r w:rsidR="00540B6A">
        <w:rPr>
          <w:rFonts w:asciiTheme="minorHAnsi" w:hAnsiTheme="minorHAnsi" w:cstheme="minorHAnsi"/>
        </w:rPr>
        <w:t>Assessing competitiveness and efficiency</w:t>
      </w:r>
    </w:p>
    <w:p w:rsidR="00F87C04" w:rsidRDefault="00455F05" w:rsidP="00AC4B16">
      <w:pPr>
        <w:spacing w:before="60"/>
      </w:pPr>
      <w:r>
        <w:rPr>
          <w:rFonts w:cstheme="minorHAnsi"/>
        </w:rPr>
        <w:br/>
      </w:r>
      <w:r w:rsidR="00F87C04">
        <w:rPr>
          <w:bCs/>
        </w:rPr>
        <w:t xml:space="preserve">We congratulate the Productivity Commission for its wide-reaching </w:t>
      </w:r>
      <w:r w:rsidR="00F87C04">
        <w:t xml:space="preserve">system-wide assessment of the super industry, spanning institutional arrangements, self-managed super funds, wholesale providers, regulators and, most importantly, members. </w:t>
      </w:r>
    </w:p>
    <w:p w:rsidR="00F87C04" w:rsidRDefault="00922ED3" w:rsidP="00AC4B16">
      <w:pPr>
        <w:spacing w:before="60"/>
        <w:rPr>
          <w:bCs/>
        </w:rPr>
      </w:pPr>
      <w:r>
        <w:rPr>
          <w:bCs/>
        </w:rPr>
        <w:t>As you can see from our history, we strive</w:t>
      </w:r>
      <w:r w:rsidR="00F87C04">
        <w:rPr>
          <w:bCs/>
        </w:rPr>
        <w:t xml:space="preserve"> to offer members relevant</w:t>
      </w:r>
      <w:r w:rsidR="00F87C04" w:rsidRPr="00F87C04">
        <w:rPr>
          <w:bCs/>
        </w:rPr>
        <w:t xml:space="preserve"> choice and </w:t>
      </w:r>
      <w:r w:rsidR="00F87C04">
        <w:rPr>
          <w:bCs/>
        </w:rPr>
        <w:t>highly competitive products</w:t>
      </w:r>
      <w:r w:rsidR="00F87C04" w:rsidRPr="00F87C04">
        <w:rPr>
          <w:bCs/>
        </w:rPr>
        <w:t xml:space="preserve">. </w:t>
      </w:r>
      <w:r>
        <w:rPr>
          <w:bCs/>
        </w:rPr>
        <w:t>In fact, o</w:t>
      </w:r>
      <w:r w:rsidR="00F87C04">
        <w:rPr>
          <w:bCs/>
        </w:rPr>
        <w:t xml:space="preserve">ver the years, we </w:t>
      </w:r>
      <w:r w:rsidR="00F87C04" w:rsidRPr="00F87C04">
        <w:rPr>
          <w:bCs/>
        </w:rPr>
        <w:t xml:space="preserve">have </w:t>
      </w:r>
      <w:r w:rsidR="00FE0F91">
        <w:rPr>
          <w:bCs/>
        </w:rPr>
        <w:t>continuously improved</w:t>
      </w:r>
      <w:r w:rsidR="00F87C04" w:rsidRPr="00F87C04">
        <w:rPr>
          <w:bCs/>
        </w:rPr>
        <w:t xml:space="preserve"> through a range of initiatives</w:t>
      </w:r>
      <w:r w:rsidR="00F87C04">
        <w:rPr>
          <w:bCs/>
        </w:rPr>
        <w:t xml:space="preserve"> </w:t>
      </w:r>
      <w:r w:rsidR="00F87C04" w:rsidRPr="00F87C04">
        <w:rPr>
          <w:bCs/>
        </w:rPr>
        <w:t>that have made UniSuper</w:t>
      </w:r>
      <w:r w:rsidR="00F87C04">
        <w:rPr>
          <w:bCs/>
        </w:rPr>
        <w:t>,</w:t>
      </w:r>
      <w:r w:rsidR="00F87C04" w:rsidRPr="00F87C04">
        <w:rPr>
          <w:bCs/>
        </w:rPr>
        <w:t xml:space="preserve"> arguably</w:t>
      </w:r>
      <w:r w:rsidR="00F87C04">
        <w:rPr>
          <w:bCs/>
        </w:rPr>
        <w:t>,</w:t>
      </w:r>
      <w:r w:rsidR="00F87C04" w:rsidRPr="00F87C04">
        <w:rPr>
          <w:bCs/>
        </w:rPr>
        <w:t xml:space="preserve"> the best value superannuation fund in Australia. In short, we </w:t>
      </w:r>
      <w:r w:rsidR="00F87C04">
        <w:rPr>
          <w:bCs/>
        </w:rPr>
        <w:t xml:space="preserve">believe our </w:t>
      </w:r>
      <w:r w:rsidR="00D675E3">
        <w:rPr>
          <w:bCs/>
        </w:rPr>
        <w:t>defined contribution</w:t>
      </w:r>
      <w:r w:rsidR="00F87C04">
        <w:rPr>
          <w:bCs/>
        </w:rPr>
        <w:t xml:space="preserve"> products give us</w:t>
      </w:r>
      <w:r w:rsidR="00F87C04" w:rsidRPr="00F87C04">
        <w:rPr>
          <w:bCs/>
        </w:rPr>
        <w:t xml:space="preserve"> significant competitive advantages and we are well positioned for </w:t>
      </w:r>
      <w:r w:rsidR="00F87C04">
        <w:rPr>
          <w:bCs/>
        </w:rPr>
        <w:t xml:space="preserve">any </w:t>
      </w:r>
      <w:r w:rsidR="00F87C04" w:rsidRPr="00F87C04">
        <w:rPr>
          <w:bCs/>
        </w:rPr>
        <w:t>changes that might eventuate.</w:t>
      </w:r>
    </w:p>
    <w:p w:rsidR="00F87C04" w:rsidRDefault="00F87C04" w:rsidP="00AC4B16">
      <w:pPr>
        <w:spacing w:before="60"/>
        <w:rPr>
          <w:bCs/>
        </w:rPr>
      </w:pPr>
      <w:r>
        <w:rPr>
          <w:bCs/>
        </w:rPr>
        <w:t xml:space="preserve">We do, however, have concerns about the potential consequences of the proposed alternative default on our </w:t>
      </w:r>
      <w:r w:rsidR="00D675E3">
        <w:rPr>
          <w:bCs/>
        </w:rPr>
        <w:t>defined benefit</w:t>
      </w:r>
      <w:r>
        <w:rPr>
          <w:bCs/>
        </w:rPr>
        <w:t xml:space="preserve"> scheme.</w:t>
      </w:r>
    </w:p>
    <w:p w:rsidR="00AC4B16" w:rsidRDefault="00323DE7" w:rsidP="00AC4B16">
      <w:pPr>
        <w:spacing w:before="60"/>
        <w:rPr>
          <w:bCs/>
        </w:rPr>
      </w:pPr>
      <w:r>
        <w:rPr>
          <w:bCs/>
        </w:rPr>
        <w:t>On our reading, the D</w:t>
      </w:r>
      <w:r w:rsidR="00AC4B16">
        <w:rPr>
          <w:bCs/>
        </w:rPr>
        <w:t>raft Report is</w:t>
      </w:r>
      <w:r w:rsidR="00540B6A">
        <w:rPr>
          <w:bCs/>
        </w:rPr>
        <w:t xml:space="preserve"> </w:t>
      </w:r>
      <w:r w:rsidR="00AC4B16">
        <w:rPr>
          <w:bCs/>
        </w:rPr>
        <w:t xml:space="preserve">silent </w:t>
      </w:r>
      <w:r w:rsidR="00DA52FD">
        <w:rPr>
          <w:bCs/>
        </w:rPr>
        <w:t xml:space="preserve">- </w:t>
      </w:r>
      <w:r w:rsidR="00AC4B16">
        <w:rPr>
          <w:bCs/>
        </w:rPr>
        <w:t>or light in details</w:t>
      </w:r>
      <w:r w:rsidR="00DA52FD">
        <w:rPr>
          <w:bCs/>
        </w:rPr>
        <w:t xml:space="preserve"> -</w:t>
      </w:r>
      <w:r w:rsidR="00AC4B16">
        <w:rPr>
          <w:bCs/>
        </w:rPr>
        <w:t xml:space="preserve"> on a number of </w:t>
      </w:r>
      <w:r w:rsidR="004277DB">
        <w:rPr>
          <w:bCs/>
        </w:rPr>
        <w:t>important issues, notably:</w:t>
      </w:r>
    </w:p>
    <w:p w:rsidR="007D3D27" w:rsidRPr="007D3D27" w:rsidRDefault="004277DB" w:rsidP="007D3D27">
      <w:pPr>
        <w:pStyle w:val="ListParagraph"/>
        <w:numPr>
          <w:ilvl w:val="0"/>
          <w:numId w:val="15"/>
        </w:numPr>
        <w:spacing w:before="60"/>
        <w:rPr>
          <w:bCs/>
        </w:rPr>
      </w:pPr>
      <w:r>
        <w:rPr>
          <w:bCs/>
        </w:rPr>
        <w:t xml:space="preserve">What role (if any) there would be for </w:t>
      </w:r>
      <w:r w:rsidR="00D675E3">
        <w:rPr>
          <w:bCs/>
        </w:rPr>
        <w:t>defined benefit</w:t>
      </w:r>
      <w:r>
        <w:rPr>
          <w:bCs/>
        </w:rPr>
        <w:t xml:space="preserve"> schemes </w:t>
      </w:r>
      <w:r w:rsidR="00540B6A">
        <w:rPr>
          <w:bCs/>
        </w:rPr>
        <w:t>which have historically relied on default</w:t>
      </w:r>
      <w:r>
        <w:rPr>
          <w:bCs/>
        </w:rPr>
        <w:t>s</w:t>
      </w:r>
      <w:r w:rsidR="00323DE7">
        <w:rPr>
          <w:bCs/>
        </w:rPr>
        <w:t>?</w:t>
      </w:r>
    </w:p>
    <w:p w:rsidR="007D3D27" w:rsidRDefault="00922ED3" w:rsidP="007D3D27">
      <w:pPr>
        <w:pStyle w:val="ListParagraph"/>
        <w:numPr>
          <w:ilvl w:val="0"/>
          <w:numId w:val="15"/>
        </w:numPr>
        <w:spacing w:before="60"/>
        <w:rPr>
          <w:bCs/>
        </w:rPr>
      </w:pPr>
      <w:r>
        <w:rPr>
          <w:bCs/>
        </w:rPr>
        <w:t xml:space="preserve">What </w:t>
      </w:r>
      <w:r w:rsidR="00FE0F91">
        <w:rPr>
          <w:bCs/>
        </w:rPr>
        <w:t xml:space="preserve">would be </w:t>
      </w:r>
      <w:r>
        <w:rPr>
          <w:bCs/>
        </w:rPr>
        <w:t>the</w:t>
      </w:r>
      <w:r w:rsidR="007D3D27" w:rsidRPr="007D3D27">
        <w:rPr>
          <w:bCs/>
        </w:rPr>
        <w:t xml:space="preserve"> </w:t>
      </w:r>
      <w:r w:rsidR="004277DB">
        <w:rPr>
          <w:bCs/>
        </w:rPr>
        <w:t xml:space="preserve">consequences of </w:t>
      </w:r>
      <w:r w:rsidR="00540B6A">
        <w:rPr>
          <w:bCs/>
        </w:rPr>
        <w:t>no</w:t>
      </w:r>
      <w:r w:rsidR="007D3D27" w:rsidRPr="007D3D27">
        <w:rPr>
          <w:bCs/>
        </w:rPr>
        <w:t xml:space="preserve"> </w:t>
      </w:r>
      <w:r w:rsidR="00540B6A">
        <w:rPr>
          <w:bCs/>
        </w:rPr>
        <w:t xml:space="preserve">new </w:t>
      </w:r>
      <w:r w:rsidR="007D3D27" w:rsidRPr="007D3D27">
        <w:rPr>
          <w:bCs/>
        </w:rPr>
        <w:t xml:space="preserve">default </w:t>
      </w:r>
      <w:r w:rsidR="00540B6A">
        <w:rPr>
          <w:bCs/>
        </w:rPr>
        <w:t xml:space="preserve">members </w:t>
      </w:r>
      <w:r>
        <w:rPr>
          <w:bCs/>
        </w:rPr>
        <w:t>going into</w:t>
      </w:r>
      <w:r w:rsidR="00540B6A">
        <w:rPr>
          <w:bCs/>
        </w:rPr>
        <w:t xml:space="preserve"> existing</w:t>
      </w:r>
      <w:r w:rsidR="007D3D27">
        <w:rPr>
          <w:bCs/>
        </w:rPr>
        <w:t xml:space="preserve"> </w:t>
      </w:r>
      <w:r w:rsidR="00D675E3">
        <w:rPr>
          <w:bCs/>
        </w:rPr>
        <w:t xml:space="preserve">defined benefit </w:t>
      </w:r>
      <w:r w:rsidR="007D3D27">
        <w:rPr>
          <w:bCs/>
        </w:rPr>
        <w:t>schemes</w:t>
      </w:r>
      <w:r>
        <w:rPr>
          <w:bCs/>
        </w:rPr>
        <w:t xml:space="preserve">? What </w:t>
      </w:r>
      <w:r w:rsidR="00FE0F91">
        <w:rPr>
          <w:bCs/>
        </w:rPr>
        <w:t xml:space="preserve">would be </w:t>
      </w:r>
      <w:r>
        <w:rPr>
          <w:bCs/>
        </w:rPr>
        <w:t xml:space="preserve">the </w:t>
      </w:r>
      <w:r w:rsidR="00540B6A">
        <w:rPr>
          <w:bCs/>
        </w:rPr>
        <w:t>consequences for their</w:t>
      </w:r>
      <w:r w:rsidR="004277DB">
        <w:rPr>
          <w:bCs/>
        </w:rPr>
        <w:t xml:space="preserve"> ongoing viability</w:t>
      </w:r>
      <w:r w:rsidR="00323DE7">
        <w:rPr>
          <w:bCs/>
        </w:rPr>
        <w:t>?</w:t>
      </w:r>
    </w:p>
    <w:p w:rsidR="00F87C04" w:rsidRPr="00F87C04" w:rsidRDefault="00922ED3" w:rsidP="00F87C04">
      <w:pPr>
        <w:pStyle w:val="ListParagraph"/>
        <w:numPr>
          <w:ilvl w:val="0"/>
          <w:numId w:val="15"/>
        </w:numPr>
        <w:spacing w:before="60"/>
        <w:rPr>
          <w:bCs/>
        </w:rPr>
      </w:pPr>
      <w:r>
        <w:rPr>
          <w:bCs/>
        </w:rPr>
        <w:t xml:space="preserve">What </w:t>
      </w:r>
      <w:r w:rsidR="00FE0F91">
        <w:rPr>
          <w:bCs/>
        </w:rPr>
        <w:t xml:space="preserve">would be </w:t>
      </w:r>
      <w:r>
        <w:rPr>
          <w:bCs/>
        </w:rPr>
        <w:t xml:space="preserve">the </w:t>
      </w:r>
      <w:r w:rsidR="004277DB">
        <w:rPr>
          <w:bCs/>
        </w:rPr>
        <w:t xml:space="preserve">consequences of </w:t>
      </w:r>
      <w:r w:rsidR="00540B6A">
        <w:rPr>
          <w:bCs/>
        </w:rPr>
        <w:t>the proposed default model</w:t>
      </w:r>
      <w:r w:rsidR="004277DB" w:rsidRPr="007D3D27">
        <w:rPr>
          <w:bCs/>
        </w:rPr>
        <w:t xml:space="preserve"> on the </w:t>
      </w:r>
      <w:r w:rsidR="004277DB">
        <w:rPr>
          <w:bCs/>
        </w:rPr>
        <w:t>nascent market for new forms of</w:t>
      </w:r>
      <w:r w:rsidR="007D3D27" w:rsidRPr="007D3D27">
        <w:rPr>
          <w:bCs/>
        </w:rPr>
        <w:t xml:space="preserve"> collectively pooled </w:t>
      </w:r>
      <w:r w:rsidR="004277DB">
        <w:rPr>
          <w:bCs/>
        </w:rPr>
        <w:t>pensions, in particular</w:t>
      </w:r>
      <w:r w:rsidR="007D3D27" w:rsidRPr="007D3D27">
        <w:rPr>
          <w:bCs/>
        </w:rPr>
        <w:t xml:space="preserve"> </w:t>
      </w:r>
      <w:r w:rsidR="004277DB">
        <w:rPr>
          <w:bCs/>
        </w:rPr>
        <w:t>collective defined contribution (CDC) schemes</w:t>
      </w:r>
      <w:r w:rsidR="00323DE7">
        <w:rPr>
          <w:bCs/>
        </w:rPr>
        <w:t>?</w:t>
      </w:r>
      <w:r>
        <w:rPr>
          <w:bCs/>
        </w:rPr>
        <w:br/>
      </w:r>
    </w:p>
    <w:p w:rsidR="008854D2" w:rsidRDefault="008854D2">
      <w:pPr>
        <w:spacing w:after="200"/>
        <w:rPr>
          <w:bCs/>
        </w:rPr>
      </w:pPr>
      <w:r>
        <w:rPr>
          <w:bCs/>
        </w:rPr>
        <w:br w:type="page"/>
      </w:r>
    </w:p>
    <w:p w:rsidR="00F87C04" w:rsidRDefault="00F87C04" w:rsidP="00F87C04">
      <w:pPr>
        <w:spacing w:before="60"/>
        <w:rPr>
          <w:bCs/>
        </w:rPr>
      </w:pPr>
      <w:r>
        <w:rPr>
          <w:bCs/>
        </w:rPr>
        <w:t>In two previous submissions we highlighted that:</w:t>
      </w:r>
    </w:p>
    <w:p w:rsidR="00F87C04" w:rsidRDefault="00F87C04" w:rsidP="00F87C04">
      <w:pPr>
        <w:pStyle w:val="ListParagraph"/>
        <w:numPr>
          <w:ilvl w:val="0"/>
          <w:numId w:val="14"/>
        </w:numPr>
        <w:spacing w:before="60"/>
        <w:rPr>
          <w:bCs/>
        </w:rPr>
      </w:pPr>
      <w:r>
        <w:rPr>
          <w:bCs/>
        </w:rPr>
        <w:t>default super plays a key role in the higher education sector and is important for a viable defined benefit scheme</w:t>
      </w:r>
    </w:p>
    <w:p w:rsidR="00F87C04" w:rsidRDefault="00F87C04" w:rsidP="00F87C04">
      <w:pPr>
        <w:pStyle w:val="ListParagraph"/>
        <w:numPr>
          <w:ilvl w:val="0"/>
          <w:numId w:val="14"/>
        </w:numPr>
        <w:spacing w:before="60"/>
        <w:rPr>
          <w:bCs/>
        </w:rPr>
      </w:pPr>
      <w:r>
        <w:rPr>
          <w:bCs/>
        </w:rPr>
        <w:t>well-considered defaults will not be homogenous</w:t>
      </w:r>
    </w:p>
    <w:p w:rsidR="00F87C04" w:rsidRPr="004277DB" w:rsidRDefault="00F87C04" w:rsidP="00F87C04">
      <w:pPr>
        <w:pStyle w:val="ListParagraph"/>
        <w:numPr>
          <w:ilvl w:val="0"/>
          <w:numId w:val="14"/>
        </w:numPr>
        <w:spacing w:before="60"/>
        <w:rPr>
          <w:bCs/>
        </w:rPr>
      </w:pPr>
      <w:r>
        <w:t>e</w:t>
      </w:r>
      <w:r w:rsidRPr="00C009DE">
        <w:t>mployees eligible to become members of a defined benefit scheme raise special issues</w:t>
      </w:r>
    </w:p>
    <w:p w:rsidR="00F87C04" w:rsidRPr="00F87C04" w:rsidRDefault="00F87C04" w:rsidP="00F87C04">
      <w:pPr>
        <w:pStyle w:val="ListParagraph"/>
        <w:numPr>
          <w:ilvl w:val="0"/>
          <w:numId w:val="14"/>
        </w:numPr>
        <w:spacing w:before="60"/>
        <w:rPr>
          <w:bCs/>
        </w:rPr>
      </w:pPr>
      <w:r>
        <w:rPr>
          <w:bCs/>
        </w:rPr>
        <w:t xml:space="preserve">from a risk perspective, our </w:t>
      </w:r>
      <w:r w:rsidR="00D675E3">
        <w:rPr>
          <w:bCs/>
        </w:rPr>
        <w:t>defined benefi</w:t>
      </w:r>
      <w:r w:rsidR="008854D2">
        <w:rPr>
          <w:bCs/>
        </w:rPr>
        <w:t>t</w:t>
      </w:r>
      <w:r>
        <w:rPr>
          <w:bCs/>
        </w:rPr>
        <w:t xml:space="preserve"> scheme is the default membership for new members to reduce selection risk that may compromise the viability of the scheme for existing and new members </w:t>
      </w:r>
      <w:r>
        <w:rPr>
          <w:bCs/>
        </w:rPr>
        <w:br/>
      </w:r>
    </w:p>
    <w:p w:rsidR="004277DB" w:rsidRDefault="00323DE7" w:rsidP="004277DB">
      <w:pPr>
        <w:spacing w:after="200"/>
        <w:rPr>
          <w:lang w:eastAsia="en-AU"/>
        </w:rPr>
      </w:pPr>
      <w:r>
        <w:rPr>
          <w:lang w:eastAsia="en-AU"/>
        </w:rPr>
        <w:t>We are concerned that the Draft Report</w:t>
      </w:r>
      <w:r w:rsidR="004277DB">
        <w:rPr>
          <w:lang w:eastAsia="en-AU"/>
        </w:rPr>
        <w:t xml:space="preserve"> does not adequately address the specific challenges associated with applying policies </w:t>
      </w:r>
      <w:r>
        <w:rPr>
          <w:lang w:eastAsia="en-AU"/>
        </w:rPr>
        <w:t xml:space="preserve">that have been </w:t>
      </w:r>
      <w:r w:rsidR="004277DB">
        <w:rPr>
          <w:lang w:eastAsia="en-AU"/>
        </w:rPr>
        <w:t xml:space="preserve">designed largely for </w:t>
      </w:r>
      <w:r w:rsidR="00D675E3">
        <w:rPr>
          <w:lang w:eastAsia="en-AU"/>
        </w:rPr>
        <w:t>defined contribution</w:t>
      </w:r>
      <w:r>
        <w:rPr>
          <w:lang w:eastAsia="en-AU"/>
        </w:rPr>
        <w:t xml:space="preserve"> </w:t>
      </w:r>
      <w:r w:rsidR="004277DB">
        <w:rPr>
          <w:lang w:eastAsia="en-AU"/>
        </w:rPr>
        <w:t>superannuation to the still large section of Australia’s superannuation system that is either defined benefit or hybri</w:t>
      </w:r>
      <w:r w:rsidR="00984846">
        <w:rPr>
          <w:lang w:eastAsia="en-AU"/>
        </w:rPr>
        <w:t>d.</w:t>
      </w:r>
      <w:r w:rsidR="00DA52FD">
        <w:rPr>
          <w:rStyle w:val="FootnoteReference"/>
          <w:lang w:eastAsia="en-AU"/>
        </w:rPr>
        <w:footnoteReference w:id="1"/>
      </w:r>
    </w:p>
    <w:p w:rsidR="004277DB" w:rsidRDefault="004277DB" w:rsidP="004277DB">
      <w:pPr>
        <w:spacing w:after="200"/>
        <w:rPr>
          <w:lang w:eastAsia="en-AU"/>
        </w:rPr>
      </w:pPr>
      <w:r>
        <w:rPr>
          <w:lang w:eastAsia="en-AU"/>
        </w:rPr>
        <w:t xml:space="preserve">It is important to note that defined benefit superannuation cannot be thought of as nothing more than a legacy issue. UniSuper offers an open, viable and successful defined benefit scheme to approximately 10,000 new members each year. </w:t>
      </w:r>
    </w:p>
    <w:p w:rsidR="00323DE7" w:rsidRDefault="00323DE7" w:rsidP="00323DE7">
      <w:pPr>
        <w:spacing w:after="0"/>
        <w:rPr>
          <w:rFonts w:cstheme="minorHAnsi"/>
        </w:rPr>
      </w:pPr>
      <w:r w:rsidRPr="00131C6F">
        <w:rPr>
          <w:rFonts w:cstheme="minorHAnsi"/>
        </w:rPr>
        <w:t>Collectively-pooled arrangements</w:t>
      </w:r>
      <w:r>
        <w:rPr>
          <w:rFonts w:cstheme="minorHAnsi"/>
        </w:rPr>
        <w:t xml:space="preserve">, such as </w:t>
      </w:r>
      <w:r w:rsidR="00D675E3">
        <w:rPr>
          <w:rFonts w:cstheme="minorHAnsi"/>
        </w:rPr>
        <w:t xml:space="preserve">defined benefit </w:t>
      </w:r>
      <w:r>
        <w:rPr>
          <w:rFonts w:cstheme="minorHAnsi"/>
        </w:rPr>
        <w:t>schemes,</w:t>
      </w:r>
      <w:r w:rsidRPr="00131C6F">
        <w:rPr>
          <w:rFonts w:cstheme="minorHAnsi"/>
        </w:rPr>
        <w:t xml:space="preserve"> are not an historical oddity. In fact, future directions for product development across the superannuation industry suggest a return to many of the principles of collective-risk sharing</w:t>
      </w:r>
      <w:r>
        <w:rPr>
          <w:rFonts w:cstheme="minorHAnsi"/>
        </w:rPr>
        <w:t xml:space="preserve"> which are central to </w:t>
      </w:r>
      <w:r w:rsidR="00D675E3">
        <w:rPr>
          <w:rFonts w:cstheme="minorHAnsi"/>
        </w:rPr>
        <w:t xml:space="preserve">defined contribution </w:t>
      </w:r>
      <w:r>
        <w:rPr>
          <w:rFonts w:cstheme="minorHAnsi"/>
        </w:rPr>
        <w:t>schemes</w:t>
      </w:r>
      <w:r w:rsidRPr="00131C6F">
        <w:rPr>
          <w:rFonts w:cstheme="minorHAnsi"/>
        </w:rPr>
        <w:t xml:space="preserve">. </w:t>
      </w:r>
      <w:r>
        <w:rPr>
          <w:rFonts w:cstheme="minorHAnsi"/>
        </w:rPr>
        <w:t>Solutions to address the</w:t>
      </w:r>
      <w:r w:rsidRPr="00131C6F">
        <w:rPr>
          <w:rFonts w:cstheme="minorHAnsi"/>
        </w:rPr>
        <w:t xml:space="preserve"> proposal </w:t>
      </w:r>
      <w:r>
        <w:rPr>
          <w:rFonts w:cstheme="minorHAnsi"/>
        </w:rPr>
        <w:t xml:space="preserve">emanating from the Financial System Inquiry (2014) </w:t>
      </w:r>
      <w:r w:rsidRPr="00131C6F">
        <w:rPr>
          <w:rFonts w:cstheme="minorHAnsi"/>
        </w:rPr>
        <w:t xml:space="preserve">for a </w:t>
      </w:r>
      <w:r>
        <w:rPr>
          <w:rFonts w:cstheme="minorHAnsi"/>
        </w:rPr>
        <w:t>Comprehensive Income Product for Retirement</w:t>
      </w:r>
      <w:r w:rsidRPr="00131C6F">
        <w:rPr>
          <w:rFonts w:cstheme="minorHAnsi"/>
        </w:rPr>
        <w:t xml:space="preserve"> </w:t>
      </w:r>
      <w:r>
        <w:rPr>
          <w:rFonts w:cstheme="minorHAnsi"/>
        </w:rPr>
        <w:t>(CIPR) are</w:t>
      </w:r>
      <w:r w:rsidRPr="00131C6F">
        <w:rPr>
          <w:rFonts w:cstheme="minorHAnsi"/>
        </w:rPr>
        <w:t xml:space="preserve"> likely to involve some risk-pooling to a</w:t>
      </w:r>
      <w:r>
        <w:rPr>
          <w:rFonts w:cstheme="minorHAnsi"/>
        </w:rPr>
        <w:t>ddress longevity risk. Further, Treasury is consulting on new rules for innovative income streams, including Collective Defined Contribution (CDC) and Group Self Annuitisation (GSA). In virtually every other retirement income market in the world where these products exist, there are elements of default.</w:t>
      </w:r>
    </w:p>
    <w:p w:rsidR="00323DE7" w:rsidRDefault="00323DE7" w:rsidP="00323DE7">
      <w:pPr>
        <w:spacing w:after="0"/>
        <w:rPr>
          <w:rFonts w:cstheme="minorHAnsi"/>
        </w:rPr>
      </w:pPr>
    </w:p>
    <w:p w:rsidR="00114C1B" w:rsidRDefault="00323DE7" w:rsidP="00AD5B9A">
      <w:pPr>
        <w:spacing w:after="0"/>
        <w:rPr>
          <w:rFonts w:cstheme="minorHAnsi"/>
        </w:rPr>
      </w:pPr>
      <w:r>
        <w:rPr>
          <w:rFonts w:cstheme="minorHAnsi"/>
        </w:rPr>
        <w:t>We note that</w:t>
      </w:r>
      <w:r w:rsidRPr="00131C6F">
        <w:rPr>
          <w:rFonts w:cstheme="minorHAnsi"/>
        </w:rPr>
        <w:t xml:space="preserve"> future directions for product development across the superannuation industry suggest a return to many of the principles of collective-risk sharing. </w:t>
      </w:r>
      <w:r>
        <w:rPr>
          <w:rFonts w:cstheme="minorHAnsi"/>
        </w:rPr>
        <w:t>The</w:t>
      </w:r>
      <w:r w:rsidRPr="00131C6F">
        <w:rPr>
          <w:rFonts w:cstheme="minorHAnsi"/>
        </w:rPr>
        <w:t xml:space="preserve"> proposal for a </w:t>
      </w:r>
      <w:r>
        <w:rPr>
          <w:rFonts w:cstheme="minorHAnsi"/>
        </w:rPr>
        <w:t>Comprehensive Income Product for Retirement</w:t>
      </w:r>
      <w:r w:rsidRPr="00131C6F">
        <w:rPr>
          <w:rFonts w:cstheme="minorHAnsi"/>
        </w:rPr>
        <w:t xml:space="preserve"> </w:t>
      </w:r>
      <w:r w:rsidR="00D675E3">
        <w:rPr>
          <w:rFonts w:cstheme="minorHAnsi"/>
        </w:rPr>
        <w:t xml:space="preserve">(CIPR) </w:t>
      </w:r>
      <w:r w:rsidRPr="00131C6F">
        <w:rPr>
          <w:rFonts w:cstheme="minorHAnsi"/>
        </w:rPr>
        <w:t xml:space="preserve">is likely to involve some risk-pooling to address longevity risk. </w:t>
      </w:r>
      <w:r w:rsidR="00AD5B9A">
        <w:rPr>
          <w:rFonts w:cstheme="minorHAnsi"/>
        </w:rPr>
        <w:t xml:space="preserve">While </w:t>
      </w:r>
      <w:r w:rsidRPr="00AD5B9A">
        <w:rPr>
          <w:rFonts w:cstheme="minorHAnsi"/>
        </w:rPr>
        <w:t>c</w:t>
      </w:r>
      <w:r w:rsidR="00AD5B9A">
        <w:rPr>
          <w:rFonts w:cstheme="minorHAnsi"/>
        </w:rPr>
        <w:t>hanges to default arrangements</w:t>
      </w:r>
      <w:r w:rsidRPr="00131C6F">
        <w:rPr>
          <w:rFonts w:cstheme="minorHAnsi"/>
        </w:rPr>
        <w:t xml:space="preserve"> w</w:t>
      </w:r>
      <w:r>
        <w:rPr>
          <w:rFonts w:cstheme="minorHAnsi"/>
        </w:rPr>
        <w:t>ould</w:t>
      </w:r>
      <w:r w:rsidRPr="00131C6F">
        <w:rPr>
          <w:rFonts w:cstheme="minorHAnsi"/>
        </w:rPr>
        <w:t xml:space="preserve"> not necessarily preclude collective-risk pooling, it is easier and more efficient to pool risks between a well-understood and readily definable class or group of members in a particular sector, particularly where a trustee has a long-established relationship to a sector and has deep and extensive data on employment patterns, resignation and retirement ages, along with reliable mortality and life expectancy data.</w:t>
      </w:r>
    </w:p>
    <w:p w:rsidR="008854D2" w:rsidRDefault="008854D2">
      <w:pPr>
        <w:spacing w:after="200"/>
        <w:rPr>
          <w:rFonts w:cstheme="minorHAnsi"/>
        </w:rPr>
      </w:pPr>
      <w:r>
        <w:rPr>
          <w:rFonts w:cstheme="minorHAnsi"/>
        </w:rPr>
        <w:br w:type="page"/>
      </w:r>
    </w:p>
    <w:p w:rsidR="00AD5B9A" w:rsidRPr="00AD5B9A" w:rsidRDefault="00AD5B9A" w:rsidP="00114C1B">
      <w:pPr>
        <w:spacing w:after="200"/>
        <w:rPr>
          <w:b/>
          <w:bCs/>
        </w:rPr>
      </w:pPr>
      <w:r w:rsidRPr="00AD5B9A">
        <w:rPr>
          <w:rFonts w:cstheme="minorHAnsi"/>
          <w:b/>
        </w:rPr>
        <w:t>Current default arrangements</w:t>
      </w:r>
    </w:p>
    <w:p w:rsidR="00114C1B" w:rsidRDefault="00114C1B" w:rsidP="00114C1B">
      <w:pPr>
        <w:spacing w:after="200"/>
        <w:rPr>
          <w:lang w:eastAsia="en-AU"/>
        </w:rPr>
      </w:pPr>
      <w:r>
        <w:rPr>
          <w:lang w:eastAsia="en-AU"/>
        </w:rPr>
        <w:t>UniSuper is the default superannuation fund in numerous enterprise agreements across the higher education sector.</w:t>
      </w:r>
      <w:r>
        <w:rPr>
          <w:rStyle w:val="FootnoteReference"/>
          <w:lang w:eastAsia="en-AU"/>
        </w:rPr>
        <w:footnoteReference w:id="2"/>
      </w:r>
      <w:r>
        <w:rPr>
          <w:lang w:eastAsia="en-AU"/>
        </w:rPr>
        <w:t xml:space="preserve"> </w:t>
      </w:r>
      <w:r w:rsidR="00194774">
        <w:rPr>
          <w:lang w:eastAsia="en-AU"/>
        </w:rPr>
        <w:t>In our case, there a</w:t>
      </w:r>
      <w:r w:rsidR="00734646">
        <w:rPr>
          <w:lang w:eastAsia="en-AU"/>
        </w:rPr>
        <w:t>re</w:t>
      </w:r>
      <w:r w:rsidR="00194774">
        <w:rPr>
          <w:lang w:eastAsia="en-AU"/>
        </w:rPr>
        <w:t xml:space="preserve"> </w:t>
      </w:r>
      <w:r>
        <w:rPr>
          <w:lang w:eastAsia="en-AU"/>
        </w:rPr>
        <w:t>two defaults: most full-time employees in the sector are defaulted into the Defined Benefit Division</w:t>
      </w:r>
      <w:r w:rsidR="00B077A6">
        <w:rPr>
          <w:lang w:eastAsia="en-AU"/>
        </w:rPr>
        <w:t xml:space="preserve"> (DBD)</w:t>
      </w:r>
      <w:r w:rsidR="00734646">
        <w:rPr>
          <w:lang w:eastAsia="en-AU"/>
        </w:rPr>
        <w:t>,</w:t>
      </w:r>
      <w:r>
        <w:rPr>
          <w:lang w:eastAsia="en-AU"/>
        </w:rPr>
        <w:t xml:space="preserve"> while casual and contract employees are defaulted into our MySuper</w:t>
      </w:r>
      <w:r w:rsidR="00FE0F91">
        <w:rPr>
          <w:lang w:eastAsia="en-AU"/>
        </w:rPr>
        <w:t xml:space="preserve"> </w:t>
      </w:r>
      <w:r w:rsidR="00D47D46">
        <w:rPr>
          <w:lang w:eastAsia="en-AU"/>
        </w:rPr>
        <w:t>defined cont</w:t>
      </w:r>
      <w:r w:rsidR="006527E6">
        <w:rPr>
          <w:lang w:eastAsia="en-AU"/>
        </w:rPr>
        <w:t>r</w:t>
      </w:r>
      <w:r w:rsidR="00D47D46">
        <w:rPr>
          <w:lang w:eastAsia="en-AU"/>
        </w:rPr>
        <w:t>ibution</w:t>
      </w:r>
      <w:r>
        <w:rPr>
          <w:lang w:eastAsia="en-AU"/>
        </w:rPr>
        <w:t xml:space="preserve"> product unless they make an alternative decision.</w:t>
      </w:r>
    </w:p>
    <w:p w:rsidR="007D3D27" w:rsidRPr="008854D2" w:rsidRDefault="00114C1B" w:rsidP="008854D2">
      <w:pPr>
        <w:spacing w:after="200"/>
        <w:rPr>
          <w:lang w:eastAsia="en-AU"/>
        </w:rPr>
      </w:pPr>
      <w:r w:rsidRPr="008854D2">
        <w:rPr>
          <w:lang w:eastAsia="en-AU"/>
        </w:rPr>
        <w:t>The design</w:t>
      </w:r>
      <w:r w:rsidR="00756A32" w:rsidRPr="008854D2">
        <w:rPr>
          <w:lang w:eastAsia="en-AU"/>
        </w:rPr>
        <w:t>s</w:t>
      </w:r>
      <w:r w:rsidRPr="008854D2">
        <w:rPr>
          <w:lang w:eastAsia="en-AU"/>
        </w:rPr>
        <w:t xml:space="preserve"> of both of our default products have been based on a strong understanding of the particular needs of employees in the higher education and research sector. Further, the design of our main default product – the Defined Benefit Division </w:t>
      </w:r>
      <w:r w:rsidR="00194774" w:rsidRPr="008854D2">
        <w:rPr>
          <w:lang w:eastAsia="en-AU"/>
        </w:rPr>
        <w:t>–</w:t>
      </w:r>
      <w:r w:rsidRPr="008854D2">
        <w:rPr>
          <w:lang w:eastAsia="en-AU"/>
        </w:rPr>
        <w:t xml:space="preserve"> was the culmination of many years of negotiations between universities and their stakeholders to bring about a multi-employer, portable default arrangement.</w:t>
      </w:r>
    </w:p>
    <w:p w:rsidR="004118DE" w:rsidRPr="008854D2" w:rsidRDefault="00B077A6" w:rsidP="008854D2">
      <w:pPr>
        <w:spacing w:after="200"/>
        <w:rPr>
          <w:lang w:eastAsia="en-AU"/>
        </w:rPr>
      </w:pPr>
      <w:r w:rsidRPr="008854D2">
        <w:rPr>
          <w:lang w:eastAsia="en-AU"/>
        </w:rPr>
        <w:t xml:space="preserve">Given the current design and rules of the DBD, it is important that </w:t>
      </w:r>
      <w:r w:rsidR="00265748">
        <w:rPr>
          <w:lang w:eastAsia="en-AU"/>
        </w:rPr>
        <w:t xml:space="preserve">it </w:t>
      </w:r>
      <w:r>
        <w:rPr>
          <w:lang w:eastAsia="en-AU"/>
        </w:rPr>
        <w:t>is offered as a default to new members</w:t>
      </w:r>
      <w:r w:rsidR="00265748">
        <w:rPr>
          <w:lang w:eastAsia="en-AU"/>
        </w:rPr>
        <w:t xml:space="preserve"> to limit selection risks (age, salary or hea</w:t>
      </w:r>
      <w:r w:rsidR="00C654EF">
        <w:rPr>
          <w:lang w:eastAsia="en-AU"/>
        </w:rPr>
        <w:t>l</w:t>
      </w:r>
      <w:r w:rsidR="00265748">
        <w:rPr>
          <w:lang w:eastAsia="en-AU"/>
        </w:rPr>
        <w:t>th selection)</w:t>
      </w:r>
      <w:r>
        <w:rPr>
          <w:lang w:eastAsia="en-AU"/>
        </w:rPr>
        <w:t xml:space="preserve">. If the DBD was available on an opt-in basis only, rather than as the default product, </w:t>
      </w:r>
      <w:r w:rsidR="00265748">
        <w:rPr>
          <w:lang w:eastAsia="en-AU"/>
        </w:rPr>
        <w:t>its viability may be compromised due to the increased risk of adverse selection which wou</w:t>
      </w:r>
      <w:r w:rsidR="0076612B">
        <w:rPr>
          <w:lang w:eastAsia="en-AU"/>
        </w:rPr>
        <w:t>ld also affect existing members.</w:t>
      </w:r>
      <w:r w:rsidR="004118DE">
        <w:rPr>
          <w:lang w:eastAsia="en-AU"/>
        </w:rPr>
        <w:t xml:space="preserve"> In the inter-related case, there is also a potential scale issue over the long term if those eligible to become defined benefit members (e.g. via a default mechanism) were no longer eligible as the impact of funding risk on the DBD would become more material as the membership size reduced. </w:t>
      </w:r>
    </w:p>
    <w:p w:rsidR="00323DE7" w:rsidRDefault="00323DE7" w:rsidP="00323DE7">
      <w:pPr>
        <w:spacing w:after="200"/>
      </w:pPr>
      <w:r>
        <w:rPr>
          <w:lang w:eastAsia="en-AU"/>
        </w:rPr>
        <w:t xml:space="preserve">Policy makers have long recognised that </w:t>
      </w:r>
      <w:r w:rsidR="00D47D46">
        <w:rPr>
          <w:lang w:eastAsia="en-AU"/>
        </w:rPr>
        <w:t xml:space="preserve">defined benefit </w:t>
      </w:r>
      <w:r>
        <w:rPr>
          <w:lang w:eastAsia="en-AU"/>
        </w:rPr>
        <w:t>schemes require special consideration. Parallels can be drawn with the existing Choice legislation that includes a</w:t>
      </w:r>
      <w:r>
        <w:t xml:space="preserve"> specific exemption from Choice for </w:t>
      </w:r>
      <w:r>
        <w:rPr>
          <w:i/>
          <w:iCs/>
        </w:rPr>
        <w:t>existing</w:t>
      </w:r>
      <w:r>
        <w:t xml:space="preserve"> defined benefit members. If Choice of Fund or Default rules were changed</w:t>
      </w:r>
      <w:r w:rsidR="00FE0F91">
        <w:t>,</w:t>
      </w:r>
      <w:r>
        <w:t xml:space="preserve"> there </w:t>
      </w:r>
      <w:r w:rsidR="00FE0F91">
        <w:t xml:space="preserve">would </w:t>
      </w:r>
      <w:r>
        <w:t>be consequences for those who remain in the scheme, having the potential to put pressure on the funding viability of the scheme because there could be:</w:t>
      </w:r>
    </w:p>
    <w:p w:rsidR="00323DE7" w:rsidRDefault="00323DE7" w:rsidP="00D47D46">
      <w:pPr>
        <w:pStyle w:val="ListParagraph"/>
        <w:numPr>
          <w:ilvl w:val="0"/>
          <w:numId w:val="5"/>
        </w:numPr>
        <w:spacing w:after="200"/>
      </w:pPr>
      <w:r>
        <w:t xml:space="preserve">Material numbers of exits of </w:t>
      </w:r>
      <w:r w:rsidR="00D47D46">
        <w:t>DBD</w:t>
      </w:r>
      <w:r>
        <w:t xml:space="preserve"> members who choose to leave </w:t>
      </w:r>
      <w:r w:rsidR="00D47D46">
        <w:t>the DBD</w:t>
      </w:r>
      <w:r w:rsidR="006527E6">
        <w:t>,</w:t>
      </w:r>
      <w:r>
        <w:t xml:space="preserve"> and crystallise their defined benefits, which could lead to significant funding and asset valuation and liquidity issues</w:t>
      </w:r>
    </w:p>
    <w:p w:rsidR="00323DE7" w:rsidRDefault="00323DE7" w:rsidP="00323DE7">
      <w:pPr>
        <w:pStyle w:val="ListParagraph"/>
        <w:numPr>
          <w:ilvl w:val="0"/>
          <w:numId w:val="5"/>
        </w:numPr>
        <w:spacing w:after="200"/>
      </w:pPr>
      <w:r>
        <w:t>A fundamental shift in the membership profile, creating future funding concerns</w:t>
      </w:r>
      <w:r w:rsidR="00FC7C8C">
        <w:t xml:space="preserve"> for the benefits of remaining members</w:t>
      </w:r>
      <w:r>
        <w:t xml:space="preserve"> </w:t>
      </w:r>
    </w:p>
    <w:p w:rsidR="00323DE7" w:rsidRDefault="00323DE7" w:rsidP="00323DE7">
      <w:pPr>
        <w:pStyle w:val="ListParagraph"/>
        <w:numPr>
          <w:ilvl w:val="0"/>
          <w:numId w:val="5"/>
        </w:numPr>
        <w:spacing w:after="200"/>
      </w:pPr>
      <w:r>
        <w:t xml:space="preserve">Increased </w:t>
      </w:r>
      <w:r w:rsidR="00FC7C8C">
        <w:t xml:space="preserve">the risk of adverse </w:t>
      </w:r>
      <w:r>
        <w:t xml:space="preserve">selection, exacerbated by a lower </w:t>
      </w:r>
      <w:r w:rsidR="00FE0F91">
        <w:t xml:space="preserve">number </w:t>
      </w:r>
      <w:r>
        <w:t xml:space="preserve">of members remaining within the </w:t>
      </w:r>
      <w:r w:rsidR="00FE0F91">
        <w:t>DBD.</w:t>
      </w:r>
    </w:p>
    <w:p w:rsidR="00323DE7" w:rsidRDefault="00323DE7" w:rsidP="00323DE7">
      <w:pPr>
        <w:spacing w:after="200"/>
      </w:pPr>
      <w:r>
        <w:t xml:space="preserve">The occurrence of one or all of the above would, in all likelihood, </w:t>
      </w:r>
      <w:r w:rsidR="00362B3B">
        <w:t xml:space="preserve">place unacceptable strain on the DBD’s funding level and endanger the ongoing viability of the scheme. </w:t>
      </w:r>
      <w:r>
        <w:t xml:space="preserve">In </w:t>
      </w:r>
      <w:proofErr w:type="spellStart"/>
      <w:r>
        <w:t>UniSuper’s</w:t>
      </w:r>
      <w:proofErr w:type="spellEnd"/>
      <w:r>
        <w:t xml:space="preserve"> case, </w:t>
      </w:r>
      <w:r w:rsidR="00FE0F91">
        <w:t xml:space="preserve">there could be </w:t>
      </w:r>
      <w:r w:rsidR="00AB105D">
        <w:t>an increased risk of</w:t>
      </w:r>
      <w:r w:rsidR="00FE0F91">
        <w:t xml:space="preserve"> </w:t>
      </w:r>
      <w:r>
        <w:t xml:space="preserve">reductions in member benefits </w:t>
      </w:r>
      <w:r w:rsidR="00362B3B">
        <w:t xml:space="preserve">by the Trustee </w:t>
      </w:r>
      <w:r>
        <w:t>because the fund has neither a government (or employer) guarantee nor recourse to additional employer contributions.</w:t>
      </w:r>
    </w:p>
    <w:p w:rsidR="00323DE7" w:rsidRPr="00323DE7" w:rsidRDefault="00323DE7" w:rsidP="007D3D27">
      <w:pPr>
        <w:spacing w:after="200"/>
        <w:rPr>
          <w:lang w:val="en-US"/>
        </w:rPr>
      </w:pPr>
      <w:r>
        <w:t>We believe there continue to be</w:t>
      </w:r>
      <w:r>
        <w:rPr>
          <w:lang w:val="en-US"/>
        </w:rPr>
        <w:t xml:space="preserve"> very strong reasons why </w:t>
      </w:r>
      <w:r w:rsidR="00D47D46">
        <w:rPr>
          <w:lang w:val="en-US"/>
        </w:rPr>
        <w:t>def</w:t>
      </w:r>
      <w:r w:rsidR="006527E6">
        <w:rPr>
          <w:lang w:val="en-US"/>
        </w:rPr>
        <w:t>ine</w:t>
      </w:r>
      <w:r w:rsidR="00D47D46">
        <w:rPr>
          <w:lang w:val="en-US"/>
        </w:rPr>
        <w:t xml:space="preserve">d benefit </w:t>
      </w:r>
      <w:r>
        <w:rPr>
          <w:lang w:val="en-US"/>
        </w:rPr>
        <w:t xml:space="preserve">schemes need special consideration in developing alternative default models. Our preference would be for an exemption that would allow multi-employer </w:t>
      </w:r>
      <w:r w:rsidR="00D47D46">
        <w:rPr>
          <w:lang w:val="en-US"/>
        </w:rPr>
        <w:t xml:space="preserve">defined benefit </w:t>
      </w:r>
      <w:r>
        <w:rPr>
          <w:lang w:val="en-US"/>
        </w:rPr>
        <w:t xml:space="preserve">arrangements – such as ours – to be exempted from any new default requirements i.e. </w:t>
      </w:r>
      <w:r w:rsidR="00AB105D">
        <w:rPr>
          <w:lang w:val="en-US"/>
        </w:rPr>
        <w:t xml:space="preserve">where </w:t>
      </w:r>
      <w:r>
        <w:rPr>
          <w:lang w:val="en-US"/>
        </w:rPr>
        <w:t xml:space="preserve">employers and employee representatives </w:t>
      </w:r>
      <w:r w:rsidR="00AB105D">
        <w:rPr>
          <w:lang w:val="en-US"/>
        </w:rPr>
        <w:t xml:space="preserve">would </w:t>
      </w:r>
      <w:r>
        <w:rPr>
          <w:lang w:val="en-US"/>
        </w:rPr>
        <w:t xml:space="preserve">continue to be able to choose or enter into industrial agreements that include a defined benefit scheme as a default.  </w:t>
      </w:r>
    </w:p>
    <w:p w:rsidR="004277DB" w:rsidRPr="004277DB" w:rsidRDefault="004277DB" w:rsidP="00114C1B">
      <w:pPr>
        <w:spacing w:after="200"/>
        <w:rPr>
          <w:b/>
          <w:lang w:val="en-US"/>
        </w:rPr>
      </w:pPr>
      <w:proofErr w:type="spellStart"/>
      <w:r w:rsidRPr="004277DB">
        <w:rPr>
          <w:b/>
          <w:lang w:val="en-US"/>
        </w:rPr>
        <w:t>UniSuper’s</w:t>
      </w:r>
      <w:proofErr w:type="spellEnd"/>
      <w:r w:rsidRPr="004277DB">
        <w:rPr>
          <w:b/>
          <w:lang w:val="en-US"/>
        </w:rPr>
        <w:t xml:space="preserve"> DBD has an enviable record</w:t>
      </w:r>
    </w:p>
    <w:p w:rsidR="00C14240" w:rsidRPr="00323DE7" w:rsidRDefault="00114C1B" w:rsidP="00323DE7">
      <w:pPr>
        <w:spacing w:after="200"/>
      </w:pPr>
      <w:r w:rsidRPr="00735CDA">
        <w:rPr>
          <w:lang w:val="en-US"/>
        </w:rPr>
        <w:t xml:space="preserve">Our </w:t>
      </w:r>
      <w:r w:rsidR="00861F0D">
        <w:rPr>
          <w:lang w:val="en-US"/>
        </w:rPr>
        <w:t>defined benefit</w:t>
      </w:r>
      <w:r w:rsidR="00861F0D" w:rsidRPr="00735CDA">
        <w:rPr>
          <w:lang w:val="en-US"/>
        </w:rPr>
        <w:t xml:space="preserve"> </w:t>
      </w:r>
      <w:r w:rsidRPr="00735CDA">
        <w:rPr>
          <w:lang w:val="en-US"/>
        </w:rPr>
        <w:t>scheme has been in operation for over 30 years</w:t>
      </w:r>
      <w:r w:rsidR="00565339">
        <w:rPr>
          <w:lang w:val="en-US"/>
        </w:rPr>
        <w:t xml:space="preserve">. </w:t>
      </w:r>
      <w:r>
        <w:rPr>
          <w:lang w:val="en-US"/>
        </w:rPr>
        <w:t xml:space="preserve">Under current default arrangements, we have been able to establish a successful, well-funded, innovative and </w:t>
      </w:r>
      <w:r>
        <w:rPr>
          <w:i/>
          <w:iCs/>
          <w:lang w:val="en-US"/>
        </w:rPr>
        <w:t>open</w:t>
      </w:r>
      <w:r>
        <w:rPr>
          <w:lang w:val="en-US"/>
        </w:rPr>
        <w:t xml:space="preserve"> </w:t>
      </w:r>
      <w:r w:rsidR="00861F0D" w:rsidRPr="00861F0D">
        <w:rPr>
          <w:lang w:val="en-US"/>
        </w:rPr>
        <w:t>defined benefit</w:t>
      </w:r>
      <w:r>
        <w:rPr>
          <w:lang w:val="en-US"/>
        </w:rPr>
        <w:t xml:space="preserve"> scheme – a rarity when compared to many </w:t>
      </w:r>
      <w:r w:rsidR="00565339">
        <w:rPr>
          <w:lang w:val="en-US"/>
        </w:rPr>
        <w:t xml:space="preserve">other schemes around the world. </w:t>
      </w:r>
      <w:r>
        <w:rPr>
          <w:lang w:val="en-US"/>
        </w:rPr>
        <w:t xml:space="preserve">In </w:t>
      </w:r>
      <w:r w:rsidRPr="00735CDA">
        <w:rPr>
          <w:rFonts w:ascii="Arial" w:hAnsi="Arial" w:cs="Arial"/>
        </w:rPr>
        <w:t>contrast to accumulation products (</w:t>
      </w:r>
      <w:r w:rsidR="00AB105D">
        <w:rPr>
          <w:rFonts w:ascii="Arial" w:hAnsi="Arial" w:cs="Arial"/>
        </w:rPr>
        <w:t xml:space="preserve">in </w:t>
      </w:r>
      <w:r w:rsidRPr="00735CDA">
        <w:rPr>
          <w:rFonts w:ascii="Arial" w:hAnsi="Arial" w:cs="Arial"/>
        </w:rPr>
        <w:t xml:space="preserve">which </w:t>
      </w:r>
      <w:r w:rsidR="00AB105D">
        <w:rPr>
          <w:rFonts w:ascii="Arial" w:hAnsi="Arial" w:cs="Arial"/>
        </w:rPr>
        <w:t xml:space="preserve">members </w:t>
      </w:r>
      <w:r w:rsidRPr="00735CDA">
        <w:rPr>
          <w:rFonts w:ascii="Arial" w:hAnsi="Arial" w:cs="Arial"/>
        </w:rPr>
        <w:t>are directly exposed to investm</w:t>
      </w:r>
      <w:r>
        <w:rPr>
          <w:rFonts w:ascii="Arial" w:hAnsi="Arial" w:cs="Arial"/>
        </w:rPr>
        <w:t xml:space="preserve">ent volatility), </w:t>
      </w:r>
      <w:r w:rsidR="00861F0D" w:rsidRPr="00861F0D">
        <w:rPr>
          <w:rFonts w:ascii="Arial" w:hAnsi="Arial" w:cs="Arial"/>
        </w:rPr>
        <w:t>defined benefit</w:t>
      </w:r>
      <w:r>
        <w:rPr>
          <w:rFonts w:ascii="Arial" w:hAnsi="Arial" w:cs="Arial"/>
        </w:rPr>
        <w:t xml:space="preserve"> schemes aim</w:t>
      </w:r>
      <w:r w:rsidRPr="00735CDA">
        <w:rPr>
          <w:rFonts w:ascii="Arial" w:hAnsi="Arial" w:cs="Arial"/>
        </w:rPr>
        <w:t xml:space="preserve"> to deliver a more predictable formula-based be</w:t>
      </w:r>
      <w:r>
        <w:rPr>
          <w:rFonts w:ascii="Arial" w:hAnsi="Arial" w:cs="Arial"/>
        </w:rPr>
        <w:t xml:space="preserve">nefit. The </w:t>
      </w:r>
      <w:r w:rsidR="00861F0D" w:rsidRPr="00861F0D">
        <w:rPr>
          <w:rFonts w:ascii="Arial" w:hAnsi="Arial" w:cs="Arial"/>
        </w:rPr>
        <w:t>defined benefit</w:t>
      </w:r>
      <w:r>
        <w:rPr>
          <w:rFonts w:ascii="Arial" w:hAnsi="Arial" w:cs="Arial"/>
        </w:rPr>
        <w:t xml:space="preserve"> structure offers members far greater certainty in</w:t>
      </w:r>
      <w:r w:rsidRPr="00735CDA">
        <w:rPr>
          <w:rFonts w:ascii="Arial" w:hAnsi="Arial" w:cs="Arial"/>
        </w:rPr>
        <w:t xml:space="preserve"> plan</w:t>
      </w:r>
      <w:r>
        <w:rPr>
          <w:rFonts w:ascii="Arial" w:hAnsi="Arial" w:cs="Arial"/>
        </w:rPr>
        <w:t>ning</w:t>
      </w:r>
      <w:r w:rsidRPr="00735CDA">
        <w:rPr>
          <w:rFonts w:ascii="Arial" w:hAnsi="Arial" w:cs="Arial"/>
        </w:rPr>
        <w:t xml:space="preserve"> for their retirement</w:t>
      </w:r>
      <w:r>
        <w:rPr>
          <w:rFonts w:ascii="Arial" w:hAnsi="Arial" w:cs="Arial"/>
        </w:rPr>
        <w:t>, achieving this through</w:t>
      </w:r>
      <w:r w:rsidRPr="00735CDA">
        <w:rPr>
          <w:rFonts w:ascii="Arial" w:hAnsi="Arial" w:cs="Arial"/>
        </w:rPr>
        <w:t xml:space="preserve"> pooling members’ assets to smooth investment experience, ultimately providing a stable (formula-based) benefit </w:t>
      </w:r>
      <w:r>
        <w:rPr>
          <w:rFonts w:ascii="Arial" w:hAnsi="Arial" w:cs="Arial"/>
        </w:rPr>
        <w:t xml:space="preserve">that is not </w:t>
      </w:r>
      <w:r w:rsidRPr="00735CDA">
        <w:rPr>
          <w:rFonts w:ascii="Arial" w:hAnsi="Arial" w:cs="Arial"/>
        </w:rPr>
        <w:t>directly exposed to the volatility of investment markets.</w:t>
      </w:r>
      <w:r>
        <w:rPr>
          <w:rFonts w:ascii="Arial" w:hAnsi="Arial" w:cs="Arial"/>
        </w:rPr>
        <w:t xml:space="preserve"> </w:t>
      </w:r>
      <w:r w:rsidR="00565339">
        <w:rPr>
          <w:lang w:val="en-US"/>
        </w:rPr>
        <w:t xml:space="preserve"> </w:t>
      </w:r>
      <w:r w:rsidRPr="00F504CB">
        <w:t>Over three decades, and many economic cycles, no UniSuper DB</w:t>
      </w:r>
      <w:r w:rsidR="00861F0D">
        <w:t>D</w:t>
      </w:r>
      <w:r w:rsidRPr="00F504CB">
        <w:t xml:space="preserve"> member has had any reduction to their accrued </w:t>
      </w:r>
      <w:r>
        <w:t>defined benefit.</w:t>
      </w:r>
      <w:r w:rsidR="00565339">
        <w:rPr>
          <w:lang w:val="en-US"/>
        </w:rPr>
        <w:t xml:space="preserve"> </w:t>
      </w:r>
      <w:r w:rsidRPr="00F504CB">
        <w:t xml:space="preserve">Even after the Global Financial Crisis (GFC), </w:t>
      </w:r>
      <w:r>
        <w:t xml:space="preserve">defined </w:t>
      </w:r>
      <w:r w:rsidRPr="00F504CB">
        <w:t xml:space="preserve">benefits accrued by members </w:t>
      </w:r>
      <w:r w:rsidR="00756A32">
        <w:t>were not</w:t>
      </w:r>
      <w:r w:rsidRPr="00F504CB">
        <w:t xml:space="preserve"> </w:t>
      </w:r>
      <w:r w:rsidR="00565339">
        <w:t>affected</w:t>
      </w:r>
      <w:r w:rsidRPr="00F504CB">
        <w:t xml:space="preserve">. Many Australians </w:t>
      </w:r>
      <w:r w:rsidR="00AB105D">
        <w:t>were not</w:t>
      </w:r>
      <w:r w:rsidRPr="00F504CB">
        <w:t xml:space="preserve"> so fortunate.</w:t>
      </w:r>
    </w:p>
    <w:p w:rsidR="00D550F0" w:rsidRDefault="00114C1B" w:rsidP="00114C1B">
      <w:pPr>
        <w:spacing w:after="0"/>
        <w:rPr>
          <w:rFonts w:ascii="Arial" w:hAnsi="Arial" w:cs="Arial"/>
        </w:rPr>
      </w:pPr>
      <w:r w:rsidRPr="00D550F0">
        <w:t>We also have a def</w:t>
      </w:r>
      <w:r w:rsidR="00565339" w:rsidRPr="00D550F0">
        <w:t xml:space="preserve">ault MySuper product </w:t>
      </w:r>
      <w:r w:rsidR="00D550F0" w:rsidRPr="00D550F0">
        <w:t>for accumulation members, typically casual and contract employ</w:t>
      </w:r>
      <w:r w:rsidR="00734646">
        <w:t>ee</w:t>
      </w:r>
      <w:r w:rsidR="00D550F0" w:rsidRPr="00D550F0">
        <w:t>s in the higher education sector. In developing our accumulation MySuper offering</w:t>
      </w:r>
      <w:r w:rsidR="00D550F0">
        <w:t>,</w:t>
      </w:r>
      <w:r w:rsidR="00D550F0" w:rsidRPr="00D550F0">
        <w:t xml:space="preserve"> we </w:t>
      </w:r>
      <w:r w:rsidR="00D550F0" w:rsidRPr="00D550F0">
        <w:rPr>
          <w:rFonts w:ascii="Arial" w:hAnsi="Arial" w:cs="Arial"/>
        </w:rPr>
        <w:t xml:space="preserve">undertook extensive modelling of the level of retirement benefit </w:t>
      </w:r>
      <w:r w:rsidR="00D550F0">
        <w:rPr>
          <w:rFonts w:ascii="Arial" w:hAnsi="Arial" w:cs="Arial"/>
        </w:rPr>
        <w:t>required to</w:t>
      </w:r>
      <w:r w:rsidR="00D550F0" w:rsidRPr="00D550F0">
        <w:rPr>
          <w:rFonts w:ascii="Arial" w:hAnsi="Arial" w:cs="Arial"/>
        </w:rPr>
        <w:t xml:space="preserve"> ensure</w:t>
      </w:r>
      <w:r w:rsidR="00D550F0">
        <w:rPr>
          <w:rFonts w:ascii="Arial" w:hAnsi="Arial" w:cs="Arial"/>
        </w:rPr>
        <w:t xml:space="preserve"> that</w:t>
      </w:r>
      <w:r w:rsidR="00D550F0" w:rsidRPr="00D550F0">
        <w:rPr>
          <w:rFonts w:ascii="Arial" w:hAnsi="Arial" w:cs="Arial"/>
        </w:rPr>
        <w:t xml:space="preserve"> members have adequate replacement income. The objective</w:t>
      </w:r>
      <w:r w:rsidR="00756A32">
        <w:rPr>
          <w:rFonts w:ascii="Arial" w:hAnsi="Arial" w:cs="Arial"/>
        </w:rPr>
        <w:t>s</w:t>
      </w:r>
      <w:r w:rsidR="00D550F0" w:rsidRPr="00D550F0">
        <w:rPr>
          <w:rFonts w:ascii="Arial" w:hAnsi="Arial" w:cs="Arial"/>
        </w:rPr>
        <w:t xml:space="preserve"> of our </w:t>
      </w:r>
      <w:r w:rsidR="00D550F0">
        <w:rPr>
          <w:rFonts w:ascii="Arial" w:hAnsi="Arial" w:cs="Arial"/>
        </w:rPr>
        <w:t>MySuper</w:t>
      </w:r>
      <w:r w:rsidR="00D550F0" w:rsidRPr="00D550F0">
        <w:rPr>
          <w:rFonts w:ascii="Arial" w:hAnsi="Arial" w:cs="Arial"/>
        </w:rPr>
        <w:t xml:space="preserve"> investment strategy </w:t>
      </w:r>
      <w:r w:rsidR="00756A32">
        <w:rPr>
          <w:rFonts w:ascii="Arial" w:hAnsi="Arial" w:cs="Arial"/>
        </w:rPr>
        <w:t>are</w:t>
      </w:r>
      <w:r w:rsidR="00D550F0" w:rsidRPr="00D550F0">
        <w:rPr>
          <w:rFonts w:ascii="Arial" w:hAnsi="Arial" w:cs="Arial"/>
        </w:rPr>
        <w:t xml:space="preserve"> formulated on the outcome of that modelling</w:t>
      </w:r>
      <w:r w:rsidR="00D550F0">
        <w:rPr>
          <w:rFonts w:ascii="Arial" w:hAnsi="Arial" w:cs="Arial"/>
        </w:rPr>
        <w:t xml:space="preserve">. </w:t>
      </w:r>
    </w:p>
    <w:p w:rsidR="00D550F0" w:rsidRDefault="00D550F0" w:rsidP="00114C1B">
      <w:pPr>
        <w:spacing w:after="0"/>
      </w:pPr>
    </w:p>
    <w:p w:rsidR="00114C1B" w:rsidRPr="00FC4E61" w:rsidRDefault="00D550F0" w:rsidP="008854D2">
      <w:pPr>
        <w:spacing w:after="200"/>
      </w:pPr>
      <w:r>
        <w:t>We are proud that our default products are anything but homogenous and are bas</w:t>
      </w:r>
      <w:r>
        <w:rPr>
          <w:rFonts w:ascii="Arial" w:hAnsi="Arial" w:cs="Arial"/>
        </w:rPr>
        <w:t xml:space="preserve">ed on an intimate knowledge </w:t>
      </w:r>
      <w:r w:rsidR="00734646">
        <w:rPr>
          <w:rFonts w:ascii="Arial" w:hAnsi="Arial" w:cs="Arial"/>
        </w:rPr>
        <w:t xml:space="preserve">of </w:t>
      </w:r>
      <w:r>
        <w:rPr>
          <w:rFonts w:ascii="Arial" w:hAnsi="Arial" w:cs="Arial"/>
        </w:rPr>
        <w:t xml:space="preserve">our members and the employment patterns, salaries and </w:t>
      </w:r>
      <w:r w:rsidRPr="008854D2">
        <w:rPr>
          <w:lang w:val="en-US"/>
        </w:rPr>
        <w:t>circumstance</w:t>
      </w:r>
      <w:r w:rsidR="009B1624" w:rsidRPr="008854D2">
        <w:rPr>
          <w:lang w:val="en-US"/>
        </w:rPr>
        <w:t>s</w:t>
      </w:r>
      <w:r w:rsidRPr="008854D2">
        <w:rPr>
          <w:lang w:val="en-US"/>
        </w:rPr>
        <w:t xml:space="preserve"> particular to the higher education sector.</w:t>
      </w:r>
    </w:p>
    <w:p w:rsidR="00812AF4" w:rsidRPr="008854D2" w:rsidRDefault="00812AF4" w:rsidP="00812AF4">
      <w:pPr>
        <w:spacing w:after="200"/>
        <w:rPr>
          <w:b/>
          <w:lang w:val="en-US"/>
        </w:rPr>
      </w:pPr>
      <w:r w:rsidRPr="008854D2">
        <w:rPr>
          <w:b/>
          <w:lang w:val="en-US"/>
        </w:rPr>
        <w:t>Even with default arrangements, members receive many choices and sometimes greater choices</w:t>
      </w:r>
    </w:p>
    <w:p w:rsidR="00812AF4" w:rsidRDefault="00812AF4" w:rsidP="00812AF4">
      <w:pPr>
        <w:spacing w:after="0"/>
        <w:rPr>
          <w:lang w:val="en-US"/>
        </w:rPr>
      </w:pPr>
      <w:r>
        <w:rPr>
          <w:lang w:eastAsia="en-AU"/>
        </w:rPr>
        <w:t xml:space="preserve">Under current default arrangements, </w:t>
      </w:r>
      <w:r w:rsidR="00861F0D">
        <w:rPr>
          <w:lang w:eastAsia="en-AU"/>
        </w:rPr>
        <w:t>permanent</w:t>
      </w:r>
      <w:r>
        <w:rPr>
          <w:lang w:eastAsia="en-AU"/>
        </w:rPr>
        <w:t xml:space="preserve"> employees in the higher education sector are defaulted into our DBD but have up to 24 months to choose between the DBD</w:t>
      </w:r>
      <w:r w:rsidRPr="00A31A8D">
        <w:rPr>
          <w:lang w:eastAsia="en-AU"/>
        </w:rPr>
        <w:t xml:space="preserve"> </w:t>
      </w:r>
      <w:r>
        <w:rPr>
          <w:lang w:eastAsia="en-AU"/>
        </w:rPr>
        <w:t>and our</w:t>
      </w:r>
      <w:r w:rsidRPr="00A31A8D">
        <w:rPr>
          <w:lang w:eastAsia="en-AU"/>
        </w:rPr>
        <w:t xml:space="preserve"> accumulation option</w:t>
      </w:r>
      <w:r>
        <w:rPr>
          <w:lang w:eastAsia="en-AU"/>
        </w:rPr>
        <w:t>. If a member chooses the accumulation option, there are</w:t>
      </w:r>
      <w:r w:rsidRPr="00A31A8D">
        <w:rPr>
          <w:lang w:eastAsia="en-AU"/>
        </w:rPr>
        <w:t xml:space="preserve"> </w:t>
      </w:r>
      <w:r>
        <w:rPr>
          <w:lang w:eastAsia="en-AU"/>
        </w:rPr>
        <w:t>fund rules in place which allow</w:t>
      </w:r>
      <w:r w:rsidRPr="00A31A8D">
        <w:rPr>
          <w:lang w:eastAsia="en-AU"/>
        </w:rPr>
        <w:t xml:space="preserve"> members</w:t>
      </w:r>
      <w:r>
        <w:rPr>
          <w:lang w:eastAsia="en-AU"/>
        </w:rPr>
        <w:t xml:space="preserve"> at most universities </w:t>
      </w:r>
      <w:r w:rsidRPr="00A31A8D">
        <w:rPr>
          <w:lang w:eastAsia="en-AU"/>
        </w:rPr>
        <w:t xml:space="preserve">to have </w:t>
      </w:r>
      <w:r>
        <w:rPr>
          <w:lang w:eastAsia="en-AU"/>
        </w:rPr>
        <w:t xml:space="preserve">an amount equivalent to the </w:t>
      </w:r>
      <w:r w:rsidRPr="00A31A8D">
        <w:rPr>
          <w:lang w:eastAsia="en-AU"/>
        </w:rPr>
        <w:t>SG c</w:t>
      </w:r>
      <w:r>
        <w:rPr>
          <w:lang w:eastAsia="en-AU"/>
        </w:rPr>
        <w:t>ontributions paid to a fund of their</w:t>
      </w:r>
      <w:r w:rsidRPr="00A31A8D">
        <w:rPr>
          <w:lang w:eastAsia="en-AU"/>
        </w:rPr>
        <w:t xml:space="preserve"> choice</w:t>
      </w:r>
      <w:r>
        <w:rPr>
          <w:lang w:eastAsia="en-AU"/>
        </w:rPr>
        <w:t>, with the difference (making up the balance of the mandated 17%</w:t>
      </w:r>
      <w:r w:rsidR="00AB105D">
        <w:rPr>
          <w:lang w:eastAsia="en-AU"/>
        </w:rPr>
        <w:t xml:space="preserve"> employer contribution</w:t>
      </w:r>
      <w:r>
        <w:rPr>
          <w:lang w:eastAsia="en-AU"/>
        </w:rPr>
        <w:t>) paid to UniSuper.</w:t>
      </w:r>
    </w:p>
    <w:p w:rsidR="00812AF4" w:rsidRDefault="00812AF4" w:rsidP="00812AF4">
      <w:pPr>
        <w:spacing w:after="0"/>
        <w:rPr>
          <w:lang w:val="en-US"/>
        </w:rPr>
      </w:pPr>
    </w:p>
    <w:p w:rsidR="00812AF4" w:rsidRDefault="00812AF4" w:rsidP="00812AF4">
      <w:pPr>
        <w:spacing w:after="0"/>
        <w:rPr>
          <w:lang w:eastAsia="en-AU"/>
        </w:rPr>
      </w:pPr>
      <w:r>
        <w:rPr>
          <w:lang w:eastAsia="en-AU"/>
        </w:rPr>
        <w:t xml:space="preserve">The outcome of these arrangements is that our members have a number of choices. Not only is there a choice to cease being a defined benefit member within 24 months of joining, there is also a positive choice to </w:t>
      </w:r>
      <w:r w:rsidRPr="0081715B">
        <w:rPr>
          <w:i/>
          <w:lang w:eastAsia="en-AU"/>
        </w:rPr>
        <w:t>remain</w:t>
      </w:r>
      <w:r>
        <w:rPr>
          <w:lang w:eastAsia="en-AU"/>
        </w:rPr>
        <w:t xml:space="preserve"> a defined benefit member. We believe that this choice would be put at risk if default arrangements did not exclude employees eligible to become defined benefit members.</w:t>
      </w:r>
    </w:p>
    <w:p w:rsidR="00812AF4" w:rsidRPr="0009537F" w:rsidRDefault="00812AF4" w:rsidP="00812AF4">
      <w:pPr>
        <w:spacing w:after="0"/>
        <w:rPr>
          <w:lang w:eastAsia="en-AU"/>
        </w:rPr>
      </w:pPr>
    </w:p>
    <w:p w:rsidR="00812AF4" w:rsidRDefault="00812AF4" w:rsidP="00812AF4">
      <w:pPr>
        <w:spacing w:after="0"/>
        <w:rPr>
          <w:rFonts w:cstheme="minorHAnsi"/>
        </w:rPr>
      </w:pPr>
      <w:r>
        <w:rPr>
          <w:rFonts w:cstheme="minorHAnsi"/>
        </w:rPr>
        <w:t xml:space="preserve">While </w:t>
      </w:r>
      <w:r w:rsidRPr="00131C6F">
        <w:rPr>
          <w:rFonts w:cstheme="minorHAnsi"/>
        </w:rPr>
        <w:t>c</w:t>
      </w:r>
      <w:r>
        <w:rPr>
          <w:rFonts w:cstheme="minorHAnsi"/>
        </w:rPr>
        <w:t>hanges to default arrangements</w:t>
      </w:r>
      <w:r w:rsidRPr="00131C6F">
        <w:rPr>
          <w:rFonts w:cstheme="minorHAnsi"/>
        </w:rPr>
        <w:t xml:space="preserve"> w</w:t>
      </w:r>
      <w:r>
        <w:rPr>
          <w:rFonts w:cstheme="minorHAnsi"/>
        </w:rPr>
        <w:t>ould</w:t>
      </w:r>
      <w:r w:rsidRPr="00131C6F">
        <w:rPr>
          <w:rFonts w:cstheme="minorHAnsi"/>
        </w:rPr>
        <w:t xml:space="preserve"> not necessarily preclude collective-risk pooling, it is easier and more efficient to pool risks between a well-understood and readily definable class </w:t>
      </w:r>
      <w:proofErr w:type="gramStart"/>
      <w:r w:rsidRPr="00131C6F">
        <w:rPr>
          <w:rFonts w:cstheme="minorHAnsi"/>
        </w:rPr>
        <w:t>or</w:t>
      </w:r>
      <w:proofErr w:type="gramEnd"/>
      <w:r w:rsidRPr="00131C6F">
        <w:rPr>
          <w:rFonts w:cstheme="minorHAnsi"/>
        </w:rPr>
        <w:t xml:space="preserve"> group of</w:t>
      </w:r>
      <w:r>
        <w:rPr>
          <w:rFonts w:cstheme="minorHAnsi"/>
        </w:rPr>
        <w:t xml:space="preserve"> members in a particular sector.</w:t>
      </w:r>
      <w:r w:rsidRPr="00131C6F">
        <w:rPr>
          <w:rFonts w:cstheme="minorHAnsi"/>
        </w:rPr>
        <w:t xml:space="preserve"> </w:t>
      </w:r>
      <w:r>
        <w:rPr>
          <w:rFonts w:cstheme="minorHAnsi"/>
        </w:rPr>
        <w:t>UniSuper, for example, has a</w:t>
      </w:r>
      <w:r w:rsidRPr="00131C6F">
        <w:rPr>
          <w:rFonts w:cstheme="minorHAnsi"/>
        </w:rPr>
        <w:t xml:space="preserve"> long-established relationship </w:t>
      </w:r>
      <w:r>
        <w:rPr>
          <w:rFonts w:cstheme="minorHAnsi"/>
        </w:rPr>
        <w:t>with the higher education and research sector. This has allowed us to collect</w:t>
      </w:r>
      <w:r w:rsidRPr="00131C6F">
        <w:rPr>
          <w:rFonts w:cstheme="minorHAnsi"/>
        </w:rPr>
        <w:t xml:space="preserve"> </w:t>
      </w:r>
      <w:r>
        <w:rPr>
          <w:rFonts w:cstheme="minorHAnsi"/>
        </w:rPr>
        <w:t xml:space="preserve">and </w:t>
      </w:r>
      <w:r w:rsidR="00AB105D">
        <w:rPr>
          <w:rFonts w:cstheme="minorHAnsi"/>
        </w:rPr>
        <w:t xml:space="preserve">develop </w:t>
      </w:r>
      <w:r w:rsidRPr="00131C6F">
        <w:rPr>
          <w:rFonts w:cstheme="minorHAnsi"/>
        </w:rPr>
        <w:t xml:space="preserve">extensive data on employment patterns, resignation and retirement ages, </w:t>
      </w:r>
      <w:r>
        <w:rPr>
          <w:rFonts w:cstheme="minorHAnsi"/>
        </w:rPr>
        <w:t>as well as</w:t>
      </w:r>
      <w:r w:rsidRPr="00131C6F">
        <w:rPr>
          <w:rFonts w:cstheme="minorHAnsi"/>
        </w:rPr>
        <w:t xml:space="preserve"> reliable mortality and life expectancy data.</w:t>
      </w:r>
      <w:r>
        <w:rPr>
          <w:rFonts w:cstheme="minorHAnsi"/>
        </w:rPr>
        <w:t xml:space="preserve"> We use this information in developing new products to address the diverse needs for income in retirement, as well as continually assessing the suitability of existing product options.</w:t>
      </w:r>
    </w:p>
    <w:p w:rsidR="00812AF4" w:rsidRDefault="00812AF4" w:rsidP="00812AF4">
      <w:pPr>
        <w:spacing w:after="0"/>
        <w:rPr>
          <w:rFonts w:cstheme="minorHAnsi"/>
        </w:rPr>
      </w:pPr>
    </w:p>
    <w:p w:rsidR="00AD5B9A" w:rsidRDefault="00812AF4" w:rsidP="008854D2">
      <w:pPr>
        <w:spacing w:after="200"/>
        <w:rPr>
          <w:b/>
        </w:rPr>
      </w:pPr>
      <w:r w:rsidRPr="002434CF">
        <w:rPr>
          <w:rFonts w:cstheme="minorHAnsi"/>
        </w:rPr>
        <w:t>If default arrangements were to change</w:t>
      </w:r>
      <w:r>
        <w:rPr>
          <w:rFonts w:cstheme="minorHAnsi"/>
        </w:rPr>
        <w:t>,</w:t>
      </w:r>
      <w:r w:rsidRPr="002434CF">
        <w:rPr>
          <w:rFonts w:cstheme="minorHAnsi"/>
        </w:rPr>
        <w:t xml:space="preserve"> large amounts of this sectoral-based expertise and knowledge </w:t>
      </w:r>
      <w:r>
        <w:rPr>
          <w:rFonts w:cstheme="minorHAnsi"/>
        </w:rPr>
        <w:t>could be lost which would make it harder to tailor products, insurance and lifetime income streams to a significant number of Australians.</w:t>
      </w:r>
      <w:r w:rsidR="0010408A">
        <w:rPr>
          <w:rFonts w:cstheme="minorHAnsi"/>
        </w:rPr>
        <w:t xml:space="preserve"> </w:t>
      </w:r>
      <w:r w:rsidR="008E0CA1">
        <w:rPr>
          <w:rFonts w:cstheme="minorHAnsi"/>
        </w:rPr>
        <w:t>T</w:t>
      </w:r>
      <w:r w:rsidR="0010408A">
        <w:rPr>
          <w:rFonts w:cstheme="minorHAnsi"/>
        </w:rPr>
        <w:t>he potential changes in membership profile and scale caused by the change in default arrangement</w:t>
      </w:r>
      <w:r w:rsidR="00AB105D">
        <w:rPr>
          <w:rFonts w:cstheme="minorHAnsi"/>
        </w:rPr>
        <w:t>s</w:t>
      </w:r>
      <w:r w:rsidR="0010408A">
        <w:rPr>
          <w:rFonts w:cstheme="minorHAnsi"/>
        </w:rPr>
        <w:t xml:space="preserve"> would </w:t>
      </w:r>
      <w:r w:rsidR="008E0CA1">
        <w:rPr>
          <w:rFonts w:cstheme="minorHAnsi"/>
        </w:rPr>
        <w:t xml:space="preserve">also </w:t>
      </w:r>
      <w:r w:rsidR="0010408A">
        <w:rPr>
          <w:rFonts w:cstheme="minorHAnsi"/>
        </w:rPr>
        <w:t xml:space="preserve">potentially </w:t>
      </w:r>
      <w:r w:rsidR="0010408A">
        <w:t>place unacceptable strain on the DBD’s funding level and endanger the ongoing viability of the scheme.</w:t>
      </w:r>
    </w:p>
    <w:p w:rsidR="001677C2" w:rsidRPr="001677C2" w:rsidRDefault="001677C2" w:rsidP="0001703F">
      <w:pPr>
        <w:spacing w:after="200"/>
        <w:rPr>
          <w:b/>
          <w:lang w:val="en-US"/>
        </w:rPr>
      </w:pPr>
      <w:r>
        <w:rPr>
          <w:b/>
          <w:lang w:val="en-US"/>
        </w:rPr>
        <w:t xml:space="preserve">Default </w:t>
      </w:r>
      <w:r w:rsidR="00323DE7">
        <w:rPr>
          <w:b/>
          <w:lang w:val="en-US"/>
        </w:rPr>
        <w:t xml:space="preserve">and Choice of Fund </w:t>
      </w:r>
      <w:r>
        <w:rPr>
          <w:b/>
          <w:lang w:val="en-US"/>
        </w:rPr>
        <w:t>are closely related issues</w:t>
      </w:r>
      <w:r w:rsidR="00125BEE">
        <w:rPr>
          <w:b/>
          <w:lang w:val="en-US"/>
        </w:rPr>
        <w:t xml:space="preserve"> </w:t>
      </w:r>
    </w:p>
    <w:p w:rsidR="00FC4E61" w:rsidRDefault="00CD381E" w:rsidP="00CD381E">
      <w:pPr>
        <w:spacing w:after="200"/>
      </w:pPr>
      <w:r>
        <w:t>Choice</w:t>
      </w:r>
      <w:r w:rsidR="00FC4E61">
        <w:t xml:space="preserve"> of Fund</w:t>
      </w:r>
      <w:r>
        <w:t xml:space="preserve"> and Default superannuation are closely related issues, particularly for </w:t>
      </w:r>
      <w:r w:rsidR="00861F0D">
        <w:t xml:space="preserve">defined benefit </w:t>
      </w:r>
      <w:r>
        <w:t>schemes</w:t>
      </w:r>
      <w:r w:rsidR="00FC4E61">
        <w:t>.</w:t>
      </w:r>
      <w:r>
        <w:t xml:space="preserve"> </w:t>
      </w:r>
      <w:r w:rsidR="00FC4E61">
        <w:t xml:space="preserve">Changes to either Choice or Default rules </w:t>
      </w:r>
      <w:r>
        <w:t>have the potential to affect the on-going viability of c</w:t>
      </w:r>
      <w:r w:rsidR="00FC4E61">
        <w:t xml:space="preserve">ollectively-pooled arrangements, such as </w:t>
      </w:r>
      <w:r w:rsidR="00861F0D" w:rsidRPr="00861F0D">
        <w:t>defined benefit</w:t>
      </w:r>
      <w:r w:rsidR="00F410E3">
        <w:t xml:space="preserve"> scheme</w:t>
      </w:r>
      <w:r w:rsidR="00FC4E61">
        <w:t xml:space="preserve">s. </w:t>
      </w:r>
    </w:p>
    <w:p w:rsidR="00805CFB" w:rsidRDefault="00CD381E" w:rsidP="00805CFB">
      <w:pPr>
        <w:spacing w:after="200"/>
      </w:pPr>
      <w:r>
        <w:t xml:space="preserve">The </w:t>
      </w:r>
      <w:r w:rsidR="00173ECA">
        <w:t xml:space="preserve">current Choice rules (as well as recent proposed changes) recognise that </w:t>
      </w:r>
      <w:r w:rsidR="00861F0D" w:rsidRPr="00861F0D">
        <w:t>defined benefit</w:t>
      </w:r>
      <w:r w:rsidR="00173ECA">
        <w:t xml:space="preserve"> schemes face unique issues</w:t>
      </w:r>
      <w:r w:rsidR="00805CFB">
        <w:t xml:space="preserve"> and include an important exemption</w:t>
      </w:r>
      <w:r w:rsidR="00173ECA">
        <w:t>. We believe that the</w:t>
      </w:r>
      <w:r w:rsidR="00805CFB">
        <w:t>re is strong</w:t>
      </w:r>
      <w:r w:rsidR="00173ECA">
        <w:t xml:space="preserve"> case for exempting employees eligible to become defined benefit members </w:t>
      </w:r>
      <w:r w:rsidR="00805CFB">
        <w:t>from both Choice and alternative default models.</w:t>
      </w:r>
      <w:r w:rsidR="00EF49B9">
        <w:t xml:space="preserve"> We are confident that we can show from our experience that the stated concerns that the Commission has with homogenous default products and a lack of member participation </w:t>
      </w:r>
      <w:r w:rsidR="00756A32">
        <w:t>are</w:t>
      </w:r>
      <w:r w:rsidR="00EF49B9">
        <w:t xml:space="preserve"> not applicable in the case of our members.</w:t>
      </w:r>
    </w:p>
    <w:p w:rsidR="009F2296" w:rsidRDefault="009F2296" w:rsidP="00073763">
      <w:pPr>
        <w:spacing w:after="200"/>
        <w:rPr>
          <w:lang w:eastAsia="en-AU"/>
        </w:rPr>
      </w:pPr>
      <w:r>
        <w:t>In our earlier submission to the Productivity Commission</w:t>
      </w:r>
      <w:r w:rsidR="00861F0D">
        <w:t>,</w:t>
      </w:r>
      <w:r>
        <w:t xml:space="preserve"> we argued that the there is a need to </w:t>
      </w:r>
      <w:r w:rsidR="00EF49B9">
        <w:t xml:space="preserve">exempt </w:t>
      </w:r>
      <w:r w:rsidR="00F410E3">
        <w:t xml:space="preserve">both current and </w:t>
      </w:r>
      <w:r w:rsidR="00EF49B9">
        <w:t xml:space="preserve">employees eligible to become defined </w:t>
      </w:r>
      <w:r w:rsidR="00F410E3">
        <w:t xml:space="preserve">benefit </w:t>
      </w:r>
      <w:r w:rsidR="00EF49B9">
        <w:t xml:space="preserve">members from any proposed alternative default model. Such a policy would ensure that our members continue to have many choices, including a choice </w:t>
      </w:r>
      <w:r w:rsidR="00EF49B9">
        <w:rPr>
          <w:lang w:eastAsia="en-AU"/>
        </w:rPr>
        <w:t xml:space="preserve">to </w:t>
      </w:r>
      <w:r w:rsidR="00EF49B9" w:rsidRPr="0081715B">
        <w:rPr>
          <w:i/>
          <w:lang w:eastAsia="en-AU"/>
        </w:rPr>
        <w:t>remain</w:t>
      </w:r>
      <w:r w:rsidR="00EF49B9">
        <w:rPr>
          <w:lang w:eastAsia="en-AU"/>
        </w:rPr>
        <w:t xml:space="preserve"> a defined benefit member</w:t>
      </w:r>
      <w:r w:rsidR="00540B6A">
        <w:rPr>
          <w:lang w:eastAsia="en-AU"/>
        </w:rPr>
        <w:t xml:space="preserve">. </w:t>
      </w:r>
      <w:r>
        <w:rPr>
          <w:lang w:eastAsia="en-AU"/>
        </w:rPr>
        <w:t xml:space="preserve">Our view has not changed. </w:t>
      </w:r>
    </w:p>
    <w:p w:rsidR="00756A32" w:rsidRPr="00922ED3" w:rsidRDefault="00756A32" w:rsidP="00073763">
      <w:pPr>
        <w:spacing w:after="200"/>
        <w:rPr>
          <w:lang w:val="en-US"/>
        </w:rPr>
      </w:pPr>
      <w:r>
        <w:rPr>
          <w:lang w:eastAsia="en-AU"/>
        </w:rPr>
        <w:t>In summar</w:t>
      </w:r>
      <w:r w:rsidR="00073763">
        <w:rPr>
          <w:lang w:eastAsia="en-AU"/>
        </w:rPr>
        <w:t>y</w:t>
      </w:r>
      <w:r>
        <w:rPr>
          <w:lang w:eastAsia="en-AU"/>
        </w:rPr>
        <w:t xml:space="preserve">, UniSuper </w:t>
      </w:r>
      <w:r w:rsidR="00540B6A">
        <w:rPr>
          <w:lang w:eastAsia="en-AU"/>
        </w:rPr>
        <w:t xml:space="preserve">believes that </w:t>
      </w:r>
      <w:r w:rsidR="00540B6A">
        <w:t>t</w:t>
      </w:r>
      <w:r w:rsidR="00073763">
        <w:t xml:space="preserve">here </w:t>
      </w:r>
      <w:r w:rsidR="00416492">
        <w:t>are</w:t>
      </w:r>
      <w:r w:rsidR="00073763" w:rsidRPr="00540B6A">
        <w:rPr>
          <w:lang w:val="en-US"/>
        </w:rPr>
        <w:t xml:space="preserve"> very stro</w:t>
      </w:r>
      <w:r w:rsidR="009F2296" w:rsidRPr="00540B6A">
        <w:rPr>
          <w:lang w:val="en-US"/>
        </w:rPr>
        <w:t>ng reasons why defined benefit</w:t>
      </w:r>
      <w:r w:rsidR="00AC4B16" w:rsidRPr="00540B6A">
        <w:rPr>
          <w:lang w:val="en-US"/>
        </w:rPr>
        <w:t xml:space="preserve"> schemes need further </w:t>
      </w:r>
      <w:r w:rsidR="00073763" w:rsidRPr="00540B6A">
        <w:rPr>
          <w:lang w:val="en-US"/>
        </w:rPr>
        <w:t xml:space="preserve">consideration. Our preference </w:t>
      </w:r>
      <w:r w:rsidR="009F2296" w:rsidRPr="00540B6A">
        <w:rPr>
          <w:lang w:val="en-US"/>
        </w:rPr>
        <w:t>remains for an</w:t>
      </w:r>
      <w:r w:rsidR="00073763" w:rsidRPr="00540B6A">
        <w:rPr>
          <w:lang w:val="en-US"/>
        </w:rPr>
        <w:t xml:space="preserve"> exemption that would allow multi-employer </w:t>
      </w:r>
      <w:r w:rsidR="009F2296" w:rsidRPr="00540B6A">
        <w:rPr>
          <w:lang w:val="en-US"/>
        </w:rPr>
        <w:t>defined benefit</w:t>
      </w:r>
      <w:r w:rsidR="00073763" w:rsidRPr="00540B6A">
        <w:rPr>
          <w:lang w:val="en-US"/>
        </w:rPr>
        <w:t xml:space="preserve"> arrangements – such as ours – to be exempted from any new default requirements i.e. </w:t>
      </w:r>
      <w:r w:rsidR="00AB105D">
        <w:rPr>
          <w:lang w:val="en-US"/>
        </w:rPr>
        <w:t xml:space="preserve">where </w:t>
      </w:r>
      <w:r w:rsidR="00073763" w:rsidRPr="00540B6A">
        <w:rPr>
          <w:lang w:val="en-US"/>
        </w:rPr>
        <w:t>employers and employee representatives</w:t>
      </w:r>
      <w:r w:rsidR="009F2296" w:rsidRPr="00540B6A">
        <w:rPr>
          <w:lang w:val="en-US"/>
        </w:rPr>
        <w:t xml:space="preserve"> </w:t>
      </w:r>
      <w:r w:rsidR="00AB105D">
        <w:rPr>
          <w:lang w:val="en-US"/>
        </w:rPr>
        <w:t xml:space="preserve">would </w:t>
      </w:r>
      <w:r w:rsidR="009F2296" w:rsidRPr="00540B6A">
        <w:rPr>
          <w:lang w:val="en-US"/>
        </w:rPr>
        <w:t>continue to be able to choose to</w:t>
      </w:r>
      <w:r w:rsidR="00073763" w:rsidRPr="00540B6A">
        <w:rPr>
          <w:lang w:val="en-US"/>
        </w:rPr>
        <w:t xml:space="preserve"> enter into industrial agreements that include a defined benefit scheme as a default.</w:t>
      </w:r>
    </w:p>
    <w:p w:rsidR="00586F74" w:rsidRPr="0095695F" w:rsidRDefault="00586F74" w:rsidP="00601FC7">
      <w:pPr>
        <w:spacing w:after="0"/>
        <w:rPr>
          <w:lang w:val="en-US"/>
        </w:rPr>
      </w:pPr>
    </w:p>
    <w:sectPr w:rsidR="00586F74" w:rsidRPr="0095695F" w:rsidSect="007F5319">
      <w:footerReference w:type="first" r:id="rId13"/>
      <w:pgSz w:w="11906" w:h="16838"/>
      <w:pgMar w:top="1701"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007" w:rsidRDefault="00911007" w:rsidP="00926F68">
      <w:pPr>
        <w:spacing w:after="0" w:line="240" w:lineRule="auto"/>
      </w:pPr>
      <w:r>
        <w:separator/>
      </w:r>
    </w:p>
  </w:endnote>
  <w:endnote w:type="continuationSeparator" w:id="0">
    <w:p w:rsidR="00911007" w:rsidRDefault="00911007" w:rsidP="0092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hronicle Display">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A32" w:rsidRPr="00C71DE6" w:rsidRDefault="00947606" w:rsidP="00D257AC">
    <w:pPr>
      <w:pStyle w:val="Footer"/>
    </w:pPr>
    <w:r>
      <w:rPr>
        <w:rFonts w:cstheme="minorHAnsi"/>
        <w:i/>
        <w:szCs w:val="20"/>
        <w:shd w:val="clear" w:color="auto" w:fill="FFFFFF"/>
      </w:rPr>
      <w:t>Draft Report: Assessing Competitiveness &amp; Efficiency</w:t>
    </w:r>
    <w:r w:rsidR="00756A32">
      <w:tab/>
    </w:r>
    <w:r w:rsidR="00756A32">
      <w:tab/>
    </w:r>
    <w:r>
      <w:t>13 July 2018</w:t>
    </w:r>
  </w:p>
  <w:p w:rsidR="00756A32" w:rsidRDefault="00756A32" w:rsidP="009E0982">
    <w:pPr>
      <w:pStyle w:val="Footer"/>
    </w:pPr>
    <w:r w:rsidRPr="00C71DE6">
      <w:tab/>
    </w:r>
    <w:r w:rsidRPr="00C71DE6">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A32" w:rsidRPr="009D5A9B" w:rsidRDefault="00756A32" w:rsidP="009D5A9B">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A32" w:rsidRPr="00C71DE6" w:rsidRDefault="00CE55CA" w:rsidP="00EA763F">
    <w:pPr>
      <w:pStyle w:val="Footer"/>
    </w:pPr>
    <w:r>
      <w:rPr>
        <w:rFonts w:cstheme="minorHAnsi"/>
        <w:i/>
        <w:szCs w:val="20"/>
        <w:shd w:val="clear" w:color="auto" w:fill="FFFFFF"/>
      </w:rPr>
      <w:t>Draft Report</w:t>
    </w:r>
    <w:r w:rsidR="00756A32">
      <w:rPr>
        <w:rFonts w:cstheme="minorHAnsi"/>
        <w:i/>
        <w:szCs w:val="20"/>
        <w:shd w:val="clear" w:color="auto" w:fill="FFFFFF"/>
      </w:rPr>
      <w:t xml:space="preserve">: </w:t>
    </w:r>
    <w:r w:rsidR="00540B6A">
      <w:rPr>
        <w:rFonts w:cstheme="minorHAnsi"/>
        <w:i/>
        <w:szCs w:val="20"/>
        <w:shd w:val="clear" w:color="auto" w:fill="FFFFFF"/>
      </w:rPr>
      <w:t xml:space="preserve">Assessing Efficiency &amp; </w:t>
    </w:r>
    <w:r w:rsidR="00540B6A" w:rsidRPr="00540B6A">
      <w:rPr>
        <w:rFonts w:cstheme="minorHAnsi"/>
        <w:i/>
        <w:szCs w:val="20"/>
        <w:shd w:val="clear" w:color="auto" w:fill="FFFFFF"/>
      </w:rPr>
      <w:t>Competitiveness</w:t>
    </w:r>
    <w:r w:rsidR="00756A32">
      <w:tab/>
    </w:r>
    <w:r w:rsidR="00756A32">
      <w:tab/>
    </w:r>
    <w:r w:rsidR="00540B6A">
      <w:t>13 July 2018</w:t>
    </w:r>
  </w:p>
  <w:p w:rsidR="00756A32" w:rsidRPr="00C71DE6" w:rsidRDefault="00756A32" w:rsidP="00F1619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007" w:rsidRDefault="00911007" w:rsidP="00926F68">
      <w:pPr>
        <w:spacing w:after="0" w:line="240" w:lineRule="auto"/>
      </w:pPr>
      <w:r>
        <w:separator/>
      </w:r>
    </w:p>
  </w:footnote>
  <w:footnote w:type="continuationSeparator" w:id="0">
    <w:p w:rsidR="00911007" w:rsidRDefault="00911007" w:rsidP="00926F68">
      <w:pPr>
        <w:spacing w:after="0" w:line="240" w:lineRule="auto"/>
      </w:pPr>
      <w:r>
        <w:continuationSeparator/>
      </w:r>
    </w:p>
  </w:footnote>
  <w:footnote w:id="1">
    <w:p w:rsidR="00DA52FD" w:rsidRDefault="00DA52FD">
      <w:pPr>
        <w:pStyle w:val="FootnoteText"/>
      </w:pPr>
      <w:r>
        <w:rPr>
          <w:rStyle w:val="FootnoteReference"/>
        </w:rPr>
        <w:footnoteRef/>
      </w:r>
      <w:r>
        <w:t xml:space="preserve"> According to APRA’s Annual Superannuation Bulletin (June 201</w:t>
      </w:r>
      <w:r w:rsidR="00947606">
        <w:t>7</w:t>
      </w:r>
      <w:r>
        <w:t>)</w:t>
      </w:r>
      <w:r w:rsidR="00984846">
        <w:t>,</w:t>
      </w:r>
      <w:r>
        <w:t xml:space="preserve"> there are 9</w:t>
      </w:r>
      <w:r w:rsidR="00947606">
        <w:t>10</w:t>
      </w:r>
      <w:r>
        <w:t>,000 members with defined ben</w:t>
      </w:r>
      <w:r w:rsidR="00947606">
        <w:t>efit accounts plus another 310,</w:t>
      </w:r>
      <w:r>
        <w:t xml:space="preserve">000 with both defined benefit and defined contribution interests. </w:t>
      </w:r>
      <w:r w:rsidR="00984846">
        <w:t>For entities with more than four members, the t</w:t>
      </w:r>
      <w:r>
        <w:t xml:space="preserve">otal liabilities associated with defined benefit member </w:t>
      </w:r>
      <w:r w:rsidR="00984846">
        <w:t xml:space="preserve">is </w:t>
      </w:r>
      <w:r>
        <w:t>$</w:t>
      </w:r>
      <w:r w:rsidR="00947606">
        <w:t>400</w:t>
      </w:r>
      <w:r>
        <w:t xml:space="preserve"> billion</w:t>
      </w:r>
      <w:r w:rsidR="00FE0F91">
        <w:t>,</w:t>
      </w:r>
      <w:r w:rsidR="00984846">
        <w:t xml:space="preserve"> totalling </w:t>
      </w:r>
      <w:r w:rsidR="00947606">
        <w:t>approximately 18% of the</w:t>
      </w:r>
      <w:r w:rsidR="00984846">
        <w:t xml:space="preserve"> overall liability for member benefits </w:t>
      </w:r>
    </w:p>
  </w:footnote>
  <w:footnote w:id="2">
    <w:p w:rsidR="00756A32" w:rsidRPr="000F2027" w:rsidRDefault="00756A32" w:rsidP="00114C1B">
      <w:pPr>
        <w:pStyle w:val="FootnoteText"/>
        <w:rPr>
          <w:highlight w:val="yellow"/>
        </w:rPr>
      </w:pPr>
      <w:r>
        <w:rPr>
          <w:rStyle w:val="FootnoteReference"/>
        </w:rPr>
        <w:footnoteRef/>
      </w:r>
      <w:r>
        <w:t xml:space="preserve"> </w:t>
      </w:r>
      <w:r w:rsidRPr="003D3E45">
        <w:t xml:space="preserve">UniSuper is named in the two higher education awards and </w:t>
      </w:r>
      <w:r>
        <w:t xml:space="preserve">in </w:t>
      </w:r>
      <w:r w:rsidRPr="003D3E45">
        <w:t>a third award on post-secondary education. Despite having default status in awards and EBAs, many new employees can still “opt out” of being a member of UniSuper. We have established rules, supp</w:t>
      </w:r>
      <w:r>
        <w:t xml:space="preserve">orted by enterprise agreements </w:t>
      </w:r>
      <w:r w:rsidRPr="003D3E45">
        <w:t>that allow new employees the choice to join another fund and not UniSuper, particularly where an employee is already a member of another similar defined benefit scheme, such as the CSS or PSS, or is a visiting academic from overseas.</w:t>
      </w:r>
      <w:r>
        <w:t xml:space="preserve"> These rules were also established to prevent members having duplicate superannuation accounts.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A32" w:rsidRDefault="00756A32" w:rsidP="003E6BB1">
    <w:r w:rsidRPr="00EE0518">
      <w:rPr>
        <w:noProof/>
        <w:lang w:eastAsia="en-AU"/>
      </w:rPr>
      <w:drawing>
        <wp:anchor distT="0" distB="0" distL="114300" distR="114300" simplePos="0" relativeHeight="251663360" behindDoc="0" locked="0" layoutInCell="1" allowOverlap="1" wp14:anchorId="228DB5FE" wp14:editId="318B9370">
          <wp:simplePos x="0" y="0"/>
          <wp:positionH relativeFrom="column">
            <wp:posOffset>4504055</wp:posOffset>
          </wp:positionH>
          <wp:positionV relativeFrom="paragraph">
            <wp:posOffset>-2276</wp:posOffset>
          </wp:positionV>
          <wp:extent cx="1714500" cy="40510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uperHo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40510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A32" w:rsidRPr="000232A4" w:rsidRDefault="00756A32" w:rsidP="00EE0518">
    <w:pPr>
      <w:pStyle w:val="Header"/>
      <w:rPr>
        <w:sz w:val="20"/>
        <w:szCs w:val="20"/>
      </w:rPr>
    </w:pPr>
    <w:r w:rsidRPr="000232A4">
      <w:rPr>
        <w:sz w:val="20"/>
        <w:szCs w:val="20"/>
      </w:rPr>
      <w:drawing>
        <wp:anchor distT="0" distB="0" distL="114300" distR="114300" simplePos="0" relativeHeight="251659264" behindDoc="0" locked="0" layoutInCell="1" allowOverlap="1" wp14:anchorId="11F21D46" wp14:editId="1059B616">
          <wp:simplePos x="0" y="0"/>
          <wp:positionH relativeFrom="column">
            <wp:posOffset>-323850</wp:posOffset>
          </wp:positionH>
          <wp:positionV relativeFrom="paragraph">
            <wp:posOffset>-163830</wp:posOffset>
          </wp:positionV>
          <wp:extent cx="1714500" cy="4051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uperHo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40510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24EA3"/>
    <w:multiLevelType w:val="hybridMultilevel"/>
    <w:tmpl w:val="81B46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1B7369"/>
    <w:multiLevelType w:val="hybridMultilevel"/>
    <w:tmpl w:val="A484D92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266247DC"/>
    <w:multiLevelType w:val="hybridMultilevel"/>
    <w:tmpl w:val="EBCCB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9D6ED9"/>
    <w:multiLevelType w:val="hybridMultilevel"/>
    <w:tmpl w:val="73D65836"/>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35FF3DC6"/>
    <w:multiLevelType w:val="hybridMultilevel"/>
    <w:tmpl w:val="32880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13539F"/>
    <w:multiLevelType w:val="hybridMultilevel"/>
    <w:tmpl w:val="257C7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876991"/>
    <w:multiLevelType w:val="hybridMultilevel"/>
    <w:tmpl w:val="5E184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C14639E"/>
    <w:multiLevelType w:val="hybridMultilevel"/>
    <w:tmpl w:val="CE7C1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6D1BBA"/>
    <w:multiLevelType w:val="multilevel"/>
    <w:tmpl w:val="4978F3C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51F72A7F"/>
    <w:multiLevelType w:val="hybridMultilevel"/>
    <w:tmpl w:val="1D8273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AD26F73"/>
    <w:multiLevelType w:val="hybridMultilevel"/>
    <w:tmpl w:val="E55C7D6A"/>
    <w:lvl w:ilvl="0" w:tplc="0BD2ED86">
      <w:start w:val="23"/>
      <w:numFmt w:val="bullet"/>
      <w:lvlText w:val="-"/>
      <w:lvlJc w:val="left"/>
      <w:pPr>
        <w:ind w:left="360" w:hanging="36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22C6F6D"/>
    <w:multiLevelType w:val="hybridMultilevel"/>
    <w:tmpl w:val="DC566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775C4E"/>
    <w:multiLevelType w:val="hybridMultilevel"/>
    <w:tmpl w:val="AA04E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2E6238"/>
    <w:multiLevelType w:val="hybridMultilevel"/>
    <w:tmpl w:val="8534A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D51200"/>
    <w:multiLevelType w:val="hybridMultilevel"/>
    <w:tmpl w:val="8242A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4"/>
  </w:num>
  <w:num w:numId="4">
    <w:abstractNumId w:val="2"/>
  </w:num>
  <w:num w:numId="5">
    <w:abstractNumId w:val="0"/>
  </w:num>
  <w:num w:numId="6">
    <w:abstractNumId w:val="5"/>
  </w:num>
  <w:num w:numId="7">
    <w:abstractNumId w:val="1"/>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3"/>
  </w:num>
  <w:num w:numId="10">
    <w:abstractNumId w:val="6"/>
  </w:num>
  <w:num w:numId="11">
    <w:abstractNumId w:val="10"/>
  </w:num>
  <w:num w:numId="12">
    <w:abstractNumId w:val="7"/>
  </w:num>
  <w:num w:numId="13">
    <w:abstractNumId w:val="14"/>
  </w:num>
  <w:num w:numId="14">
    <w:abstractNumId w:val="12"/>
  </w:num>
  <w:num w:numId="15">
    <w:abstractNumId w:val="11"/>
  </w:num>
  <w:num w:numId="16">
    <w:abstractNumId w:val="9"/>
  </w:num>
  <w:num w:numId="1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411"/>
    <w:rsid w:val="00006089"/>
    <w:rsid w:val="00011560"/>
    <w:rsid w:val="0001703F"/>
    <w:rsid w:val="00022187"/>
    <w:rsid w:val="00022BA5"/>
    <w:rsid w:val="000232A4"/>
    <w:rsid w:val="000250C7"/>
    <w:rsid w:val="00052F3E"/>
    <w:rsid w:val="000634D1"/>
    <w:rsid w:val="00064CA6"/>
    <w:rsid w:val="00070D22"/>
    <w:rsid w:val="00073763"/>
    <w:rsid w:val="00080CB6"/>
    <w:rsid w:val="00081CD0"/>
    <w:rsid w:val="00092D57"/>
    <w:rsid w:val="000941C2"/>
    <w:rsid w:val="0009537F"/>
    <w:rsid w:val="000A206F"/>
    <w:rsid w:val="000B09C3"/>
    <w:rsid w:val="000B4786"/>
    <w:rsid w:val="000C235B"/>
    <w:rsid w:val="000C5BC1"/>
    <w:rsid w:val="000C7701"/>
    <w:rsid w:val="000D3CCE"/>
    <w:rsid w:val="000D75B7"/>
    <w:rsid w:val="000E2A8E"/>
    <w:rsid w:val="000E516C"/>
    <w:rsid w:val="000E638F"/>
    <w:rsid w:val="000E7F32"/>
    <w:rsid w:val="000F0AA0"/>
    <w:rsid w:val="000F2027"/>
    <w:rsid w:val="000F2E38"/>
    <w:rsid w:val="000F4BEC"/>
    <w:rsid w:val="001034A3"/>
    <w:rsid w:val="0010408A"/>
    <w:rsid w:val="00104814"/>
    <w:rsid w:val="001052C5"/>
    <w:rsid w:val="00107D68"/>
    <w:rsid w:val="00114C1B"/>
    <w:rsid w:val="00117305"/>
    <w:rsid w:val="001200C8"/>
    <w:rsid w:val="001223F6"/>
    <w:rsid w:val="00123BBD"/>
    <w:rsid w:val="00125BEE"/>
    <w:rsid w:val="00131C6F"/>
    <w:rsid w:val="001332AB"/>
    <w:rsid w:val="0014472C"/>
    <w:rsid w:val="0015225C"/>
    <w:rsid w:val="00161144"/>
    <w:rsid w:val="0016386D"/>
    <w:rsid w:val="001677C2"/>
    <w:rsid w:val="0017033A"/>
    <w:rsid w:val="00170C59"/>
    <w:rsid w:val="00170CEF"/>
    <w:rsid w:val="00172C4E"/>
    <w:rsid w:val="00172D52"/>
    <w:rsid w:val="00173697"/>
    <w:rsid w:val="00173ECA"/>
    <w:rsid w:val="00177A07"/>
    <w:rsid w:val="001802A1"/>
    <w:rsid w:val="0018507D"/>
    <w:rsid w:val="00187338"/>
    <w:rsid w:val="00187780"/>
    <w:rsid w:val="00190C1F"/>
    <w:rsid w:val="00194774"/>
    <w:rsid w:val="001960FD"/>
    <w:rsid w:val="001B5B54"/>
    <w:rsid w:val="001C18FA"/>
    <w:rsid w:val="001C2361"/>
    <w:rsid w:val="001D1367"/>
    <w:rsid w:val="001D14C8"/>
    <w:rsid w:val="001E1CA7"/>
    <w:rsid w:val="001E2675"/>
    <w:rsid w:val="001F10BE"/>
    <w:rsid w:val="001F1473"/>
    <w:rsid w:val="001F1B28"/>
    <w:rsid w:val="001F3019"/>
    <w:rsid w:val="001F4AB0"/>
    <w:rsid w:val="001F5331"/>
    <w:rsid w:val="002018FE"/>
    <w:rsid w:val="00201AEA"/>
    <w:rsid w:val="00207A61"/>
    <w:rsid w:val="0021067A"/>
    <w:rsid w:val="0022402C"/>
    <w:rsid w:val="0022445A"/>
    <w:rsid w:val="0022713A"/>
    <w:rsid w:val="00231E73"/>
    <w:rsid w:val="002434CF"/>
    <w:rsid w:val="00252309"/>
    <w:rsid w:val="00265748"/>
    <w:rsid w:val="002670D9"/>
    <w:rsid w:val="00272829"/>
    <w:rsid w:val="00276881"/>
    <w:rsid w:val="00277A5E"/>
    <w:rsid w:val="00283A62"/>
    <w:rsid w:val="00290FCF"/>
    <w:rsid w:val="00291B45"/>
    <w:rsid w:val="00293AD2"/>
    <w:rsid w:val="00293FDF"/>
    <w:rsid w:val="00297D2E"/>
    <w:rsid w:val="002A17E1"/>
    <w:rsid w:val="002A6AE9"/>
    <w:rsid w:val="002B2DD2"/>
    <w:rsid w:val="002C6CEB"/>
    <w:rsid w:val="002C6F37"/>
    <w:rsid w:val="002C788B"/>
    <w:rsid w:val="002D064C"/>
    <w:rsid w:val="002D126A"/>
    <w:rsid w:val="002D67FB"/>
    <w:rsid w:val="002D77FE"/>
    <w:rsid w:val="002E11EF"/>
    <w:rsid w:val="002E473C"/>
    <w:rsid w:val="002F0C08"/>
    <w:rsid w:val="002F1AB7"/>
    <w:rsid w:val="002F21FA"/>
    <w:rsid w:val="002F2268"/>
    <w:rsid w:val="002F5D6C"/>
    <w:rsid w:val="00300CE2"/>
    <w:rsid w:val="00307769"/>
    <w:rsid w:val="00311522"/>
    <w:rsid w:val="003130AE"/>
    <w:rsid w:val="00317017"/>
    <w:rsid w:val="00323DE7"/>
    <w:rsid w:val="003309BE"/>
    <w:rsid w:val="00334CBA"/>
    <w:rsid w:val="00342C6E"/>
    <w:rsid w:val="003444E0"/>
    <w:rsid w:val="0034647E"/>
    <w:rsid w:val="003465D4"/>
    <w:rsid w:val="00353DC8"/>
    <w:rsid w:val="00355809"/>
    <w:rsid w:val="00357B0E"/>
    <w:rsid w:val="00361D21"/>
    <w:rsid w:val="00362B3B"/>
    <w:rsid w:val="003637C5"/>
    <w:rsid w:val="00364B46"/>
    <w:rsid w:val="003654D6"/>
    <w:rsid w:val="00366A6F"/>
    <w:rsid w:val="0037707C"/>
    <w:rsid w:val="0038005E"/>
    <w:rsid w:val="00384F49"/>
    <w:rsid w:val="0038592F"/>
    <w:rsid w:val="003942F7"/>
    <w:rsid w:val="003A1E3D"/>
    <w:rsid w:val="003B2A2A"/>
    <w:rsid w:val="003B5791"/>
    <w:rsid w:val="003C1C5C"/>
    <w:rsid w:val="003C276D"/>
    <w:rsid w:val="003C2FA6"/>
    <w:rsid w:val="003C4EBD"/>
    <w:rsid w:val="003C6D11"/>
    <w:rsid w:val="003D3E45"/>
    <w:rsid w:val="003D7859"/>
    <w:rsid w:val="003E01AB"/>
    <w:rsid w:val="003E1F05"/>
    <w:rsid w:val="003E6BB1"/>
    <w:rsid w:val="003F2770"/>
    <w:rsid w:val="00410F83"/>
    <w:rsid w:val="004118DE"/>
    <w:rsid w:val="004119E1"/>
    <w:rsid w:val="00411D6D"/>
    <w:rsid w:val="00413C7D"/>
    <w:rsid w:val="00416492"/>
    <w:rsid w:val="004230E4"/>
    <w:rsid w:val="0042455E"/>
    <w:rsid w:val="004277DB"/>
    <w:rsid w:val="00436645"/>
    <w:rsid w:val="00442562"/>
    <w:rsid w:val="00446A91"/>
    <w:rsid w:val="00453FAD"/>
    <w:rsid w:val="00455F05"/>
    <w:rsid w:val="004611A3"/>
    <w:rsid w:val="00466823"/>
    <w:rsid w:val="004709B0"/>
    <w:rsid w:val="0048248D"/>
    <w:rsid w:val="0048599E"/>
    <w:rsid w:val="004973FB"/>
    <w:rsid w:val="004A1B12"/>
    <w:rsid w:val="004A219E"/>
    <w:rsid w:val="004A498B"/>
    <w:rsid w:val="004B03CB"/>
    <w:rsid w:val="004B10D3"/>
    <w:rsid w:val="004C1472"/>
    <w:rsid w:val="004C2667"/>
    <w:rsid w:val="004C3C7C"/>
    <w:rsid w:val="004C639C"/>
    <w:rsid w:val="004D56D4"/>
    <w:rsid w:val="004E0886"/>
    <w:rsid w:val="004E0C5B"/>
    <w:rsid w:val="004E7EC8"/>
    <w:rsid w:val="004F6DB5"/>
    <w:rsid w:val="004F73CE"/>
    <w:rsid w:val="005039F6"/>
    <w:rsid w:val="005252BF"/>
    <w:rsid w:val="00525F7B"/>
    <w:rsid w:val="00533280"/>
    <w:rsid w:val="005334F9"/>
    <w:rsid w:val="00533B98"/>
    <w:rsid w:val="00540B6A"/>
    <w:rsid w:val="005414FB"/>
    <w:rsid w:val="00544730"/>
    <w:rsid w:val="00545057"/>
    <w:rsid w:val="0055573F"/>
    <w:rsid w:val="0055693B"/>
    <w:rsid w:val="00565339"/>
    <w:rsid w:val="00576B60"/>
    <w:rsid w:val="00576BCE"/>
    <w:rsid w:val="0058026E"/>
    <w:rsid w:val="005867D7"/>
    <w:rsid w:val="00586F74"/>
    <w:rsid w:val="00590700"/>
    <w:rsid w:val="005A034A"/>
    <w:rsid w:val="005A07C1"/>
    <w:rsid w:val="005A28ED"/>
    <w:rsid w:val="005A4EFC"/>
    <w:rsid w:val="005B7A3F"/>
    <w:rsid w:val="005C5296"/>
    <w:rsid w:val="005D636C"/>
    <w:rsid w:val="005E07A0"/>
    <w:rsid w:val="005E1091"/>
    <w:rsid w:val="005E1A4A"/>
    <w:rsid w:val="005E2029"/>
    <w:rsid w:val="005E2D9F"/>
    <w:rsid w:val="005E336C"/>
    <w:rsid w:val="005E705C"/>
    <w:rsid w:val="005F052D"/>
    <w:rsid w:val="005F0B4E"/>
    <w:rsid w:val="005F2974"/>
    <w:rsid w:val="005F31D0"/>
    <w:rsid w:val="005F51F1"/>
    <w:rsid w:val="00600211"/>
    <w:rsid w:val="0060086B"/>
    <w:rsid w:val="00601FC7"/>
    <w:rsid w:val="006036A8"/>
    <w:rsid w:val="006040B1"/>
    <w:rsid w:val="00606CE5"/>
    <w:rsid w:val="00611BAB"/>
    <w:rsid w:val="00624022"/>
    <w:rsid w:val="0062732C"/>
    <w:rsid w:val="00630755"/>
    <w:rsid w:val="00636E09"/>
    <w:rsid w:val="00640273"/>
    <w:rsid w:val="0064137A"/>
    <w:rsid w:val="0064596B"/>
    <w:rsid w:val="00646F85"/>
    <w:rsid w:val="00650201"/>
    <w:rsid w:val="006527E6"/>
    <w:rsid w:val="00653D02"/>
    <w:rsid w:val="00662839"/>
    <w:rsid w:val="00663498"/>
    <w:rsid w:val="00667FBA"/>
    <w:rsid w:val="00671C35"/>
    <w:rsid w:val="006953F2"/>
    <w:rsid w:val="006A2560"/>
    <w:rsid w:val="006A2ADE"/>
    <w:rsid w:val="006A3572"/>
    <w:rsid w:val="006B1B97"/>
    <w:rsid w:val="006B6F0B"/>
    <w:rsid w:val="006B7A3E"/>
    <w:rsid w:val="006C320C"/>
    <w:rsid w:val="006C44E3"/>
    <w:rsid w:val="006C741C"/>
    <w:rsid w:val="006C7CD2"/>
    <w:rsid w:val="006D0DFF"/>
    <w:rsid w:val="006D2833"/>
    <w:rsid w:val="006D477A"/>
    <w:rsid w:val="006D5491"/>
    <w:rsid w:val="006E4857"/>
    <w:rsid w:val="006E72C4"/>
    <w:rsid w:val="006F149D"/>
    <w:rsid w:val="006F28E6"/>
    <w:rsid w:val="0070201C"/>
    <w:rsid w:val="00703315"/>
    <w:rsid w:val="00703A74"/>
    <w:rsid w:val="00714F7C"/>
    <w:rsid w:val="00724F2F"/>
    <w:rsid w:val="00734646"/>
    <w:rsid w:val="00735CDA"/>
    <w:rsid w:val="00736071"/>
    <w:rsid w:val="00737E86"/>
    <w:rsid w:val="00741B5A"/>
    <w:rsid w:val="00741F25"/>
    <w:rsid w:val="00751481"/>
    <w:rsid w:val="00751F6A"/>
    <w:rsid w:val="007521FB"/>
    <w:rsid w:val="007523D1"/>
    <w:rsid w:val="00756A32"/>
    <w:rsid w:val="0076612B"/>
    <w:rsid w:val="007717C2"/>
    <w:rsid w:val="0077575C"/>
    <w:rsid w:val="00781D58"/>
    <w:rsid w:val="007858BF"/>
    <w:rsid w:val="0078656F"/>
    <w:rsid w:val="007A2418"/>
    <w:rsid w:val="007A54C7"/>
    <w:rsid w:val="007A6626"/>
    <w:rsid w:val="007C00C4"/>
    <w:rsid w:val="007C04C3"/>
    <w:rsid w:val="007D102E"/>
    <w:rsid w:val="007D3D27"/>
    <w:rsid w:val="007D6070"/>
    <w:rsid w:val="007D7C6D"/>
    <w:rsid w:val="007E19B6"/>
    <w:rsid w:val="007E3238"/>
    <w:rsid w:val="007E32A5"/>
    <w:rsid w:val="007E3FB4"/>
    <w:rsid w:val="007E51F1"/>
    <w:rsid w:val="007F5319"/>
    <w:rsid w:val="00805CFB"/>
    <w:rsid w:val="00810AFC"/>
    <w:rsid w:val="00812AF4"/>
    <w:rsid w:val="0081715B"/>
    <w:rsid w:val="008175C9"/>
    <w:rsid w:val="00823809"/>
    <w:rsid w:val="0083130C"/>
    <w:rsid w:val="0083753B"/>
    <w:rsid w:val="00837708"/>
    <w:rsid w:val="0084069F"/>
    <w:rsid w:val="00852F04"/>
    <w:rsid w:val="00853A95"/>
    <w:rsid w:val="008545C9"/>
    <w:rsid w:val="00855A75"/>
    <w:rsid w:val="00860582"/>
    <w:rsid w:val="00861F0D"/>
    <w:rsid w:val="00871373"/>
    <w:rsid w:val="00875CBD"/>
    <w:rsid w:val="00884ABB"/>
    <w:rsid w:val="008854D2"/>
    <w:rsid w:val="00886B9C"/>
    <w:rsid w:val="00887510"/>
    <w:rsid w:val="00895490"/>
    <w:rsid w:val="0089726D"/>
    <w:rsid w:val="008A000C"/>
    <w:rsid w:val="008A28F6"/>
    <w:rsid w:val="008A4C0F"/>
    <w:rsid w:val="008A6212"/>
    <w:rsid w:val="008B0CBD"/>
    <w:rsid w:val="008B2F14"/>
    <w:rsid w:val="008B34B3"/>
    <w:rsid w:val="008B554F"/>
    <w:rsid w:val="008C5D48"/>
    <w:rsid w:val="008C64DB"/>
    <w:rsid w:val="008D080F"/>
    <w:rsid w:val="008D09ED"/>
    <w:rsid w:val="008E0CA1"/>
    <w:rsid w:val="008E72F2"/>
    <w:rsid w:val="008E7C6E"/>
    <w:rsid w:val="008F03E6"/>
    <w:rsid w:val="008F0A39"/>
    <w:rsid w:val="008F7674"/>
    <w:rsid w:val="009009F6"/>
    <w:rsid w:val="00911007"/>
    <w:rsid w:val="00913247"/>
    <w:rsid w:val="00915494"/>
    <w:rsid w:val="00917B97"/>
    <w:rsid w:val="009217CB"/>
    <w:rsid w:val="00921907"/>
    <w:rsid w:val="00922ED3"/>
    <w:rsid w:val="00926F68"/>
    <w:rsid w:val="00930D33"/>
    <w:rsid w:val="00937DCB"/>
    <w:rsid w:val="00947068"/>
    <w:rsid w:val="009473FA"/>
    <w:rsid w:val="00947606"/>
    <w:rsid w:val="009502D4"/>
    <w:rsid w:val="009539B9"/>
    <w:rsid w:val="0095695F"/>
    <w:rsid w:val="0096037B"/>
    <w:rsid w:val="00964B12"/>
    <w:rsid w:val="00970C80"/>
    <w:rsid w:val="0097424D"/>
    <w:rsid w:val="00975853"/>
    <w:rsid w:val="00976854"/>
    <w:rsid w:val="00982F02"/>
    <w:rsid w:val="0098342A"/>
    <w:rsid w:val="00984846"/>
    <w:rsid w:val="00985831"/>
    <w:rsid w:val="00993411"/>
    <w:rsid w:val="009959E9"/>
    <w:rsid w:val="009978E2"/>
    <w:rsid w:val="00997A76"/>
    <w:rsid w:val="009A1702"/>
    <w:rsid w:val="009B1624"/>
    <w:rsid w:val="009B39D2"/>
    <w:rsid w:val="009B5459"/>
    <w:rsid w:val="009C0C5B"/>
    <w:rsid w:val="009C7F48"/>
    <w:rsid w:val="009D1AD2"/>
    <w:rsid w:val="009D412D"/>
    <w:rsid w:val="009D4A3C"/>
    <w:rsid w:val="009D5A9B"/>
    <w:rsid w:val="009E0982"/>
    <w:rsid w:val="009E0C8D"/>
    <w:rsid w:val="009F2296"/>
    <w:rsid w:val="009F4F80"/>
    <w:rsid w:val="009F7D91"/>
    <w:rsid w:val="00A04FAC"/>
    <w:rsid w:val="00A217CC"/>
    <w:rsid w:val="00A24722"/>
    <w:rsid w:val="00A2639E"/>
    <w:rsid w:val="00A30CF1"/>
    <w:rsid w:val="00A31A8D"/>
    <w:rsid w:val="00A34D97"/>
    <w:rsid w:val="00A53FBC"/>
    <w:rsid w:val="00A70419"/>
    <w:rsid w:val="00A76764"/>
    <w:rsid w:val="00A815A1"/>
    <w:rsid w:val="00A91E0D"/>
    <w:rsid w:val="00A9338F"/>
    <w:rsid w:val="00A93611"/>
    <w:rsid w:val="00A95C17"/>
    <w:rsid w:val="00AA2A1F"/>
    <w:rsid w:val="00AA3F22"/>
    <w:rsid w:val="00AB105D"/>
    <w:rsid w:val="00AB2B06"/>
    <w:rsid w:val="00AB7B8B"/>
    <w:rsid w:val="00AC4B16"/>
    <w:rsid w:val="00AC7A82"/>
    <w:rsid w:val="00AD0396"/>
    <w:rsid w:val="00AD0745"/>
    <w:rsid w:val="00AD3AC7"/>
    <w:rsid w:val="00AD4773"/>
    <w:rsid w:val="00AD5B9A"/>
    <w:rsid w:val="00AE06C1"/>
    <w:rsid w:val="00AE1612"/>
    <w:rsid w:val="00AE645D"/>
    <w:rsid w:val="00AE6755"/>
    <w:rsid w:val="00AE7F71"/>
    <w:rsid w:val="00AF355A"/>
    <w:rsid w:val="00AF4D71"/>
    <w:rsid w:val="00AF7410"/>
    <w:rsid w:val="00B06766"/>
    <w:rsid w:val="00B077A4"/>
    <w:rsid w:val="00B077A6"/>
    <w:rsid w:val="00B1339B"/>
    <w:rsid w:val="00B235A1"/>
    <w:rsid w:val="00B32767"/>
    <w:rsid w:val="00B43885"/>
    <w:rsid w:val="00B44C58"/>
    <w:rsid w:val="00B45A41"/>
    <w:rsid w:val="00B5271C"/>
    <w:rsid w:val="00B64ED4"/>
    <w:rsid w:val="00B674E7"/>
    <w:rsid w:val="00B67E2D"/>
    <w:rsid w:val="00B83C06"/>
    <w:rsid w:val="00B90F76"/>
    <w:rsid w:val="00B96FEC"/>
    <w:rsid w:val="00BA384F"/>
    <w:rsid w:val="00BB460B"/>
    <w:rsid w:val="00BB5BD1"/>
    <w:rsid w:val="00BC401C"/>
    <w:rsid w:val="00BC639F"/>
    <w:rsid w:val="00BC7B99"/>
    <w:rsid w:val="00BD52C8"/>
    <w:rsid w:val="00BD5967"/>
    <w:rsid w:val="00BF059A"/>
    <w:rsid w:val="00BF525D"/>
    <w:rsid w:val="00BF5EDB"/>
    <w:rsid w:val="00BF6187"/>
    <w:rsid w:val="00C009DE"/>
    <w:rsid w:val="00C075AF"/>
    <w:rsid w:val="00C14240"/>
    <w:rsid w:val="00C144B4"/>
    <w:rsid w:val="00C2101D"/>
    <w:rsid w:val="00C214CE"/>
    <w:rsid w:val="00C21AC6"/>
    <w:rsid w:val="00C221A6"/>
    <w:rsid w:val="00C26A04"/>
    <w:rsid w:val="00C33DEE"/>
    <w:rsid w:val="00C40DB2"/>
    <w:rsid w:val="00C43806"/>
    <w:rsid w:val="00C43CD1"/>
    <w:rsid w:val="00C45B89"/>
    <w:rsid w:val="00C50C90"/>
    <w:rsid w:val="00C542C2"/>
    <w:rsid w:val="00C654EF"/>
    <w:rsid w:val="00C7053D"/>
    <w:rsid w:val="00C71D5B"/>
    <w:rsid w:val="00C71DE6"/>
    <w:rsid w:val="00C722C9"/>
    <w:rsid w:val="00C7318F"/>
    <w:rsid w:val="00C73A76"/>
    <w:rsid w:val="00C82BFF"/>
    <w:rsid w:val="00C961AA"/>
    <w:rsid w:val="00C96389"/>
    <w:rsid w:val="00CB5DBD"/>
    <w:rsid w:val="00CC38AF"/>
    <w:rsid w:val="00CC53B4"/>
    <w:rsid w:val="00CD1651"/>
    <w:rsid w:val="00CD28FF"/>
    <w:rsid w:val="00CD2DEF"/>
    <w:rsid w:val="00CD381E"/>
    <w:rsid w:val="00CE55CA"/>
    <w:rsid w:val="00CE5C77"/>
    <w:rsid w:val="00CE6D8F"/>
    <w:rsid w:val="00CE7E92"/>
    <w:rsid w:val="00CF0571"/>
    <w:rsid w:val="00CF0E5B"/>
    <w:rsid w:val="00CF54C4"/>
    <w:rsid w:val="00D06150"/>
    <w:rsid w:val="00D1198D"/>
    <w:rsid w:val="00D1389C"/>
    <w:rsid w:val="00D16B30"/>
    <w:rsid w:val="00D16EA4"/>
    <w:rsid w:val="00D20B62"/>
    <w:rsid w:val="00D2173D"/>
    <w:rsid w:val="00D240A1"/>
    <w:rsid w:val="00D257AC"/>
    <w:rsid w:val="00D3642A"/>
    <w:rsid w:val="00D42229"/>
    <w:rsid w:val="00D47D46"/>
    <w:rsid w:val="00D550F0"/>
    <w:rsid w:val="00D5764A"/>
    <w:rsid w:val="00D60995"/>
    <w:rsid w:val="00D638A9"/>
    <w:rsid w:val="00D64657"/>
    <w:rsid w:val="00D64A5B"/>
    <w:rsid w:val="00D66B0B"/>
    <w:rsid w:val="00D675E3"/>
    <w:rsid w:val="00D73038"/>
    <w:rsid w:val="00D75FDF"/>
    <w:rsid w:val="00D82DA9"/>
    <w:rsid w:val="00D91529"/>
    <w:rsid w:val="00DA0297"/>
    <w:rsid w:val="00DA44F9"/>
    <w:rsid w:val="00DA52FD"/>
    <w:rsid w:val="00DA59DC"/>
    <w:rsid w:val="00DB053D"/>
    <w:rsid w:val="00DB4D1C"/>
    <w:rsid w:val="00DC20EA"/>
    <w:rsid w:val="00DD16A3"/>
    <w:rsid w:val="00DD385F"/>
    <w:rsid w:val="00DD54B6"/>
    <w:rsid w:val="00DD7C98"/>
    <w:rsid w:val="00DE1C62"/>
    <w:rsid w:val="00DE4492"/>
    <w:rsid w:val="00DE6C20"/>
    <w:rsid w:val="00DE77F7"/>
    <w:rsid w:val="00DE7D2C"/>
    <w:rsid w:val="00DF1CB8"/>
    <w:rsid w:val="00DF338A"/>
    <w:rsid w:val="00DF576B"/>
    <w:rsid w:val="00E133F1"/>
    <w:rsid w:val="00E200E1"/>
    <w:rsid w:val="00E21E47"/>
    <w:rsid w:val="00E250AD"/>
    <w:rsid w:val="00E309E5"/>
    <w:rsid w:val="00E30DBD"/>
    <w:rsid w:val="00E325A5"/>
    <w:rsid w:val="00E3349A"/>
    <w:rsid w:val="00E33FCB"/>
    <w:rsid w:val="00E34B74"/>
    <w:rsid w:val="00E364A3"/>
    <w:rsid w:val="00E36B5A"/>
    <w:rsid w:val="00E55463"/>
    <w:rsid w:val="00E56E64"/>
    <w:rsid w:val="00E71615"/>
    <w:rsid w:val="00E72E2D"/>
    <w:rsid w:val="00E73A15"/>
    <w:rsid w:val="00E743BE"/>
    <w:rsid w:val="00E761F2"/>
    <w:rsid w:val="00E77F0B"/>
    <w:rsid w:val="00E8095B"/>
    <w:rsid w:val="00E80B2A"/>
    <w:rsid w:val="00E80DFD"/>
    <w:rsid w:val="00E834F5"/>
    <w:rsid w:val="00E83769"/>
    <w:rsid w:val="00E83884"/>
    <w:rsid w:val="00E859C7"/>
    <w:rsid w:val="00E91D52"/>
    <w:rsid w:val="00E936FF"/>
    <w:rsid w:val="00E96D30"/>
    <w:rsid w:val="00EA5174"/>
    <w:rsid w:val="00EA5726"/>
    <w:rsid w:val="00EA58F3"/>
    <w:rsid w:val="00EA5985"/>
    <w:rsid w:val="00EA763F"/>
    <w:rsid w:val="00EB61EE"/>
    <w:rsid w:val="00EB69CC"/>
    <w:rsid w:val="00EC0288"/>
    <w:rsid w:val="00EC0633"/>
    <w:rsid w:val="00ED1D45"/>
    <w:rsid w:val="00ED2E40"/>
    <w:rsid w:val="00ED33A5"/>
    <w:rsid w:val="00EE0518"/>
    <w:rsid w:val="00EE23A7"/>
    <w:rsid w:val="00EE3CA5"/>
    <w:rsid w:val="00EE5503"/>
    <w:rsid w:val="00EF1200"/>
    <w:rsid w:val="00EF3759"/>
    <w:rsid w:val="00EF4343"/>
    <w:rsid w:val="00EF49B9"/>
    <w:rsid w:val="00EF4BCB"/>
    <w:rsid w:val="00F004A2"/>
    <w:rsid w:val="00F12C84"/>
    <w:rsid w:val="00F12D97"/>
    <w:rsid w:val="00F150F2"/>
    <w:rsid w:val="00F1619F"/>
    <w:rsid w:val="00F16640"/>
    <w:rsid w:val="00F17223"/>
    <w:rsid w:val="00F32887"/>
    <w:rsid w:val="00F32BDC"/>
    <w:rsid w:val="00F331FF"/>
    <w:rsid w:val="00F33ED0"/>
    <w:rsid w:val="00F410E3"/>
    <w:rsid w:val="00F504CB"/>
    <w:rsid w:val="00F5077A"/>
    <w:rsid w:val="00F529B4"/>
    <w:rsid w:val="00F5571A"/>
    <w:rsid w:val="00F61F38"/>
    <w:rsid w:val="00F77634"/>
    <w:rsid w:val="00F87C04"/>
    <w:rsid w:val="00F908D6"/>
    <w:rsid w:val="00F92D44"/>
    <w:rsid w:val="00FA2762"/>
    <w:rsid w:val="00FA37B5"/>
    <w:rsid w:val="00FA45A8"/>
    <w:rsid w:val="00FA5D9F"/>
    <w:rsid w:val="00FB5F07"/>
    <w:rsid w:val="00FB631E"/>
    <w:rsid w:val="00FC17AE"/>
    <w:rsid w:val="00FC4E61"/>
    <w:rsid w:val="00FC6074"/>
    <w:rsid w:val="00FC7C8C"/>
    <w:rsid w:val="00FD5AD3"/>
    <w:rsid w:val="00FD6917"/>
    <w:rsid w:val="00FE0F91"/>
    <w:rsid w:val="00FE70A9"/>
    <w:rsid w:val="00FF0D35"/>
    <w:rsid w:val="00FF238E"/>
    <w:rsid w:val="00FF4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E7BE35C-F97C-4BDE-9737-FF2946786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1"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uiPriority="0"/>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0A9"/>
    <w:pPr>
      <w:spacing w:after="120"/>
    </w:pPr>
  </w:style>
  <w:style w:type="paragraph" w:styleId="Heading1">
    <w:name w:val="heading 1"/>
    <w:basedOn w:val="Normal"/>
    <w:next w:val="Normal"/>
    <w:link w:val="Heading1Char"/>
    <w:uiPriority w:val="9"/>
    <w:qFormat/>
    <w:rsid w:val="00D73038"/>
    <w:pPr>
      <w:keepNext/>
      <w:keepLines/>
      <w:numPr>
        <w:numId w:val="1"/>
      </w:numPr>
      <w:pBdr>
        <w:bottom w:val="dotted" w:sz="12" w:space="2" w:color="4F6EB1"/>
      </w:pBdr>
      <w:spacing w:before="480" w:after="240"/>
      <w:outlineLvl w:val="0"/>
    </w:pPr>
    <w:rPr>
      <w:rFonts w:asciiTheme="majorHAnsi" w:eastAsiaTheme="majorEastAsia" w:hAnsiTheme="majorHAnsi" w:cstheme="majorBidi"/>
      <w:b/>
      <w:bCs/>
      <w:color w:val="013A81"/>
      <w:sz w:val="28"/>
      <w:szCs w:val="28"/>
    </w:rPr>
  </w:style>
  <w:style w:type="paragraph" w:styleId="Heading2">
    <w:name w:val="heading 2"/>
    <w:basedOn w:val="Normal"/>
    <w:next w:val="Normal"/>
    <w:link w:val="Heading2Char"/>
    <w:uiPriority w:val="9"/>
    <w:qFormat/>
    <w:rsid w:val="00D73038"/>
    <w:pPr>
      <w:keepNext/>
      <w:keepLines/>
      <w:numPr>
        <w:ilvl w:val="1"/>
        <w:numId w:val="1"/>
      </w:numPr>
      <w:spacing w:before="200"/>
      <w:outlineLvl w:val="1"/>
    </w:pPr>
    <w:rPr>
      <w:rFonts w:asciiTheme="majorHAnsi" w:eastAsiaTheme="majorEastAsia" w:hAnsiTheme="majorHAnsi" w:cstheme="majorBidi"/>
      <w:b/>
      <w:bCs/>
      <w:caps/>
      <w:color w:val="0574BB"/>
      <w:sz w:val="24"/>
      <w:szCs w:val="26"/>
    </w:rPr>
  </w:style>
  <w:style w:type="paragraph" w:styleId="Heading3">
    <w:name w:val="heading 3"/>
    <w:basedOn w:val="Normal"/>
    <w:next w:val="Normal"/>
    <w:link w:val="Heading3Char"/>
    <w:uiPriority w:val="9"/>
    <w:qFormat/>
    <w:rsid w:val="00D73038"/>
    <w:pPr>
      <w:keepNext/>
      <w:keepLines/>
      <w:numPr>
        <w:ilvl w:val="2"/>
        <w:numId w:val="1"/>
      </w:numPr>
      <w:spacing w:before="200"/>
      <w:outlineLvl w:val="2"/>
    </w:pPr>
    <w:rPr>
      <w:rFonts w:asciiTheme="majorHAnsi" w:eastAsiaTheme="majorEastAsia" w:hAnsiTheme="majorHAnsi" w:cstheme="majorBidi"/>
      <w:b/>
      <w:bCs/>
      <w:caps/>
    </w:rPr>
  </w:style>
  <w:style w:type="paragraph" w:styleId="Heading4">
    <w:name w:val="heading 4"/>
    <w:basedOn w:val="Normal"/>
    <w:next w:val="Normal"/>
    <w:link w:val="Heading4Char"/>
    <w:uiPriority w:val="9"/>
    <w:unhideWhenUsed/>
    <w:qFormat/>
    <w:rsid w:val="00CD165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CD1651"/>
    <w:pPr>
      <w:spacing w:before="200"/>
      <w:outlineLvl w:val="4"/>
    </w:pPr>
    <w:rPr>
      <w:rFonts w:asciiTheme="majorHAnsi" w:hAnsiTheme="majorHAnsi"/>
      <w:b/>
      <w:i/>
    </w:rPr>
  </w:style>
  <w:style w:type="paragraph" w:styleId="Heading6">
    <w:name w:val="heading 6"/>
    <w:basedOn w:val="Normal"/>
    <w:next w:val="Normal"/>
    <w:link w:val="Heading6Char"/>
    <w:uiPriority w:val="9"/>
    <w:unhideWhenUsed/>
    <w:rsid w:val="000F0AA0"/>
    <w:pPr>
      <w:keepNext/>
      <w:keepLines/>
      <w:numPr>
        <w:ilvl w:val="5"/>
        <w:numId w:val="1"/>
      </w:numPr>
      <w:spacing w:before="200"/>
      <w:outlineLvl w:val="5"/>
    </w:pPr>
    <w:rPr>
      <w:rFonts w:asciiTheme="majorHAnsi" w:eastAsiaTheme="majorEastAsia" w:hAnsiTheme="majorHAnsi" w:cstheme="majorBidi"/>
      <w:i/>
      <w:iCs/>
      <w:color w:val="0574BB" w:themeColor="accent1"/>
    </w:rPr>
  </w:style>
  <w:style w:type="paragraph" w:styleId="Heading7">
    <w:name w:val="heading 7"/>
    <w:basedOn w:val="Normal"/>
    <w:next w:val="Normal"/>
    <w:link w:val="Heading7Char"/>
    <w:uiPriority w:val="9"/>
    <w:unhideWhenUsed/>
    <w:rsid w:val="000F0AA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C4EB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D7303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0518"/>
    <w:pPr>
      <w:tabs>
        <w:tab w:val="center" w:pos="4513"/>
        <w:tab w:val="right" w:pos="9026"/>
      </w:tabs>
      <w:spacing w:after="0" w:line="240" w:lineRule="auto"/>
      <w:jc w:val="right"/>
    </w:pPr>
    <w:rPr>
      <w:b/>
      <w:noProof/>
      <w:color w:val="78838E"/>
      <w:sz w:val="28"/>
      <w:szCs w:val="28"/>
      <w:lang w:eastAsia="en-AU"/>
    </w:rPr>
  </w:style>
  <w:style w:type="character" w:customStyle="1" w:styleId="HeaderChar">
    <w:name w:val="Header Char"/>
    <w:basedOn w:val="DefaultParagraphFont"/>
    <w:link w:val="Header"/>
    <w:uiPriority w:val="99"/>
    <w:rsid w:val="00EE0518"/>
    <w:rPr>
      <w:b/>
      <w:noProof/>
      <w:color w:val="78838E"/>
      <w:sz w:val="28"/>
      <w:szCs w:val="28"/>
      <w:lang w:eastAsia="en-AU"/>
    </w:rPr>
  </w:style>
  <w:style w:type="paragraph" w:styleId="Footer">
    <w:name w:val="footer"/>
    <w:basedOn w:val="Normal"/>
    <w:link w:val="FooterChar"/>
    <w:uiPriority w:val="99"/>
    <w:unhideWhenUsed/>
    <w:rsid w:val="00C71DE6"/>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C71DE6"/>
    <w:rPr>
      <w:sz w:val="18"/>
    </w:rPr>
  </w:style>
  <w:style w:type="paragraph" w:styleId="BalloonText">
    <w:name w:val="Balloon Text"/>
    <w:basedOn w:val="Normal"/>
    <w:link w:val="BalloonTextChar"/>
    <w:uiPriority w:val="99"/>
    <w:semiHidden/>
    <w:unhideWhenUsed/>
    <w:rsid w:val="0092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F68"/>
    <w:rPr>
      <w:rFonts w:ascii="Tahoma" w:hAnsi="Tahoma" w:cs="Tahoma"/>
      <w:sz w:val="16"/>
      <w:szCs w:val="16"/>
    </w:rPr>
  </w:style>
  <w:style w:type="character" w:customStyle="1" w:styleId="Heading1Char">
    <w:name w:val="Heading 1 Char"/>
    <w:basedOn w:val="DefaultParagraphFont"/>
    <w:link w:val="Heading1"/>
    <w:uiPriority w:val="9"/>
    <w:rsid w:val="00D73038"/>
    <w:rPr>
      <w:rFonts w:asciiTheme="majorHAnsi" w:eastAsiaTheme="majorEastAsia" w:hAnsiTheme="majorHAnsi" w:cstheme="majorBidi"/>
      <w:b/>
      <w:bCs/>
      <w:color w:val="013A81"/>
      <w:sz w:val="28"/>
      <w:szCs w:val="28"/>
    </w:rPr>
  </w:style>
  <w:style w:type="character" w:customStyle="1" w:styleId="Heading2Char">
    <w:name w:val="Heading 2 Char"/>
    <w:basedOn w:val="DefaultParagraphFont"/>
    <w:link w:val="Heading2"/>
    <w:uiPriority w:val="9"/>
    <w:rsid w:val="00D73038"/>
    <w:rPr>
      <w:rFonts w:asciiTheme="majorHAnsi" w:eastAsiaTheme="majorEastAsia" w:hAnsiTheme="majorHAnsi" w:cstheme="majorBidi"/>
      <w:b/>
      <w:bCs/>
      <w:caps/>
      <w:color w:val="0574BB"/>
      <w:sz w:val="24"/>
      <w:szCs w:val="26"/>
    </w:rPr>
  </w:style>
  <w:style w:type="paragraph" w:styleId="Title">
    <w:name w:val="Title"/>
    <w:basedOn w:val="Normal"/>
    <w:next w:val="Normal"/>
    <w:link w:val="TitleChar"/>
    <w:uiPriority w:val="7"/>
    <w:qFormat/>
    <w:rsid w:val="00630755"/>
    <w:pPr>
      <w:spacing w:before="120" w:after="300" w:line="240" w:lineRule="auto"/>
      <w:contextualSpacing/>
    </w:pPr>
    <w:rPr>
      <w:rFonts w:ascii="Georgia" w:eastAsiaTheme="majorEastAsia" w:hAnsi="Georgia" w:cstheme="majorBidi"/>
      <w:b/>
      <w:color w:val="013A81"/>
      <w:spacing w:val="5"/>
      <w:kern w:val="28"/>
      <w:sz w:val="56"/>
      <w:szCs w:val="52"/>
    </w:rPr>
  </w:style>
  <w:style w:type="character" w:customStyle="1" w:styleId="TitleChar">
    <w:name w:val="Title Char"/>
    <w:basedOn w:val="DefaultParagraphFont"/>
    <w:link w:val="Title"/>
    <w:uiPriority w:val="7"/>
    <w:rsid w:val="00630755"/>
    <w:rPr>
      <w:rFonts w:ascii="Georgia" w:eastAsiaTheme="majorEastAsia" w:hAnsi="Georgia" w:cstheme="majorBidi"/>
      <w:b/>
      <w:color w:val="013A81"/>
      <w:spacing w:val="5"/>
      <w:kern w:val="28"/>
      <w:sz w:val="56"/>
      <w:szCs w:val="52"/>
    </w:rPr>
  </w:style>
  <w:style w:type="paragraph" w:styleId="Subtitle">
    <w:name w:val="Subtitle"/>
    <w:basedOn w:val="Normal"/>
    <w:next w:val="Normal"/>
    <w:link w:val="SubtitleChar"/>
    <w:uiPriority w:val="8"/>
    <w:qFormat/>
    <w:rsid w:val="0096037B"/>
    <w:pPr>
      <w:numPr>
        <w:ilvl w:val="1"/>
      </w:numPr>
    </w:pPr>
    <w:rPr>
      <w:rFonts w:ascii="Georgia" w:eastAsiaTheme="majorEastAsia" w:hAnsi="Georgia" w:cstheme="majorBidi"/>
      <w:b/>
      <w:i/>
      <w:iCs/>
      <w:color w:val="666666"/>
      <w:spacing w:val="15"/>
      <w:sz w:val="24"/>
      <w:szCs w:val="24"/>
    </w:rPr>
  </w:style>
  <w:style w:type="character" w:customStyle="1" w:styleId="SubtitleChar">
    <w:name w:val="Subtitle Char"/>
    <w:basedOn w:val="DefaultParagraphFont"/>
    <w:link w:val="Subtitle"/>
    <w:uiPriority w:val="8"/>
    <w:rsid w:val="0096037B"/>
    <w:rPr>
      <w:rFonts w:ascii="Georgia" w:eastAsiaTheme="majorEastAsia" w:hAnsi="Georgia" w:cstheme="majorBidi"/>
      <w:b/>
      <w:i/>
      <w:iCs/>
      <w:color w:val="666666"/>
      <w:spacing w:val="15"/>
      <w:sz w:val="24"/>
      <w:szCs w:val="24"/>
    </w:rPr>
  </w:style>
  <w:style w:type="character" w:styleId="SubtleEmphasis">
    <w:name w:val="Subtle Emphasis"/>
    <w:basedOn w:val="DefaultParagraphFont"/>
    <w:uiPriority w:val="19"/>
    <w:rsid w:val="00D2173D"/>
    <w:rPr>
      <w:rFonts w:asciiTheme="minorHAnsi" w:hAnsiTheme="minorHAnsi"/>
      <w:b/>
      <w:i w:val="0"/>
      <w:iCs/>
      <w:color w:val="auto"/>
      <w:sz w:val="20"/>
    </w:rPr>
  </w:style>
  <w:style w:type="character" w:styleId="Emphasis">
    <w:name w:val="Emphasis"/>
    <w:basedOn w:val="DefaultParagraphFont"/>
    <w:uiPriority w:val="20"/>
    <w:qFormat/>
    <w:rsid w:val="003C2FA6"/>
    <w:rPr>
      <w:rFonts w:ascii="Arial" w:hAnsi="Arial"/>
      <w:b/>
      <w:iCs/>
    </w:rPr>
  </w:style>
  <w:style w:type="character" w:styleId="IntenseEmphasis">
    <w:name w:val="Intense Emphasis"/>
    <w:basedOn w:val="DefaultParagraphFont"/>
    <w:uiPriority w:val="21"/>
    <w:qFormat/>
    <w:rsid w:val="003C2FA6"/>
    <w:rPr>
      <w:b/>
      <w:bCs/>
      <w:iCs/>
      <w:color w:val="8DBAEE" w:themeColor="background2"/>
    </w:rPr>
  </w:style>
  <w:style w:type="character" w:styleId="Strong">
    <w:name w:val="Strong"/>
    <w:basedOn w:val="DefaultParagraphFont"/>
    <w:uiPriority w:val="22"/>
    <w:qFormat/>
    <w:rsid w:val="00DA44F9"/>
    <w:rPr>
      <w:b/>
      <w:bCs/>
    </w:rPr>
  </w:style>
  <w:style w:type="paragraph" w:styleId="Quote">
    <w:name w:val="Quote"/>
    <w:basedOn w:val="Normal"/>
    <w:next w:val="Normal"/>
    <w:link w:val="QuoteChar"/>
    <w:uiPriority w:val="29"/>
    <w:qFormat/>
    <w:rsid w:val="006B6F0B"/>
    <w:pPr>
      <w:spacing w:after="200" w:line="300" w:lineRule="auto"/>
      <w:ind w:left="567" w:right="936"/>
    </w:pPr>
    <w:rPr>
      <w:rFonts w:ascii="Georgia" w:hAnsi="Georgia"/>
      <w:i/>
      <w:iCs/>
    </w:rPr>
  </w:style>
  <w:style w:type="character" w:customStyle="1" w:styleId="QuoteChar">
    <w:name w:val="Quote Char"/>
    <w:basedOn w:val="DefaultParagraphFont"/>
    <w:link w:val="Quote"/>
    <w:uiPriority w:val="29"/>
    <w:rsid w:val="006B6F0B"/>
    <w:rPr>
      <w:rFonts w:ascii="Georgia" w:hAnsi="Georgia"/>
      <w:i/>
      <w:iCs/>
    </w:rPr>
  </w:style>
  <w:style w:type="paragraph" w:styleId="IntenseQuote">
    <w:name w:val="Intense Quote"/>
    <w:basedOn w:val="Quote"/>
    <w:next w:val="Normal"/>
    <w:link w:val="IntenseQuoteChar"/>
    <w:uiPriority w:val="30"/>
    <w:qFormat/>
    <w:rsid w:val="006B6F0B"/>
    <w:rPr>
      <w:b/>
      <w:bCs/>
    </w:rPr>
  </w:style>
  <w:style w:type="character" w:customStyle="1" w:styleId="IntenseQuoteChar">
    <w:name w:val="Intense Quote Char"/>
    <w:basedOn w:val="DefaultParagraphFont"/>
    <w:link w:val="IntenseQuote"/>
    <w:uiPriority w:val="30"/>
    <w:rsid w:val="006B6F0B"/>
    <w:rPr>
      <w:rFonts w:ascii="Georgia" w:hAnsi="Georgia"/>
      <w:b/>
      <w:bCs/>
      <w:i/>
      <w:iCs/>
    </w:rPr>
  </w:style>
  <w:style w:type="character" w:styleId="SubtleReference">
    <w:name w:val="Subtle Reference"/>
    <w:uiPriority w:val="31"/>
    <w:qFormat/>
    <w:rsid w:val="003C2FA6"/>
    <w:rPr>
      <w:i/>
    </w:rPr>
  </w:style>
  <w:style w:type="character" w:styleId="IntenseReference">
    <w:name w:val="Intense Reference"/>
    <w:uiPriority w:val="32"/>
    <w:qFormat/>
    <w:rsid w:val="003C2FA6"/>
    <w:rPr>
      <w:b/>
      <w:i/>
    </w:rPr>
  </w:style>
  <w:style w:type="character" w:styleId="BookTitle">
    <w:name w:val="Book Title"/>
    <w:basedOn w:val="DefaultParagraphFont"/>
    <w:uiPriority w:val="33"/>
    <w:semiHidden/>
    <w:unhideWhenUsed/>
    <w:rsid w:val="000F0AA0"/>
    <w:rPr>
      <w:rFonts w:asciiTheme="minorHAnsi" w:hAnsiTheme="minorHAnsi"/>
      <w:b/>
      <w:bCs/>
      <w:caps w:val="0"/>
      <w:smallCaps w:val="0"/>
      <w:color w:val="auto"/>
      <w:spacing w:val="5"/>
      <w:sz w:val="24"/>
    </w:rPr>
  </w:style>
  <w:style w:type="paragraph" w:styleId="ListParagraph">
    <w:name w:val="List Paragraph"/>
    <w:basedOn w:val="Normal"/>
    <w:uiPriority w:val="99"/>
    <w:qFormat/>
    <w:rsid w:val="00F004A2"/>
    <w:pPr>
      <w:spacing w:after="0"/>
      <w:ind w:left="360"/>
    </w:pPr>
  </w:style>
  <w:style w:type="paragraph" w:styleId="NoSpacing">
    <w:name w:val="No Spacing"/>
    <w:link w:val="NoSpacingChar"/>
    <w:uiPriority w:val="1"/>
    <w:qFormat/>
    <w:rsid w:val="00533280"/>
    <w:pPr>
      <w:spacing w:after="0"/>
    </w:pPr>
  </w:style>
  <w:style w:type="character" w:customStyle="1" w:styleId="NoSpacingChar">
    <w:name w:val="No Spacing Char"/>
    <w:basedOn w:val="DefaultParagraphFont"/>
    <w:link w:val="NoSpacing"/>
    <w:uiPriority w:val="1"/>
    <w:rsid w:val="00533280"/>
  </w:style>
  <w:style w:type="table" w:styleId="TableGrid">
    <w:name w:val="Table Grid"/>
    <w:basedOn w:val="TableNormal"/>
    <w:uiPriority w:val="59"/>
    <w:rsid w:val="00702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73038"/>
    <w:rPr>
      <w:rFonts w:asciiTheme="majorHAnsi" w:eastAsiaTheme="majorEastAsia" w:hAnsiTheme="majorHAnsi" w:cstheme="majorBidi"/>
      <w:b/>
      <w:bCs/>
      <w:caps/>
    </w:rPr>
  </w:style>
  <w:style w:type="character" w:customStyle="1" w:styleId="Heading4Char">
    <w:name w:val="Heading 4 Char"/>
    <w:basedOn w:val="DefaultParagraphFont"/>
    <w:link w:val="Heading4"/>
    <w:uiPriority w:val="9"/>
    <w:rsid w:val="00D73038"/>
    <w:rPr>
      <w:rFonts w:asciiTheme="majorHAnsi" w:eastAsiaTheme="majorEastAsia" w:hAnsiTheme="majorHAnsi" w:cstheme="majorBidi"/>
      <w:b/>
      <w:bCs/>
      <w:iCs/>
    </w:rPr>
  </w:style>
  <w:style w:type="character" w:styleId="PlaceholderText">
    <w:name w:val="Placeholder Text"/>
    <w:basedOn w:val="DefaultParagraphFont"/>
    <w:uiPriority w:val="99"/>
    <w:semiHidden/>
    <w:rsid w:val="00B45A41"/>
    <w:rPr>
      <w:color w:val="808080"/>
    </w:rPr>
  </w:style>
  <w:style w:type="character" w:customStyle="1" w:styleId="Heading5Char">
    <w:name w:val="Heading 5 Char"/>
    <w:basedOn w:val="DefaultParagraphFont"/>
    <w:link w:val="Heading5"/>
    <w:uiPriority w:val="9"/>
    <w:rsid w:val="00D73038"/>
    <w:rPr>
      <w:rFonts w:asciiTheme="majorHAnsi" w:hAnsiTheme="majorHAnsi"/>
      <w:b/>
      <w:i/>
    </w:rPr>
  </w:style>
  <w:style w:type="character" w:customStyle="1" w:styleId="Heading6Char">
    <w:name w:val="Heading 6 Char"/>
    <w:basedOn w:val="DefaultParagraphFont"/>
    <w:link w:val="Heading6"/>
    <w:uiPriority w:val="9"/>
    <w:rsid w:val="000F0AA0"/>
    <w:rPr>
      <w:rFonts w:asciiTheme="majorHAnsi" w:eastAsiaTheme="majorEastAsia" w:hAnsiTheme="majorHAnsi" w:cstheme="majorBidi"/>
      <w:i/>
      <w:iCs/>
      <w:color w:val="0574BB" w:themeColor="accent1"/>
    </w:rPr>
  </w:style>
  <w:style w:type="paragraph" w:styleId="TOCHeading">
    <w:name w:val="TOC Heading"/>
    <w:basedOn w:val="Heading1"/>
    <w:next w:val="Normal"/>
    <w:uiPriority w:val="11"/>
    <w:unhideWhenUsed/>
    <w:qFormat/>
    <w:rsid w:val="00D66B0B"/>
    <w:pPr>
      <w:numPr>
        <w:numId w:val="0"/>
      </w:numPr>
      <w:pBdr>
        <w:bottom w:val="dotted" w:sz="12" w:space="1" w:color="8DBAEE" w:themeColor="background2"/>
      </w:pBdr>
      <w:outlineLvl w:val="9"/>
    </w:pPr>
    <w:rPr>
      <w:lang w:val="en-US"/>
    </w:rPr>
  </w:style>
  <w:style w:type="paragraph" w:styleId="TOC1">
    <w:name w:val="toc 1"/>
    <w:basedOn w:val="Normal"/>
    <w:next w:val="Normal"/>
    <w:uiPriority w:val="39"/>
    <w:unhideWhenUsed/>
    <w:rsid w:val="00D66B0B"/>
    <w:pPr>
      <w:tabs>
        <w:tab w:val="left" w:pos="567"/>
        <w:tab w:val="right" w:leader="dot" w:pos="9016"/>
      </w:tabs>
      <w:spacing w:after="100"/>
      <w:ind w:left="567" w:hanging="567"/>
    </w:pPr>
    <w:rPr>
      <w:b/>
    </w:rPr>
  </w:style>
  <w:style w:type="paragraph" w:styleId="TOC2">
    <w:name w:val="toc 2"/>
    <w:basedOn w:val="Normal"/>
    <w:next w:val="Normal"/>
    <w:uiPriority w:val="39"/>
    <w:unhideWhenUsed/>
    <w:rsid w:val="00A24722"/>
    <w:pPr>
      <w:tabs>
        <w:tab w:val="left" w:pos="1134"/>
        <w:tab w:val="right" w:leader="dot" w:pos="9016"/>
      </w:tabs>
      <w:spacing w:after="40"/>
      <w:ind w:left="1134" w:hanging="567"/>
    </w:pPr>
  </w:style>
  <w:style w:type="paragraph" w:styleId="TOC3">
    <w:name w:val="toc 3"/>
    <w:basedOn w:val="Normal"/>
    <w:next w:val="Normal"/>
    <w:uiPriority w:val="39"/>
    <w:unhideWhenUsed/>
    <w:rsid w:val="00A24722"/>
    <w:pPr>
      <w:tabs>
        <w:tab w:val="left" w:pos="1701"/>
        <w:tab w:val="right" w:leader="dot" w:pos="9016"/>
      </w:tabs>
      <w:spacing w:after="40" w:line="240" w:lineRule="auto"/>
      <w:ind w:left="1701" w:hanging="850"/>
      <w:outlineLvl w:val="2"/>
    </w:pPr>
    <w:rPr>
      <w:noProof/>
      <w:sz w:val="20"/>
    </w:rPr>
  </w:style>
  <w:style w:type="character" w:styleId="Hyperlink">
    <w:name w:val="Hyperlink"/>
    <w:basedOn w:val="DefaultParagraphFont"/>
    <w:uiPriority w:val="99"/>
    <w:unhideWhenUsed/>
    <w:rsid w:val="00D66B0B"/>
    <w:rPr>
      <w:noProof/>
      <w:color w:val="A72100" w:themeColor="hyperlink"/>
      <w:u w:val="single"/>
    </w:rPr>
  </w:style>
  <w:style w:type="table" w:styleId="LightShading-Accent5">
    <w:name w:val="Light Shading Accent 5"/>
    <w:basedOn w:val="TableNormal"/>
    <w:uiPriority w:val="60"/>
    <w:rsid w:val="00EF3759"/>
    <w:pPr>
      <w:spacing w:after="0" w:line="240" w:lineRule="auto"/>
    </w:pPr>
    <w:rPr>
      <w:color w:val="4E3FC3" w:themeColor="accent5" w:themeShade="BF"/>
    </w:rPr>
    <w:tblPr>
      <w:tblStyleRowBandSize w:val="1"/>
      <w:tblStyleColBandSize w:val="1"/>
      <w:tblBorders>
        <w:top w:val="single" w:sz="8" w:space="0" w:color="8C82D8" w:themeColor="accent5"/>
        <w:bottom w:val="single" w:sz="8" w:space="0" w:color="8C82D8" w:themeColor="accent5"/>
      </w:tblBorders>
    </w:tblPr>
    <w:tblStylePr w:type="fir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la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F5" w:themeFill="accent5" w:themeFillTint="3F"/>
      </w:tcPr>
    </w:tblStylePr>
    <w:tblStylePr w:type="band1Horz">
      <w:tblPr/>
      <w:tcPr>
        <w:tcBorders>
          <w:left w:val="nil"/>
          <w:right w:val="nil"/>
          <w:insideH w:val="nil"/>
          <w:insideV w:val="nil"/>
        </w:tcBorders>
        <w:shd w:val="clear" w:color="auto" w:fill="E2E0F5" w:themeFill="accent5" w:themeFillTint="3F"/>
      </w:tcPr>
    </w:tblStylePr>
  </w:style>
  <w:style w:type="paragraph" w:styleId="NormalWeb">
    <w:name w:val="Normal (Web)"/>
    <w:basedOn w:val="Normal"/>
    <w:uiPriority w:val="99"/>
    <w:unhideWhenUsed/>
    <w:rsid w:val="00AE7F71"/>
    <w:pPr>
      <w:spacing w:after="210" w:line="210" w:lineRule="atLeast"/>
      <w:jc w:val="both"/>
    </w:pPr>
    <w:rPr>
      <w:rFonts w:ascii="Times New Roman" w:eastAsia="Times New Roman" w:hAnsi="Times New Roman" w:cs="Times New Roman"/>
      <w:sz w:val="17"/>
      <w:szCs w:val="17"/>
      <w:lang w:eastAsia="en-AU"/>
    </w:rPr>
  </w:style>
  <w:style w:type="paragraph" w:customStyle="1" w:styleId="BasicParagraph">
    <w:name w:val="[Basic Paragraph]"/>
    <w:basedOn w:val="Normal"/>
    <w:uiPriority w:val="99"/>
    <w:semiHidden/>
    <w:unhideWhenUsed/>
    <w:rsid w:val="001F10BE"/>
    <w:pPr>
      <w:autoSpaceDE w:val="0"/>
      <w:autoSpaceDN w:val="0"/>
      <w:spacing w:after="0" w:line="288" w:lineRule="auto"/>
    </w:pPr>
    <w:rPr>
      <w:rFonts w:ascii="Chronicle Display" w:hAnsi="Chronicle Display" w:cs="Times New Roman"/>
      <w:color w:val="000000"/>
      <w:sz w:val="24"/>
      <w:szCs w:val="24"/>
    </w:rPr>
  </w:style>
  <w:style w:type="character" w:customStyle="1" w:styleId="Heading7Char">
    <w:name w:val="Heading 7 Char"/>
    <w:basedOn w:val="DefaultParagraphFont"/>
    <w:link w:val="Heading7"/>
    <w:uiPriority w:val="9"/>
    <w:rsid w:val="000F0A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C4EBD"/>
    <w:rPr>
      <w:rFonts w:asciiTheme="majorHAnsi" w:eastAsiaTheme="majorEastAsia" w:hAnsiTheme="majorHAnsi" w:cstheme="majorBidi"/>
      <w:color w:val="404040" w:themeColor="text1" w:themeTint="BF"/>
      <w:sz w:val="20"/>
      <w:szCs w:val="20"/>
    </w:rPr>
  </w:style>
  <w:style w:type="table" w:customStyle="1" w:styleId="TableUniSuper">
    <w:name w:val="Table UniSuper"/>
    <w:basedOn w:val="TableNormal"/>
    <w:uiPriority w:val="99"/>
    <w:qFormat/>
    <w:rsid w:val="00B674E7"/>
    <w:pPr>
      <w:spacing w:after="0" w:line="240" w:lineRule="auto"/>
    </w:pPr>
    <w:tblPr>
      <w:tblStyleRowBandSize w:val="1"/>
      <w:tblBorders>
        <w:top w:val="dotted" w:sz="12" w:space="0" w:color="F2F2F2" w:themeColor="background1" w:themeShade="F2"/>
        <w:left w:val="dotted" w:sz="12" w:space="0" w:color="F2F2F2" w:themeColor="background1" w:themeShade="F2"/>
        <w:bottom w:val="dotted" w:sz="12" w:space="0" w:color="F2F2F2" w:themeColor="background1" w:themeShade="F2"/>
        <w:right w:val="dotted" w:sz="12" w:space="0" w:color="F2F2F2" w:themeColor="background1" w:themeShade="F2"/>
        <w:insideH w:val="dotted" w:sz="12" w:space="0" w:color="F2F2F2" w:themeColor="background1" w:themeShade="F2"/>
        <w:insideV w:val="dotted" w:sz="12" w:space="0" w:color="F2F2F2" w:themeColor="background1" w:themeShade="F2"/>
      </w:tblBorders>
    </w:tblPr>
    <w:tcPr>
      <w:vAlign w:val="center"/>
    </w:tcPr>
    <w:tblStylePr w:type="firstRow">
      <w:pPr>
        <w:wordWrap/>
        <w:spacing w:beforeLines="0" w:before="60" w:beforeAutospacing="0" w:afterLines="0" w:after="60" w:afterAutospacing="0" w:line="240" w:lineRule="auto"/>
        <w:jc w:val="left"/>
      </w:pPr>
      <w:rPr>
        <w:rFonts w:asciiTheme="minorHAnsi" w:hAnsiTheme="minorHAnsi"/>
        <w:b/>
        <w:color w:val="FFFFFF" w:themeColor="background1"/>
        <w:sz w:val="22"/>
      </w:rPr>
      <w:tblPr/>
      <w:tcPr>
        <w:shd w:val="clear" w:color="auto" w:fill="96D56D"/>
      </w:tcPr>
    </w:tblStylePr>
    <w:tblStylePr w:type="lastRow">
      <w:tblPr/>
      <w:tcPr>
        <w:shd w:val="clear" w:color="auto" w:fill="C7E1F5"/>
      </w:tcPr>
    </w:tblStylePr>
    <w:tblStylePr w:type="firstCol">
      <w:rPr>
        <w:rFonts w:asciiTheme="majorHAnsi" w:hAnsiTheme="majorHAnsi"/>
        <w:b/>
      </w:rPr>
    </w:tblStylePr>
    <w:tblStylePr w:type="band1Horz">
      <w:pPr>
        <w:wordWrap/>
        <w:spacing w:beforeLines="0" w:before="60" w:beforeAutospacing="0" w:afterLines="0" w:after="60" w:afterAutospacing="0" w:line="240" w:lineRule="auto"/>
      </w:pPr>
      <w:tblPr/>
      <w:tcPr>
        <w:shd w:val="clear" w:color="auto" w:fill="C7E1F5"/>
      </w:tcPr>
    </w:tblStylePr>
    <w:tblStylePr w:type="band2Horz">
      <w:pPr>
        <w:wordWrap/>
        <w:spacing w:beforeLines="0" w:before="60" w:beforeAutospacing="0" w:afterLines="0" w:after="60" w:afterAutospacing="0" w:line="240" w:lineRule="auto"/>
      </w:pPr>
      <w:tblPr/>
      <w:tcPr>
        <w:shd w:val="clear" w:color="auto" w:fill="C7E1F5"/>
      </w:tcPr>
    </w:tblStylePr>
  </w:style>
  <w:style w:type="character" w:customStyle="1" w:styleId="Heading9Char">
    <w:name w:val="Heading 9 Char"/>
    <w:basedOn w:val="DefaultParagraphFont"/>
    <w:link w:val="Heading9"/>
    <w:uiPriority w:val="9"/>
    <w:semiHidden/>
    <w:rsid w:val="00D73038"/>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201AEA"/>
  </w:style>
  <w:style w:type="character" w:styleId="CommentReference">
    <w:name w:val="annotation reference"/>
    <w:basedOn w:val="DefaultParagraphFont"/>
    <w:uiPriority w:val="99"/>
    <w:semiHidden/>
    <w:unhideWhenUsed/>
    <w:rsid w:val="009959E9"/>
    <w:rPr>
      <w:sz w:val="16"/>
      <w:szCs w:val="16"/>
    </w:rPr>
  </w:style>
  <w:style w:type="paragraph" w:styleId="CommentText">
    <w:name w:val="annotation text"/>
    <w:basedOn w:val="Normal"/>
    <w:link w:val="CommentTextChar"/>
    <w:uiPriority w:val="99"/>
    <w:semiHidden/>
    <w:unhideWhenUsed/>
    <w:rsid w:val="009959E9"/>
    <w:pPr>
      <w:spacing w:line="240" w:lineRule="auto"/>
    </w:pPr>
    <w:rPr>
      <w:sz w:val="20"/>
      <w:szCs w:val="20"/>
    </w:rPr>
  </w:style>
  <w:style w:type="character" w:customStyle="1" w:styleId="CommentTextChar">
    <w:name w:val="Comment Text Char"/>
    <w:basedOn w:val="DefaultParagraphFont"/>
    <w:link w:val="CommentText"/>
    <w:uiPriority w:val="99"/>
    <w:semiHidden/>
    <w:rsid w:val="009959E9"/>
    <w:rPr>
      <w:sz w:val="20"/>
      <w:szCs w:val="20"/>
    </w:rPr>
  </w:style>
  <w:style w:type="paragraph" w:styleId="CommentSubject">
    <w:name w:val="annotation subject"/>
    <w:basedOn w:val="CommentText"/>
    <w:next w:val="CommentText"/>
    <w:link w:val="CommentSubjectChar"/>
    <w:uiPriority w:val="99"/>
    <w:semiHidden/>
    <w:unhideWhenUsed/>
    <w:rsid w:val="009959E9"/>
    <w:rPr>
      <w:b/>
      <w:bCs/>
    </w:rPr>
  </w:style>
  <w:style w:type="character" w:customStyle="1" w:styleId="CommentSubjectChar">
    <w:name w:val="Comment Subject Char"/>
    <w:basedOn w:val="CommentTextChar"/>
    <w:link w:val="CommentSubject"/>
    <w:uiPriority w:val="99"/>
    <w:semiHidden/>
    <w:rsid w:val="009959E9"/>
    <w:rPr>
      <w:b/>
      <w:bCs/>
      <w:sz w:val="20"/>
      <w:szCs w:val="20"/>
    </w:rPr>
  </w:style>
  <w:style w:type="paragraph" w:styleId="FootnoteText">
    <w:name w:val="footnote text"/>
    <w:basedOn w:val="Normal"/>
    <w:link w:val="FootnoteTextChar"/>
    <w:uiPriority w:val="99"/>
    <w:semiHidden/>
    <w:unhideWhenUsed/>
    <w:rsid w:val="00FA45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45A8"/>
    <w:rPr>
      <w:sz w:val="20"/>
      <w:szCs w:val="20"/>
    </w:rPr>
  </w:style>
  <w:style w:type="character" w:styleId="FootnoteReference">
    <w:name w:val="footnote reference"/>
    <w:basedOn w:val="DefaultParagraphFont"/>
    <w:uiPriority w:val="99"/>
    <w:semiHidden/>
    <w:unhideWhenUsed/>
    <w:rsid w:val="00FA45A8"/>
    <w:rPr>
      <w:vertAlign w:val="superscript"/>
    </w:rPr>
  </w:style>
  <w:style w:type="paragraph" w:styleId="EndnoteText">
    <w:name w:val="endnote text"/>
    <w:basedOn w:val="Normal"/>
    <w:link w:val="EndnoteTextChar"/>
    <w:uiPriority w:val="99"/>
    <w:semiHidden/>
    <w:unhideWhenUsed/>
    <w:rsid w:val="000C5BC1"/>
    <w:pPr>
      <w:spacing w:after="0" w:line="240" w:lineRule="auto"/>
    </w:pPr>
    <w:rPr>
      <w:rFonts w:eastAsiaTheme="minorEastAsia"/>
      <w:sz w:val="20"/>
      <w:szCs w:val="20"/>
      <w:lang w:eastAsia="en-AU"/>
    </w:rPr>
  </w:style>
  <w:style w:type="character" w:customStyle="1" w:styleId="EndnoteTextChar">
    <w:name w:val="Endnote Text Char"/>
    <w:basedOn w:val="DefaultParagraphFont"/>
    <w:link w:val="EndnoteText"/>
    <w:uiPriority w:val="99"/>
    <w:semiHidden/>
    <w:rsid w:val="000C5BC1"/>
    <w:rPr>
      <w:rFonts w:eastAsiaTheme="minorEastAsia"/>
      <w:sz w:val="20"/>
      <w:szCs w:val="20"/>
      <w:lang w:eastAsia="en-AU"/>
    </w:rPr>
  </w:style>
  <w:style w:type="character" w:styleId="EndnoteReference">
    <w:name w:val="endnote reference"/>
    <w:basedOn w:val="DefaultParagraphFont"/>
    <w:uiPriority w:val="99"/>
    <w:semiHidden/>
    <w:unhideWhenUsed/>
    <w:rsid w:val="000C5BC1"/>
    <w:rPr>
      <w:vertAlign w:val="superscript"/>
    </w:rPr>
  </w:style>
  <w:style w:type="paragraph" w:styleId="PlainText">
    <w:name w:val="Plain Text"/>
    <w:basedOn w:val="Normal"/>
    <w:link w:val="PlainTextChar"/>
    <w:uiPriority w:val="99"/>
    <w:unhideWhenUsed/>
    <w:rsid w:val="00E36B5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E36B5A"/>
    <w:rPr>
      <w:rFonts w:ascii="Calibri" w:hAnsi="Calibri" w:cs="Times New Roman"/>
    </w:rPr>
  </w:style>
  <w:style w:type="paragraph" w:customStyle="1" w:styleId="byline">
    <w:name w:val="byline"/>
    <w:basedOn w:val="Normal"/>
    <w:rsid w:val="0086058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08811">
      <w:bodyDiv w:val="1"/>
      <w:marLeft w:val="0"/>
      <w:marRight w:val="0"/>
      <w:marTop w:val="0"/>
      <w:marBottom w:val="0"/>
      <w:divBdr>
        <w:top w:val="none" w:sz="0" w:space="0" w:color="auto"/>
        <w:left w:val="none" w:sz="0" w:space="0" w:color="auto"/>
        <w:bottom w:val="none" w:sz="0" w:space="0" w:color="auto"/>
        <w:right w:val="none" w:sz="0" w:space="0" w:color="auto"/>
      </w:divBdr>
    </w:div>
    <w:div w:id="228425473">
      <w:bodyDiv w:val="1"/>
      <w:marLeft w:val="0"/>
      <w:marRight w:val="0"/>
      <w:marTop w:val="0"/>
      <w:marBottom w:val="0"/>
      <w:divBdr>
        <w:top w:val="none" w:sz="0" w:space="0" w:color="auto"/>
        <w:left w:val="none" w:sz="0" w:space="0" w:color="auto"/>
        <w:bottom w:val="none" w:sz="0" w:space="0" w:color="auto"/>
        <w:right w:val="none" w:sz="0" w:space="0" w:color="auto"/>
      </w:divBdr>
    </w:div>
    <w:div w:id="260647618">
      <w:bodyDiv w:val="1"/>
      <w:marLeft w:val="0"/>
      <w:marRight w:val="0"/>
      <w:marTop w:val="0"/>
      <w:marBottom w:val="0"/>
      <w:divBdr>
        <w:top w:val="none" w:sz="0" w:space="0" w:color="auto"/>
        <w:left w:val="none" w:sz="0" w:space="0" w:color="auto"/>
        <w:bottom w:val="none" w:sz="0" w:space="0" w:color="auto"/>
        <w:right w:val="none" w:sz="0" w:space="0" w:color="auto"/>
      </w:divBdr>
    </w:div>
    <w:div w:id="287126260">
      <w:bodyDiv w:val="1"/>
      <w:marLeft w:val="0"/>
      <w:marRight w:val="0"/>
      <w:marTop w:val="0"/>
      <w:marBottom w:val="0"/>
      <w:divBdr>
        <w:top w:val="none" w:sz="0" w:space="0" w:color="auto"/>
        <w:left w:val="none" w:sz="0" w:space="0" w:color="auto"/>
        <w:bottom w:val="none" w:sz="0" w:space="0" w:color="auto"/>
        <w:right w:val="none" w:sz="0" w:space="0" w:color="auto"/>
      </w:divBdr>
    </w:div>
    <w:div w:id="380640097">
      <w:bodyDiv w:val="1"/>
      <w:marLeft w:val="0"/>
      <w:marRight w:val="0"/>
      <w:marTop w:val="0"/>
      <w:marBottom w:val="0"/>
      <w:divBdr>
        <w:top w:val="none" w:sz="0" w:space="0" w:color="auto"/>
        <w:left w:val="none" w:sz="0" w:space="0" w:color="auto"/>
        <w:bottom w:val="none" w:sz="0" w:space="0" w:color="auto"/>
        <w:right w:val="none" w:sz="0" w:space="0" w:color="auto"/>
      </w:divBdr>
    </w:div>
    <w:div w:id="416364803">
      <w:bodyDiv w:val="1"/>
      <w:marLeft w:val="0"/>
      <w:marRight w:val="0"/>
      <w:marTop w:val="0"/>
      <w:marBottom w:val="0"/>
      <w:divBdr>
        <w:top w:val="none" w:sz="0" w:space="0" w:color="auto"/>
        <w:left w:val="none" w:sz="0" w:space="0" w:color="auto"/>
        <w:bottom w:val="none" w:sz="0" w:space="0" w:color="auto"/>
        <w:right w:val="none" w:sz="0" w:space="0" w:color="auto"/>
      </w:divBdr>
    </w:div>
    <w:div w:id="442530703">
      <w:bodyDiv w:val="1"/>
      <w:marLeft w:val="0"/>
      <w:marRight w:val="0"/>
      <w:marTop w:val="0"/>
      <w:marBottom w:val="0"/>
      <w:divBdr>
        <w:top w:val="none" w:sz="0" w:space="0" w:color="auto"/>
        <w:left w:val="none" w:sz="0" w:space="0" w:color="auto"/>
        <w:bottom w:val="none" w:sz="0" w:space="0" w:color="auto"/>
        <w:right w:val="none" w:sz="0" w:space="0" w:color="auto"/>
      </w:divBdr>
      <w:divsChild>
        <w:div w:id="1713190256">
          <w:marLeft w:val="0"/>
          <w:marRight w:val="0"/>
          <w:marTop w:val="0"/>
          <w:marBottom w:val="0"/>
          <w:divBdr>
            <w:top w:val="none" w:sz="0" w:space="0" w:color="auto"/>
            <w:left w:val="none" w:sz="0" w:space="0" w:color="auto"/>
            <w:bottom w:val="none" w:sz="0" w:space="0" w:color="auto"/>
            <w:right w:val="none" w:sz="0" w:space="0" w:color="auto"/>
          </w:divBdr>
        </w:div>
        <w:div w:id="1952396913">
          <w:marLeft w:val="0"/>
          <w:marRight w:val="0"/>
          <w:marTop w:val="0"/>
          <w:marBottom w:val="0"/>
          <w:divBdr>
            <w:top w:val="none" w:sz="0" w:space="0" w:color="auto"/>
            <w:left w:val="none" w:sz="0" w:space="0" w:color="auto"/>
            <w:bottom w:val="none" w:sz="0" w:space="0" w:color="auto"/>
            <w:right w:val="none" w:sz="0" w:space="0" w:color="auto"/>
          </w:divBdr>
          <w:divsChild>
            <w:div w:id="313140475">
              <w:marLeft w:val="0"/>
              <w:marRight w:val="225"/>
              <w:marTop w:val="0"/>
              <w:marBottom w:val="0"/>
              <w:divBdr>
                <w:top w:val="none" w:sz="0" w:space="0" w:color="auto"/>
                <w:left w:val="none" w:sz="0" w:space="0" w:color="auto"/>
                <w:bottom w:val="none" w:sz="0" w:space="0" w:color="auto"/>
                <w:right w:val="none" w:sz="0" w:space="0" w:color="auto"/>
              </w:divBdr>
              <w:divsChild>
                <w:div w:id="378551367">
                  <w:marLeft w:val="-750"/>
                  <w:marRight w:val="225"/>
                  <w:marTop w:val="75"/>
                  <w:marBottom w:val="225"/>
                  <w:divBdr>
                    <w:top w:val="single" w:sz="6" w:space="8" w:color="DDDDDD"/>
                    <w:left w:val="single" w:sz="6" w:space="8" w:color="DDDDDD"/>
                    <w:bottom w:val="single" w:sz="6" w:space="8" w:color="DDDDDD"/>
                    <w:right w:val="single" w:sz="6" w:space="8" w:color="DDDDDD"/>
                  </w:divBdr>
                </w:div>
              </w:divsChild>
            </w:div>
            <w:div w:id="14511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3537">
      <w:bodyDiv w:val="1"/>
      <w:marLeft w:val="0"/>
      <w:marRight w:val="0"/>
      <w:marTop w:val="0"/>
      <w:marBottom w:val="0"/>
      <w:divBdr>
        <w:top w:val="none" w:sz="0" w:space="0" w:color="auto"/>
        <w:left w:val="none" w:sz="0" w:space="0" w:color="auto"/>
        <w:bottom w:val="none" w:sz="0" w:space="0" w:color="auto"/>
        <w:right w:val="none" w:sz="0" w:space="0" w:color="auto"/>
      </w:divBdr>
    </w:div>
    <w:div w:id="495342057">
      <w:bodyDiv w:val="1"/>
      <w:marLeft w:val="0"/>
      <w:marRight w:val="0"/>
      <w:marTop w:val="0"/>
      <w:marBottom w:val="0"/>
      <w:divBdr>
        <w:top w:val="none" w:sz="0" w:space="0" w:color="auto"/>
        <w:left w:val="none" w:sz="0" w:space="0" w:color="auto"/>
        <w:bottom w:val="none" w:sz="0" w:space="0" w:color="auto"/>
        <w:right w:val="none" w:sz="0" w:space="0" w:color="auto"/>
      </w:divBdr>
    </w:div>
    <w:div w:id="501046431">
      <w:bodyDiv w:val="1"/>
      <w:marLeft w:val="0"/>
      <w:marRight w:val="0"/>
      <w:marTop w:val="0"/>
      <w:marBottom w:val="0"/>
      <w:divBdr>
        <w:top w:val="none" w:sz="0" w:space="0" w:color="auto"/>
        <w:left w:val="none" w:sz="0" w:space="0" w:color="auto"/>
        <w:bottom w:val="none" w:sz="0" w:space="0" w:color="auto"/>
        <w:right w:val="none" w:sz="0" w:space="0" w:color="auto"/>
      </w:divBdr>
    </w:div>
    <w:div w:id="510802382">
      <w:bodyDiv w:val="1"/>
      <w:marLeft w:val="0"/>
      <w:marRight w:val="0"/>
      <w:marTop w:val="0"/>
      <w:marBottom w:val="0"/>
      <w:divBdr>
        <w:top w:val="none" w:sz="0" w:space="0" w:color="auto"/>
        <w:left w:val="none" w:sz="0" w:space="0" w:color="auto"/>
        <w:bottom w:val="none" w:sz="0" w:space="0" w:color="auto"/>
        <w:right w:val="none" w:sz="0" w:space="0" w:color="auto"/>
      </w:divBdr>
    </w:div>
    <w:div w:id="868684521">
      <w:bodyDiv w:val="1"/>
      <w:marLeft w:val="0"/>
      <w:marRight w:val="0"/>
      <w:marTop w:val="0"/>
      <w:marBottom w:val="0"/>
      <w:divBdr>
        <w:top w:val="none" w:sz="0" w:space="0" w:color="auto"/>
        <w:left w:val="none" w:sz="0" w:space="0" w:color="auto"/>
        <w:bottom w:val="none" w:sz="0" w:space="0" w:color="auto"/>
        <w:right w:val="none" w:sz="0" w:space="0" w:color="auto"/>
      </w:divBdr>
    </w:div>
    <w:div w:id="943614096">
      <w:bodyDiv w:val="1"/>
      <w:marLeft w:val="0"/>
      <w:marRight w:val="0"/>
      <w:marTop w:val="0"/>
      <w:marBottom w:val="0"/>
      <w:divBdr>
        <w:top w:val="none" w:sz="0" w:space="0" w:color="auto"/>
        <w:left w:val="none" w:sz="0" w:space="0" w:color="auto"/>
        <w:bottom w:val="none" w:sz="0" w:space="0" w:color="auto"/>
        <w:right w:val="none" w:sz="0" w:space="0" w:color="auto"/>
      </w:divBdr>
    </w:div>
    <w:div w:id="1136678695">
      <w:bodyDiv w:val="1"/>
      <w:marLeft w:val="0"/>
      <w:marRight w:val="0"/>
      <w:marTop w:val="0"/>
      <w:marBottom w:val="0"/>
      <w:divBdr>
        <w:top w:val="none" w:sz="0" w:space="0" w:color="auto"/>
        <w:left w:val="none" w:sz="0" w:space="0" w:color="auto"/>
        <w:bottom w:val="none" w:sz="0" w:space="0" w:color="auto"/>
        <w:right w:val="none" w:sz="0" w:space="0" w:color="auto"/>
      </w:divBdr>
    </w:div>
    <w:div w:id="1211840489">
      <w:bodyDiv w:val="1"/>
      <w:marLeft w:val="0"/>
      <w:marRight w:val="0"/>
      <w:marTop w:val="0"/>
      <w:marBottom w:val="0"/>
      <w:divBdr>
        <w:top w:val="none" w:sz="0" w:space="0" w:color="auto"/>
        <w:left w:val="none" w:sz="0" w:space="0" w:color="auto"/>
        <w:bottom w:val="none" w:sz="0" w:space="0" w:color="auto"/>
        <w:right w:val="none" w:sz="0" w:space="0" w:color="auto"/>
      </w:divBdr>
    </w:div>
    <w:div w:id="1213154964">
      <w:bodyDiv w:val="1"/>
      <w:marLeft w:val="0"/>
      <w:marRight w:val="0"/>
      <w:marTop w:val="0"/>
      <w:marBottom w:val="0"/>
      <w:divBdr>
        <w:top w:val="none" w:sz="0" w:space="0" w:color="auto"/>
        <w:left w:val="none" w:sz="0" w:space="0" w:color="auto"/>
        <w:bottom w:val="none" w:sz="0" w:space="0" w:color="auto"/>
        <w:right w:val="none" w:sz="0" w:space="0" w:color="auto"/>
      </w:divBdr>
    </w:div>
    <w:div w:id="1264653743">
      <w:bodyDiv w:val="1"/>
      <w:marLeft w:val="0"/>
      <w:marRight w:val="0"/>
      <w:marTop w:val="0"/>
      <w:marBottom w:val="0"/>
      <w:divBdr>
        <w:top w:val="none" w:sz="0" w:space="0" w:color="auto"/>
        <w:left w:val="none" w:sz="0" w:space="0" w:color="auto"/>
        <w:bottom w:val="none" w:sz="0" w:space="0" w:color="auto"/>
        <w:right w:val="none" w:sz="0" w:space="0" w:color="auto"/>
      </w:divBdr>
    </w:div>
    <w:div w:id="1403872974">
      <w:bodyDiv w:val="1"/>
      <w:marLeft w:val="0"/>
      <w:marRight w:val="0"/>
      <w:marTop w:val="0"/>
      <w:marBottom w:val="0"/>
      <w:divBdr>
        <w:top w:val="none" w:sz="0" w:space="0" w:color="auto"/>
        <w:left w:val="none" w:sz="0" w:space="0" w:color="auto"/>
        <w:bottom w:val="none" w:sz="0" w:space="0" w:color="auto"/>
        <w:right w:val="none" w:sz="0" w:space="0" w:color="auto"/>
      </w:divBdr>
    </w:div>
    <w:div w:id="1406688905">
      <w:bodyDiv w:val="1"/>
      <w:marLeft w:val="0"/>
      <w:marRight w:val="0"/>
      <w:marTop w:val="0"/>
      <w:marBottom w:val="0"/>
      <w:divBdr>
        <w:top w:val="none" w:sz="0" w:space="0" w:color="auto"/>
        <w:left w:val="none" w:sz="0" w:space="0" w:color="auto"/>
        <w:bottom w:val="none" w:sz="0" w:space="0" w:color="auto"/>
        <w:right w:val="none" w:sz="0" w:space="0" w:color="auto"/>
      </w:divBdr>
      <w:divsChild>
        <w:div w:id="752435206">
          <w:marLeft w:val="0"/>
          <w:marRight w:val="0"/>
          <w:marTop w:val="0"/>
          <w:marBottom w:val="0"/>
          <w:divBdr>
            <w:top w:val="none" w:sz="0" w:space="0" w:color="auto"/>
            <w:left w:val="none" w:sz="0" w:space="0" w:color="auto"/>
            <w:bottom w:val="none" w:sz="0" w:space="0" w:color="auto"/>
            <w:right w:val="none" w:sz="0" w:space="0" w:color="auto"/>
          </w:divBdr>
          <w:divsChild>
            <w:div w:id="7709825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59445494">
      <w:bodyDiv w:val="1"/>
      <w:marLeft w:val="0"/>
      <w:marRight w:val="0"/>
      <w:marTop w:val="0"/>
      <w:marBottom w:val="0"/>
      <w:divBdr>
        <w:top w:val="none" w:sz="0" w:space="0" w:color="auto"/>
        <w:left w:val="none" w:sz="0" w:space="0" w:color="auto"/>
        <w:bottom w:val="none" w:sz="0" w:space="0" w:color="auto"/>
        <w:right w:val="none" w:sz="0" w:space="0" w:color="auto"/>
      </w:divBdr>
    </w:div>
    <w:div w:id="1538617347">
      <w:bodyDiv w:val="1"/>
      <w:marLeft w:val="0"/>
      <w:marRight w:val="0"/>
      <w:marTop w:val="0"/>
      <w:marBottom w:val="0"/>
      <w:divBdr>
        <w:top w:val="none" w:sz="0" w:space="0" w:color="auto"/>
        <w:left w:val="none" w:sz="0" w:space="0" w:color="auto"/>
        <w:bottom w:val="none" w:sz="0" w:space="0" w:color="auto"/>
        <w:right w:val="none" w:sz="0" w:space="0" w:color="auto"/>
      </w:divBdr>
    </w:div>
    <w:div w:id="1676614744">
      <w:bodyDiv w:val="1"/>
      <w:marLeft w:val="0"/>
      <w:marRight w:val="0"/>
      <w:marTop w:val="0"/>
      <w:marBottom w:val="0"/>
      <w:divBdr>
        <w:top w:val="none" w:sz="0" w:space="0" w:color="auto"/>
        <w:left w:val="none" w:sz="0" w:space="0" w:color="auto"/>
        <w:bottom w:val="none" w:sz="0" w:space="0" w:color="auto"/>
        <w:right w:val="none" w:sz="0" w:space="0" w:color="auto"/>
      </w:divBdr>
    </w:div>
    <w:div w:id="1717001283">
      <w:bodyDiv w:val="1"/>
      <w:marLeft w:val="0"/>
      <w:marRight w:val="0"/>
      <w:marTop w:val="0"/>
      <w:marBottom w:val="0"/>
      <w:divBdr>
        <w:top w:val="none" w:sz="0" w:space="0" w:color="auto"/>
        <w:left w:val="none" w:sz="0" w:space="0" w:color="auto"/>
        <w:bottom w:val="none" w:sz="0" w:space="0" w:color="auto"/>
        <w:right w:val="none" w:sz="0" w:space="0" w:color="auto"/>
      </w:divBdr>
    </w:div>
    <w:div w:id="1834907163">
      <w:bodyDiv w:val="1"/>
      <w:marLeft w:val="0"/>
      <w:marRight w:val="0"/>
      <w:marTop w:val="0"/>
      <w:marBottom w:val="0"/>
      <w:divBdr>
        <w:top w:val="none" w:sz="0" w:space="0" w:color="auto"/>
        <w:left w:val="none" w:sz="0" w:space="0" w:color="auto"/>
        <w:bottom w:val="none" w:sz="0" w:space="0" w:color="auto"/>
        <w:right w:val="none" w:sz="0" w:space="0" w:color="auto"/>
      </w:divBdr>
    </w:div>
    <w:div w:id="1848514305">
      <w:bodyDiv w:val="1"/>
      <w:marLeft w:val="0"/>
      <w:marRight w:val="0"/>
      <w:marTop w:val="0"/>
      <w:marBottom w:val="0"/>
      <w:divBdr>
        <w:top w:val="none" w:sz="0" w:space="0" w:color="auto"/>
        <w:left w:val="none" w:sz="0" w:space="0" w:color="auto"/>
        <w:bottom w:val="none" w:sz="0" w:space="0" w:color="auto"/>
        <w:right w:val="none" w:sz="0" w:space="0" w:color="auto"/>
      </w:divBdr>
    </w:div>
    <w:div w:id="1925334625">
      <w:bodyDiv w:val="1"/>
      <w:marLeft w:val="0"/>
      <w:marRight w:val="0"/>
      <w:marTop w:val="0"/>
      <w:marBottom w:val="0"/>
      <w:divBdr>
        <w:top w:val="none" w:sz="0" w:space="0" w:color="auto"/>
        <w:left w:val="none" w:sz="0" w:space="0" w:color="auto"/>
        <w:bottom w:val="none" w:sz="0" w:space="0" w:color="auto"/>
        <w:right w:val="none" w:sz="0" w:space="0" w:color="auto"/>
      </w:divBdr>
    </w:div>
    <w:div w:id="1943104105">
      <w:bodyDiv w:val="1"/>
      <w:marLeft w:val="0"/>
      <w:marRight w:val="0"/>
      <w:marTop w:val="0"/>
      <w:marBottom w:val="0"/>
      <w:divBdr>
        <w:top w:val="none" w:sz="0" w:space="0" w:color="auto"/>
        <w:left w:val="none" w:sz="0" w:space="0" w:color="auto"/>
        <w:bottom w:val="none" w:sz="0" w:space="0" w:color="auto"/>
        <w:right w:val="none" w:sz="0" w:space="0" w:color="auto"/>
      </w:divBdr>
    </w:div>
    <w:div w:id="2003777677">
      <w:bodyDiv w:val="1"/>
      <w:marLeft w:val="0"/>
      <w:marRight w:val="0"/>
      <w:marTop w:val="0"/>
      <w:marBottom w:val="0"/>
      <w:divBdr>
        <w:top w:val="none" w:sz="0" w:space="0" w:color="auto"/>
        <w:left w:val="none" w:sz="0" w:space="0" w:color="auto"/>
        <w:bottom w:val="none" w:sz="0" w:space="0" w:color="auto"/>
        <w:right w:val="none" w:sz="0" w:space="0" w:color="auto"/>
      </w:divBdr>
    </w:div>
    <w:div w:id="2008357404">
      <w:bodyDiv w:val="1"/>
      <w:marLeft w:val="0"/>
      <w:marRight w:val="0"/>
      <w:marTop w:val="0"/>
      <w:marBottom w:val="0"/>
      <w:divBdr>
        <w:top w:val="none" w:sz="0" w:space="0" w:color="auto"/>
        <w:left w:val="none" w:sz="0" w:space="0" w:color="auto"/>
        <w:bottom w:val="none" w:sz="0" w:space="0" w:color="auto"/>
        <w:right w:val="none" w:sz="0" w:space="0" w:color="auto"/>
      </w:divBdr>
    </w:div>
    <w:div w:id="2008434695">
      <w:bodyDiv w:val="1"/>
      <w:marLeft w:val="0"/>
      <w:marRight w:val="0"/>
      <w:marTop w:val="0"/>
      <w:marBottom w:val="0"/>
      <w:divBdr>
        <w:top w:val="none" w:sz="0" w:space="0" w:color="auto"/>
        <w:left w:val="none" w:sz="0" w:space="0" w:color="auto"/>
        <w:bottom w:val="none" w:sz="0" w:space="0" w:color="auto"/>
        <w:right w:val="none" w:sz="0" w:space="0" w:color="auto"/>
      </w:divBdr>
    </w:div>
    <w:div w:id="2089494125">
      <w:bodyDiv w:val="1"/>
      <w:marLeft w:val="0"/>
      <w:marRight w:val="0"/>
      <w:marTop w:val="0"/>
      <w:marBottom w:val="0"/>
      <w:divBdr>
        <w:top w:val="none" w:sz="0" w:space="0" w:color="auto"/>
        <w:left w:val="none" w:sz="0" w:space="0" w:color="auto"/>
        <w:bottom w:val="none" w:sz="0" w:space="0" w:color="auto"/>
        <w:right w:val="none" w:sz="0" w:space="0" w:color="auto"/>
      </w:divBdr>
    </w:div>
    <w:div w:id="213359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nneS\AppData\Local\Microsoft\Windows\Temporary%20Internet%20Files\Content.Outlook\GYW9TTDL\130425%20Submissions%20template%20FINAL.dotx" TargetMode="External"/></Relationships>
</file>

<file path=word/theme/theme1.xml><?xml version="1.0" encoding="utf-8"?>
<a:theme xmlns:a="http://schemas.openxmlformats.org/drawingml/2006/main" name="UnisuperThemeLite">
  <a:themeElements>
    <a:clrScheme name="UniSuperTheme">
      <a:dk1>
        <a:sysClr val="windowText" lastClr="000000"/>
      </a:dk1>
      <a:lt1>
        <a:sysClr val="window" lastClr="FFFFFF"/>
      </a:lt1>
      <a:dk2>
        <a:srgbClr val="013A81"/>
      </a:dk2>
      <a:lt2>
        <a:srgbClr val="8DBAEE"/>
      </a:lt2>
      <a:accent1>
        <a:srgbClr val="0574BB"/>
      </a:accent1>
      <a:accent2>
        <a:srgbClr val="96D56D"/>
      </a:accent2>
      <a:accent3>
        <a:srgbClr val="EEB016"/>
      </a:accent3>
      <a:accent4>
        <a:srgbClr val="FF7350"/>
      </a:accent4>
      <a:accent5>
        <a:srgbClr val="8C82D8"/>
      </a:accent5>
      <a:accent6>
        <a:srgbClr val="00B5B0"/>
      </a:accent6>
      <a:hlink>
        <a:srgbClr val="A72100"/>
      </a:hlink>
      <a:folHlink>
        <a:srgbClr val="A72100"/>
      </a:folHlink>
    </a:clrScheme>
    <a:fontScheme name="UnisuperFont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7D39F-23BD-4335-B28B-5B3104F21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130425 Submissions template FINAL.dotx</Template>
  <TotalTime>5</TotalTime>
  <Pages>8</Pages>
  <Words>2629</Words>
  <Characters>14989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Submission DR134 - UniSuper - Superannuation: Assessing Efficiency and Competitiveness - Public inquiry</vt:lpstr>
    </vt:vector>
  </TitlesOfParts>
  <Company>UniSuper </Company>
  <LinksUpToDate>false</LinksUpToDate>
  <CharactersWithSpaces>17583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DR134 - UniSuper - Superannuation: Assessing Efficiency and Competitiveness - Public inquiry</dc:title>
  <dc:creator>UniSuper </dc:creator>
  <cp:lastModifiedBy>Productivity Commission</cp:lastModifiedBy>
  <cp:revision>8</cp:revision>
  <cp:lastPrinted>2018-07-16T04:26:00Z</cp:lastPrinted>
  <dcterms:created xsi:type="dcterms:W3CDTF">2018-07-12T04:00:00Z</dcterms:created>
  <dcterms:modified xsi:type="dcterms:W3CDTF">2018-07-16T04:33:00Z</dcterms:modified>
</cp:coreProperties>
</file>