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0F5C7" w14:textId="7CA2289E" w:rsidR="00745A0F" w:rsidRDefault="00E73078" w:rsidP="00745A0F">
      <w:pPr>
        <w:jc w:val="center"/>
        <w:rPr>
          <w:b/>
          <w:sz w:val="28"/>
          <w:szCs w:val="28"/>
        </w:rPr>
      </w:pPr>
      <w:bookmarkStart w:id="0" w:name="_GoBack"/>
      <w:bookmarkEnd w:id="0"/>
      <w:r>
        <w:rPr>
          <w:b/>
          <w:sz w:val="28"/>
          <w:szCs w:val="28"/>
        </w:rPr>
        <w:t>M</w:t>
      </w:r>
      <w:r w:rsidR="00A2264A">
        <w:rPr>
          <w:b/>
          <w:sz w:val="28"/>
          <w:szCs w:val="28"/>
        </w:rPr>
        <w:t>urray-Darling Basin Plan: Five-y</w:t>
      </w:r>
      <w:r>
        <w:rPr>
          <w:b/>
          <w:sz w:val="28"/>
          <w:szCs w:val="28"/>
        </w:rPr>
        <w:t>ear Assessment</w:t>
      </w:r>
    </w:p>
    <w:p w14:paraId="20E1C436" w14:textId="77777777" w:rsidR="00745A0F" w:rsidRDefault="00745A0F" w:rsidP="00745A0F">
      <w:pPr>
        <w:jc w:val="center"/>
      </w:pPr>
    </w:p>
    <w:p w14:paraId="10311B32" w14:textId="52E4735D" w:rsidR="00745A0F" w:rsidRDefault="00745A0F" w:rsidP="00745A0F">
      <w:pPr>
        <w:jc w:val="center"/>
      </w:pPr>
      <w:r>
        <w:t xml:space="preserve">(Notes on Productivity Commission </w:t>
      </w:r>
      <w:r w:rsidR="00D92804">
        <w:t>Draft</w:t>
      </w:r>
      <w:r>
        <w:t xml:space="preserve"> </w:t>
      </w:r>
      <w:r w:rsidR="00D92804">
        <w:t xml:space="preserve">Report, </w:t>
      </w:r>
      <w:r w:rsidR="00A2264A">
        <w:t>August</w:t>
      </w:r>
      <w:r w:rsidR="00E73078">
        <w:t xml:space="preserve"> 2018</w:t>
      </w:r>
      <w:r>
        <w:t>)</w:t>
      </w:r>
    </w:p>
    <w:p w14:paraId="46ECFCE5" w14:textId="77777777" w:rsidR="00745A0F" w:rsidRDefault="00745A0F" w:rsidP="00745A0F">
      <w:pPr>
        <w:jc w:val="center"/>
      </w:pPr>
    </w:p>
    <w:p w14:paraId="0CAEABB8" w14:textId="77777777" w:rsidR="00745A0F" w:rsidRDefault="00745A0F" w:rsidP="00745A0F">
      <w:pPr>
        <w:jc w:val="center"/>
      </w:pPr>
      <w:r>
        <w:t>Alistair Watson, Freelance Economist, Melbourne</w:t>
      </w:r>
    </w:p>
    <w:p w14:paraId="23FE731C" w14:textId="77777777" w:rsidR="00745A0F" w:rsidRDefault="00745A0F" w:rsidP="00745A0F">
      <w:pPr>
        <w:jc w:val="center"/>
      </w:pPr>
    </w:p>
    <w:p w14:paraId="7392B4AA" w14:textId="42A312C8" w:rsidR="00745A0F" w:rsidRDefault="00E73078" w:rsidP="00745A0F">
      <w:pPr>
        <w:jc w:val="center"/>
      </w:pPr>
      <w:r>
        <w:t>05</w:t>
      </w:r>
      <w:r w:rsidR="00745A0F">
        <w:t xml:space="preserve"> </w:t>
      </w:r>
      <w:r w:rsidR="00D92804">
        <w:t>October</w:t>
      </w:r>
      <w:r>
        <w:t xml:space="preserve"> 2018</w:t>
      </w:r>
    </w:p>
    <w:p w14:paraId="5E29C023" w14:textId="77777777" w:rsidR="00745A0F" w:rsidRDefault="00745A0F" w:rsidP="00745A0F">
      <w:pPr>
        <w:jc w:val="center"/>
      </w:pPr>
    </w:p>
    <w:p w14:paraId="336E9770" w14:textId="738E6EF7" w:rsidR="00B4662B" w:rsidRDefault="00A2264A" w:rsidP="00F423D4">
      <w:pPr>
        <w:pStyle w:val="ListParagraph"/>
        <w:numPr>
          <w:ilvl w:val="0"/>
          <w:numId w:val="1"/>
        </w:numPr>
      </w:pPr>
      <w:r>
        <w:t xml:space="preserve">The most useful </w:t>
      </w:r>
      <w:r w:rsidR="0090148C">
        <w:t>advice</w:t>
      </w:r>
      <w:r>
        <w:t xml:space="preserve"> </w:t>
      </w:r>
      <w:r w:rsidR="001012B8">
        <w:t xml:space="preserve">by the Productivity Commission </w:t>
      </w:r>
      <w:r w:rsidR="0090148C">
        <w:t>in</w:t>
      </w:r>
      <w:r>
        <w:t xml:space="preserve"> </w:t>
      </w:r>
      <w:r w:rsidR="001012B8">
        <w:t>its</w:t>
      </w:r>
      <w:r>
        <w:t xml:space="preserve"> Draft Report on </w:t>
      </w:r>
      <w:r w:rsidR="00120332">
        <w:t xml:space="preserve">the </w:t>
      </w:r>
      <w:r>
        <w:t>Murray-Darling Basin Plan</w:t>
      </w:r>
      <w:r w:rsidR="00120332">
        <w:t xml:space="preserve">: Five-year Assessment </w:t>
      </w:r>
      <w:r>
        <w:t xml:space="preserve">is to </w:t>
      </w:r>
      <w:r w:rsidR="00F531B1">
        <w:t xml:space="preserve">relax </w:t>
      </w:r>
      <w:r>
        <w:t xml:space="preserve">unrealistic deadlines for </w:t>
      </w:r>
      <w:r w:rsidR="00F531B1">
        <w:t xml:space="preserve">the </w:t>
      </w:r>
      <w:r>
        <w:t>preparation of Water Resource Plans, so-called supply measures</w:t>
      </w:r>
      <w:r w:rsidR="004A490D">
        <w:t>,</w:t>
      </w:r>
      <w:r>
        <w:t xml:space="preserve"> and other aspects of the MDBP. </w:t>
      </w:r>
      <w:r w:rsidR="00B4662B">
        <w:t>Short of dispensing with a prescriptive Pla</w:t>
      </w:r>
      <w:r w:rsidR="00F531B1">
        <w:t>n for the MDB</w:t>
      </w:r>
      <w:r w:rsidR="00737980">
        <w:t xml:space="preserve">, </w:t>
      </w:r>
      <w:r w:rsidR="00B4662B">
        <w:t xml:space="preserve">the best thing </w:t>
      </w:r>
      <w:r w:rsidR="00120332">
        <w:t xml:space="preserve">now </w:t>
      </w:r>
      <w:r w:rsidR="00B4662B">
        <w:t xml:space="preserve">is to dispense with </w:t>
      </w:r>
      <w:r w:rsidR="00FE1A29">
        <w:t>a</w:t>
      </w:r>
      <w:r w:rsidR="00B4662B">
        <w:t xml:space="preserve"> </w:t>
      </w:r>
      <w:r w:rsidR="00C915F3">
        <w:t xml:space="preserve">rigid </w:t>
      </w:r>
      <w:r w:rsidR="00B4662B">
        <w:t>timetable</w:t>
      </w:r>
      <w:r w:rsidR="00551E9C">
        <w:t>. In fact, t</w:t>
      </w:r>
      <w:r w:rsidR="00F66594">
        <w:t>he current timetable</w:t>
      </w:r>
      <w:r w:rsidR="004A30AD">
        <w:t xml:space="preserve"> </w:t>
      </w:r>
      <w:r w:rsidR="00B4662B">
        <w:t>can</w:t>
      </w:r>
      <w:r w:rsidR="004A490D">
        <w:t>no</w:t>
      </w:r>
      <w:r w:rsidR="00551E9C">
        <w:t>t</w:t>
      </w:r>
      <w:r w:rsidR="004A490D">
        <w:t xml:space="preserve"> </w:t>
      </w:r>
      <w:r w:rsidR="00B4662B">
        <w:t xml:space="preserve">be </w:t>
      </w:r>
      <w:r w:rsidR="00120332">
        <w:t>realised and</w:t>
      </w:r>
      <w:r w:rsidR="00B4662B">
        <w:t xml:space="preserve"> </w:t>
      </w:r>
      <w:r w:rsidR="00120332">
        <w:t>continues to place</w:t>
      </w:r>
      <w:r w:rsidR="00B4662B">
        <w:t xml:space="preserve"> </w:t>
      </w:r>
      <w:r w:rsidR="00551E9C">
        <w:t>unreasonable</w:t>
      </w:r>
      <w:r w:rsidR="00737980">
        <w:t xml:space="preserve"> </w:t>
      </w:r>
      <w:r w:rsidR="004A30AD">
        <w:t>administrative</w:t>
      </w:r>
      <w:r w:rsidR="00B4662B">
        <w:t xml:space="preserve"> burdens on Basin States.</w:t>
      </w:r>
    </w:p>
    <w:p w14:paraId="2E7CCE38" w14:textId="5CC9B84B" w:rsidR="00D02110" w:rsidRDefault="00A2264A" w:rsidP="00F423D4">
      <w:pPr>
        <w:pStyle w:val="ListParagraph"/>
        <w:numPr>
          <w:ilvl w:val="0"/>
          <w:numId w:val="1"/>
        </w:numPr>
      </w:pPr>
      <w:r>
        <w:t xml:space="preserve">Taking more time increases the chance that a </w:t>
      </w:r>
      <w:r w:rsidR="00834D97">
        <w:t>better</w:t>
      </w:r>
      <w:r>
        <w:t xml:space="preserve"> job will be done on </w:t>
      </w:r>
      <w:r w:rsidR="001012B8">
        <w:t>potential</w:t>
      </w:r>
      <w:r w:rsidR="00FE1A29">
        <w:t xml:space="preserve"> </w:t>
      </w:r>
      <w:r>
        <w:t>environmental projects that have been financed</w:t>
      </w:r>
      <w:r w:rsidR="00120332">
        <w:t xml:space="preserve"> at great expense to taxpayers. To date, water recovery has proceeded</w:t>
      </w:r>
      <w:r w:rsidR="00834D97">
        <w:t xml:space="preserve"> </w:t>
      </w:r>
      <w:r w:rsidR="00832D8D">
        <w:t xml:space="preserve">through </w:t>
      </w:r>
      <w:r w:rsidR="00120332">
        <w:t xml:space="preserve">Commonwealth </w:t>
      </w:r>
      <w:r w:rsidR="001D1BA7">
        <w:t xml:space="preserve">buyback of irrigation licences </w:t>
      </w:r>
      <w:r w:rsidR="0059781F">
        <w:t>and</w:t>
      </w:r>
      <w:r w:rsidR="001D1BA7">
        <w:t xml:space="preserve"> ill-</w:t>
      </w:r>
      <w:r w:rsidR="00551E9C">
        <w:t>conceived</w:t>
      </w:r>
      <w:r w:rsidR="001D1BA7">
        <w:t xml:space="preserve"> </w:t>
      </w:r>
      <w:r w:rsidR="00834D97">
        <w:t>investment in off-farm and on</w:t>
      </w:r>
      <w:r w:rsidR="00F66594">
        <w:t xml:space="preserve">-farm irrigation infrastructure. </w:t>
      </w:r>
      <w:r w:rsidR="00551E9C">
        <w:t>Publicly funded i</w:t>
      </w:r>
      <w:r w:rsidR="00F66594">
        <w:t>nfrastructure investment is, and always has been,</w:t>
      </w:r>
      <w:r w:rsidR="00834D97">
        <w:t xml:space="preserve"> indefensible according to </w:t>
      </w:r>
      <w:r w:rsidR="004A30AD">
        <w:t xml:space="preserve">the </w:t>
      </w:r>
      <w:r w:rsidR="00834D97">
        <w:t xml:space="preserve">usual </w:t>
      </w:r>
      <w:r w:rsidR="004A490D">
        <w:t xml:space="preserve">criteria </w:t>
      </w:r>
      <w:r w:rsidR="00834D97">
        <w:t>applied by the PC.</w:t>
      </w:r>
      <w:r w:rsidR="009F3F0E">
        <w:t xml:space="preserve"> </w:t>
      </w:r>
    </w:p>
    <w:p w14:paraId="212AAB73" w14:textId="5E3E2EB1" w:rsidR="00A2264A" w:rsidRDefault="009F3F0E" w:rsidP="00F423D4">
      <w:pPr>
        <w:pStyle w:val="ListParagraph"/>
        <w:numPr>
          <w:ilvl w:val="0"/>
          <w:numId w:val="1"/>
        </w:numPr>
      </w:pPr>
      <w:r>
        <w:t xml:space="preserve">Discerning readers will note the </w:t>
      </w:r>
      <w:r w:rsidR="00120332">
        <w:t>statement</w:t>
      </w:r>
      <w:r>
        <w:t xml:space="preserve"> </w:t>
      </w:r>
      <w:r w:rsidR="00551E9C">
        <w:t xml:space="preserve">by the PC </w:t>
      </w:r>
      <w:r>
        <w:t xml:space="preserve">at page 91 </w:t>
      </w:r>
      <w:r w:rsidR="00D02110">
        <w:t xml:space="preserve">of the Draft Report </w:t>
      </w:r>
      <w:r>
        <w:t>that ‘recovering water through infrastructure modernisation has substantially increased the budgetary cost</w:t>
      </w:r>
      <w:r w:rsidR="00D02110">
        <w:t xml:space="preserve"> of water recovery’. Similar </w:t>
      </w:r>
      <w:r w:rsidR="00120332">
        <w:t>views</w:t>
      </w:r>
      <w:r w:rsidR="00D02110">
        <w:t xml:space="preserve"> are </w:t>
      </w:r>
      <w:r w:rsidR="00120332">
        <w:t>expressed</w:t>
      </w:r>
      <w:r w:rsidR="00D02110">
        <w:t xml:space="preserve"> elsewhere in the Draft Report.</w:t>
      </w:r>
    </w:p>
    <w:p w14:paraId="5D132ADC" w14:textId="41AFEAD0" w:rsidR="000A3261" w:rsidRDefault="000A3261" w:rsidP="00551E9C">
      <w:pPr>
        <w:pStyle w:val="ListParagraph"/>
        <w:numPr>
          <w:ilvl w:val="0"/>
          <w:numId w:val="1"/>
        </w:numPr>
      </w:pPr>
      <w:r>
        <w:t xml:space="preserve">The Draft Report has been carefully prepared. </w:t>
      </w:r>
      <w:r w:rsidR="0090148C">
        <w:t>Brief appendixes support the major conclusions</w:t>
      </w:r>
      <w:r>
        <w:t>. The only egregious error is to recycle at page</w:t>
      </w:r>
      <w:r w:rsidR="00C915F3">
        <w:t>s</w:t>
      </w:r>
      <w:r>
        <w:t xml:space="preserve"> 4 </w:t>
      </w:r>
      <w:r w:rsidR="00C915F3">
        <w:t xml:space="preserve">and 50 </w:t>
      </w:r>
      <w:r>
        <w:t xml:space="preserve">an </w:t>
      </w:r>
      <w:r w:rsidR="00737980">
        <w:t>irksome</w:t>
      </w:r>
      <w:r>
        <w:t xml:space="preserve"> </w:t>
      </w:r>
      <w:r w:rsidR="00446A33">
        <w:t>and</w:t>
      </w:r>
      <w:r>
        <w:t xml:space="preserve"> common </w:t>
      </w:r>
      <w:r w:rsidR="00120332">
        <w:t>irrelevance</w:t>
      </w:r>
      <w:r>
        <w:t xml:space="preserve"> concerning the </w:t>
      </w:r>
      <w:r w:rsidR="00FE1A29">
        <w:t>share</w:t>
      </w:r>
      <w:r>
        <w:t xml:space="preserve"> of the total gross value of Australia’s agricultural pro</w:t>
      </w:r>
      <w:r w:rsidR="00120332">
        <w:t xml:space="preserve">duction </w:t>
      </w:r>
      <w:r w:rsidR="001012B8">
        <w:t xml:space="preserve">that is </w:t>
      </w:r>
      <w:r w:rsidR="00120332">
        <w:t>attributable to the MDB. It is</w:t>
      </w:r>
      <w:r>
        <w:t xml:space="preserve"> as if </w:t>
      </w:r>
      <w:r w:rsidR="00737980">
        <w:t xml:space="preserve">extensive </w:t>
      </w:r>
      <w:r>
        <w:t>drylan</w:t>
      </w:r>
      <w:r w:rsidR="00B623EE">
        <w:t xml:space="preserve">d (broadacre) farming </w:t>
      </w:r>
      <w:r w:rsidR="00A41A7D">
        <w:t xml:space="preserve">conducted between the </w:t>
      </w:r>
      <w:r w:rsidR="001D1BA7">
        <w:t>waterways of the MDB</w:t>
      </w:r>
      <w:r w:rsidR="00120332">
        <w:t xml:space="preserve"> has</w:t>
      </w:r>
      <w:r w:rsidR="00737980">
        <w:t xml:space="preserve"> </w:t>
      </w:r>
      <w:r w:rsidR="00120332">
        <w:t>something</w:t>
      </w:r>
      <w:r w:rsidR="00737980">
        <w:t xml:space="preserve"> to do with irrigation policy</w:t>
      </w:r>
      <w:r w:rsidR="00446A33">
        <w:t>,</w:t>
      </w:r>
      <w:r w:rsidR="00737980">
        <w:t xml:space="preserve"> or the MDBP. This misleading </w:t>
      </w:r>
      <w:r w:rsidR="0059781F">
        <w:t>information</w:t>
      </w:r>
      <w:r w:rsidR="00737980">
        <w:t xml:space="preserve"> should be </w:t>
      </w:r>
      <w:r w:rsidR="00446A33">
        <w:t>deleted</w:t>
      </w:r>
      <w:r w:rsidR="00737980">
        <w:t xml:space="preserve"> from the Final Report.</w:t>
      </w:r>
    </w:p>
    <w:p w14:paraId="7D004FE1" w14:textId="11FA2731" w:rsidR="004A30AD" w:rsidRDefault="004A30AD" w:rsidP="00F423D4">
      <w:pPr>
        <w:pStyle w:val="ListParagraph"/>
        <w:numPr>
          <w:ilvl w:val="0"/>
          <w:numId w:val="1"/>
        </w:numPr>
      </w:pPr>
      <w:r>
        <w:t xml:space="preserve">Much of the Draft Report is concerned with modifications to the MDBP </w:t>
      </w:r>
      <w:r w:rsidR="00F105D2">
        <w:t xml:space="preserve">that </w:t>
      </w:r>
      <w:r w:rsidR="0090148C">
        <w:t>happened</w:t>
      </w:r>
      <w:r w:rsidR="00F105D2">
        <w:t xml:space="preserve"> </w:t>
      </w:r>
      <w:r w:rsidR="00FE1A29">
        <w:t>towards the end of</w:t>
      </w:r>
      <w:r w:rsidR="002F7BA8">
        <w:t xml:space="preserve"> its protracted gestation</w:t>
      </w:r>
      <w:r w:rsidR="00120332">
        <w:t xml:space="preserve"> – </w:t>
      </w:r>
      <w:r w:rsidR="002F7BA8">
        <w:t xml:space="preserve"> </w:t>
      </w:r>
      <w:r w:rsidR="00551E9C">
        <w:t>‘</w:t>
      </w:r>
      <w:r>
        <w:t>supply measures</w:t>
      </w:r>
      <w:r w:rsidR="00551E9C">
        <w:t>’</w:t>
      </w:r>
      <w:r>
        <w:t xml:space="preserve">, </w:t>
      </w:r>
      <w:r w:rsidR="00551E9C">
        <w:t>‘</w:t>
      </w:r>
      <w:r>
        <w:t>efficiency projects</w:t>
      </w:r>
      <w:r w:rsidR="00551E9C">
        <w:t>’</w:t>
      </w:r>
      <w:r w:rsidR="00F105D2">
        <w:t>,</w:t>
      </w:r>
      <w:r>
        <w:t xml:space="preserve"> and capital T </w:t>
      </w:r>
      <w:r w:rsidR="00551E9C">
        <w:t>‘</w:t>
      </w:r>
      <w:r>
        <w:t>Toolkit measures</w:t>
      </w:r>
      <w:r w:rsidR="00551E9C">
        <w:t>’</w:t>
      </w:r>
      <w:r w:rsidR="00120332">
        <w:t>.</w:t>
      </w:r>
      <w:r>
        <w:t xml:space="preserve"> </w:t>
      </w:r>
      <w:r w:rsidR="00120332">
        <w:t>Toolkit measures</w:t>
      </w:r>
      <w:r w:rsidR="002F7BA8">
        <w:t xml:space="preserve"> followed</w:t>
      </w:r>
      <w:r>
        <w:t xml:space="preserve"> </w:t>
      </w:r>
      <w:r w:rsidR="00120332">
        <w:t>a controversial</w:t>
      </w:r>
      <w:r>
        <w:t xml:space="preserve"> Northern Basin Review </w:t>
      </w:r>
      <w:r w:rsidR="00551E9C">
        <w:t>organised by</w:t>
      </w:r>
      <w:r w:rsidR="002F7BA8">
        <w:t xml:space="preserve"> of the Murray-Darling Basin Au</w:t>
      </w:r>
      <w:r>
        <w:t>thority.</w:t>
      </w:r>
      <w:r w:rsidR="002F7BA8">
        <w:t xml:space="preserve"> </w:t>
      </w:r>
      <w:r w:rsidR="00A41A7D">
        <w:t>T</w:t>
      </w:r>
      <w:r w:rsidR="00F105D2">
        <w:t>h</w:t>
      </w:r>
      <w:r w:rsidR="00544340">
        <w:t xml:space="preserve">ese </w:t>
      </w:r>
      <w:r w:rsidR="002F7BA8">
        <w:t xml:space="preserve">modifications </w:t>
      </w:r>
      <w:r w:rsidR="0059781F">
        <w:t xml:space="preserve">are difficult to </w:t>
      </w:r>
      <w:r w:rsidR="00120332">
        <w:t>comprehend</w:t>
      </w:r>
      <w:r w:rsidR="0059781F">
        <w:t>.</w:t>
      </w:r>
      <w:r w:rsidR="00CE6C38">
        <w:t xml:space="preserve"> </w:t>
      </w:r>
      <w:r w:rsidR="0059781F">
        <w:t>Nevertheless,</w:t>
      </w:r>
      <w:r w:rsidR="00A41A7D">
        <w:t xml:space="preserve"> </w:t>
      </w:r>
      <w:r w:rsidR="007D1E2C">
        <w:t xml:space="preserve">fiddling at the edges </w:t>
      </w:r>
      <w:r w:rsidR="00FE1A29">
        <w:t xml:space="preserve">of the MDBP </w:t>
      </w:r>
      <w:r w:rsidR="0059781F">
        <w:t>is</w:t>
      </w:r>
      <w:r w:rsidR="007D1E2C">
        <w:t xml:space="preserve"> </w:t>
      </w:r>
      <w:r w:rsidR="002F7BA8">
        <w:t xml:space="preserve">no surprise to those </w:t>
      </w:r>
      <w:r w:rsidR="00FE1A29">
        <w:t>who questioned</w:t>
      </w:r>
      <w:r w:rsidR="002F7BA8">
        <w:t xml:space="preserve"> the </w:t>
      </w:r>
      <w:r w:rsidR="00551E9C">
        <w:t>worth</w:t>
      </w:r>
      <w:r w:rsidR="002F7BA8">
        <w:t xml:space="preserve"> of prescriptive planning </w:t>
      </w:r>
      <w:r w:rsidR="00551E9C">
        <w:t>from</w:t>
      </w:r>
      <w:r w:rsidR="00FE1A29">
        <w:t xml:space="preserve"> the outset, </w:t>
      </w:r>
      <w:r w:rsidR="002F7BA8">
        <w:t>vis-à-vis</w:t>
      </w:r>
      <w:r w:rsidR="00CE6C38">
        <w:t xml:space="preserve"> </w:t>
      </w:r>
      <w:r w:rsidR="001012B8">
        <w:t>the</w:t>
      </w:r>
      <w:r w:rsidR="00120332">
        <w:t xml:space="preserve"> more</w:t>
      </w:r>
      <w:r w:rsidR="00544340">
        <w:t xml:space="preserve"> </w:t>
      </w:r>
      <w:r w:rsidR="0059781F">
        <w:t xml:space="preserve">credible </w:t>
      </w:r>
      <w:r w:rsidR="00CE6C38">
        <w:t>project-by-</w:t>
      </w:r>
      <w:r w:rsidR="002F7BA8">
        <w:t>project approach</w:t>
      </w:r>
      <w:r w:rsidR="00CE6C38">
        <w:t xml:space="preserve"> </w:t>
      </w:r>
      <w:r w:rsidR="001012B8">
        <w:t xml:space="preserve">to environmental remediation </w:t>
      </w:r>
      <w:r w:rsidR="00FE1A29">
        <w:t xml:space="preserve">that </w:t>
      </w:r>
      <w:r w:rsidR="00120332">
        <w:t>had</w:t>
      </w:r>
      <w:r w:rsidR="00FE1A29">
        <w:t xml:space="preserve"> </w:t>
      </w:r>
      <w:r w:rsidR="00544340">
        <w:t xml:space="preserve">previously </w:t>
      </w:r>
      <w:r w:rsidR="00120332">
        <w:t xml:space="preserve">been </w:t>
      </w:r>
      <w:r w:rsidR="00A41A7D">
        <w:t>followed</w:t>
      </w:r>
      <w:r w:rsidR="00551E9C">
        <w:t xml:space="preserve"> </w:t>
      </w:r>
      <w:r w:rsidR="00120332">
        <w:t>by the Commonwealth and Basin States</w:t>
      </w:r>
      <w:r w:rsidR="002F7BA8">
        <w:t xml:space="preserve">. </w:t>
      </w:r>
    </w:p>
    <w:p w14:paraId="612DF88B" w14:textId="44BE4A0F" w:rsidR="00551E9C" w:rsidRDefault="002F7BA8" w:rsidP="00551E9C">
      <w:pPr>
        <w:pStyle w:val="ListParagraph"/>
        <w:numPr>
          <w:ilvl w:val="0"/>
          <w:numId w:val="1"/>
        </w:numPr>
      </w:pPr>
      <w:r>
        <w:t xml:space="preserve">A </w:t>
      </w:r>
      <w:r w:rsidR="00E50129">
        <w:t>few</w:t>
      </w:r>
      <w:r>
        <w:t xml:space="preserve"> remarks are in order. Supply measures are supposed </w:t>
      </w:r>
      <w:r w:rsidR="00CE6C38">
        <w:t>‘</w:t>
      </w:r>
      <w:r>
        <w:t>to achieve environmental outcomes with less water</w:t>
      </w:r>
      <w:r w:rsidR="00CE6C38">
        <w:t>’</w:t>
      </w:r>
      <w:r w:rsidR="0090148C">
        <w:t>,</w:t>
      </w:r>
      <w:r>
        <w:t xml:space="preserve"> </w:t>
      </w:r>
      <w:r w:rsidR="00544340">
        <w:t>justifying</w:t>
      </w:r>
      <w:r>
        <w:t xml:space="preserve"> lowering the water recovery target</w:t>
      </w:r>
      <w:r w:rsidR="00CE6C38">
        <w:t xml:space="preserve">. Why was </w:t>
      </w:r>
      <w:r w:rsidR="00C06D5B">
        <w:t xml:space="preserve">such </w:t>
      </w:r>
      <w:r w:rsidR="00A41A7D">
        <w:t>prudence</w:t>
      </w:r>
      <w:r w:rsidR="00CE6C38">
        <w:t xml:space="preserve"> not </w:t>
      </w:r>
      <w:r w:rsidR="00FE1A29">
        <w:t>thought</w:t>
      </w:r>
      <w:r w:rsidR="00446A33">
        <w:t xml:space="preserve"> </w:t>
      </w:r>
      <w:r w:rsidR="00A41A7D">
        <w:t>axiomatic throughout the</w:t>
      </w:r>
      <w:r w:rsidR="00CE6C38">
        <w:t xml:space="preserve"> </w:t>
      </w:r>
      <w:r w:rsidR="00544340">
        <w:t xml:space="preserve">entire </w:t>
      </w:r>
      <w:r w:rsidR="00CE6C38">
        <w:t xml:space="preserve">costly and convoluted exercise? </w:t>
      </w:r>
      <w:r w:rsidR="00E50129">
        <w:t xml:space="preserve">Perhaps the </w:t>
      </w:r>
      <w:r w:rsidR="0090148C">
        <w:t xml:space="preserve">only </w:t>
      </w:r>
      <w:r w:rsidR="00E50129">
        <w:t xml:space="preserve">explanation is that the normal expectations of public administration and use of the English language have been </w:t>
      </w:r>
      <w:r w:rsidR="00C06D5B">
        <w:lastRenderedPageBreak/>
        <w:t>put to one side</w:t>
      </w:r>
      <w:r w:rsidR="00E50129">
        <w:t xml:space="preserve"> </w:t>
      </w:r>
      <w:r w:rsidR="0090148C">
        <w:t>in</w:t>
      </w:r>
      <w:r w:rsidR="00E50129">
        <w:t xml:space="preserve"> the water policy debate. How else could the phrase ‘best available science’ be bandied about as if another sort of science was on the agenda?</w:t>
      </w:r>
      <w:r w:rsidR="00551E9C">
        <w:t xml:space="preserve"> </w:t>
      </w:r>
      <w:r w:rsidR="008E645B">
        <w:t>Toolkit measures inspire even less confidence. They are described at page 101 of the Draft Report as ‘similar to supply measures but without the same checks and balances</w:t>
      </w:r>
      <w:r w:rsidR="00D07827">
        <w:t>’</w:t>
      </w:r>
      <w:r w:rsidR="008E645B">
        <w:t>.</w:t>
      </w:r>
    </w:p>
    <w:p w14:paraId="0AF9E471" w14:textId="601D34A0" w:rsidR="00A102AE" w:rsidRDefault="00E50129" w:rsidP="00551E9C">
      <w:pPr>
        <w:pStyle w:val="ListParagraph"/>
        <w:numPr>
          <w:ilvl w:val="0"/>
          <w:numId w:val="1"/>
        </w:numPr>
      </w:pPr>
      <w:r>
        <w:t>Next</w:t>
      </w:r>
      <w:r w:rsidR="00544340">
        <w:t xml:space="preserve">, </w:t>
      </w:r>
      <w:r w:rsidR="00F105D2">
        <w:t xml:space="preserve">in </w:t>
      </w:r>
      <w:r w:rsidR="00544340">
        <w:t xml:space="preserve">so far as it </w:t>
      </w:r>
      <w:r w:rsidR="00551E9C">
        <w:t>is</w:t>
      </w:r>
      <w:r w:rsidR="0090148C">
        <w:t xml:space="preserve"> </w:t>
      </w:r>
      <w:r w:rsidR="00544340">
        <w:t xml:space="preserve">possible for </w:t>
      </w:r>
      <w:r w:rsidR="00C06D5B">
        <w:t>interlopers to the arcane world of water policy</w:t>
      </w:r>
      <w:r w:rsidR="00544340">
        <w:t xml:space="preserve"> to </w:t>
      </w:r>
      <w:r w:rsidR="00C06D5B">
        <w:t>understand</w:t>
      </w:r>
      <w:r w:rsidR="00544340">
        <w:t>, efficiency projects</w:t>
      </w:r>
      <w:r w:rsidR="00F105D2">
        <w:t xml:space="preserve">, which </w:t>
      </w:r>
      <w:r w:rsidR="00C06D5B">
        <w:t xml:space="preserve">instead </w:t>
      </w:r>
      <w:r w:rsidR="00F105D2">
        <w:t xml:space="preserve">allow the recovery target to be increased, are </w:t>
      </w:r>
      <w:r w:rsidR="00C06D5B">
        <w:t>from</w:t>
      </w:r>
      <w:r w:rsidR="00F105D2">
        <w:t xml:space="preserve"> same </w:t>
      </w:r>
      <w:r w:rsidR="00C06D5B">
        <w:t>stable</w:t>
      </w:r>
      <w:r w:rsidR="00F105D2">
        <w:t xml:space="preserve"> as </w:t>
      </w:r>
      <w:r w:rsidR="00C06D5B">
        <w:t xml:space="preserve">the </w:t>
      </w:r>
      <w:r w:rsidR="00F105D2">
        <w:t xml:space="preserve">infrastructure projects that </w:t>
      </w:r>
      <w:r w:rsidR="00FE1A29">
        <w:t>were</w:t>
      </w:r>
      <w:r w:rsidR="00FE1A29" w:rsidRPr="00FE1A29">
        <w:t xml:space="preserve"> </w:t>
      </w:r>
      <w:r w:rsidR="00FE1A29">
        <w:t>already</w:t>
      </w:r>
      <w:r w:rsidR="00F105D2">
        <w:t xml:space="preserve"> part of the MDBP.</w:t>
      </w:r>
      <w:r w:rsidR="00C06D5B">
        <w:t xml:space="preserve"> </w:t>
      </w:r>
      <w:r w:rsidR="001012B8">
        <w:t>I</w:t>
      </w:r>
      <w:r w:rsidR="00446A33">
        <w:t xml:space="preserve">t was </w:t>
      </w:r>
      <w:r w:rsidR="00C06D5B">
        <w:t xml:space="preserve">already </w:t>
      </w:r>
      <w:r w:rsidR="00781742">
        <w:t xml:space="preserve">well </w:t>
      </w:r>
      <w:r w:rsidR="00551E9C">
        <w:t>established</w:t>
      </w:r>
      <w:r w:rsidR="00446A33">
        <w:t xml:space="preserve"> when efficiency projects </w:t>
      </w:r>
      <w:r w:rsidR="00781742">
        <w:t>were</w:t>
      </w:r>
      <w:r w:rsidR="00446A33">
        <w:t xml:space="preserve"> </w:t>
      </w:r>
      <w:r w:rsidR="00C06D5B">
        <w:t>introduced</w:t>
      </w:r>
      <w:r w:rsidR="00446A33">
        <w:t xml:space="preserve"> </w:t>
      </w:r>
      <w:r w:rsidR="008256A6">
        <w:t xml:space="preserve">to the MDBP </w:t>
      </w:r>
      <w:r w:rsidR="00446A33">
        <w:t xml:space="preserve">that </w:t>
      </w:r>
      <w:r w:rsidR="00A41A7D">
        <w:t xml:space="preserve">infrastructure projects </w:t>
      </w:r>
      <w:r w:rsidR="00C06D5B">
        <w:t>did not</w:t>
      </w:r>
      <w:r w:rsidR="00A41A7D">
        <w:t xml:space="preserve"> deliver </w:t>
      </w:r>
      <w:r w:rsidR="00A102AE">
        <w:t xml:space="preserve">water </w:t>
      </w:r>
      <w:r w:rsidR="00A41A7D">
        <w:t>savings at acceptable cost.</w:t>
      </w:r>
      <w:r w:rsidR="00A102AE">
        <w:t xml:space="preserve"> Efficiency projects </w:t>
      </w:r>
      <w:r w:rsidR="001012B8">
        <w:t>are</w:t>
      </w:r>
      <w:r w:rsidR="00A102AE">
        <w:t xml:space="preserve"> supposed to be implemented if there </w:t>
      </w:r>
      <w:r w:rsidR="001012B8">
        <w:t>are</w:t>
      </w:r>
      <w:r w:rsidR="00A102AE">
        <w:t xml:space="preserve"> ‘neutral or i</w:t>
      </w:r>
      <w:r w:rsidR="00C06D5B">
        <w:t>mproved socioeconomic outcomes’.</w:t>
      </w:r>
      <w:r w:rsidR="00A102AE">
        <w:t xml:space="preserve"> </w:t>
      </w:r>
      <w:r w:rsidR="001012B8">
        <w:t>The</w:t>
      </w:r>
      <w:r w:rsidR="00A102AE">
        <w:t xml:space="preserve"> statement </w:t>
      </w:r>
      <w:r w:rsidR="001012B8">
        <w:t>is meaningless - at best, naïve,</w:t>
      </w:r>
      <w:r w:rsidR="008256A6">
        <w:t xml:space="preserve"> at worst</w:t>
      </w:r>
      <w:r w:rsidR="001012B8">
        <w:t>,</w:t>
      </w:r>
      <w:r w:rsidR="008256A6">
        <w:t xml:space="preserve"> cynical. </w:t>
      </w:r>
    </w:p>
    <w:p w14:paraId="6D8D2446" w14:textId="1DC5C57A" w:rsidR="00053F7E" w:rsidRDefault="00A102AE" w:rsidP="00F423D4">
      <w:pPr>
        <w:pStyle w:val="ListParagraph"/>
        <w:numPr>
          <w:ilvl w:val="0"/>
          <w:numId w:val="1"/>
        </w:numPr>
      </w:pPr>
      <w:r>
        <w:t xml:space="preserve"> </w:t>
      </w:r>
      <w:r w:rsidR="009A5D16">
        <w:t xml:space="preserve">Another </w:t>
      </w:r>
      <w:r w:rsidR="001012B8">
        <w:t xml:space="preserve">major </w:t>
      </w:r>
      <w:r w:rsidR="009A5D16">
        <w:t xml:space="preserve">theme of the Draft Report is institutional arrangements. Perhaps there </w:t>
      </w:r>
      <w:r w:rsidR="008256A6">
        <w:t>should</w:t>
      </w:r>
      <w:r w:rsidR="009A5D16">
        <w:t xml:space="preserve"> be </w:t>
      </w:r>
      <w:r w:rsidR="008256A6">
        <w:t>more</w:t>
      </w:r>
      <w:r w:rsidR="009A5D16">
        <w:t xml:space="preserve"> </w:t>
      </w:r>
      <w:r w:rsidR="001012B8">
        <w:t>acceptance</w:t>
      </w:r>
      <w:r w:rsidR="009A5D16">
        <w:t xml:space="preserve"> </w:t>
      </w:r>
      <w:r w:rsidR="001012B8">
        <w:t xml:space="preserve">by the PC </w:t>
      </w:r>
      <w:r w:rsidR="009A5D16">
        <w:t>that the difficulties of implementation of the MDBP are brought about by its</w:t>
      </w:r>
      <w:r w:rsidR="005C2052">
        <w:t xml:space="preserve"> </w:t>
      </w:r>
      <w:r w:rsidR="008256A6">
        <w:t>reckless</w:t>
      </w:r>
      <w:r w:rsidR="00C915F3">
        <w:t xml:space="preserve"> ambition, </w:t>
      </w:r>
      <w:r w:rsidR="001012B8">
        <w:t xml:space="preserve">gross </w:t>
      </w:r>
      <w:r w:rsidR="005C2052">
        <w:t xml:space="preserve">complexity and </w:t>
      </w:r>
      <w:r w:rsidR="008256A6">
        <w:t xml:space="preserve">inevitable </w:t>
      </w:r>
      <w:r w:rsidR="005C2052">
        <w:t xml:space="preserve">inconsistencies rather than </w:t>
      </w:r>
      <w:r w:rsidR="001012B8">
        <w:t xml:space="preserve">lack of effort </w:t>
      </w:r>
      <w:r w:rsidR="005C2052">
        <w:t xml:space="preserve">or backsliding by the Basin States. </w:t>
      </w:r>
      <w:r w:rsidR="008256A6">
        <w:t>Similarly, the content</w:t>
      </w:r>
      <w:r w:rsidR="00CA0B30">
        <w:t>s</w:t>
      </w:r>
      <w:r w:rsidR="008256A6">
        <w:t xml:space="preserve"> of the MDBP</w:t>
      </w:r>
      <w:r w:rsidR="00053F7E">
        <w:t xml:space="preserve"> </w:t>
      </w:r>
      <w:r w:rsidR="00CA0B30">
        <w:t>explain</w:t>
      </w:r>
      <w:r w:rsidR="00053F7E">
        <w:t xml:space="preserve"> </w:t>
      </w:r>
      <w:r w:rsidR="00CA0B30">
        <w:t xml:space="preserve">the </w:t>
      </w:r>
      <w:r w:rsidR="00053F7E">
        <w:t xml:space="preserve">difficulties </w:t>
      </w:r>
      <w:r w:rsidR="001012B8">
        <w:t xml:space="preserve">being experienced </w:t>
      </w:r>
      <w:r w:rsidR="00053F7E">
        <w:t>with monitoring and evaluation</w:t>
      </w:r>
      <w:r w:rsidR="00CA0B30">
        <w:t xml:space="preserve"> </w:t>
      </w:r>
      <w:r w:rsidR="001012B8">
        <w:t xml:space="preserve">that are </w:t>
      </w:r>
      <w:r w:rsidR="00551E9C">
        <w:t>described in chapter 13 of the Draft Report</w:t>
      </w:r>
      <w:r w:rsidR="00053F7E">
        <w:t>.</w:t>
      </w:r>
    </w:p>
    <w:p w14:paraId="351C1C95" w14:textId="62C49E6B" w:rsidR="00FF7F91" w:rsidRDefault="005C2052" w:rsidP="00FF7F91">
      <w:pPr>
        <w:pStyle w:val="ListParagraph"/>
        <w:numPr>
          <w:ilvl w:val="0"/>
          <w:numId w:val="1"/>
        </w:numPr>
      </w:pPr>
      <w:r>
        <w:t>Several features of environmental policy and the political economy of the MDB ar</w:t>
      </w:r>
      <w:r w:rsidR="00CA0B30">
        <w:t>e intractable. T</w:t>
      </w:r>
      <w:r>
        <w:t xml:space="preserve">here is a vast difference between </w:t>
      </w:r>
      <w:r w:rsidR="00AB3895">
        <w:t xml:space="preserve">(aggregate) </w:t>
      </w:r>
      <w:r>
        <w:t>flow-related issues affecting the Lower Lakes, the Coorong and the Murray Mouth, of great interest to South Australia, and non-flow-related environmental actions affecting upstream</w:t>
      </w:r>
      <w:r w:rsidR="00AB3895">
        <w:t xml:space="preserve"> wetlands</w:t>
      </w:r>
      <w:r w:rsidR="00CA0B30">
        <w:t xml:space="preserve"> and riparian areas. Further</w:t>
      </w:r>
      <w:r w:rsidR="00AB3895">
        <w:t xml:space="preserve">, </w:t>
      </w:r>
      <w:r w:rsidR="00CA0B30">
        <w:t>due to</w:t>
      </w:r>
      <w:r w:rsidR="00AB3895">
        <w:t xml:space="preserve"> differences in farm size </w:t>
      </w:r>
      <w:r w:rsidR="00356E1B">
        <w:t>associated with settlement history</w:t>
      </w:r>
      <w:r w:rsidR="00AB3895">
        <w:t xml:space="preserve">, </w:t>
      </w:r>
      <w:r w:rsidR="00C915F3">
        <w:t xml:space="preserve">farm structure and </w:t>
      </w:r>
      <w:r w:rsidR="00AB3895">
        <w:t>the commodity composition of output</w:t>
      </w:r>
      <w:r w:rsidR="00CA0B30">
        <w:t xml:space="preserve"> differ</w:t>
      </w:r>
      <w:r w:rsidR="001A5AD4">
        <w:t xml:space="preserve"> markedly between the states. Individual commodities have a life of their own in world markets</w:t>
      </w:r>
      <w:r w:rsidR="00CA0B30">
        <w:t>. D</w:t>
      </w:r>
      <w:r w:rsidR="00433682">
        <w:t>ifferent</w:t>
      </w:r>
      <w:r w:rsidR="00CA0B30">
        <w:t xml:space="preserve"> </w:t>
      </w:r>
      <w:r w:rsidR="00433682">
        <w:t xml:space="preserve">irrigation </w:t>
      </w:r>
      <w:r w:rsidR="00FF7F91">
        <w:t>techniques suit different f</w:t>
      </w:r>
      <w:r w:rsidR="00356E1B">
        <w:t>arms, districts and commodities</w:t>
      </w:r>
      <w:r w:rsidR="00DE14AB">
        <w:t>.</w:t>
      </w:r>
      <w:r w:rsidR="008F3C3D">
        <w:t xml:space="preserve"> </w:t>
      </w:r>
      <w:r w:rsidR="00FF7F91">
        <w:t>Parts of the MDB are economically and socially disadvantaged.</w:t>
      </w:r>
    </w:p>
    <w:p w14:paraId="037BC02F" w14:textId="2BFE6542" w:rsidR="009F3F0E" w:rsidRDefault="00DE14AB" w:rsidP="00FF7F91">
      <w:pPr>
        <w:pStyle w:val="ListParagraph"/>
        <w:numPr>
          <w:ilvl w:val="0"/>
          <w:numId w:val="1"/>
        </w:numPr>
      </w:pPr>
      <w:r>
        <w:t xml:space="preserve">The </w:t>
      </w:r>
      <w:r w:rsidR="00FF7F91">
        <w:t xml:space="preserve">upshot is that the </w:t>
      </w:r>
      <w:r>
        <w:t>trickiest</w:t>
      </w:r>
      <w:r w:rsidR="008F3C3D">
        <w:t xml:space="preserve"> adjustment problems </w:t>
      </w:r>
      <w:r>
        <w:t xml:space="preserve">affecting </w:t>
      </w:r>
      <w:r w:rsidR="00FF7F91">
        <w:t>the</w:t>
      </w:r>
      <w:r>
        <w:t xml:space="preserve"> irrigated MDB </w:t>
      </w:r>
      <w:r w:rsidR="00FF7F91">
        <w:t>will not</w:t>
      </w:r>
      <w:r w:rsidR="008F3C3D">
        <w:t xml:space="preserve"> be solved by water policy, and especially by the MDBP.</w:t>
      </w:r>
      <w:r w:rsidR="00551E9C">
        <w:t xml:space="preserve"> </w:t>
      </w:r>
      <w:r w:rsidR="00FF7F91">
        <w:t>O</w:t>
      </w:r>
      <w:r w:rsidR="009F3F0E">
        <w:t xml:space="preserve">ne of the most </w:t>
      </w:r>
      <w:r w:rsidR="00551E9C">
        <w:t>revealing</w:t>
      </w:r>
      <w:r w:rsidR="009F3F0E">
        <w:t xml:space="preserve"> parts of the Draft Report is </w:t>
      </w:r>
      <w:r w:rsidR="0090148C">
        <w:t xml:space="preserve">Table B.1 in </w:t>
      </w:r>
      <w:r w:rsidR="009F3F0E">
        <w:t>appendix B.1, ‘Premium for recovering water thro</w:t>
      </w:r>
      <w:r w:rsidR="0090148C">
        <w:t>ugh infrastructure investments’</w:t>
      </w:r>
      <w:r w:rsidR="004930DD">
        <w:t>. By far t</w:t>
      </w:r>
      <w:r w:rsidR="009F3F0E">
        <w:t xml:space="preserve">he two most </w:t>
      </w:r>
      <w:r w:rsidR="00FF7F91">
        <w:t>extravagant</w:t>
      </w:r>
      <w:r w:rsidR="009F3F0E">
        <w:t xml:space="preserve"> infrastructure </w:t>
      </w:r>
      <w:r w:rsidR="004930DD">
        <w:t>projects</w:t>
      </w:r>
      <w:r w:rsidR="009F3F0E">
        <w:t xml:space="preserve"> </w:t>
      </w:r>
      <w:r w:rsidR="00551E9C">
        <w:t xml:space="preserve">(Sunraysia Modernisation and GMW Connections Stage 2) </w:t>
      </w:r>
      <w:r w:rsidR="009F3F0E">
        <w:t>are in the old</w:t>
      </w:r>
      <w:r w:rsidR="0090148C">
        <w:t>est</w:t>
      </w:r>
      <w:r w:rsidR="009F3F0E">
        <w:t xml:space="preserve"> </w:t>
      </w:r>
      <w:r w:rsidR="00356E1B">
        <w:t xml:space="preserve">and poorest </w:t>
      </w:r>
      <w:r w:rsidR="009F3F0E">
        <w:t>i</w:t>
      </w:r>
      <w:r w:rsidR="004D6589">
        <w:t>rrigation districts of Victoria</w:t>
      </w:r>
      <w:r w:rsidR="009F3F0E">
        <w:t>.</w:t>
      </w:r>
    </w:p>
    <w:p w14:paraId="2111899E" w14:textId="2A2A66B2" w:rsidR="002F7BA8" w:rsidRDefault="00433682" w:rsidP="00F423D4">
      <w:pPr>
        <w:pStyle w:val="ListParagraph"/>
        <w:numPr>
          <w:ilvl w:val="0"/>
          <w:numId w:val="1"/>
        </w:numPr>
      </w:pPr>
      <w:r>
        <w:t xml:space="preserve">It is therefore disingenuous of the PC to opine at page 21 ‘that the Ministerial Council must set a much clearer tone of firmer commitment </w:t>
      </w:r>
      <w:r w:rsidRPr="00433682">
        <w:rPr>
          <w:i/>
        </w:rPr>
        <w:t>to the Basin itself, not just to their own patch</w:t>
      </w:r>
      <w:r>
        <w:t>, with unmistakable collective direction for delivering on commitment’ (italics in original).</w:t>
      </w:r>
    </w:p>
    <w:p w14:paraId="0E5BD9CF" w14:textId="371080DA" w:rsidR="003861FE" w:rsidRDefault="00433682" w:rsidP="00102A28">
      <w:pPr>
        <w:pStyle w:val="ListParagraph"/>
        <w:numPr>
          <w:ilvl w:val="0"/>
          <w:numId w:val="1"/>
        </w:numPr>
      </w:pPr>
      <w:r>
        <w:t xml:space="preserve">Indeed, </w:t>
      </w:r>
      <w:r w:rsidR="00BC4E3E">
        <w:t xml:space="preserve">state </w:t>
      </w:r>
      <w:r>
        <w:t xml:space="preserve">water ministers and basin officials are </w:t>
      </w:r>
      <w:r w:rsidR="00FF7F91">
        <w:t>often</w:t>
      </w:r>
      <w:r>
        <w:t xml:space="preserve"> defending</w:t>
      </w:r>
      <w:r w:rsidR="00BC4E3E">
        <w:t xml:space="preserve"> legitimate irrigator interests. The political problem of the MDB, and by extension the MDBP, is the dilemma whereby the diffused concern of the public for the environmental health of the MDB has to be balanced against </w:t>
      </w:r>
      <w:r w:rsidR="00A973FA">
        <w:t xml:space="preserve">a </w:t>
      </w:r>
      <w:r w:rsidR="00BC4E3E">
        <w:t xml:space="preserve">narrower commercial interest in irrigation. The dilemma will </w:t>
      </w:r>
      <w:r w:rsidR="00DE14AB">
        <w:t>not</w:t>
      </w:r>
      <w:r w:rsidR="00BC4E3E">
        <w:t xml:space="preserve"> be solved by exh</w:t>
      </w:r>
      <w:r w:rsidR="00356E1B">
        <w:t>orting state</w:t>
      </w:r>
      <w:r w:rsidR="00A973FA">
        <w:t xml:space="preserve"> </w:t>
      </w:r>
      <w:r w:rsidR="00356E1B">
        <w:t xml:space="preserve">politicians and officials to try harder, </w:t>
      </w:r>
      <w:r w:rsidR="009E4D28">
        <w:t>or</w:t>
      </w:r>
      <w:r w:rsidR="00A973FA">
        <w:t xml:space="preserve"> </w:t>
      </w:r>
      <w:r w:rsidR="00DE14AB">
        <w:t xml:space="preserve">by </w:t>
      </w:r>
      <w:r w:rsidR="00A973FA">
        <w:t xml:space="preserve">restructuring irrigation institutions. </w:t>
      </w:r>
      <w:r w:rsidR="00FF7F91">
        <w:t>Nor will the socioeconomic problems of the MDB.</w:t>
      </w:r>
    </w:p>
    <w:p w14:paraId="148CB91A" w14:textId="58046D18" w:rsidR="00152D9C" w:rsidRDefault="00A973FA" w:rsidP="004D6589">
      <w:pPr>
        <w:pStyle w:val="ListParagraph"/>
        <w:numPr>
          <w:ilvl w:val="0"/>
          <w:numId w:val="1"/>
        </w:numPr>
      </w:pPr>
      <w:r>
        <w:lastRenderedPageBreak/>
        <w:t xml:space="preserve">It would be fruitful for the PC to </w:t>
      </w:r>
      <w:r w:rsidR="00102A28">
        <w:t>acknowledge</w:t>
      </w:r>
      <w:r>
        <w:t xml:space="preserve"> the long-term marginalisation </w:t>
      </w:r>
      <w:r w:rsidR="004D6589">
        <w:t xml:space="preserve">of the central agencies of government </w:t>
      </w:r>
      <w:r w:rsidR="00C915F3">
        <w:t>from water policy debate</w:t>
      </w:r>
      <w:r w:rsidR="009B3D5B">
        <w:t>s</w:t>
      </w:r>
      <w:r w:rsidR="0059781F">
        <w:t>.</w:t>
      </w:r>
      <w:r>
        <w:t xml:space="preserve"> </w:t>
      </w:r>
      <w:r w:rsidR="0059781F">
        <w:t>Central agencies are more likely to take</w:t>
      </w:r>
      <w:r w:rsidR="00C915F3">
        <w:t xml:space="preserve"> a wider view </w:t>
      </w:r>
      <w:r w:rsidR="00102A28">
        <w:t xml:space="preserve">of economic and environmental issues </w:t>
      </w:r>
      <w:r w:rsidR="00C915F3">
        <w:t>than competing vested interests</w:t>
      </w:r>
      <w:r w:rsidR="000F5C75">
        <w:t>,</w:t>
      </w:r>
      <w:r w:rsidR="00C915F3">
        <w:t xml:space="preserve"> </w:t>
      </w:r>
      <w:r w:rsidR="000F5C75">
        <w:t>these days mostly</w:t>
      </w:r>
      <w:r w:rsidR="008C7426">
        <w:t>,</w:t>
      </w:r>
      <w:r w:rsidR="000F5C75">
        <w:t xml:space="preserve"> and wrongly</w:t>
      </w:r>
      <w:r w:rsidR="008C7426">
        <w:t>,</w:t>
      </w:r>
      <w:r w:rsidR="000F5C75">
        <w:t xml:space="preserve"> described as</w:t>
      </w:r>
      <w:r w:rsidR="00C915F3">
        <w:t xml:space="preserve"> </w:t>
      </w:r>
      <w:r w:rsidR="009F3F0E">
        <w:t>‘</w:t>
      </w:r>
      <w:r w:rsidR="00C915F3">
        <w:t>stakeholders</w:t>
      </w:r>
      <w:r w:rsidR="009F3F0E">
        <w:t>’</w:t>
      </w:r>
      <w:r w:rsidR="000F5C75">
        <w:t>, including by the PC</w:t>
      </w:r>
      <w:r w:rsidR="00C915F3">
        <w:t>.</w:t>
      </w:r>
      <w:r w:rsidR="00D07827">
        <w:t xml:space="preserve"> </w:t>
      </w:r>
    </w:p>
    <w:p w14:paraId="504022F0" w14:textId="77777777" w:rsidR="009B3D5B" w:rsidRDefault="000D1C5F" w:rsidP="00F423D4">
      <w:pPr>
        <w:pStyle w:val="ListParagraph"/>
        <w:numPr>
          <w:ilvl w:val="0"/>
          <w:numId w:val="1"/>
        </w:numPr>
      </w:pPr>
      <w:r>
        <w:t xml:space="preserve">In assessing the socioeconomic impacts of water recovery </w:t>
      </w:r>
      <w:r w:rsidR="003861FE">
        <w:t xml:space="preserve">such as </w:t>
      </w:r>
      <w:r>
        <w:t>at pages 66 and 67, the PC is too accommodating of claims by local interests</w:t>
      </w:r>
      <w:r w:rsidR="00DE14AB">
        <w:t>.</w:t>
      </w:r>
      <w:r>
        <w:t xml:space="preserve"> </w:t>
      </w:r>
      <w:r w:rsidR="00DE14AB">
        <w:t>T</w:t>
      </w:r>
      <w:r>
        <w:t xml:space="preserve">he </w:t>
      </w:r>
      <w:r w:rsidR="0060425A">
        <w:t xml:space="preserve">various economic </w:t>
      </w:r>
      <w:r>
        <w:t xml:space="preserve">changes that </w:t>
      </w:r>
      <w:r w:rsidR="0060425A">
        <w:t>are occurring</w:t>
      </w:r>
      <w:r>
        <w:t xml:space="preserve"> in irrigation districts </w:t>
      </w:r>
      <w:r w:rsidR="009B3D5B">
        <w:t>can</w:t>
      </w:r>
      <w:r w:rsidR="00DE14AB">
        <w:t>not</w:t>
      </w:r>
      <w:r>
        <w:t xml:space="preserve"> be </w:t>
      </w:r>
      <w:r w:rsidR="009B3D5B">
        <w:t>exclusively</w:t>
      </w:r>
      <w:r w:rsidR="0060425A">
        <w:t xml:space="preserve"> </w:t>
      </w:r>
      <w:r>
        <w:t>attributed to the MDBP.</w:t>
      </w:r>
      <w:r w:rsidR="009B3D5B">
        <w:t xml:space="preserve"> T</w:t>
      </w:r>
      <w:r w:rsidR="0060425A">
        <w:t xml:space="preserve">he PC </w:t>
      </w:r>
      <w:r w:rsidR="009B3D5B">
        <w:t xml:space="preserve">sensibly </w:t>
      </w:r>
      <w:r w:rsidR="0060425A">
        <w:t xml:space="preserve">rejects the </w:t>
      </w:r>
      <w:r w:rsidR="009B3D5B">
        <w:t>idea</w:t>
      </w:r>
      <w:r w:rsidR="0060425A">
        <w:t xml:space="preserve"> that </w:t>
      </w:r>
      <w:r w:rsidR="004D6589">
        <w:t xml:space="preserve">specific </w:t>
      </w:r>
      <w:r w:rsidR="00785BA7">
        <w:t>grants-based</w:t>
      </w:r>
      <w:r w:rsidR="0060425A">
        <w:t xml:space="preserve"> adjustment programmes are justified for irrigation districts</w:t>
      </w:r>
      <w:r w:rsidR="004D6589">
        <w:t>,</w:t>
      </w:r>
      <w:r w:rsidR="0060425A">
        <w:t xml:space="preserve"> beyond those available for other industries </w:t>
      </w:r>
      <w:r w:rsidR="004D6589">
        <w:t>or part of</w:t>
      </w:r>
      <w:r w:rsidR="0060425A">
        <w:t xml:space="preserve"> the social security system</w:t>
      </w:r>
      <w:r w:rsidR="009B3D5B">
        <w:t xml:space="preserve"> overall</w:t>
      </w:r>
      <w:r w:rsidR="0060425A">
        <w:t>.</w:t>
      </w:r>
      <w:r w:rsidR="00785BA7">
        <w:t xml:space="preserve"> </w:t>
      </w:r>
    </w:p>
    <w:p w14:paraId="21C5765E" w14:textId="7884FE2F" w:rsidR="000D1C5F" w:rsidRDefault="00785BA7" w:rsidP="009B3D5B">
      <w:pPr>
        <w:pStyle w:val="ListParagraph"/>
        <w:numPr>
          <w:ilvl w:val="0"/>
          <w:numId w:val="1"/>
        </w:numPr>
      </w:pPr>
      <w:r>
        <w:t xml:space="preserve">The PC also reports at page 99 that </w:t>
      </w:r>
      <w:r w:rsidR="004D6589">
        <w:t xml:space="preserve">adjustment </w:t>
      </w:r>
      <w:r>
        <w:t xml:space="preserve">grants </w:t>
      </w:r>
      <w:r w:rsidR="004D6589">
        <w:t>ostensibly</w:t>
      </w:r>
      <w:r>
        <w:t xml:space="preserve"> part of the MDBP have ended up </w:t>
      </w:r>
      <w:r w:rsidR="009B3D5B">
        <w:t>with</w:t>
      </w:r>
      <w:r>
        <w:t xml:space="preserve"> regional centres like Armidale, Orange and Wagga Wagga that do not </w:t>
      </w:r>
      <w:r w:rsidR="004D6589">
        <w:t>depend</w:t>
      </w:r>
      <w:r>
        <w:t xml:space="preserve"> on irrigated agriculture. </w:t>
      </w:r>
      <w:r w:rsidR="009E4D28">
        <w:t>While the PC describes these centres as ‘located in the Basin’, t</w:t>
      </w:r>
      <w:r>
        <w:t xml:space="preserve">he </w:t>
      </w:r>
      <w:r w:rsidR="00102A28">
        <w:t>selection</w:t>
      </w:r>
      <w:r>
        <w:t xml:space="preserve"> of Armidale is </w:t>
      </w:r>
      <w:r w:rsidR="009E4D28">
        <w:t>offbeat.</w:t>
      </w:r>
      <w:r>
        <w:t xml:space="preserve"> </w:t>
      </w:r>
      <w:r w:rsidR="009E4D28">
        <w:t>T</w:t>
      </w:r>
      <w:r>
        <w:t xml:space="preserve">he boundary of westerly </w:t>
      </w:r>
      <w:r w:rsidR="009E4D28">
        <w:t xml:space="preserve">(MDB) and easterly (coastal) </w:t>
      </w:r>
      <w:r>
        <w:t>flowing rivers</w:t>
      </w:r>
      <w:r w:rsidR="009E4D28">
        <w:t xml:space="preserve"> is more or less the main street</w:t>
      </w:r>
      <w:r w:rsidR="004D6589">
        <w:t xml:space="preserve"> of Armidale</w:t>
      </w:r>
      <w:r w:rsidR="009B3D5B">
        <w:t>!</w:t>
      </w:r>
    </w:p>
    <w:p w14:paraId="1DCC7268" w14:textId="39D80FDC" w:rsidR="00433682" w:rsidRDefault="009B3D5B" w:rsidP="00F423D4">
      <w:pPr>
        <w:pStyle w:val="ListParagraph"/>
        <w:numPr>
          <w:ilvl w:val="0"/>
          <w:numId w:val="1"/>
        </w:numPr>
      </w:pPr>
      <w:r>
        <w:t>H</w:t>
      </w:r>
      <w:r w:rsidR="00A973FA">
        <w:t>iving off functions from the MDBA to create a separate regulator for the MDBP is problematic</w:t>
      </w:r>
      <w:r w:rsidR="00562448">
        <w:t>. For one thing, there is a limited pool of bureaucratic talent to perform advisory and regulatory tasks in s</w:t>
      </w:r>
      <w:r>
        <w:t>eparate institutions. M</w:t>
      </w:r>
      <w:r w:rsidR="00C915F3">
        <w:t>any of</w:t>
      </w:r>
      <w:r w:rsidR="00562448">
        <w:t xml:space="preserve"> the same arguments </w:t>
      </w:r>
      <w:r w:rsidR="00C915F3">
        <w:t xml:space="preserve">about separation of institutions </w:t>
      </w:r>
      <w:r w:rsidR="00562448">
        <w:t xml:space="preserve">could be </w:t>
      </w:r>
      <w:r w:rsidR="00356E1B">
        <w:t>made</w:t>
      </w:r>
      <w:r w:rsidR="00562448">
        <w:t xml:space="preserve"> about </w:t>
      </w:r>
      <w:r w:rsidR="0059781F">
        <w:t xml:space="preserve">water-related departments in </w:t>
      </w:r>
      <w:r w:rsidR="00562448">
        <w:t>individual</w:t>
      </w:r>
      <w:r w:rsidR="00152D9C">
        <w:t xml:space="preserve"> Basin States</w:t>
      </w:r>
      <w:r w:rsidR="004D6589">
        <w:t>.</w:t>
      </w:r>
      <w:r w:rsidR="00152D9C">
        <w:t xml:space="preserve"> </w:t>
      </w:r>
      <w:r w:rsidR="004D6589">
        <w:t>D</w:t>
      </w:r>
      <w:r w:rsidR="00152D9C">
        <w:t>ifferent</w:t>
      </w:r>
      <w:r w:rsidR="00D276F0">
        <w:t>,</w:t>
      </w:r>
      <w:r w:rsidR="00152D9C">
        <w:t xml:space="preserve"> </w:t>
      </w:r>
      <w:r w:rsidR="00D276F0">
        <w:t xml:space="preserve">and sometimes conflicting, policy advisory, operational and regulatory </w:t>
      </w:r>
      <w:r w:rsidR="00152D9C">
        <w:t xml:space="preserve">roles and responsibilities </w:t>
      </w:r>
      <w:r w:rsidR="0059781F">
        <w:t>have been</w:t>
      </w:r>
      <w:r w:rsidR="00152D9C">
        <w:t xml:space="preserve"> performed </w:t>
      </w:r>
      <w:r w:rsidR="00C915F3">
        <w:t xml:space="preserve">professionally </w:t>
      </w:r>
      <w:r w:rsidR="0021481B">
        <w:t>and</w:t>
      </w:r>
      <w:r w:rsidR="00152D9C">
        <w:t xml:space="preserve"> </w:t>
      </w:r>
      <w:r w:rsidR="00356E1B">
        <w:t xml:space="preserve">reasonably </w:t>
      </w:r>
      <w:r w:rsidR="00152D9C">
        <w:t>success</w:t>
      </w:r>
      <w:r w:rsidR="0021481B">
        <w:t>fully</w:t>
      </w:r>
      <w:r w:rsidR="00C915F3">
        <w:t xml:space="preserve"> </w:t>
      </w:r>
      <w:r w:rsidR="004D6589">
        <w:t>in the Basin States for a long time</w:t>
      </w:r>
      <w:r w:rsidR="00152D9C">
        <w:t>.</w:t>
      </w:r>
    </w:p>
    <w:p w14:paraId="29758C42" w14:textId="401DA939" w:rsidR="00B63BCD" w:rsidRDefault="00D276F0" w:rsidP="00F423D4">
      <w:pPr>
        <w:pStyle w:val="ListParagraph"/>
        <w:numPr>
          <w:ilvl w:val="0"/>
          <w:numId w:val="1"/>
        </w:numPr>
      </w:pPr>
      <w:r>
        <w:t xml:space="preserve">The mind numbing bureaucracy of the MDBA and </w:t>
      </w:r>
      <w:r w:rsidR="0021481B">
        <w:t xml:space="preserve">the </w:t>
      </w:r>
      <w:r>
        <w:t xml:space="preserve">MDBP </w:t>
      </w:r>
      <w:r w:rsidR="00B63BCD">
        <w:t xml:space="preserve">and </w:t>
      </w:r>
      <w:r w:rsidR="0021481B">
        <w:t xml:space="preserve">the </w:t>
      </w:r>
      <w:r w:rsidR="009B3D5B">
        <w:t>stark reality</w:t>
      </w:r>
      <w:r w:rsidR="0021481B">
        <w:t xml:space="preserve"> of </w:t>
      </w:r>
      <w:r w:rsidR="009B3D5B">
        <w:t>unfortunate</w:t>
      </w:r>
      <w:r w:rsidR="00B63BCD">
        <w:t xml:space="preserve"> Commonwealth overreach </w:t>
      </w:r>
      <w:r>
        <w:t xml:space="preserve">is </w:t>
      </w:r>
      <w:r w:rsidR="009B3D5B">
        <w:t>indicated</w:t>
      </w:r>
      <w:r>
        <w:t xml:space="preserve"> at page 150 of the Draft R</w:t>
      </w:r>
      <w:r w:rsidR="009B3D5B">
        <w:t>eport with the statement ‘</w:t>
      </w:r>
      <w:r>
        <w:t xml:space="preserve">The </w:t>
      </w:r>
      <w:r w:rsidRPr="00D276F0">
        <w:rPr>
          <w:i/>
        </w:rPr>
        <w:t>Water Act 2007</w:t>
      </w:r>
      <w:r>
        <w:t xml:space="preserve"> (Cwlth) sets out 12 parts that a WRP [Water Resource Plan] must address which the Murray Darling Basin Authority</w:t>
      </w:r>
      <w:r w:rsidR="004C603C">
        <w:t xml:space="preserve"> </w:t>
      </w:r>
      <w:r w:rsidR="00DC2AEB">
        <w:t xml:space="preserve">(MDBA) </w:t>
      </w:r>
      <w:r w:rsidR="004C603C">
        <w:t xml:space="preserve">developed into 54 requirements under the Basin Plan.’ </w:t>
      </w:r>
      <w:r w:rsidR="00B63BCD">
        <w:t xml:space="preserve">So-called light </w:t>
      </w:r>
      <w:r w:rsidR="009B3D5B">
        <w:t>regulation is not the fashion in</w:t>
      </w:r>
      <w:r w:rsidR="00B63BCD">
        <w:t xml:space="preserve"> this part of the Commonwealth bureaucracy.</w:t>
      </w:r>
      <w:r w:rsidR="00325AC1">
        <w:t xml:space="preserve"> The Basin States could be excused for thinking that the cashed-up Commonwealth </w:t>
      </w:r>
      <w:r w:rsidR="008C7426">
        <w:t xml:space="preserve">Government </w:t>
      </w:r>
      <w:r w:rsidR="00325AC1">
        <w:t>did not think they knew what they were doing.</w:t>
      </w:r>
      <w:r w:rsidR="00032119">
        <w:t xml:space="preserve"> Obsession with process </w:t>
      </w:r>
      <w:r w:rsidR="009B3D5B">
        <w:t xml:space="preserve">and </w:t>
      </w:r>
      <w:r w:rsidR="00811733">
        <w:t xml:space="preserve">the </w:t>
      </w:r>
      <w:r w:rsidR="009B3D5B">
        <w:t xml:space="preserve">financial </w:t>
      </w:r>
      <w:r w:rsidR="00811733">
        <w:t>capacity</w:t>
      </w:r>
      <w:r w:rsidR="009B3D5B">
        <w:t xml:space="preserve"> </w:t>
      </w:r>
      <w:r w:rsidR="00811733">
        <w:t xml:space="preserve">of the Commonwealth </w:t>
      </w:r>
      <w:r w:rsidR="00032119">
        <w:t>has trumped subject matter knowledge</w:t>
      </w:r>
      <w:r w:rsidR="009B3D5B">
        <w:t xml:space="preserve"> in water policy</w:t>
      </w:r>
      <w:r w:rsidR="00032119">
        <w:t>.</w:t>
      </w:r>
      <w:r w:rsidR="00113227">
        <w:t xml:space="preserve"> </w:t>
      </w:r>
    </w:p>
    <w:p w14:paraId="3DA887B6" w14:textId="4A7394BB" w:rsidR="00E47AA9" w:rsidRDefault="00811733" w:rsidP="00053F7E">
      <w:pPr>
        <w:pStyle w:val="ListParagraph"/>
        <w:numPr>
          <w:ilvl w:val="0"/>
          <w:numId w:val="1"/>
        </w:numPr>
      </w:pPr>
      <w:r>
        <w:t>In</w:t>
      </w:r>
      <w:r w:rsidR="00DC2AEB">
        <w:t xml:space="preserve"> the </w:t>
      </w:r>
      <w:r w:rsidR="00DC2AEB" w:rsidRPr="00DC2AEB">
        <w:rPr>
          <w:i/>
        </w:rPr>
        <w:t>ancien</w:t>
      </w:r>
      <w:r w:rsidR="00DC2AEB">
        <w:t xml:space="preserve"> </w:t>
      </w:r>
      <w:r w:rsidR="00DC2AEB" w:rsidRPr="00DC2AEB">
        <w:rPr>
          <w:i/>
        </w:rPr>
        <w:t>regime</w:t>
      </w:r>
      <w:r w:rsidR="00DC2AEB">
        <w:t xml:space="preserve"> pre-MDBP, Basin States had their own versions of WRPs</w:t>
      </w:r>
      <w:r w:rsidR="00B63BCD">
        <w:t xml:space="preserve">. It would have been </w:t>
      </w:r>
      <w:r w:rsidR="006F15F2">
        <w:t xml:space="preserve">far </w:t>
      </w:r>
      <w:r w:rsidR="00B63BCD">
        <w:t xml:space="preserve">easier and much cheaper for the Commonwealth </w:t>
      </w:r>
      <w:r w:rsidR="00DC2C68">
        <w:t>to</w:t>
      </w:r>
      <w:r w:rsidR="00B63BCD">
        <w:t xml:space="preserve"> </w:t>
      </w:r>
      <w:r w:rsidR="00DC2C68">
        <w:t>encourage</w:t>
      </w:r>
      <w:r w:rsidR="00B63BCD">
        <w:t xml:space="preserve"> </w:t>
      </w:r>
      <w:r>
        <w:t>more (</w:t>
      </w:r>
      <w:r w:rsidR="00B63BCD">
        <w:t>gradual</w:t>
      </w:r>
      <w:r>
        <w:t>)</w:t>
      </w:r>
      <w:r w:rsidR="00B63BCD">
        <w:t xml:space="preserve"> buyback than insist on a comprehensive Basin Plan.</w:t>
      </w:r>
      <w:r w:rsidR="00DC2AEB">
        <w:t xml:space="preserve"> </w:t>
      </w:r>
      <w:r w:rsidR="00DC2C68">
        <w:t xml:space="preserve">In effect, this would have meant </w:t>
      </w:r>
      <w:r>
        <w:t>reducing t</w:t>
      </w:r>
      <w:r w:rsidR="00DC2C68">
        <w:t>he existing cap on diversions in the MDB rather than all the hoo-ha of sustainable diversion limits</w:t>
      </w:r>
      <w:r w:rsidR="00356E1B">
        <w:t>,</w:t>
      </w:r>
      <w:r w:rsidR="00DC2C68">
        <w:t xml:space="preserve"> and </w:t>
      </w:r>
      <w:r w:rsidR="008C7426">
        <w:t xml:space="preserve">endless </w:t>
      </w:r>
      <w:r w:rsidR="006F15F2">
        <w:t>arguments over appropriate</w:t>
      </w:r>
      <w:r w:rsidR="00DC2C68">
        <w:t xml:space="preserve"> end-of system flows</w:t>
      </w:r>
      <w:r w:rsidR="006F15F2">
        <w:t>.</w:t>
      </w:r>
      <w:r w:rsidR="00DC2C68">
        <w:t xml:space="preserve"> </w:t>
      </w:r>
      <w:r w:rsidR="006F15F2">
        <w:t>I</w:t>
      </w:r>
      <w:r w:rsidR="00DC2C68">
        <w:t xml:space="preserve">n </w:t>
      </w:r>
      <w:r w:rsidR="008C7426">
        <w:t>the</w:t>
      </w:r>
      <w:r w:rsidR="00DC2C68">
        <w:t xml:space="preserve"> </w:t>
      </w:r>
      <w:r w:rsidR="008C7426">
        <w:t>event</w:t>
      </w:r>
      <w:r w:rsidR="006F15F2">
        <w:t xml:space="preserve">, </w:t>
      </w:r>
      <w:r w:rsidR="008C7426">
        <w:t xml:space="preserve">the </w:t>
      </w:r>
      <w:r w:rsidR="006F15F2">
        <w:t>original decisions</w:t>
      </w:r>
      <w:r w:rsidR="00DC2C68">
        <w:t xml:space="preserve"> </w:t>
      </w:r>
      <w:r w:rsidR="008C7426">
        <w:t xml:space="preserve">on these matters </w:t>
      </w:r>
      <w:r w:rsidR="00DC2C68">
        <w:t xml:space="preserve">were </w:t>
      </w:r>
      <w:r w:rsidR="006F15F2">
        <w:t>eventually</w:t>
      </w:r>
      <w:r w:rsidR="00DC2C68">
        <w:t xml:space="preserve"> watered down. </w:t>
      </w:r>
      <w:r w:rsidR="00851A57">
        <w:t xml:space="preserve">Ideally, the increase in water </w:t>
      </w:r>
      <w:r w:rsidR="00DC2C68">
        <w:t>available</w:t>
      </w:r>
      <w:r w:rsidR="00851A57">
        <w:t xml:space="preserve"> for environmental purposes would have been matched by increasing knowledge of </w:t>
      </w:r>
      <w:r w:rsidR="00113227">
        <w:t xml:space="preserve">worthwhile </w:t>
      </w:r>
      <w:r w:rsidR="00851A57">
        <w:t xml:space="preserve">opportunities for </w:t>
      </w:r>
      <w:r w:rsidR="00DC2C68">
        <w:t xml:space="preserve">effective </w:t>
      </w:r>
      <w:r w:rsidR="00851A57">
        <w:t>use of environmental water.</w:t>
      </w:r>
      <w:r w:rsidR="00053F7E">
        <w:t xml:space="preserve"> </w:t>
      </w:r>
    </w:p>
    <w:sectPr w:rsidR="00E47AA9" w:rsidSect="00A21FAB">
      <w:pgSz w:w="11904" w:h="16838"/>
      <w:pgMar w:top="1800" w:right="1440" w:bottom="180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E278B"/>
    <w:multiLevelType w:val="hybridMultilevel"/>
    <w:tmpl w:val="934E8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0F"/>
    <w:rsid w:val="00026298"/>
    <w:rsid w:val="00032119"/>
    <w:rsid w:val="00053F7E"/>
    <w:rsid w:val="000948BD"/>
    <w:rsid w:val="000A208D"/>
    <w:rsid w:val="000A3261"/>
    <w:rsid w:val="000B01DB"/>
    <w:rsid w:val="000D1C5F"/>
    <w:rsid w:val="000F0027"/>
    <w:rsid w:val="000F1A30"/>
    <w:rsid w:val="000F5C75"/>
    <w:rsid w:val="000F5D1D"/>
    <w:rsid w:val="001012B8"/>
    <w:rsid w:val="00102A28"/>
    <w:rsid w:val="00113227"/>
    <w:rsid w:val="00120332"/>
    <w:rsid w:val="001444FA"/>
    <w:rsid w:val="00150FFD"/>
    <w:rsid w:val="00152D9C"/>
    <w:rsid w:val="0017223C"/>
    <w:rsid w:val="001A5AD4"/>
    <w:rsid w:val="001C3339"/>
    <w:rsid w:val="001D1BA7"/>
    <w:rsid w:val="0021481B"/>
    <w:rsid w:val="00287924"/>
    <w:rsid w:val="002F7BA8"/>
    <w:rsid w:val="00325AC1"/>
    <w:rsid w:val="00356E1B"/>
    <w:rsid w:val="00381FCD"/>
    <w:rsid w:val="003861FE"/>
    <w:rsid w:val="003B6427"/>
    <w:rsid w:val="00433682"/>
    <w:rsid w:val="004366DB"/>
    <w:rsid w:val="00446A33"/>
    <w:rsid w:val="00491B26"/>
    <w:rsid w:val="004930DD"/>
    <w:rsid w:val="00495952"/>
    <w:rsid w:val="004A06E6"/>
    <w:rsid w:val="004A30AD"/>
    <w:rsid w:val="004A490D"/>
    <w:rsid w:val="004C603C"/>
    <w:rsid w:val="004D32C4"/>
    <w:rsid w:val="004D6589"/>
    <w:rsid w:val="004F7F66"/>
    <w:rsid w:val="0050264A"/>
    <w:rsid w:val="00507B6E"/>
    <w:rsid w:val="00510158"/>
    <w:rsid w:val="00544340"/>
    <w:rsid w:val="00551E9C"/>
    <w:rsid w:val="00562448"/>
    <w:rsid w:val="00574F5A"/>
    <w:rsid w:val="00584181"/>
    <w:rsid w:val="0059781F"/>
    <w:rsid w:val="005B2572"/>
    <w:rsid w:val="005C2052"/>
    <w:rsid w:val="005C597D"/>
    <w:rsid w:val="0060425A"/>
    <w:rsid w:val="0066187A"/>
    <w:rsid w:val="00662DA1"/>
    <w:rsid w:val="00667329"/>
    <w:rsid w:val="00683758"/>
    <w:rsid w:val="00684507"/>
    <w:rsid w:val="006F15F2"/>
    <w:rsid w:val="00703B32"/>
    <w:rsid w:val="007106D1"/>
    <w:rsid w:val="00724C93"/>
    <w:rsid w:val="00737980"/>
    <w:rsid w:val="00745A0F"/>
    <w:rsid w:val="00781742"/>
    <w:rsid w:val="00785BA7"/>
    <w:rsid w:val="007956B5"/>
    <w:rsid w:val="007B0A59"/>
    <w:rsid w:val="007D1E2C"/>
    <w:rsid w:val="00811733"/>
    <w:rsid w:val="008256A6"/>
    <w:rsid w:val="008315BC"/>
    <w:rsid w:val="00832D8D"/>
    <w:rsid w:val="00834D97"/>
    <w:rsid w:val="008443F3"/>
    <w:rsid w:val="00851A57"/>
    <w:rsid w:val="008C273C"/>
    <w:rsid w:val="008C7426"/>
    <w:rsid w:val="008E5B31"/>
    <w:rsid w:val="008E645B"/>
    <w:rsid w:val="008F3C3D"/>
    <w:rsid w:val="0090148C"/>
    <w:rsid w:val="00923900"/>
    <w:rsid w:val="009A393F"/>
    <w:rsid w:val="009A5D16"/>
    <w:rsid w:val="009B3D5B"/>
    <w:rsid w:val="009E4D28"/>
    <w:rsid w:val="009F022A"/>
    <w:rsid w:val="009F3F0E"/>
    <w:rsid w:val="00A102AE"/>
    <w:rsid w:val="00A21FAB"/>
    <w:rsid w:val="00A2264A"/>
    <w:rsid w:val="00A32252"/>
    <w:rsid w:val="00A41A7D"/>
    <w:rsid w:val="00A84EB2"/>
    <w:rsid w:val="00A973FA"/>
    <w:rsid w:val="00AB357E"/>
    <w:rsid w:val="00AB3895"/>
    <w:rsid w:val="00AB48A4"/>
    <w:rsid w:val="00AF0A68"/>
    <w:rsid w:val="00B16DAB"/>
    <w:rsid w:val="00B4662B"/>
    <w:rsid w:val="00B623EE"/>
    <w:rsid w:val="00B63BCD"/>
    <w:rsid w:val="00B74B15"/>
    <w:rsid w:val="00BC00E6"/>
    <w:rsid w:val="00BC4E3E"/>
    <w:rsid w:val="00C06D5B"/>
    <w:rsid w:val="00C12FB9"/>
    <w:rsid w:val="00C915F3"/>
    <w:rsid w:val="00CA0B30"/>
    <w:rsid w:val="00CA4326"/>
    <w:rsid w:val="00CE6C38"/>
    <w:rsid w:val="00D02110"/>
    <w:rsid w:val="00D07827"/>
    <w:rsid w:val="00D276F0"/>
    <w:rsid w:val="00D536BD"/>
    <w:rsid w:val="00D63745"/>
    <w:rsid w:val="00D87BF0"/>
    <w:rsid w:val="00D92804"/>
    <w:rsid w:val="00DA0630"/>
    <w:rsid w:val="00DC2AEB"/>
    <w:rsid w:val="00DC2C68"/>
    <w:rsid w:val="00DC5613"/>
    <w:rsid w:val="00DE14AB"/>
    <w:rsid w:val="00E2575A"/>
    <w:rsid w:val="00E47AA9"/>
    <w:rsid w:val="00E50129"/>
    <w:rsid w:val="00E73078"/>
    <w:rsid w:val="00ED3206"/>
    <w:rsid w:val="00F105D2"/>
    <w:rsid w:val="00F15342"/>
    <w:rsid w:val="00F16236"/>
    <w:rsid w:val="00F33522"/>
    <w:rsid w:val="00F352A6"/>
    <w:rsid w:val="00F423D4"/>
    <w:rsid w:val="00F531B1"/>
    <w:rsid w:val="00F66594"/>
    <w:rsid w:val="00F92A79"/>
    <w:rsid w:val="00FE1A29"/>
    <w:rsid w:val="00FF6C3B"/>
    <w:rsid w:val="00FF7F9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BB19BCE"/>
  <w15:docId w15:val="{85964EFE-6D4C-4A12-8856-E64AC667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A0F"/>
    <w:rPr>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0F"/>
    <w:pPr>
      <w:ind w:left="720"/>
      <w:contextualSpacing/>
    </w:pPr>
  </w:style>
  <w:style w:type="character" w:customStyle="1" w:styleId="st">
    <w:name w:val="st"/>
    <w:basedOn w:val="DefaultParagraphFont"/>
    <w:rsid w:val="00E47AA9"/>
  </w:style>
  <w:style w:type="character" w:styleId="Emphasis">
    <w:name w:val="Emphasis"/>
    <w:basedOn w:val="DefaultParagraphFont"/>
    <w:uiPriority w:val="20"/>
    <w:qFormat/>
    <w:rsid w:val="00E47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49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PCDOC-679391099-144</_dlc_DocId>
    <_dlc_DocIdUrl xmlns="3f4bcce7-ac1a-4c9d-aa3e-7e77695652db">
      <Url>http://inet.pc.gov.au/pmo/inq/mdbp/_layouts/15/DocIdRedir.aspx?ID=PCDOC-679391099-144</Url>
      <Description>PCDOC-679391099-144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956EA2-7AD3-4E44-99F1-745C26EF8B6B}">
  <ds:schemaRefs>
    <ds:schemaRef ds:uri="http://schemas.microsoft.com/sharepoint/v3/contenttype/forms"/>
  </ds:schemaRefs>
</ds:datastoreItem>
</file>

<file path=customXml/itemProps2.xml><?xml version="1.0" encoding="utf-8"?>
<ds:datastoreItem xmlns:ds="http://schemas.openxmlformats.org/officeDocument/2006/customXml" ds:itemID="{6F58BE83-25AB-4663-B112-B14B81634C1C}">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3f4bcce7-ac1a-4c9d-aa3e-7e77695652db"/>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8E84EF6-33BF-4D8E-90DE-B943E1B16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F3664-2464-4410-B0BE-9C11AE5CB1BA}">
  <ds:schemaRefs>
    <ds:schemaRef ds:uri="Microsoft.SharePoint.Taxonomy.ContentTypeSync"/>
  </ds:schemaRefs>
</ds:datastoreItem>
</file>

<file path=customXml/itemProps5.xml><?xml version="1.0" encoding="utf-8"?>
<ds:datastoreItem xmlns:ds="http://schemas.openxmlformats.org/officeDocument/2006/customXml" ds:itemID="{7C2020CB-9EC7-498D-9F97-AF8C6533759F}">
  <ds:schemaRefs>
    <ds:schemaRef ds:uri="http://schemas.microsoft.com/office/2006/metadata/customXsn"/>
  </ds:schemaRefs>
</ds:datastoreItem>
</file>

<file path=customXml/itemProps6.xml><?xml version="1.0" encoding="utf-8"?>
<ds:datastoreItem xmlns:ds="http://schemas.openxmlformats.org/officeDocument/2006/customXml" ds:itemID="{F26DA0CE-117A-4412-9D77-6038D15AA3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DR94 - Alistair Watson - Murray-Darling Basin Plan: Five-year assessment - Public inquiry</vt:lpstr>
    </vt:vector>
  </TitlesOfParts>
  <Company>Alistair Watson</Company>
  <LinksUpToDate>false</LinksUpToDate>
  <CharactersWithSpaces>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DR94 - Alistair Watson - Murray-Darling Basin Plan: Five-year assessment - Public inquiry</dc:title>
  <dc:subject/>
  <dc:creator>Alistair Watson</dc:creator>
  <cp:keywords/>
  <dc:description/>
  <cp:lastModifiedBy>Productivity Commission</cp:lastModifiedBy>
  <cp:revision>4</cp:revision>
  <cp:lastPrinted>2018-10-04T01:04:00Z</cp:lastPrinted>
  <dcterms:created xsi:type="dcterms:W3CDTF">2018-10-09T01:41:00Z</dcterms:created>
  <dcterms:modified xsi:type="dcterms:W3CDTF">2018-10-10T01:28:00Z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7df1708c-4c7c-4d35-a830-9ccd3022a329</vt:lpwstr>
  </property>
  <property fmtid="{D5CDD505-2E9C-101B-9397-08002B2CF9AE}" pid="4" name="Record Tag">
    <vt:lpwstr>139;#Submissions|c6e0dbf8-5444-433c-844d-d567dd519a05</vt:lpwstr>
  </property>
  <property fmtid="{D5CDD505-2E9C-101B-9397-08002B2CF9AE}" pid="5" name="TaxKeyword">
    <vt:lpwstr/>
  </property>
</Properties>
</file>