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0C144" w14:textId="0A6A82EB" w:rsidR="007B5AD9" w:rsidRDefault="00A96010" w:rsidP="007B5AD9">
      <w:pPr>
        <w:pStyle w:val="Heading1"/>
        <w:spacing w:before="0" w:beforeAutospacing="0" w:after="0" w:afterAutospacing="0"/>
        <w:rPr>
          <w:rFonts w:asciiTheme="minorHAnsi" w:hAnsiTheme="minorHAnsi" w:cstheme="minorHAnsi"/>
          <w:sz w:val="24"/>
        </w:rPr>
      </w:pPr>
      <w:r w:rsidRPr="00D26EB5">
        <w:rPr>
          <w:rFonts w:asciiTheme="minorHAnsi" w:hAnsiTheme="minorHAnsi" w:cstheme="minorHAnsi"/>
          <w:sz w:val="24"/>
        </w:rPr>
        <w:t xml:space="preserve">Submission to the </w:t>
      </w:r>
      <w:r w:rsidR="002932E3" w:rsidRPr="00D26EB5">
        <w:rPr>
          <w:rFonts w:asciiTheme="minorHAnsi" w:hAnsiTheme="minorHAnsi" w:cstheme="minorHAnsi"/>
          <w:sz w:val="24"/>
        </w:rPr>
        <w:t>Productivity</w:t>
      </w:r>
      <w:r w:rsidR="00180A03" w:rsidRPr="00D26EB5">
        <w:rPr>
          <w:rFonts w:asciiTheme="minorHAnsi" w:hAnsiTheme="minorHAnsi" w:cstheme="minorHAnsi"/>
          <w:sz w:val="24"/>
        </w:rPr>
        <w:t xml:space="preserve"> Commission </w:t>
      </w:r>
      <w:r w:rsidR="00415FCA" w:rsidRPr="00D26EB5">
        <w:rPr>
          <w:rFonts w:asciiTheme="minorHAnsi" w:hAnsiTheme="minorHAnsi" w:cstheme="minorHAnsi"/>
          <w:sz w:val="24"/>
        </w:rPr>
        <w:t>regarding</w:t>
      </w:r>
      <w:r w:rsidR="00180A03" w:rsidRPr="00D26EB5">
        <w:rPr>
          <w:rFonts w:asciiTheme="minorHAnsi" w:hAnsiTheme="minorHAnsi" w:cstheme="minorHAnsi"/>
          <w:sz w:val="24"/>
        </w:rPr>
        <w:t xml:space="preserve"> </w:t>
      </w:r>
      <w:r w:rsidR="00E02702">
        <w:rPr>
          <w:rFonts w:asciiTheme="minorHAnsi" w:hAnsiTheme="minorHAnsi" w:cstheme="minorHAnsi"/>
          <w:sz w:val="24"/>
        </w:rPr>
        <w:t>the</w:t>
      </w:r>
      <w:r w:rsidR="00180A03" w:rsidRPr="00D26EB5">
        <w:rPr>
          <w:rFonts w:asciiTheme="minorHAnsi" w:hAnsiTheme="minorHAnsi" w:cstheme="minorHAnsi"/>
          <w:sz w:val="24"/>
        </w:rPr>
        <w:t xml:space="preserve"> inquiry </w:t>
      </w:r>
    </w:p>
    <w:p w14:paraId="44665842" w14:textId="3146E72C" w:rsidR="00E02702" w:rsidRDefault="007B5AD9" w:rsidP="007B5AD9">
      <w:pPr>
        <w:pStyle w:val="Heading1"/>
        <w:spacing w:before="0" w:beforeAutospacing="0" w:after="0" w:afterAutospacing="0"/>
        <w:rPr>
          <w:rFonts w:asciiTheme="minorHAnsi" w:hAnsiTheme="minorHAnsi" w:cstheme="minorHAnsi"/>
          <w:sz w:val="28"/>
        </w:rPr>
      </w:pPr>
      <w:r w:rsidRPr="00D26EB5">
        <w:rPr>
          <w:rFonts w:asciiTheme="minorHAnsi" w:hAnsiTheme="minorHAnsi" w:cstheme="minorHAnsi"/>
          <w:sz w:val="28"/>
        </w:rPr>
        <w:t>Superannuation: Assessing Efficiency and Competitiveness</w:t>
      </w:r>
    </w:p>
    <w:p w14:paraId="0C86F2F5" w14:textId="17F50410" w:rsidR="007B5AD9" w:rsidRPr="007B5AD9" w:rsidRDefault="00E02702" w:rsidP="007B5AD9">
      <w:pPr>
        <w:pStyle w:val="Heading1"/>
        <w:spacing w:before="0" w:beforeAutospacing="0" w:after="0" w:afterAutospacing="0"/>
        <w:rPr>
          <w:rFonts w:asciiTheme="minorHAnsi" w:hAnsiTheme="minorHAnsi" w:cstheme="minorHAnsi"/>
          <w:sz w:val="24"/>
        </w:rPr>
      </w:pPr>
      <w:r>
        <w:rPr>
          <w:rFonts w:asciiTheme="minorHAnsi" w:hAnsiTheme="minorHAnsi" w:cstheme="minorHAnsi"/>
          <w:sz w:val="24"/>
        </w:rPr>
        <w:t>and the related</w:t>
      </w:r>
      <w:r w:rsidR="007B5AD9">
        <w:rPr>
          <w:rFonts w:asciiTheme="minorHAnsi" w:hAnsiTheme="minorHAnsi" w:cstheme="minorHAnsi"/>
          <w:sz w:val="24"/>
        </w:rPr>
        <w:t xml:space="preserve"> </w:t>
      </w:r>
      <w:r>
        <w:rPr>
          <w:rFonts w:asciiTheme="minorHAnsi" w:hAnsiTheme="minorHAnsi" w:cstheme="minorHAnsi"/>
          <w:sz w:val="24"/>
        </w:rPr>
        <w:t>document</w:t>
      </w:r>
    </w:p>
    <w:p w14:paraId="7E51EDDC" w14:textId="28DE3DCE" w:rsidR="007B5AD9" w:rsidRDefault="007B5AD9" w:rsidP="007B5AD9">
      <w:pPr>
        <w:pStyle w:val="Heading1"/>
        <w:spacing w:before="0" w:beforeAutospacing="0"/>
        <w:rPr>
          <w:rFonts w:asciiTheme="minorHAnsi" w:hAnsiTheme="minorHAnsi" w:cstheme="minorHAnsi"/>
          <w:sz w:val="28"/>
        </w:rPr>
      </w:pPr>
      <w:r w:rsidRPr="007B5AD9">
        <w:rPr>
          <w:rFonts w:asciiTheme="minorHAnsi" w:hAnsiTheme="minorHAnsi" w:cstheme="minorHAnsi"/>
          <w:sz w:val="28"/>
        </w:rPr>
        <w:t>Supplementary Paper – Investment performance: Supplementary analysis</w:t>
      </w:r>
    </w:p>
    <w:p w14:paraId="05AF49DA" w14:textId="63579E38" w:rsidR="00415FCA" w:rsidRPr="006D2CF3" w:rsidRDefault="007B5AD9" w:rsidP="002932E3">
      <w:pPr>
        <w:pStyle w:val="Heading1"/>
        <w:rPr>
          <w:rFonts w:asciiTheme="minorHAnsi" w:hAnsiTheme="minorHAnsi" w:cstheme="minorHAnsi"/>
          <w:b w:val="0"/>
          <w:sz w:val="22"/>
        </w:rPr>
      </w:pPr>
      <w:r>
        <w:rPr>
          <w:noProof/>
        </w:rPr>
        <mc:AlternateContent>
          <mc:Choice Requires="wps">
            <w:drawing>
              <wp:anchor distT="0" distB="0" distL="114300" distR="114300" simplePos="0" relativeHeight="251670542" behindDoc="0" locked="0" layoutInCell="1" allowOverlap="1" wp14:anchorId="3447D2CC" wp14:editId="7AF42EC4">
                <wp:simplePos x="0" y="0"/>
                <wp:positionH relativeFrom="column">
                  <wp:posOffset>2980690</wp:posOffset>
                </wp:positionH>
                <wp:positionV relativeFrom="paragraph">
                  <wp:posOffset>8255</wp:posOffset>
                </wp:positionV>
                <wp:extent cx="914400" cy="341630"/>
                <wp:effectExtent l="0" t="0" r="0" b="1270"/>
                <wp:wrapSquare wrapText="bothSides"/>
                <wp:docPr id="30" name="Text Box 30"/>
                <wp:cNvGraphicFramePr/>
                <a:graphic xmlns:a="http://schemas.openxmlformats.org/drawingml/2006/main">
                  <a:graphicData uri="http://schemas.microsoft.com/office/word/2010/wordprocessingShape">
                    <wps:wsp>
                      <wps:cNvSpPr txBox="1"/>
                      <wps:spPr>
                        <a:xfrm>
                          <a:off x="0" y="0"/>
                          <a:ext cx="914400" cy="341630"/>
                        </a:xfrm>
                        <a:prstGeom prst="rect">
                          <a:avLst/>
                        </a:prstGeom>
                        <a:solidFill>
                          <a:schemeClr val="lt1"/>
                        </a:solidFill>
                        <a:ln w="6350">
                          <a:noFill/>
                        </a:ln>
                      </wps:spPr>
                      <wps:txbx>
                        <w:txbxContent>
                          <w:p w14:paraId="6DAAE6BB" w14:textId="6F9A7E4C" w:rsidR="009F3909" w:rsidRPr="00360B4E" w:rsidRDefault="009F3909" w:rsidP="00360B4E">
                            <w:pPr>
                              <w:spacing w:after="0" w:line="240" w:lineRule="auto"/>
                            </w:pPr>
                            <w:r w:rsidRPr="00360B4E">
                              <w:t xml:space="preserve">Contact: </w:t>
                            </w:r>
                            <w:r w:rsidR="004E4E5C">
                              <w:t>Adam Solomon, Head of Analytics</w:t>
                            </w:r>
                          </w:p>
                          <w:p w14:paraId="035406D7" w14:textId="135C0CEE" w:rsidR="009F3909" w:rsidRPr="00360B4E" w:rsidRDefault="009F3909" w:rsidP="008440D9">
                            <w:r w:rsidRPr="00360B4E">
                              <w:t>Phone:   1300 851 057</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47D2CC" id="_x0000_t202" coordsize="21600,21600" o:spt="202" path="m,l,21600r21600,l21600,xe">
                <v:stroke joinstyle="miter"/>
                <v:path gradientshapeok="t" o:connecttype="rect"/>
              </v:shapetype>
              <v:shape id="Text Box 30" o:spid="_x0000_s1026" type="#_x0000_t202" style="position:absolute;margin-left:234.7pt;margin-top:.65pt;width:1in;height:26.9pt;z-index:25167054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" fillcolor="white [3201]" stroked="f" strokeweight=".5pt">
                <v:textbox inset="0,0,0,0">
                  <w:txbxContent>
                    <w:p w14:paraId="6DAAE6BB" w14:textId="6F9A7E4C" w:rsidR="009F3909" w:rsidRPr="00360B4E" w:rsidRDefault="009F3909" w:rsidP="00360B4E">
                      <w:pPr>
                        <w:spacing w:after="0" w:line="240" w:lineRule="auto"/>
                      </w:pPr>
                      <w:r w:rsidRPr="00360B4E">
                        <w:t xml:space="preserve">Contact: </w:t>
                      </w:r>
                      <w:r w:rsidR="004E4E5C">
                        <w:t>Adam Solomon, Head of Analytics</w:t>
                      </w:r>
                    </w:p>
                    <w:p w14:paraId="035406D7" w14:textId="135C0CEE" w:rsidR="009F3909" w:rsidRPr="00360B4E" w:rsidRDefault="009F3909" w:rsidP="008440D9">
                      <w:r w:rsidRPr="00360B4E">
                        <w:t>Phone:   1300 851 057</w:t>
                      </w:r>
                    </w:p>
                  </w:txbxContent>
                </v:textbox>
                <w10:wrap type="square"/>
              </v:shape>
            </w:pict>
          </mc:Fallback>
        </mc:AlternateContent>
      </w:r>
      <w:r w:rsidR="00415FCA" w:rsidRPr="006D2CF3">
        <w:rPr>
          <w:rFonts w:asciiTheme="minorHAnsi" w:hAnsiTheme="minorHAnsi" w:cstheme="minorHAnsi"/>
          <w:b w:val="0"/>
          <w:sz w:val="22"/>
        </w:rPr>
        <w:t>Submitted by: Class Limited</w:t>
      </w:r>
      <w:r w:rsidR="00D26EB5" w:rsidRPr="006D2CF3">
        <w:rPr>
          <w:rFonts w:asciiTheme="minorHAnsi" w:hAnsiTheme="minorHAnsi" w:cstheme="minorHAnsi"/>
          <w:b w:val="0"/>
          <w:sz w:val="22"/>
        </w:rPr>
        <w:t>, ABN 70 116 802 058</w:t>
      </w:r>
      <w:r w:rsidR="009F3909">
        <w:rPr>
          <w:rFonts w:asciiTheme="minorHAnsi" w:hAnsiTheme="minorHAnsi" w:cstheme="minorHAnsi"/>
          <w:b w:val="0"/>
          <w:sz w:val="22"/>
        </w:rPr>
        <w:br/>
      </w:r>
      <w:r w:rsidR="00415FCA" w:rsidRPr="006D2CF3">
        <w:rPr>
          <w:rFonts w:asciiTheme="minorHAnsi" w:hAnsiTheme="minorHAnsi" w:cstheme="minorHAnsi"/>
          <w:b w:val="0"/>
          <w:sz w:val="22"/>
        </w:rPr>
        <w:t xml:space="preserve">Date: </w:t>
      </w:r>
      <w:r w:rsidR="009F3909">
        <w:rPr>
          <w:rFonts w:asciiTheme="minorHAnsi" w:hAnsiTheme="minorHAnsi" w:cstheme="minorHAnsi"/>
          <w:b w:val="0"/>
          <w:sz w:val="22"/>
        </w:rPr>
        <w:t xml:space="preserve">               </w:t>
      </w:r>
      <w:r w:rsidR="00E02702">
        <w:rPr>
          <w:rFonts w:asciiTheme="minorHAnsi" w:hAnsiTheme="minorHAnsi" w:cstheme="minorHAnsi"/>
          <w:b w:val="0"/>
          <w:sz w:val="22"/>
        </w:rPr>
        <w:t>9 November</w:t>
      </w:r>
      <w:r w:rsidR="00415FCA" w:rsidRPr="006D2CF3">
        <w:rPr>
          <w:rFonts w:asciiTheme="minorHAnsi" w:hAnsiTheme="minorHAnsi" w:cstheme="minorHAnsi"/>
          <w:b w:val="0"/>
          <w:sz w:val="22"/>
        </w:rPr>
        <w:t xml:space="preserve"> 2018</w:t>
      </w:r>
    </w:p>
    <w:p w14:paraId="15964FD1" w14:textId="77777777" w:rsidR="00D26EB5" w:rsidRPr="00AB0049" w:rsidRDefault="00D26EB5" w:rsidP="00D26EB5">
      <w:pPr>
        <w:pStyle w:val="ListParagraph"/>
        <w:ind w:left="0"/>
        <w:rPr>
          <w:b/>
          <w:i/>
          <w:sz w:val="18"/>
        </w:rPr>
      </w:pPr>
      <w:r w:rsidRPr="00AB0049">
        <w:rPr>
          <w:b/>
          <w:i/>
          <w:sz w:val="18"/>
        </w:rPr>
        <w:t>About Class</w:t>
      </w:r>
    </w:p>
    <w:p w14:paraId="4280AF8F" w14:textId="21E6D5A5" w:rsidR="00D26EB5" w:rsidRPr="00EB5EA1" w:rsidRDefault="00D26EB5" w:rsidP="00D26EB5">
      <w:pPr>
        <w:pStyle w:val="ListParagraph"/>
        <w:spacing w:after="120"/>
        <w:ind w:left="0"/>
        <w:contextualSpacing w:val="0"/>
        <w:rPr>
          <w:i/>
          <w:sz w:val="18"/>
          <w:szCs w:val="18"/>
        </w:rPr>
      </w:pPr>
      <w:r w:rsidRPr="003745AD">
        <w:rPr>
          <w:i/>
          <w:sz w:val="18"/>
          <w:szCs w:val="18"/>
        </w:rPr>
        <w:t xml:space="preserve">Class Limited is the largest cloud-based software provider used </w:t>
      </w:r>
      <w:r w:rsidR="009C72D9" w:rsidRPr="007464A5">
        <w:rPr>
          <w:i/>
          <w:sz w:val="18"/>
          <w:szCs w:val="18"/>
        </w:rPr>
        <w:t xml:space="preserve">by accountants and specialist administrators </w:t>
      </w:r>
      <w:r w:rsidRPr="007464A5">
        <w:rPr>
          <w:i/>
          <w:sz w:val="18"/>
          <w:szCs w:val="18"/>
        </w:rPr>
        <w:t>to administer SMSFs</w:t>
      </w:r>
      <w:r w:rsidR="486B6FDE" w:rsidRPr="008E05BF">
        <w:rPr>
          <w:i/>
          <w:iCs/>
          <w:sz w:val="18"/>
          <w:szCs w:val="18"/>
        </w:rPr>
        <w:t>. O</w:t>
      </w:r>
      <w:r w:rsidRPr="00F76055">
        <w:rPr>
          <w:i/>
          <w:sz w:val="18"/>
          <w:szCs w:val="18"/>
        </w:rPr>
        <w:t>ver 160,000 SMSFs</w:t>
      </w:r>
      <w:r w:rsidRPr="00EB5EA1">
        <w:rPr>
          <w:i/>
          <w:sz w:val="18"/>
          <w:szCs w:val="18"/>
        </w:rPr>
        <w:t>, about 27% of all SMSFs</w:t>
      </w:r>
      <w:r w:rsidR="00F8532C" w:rsidRPr="00EB5EA1">
        <w:rPr>
          <w:i/>
          <w:sz w:val="18"/>
          <w:szCs w:val="18"/>
        </w:rPr>
        <w:t>, are</w:t>
      </w:r>
      <w:r w:rsidRPr="00EB5EA1">
        <w:rPr>
          <w:i/>
          <w:sz w:val="18"/>
          <w:szCs w:val="18"/>
        </w:rPr>
        <w:t xml:space="preserve"> </w:t>
      </w:r>
      <w:r w:rsidR="009C72D9" w:rsidRPr="00EB5EA1">
        <w:rPr>
          <w:i/>
          <w:sz w:val="18"/>
          <w:szCs w:val="18"/>
        </w:rPr>
        <w:t>managed</w:t>
      </w:r>
      <w:r w:rsidRPr="00EB5EA1">
        <w:rPr>
          <w:i/>
          <w:sz w:val="18"/>
          <w:szCs w:val="18"/>
        </w:rPr>
        <w:t xml:space="preserve"> on Class Super</w:t>
      </w:r>
      <w:r w:rsidR="54EDA178" w:rsidRPr="00EB5EA1">
        <w:rPr>
          <w:i/>
          <w:iCs/>
          <w:sz w:val="18"/>
          <w:szCs w:val="18"/>
        </w:rPr>
        <w:t>,</w:t>
      </w:r>
      <w:r w:rsidRPr="00EB5EA1">
        <w:rPr>
          <w:i/>
          <w:sz w:val="18"/>
          <w:szCs w:val="18"/>
        </w:rPr>
        <w:t xml:space="preserve"> which was launched in 2009.</w:t>
      </w:r>
    </w:p>
    <w:p w14:paraId="5DDBE859" w14:textId="0DB669B6" w:rsidR="00D26EB5" w:rsidRPr="005650EA" w:rsidRDefault="00D26EB5" w:rsidP="00D26EB5">
      <w:pPr>
        <w:pStyle w:val="ListParagraph"/>
        <w:spacing w:after="120"/>
        <w:ind w:left="0"/>
        <w:contextualSpacing w:val="0"/>
        <w:rPr>
          <w:i/>
          <w:sz w:val="18"/>
          <w:szCs w:val="18"/>
        </w:rPr>
      </w:pPr>
      <w:r w:rsidRPr="00EB5EA1">
        <w:rPr>
          <w:i/>
          <w:sz w:val="18"/>
          <w:szCs w:val="18"/>
        </w:rPr>
        <w:t xml:space="preserve">Class software is used to prepare all the financial statements, member reporting and </w:t>
      </w:r>
      <w:r w:rsidR="2F914BF9" w:rsidRPr="007C368D">
        <w:rPr>
          <w:i/>
          <w:iCs/>
          <w:sz w:val="18"/>
          <w:szCs w:val="18"/>
        </w:rPr>
        <w:t xml:space="preserve">to </w:t>
      </w:r>
      <w:r w:rsidR="009C72D9" w:rsidRPr="007C368D">
        <w:rPr>
          <w:i/>
          <w:sz w:val="18"/>
          <w:szCs w:val="18"/>
        </w:rPr>
        <w:t xml:space="preserve">submit </w:t>
      </w:r>
      <w:r w:rsidRPr="007C368D">
        <w:rPr>
          <w:i/>
          <w:sz w:val="18"/>
          <w:szCs w:val="18"/>
        </w:rPr>
        <w:t xml:space="preserve">tax returns and regulatory reporting for these funds. </w:t>
      </w:r>
    </w:p>
    <w:p w14:paraId="783B1420" w14:textId="34498194" w:rsidR="0066633B" w:rsidRPr="007C368D" w:rsidRDefault="00D26EB5" w:rsidP="000E51FB">
      <w:pPr>
        <w:pStyle w:val="ListParagraph"/>
        <w:spacing w:after="200"/>
        <w:ind w:left="0"/>
        <w:contextualSpacing w:val="0"/>
        <w:rPr>
          <w:i/>
          <w:sz w:val="18"/>
          <w:szCs w:val="18"/>
        </w:rPr>
      </w:pPr>
      <w:r w:rsidRPr="005650EA">
        <w:rPr>
          <w:i/>
          <w:sz w:val="18"/>
          <w:szCs w:val="18"/>
        </w:rPr>
        <w:t>As part of its services</w:t>
      </w:r>
      <w:r w:rsidR="00065D7F" w:rsidRPr="003745AD">
        <w:rPr>
          <w:i/>
          <w:sz w:val="18"/>
          <w:szCs w:val="18"/>
        </w:rPr>
        <w:t>,</w:t>
      </w:r>
      <w:r w:rsidRPr="003745AD">
        <w:rPr>
          <w:i/>
          <w:sz w:val="18"/>
          <w:szCs w:val="18"/>
        </w:rPr>
        <w:t xml:space="preserve"> Class performs data analysis of these funds</w:t>
      </w:r>
      <w:r w:rsidR="00065D7F" w:rsidRPr="003745AD">
        <w:rPr>
          <w:i/>
          <w:sz w:val="18"/>
          <w:szCs w:val="18"/>
        </w:rPr>
        <w:t>,</w:t>
      </w:r>
      <w:r w:rsidRPr="003745AD">
        <w:rPr>
          <w:i/>
          <w:sz w:val="18"/>
          <w:szCs w:val="18"/>
        </w:rPr>
        <w:t xml:space="preserve"> and publishes th</w:t>
      </w:r>
      <w:r w:rsidR="00065D7F" w:rsidRPr="003745AD">
        <w:rPr>
          <w:i/>
          <w:sz w:val="18"/>
          <w:szCs w:val="18"/>
        </w:rPr>
        <w:t>e results</w:t>
      </w:r>
      <w:r w:rsidRPr="00EB5EA1">
        <w:rPr>
          <w:i/>
          <w:sz w:val="18"/>
          <w:szCs w:val="18"/>
        </w:rPr>
        <w:t xml:space="preserve"> on a quarterly basis a</w:t>
      </w:r>
      <w:r w:rsidRPr="007C368D">
        <w:rPr>
          <w:i/>
          <w:sz w:val="18"/>
          <w:szCs w:val="18"/>
        </w:rPr>
        <w:t>s the Class SMSF Benchmark report.</w:t>
      </w:r>
    </w:p>
    <w:p w14:paraId="662E07F2" w14:textId="7FE0CD72" w:rsidR="00D26EB5" w:rsidRPr="00D26EB5" w:rsidRDefault="007F191C" w:rsidP="00C96C21">
      <w:pPr>
        <w:pStyle w:val="ListParagraph"/>
        <w:spacing w:after="0"/>
        <w:ind w:left="0"/>
        <w:rPr>
          <w:b/>
        </w:rPr>
      </w:pPr>
      <w:r>
        <w:rPr>
          <w:b/>
        </w:rPr>
        <w:t xml:space="preserve">1. </w:t>
      </w:r>
      <w:r w:rsidR="00D26EB5" w:rsidRPr="00D26EB5">
        <w:rPr>
          <w:b/>
        </w:rPr>
        <w:t>About this Submission</w:t>
      </w:r>
    </w:p>
    <w:p w14:paraId="027A004A" w14:textId="237142EA" w:rsidR="004E4E5C" w:rsidRPr="004E4E5C" w:rsidRDefault="004E4E5C">
      <w:r>
        <w:t xml:space="preserve">Class read with interest the Productivity Commission’s </w:t>
      </w:r>
      <w:r>
        <w:rPr>
          <w:i/>
        </w:rPr>
        <w:t>Supplementary Paper – Investment performance: Supplementary analysis</w:t>
      </w:r>
      <w:r>
        <w:t xml:space="preserve">, dated October 2018, which was published in respect of </w:t>
      </w:r>
      <w:r w:rsidRPr="003745AD">
        <w:rPr>
          <w:i/>
        </w:rPr>
        <w:t>Superannuation: Assessing Efficiency and Competitiveness, Draft Report</w:t>
      </w:r>
      <w:r w:rsidRPr="00EB5EA1">
        <w:rPr>
          <w:i/>
          <w:iCs/>
        </w:rPr>
        <w:t>,</w:t>
      </w:r>
      <w:r>
        <w:t xml:space="preserve"> dated April 2018.</w:t>
      </w:r>
    </w:p>
    <w:p w14:paraId="54D0FE49" w14:textId="35F98BB4" w:rsidR="00E23CFA" w:rsidRDefault="004E4E5C">
      <w:r>
        <w:t xml:space="preserve">The </w:t>
      </w:r>
      <w:r>
        <w:rPr>
          <w:i/>
        </w:rPr>
        <w:t>Supplementary Paper</w:t>
      </w:r>
      <w:r w:rsidR="00E23CFA">
        <w:t xml:space="preserve"> made progress in exploring</w:t>
      </w:r>
      <w:bookmarkStart w:id="0" w:name="_GoBack"/>
      <w:bookmarkEnd w:id="0"/>
      <w:r w:rsidR="00E23CFA">
        <w:t xml:space="preserve"> the differences between the ATO’s ROA formula and the APRA’s ROR formula, and noted findings showing that returns are understated when the ROA formula is used in comparison to the ROR formula. </w:t>
      </w:r>
    </w:p>
    <w:p w14:paraId="4A92F3DE" w14:textId="19EF058C" w:rsidR="004E4E5C" w:rsidRPr="004702F1" w:rsidRDefault="00C26630">
      <w:r w:rsidRPr="004702F1">
        <w:t xml:space="preserve">However, Class has the following concerns </w:t>
      </w:r>
      <w:r w:rsidR="00BA0070" w:rsidRPr="004702F1">
        <w:t>with</w:t>
      </w:r>
      <w:r w:rsidRPr="004702F1">
        <w:t xml:space="preserve"> the </w:t>
      </w:r>
      <w:r w:rsidRPr="004702F1">
        <w:rPr>
          <w:i/>
        </w:rPr>
        <w:t>Supplementary Paper</w:t>
      </w:r>
      <w:r w:rsidRPr="004702F1">
        <w:t>:</w:t>
      </w:r>
    </w:p>
    <w:p w14:paraId="00F12C6E" w14:textId="77777777" w:rsidR="002A3DD7" w:rsidRPr="004702F1" w:rsidRDefault="00C26630" w:rsidP="00C26630">
      <w:pPr>
        <w:pStyle w:val="ListParagraph"/>
        <w:numPr>
          <w:ilvl w:val="0"/>
          <w:numId w:val="18"/>
        </w:numPr>
      </w:pPr>
      <w:r w:rsidRPr="004702F1">
        <w:t>The analysis of SMSFs by size bracket</w:t>
      </w:r>
      <w:r w:rsidR="002A3DD7" w:rsidRPr="004702F1">
        <w:t>, which is used to draw conclusions regarding the efficiency of “small” SMSFs:</w:t>
      </w:r>
    </w:p>
    <w:p w14:paraId="71C94E60" w14:textId="3E650FF8" w:rsidR="00C26630" w:rsidRPr="004702F1" w:rsidRDefault="002A3DD7" w:rsidP="002A3DD7">
      <w:pPr>
        <w:pStyle w:val="ListParagraph"/>
        <w:numPr>
          <w:ilvl w:val="1"/>
          <w:numId w:val="18"/>
        </w:numPr>
      </w:pPr>
      <w:r w:rsidRPr="004702F1">
        <w:t>S</w:t>
      </w:r>
      <w:r w:rsidR="00C26630" w:rsidRPr="004702F1">
        <w:t xml:space="preserve">till uses the ROA formula which </w:t>
      </w:r>
      <w:r w:rsidRPr="004702F1">
        <w:t>understates performance to the greatest extent in the smaller size brackets</w:t>
      </w:r>
    </w:p>
    <w:p w14:paraId="2172B62C" w14:textId="2EAE4FDB" w:rsidR="002A3DD7" w:rsidRPr="004702F1" w:rsidRDefault="002A3DD7" w:rsidP="002A3DD7">
      <w:pPr>
        <w:pStyle w:val="ListParagraph"/>
        <w:numPr>
          <w:ilvl w:val="1"/>
          <w:numId w:val="18"/>
        </w:numPr>
      </w:pPr>
      <w:r w:rsidRPr="004702F1">
        <w:t>Utilises an inappropriate measure of “Expenses” which does not provide an accurate indication of the efficiency with which SMSFs are administered, and is not aligned with the APRA measurement of expenses</w:t>
      </w:r>
    </w:p>
    <w:p w14:paraId="0A48B795" w14:textId="649EA606" w:rsidR="0033302C" w:rsidRPr="005D24CD" w:rsidRDefault="004D004C" w:rsidP="002A3DD7">
      <w:pPr>
        <w:pStyle w:val="ListParagraph"/>
        <w:numPr>
          <w:ilvl w:val="0"/>
          <w:numId w:val="18"/>
        </w:numPr>
      </w:pPr>
      <w:r w:rsidRPr="005D24CD">
        <w:t>T</w:t>
      </w:r>
      <w:r w:rsidR="002A3DD7" w:rsidRPr="005D24CD">
        <w:t xml:space="preserve">here </w:t>
      </w:r>
      <w:r w:rsidR="004702F1" w:rsidRPr="005D24CD">
        <w:t>has not been any consideration of</w:t>
      </w:r>
      <w:r w:rsidR="002A3DD7" w:rsidRPr="005D24CD">
        <w:t xml:space="preserve"> </w:t>
      </w:r>
      <w:r w:rsidRPr="005D24CD">
        <w:t xml:space="preserve">“the other </w:t>
      </w:r>
      <w:r w:rsidR="002A3DD7" w:rsidRPr="005D24CD">
        <w:t xml:space="preserve">side of the coin” – namely that there is a level of superannuation net assets where it becomes </w:t>
      </w:r>
      <w:r w:rsidR="00CA3A86" w:rsidRPr="005D24CD">
        <w:t xml:space="preserve">more cost-effective for funds to be held in SMSFs compared with APRA funds. </w:t>
      </w:r>
    </w:p>
    <w:p w14:paraId="26BA97A4" w14:textId="545336C8" w:rsidR="00C26630" w:rsidRDefault="00C26630"/>
    <w:p w14:paraId="08056AB0" w14:textId="77777777" w:rsidR="0089173A" w:rsidRDefault="0089173A">
      <w:pPr>
        <w:rPr>
          <w:b/>
        </w:rPr>
      </w:pPr>
      <w:r>
        <w:rPr>
          <w:b/>
        </w:rPr>
        <w:br w:type="page"/>
      </w:r>
    </w:p>
    <w:p w14:paraId="41B79034" w14:textId="5BD15060" w:rsidR="00743D8C" w:rsidRDefault="00796A20" w:rsidP="00743D8C">
      <w:pPr>
        <w:pStyle w:val="ListParagraph"/>
        <w:spacing w:after="0"/>
        <w:ind w:left="0"/>
        <w:rPr>
          <w:b/>
        </w:rPr>
      </w:pPr>
      <w:r>
        <w:rPr>
          <w:b/>
        </w:rPr>
        <w:lastRenderedPageBreak/>
        <w:t>2</w:t>
      </w:r>
      <w:r w:rsidR="00743D8C">
        <w:rPr>
          <w:b/>
        </w:rPr>
        <w:t xml:space="preserve">. </w:t>
      </w:r>
      <w:r w:rsidR="00953257">
        <w:rPr>
          <w:b/>
        </w:rPr>
        <w:t>Understated returns and overstated expenses</w:t>
      </w:r>
      <w:r>
        <w:rPr>
          <w:b/>
        </w:rPr>
        <w:t xml:space="preserve"> </w:t>
      </w:r>
    </w:p>
    <w:p w14:paraId="0FD69F74" w14:textId="77777777" w:rsidR="00796A20" w:rsidRPr="00D26EB5" w:rsidRDefault="00796A20" w:rsidP="00743D8C">
      <w:pPr>
        <w:pStyle w:val="ListParagraph"/>
        <w:spacing w:after="0"/>
        <w:ind w:left="0"/>
        <w:rPr>
          <w:b/>
        </w:rPr>
      </w:pPr>
    </w:p>
    <w:p w14:paraId="17696795" w14:textId="7D0BC0FB" w:rsidR="00743D8C" w:rsidRDefault="00796A20" w:rsidP="00796A20">
      <w:r>
        <w:t xml:space="preserve">Following feedback relating to the </w:t>
      </w:r>
      <w:r>
        <w:rPr>
          <w:i/>
        </w:rPr>
        <w:t>Draft Report</w:t>
      </w:r>
      <w:r>
        <w:t xml:space="preserve">, the Productivity Commission has stated in the </w:t>
      </w:r>
      <w:r>
        <w:rPr>
          <w:i/>
        </w:rPr>
        <w:t>Supplementary Paper</w:t>
      </w:r>
      <w:r>
        <w:t xml:space="preserve"> that “</w:t>
      </w:r>
      <w:r w:rsidRPr="00796A20">
        <w:t>ROA will tend to be lower than ROR</w:t>
      </w:r>
      <w:r>
        <w:t xml:space="preserve">” (p 59) and “to the extent that contributions tax and insurance flows are relatively larger for smaller SMSFs, the difference between the ROA and ROR measures is likely to be greatest for smaller SMSFs” (p 60). </w:t>
      </w:r>
    </w:p>
    <w:p w14:paraId="2A55AF9F" w14:textId="5BA74E9D" w:rsidR="00953257" w:rsidRDefault="00953257" w:rsidP="00796A20">
      <w:r>
        <w:t xml:space="preserve">Notwithstanding the above, the following figure based on the </w:t>
      </w:r>
      <w:r w:rsidR="005D24CD">
        <w:t>problematic</w:t>
      </w:r>
      <w:r>
        <w:t xml:space="preserve"> ROA measure was included in the </w:t>
      </w:r>
      <w:r>
        <w:rPr>
          <w:i/>
        </w:rPr>
        <w:t>Supplementary Paper</w:t>
      </w:r>
      <w:r>
        <w:t>:</w:t>
      </w:r>
    </w:p>
    <w:p w14:paraId="71BB6404" w14:textId="5A9BB9A3" w:rsidR="00953257" w:rsidRPr="00953257" w:rsidRDefault="00953257" w:rsidP="00796A20">
      <w:r>
        <w:rPr>
          <w:noProof/>
          <w:lang w:eastAsia="en-AU"/>
        </w:rPr>
        <w:drawing>
          <wp:inline distT="0" distB="0" distL="0" distR="0" wp14:anchorId="232D75B0" wp14:editId="433DF5C1">
            <wp:extent cx="4410075" cy="477065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10075" cy="4770659"/>
                    </a:xfrm>
                    <a:prstGeom prst="rect">
                      <a:avLst/>
                    </a:prstGeom>
                  </pic:spPr>
                </pic:pic>
              </a:graphicData>
            </a:graphic>
          </wp:inline>
        </w:drawing>
      </w:r>
    </w:p>
    <w:p w14:paraId="01C09650" w14:textId="55BFA613" w:rsidR="00743D8C" w:rsidRDefault="00953257">
      <w:r>
        <w:t xml:space="preserve">It is therefore important to </w:t>
      </w:r>
      <w:r w:rsidR="00CF0E29">
        <w:t xml:space="preserve">provide further details on the flawed nature of the ROA as a measure for performance. </w:t>
      </w:r>
    </w:p>
    <w:p w14:paraId="292F57D3" w14:textId="77777777" w:rsidR="0089173A" w:rsidRDefault="0089173A">
      <w:pPr>
        <w:rPr>
          <w:b/>
        </w:rPr>
      </w:pPr>
      <w:r>
        <w:rPr>
          <w:b/>
        </w:rPr>
        <w:br w:type="page"/>
      </w:r>
    </w:p>
    <w:p w14:paraId="51F29465" w14:textId="52DAA66C" w:rsidR="00CF0E29" w:rsidRDefault="00CF0E29" w:rsidP="00CF0E29">
      <w:pPr>
        <w:pStyle w:val="ListParagraph"/>
        <w:spacing w:after="0"/>
        <w:ind w:left="0"/>
        <w:rPr>
          <w:b/>
        </w:rPr>
      </w:pPr>
      <w:r>
        <w:rPr>
          <w:b/>
        </w:rPr>
        <w:lastRenderedPageBreak/>
        <w:t>2.1 Correcting misperceptions about the ROA</w:t>
      </w:r>
    </w:p>
    <w:p w14:paraId="5D50C384" w14:textId="77777777" w:rsidR="00CF0E29" w:rsidRDefault="00CF0E29" w:rsidP="00CF0E29">
      <w:pPr>
        <w:pStyle w:val="ListParagraph"/>
        <w:spacing w:after="0"/>
        <w:ind w:left="0"/>
        <w:rPr>
          <w:b/>
        </w:rPr>
      </w:pPr>
    </w:p>
    <w:p w14:paraId="60745BCD" w14:textId="7B2F36A8" w:rsidR="00CF0E29" w:rsidRDefault="00CF0E29" w:rsidP="00CF0E29">
      <w:pPr>
        <w:pStyle w:val="ListParagraph"/>
        <w:spacing w:after="0"/>
        <w:ind w:left="0"/>
        <w:rPr>
          <w:b/>
        </w:rPr>
      </w:pPr>
      <w:r>
        <w:rPr>
          <w:b/>
        </w:rPr>
        <w:t>2.1.1 The ROA denominator effect</w:t>
      </w:r>
    </w:p>
    <w:p w14:paraId="1D11D1D0" w14:textId="77777777" w:rsidR="00CF0E29" w:rsidRDefault="00CF0E29" w:rsidP="00CF0E29">
      <w:pPr>
        <w:spacing w:after="0"/>
      </w:pPr>
      <w:r>
        <w:t>The Productivity Commission notes (</w:t>
      </w:r>
      <w:r>
        <w:rPr>
          <w:i/>
        </w:rPr>
        <w:t>Supplementary Paper</w:t>
      </w:r>
      <w:r>
        <w:t xml:space="preserve">, p. 59) the following: </w:t>
      </w:r>
    </w:p>
    <w:p w14:paraId="68CF515E" w14:textId="77777777" w:rsidR="00CF0E29" w:rsidRDefault="00CF0E29" w:rsidP="00CF0E29">
      <w:pPr>
        <w:spacing w:after="0"/>
      </w:pPr>
    </w:p>
    <w:p w14:paraId="403CB98A" w14:textId="4FAADC39" w:rsidR="00CF0E29" w:rsidRDefault="00CF0E29" w:rsidP="00CF0E29">
      <w:pPr>
        <w:spacing w:after="0"/>
      </w:pPr>
      <w:r>
        <w:t xml:space="preserve">“One key difference is the denominator used in each of the two measures — the ROA measure simply uses the average value of net assets over the period (calculated by taking the value of assets at the beginning and end of the period), whereas the ROR measure takes the beginning value and adds adjustments for net member flows and net insurance flows. The effect is that the ROA denominator is influenced by net earnings during the period, while the ROR denominator is not. </w:t>
      </w:r>
      <w:r w:rsidRPr="00CF0E29">
        <w:rPr>
          <w:b/>
        </w:rPr>
        <w:t>In years with positive returns, the ROA will be lower than the ROR.</w:t>
      </w:r>
      <w:r>
        <w:t>” (Emphasis added by Class)</w:t>
      </w:r>
    </w:p>
    <w:p w14:paraId="64205CBF" w14:textId="74717B1B" w:rsidR="00CF0E29" w:rsidRDefault="00CF0E29" w:rsidP="00CF0E29">
      <w:pPr>
        <w:spacing w:after="0"/>
      </w:pPr>
    </w:p>
    <w:p w14:paraId="408CB398" w14:textId="236D490D" w:rsidR="00CF0E29" w:rsidRDefault="00CF0E29" w:rsidP="00CF0E29">
      <w:pPr>
        <w:spacing w:after="0"/>
      </w:pPr>
      <w:r>
        <w:t>Firstly, it should be noted that the ROA will also be systematically lower than the ROR</w:t>
      </w:r>
      <w:r w:rsidR="00BD29F7">
        <w:t xml:space="preserve"> due to the denominator effect</w:t>
      </w:r>
      <w:r>
        <w:t xml:space="preserve"> </w:t>
      </w:r>
      <w:r w:rsidR="00BD29F7">
        <w:t>in years with negative returns (i.e. not only in years with positive returns).</w:t>
      </w:r>
      <w:r w:rsidR="00BD29F7">
        <w:rPr>
          <w:rStyle w:val="FootnoteReference"/>
        </w:rPr>
        <w:footnoteReference w:id="2"/>
      </w:r>
    </w:p>
    <w:p w14:paraId="1935B3E6" w14:textId="6B173309" w:rsidR="00BD29F7" w:rsidRDefault="00BD29F7" w:rsidP="00CF0E29">
      <w:pPr>
        <w:spacing w:after="0"/>
      </w:pPr>
    </w:p>
    <w:p w14:paraId="30660544" w14:textId="219E139B" w:rsidR="005875C7" w:rsidRDefault="005875C7" w:rsidP="00CF0E29">
      <w:pPr>
        <w:spacing w:after="0"/>
      </w:pPr>
      <w:r>
        <w:t xml:space="preserve">The Productivity Commission’s </w:t>
      </w:r>
      <w:r>
        <w:rPr>
          <w:i/>
        </w:rPr>
        <w:t>Supplementary Paper</w:t>
      </w:r>
      <w:r>
        <w:t xml:space="preserve"> also includes the following figure:</w:t>
      </w:r>
    </w:p>
    <w:p w14:paraId="2E6BE81A" w14:textId="77777777" w:rsidR="005875C7" w:rsidRDefault="005875C7" w:rsidP="00CF0E29">
      <w:pPr>
        <w:spacing w:after="0"/>
      </w:pPr>
    </w:p>
    <w:p w14:paraId="585FDE2B" w14:textId="4D54D3A1" w:rsidR="005875C7" w:rsidRDefault="005875C7" w:rsidP="00CF0E29">
      <w:pPr>
        <w:spacing w:after="0"/>
      </w:pPr>
      <w:r>
        <w:rPr>
          <w:noProof/>
          <w:lang w:eastAsia="en-AU"/>
        </w:rPr>
        <w:drawing>
          <wp:inline distT="0" distB="0" distL="0" distR="0" wp14:anchorId="4A479B08" wp14:editId="34C0B23D">
            <wp:extent cx="4259680" cy="322897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60850" cy="3229862"/>
                    </a:xfrm>
                    <a:prstGeom prst="rect">
                      <a:avLst/>
                    </a:prstGeom>
                  </pic:spPr>
                </pic:pic>
              </a:graphicData>
            </a:graphic>
          </wp:inline>
        </w:drawing>
      </w:r>
    </w:p>
    <w:p w14:paraId="68AD0BC6" w14:textId="3312AFE6" w:rsidR="005875C7" w:rsidRDefault="005875C7" w:rsidP="005875C7">
      <w:pPr>
        <w:spacing w:after="0"/>
      </w:pPr>
      <w:r>
        <w:t>The Productivity Commission states (</w:t>
      </w:r>
      <w:r>
        <w:rPr>
          <w:i/>
        </w:rPr>
        <w:t>Supplementary Paper</w:t>
      </w:r>
      <w:r>
        <w:t xml:space="preserve">, p. 59) the following: </w:t>
      </w:r>
    </w:p>
    <w:p w14:paraId="78CF0F7B" w14:textId="51A9AB95" w:rsidR="00BD29F7" w:rsidRDefault="00BD29F7" w:rsidP="00CF0E29">
      <w:pPr>
        <w:spacing w:after="0"/>
      </w:pPr>
    </w:p>
    <w:p w14:paraId="63A6F5B3" w14:textId="77777777" w:rsidR="005875C7" w:rsidRDefault="005875C7" w:rsidP="005875C7">
      <w:pPr>
        <w:spacing w:after="0"/>
      </w:pPr>
      <w:r>
        <w:t>“Class Limited estimates suggest that the standard ROA measure is, on average, about</w:t>
      </w:r>
    </w:p>
    <w:p w14:paraId="172CBFC7" w14:textId="77777777" w:rsidR="005875C7" w:rsidRPr="005875C7" w:rsidRDefault="005875C7" w:rsidP="005875C7">
      <w:pPr>
        <w:spacing w:after="0"/>
        <w:rPr>
          <w:b/>
        </w:rPr>
      </w:pPr>
      <w:r>
        <w:t xml:space="preserve">1 percentage point below ROR, </w:t>
      </w:r>
      <w:r w:rsidRPr="005875C7">
        <w:rPr>
          <w:b/>
        </w:rPr>
        <w:t>with the difference greatest in the earlier years of the sample</w:t>
      </w:r>
    </w:p>
    <w:p w14:paraId="7528483F" w14:textId="5AAA9E6F" w:rsidR="005875C7" w:rsidRDefault="005875C7" w:rsidP="005875C7">
      <w:pPr>
        <w:spacing w:after="0"/>
      </w:pPr>
      <w:r w:rsidRPr="005875C7">
        <w:rPr>
          <w:b/>
        </w:rPr>
        <w:t>(the ATO estimates suggest a smaller margin)</w:t>
      </w:r>
      <w:r>
        <w:t>.” (Emphasis added by Class)</w:t>
      </w:r>
    </w:p>
    <w:p w14:paraId="5E8CF32C" w14:textId="6059B992" w:rsidR="005875C7" w:rsidRDefault="005875C7" w:rsidP="005875C7">
      <w:pPr>
        <w:spacing w:after="0"/>
      </w:pPr>
    </w:p>
    <w:p w14:paraId="6D310707" w14:textId="7323AB89" w:rsidR="005875C7" w:rsidRDefault="005875C7" w:rsidP="005875C7">
      <w:pPr>
        <w:spacing w:after="0"/>
      </w:pPr>
      <w:r>
        <w:t>The difference between ROA and ROR is indeed greatest in the earlier years of the sample – this is because the magnitude of the difference is greatest when the absolute value of returns is greatest</w:t>
      </w:r>
      <w:r>
        <w:rPr>
          <w:rStyle w:val="FootnoteReference"/>
        </w:rPr>
        <w:footnoteReference w:id="3"/>
      </w:r>
      <w:r>
        <w:t>, and this occurred in the earliest years of the sample.</w:t>
      </w:r>
    </w:p>
    <w:p w14:paraId="0B632D94" w14:textId="676DE61A" w:rsidR="00CF0E29" w:rsidRDefault="00CF0E29" w:rsidP="00CF0E29">
      <w:pPr>
        <w:pStyle w:val="ListParagraph"/>
        <w:spacing w:after="0"/>
        <w:ind w:left="0"/>
        <w:rPr>
          <w:b/>
        </w:rPr>
      </w:pPr>
    </w:p>
    <w:p w14:paraId="7E216422" w14:textId="77777777" w:rsidR="003544AC" w:rsidRDefault="003544AC" w:rsidP="00CF0E29">
      <w:pPr>
        <w:pStyle w:val="ListParagraph"/>
        <w:spacing w:after="0"/>
        <w:ind w:left="0"/>
        <w:rPr>
          <w:b/>
        </w:rPr>
      </w:pPr>
    </w:p>
    <w:p w14:paraId="6C774541" w14:textId="7837B1F1" w:rsidR="00953257" w:rsidRDefault="003544AC">
      <w:r>
        <w:rPr>
          <w:b/>
        </w:rPr>
        <w:t>2.1.2 The ROA contributions tax and insurance effects</w:t>
      </w:r>
    </w:p>
    <w:p w14:paraId="581ADCD8" w14:textId="3B30C8D4" w:rsidR="003544AC" w:rsidRDefault="003544AC" w:rsidP="003544AC">
      <w:r>
        <w:t xml:space="preserve">With regard to Figure 30 above and the ATO revised ROA estimate, the </w:t>
      </w:r>
      <w:r w:rsidRPr="003544AC">
        <w:t>Productivity Commission states (Supplementary Paper, p. 59) the following:</w:t>
      </w:r>
      <w:r>
        <w:t xml:space="preserve"> </w:t>
      </w:r>
    </w:p>
    <w:p w14:paraId="19C33C6C" w14:textId="121DA3C7" w:rsidR="003544AC" w:rsidRDefault="003544AC" w:rsidP="003544AC">
      <w:r>
        <w:t>“Class Limited provided ROR estimates (based on publicly available data) that adjust for the time period in the denominator, as well as the effect of contributions tax and insurance flows.</w:t>
      </w:r>
      <w:r w:rsidR="005D24CD">
        <w:t>”</w:t>
      </w:r>
    </w:p>
    <w:p w14:paraId="57F83160" w14:textId="7027AD9F" w:rsidR="003544AC" w:rsidRDefault="003544AC" w:rsidP="003544AC">
      <w:r>
        <w:t>“The ATO provided ROA estimates that only adjust for the time period in the denominator.”</w:t>
      </w:r>
    </w:p>
    <w:p w14:paraId="5325A94C" w14:textId="30F2EDB2" w:rsidR="00AB0EA4" w:rsidRDefault="00AB0EA4" w:rsidP="00AB0EA4">
      <w:r>
        <w:t>The Productivity Commission also noted (</w:t>
      </w:r>
      <w:r w:rsidRPr="00255709">
        <w:rPr>
          <w:i/>
        </w:rPr>
        <w:t>Supplementary Paper</w:t>
      </w:r>
      <w:r>
        <w:t>, p. 60</w:t>
      </w:r>
      <w:r w:rsidRPr="003544AC">
        <w:t>)</w:t>
      </w:r>
      <w:r>
        <w:t xml:space="preserve"> that: </w:t>
      </w:r>
    </w:p>
    <w:p w14:paraId="5CCC99F8" w14:textId="2A8F21CE" w:rsidR="003544AC" w:rsidRDefault="00AB0EA4" w:rsidP="00AB0EA4">
      <w:r>
        <w:t>“to the extent that contributions tax and insurance flows are relatively larger for smaller SMSFs, the difference between the ROA and ROR measures is likely to be greatest for smaller SMSFs.”</w:t>
      </w:r>
    </w:p>
    <w:p w14:paraId="0B30CB67" w14:textId="569727A1" w:rsidR="00AB0EA4" w:rsidRDefault="00607BC8" w:rsidP="00AB0EA4">
      <w:r>
        <w:t xml:space="preserve">Class has </w:t>
      </w:r>
      <w:r w:rsidR="00630D7A">
        <w:t>calculated the difference between the ROR and ROA measures</w:t>
      </w:r>
      <w:r w:rsidR="00B71FD3">
        <w:t xml:space="preserve"> for different fund size groups</w:t>
      </w:r>
      <w:r w:rsidR="00630D7A">
        <w:t xml:space="preserve"> based on a sample</w:t>
      </w:r>
      <w:r w:rsidR="00630D7A">
        <w:rPr>
          <w:rStyle w:val="FootnoteReference"/>
        </w:rPr>
        <w:footnoteReference w:id="4"/>
      </w:r>
      <w:r w:rsidR="00630D7A">
        <w:t xml:space="preserve"> of over 84,000 SMSFs for FY2016:</w:t>
      </w:r>
    </w:p>
    <w:p w14:paraId="68BB95AB" w14:textId="433B38FA" w:rsidR="00630D7A" w:rsidRDefault="00B34618" w:rsidP="00AB0EA4">
      <w:r>
        <w:rPr>
          <w:noProof/>
          <w:lang w:eastAsia="en-AU"/>
        </w:rPr>
        <w:drawing>
          <wp:inline distT="0" distB="0" distL="0" distR="0" wp14:anchorId="5205B386" wp14:editId="6088FC2D">
            <wp:extent cx="5731510" cy="3230245"/>
            <wp:effectExtent l="0" t="0" r="254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230245"/>
                    </a:xfrm>
                    <a:prstGeom prst="rect">
                      <a:avLst/>
                    </a:prstGeom>
                  </pic:spPr>
                </pic:pic>
              </a:graphicData>
            </a:graphic>
          </wp:inline>
        </w:drawing>
      </w:r>
    </w:p>
    <w:p w14:paraId="79F4E5ED" w14:textId="473C2ABF" w:rsidR="003544AC" w:rsidRDefault="00B71FD3">
      <w:r>
        <w:t xml:space="preserve">The basis is slightly different to the Productivity Commission chart in that extreme outliers, as well as SMSFs which were only active for part of the year, have been excluded from the sample. </w:t>
      </w:r>
      <w:r w:rsidR="00BA5D0F">
        <w:t>Nonetheless we can see that the &gt;$200k-$500k, &gt;$500k-$1m and &gt;$1m-$2m fund size categories are not markedly different</w:t>
      </w:r>
      <w:r w:rsidR="006138D7">
        <w:t xml:space="preserve"> from each other</w:t>
      </w:r>
      <w:r w:rsidR="00BA5D0F">
        <w:t xml:space="preserve"> in terms of performance </w:t>
      </w:r>
      <w:r w:rsidR="006138D7">
        <w:t xml:space="preserve">measured </w:t>
      </w:r>
      <w:r w:rsidR="00BA5D0F">
        <w:t xml:space="preserve">using the more appropriate ROR measure. </w:t>
      </w:r>
    </w:p>
    <w:p w14:paraId="18BD3BE4" w14:textId="13C5DBE3" w:rsidR="003544AC" w:rsidRDefault="00BA5D0F">
      <w:pPr>
        <w:rPr>
          <w:b/>
        </w:rPr>
      </w:pPr>
      <w:r>
        <w:rPr>
          <w:b/>
        </w:rPr>
        <w:t>2.2 What is an appropriate measure of “</w:t>
      </w:r>
      <w:r w:rsidR="00255709">
        <w:rPr>
          <w:b/>
        </w:rPr>
        <w:t>expenses</w:t>
      </w:r>
      <w:r>
        <w:rPr>
          <w:b/>
        </w:rPr>
        <w:t>”?</w:t>
      </w:r>
    </w:p>
    <w:p w14:paraId="71CBA9FC" w14:textId="54874F41" w:rsidR="00255709" w:rsidRDefault="00255709" w:rsidP="00255709">
      <w:r>
        <w:t>The Productivity Commission asserts the following (</w:t>
      </w:r>
      <w:r w:rsidRPr="00255709">
        <w:rPr>
          <w:i/>
        </w:rPr>
        <w:t>Supplementary Paper</w:t>
      </w:r>
      <w:r>
        <w:t xml:space="preserve">, p. 2): </w:t>
      </w:r>
    </w:p>
    <w:p w14:paraId="6D62BC78" w14:textId="45A902A4" w:rsidR="00BA5D0F" w:rsidRDefault="00255709" w:rsidP="00255709">
      <w:r>
        <w:t>“A quarter of SMSFs established in 2012 with under $500 000 grew to exceed this size within five years. However, 42 per cent of established SMSFs (some 200 000 SMSFs that were older than 2 years in 2016) have under $500 000 in assets, facing high costs and low returns on average.”</w:t>
      </w:r>
    </w:p>
    <w:p w14:paraId="356EE7A9" w14:textId="23594094" w:rsidR="00255709" w:rsidRDefault="00255709" w:rsidP="00255709">
      <w:r>
        <w:t>The ROA vs ROR comparison debunks the returns furphy for SMSFs in the &gt;$200k-$500k range. But what about the expenses of running the funds?</w:t>
      </w:r>
    </w:p>
    <w:p w14:paraId="381587D2" w14:textId="6EB8800B" w:rsidR="00255709" w:rsidRDefault="00255709" w:rsidP="00255709">
      <w:r>
        <w:t>The ATO definition of SMSF “expenses”, which may be valid for its purpose of determining the appropriate level of taxation for a fund, contains many items which are irrelevant when attempting to measure the e</w:t>
      </w:r>
      <w:r w:rsidR="00135C19">
        <w:t>fficiency with which a</w:t>
      </w:r>
      <w:r>
        <w:t xml:space="preserve"> SMSF is run from a financial perspective (and its potential flow-on effect to net returns).</w:t>
      </w:r>
    </w:p>
    <w:p w14:paraId="29D5B702" w14:textId="551A7C7C" w:rsidR="000E5611" w:rsidRDefault="00255709" w:rsidP="00255709">
      <w:r>
        <w:t xml:space="preserve">Furthermore, there are </w:t>
      </w:r>
      <w:r w:rsidR="000E5611">
        <w:t>numerous</w:t>
      </w:r>
      <w:r>
        <w:t xml:space="preserve"> “expenses” which are being counted for SMSFs that are excluded when measuring the </w:t>
      </w:r>
      <w:r w:rsidR="000E5611">
        <w:t>“expense ratio” for APRA fun</w:t>
      </w:r>
      <w:r w:rsidR="00135C19">
        <w:t>ds. We will see below that the inclusion of these amounts as</w:t>
      </w:r>
      <w:r w:rsidR="000E5611">
        <w:t xml:space="preserve"> expenses generally have a disproportionate impact on the smaller sized SMSFs. </w:t>
      </w:r>
    </w:p>
    <w:p w14:paraId="77D182A1" w14:textId="4CCA46F6" w:rsidR="000E5611" w:rsidRDefault="000E5611" w:rsidP="00255709">
      <w:pPr>
        <w:rPr>
          <w:b/>
        </w:rPr>
      </w:pPr>
      <w:r>
        <w:rPr>
          <w:b/>
        </w:rPr>
        <w:t>2.2.1 Insurance</w:t>
      </w:r>
    </w:p>
    <w:p w14:paraId="07111B8B" w14:textId="6DFA6821" w:rsidR="000E5611" w:rsidRDefault="000E5611" w:rsidP="00255709">
      <w:r>
        <w:t>Insurance is not counted as an expense for the purpose of measuring the costs of APRA funds; however, it has inexplicably been included as a cost of SMSFs.</w:t>
      </w:r>
    </w:p>
    <w:p w14:paraId="2D38F82D" w14:textId="3447D679" w:rsidR="000E5611" w:rsidRDefault="000E5611" w:rsidP="00255709">
      <w:r>
        <w:t>The decision to purchase insurance through a superannuation fund should not have any relevance when measuring the efficiency with which a fund i</w:t>
      </w:r>
      <w:r w:rsidR="002845DB">
        <w:t xml:space="preserve">s operated. </w:t>
      </w:r>
    </w:p>
    <w:p w14:paraId="19A7F34F" w14:textId="12F66988" w:rsidR="003544AC" w:rsidRDefault="002845DB">
      <w:r>
        <w:t>A similar insurance premium equates to a larger percentage of net assets in smaller funds than in larger funds, and this is reflected in the following chart:</w:t>
      </w:r>
    </w:p>
    <w:p w14:paraId="07E7C425" w14:textId="734DA06B" w:rsidR="00A15061" w:rsidRDefault="00B34618">
      <w:r>
        <w:rPr>
          <w:noProof/>
          <w:lang w:eastAsia="en-AU"/>
        </w:rPr>
        <w:drawing>
          <wp:inline distT="0" distB="0" distL="0" distR="0" wp14:anchorId="04101239" wp14:editId="06EA44D1">
            <wp:extent cx="5731510" cy="2091055"/>
            <wp:effectExtent l="0" t="0" r="254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091055"/>
                    </a:xfrm>
                    <a:prstGeom prst="rect">
                      <a:avLst/>
                    </a:prstGeom>
                  </pic:spPr>
                </pic:pic>
              </a:graphicData>
            </a:graphic>
          </wp:inline>
        </w:drawing>
      </w:r>
    </w:p>
    <w:p w14:paraId="19B31FE9" w14:textId="4481037D" w:rsidR="002845DB" w:rsidRDefault="002845DB">
      <w:r>
        <w:t>Class recommends that insurance should be removed when measuring the operating and investment expenses of SMSFs, in the same way that it is excluded for APRA funds.</w:t>
      </w:r>
    </w:p>
    <w:p w14:paraId="09CE4A1A" w14:textId="77777777" w:rsidR="005D24CD" w:rsidRDefault="005D24CD">
      <w:pPr>
        <w:rPr>
          <w:b/>
        </w:rPr>
      </w:pPr>
      <w:r>
        <w:rPr>
          <w:b/>
        </w:rPr>
        <w:br w:type="page"/>
      </w:r>
    </w:p>
    <w:p w14:paraId="181BB7A3" w14:textId="3C7FB1A1" w:rsidR="002845DB" w:rsidRDefault="00A15061">
      <w:pPr>
        <w:rPr>
          <w:b/>
        </w:rPr>
      </w:pPr>
      <w:r>
        <w:rPr>
          <w:b/>
        </w:rPr>
        <w:t>2.2.2 Interest</w:t>
      </w:r>
    </w:p>
    <w:p w14:paraId="35D890C8" w14:textId="11D41AC8" w:rsidR="006105DA" w:rsidRDefault="00135C19">
      <w:r>
        <w:t>Interest</w:t>
      </w:r>
      <w:r w:rsidR="005475E5">
        <w:t xml:space="preserve"> expense</w:t>
      </w:r>
      <w:r>
        <w:t xml:space="preserve"> differs from insurance in that it is valid to include it as a decrement when measuring</w:t>
      </w:r>
      <w:r w:rsidR="006105DA">
        <w:t xml:space="preserve"> fund performance via</w:t>
      </w:r>
      <w:r>
        <w:t xml:space="preserve"> net returns. However, it is inappropriate to include interest in an expense ratio when attempting to measure the</w:t>
      </w:r>
      <w:r w:rsidR="006105DA">
        <w:t xml:space="preserve"> operating and financial</w:t>
      </w:r>
      <w:r>
        <w:t xml:space="preserve"> efficiency with which a SMSF is run. Borrowing money to fund additional investments is instead an investment strategy, which pays off if the investment generates a higher level of return than </w:t>
      </w:r>
      <w:r w:rsidR="006105DA">
        <w:t>the interest on the borrowings (</w:t>
      </w:r>
      <w:r>
        <w:t>and loses money in the opposite case</w:t>
      </w:r>
      <w:r w:rsidR="006105DA">
        <w:t>)</w:t>
      </w:r>
      <w:r>
        <w:t xml:space="preserve">. </w:t>
      </w:r>
    </w:p>
    <w:p w14:paraId="3B8EDC51" w14:textId="4F076A77" w:rsidR="006105DA" w:rsidRPr="00A15061" w:rsidRDefault="006105DA">
      <w:r>
        <w:t xml:space="preserve">This can be illustrated via a simplified example: suppose that </w:t>
      </w:r>
      <w:r w:rsidR="00966CAF">
        <w:t>“SMSF A”</w:t>
      </w:r>
      <w:r>
        <w:t xml:space="preserve"> on the first day of the financial year has $200,000 in cash, which it uses to invest in an asset that produces a return of 10% for the year, and the fund has $2,000 in operating expenses.  The net return</w:t>
      </w:r>
      <w:r>
        <w:rPr>
          <w:rStyle w:val="FootnoteReference"/>
        </w:rPr>
        <w:footnoteReference w:id="5"/>
      </w:r>
      <w:r>
        <w:t xml:space="preserve"> for</w:t>
      </w:r>
      <w:r w:rsidR="00966CAF">
        <w:t xml:space="preserve"> SMSF A for</w:t>
      </w:r>
      <w:r>
        <w:t xml:space="preserve"> the financial year would be 9% and the expense</w:t>
      </w:r>
      <w:r>
        <w:rPr>
          <w:rStyle w:val="FootnoteReference"/>
        </w:rPr>
        <w:footnoteReference w:id="6"/>
      </w:r>
      <w:r>
        <w:t xml:space="preserve"> would be 1%. </w:t>
      </w:r>
    </w:p>
    <w:p w14:paraId="2CB77308" w14:textId="047658FB" w:rsidR="00966CAF" w:rsidRDefault="00966CAF">
      <w:r>
        <w:t xml:space="preserve">Now take “SMSF B” which also has $200,000 in cash at the start of the financial year, but borrows an additional $200,000 at 5% interest and invests the total of $400,000 it now has available in an asset that produces a return of 10% for the year, and the fund has $2,000 in operating expenses. </w:t>
      </w:r>
    </w:p>
    <w:p w14:paraId="6009E484" w14:textId="48C8F4F9" w:rsidR="00966CAF" w:rsidRDefault="00966CAF">
      <w:r>
        <w:t>The net return</w:t>
      </w:r>
      <w:r w:rsidR="005475E5">
        <w:rPr>
          <w:rStyle w:val="FootnoteReference"/>
        </w:rPr>
        <w:footnoteReference w:id="7"/>
      </w:r>
      <w:r>
        <w:t xml:space="preserve"> for SMSF B is 14% (better than SMSF A) and the operating expenses were $2,000 (the same amount as for SMSF A); however, the “expenses”</w:t>
      </w:r>
      <w:r w:rsidR="005475E5">
        <w:rPr>
          <w:rStyle w:val="FootnoteReference"/>
        </w:rPr>
        <w:footnoteReference w:id="8"/>
      </w:r>
      <w:r>
        <w:t xml:space="preserve"> as measured by the ATO would be 6% (i.e. six times the level of SMSF A).</w:t>
      </w:r>
    </w:p>
    <w:p w14:paraId="50E66E89" w14:textId="36502E56" w:rsidR="00050125" w:rsidRDefault="00966CAF">
      <w:r>
        <w:t>SMSF B is clearly not six times less efficient than SMSF A; indeed, SMSF B had a significantly higher net performance (14% vs 9%). The difference between SMSF B and SMSF A was the investment strategy, and this is no</w:t>
      </w:r>
      <w:r w:rsidR="00050125">
        <w:t>t something which any relevance when measuring the operational or financial efficiency with which the SMSFs were run.</w:t>
      </w:r>
    </w:p>
    <w:p w14:paraId="0DA690F5" w14:textId="3776408F" w:rsidR="00050125" w:rsidRDefault="00050125">
      <w:r>
        <w:t>Once again, it is the smaller SMSFs where the “expenses” are inflated the most by the inclusion of interest, as larger SMSFs often will have made progress in repaying any borrowings and/or not have required them to the same extent to fund investments:</w:t>
      </w:r>
    </w:p>
    <w:p w14:paraId="3392AC07" w14:textId="6AF0AC96" w:rsidR="00050125" w:rsidRDefault="0089173A">
      <w:r>
        <w:rPr>
          <w:noProof/>
          <w:lang w:eastAsia="en-AU"/>
        </w:rPr>
        <w:drawing>
          <wp:inline distT="0" distB="0" distL="0" distR="0" wp14:anchorId="2E19F25A" wp14:editId="17E3D8D2">
            <wp:extent cx="5731510" cy="205740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057400"/>
                    </a:xfrm>
                    <a:prstGeom prst="rect">
                      <a:avLst/>
                    </a:prstGeom>
                  </pic:spPr>
                </pic:pic>
              </a:graphicData>
            </a:graphic>
          </wp:inline>
        </w:drawing>
      </w:r>
    </w:p>
    <w:p w14:paraId="21BB629D" w14:textId="117E5359" w:rsidR="00050125" w:rsidRDefault="00050125">
      <w:r>
        <w:t xml:space="preserve">Class recommends that interest should be removed when measuring the operating and investment expenses of SMSFs. </w:t>
      </w:r>
    </w:p>
    <w:p w14:paraId="1F4CDFC9" w14:textId="77777777" w:rsidR="005D24CD" w:rsidRDefault="005D24CD">
      <w:pPr>
        <w:rPr>
          <w:b/>
        </w:rPr>
      </w:pPr>
      <w:r>
        <w:rPr>
          <w:b/>
        </w:rPr>
        <w:br w:type="page"/>
      </w:r>
    </w:p>
    <w:p w14:paraId="42BED2EE" w14:textId="49FD8E67" w:rsidR="00050125" w:rsidRDefault="00050125" w:rsidP="00050125">
      <w:pPr>
        <w:rPr>
          <w:b/>
        </w:rPr>
      </w:pPr>
      <w:r>
        <w:rPr>
          <w:b/>
        </w:rPr>
        <w:t>2.2.3 Capital works and depreciation</w:t>
      </w:r>
    </w:p>
    <w:p w14:paraId="02860BBE" w14:textId="45AC9043" w:rsidR="00050125" w:rsidRDefault="00050125" w:rsidP="00050125">
      <w:r>
        <w:t>Capital works</w:t>
      </w:r>
      <w:r w:rsidR="005475E5">
        <w:t xml:space="preserve"> expenditure</w:t>
      </w:r>
      <w:r>
        <w:t xml:space="preserve"> and </w:t>
      </w:r>
      <w:r w:rsidR="005475E5">
        <w:t>decline in value of depreciating assets</w:t>
      </w:r>
      <w:r>
        <w:t xml:space="preserve"> are incurred primarily when real estate assets are directly owned by a superannuation fund. Like interest, it is valid to include capital works and depreciation expenses when measuring the investment performance of the fund, as these are directly related to the underlying investments. However,</w:t>
      </w:r>
      <w:r w:rsidRPr="00050125">
        <w:t xml:space="preserve"> </w:t>
      </w:r>
      <w:r>
        <w:t>capital works and depreciation expenses</w:t>
      </w:r>
      <w:r w:rsidR="003117EE">
        <w:t xml:space="preserve"> (for example, purchasing a new oven for an investment property) have little to do with the efficiency of the SMSF that happens to own the asset; these are merely a function of owning particular types of assets. </w:t>
      </w:r>
    </w:p>
    <w:p w14:paraId="40B7BBE8" w14:textId="1460FAC3" w:rsidR="003117EE" w:rsidRPr="00050125" w:rsidRDefault="0089173A" w:rsidP="00050125">
      <w:r>
        <w:rPr>
          <w:noProof/>
          <w:lang w:eastAsia="en-AU"/>
        </w:rPr>
        <w:drawing>
          <wp:inline distT="0" distB="0" distL="0" distR="0" wp14:anchorId="6780BDA4" wp14:editId="3BFAB382">
            <wp:extent cx="5731510" cy="2104390"/>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104390"/>
                    </a:xfrm>
                    <a:prstGeom prst="rect">
                      <a:avLst/>
                    </a:prstGeom>
                  </pic:spPr>
                </pic:pic>
              </a:graphicData>
            </a:graphic>
          </wp:inline>
        </w:drawing>
      </w:r>
    </w:p>
    <w:p w14:paraId="248BB8CD" w14:textId="54035F47" w:rsidR="00966CAF" w:rsidRDefault="003117EE">
      <w:r>
        <w:t>Class recommends that capital works and depreciation expenses should be removed</w:t>
      </w:r>
      <w:r w:rsidR="005475E5">
        <w:t xml:space="preserve"> (if this has not been done already)</w:t>
      </w:r>
      <w:r>
        <w:t xml:space="preserve"> when measuring the operating and investment expenses of SMSFs, in the same way that it is excluded for APRA funds.</w:t>
      </w:r>
    </w:p>
    <w:p w14:paraId="090D317E" w14:textId="32D6F312" w:rsidR="003117EE" w:rsidRDefault="003117EE">
      <w:pPr>
        <w:rPr>
          <w:b/>
        </w:rPr>
      </w:pPr>
      <w:r>
        <w:rPr>
          <w:b/>
        </w:rPr>
        <w:t>2.2.4 ATO “Other amounts”</w:t>
      </w:r>
    </w:p>
    <w:p w14:paraId="67F20FDA" w14:textId="07227B86" w:rsidR="003117EE" w:rsidRPr="003117EE" w:rsidRDefault="003117EE">
      <w:r>
        <w:t xml:space="preserve">There is a whole raft of miscellaneous amounts which appear to be lumped into the ATO “expenses” measure – the following is a list obtained from the ATO </w:t>
      </w:r>
      <w:hyperlink r:id="rId17" w:anchor="L1_and_L2_Other_amounts" w:history="1">
        <w:r w:rsidRPr="003117EE">
          <w:rPr>
            <w:rStyle w:val="Hyperlink"/>
          </w:rPr>
          <w:t>website</w:t>
        </w:r>
      </w:hyperlink>
      <w:r>
        <w:t>:</w:t>
      </w:r>
    </w:p>
    <w:p w14:paraId="0D166459" w14:textId="28542CFA" w:rsidR="003117EE" w:rsidRDefault="003117EE">
      <w:r>
        <w:rPr>
          <w:noProof/>
          <w:lang w:eastAsia="en-AU"/>
        </w:rPr>
        <w:drawing>
          <wp:inline distT="0" distB="0" distL="0" distR="0" wp14:anchorId="404E2A31" wp14:editId="38A968B6">
            <wp:extent cx="3829050" cy="3465065"/>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30492" cy="3466370"/>
                    </a:xfrm>
                    <a:prstGeom prst="rect">
                      <a:avLst/>
                    </a:prstGeom>
                  </pic:spPr>
                </pic:pic>
              </a:graphicData>
            </a:graphic>
          </wp:inline>
        </w:drawing>
      </w:r>
    </w:p>
    <w:p w14:paraId="3C59B49F" w14:textId="091E5F80" w:rsidR="003117EE" w:rsidRDefault="00A147FD">
      <w:r>
        <w:t>These appear to have little to do with the efficiency of the SMSF and are likely to have been excluded when measuring ex</w:t>
      </w:r>
      <w:r w:rsidR="00773447">
        <w:t xml:space="preserve">penses of APRA funds; </w:t>
      </w:r>
      <w:r>
        <w:t>Class</w:t>
      </w:r>
      <w:r w:rsidR="00773447">
        <w:t xml:space="preserve"> therefore</w:t>
      </w:r>
      <w:r>
        <w:t xml:space="preserve"> recommends that the ATO “Other amounts” should be removed when measuring the operating and investment expenses of SMSFs.</w:t>
      </w:r>
    </w:p>
    <w:p w14:paraId="548D8E80" w14:textId="34DF2B3A" w:rsidR="003117EE" w:rsidRDefault="0089173A">
      <w:r>
        <w:rPr>
          <w:noProof/>
          <w:lang w:eastAsia="en-AU"/>
        </w:rPr>
        <w:drawing>
          <wp:inline distT="0" distB="0" distL="0" distR="0" wp14:anchorId="708A27F5" wp14:editId="754A4532">
            <wp:extent cx="5731510" cy="2103120"/>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2103120"/>
                    </a:xfrm>
                    <a:prstGeom prst="rect">
                      <a:avLst/>
                    </a:prstGeom>
                  </pic:spPr>
                </pic:pic>
              </a:graphicData>
            </a:graphic>
          </wp:inline>
        </w:drawing>
      </w:r>
    </w:p>
    <w:p w14:paraId="106284B3" w14:textId="72145212" w:rsidR="003117EE" w:rsidRDefault="00A147FD">
      <w:pPr>
        <w:rPr>
          <w:b/>
        </w:rPr>
      </w:pPr>
      <w:r>
        <w:rPr>
          <w:b/>
        </w:rPr>
        <w:t>2.3 An adjusted expenses measure which reflects fund efficiency</w:t>
      </w:r>
    </w:p>
    <w:p w14:paraId="2852B360" w14:textId="53FF9DC3" w:rsidR="00A147FD" w:rsidRDefault="00A147FD">
      <w:r>
        <w:t>After removing the components of the ATO “expenses” which are unrelated to the operating and financial efficiency of the underlying SMSF, it is possible to obtain an adjusted expenses measure which is more reflective of fund efficiency:</w:t>
      </w:r>
    </w:p>
    <w:p w14:paraId="10541BAF" w14:textId="3C7FF8B7" w:rsidR="00A147FD" w:rsidRPr="00A147FD" w:rsidRDefault="0089173A">
      <w:r>
        <w:rPr>
          <w:noProof/>
          <w:lang w:eastAsia="en-AU"/>
        </w:rPr>
        <w:drawing>
          <wp:inline distT="0" distB="0" distL="0" distR="0" wp14:anchorId="14756B49" wp14:editId="2B109839">
            <wp:extent cx="5731510" cy="3152775"/>
            <wp:effectExtent l="0" t="0" r="254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3152775"/>
                    </a:xfrm>
                    <a:prstGeom prst="rect">
                      <a:avLst/>
                    </a:prstGeom>
                  </pic:spPr>
                </pic:pic>
              </a:graphicData>
            </a:graphic>
          </wp:inline>
        </w:drawing>
      </w:r>
    </w:p>
    <w:p w14:paraId="69CCE052" w14:textId="4C28B0F9" w:rsidR="00A147FD" w:rsidRDefault="005137E2">
      <w:r>
        <w:t>When interpreting the chart above, it is worth noting the following:</w:t>
      </w:r>
    </w:p>
    <w:p w14:paraId="501A2DED" w14:textId="39CCB2AC" w:rsidR="005137E2" w:rsidRDefault="007820E5" w:rsidP="005137E2">
      <w:pPr>
        <w:pStyle w:val="ListParagraph"/>
        <w:numPr>
          <w:ilvl w:val="0"/>
          <w:numId w:val="20"/>
        </w:numPr>
      </w:pPr>
      <w:r>
        <w:t>The “adjusted expenses” measure still includes a substantial component of financial advice fees for SMSFs (which are not included to a similar extent when measuring APRA fund expenses); however, the data required to remove financial advice fees from SMSF expenses was not available</w:t>
      </w:r>
    </w:p>
    <w:p w14:paraId="7CEF48BF" w14:textId="716E58A5" w:rsidR="007820E5" w:rsidRDefault="007820E5" w:rsidP="007820E5">
      <w:pPr>
        <w:pStyle w:val="ListParagraph"/>
        <w:numPr>
          <w:ilvl w:val="1"/>
          <w:numId w:val="20"/>
        </w:numPr>
      </w:pPr>
      <w:r>
        <w:t>Consequently, when measured on a like-for-like basis with APRA funds, even the “adjusted expenses” measure may be overstating SMSF expenses</w:t>
      </w:r>
    </w:p>
    <w:p w14:paraId="01E5D8CD" w14:textId="22809E8E" w:rsidR="007820E5" w:rsidRDefault="00421486" w:rsidP="007820E5">
      <w:pPr>
        <w:pStyle w:val="ListParagraph"/>
        <w:numPr>
          <w:ilvl w:val="0"/>
          <w:numId w:val="20"/>
        </w:numPr>
      </w:pPr>
      <w:r>
        <w:t xml:space="preserve">Each size category includes a wide range of fund sizes </w:t>
      </w:r>
      <w:r w:rsidR="007820E5">
        <w:t xml:space="preserve">(the average start-of-year net assets in </w:t>
      </w:r>
      <w:r>
        <w:t>each category was slightly less than the category midpoints for $200k-$2m funds and slightly more than the category midpoints for &lt;$200k funds) and therefore statistics which apply at the lower end of the category are often less applicable at the upper end of the category</w:t>
      </w:r>
    </w:p>
    <w:p w14:paraId="3B4F6C9A" w14:textId="645C696D" w:rsidR="00421486" w:rsidRDefault="00421486" w:rsidP="00421486">
      <w:pPr>
        <w:pStyle w:val="ListParagraph"/>
        <w:numPr>
          <w:ilvl w:val="1"/>
          <w:numId w:val="20"/>
        </w:numPr>
      </w:pPr>
      <w:r>
        <w:t>For example, the average start-of-year net assets in the &gt;$200k-$500k category was approximately $339,000 based on the Class dataset</w:t>
      </w:r>
    </w:p>
    <w:p w14:paraId="48455735" w14:textId="5A60770A" w:rsidR="004D004C" w:rsidRDefault="004D004C" w:rsidP="004D004C">
      <w:pPr>
        <w:pStyle w:val="ListParagraph"/>
        <w:numPr>
          <w:ilvl w:val="0"/>
          <w:numId w:val="20"/>
        </w:numPr>
      </w:pPr>
      <w:r>
        <w:t xml:space="preserve">At the higher asset levels, it becomes increasingly likely that SMSFs would constitute </w:t>
      </w:r>
      <w:r w:rsidR="004702F1">
        <w:t>a more cost-effective vehicle for holding superannuation funds than a member account in an APRA fund</w:t>
      </w:r>
    </w:p>
    <w:p w14:paraId="511EAFD6" w14:textId="4747454B" w:rsidR="004702F1" w:rsidRPr="005D24CD" w:rsidRDefault="00421486" w:rsidP="004702F1">
      <w:pPr>
        <w:rPr>
          <w:b/>
        </w:rPr>
      </w:pPr>
      <w:r w:rsidRPr="005D24CD">
        <w:rPr>
          <w:b/>
        </w:rPr>
        <w:t>3. Conclusion</w:t>
      </w:r>
    </w:p>
    <w:p w14:paraId="214C84F4" w14:textId="0D22DE5A" w:rsidR="004702F1" w:rsidRPr="005D24CD" w:rsidRDefault="004702F1" w:rsidP="004702F1">
      <w:pPr>
        <w:pStyle w:val="ListParagraph"/>
        <w:numPr>
          <w:ilvl w:val="0"/>
          <w:numId w:val="19"/>
        </w:numPr>
      </w:pPr>
      <w:r w:rsidRPr="005D24CD">
        <w:t>The data does not show that $200k-$500k SMSFs experience underperformance or excessive fees relative to APRA funds</w:t>
      </w:r>
    </w:p>
    <w:p w14:paraId="0DB8EB3B" w14:textId="23986FA2" w:rsidR="004702F1" w:rsidRPr="005D24CD" w:rsidRDefault="004702F1" w:rsidP="004702F1">
      <w:pPr>
        <w:pStyle w:val="ListParagraph"/>
        <w:numPr>
          <w:ilvl w:val="1"/>
          <w:numId w:val="19"/>
        </w:numPr>
      </w:pPr>
      <w:r w:rsidRPr="005D24CD">
        <w:t>This is consistent with the median and average levels of SMSFs established in 2016 being firmly within that range</w:t>
      </w:r>
      <w:r w:rsidRPr="005D24CD">
        <w:rPr>
          <w:rStyle w:val="FootnoteReference"/>
        </w:rPr>
        <w:footnoteReference w:id="9"/>
      </w:r>
    </w:p>
    <w:p w14:paraId="29FF69BA" w14:textId="5E0AF944" w:rsidR="004702F1" w:rsidRPr="005D24CD" w:rsidRDefault="004702F1" w:rsidP="004702F1">
      <w:pPr>
        <w:pStyle w:val="ListParagraph"/>
        <w:numPr>
          <w:ilvl w:val="1"/>
          <w:numId w:val="19"/>
        </w:numPr>
      </w:pPr>
      <w:r w:rsidRPr="005D24CD">
        <w:t>T</w:t>
      </w:r>
      <w:r w:rsidR="00AE0AA4" w:rsidRPr="005D24CD">
        <w:t>his is also consistent with Rice Warner’s comprehensive report compiled for ASIC examining costs associated with SMSFs</w:t>
      </w:r>
      <w:r w:rsidR="00AE0AA4" w:rsidRPr="005D24CD">
        <w:rPr>
          <w:rStyle w:val="FootnoteReference"/>
        </w:rPr>
        <w:footnoteReference w:id="10"/>
      </w:r>
      <w:r w:rsidR="00AE0AA4" w:rsidRPr="005D24CD">
        <w:t xml:space="preserve"> </w:t>
      </w:r>
    </w:p>
    <w:p w14:paraId="3CC5211E" w14:textId="20DEB723" w:rsidR="00421486" w:rsidRPr="005D24CD" w:rsidRDefault="00421486" w:rsidP="00421486">
      <w:pPr>
        <w:pStyle w:val="ListParagraph"/>
        <w:numPr>
          <w:ilvl w:val="1"/>
          <w:numId w:val="19"/>
        </w:numPr>
      </w:pPr>
      <w:r w:rsidRPr="005D24CD">
        <w:t xml:space="preserve">It </w:t>
      </w:r>
      <w:r w:rsidR="004702F1" w:rsidRPr="005D24CD">
        <w:t xml:space="preserve">may </w:t>
      </w:r>
      <w:r w:rsidRPr="005D24CD">
        <w:t xml:space="preserve">be reasonable to establish an SMSF at a lower size if it were to grow </w:t>
      </w:r>
      <w:r w:rsidR="00460B3F">
        <w:t>in the near</w:t>
      </w:r>
      <w:r w:rsidR="00FC27C4" w:rsidRPr="005D24CD">
        <w:t xml:space="preserve"> to medium term</w:t>
      </w:r>
    </w:p>
    <w:p w14:paraId="2D572BF6" w14:textId="77777777" w:rsidR="00421486" w:rsidRPr="005D24CD" w:rsidRDefault="00421486" w:rsidP="00421486">
      <w:pPr>
        <w:pStyle w:val="ListParagraph"/>
        <w:numPr>
          <w:ilvl w:val="0"/>
          <w:numId w:val="19"/>
        </w:numPr>
      </w:pPr>
      <w:r w:rsidRPr="005D24CD">
        <w:t>In the interests of determining the most efficient structure for holding superannuation at varying member balances, the Productivity Commission should consider establishing a maximum level of net assets after which it is recommended that SMSFs be explored from a cost efficiency perspective</w:t>
      </w:r>
    </w:p>
    <w:p w14:paraId="58FFA605" w14:textId="1A26C146" w:rsidR="005A24AA" w:rsidRPr="00096D57" w:rsidRDefault="005A24AA" w:rsidP="00096D57">
      <w:pPr>
        <w:rPr>
          <w:b/>
          <w:color w:val="70AD47" w:themeColor="accent6"/>
        </w:rPr>
      </w:pPr>
    </w:p>
    <w:sectPr w:rsidR="005A24AA" w:rsidRPr="00096D57" w:rsidSect="003745AD">
      <w:headerReference w:type="default" r:id="rId21"/>
      <w:footerReference w:type="default" r:id="rId2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6A9DE" w14:textId="77777777" w:rsidR="00E64789" w:rsidRDefault="00E64789" w:rsidP="00853F4C">
      <w:pPr>
        <w:spacing w:after="0" w:line="240" w:lineRule="auto"/>
      </w:pPr>
      <w:r>
        <w:separator/>
      </w:r>
    </w:p>
  </w:endnote>
  <w:endnote w:type="continuationSeparator" w:id="0">
    <w:p w14:paraId="12A0C7D6" w14:textId="77777777" w:rsidR="00E64789" w:rsidRDefault="00E64789" w:rsidP="00853F4C">
      <w:pPr>
        <w:spacing w:after="0" w:line="240" w:lineRule="auto"/>
      </w:pPr>
      <w:r>
        <w:continuationSeparator/>
      </w:r>
    </w:p>
  </w:endnote>
  <w:endnote w:type="continuationNotice" w:id="1">
    <w:p w14:paraId="6C593F08" w14:textId="77777777" w:rsidR="00E64789" w:rsidRDefault="00E64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D2816" w14:textId="7E48AC22" w:rsidR="00495D5B" w:rsidRDefault="00495D5B">
    <w:pPr>
      <w:pStyle w:val="Footer"/>
    </w:pPr>
    <w:r w:rsidRPr="005A24AA">
      <w:rPr>
        <w:i/>
      </w:rPr>
      <w:t>Class Limited, Submission to the Productivity Commission inquiry into Superannuation</w:t>
    </w:r>
    <w:r>
      <w:tab/>
      <w:t xml:space="preserve">Page </w:t>
    </w:r>
    <w:r>
      <w:fldChar w:fldCharType="begin"/>
    </w:r>
    <w:r>
      <w:instrText xml:space="preserve"> PAGE   \* MERGEFORMAT </w:instrText>
    </w:r>
    <w:r>
      <w:fldChar w:fldCharType="separate"/>
    </w:r>
    <w:r w:rsidR="009251C0">
      <w:rPr>
        <w:noProof/>
      </w:rPr>
      <w:t>1</w:t>
    </w:r>
    <w:r>
      <w:fldChar w:fldCharType="end"/>
    </w:r>
    <w:r>
      <w:t xml:space="preserve"> of </w:t>
    </w:r>
    <w:fldSimple w:instr=" NUMPAGES   \* MERGEFORMAT ">
      <w:r w:rsidR="009251C0">
        <w:rPr>
          <w:noProof/>
        </w:rPr>
        <w:t>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715F7" w14:textId="77777777" w:rsidR="00E64789" w:rsidRDefault="00E64789" w:rsidP="00853F4C">
      <w:pPr>
        <w:spacing w:after="0" w:line="240" w:lineRule="auto"/>
      </w:pPr>
      <w:r>
        <w:separator/>
      </w:r>
    </w:p>
  </w:footnote>
  <w:footnote w:type="continuationSeparator" w:id="0">
    <w:p w14:paraId="2C6C10F8" w14:textId="77777777" w:rsidR="00E64789" w:rsidRDefault="00E64789" w:rsidP="00853F4C">
      <w:pPr>
        <w:spacing w:after="0" w:line="240" w:lineRule="auto"/>
      </w:pPr>
      <w:r>
        <w:continuationSeparator/>
      </w:r>
    </w:p>
  </w:footnote>
  <w:footnote w:type="continuationNotice" w:id="1">
    <w:p w14:paraId="7FD57C3F" w14:textId="77777777" w:rsidR="00E64789" w:rsidRDefault="00E64789">
      <w:pPr>
        <w:spacing w:after="0" w:line="240" w:lineRule="auto"/>
      </w:pPr>
    </w:p>
  </w:footnote>
  <w:footnote w:id="2">
    <w:p w14:paraId="32984C3E" w14:textId="314E89B4" w:rsidR="00BD29F7" w:rsidRDefault="00BD29F7">
      <w:pPr>
        <w:pStyle w:val="FootnoteText"/>
      </w:pPr>
      <w:r>
        <w:rPr>
          <w:rStyle w:val="FootnoteReference"/>
        </w:rPr>
        <w:footnoteRef/>
      </w:r>
      <w:r>
        <w:t xml:space="preserve"> </w:t>
      </w:r>
      <w:r w:rsidR="005875C7">
        <w:t xml:space="preserve">In a year with negative returns, the </w:t>
      </w:r>
      <w:r w:rsidR="00764740">
        <w:t xml:space="preserve">ROA and ROR </w:t>
      </w:r>
      <w:r w:rsidR="005875C7">
        <w:t>numerator</w:t>
      </w:r>
      <w:r w:rsidR="00764740">
        <w:t>s</w:t>
      </w:r>
      <w:r w:rsidR="005875C7">
        <w:t xml:space="preserve"> will be negative and the ROA denominator will be lower than the ROR denominator (thereby making the ROA lower, that is, more heavily negative, than the ROR).</w:t>
      </w:r>
    </w:p>
  </w:footnote>
  <w:footnote w:id="3">
    <w:p w14:paraId="1540AF08" w14:textId="48D207ED" w:rsidR="005875C7" w:rsidRDefault="005875C7">
      <w:pPr>
        <w:pStyle w:val="FootnoteText"/>
      </w:pPr>
      <w:r>
        <w:rPr>
          <w:rStyle w:val="FootnoteReference"/>
        </w:rPr>
        <w:footnoteRef/>
      </w:r>
      <w:r>
        <w:t xml:space="preserve"> </w:t>
      </w:r>
      <w:r w:rsidR="00764740">
        <w:t xml:space="preserve">In a year with high positive returns, the ROA and ROR numerators will be relatively large and the ROA denominator will be more heavily influenced upwards by the earnings during the period (compared with a year with moderate positive returns); both of these factors will cause the difference between ROR and ROA to be larger. In a year with large negative returns, the ROA and ROR numerators will be </w:t>
      </w:r>
      <w:r w:rsidR="003544AC">
        <w:t xml:space="preserve">relatively </w:t>
      </w:r>
      <w:r w:rsidR="00764740">
        <w:t>large negative</w:t>
      </w:r>
      <w:r w:rsidR="003544AC">
        <w:t xml:space="preserve"> numbers and the ROA denominator will be more heavily influenced downwards</w:t>
      </w:r>
      <w:r w:rsidR="00BA5D0F">
        <w:t xml:space="preserve"> (whilst still staying positive)</w:t>
      </w:r>
      <w:r w:rsidR="003544AC">
        <w:t xml:space="preserve"> by the negative earnings during the period (compared with a year with moderate negative returns); again, both of these factors will cause the difference between ROR and ROA to be larger.</w:t>
      </w:r>
    </w:p>
  </w:footnote>
  <w:footnote w:id="4">
    <w:p w14:paraId="30DDDC51" w14:textId="18858CF4" w:rsidR="00630D7A" w:rsidRDefault="00630D7A">
      <w:pPr>
        <w:pStyle w:val="FootnoteText"/>
      </w:pPr>
      <w:r>
        <w:rPr>
          <w:rStyle w:val="FootnoteReference"/>
        </w:rPr>
        <w:footnoteRef/>
      </w:r>
      <w:r>
        <w:t xml:space="preserve"> n = 84,962 (extreme outliers excluded)</w:t>
      </w:r>
      <w:r w:rsidR="004D004C">
        <w:t>; the same data set has been used in the remainder of the Class charts in this submission.</w:t>
      </w:r>
    </w:p>
  </w:footnote>
  <w:footnote w:id="5">
    <w:p w14:paraId="47A219F4" w14:textId="3CF365E1" w:rsidR="006105DA" w:rsidRDefault="006105DA">
      <w:pPr>
        <w:pStyle w:val="FootnoteText"/>
      </w:pPr>
      <w:r>
        <w:rPr>
          <w:rStyle w:val="FootnoteReference"/>
        </w:rPr>
        <w:footnoteRef/>
      </w:r>
      <w:r>
        <w:t xml:space="preserve"> Based on ROR (the most appropriate return calculation): (10%*$200,000 - $2,000)/$200,000 = 9%</w:t>
      </w:r>
    </w:p>
  </w:footnote>
  <w:footnote w:id="6">
    <w:p w14:paraId="6909EFCA" w14:textId="3F50F8F6" w:rsidR="006105DA" w:rsidRDefault="006105DA">
      <w:pPr>
        <w:pStyle w:val="FootnoteText"/>
      </w:pPr>
      <w:r>
        <w:rPr>
          <w:rStyle w:val="FootnoteReference"/>
        </w:rPr>
        <w:footnoteRef/>
      </w:r>
      <w:r>
        <w:t xml:space="preserve"> $2,000/$200,000 = 1%</w:t>
      </w:r>
    </w:p>
  </w:footnote>
  <w:footnote w:id="7">
    <w:p w14:paraId="5EBE622B" w14:textId="34DFDC6A" w:rsidR="005475E5" w:rsidRDefault="005475E5">
      <w:pPr>
        <w:pStyle w:val="FootnoteText"/>
      </w:pPr>
      <w:r>
        <w:rPr>
          <w:rStyle w:val="FootnoteReference"/>
        </w:rPr>
        <w:footnoteRef/>
      </w:r>
      <w:r>
        <w:t xml:space="preserve"> (10%*$400,000 – 5%*$200,000 - $2,000)/$200,000 = 14%</w:t>
      </w:r>
    </w:p>
  </w:footnote>
  <w:footnote w:id="8">
    <w:p w14:paraId="606AC23B" w14:textId="1B5CBEAE" w:rsidR="005475E5" w:rsidRDefault="005475E5">
      <w:pPr>
        <w:pStyle w:val="FootnoteText"/>
      </w:pPr>
      <w:r>
        <w:rPr>
          <w:rStyle w:val="FootnoteReference"/>
        </w:rPr>
        <w:footnoteRef/>
      </w:r>
      <w:r>
        <w:t xml:space="preserve"> (5%*$200,000 + $2,000)/$200,000 = 6%</w:t>
      </w:r>
    </w:p>
  </w:footnote>
  <w:footnote w:id="9">
    <w:p w14:paraId="34D82474" w14:textId="22301B2C" w:rsidR="004702F1" w:rsidRDefault="004702F1">
      <w:pPr>
        <w:pStyle w:val="FootnoteText"/>
      </w:pPr>
      <w:r>
        <w:rPr>
          <w:rStyle w:val="FootnoteReference"/>
        </w:rPr>
        <w:footnoteRef/>
      </w:r>
      <w:r>
        <w:t xml:space="preserve"> </w:t>
      </w:r>
      <w:hyperlink r:id="rId1" w:anchor="SMSF_assets" w:history="1">
        <w:r w:rsidR="005D24CD">
          <w:rPr>
            <w:rStyle w:val="Hyperlink"/>
          </w:rPr>
          <w:t>Self-managed superannuation funds: A statistical overview 2015-2016 (ATO)</w:t>
        </w:r>
      </w:hyperlink>
    </w:p>
  </w:footnote>
  <w:footnote w:id="10">
    <w:p w14:paraId="66098A54" w14:textId="722F8C4B" w:rsidR="00AE0AA4" w:rsidRDefault="00AE0AA4">
      <w:pPr>
        <w:pStyle w:val="FootnoteText"/>
      </w:pPr>
      <w:r>
        <w:rPr>
          <w:rStyle w:val="FootnoteReference"/>
        </w:rPr>
        <w:footnoteRef/>
      </w:r>
      <w:r>
        <w:t xml:space="preserve"> </w:t>
      </w:r>
      <w:hyperlink r:id="rId2" w:history="1">
        <w:r w:rsidRPr="00AE0AA4">
          <w:rPr>
            <w:rStyle w:val="Hyperlink"/>
          </w:rPr>
          <w:t>Costs of Operating SMSFs (Rice Warner, 2013)</w:t>
        </w:r>
      </w:hyperlink>
      <w:r>
        <w:t xml:space="preserve"> – minor adjustments for inflation may be required to adjust to an estimate for 2016 results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289F7" w14:textId="1E114029" w:rsidR="00495D5B" w:rsidRDefault="00495D5B">
    <w:pPr>
      <w:pStyle w:val="Header"/>
    </w:pPr>
    <w:r>
      <w:rPr>
        <w:noProof/>
        <w:lang w:eastAsia="en-AU"/>
      </w:rPr>
      <w:drawing>
        <wp:anchor distT="0" distB="0" distL="114300" distR="114300" simplePos="0" relativeHeight="251658240" behindDoc="0" locked="0" layoutInCell="1" allowOverlap="1" wp14:anchorId="1295387D" wp14:editId="47175C46">
          <wp:simplePos x="0" y="0"/>
          <wp:positionH relativeFrom="column">
            <wp:posOffset>-331</wp:posOffset>
          </wp:positionH>
          <wp:positionV relativeFrom="paragraph">
            <wp:posOffset>-114935</wp:posOffset>
          </wp:positionV>
          <wp:extent cx="1209675" cy="429202"/>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lass_Logo_RGB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9675" cy="429202"/>
                  </a:xfrm>
                  <a:prstGeom prst="rect">
                    <a:avLst/>
                  </a:prstGeom>
                </pic:spPr>
              </pic:pic>
            </a:graphicData>
          </a:graphic>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2AC3"/>
    <w:multiLevelType w:val="hybridMultilevel"/>
    <w:tmpl w:val="4F6A1F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CF5E0F"/>
    <w:multiLevelType w:val="hybridMultilevel"/>
    <w:tmpl w:val="77766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501243"/>
    <w:multiLevelType w:val="hybridMultilevel"/>
    <w:tmpl w:val="7FA4290E"/>
    <w:lvl w:ilvl="0" w:tplc="0C090019">
      <w:start w:val="1"/>
      <w:numFmt w:val="lowerLetter"/>
      <w:lvlText w:val="%1."/>
      <w:lvlJc w:val="left"/>
      <w:pPr>
        <w:ind w:left="633" w:hanging="360"/>
      </w:pPr>
      <w:rPr>
        <w:rFonts w:hint="default"/>
      </w:rPr>
    </w:lvl>
    <w:lvl w:ilvl="1" w:tplc="0C090003" w:tentative="1">
      <w:start w:val="1"/>
      <w:numFmt w:val="bullet"/>
      <w:lvlText w:val="o"/>
      <w:lvlJc w:val="left"/>
      <w:pPr>
        <w:ind w:left="993" w:hanging="360"/>
      </w:pPr>
      <w:rPr>
        <w:rFonts w:ascii="Courier New" w:hAnsi="Courier New" w:cs="Courier New" w:hint="default"/>
      </w:rPr>
    </w:lvl>
    <w:lvl w:ilvl="2" w:tplc="0C090005" w:tentative="1">
      <w:start w:val="1"/>
      <w:numFmt w:val="bullet"/>
      <w:lvlText w:val=""/>
      <w:lvlJc w:val="left"/>
      <w:pPr>
        <w:ind w:left="1713" w:hanging="360"/>
      </w:pPr>
      <w:rPr>
        <w:rFonts w:ascii="Wingdings" w:hAnsi="Wingdings" w:hint="default"/>
      </w:rPr>
    </w:lvl>
    <w:lvl w:ilvl="3" w:tplc="0C090001" w:tentative="1">
      <w:start w:val="1"/>
      <w:numFmt w:val="bullet"/>
      <w:lvlText w:val=""/>
      <w:lvlJc w:val="left"/>
      <w:pPr>
        <w:ind w:left="2433" w:hanging="360"/>
      </w:pPr>
      <w:rPr>
        <w:rFonts w:ascii="Symbol" w:hAnsi="Symbol" w:hint="default"/>
      </w:rPr>
    </w:lvl>
    <w:lvl w:ilvl="4" w:tplc="0C090003" w:tentative="1">
      <w:start w:val="1"/>
      <w:numFmt w:val="bullet"/>
      <w:lvlText w:val="o"/>
      <w:lvlJc w:val="left"/>
      <w:pPr>
        <w:ind w:left="3153" w:hanging="360"/>
      </w:pPr>
      <w:rPr>
        <w:rFonts w:ascii="Courier New" w:hAnsi="Courier New" w:cs="Courier New" w:hint="default"/>
      </w:rPr>
    </w:lvl>
    <w:lvl w:ilvl="5" w:tplc="0C090005" w:tentative="1">
      <w:start w:val="1"/>
      <w:numFmt w:val="bullet"/>
      <w:lvlText w:val=""/>
      <w:lvlJc w:val="left"/>
      <w:pPr>
        <w:ind w:left="3873" w:hanging="360"/>
      </w:pPr>
      <w:rPr>
        <w:rFonts w:ascii="Wingdings" w:hAnsi="Wingdings" w:hint="default"/>
      </w:rPr>
    </w:lvl>
    <w:lvl w:ilvl="6" w:tplc="0C090001" w:tentative="1">
      <w:start w:val="1"/>
      <w:numFmt w:val="bullet"/>
      <w:lvlText w:val=""/>
      <w:lvlJc w:val="left"/>
      <w:pPr>
        <w:ind w:left="4593" w:hanging="360"/>
      </w:pPr>
      <w:rPr>
        <w:rFonts w:ascii="Symbol" w:hAnsi="Symbol" w:hint="default"/>
      </w:rPr>
    </w:lvl>
    <w:lvl w:ilvl="7" w:tplc="0C090003" w:tentative="1">
      <w:start w:val="1"/>
      <w:numFmt w:val="bullet"/>
      <w:lvlText w:val="o"/>
      <w:lvlJc w:val="left"/>
      <w:pPr>
        <w:ind w:left="5313" w:hanging="360"/>
      </w:pPr>
      <w:rPr>
        <w:rFonts w:ascii="Courier New" w:hAnsi="Courier New" w:cs="Courier New" w:hint="default"/>
      </w:rPr>
    </w:lvl>
    <w:lvl w:ilvl="8" w:tplc="0C090005" w:tentative="1">
      <w:start w:val="1"/>
      <w:numFmt w:val="bullet"/>
      <w:lvlText w:val=""/>
      <w:lvlJc w:val="left"/>
      <w:pPr>
        <w:ind w:left="6033" w:hanging="360"/>
      </w:pPr>
      <w:rPr>
        <w:rFonts w:ascii="Wingdings" w:hAnsi="Wingdings" w:hint="default"/>
      </w:rPr>
    </w:lvl>
  </w:abstractNum>
  <w:abstractNum w:abstractNumId="3" w15:restartNumberingAfterBreak="0">
    <w:nsid w:val="17607680"/>
    <w:multiLevelType w:val="hybridMultilevel"/>
    <w:tmpl w:val="CFF0BC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7941A9"/>
    <w:multiLevelType w:val="hybridMultilevel"/>
    <w:tmpl w:val="4A16AE96"/>
    <w:lvl w:ilvl="0" w:tplc="ADFC2AE4">
      <w:start w:val="1"/>
      <w:numFmt w:val="bullet"/>
      <w:lvlText w:val="-"/>
      <w:lvlJc w:val="left"/>
      <w:pPr>
        <w:ind w:left="633" w:hanging="360"/>
      </w:pPr>
      <w:rPr>
        <w:rFonts w:ascii="Calibri" w:eastAsiaTheme="minorHAnsi" w:hAnsi="Calibri" w:cs="Calibri" w:hint="default"/>
      </w:rPr>
    </w:lvl>
    <w:lvl w:ilvl="1" w:tplc="0C090003" w:tentative="1">
      <w:start w:val="1"/>
      <w:numFmt w:val="bullet"/>
      <w:lvlText w:val="o"/>
      <w:lvlJc w:val="left"/>
      <w:pPr>
        <w:ind w:left="993" w:hanging="360"/>
      </w:pPr>
      <w:rPr>
        <w:rFonts w:ascii="Courier New" w:hAnsi="Courier New" w:cs="Courier New" w:hint="default"/>
      </w:rPr>
    </w:lvl>
    <w:lvl w:ilvl="2" w:tplc="0C090005" w:tentative="1">
      <w:start w:val="1"/>
      <w:numFmt w:val="bullet"/>
      <w:lvlText w:val=""/>
      <w:lvlJc w:val="left"/>
      <w:pPr>
        <w:ind w:left="1713" w:hanging="360"/>
      </w:pPr>
      <w:rPr>
        <w:rFonts w:ascii="Wingdings" w:hAnsi="Wingdings" w:hint="default"/>
      </w:rPr>
    </w:lvl>
    <w:lvl w:ilvl="3" w:tplc="0C090001" w:tentative="1">
      <w:start w:val="1"/>
      <w:numFmt w:val="bullet"/>
      <w:lvlText w:val=""/>
      <w:lvlJc w:val="left"/>
      <w:pPr>
        <w:ind w:left="2433" w:hanging="360"/>
      </w:pPr>
      <w:rPr>
        <w:rFonts w:ascii="Symbol" w:hAnsi="Symbol" w:hint="default"/>
      </w:rPr>
    </w:lvl>
    <w:lvl w:ilvl="4" w:tplc="0C090003" w:tentative="1">
      <w:start w:val="1"/>
      <w:numFmt w:val="bullet"/>
      <w:lvlText w:val="o"/>
      <w:lvlJc w:val="left"/>
      <w:pPr>
        <w:ind w:left="3153" w:hanging="360"/>
      </w:pPr>
      <w:rPr>
        <w:rFonts w:ascii="Courier New" w:hAnsi="Courier New" w:cs="Courier New" w:hint="default"/>
      </w:rPr>
    </w:lvl>
    <w:lvl w:ilvl="5" w:tplc="0C090005" w:tentative="1">
      <w:start w:val="1"/>
      <w:numFmt w:val="bullet"/>
      <w:lvlText w:val=""/>
      <w:lvlJc w:val="left"/>
      <w:pPr>
        <w:ind w:left="3873" w:hanging="360"/>
      </w:pPr>
      <w:rPr>
        <w:rFonts w:ascii="Wingdings" w:hAnsi="Wingdings" w:hint="default"/>
      </w:rPr>
    </w:lvl>
    <w:lvl w:ilvl="6" w:tplc="0C090001" w:tentative="1">
      <w:start w:val="1"/>
      <w:numFmt w:val="bullet"/>
      <w:lvlText w:val=""/>
      <w:lvlJc w:val="left"/>
      <w:pPr>
        <w:ind w:left="4593" w:hanging="360"/>
      </w:pPr>
      <w:rPr>
        <w:rFonts w:ascii="Symbol" w:hAnsi="Symbol" w:hint="default"/>
      </w:rPr>
    </w:lvl>
    <w:lvl w:ilvl="7" w:tplc="0C090003" w:tentative="1">
      <w:start w:val="1"/>
      <w:numFmt w:val="bullet"/>
      <w:lvlText w:val="o"/>
      <w:lvlJc w:val="left"/>
      <w:pPr>
        <w:ind w:left="5313" w:hanging="360"/>
      </w:pPr>
      <w:rPr>
        <w:rFonts w:ascii="Courier New" w:hAnsi="Courier New" w:cs="Courier New" w:hint="default"/>
      </w:rPr>
    </w:lvl>
    <w:lvl w:ilvl="8" w:tplc="0C090005" w:tentative="1">
      <w:start w:val="1"/>
      <w:numFmt w:val="bullet"/>
      <w:lvlText w:val=""/>
      <w:lvlJc w:val="left"/>
      <w:pPr>
        <w:ind w:left="6033" w:hanging="360"/>
      </w:pPr>
      <w:rPr>
        <w:rFonts w:ascii="Wingdings" w:hAnsi="Wingdings" w:hint="default"/>
      </w:rPr>
    </w:lvl>
  </w:abstractNum>
  <w:abstractNum w:abstractNumId="5" w15:restartNumberingAfterBreak="0">
    <w:nsid w:val="2DFD7FCF"/>
    <w:multiLevelType w:val="hybridMultilevel"/>
    <w:tmpl w:val="F31E58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F1447A"/>
    <w:multiLevelType w:val="hybridMultilevel"/>
    <w:tmpl w:val="9A425E3A"/>
    <w:lvl w:ilvl="0" w:tplc="16C4D1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317132"/>
    <w:multiLevelType w:val="hybridMultilevel"/>
    <w:tmpl w:val="9158549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CC3A7B"/>
    <w:multiLevelType w:val="hybridMultilevel"/>
    <w:tmpl w:val="E37477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CF068D0"/>
    <w:multiLevelType w:val="hybridMultilevel"/>
    <w:tmpl w:val="88083D34"/>
    <w:lvl w:ilvl="0" w:tplc="0C09000F">
      <w:start w:val="1"/>
      <w:numFmt w:val="decimal"/>
      <w:lvlText w:val="%1."/>
      <w:lvlJc w:val="left"/>
      <w:pPr>
        <w:ind w:left="633" w:hanging="360"/>
      </w:pPr>
      <w:rPr>
        <w:rFonts w:hint="default"/>
      </w:rPr>
    </w:lvl>
    <w:lvl w:ilvl="1" w:tplc="0C090003" w:tentative="1">
      <w:start w:val="1"/>
      <w:numFmt w:val="bullet"/>
      <w:lvlText w:val="o"/>
      <w:lvlJc w:val="left"/>
      <w:pPr>
        <w:ind w:left="993" w:hanging="360"/>
      </w:pPr>
      <w:rPr>
        <w:rFonts w:ascii="Courier New" w:hAnsi="Courier New" w:cs="Courier New" w:hint="default"/>
      </w:rPr>
    </w:lvl>
    <w:lvl w:ilvl="2" w:tplc="0C090005" w:tentative="1">
      <w:start w:val="1"/>
      <w:numFmt w:val="bullet"/>
      <w:lvlText w:val=""/>
      <w:lvlJc w:val="left"/>
      <w:pPr>
        <w:ind w:left="1713" w:hanging="360"/>
      </w:pPr>
      <w:rPr>
        <w:rFonts w:ascii="Wingdings" w:hAnsi="Wingdings" w:hint="default"/>
      </w:rPr>
    </w:lvl>
    <w:lvl w:ilvl="3" w:tplc="0C090001" w:tentative="1">
      <w:start w:val="1"/>
      <w:numFmt w:val="bullet"/>
      <w:lvlText w:val=""/>
      <w:lvlJc w:val="left"/>
      <w:pPr>
        <w:ind w:left="2433" w:hanging="360"/>
      </w:pPr>
      <w:rPr>
        <w:rFonts w:ascii="Symbol" w:hAnsi="Symbol" w:hint="default"/>
      </w:rPr>
    </w:lvl>
    <w:lvl w:ilvl="4" w:tplc="0C090003" w:tentative="1">
      <w:start w:val="1"/>
      <w:numFmt w:val="bullet"/>
      <w:lvlText w:val="o"/>
      <w:lvlJc w:val="left"/>
      <w:pPr>
        <w:ind w:left="3153" w:hanging="360"/>
      </w:pPr>
      <w:rPr>
        <w:rFonts w:ascii="Courier New" w:hAnsi="Courier New" w:cs="Courier New" w:hint="default"/>
      </w:rPr>
    </w:lvl>
    <w:lvl w:ilvl="5" w:tplc="0C090005" w:tentative="1">
      <w:start w:val="1"/>
      <w:numFmt w:val="bullet"/>
      <w:lvlText w:val=""/>
      <w:lvlJc w:val="left"/>
      <w:pPr>
        <w:ind w:left="3873" w:hanging="360"/>
      </w:pPr>
      <w:rPr>
        <w:rFonts w:ascii="Wingdings" w:hAnsi="Wingdings" w:hint="default"/>
      </w:rPr>
    </w:lvl>
    <w:lvl w:ilvl="6" w:tplc="0C090001" w:tentative="1">
      <w:start w:val="1"/>
      <w:numFmt w:val="bullet"/>
      <w:lvlText w:val=""/>
      <w:lvlJc w:val="left"/>
      <w:pPr>
        <w:ind w:left="4593" w:hanging="360"/>
      </w:pPr>
      <w:rPr>
        <w:rFonts w:ascii="Symbol" w:hAnsi="Symbol" w:hint="default"/>
      </w:rPr>
    </w:lvl>
    <w:lvl w:ilvl="7" w:tplc="0C090003" w:tentative="1">
      <w:start w:val="1"/>
      <w:numFmt w:val="bullet"/>
      <w:lvlText w:val="o"/>
      <w:lvlJc w:val="left"/>
      <w:pPr>
        <w:ind w:left="5313" w:hanging="360"/>
      </w:pPr>
      <w:rPr>
        <w:rFonts w:ascii="Courier New" w:hAnsi="Courier New" w:cs="Courier New" w:hint="default"/>
      </w:rPr>
    </w:lvl>
    <w:lvl w:ilvl="8" w:tplc="0C090005" w:tentative="1">
      <w:start w:val="1"/>
      <w:numFmt w:val="bullet"/>
      <w:lvlText w:val=""/>
      <w:lvlJc w:val="left"/>
      <w:pPr>
        <w:ind w:left="6033" w:hanging="360"/>
      </w:pPr>
      <w:rPr>
        <w:rFonts w:ascii="Wingdings" w:hAnsi="Wingdings" w:hint="default"/>
      </w:rPr>
    </w:lvl>
  </w:abstractNum>
  <w:abstractNum w:abstractNumId="10" w15:restartNumberingAfterBreak="0">
    <w:nsid w:val="54911479"/>
    <w:multiLevelType w:val="hybridMultilevel"/>
    <w:tmpl w:val="1B7234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A0078B"/>
    <w:multiLevelType w:val="hybridMultilevel"/>
    <w:tmpl w:val="1D3AB494"/>
    <w:lvl w:ilvl="0" w:tplc="4560D7F6">
      <w:start w:val="1"/>
      <w:numFmt w:val="bullet"/>
      <w:lvlText w:val=""/>
      <w:lvlJc w:val="left"/>
      <w:pPr>
        <w:ind w:left="720" w:hanging="360"/>
      </w:pPr>
      <w:rPr>
        <w:rFonts w:ascii="Symbol" w:hAnsi="Symbol" w:hint="default"/>
      </w:rPr>
    </w:lvl>
    <w:lvl w:ilvl="1" w:tplc="8B92CAB0">
      <w:start w:val="1"/>
      <w:numFmt w:val="bullet"/>
      <w:lvlText w:val=""/>
      <w:lvlJc w:val="left"/>
      <w:pPr>
        <w:ind w:left="1440" w:hanging="360"/>
      </w:pPr>
      <w:rPr>
        <w:rFonts w:ascii="Symbol" w:hAnsi="Symbol" w:hint="default"/>
      </w:rPr>
    </w:lvl>
    <w:lvl w:ilvl="2" w:tplc="578A9F74">
      <w:start w:val="1"/>
      <w:numFmt w:val="bullet"/>
      <w:lvlText w:val=""/>
      <w:lvlJc w:val="left"/>
      <w:pPr>
        <w:ind w:left="2160" w:hanging="360"/>
      </w:pPr>
      <w:rPr>
        <w:rFonts w:ascii="Wingdings" w:hAnsi="Wingdings" w:hint="default"/>
      </w:rPr>
    </w:lvl>
    <w:lvl w:ilvl="3" w:tplc="A3D6B678">
      <w:start w:val="1"/>
      <w:numFmt w:val="bullet"/>
      <w:lvlText w:val=""/>
      <w:lvlJc w:val="left"/>
      <w:pPr>
        <w:ind w:left="2880" w:hanging="360"/>
      </w:pPr>
      <w:rPr>
        <w:rFonts w:ascii="Symbol" w:hAnsi="Symbol" w:hint="default"/>
      </w:rPr>
    </w:lvl>
    <w:lvl w:ilvl="4" w:tplc="8C26F702">
      <w:start w:val="1"/>
      <w:numFmt w:val="bullet"/>
      <w:lvlText w:val="o"/>
      <w:lvlJc w:val="left"/>
      <w:pPr>
        <w:ind w:left="3600" w:hanging="360"/>
      </w:pPr>
      <w:rPr>
        <w:rFonts w:ascii="Courier New" w:hAnsi="Courier New" w:hint="default"/>
      </w:rPr>
    </w:lvl>
    <w:lvl w:ilvl="5" w:tplc="CAB627BA">
      <w:start w:val="1"/>
      <w:numFmt w:val="bullet"/>
      <w:lvlText w:val=""/>
      <w:lvlJc w:val="left"/>
      <w:pPr>
        <w:ind w:left="4320" w:hanging="360"/>
      </w:pPr>
      <w:rPr>
        <w:rFonts w:ascii="Wingdings" w:hAnsi="Wingdings" w:hint="default"/>
      </w:rPr>
    </w:lvl>
    <w:lvl w:ilvl="6" w:tplc="8A5EBFF4">
      <w:start w:val="1"/>
      <w:numFmt w:val="bullet"/>
      <w:lvlText w:val=""/>
      <w:lvlJc w:val="left"/>
      <w:pPr>
        <w:ind w:left="5040" w:hanging="360"/>
      </w:pPr>
      <w:rPr>
        <w:rFonts w:ascii="Symbol" w:hAnsi="Symbol" w:hint="default"/>
      </w:rPr>
    </w:lvl>
    <w:lvl w:ilvl="7" w:tplc="7D0E072E">
      <w:start w:val="1"/>
      <w:numFmt w:val="bullet"/>
      <w:lvlText w:val="o"/>
      <w:lvlJc w:val="left"/>
      <w:pPr>
        <w:ind w:left="5760" w:hanging="360"/>
      </w:pPr>
      <w:rPr>
        <w:rFonts w:ascii="Courier New" w:hAnsi="Courier New" w:hint="default"/>
      </w:rPr>
    </w:lvl>
    <w:lvl w:ilvl="8" w:tplc="B4E8BD18">
      <w:start w:val="1"/>
      <w:numFmt w:val="bullet"/>
      <w:lvlText w:val=""/>
      <w:lvlJc w:val="left"/>
      <w:pPr>
        <w:ind w:left="6480" w:hanging="360"/>
      </w:pPr>
      <w:rPr>
        <w:rFonts w:ascii="Wingdings" w:hAnsi="Wingdings" w:hint="default"/>
      </w:rPr>
    </w:lvl>
  </w:abstractNum>
  <w:abstractNum w:abstractNumId="12" w15:restartNumberingAfterBreak="0">
    <w:nsid w:val="5C074E01"/>
    <w:multiLevelType w:val="hybridMultilevel"/>
    <w:tmpl w:val="95D237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076414"/>
    <w:multiLevelType w:val="hybridMultilevel"/>
    <w:tmpl w:val="625E3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0928F0"/>
    <w:multiLevelType w:val="multilevel"/>
    <w:tmpl w:val="7ED0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1E15BC"/>
    <w:multiLevelType w:val="hybridMultilevel"/>
    <w:tmpl w:val="DA56BE5C"/>
    <w:lvl w:ilvl="0" w:tplc="ADFC2AE4">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F3E5DB3"/>
    <w:multiLevelType w:val="hybridMultilevel"/>
    <w:tmpl w:val="9158549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543F0A"/>
    <w:multiLevelType w:val="hybridMultilevel"/>
    <w:tmpl w:val="D0CA8E4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70C5E2D"/>
    <w:multiLevelType w:val="hybridMultilevel"/>
    <w:tmpl w:val="737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A1330D"/>
    <w:multiLevelType w:val="hybridMultilevel"/>
    <w:tmpl w:val="25A47A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0"/>
  </w:num>
  <w:num w:numId="3">
    <w:abstractNumId w:val="15"/>
  </w:num>
  <w:num w:numId="4">
    <w:abstractNumId w:val="7"/>
  </w:num>
  <w:num w:numId="5">
    <w:abstractNumId w:val="4"/>
  </w:num>
  <w:num w:numId="6">
    <w:abstractNumId w:val="5"/>
  </w:num>
  <w:num w:numId="7">
    <w:abstractNumId w:val="9"/>
  </w:num>
  <w:num w:numId="8">
    <w:abstractNumId w:val="2"/>
  </w:num>
  <w:num w:numId="9">
    <w:abstractNumId w:val="1"/>
  </w:num>
  <w:num w:numId="10">
    <w:abstractNumId w:val="13"/>
  </w:num>
  <w:num w:numId="11">
    <w:abstractNumId w:val="19"/>
  </w:num>
  <w:num w:numId="12">
    <w:abstractNumId w:val="6"/>
  </w:num>
  <w:num w:numId="13">
    <w:abstractNumId w:val="8"/>
  </w:num>
  <w:num w:numId="14">
    <w:abstractNumId w:val="14"/>
  </w:num>
  <w:num w:numId="15">
    <w:abstractNumId w:val="10"/>
  </w:num>
  <w:num w:numId="16">
    <w:abstractNumId w:val="18"/>
  </w:num>
  <w:num w:numId="17">
    <w:abstractNumId w:val="11"/>
  </w:num>
  <w:num w:numId="18">
    <w:abstractNumId w:val="17"/>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73"/>
    <w:rsid w:val="00001738"/>
    <w:rsid w:val="00001D08"/>
    <w:rsid w:val="000037A8"/>
    <w:rsid w:val="000053C4"/>
    <w:rsid w:val="0000587D"/>
    <w:rsid w:val="00005DF0"/>
    <w:rsid w:val="00007AAB"/>
    <w:rsid w:val="00007F2D"/>
    <w:rsid w:val="0001072B"/>
    <w:rsid w:val="0001164B"/>
    <w:rsid w:val="00012EC0"/>
    <w:rsid w:val="00013BB2"/>
    <w:rsid w:val="000159BE"/>
    <w:rsid w:val="00017747"/>
    <w:rsid w:val="00020416"/>
    <w:rsid w:val="00020B55"/>
    <w:rsid w:val="00021FE9"/>
    <w:rsid w:val="00024899"/>
    <w:rsid w:val="0002553B"/>
    <w:rsid w:val="0002668E"/>
    <w:rsid w:val="000269B0"/>
    <w:rsid w:val="00030DD2"/>
    <w:rsid w:val="0003198D"/>
    <w:rsid w:val="00031A79"/>
    <w:rsid w:val="0003366B"/>
    <w:rsid w:val="00034E18"/>
    <w:rsid w:val="0003597F"/>
    <w:rsid w:val="00037032"/>
    <w:rsid w:val="000373BB"/>
    <w:rsid w:val="0003787E"/>
    <w:rsid w:val="0004081B"/>
    <w:rsid w:val="000419DB"/>
    <w:rsid w:val="000440F5"/>
    <w:rsid w:val="00045F36"/>
    <w:rsid w:val="00046FCF"/>
    <w:rsid w:val="0004751A"/>
    <w:rsid w:val="00050125"/>
    <w:rsid w:val="00050AAD"/>
    <w:rsid w:val="000515D0"/>
    <w:rsid w:val="000544EA"/>
    <w:rsid w:val="0005550C"/>
    <w:rsid w:val="000618B9"/>
    <w:rsid w:val="00062419"/>
    <w:rsid w:val="00062996"/>
    <w:rsid w:val="00062EAE"/>
    <w:rsid w:val="00064209"/>
    <w:rsid w:val="00065D7F"/>
    <w:rsid w:val="00065E0B"/>
    <w:rsid w:val="00067F01"/>
    <w:rsid w:val="00072B54"/>
    <w:rsid w:val="00074F20"/>
    <w:rsid w:val="000769C4"/>
    <w:rsid w:val="000805B0"/>
    <w:rsid w:val="00080CAD"/>
    <w:rsid w:val="0008148F"/>
    <w:rsid w:val="0008174D"/>
    <w:rsid w:val="00082BE9"/>
    <w:rsid w:val="0008616E"/>
    <w:rsid w:val="0008696A"/>
    <w:rsid w:val="00091A08"/>
    <w:rsid w:val="00091C5D"/>
    <w:rsid w:val="000922EF"/>
    <w:rsid w:val="00092ADD"/>
    <w:rsid w:val="00093A2D"/>
    <w:rsid w:val="00095D2E"/>
    <w:rsid w:val="00096113"/>
    <w:rsid w:val="00096D57"/>
    <w:rsid w:val="00096E8F"/>
    <w:rsid w:val="000974BE"/>
    <w:rsid w:val="00097CA1"/>
    <w:rsid w:val="000A0862"/>
    <w:rsid w:val="000A10F5"/>
    <w:rsid w:val="000A1D5C"/>
    <w:rsid w:val="000A3800"/>
    <w:rsid w:val="000A62BE"/>
    <w:rsid w:val="000B1E85"/>
    <w:rsid w:val="000B2E0F"/>
    <w:rsid w:val="000B4D14"/>
    <w:rsid w:val="000B628A"/>
    <w:rsid w:val="000C161B"/>
    <w:rsid w:val="000C1788"/>
    <w:rsid w:val="000C183A"/>
    <w:rsid w:val="000C2051"/>
    <w:rsid w:val="000C4CBB"/>
    <w:rsid w:val="000C562B"/>
    <w:rsid w:val="000C6CBF"/>
    <w:rsid w:val="000D0F72"/>
    <w:rsid w:val="000D3BF7"/>
    <w:rsid w:val="000D4944"/>
    <w:rsid w:val="000D551E"/>
    <w:rsid w:val="000D681D"/>
    <w:rsid w:val="000D705C"/>
    <w:rsid w:val="000D7C94"/>
    <w:rsid w:val="000E1A8E"/>
    <w:rsid w:val="000E3863"/>
    <w:rsid w:val="000E4502"/>
    <w:rsid w:val="000E5105"/>
    <w:rsid w:val="000E5191"/>
    <w:rsid w:val="000E51FB"/>
    <w:rsid w:val="000E5611"/>
    <w:rsid w:val="000F0765"/>
    <w:rsid w:val="000F204C"/>
    <w:rsid w:val="000F3831"/>
    <w:rsid w:val="000F428C"/>
    <w:rsid w:val="000F48A1"/>
    <w:rsid w:val="000F66EC"/>
    <w:rsid w:val="000F7B0D"/>
    <w:rsid w:val="000F7F9D"/>
    <w:rsid w:val="0010586C"/>
    <w:rsid w:val="00105969"/>
    <w:rsid w:val="00105A54"/>
    <w:rsid w:val="00107033"/>
    <w:rsid w:val="0010762A"/>
    <w:rsid w:val="00107C9D"/>
    <w:rsid w:val="0011054A"/>
    <w:rsid w:val="00110659"/>
    <w:rsid w:val="00112A54"/>
    <w:rsid w:val="001137BB"/>
    <w:rsid w:val="00114AD3"/>
    <w:rsid w:val="00121E38"/>
    <w:rsid w:val="00122D15"/>
    <w:rsid w:val="00122F29"/>
    <w:rsid w:val="00123523"/>
    <w:rsid w:val="0012505F"/>
    <w:rsid w:val="0012534B"/>
    <w:rsid w:val="001257F3"/>
    <w:rsid w:val="001258D3"/>
    <w:rsid w:val="001303E2"/>
    <w:rsid w:val="00135174"/>
    <w:rsid w:val="00135C19"/>
    <w:rsid w:val="00136661"/>
    <w:rsid w:val="00136944"/>
    <w:rsid w:val="0013755F"/>
    <w:rsid w:val="00140AD8"/>
    <w:rsid w:val="00141018"/>
    <w:rsid w:val="00141F29"/>
    <w:rsid w:val="00142D45"/>
    <w:rsid w:val="00143C8F"/>
    <w:rsid w:val="001446BB"/>
    <w:rsid w:val="00146E91"/>
    <w:rsid w:val="00151316"/>
    <w:rsid w:val="0015332B"/>
    <w:rsid w:val="001543DD"/>
    <w:rsid w:val="00154F39"/>
    <w:rsid w:val="001578EB"/>
    <w:rsid w:val="00161FC1"/>
    <w:rsid w:val="0016684F"/>
    <w:rsid w:val="0016721B"/>
    <w:rsid w:val="001676EC"/>
    <w:rsid w:val="00167779"/>
    <w:rsid w:val="0016795C"/>
    <w:rsid w:val="00171AE6"/>
    <w:rsid w:val="001745DD"/>
    <w:rsid w:val="00180A03"/>
    <w:rsid w:val="00182906"/>
    <w:rsid w:val="00182D4B"/>
    <w:rsid w:val="00183009"/>
    <w:rsid w:val="00184F41"/>
    <w:rsid w:val="00184FE9"/>
    <w:rsid w:val="00185E34"/>
    <w:rsid w:val="00187707"/>
    <w:rsid w:val="00191455"/>
    <w:rsid w:val="00193698"/>
    <w:rsid w:val="00195A05"/>
    <w:rsid w:val="00195C0F"/>
    <w:rsid w:val="00196789"/>
    <w:rsid w:val="00196D69"/>
    <w:rsid w:val="00197B30"/>
    <w:rsid w:val="001A111B"/>
    <w:rsid w:val="001A134F"/>
    <w:rsid w:val="001A1FEE"/>
    <w:rsid w:val="001A3566"/>
    <w:rsid w:val="001A52B0"/>
    <w:rsid w:val="001A5622"/>
    <w:rsid w:val="001A5BA9"/>
    <w:rsid w:val="001A6064"/>
    <w:rsid w:val="001A643D"/>
    <w:rsid w:val="001A6608"/>
    <w:rsid w:val="001A67AF"/>
    <w:rsid w:val="001A6AF0"/>
    <w:rsid w:val="001A7381"/>
    <w:rsid w:val="001B033F"/>
    <w:rsid w:val="001B0EAD"/>
    <w:rsid w:val="001B242A"/>
    <w:rsid w:val="001B2EE3"/>
    <w:rsid w:val="001B4842"/>
    <w:rsid w:val="001B5DEB"/>
    <w:rsid w:val="001C01B6"/>
    <w:rsid w:val="001C289F"/>
    <w:rsid w:val="001C33AE"/>
    <w:rsid w:val="001C6168"/>
    <w:rsid w:val="001C7E81"/>
    <w:rsid w:val="001D168A"/>
    <w:rsid w:val="001D1DC2"/>
    <w:rsid w:val="001D2397"/>
    <w:rsid w:val="001D4231"/>
    <w:rsid w:val="001D4C50"/>
    <w:rsid w:val="001D5903"/>
    <w:rsid w:val="001D5A30"/>
    <w:rsid w:val="001D6F26"/>
    <w:rsid w:val="001E1B70"/>
    <w:rsid w:val="001E2A2C"/>
    <w:rsid w:val="001E2C48"/>
    <w:rsid w:val="001E3F6B"/>
    <w:rsid w:val="001E4AE5"/>
    <w:rsid w:val="001E5A80"/>
    <w:rsid w:val="001E6469"/>
    <w:rsid w:val="001E7756"/>
    <w:rsid w:val="001E7857"/>
    <w:rsid w:val="001F147C"/>
    <w:rsid w:val="001F2DBE"/>
    <w:rsid w:val="001F33F3"/>
    <w:rsid w:val="001F4516"/>
    <w:rsid w:val="001F59DD"/>
    <w:rsid w:val="001F6B06"/>
    <w:rsid w:val="001F6E5D"/>
    <w:rsid w:val="002002DB"/>
    <w:rsid w:val="00201858"/>
    <w:rsid w:val="00201FB9"/>
    <w:rsid w:val="00202056"/>
    <w:rsid w:val="00202A4B"/>
    <w:rsid w:val="00203888"/>
    <w:rsid w:val="00204543"/>
    <w:rsid w:val="00205847"/>
    <w:rsid w:val="00207143"/>
    <w:rsid w:val="00207BC9"/>
    <w:rsid w:val="00210200"/>
    <w:rsid w:val="00210365"/>
    <w:rsid w:val="00213C92"/>
    <w:rsid w:val="002149CB"/>
    <w:rsid w:val="0021574E"/>
    <w:rsid w:val="00217CAA"/>
    <w:rsid w:val="0022081C"/>
    <w:rsid w:val="00220D76"/>
    <w:rsid w:val="002221DF"/>
    <w:rsid w:val="00222752"/>
    <w:rsid w:val="00222D5A"/>
    <w:rsid w:val="00223CF9"/>
    <w:rsid w:val="002261F2"/>
    <w:rsid w:val="00227841"/>
    <w:rsid w:val="0023045A"/>
    <w:rsid w:val="002338C0"/>
    <w:rsid w:val="00233B9A"/>
    <w:rsid w:val="00235A6B"/>
    <w:rsid w:val="002361EF"/>
    <w:rsid w:val="0023726E"/>
    <w:rsid w:val="002428E5"/>
    <w:rsid w:val="002429C0"/>
    <w:rsid w:val="0024561A"/>
    <w:rsid w:val="00245A27"/>
    <w:rsid w:val="002468E6"/>
    <w:rsid w:val="00246EE5"/>
    <w:rsid w:val="00251751"/>
    <w:rsid w:val="002540F1"/>
    <w:rsid w:val="00255278"/>
    <w:rsid w:val="00255709"/>
    <w:rsid w:val="00257A2E"/>
    <w:rsid w:val="00257E2F"/>
    <w:rsid w:val="00261AEA"/>
    <w:rsid w:val="00262303"/>
    <w:rsid w:val="002665F2"/>
    <w:rsid w:val="00266824"/>
    <w:rsid w:val="00266DE5"/>
    <w:rsid w:val="00271A7E"/>
    <w:rsid w:val="00271B08"/>
    <w:rsid w:val="00275B60"/>
    <w:rsid w:val="00276867"/>
    <w:rsid w:val="0028007D"/>
    <w:rsid w:val="00280B36"/>
    <w:rsid w:val="00281B6D"/>
    <w:rsid w:val="00283B96"/>
    <w:rsid w:val="002845DB"/>
    <w:rsid w:val="00284D8A"/>
    <w:rsid w:val="00286778"/>
    <w:rsid w:val="002932E3"/>
    <w:rsid w:val="00293F9D"/>
    <w:rsid w:val="002944EF"/>
    <w:rsid w:val="002A36DE"/>
    <w:rsid w:val="002A3DD7"/>
    <w:rsid w:val="002A5CBB"/>
    <w:rsid w:val="002A6743"/>
    <w:rsid w:val="002A7BF3"/>
    <w:rsid w:val="002A7E2B"/>
    <w:rsid w:val="002B051E"/>
    <w:rsid w:val="002B4473"/>
    <w:rsid w:val="002B591A"/>
    <w:rsid w:val="002C1952"/>
    <w:rsid w:val="002C2A5B"/>
    <w:rsid w:val="002C4714"/>
    <w:rsid w:val="002D0006"/>
    <w:rsid w:val="002D1D34"/>
    <w:rsid w:val="002D2987"/>
    <w:rsid w:val="002D34CF"/>
    <w:rsid w:val="002D4A40"/>
    <w:rsid w:val="002D4B83"/>
    <w:rsid w:val="002D5584"/>
    <w:rsid w:val="002D5A47"/>
    <w:rsid w:val="002D64FA"/>
    <w:rsid w:val="002D6725"/>
    <w:rsid w:val="002D7615"/>
    <w:rsid w:val="002E0495"/>
    <w:rsid w:val="002E12D1"/>
    <w:rsid w:val="002E24EE"/>
    <w:rsid w:val="002E2A8B"/>
    <w:rsid w:val="002E4A92"/>
    <w:rsid w:val="002E4C1B"/>
    <w:rsid w:val="002E55B3"/>
    <w:rsid w:val="002E7DB1"/>
    <w:rsid w:val="002F031B"/>
    <w:rsid w:val="002F03C4"/>
    <w:rsid w:val="002F043B"/>
    <w:rsid w:val="002F4729"/>
    <w:rsid w:val="002F4F29"/>
    <w:rsid w:val="002F6BB6"/>
    <w:rsid w:val="003000FC"/>
    <w:rsid w:val="0030021A"/>
    <w:rsid w:val="00301085"/>
    <w:rsid w:val="00301946"/>
    <w:rsid w:val="00303F9A"/>
    <w:rsid w:val="0030423B"/>
    <w:rsid w:val="00304E1D"/>
    <w:rsid w:val="003117EE"/>
    <w:rsid w:val="00312870"/>
    <w:rsid w:val="00313081"/>
    <w:rsid w:val="0031339C"/>
    <w:rsid w:val="00314696"/>
    <w:rsid w:val="00314741"/>
    <w:rsid w:val="00314B66"/>
    <w:rsid w:val="00320C91"/>
    <w:rsid w:val="00323067"/>
    <w:rsid w:val="00324668"/>
    <w:rsid w:val="00325B6B"/>
    <w:rsid w:val="00327CB3"/>
    <w:rsid w:val="0033302C"/>
    <w:rsid w:val="00334149"/>
    <w:rsid w:val="00334250"/>
    <w:rsid w:val="00334FFB"/>
    <w:rsid w:val="00335939"/>
    <w:rsid w:val="003363F7"/>
    <w:rsid w:val="00340A4E"/>
    <w:rsid w:val="003411FC"/>
    <w:rsid w:val="00343120"/>
    <w:rsid w:val="00344E7B"/>
    <w:rsid w:val="003455D7"/>
    <w:rsid w:val="00350560"/>
    <w:rsid w:val="003518FE"/>
    <w:rsid w:val="00351C52"/>
    <w:rsid w:val="003534D8"/>
    <w:rsid w:val="003544AC"/>
    <w:rsid w:val="003552D6"/>
    <w:rsid w:val="003570C0"/>
    <w:rsid w:val="00360B4E"/>
    <w:rsid w:val="003628F6"/>
    <w:rsid w:val="00362AA2"/>
    <w:rsid w:val="00362F9C"/>
    <w:rsid w:val="00364745"/>
    <w:rsid w:val="00364815"/>
    <w:rsid w:val="00364A58"/>
    <w:rsid w:val="003666D6"/>
    <w:rsid w:val="0036704E"/>
    <w:rsid w:val="00367284"/>
    <w:rsid w:val="00371D70"/>
    <w:rsid w:val="00372E69"/>
    <w:rsid w:val="00373F37"/>
    <w:rsid w:val="00374450"/>
    <w:rsid w:val="003745AD"/>
    <w:rsid w:val="003801D4"/>
    <w:rsid w:val="00381DA2"/>
    <w:rsid w:val="00384200"/>
    <w:rsid w:val="0038624C"/>
    <w:rsid w:val="0038649E"/>
    <w:rsid w:val="003865A1"/>
    <w:rsid w:val="00387C8F"/>
    <w:rsid w:val="0039020B"/>
    <w:rsid w:val="003905B7"/>
    <w:rsid w:val="00391C9C"/>
    <w:rsid w:val="00394D34"/>
    <w:rsid w:val="003968BC"/>
    <w:rsid w:val="0039769E"/>
    <w:rsid w:val="0039796F"/>
    <w:rsid w:val="003A2305"/>
    <w:rsid w:val="003A34FB"/>
    <w:rsid w:val="003A37F7"/>
    <w:rsid w:val="003A4D19"/>
    <w:rsid w:val="003A5679"/>
    <w:rsid w:val="003A7FB5"/>
    <w:rsid w:val="003B0A86"/>
    <w:rsid w:val="003B0F20"/>
    <w:rsid w:val="003B28D4"/>
    <w:rsid w:val="003B61CB"/>
    <w:rsid w:val="003B7252"/>
    <w:rsid w:val="003C0AC8"/>
    <w:rsid w:val="003C25C1"/>
    <w:rsid w:val="003C5709"/>
    <w:rsid w:val="003C692B"/>
    <w:rsid w:val="003C787E"/>
    <w:rsid w:val="003D07F7"/>
    <w:rsid w:val="003D190F"/>
    <w:rsid w:val="003D20BD"/>
    <w:rsid w:val="003D2C14"/>
    <w:rsid w:val="003D2D8E"/>
    <w:rsid w:val="003D4A2D"/>
    <w:rsid w:val="003E0AFE"/>
    <w:rsid w:val="003E2CA2"/>
    <w:rsid w:val="003E31C5"/>
    <w:rsid w:val="003E351B"/>
    <w:rsid w:val="003E59CF"/>
    <w:rsid w:val="003E5A81"/>
    <w:rsid w:val="003E6DB1"/>
    <w:rsid w:val="003E78A5"/>
    <w:rsid w:val="003E7B1C"/>
    <w:rsid w:val="003F06A0"/>
    <w:rsid w:val="003F2EFD"/>
    <w:rsid w:val="003F3917"/>
    <w:rsid w:val="003F485E"/>
    <w:rsid w:val="003F4B82"/>
    <w:rsid w:val="003F6093"/>
    <w:rsid w:val="004016C1"/>
    <w:rsid w:val="00401DAD"/>
    <w:rsid w:val="00402695"/>
    <w:rsid w:val="00402F4D"/>
    <w:rsid w:val="00404AEE"/>
    <w:rsid w:val="00406D66"/>
    <w:rsid w:val="0040742D"/>
    <w:rsid w:val="00407EA7"/>
    <w:rsid w:val="00407EC3"/>
    <w:rsid w:val="004117A1"/>
    <w:rsid w:val="004118E7"/>
    <w:rsid w:val="00412F3D"/>
    <w:rsid w:val="00413B1D"/>
    <w:rsid w:val="00415042"/>
    <w:rsid w:val="00415FCA"/>
    <w:rsid w:val="00421042"/>
    <w:rsid w:val="00421486"/>
    <w:rsid w:val="00421F08"/>
    <w:rsid w:val="004228AA"/>
    <w:rsid w:val="00423F5C"/>
    <w:rsid w:val="004242AD"/>
    <w:rsid w:val="00425730"/>
    <w:rsid w:val="004276BA"/>
    <w:rsid w:val="0043016F"/>
    <w:rsid w:val="00430890"/>
    <w:rsid w:val="00431CC7"/>
    <w:rsid w:val="00432465"/>
    <w:rsid w:val="00432C34"/>
    <w:rsid w:val="0043434D"/>
    <w:rsid w:val="00434572"/>
    <w:rsid w:val="00434DE3"/>
    <w:rsid w:val="0043684E"/>
    <w:rsid w:val="004400A4"/>
    <w:rsid w:val="004408DF"/>
    <w:rsid w:val="00441603"/>
    <w:rsid w:val="004416FC"/>
    <w:rsid w:val="00443B91"/>
    <w:rsid w:val="00443FE9"/>
    <w:rsid w:val="004444C7"/>
    <w:rsid w:val="00444698"/>
    <w:rsid w:val="00445664"/>
    <w:rsid w:val="00445DA1"/>
    <w:rsid w:val="00447993"/>
    <w:rsid w:val="00452BA4"/>
    <w:rsid w:val="00453143"/>
    <w:rsid w:val="004535AF"/>
    <w:rsid w:val="00454A47"/>
    <w:rsid w:val="00460B3F"/>
    <w:rsid w:val="00460EE2"/>
    <w:rsid w:val="00461233"/>
    <w:rsid w:val="00461B65"/>
    <w:rsid w:val="00465350"/>
    <w:rsid w:val="00466396"/>
    <w:rsid w:val="004663A6"/>
    <w:rsid w:val="004664EF"/>
    <w:rsid w:val="004674C4"/>
    <w:rsid w:val="00467ACD"/>
    <w:rsid w:val="00467D69"/>
    <w:rsid w:val="004702F1"/>
    <w:rsid w:val="00470AF9"/>
    <w:rsid w:val="00471A73"/>
    <w:rsid w:val="004742B7"/>
    <w:rsid w:val="004749E8"/>
    <w:rsid w:val="00477B8D"/>
    <w:rsid w:val="00477FEC"/>
    <w:rsid w:val="00482C59"/>
    <w:rsid w:val="00483F1C"/>
    <w:rsid w:val="00484304"/>
    <w:rsid w:val="004871E9"/>
    <w:rsid w:val="00490C30"/>
    <w:rsid w:val="00494CA9"/>
    <w:rsid w:val="00495620"/>
    <w:rsid w:val="00495D5B"/>
    <w:rsid w:val="0049601D"/>
    <w:rsid w:val="004975F8"/>
    <w:rsid w:val="004A02EB"/>
    <w:rsid w:val="004A09A2"/>
    <w:rsid w:val="004A1F52"/>
    <w:rsid w:val="004A40C3"/>
    <w:rsid w:val="004A4A3E"/>
    <w:rsid w:val="004A5985"/>
    <w:rsid w:val="004A6790"/>
    <w:rsid w:val="004B23DA"/>
    <w:rsid w:val="004B26B0"/>
    <w:rsid w:val="004B2F02"/>
    <w:rsid w:val="004B4AA9"/>
    <w:rsid w:val="004C035A"/>
    <w:rsid w:val="004C0D68"/>
    <w:rsid w:val="004C1C7C"/>
    <w:rsid w:val="004C2A9B"/>
    <w:rsid w:val="004C3B83"/>
    <w:rsid w:val="004C3F27"/>
    <w:rsid w:val="004C4085"/>
    <w:rsid w:val="004C4182"/>
    <w:rsid w:val="004C4FD6"/>
    <w:rsid w:val="004C60BC"/>
    <w:rsid w:val="004C7775"/>
    <w:rsid w:val="004C7F79"/>
    <w:rsid w:val="004D004C"/>
    <w:rsid w:val="004D27A9"/>
    <w:rsid w:val="004D378F"/>
    <w:rsid w:val="004D4D3B"/>
    <w:rsid w:val="004D5984"/>
    <w:rsid w:val="004D71C7"/>
    <w:rsid w:val="004D7AAA"/>
    <w:rsid w:val="004E1476"/>
    <w:rsid w:val="004E1833"/>
    <w:rsid w:val="004E4E5C"/>
    <w:rsid w:val="004E762F"/>
    <w:rsid w:val="004F0F06"/>
    <w:rsid w:val="004F1C16"/>
    <w:rsid w:val="004F20EA"/>
    <w:rsid w:val="004F2B44"/>
    <w:rsid w:val="004F41AE"/>
    <w:rsid w:val="004F787A"/>
    <w:rsid w:val="004F7B2C"/>
    <w:rsid w:val="0050085F"/>
    <w:rsid w:val="00501E99"/>
    <w:rsid w:val="00503C4E"/>
    <w:rsid w:val="00504E30"/>
    <w:rsid w:val="00506E18"/>
    <w:rsid w:val="005073A3"/>
    <w:rsid w:val="00510678"/>
    <w:rsid w:val="005108EF"/>
    <w:rsid w:val="00511EE9"/>
    <w:rsid w:val="00512C64"/>
    <w:rsid w:val="005130E1"/>
    <w:rsid w:val="005137E2"/>
    <w:rsid w:val="0051457F"/>
    <w:rsid w:val="005175FE"/>
    <w:rsid w:val="00517A81"/>
    <w:rsid w:val="00517F4D"/>
    <w:rsid w:val="00517FF2"/>
    <w:rsid w:val="0052070B"/>
    <w:rsid w:val="005213C1"/>
    <w:rsid w:val="00523F86"/>
    <w:rsid w:val="0052547A"/>
    <w:rsid w:val="0052547E"/>
    <w:rsid w:val="00525BF1"/>
    <w:rsid w:val="00527406"/>
    <w:rsid w:val="00527E61"/>
    <w:rsid w:val="00530CC5"/>
    <w:rsid w:val="00531DD8"/>
    <w:rsid w:val="005335E6"/>
    <w:rsid w:val="005336BD"/>
    <w:rsid w:val="00534659"/>
    <w:rsid w:val="00534FED"/>
    <w:rsid w:val="00535EA0"/>
    <w:rsid w:val="005365AF"/>
    <w:rsid w:val="0053734B"/>
    <w:rsid w:val="005374AB"/>
    <w:rsid w:val="005420D8"/>
    <w:rsid w:val="0054274E"/>
    <w:rsid w:val="005430A1"/>
    <w:rsid w:val="005430D5"/>
    <w:rsid w:val="005437FD"/>
    <w:rsid w:val="00545251"/>
    <w:rsid w:val="005452DE"/>
    <w:rsid w:val="00545DDF"/>
    <w:rsid w:val="00546DC2"/>
    <w:rsid w:val="005475E5"/>
    <w:rsid w:val="00551442"/>
    <w:rsid w:val="00552902"/>
    <w:rsid w:val="00553837"/>
    <w:rsid w:val="00560EAA"/>
    <w:rsid w:val="00560EBF"/>
    <w:rsid w:val="00561134"/>
    <w:rsid w:val="005612EF"/>
    <w:rsid w:val="00563F81"/>
    <w:rsid w:val="005640EB"/>
    <w:rsid w:val="0056434B"/>
    <w:rsid w:val="00564666"/>
    <w:rsid w:val="00564A89"/>
    <w:rsid w:val="00564C89"/>
    <w:rsid w:val="00564DA2"/>
    <w:rsid w:val="005650EA"/>
    <w:rsid w:val="005659DA"/>
    <w:rsid w:val="00565B67"/>
    <w:rsid w:val="00565E75"/>
    <w:rsid w:val="0056649D"/>
    <w:rsid w:val="00570E3F"/>
    <w:rsid w:val="0057142B"/>
    <w:rsid w:val="00572B26"/>
    <w:rsid w:val="005737F7"/>
    <w:rsid w:val="00573EA0"/>
    <w:rsid w:val="00574A25"/>
    <w:rsid w:val="00575798"/>
    <w:rsid w:val="0057741A"/>
    <w:rsid w:val="005776AD"/>
    <w:rsid w:val="00577D26"/>
    <w:rsid w:val="00580733"/>
    <w:rsid w:val="00582009"/>
    <w:rsid w:val="0058335F"/>
    <w:rsid w:val="00583CB3"/>
    <w:rsid w:val="005856B7"/>
    <w:rsid w:val="005875C7"/>
    <w:rsid w:val="00587896"/>
    <w:rsid w:val="005934EE"/>
    <w:rsid w:val="00593EC5"/>
    <w:rsid w:val="005A24AA"/>
    <w:rsid w:val="005A3281"/>
    <w:rsid w:val="005A4383"/>
    <w:rsid w:val="005A5E70"/>
    <w:rsid w:val="005B0411"/>
    <w:rsid w:val="005B109F"/>
    <w:rsid w:val="005B7325"/>
    <w:rsid w:val="005C0555"/>
    <w:rsid w:val="005C23A9"/>
    <w:rsid w:val="005C2A44"/>
    <w:rsid w:val="005C3EC2"/>
    <w:rsid w:val="005C68E4"/>
    <w:rsid w:val="005C749D"/>
    <w:rsid w:val="005C79CB"/>
    <w:rsid w:val="005D0916"/>
    <w:rsid w:val="005D12C3"/>
    <w:rsid w:val="005D1ACF"/>
    <w:rsid w:val="005D238E"/>
    <w:rsid w:val="005D23BF"/>
    <w:rsid w:val="005D24CD"/>
    <w:rsid w:val="005D2D30"/>
    <w:rsid w:val="005D3BDB"/>
    <w:rsid w:val="005D3E17"/>
    <w:rsid w:val="005E1AC5"/>
    <w:rsid w:val="005E2AA6"/>
    <w:rsid w:val="005E3618"/>
    <w:rsid w:val="005E4626"/>
    <w:rsid w:val="005E591F"/>
    <w:rsid w:val="005E67E9"/>
    <w:rsid w:val="005E6D9A"/>
    <w:rsid w:val="005F0610"/>
    <w:rsid w:val="005F07A2"/>
    <w:rsid w:val="005F1F47"/>
    <w:rsid w:val="005F394F"/>
    <w:rsid w:val="005F3B40"/>
    <w:rsid w:val="005F45E0"/>
    <w:rsid w:val="005F4FD5"/>
    <w:rsid w:val="005F635D"/>
    <w:rsid w:val="005F7704"/>
    <w:rsid w:val="005F7B6E"/>
    <w:rsid w:val="00600D9E"/>
    <w:rsid w:val="00603012"/>
    <w:rsid w:val="0060357A"/>
    <w:rsid w:val="006050AF"/>
    <w:rsid w:val="00606BF5"/>
    <w:rsid w:val="00607BC8"/>
    <w:rsid w:val="00610006"/>
    <w:rsid w:val="006105DA"/>
    <w:rsid w:val="00610AEC"/>
    <w:rsid w:val="00610FD1"/>
    <w:rsid w:val="00612214"/>
    <w:rsid w:val="0061334A"/>
    <w:rsid w:val="006138D7"/>
    <w:rsid w:val="006139E3"/>
    <w:rsid w:val="00615060"/>
    <w:rsid w:val="00615DAE"/>
    <w:rsid w:val="006163EE"/>
    <w:rsid w:val="006167D7"/>
    <w:rsid w:val="00620F63"/>
    <w:rsid w:val="00622D10"/>
    <w:rsid w:val="00622E7E"/>
    <w:rsid w:val="00625898"/>
    <w:rsid w:val="00630303"/>
    <w:rsid w:val="00630D7A"/>
    <w:rsid w:val="00631E8F"/>
    <w:rsid w:val="00633203"/>
    <w:rsid w:val="00634981"/>
    <w:rsid w:val="00635B13"/>
    <w:rsid w:val="00635FBD"/>
    <w:rsid w:val="00640D61"/>
    <w:rsid w:val="00641F81"/>
    <w:rsid w:val="006422E7"/>
    <w:rsid w:val="00642913"/>
    <w:rsid w:val="00642CC3"/>
    <w:rsid w:val="00643AE6"/>
    <w:rsid w:val="00644220"/>
    <w:rsid w:val="00644B61"/>
    <w:rsid w:val="0064674B"/>
    <w:rsid w:val="0065006C"/>
    <w:rsid w:val="00651421"/>
    <w:rsid w:val="00651AF4"/>
    <w:rsid w:val="00652E11"/>
    <w:rsid w:val="00653A31"/>
    <w:rsid w:val="00654ACD"/>
    <w:rsid w:val="00661F68"/>
    <w:rsid w:val="0066226F"/>
    <w:rsid w:val="00662E81"/>
    <w:rsid w:val="0066312A"/>
    <w:rsid w:val="006647D5"/>
    <w:rsid w:val="00665635"/>
    <w:rsid w:val="0066633B"/>
    <w:rsid w:val="00666730"/>
    <w:rsid w:val="00666E77"/>
    <w:rsid w:val="00667700"/>
    <w:rsid w:val="006720D2"/>
    <w:rsid w:val="00673C43"/>
    <w:rsid w:val="0067698D"/>
    <w:rsid w:val="006824AD"/>
    <w:rsid w:val="00683045"/>
    <w:rsid w:val="00683CD1"/>
    <w:rsid w:val="00684879"/>
    <w:rsid w:val="006853B4"/>
    <w:rsid w:val="0068751C"/>
    <w:rsid w:val="00690229"/>
    <w:rsid w:val="006911C5"/>
    <w:rsid w:val="006940D9"/>
    <w:rsid w:val="00696F28"/>
    <w:rsid w:val="00697731"/>
    <w:rsid w:val="006A1063"/>
    <w:rsid w:val="006A39E7"/>
    <w:rsid w:val="006A5ABD"/>
    <w:rsid w:val="006A646B"/>
    <w:rsid w:val="006A676D"/>
    <w:rsid w:val="006B1836"/>
    <w:rsid w:val="006B1985"/>
    <w:rsid w:val="006B4C36"/>
    <w:rsid w:val="006B5610"/>
    <w:rsid w:val="006B56C7"/>
    <w:rsid w:val="006B56D1"/>
    <w:rsid w:val="006B794A"/>
    <w:rsid w:val="006C068F"/>
    <w:rsid w:val="006C0DAC"/>
    <w:rsid w:val="006C1342"/>
    <w:rsid w:val="006C18C6"/>
    <w:rsid w:val="006C2807"/>
    <w:rsid w:val="006C3A63"/>
    <w:rsid w:val="006C61CC"/>
    <w:rsid w:val="006C7AE7"/>
    <w:rsid w:val="006C7E95"/>
    <w:rsid w:val="006D1E96"/>
    <w:rsid w:val="006D21C0"/>
    <w:rsid w:val="006D2CF3"/>
    <w:rsid w:val="006D4651"/>
    <w:rsid w:val="006D4B23"/>
    <w:rsid w:val="006D5D09"/>
    <w:rsid w:val="006D625E"/>
    <w:rsid w:val="006D6E9C"/>
    <w:rsid w:val="006E02ED"/>
    <w:rsid w:val="006E0A63"/>
    <w:rsid w:val="006E256F"/>
    <w:rsid w:val="006E423E"/>
    <w:rsid w:val="006E4539"/>
    <w:rsid w:val="006E50AB"/>
    <w:rsid w:val="006E7969"/>
    <w:rsid w:val="006F0D7E"/>
    <w:rsid w:val="006F1851"/>
    <w:rsid w:val="006F21AF"/>
    <w:rsid w:val="006F2670"/>
    <w:rsid w:val="006F5706"/>
    <w:rsid w:val="006F6015"/>
    <w:rsid w:val="006F6EC6"/>
    <w:rsid w:val="006F7886"/>
    <w:rsid w:val="007003F0"/>
    <w:rsid w:val="0070187B"/>
    <w:rsid w:val="00702179"/>
    <w:rsid w:val="00706F16"/>
    <w:rsid w:val="007075FA"/>
    <w:rsid w:val="00710621"/>
    <w:rsid w:val="00710A33"/>
    <w:rsid w:val="00712D1B"/>
    <w:rsid w:val="0072036B"/>
    <w:rsid w:val="00724E98"/>
    <w:rsid w:val="0072557B"/>
    <w:rsid w:val="00726002"/>
    <w:rsid w:val="007269D3"/>
    <w:rsid w:val="0072729A"/>
    <w:rsid w:val="00730B73"/>
    <w:rsid w:val="0073252A"/>
    <w:rsid w:val="007337D9"/>
    <w:rsid w:val="00733E7C"/>
    <w:rsid w:val="00734C81"/>
    <w:rsid w:val="00734C89"/>
    <w:rsid w:val="007353B4"/>
    <w:rsid w:val="0073604A"/>
    <w:rsid w:val="00736232"/>
    <w:rsid w:val="00736E2E"/>
    <w:rsid w:val="00741695"/>
    <w:rsid w:val="00743D8C"/>
    <w:rsid w:val="007441EB"/>
    <w:rsid w:val="007448EC"/>
    <w:rsid w:val="007449A4"/>
    <w:rsid w:val="007464A5"/>
    <w:rsid w:val="00753D06"/>
    <w:rsid w:val="00756080"/>
    <w:rsid w:val="007608D8"/>
    <w:rsid w:val="00761B88"/>
    <w:rsid w:val="00762E48"/>
    <w:rsid w:val="007641AF"/>
    <w:rsid w:val="00764740"/>
    <w:rsid w:val="00764B4D"/>
    <w:rsid w:val="0076580C"/>
    <w:rsid w:val="00773447"/>
    <w:rsid w:val="00775C83"/>
    <w:rsid w:val="007766B1"/>
    <w:rsid w:val="007768FC"/>
    <w:rsid w:val="00776AD3"/>
    <w:rsid w:val="00777254"/>
    <w:rsid w:val="007812DC"/>
    <w:rsid w:val="007813EC"/>
    <w:rsid w:val="00781777"/>
    <w:rsid w:val="007820E5"/>
    <w:rsid w:val="00782707"/>
    <w:rsid w:val="00784D4F"/>
    <w:rsid w:val="00785303"/>
    <w:rsid w:val="007907C4"/>
    <w:rsid w:val="00791D98"/>
    <w:rsid w:val="00793100"/>
    <w:rsid w:val="00793648"/>
    <w:rsid w:val="0079526C"/>
    <w:rsid w:val="007964AA"/>
    <w:rsid w:val="00796A20"/>
    <w:rsid w:val="007976DA"/>
    <w:rsid w:val="007A095C"/>
    <w:rsid w:val="007A181C"/>
    <w:rsid w:val="007A3818"/>
    <w:rsid w:val="007A46F5"/>
    <w:rsid w:val="007A4F78"/>
    <w:rsid w:val="007A75A7"/>
    <w:rsid w:val="007B1C07"/>
    <w:rsid w:val="007B302E"/>
    <w:rsid w:val="007B4829"/>
    <w:rsid w:val="007B4FB3"/>
    <w:rsid w:val="007B5AD9"/>
    <w:rsid w:val="007C022C"/>
    <w:rsid w:val="007C20C3"/>
    <w:rsid w:val="007C2675"/>
    <w:rsid w:val="007C368D"/>
    <w:rsid w:val="007C3EDA"/>
    <w:rsid w:val="007C61C1"/>
    <w:rsid w:val="007C634D"/>
    <w:rsid w:val="007C7767"/>
    <w:rsid w:val="007D2114"/>
    <w:rsid w:val="007D3E17"/>
    <w:rsid w:val="007D6141"/>
    <w:rsid w:val="007D7653"/>
    <w:rsid w:val="007E1E6D"/>
    <w:rsid w:val="007E2401"/>
    <w:rsid w:val="007E2F50"/>
    <w:rsid w:val="007E462C"/>
    <w:rsid w:val="007E54CD"/>
    <w:rsid w:val="007E64DA"/>
    <w:rsid w:val="007E6E47"/>
    <w:rsid w:val="007E6E88"/>
    <w:rsid w:val="007F191C"/>
    <w:rsid w:val="007F1AF8"/>
    <w:rsid w:val="007F4F4D"/>
    <w:rsid w:val="007F6ACA"/>
    <w:rsid w:val="00802A2E"/>
    <w:rsid w:val="008034C2"/>
    <w:rsid w:val="008039DE"/>
    <w:rsid w:val="008048BA"/>
    <w:rsid w:val="008053AB"/>
    <w:rsid w:val="008117D3"/>
    <w:rsid w:val="008118E5"/>
    <w:rsid w:val="0081470E"/>
    <w:rsid w:val="008158CD"/>
    <w:rsid w:val="00815D88"/>
    <w:rsid w:val="00816635"/>
    <w:rsid w:val="0081675E"/>
    <w:rsid w:val="00820749"/>
    <w:rsid w:val="00821C73"/>
    <w:rsid w:val="00824A41"/>
    <w:rsid w:val="00824AC2"/>
    <w:rsid w:val="00827877"/>
    <w:rsid w:val="0083078A"/>
    <w:rsid w:val="00833B6A"/>
    <w:rsid w:val="00833D6E"/>
    <w:rsid w:val="00834EBA"/>
    <w:rsid w:val="008362A6"/>
    <w:rsid w:val="008406FC"/>
    <w:rsid w:val="0084154D"/>
    <w:rsid w:val="00841AD2"/>
    <w:rsid w:val="00842453"/>
    <w:rsid w:val="00842783"/>
    <w:rsid w:val="008428D5"/>
    <w:rsid w:val="00843C9D"/>
    <w:rsid w:val="008440D9"/>
    <w:rsid w:val="0084511A"/>
    <w:rsid w:val="00846A76"/>
    <w:rsid w:val="00846D75"/>
    <w:rsid w:val="00846DFF"/>
    <w:rsid w:val="00846F5E"/>
    <w:rsid w:val="00847D47"/>
    <w:rsid w:val="00850020"/>
    <w:rsid w:val="00851061"/>
    <w:rsid w:val="00851185"/>
    <w:rsid w:val="00851C2D"/>
    <w:rsid w:val="00851DCF"/>
    <w:rsid w:val="00852AA5"/>
    <w:rsid w:val="00853F4C"/>
    <w:rsid w:val="008546EA"/>
    <w:rsid w:val="00854AFC"/>
    <w:rsid w:val="00855540"/>
    <w:rsid w:val="00857571"/>
    <w:rsid w:val="00857E99"/>
    <w:rsid w:val="00857FD2"/>
    <w:rsid w:val="00860A08"/>
    <w:rsid w:val="00862C5C"/>
    <w:rsid w:val="00864577"/>
    <w:rsid w:val="008662D8"/>
    <w:rsid w:val="00870087"/>
    <w:rsid w:val="0087223E"/>
    <w:rsid w:val="008728B4"/>
    <w:rsid w:val="00874046"/>
    <w:rsid w:val="008745A2"/>
    <w:rsid w:val="00876444"/>
    <w:rsid w:val="008767AC"/>
    <w:rsid w:val="00877DEA"/>
    <w:rsid w:val="00877F5A"/>
    <w:rsid w:val="00880993"/>
    <w:rsid w:val="008810E9"/>
    <w:rsid w:val="008818F2"/>
    <w:rsid w:val="00882AA5"/>
    <w:rsid w:val="008837C1"/>
    <w:rsid w:val="00883F20"/>
    <w:rsid w:val="008844D8"/>
    <w:rsid w:val="00885D1E"/>
    <w:rsid w:val="00886945"/>
    <w:rsid w:val="008877F8"/>
    <w:rsid w:val="00890253"/>
    <w:rsid w:val="0089145A"/>
    <w:rsid w:val="008915A6"/>
    <w:rsid w:val="0089173A"/>
    <w:rsid w:val="00891879"/>
    <w:rsid w:val="00893C1C"/>
    <w:rsid w:val="00894D58"/>
    <w:rsid w:val="008A0239"/>
    <w:rsid w:val="008A0771"/>
    <w:rsid w:val="008A0997"/>
    <w:rsid w:val="008A1179"/>
    <w:rsid w:val="008A1BE6"/>
    <w:rsid w:val="008A1DD1"/>
    <w:rsid w:val="008A3658"/>
    <w:rsid w:val="008A3AED"/>
    <w:rsid w:val="008A4F6F"/>
    <w:rsid w:val="008A6D7A"/>
    <w:rsid w:val="008A7379"/>
    <w:rsid w:val="008B00EE"/>
    <w:rsid w:val="008B0ED0"/>
    <w:rsid w:val="008B2C05"/>
    <w:rsid w:val="008B30A4"/>
    <w:rsid w:val="008B4365"/>
    <w:rsid w:val="008B646D"/>
    <w:rsid w:val="008C2D29"/>
    <w:rsid w:val="008C2DC1"/>
    <w:rsid w:val="008C491C"/>
    <w:rsid w:val="008C4FCC"/>
    <w:rsid w:val="008C6614"/>
    <w:rsid w:val="008D33F3"/>
    <w:rsid w:val="008D340E"/>
    <w:rsid w:val="008D5DBF"/>
    <w:rsid w:val="008D6DB3"/>
    <w:rsid w:val="008D6F13"/>
    <w:rsid w:val="008D7A2A"/>
    <w:rsid w:val="008E05BF"/>
    <w:rsid w:val="008E1C86"/>
    <w:rsid w:val="008E2B3A"/>
    <w:rsid w:val="008E2EC4"/>
    <w:rsid w:val="008E30C0"/>
    <w:rsid w:val="008E3704"/>
    <w:rsid w:val="008E3A03"/>
    <w:rsid w:val="008E4093"/>
    <w:rsid w:val="008E4300"/>
    <w:rsid w:val="008E43C0"/>
    <w:rsid w:val="008E62E8"/>
    <w:rsid w:val="008F07C7"/>
    <w:rsid w:val="008F0B51"/>
    <w:rsid w:val="008F464F"/>
    <w:rsid w:val="008F524F"/>
    <w:rsid w:val="008F7543"/>
    <w:rsid w:val="009021F4"/>
    <w:rsid w:val="00903816"/>
    <w:rsid w:val="00903A37"/>
    <w:rsid w:val="00905BAC"/>
    <w:rsid w:val="00906F8F"/>
    <w:rsid w:val="00910EC1"/>
    <w:rsid w:val="00911E1E"/>
    <w:rsid w:val="00913EC0"/>
    <w:rsid w:val="00914BA1"/>
    <w:rsid w:val="00917A0F"/>
    <w:rsid w:val="00917C60"/>
    <w:rsid w:val="00917C80"/>
    <w:rsid w:val="00922F32"/>
    <w:rsid w:val="00924669"/>
    <w:rsid w:val="00924C88"/>
    <w:rsid w:val="009251C0"/>
    <w:rsid w:val="00927E88"/>
    <w:rsid w:val="00931912"/>
    <w:rsid w:val="00931E00"/>
    <w:rsid w:val="00935C74"/>
    <w:rsid w:val="0094075E"/>
    <w:rsid w:val="00941746"/>
    <w:rsid w:val="00941A5B"/>
    <w:rsid w:val="00941F9C"/>
    <w:rsid w:val="009453A0"/>
    <w:rsid w:val="0094659E"/>
    <w:rsid w:val="00946647"/>
    <w:rsid w:val="00947530"/>
    <w:rsid w:val="00947DEE"/>
    <w:rsid w:val="00950941"/>
    <w:rsid w:val="00950F34"/>
    <w:rsid w:val="0095213C"/>
    <w:rsid w:val="00952B28"/>
    <w:rsid w:val="00953257"/>
    <w:rsid w:val="00954E6D"/>
    <w:rsid w:val="009552D6"/>
    <w:rsid w:val="00955BA2"/>
    <w:rsid w:val="00955EE2"/>
    <w:rsid w:val="009566A1"/>
    <w:rsid w:val="00957485"/>
    <w:rsid w:val="009574ED"/>
    <w:rsid w:val="0096062C"/>
    <w:rsid w:val="0096111C"/>
    <w:rsid w:val="00961B48"/>
    <w:rsid w:val="00962EB9"/>
    <w:rsid w:val="00966370"/>
    <w:rsid w:val="00966CAF"/>
    <w:rsid w:val="00966F1E"/>
    <w:rsid w:val="00967330"/>
    <w:rsid w:val="009674E3"/>
    <w:rsid w:val="009678D2"/>
    <w:rsid w:val="00970D87"/>
    <w:rsid w:val="00974359"/>
    <w:rsid w:val="00975E29"/>
    <w:rsid w:val="00977A4B"/>
    <w:rsid w:val="009802A3"/>
    <w:rsid w:val="00980D3D"/>
    <w:rsid w:val="00980DE4"/>
    <w:rsid w:val="009815B3"/>
    <w:rsid w:val="00982212"/>
    <w:rsid w:val="00983C64"/>
    <w:rsid w:val="00986C75"/>
    <w:rsid w:val="00993F01"/>
    <w:rsid w:val="00994DBF"/>
    <w:rsid w:val="00997B78"/>
    <w:rsid w:val="009A0CAA"/>
    <w:rsid w:val="009A1954"/>
    <w:rsid w:val="009A317C"/>
    <w:rsid w:val="009A4635"/>
    <w:rsid w:val="009A524D"/>
    <w:rsid w:val="009A5442"/>
    <w:rsid w:val="009A5731"/>
    <w:rsid w:val="009A60CB"/>
    <w:rsid w:val="009A62BD"/>
    <w:rsid w:val="009A7F94"/>
    <w:rsid w:val="009B13E5"/>
    <w:rsid w:val="009B1EFE"/>
    <w:rsid w:val="009B21FC"/>
    <w:rsid w:val="009B2A13"/>
    <w:rsid w:val="009B2D51"/>
    <w:rsid w:val="009B4AD2"/>
    <w:rsid w:val="009B6535"/>
    <w:rsid w:val="009B65E5"/>
    <w:rsid w:val="009C01FC"/>
    <w:rsid w:val="009C1536"/>
    <w:rsid w:val="009C2BCD"/>
    <w:rsid w:val="009C2D22"/>
    <w:rsid w:val="009C4045"/>
    <w:rsid w:val="009C4D22"/>
    <w:rsid w:val="009C72D9"/>
    <w:rsid w:val="009D0821"/>
    <w:rsid w:val="009D2A53"/>
    <w:rsid w:val="009D3796"/>
    <w:rsid w:val="009D4064"/>
    <w:rsid w:val="009D4D53"/>
    <w:rsid w:val="009D6621"/>
    <w:rsid w:val="009E0AE7"/>
    <w:rsid w:val="009E231D"/>
    <w:rsid w:val="009E23E6"/>
    <w:rsid w:val="009E249B"/>
    <w:rsid w:val="009E2DEF"/>
    <w:rsid w:val="009E2EB0"/>
    <w:rsid w:val="009E4AE8"/>
    <w:rsid w:val="009E4FFE"/>
    <w:rsid w:val="009E616C"/>
    <w:rsid w:val="009E63C9"/>
    <w:rsid w:val="009F15E3"/>
    <w:rsid w:val="009F2F94"/>
    <w:rsid w:val="009F30AA"/>
    <w:rsid w:val="009F3909"/>
    <w:rsid w:val="009F5363"/>
    <w:rsid w:val="00A034E7"/>
    <w:rsid w:val="00A05094"/>
    <w:rsid w:val="00A05234"/>
    <w:rsid w:val="00A11A74"/>
    <w:rsid w:val="00A12D6D"/>
    <w:rsid w:val="00A13262"/>
    <w:rsid w:val="00A1451E"/>
    <w:rsid w:val="00A1462E"/>
    <w:rsid w:val="00A147FD"/>
    <w:rsid w:val="00A15061"/>
    <w:rsid w:val="00A1602A"/>
    <w:rsid w:val="00A165BD"/>
    <w:rsid w:val="00A20FCE"/>
    <w:rsid w:val="00A23574"/>
    <w:rsid w:val="00A23CDF"/>
    <w:rsid w:val="00A241A4"/>
    <w:rsid w:val="00A25C4B"/>
    <w:rsid w:val="00A261A7"/>
    <w:rsid w:val="00A266BC"/>
    <w:rsid w:val="00A30121"/>
    <w:rsid w:val="00A302A5"/>
    <w:rsid w:val="00A3092F"/>
    <w:rsid w:val="00A30F43"/>
    <w:rsid w:val="00A31897"/>
    <w:rsid w:val="00A32093"/>
    <w:rsid w:val="00A32CD9"/>
    <w:rsid w:val="00A32FDC"/>
    <w:rsid w:val="00A42C71"/>
    <w:rsid w:val="00A4338E"/>
    <w:rsid w:val="00A46091"/>
    <w:rsid w:val="00A50086"/>
    <w:rsid w:val="00A504C6"/>
    <w:rsid w:val="00A52349"/>
    <w:rsid w:val="00A523B1"/>
    <w:rsid w:val="00A54937"/>
    <w:rsid w:val="00A55E35"/>
    <w:rsid w:val="00A56C42"/>
    <w:rsid w:val="00A579E7"/>
    <w:rsid w:val="00A606A3"/>
    <w:rsid w:val="00A60A41"/>
    <w:rsid w:val="00A60BCD"/>
    <w:rsid w:val="00A61D19"/>
    <w:rsid w:val="00A64DDC"/>
    <w:rsid w:val="00A653C5"/>
    <w:rsid w:val="00A71442"/>
    <w:rsid w:val="00A71B69"/>
    <w:rsid w:val="00A72123"/>
    <w:rsid w:val="00A729AD"/>
    <w:rsid w:val="00A72FEF"/>
    <w:rsid w:val="00A7495B"/>
    <w:rsid w:val="00A74A35"/>
    <w:rsid w:val="00A834E0"/>
    <w:rsid w:val="00A83D24"/>
    <w:rsid w:val="00A84084"/>
    <w:rsid w:val="00A8520C"/>
    <w:rsid w:val="00A86581"/>
    <w:rsid w:val="00A86716"/>
    <w:rsid w:val="00A905DE"/>
    <w:rsid w:val="00A910CD"/>
    <w:rsid w:val="00A91F9A"/>
    <w:rsid w:val="00A93EE0"/>
    <w:rsid w:val="00A96010"/>
    <w:rsid w:val="00A9622C"/>
    <w:rsid w:val="00A9673F"/>
    <w:rsid w:val="00AA31A3"/>
    <w:rsid w:val="00AA3BF7"/>
    <w:rsid w:val="00AA4238"/>
    <w:rsid w:val="00AA5E4B"/>
    <w:rsid w:val="00AB0049"/>
    <w:rsid w:val="00AB0EA4"/>
    <w:rsid w:val="00AB1229"/>
    <w:rsid w:val="00AB147C"/>
    <w:rsid w:val="00AB2FE2"/>
    <w:rsid w:val="00AB4FF9"/>
    <w:rsid w:val="00AC205D"/>
    <w:rsid w:val="00AC309E"/>
    <w:rsid w:val="00AC437C"/>
    <w:rsid w:val="00AC5561"/>
    <w:rsid w:val="00AC660C"/>
    <w:rsid w:val="00AC7CEA"/>
    <w:rsid w:val="00AD082D"/>
    <w:rsid w:val="00AD270F"/>
    <w:rsid w:val="00AD2B63"/>
    <w:rsid w:val="00AD3F3D"/>
    <w:rsid w:val="00AD5A99"/>
    <w:rsid w:val="00AD5DC1"/>
    <w:rsid w:val="00AD5F1A"/>
    <w:rsid w:val="00AD6E41"/>
    <w:rsid w:val="00AD7908"/>
    <w:rsid w:val="00AD79B4"/>
    <w:rsid w:val="00AE0382"/>
    <w:rsid w:val="00AE04A1"/>
    <w:rsid w:val="00AE0AA4"/>
    <w:rsid w:val="00AE0E03"/>
    <w:rsid w:val="00AE1065"/>
    <w:rsid w:val="00AE15D5"/>
    <w:rsid w:val="00AE1B52"/>
    <w:rsid w:val="00AE21C6"/>
    <w:rsid w:val="00AE2533"/>
    <w:rsid w:val="00AE34D6"/>
    <w:rsid w:val="00AE3F93"/>
    <w:rsid w:val="00AE48D5"/>
    <w:rsid w:val="00AE5518"/>
    <w:rsid w:val="00AF3A79"/>
    <w:rsid w:val="00AF3DAE"/>
    <w:rsid w:val="00AF4407"/>
    <w:rsid w:val="00AF606C"/>
    <w:rsid w:val="00AF73F5"/>
    <w:rsid w:val="00AF7A6B"/>
    <w:rsid w:val="00AF7BA4"/>
    <w:rsid w:val="00B00624"/>
    <w:rsid w:val="00B00929"/>
    <w:rsid w:val="00B0129C"/>
    <w:rsid w:val="00B0142D"/>
    <w:rsid w:val="00B03D46"/>
    <w:rsid w:val="00B04D03"/>
    <w:rsid w:val="00B05CFD"/>
    <w:rsid w:val="00B06D04"/>
    <w:rsid w:val="00B13F34"/>
    <w:rsid w:val="00B14846"/>
    <w:rsid w:val="00B17236"/>
    <w:rsid w:val="00B20DA8"/>
    <w:rsid w:val="00B216F8"/>
    <w:rsid w:val="00B24384"/>
    <w:rsid w:val="00B253D0"/>
    <w:rsid w:val="00B25423"/>
    <w:rsid w:val="00B26908"/>
    <w:rsid w:val="00B26B2B"/>
    <w:rsid w:val="00B27DBE"/>
    <w:rsid w:val="00B30706"/>
    <w:rsid w:val="00B320D7"/>
    <w:rsid w:val="00B32CEA"/>
    <w:rsid w:val="00B335EC"/>
    <w:rsid w:val="00B33E57"/>
    <w:rsid w:val="00B3402B"/>
    <w:rsid w:val="00B34618"/>
    <w:rsid w:val="00B3497B"/>
    <w:rsid w:val="00B35943"/>
    <w:rsid w:val="00B36244"/>
    <w:rsid w:val="00B3743E"/>
    <w:rsid w:val="00B40FA7"/>
    <w:rsid w:val="00B41236"/>
    <w:rsid w:val="00B41810"/>
    <w:rsid w:val="00B41B2D"/>
    <w:rsid w:val="00B421FA"/>
    <w:rsid w:val="00B42FDF"/>
    <w:rsid w:val="00B444D8"/>
    <w:rsid w:val="00B44D13"/>
    <w:rsid w:val="00B46EC2"/>
    <w:rsid w:val="00B51E34"/>
    <w:rsid w:val="00B52FB9"/>
    <w:rsid w:val="00B538C0"/>
    <w:rsid w:val="00B57C89"/>
    <w:rsid w:val="00B6075B"/>
    <w:rsid w:val="00B636AE"/>
    <w:rsid w:val="00B64464"/>
    <w:rsid w:val="00B65F7E"/>
    <w:rsid w:val="00B66079"/>
    <w:rsid w:val="00B66928"/>
    <w:rsid w:val="00B66B53"/>
    <w:rsid w:val="00B71E0A"/>
    <w:rsid w:val="00B71FD3"/>
    <w:rsid w:val="00B77AC8"/>
    <w:rsid w:val="00B801AB"/>
    <w:rsid w:val="00B81021"/>
    <w:rsid w:val="00B81A95"/>
    <w:rsid w:val="00B81CD7"/>
    <w:rsid w:val="00B8397E"/>
    <w:rsid w:val="00B8445C"/>
    <w:rsid w:val="00B86F88"/>
    <w:rsid w:val="00B902CC"/>
    <w:rsid w:val="00B90C17"/>
    <w:rsid w:val="00B915F4"/>
    <w:rsid w:val="00B91882"/>
    <w:rsid w:val="00B91CEF"/>
    <w:rsid w:val="00B92FAC"/>
    <w:rsid w:val="00B937F3"/>
    <w:rsid w:val="00B95EC4"/>
    <w:rsid w:val="00B97550"/>
    <w:rsid w:val="00BA0070"/>
    <w:rsid w:val="00BA0447"/>
    <w:rsid w:val="00BA06FF"/>
    <w:rsid w:val="00BA0B8E"/>
    <w:rsid w:val="00BA1015"/>
    <w:rsid w:val="00BA149C"/>
    <w:rsid w:val="00BA192B"/>
    <w:rsid w:val="00BA3865"/>
    <w:rsid w:val="00BA5D0F"/>
    <w:rsid w:val="00BA6747"/>
    <w:rsid w:val="00BB0AE3"/>
    <w:rsid w:val="00BB1059"/>
    <w:rsid w:val="00BB1CFB"/>
    <w:rsid w:val="00BB359F"/>
    <w:rsid w:val="00BB7093"/>
    <w:rsid w:val="00BB78DF"/>
    <w:rsid w:val="00BC0448"/>
    <w:rsid w:val="00BC1873"/>
    <w:rsid w:val="00BC245C"/>
    <w:rsid w:val="00BC2C88"/>
    <w:rsid w:val="00BC30EE"/>
    <w:rsid w:val="00BC6B41"/>
    <w:rsid w:val="00BD2292"/>
    <w:rsid w:val="00BD29F7"/>
    <w:rsid w:val="00BD4727"/>
    <w:rsid w:val="00BD4A62"/>
    <w:rsid w:val="00BD5C81"/>
    <w:rsid w:val="00BD7DB1"/>
    <w:rsid w:val="00BE16BA"/>
    <w:rsid w:val="00BE2423"/>
    <w:rsid w:val="00BE3178"/>
    <w:rsid w:val="00BE4C18"/>
    <w:rsid w:val="00BE703D"/>
    <w:rsid w:val="00BE7146"/>
    <w:rsid w:val="00BE7829"/>
    <w:rsid w:val="00BF2475"/>
    <w:rsid w:val="00BF2992"/>
    <w:rsid w:val="00BF4CE3"/>
    <w:rsid w:val="00BF7613"/>
    <w:rsid w:val="00C02594"/>
    <w:rsid w:val="00C03E0F"/>
    <w:rsid w:val="00C0428C"/>
    <w:rsid w:val="00C05DAC"/>
    <w:rsid w:val="00C073FE"/>
    <w:rsid w:val="00C10114"/>
    <w:rsid w:val="00C115B4"/>
    <w:rsid w:val="00C145D9"/>
    <w:rsid w:val="00C15FCA"/>
    <w:rsid w:val="00C178E6"/>
    <w:rsid w:val="00C17B57"/>
    <w:rsid w:val="00C20DDD"/>
    <w:rsid w:val="00C2176B"/>
    <w:rsid w:val="00C22EA7"/>
    <w:rsid w:val="00C263F5"/>
    <w:rsid w:val="00C26630"/>
    <w:rsid w:val="00C271F3"/>
    <w:rsid w:val="00C279A4"/>
    <w:rsid w:val="00C30486"/>
    <w:rsid w:val="00C307E5"/>
    <w:rsid w:val="00C3111F"/>
    <w:rsid w:val="00C3167A"/>
    <w:rsid w:val="00C33525"/>
    <w:rsid w:val="00C33C62"/>
    <w:rsid w:val="00C349CB"/>
    <w:rsid w:val="00C36374"/>
    <w:rsid w:val="00C3667C"/>
    <w:rsid w:val="00C40076"/>
    <w:rsid w:val="00C4083F"/>
    <w:rsid w:val="00C41388"/>
    <w:rsid w:val="00C41A72"/>
    <w:rsid w:val="00C42852"/>
    <w:rsid w:val="00C43905"/>
    <w:rsid w:val="00C4406E"/>
    <w:rsid w:val="00C44FAB"/>
    <w:rsid w:val="00C47AEE"/>
    <w:rsid w:val="00C50C02"/>
    <w:rsid w:val="00C51F08"/>
    <w:rsid w:val="00C527C5"/>
    <w:rsid w:val="00C534F9"/>
    <w:rsid w:val="00C53D29"/>
    <w:rsid w:val="00C561C7"/>
    <w:rsid w:val="00C56326"/>
    <w:rsid w:val="00C576E2"/>
    <w:rsid w:val="00C57AAA"/>
    <w:rsid w:val="00C61365"/>
    <w:rsid w:val="00C61C3A"/>
    <w:rsid w:val="00C62C4E"/>
    <w:rsid w:val="00C63409"/>
    <w:rsid w:val="00C63965"/>
    <w:rsid w:val="00C64205"/>
    <w:rsid w:val="00C650AC"/>
    <w:rsid w:val="00C71469"/>
    <w:rsid w:val="00C723D4"/>
    <w:rsid w:val="00C72797"/>
    <w:rsid w:val="00C72A85"/>
    <w:rsid w:val="00C73717"/>
    <w:rsid w:val="00C74D8A"/>
    <w:rsid w:val="00C77897"/>
    <w:rsid w:val="00C82425"/>
    <w:rsid w:val="00C825C3"/>
    <w:rsid w:val="00C827DB"/>
    <w:rsid w:val="00C83120"/>
    <w:rsid w:val="00C83C00"/>
    <w:rsid w:val="00C844F0"/>
    <w:rsid w:val="00C84803"/>
    <w:rsid w:val="00C906E7"/>
    <w:rsid w:val="00C92963"/>
    <w:rsid w:val="00C93E29"/>
    <w:rsid w:val="00C9400A"/>
    <w:rsid w:val="00C944A2"/>
    <w:rsid w:val="00C95441"/>
    <w:rsid w:val="00C956D7"/>
    <w:rsid w:val="00C957C6"/>
    <w:rsid w:val="00C96680"/>
    <w:rsid w:val="00C96C21"/>
    <w:rsid w:val="00C97360"/>
    <w:rsid w:val="00C97464"/>
    <w:rsid w:val="00CA025F"/>
    <w:rsid w:val="00CA1560"/>
    <w:rsid w:val="00CA2FA2"/>
    <w:rsid w:val="00CA3648"/>
    <w:rsid w:val="00CA3A86"/>
    <w:rsid w:val="00CA4C13"/>
    <w:rsid w:val="00CA6DD7"/>
    <w:rsid w:val="00CB010E"/>
    <w:rsid w:val="00CB255A"/>
    <w:rsid w:val="00CB2E8B"/>
    <w:rsid w:val="00CB45D0"/>
    <w:rsid w:val="00CB5FCE"/>
    <w:rsid w:val="00CB6716"/>
    <w:rsid w:val="00CB7F0B"/>
    <w:rsid w:val="00CC0969"/>
    <w:rsid w:val="00CC2F60"/>
    <w:rsid w:val="00CC3212"/>
    <w:rsid w:val="00CC343F"/>
    <w:rsid w:val="00CC4402"/>
    <w:rsid w:val="00CC45DD"/>
    <w:rsid w:val="00CC4D54"/>
    <w:rsid w:val="00CC696B"/>
    <w:rsid w:val="00CD08D5"/>
    <w:rsid w:val="00CD0C27"/>
    <w:rsid w:val="00CD226E"/>
    <w:rsid w:val="00CD3A72"/>
    <w:rsid w:val="00CD53A6"/>
    <w:rsid w:val="00CD69B1"/>
    <w:rsid w:val="00CE3851"/>
    <w:rsid w:val="00CE5F06"/>
    <w:rsid w:val="00CE7D54"/>
    <w:rsid w:val="00CF013D"/>
    <w:rsid w:val="00CF0E29"/>
    <w:rsid w:val="00CF1F2D"/>
    <w:rsid w:val="00CF24B5"/>
    <w:rsid w:val="00CF3964"/>
    <w:rsid w:val="00CF4063"/>
    <w:rsid w:val="00CF4473"/>
    <w:rsid w:val="00CF64D0"/>
    <w:rsid w:val="00CF7282"/>
    <w:rsid w:val="00CF7333"/>
    <w:rsid w:val="00D02D2A"/>
    <w:rsid w:val="00D03291"/>
    <w:rsid w:val="00D03C1C"/>
    <w:rsid w:val="00D06588"/>
    <w:rsid w:val="00D07ACA"/>
    <w:rsid w:val="00D13777"/>
    <w:rsid w:val="00D1502A"/>
    <w:rsid w:val="00D16694"/>
    <w:rsid w:val="00D169D2"/>
    <w:rsid w:val="00D17BCF"/>
    <w:rsid w:val="00D203D3"/>
    <w:rsid w:val="00D23543"/>
    <w:rsid w:val="00D250D4"/>
    <w:rsid w:val="00D256F0"/>
    <w:rsid w:val="00D26E6E"/>
    <w:rsid w:val="00D26EB5"/>
    <w:rsid w:val="00D31443"/>
    <w:rsid w:val="00D31598"/>
    <w:rsid w:val="00D334DF"/>
    <w:rsid w:val="00D34878"/>
    <w:rsid w:val="00D35643"/>
    <w:rsid w:val="00D412F3"/>
    <w:rsid w:val="00D42AB7"/>
    <w:rsid w:val="00D44F2A"/>
    <w:rsid w:val="00D46CD3"/>
    <w:rsid w:val="00D47526"/>
    <w:rsid w:val="00D5119A"/>
    <w:rsid w:val="00D51A84"/>
    <w:rsid w:val="00D54924"/>
    <w:rsid w:val="00D55F4C"/>
    <w:rsid w:val="00D56958"/>
    <w:rsid w:val="00D56CB8"/>
    <w:rsid w:val="00D57671"/>
    <w:rsid w:val="00D57C74"/>
    <w:rsid w:val="00D60792"/>
    <w:rsid w:val="00D60CB9"/>
    <w:rsid w:val="00D649FB"/>
    <w:rsid w:val="00D64A98"/>
    <w:rsid w:val="00D654E6"/>
    <w:rsid w:val="00D6559C"/>
    <w:rsid w:val="00D65607"/>
    <w:rsid w:val="00D65E99"/>
    <w:rsid w:val="00D67036"/>
    <w:rsid w:val="00D670CC"/>
    <w:rsid w:val="00D720FE"/>
    <w:rsid w:val="00D72CCA"/>
    <w:rsid w:val="00D73561"/>
    <w:rsid w:val="00D75F75"/>
    <w:rsid w:val="00D769F7"/>
    <w:rsid w:val="00D77AB4"/>
    <w:rsid w:val="00D81F42"/>
    <w:rsid w:val="00D82110"/>
    <w:rsid w:val="00D822A4"/>
    <w:rsid w:val="00D83DB5"/>
    <w:rsid w:val="00D83E40"/>
    <w:rsid w:val="00D85716"/>
    <w:rsid w:val="00D8676C"/>
    <w:rsid w:val="00D86AAF"/>
    <w:rsid w:val="00D937A2"/>
    <w:rsid w:val="00D940D8"/>
    <w:rsid w:val="00D94989"/>
    <w:rsid w:val="00D95F14"/>
    <w:rsid w:val="00D97809"/>
    <w:rsid w:val="00DA1E16"/>
    <w:rsid w:val="00DA2904"/>
    <w:rsid w:val="00DA360A"/>
    <w:rsid w:val="00DA3F74"/>
    <w:rsid w:val="00DA4595"/>
    <w:rsid w:val="00DA7483"/>
    <w:rsid w:val="00DA75F7"/>
    <w:rsid w:val="00DA768E"/>
    <w:rsid w:val="00DB032C"/>
    <w:rsid w:val="00DB3EC3"/>
    <w:rsid w:val="00DB58E4"/>
    <w:rsid w:val="00DB6776"/>
    <w:rsid w:val="00DC0DC5"/>
    <w:rsid w:val="00DC1F8B"/>
    <w:rsid w:val="00DC2A29"/>
    <w:rsid w:val="00DD0B09"/>
    <w:rsid w:val="00DD0D53"/>
    <w:rsid w:val="00DD41D7"/>
    <w:rsid w:val="00DD5CEF"/>
    <w:rsid w:val="00DD612D"/>
    <w:rsid w:val="00DD6336"/>
    <w:rsid w:val="00DD668A"/>
    <w:rsid w:val="00DD73A8"/>
    <w:rsid w:val="00DE04E4"/>
    <w:rsid w:val="00DE10C5"/>
    <w:rsid w:val="00DE2249"/>
    <w:rsid w:val="00DE2E6A"/>
    <w:rsid w:val="00DE3520"/>
    <w:rsid w:val="00DE3DD4"/>
    <w:rsid w:val="00DE4C8C"/>
    <w:rsid w:val="00DE7C5D"/>
    <w:rsid w:val="00DF3D37"/>
    <w:rsid w:val="00DF589C"/>
    <w:rsid w:val="00DF6430"/>
    <w:rsid w:val="00DF6474"/>
    <w:rsid w:val="00DF7B4E"/>
    <w:rsid w:val="00E0259D"/>
    <w:rsid w:val="00E02702"/>
    <w:rsid w:val="00E04467"/>
    <w:rsid w:val="00E052E9"/>
    <w:rsid w:val="00E05A35"/>
    <w:rsid w:val="00E05DE4"/>
    <w:rsid w:val="00E07122"/>
    <w:rsid w:val="00E073BB"/>
    <w:rsid w:val="00E103D9"/>
    <w:rsid w:val="00E10769"/>
    <w:rsid w:val="00E11679"/>
    <w:rsid w:val="00E11D21"/>
    <w:rsid w:val="00E1278B"/>
    <w:rsid w:val="00E151B0"/>
    <w:rsid w:val="00E15BCB"/>
    <w:rsid w:val="00E15EDF"/>
    <w:rsid w:val="00E17A69"/>
    <w:rsid w:val="00E21153"/>
    <w:rsid w:val="00E23CFA"/>
    <w:rsid w:val="00E246DF"/>
    <w:rsid w:val="00E24ED4"/>
    <w:rsid w:val="00E27FAC"/>
    <w:rsid w:val="00E317E1"/>
    <w:rsid w:val="00E32779"/>
    <w:rsid w:val="00E32FDC"/>
    <w:rsid w:val="00E35A48"/>
    <w:rsid w:val="00E35C7F"/>
    <w:rsid w:val="00E36AD0"/>
    <w:rsid w:val="00E4013E"/>
    <w:rsid w:val="00E41910"/>
    <w:rsid w:val="00E42AA3"/>
    <w:rsid w:val="00E42EF8"/>
    <w:rsid w:val="00E42F6B"/>
    <w:rsid w:val="00E44DEA"/>
    <w:rsid w:val="00E458CB"/>
    <w:rsid w:val="00E45A4F"/>
    <w:rsid w:val="00E45D62"/>
    <w:rsid w:val="00E472C1"/>
    <w:rsid w:val="00E515D6"/>
    <w:rsid w:val="00E52AD1"/>
    <w:rsid w:val="00E53C06"/>
    <w:rsid w:val="00E53F10"/>
    <w:rsid w:val="00E54053"/>
    <w:rsid w:val="00E542C9"/>
    <w:rsid w:val="00E5699A"/>
    <w:rsid w:val="00E570B1"/>
    <w:rsid w:val="00E57BE2"/>
    <w:rsid w:val="00E62860"/>
    <w:rsid w:val="00E64789"/>
    <w:rsid w:val="00E66B3F"/>
    <w:rsid w:val="00E72779"/>
    <w:rsid w:val="00E72FD7"/>
    <w:rsid w:val="00E75990"/>
    <w:rsid w:val="00E75CD5"/>
    <w:rsid w:val="00E75E2B"/>
    <w:rsid w:val="00E76159"/>
    <w:rsid w:val="00E84604"/>
    <w:rsid w:val="00E85B80"/>
    <w:rsid w:val="00E86376"/>
    <w:rsid w:val="00E87320"/>
    <w:rsid w:val="00E87D5B"/>
    <w:rsid w:val="00E947FF"/>
    <w:rsid w:val="00E97D89"/>
    <w:rsid w:val="00EA227A"/>
    <w:rsid w:val="00EA235F"/>
    <w:rsid w:val="00EA3D1A"/>
    <w:rsid w:val="00EA60D3"/>
    <w:rsid w:val="00EA6872"/>
    <w:rsid w:val="00EA6980"/>
    <w:rsid w:val="00EB0081"/>
    <w:rsid w:val="00EB1E19"/>
    <w:rsid w:val="00EB247B"/>
    <w:rsid w:val="00EB36A1"/>
    <w:rsid w:val="00EB4003"/>
    <w:rsid w:val="00EB5EA1"/>
    <w:rsid w:val="00EB717F"/>
    <w:rsid w:val="00EC0AF7"/>
    <w:rsid w:val="00EC0E7E"/>
    <w:rsid w:val="00EC2A0A"/>
    <w:rsid w:val="00EC412C"/>
    <w:rsid w:val="00EC5246"/>
    <w:rsid w:val="00EC5834"/>
    <w:rsid w:val="00ED03CB"/>
    <w:rsid w:val="00ED04B0"/>
    <w:rsid w:val="00ED1911"/>
    <w:rsid w:val="00ED244A"/>
    <w:rsid w:val="00ED30D3"/>
    <w:rsid w:val="00ED3D8F"/>
    <w:rsid w:val="00ED48C4"/>
    <w:rsid w:val="00EE09FC"/>
    <w:rsid w:val="00EE1C1C"/>
    <w:rsid w:val="00EE2BCE"/>
    <w:rsid w:val="00EE5F9A"/>
    <w:rsid w:val="00EE63F4"/>
    <w:rsid w:val="00EE6A73"/>
    <w:rsid w:val="00EE7889"/>
    <w:rsid w:val="00EF1031"/>
    <w:rsid w:val="00EF187A"/>
    <w:rsid w:val="00EF2A14"/>
    <w:rsid w:val="00EF2E24"/>
    <w:rsid w:val="00EF35CD"/>
    <w:rsid w:val="00EF4DF6"/>
    <w:rsid w:val="00EF62A5"/>
    <w:rsid w:val="00EF712E"/>
    <w:rsid w:val="00F00437"/>
    <w:rsid w:val="00F022E7"/>
    <w:rsid w:val="00F02BFD"/>
    <w:rsid w:val="00F04E54"/>
    <w:rsid w:val="00F06D2B"/>
    <w:rsid w:val="00F07148"/>
    <w:rsid w:val="00F10ADB"/>
    <w:rsid w:val="00F116DC"/>
    <w:rsid w:val="00F11DB4"/>
    <w:rsid w:val="00F13C09"/>
    <w:rsid w:val="00F14C61"/>
    <w:rsid w:val="00F156AF"/>
    <w:rsid w:val="00F158C3"/>
    <w:rsid w:val="00F170A8"/>
    <w:rsid w:val="00F2154F"/>
    <w:rsid w:val="00F21B3C"/>
    <w:rsid w:val="00F22F26"/>
    <w:rsid w:val="00F23007"/>
    <w:rsid w:val="00F236DE"/>
    <w:rsid w:val="00F2682E"/>
    <w:rsid w:val="00F27261"/>
    <w:rsid w:val="00F30D6A"/>
    <w:rsid w:val="00F31D5E"/>
    <w:rsid w:val="00F3329F"/>
    <w:rsid w:val="00F340B6"/>
    <w:rsid w:val="00F34D05"/>
    <w:rsid w:val="00F34D36"/>
    <w:rsid w:val="00F34D55"/>
    <w:rsid w:val="00F3696F"/>
    <w:rsid w:val="00F36A63"/>
    <w:rsid w:val="00F36EED"/>
    <w:rsid w:val="00F37E0D"/>
    <w:rsid w:val="00F41A3A"/>
    <w:rsid w:val="00F422C4"/>
    <w:rsid w:val="00F4455C"/>
    <w:rsid w:val="00F45A19"/>
    <w:rsid w:val="00F45BC4"/>
    <w:rsid w:val="00F46D36"/>
    <w:rsid w:val="00F47895"/>
    <w:rsid w:val="00F47CD0"/>
    <w:rsid w:val="00F51258"/>
    <w:rsid w:val="00F52FBB"/>
    <w:rsid w:val="00F5329B"/>
    <w:rsid w:val="00F53605"/>
    <w:rsid w:val="00F54710"/>
    <w:rsid w:val="00F556A1"/>
    <w:rsid w:val="00F55B2F"/>
    <w:rsid w:val="00F56D3A"/>
    <w:rsid w:val="00F56E33"/>
    <w:rsid w:val="00F57CFC"/>
    <w:rsid w:val="00F65062"/>
    <w:rsid w:val="00F6633F"/>
    <w:rsid w:val="00F669CB"/>
    <w:rsid w:val="00F73B65"/>
    <w:rsid w:val="00F74255"/>
    <w:rsid w:val="00F749FB"/>
    <w:rsid w:val="00F76055"/>
    <w:rsid w:val="00F7700E"/>
    <w:rsid w:val="00F77556"/>
    <w:rsid w:val="00F77756"/>
    <w:rsid w:val="00F80166"/>
    <w:rsid w:val="00F81FDF"/>
    <w:rsid w:val="00F82C50"/>
    <w:rsid w:val="00F8429A"/>
    <w:rsid w:val="00F85271"/>
    <w:rsid w:val="00F8532C"/>
    <w:rsid w:val="00F85EE5"/>
    <w:rsid w:val="00F86551"/>
    <w:rsid w:val="00F87378"/>
    <w:rsid w:val="00F87775"/>
    <w:rsid w:val="00F91D70"/>
    <w:rsid w:val="00F92FA8"/>
    <w:rsid w:val="00F934F1"/>
    <w:rsid w:val="00F93AF7"/>
    <w:rsid w:val="00F941D6"/>
    <w:rsid w:val="00F953E8"/>
    <w:rsid w:val="00F95C15"/>
    <w:rsid w:val="00FA03E4"/>
    <w:rsid w:val="00FA09C0"/>
    <w:rsid w:val="00FA32D5"/>
    <w:rsid w:val="00FA470A"/>
    <w:rsid w:val="00FA4D09"/>
    <w:rsid w:val="00FA551D"/>
    <w:rsid w:val="00FA562A"/>
    <w:rsid w:val="00FA6CF0"/>
    <w:rsid w:val="00FB33B7"/>
    <w:rsid w:val="00FB33F7"/>
    <w:rsid w:val="00FB4D99"/>
    <w:rsid w:val="00FB5AE7"/>
    <w:rsid w:val="00FC27C4"/>
    <w:rsid w:val="00FC2D75"/>
    <w:rsid w:val="00FC37C3"/>
    <w:rsid w:val="00FC4962"/>
    <w:rsid w:val="00FC7651"/>
    <w:rsid w:val="00FC768B"/>
    <w:rsid w:val="00FD00A5"/>
    <w:rsid w:val="00FD03EE"/>
    <w:rsid w:val="00FD0B21"/>
    <w:rsid w:val="00FD0B28"/>
    <w:rsid w:val="00FD36BD"/>
    <w:rsid w:val="00FD4458"/>
    <w:rsid w:val="00FD5B79"/>
    <w:rsid w:val="00FD668A"/>
    <w:rsid w:val="00FE06CB"/>
    <w:rsid w:val="00FE2186"/>
    <w:rsid w:val="00FE3B5B"/>
    <w:rsid w:val="00FE3CD7"/>
    <w:rsid w:val="00FE4036"/>
    <w:rsid w:val="00FE4B5E"/>
    <w:rsid w:val="00FE7F95"/>
    <w:rsid w:val="00FF0CB9"/>
    <w:rsid w:val="00FF17B8"/>
    <w:rsid w:val="00FF1A16"/>
    <w:rsid w:val="00FF2A4A"/>
    <w:rsid w:val="00FF4316"/>
    <w:rsid w:val="00FF737A"/>
    <w:rsid w:val="04F26AFB"/>
    <w:rsid w:val="0B6F3EDB"/>
    <w:rsid w:val="0C56A8FA"/>
    <w:rsid w:val="108D4CBE"/>
    <w:rsid w:val="11AEFDBF"/>
    <w:rsid w:val="11B33DB2"/>
    <w:rsid w:val="1447FC05"/>
    <w:rsid w:val="1FC1865F"/>
    <w:rsid w:val="2958F853"/>
    <w:rsid w:val="2B7DE82C"/>
    <w:rsid w:val="2F914BF9"/>
    <w:rsid w:val="383FAC6A"/>
    <w:rsid w:val="3AA7826B"/>
    <w:rsid w:val="3B0FC3E9"/>
    <w:rsid w:val="3D72E5A0"/>
    <w:rsid w:val="3E61DBC0"/>
    <w:rsid w:val="486B6FDE"/>
    <w:rsid w:val="4BE94792"/>
    <w:rsid w:val="4C50F293"/>
    <w:rsid w:val="51D8F136"/>
    <w:rsid w:val="51DF8F60"/>
    <w:rsid w:val="53657EFE"/>
    <w:rsid w:val="5399787F"/>
    <w:rsid w:val="54EDA178"/>
    <w:rsid w:val="5C73FB16"/>
    <w:rsid w:val="5CEF8C4F"/>
    <w:rsid w:val="5D1292FA"/>
    <w:rsid w:val="5D7D26C5"/>
    <w:rsid w:val="62AF3C9E"/>
    <w:rsid w:val="64960A49"/>
    <w:rsid w:val="6741380F"/>
    <w:rsid w:val="6929AE81"/>
    <w:rsid w:val="692EE418"/>
    <w:rsid w:val="6A999E42"/>
    <w:rsid w:val="6E7FACDC"/>
    <w:rsid w:val="734AC13A"/>
    <w:rsid w:val="78C7821B"/>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6ED9"/>
  <w15:chartTrackingRefBased/>
  <w15:docId w15:val="{EDCE62B6-6A43-4400-A850-F60783C2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0F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C73"/>
    <w:pPr>
      <w:ind w:left="720"/>
      <w:contextualSpacing/>
    </w:pPr>
  </w:style>
  <w:style w:type="character" w:customStyle="1" w:styleId="Heading1Char">
    <w:name w:val="Heading 1 Char"/>
    <w:basedOn w:val="DefaultParagraphFont"/>
    <w:link w:val="Heading1"/>
    <w:uiPriority w:val="9"/>
    <w:rsid w:val="004F0F06"/>
    <w:rPr>
      <w:rFonts w:ascii="Times New Roman" w:eastAsia="Times New Roman" w:hAnsi="Times New Roman" w:cs="Times New Roman"/>
      <w:b/>
      <w:bCs/>
      <w:kern w:val="36"/>
      <w:sz w:val="48"/>
      <w:szCs w:val="48"/>
      <w:lang w:eastAsia="en-AU"/>
    </w:rPr>
  </w:style>
  <w:style w:type="paragraph" w:styleId="FootnoteText">
    <w:name w:val="footnote text"/>
    <w:basedOn w:val="Normal"/>
    <w:link w:val="FootnoteTextChar"/>
    <w:uiPriority w:val="99"/>
    <w:semiHidden/>
    <w:unhideWhenUsed/>
    <w:rsid w:val="00853F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3F4C"/>
    <w:rPr>
      <w:sz w:val="20"/>
      <w:szCs w:val="20"/>
    </w:rPr>
  </w:style>
  <w:style w:type="character" w:styleId="FootnoteReference">
    <w:name w:val="footnote reference"/>
    <w:basedOn w:val="DefaultParagraphFont"/>
    <w:uiPriority w:val="99"/>
    <w:semiHidden/>
    <w:unhideWhenUsed/>
    <w:rsid w:val="00853F4C"/>
    <w:rPr>
      <w:vertAlign w:val="superscript"/>
    </w:rPr>
  </w:style>
  <w:style w:type="character" w:styleId="Hyperlink">
    <w:name w:val="Hyperlink"/>
    <w:basedOn w:val="DefaultParagraphFont"/>
    <w:uiPriority w:val="99"/>
    <w:unhideWhenUsed/>
    <w:rsid w:val="0083078A"/>
    <w:rPr>
      <w:color w:val="0563C1" w:themeColor="hyperlink"/>
      <w:u w:val="single"/>
    </w:rPr>
  </w:style>
  <w:style w:type="character" w:customStyle="1" w:styleId="UnresolvedMention1">
    <w:name w:val="Unresolved Mention1"/>
    <w:basedOn w:val="DefaultParagraphFont"/>
    <w:uiPriority w:val="99"/>
    <w:semiHidden/>
    <w:unhideWhenUsed/>
    <w:rsid w:val="0083078A"/>
    <w:rPr>
      <w:color w:val="605E5C"/>
      <w:shd w:val="clear" w:color="auto" w:fill="E1DFDD"/>
    </w:rPr>
  </w:style>
  <w:style w:type="character" w:styleId="FollowedHyperlink">
    <w:name w:val="FollowedHyperlink"/>
    <w:basedOn w:val="DefaultParagraphFont"/>
    <w:uiPriority w:val="99"/>
    <w:semiHidden/>
    <w:unhideWhenUsed/>
    <w:rsid w:val="001E7857"/>
    <w:rPr>
      <w:color w:val="954F72" w:themeColor="followedHyperlink"/>
      <w:u w:val="single"/>
    </w:rPr>
  </w:style>
  <w:style w:type="paragraph" w:styleId="Header">
    <w:name w:val="header"/>
    <w:basedOn w:val="Normal"/>
    <w:link w:val="HeaderChar"/>
    <w:uiPriority w:val="99"/>
    <w:unhideWhenUsed/>
    <w:rsid w:val="00086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96A"/>
  </w:style>
  <w:style w:type="paragraph" w:styleId="Footer">
    <w:name w:val="footer"/>
    <w:basedOn w:val="Normal"/>
    <w:link w:val="FooterChar"/>
    <w:uiPriority w:val="99"/>
    <w:unhideWhenUsed/>
    <w:rsid w:val="00086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96A"/>
  </w:style>
  <w:style w:type="paragraph" w:styleId="BalloonText">
    <w:name w:val="Balloon Text"/>
    <w:basedOn w:val="Normal"/>
    <w:link w:val="BalloonTextChar"/>
    <w:uiPriority w:val="99"/>
    <w:semiHidden/>
    <w:unhideWhenUsed/>
    <w:rsid w:val="00FA55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51D"/>
    <w:rPr>
      <w:rFonts w:ascii="Segoe UI" w:hAnsi="Segoe UI" w:cs="Segoe UI"/>
      <w:sz w:val="18"/>
      <w:szCs w:val="18"/>
    </w:rPr>
  </w:style>
  <w:style w:type="character" w:styleId="PlaceholderText">
    <w:name w:val="Placeholder Text"/>
    <w:basedOn w:val="DefaultParagraphFont"/>
    <w:uiPriority w:val="99"/>
    <w:semiHidden/>
    <w:rsid w:val="00DD41D7"/>
    <w:rPr>
      <w:color w:val="808080"/>
    </w:rPr>
  </w:style>
  <w:style w:type="character" w:styleId="CommentReference">
    <w:name w:val="annotation reference"/>
    <w:basedOn w:val="DefaultParagraphFont"/>
    <w:uiPriority w:val="99"/>
    <w:semiHidden/>
    <w:unhideWhenUsed/>
    <w:rsid w:val="004C4FD6"/>
    <w:rPr>
      <w:sz w:val="16"/>
      <w:szCs w:val="16"/>
    </w:rPr>
  </w:style>
  <w:style w:type="paragraph" w:styleId="CommentText">
    <w:name w:val="annotation text"/>
    <w:basedOn w:val="Normal"/>
    <w:link w:val="CommentTextChar"/>
    <w:uiPriority w:val="99"/>
    <w:semiHidden/>
    <w:unhideWhenUsed/>
    <w:rsid w:val="004C4FD6"/>
    <w:pPr>
      <w:spacing w:line="240" w:lineRule="auto"/>
    </w:pPr>
    <w:rPr>
      <w:sz w:val="20"/>
      <w:szCs w:val="20"/>
    </w:rPr>
  </w:style>
  <w:style w:type="character" w:customStyle="1" w:styleId="CommentTextChar">
    <w:name w:val="Comment Text Char"/>
    <w:basedOn w:val="DefaultParagraphFont"/>
    <w:link w:val="CommentText"/>
    <w:uiPriority w:val="99"/>
    <w:semiHidden/>
    <w:rsid w:val="004C4FD6"/>
    <w:rPr>
      <w:sz w:val="20"/>
      <w:szCs w:val="20"/>
    </w:rPr>
  </w:style>
  <w:style w:type="paragraph" w:styleId="CommentSubject">
    <w:name w:val="annotation subject"/>
    <w:basedOn w:val="CommentText"/>
    <w:next w:val="CommentText"/>
    <w:link w:val="CommentSubjectChar"/>
    <w:uiPriority w:val="99"/>
    <w:semiHidden/>
    <w:unhideWhenUsed/>
    <w:rsid w:val="004C4FD6"/>
    <w:rPr>
      <w:b/>
      <w:bCs/>
    </w:rPr>
  </w:style>
  <w:style w:type="character" w:customStyle="1" w:styleId="CommentSubjectChar">
    <w:name w:val="Comment Subject Char"/>
    <w:basedOn w:val="CommentTextChar"/>
    <w:link w:val="CommentSubject"/>
    <w:uiPriority w:val="99"/>
    <w:semiHidden/>
    <w:rsid w:val="004C4FD6"/>
    <w:rPr>
      <w:b/>
      <w:bCs/>
      <w:sz w:val="20"/>
      <w:szCs w:val="20"/>
    </w:rPr>
  </w:style>
  <w:style w:type="character" w:customStyle="1" w:styleId="il">
    <w:name w:val="il"/>
    <w:basedOn w:val="DefaultParagraphFont"/>
    <w:rsid w:val="005420D8"/>
  </w:style>
  <w:style w:type="paragraph" w:customStyle="1" w:styleId="m3605580079445315828msolistparagraph">
    <w:name w:val="m_3605580079445315828msolistparagraph"/>
    <w:basedOn w:val="Normal"/>
    <w:rsid w:val="005420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394D34"/>
    <w:pPr>
      <w:spacing w:after="0" w:line="240" w:lineRule="auto"/>
    </w:pPr>
  </w:style>
  <w:style w:type="character" w:customStyle="1" w:styleId="UnresolvedMention">
    <w:name w:val="Unresolved Mention"/>
    <w:basedOn w:val="DefaultParagraphFont"/>
    <w:uiPriority w:val="99"/>
    <w:semiHidden/>
    <w:unhideWhenUsed/>
    <w:rsid w:val="003117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391565">
      <w:bodyDiv w:val="1"/>
      <w:marLeft w:val="0"/>
      <w:marRight w:val="0"/>
      <w:marTop w:val="0"/>
      <w:marBottom w:val="0"/>
      <w:divBdr>
        <w:top w:val="none" w:sz="0" w:space="0" w:color="auto"/>
        <w:left w:val="none" w:sz="0" w:space="0" w:color="auto"/>
        <w:bottom w:val="none" w:sz="0" w:space="0" w:color="auto"/>
        <w:right w:val="none" w:sz="0" w:space="0" w:color="auto"/>
      </w:divBdr>
      <w:divsChild>
        <w:div w:id="1944604346">
          <w:marLeft w:val="0"/>
          <w:marRight w:val="0"/>
          <w:marTop w:val="0"/>
          <w:marBottom w:val="0"/>
          <w:divBdr>
            <w:top w:val="none" w:sz="0" w:space="0" w:color="auto"/>
            <w:left w:val="none" w:sz="0" w:space="0" w:color="auto"/>
            <w:bottom w:val="none" w:sz="0" w:space="0" w:color="auto"/>
            <w:right w:val="none" w:sz="0" w:space="0" w:color="auto"/>
          </w:divBdr>
        </w:div>
        <w:div w:id="691300951">
          <w:marLeft w:val="0"/>
          <w:marRight w:val="0"/>
          <w:marTop w:val="0"/>
          <w:marBottom w:val="0"/>
          <w:divBdr>
            <w:top w:val="none" w:sz="0" w:space="0" w:color="auto"/>
            <w:left w:val="none" w:sz="0" w:space="0" w:color="auto"/>
            <w:bottom w:val="none" w:sz="0" w:space="0" w:color="auto"/>
            <w:right w:val="none" w:sz="0" w:space="0" w:color="auto"/>
          </w:divBdr>
        </w:div>
      </w:divsChild>
    </w:div>
    <w:div w:id="987519804">
      <w:bodyDiv w:val="1"/>
      <w:marLeft w:val="0"/>
      <w:marRight w:val="0"/>
      <w:marTop w:val="0"/>
      <w:marBottom w:val="0"/>
      <w:divBdr>
        <w:top w:val="none" w:sz="0" w:space="0" w:color="auto"/>
        <w:left w:val="none" w:sz="0" w:space="0" w:color="auto"/>
        <w:bottom w:val="none" w:sz="0" w:space="0" w:color="auto"/>
        <w:right w:val="none" w:sz="0" w:space="0" w:color="auto"/>
      </w:divBdr>
    </w:div>
    <w:div w:id="126965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to.gov.au/forms/self-managed-superannuation-fund-annual-return-instructions-2016/?page=39"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ownload.asic.gov.au/media/1336058/cp216-RiceWarner-cost-of-operating-smsfs.pdf" TargetMode="External"/><Relationship Id="rId1" Type="http://schemas.openxmlformats.org/officeDocument/2006/relationships/hyperlink" Target="https://www.ato.gov.au/Super/Self-managed-super-funds/In-detail/Statistics/Annual-reports/Self-managed-superannuation-funds--A-statistical-overview-2015-2016/?page=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48877F47251D43B0DDCA1D7EBAB9E4" ma:contentTypeVersion="9" ma:contentTypeDescription="Create a new document." ma:contentTypeScope="" ma:versionID="3f70293f3c036bdd40c827cf073ec7d4">
  <xsd:schema xmlns:xsd="http://www.w3.org/2001/XMLSchema" xmlns:xs="http://www.w3.org/2001/XMLSchema" xmlns:p="http://schemas.microsoft.com/office/2006/metadata/properties" xmlns:ns2="c24fa1fb-e5d5-453d-87e5-eff5250b8e1f" xmlns:ns3="ec1468e2-6f2d-4cf2-ac50-1ee17c9689f8" targetNamespace="http://schemas.microsoft.com/office/2006/metadata/properties" ma:root="true" ma:fieldsID="2e15cf937226f1b5d77aeefc017b3f44" ns2:_="" ns3:_="">
    <xsd:import namespace="c24fa1fb-e5d5-453d-87e5-eff5250b8e1f"/>
    <xsd:import namespace="ec1468e2-6f2d-4cf2-ac50-1ee17c9689f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fa1fb-e5d5-453d-87e5-eff5250b8e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c1468e2-6f2d-4cf2-ac50-1ee17c9689f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CA50F-AAF9-4442-9D67-F55FCB4E70A5}">
  <ds:schemaRefs>
    <ds:schemaRef ds:uri="http://schemas.microsoft.com/sharepoint/v3/contenttype/forms"/>
  </ds:schemaRefs>
</ds:datastoreItem>
</file>

<file path=customXml/itemProps2.xml><?xml version="1.0" encoding="utf-8"?>
<ds:datastoreItem xmlns:ds="http://schemas.openxmlformats.org/officeDocument/2006/customXml" ds:itemID="{BFCC6497-D5A3-4DDF-A391-B521C6BF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fa1fb-e5d5-453d-87e5-eff5250b8e1f"/>
    <ds:schemaRef ds:uri="ec1468e2-6f2d-4cf2-ac50-1ee17c968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9F90E-E267-40D1-88D7-00F05AFEFFAB}">
  <ds:schemaRefs>
    <ds:schemaRef ds:uri="http://schemas.microsoft.com/office/infopath/2007/PartnerControls"/>
    <ds:schemaRef ds:uri="ec1468e2-6f2d-4cf2-ac50-1ee17c9689f8"/>
    <ds:schemaRef ds:uri="http://purl.org/dc/elements/1.1/"/>
    <ds:schemaRef ds:uri="http://schemas.microsoft.com/office/2006/metadata/properties"/>
    <ds:schemaRef ds:uri="c24fa1fb-e5d5-453d-87e5-eff5250b8e1f"/>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4.xml><?xml version="1.0" encoding="utf-8"?>
<ds:datastoreItem xmlns:ds="http://schemas.openxmlformats.org/officeDocument/2006/customXml" ds:itemID="{013C3E11-5283-4F40-89FA-5422BD1FE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Submission DR216 - Class Limited - Superannuation: Assessing Competitiveness and Efficiency - Public inquiry</vt:lpstr>
    </vt:vector>
  </TitlesOfParts>
  <Company>Class Limited</Company>
  <LinksUpToDate>false</LinksUpToDate>
  <CharactersWithSpaces>13338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DR216 - Class Limited - Superannuation: Assessing Competitiveness and Efficiency - Public inquiry</dc:title>
  <dc:subject/>
  <dc:creator>Class Limited</dc:creator>
  <cp:keywords/>
  <dc:description/>
  <cp:lastModifiedBy>Productivity Commission</cp:lastModifiedBy>
  <cp:revision>7</cp:revision>
  <cp:lastPrinted>2018-07-19T22:56:00Z</cp:lastPrinted>
  <dcterms:created xsi:type="dcterms:W3CDTF">2018-11-09T04:57:00Z</dcterms:created>
  <dcterms:modified xsi:type="dcterms:W3CDTF">2018-11-12T03:30:00Z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0x0101009448877F47251D43B0DDCA1D7EBAB9E4</vt:lpwstr>
  </property>
</Properties>
</file>