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A0E" w:rsidRDefault="004A5A0E" w:rsidP="005C1058"/>
    <w:p w:rsidR="009A5BEB" w:rsidRDefault="007521D1" w:rsidP="009665D6">
      <w:r>
        <w:t xml:space="preserve">Mr </w:t>
      </w:r>
      <w:r w:rsidR="009A5BEB" w:rsidRPr="009665D6">
        <w:t>Michael Brennan</w:t>
      </w:r>
      <w:r w:rsidR="009A5BEB" w:rsidRPr="009665D6">
        <w:br/>
      </w:r>
      <w:r w:rsidR="009A5BEB">
        <w:t>Chair</w:t>
      </w:r>
      <w:r w:rsidR="009A5BEB">
        <w:br/>
        <w:t>Productivity Commission</w:t>
      </w:r>
      <w:r w:rsidR="009A5BEB">
        <w:br/>
        <w:t>Locked Bag 2, Collins St East</w:t>
      </w:r>
      <w:r w:rsidR="009A5BEB">
        <w:br/>
        <w:t>Melbourne VIC 8003</w:t>
      </w:r>
    </w:p>
    <w:p w:rsidR="005C1058" w:rsidRDefault="005C1058" w:rsidP="00B243F1"/>
    <w:p w:rsidR="005C1058" w:rsidRPr="009665D6" w:rsidRDefault="005C1058" w:rsidP="008E2B04">
      <w:pPr>
        <w:pStyle w:val="normal1"/>
        <w:spacing w:after="0"/>
        <w:rPr>
          <w:b/>
        </w:rPr>
      </w:pPr>
      <w:r w:rsidRPr="009665D6">
        <w:rPr>
          <w:b/>
        </w:rPr>
        <w:t>Re: Submission to inquiry into expenditure on children in the Northern Territory</w:t>
      </w:r>
    </w:p>
    <w:p w:rsidR="008E2B04" w:rsidRDefault="008E2B04" w:rsidP="008E2B04">
      <w:pPr>
        <w:spacing w:after="0"/>
      </w:pPr>
    </w:p>
    <w:p w:rsidR="002772C5" w:rsidRPr="002D4A0F" w:rsidRDefault="002772C5" w:rsidP="008E2B04">
      <w:pPr>
        <w:spacing w:after="0"/>
      </w:pPr>
      <w:r w:rsidRPr="002D4A0F">
        <w:t>Dear</w:t>
      </w:r>
      <w:r w:rsidR="009A5BEB">
        <w:t xml:space="preserve"> Mr Brennan,</w:t>
      </w:r>
      <w:r w:rsidRPr="002D4A0F">
        <w:t xml:space="preserve"> </w:t>
      </w:r>
    </w:p>
    <w:p w:rsidR="002772C5" w:rsidRPr="002D4A0F" w:rsidRDefault="002772C5" w:rsidP="008E2B04">
      <w:pPr>
        <w:spacing w:after="0"/>
      </w:pPr>
    </w:p>
    <w:p w:rsidR="002772C5" w:rsidRDefault="009A5BEB" w:rsidP="008E2B04">
      <w:pPr>
        <w:spacing w:after="0"/>
      </w:pPr>
      <w:r>
        <w:t xml:space="preserve">Thank you for the opportunity to make a submission to the Productivity Commission’s inquiry into </w:t>
      </w:r>
      <w:r w:rsidR="00076B06">
        <w:t xml:space="preserve">expenditure on children in the Northern Territory. </w:t>
      </w:r>
    </w:p>
    <w:p w:rsidR="00076B06" w:rsidRDefault="00076B06" w:rsidP="008E2B04">
      <w:pPr>
        <w:spacing w:after="0"/>
      </w:pPr>
    </w:p>
    <w:p w:rsidR="00076B06" w:rsidRDefault="00076B06" w:rsidP="008E2B04">
      <w:pPr>
        <w:spacing w:after="0"/>
      </w:pPr>
      <w:r>
        <w:t>Please find attached the submission from the National Mental Health Commission to the inquiry. There is no confidential material presented.</w:t>
      </w:r>
    </w:p>
    <w:p w:rsidR="00076B06" w:rsidRDefault="00076B06" w:rsidP="008E2B04">
      <w:pPr>
        <w:spacing w:after="0"/>
      </w:pPr>
    </w:p>
    <w:p w:rsidR="00076B06" w:rsidRPr="002D4A0F" w:rsidRDefault="00076B06" w:rsidP="008E2B04">
      <w:pPr>
        <w:spacing w:after="0"/>
      </w:pPr>
      <w:r>
        <w:t>Should you require clarification, or would like to discuss this submission in further detail, pl</w:t>
      </w:r>
      <w:r w:rsidR="00D6538B">
        <w:t>ease contact Ms Catherine Brown.</w:t>
      </w:r>
    </w:p>
    <w:p w:rsidR="002772C5" w:rsidRPr="002D4A0F" w:rsidRDefault="002772C5" w:rsidP="008E2B04">
      <w:pPr>
        <w:spacing w:after="0"/>
      </w:pPr>
    </w:p>
    <w:p w:rsidR="002772C5" w:rsidRPr="002D4A0F" w:rsidRDefault="002772C5" w:rsidP="008E2B04">
      <w:pPr>
        <w:spacing w:after="0"/>
      </w:pPr>
      <w:r w:rsidRPr="002D4A0F">
        <w:t>Yours sincerely,</w:t>
      </w:r>
    </w:p>
    <w:p w:rsidR="002772C5" w:rsidRPr="002D4A0F" w:rsidRDefault="002772C5" w:rsidP="008E2B04">
      <w:pPr>
        <w:spacing w:after="0"/>
      </w:pPr>
    </w:p>
    <w:p w:rsidR="002772C5" w:rsidRDefault="002772C5" w:rsidP="008E2B04">
      <w:pPr>
        <w:spacing w:after="0"/>
        <w:rPr>
          <w:noProof/>
          <w:lang w:eastAsia="en-AU"/>
        </w:rPr>
      </w:pPr>
    </w:p>
    <w:p w:rsidR="00D6538B" w:rsidRDefault="00D6538B" w:rsidP="008E2B04">
      <w:pPr>
        <w:spacing w:after="0"/>
        <w:rPr>
          <w:noProof/>
          <w:lang w:eastAsia="en-AU"/>
        </w:rPr>
      </w:pPr>
    </w:p>
    <w:p w:rsidR="00D6538B" w:rsidRPr="002D4A0F" w:rsidRDefault="00D6538B" w:rsidP="008E2B04">
      <w:pPr>
        <w:spacing w:after="0"/>
      </w:pPr>
      <w:bookmarkStart w:id="0" w:name="_GoBack"/>
      <w:bookmarkEnd w:id="0"/>
    </w:p>
    <w:p w:rsidR="002772C5" w:rsidRDefault="002772C5" w:rsidP="008E2B04">
      <w:pPr>
        <w:spacing w:after="0"/>
      </w:pPr>
    </w:p>
    <w:p w:rsidR="00CA6E40" w:rsidRPr="00617E02" w:rsidRDefault="00CA6E40" w:rsidP="008E2B04">
      <w:pPr>
        <w:spacing w:after="0"/>
        <w:rPr>
          <w:lang w:eastAsia="en-AU"/>
        </w:rPr>
      </w:pPr>
      <w:r w:rsidRPr="00617E02">
        <w:rPr>
          <w:lang w:eastAsia="en-AU"/>
        </w:rPr>
        <w:t xml:space="preserve">Christine Morgan </w:t>
      </w:r>
    </w:p>
    <w:p w:rsidR="00CA6E40" w:rsidRPr="00617E02" w:rsidRDefault="00CA6E40" w:rsidP="008E2B04">
      <w:pPr>
        <w:spacing w:after="0"/>
        <w:rPr>
          <w:lang w:eastAsia="en-AU"/>
        </w:rPr>
      </w:pPr>
      <w:r w:rsidRPr="00617E02">
        <w:rPr>
          <w:lang w:eastAsia="en-AU"/>
        </w:rPr>
        <w:t>Chief Executive Officer</w:t>
      </w:r>
    </w:p>
    <w:p w:rsidR="00CA6E40" w:rsidRPr="00617E02" w:rsidRDefault="00CA6E40" w:rsidP="008E2B04">
      <w:pPr>
        <w:spacing w:after="0"/>
        <w:rPr>
          <w:lang w:eastAsia="en-AU"/>
        </w:rPr>
      </w:pPr>
      <w:r w:rsidRPr="00617E02">
        <w:rPr>
          <w:lang w:eastAsia="en-AU"/>
        </w:rPr>
        <w:t>Ex-Officio Commissioner</w:t>
      </w:r>
    </w:p>
    <w:p w:rsidR="00C30CA8" w:rsidRPr="00C30CA8" w:rsidRDefault="00C30CA8" w:rsidP="008E2B04">
      <w:pPr>
        <w:spacing w:after="0"/>
      </w:pPr>
    </w:p>
    <w:p w:rsidR="009E334E" w:rsidRDefault="009E334E" w:rsidP="008E2B04">
      <w:pPr>
        <w:spacing w:after="0"/>
      </w:pPr>
    </w:p>
    <w:p w:rsidR="007943AD" w:rsidRDefault="000C49F5" w:rsidP="008E2B04">
      <w:pPr>
        <w:spacing w:after="0"/>
      </w:pPr>
      <w:r>
        <w:t>15</w:t>
      </w:r>
      <w:r w:rsidR="009A5BEB">
        <w:t xml:space="preserve"> July 2019</w:t>
      </w:r>
    </w:p>
    <w:p w:rsidR="008E2B04" w:rsidRDefault="008E2B04" w:rsidP="008E2B04">
      <w:pPr>
        <w:spacing w:after="0"/>
        <w:sectPr w:rsidR="008E2B04" w:rsidSect="008E2B04">
          <w:headerReference w:type="default" r:id="rId13"/>
          <w:footerReference w:type="default" r:id="rId14"/>
          <w:headerReference w:type="first" r:id="rId15"/>
          <w:footerReference w:type="first" r:id="rId16"/>
          <w:type w:val="continuous"/>
          <w:pgSz w:w="11900" w:h="16820"/>
          <w:pgMar w:top="1440" w:right="1440" w:bottom="1440" w:left="1440" w:header="567" w:footer="951" w:gutter="0"/>
          <w:pgNumType w:start="1"/>
          <w:cols w:space="708"/>
          <w:titlePg/>
          <w:docGrid w:linePitch="400"/>
        </w:sectPr>
      </w:pPr>
    </w:p>
    <w:p w:rsidR="009E334E" w:rsidRPr="005C1058" w:rsidRDefault="005C1058" w:rsidP="009665D6">
      <w:pPr>
        <w:pStyle w:val="Heading1"/>
      </w:pPr>
      <w:r w:rsidRPr="005C1058">
        <w:lastRenderedPageBreak/>
        <w:t xml:space="preserve">Submission to the Productivity Commission’s </w:t>
      </w:r>
      <w:r w:rsidRPr="009665D6">
        <w:t>inquiry</w:t>
      </w:r>
      <w:r w:rsidRPr="005C1058">
        <w:t xml:space="preserve"> into expenditure on children in the Northern Territory (July 2019)</w:t>
      </w:r>
    </w:p>
    <w:p w:rsidR="009665D6" w:rsidRPr="009665D6" w:rsidRDefault="001B1AD8" w:rsidP="009665D6">
      <w:pPr>
        <w:pStyle w:val="Heading2"/>
      </w:pPr>
      <w:r>
        <w:t>Introduction</w:t>
      </w:r>
    </w:p>
    <w:p w:rsidR="008E2B04" w:rsidRPr="002F6D10" w:rsidRDefault="005C1058" w:rsidP="005C1058">
      <w:r w:rsidRPr="002F6D10">
        <w:t>The National Mental Health Commission (</w:t>
      </w:r>
      <w:r w:rsidR="0082366A" w:rsidRPr="002F6D10">
        <w:t>Commission</w:t>
      </w:r>
      <w:r w:rsidRPr="002F6D10">
        <w:t>), established in 2012, has a national remit to provide insight, advice and evidence on ways to continuously improve Australia’s mental health and suicide prevention system, and act as a catal</w:t>
      </w:r>
      <w:r w:rsidR="00E66B9B" w:rsidRPr="002F6D10">
        <w:t>yst for</w:t>
      </w:r>
      <w:r w:rsidRPr="002F6D10">
        <w:t xml:space="preserve"> change to achieve these improvements. The </w:t>
      </w:r>
      <w:r w:rsidR="0082366A" w:rsidRPr="002F6D10">
        <w:t xml:space="preserve">Commission </w:t>
      </w:r>
      <w:r w:rsidRPr="002F6D10">
        <w:t xml:space="preserve">also has a mandate to work across all areas that impact on mental health, including education, housing, </w:t>
      </w:r>
      <w:r w:rsidR="008E2B04" w:rsidRPr="002F6D10">
        <w:t>employment</w:t>
      </w:r>
      <w:r w:rsidRPr="002F6D10">
        <w:t xml:space="preserve">, </w:t>
      </w:r>
      <w:r w:rsidR="00E66B9B" w:rsidRPr="002F6D10">
        <w:t xml:space="preserve">justice, </w:t>
      </w:r>
      <w:r w:rsidRPr="002F6D10">
        <w:t>human services and social support.</w:t>
      </w:r>
      <w:r w:rsidR="00165AFE" w:rsidRPr="002F6D10">
        <w:t xml:space="preserve"> </w:t>
      </w:r>
      <w:r w:rsidR="009665D6" w:rsidRPr="002F6D10">
        <w:t xml:space="preserve">There are three main strands to the </w:t>
      </w:r>
      <w:r w:rsidR="0082366A" w:rsidRPr="002F6D10">
        <w:t>Commission</w:t>
      </w:r>
      <w:r w:rsidR="002F6D10" w:rsidRPr="002F6D10">
        <w:t>’s</w:t>
      </w:r>
      <w:r w:rsidR="0082366A" w:rsidRPr="002F6D10">
        <w:t xml:space="preserve"> </w:t>
      </w:r>
      <w:r w:rsidR="009665D6" w:rsidRPr="002F6D10">
        <w:t xml:space="preserve">work: monitoring and reporting on Australia’s mental health and suicide prevention systems; providing independent advice to government and the community; and acting as a catalyst for change. </w:t>
      </w:r>
    </w:p>
    <w:p w:rsidR="00CF2B61" w:rsidRPr="002F6D10" w:rsidRDefault="00D109C1" w:rsidP="00DE0B8A">
      <w:r w:rsidRPr="002F6D10">
        <w:t>The Commission</w:t>
      </w:r>
      <w:r w:rsidR="007C429E" w:rsidRPr="002F6D10">
        <w:t xml:space="preserve"> supported the </w:t>
      </w:r>
      <w:r w:rsidR="007C429E" w:rsidRPr="002F6D10">
        <w:rPr>
          <w:i/>
        </w:rPr>
        <w:t>Royal Commission</w:t>
      </w:r>
      <w:r w:rsidR="00DE0B8A" w:rsidRPr="002F6D10">
        <w:rPr>
          <w:i/>
        </w:rPr>
        <w:t xml:space="preserve"> into the Detention and Protection of Children in the Northern Territory</w:t>
      </w:r>
      <w:r w:rsidR="007C429E" w:rsidRPr="002F6D10">
        <w:t>’</w:t>
      </w:r>
      <w:r w:rsidR="00DE0B8A" w:rsidRPr="002F6D10">
        <w:t>s (hereafter the Royal Commission)</w:t>
      </w:r>
      <w:r w:rsidR="007C429E" w:rsidRPr="002F6D10">
        <w:t xml:space="preserve"> call</w:t>
      </w:r>
      <w:r w:rsidR="007C429E" w:rsidRPr="002F6D10">
        <w:rPr>
          <w:color w:val="111111"/>
        </w:rPr>
        <w:t xml:space="preserve"> to reform the NT’s youth justice and child protection systems due to its</w:t>
      </w:r>
      <w:hyperlink r:id="rId17" w:history="1">
        <w:r w:rsidR="007C429E" w:rsidRPr="002F6D10">
          <w:rPr>
            <w:color w:val="111111"/>
          </w:rPr>
          <w:t xml:space="preserve"> systemic failure to address the needs of children, young people, and their families and communities</w:t>
        </w:r>
      </w:hyperlink>
      <w:r w:rsidR="007C429E" w:rsidRPr="002F6D10">
        <w:rPr>
          <w:color w:val="111111"/>
        </w:rPr>
        <w:t>. In addition, the Commission</w:t>
      </w:r>
      <w:r w:rsidRPr="002F6D10">
        <w:t xml:space="preserve"> welcomes this inquiry into expenditure on children in the NT by the Productivity Commission </w:t>
      </w:r>
      <w:r w:rsidR="00DE0B8A" w:rsidRPr="002F6D10">
        <w:t xml:space="preserve">(hereafter the “Inquiry”) </w:t>
      </w:r>
      <w:r w:rsidRPr="002F6D10">
        <w:t>in response to the</w:t>
      </w:r>
      <w:r w:rsidR="007C429E" w:rsidRPr="002F6D10">
        <w:t xml:space="preserve"> R</w:t>
      </w:r>
      <w:r w:rsidR="002F6D10" w:rsidRPr="002F6D10">
        <w:t xml:space="preserve">oyal </w:t>
      </w:r>
      <w:r w:rsidR="007C429E" w:rsidRPr="002F6D10">
        <w:t>C</w:t>
      </w:r>
      <w:r w:rsidR="002F6D10" w:rsidRPr="002F6D10">
        <w:t>ommission</w:t>
      </w:r>
      <w:r w:rsidR="007C429E" w:rsidRPr="002F6D10">
        <w:t>’s recommendation</w:t>
      </w:r>
      <w:r w:rsidR="00251790" w:rsidRPr="002F6D10">
        <w:rPr>
          <w:color w:val="111111"/>
        </w:rPr>
        <w:t>.</w:t>
      </w:r>
      <w:r w:rsidR="007C429E" w:rsidRPr="002F6D10">
        <w:rPr>
          <w:color w:val="111111"/>
        </w:rPr>
        <w:t xml:space="preserve"> </w:t>
      </w:r>
      <w:r w:rsidRPr="002F6D10">
        <w:t>The proposed development of a joint funding framework</w:t>
      </w:r>
      <w:r w:rsidR="00E66B9B" w:rsidRPr="002F6D10">
        <w:t xml:space="preserve"> between the Australian and NT Governments</w:t>
      </w:r>
      <w:r w:rsidRPr="002F6D10">
        <w:t xml:space="preserve"> has benefits beyond</w:t>
      </w:r>
      <w:r w:rsidR="00D23357" w:rsidRPr="002F6D10">
        <w:t xml:space="preserve"> </w:t>
      </w:r>
      <w:r w:rsidR="007C429E" w:rsidRPr="002F6D10">
        <w:t>a</w:t>
      </w:r>
      <w:r w:rsidR="00D23357" w:rsidRPr="002F6D10">
        <w:t xml:space="preserve"> more efficient and effective allocation of resources – </w:t>
      </w:r>
      <w:r w:rsidR="007C429E" w:rsidRPr="002F6D10">
        <w:t xml:space="preserve">it provides </w:t>
      </w:r>
      <w:r w:rsidR="00D23357" w:rsidRPr="002F6D10">
        <w:t xml:space="preserve">the opportunity to </w:t>
      </w:r>
      <w:r w:rsidR="007C429E" w:rsidRPr="002F6D10">
        <w:t xml:space="preserve">ensure such a framework is transparent, </w:t>
      </w:r>
      <w:r w:rsidR="00CF2B61" w:rsidRPr="002F6D10">
        <w:t xml:space="preserve">accountable and includes </w:t>
      </w:r>
      <w:r w:rsidR="007C429E" w:rsidRPr="002F6D10">
        <w:t>evaluation</w:t>
      </w:r>
      <w:r w:rsidR="00CF2B61" w:rsidRPr="002F6D10">
        <w:t xml:space="preserve">. </w:t>
      </w:r>
    </w:p>
    <w:p w:rsidR="007B667E" w:rsidRDefault="00D109C1" w:rsidP="00DE0B8A">
      <w:pPr>
        <w:autoSpaceDE w:val="0"/>
        <w:autoSpaceDN w:val="0"/>
        <w:adjustRightInd w:val="0"/>
        <w:spacing w:after="0"/>
      </w:pPr>
      <w:r w:rsidRPr="002F6D10">
        <w:t xml:space="preserve">Given our national focus, the </w:t>
      </w:r>
      <w:r w:rsidR="0082366A" w:rsidRPr="002F6D10">
        <w:t xml:space="preserve">Commission </w:t>
      </w:r>
      <w:r w:rsidRPr="002F6D10">
        <w:t>is not in a position to provide a detailed response addressing all the Inquiry’s Terms of Reference relating to child and family services in the NT.</w:t>
      </w:r>
      <w:r w:rsidR="00DE0B8A" w:rsidRPr="002F6D10">
        <w:t xml:space="preserve"> </w:t>
      </w:r>
      <w:r w:rsidR="001C4F0B" w:rsidRPr="002F6D10">
        <w:t xml:space="preserve">This submission </w:t>
      </w:r>
      <w:r w:rsidR="00D23357" w:rsidRPr="002F6D10">
        <w:t xml:space="preserve">primarily </w:t>
      </w:r>
      <w:r w:rsidR="001B1AD8" w:rsidRPr="002F6D10">
        <w:t xml:space="preserve">focuses on </w:t>
      </w:r>
      <w:r w:rsidR="00D23357" w:rsidRPr="002F6D10">
        <w:t xml:space="preserve">the principles and approaches for governance and funding to promote better outcomes as outlined in the </w:t>
      </w:r>
      <w:r w:rsidR="001C4F0B" w:rsidRPr="002F6D10">
        <w:t xml:space="preserve">second of the Productivity Commission’s terms of </w:t>
      </w:r>
      <w:r w:rsidR="00D23357" w:rsidRPr="002F6D10">
        <w:t xml:space="preserve">reference. </w:t>
      </w:r>
      <w:r w:rsidR="007B667E" w:rsidRPr="002F6D10">
        <w:t xml:space="preserve">This submission draws on the </w:t>
      </w:r>
      <w:r w:rsidR="0082366A" w:rsidRPr="002F6D10">
        <w:t xml:space="preserve">Commission’s </w:t>
      </w:r>
      <w:r w:rsidR="007B667E" w:rsidRPr="002F6D10">
        <w:t xml:space="preserve">recent submission to the </w:t>
      </w:r>
      <w:r w:rsidR="007B667E" w:rsidRPr="002F6D10">
        <w:rPr>
          <w:i/>
        </w:rPr>
        <w:t>Productivity Commission’</w:t>
      </w:r>
      <w:r w:rsidR="004D0FAD" w:rsidRPr="002F6D10">
        <w:rPr>
          <w:i/>
        </w:rPr>
        <w:t>s inquiry into the role of improving mental health to support economic participation and enhancing productivity and economic growth</w:t>
      </w:r>
      <w:r w:rsidR="004D0FAD" w:rsidRPr="002F6D10">
        <w:t>.</w:t>
      </w:r>
      <w:r w:rsidR="00630B2C" w:rsidRPr="002F6D10">
        <w:fldChar w:fldCharType="begin"/>
      </w:r>
      <w:r w:rsidR="00630B2C" w:rsidRPr="002F6D10">
        <w:instrText xml:space="preserve"> ADDIN EN.CITE &lt;EndNote&gt;&lt;Cite&gt;&lt;Author&gt;National Mental Health Commission&lt;/Author&gt;&lt;Year&gt;2019&lt;/Year&gt;&lt;RecNum&gt;2526&lt;/RecNum&gt;&lt;DisplayText&gt;&lt;style face="superscript"&gt;1&lt;/style&gt;&lt;/DisplayText&gt;&lt;record&gt;&lt;rec-number&gt;2526&lt;/rec-number&gt;&lt;foreign-keys&gt;&lt;key app="EN" db-id="rezsta2w99aashetf5qx9r5rpp20sxf0daaw" timestamp="1561704568"&gt;2526&lt;/key&gt;&lt;/foreign-keys&gt;&lt;ref-type name="Web Page"&gt;12&lt;/ref-type&gt;&lt;contributors&gt;&lt;authors&gt;&lt;author&gt;National Mental Health Commission,&lt;/author&gt;&lt;/authors&gt;&lt;/contributors&gt;&lt;titles&gt;&lt;title&gt;Submission to the Productivity Commission Inquiry into the Social and Economic Benefits of Improving Mental Health&lt;/title&gt;&lt;/titles&gt;&lt;dates&gt;&lt;year&gt;2019&lt;/year&gt;&lt;/dates&gt;&lt;urls&gt;&lt;related-urls&gt;&lt;url&gt;http://www.mentalhealthcommission.gov.au/media/257033/PC%20Inquiry_NMHC%20FINAL%20submission_4%20April%202019.pdf&lt;/url&gt;&lt;/related-urls&gt;&lt;/urls&gt;&lt;/record&gt;&lt;/Cite&gt;&lt;/EndNote&gt;</w:instrText>
      </w:r>
      <w:r w:rsidR="00630B2C" w:rsidRPr="002F6D10">
        <w:fldChar w:fldCharType="separate"/>
      </w:r>
      <w:r w:rsidR="00630B2C" w:rsidRPr="002F6D10">
        <w:rPr>
          <w:noProof/>
          <w:vertAlign w:val="superscript"/>
        </w:rPr>
        <w:t>1</w:t>
      </w:r>
      <w:r w:rsidR="00630B2C" w:rsidRPr="002F6D10">
        <w:fldChar w:fldCharType="end"/>
      </w:r>
    </w:p>
    <w:p w:rsidR="00D52672" w:rsidRDefault="00D52672" w:rsidP="00D52672"/>
    <w:p w:rsidR="00D52672" w:rsidRPr="00D52672" w:rsidRDefault="00D52672" w:rsidP="00D52672">
      <w:pPr>
        <w:rPr>
          <w:b/>
        </w:rPr>
      </w:pPr>
      <w:r w:rsidRPr="00D52672">
        <w:rPr>
          <w:b/>
        </w:rPr>
        <w:t xml:space="preserve">Recommendation 1: </w:t>
      </w:r>
    </w:p>
    <w:p w:rsidR="00D52672" w:rsidRDefault="00D52672" w:rsidP="00D52672">
      <w:r>
        <w:t xml:space="preserve">The Commission </w:t>
      </w:r>
      <w:r w:rsidRPr="009937AF">
        <w:t>recommend</w:t>
      </w:r>
      <w:r>
        <w:t>s</w:t>
      </w:r>
      <w:r w:rsidRPr="009937AF">
        <w:t xml:space="preserve"> </w:t>
      </w:r>
      <w:r>
        <w:t>that the Productivity Commission develop</w:t>
      </w:r>
      <w:r w:rsidR="00395838">
        <w:t>s</w:t>
      </w:r>
      <w:r>
        <w:t xml:space="preserve"> a partnership appro</w:t>
      </w:r>
      <w:r w:rsidR="00395838">
        <w:t>a</w:t>
      </w:r>
      <w:r>
        <w:t>ch to ensure Aboriginal and Torres Strait Islander peoples play a leading role in the planning, design and implementation of the new</w:t>
      </w:r>
      <w:r w:rsidR="00395838">
        <w:t xml:space="preserve"> joint</w:t>
      </w:r>
      <w:r>
        <w:t xml:space="preserve"> funding framework. </w:t>
      </w:r>
    </w:p>
    <w:p w:rsidR="00D52672" w:rsidRPr="00D52672" w:rsidRDefault="00D52672" w:rsidP="00D52672">
      <w:pPr>
        <w:rPr>
          <w:b/>
        </w:rPr>
      </w:pPr>
      <w:r w:rsidRPr="00D52672">
        <w:rPr>
          <w:b/>
        </w:rPr>
        <w:t xml:space="preserve">Recommendation </w:t>
      </w:r>
      <w:r w:rsidR="00395838">
        <w:rPr>
          <w:b/>
        </w:rPr>
        <w:t>2</w:t>
      </w:r>
      <w:r w:rsidRPr="00D52672">
        <w:rPr>
          <w:b/>
        </w:rPr>
        <w:t xml:space="preserve">: </w:t>
      </w:r>
    </w:p>
    <w:p w:rsidR="00D52672" w:rsidRPr="00504AD4" w:rsidRDefault="00D52672" w:rsidP="00D52672">
      <w:r>
        <w:t xml:space="preserve">The Commission </w:t>
      </w:r>
      <w:r w:rsidRPr="009937AF">
        <w:t>recommend</w:t>
      </w:r>
      <w:r>
        <w:t>s</w:t>
      </w:r>
      <w:r w:rsidRPr="009937AF">
        <w:t xml:space="preserve"> that the Productivity Commission </w:t>
      </w:r>
      <w:r>
        <w:t xml:space="preserve">consider the </w:t>
      </w:r>
      <w:r w:rsidRPr="00225731">
        <w:t>Commission</w:t>
      </w:r>
      <w:r>
        <w:t>’s</w:t>
      </w:r>
      <w:r w:rsidRPr="00225731">
        <w:t xml:space="preserve"> </w:t>
      </w:r>
      <w:r>
        <w:t>Contributing Life Framework as a potential approach</w:t>
      </w:r>
      <w:r w:rsidRPr="00504AD4">
        <w:t xml:space="preserve"> for conceptualising child and family wellbeing</w:t>
      </w:r>
      <w:r>
        <w:t xml:space="preserve"> in the context of the Inquiry. </w:t>
      </w:r>
    </w:p>
    <w:p w:rsidR="00395838" w:rsidRPr="00D52672" w:rsidRDefault="00395838" w:rsidP="00395838">
      <w:pPr>
        <w:rPr>
          <w:b/>
        </w:rPr>
      </w:pPr>
      <w:r w:rsidRPr="00D52672">
        <w:rPr>
          <w:b/>
        </w:rPr>
        <w:t xml:space="preserve">Recommendation </w:t>
      </w:r>
      <w:r>
        <w:rPr>
          <w:b/>
        </w:rPr>
        <w:t>3</w:t>
      </w:r>
      <w:r w:rsidRPr="00D52672">
        <w:rPr>
          <w:b/>
        </w:rPr>
        <w:t xml:space="preserve">: </w:t>
      </w:r>
    </w:p>
    <w:p w:rsidR="00D52672" w:rsidRPr="00225731" w:rsidRDefault="00D52672" w:rsidP="00D52672">
      <w:r>
        <w:t xml:space="preserve">The Commission </w:t>
      </w:r>
      <w:r w:rsidRPr="00225731">
        <w:t>recommend</w:t>
      </w:r>
      <w:r>
        <w:t>s</w:t>
      </w:r>
      <w:r w:rsidRPr="00225731">
        <w:t xml:space="preserve"> that the Productivity Commission adopt a social determinants approach when considering which services to include within the scope of the Inquiry. </w:t>
      </w:r>
    </w:p>
    <w:p w:rsidR="00395838" w:rsidRDefault="00395838" w:rsidP="00395838">
      <w:pPr>
        <w:rPr>
          <w:b/>
        </w:rPr>
      </w:pPr>
    </w:p>
    <w:p w:rsidR="00395838" w:rsidRPr="00D52672" w:rsidRDefault="00395838" w:rsidP="00395838">
      <w:pPr>
        <w:rPr>
          <w:b/>
        </w:rPr>
      </w:pPr>
      <w:r w:rsidRPr="00D52672">
        <w:rPr>
          <w:b/>
        </w:rPr>
        <w:lastRenderedPageBreak/>
        <w:t xml:space="preserve">Recommendation </w:t>
      </w:r>
      <w:r>
        <w:rPr>
          <w:b/>
        </w:rPr>
        <w:t>4</w:t>
      </w:r>
      <w:r w:rsidRPr="00D52672">
        <w:rPr>
          <w:b/>
        </w:rPr>
        <w:t xml:space="preserve">: </w:t>
      </w:r>
    </w:p>
    <w:p w:rsidR="00D52672" w:rsidRDefault="00D52672" w:rsidP="00D52672">
      <w:r>
        <w:t xml:space="preserve">The Commission </w:t>
      </w:r>
      <w:r w:rsidRPr="00605E52">
        <w:t>supports a more proactive approach to fostering the wellbeing of children and young people experiencing vulnerability</w:t>
      </w:r>
      <w:r>
        <w:t>. Thereby it recommends that the Productivity Commission embeds prevention and early intervention approaches to underpin the joint funding framework for Australian and NT Governments.</w:t>
      </w:r>
    </w:p>
    <w:p w:rsidR="00395838" w:rsidRPr="00D52672" w:rsidRDefault="00395838" w:rsidP="00395838">
      <w:pPr>
        <w:rPr>
          <w:b/>
        </w:rPr>
      </w:pPr>
      <w:r w:rsidRPr="00D52672">
        <w:rPr>
          <w:b/>
        </w:rPr>
        <w:t xml:space="preserve">Recommendation </w:t>
      </w:r>
      <w:r>
        <w:rPr>
          <w:b/>
        </w:rPr>
        <w:t>5</w:t>
      </w:r>
      <w:r w:rsidRPr="00D52672">
        <w:rPr>
          <w:b/>
        </w:rPr>
        <w:t xml:space="preserve">: </w:t>
      </w:r>
    </w:p>
    <w:p w:rsidR="00D52672" w:rsidRDefault="00D52672" w:rsidP="00D52672">
      <w:r>
        <w:t>The Commission recommends</w:t>
      </w:r>
      <w:r w:rsidRPr="00CD0BC3">
        <w:t xml:space="preserve"> </w:t>
      </w:r>
      <w:r>
        <w:t xml:space="preserve">that the Productivity Commission consider the Western Australian Mental Health Commission’s Mental Health </w:t>
      </w:r>
      <w:r w:rsidRPr="00CD0BC3">
        <w:t>Alcohol and Other Drug Engagement Framework</w:t>
      </w:r>
      <w:r>
        <w:t xml:space="preserve"> as a model for community engagement and participation to support place-based approaches. </w:t>
      </w:r>
    </w:p>
    <w:p w:rsidR="00395838" w:rsidRPr="00D52672" w:rsidRDefault="00395838" w:rsidP="00395838">
      <w:pPr>
        <w:rPr>
          <w:b/>
        </w:rPr>
      </w:pPr>
      <w:r w:rsidRPr="00D52672">
        <w:rPr>
          <w:b/>
        </w:rPr>
        <w:t xml:space="preserve">Recommendation </w:t>
      </w:r>
      <w:r>
        <w:rPr>
          <w:b/>
        </w:rPr>
        <w:t>6</w:t>
      </w:r>
      <w:r w:rsidRPr="00D52672">
        <w:rPr>
          <w:b/>
        </w:rPr>
        <w:t xml:space="preserve">: </w:t>
      </w:r>
    </w:p>
    <w:p w:rsidR="00D52672" w:rsidRDefault="00D52672" w:rsidP="00D52672">
      <w:r>
        <w:t>The Commission recommends</w:t>
      </w:r>
      <w:r w:rsidRPr="00CD0BC3">
        <w:t xml:space="preserve"> </w:t>
      </w:r>
      <w:r>
        <w:t xml:space="preserve">that the Productivity Commission endorse the positioning of </w:t>
      </w:r>
      <w:r w:rsidRPr="00476E3D">
        <w:t>Aborig</w:t>
      </w:r>
      <w:r>
        <w:t xml:space="preserve">inal and Torres Strait Islander controlled organisations as preferred providers of services for Aboriginal and Torres Strait Islander peoples. </w:t>
      </w:r>
    </w:p>
    <w:p w:rsidR="00395838" w:rsidRPr="00D52672" w:rsidRDefault="00395838" w:rsidP="00395838">
      <w:pPr>
        <w:rPr>
          <w:b/>
        </w:rPr>
      </w:pPr>
      <w:r w:rsidRPr="00D52672">
        <w:rPr>
          <w:b/>
        </w:rPr>
        <w:t xml:space="preserve">Recommendation </w:t>
      </w:r>
      <w:r>
        <w:rPr>
          <w:b/>
        </w:rPr>
        <w:t>7</w:t>
      </w:r>
      <w:r w:rsidRPr="00D52672">
        <w:rPr>
          <w:b/>
        </w:rPr>
        <w:t xml:space="preserve">: </w:t>
      </w:r>
    </w:p>
    <w:p w:rsidR="00D52672" w:rsidRDefault="00D52672" w:rsidP="00D52672">
      <w:r>
        <w:t>The Commission recommends that</w:t>
      </w:r>
      <w:proofErr w:type="gramStart"/>
      <w:r>
        <w:t>:</w:t>
      </w:r>
      <w:proofErr w:type="gramEnd"/>
      <w:r w:rsidRPr="00502A31">
        <w:br/>
        <w:t>- the PC supports the implementation of a justice reinvestment approach to criminal justice, initially for Aboriginal and Torres Strait Islander communities</w:t>
      </w:r>
      <w:r w:rsidRPr="00502A31">
        <w:br/>
        <w:t>- pending the evaluation of this initiative, that the approach is more broadly rolled out.</w:t>
      </w:r>
    </w:p>
    <w:p w:rsidR="00D52672" w:rsidRPr="00502A31" w:rsidRDefault="00D52672" w:rsidP="00D52672">
      <w:r>
        <w:t>Note this recommendation is also in the Commission’s submission to the PC inquiry into mental health.</w:t>
      </w:r>
    </w:p>
    <w:p w:rsidR="00D52672" w:rsidRPr="002F6D10" w:rsidRDefault="00D52672" w:rsidP="00DE0B8A">
      <w:pPr>
        <w:autoSpaceDE w:val="0"/>
        <w:autoSpaceDN w:val="0"/>
        <w:adjustRightInd w:val="0"/>
        <w:spacing w:after="0"/>
      </w:pPr>
    </w:p>
    <w:p w:rsidR="00CF2B61" w:rsidRDefault="00CF2B61" w:rsidP="00CF2B61">
      <w:pPr>
        <w:pStyle w:val="Heading2"/>
      </w:pPr>
      <w:r>
        <w:t>Aboriginal and Torres Strait Islander peoples</w:t>
      </w:r>
    </w:p>
    <w:p w:rsidR="00CF2B61" w:rsidRDefault="00BD3B41" w:rsidP="006151C6">
      <w:r>
        <w:t>The Commission recommends that central to the development of the framework is the need for an engagement strategy that should promote a meaningful partnership with Aboriginal and Torres Strait Islander communities and facilitate their participation in leadership and governance structures</w:t>
      </w:r>
      <w:r w:rsidR="00966074">
        <w:t xml:space="preserve"> such as the Children and Families Tripartite Forum established in 2018 to provide advice on key reforms for children and families in the NT.</w:t>
      </w:r>
      <w:r>
        <w:t xml:space="preserve"> </w:t>
      </w:r>
      <w:r w:rsidR="00CF2B61">
        <w:t xml:space="preserve">While the </w:t>
      </w:r>
      <w:r w:rsidR="007521D1">
        <w:t>A</w:t>
      </w:r>
      <w:r w:rsidR="00CF2B61">
        <w:t xml:space="preserve">ppendix in the </w:t>
      </w:r>
      <w:r w:rsidR="00CF2B61" w:rsidRPr="00E51D16">
        <w:rPr>
          <w:i/>
        </w:rPr>
        <w:t>Issues Paper</w:t>
      </w:r>
      <w:r w:rsidR="00CF2B61">
        <w:t xml:space="preserve"> </w:t>
      </w:r>
      <w:r w:rsidR="00FC2252">
        <w:t>recognises</w:t>
      </w:r>
      <w:r>
        <w:t xml:space="preserve"> the </w:t>
      </w:r>
      <w:r w:rsidR="00CF2B61">
        <w:t>significant overrepresentation of Aboriginal and Torres Strait Islander children and families in the child protection system</w:t>
      </w:r>
      <w:r w:rsidR="00FC2252">
        <w:t>, there is no</w:t>
      </w:r>
      <w:r w:rsidR="00CF2B61">
        <w:t xml:space="preserve"> discuss</w:t>
      </w:r>
      <w:r w:rsidR="00FC2252">
        <w:t>ion on</w:t>
      </w:r>
      <w:r w:rsidR="00CF2B61">
        <w:t xml:space="preserve"> the factors that lead to this overrepresentation, nor does it highlight specific principles or approaches to promote better outcomes for Aboriginal and Torres Strait Islander children</w:t>
      </w:r>
      <w:r w:rsidR="00FC2252">
        <w:t>, their</w:t>
      </w:r>
      <w:r w:rsidR="00CF2B61">
        <w:t xml:space="preserve"> families</w:t>
      </w:r>
      <w:r w:rsidR="00FC2252" w:rsidRPr="00FC2252">
        <w:t xml:space="preserve"> </w:t>
      </w:r>
      <w:r w:rsidR="00FC2252">
        <w:t>and communities</w:t>
      </w:r>
      <w:r w:rsidR="00CF2B61">
        <w:t xml:space="preserve">. </w:t>
      </w:r>
      <w:r w:rsidR="00B3428C">
        <w:t xml:space="preserve">The </w:t>
      </w:r>
      <w:r w:rsidR="00B3428C" w:rsidRPr="00B3428C">
        <w:rPr>
          <w:i/>
        </w:rPr>
        <w:t>Family Matters Report 2018</w:t>
      </w:r>
      <w:r w:rsidR="00B3428C">
        <w:t xml:space="preserve"> highlights</w:t>
      </w:r>
      <w:r w:rsidR="006151C6">
        <w:t xml:space="preserve"> that</w:t>
      </w:r>
      <w:r w:rsidR="00B3428C">
        <w:t xml:space="preserve"> the disparate </w:t>
      </w:r>
      <w:r w:rsidR="006151C6">
        <w:t xml:space="preserve">gap </w:t>
      </w:r>
      <w:r w:rsidR="00B3428C">
        <w:t xml:space="preserve">between </w:t>
      </w:r>
      <w:r w:rsidR="00966074">
        <w:t xml:space="preserve">non-Indigenous children in out-of-homecare (numbers reduced by more than 20%) and  </w:t>
      </w:r>
      <w:r w:rsidR="00B3428C">
        <w:t xml:space="preserve">Aboriginal and Torres Strait Islander children </w:t>
      </w:r>
      <w:r w:rsidR="00966074">
        <w:t>(</w:t>
      </w:r>
      <w:r w:rsidR="00B3428C">
        <w:t>numbers increased by 120%</w:t>
      </w:r>
      <w:r w:rsidR="00966074">
        <w:t>)</w:t>
      </w:r>
      <w:r w:rsidR="006151C6">
        <w:t xml:space="preserve"> is widening from 2009-10 to 2016-17.</w:t>
      </w:r>
      <w:r w:rsidR="00906EB4">
        <w:fldChar w:fldCharType="begin"/>
      </w:r>
      <w:r w:rsidR="00014E87">
        <w:instrText xml:space="preserve"> ADDIN EN.CITE &lt;EndNote&gt;&lt;Cite&gt;&lt;Author&gt;SNAICC&lt;/Author&gt;&lt;Year&gt;2018&lt;/Year&gt;&lt;RecNum&gt;2199&lt;/RecNum&gt;&lt;DisplayText&gt;&lt;style face="superscript"&gt;2&lt;/style&gt;&lt;/DisplayText&gt;&lt;record&gt;&lt;rec-number&gt;2199&lt;/rec-number&gt;&lt;foreign-keys&gt;&lt;key app="EN" db-id="rezsta2w99aashetf5qx9r5rpp20sxf0daaw" timestamp="1559525802"&gt;2199&lt;/key&gt;&lt;/foreign-keys&gt;&lt;ref-type name="Report"&gt;27&lt;/ref-type&gt;&lt;contributors&gt;&lt;authors&gt;&lt;author&gt;SNAICC,&lt;/author&gt;&lt;author&gt;University of Melbourne, &lt;/author&gt;&lt;author&gt;Griffith University,&lt;/author&gt;&lt;/authors&gt;&lt;/contributors&gt;&lt;titles&gt;&lt;title&gt;The Family Matters Report 2018&lt;/title&gt;&lt;secondary-title&gt;Family Matters&lt;/secondary-title&gt;&lt;/titles&gt;&lt;dates&gt;&lt;year&gt;2018&lt;/year&gt;&lt;/dates&gt;&lt;pub-location&gt;Melbourne&lt;/pub-location&gt;&lt;urls&gt;&lt;related-urls&gt;&lt;url&gt;&lt;style face="underline" font="default" size="100%"&gt;http://www.familymatters.org.au/wp-content/uploads/2018/11/Family-Matters-Report-2018.pdf&lt;/style&gt;&lt;/url&gt;&lt;/related-urls&gt;&lt;/urls&gt;&lt;access-date&gt;2019 July 5&lt;/access-date&gt;&lt;/record&gt;&lt;/Cite&gt;&lt;/EndNote&gt;</w:instrText>
      </w:r>
      <w:r w:rsidR="00906EB4">
        <w:fldChar w:fldCharType="separate"/>
      </w:r>
      <w:r w:rsidR="00906EB4" w:rsidRPr="00906EB4">
        <w:rPr>
          <w:noProof/>
          <w:vertAlign w:val="superscript"/>
        </w:rPr>
        <w:t>2</w:t>
      </w:r>
      <w:r w:rsidR="00906EB4">
        <w:fldChar w:fldCharType="end"/>
      </w:r>
    </w:p>
    <w:p w:rsidR="00CF2B61" w:rsidRDefault="00CF2B61" w:rsidP="00CF2B61">
      <w:r>
        <w:t>Aboriginal and Torres Strait Islander experiences of the child protection system are shaped by a unique set of cultural and historical factors. A</w:t>
      </w:r>
      <w:r w:rsidR="008F3B9C">
        <w:t>s noted by the Royal Commission</w:t>
      </w:r>
      <w:r>
        <w:t>:</w:t>
      </w:r>
    </w:p>
    <w:p w:rsidR="00CF2B61" w:rsidRPr="00A17EB4" w:rsidRDefault="007521D1" w:rsidP="00CF2B61">
      <w:pPr>
        <w:ind w:left="567"/>
        <w:rPr>
          <w:sz w:val="20"/>
        </w:rPr>
      </w:pPr>
      <w:r>
        <w:t>“</w:t>
      </w:r>
      <w:r w:rsidR="00CF2B61" w:rsidRPr="00B33D35">
        <w:t xml:space="preserve">The contemporary challenges in relation to the wellbeing of Aboriginal children cannot be understood without an appreciation of the historical policies that have sought to control and intervene in the family life of </w:t>
      </w:r>
      <w:r w:rsidR="00CF2B61" w:rsidRPr="00906EB4">
        <w:t>Aboriginal people</w:t>
      </w:r>
      <w:r w:rsidR="00CF2B61" w:rsidRPr="00906EB4">
        <w:rPr>
          <w:sz w:val="20"/>
        </w:rPr>
        <w:t>.</w:t>
      </w:r>
      <w:r w:rsidRPr="00906EB4">
        <w:rPr>
          <w:sz w:val="20"/>
        </w:rPr>
        <w:t>”</w:t>
      </w:r>
      <w:r w:rsidR="00CF2B61" w:rsidRPr="00906EB4">
        <w:rPr>
          <w:sz w:val="20"/>
        </w:rPr>
        <w:fldChar w:fldCharType="begin"/>
      </w:r>
      <w:r w:rsidR="00906EB4" w:rsidRPr="00906EB4">
        <w:rPr>
          <w:sz w:val="20"/>
        </w:rPr>
        <w:instrText xml:space="preserve"> ADDIN EN.CITE &lt;EndNote&gt;&lt;Cite&gt;&lt;Author&gt;Royal Commission and Board of Inquiry into the protection and detention of children in the Northern Territory&lt;/Author&gt;&lt;Year&gt;2017&lt;/Year&gt;&lt;RecNum&gt;2523&lt;/RecNum&gt;&lt;DisplayText&gt;&lt;style face="superscript"&gt;3&lt;/style&gt;&lt;/DisplayText&gt;&lt;record&gt;&lt;rec-number&gt;2523&lt;/rec-number&gt;&lt;foreign-keys&gt;&lt;key app="EN" db-id="rezsta2w99aashetf5qx9r5rpp20sxf0daaw" timestamp="1561611480"&gt;2523&lt;/key&gt;&lt;/foreign-keys&gt;&lt;ref-type name="Report"&gt;27&lt;/ref-type&gt;&lt;contributors&gt;&lt;authors&gt;&lt;author&gt;Royal Commission and Board of Inquiry into the protection and detention of children in the Northern Territory,&lt;/author&gt;&lt;/authors&gt;&lt;tertiary-authors&gt;&lt;author&gt;Commonwealth of Australia &lt;/author&gt;&lt;/tertiary-authors&gt;&lt;/contributors&gt;&lt;titles&gt;&lt;title&gt;Report: Volume 3A&lt;/title&gt;&lt;/titles&gt;&lt;dates&gt;&lt;year&gt;2017&lt;/year&gt;&lt;/dates&gt;&lt;urls&gt;&lt;related-urls&gt;&lt;url&gt;https://www.royalcommission.gov.au/sites/default/files/2019-01/rcnt-royal-commission-nt-final-report-volume-3a.pdf&lt;/url&gt;&lt;/related-urls&gt;&lt;/urls&gt;&lt;/record&gt;&lt;/Cite&gt;&lt;/EndNote&gt;</w:instrText>
      </w:r>
      <w:r w:rsidR="00CF2B61" w:rsidRPr="00906EB4">
        <w:rPr>
          <w:sz w:val="20"/>
        </w:rPr>
        <w:fldChar w:fldCharType="separate"/>
      </w:r>
      <w:r w:rsidR="00906EB4" w:rsidRPr="00906EB4">
        <w:rPr>
          <w:noProof/>
          <w:sz w:val="20"/>
          <w:vertAlign w:val="superscript"/>
        </w:rPr>
        <w:t>3</w:t>
      </w:r>
      <w:r w:rsidR="00CF2B61" w:rsidRPr="00906EB4">
        <w:rPr>
          <w:sz w:val="20"/>
        </w:rPr>
        <w:fldChar w:fldCharType="end"/>
      </w:r>
    </w:p>
    <w:p w:rsidR="00CF2B61" w:rsidRDefault="00CF2B61" w:rsidP="00CF2B61">
      <w:r>
        <w:t xml:space="preserve">Significantly, the Royal Commission specifically identified the intergenerational trauma stemming from the results of colonisation (including policies mandating the forced removal of children) as a key factor driving the </w:t>
      </w:r>
      <w:r w:rsidRPr="00906EB4">
        <w:t xml:space="preserve">overrepresentation of Aboriginal children and young people in out-of-home care and youth detention in the </w:t>
      </w:r>
      <w:r w:rsidR="006B3393" w:rsidRPr="00906EB4">
        <w:t>NT</w:t>
      </w:r>
      <w:r w:rsidRPr="00906EB4">
        <w:t>.</w:t>
      </w:r>
      <w:r w:rsidRPr="00906EB4">
        <w:fldChar w:fldCharType="begin"/>
      </w:r>
      <w:r w:rsidR="00906EB4" w:rsidRPr="00906EB4">
        <w:instrText xml:space="preserve"> ADDIN EN.CITE &lt;EndNote&gt;&lt;Cite&gt;&lt;Author&gt;Royal Commission and Board of Inquiry into the protection and detention of children in the Northern Territory&lt;/Author&gt;&lt;Year&gt;2017&lt;/Year&gt;&lt;RecNum&gt;2525&lt;/RecNum&gt;&lt;DisplayText&gt;&lt;style face="superscript"&gt;4&lt;/style&gt;&lt;/DisplayText&gt;&lt;record&gt;&lt;rec-number&gt;2525&lt;/rec-number&gt;&lt;foreign-keys&gt;&lt;key app="EN" db-id="rezsta2w99aashetf5qx9r5rpp20sxf0daaw" timestamp="1561612192"&gt;2525&lt;/key&gt;&lt;/foreign-keys&gt;&lt;ref-type name="Report"&gt;27&lt;/ref-type&gt;&lt;contributors&gt;&lt;authors&gt;&lt;author&gt;Royal Commission and Board of Inquiry into the protection and detention of children in the Northern Territory,&lt;/author&gt;&lt;/authors&gt;&lt;tertiary-authors&gt;&lt;author&gt;Commonwealth of Australia&lt;/author&gt;&lt;/tertiary-authors&gt;&lt;/contributors&gt;&lt;titles&gt;&lt;title&gt;Interim Report&lt;/title&gt;&lt;/titles&gt;&lt;dates&gt;&lt;year&gt;2017&lt;/year&gt;&lt;/dates&gt;&lt;urls&gt;&lt;related-urls&gt;&lt;url&gt;https://www.royalcommission.gov.au/sites/default/files/2019-01/rcnt-interim-report.pdf&lt;/url&gt;&lt;/related-urls&gt;&lt;/urls&gt;&lt;/record&gt;&lt;/Cite&gt;&lt;/EndNote&gt;</w:instrText>
      </w:r>
      <w:r w:rsidRPr="00906EB4">
        <w:fldChar w:fldCharType="separate"/>
      </w:r>
      <w:r w:rsidR="00906EB4" w:rsidRPr="00906EB4">
        <w:rPr>
          <w:noProof/>
          <w:vertAlign w:val="superscript"/>
        </w:rPr>
        <w:t>4</w:t>
      </w:r>
      <w:r w:rsidRPr="00906EB4">
        <w:fldChar w:fldCharType="end"/>
      </w:r>
      <w:r w:rsidRPr="00906EB4">
        <w:t xml:space="preserve"> It also highlighted the protective capacity of Aboriginal culture, </w:t>
      </w:r>
      <w:r w:rsidRPr="00906EB4">
        <w:lastRenderedPageBreak/>
        <w:t>family and kinship for children.</w:t>
      </w:r>
      <w:r w:rsidRPr="00906EB4">
        <w:fldChar w:fldCharType="begin"/>
      </w:r>
      <w:r w:rsidR="00906EB4" w:rsidRPr="00906EB4">
        <w:instrText xml:space="preserve"> ADDIN EN.CITE &lt;EndNote&gt;&lt;Cite&gt;&lt;Author&gt;Royal Commission and Board of Inquiry into the protection and detention of children in the Northern Territory&lt;/Author&gt;&lt;Year&gt;2017&lt;/Year&gt;&lt;RecNum&gt;2524&lt;/RecNum&gt;&lt;DisplayText&gt;&lt;style face="superscript"&gt;5&lt;/style&gt;&lt;/DisplayText&gt;&lt;record&gt;&lt;rec-number&gt;2524&lt;/rec-number&gt;&lt;foreign-keys&gt;&lt;key app="EN" db-id="rezsta2w99aashetf5qx9r5rpp20sxf0daaw" timestamp="1561611762"&gt;2524&lt;/key&gt;&lt;/foreign-keys&gt;&lt;ref-type name="Report"&gt;27&lt;/ref-type&gt;&lt;contributors&gt;&lt;authors&gt;&lt;author&gt;Royal Commission and Board of Inquiry into the protection and detention of children in the Northern Territory,&lt;/author&gt;&lt;/authors&gt;&lt;tertiary-authors&gt;&lt;author&gt;Commonwealth of Australia&lt;/author&gt;&lt;/tertiary-authors&gt;&lt;/contributors&gt;&lt;titles&gt;&lt;title&gt;Report: Volume 1&lt;/title&gt;&lt;/titles&gt;&lt;dates&gt;&lt;year&gt;2017&lt;/year&gt;&lt;/dates&gt;&lt;urls&gt;&lt;related-urls&gt;&lt;url&gt;https://www.royalcommission.gov.au/sites/default/files/2019-01/rcnt-royal-commission-nt-final-report-volume-1.pdf&lt;/url&gt;&lt;/related-urls&gt;&lt;/urls&gt;&lt;/record&gt;&lt;/Cite&gt;&lt;/EndNote&gt;</w:instrText>
      </w:r>
      <w:r w:rsidRPr="00906EB4">
        <w:fldChar w:fldCharType="separate"/>
      </w:r>
      <w:r w:rsidR="00906EB4" w:rsidRPr="00906EB4">
        <w:rPr>
          <w:noProof/>
          <w:vertAlign w:val="superscript"/>
        </w:rPr>
        <w:t>5</w:t>
      </w:r>
      <w:r w:rsidRPr="00906EB4">
        <w:fldChar w:fldCharType="end"/>
      </w:r>
      <w:r w:rsidRPr="00906EB4">
        <w:t xml:space="preserve"> </w:t>
      </w:r>
      <w:r w:rsidR="00B33D35" w:rsidRPr="00906EB4">
        <w:t>As noted by SNAICC – National Voice for Our Children (SNAICC) maintaining connections to family, culture</w:t>
      </w:r>
      <w:r w:rsidR="00E83D84">
        <w:t xml:space="preserve"> and</w:t>
      </w:r>
      <w:r w:rsidR="00B33D35">
        <w:t xml:space="preserve"> communities is crucial to ensure the ongoing safety and wellbeing of Aboriginal and Torres Strait Islander children removed from their families and communities.</w:t>
      </w:r>
      <w:r w:rsidR="00906EB4">
        <w:fldChar w:fldCharType="begin"/>
      </w:r>
      <w:r w:rsidR="00906EB4">
        <w:instrText xml:space="preserve"> ADDIN EN.CITE &lt;EndNote&gt;&lt;Cite&gt;&lt;Author&gt;SNAICC National Voice for our Children&lt;/Author&gt;&lt;Year&gt;2019&lt;/Year&gt;&lt;RecNum&gt;2528&lt;/RecNum&gt;&lt;DisplayText&gt;&lt;style face="superscript"&gt;6&lt;/style&gt;&lt;/DisplayText&gt;&lt;record&gt;&lt;rec-number&gt;2528&lt;/rec-number&gt;&lt;foreign-keys&gt;&lt;key app="EN" db-id="rezsta2w99aashetf5qx9r5rpp20sxf0daaw" timestamp="1562630444"&gt;2528&lt;/key&gt;&lt;/foreign-keys&gt;&lt;ref-type name="Web Page"&gt;12&lt;/ref-type&gt;&lt;contributors&gt;&lt;authors&gt;&lt;author&gt;SNAICC National Voice for our Children,&lt;/author&gt;&lt;/authors&gt;&lt;/contributors&gt;&lt;titles&gt;&lt;title&gt;Submission to the Northern Territory Legislative Assembly’s Economic Policy Scrutiny Committee on the Care and Protection of Children Amendment Bill 2019 (NT)&lt;/title&gt;&lt;/titles&gt;&lt;dates&gt;&lt;year&gt;2019&lt;/year&gt;&lt;/dates&gt;&lt;urls&gt;&lt;related-urls&gt;&lt;url&gt;https://parliament.nt.gov.au/__data/assets/pdf_file/0007/688948/Submission-No.-10-National-Voice-for-Our-Children-SNAICC.pdf&lt;/url&gt;&lt;/related-urls&gt;&lt;/urls&gt;&lt;custom1&gt;2019&lt;/custom1&gt;&lt;custom2&gt;July 5&lt;/custom2&gt;&lt;/record&gt;&lt;/Cite&gt;&lt;/EndNote&gt;</w:instrText>
      </w:r>
      <w:r w:rsidR="00906EB4">
        <w:fldChar w:fldCharType="separate"/>
      </w:r>
      <w:r w:rsidR="00906EB4" w:rsidRPr="00906EB4">
        <w:rPr>
          <w:noProof/>
          <w:vertAlign w:val="superscript"/>
        </w:rPr>
        <w:t>6</w:t>
      </w:r>
      <w:r w:rsidR="00906EB4">
        <w:fldChar w:fldCharType="end"/>
      </w:r>
      <w:r w:rsidR="00906EB4">
        <w:t xml:space="preserve"> </w:t>
      </w:r>
      <w:r>
        <w:t>An understanding of factors such as these will be critical to developing child and family services that meet the needs of Aboriginal and Torres Strait Islander peoples and deliver value-for-money.</w:t>
      </w:r>
    </w:p>
    <w:p w:rsidR="00CF2B61" w:rsidRDefault="00B873C1" w:rsidP="00CF2B61">
      <w:r>
        <w:t xml:space="preserve">Many Aboriginal people have negative relationships with institutional settings across health, community and justice systems. This relates to the intergenerational trauma and previous traumatic experiences in such settings. </w:t>
      </w:r>
      <w:r w:rsidR="007521D1">
        <w:t>Governments</w:t>
      </w:r>
      <w:r w:rsidR="008E63E0">
        <w:t xml:space="preserve"> need to support partnerships among service providers, both mainstream and community controlled.</w:t>
      </w:r>
      <w:r>
        <w:t xml:space="preserve">  </w:t>
      </w:r>
      <w:r w:rsidR="00CF2B61">
        <w:t xml:space="preserve">To ensure that the Inquiry adequately considers the unique needs and circumstances of Aboriginal and Torres Strait Islander children and families, the </w:t>
      </w:r>
      <w:r>
        <w:t xml:space="preserve">Commission </w:t>
      </w:r>
      <w:r w:rsidR="00D52672">
        <w:t>recommends that</w:t>
      </w:r>
      <w:r w:rsidR="00CF2B61">
        <w:t xml:space="preserve"> the Productivity Commission to develop a </w:t>
      </w:r>
      <w:r w:rsidR="007521D1">
        <w:t>partnership approach</w:t>
      </w:r>
      <w:r w:rsidR="00CF2B61">
        <w:t xml:space="preserve"> </w:t>
      </w:r>
      <w:r w:rsidR="00124DFC">
        <w:t xml:space="preserve">to ensure </w:t>
      </w:r>
      <w:r w:rsidR="00CF2B61">
        <w:t>Aboriginal and Torres Strait Islander peoples</w:t>
      </w:r>
      <w:r w:rsidR="00124DFC">
        <w:t xml:space="preserve"> </w:t>
      </w:r>
      <w:r w:rsidR="007521D1">
        <w:t>play a leading role in the planning, design and implementation of the new funding framework.</w:t>
      </w:r>
    </w:p>
    <w:p w:rsidR="00CF2B61" w:rsidRDefault="00B873C1" w:rsidP="00CF2B61">
      <w:pPr>
        <w:pStyle w:val="Recommendations"/>
        <w:pBdr>
          <w:bottom w:val="single" w:sz="4" w:space="3" w:color="auto"/>
        </w:pBdr>
      </w:pPr>
      <w:r>
        <w:t xml:space="preserve">The </w:t>
      </w:r>
      <w:r w:rsidR="00D52672">
        <w:t>Commission recommends that the Productivity Commission develop</w:t>
      </w:r>
      <w:r w:rsidR="00395838">
        <w:t>s</w:t>
      </w:r>
      <w:r w:rsidR="00D52672">
        <w:t xml:space="preserve"> a partnership approach to ensure Aboriginal and Torres Strait Islander peoples play a leading role in the planning, design and implementation of the new </w:t>
      </w:r>
      <w:r w:rsidR="00395838">
        <w:t xml:space="preserve">joint </w:t>
      </w:r>
      <w:r w:rsidR="00D52672">
        <w:t>funding framework.</w:t>
      </w:r>
      <w:r w:rsidR="00CF2B61">
        <w:t xml:space="preserve"> </w:t>
      </w:r>
    </w:p>
    <w:p w:rsidR="000257AE" w:rsidRPr="000E1D7C" w:rsidRDefault="000257AE" w:rsidP="000E1D7C">
      <w:pPr>
        <w:pStyle w:val="Heading2"/>
      </w:pPr>
      <w:r w:rsidRPr="000E1D7C">
        <w:t>The Contributing Life Framework</w:t>
      </w:r>
    </w:p>
    <w:p w:rsidR="007E2A2C" w:rsidRDefault="008F3B9C" w:rsidP="008F3B9C">
      <w:r>
        <w:t xml:space="preserve">The Commission considers that </w:t>
      </w:r>
      <w:proofErr w:type="gramStart"/>
      <w:r>
        <w:t>its</w:t>
      </w:r>
      <w:proofErr w:type="gramEnd"/>
      <w:r>
        <w:t xml:space="preserve"> </w:t>
      </w:r>
      <w:r w:rsidRPr="00E66B9B">
        <w:rPr>
          <w:i/>
        </w:rPr>
        <w:t>Contributing Life Framework</w:t>
      </w:r>
      <w:r>
        <w:t xml:space="preserve">, in particular its focus on the social </w:t>
      </w:r>
      <w:r w:rsidRPr="00B243F1">
        <w:t xml:space="preserve">determinants of health, could provide a useful </w:t>
      </w:r>
      <w:r w:rsidR="00B873C1">
        <w:t>approach</w:t>
      </w:r>
      <w:r>
        <w:t xml:space="preserve"> to guide the present I</w:t>
      </w:r>
      <w:r w:rsidRPr="00B243F1">
        <w:t xml:space="preserve">nquiry. </w:t>
      </w:r>
      <w:r>
        <w:t xml:space="preserve">The Framework highlighted that </w:t>
      </w:r>
      <w:r w:rsidRPr="008F3B9C">
        <w:rPr>
          <w:i/>
        </w:rPr>
        <w:t>everyone</w:t>
      </w:r>
      <w:r>
        <w:t xml:space="preserve"> has the right to a ‘contributing life’, a life in which people who experience mental illness can </w:t>
      </w:r>
      <w:r w:rsidRPr="0096609E">
        <w:t>expect the same rights, opportunities and health as the wider community.</w:t>
      </w:r>
      <w:r>
        <w:t xml:space="preserve"> It is a life enriched with close connections to family and friends; good health and wellbeing to allow those connections to be enjoyed; having something to do each day that provides meaning and purpose; and a home to live in, free from financial stress and uncertainty.</w:t>
      </w:r>
      <w:r>
        <w:fldChar w:fldCharType="begin"/>
      </w:r>
      <w:r w:rsidR="00906EB4">
        <w:instrText xml:space="preserve"> ADDIN EN.CITE &lt;EndNote&gt;&lt;Cite&gt;&lt;Author&gt;National Mental Health Commission&lt;/Author&gt;&lt;Year&gt;2012&lt;/Year&gt;&lt;RecNum&gt;1691&lt;/RecNum&gt;&lt;DisplayText&gt;&lt;style face="superscript"&gt;7&lt;/style&gt;&lt;/DisplayText&gt;&lt;record&gt;&lt;rec-number&gt;1691&lt;/rec-number&gt;&lt;foreign-keys&gt;&lt;key app="EN" db-id="rezsta2w99aashetf5qx9r5rpp20sxf0daaw" timestamp="1559525732"&gt;1691&lt;/key&gt;&lt;/foreign-keys&gt;&lt;ref-type name="Report"&gt;27&lt;/ref-type&gt;&lt;contributors&gt;&lt;authors&gt;&lt;author&gt;National Mental Health Commission,&lt;/author&gt;&lt;/authors&gt;&lt;tertiary-authors&gt;&lt;author&gt;National Mental Health Commission&lt;/author&gt;&lt;/tertiary-authors&gt;&lt;/contributors&gt;&lt;titles&gt;&lt;title&gt;A Contributing Life, the 2012 National Report Card on Mental Health and Suicide Prevention&lt;/title&gt;&lt;/titles&gt;&lt;dates&gt;&lt;year&gt;2012&lt;/year&gt;&lt;/dates&gt;&lt;pub-location&gt;Sydney&lt;/pub-location&gt;&lt;urls&gt;&lt;/urls&gt;&lt;/record&gt;&lt;/Cite&gt;&lt;/EndNote&gt;</w:instrText>
      </w:r>
      <w:r>
        <w:fldChar w:fldCharType="separate"/>
      </w:r>
      <w:r w:rsidR="00906EB4" w:rsidRPr="00906EB4">
        <w:rPr>
          <w:noProof/>
          <w:vertAlign w:val="superscript"/>
        </w:rPr>
        <w:t>7</w:t>
      </w:r>
      <w:r>
        <w:fldChar w:fldCharType="end"/>
      </w:r>
      <w:r w:rsidR="007E2A2C">
        <w:t xml:space="preserve"> </w:t>
      </w:r>
    </w:p>
    <w:p w:rsidR="0096609E" w:rsidRDefault="008F3B9C" w:rsidP="007347B0">
      <w:r w:rsidRPr="00B243F1">
        <w:t>While the</w:t>
      </w:r>
      <w:r>
        <w:t xml:space="preserve"> </w:t>
      </w:r>
      <w:r w:rsidRPr="00E66B9B">
        <w:rPr>
          <w:i/>
        </w:rPr>
        <w:t>Contributing Life Framework</w:t>
      </w:r>
      <w:r>
        <w:t xml:space="preserve"> centres on mental health, its emphasis on the broader conditions that can shape a person’s life outcomes and opportunities is highly relevant in the context of child protection. </w:t>
      </w:r>
      <w:r w:rsidR="007347B0" w:rsidRPr="00E66B9B">
        <w:t>The</w:t>
      </w:r>
      <w:r w:rsidR="007347B0" w:rsidRPr="00E66B9B">
        <w:rPr>
          <w:i/>
        </w:rPr>
        <w:t xml:space="preserve"> Contributing Life </w:t>
      </w:r>
      <w:r w:rsidR="0096609E" w:rsidRPr="00E66B9B">
        <w:rPr>
          <w:i/>
        </w:rPr>
        <w:t>Framework</w:t>
      </w:r>
      <w:r w:rsidR="0096609E">
        <w:t xml:space="preserve"> recognises that a fulfilling life requires more than just access to health care services</w:t>
      </w:r>
      <w:r w:rsidR="007347B0">
        <w:t xml:space="preserve">. It draws attention to the importance of the </w:t>
      </w:r>
      <w:r w:rsidR="0096609E">
        <w:t>social conditions in which people are born, grow, work, live and age, as well as the systems that shape the conditions of daily life</w:t>
      </w:r>
      <w:r w:rsidR="007347B0">
        <w:t xml:space="preserve">. These conditions – </w:t>
      </w:r>
      <w:r w:rsidR="0096609E">
        <w:t xml:space="preserve">collectively referred to as the </w:t>
      </w:r>
      <w:r w:rsidR="007347B0">
        <w:t>social determinants of health – can strengthen or undermine the health of individuals and communities</w:t>
      </w:r>
      <w:r w:rsidR="00DF487C">
        <w:t>.</w:t>
      </w:r>
      <w:r w:rsidR="00884DBF">
        <w:fldChar w:fldCharType="begin"/>
      </w:r>
      <w:r w:rsidR="00906EB4">
        <w:instrText xml:space="preserve"> ADDIN EN.CITE &lt;EndNote&gt;&lt;Cite&gt;&lt;Author&gt;Australian Institute of Health and Welfare&lt;/Author&gt;&lt;Year&gt;2018&lt;/Year&gt;&lt;RecNum&gt;328&lt;/RecNum&gt;&lt;DisplayText&gt;&lt;style face="superscript"&gt;8&lt;/style&gt;&lt;/DisplayText&gt;&lt;record&gt;&lt;rec-number&gt;328&lt;/rec-number&gt;&lt;foreign-keys&gt;&lt;key app="EN" db-id="rezsta2w99aashetf5qx9r5rpp20sxf0daaw" timestamp="1559525576"&gt;328&lt;/key&gt;&lt;/foreign-keys&gt;&lt;ref-type name="Report"&gt;27&lt;/ref-type&gt;&lt;contributors&gt;&lt;authors&gt;&lt;author&gt;Australian Institute of Health and Welfare,&lt;/author&gt;&lt;/authors&gt;&lt;/contributors&gt;&lt;titles&gt;&lt;title&gt;Australia&amp;apos;s Health 2018. Australia’s health series no. 16. US 221.&lt;/title&gt;&lt;/titles&gt;&lt;dates&gt;&lt;year&gt;2018&lt;/year&gt;&lt;/dates&gt;&lt;pub-location&gt;Canberra&lt;/pub-location&gt;&lt;publisher&gt;AIHW&lt;/publisher&gt;&lt;urls&gt;&lt;related-urls&gt;&lt;url&gt;https://www.aihw.gov.au/getmedia/7c42913d-295f-4bc9-9c24-4e44eff4a04a/aihw-aus-221.pdf.aspx?inline=true&lt;/url&gt;&lt;/related-urls&gt;&lt;/urls&gt;&lt;/record&gt;&lt;/Cite&gt;&lt;/EndNote&gt;</w:instrText>
      </w:r>
      <w:r w:rsidR="00884DBF">
        <w:fldChar w:fldCharType="separate"/>
      </w:r>
      <w:r w:rsidR="00906EB4" w:rsidRPr="00906EB4">
        <w:rPr>
          <w:noProof/>
          <w:vertAlign w:val="superscript"/>
        </w:rPr>
        <w:t>8</w:t>
      </w:r>
      <w:r w:rsidR="00884DBF">
        <w:fldChar w:fldCharType="end"/>
      </w:r>
    </w:p>
    <w:p w:rsidR="00507676" w:rsidRDefault="00507676" w:rsidP="00507676">
      <w:r>
        <w:t xml:space="preserve">The social determinants of health have </w:t>
      </w:r>
      <w:r w:rsidR="00504AD4">
        <w:t>particularly significance for</w:t>
      </w:r>
      <w:r>
        <w:t xml:space="preserve"> Aboriginal and Torres Strait Islander peoples, for whom mental health is inextricably linked to the broader concept of social and emotional wellbeing. This is a</w:t>
      </w:r>
      <w:r w:rsidRPr="00FA7475">
        <w:t xml:space="preserve"> holistic concept that reflects the Aboriginal and Torres Strait Islander understanding of health and recognises the importance of connection to land, culture, spirituality, ancestry, family and community and how these affect the individual.</w:t>
      </w:r>
      <w:r w:rsidR="00884DBF">
        <w:fldChar w:fldCharType="begin"/>
      </w:r>
      <w:r w:rsidR="00906EB4">
        <w:instrText xml:space="preserve"> ADDIN EN.CITE &lt;EndNote&gt;&lt;Cite&gt;&lt;Author&gt;National Mental Health Commission&lt;/Author&gt;&lt;Year&gt;2014&lt;/Year&gt;&lt;RecNum&gt;1709&lt;/RecNum&gt;&lt;DisplayText&gt;&lt;style face="superscript"&gt;9&lt;/style&gt;&lt;/DisplayText&gt;&lt;record&gt;&lt;rec-number&gt;1709&lt;/rec-number&gt;&lt;foreign-keys&gt;&lt;key app="EN" db-id="rezsta2w99aashetf5qx9r5rpp20sxf0daaw" timestamp="1559525734"&gt;1709&lt;/key&gt;&lt;/foreign-keys&gt;&lt;ref-type name="Report"&gt;27&lt;/ref-type&gt;&lt;contributors&gt;&lt;authors&gt;&lt;author&gt;National Mental Health Commission,&lt;/author&gt;&lt;/authors&gt;&lt;tertiary-authors&gt;&lt;author&gt;National Mental Health Commission, Australian Government&lt;/author&gt;&lt;/tertiary-authors&gt;&lt;/contributors&gt;&lt;titles&gt;&lt;title&gt;Contributing lives, thriving communities: report of the National Review of Mental Health Programmes and Services&lt;/title&gt;&lt;/titles&gt;&lt;dates&gt;&lt;year&gt;2014&lt;/year&gt;&lt;pub-dates&gt;&lt;date&gt;30 November&lt;/date&gt;&lt;/pub-dates&gt;&lt;/dates&gt;&lt;pub-location&gt;Sydney&lt;/pub-location&gt;&lt;publisher&gt;NMHC&lt;/publisher&gt;&lt;urls&gt;&lt;related-urls&gt;&lt;url&gt;www.mentalhealthcommission.gov.au/our-reports/contributing-lives,-thriving-communities-review-of-mental-health-programmes-and-services.aspx&lt;/url&gt;&lt;/related-urls&gt;&lt;/urls&gt;&lt;/record&gt;&lt;/Cite&gt;&lt;/EndNote&gt;</w:instrText>
      </w:r>
      <w:r w:rsidR="00884DBF">
        <w:fldChar w:fldCharType="separate"/>
      </w:r>
      <w:r w:rsidR="00906EB4" w:rsidRPr="00906EB4">
        <w:rPr>
          <w:noProof/>
          <w:vertAlign w:val="superscript"/>
        </w:rPr>
        <w:t>9</w:t>
      </w:r>
      <w:r w:rsidR="00884DBF">
        <w:fldChar w:fldCharType="end"/>
      </w:r>
      <w:r>
        <w:t xml:space="preserve"> </w:t>
      </w:r>
    </w:p>
    <w:p w:rsidR="009937AF" w:rsidRPr="00504AD4" w:rsidRDefault="00B873C1" w:rsidP="009937AF">
      <w:pPr>
        <w:pStyle w:val="Recommendations"/>
      </w:pPr>
      <w:r>
        <w:t xml:space="preserve">The Commission </w:t>
      </w:r>
      <w:r w:rsidR="009937AF" w:rsidRPr="009937AF">
        <w:t>recommend</w:t>
      </w:r>
      <w:r>
        <w:t>s</w:t>
      </w:r>
      <w:r w:rsidR="009937AF" w:rsidRPr="009937AF">
        <w:t xml:space="preserve"> that the Productivity Commission </w:t>
      </w:r>
      <w:r w:rsidR="00504AD4">
        <w:t>consi</w:t>
      </w:r>
      <w:r w:rsidR="004E0CE6">
        <w:t xml:space="preserve">der the </w:t>
      </w:r>
      <w:r w:rsidR="0082366A" w:rsidRPr="00225731">
        <w:t>Commission</w:t>
      </w:r>
      <w:r w:rsidR="0082366A">
        <w:t>’s</w:t>
      </w:r>
      <w:r w:rsidR="0082366A" w:rsidRPr="00225731">
        <w:t xml:space="preserve"> </w:t>
      </w:r>
      <w:r w:rsidR="004E0CE6">
        <w:t>Contributing Life</w:t>
      </w:r>
      <w:r w:rsidR="00504AD4">
        <w:t xml:space="preserve"> Framework as a potential </w:t>
      </w:r>
      <w:r>
        <w:t>approach</w:t>
      </w:r>
      <w:r w:rsidR="00504AD4" w:rsidRPr="00504AD4">
        <w:t xml:space="preserve"> for conceptualising </w:t>
      </w:r>
      <w:r w:rsidR="009937AF" w:rsidRPr="00504AD4">
        <w:t>child and family wellbeing</w:t>
      </w:r>
      <w:r w:rsidR="00504AD4">
        <w:t xml:space="preserve"> in the context of the Inquiry. </w:t>
      </w:r>
    </w:p>
    <w:p w:rsidR="002C0D14" w:rsidRDefault="009937AF" w:rsidP="00504AD4">
      <w:r>
        <w:t xml:space="preserve">In line with the </w:t>
      </w:r>
      <w:r w:rsidRPr="00AD5B81">
        <w:t>above</w:t>
      </w:r>
      <w:r>
        <w:t xml:space="preserve"> recommendation, t</w:t>
      </w:r>
      <w:r w:rsidR="002C0D14">
        <w:t>he</w:t>
      </w:r>
      <w:r>
        <w:t xml:space="preserve"> </w:t>
      </w:r>
      <w:r w:rsidR="007E2A2C" w:rsidRPr="00225731">
        <w:t xml:space="preserve">Commission </w:t>
      </w:r>
      <w:r>
        <w:t xml:space="preserve">welcomes the </w:t>
      </w:r>
      <w:r w:rsidR="0076055E">
        <w:t xml:space="preserve">recognition </w:t>
      </w:r>
      <w:r>
        <w:t xml:space="preserve">in the </w:t>
      </w:r>
      <w:r w:rsidR="002C0D14" w:rsidRPr="00E51D16">
        <w:rPr>
          <w:i/>
        </w:rPr>
        <w:t>Issues Paper</w:t>
      </w:r>
      <w:r w:rsidR="002C0D14">
        <w:t xml:space="preserve"> </w:t>
      </w:r>
      <w:r>
        <w:t xml:space="preserve">that a broad range of services have the potential to </w:t>
      </w:r>
      <w:r w:rsidR="002C0D14">
        <w:t>prevent harm to children</w:t>
      </w:r>
      <w:r>
        <w:t xml:space="preserve">, including some that are not typically characterised as child and family </w:t>
      </w:r>
      <w:r w:rsidR="0076055E">
        <w:t xml:space="preserve">services. The </w:t>
      </w:r>
      <w:r w:rsidR="007E2A2C" w:rsidRPr="00225731">
        <w:t xml:space="preserve">Commission </w:t>
      </w:r>
      <w:r w:rsidR="0076055E">
        <w:t>also acknowledges that it will not be p</w:t>
      </w:r>
      <w:r w:rsidR="00504AD4">
        <w:t>ossible for the I</w:t>
      </w:r>
      <w:r w:rsidR="0076055E">
        <w:t xml:space="preserve">nquiry to consider all such services in detail. </w:t>
      </w:r>
      <w:r w:rsidR="00504AD4" w:rsidRPr="00225731">
        <w:t>When considering which services to include within the Inquiry’s scope, th</w:t>
      </w:r>
      <w:r w:rsidR="0076055E" w:rsidRPr="00225731">
        <w:t xml:space="preserve">e </w:t>
      </w:r>
      <w:r w:rsidR="007E2A2C" w:rsidRPr="00225731">
        <w:t xml:space="preserve">Commission </w:t>
      </w:r>
      <w:r w:rsidR="0076055E" w:rsidRPr="00225731">
        <w:t xml:space="preserve">encourages the Productivity </w:t>
      </w:r>
      <w:r w:rsidR="0076055E" w:rsidRPr="00225731">
        <w:lastRenderedPageBreak/>
        <w:t>Commission to</w:t>
      </w:r>
      <w:r w:rsidR="00504AD4" w:rsidRPr="00225731">
        <w:t xml:space="preserve"> adopt a social determinants approach that takes into account the </w:t>
      </w:r>
      <w:r w:rsidR="00225731" w:rsidRPr="00225731">
        <w:t xml:space="preserve">broad </w:t>
      </w:r>
      <w:r w:rsidR="00504AD4" w:rsidRPr="00225731">
        <w:t xml:space="preserve">range of factors that may influence child protection. </w:t>
      </w:r>
      <w:r w:rsidRPr="00225731">
        <w:t>Th</w:t>
      </w:r>
      <w:r w:rsidR="00504AD4" w:rsidRPr="00225731">
        <w:t>is approach w</w:t>
      </w:r>
      <w:r w:rsidR="00225731" w:rsidRPr="00225731">
        <w:t xml:space="preserve">ould allow for the inclusion of </w:t>
      </w:r>
      <w:r w:rsidR="00504AD4" w:rsidRPr="00225731">
        <w:t>services and supports that can play a central role in supporting child and family wellbeing</w:t>
      </w:r>
      <w:r w:rsidR="00225731" w:rsidRPr="00225731">
        <w:t xml:space="preserve">, such as </w:t>
      </w:r>
      <w:r w:rsidRPr="00225731">
        <w:t>alcohol and other drug services,</w:t>
      </w:r>
      <w:r w:rsidR="0088689D">
        <w:t xml:space="preserve"> physical and mental</w:t>
      </w:r>
      <w:r w:rsidRPr="00225731">
        <w:t xml:space="preserve"> health care, housing, and family and domestic violence services. </w:t>
      </w:r>
    </w:p>
    <w:p w:rsidR="000E1D7C" w:rsidRPr="00225731" w:rsidRDefault="00B873C1" w:rsidP="000E1D7C">
      <w:pPr>
        <w:pStyle w:val="Recommendations"/>
      </w:pPr>
      <w:r>
        <w:t xml:space="preserve">The Commission </w:t>
      </w:r>
      <w:r w:rsidR="000E1D7C" w:rsidRPr="00225731">
        <w:t>recommend</w:t>
      </w:r>
      <w:r>
        <w:t>s</w:t>
      </w:r>
      <w:r w:rsidR="000E1D7C" w:rsidRPr="00225731">
        <w:t xml:space="preserve"> that the Productivity Commission adopt a social determinants approach when considering which services to include within the scope of the </w:t>
      </w:r>
      <w:r w:rsidR="00225731" w:rsidRPr="00225731">
        <w:t>I</w:t>
      </w:r>
      <w:r w:rsidR="000E1D7C" w:rsidRPr="00225731">
        <w:t xml:space="preserve">nquiry. </w:t>
      </w:r>
    </w:p>
    <w:p w:rsidR="001B1AD8" w:rsidRDefault="000257AE" w:rsidP="000257AE">
      <w:pPr>
        <w:pStyle w:val="Heading2"/>
      </w:pPr>
      <w:r>
        <w:t>The importance of</w:t>
      </w:r>
      <w:r w:rsidR="00DE0B8A">
        <w:t xml:space="preserve"> prevention and</w:t>
      </w:r>
      <w:r>
        <w:t xml:space="preserve"> early intervention</w:t>
      </w:r>
    </w:p>
    <w:p w:rsidR="00985692" w:rsidRDefault="00985692" w:rsidP="00985692">
      <w:r>
        <w:t>Overwhelming evidence supports the provision of prevention and early intervention supports to families to improve outcomes for vulnerable children and</w:t>
      </w:r>
      <w:r w:rsidR="0026349C">
        <w:t xml:space="preserve"> their</w:t>
      </w:r>
      <w:r>
        <w:t xml:space="preserve"> families through infancy, childhood and adolescence to improve opportunities and outcomes for people throughout their lifespan</w:t>
      </w:r>
      <w:r w:rsidRPr="00784BC0">
        <w:t>.</w:t>
      </w:r>
      <w:r>
        <w:fldChar w:fldCharType="begin"/>
      </w:r>
      <w:r w:rsidR="00906EB4">
        <w:instrText xml:space="preserve"> ADDIN EN.CITE &lt;EndNote&gt;&lt;Cite&gt;&lt;Author&gt;National Mental Health Commission&lt;/Author&gt;&lt;Year&gt;2014&lt;/Year&gt;&lt;RecNum&gt;1709&lt;/RecNum&gt;&lt;DisplayText&gt;&lt;style face="superscript"&gt;9&lt;/style&gt;&lt;/DisplayText&gt;&lt;record&gt;&lt;rec-number&gt;1709&lt;/rec-number&gt;&lt;foreign-keys&gt;&lt;key app="EN" db-id="rezsta2w99aashetf5qx9r5rpp20sxf0daaw" timestamp="1559525734"&gt;1709&lt;/key&gt;&lt;/foreign-keys&gt;&lt;ref-type name="Report"&gt;27&lt;/ref-type&gt;&lt;contributors&gt;&lt;authors&gt;&lt;author&gt;National Mental Health Commission,&lt;/author&gt;&lt;/authors&gt;&lt;tertiary-authors&gt;&lt;author&gt;National Mental Health Commission, Australian Government&lt;/author&gt;&lt;/tertiary-authors&gt;&lt;/contributors&gt;&lt;titles&gt;&lt;title&gt;Contributing lives, thriving communities: report of the National Review of Mental Health Programmes and Services&lt;/title&gt;&lt;/titles&gt;&lt;dates&gt;&lt;year&gt;2014&lt;/year&gt;&lt;pub-dates&gt;&lt;date&gt;30 November&lt;/date&gt;&lt;/pub-dates&gt;&lt;/dates&gt;&lt;pub-location&gt;Sydney&lt;/pub-location&gt;&lt;publisher&gt;NMHC&lt;/publisher&gt;&lt;urls&gt;&lt;related-urls&gt;&lt;url&gt;www.mentalhealthcommission.gov.au/our-reports/contributing-lives,-thriving-communities-review-of-mental-health-programmes-and-services.aspx&lt;/url&gt;&lt;/related-urls&gt;&lt;/urls&gt;&lt;/record&gt;&lt;/Cite&gt;&lt;/EndNote&gt;</w:instrText>
      </w:r>
      <w:r>
        <w:fldChar w:fldCharType="separate"/>
      </w:r>
      <w:r w:rsidR="00906EB4" w:rsidRPr="00906EB4">
        <w:rPr>
          <w:noProof/>
          <w:vertAlign w:val="superscript"/>
        </w:rPr>
        <w:t>9</w:t>
      </w:r>
      <w:r>
        <w:fldChar w:fldCharType="end"/>
      </w:r>
      <w:r>
        <w:t xml:space="preserve"> </w:t>
      </w:r>
      <w:r w:rsidRPr="00784BC0">
        <w:t>Expe</w:t>
      </w:r>
      <w:r>
        <w:t xml:space="preserve">riences during the early years </w:t>
      </w:r>
      <w:r w:rsidRPr="00784BC0">
        <w:t>have lifelong effects on children’s later achievements, social adjustment, mental and physical health and life expectancy.</w:t>
      </w:r>
      <w:r>
        <w:fldChar w:fldCharType="begin"/>
      </w:r>
      <w:r w:rsidR="00906EB4">
        <w:instrText xml:space="preserve"> ADDIN EN.CITE &lt;EndNote&gt;&lt;Cite&gt;&lt;Author&gt;Center on the Developing Child&lt;/Author&gt;&lt;Year&gt;2010&lt;/Year&gt;&lt;RecNum&gt;2518&lt;/RecNum&gt;&lt;DisplayText&gt;&lt;style face="superscript"&gt;10&lt;/style&gt;&lt;/DisplayText&gt;&lt;record&gt;&lt;rec-number&gt;2518&lt;/rec-number&gt;&lt;foreign-keys&gt;&lt;key app="EN" db-id="rezsta2w99aashetf5qx9r5rpp20sxf0daaw" timestamp="1561608515"&gt;2518&lt;/key&gt;&lt;/foreign-keys&gt;&lt;ref-type name="Report"&gt;27&lt;/ref-type&gt;&lt;contributors&gt;&lt;authors&gt;&lt;author&gt;Center on the Developing Child,&lt;/author&gt;&lt;/authors&gt;&lt;tertiary-authors&gt;&lt;author&gt;Harvard University&lt;/author&gt;&lt;/tertiary-authors&gt;&lt;/contributors&gt;&lt;titles&gt;&lt;title&gt;The foundations of lifelong health are built in early childhood&lt;/title&gt;&lt;/titles&gt;&lt;dates&gt;&lt;year&gt;2010&lt;/year&gt;&lt;/dates&gt;&lt;urls&gt;&lt;related-urls&gt;&lt;url&gt;https://46y5eh11fhgw3ve3ytpwxt9r-wpengine.netdna-ssl.com/wp-content/uploads/2010/05/Foundations-of-Lifelong-Health.pdf&lt;/url&gt;&lt;/related-urls&gt;&lt;/urls&gt;&lt;/record&gt;&lt;/Cite&gt;&lt;/EndNote&gt;</w:instrText>
      </w:r>
      <w:r>
        <w:fldChar w:fldCharType="separate"/>
      </w:r>
      <w:r w:rsidR="00906EB4" w:rsidRPr="00906EB4">
        <w:rPr>
          <w:noProof/>
          <w:vertAlign w:val="superscript"/>
        </w:rPr>
        <w:t>10</w:t>
      </w:r>
      <w:r>
        <w:fldChar w:fldCharType="end"/>
      </w:r>
      <w:r>
        <w:t xml:space="preserve"> </w:t>
      </w:r>
    </w:p>
    <w:p w:rsidR="00985692" w:rsidRDefault="00985692" w:rsidP="00985692">
      <w:r>
        <w:t xml:space="preserve">Supporting population mental health and wellbeing, and intervening early when individuals are at risk reduces distress, disadvantage and disability over the lifetime. It is also known that policies focussed on early intervention and prevention have positive downstream impacts, particularly for the most disadvantaged in our society. It also reduces the likelihood of contact with more costly supports and services including the child protection and justice systems, acute hospital based care, and social support payments.  </w:t>
      </w:r>
    </w:p>
    <w:p w:rsidR="00985692" w:rsidRDefault="00985692" w:rsidP="00985692">
      <w:r w:rsidRPr="00225731">
        <w:t xml:space="preserve">Childhood is a particularly critical period for mental health. </w:t>
      </w:r>
      <w:r>
        <w:t>H</w:t>
      </w:r>
      <w:r w:rsidRPr="00225731">
        <w:t>alf of lifetime mental</w:t>
      </w:r>
      <w:r w:rsidRPr="00784BC0">
        <w:t xml:space="preserve"> </w:t>
      </w:r>
      <w:r>
        <w:t>illnesses develop before the age of 14,</w:t>
      </w:r>
      <w:r>
        <w:fldChar w:fldCharType="begin"/>
      </w:r>
      <w:r w:rsidR="00906EB4">
        <w:instrText xml:space="preserve"> ADDIN EN.CITE &lt;EndNote&gt;&lt;Cite&gt;&lt;Author&gt;Kessler&lt;/Author&gt;&lt;Year&gt;2005&lt;/Year&gt;&lt;RecNum&gt;1256&lt;/RecNum&gt;&lt;DisplayText&gt;&lt;style face="superscript"&gt;11&lt;/style&gt;&lt;/DisplayText&gt;&lt;record&gt;&lt;rec-number&gt;1256&lt;/rec-number&gt;&lt;foreign-keys&gt;&lt;key app="EN" db-id="rezsta2w99aashetf5qx9r5rpp20sxf0daaw" timestamp="1559525681"&gt;1256&lt;/key&gt;&lt;/foreign-keys&gt;&lt;ref-type name="Journal Article"&gt;17&lt;/ref-type&gt;&lt;contributors&gt;&lt;authors&gt;&lt;author&gt;Kessler, R.C.&lt;/author&gt;&lt;author&gt;Berglund, P.&lt;/author&gt;&lt;author&gt;Demler, O.&lt;/author&gt;&lt;author&gt;Jin, R.&lt;/author&gt;&lt;author&gt;Walters, E.E.&lt;/author&gt;&lt;/authors&gt;&lt;/contributors&gt;&lt;titles&gt;&lt;title&gt;Lifetime prevalence and age-of-onset distributions of DSM-IV disorders in the National Comorbidity Survey replication&lt;/title&gt;&lt;secondary-title&gt;Archives of General Psychiatry&lt;/secondary-title&gt;&lt;/titles&gt;&lt;periodical&gt;&lt;full-title&gt;Archives of General Psychiatry&lt;/full-title&gt;&lt;/periodical&gt;&lt;volume&gt;62&lt;/volume&gt;&lt;number&gt;593-602&lt;/number&gt;&lt;keywords&gt;&lt;keyword&gt;Prevalence&lt;/keyword&gt;&lt;/keywords&gt;&lt;dates&gt;&lt;year&gt;2005&lt;/year&gt;&lt;/dates&gt;&lt;urls&gt;&lt;/urls&gt;&lt;/record&gt;&lt;/Cite&gt;&lt;/EndNote&gt;</w:instrText>
      </w:r>
      <w:r>
        <w:fldChar w:fldCharType="separate"/>
      </w:r>
      <w:r w:rsidR="00906EB4" w:rsidRPr="00906EB4">
        <w:rPr>
          <w:noProof/>
          <w:vertAlign w:val="superscript"/>
        </w:rPr>
        <w:t>11</w:t>
      </w:r>
      <w:r>
        <w:fldChar w:fldCharType="end"/>
      </w:r>
      <w:r>
        <w:t xml:space="preserve"> and experiences of childhood trauma (such as abuse and neglect) are a major risk factor for mental ill-health in adulthood.</w:t>
      </w:r>
      <w:r>
        <w:fldChar w:fldCharType="begin">
          <w:fldData xml:space="preserve">PEVuZE5vdGU+PENpdGU+PEF1dGhvcj5TcHJpbmdlciBLPC9BdXRob3I+PFllYXI+MjAwMzwvWWVh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</w:fldData>
        </w:fldChar>
      </w:r>
      <w:r w:rsidR="00906EB4">
        <w:instrText xml:space="preserve"> ADDIN EN.CITE </w:instrText>
      </w:r>
      <w:r w:rsidR="00906EB4">
        <w:fldChar w:fldCharType="begin">
          <w:fldData xml:space="preserve">PEVuZE5vdGU+PENpdGU+PEF1dGhvcj5TcHJpbmdlciBLPC9BdXRob3I+PFllYXI+MjAwMzwvWWVh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</w:fldData>
        </w:fldChar>
      </w:r>
      <w:r w:rsidR="00906EB4">
        <w:instrText xml:space="preserve"> ADDIN EN.CITE.DATA </w:instrText>
      </w:r>
      <w:r w:rsidR="00906EB4">
        <w:fldChar w:fldCharType="end"/>
      </w:r>
      <w:r>
        <w:fldChar w:fldCharType="separate"/>
      </w:r>
      <w:r w:rsidR="00906EB4" w:rsidRPr="00906EB4">
        <w:rPr>
          <w:noProof/>
          <w:vertAlign w:val="superscript"/>
        </w:rPr>
        <w:t>12-14</w:t>
      </w:r>
      <w:r>
        <w:fldChar w:fldCharType="end"/>
      </w:r>
      <w:r>
        <w:t xml:space="preserve"> Mental illness in infancy, childhood or adolescence can have enduring consequences if left unresolved, including reduced social and economic outcomes in adulthood.</w:t>
      </w:r>
      <w:r>
        <w:fldChar w:fldCharType="begin"/>
      </w:r>
      <w:r w:rsidR="00906EB4">
        <w:instrText xml:space="preserve"> ADDIN EN.CITE &lt;EndNote&gt;&lt;Cite&gt;&lt;Author&gt;The Royal Australian and New Zealand College of Psychiatrists Faculty of Child and Adolescent Psychiatry&lt;/Author&gt;&lt;Year&gt;2010&lt;/Year&gt;&lt;RecNum&gt;2521&lt;/RecNum&gt;&lt;DisplayText&gt;&lt;style face="superscript"&gt;15&lt;/style&gt;&lt;/DisplayText&gt;&lt;record&gt;&lt;rec-number&gt;2521&lt;/rec-number&gt;&lt;foreign-keys&gt;&lt;key app="EN" db-id="rezsta2w99aashetf5qx9r5rpp20sxf0daaw" timestamp="1561610704"&gt;2521&lt;/key&gt;&lt;/foreign-keys&gt;&lt;ref-type name="Report"&gt;27&lt;/ref-type&gt;&lt;contributors&gt;&lt;authors&gt;&lt;author&gt;The Royal Australian and New Zealand College of Psychiatrists Faculty of Child and Adolescent Psychiatry,&lt;/author&gt;&lt;/authors&gt;&lt;tertiary-authors&gt;&lt;author&gt;RANZCP&lt;/author&gt;&lt;/tertiary-authors&gt;&lt;/contributors&gt;&lt;titles&gt;&lt;title&gt;Prevention and early intervention of mental illness in infants, children and adolescents: Planning strategies for Australia and New Zealand&lt;/title&gt;&lt;/titles&gt;&lt;dates&gt;&lt;year&gt;2010&lt;/year&gt;&lt;/dates&gt;&lt;pub-location&gt;Melbourne&lt;/pub-location&gt;&lt;urls&gt;&lt;related-urls&gt;&lt;url&gt;https://www.ranzcp.org/files/resources/reports/prevention-and-early-intervention-of-mental-illnes.aspx&lt;/url&gt;&lt;/related-urls&gt;&lt;/urls&gt;&lt;/record&gt;&lt;/Cite&gt;&lt;/EndNote&gt;</w:instrText>
      </w:r>
      <w:r>
        <w:fldChar w:fldCharType="separate"/>
      </w:r>
      <w:r w:rsidR="00906EB4" w:rsidRPr="00906EB4">
        <w:rPr>
          <w:noProof/>
          <w:vertAlign w:val="superscript"/>
        </w:rPr>
        <w:t>15</w:t>
      </w:r>
      <w:r>
        <w:fldChar w:fldCharType="end"/>
      </w:r>
      <w:r>
        <w:t xml:space="preserve"> It is noteworthy that Aboriginal and Torres Strait Islander children experience poverty at significantly higher rates than their non-Aboriginal counterparts and have some of the poorest health and developmental outcomes in Australia. Further, the rate of demand for costly downstream services continues to grow, particularly for Indigenous communities.   </w:t>
      </w:r>
    </w:p>
    <w:p w:rsidR="00985692" w:rsidRDefault="00985692" w:rsidP="00985692">
      <w:r>
        <w:t>Aboriginal and Torres Strait Islander children are now 10.1 times more likely to be removed from their families than non-Indigenous children, a rate that is projected to triple in the next twenty years if urgent action is not taken.</w:t>
      </w:r>
      <w:r w:rsidR="00E51D16">
        <w:t xml:space="preserve"> </w:t>
      </w:r>
      <w:r>
        <w:t xml:space="preserve">Fewer than half of Aboriginal and Torres Strait Islander children are placed with Aboriginal and Torres Strait Islander carers, following a steep decline over the last 10 years. This places Aboriginal and Torres Strait Islander children who are removed from their families at serious risk of being permanently disconnected from their families, communities and cultures, leading to poorer health outcomes. </w:t>
      </w:r>
    </w:p>
    <w:p w:rsidR="000E1D7C" w:rsidRDefault="00B65FBD" w:rsidP="000E1D7C">
      <w:r>
        <w:t xml:space="preserve">Conversely, </w:t>
      </w:r>
      <w:r w:rsidR="00784BC0">
        <w:t>m</w:t>
      </w:r>
      <w:r w:rsidR="00784BC0" w:rsidRPr="00784BC0">
        <w:t xml:space="preserve">any issues which go on to develop into mental health problems in adolescence can be identified, prevented and managed </w:t>
      </w:r>
      <w:r w:rsidR="00076A47">
        <w:t xml:space="preserve">if they are identified </w:t>
      </w:r>
      <w:r w:rsidR="00784BC0" w:rsidRPr="00784BC0">
        <w:t>earlier in childhood.</w:t>
      </w:r>
      <w:r w:rsidR="00395A5D">
        <w:fldChar w:fldCharType="begin"/>
      </w:r>
      <w:r w:rsidR="00906EB4">
        <w:instrText xml:space="preserve"> ADDIN EN.CITE &lt;EndNote&gt;&lt;Cite&gt;&lt;Author&gt;National Mental Health Commission&lt;/Author&gt;&lt;Year&gt;2014&lt;/Year&gt;&lt;RecNum&gt;1709&lt;/RecNum&gt;&lt;DisplayText&gt;&lt;style face="superscript"&gt;9&lt;/style&gt;&lt;/DisplayText&gt;&lt;record&gt;&lt;rec-number&gt;1709&lt;/rec-number&gt;&lt;foreign-keys&gt;&lt;key app="EN" db-id="rezsta2w99aashetf5qx9r5rpp20sxf0daaw" timestamp="1559525734"&gt;1709&lt;/key&gt;&lt;/foreign-keys&gt;&lt;ref-type name="Report"&gt;27&lt;/ref-type&gt;&lt;contributors&gt;&lt;authors&gt;&lt;author&gt;National Mental Health Commission,&lt;/author&gt;&lt;/authors&gt;&lt;tertiary-authors&gt;&lt;author&gt;National Mental Health Commission, Australian Government&lt;/author&gt;&lt;/tertiary-authors&gt;&lt;/contributors&gt;&lt;titles&gt;&lt;title&gt;Contributing lives, thriving communities: report of the National Review of Mental Health Programmes and Services&lt;/title&gt;&lt;/titles&gt;&lt;dates&gt;&lt;year&gt;2014&lt;/year&gt;&lt;pub-dates&gt;&lt;date&gt;30 November&lt;/date&gt;&lt;/pub-dates&gt;&lt;/dates&gt;&lt;pub-location&gt;Sydney&lt;/pub-location&gt;&lt;publisher&gt;NMHC&lt;/publisher&gt;&lt;urls&gt;&lt;related-urls&gt;&lt;url&gt;www.mentalhealthcommission.gov.au/our-reports/contributing-lives,-thriving-communities-review-of-mental-health-programmes-and-services.aspx&lt;/url&gt;&lt;/related-urls&gt;&lt;/urls&gt;&lt;/record&gt;&lt;/Cite&gt;&lt;/EndNote&gt;</w:instrText>
      </w:r>
      <w:r w:rsidR="00395A5D">
        <w:fldChar w:fldCharType="separate"/>
      </w:r>
      <w:r w:rsidR="00906EB4" w:rsidRPr="00906EB4">
        <w:rPr>
          <w:noProof/>
          <w:vertAlign w:val="superscript"/>
        </w:rPr>
        <w:t>9</w:t>
      </w:r>
      <w:r w:rsidR="00395A5D">
        <w:fldChar w:fldCharType="end"/>
      </w:r>
      <w:r w:rsidR="00395A5D">
        <w:t xml:space="preserve"> </w:t>
      </w:r>
      <w:r w:rsidR="000E1D7C">
        <w:t>Prevention and early intervention strategies implemented in infancy and early childhood are more effective in addressing risk factors, limiting the severity or progression of the illness, reducing symptoms, and reducing adverse impact on development.</w:t>
      </w:r>
      <w:r w:rsidR="00395A5D">
        <w:fldChar w:fldCharType="begin"/>
      </w:r>
      <w:r w:rsidR="00906EB4">
        <w:instrText xml:space="preserve"> ADDIN EN.CITE &lt;EndNote&gt;&lt;Cite&gt;&lt;Author&gt;The Royal Australian and New Zealand College of Psychiatrists Faculty of Child and Adolescent Psychiatry&lt;/Author&gt;&lt;Year&gt;2010&lt;/Year&gt;&lt;RecNum&gt;2521&lt;/RecNum&gt;&lt;DisplayText&gt;&lt;style face="superscript"&gt;15,16&lt;/style&gt;&lt;/DisplayText&gt;&lt;record&gt;&lt;rec-number&gt;2521&lt;/rec-number&gt;&lt;foreign-keys&gt;&lt;key app="EN" db-id="rezsta2w99aashetf5qx9r5rpp20sxf0daaw" timestamp="1561610704"&gt;2521&lt;/key&gt;&lt;/foreign-keys&gt;&lt;ref-type name="Report"&gt;27&lt;/ref-type&gt;&lt;contributors&gt;&lt;authors&gt;&lt;author&gt;The Royal Australian and New Zealand College of Psychiatrists Faculty of Child and Adolescent Psychiatry,&lt;/author&gt;&lt;/authors&gt;&lt;tertiary-authors&gt;&lt;author&gt;RANZCP&lt;/author&gt;&lt;/tertiary-authors&gt;&lt;/contributors&gt;&lt;titles&gt;&lt;title&gt;Prevention and early intervention of mental illness in infants, children and adolescents: Planning strategies for Australia and New Zealand&lt;/title&gt;&lt;/titles&gt;&lt;dates&gt;&lt;year&gt;2010&lt;/year&gt;&lt;/dates&gt;&lt;pub-location&gt;Melbourne&lt;/pub-location&gt;&lt;urls&gt;&lt;related-urls&gt;&lt;url&gt;https://www.ranzcp.org/files/resources/reports/prevention-and-early-intervention-of-mental-illnes.aspx&lt;/url&gt;&lt;/related-urls&gt;&lt;/urls&gt;&lt;/record&gt;&lt;/Cite&gt;&lt;Cite&gt;&lt;Author&gt;Commissioner for Children and Young People Western Australia&lt;/Author&gt;&lt;Year&gt;2011&lt;/Year&gt;&lt;RecNum&gt;2522&lt;/RecNum&gt;&lt;record&gt;&lt;rec-number&gt;2522&lt;/rec-number&gt;&lt;foreign-keys&gt;&lt;key app="EN" db-id="rezsta2w99aashetf5qx9r5rpp20sxf0daaw" timestamp="1561611022"&gt;2522&lt;/key&gt;&lt;/foreign-keys&gt;&lt;ref-type name="Report"&gt;27&lt;/ref-type&gt;&lt;contributors&gt;&lt;authors&gt;&lt;author&gt;Commissioner for Children and Young People Western Australia,&lt;/author&gt;&lt;/authors&gt;&lt;tertiary-authors&gt;&lt;author&gt;Commissioner for Children and Young People Western Australia&lt;/author&gt;&lt;/tertiary-authors&gt;&lt;/contributors&gt;&lt;titles&gt;&lt;title&gt;Report of the Inquiry into the mental health and wellbeing of children and young people in Western Australia&lt;/title&gt;&lt;/titles&gt;&lt;dates&gt;&lt;year&gt;2011&lt;/year&gt;&lt;/dates&gt;&lt;pub-location&gt;Subiaco &lt;/pub-location&gt;&lt;urls&gt;&lt;related-urls&gt;&lt;url&gt;https://www.ccyp.wa.gov.au/media/1452/report-mental-health-inquiry-april-2011.pdf&lt;/url&gt;&lt;/related-urls&gt;&lt;/urls&gt;&lt;/record&gt;&lt;/Cite&gt;&lt;/EndNote&gt;</w:instrText>
      </w:r>
      <w:r w:rsidR="00395A5D">
        <w:fldChar w:fldCharType="separate"/>
      </w:r>
      <w:r w:rsidR="00906EB4" w:rsidRPr="00906EB4">
        <w:rPr>
          <w:noProof/>
          <w:vertAlign w:val="superscript"/>
        </w:rPr>
        <w:t>15,16</w:t>
      </w:r>
      <w:r w:rsidR="00395A5D">
        <w:fldChar w:fldCharType="end"/>
      </w:r>
    </w:p>
    <w:p w:rsidR="00985692" w:rsidRDefault="00752A4C" w:rsidP="00985692">
      <w:r>
        <w:t xml:space="preserve">Early intervention </w:t>
      </w:r>
      <w:r w:rsidR="00917F5D">
        <w:t xml:space="preserve">is also </w:t>
      </w:r>
      <w:r>
        <w:t>critical to addressing the particular forms of disadvantage experienced by Aboriginal and Torres Strait Islander peoples, including their overrepresentation in the child protection system. Key early intervention strategies</w:t>
      </w:r>
      <w:r w:rsidR="00917F5D">
        <w:t xml:space="preserve"> for Aboriginal and Torres Strait Islander communities </w:t>
      </w:r>
      <w:r>
        <w:t>include</w:t>
      </w:r>
      <w:r w:rsidR="00917F5D">
        <w:t>:</w:t>
      </w:r>
      <w:r>
        <w:t xml:space="preserve"> increased investment in solutions, such as culturally safe preventative and early intervention measures; facilitation of greater access for Aboriginal and Torres Strait Islander children and their families to early years services to ensure the best possible start in life</w:t>
      </w:r>
      <w:r w:rsidR="00985692">
        <w:t xml:space="preserve">; and </w:t>
      </w:r>
      <w:r w:rsidR="00985692">
        <w:lastRenderedPageBreak/>
        <w:t>respecting the importance of Aboriginal and Torres Strait Islander decision-making in child protection</w:t>
      </w:r>
      <w:r>
        <w:t>.</w:t>
      </w:r>
      <w:r w:rsidR="00917F5D">
        <w:t xml:space="preserve"> </w:t>
      </w:r>
    </w:p>
    <w:p w:rsidR="00752A4C" w:rsidRDefault="00AD5B81" w:rsidP="00985692">
      <w:r>
        <w:t>Th</w:t>
      </w:r>
      <w:r w:rsidR="00985692">
        <w:t>ese strategies are reflected in the goal of the Australian ‘First 1000 days’ model, which aims to work with Aboriginal and Torres Strait Islander Elders, researchers, community members, front-line workers and policy makers to provide a culturally informed intervention to address the needs of Aboriginal and Torr</w:t>
      </w:r>
      <w:r w:rsidR="004806CF">
        <w:t>es Strait Islander families.</w:t>
      </w:r>
      <w:r w:rsidR="004806CF">
        <w:fldChar w:fldCharType="begin"/>
      </w:r>
      <w:r w:rsidR="00906EB4">
        <w:instrText xml:space="preserve"> ADDIN EN.CITE &lt;EndNote&gt;&lt;Cite&gt;&lt;RecNum&gt;1&lt;/RecNum&gt;&lt;DisplayText&gt;&lt;style face="superscript"&gt;17&lt;/style&gt;&lt;/DisplayText&gt;&lt;record&gt;&lt;rec-number&gt;1&lt;/rec-number&gt;&lt;foreign-keys&gt;&lt;key app="EN" db-id="rezsta2w99aashetf5qx9r5rpp20sxf0daaw" timestamp="1559525539"&gt;1&lt;/key&gt;&lt;/foreign-keys&gt;&lt;ref-type name="Web Page"&gt;12&lt;/ref-type&gt;&lt;contributors&gt;&lt;/contributors&gt;&lt;titles&gt;&lt;title&gt;First 1000 Days Australia&lt;/title&gt;&lt;/titles&gt;&lt;volume&gt;2019&lt;/volume&gt;&lt;number&gt;22 February&lt;/number&gt;&lt;dates&gt;&lt;/dates&gt;&lt;urls&gt;&lt;related-urls&gt;&lt;url&gt;&lt;style face="underline" font="default" size="100%"&gt;http://www.first1000daysaustralia.org.au/first-1000-days-australia&lt;/style&gt;&lt;/url&gt;&lt;/related-urls&gt;&lt;/urls&gt;&lt;/record&gt;&lt;/Cite&gt;&lt;/EndNote&gt;</w:instrText>
      </w:r>
      <w:r w:rsidR="004806CF">
        <w:fldChar w:fldCharType="separate"/>
      </w:r>
      <w:r w:rsidR="00906EB4" w:rsidRPr="00906EB4">
        <w:rPr>
          <w:noProof/>
          <w:vertAlign w:val="superscript"/>
        </w:rPr>
        <w:t>17</w:t>
      </w:r>
      <w:r w:rsidR="004806CF">
        <w:fldChar w:fldCharType="end"/>
      </w:r>
      <w:r w:rsidR="00985692">
        <w:t xml:space="preserve"> Guided by the First 1000 Days Australia Council, this model takes a multigenerational view of family, and reflects the evolution of the ‘First 1000 Days’ movement from an initial focus on delivery of improved nutrition from birth to age two, to a more holistic view of the importance of the early environment. The expansion of this model is welcome recognising as it does, the interlinking factors encompassing complex family situations with heightened risk of neglect, underemployment and entrenched cycles of poverty or welfare dependency, which improved nutrition alone cannot correct.</w:t>
      </w:r>
    </w:p>
    <w:p w:rsidR="00752A4C" w:rsidRDefault="00752A4C" w:rsidP="00752A4C">
      <w:r>
        <w:t xml:space="preserve">The </w:t>
      </w:r>
      <w:r w:rsidR="0082366A" w:rsidRPr="00225731">
        <w:t xml:space="preserve">Commission </w:t>
      </w:r>
      <w:r>
        <w:t xml:space="preserve">therefore supports the public health approach to preventing harm to children described </w:t>
      </w:r>
      <w:r w:rsidRPr="002C0D14">
        <w:t xml:space="preserve">in the </w:t>
      </w:r>
      <w:r w:rsidRPr="00E51D16">
        <w:rPr>
          <w:i/>
        </w:rPr>
        <w:t>Issues Paper</w:t>
      </w:r>
      <w:r w:rsidRPr="002C0D14">
        <w:t>, whereby funding and policy priorities would be rebalanced to</w:t>
      </w:r>
      <w:r>
        <w:t xml:space="preserve"> ensure a stronger focus on prevention and early intervention, and less reliance on acute interventions after harm has occurred. Based on experience </w:t>
      </w:r>
      <w:r w:rsidR="0088689D">
        <w:t xml:space="preserve">within </w:t>
      </w:r>
      <w:r>
        <w:t xml:space="preserve">mental health system, the </w:t>
      </w:r>
      <w:r w:rsidR="006B0E84" w:rsidRPr="00225731">
        <w:t xml:space="preserve">Commission </w:t>
      </w:r>
      <w:r>
        <w:t>considers that this approach would represent a more effective use of resources and deliver better outcomes for children and families.</w:t>
      </w:r>
    </w:p>
    <w:p w:rsidR="00605E52" w:rsidRPr="00605E52" w:rsidRDefault="00605E52" w:rsidP="00605E52">
      <w:pPr>
        <w:autoSpaceDE w:val="0"/>
        <w:autoSpaceDN w:val="0"/>
        <w:adjustRightInd w:val="0"/>
        <w:spacing w:after="0"/>
        <w:rPr>
          <w:rFonts w:ascii="Calibri" w:eastAsiaTheme="minorEastAsia" w:hAnsi="Calibri" w:cs="Calibri"/>
          <w:color w:val="000000"/>
          <w:sz w:val="23"/>
          <w:szCs w:val="23"/>
          <w:lang w:eastAsia="zh-CN"/>
        </w:rPr>
      </w:pPr>
    </w:p>
    <w:p w:rsidR="00AD5B81" w:rsidRDefault="00605E52" w:rsidP="0026349C">
      <w:pPr>
        <w:pStyle w:val="Recommendations"/>
      </w:pPr>
      <w:r>
        <w:t xml:space="preserve">The Commission </w:t>
      </w:r>
      <w:r w:rsidRPr="00605E52">
        <w:t>supports a more proactive approach to fostering the wellbeing of children and young people experiencing vulnerability</w:t>
      </w:r>
      <w:r>
        <w:t xml:space="preserve">. Thereby it </w:t>
      </w:r>
      <w:r w:rsidR="0026349C">
        <w:t>recommends</w:t>
      </w:r>
      <w:r w:rsidR="00B873C1">
        <w:t xml:space="preserve"> that the Productivity Commission</w:t>
      </w:r>
      <w:r w:rsidR="0026349C">
        <w:t xml:space="preserve"> </w:t>
      </w:r>
      <w:r w:rsidR="00B873C1">
        <w:t>embeds</w:t>
      </w:r>
      <w:r w:rsidR="0026349C">
        <w:t xml:space="preserve"> prevention and early intervention approaches </w:t>
      </w:r>
      <w:r w:rsidR="00E51D16">
        <w:t>in</w:t>
      </w:r>
      <w:r w:rsidR="0026349C">
        <w:t xml:space="preserve"> the joint funding framework</w:t>
      </w:r>
      <w:r w:rsidR="00B873C1">
        <w:t xml:space="preserve"> for Australian and NT Governments</w:t>
      </w:r>
      <w:r w:rsidR="0026349C">
        <w:t>.</w:t>
      </w:r>
    </w:p>
    <w:p w:rsidR="000257AE" w:rsidRPr="000E1D7C" w:rsidRDefault="000257AE" w:rsidP="000E1D7C">
      <w:pPr>
        <w:pStyle w:val="Heading2"/>
      </w:pPr>
      <w:r w:rsidRPr="00225731">
        <w:t>Community</w:t>
      </w:r>
      <w:r w:rsidR="00E057EA" w:rsidRPr="00225731">
        <w:t xml:space="preserve"> engagement</w:t>
      </w:r>
      <w:r w:rsidRPr="00225731">
        <w:t xml:space="preserve"> and </w:t>
      </w:r>
      <w:r w:rsidR="000C6770" w:rsidRPr="00225731">
        <w:t>participation</w:t>
      </w:r>
    </w:p>
    <w:p w:rsidR="000257AE" w:rsidRDefault="00F251CD" w:rsidP="000257AE">
      <w:r>
        <w:t xml:space="preserve">A </w:t>
      </w:r>
      <w:r w:rsidR="00225731">
        <w:t xml:space="preserve">core principle underlying </w:t>
      </w:r>
      <w:r>
        <w:t xml:space="preserve">the </w:t>
      </w:r>
      <w:r w:rsidR="0082366A">
        <w:t xml:space="preserve">Commission’s </w:t>
      </w:r>
      <w:r>
        <w:t xml:space="preserve">work is that </w:t>
      </w:r>
      <w:r w:rsidRPr="00F251CD">
        <w:t xml:space="preserve">people with lived experience </w:t>
      </w:r>
      <w:r>
        <w:t xml:space="preserve">of mental illness, </w:t>
      </w:r>
      <w:r w:rsidRPr="00F251CD">
        <w:t>their families and supporters</w:t>
      </w:r>
      <w:r>
        <w:t xml:space="preserve"> should be </w:t>
      </w:r>
      <w:r w:rsidRPr="00F251CD">
        <w:t>central to the way programmes are designed, managed and funded.</w:t>
      </w:r>
      <w:r>
        <w:t xml:space="preserve"> </w:t>
      </w:r>
      <w:r w:rsidR="00E057EA">
        <w:t xml:space="preserve">This involves not only consulting with mental health consumers and carers, but </w:t>
      </w:r>
      <w:r>
        <w:t>also</w:t>
      </w:r>
      <w:r w:rsidR="00E057EA">
        <w:t xml:space="preserve"> facilitating their participation </w:t>
      </w:r>
      <w:r>
        <w:t xml:space="preserve">in the </w:t>
      </w:r>
      <w:r w:rsidRPr="00F251CD">
        <w:t xml:space="preserve">governance and leadership structures </w:t>
      </w:r>
      <w:r w:rsidR="00E057EA">
        <w:t xml:space="preserve">which </w:t>
      </w:r>
      <w:r w:rsidRPr="00F251CD">
        <w:t xml:space="preserve">make decisions </w:t>
      </w:r>
      <w:r w:rsidR="00E057EA">
        <w:t xml:space="preserve">that </w:t>
      </w:r>
      <w:r w:rsidRPr="00F251CD">
        <w:t>affect their lives.</w:t>
      </w:r>
    </w:p>
    <w:p w:rsidR="00A605F3" w:rsidRPr="00A605F3" w:rsidRDefault="00E057EA" w:rsidP="00A605F3">
      <w:r w:rsidRPr="00F251CD">
        <w:t xml:space="preserve">Full and meaningful participation by </w:t>
      </w:r>
      <w:r>
        <w:t xml:space="preserve">mental health consumers and carers </w:t>
      </w:r>
      <w:r w:rsidRPr="00F251CD">
        <w:t>is a fundamental component of a quality, high</w:t>
      </w:r>
      <w:r w:rsidR="00D52672">
        <w:t xml:space="preserve"> </w:t>
      </w:r>
      <w:r w:rsidRPr="00F251CD">
        <w:t>performing system.</w:t>
      </w:r>
      <w:r>
        <w:t xml:space="preserve"> </w:t>
      </w:r>
      <w:r w:rsidR="00927F9F">
        <w:t>S</w:t>
      </w:r>
      <w:r w:rsidR="00F251CD">
        <w:t xml:space="preserve">upporting the participation of consumers and carers </w:t>
      </w:r>
      <w:r w:rsidR="00927F9F">
        <w:t>is</w:t>
      </w:r>
      <w:r w:rsidR="00F251CD">
        <w:t xml:space="preserve"> </w:t>
      </w:r>
      <w:r w:rsidR="00F251CD" w:rsidRPr="00F251CD">
        <w:t xml:space="preserve">one of the best </w:t>
      </w:r>
      <w:r w:rsidR="00927F9F">
        <w:t>ways to ensure that government investments in mental health services are hitting the mark</w:t>
      </w:r>
      <w:r w:rsidR="00F251CD">
        <w:t>.</w:t>
      </w:r>
      <w:r w:rsidR="009D5375">
        <w:fldChar w:fldCharType="begin"/>
      </w:r>
      <w:r w:rsidR="00906EB4">
        <w:instrText xml:space="preserve"> ADDIN EN.CITE &lt;EndNote&gt;&lt;Cite&gt;&lt;Author&gt;National Mental Health Commission&lt;/Author&gt;&lt;Year&gt;2014&lt;/Year&gt;&lt;RecNum&gt;1709&lt;/RecNum&gt;&lt;DisplayText&gt;&lt;style face="superscript"&gt;9&lt;/style&gt;&lt;/DisplayText&gt;&lt;record&gt;&lt;rec-number&gt;1709&lt;/rec-number&gt;&lt;foreign-keys&gt;&lt;key app="EN" db-id="rezsta2w99aashetf5qx9r5rpp20sxf0daaw" timestamp="1559525734"&gt;1709&lt;/key&gt;&lt;/foreign-keys&gt;&lt;ref-type name="Report"&gt;27&lt;/ref-type&gt;&lt;contributors&gt;&lt;authors&gt;&lt;author&gt;National Mental Health Commission,&lt;/author&gt;&lt;/authors&gt;&lt;tertiary-authors&gt;&lt;author&gt;National Mental Health Commission, Australian Government&lt;/author&gt;&lt;/tertiary-authors&gt;&lt;/contributors&gt;&lt;titles&gt;&lt;title&gt;Contributing lives, thriving communities: report of the National Review of Mental Health Programmes and Services&lt;/title&gt;&lt;/titles&gt;&lt;dates&gt;&lt;year&gt;2014&lt;/year&gt;&lt;pub-dates&gt;&lt;date&gt;30 November&lt;/date&gt;&lt;/pub-dates&gt;&lt;/dates&gt;&lt;pub-location&gt;Sydney&lt;/pub-location&gt;&lt;publisher&gt;NMHC&lt;/publisher&gt;&lt;urls&gt;&lt;related-urls&gt;&lt;url&gt;www.mentalhealthcommission.gov.au/our-reports/contributing-lives,-thriving-communities-review-of-mental-health-programmes-and-services.aspx&lt;/url&gt;&lt;/related-urls&gt;&lt;/urls&gt;&lt;/record&gt;&lt;/Cite&gt;&lt;/EndNote&gt;</w:instrText>
      </w:r>
      <w:r w:rsidR="009D5375">
        <w:fldChar w:fldCharType="separate"/>
      </w:r>
      <w:r w:rsidR="00906EB4" w:rsidRPr="00906EB4">
        <w:rPr>
          <w:noProof/>
          <w:vertAlign w:val="superscript"/>
        </w:rPr>
        <w:t>9</w:t>
      </w:r>
      <w:r w:rsidR="009D5375">
        <w:fldChar w:fldCharType="end"/>
      </w:r>
      <w:r w:rsidR="00A605F3">
        <w:t xml:space="preserve"> The importance of consumer and carer engagement and participation to effective service planning, delivery and evaluation has been increasingly recognised in the mental health sector. </w:t>
      </w:r>
      <w:r w:rsidR="00D52672">
        <w:t>T</w:t>
      </w:r>
      <w:r w:rsidR="00A605F3">
        <w:t xml:space="preserve">he </w:t>
      </w:r>
      <w:r w:rsidR="00A605F3" w:rsidRPr="00D52672">
        <w:rPr>
          <w:i/>
        </w:rPr>
        <w:t>Fifth National Mental Health and Suicide Prevention Plan</w:t>
      </w:r>
      <w:r w:rsidR="00A605F3" w:rsidRPr="00225731">
        <w:t xml:space="preserve"> (the Fifth Plan), for example, </w:t>
      </w:r>
      <w:r w:rsidR="00225731" w:rsidRPr="00225731">
        <w:t>places consumer and carer experiences at the centre of reform efforts, with several actions specifically targeted at increasing their involvement in service design and delivery.</w:t>
      </w:r>
      <w:r w:rsidR="009D5375">
        <w:fldChar w:fldCharType="begin"/>
      </w:r>
      <w:r w:rsidR="00906EB4">
        <w:instrText xml:space="preserve"> ADDIN EN.CITE &lt;EndNote&gt;&lt;Cite&gt;&lt;Author&gt;Council of Australian Governments&lt;/Author&gt;&lt;Year&gt;2017&lt;/Year&gt;&lt;RecNum&gt;689&lt;/RecNum&gt;&lt;DisplayText&gt;&lt;style face="superscript"&gt;18&lt;/style&gt;&lt;/DisplayText&gt;&lt;record&gt;&lt;rec-number&gt;689&lt;/rec-number&gt;&lt;foreign-keys&gt;&lt;key app="EN" db-id="rezsta2w99aashetf5qx9r5rpp20sxf0daaw" timestamp="1559525617"&gt;689&lt;/key&gt;&lt;/foreign-keys&gt;&lt;ref-type name="Government Document"&gt;46&lt;/ref-type&gt;&lt;contributors&gt;&lt;authors&gt;&lt;author&gt;Council of Australian Governments,&lt;/author&gt;&lt;/authors&gt;&lt;/contributors&gt;&lt;titles&gt;&lt;title&gt;The Fifth National Mental Health and Suicide Prevention Plan&lt;/title&gt;&lt;/titles&gt;&lt;dates&gt;&lt;year&gt;2017&lt;/year&gt;&lt;/dates&gt;&lt;urls&gt;&lt;related-urls&gt;&lt;url&gt;http://www.coaghealthcouncil.gov.au/Portals/0/Fifth%20National%20Mental%20Health%20and%20Suicide%20Prevention%20Plan.pdf&lt;/url&gt;&lt;/related-urls&gt;&lt;/urls&gt;&lt;/record&gt;&lt;/Cite&gt;&lt;/EndNote&gt;</w:instrText>
      </w:r>
      <w:r w:rsidR="009D5375">
        <w:fldChar w:fldCharType="separate"/>
      </w:r>
      <w:r w:rsidR="00906EB4" w:rsidRPr="00906EB4">
        <w:rPr>
          <w:noProof/>
          <w:vertAlign w:val="superscript"/>
        </w:rPr>
        <w:t>18</w:t>
      </w:r>
      <w:r w:rsidR="009D5375">
        <w:fldChar w:fldCharType="end"/>
      </w:r>
      <w:r w:rsidR="00225731">
        <w:t xml:space="preserve"> </w:t>
      </w:r>
    </w:p>
    <w:p w:rsidR="00C50E65" w:rsidRDefault="00C50E65" w:rsidP="00C47A48">
      <w:r>
        <w:t xml:space="preserve">Based on evidence from the mental health sector, the </w:t>
      </w:r>
      <w:r w:rsidR="0082366A" w:rsidRPr="00225731">
        <w:t xml:space="preserve">Commission </w:t>
      </w:r>
      <w:r w:rsidR="00C47A48">
        <w:t>considers</w:t>
      </w:r>
      <w:r>
        <w:t xml:space="preserve"> that the involvement of people who have had direct experience with the child protection system will</w:t>
      </w:r>
      <w:r w:rsidR="00C47A48">
        <w:t xml:space="preserve"> likely</w:t>
      </w:r>
      <w:r>
        <w:t xml:space="preserve"> be essential to </w:t>
      </w:r>
      <w:r w:rsidR="00C47A48">
        <w:t xml:space="preserve">designing more effective funding approaches for child protection services. </w:t>
      </w:r>
      <w:r w:rsidR="00946F2B">
        <w:t xml:space="preserve">The </w:t>
      </w:r>
      <w:r w:rsidR="006B0E84" w:rsidRPr="00225731">
        <w:t xml:space="preserve">Commission </w:t>
      </w:r>
      <w:r w:rsidR="00946F2B">
        <w:t xml:space="preserve">therefore supports the place-based approach </w:t>
      </w:r>
      <w:r w:rsidR="00794302">
        <w:t xml:space="preserve">to service provision described in the </w:t>
      </w:r>
      <w:r w:rsidR="00794302" w:rsidRPr="00E51D16">
        <w:rPr>
          <w:i/>
        </w:rPr>
        <w:t>Issues Paper</w:t>
      </w:r>
      <w:r w:rsidR="00794302">
        <w:t xml:space="preserve">, whereby local communities would have a central role in making decisions about service provision. </w:t>
      </w:r>
    </w:p>
    <w:p w:rsidR="00946F2B" w:rsidRDefault="00C50E65" w:rsidP="000257AE">
      <w:r>
        <w:t xml:space="preserve">The </w:t>
      </w:r>
      <w:r w:rsidR="006B0E84" w:rsidRPr="00225731">
        <w:t xml:space="preserve">Commission </w:t>
      </w:r>
      <w:r>
        <w:t>also encourages the Productivity Commission</w:t>
      </w:r>
      <w:r w:rsidR="00D877BF">
        <w:t>, when c</w:t>
      </w:r>
      <w:r w:rsidR="00671B18">
        <w:t xml:space="preserve">onsidering how </w:t>
      </w:r>
      <w:r w:rsidR="00CD0BC3">
        <w:t xml:space="preserve">funding arrangements can better support place-based approaches to service delivery, </w:t>
      </w:r>
      <w:r w:rsidR="00671B18">
        <w:t>to</w:t>
      </w:r>
      <w:r w:rsidR="00D877BF">
        <w:t xml:space="preserve"> take into account</w:t>
      </w:r>
      <w:r w:rsidR="00671B18">
        <w:t xml:space="preserve"> the full spectrum of </w:t>
      </w:r>
      <w:r w:rsidR="00CD0BC3">
        <w:t xml:space="preserve">community </w:t>
      </w:r>
      <w:r w:rsidR="00671B18">
        <w:t xml:space="preserve">engagement and participation activities. </w:t>
      </w:r>
      <w:r w:rsidR="00C43C35">
        <w:t xml:space="preserve">A meaningful process of </w:t>
      </w:r>
      <w:r w:rsidR="00C43C35">
        <w:lastRenderedPageBreak/>
        <w:t xml:space="preserve">engagement </w:t>
      </w:r>
      <w:r w:rsidR="00D877BF">
        <w:t xml:space="preserve">necessitates involving affected communities </w:t>
      </w:r>
      <w:r w:rsidR="00C43C35">
        <w:t>as partners</w:t>
      </w:r>
      <w:r w:rsidR="00D877BF">
        <w:t xml:space="preserve"> and decision</w:t>
      </w:r>
      <w:r w:rsidR="00D52672">
        <w:t xml:space="preserve"> </w:t>
      </w:r>
      <w:r w:rsidR="00D877BF">
        <w:t xml:space="preserve">makers </w:t>
      </w:r>
      <w:r w:rsidR="00C47A48">
        <w:t>in</w:t>
      </w:r>
      <w:r w:rsidR="00C43C35">
        <w:t xml:space="preserve"> the design, planning, implementation and evaluation of policies, programs and services. </w:t>
      </w:r>
    </w:p>
    <w:p w:rsidR="00C43C35" w:rsidRDefault="00C43C35" w:rsidP="000257AE">
      <w:r>
        <w:t xml:space="preserve">The Western Australia Mental Health Commission’s </w:t>
      </w:r>
      <w:r w:rsidRPr="00E51D16">
        <w:rPr>
          <w:i/>
        </w:rPr>
        <w:t xml:space="preserve">Mental Health and Alcohol and Other Drug Engagement Framework </w:t>
      </w:r>
      <w:r>
        <w:t xml:space="preserve">provides a useful </w:t>
      </w:r>
      <w:r w:rsidR="00CD0BC3">
        <w:t>model for planning community</w:t>
      </w:r>
      <w:r w:rsidR="00C47A48">
        <w:t xml:space="preserve"> engagement and </w:t>
      </w:r>
      <w:r w:rsidR="00CD0BC3">
        <w:t xml:space="preserve">participation </w:t>
      </w:r>
      <w:r w:rsidR="00C47A48">
        <w:t>activities across this spectrum, with applicability beyond the mental health sector</w:t>
      </w:r>
      <w:r w:rsidR="00D52672">
        <w:t xml:space="preserve"> and could be considered by the Productivity Commission.</w:t>
      </w:r>
    </w:p>
    <w:p w:rsidR="00CD0BC3" w:rsidRDefault="00A310EC" w:rsidP="00050FD5">
      <w:pPr>
        <w:pStyle w:val="Recommendations"/>
      </w:pPr>
      <w:r>
        <w:t>The Commission recommends</w:t>
      </w:r>
      <w:r w:rsidR="00CD0BC3" w:rsidRPr="00CD0BC3">
        <w:t xml:space="preserve"> </w:t>
      </w:r>
      <w:r w:rsidR="00CD0BC3">
        <w:t xml:space="preserve">that the Productivity Commission consider the Western Australian Mental Health Commission’s Mental Health </w:t>
      </w:r>
      <w:r w:rsidR="00CD0BC3" w:rsidRPr="00CD0BC3">
        <w:t>Alcohol and Other Drug Engagement Framework</w:t>
      </w:r>
      <w:r w:rsidR="00225731">
        <w:t xml:space="preserve"> as a model for</w:t>
      </w:r>
      <w:r w:rsidR="00CD0BC3">
        <w:t xml:space="preserve"> community engagement </w:t>
      </w:r>
      <w:r w:rsidR="00D6473E">
        <w:t>and participation</w:t>
      </w:r>
      <w:r w:rsidR="00225731">
        <w:t xml:space="preserve"> to support</w:t>
      </w:r>
      <w:r w:rsidR="00D6473E">
        <w:t xml:space="preserve"> place-based approach</w:t>
      </w:r>
      <w:r w:rsidR="00225731">
        <w:t>es</w:t>
      </w:r>
      <w:r w:rsidR="00D6473E">
        <w:t xml:space="preserve">. </w:t>
      </w:r>
    </w:p>
    <w:p w:rsidR="00077644" w:rsidRDefault="00077644" w:rsidP="008D6BEF">
      <w:r>
        <w:t>International studies have found that community-controlled models of health care are associated with improved health outcomes for indigenous people.</w:t>
      </w:r>
      <w:r w:rsidR="00B1410C">
        <w:fldChar w:fldCharType="begin"/>
      </w:r>
      <w:r w:rsidR="00906EB4">
        <w:instrText xml:space="preserve"> ADDIN EN.CITE &lt;EndNote&gt;&lt;Cite&gt;&lt;Author&gt;Campbell&lt;/Author&gt;&lt;Year&gt;2018&lt;/Year&gt;&lt;RecNum&gt;2527&lt;/RecNum&gt;&lt;DisplayText&gt;&lt;style face="superscript"&gt;19&lt;/style&gt;&lt;/DisplayText&gt;&lt;record&gt;&lt;rec-number&gt;2527&lt;/rec-number&gt;&lt;foreign-keys&gt;&lt;key app="EN" db-id="rezsta2w99aashetf5qx9r5rpp20sxf0daaw" timestamp="1561961515"&gt;2527&lt;/key&gt;&lt;/foreign-keys&gt;&lt;ref-type name="Journal Article"&gt;17&lt;/ref-type&gt;&lt;contributors&gt;&lt;authors&gt;&lt;author&gt;Campbell, M.A.&lt;/author&gt;&lt;author&gt;Hunt, J.&lt;/author&gt;&lt;author&gt;Scrimgeour, D.J.&lt;/author&gt;&lt;author&gt;Davey, M. &lt;/author&gt;&lt;author&gt;Jones, V.&lt;/author&gt;&lt;/authors&gt;&lt;/contributors&gt;&lt;titles&gt;&lt;title&gt;Contribution of Aboriginal Community-Controlled Health Services to improving Aboriginal health: an evidence review&lt;/title&gt;&lt;secondary-title&gt;Australian Health Review&lt;/secondary-title&gt;&lt;/titles&gt;&lt;periodical&gt;&lt;full-title&gt;Australian Health Review&lt;/full-title&gt;&lt;/periodical&gt;&lt;pages&gt;218–226&lt;/pages&gt;&lt;volume&gt;42&lt;/volume&gt;&lt;dates&gt;&lt;year&gt;2018&lt;/year&gt;&lt;/dates&gt;&lt;urls&gt;&lt;/urls&gt;&lt;electronic-resource-num&gt;DOI 10.1071/AH16149&lt;/electronic-resource-num&gt;&lt;/record&gt;&lt;/Cite&gt;&lt;/EndNote&gt;</w:instrText>
      </w:r>
      <w:r w:rsidR="00B1410C">
        <w:fldChar w:fldCharType="separate"/>
      </w:r>
      <w:r w:rsidR="00906EB4" w:rsidRPr="00906EB4">
        <w:rPr>
          <w:noProof/>
          <w:vertAlign w:val="superscript"/>
        </w:rPr>
        <w:t>19</w:t>
      </w:r>
      <w:r w:rsidR="00B1410C">
        <w:fldChar w:fldCharType="end"/>
      </w:r>
      <w:r>
        <w:t xml:space="preserve"> In Australia, a</w:t>
      </w:r>
      <w:r w:rsidR="007D1A7C">
        <w:t>vailable evidence</w:t>
      </w:r>
      <w:r>
        <w:t xml:space="preserve"> similarly </w:t>
      </w:r>
      <w:r w:rsidR="007D1A7C">
        <w:t xml:space="preserve">indicates that Aboriginal </w:t>
      </w:r>
      <w:r>
        <w:t>Community-C</w:t>
      </w:r>
      <w:r w:rsidR="007D1A7C">
        <w:t xml:space="preserve">ontrolled </w:t>
      </w:r>
      <w:r>
        <w:t>H</w:t>
      </w:r>
      <w:r w:rsidR="007D1A7C">
        <w:t xml:space="preserve">ealth </w:t>
      </w:r>
      <w:r w:rsidR="0082366A">
        <w:t>Services</w:t>
      </w:r>
      <w:r>
        <w:t xml:space="preserve"> (ACCH</w:t>
      </w:r>
      <w:r w:rsidR="0082366A">
        <w:t>S</w:t>
      </w:r>
      <w:r>
        <w:t>)</w:t>
      </w:r>
      <w:r w:rsidR="007D1A7C">
        <w:t xml:space="preserve"> make significant contributions to improving the health of Aboriginal and </w:t>
      </w:r>
      <w:r>
        <w:t>Torres Strait Islander people, i</w:t>
      </w:r>
      <w:r w:rsidR="00EC12C5">
        <w:t xml:space="preserve">n part due to </w:t>
      </w:r>
      <w:r>
        <w:t>their capacity to provide culturally appropriate care</w:t>
      </w:r>
      <w:r w:rsidR="00B1410C">
        <w:t>.</w:t>
      </w:r>
      <w:r w:rsidR="00B1410C">
        <w:fldChar w:fldCharType="begin"/>
      </w:r>
      <w:r w:rsidR="00906EB4">
        <w:instrText xml:space="preserve"> ADDIN EN.CITE &lt;EndNote&gt;&lt;Cite&gt;&lt;Author&gt;Campbell&lt;/Author&gt;&lt;Year&gt;2018&lt;/Year&gt;&lt;RecNum&gt;2527&lt;/RecNum&gt;&lt;DisplayText&gt;&lt;style face="superscript"&gt;19&lt;/style&gt;&lt;/DisplayText&gt;&lt;record&gt;&lt;rec-number&gt;2527&lt;/rec-number&gt;&lt;foreign-keys&gt;&lt;key app="EN" db-id="rezsta2w99aashetf5qx9r5rpp20sxf0daaw" timestamp="1561961515"&gt;2527&lt;/key&gt;&lt;/foreign-keys&gt;&lt;ref-type name="Journal Article"&gt;17&lt;/ref-type&gt;&lt;contributors&gt;&lt;authors&gt;&lt;author&gt;Campbell, M.A.&lt;/author&gt;&lt;author&gt;Hunt, J.&lt;/author&gt;&lt;author&gt;Scrimgeour, D.J.&lt;/author&gt;&lt;author&gt;Davey, M. &lt;/author&gt;&lt;author&gt;Jones, V.&lt;/author&gt;&lt;/authors&gt;&lt;/contributors&gt;&lt;titles&gt;&lt;title&gt;Contribution of Aboriginal Community-Controlled Health Services to improving Aboriginal health: an evidence review&lt;/title&gt;&lt;secondary-title&gt;Australian Health Review&lt;/secondary-title&gt;&lt;/titles&gt;&lt;periodical&gt;&lt;full-title&gt;Australian Health Review&lt;/full-title&gt;&lt;/periodical&gt;&lt;pages&gt;218–226&lt;/pages&gt;&lt;volume&gt;42&lt;/volume&gt;&lt;dates&gt;&lt;year&gt;2018&lt;/year&gt;&lt;/dates&gt;&lt;urls&gt;&lt;/urls&gt;&lt;electronic-resource-num&gt;DOI 10.1071/AH16149&lt;/electronic-resource-num&gt;&lt;/record&gt;&lt;/Cite&gt;&lt;/EndNote&gt;</w:instrText>
      </w:r>
      <w:r w:rsidR="00B1410C">
        <w:fldChar w:fldCharType="separate"/>
      </w:r>
      <w:r w:rsidR="00906EB4" w:rsidRPr="00906EB4">
        <w:rPr>
          <w:noProof/>
          <w:vertAlign w:val="superscript"/>
        </w:rPr>
        <w:t>19</w:t>
      </w:r>
      <w:r w:rsidR="00B1410C">
        <w:fldChar w:fldCharType="end"/>
      </w:r>
    </w:p>
    <w:p w:rsidR="008D6BEF" w:rsidRDefault="008D6BEF" w:rsidP="008D6BEF">
      <w:r w:rsidRPr="000C6770">
        <w:t xml:space="preserve">Research conducted by the </w:t>
      </w:r>
      <w:proofErr w:type="spellStart"/>
      <w:r w:rsidRPr="000C6770">
        <w:t>Lowitja</w:t>
      </w:r>
      <w:proofErr w:type="spellEnd"/>
      <w:r w:rsidRPr="000C6770">
        <w:t xml:space="preserve"> Institute for the </w:t>
      </w:r>
      <w:r w:rsidR="0082366A" w:rsidRPr="00225731">
        <w:t>Commission</w:t>
      </w:r>
      <w:r>
        <w:t xml:space="preserve">, for example, </w:t>
      </w:r>
      <w:r w:rsidRPr="000C6770">
        <w:t xml:space="preserve">highlighted the particular strengths of </w:t>
      </w:r>
      <w:r w:rsidR="0082366A">
        <w:t>ACCHS</w:t>
      </w:r>
      <w:r>
        <w:t xml:space="preserve"> </w:t>
      </w:r>
      <w:r w:rsidRPr="000C6770">
        <w:t>in addressing the mental health needs of Aboriginal and Torres Strait Islander communities, such as their capacity to build ‘a greater level of trust and cultural credibility with their</w:t>
      </w:r>
      <w:r>
        <w:t xml:space="preserve"> clients and local community’.</w:t>
      </w:r>
      <w:r w:rsidR="00FE6DDA">
        <w:fldChar w:fldCharType="begin"/>
      </w:r>
      <w:r w:rsidR="00906EB4">
        <w:instrText xml:space="preserve"> ADDIN EN.CITE &lt;EndNote&gt;&lt;Cite&gt;&lt;Author&gt;The Lowitja Institute&lt;/Author&gt;&lt;Year&gt;2018&lt;/Year&gt;&lt;RecNum&gt;2286&lt;/RecNum&gt;&lt;DisplayText&gt;&lt;style face="superscript"&gt;20&lt;/style&gt;&lt;/DisplayText&gt;&lt;record&gt;&lt;rec-number&gt;2286&lt;/rec-number&gt;&lt;foreign-keys&gt;&lt;key app="EN" db-id="rezsta2w99aashetf5qx9r5rpp20sxf0daaw" timestamp="1559525817"&gt;2286&lt;/key&gt;&lt;/foreign-keys&gt;&lt;ref-type name="Report"&gt;27&lt;/ref-type&gt;&lt;contributors&gt;&lt;authors&gt;&lt;author&gt;The Lowitja Institute,&lt;/author&gt;&lt;/authors&gt;&lt;/contributors&gt;&lt;titles&gt;&lt;title&gt;Journeys to Healing and Strong Wellbeing: final report for the National Mental Health Commission&lt;/title&gt;&lt;/titles&gt;&lt;dates&gt;&lt;year&gt;2018&lt;/year&gt;&lt;/dates&gt;&lt;pub-location&gt;Melbourne&lt;/pub-location&gt;&lt;urls&gt;&lt;related-urls&gt;&lt;url&gt;&lt;style face="underline" font="default" size="100%"&gt;https://www.lowitja.org.au/page/services/resources/Cultural-and-social-determinants/mental-health/journeys-to-healing-and-strong-wellbeing-final-report&lt;/style&gt;&lt;/url&gt;&lt;/related-urls&gt;&lt;/urls&gt;&lt;/record&gt;&lt;/Cite&gt;&lt;/EndNote&gt;</w:instrText>
      </w:r>
      <w:r w:rsidR="00FE6DDA">
        <w:fldChar w:fldCharType="separate"/>
      </w:r>
      <w:r w:rsidR="00906EB4" w:rsidRPr="00906EB4">
        <w:rPr>
          <w:noProof/>
          <w:vertAlign w:val="superscript"/>
        </w:rPr>
        <w:t>20</w:t>
      </w:r>
      <w:r w:rsidR="00FE6DDA">
        <w:fldChar w:fldCharType="end"/>
      </w:r>
      <w:r>
        <w:t xml:space="preserve"> </w:t>
      </w:r>
    </w:p>
    <w:p w:rsidR="008D6BEF" w:rsidRDefault="00082DCB" w:rsidP="008D6BEF">
      <w:r>
        <w:t>T</w:t>
      </w:r>
      <w:r w:rsidR="008D6BEF">
        <w:t xml:space="preserve">he </w:t>
      </w:r>
      <w:r w:rsidR="0082366A" w:rsidRPr="00225731">
        <w:t xml:space="preserve">Commission </w:t>
      </w:r>
      <w:r>
        <w:t xml:space="preserve">endorses the principle </w:t>
      </w:r>
      <w:r w:rsidR="008D6BEF">
        <w:t>that Aboriginal and Torres Strait Islander controlled organisations should be positioned as preferred providers of</w:t>
      </w:r>
      <w:r>
        <w:t xml:space="preserve"> </w:t>
      </w:r>
      <w:r w:rsidR="008D6BEF">
        <w:t xml:space="preserve">services for Aboriginal and Torres Strait Islander peoples. The </w:t>
      </w:r>
      <w:r w:rsidR="0082366A" w:rsidRPr="00225731">
        <w:t xml:space="preserve">Commission </w:t>
      </w:r>
      <w:r w:rsidR="008D6BEF">
        <w:t>suggests that the same principle be endorsed for the present Inquiry.</w:t>
      </w:r>
    </w:p>
    <w:p w:rsidR="008D6BEF" w:rsidRDefault="00A310EC" w:rsidP="008D6BEF">
      <w:pPr>
        <w:pStyle w:val="Recommendations"/>
      </w:pPr>
      <w:r>
        <w:t>The Commission recommends</w:t>
      </w:r>
      <w:r w:rsidRPr="00CD0BC3">
        <w:t xml:space="preserve"> </w:t>
      </w:r>
      <w:r w:rsidR="008D6BEF">
        <w:t xml:space="preserve">that the Productivity Commission endorse the positioning of </w:t>
      </w:r>
      <w:r w:rsidR="008D6BEF" w:rsidRPr="00476E3D">
        <w:t>Aborig</w:t>
      </w:r>
      <w:r w:rsidR="009337EF">
        <w:t xml:space="preserve">inal and Torres Strait Islander </w:t>
      </w:r>
      <w:r w:rsidR="008D6BEF">
        <w:t xml:space="preserve">controlled organisations as preferred providers of services for Aboriginal and Torres Strait Islander peoples. </w:t>
      </w:r>
    </w:p>
    <w:p w:rsidR="000257AE" w:rsidRDefault="00DD470E" w:rsidP="000257AE">
      <w:pPr>
        <w:pStyle w:val="Heading2"/>
      </w:pPr>
      <w:r>
        <w:t>Integrated r</w:t>
      </w:r>
      <w:r w:rsidR="000257AE">
        <w:t xml:space="preserve">egional planning </w:t>
      </w:r>
    </w:p>
    <w:p w:rsidR="00F251CD" w:rsidRDefault="008E63E0" w:rsidP="00B26F53">
      <w:r>
        <w:t xml:space="preserve">The Inquiry should consider the learnings from the significant mental health reform evident in the move across Australia towards regional/local service planning. </w:t>
      </w:r>
      <w:r w:rsidR="00B26F53">
        <w:t xml:space="preserve">The </w:t>
      </w:r>
      <w:r w:rsidR="0082366A">
        <w:t xml:space="preserve">Commission’s </w:t>
      </w:r>
      <w:r w:rsidR="00B26F53" w:rsidRPr="009337EF">
        <w:rPr>
          <w:i/>
        </w:rPr>
        <w:t>2014 National Review</w:t>
      </w:r>
      <w:r w:rsidR="001D30DA" w:rsidRPr="009337EF">
        <w:rPr>
          <w:i/>
        </w:rPr>
        <w:t xml:space="preserve"> Mental Health Programmes and Services</w:t>
      </w:r>
      <w:r w:rsidR="00B26F53" w:rsidRPr="009337EF">
        <w:rPr>
          <w:i/>
        </w:rPr>
        <w:t xml:space="preserve"> </w:t>
      </w:r>
      <w:r>
        <w:t>proposed an alternative approach to the fragmented mental health system, based on regional integration and joint planning of service delivery</w:t>
      </w:r>
      <w:r w:rsidR="00B26F53">
        <w:t>. This fragmentation was driven by a range of factors, including myriad service providers (often working in isolation from one another), siloed funding streams, and poor planning and coordination between the Commonwealth and state and territory govern</w:t>
      </w:r>
      <w:r w:rsidR="00661166">
        <w:t>ments.</w:t>
      </w:r>
      <w:r w:rsidR="00FE6DDA">
        <w:fldChar w:fldCharType="begin"/>
      </w:r>
      <w:r w:rsidR="00906EB4">
        <w:instrText xml:space="preserve"> ADDIN EN.CITE &lt;EndNote&gt;&lt;Cite&gt;&lt;Author&gt;National Mental Health Commission&lt;/Author&gt;&lt;Year&gt;2014&lt;/Year&gt;&lt;RecNum&gt;1709&lt;/RecNum&gt;&lt;DisplayText&gt;&lt;style face="superscript"&gt;9&lt;/style&gt;&lt;/DisplayText&gt;&lt;record&gt;&lt;rec-number&gt;1709&lt;/rec-number&gt;&lt;foreign-keys&gt;&lt;key app="EN" db-id="rezsta2w99aashetf5qx9r5rpp20sxf0daaw" timestamp="1559525734"&gt;1709&lt;/key&gt;&lt;/foreign-keys&gt;&lt;ref-type name="Report"&gt;27&lt;/ref-type&gt;&lt;contributors&gt;&lt;authors&gt;&lt;author&gt;National Mental Health Commission,&lt;/author&gt;&lt;/authors&gt;&lt;tertiary-authors&gt;&lt;author&gt;National Mental Health Commission, Australian Government&lt;/author&gt;&lt;/tertiary-authors&gt;&lt;/contributors&gt;&lt;titles&gt;&lt;title&gt;Contributing lives, thriving communities: report of the National Review of Mental Health Programmes and Services&lt;/title&gt;&lt;/titles&gt;&lt;dates&gt;&lt;year&gt;2014&lt;/year&gt;&lt;pub-dates&gt;&lt;date&gt;30 November&lt;/date&gt;&lt;/pub-dates&gt;&lt;/dates&gt;&lt;pub-location&gt;Sydney&lt;/pub-location&gt;&lt;publisher&gt;NMHC&lt;/publisher&gt;&lt;urls&gt;&lt;related-urls&gt;&lt;url&gt;www.mentalhealthcommission.gov.au/our-reports/contributing-lives,-thriving-communities-review-of-mental-health-programmes-and-services.aspx&lt;/url&gt;&lt;/related-urls&gt;&lt;/urls&gt;&lt;/record&gt;&lt;/Cite&gt;&lt;/EndNote&gt;</w:instrText>
      </w:r>
      <w:r w:rsidR="00FE6DDA">
        <w:fldChar w:fldCharType="separate"/>
      </w:r>
      <w:r w:rsidR="00906EB4" w:rsidRPr="00906EB4">
        <w:rPr>
          <w:noProof/>
          <w:vertAlign w:val="superscript"/>
        </w:rPr>
        <w:t>9</w:t>
      </w:r>
      <w:r w:rsidR="00FE6DDA">
        <w:fldChar w:fldCharType="end"/>
      </w:r>
    </w:p>
    <w:p w:rsidR="00661166" w:rsidRDefault="00E955AD" w:rsidP="00B26F53">
      <w:r>
        <w:t xml:space="preserve">The </w:t>
      </w:r>
      <w:r w:rsidR="0082366A" w:rsidRPr="00225731">
        <w:t xml:space="preserve">Commission </w:t>
      </w:r>
      <w:r w:rsidR="00D70A00">
        <w:t>recommended that governments</w:t>
      </w:r>
      <w:r w:rsidR="007A4B31">
        <w:t xml:space="preserve"> explore </w:t>
      </w:r>
      <w:r w:rsidR="00082DCB">
        <w:t xml:space="preserve">new </w:t>
      </w:r>
      <w:r w:rsidR="007A4B31">
        <w:t xml:space="preserve">funding models, such as pooled funding and </w:t>
      </w:r>
      <w:r w:rsidR="00D70A00">
        <w:t>bundle programs</w:t>
      </w:r>
      <w:r w:rsidR="007A4B31">
        <w:t>, to</w:t>
      </w:r>
      <w:r w:rsidR="00D70A00">
        <w:t xml:space="preserve"> simplify funding arrangements and enable a more holistic, person-centred approach to mental </w:t>
      </w:r>
      <w:r w:rsidR="007A4B31">
        <w:t>health care and support.</w:t>
      </w:r>
      <w:r w:rsidR="00FE6DDA">
        <w:fldChar w:fldCharType="begin"/>
      </w:r>
      <w:r w:rsidR="00906EB4">
        <w:instrText xml:space="preserve"> ADDIN EN.CITE &lt;EndNote&gt;&lt;Cite&gt;&lt;Author&gt;National Mental Health Commission&lt;/Author&gt;&lt;Year&gt;2014&lt;/Year&gt;&lt;RecNum&gt;1709&lt;/RecNum&gt;&lt;DisplayText&gt;&lt;style face="superscript"&gt;9&lt;/style&gt;&lt;/DisplayText&gt;&lt;record&gt;&lt;rec-number&gt;1709&lt;/rec-number&gt;&lt;foreign-keys&gt;&lt;key app="EN" db-id="rezsta2w99aashetf5qx9r5rpp20sxf0daaw" timestamp="1559525734"&gt;1709&lt;/key&gt;&lt;/foreign-keys&gt;&lt;ref-type name="Report"&gt;27&lt;/ref-type&gt;&lt;contributors&gt;&lt;authors&gt;&lt;author&gt;National Mental Health Commission,&lt;/author&gt;&lt;/authors&gt;&lt;tertiary-authors&gt;&lt;author&gt;National Mental Health Commission, Australian Government&lt;/author&gt;&lt;/tertiary-authors&gt;&lt;/contributors&gt;&lt;titles&gt;&lt;title&gt;Contributing lives, thriving communities: report of the National Review of Mental Health Programmes and Services&lt;/title&gt;&lt;/titles&gt;&lt;dates&gt;&lt;year&gt;2014&lt;/year&gt;&lt;pub-dates&gt;&lt;date&gt;30 November&lt;/date&gt;&lt;/pub-dates&gt;&lt;/dates&gt;&lt;pub-location&gt;Sydney&lt;/pub-location&gt;&lt;publisher&gt;NMHC&lt;/publisher&gt;&lt;urls&gt;&lt;related-urls&gt;&lt;url&gt;www.mentalhealthcommission.gov.au/our-reports/contributing-lives,-thriving-communities-review-of-mental-health-programmes-and-services.aspx&lt;/url&gt;&lt;/related-urls&gt;&lt;/urls&gt;&lt;/record&gt;&lt;/Cite&gt;&lt;/EndNote&gt;</w:instrText>
      </w:r>
      <w:r w:rsidR="00FE6DDA">
        <w:fldChar w:fldCharType="separate"/>
      </w:r>
      <w:r w:rsidR="00906EB4" w:rsidRPr="00906EB4">
        <w:rPr>
          <w:noProof/>
          <w:vertAlign w:val="superscript"/>
        </w:rPr>
        <w:t>9</w:t>
      </w:r>
      <w:r w:rsidR="00FE6DDA">
        <w:fldChar w:fldCharType="end"/>
      </w:r>
      <w:r w:rsidR="007A4B31">
        <w:t xml:space="preserve"> </w:t>
      </w:r>
      <w:r w:rsidR="00D70A00">
        <w:t xml:space="preserve">Achieving integrated regional planning and service delivery was subsequently adopted as a priority area under the </w:t>
      </w:r>
      <w:r>
        <w:t>Fifth Plan.</w:t>
      </w:r>
      <w:r w:rsidR="00FE6DDA">
        <w:fldChar w:fldCharType="begin"/>
      </w:r>
      <w:r w:rsidR="00906EB4">
        <w:instrText xml:space="preserve"> ADDIN EN.CITE &lt;EndNote&gt;&lt;Cite&gt;&lt;Author&gt;Council of Australian Governments&lt;/Author&gt;&lt;Year&gt;2017&lt;/Year&gt;&lt;RecNum&gt;689&lt;/RecNum&gt;&lt;DisplayText&gt;&lt;style face="superscript"&gt;18&lt;/style&gt;&lt;/DisplayText&gt;&lt;record&gt;&lt;rec-number&gt;689&lt;/rec-number&gt;&lt;foreign-keys&gt;&lt;key app="EN" db-id="rezsta2w99aashetf5qx9r5rpp20sxf0daaw" timestamp="1559525617"&gt;689&lt;/key&gt;&lt;/foreign-keys&gt;&lt;ref-type name="Government Document"&gt;46&lt;/ref-type&gt;&lt;contributors&gt;&lt;authors&gt;&lt;author&gt;Council of Australian Governments,&lt;/author&gt;&lt;/authors&gt;&lt;/contributors&gt;&lt;titles&gt;&lt;title&gt;The Fifth National Mental Health and Suicide Prevention Plan&lt;/title&gt;&lt;/titles&gt;&lt;dates&gt;&lt;year&gt;2017&lt;/year&gt;&lt;/dates&gt;&lt;urls&gt;&lt;related-urls&gt;&lt;url&gt;http://www.coaghealthcouncil.gov.au/Portals/0/Fifth%20National%20Mental%20Health%20and%20Suicide%20Prevention%20Plan.pdf&lt;/url&gt;&lt;/related-urls&gt;&lt;/urls&gt;&lt;/record&gt;&lt;/Cite&gt;&lt;/EndNote&gt;</w:instrText>
      </w:r>
      <w:r w:rsidR="00FE6DDA">
        <w:fldChar w:fldCharType="separate"/>
      </w:r>
      <w:r w:rsidR="00906EB4" w:rsidRPr="00906EB4">
        <w:rPr>
          <w:noProof/>
          <w:vertAlign w:val="superscript"/>
        </w:rPr>
        <w:t>18</w:t>
      </w:r>
      <w:r w:rsidR="00FE6DDA">
        <w:fldChar w:fldCharType="end"/>
      </w:r>
    </w:p>
    <w:p w:rsidR="00917BE0" w:rsidRDefault="00917BE0" w:rsidP="00B26F53">
      <w:r>
        <w:t>A similar approach may assist in addressing some of</w:t>
      </w:r>
      <w:r w:rsidR="00DD470E">
        <w:t xml:space="preserve"> problems identified by the Royal Commission in relation to funding of child and family services in the </w:t>
      </w:r>
      <w:r w:rsidR="008E63E0">
        <w:t>NT</w:t>
      </w:r>
      <w:r w:rsidR="00DD470E">
        <w:t xml:space="preserve"> (such as duplication between service providers, lack of coordination between different levels of government and failure to build local community capacity). Regional planning can also support place-based approaches to service delivery by allowing services to be tailored to local needs. </w:t>
      </w:r>
    </w:p>
    <w:p w:rsidR="000257AE" w:rsidRDefault="000257AE" w:rsidP="000257AE">
      <w:pPr>
        <w:pStyle w:val="Heading2"/>
      </w:pPr>
      <w:r>
        <w:lastRenderedPageBreak/>
        <w:t>Focusing on outcomes</w:t>
      </w:r>
    </w:p>
    <w:p w:rsidR="004A145B" w:rsidRDefault="001D30DA" w:rsidP="000257AE">
      <w:r>
        <w:t xml:space="preserve">The </w:t>
      </w:r>
      <w:r w:rsidR="0082366A" w:rsidRPr="00225731">
        <w:t xml:space="preserve">Commission </w:t>
      </w:r>
      <w:r>
        <w:t>continues to highlight</w:t>
      </w:r>
      <w:r w:rsidR="00927F9F">
        <w:t xml:space="preserve"> the need to </w:t>
      </w:r>
      <w:r w:rsidR="00BF05AF">
        <w:t xml:space="preserve">move towards an </w:t>
      </w:r>
      <w:r w:rsidR="00D52672">
        <w:t xml:space="preserve">outcomes </w:t>
      </w:r>
      <w:r w:rsidR="00BF05AF" w:rsidRPr="00BF05AF">
        <w:t>focused mental health system</w:t>
      </w:r>
      <w:r w:rsidR="00082DCB">
        <w:t>.</w:t>
      </w:r>
      <w:r w:rsidR="00BF05AF">
        <w:t xml:space="preserve"> </w:t>
      </w:r>
      <w:r>
        <w:t xml:space="preserve">The </w:t>
      </w:r>
      <w:r w:rsidR="0082366A" w:rsidRPr="00225731">
        <w:t xml:space="preserve">Commission </w:t>
      </w:r>
      <w:r w:rsidR="00927F9F">
        <w:t xml:space="preserve">has </w:t>
      </w:r>
      <w:r>
        <w:t xml:space="preserve">previously </w:t>
      </w:r>
      <w:r w:rsidR="00BF05AF">
        <w:t xml:space="preserve">recommended that Commonwealth funding for mental health service focus on providing incentives to achieve outcomes (rather than on simply generating activity) and highlighted the need to </w:t>
      </w:r>
      <w:r w:rsidR="00BF05AF" w:rsidRPr="00BF05AF">
        <w:t xml:space="preserve">embed a culture of evaluation as a core aspect of Commonwealth program design, </w:t>
      </w:r>
      <w:r w:rsidR="004E0CE6">
        <w:t xml:space="preserve">including through </w:t>
      </w:r>
      <w:r w:rsidR="00BF05AF">
        <w:t>fund</w:t>
      </w:r>
      <w:r w:rsidR="004E0CE6">
        <w:t>ing evaluation</w:t>
      </w:r>
      <w:r w:rsidR="00BF05AF">
        <w:t xml:space="preserve"> as</w:t>
      </w:r>
      <w:r w:rsidR="00BF05AF" w:rsidRPr="00BF05AF">
        <w:t xml:space="preserve"> a spec</w:t>
      </w:r>
      <w:r w:rsidR="00082DCB">
        <w:t>ific element of implementation.</w:t>
      </w:r>
      <w:r w:rsidR="00FE6DDA">
        <w:fldChar w:fldCharType="begin"/>
      </w:r>
      <w:r w:rsidR="00906EB4">
        <w:instrText xml:space="preserve"> ADDIN EN.CITE &lt;EndNote&gt;&lt;Cite&gt;&lt;Author&gt;National Mental Health Commission&lt;/Author&gt;&lt;Year&gt;2014&lt;/Year&gt;&lt;RecNum&gt;1709&lt;/RecNum&gt;&lt;DisplayText&gt;&lt;style face="superscript"&gt;9&lt;/style&gt;&lt;/DisplayText&gt;&lt;record&gt;&lt;rec-number&gt;1709&lt;/rec-number&gt;&lt;foreign-keys&gt;&lt;key app="EN" db-id="rezsta2w99aashetf5qx9r5rpp20sxf0daaw" timestamp="1559525734"&gt;1709&lt;/key&gt;&lt;/foreign-keys&gt;&lt;ref-type name="Report"&gt;27&lt;/ref-type&gt;&lt;contributors&gt;&lt;authors&gt;&lt;author&gt;National Mental Health Commission,&lt;/author&gt;&lt;/authors&gt;&lt;tertiary-authors&gt;&lt;author&gt;National Mental Health Commission, Australian Government&lt;/author&gt;&lt;/tertiary-authors&gt;&lt;/contributors&gt;&lt;titles&gt;&lt;title&gt;Contributing lives, thriving communities: report of the National Review of Mental Health Programmes and Services&lt;/title&gt;&lt;/titles&gt;&lt;dates&gt;&lt;year&gt;2014&lt;/year&gt;&lt;pub-dates&gt;&lt;date&gt;30 November&lt;/date&gt;&lt;/pub-dates&gt;&lt;/dates&gt;&lt;pub-location&gt;Sydney&lt;/pub-location&gt;&lt;publisher&gt;NMHC&lt;/publisher&gt;&lt;urls&gt;&lt;related-urls&gt;&lt;url&gt;www.mentalhealthcommission.gov.au/our-reports/contributing-lives,-thriving-communities-review-of-mental-health-programmes-and-services.aspx&lt;/url&gt;&lt;/related-urls&gt;&lt;/urls&gt;&lt;/record&gt;&lt;/Cite&gt;&lt;/EndNote&gt;</w:instrText>
      </w:r>
      <w:r w:rsidR="00FE6DDA">
        <w:fldChar w:fldCharType="separate"/>
      </w:r>
      <w:r w:rsidR="00906EB4" w:rsidRPr="00906EB4">
        <w:rPr>
          <w:noProof/>
          <w:vertAlign w:val="superscript"/>
        </w:rPr>
        <w:t>9</w:t>
      </w:r>
      <w:r w:rsidR="00FE6DDA">
        <w:fldChar w:fldCharType="end"/>
      </w:r>
      <w:r w:rsidR="00E51D16">
        <w:t xml:space="preserve"> </w:t>
      </w:r>
      <w:r w:rsidR="00363F4F">
        <w:t xml:space="preserve">The </w:t>
      </w:r>
      <w:r w:rsidR="0082366A" w:rsidRPr="00225731">
        <w:t xml:space="preserve">Commission </w:t>
      </w:r>
      <w:r w:rsidR="00363F4F">
        <w:t xml:space="preserve">therefore welcomes the focus on </w:t>
      </w:r>
      <w:r w:rsidR="004E0CE6">
        <w:t xml:space="preserve">improving monitoring and </w:t>
      </w:r>
      <w:r w:rsidR="00363F4F">
        <w:t xml:space="preserve">evaluation of outcomes in the </w:t>
      </w:r>
      <w:r w:rsidR="00363F4F" w:rsidRPr="00E51D16">
        <w:rPr>
          <w:i/>
        </w:rPr>
        <w:t>Issues Paper</w:t>
      </w:r>
      <w:r w:rsidR="00363F4F">
        <w:t xml:space="preserve"> for the present Inquiry. </w:t>
      </w:r>
    </w:p>
    <w:p w:rsidR="00710E5C" w:rsidRDefault="00363F4F" w:rsidP="00710E5C">
      <w:r>
        <w:t xml:space="preserve">The </w:t>
      </w:r>
      <w:r w:rsidR="0082366A" w:rsidRPr="00225731">
        <w:t xml:space="preserve">Commission </w:t>
      </w:r>
      <w:r w:rsidR="004E0CE6">
        <w:t xml:space="preserve">also </w:t>
      </w:r>
      <w:r>
        <w:t>notes that the Productivity Commiss</w:t>
      </w:r>
      <w:r w:rsidR="00080EE5">
        <w:t>ion has been asked by the Australian Government to develop a whole-of-government evaluation strategy for policies and programs affecting</w:t>
      </w:r>
      <w:r w:rsidR="00710E5C" w:rsidRPr="00710E5C">
        <w:t xml:space="preserve"> Aboriginal and Torres Strait Islander Australians, to be reported against by all Australian Government agencies. The evaluation strategy provides an opportunity to build the evidence base on what is working, especially in relation to the community controlled sector.</w:t>
      </w:r>
      <w:r w:rsidR="00710E5C">
        <w:t xml:space="preserve"> </w:t>
      </w:r>
    </w:p>
    <w:p w:rsidR="00363F4F" w:rsidRDefault="00710E5C" w:rsidP="00710E5C">
      <w:r>
        <w:t xml:space="preserve">The </w:t>
      </w:r>
      <w:r w:rsidR="0082366A" w:rsidRPr="00225731">
        <w:t xml:space="preserve">Commission </w:t>
      </w:r>
      <w:r>
        <w:t>intends to make a submission to the Productivity Commission on the evaluation strategy</w:t>
      </w:r>
      <w:r w:rsidR="00E51D16">
        <w:t xml:space="preserve"> with</w:t>
      </w:r>
      <w:r>
        <w:t xml:space="preserve"> further discussion and recommendations on outcomes and evaluation. </w:t>
      </w:r>
    </w:p>
    <w:p w:rsidR="008E2B04" w:rsidRDefault="000257AE" w:rsidP="000257AE">
      <w:pPr>
        <w:pStyle w:val="Heading2"/>
      </w:pPr>
      <w:r>
        <w:t xml:space="preserve">Justice reinvestment </w:t>
      </w:r>
    </w:p>
    <w:p w:rsidR="000838B6" w:rsidRDefault="00917F5D" w:rsidP="00F539C4">
      <w:r w:rsidRPr="00917F5D">
        <w:t xml:space="preserve">The </w:t>
      </w:r>
      <w:r w:rsidR="0082366A" w:rsidRPr="00225731">
        <w:t xml:space="preserve">Commission </w:t>
      </w:r>
      <w:r w:rsidRPr="00917F5D">
        <w:t xml:space="preserve">notes that expenditure on core youth justice services (such as youth detention centres) is </w:t>
      </w:r>
      <w:r>
        <w:t xml:space="preserve">considered to fall outside the scope of the present Inquiry. However, the </w:t>
      </w:r>
      <w:r w:rsidR="0082366A" w:rsidRPr="00225731">
        <w:t xml:space="preserve">Commission </w:t>
      </w:r>
      <w:r>
        <w:t>encourages the Productivity Commission to consider funding and ser</w:t>
      </w:r>
      <w:r w:rsidR="00A00CE5">
        <w:t xml:space="preserve">vice frameworks that can prevent, and mitigate the effects of, individuals becoming caught up in the criminal justice system. </w:t>
      </w:r>
      <w:r>
        <w:t>In particular, t</w:t>
      </w:r>
      <w:r w:rsidR="00F539C4">
        <w:t xml:space="preserve">he </w:t>
      </w:r>
      <w:r w:rsidR="0082366A" w:rsidRPr="00225731">
        <w:t xml:space="preserve">Commission </w:t>
      </w:r>
      <w:r>
        <w:t xml:space="preserve">wishes to highlight the </w:t>
      </w:r>
      <w:r w:rsidR="00F539C4">
        <w:t>justice reinvestment approach</w:t>
      </w:r>
      <w:r>
        <w:t xml:space="preserve">, which seeks to redirect </w:t>
      </w:r>
      <w:r w:rsidR="00F539C4">
        <w:t xml:space="preserve">government funding </w:t>
      </w:r>
      <w:r>
        <w:t xml:space="preserve">from the </w:t>
      </w:r>
      <w:r w:rsidR="00F539C4">
        <w:t xml:space="preserve">criminal justice system into local communities to </w:t>
      </w:r>
      <w:r w:rsidR="000838B6">
        <w:t xml:space="preserve">address the causes of crime. </w:t>
      </w:r>
    </w:p>
    <w:p w:rsidR="000838B6" w:rsidRDefault="00F539C4" w:rsidP="00F539C4">
      <w:r>
        <w:t>Justice reinvestment was initially developed in the United States as a means of curbing spending on corrections and reinvesting savings from this reduced spending in strategies that can decrease crime and strengthen neighbourhoods.</w:t>
      </w:r>
      <w:r w:rsidR="008012C1">
        <w:fldChar w:fldCharType="begin"/>
      </w:r>
      <w:r w:rsidR="00906EB4">
        <w:instrText xml:space="preserve"> ADDIN EN.CITE &lt;EndNote&gt;&lt;Cite&gt;&lt;Author&gt;The Senate Legal and Constitutional Affairs References Committee&lt;/Author&gt;&lt;Year&gt;2013&lt;/Year&gt;&lt;RecNum&gt;2304&lt;/RecNum&gt;&lt;DisplayText&gt;&lt;style face="superscript"&gt;21&lt;/style&gt;&lt;/DisplayText&gt;&lt;record&gt;&lt;rec-number&gt;2304&lt;/rec-number&gt;&lt;foreign-keys&gt;&lt;key app="EN" db-id="rezsta2w99aashetf5qx9r5rpp20sxf0daaw" timestamp="1559525820"&gt;2304&lt;/key&gt;&lt;/foreign-keys&gt;&lt;ref-type name="Report"&gt;27&lt;/ref-type&gt;&lt;contributors&gt;&lt;authors&gt;&lt;author&gt;The Senate Legal and Constitutional Affairs References Committee,&lt;/author&gt;&lt;/authors&gt;&lt;/contributors&gt;&lt;titles&gt;&lt;title&gt;Value of a justice reinvestment approach to criminal justice in Australia&lt;/title&gt;&lt;/titles&gt;&lt;dates&gt;&lt;year&gt;2013&lt;/year&gt;&lt;/dates&gt;&lt;pub-location&gt;Canberra&lt;/pub-location&gt;&lt;publisher&gt;Commonwealth of Australia&lt;/publisher&gt;&lt;urls&gt;&lt;/urls&gt;&lt;/record&gt;&lt;/Cite&gt;&lt;/EndNote&gt;</w:instrText>
      </w:r>
      <w:r w:rsidR="008012C1">
        <w:fldChar w:fldCharType="separate"/>
      </w:r>
      <w:r w:rsidR="00906EB4" w:rsidRPr="00906EB4">
        <w:rPr>
          <w:noProof/>
          <w:vertAlign w:val="superscript"/>
        </w:rPr>
        <w:t>21</w:t>
      </w:r>
      <w:r w:rsidR="008012C1">
        <w:fldChar w:fldCharType="end"/>
      </w:r>
      <w:r>
        <w:t xml:space="preserve"> The approach includes diversion away from prison into alternatives such as programs to improve mental health and reduce the use of alcohol and other drugs, programs to support young people and families, programs focussed on sport or other activities, and programs that enhance access to quality education and employ</w:t>
      </w:r>
      <w:r w:rsidR="000838B6">
        <w:t xml:space="preserve">ment. </w:t>
      </w:r>
    </w:p>
    <w:p w:rsidR="00F251CD" w:rsidRDefault="000838B6" w:rsidP="000838B6">
      <w:r>
        <w:t xml:space="preserve">A Senate Inquiry in 2013 </w:t>
      </w:r>
      <w:r w:rsidR="00F539C4">
        <w:t>recommended that Australia implement a justice reinvestment approach to criminal justice in Australia.</w:t>
      </w:r>
      <w:r w:rsidR="008012C1">
        <w:fldChar w:fldCharType="begin"/>
      </w:r>
      <w:r w:rsidR="00906EB4">
        <w:instrText xml:space="preserve"> ADDIN EN.CITE &lt;EndNote&gt;&lt;Cite&gt;&lt;Author&gt;The Senate Legal and Constitutional Affairs References Committee&lt;/Author&gt;&lt;Year&gt;2013&lt;/Year&gt;&lt;RecNum&gt;2304&lt;/RecNum&gt;&lt;DisplayText&gt;&lt;style face="superscript"&gt;21&lt;/style&gt;&lt;/DisplayText&gt;&lt;record&gt;&lt;rec-number&gt;2304&lt;/rec-number&gt;&lt;foreign-keys&gt;&lt;key app="EN" db-id="rezsta2w99aashetf5qx9r5rpp20sxf0daaw" timestamp="1559525820"&gt;2304&lt;/key&gt;&lt;/foreign-keys&gt;&lt;ref-type name="Report"&gt;27&lt;/ref-type&gt;&lt;contributors&gt;&lt;authors&gt;&lt;author&gt;The Senate Legal and Constitutional Affairs References Committee,&lt;/author&gt;&lt;/authors&gt;&lt;/contributors&gt;&lt;titles&gt;&lt;title&gt;Value of a justice reinvestment approach to criminal justice in Australia&lt;/title&gt;&lt;/titles&gt;&lt;dates&gt;&lt;year&gt;2013&lt;/year&gt;&lt;/dates&gt;&lt;pub-location&gt;Canberra&lt;/pub-location&gt;&lt;publisher&gt;Commonwealth of Australia&lt;/publisher&gt;&lt;urls&gt;&lt;/urls&gt;&lt;/record&gt;&lt;/Cite&gt;&lt;/EndNote&gt;</w:instrText>
      </w:r>
      <w:r w:rsidR="008012C1">
        <w:fldChar w:fldCharType="separate"/>
      </w:r>
      <w:r w:rsidR="00906EB4" w:rsidRPr="00906EB4">
        <w:rPr>
          <w:noProof/>
          <w:vertAlign w:val="superscript"/>
        </w:rPr>
        <w:t>21</w:t>
      </w:r>
      <w:r w:rsidR="008012C1">
        <w:fldChar w:fldCharType="end"/>
      </w:r>
      <w:r w:rsidRPr="000838B6">
        <w:t xml:space="preserve"> </w:t>
      </w:r>
      <w:r>
        <w:t>The Aboriginal and Torres Strait Islander Suicide Prevention Evaluation Project (ATSISPEP) also recommended the adoption of a justice reinvestment approach to redirect government funding from the criminal justice system into local Aboriginal and Torres Strait Islander communities</w:t>
      </w:r>
      <w:r w:rsidR="00082DCB">
        <w:t xml:space="preserve">, </w:t>
      </w:r>
      <w:r>
        <w:t>to a develop community-led upstream diversionary activity for Indigenous young people.</w:t>
      </w:r>
      <w:r w:rsidR="008012C1">
        <w:fldChar w:fldCharType="begin"/>
      </w:r>
      <w:r w:rsidR="00906EB4">
        <w:instrText xml:space="preserve"> ADDIN EN.CITE &lt;EndNote&gt;&lt;Cite&gt;&lt;Author&gt;ATSISPEP&lt;/Author&gt;&lt;Year&gt;2016&lt;/Year&gt;&lt;RecNum&gt;73&lt;/RecNum&gt;&lt;DisplayText&gt;&lt;style face="superscript"&gt;22&lt;/style&gt;&lt;/DisplayText&gt;&lt;record&gt;&lt;rec-number&gt;73&lt;/rec-number&gt;&lt;foreign-keys&gt;&lt;key app="EN" db-id="rezsta2w99aashetf5qx9r5rpp20sxf0daaw" timestamp="1559525548"&gt;73&lt;/key&gt;&lt;/foreign-keys&gt;&lt;ref-type name="Report"&gt;27&lt;/ref-type&gt;&lt;contributors&gt;&lt;authors&gt;&lt;author&gt;ATSISPEP,&lt;/author&gt;&lt;/authors&gt;&lt;/contributors&gt;&lt;titles&gt;&lt;title&gt;Aboriginal and Torres Strait Islander Suicide Prevention Evaluation Project Report. Solutions that Work: What the Evidence and Our People Tell Us&lt;/title&gt;&lt;/titles&gt;&lt;dates&gt;&lt;year&gt;2016&lt;/year&gt;&lt;/dates&gt;&lt;pub-location&gt;Crawley, WA&lt;/pub-location&gt;&lt;publisher&gt;School of Indigenous Studies, University of Western Australia&lt;/publisher&gt;&lt;urls&gt;&lt;/urls&gt;&lt;/record&gt;&lt;/Cite&gt;&lt;/EndNote&gt;</w:instrText>
      </w:r>
      <w:r w:rsidR="008012C1">
        <w:fldChar w:fldCharType="separate"/>
      </w:r>
      <w:r w:rsidR="00906EB4" w:rsidRPr="00906EB4">
        <w:rPr>
          <w:noProof/>
          <w:vertAlign w:val="superscript"/>
        </w:rPr>
        <w:t>22</w:t>
      </w:r>
      <w:r w:rsidR="008012C1">
        <w:fldChar w:fldCharType="end"/>
      </w:r>
      <w:r>
        <w:t xml:space="preserve"> The </w:t>
      </w:r>
      <w:r w:rsidR="0082366A" w:rsidRPr="00225731">
        <w:t xml:space="preserve">Commission </w:t>
      </w:r>
      <w:r>
        <w:t xml:space="preserve">supports these recommendations. </w:t>
      </w:r>
    </w:p>
    <w:p w:rsidR="00E51D16" w:rsidRDefault="00E51D16" w:rsidP="000838B6"/>
    <w:p w:rsidR="00F539C4" w:rsidRDefault="00B873C1" w:rsidP="00AA3D41">
      <w:pPr>
        <w:pStyle w:val="Recommendations"/>
      </w:pPr>
      <w:r>
        <w:t>The</w:t>
      </w:r>
      <w:r w:rsidR="00AA3D41">
        <w:t xml:space="preserve"> </w:t>
      </w:r>
      <w:r w:rsidR="0082366A">
        <w:t>Commission</w:t>
      </w:r>
      <w:r>
        <w:t xml:space="preserve"> recommends</w:t>
      </w:r>
      <w:r w:rsidR="00AA3D41">
        <w:t xml:space="preserve"> that</w:t>
      </w:r>
      <w:proofErr w:type="gramStart"/>
      <w:r w:rsidR="00AA3D41">
        <w:t>:</w:t>
      </w:r>
      <w:proofErr w:type="gramEnd"/>
      <w:r w:rsidR="00502A31" w:rsidRPr="00502A31">
        <w:br/>
        <w:t xml:space="preserve">- </w:t>
      </w:r>
      <w:r w:rsidR="00F539C4" w:rsidRPr="00502A31">
        <w:t>the PC supports the implementation of a justice reinvestment approach to criminal justice, initially for Aboriginal and Torres Strait Islander communities</w:t>
      </w:r>
      <w:r w:rsidR="00502A31" w:rsidRPr="00502A31">
        <w:br/>
        <w:t xml:space="preserve">- </w:t>
      </w:r>
      <w:r w:rsidR="00F539C4" w:rsidRPr="00502A31">
        <w:t>pending the evaluation of this initiative</w:t>
      </w:r>
      <w:r w:rsidR="00502A31" w:rsidRPr="00502A31">
        <w:t>,</w:t>
      </w:r>
      <w:r w:rsidR="00F539C4" w:rsidRPr="00502A31">
        <w:t xml:space="preserve"> that the approach is more broadly rolled out.</w:t>
      </w:r>
    </w:p>
    <w:p w:rsidR="00B873C1" w:rsidRPr="00502A31" w:rsidRDefault="00B873C1" w:rsidP="00B873C1">
      <w:pPr>
        <w:pStyle w:val="Recommendations"/>
        <w:numPr>
          <w:ilvl w:val="0"/>
          <w:numId w:val="0"/>
        </w:numPr>
      </w:pPr>
      <w:r>
        <w:t>Note this recommendation is also in the Commission’s submission to the PC inquiry into mental health.</w:t>
      </w:r>
    </w:p>
    <w:p w:rsidR="000B42E4" w:rsidRDefault="000B42E4" w:rsidP="008012C1">
      <w:pPr>
        <w:pStyle w:val="Heading2"/>
      </w:pPr>
    </w:p>
    <w:p w:rsidR="00884DBF" w:rsidRDefault="008012C1" w:rsidP="008012C1">
      <w:pPr>
        <w:pStyle w:val="Heading2"/>
      </w:pPr>
      <w:r>
        <w:lastRenderedPageBreak/>
        <w:t xml:space="preserve">References </w:t>
      </w:r>
    </w:p>
    <w:p w:rsidR="00014E87" w:rsidRPr="00014E87" w:rsidRDefault="00884DBF" w:rsidP="00014E87">
      <w:pPr>
        <w:pStyle w:val="EndNoteBibliography"/>
        <w:spacing w:after="0"/>
      </w:pPr>
      <w:r>
        <w:fldChar w:fldCharType="begin"/>
      </w:r>
      <w:r>
        <w:instrText xml:space="preserve"> ADDIN EN.REFLIST </w:instrText>
      </w:r>
      <w:r>
        <w:fldChar w:fldCharType="separate"/>
      </w:r>
      <w:r w:rsidR="00014E87" w:rsidRPr="00014E87">
        <w:t>1.</w:t>
      </w:r>
      <w:r w:rsidR="00014E87" w:rsidRPr="00014E87">
        <w:tab/>
        <w:t xml:space="preserve">National Mental Health Commission. Submission to the Productivity Commission Inquiry into the Social and Economic Benefits of Improving Mental Health. 2019. Available from: </w:t>
      </w:r>
      <w:hyperlink r:id="rId18" w:history="1">
        <w:r w:rsidR="00014E87" w:rsidRPr="00014E87">
          <w:rPr>
            <w:rStyle w:val="Hyperlink"/>
          </w:rPr>
          <w:t>http://www.mentalhealthcommission.gov.au/media/257033/PC%20Inquiry_NMHC%20FINAL%20submission_4%20April%202019.pdf</w:t>
        </w:r>
      </w:hyperlink>
      <w:r w:rsidR="00014E87" w:rsidRPr="00014E87">
        <w:t>.</w:t>
      </w:r>
    </w:p>
    <w:p w:rsidR="00014E87" w:rsidRPr="00014E87" w:rsidRDefault="00014E87" w:rsidP="00014E87">
      <w:pPr>
        <w:pStyle w:val="EndNoteBibliography"/>
        <w:spacing w:after="0"/>
      </w:pPr>
      <w:r w:rsidRPr="00014E87">
        <w:t>2.</w:t>
      </w:r>
      <w:r w:rsidRPr="00014E87">
        <w:tab/>
        <w:t xml:space="preserve">SNAICC, University of Melbourne, Griffith University. The Family Matters Report 2018. Family Matters. Melbourne; 2018. Available from: </w:t>
      </w:r>
      <w:hyperlink r:id="rId19" w:history="1">
        <w:r w:rsidRPr="00014E87">
          <w:rPr>
            <w:rStyle w:val="Hyperlink"/>
          </w:rPr>
          <w:t>http://www.familymatters.org.au/wp-content/uploads/2018/11/Family-Matters-Report-2018.pdf</w:t>
        </w:r>
      </w:hyperlink>
      <w:r w:rsidRPr="00014E87">
        <w:t>.</w:t>
      </w:r>
    </w:p>
    <w:p w:rsidR="00014E87" w:rsidRPr="00014E87" w:rsidRDefault="00014E87" w:rsidP="00014E87">
      <w:pPr>
        <w:pStyle w:val="EndNoteBibliography"/>
        <w:spacing w:after="0"/>
      </w:pPr>
      <w:r w:rsidRPr="00014E87">
        <w:t>3.</w:t>
      </w:r>
      <w:r w:rsidRPr="00014E87">
        <w:tab/>
        <w:t xml:space="preserve">Royal Commission and Board of Inquiry into the protection and detention of children in the Northern Territory. Report: Volume 3A. 2017. Available from: </w:t>
      </w:r>
      <w:hyperlink r:id="rId20" w:history="1">
        <w:r w:rsidRPr="00014E87">
          <w:rPr>
            <w:rStyle w:val="Hyperlink"/>
          </w:rPr>
          <w:t>https://www.royalcommission.gov.au/sites/default/files/2019-01/rcnt-royal-commission-nt-final-report-volume-3a.pdf</w:t>
        </w:r>
      </w:hyperlink>
      <w:r w:rsidRPr="00014E87">
        <w:t>.</w:t>
      </w:r>
    </w:p>
    <w:p w:rsidR="00014E87" w:rsidRPr="00014E87" w:rsidRDefault="00014E87" w:rsidP="00014E87">
      <w:pPr>
        <w:pStyle w:val="EndNoteBibliography"/>
        <w:spacing w:after="0"/>
      </w:pPr>
      <w:r w:rsidRPr="00014E87">
        <w:t>4.</w:t>
      </w:r>
      <w:r w:rsidRPr="00014E87">
        <w:tab/>
        <w:t xml:space="preserve">Royal Commission and Board of Inquiry into the protection and detention of children in the Northern Territory. Interim Report. 2017. Available from: </w:t>
      </w:r>
      <w:hyperlink r:id="rId21" w:history="1">
        <w:r w:rsidRPr="00014E87">
          <w:rPr>
            <w:rStyle w:val="Hyperlink"/>
          </w:rPr>
          <w:t>https://www.royalcommission.gov.au/sites/default/files/2019-01/rcnt-interim-report.pdf</w:t>
        </w:r>
      </w:hyperlink>
      <w:r w:rsidRPr="00014E87">
        <w:t>.</w:t>
      </w:r>
    </w:p>
    <w:p w:rsidR="00014E87" w:rsidRPr="00014E87" w:rsidRDefault="00014E87" w:rsidP="00014E87">
      <w:pPr>
        <w:pStyle w:val="EndNoteBibliography"/>
        <w:spacing w:after="0"/>
      </w:pPr>
      <w:r w:rsidRPr="00014E87">
        <w:t>5.</w:t>
      </w:r>
      <w:r w:rsidRPr="00014E87">
        <w:tab/>
        <w:t xml:space="preserve">Royal Commission and Board of Inquiry into the protection and detention of children in the Northern Territory. Report: Volume 1. 2017. Available from: </w:t>
      </w:r>
      <w:hyperlink r:id="rId22" w:history="1">
        <w:r w:rsidRPr="00014E87">
          <w:rPr>
            <w:rStyle w:val="Hyperlink"/>
          </w:rPr>
          <w:t>https://www.royalcommission.gov.au/sites/default/files/2019-01/rcnt-royal-commission-nt-final-report-volume-1.pdf</w:t>
        </w:r>
      </w:hyperlink>
      <w:r w:rsidRPr="00014E87">
        <w:t>.</w:t>
      </w:r>
    </w:p>
    <w:p w:rsidR="00014E87" w:rsidRPr="00014E87" w:rsidRDefault="00014E87" w:rsidP="00014E87">
      <w:pPr>
        <w:pStyle w:val="EndNoteBibliography"/>
        <w:spacing w:after="0"/>
      </w:pPr>
      <w:r w:rsidRPr="00014E87">
        <w:t>6.</w:t>
      </w:r>
      <w:r w:rsidRPr="00014E87">
        <w:tab/>
        <w:t xml:space="preserve">SNAICC National Voice for our Children. Submission to the Northern Territory Legislative Assembly’s Economic Policy Scrutiny Committee on the Care and Protection of Children Amendment Bill 2019 (NT). 2019. Available from: </w:t>
      </w:r>
      <w:hyperlink r:id="rId23" w:history="1">
        <w:r w:rsidRPr="00014E87">
          <w:rPr>
            <w:rStyle w:val="Hyperlink"/>
          </w:rPr>
          <w:t>https://parliament.nt.gov.au/__data/assets/pdf_file/0007/688948/Submission-No.-10-National-Voice-for-Our-Children-SNAICC.pdf</w:t>
        </w:r>
      </w:hyperlink>
      <w:r w:rsidRPr="00014E87">
        <w:t>.</w:t>
      </w:r>
    </w:p>
    <w:p w:rsidR="00014E87" w:rsidRPr="00014E87" w:rsidRDefault="00014E87" w:rsidP="00014E87">
      <w:pPr>
        <w:pStyle w:val="EndNoteBibliography"/>
        <w:spacing w:after="0"/>
      </w:pPr>
      <w:r w:rsidRPr="00014E87">
        <w:t>7.</w:t>
      </w:r>
      <w:r w:rsidRPr="00014E87">
        <w:tab/>
        <w:t>National Mental Health Commission. A Contributing Life, the 2012 National Report Card on Mental Health and Suicide Prevention. Sydney; 2012.</w:t>
      </w:r>
    </w:p>
    <w:p w:rsidR="00014E87" w:rsidRPr="00014E87" w:rsidRDefault="00014E87" w:rsidP="00014E87">
      <w:pPr>
        <w:pStyle w:val="EndNoteBibliography"/>
        <w:spacing w:after="0"/>
      </w:pPr>
      <w:r w:rsidRPr="00014E87">
        <w:t>8.</w:t>
      </w:r>
      <w:r w:rsidRPr="00014E87">
        <w:tab/>
        <w:t xml:space="preserve">Australian Institute of Health and Welfare. Australia's Health 2018. Australia’s health series no. 16. US 221. Canberra: AIHW; 2018. Available from: </w:t>
      </w:r>
      <w:hyperlink r:id="rId24" w:history="1">
        <w:r w:rsidRPr="00014E87">
          <w:rPr>
            <w:rStyle w:val="Hyperlink"/>
          </w:rPr>
          <w:t>https://www.aihw.gov.au/getmedia/7c42913d-295f-4bc9-9c24-4e44eff4a04a/aihw-aus-221.pdf.aspx?inline=true</w:t>
        </w:r>
      </w:hyperlink>
      <w:r w:rsidRPr="00014E87">
        <w:t>.</w:t>
      </w:r>
    </w:p>
    <w:p w:rsidR="00014E87" w:rsidRPr="00014E87" w:rsidRDefault="00014E87" w:rsidP="00014E87">
      <w:pPr>
        <w:pStyle w:val="EndNoteBibliography"/>
        <w:spacing w:after="0"/>
      </w:pPr>
      <w:r w:rsidRPr="00014E87">
        <w:t>9.</w:t>
      </w:r>
      <w:r w:rsidRPr="00014E87">
        <w:tab/>
        <w:t xml:space="preserve">National Mental Health Commission. Contributing lives, thriving communities: report of the National Review of Mental Health Programmes and Services. Sydney: NMHC; 2014. Available from: </w:t>
      </w:r>
      <w:hyperlink r:id="rId25" w:history="1">
        <w:r w:rsidRPr="00014E87">
          <w:rPr>
            <w:rStyle w:val="Hyperlink"/>
          </w:rPr>
          <w:t>www.mentalhealthcommission.gov.au/our-reports/contributing-lives,-thriving-communities-review-of-mental-health-programmes-and-services.aspx</w:t>
        </w:r>
      </w:hyperlink>
      <w:r w:rsidRPr="00014E87">
        <w:t>.</w:t>
      </w:r>
    </w:p>
    <w:p w:rsidR="00014E87" w:rsidRPr="00014E87" w:rsidRDefault="00014E87" w:rsidP="00014E87">
      <w:pPr>
        <w:pStyle w:val="EndNoteBibliography"/>
        <w:spacing w:after="0"/>
      </w:pPr>
      <w:r w:rsidRPr="00014E87">
        <w:t>10.</w:t>
      </w:r>
      <w:r w:rsidRPr="00014E87">
        <w:tab/>
        <w:t xml:space="preserve">Center on the Developing Child. The foundations of lifelong health are built in early childhood. 2010. Available from: </w:t>
      </w:r>
      <w:hyperlink r:id="rId26" w:history="1">
        <w:r w:rsidRPr="00014E87">
          <w:rPr>
            <w:rStyle w:val="Hyperlink"/>
          </w:rPr>
          <w:t>https://46y5eh11fhgw3ve3ytpwxt9r-wpengine.netdna-ssl.com/wp-content/uploads/2010/05/Foundations-of-Lifelong-Health.pdf</w:t>
        </w:r>
      </w:hyperlink>
      <w:r w:rsidRPr="00014E87">
        <w:t>.</w:t>
      </w:r>
    </w:p>
    <w:p w:rsidR="00014E87" w:rsidRPr="00014E87" w:rsidRDefault="00014E87" w:rsidP="00014E87">
      <w:pPr>
        <w:pStyle w:val="EndNoteBibliography"/>
        <w:spacing w:after="0"/>
      </w:pPr>
      <w:r w:rsidRPr="00014E87">
        <w:t>11.</w:t>
      </w:r>
      <w:r w:rsidRPr="00014E87">
        <w:tab/>
        <w:t>Kessler RC, Berglund P, Demler O, Jin R, Walters EE. Lifetime prevalence and age-of-onset distributions of DSM-IV disorders in the National Comorbidity Survey replication. Archives of General Psychiatry. 2005;62(593-602).</w:t>
      </w:r>
    </w:p>
    <w:p w:rsidR="00014E87" w:rsidRPr="00014E87" w:rsidRDefault="00014E87" w:rsidP="00014E87">
      <w:pPr>
        <w:pStyle w:val="EndNoteBibliography"/>
        <w:spacing w:after="0"/>
      </w:pPr>
      <w:r w:rsidRPr="00014E87">
        <w:t>12.</w:t>
      </w:r>
      <w:r w:rsidRPr="00014E87">
        <w:tab/>
        <w:t>Springer K SJ, Kuo D, Carnes M. The long-term health outcomes of childhood abuse: An overview and a call to action. J Gen Intern Med. 2003;18:864–70.</w:t>
      </w:r>
    </w:p>
    <w:p w:rsidR="00014E87" w:rsidRPr="00014E87" w:rsidRDefault="00014E87" w:rsidP="00014E87">
      <w:pPr>
        <w:pStyle w:val="EndNoteBibliography"/>
        <w:spacing w:after="0"/>
      </w:pPr>
      <w:r w:rsidRPr="00014E87">
        <w:t>13.</w:t>
      </w:r>
      <w:r w:rsidRPr="00014E87">
        <w:tab/>
        <w:t>Silverman A RH, Giaconia R. The long-term sequelae of child and adolescent abuse: A longitudinal community study. Child Abuse Negl. 1996;20(8):709–23.</w:t>
      </w:r>
    </w:p>
    <w:p w:rsidR="00014E87" w:rsidRPr="00014E87" w:rsidRDefault="00014E87" w:rsidP="00014E87">
      <w:pPr>
        <w:pStyle w:val="EndNoteBibliography"/>
        <w:spacing w:after="0"/>
      </w:pPr>
      <w:r w:rsidRPr="00014E87">
        <w:t>14.</w:t>
      </w:r>
      <w:r w:rsidRPr="00014E87">
        <w:tab/>
        <w:t>Kezelman CA, Stavropoulos PA. Practice Guidelines for Treatment of Complex Trauma and Trauma Informed Care and Service Delivery. Sydney: Adults Surviving Child Abuse; 2012.</w:t>
      </w:r>
    </w:p>
    <w:p w:rsidR="00014E87" w:rsidRPr="00014E87" w:rsidRDefault="00014E87" w:rsidP="00014E87">
      <w:pPr>
        <w:pStyle w:val="EndNoteBibliography"/>
        <w:spacing w:after="0"/>
      </w:pPr>
      <w:r w:rsidRPr="00014E87">
        <w:t>15.</w:t>
      </w:r>
      <w:r w:rsidRPr="00014E87">
        <w:tab/>
        <w:t xml:space="preserve">The Royal Australian and New Zealand College of Psychiatrists Faculty of Child and Adolescent Psychiatry. Prevention and early intervention of mental illness in infants, children and adolescents: Planning strategies for Australia and New Zealand. Melbourne; 2010. Available from: </w:t>
      </w:r>
      <w:hyperlink r:id="rId27" w:history="1">
        <w:r w:rsidRPr="00014E87">
          <w:rPr>
            <w:rStyle w:val="Hyperlink"/>
          </w:rPr>
          <w:t>https://www.ranzcp.org/files/resources/reports/prevention-and-early-intervention-of-mental-illnes.aspx</w:t>
        </w:r>
      </w:hyperlink>
      <w:r w:rsidRPr="00014E87">
        <w:t>.</w:t>
      </w:r>
    </w:p>
    <w:p w:rsidR="00014E87" w:rsidRPr="00014E87" w:rsidRDefault="00014E87" w:rsidP="00014E87">
      <w:pPr>
        <w:pStyle w:val="EndNoteBibliography"/>
        <w:spacing w:after="0"/>
      </w:pPr>
      <w:r w:rsidRPr="00014E87">
        <w:t>16.</w:t>
      </w:r>
      <w:r w:rsidRPr="00014E87">
        <w:tab/>
        <w:t xml:space="preserve">Commissioner for Children and Young People Western Australia. Report of the Inquiry into the mental health and wellbeing of children and young people in Western Australia. Subiaco 2011. Available from: </w:t>
      </w:r>
      <w:hyperlink r:id="rId28" w:history="1">
        <w:r w:rsidRPr="00014E87">
          <w:rPr>
            <w:rStyle w:val="Hyperlink"/>
          </w:rPr>
          <w:t>https://www.ccyp.wa.gov.au/media/1452/report-mental-health-inquiry-april-2011.pdf</w:t>
        </w:r>
      </w:hyperlink>
      <w:r w:rsidRPr="00014E87">
        <w:t>.</w:t>
      </w:r>
    </w:p>
    <w:p w:rsidR="00014E87" w:rsidRPr="00014E87" w:rsidRDefault="00014E87" w:rsidP="00014E87">
      <w:pPr>
        <w:pStyle w:val="EndNoteBibliography"/>
        <w:spacing w:after="0"/>
      </w:pPr>
      <w:r w:rsidRPr="00014E87">
        <w:t>17.</w:t>
      </w:r>
      <w:r w:rsidRPr="00014E87">
        <w:tab/>
        <w:t xml:space="preserve">First 1000 Days Australia.  Available from: </w:t>
      </w:r>
      <w:hyperlink r:id="rId29" w:history="1">
        <w:r w:rsidRPr="00014E87">
          <w:rPr>
            <w:rStyle w:val="Hyperlink"/>
          </w:rPr>
          <w:t>http://www.first1000daysaustralia.org.au/first-1000-days-australia</w:t>
        </w:r>
      </w:hyperlink>
      <w:r w:rsidRPr="00014E87">
        <w:t>.</w:t>
      </w:r>
    </w:p>
    <w:p w:rsidR="00014E87" w:rsidRPr="00014E87" w:rsidRDefault="00014E87" w:rsidP="00014E87">
      <w:pPr>
        <w:pStyle w:val="EndNoteBibliography"/>
        <w:spacing w:after="0"/>
      </w:pPr>
      <w:r w:rsidRPr="00014E87">
        <w:t>18.</w:t>
      </w:r>
      <w:r w:rsidRPr="00014E87">
        <w:tab/>
        <w:t>Council of Australian Governments. The Fifth National Mental Health and Suicide Prevention Plan. 2017.</w:t>
      </w:r>
    </w:p>
    <w:p w:rsidR="00014E87" w:rsidRPr="00014E87" w:rsidRDefault="00014E87" w:rsidP="00014E87">
      <w:pPr>
        <w:pStyle w:val="EndNoteBibliography"/>
        <w:spacing w:after="0"/>
      </w:pPr>
      <w:r w:rsidRPr="00014E87">
        <w:t>19.</w:t>
      </w:r>
      <w:r w:rsidRPr="00014E87">
        <w:tab/>
        <w:t>Campbell MA, Hunt J, Scrimgeour DJ, Davey M, Jones V. Contribution of Aboriginal Community-Controlled Health Services to improving Aboriginal health: an evidence review. Australian Health Review. 2018;42:218–26.</w:t>
      </w:r>
    </w:p>
    <w:p w:rsidR="00014E87" w:rsidRPr="00014E87" w:rsidRDefault="00014E87" w:rsidP="00014E87">
      <w:pPr>
        <w:pStyle w:val="EndNoteBibliography"/>
        <w:spacing w:after="0"/>
      </w:pPr>
      <w:r w:rsidRPr="00014E87">
        <w:t>20.</w:t>
      </w:r>
      <w:r w:rsidRPr="00014E87">
        <w:tab/>
        <w:t xml:space="preserve">The Lowitja Institute. Journeys to Healing and Strong Wellbeing: final report for the National Mental Health Commission. Melbourne; 2018. Available from: </w:t>
      </w:r>
      <w:hyperlink r:id="rId30" w:history="1">
        <w:r w:rsidRPr="00014E87">
          <w:rPr>
            <w:rStyle w:val="Hyperlink"/>
          </w:rPr>
          <w:t>https://www.lowitja.org.au/page/services/resources/Cultural-and-social-determinants/mental-health/journeys-to-healing-and-strong-wellbeing-final-report</w:t>
        </w:r>
      </w:hyperlink>
      <w:r w:rsidRPr="00014E87">
        <w:t>.</w:t>
      </w:r>
    </w:p>
    <w:p w:rsidR="00014E87" w:rsidRPr="00014E87" w:rsidRDefault="00014E87" w:rsidP="00014E87">
      <w:pPr>
        <w:pStyle w:val="EndNoteBibliography"/>
        <w:spacing w:after="0"/>
      </w:pPr>
      <w:r w:rsidRPr="00014E87">
        <w:t>21.</w:t>
      </w:r>
      <w:r w:rsidRPr="00014E87">
        <w:tab/>
        <w:t>The Senate Legal and Constitutional Affairs References Committee. Value of a justice reinvestment approach to criminal justice in Australia. Canberra: Commonwealth of Australia; 2013.</w:t>
      </w:r>
    </w:p>
    <w:p w:rsidR="00014E87" w:rsidRPr="00014E87" w:rsidRDefault="00014E87" w:rsidP="00014E87">
      <w:pPr>
        <w:pStyle w:val="EndNoteBibliography"/>
      </w:pPr>
      <w:r w:rsidRPr="00014E87">
        <w:t>22.</w:t>
      </w:r>
      <w:r w:rsidRPr="00014E87">
        <w:tab/>
        <w:t>ATSISPEP. Aboriginal and Torres Strait Islander Suicide Prevention Evaluation Project Report. Solutions that Work: What the Evidence and Our People Tell Us. Crawley, WA: School of Indigenous Studies, University of Western Australia; 2016.</w:t>
      </w:r>
    </w:p>
    <w:p w:rsidR="00F539C4" w:rsidRDefault="00884DBF" w:rsidP="00F539C4">
      <w:r>
        <w:fldChar w:fldCharType="end"/>
      </w:r>
    </w:p>
    <w:sectPr w:rsidR="00F539C4" w:rsidSect="008E2B04">
      <w:headerReference w:type="default" r:id="rId31"/>
      <w:footerReference w:type="first" r:id="rId32"/>
      <w:pgSz w:w="11900" w:h="16820"/>
      <w:pgMar w:top="1440" w:right="1440" w:bottom="1440" w:left="1440" w:header="567" w:footer="951" w:gutter="0"/>
      <w:pgNumType w:start="1"/>
      <w:cols w:space="708"/>
      <w:titlePg/>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8C9" w:rsidRDefault="00B178C9" w:rsidP="005C1058">
      <w:r>
        <w:separator/>
      </w:r>
    </w:p>
  </w:endnote>
  <w:endnote w:type="continuationSeparator" w:id="0">
    <w:p w:rsidR="00B178C9" w:rsidRDefault="00B178C9" w:rsidP="005C1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Rooney Bold">
    <w:altName w:val="Calibri"/>
    <w:panose1 w:val="00000000000000000000"/>
    <w:charset w:val="00"/>
    <w:family w:val="swiss"/>
    <w:notTrueType/>
    <w:pitch w:val="variable"/>
    <w:sig w:usb0="00000001" w:usb1="5000204B" w:usb2="00000000" w:usb3="00000000" w:csb0="0000009B" w:csb1="00000000"/>
  </w:font>
  <w:font w:name="DengXian Light">
    <w:charset w:val="86"/>
    <w:family w:val="auto"/>
    <w:pitch w:val="variable"/>
    <w:sig w:usb0="A00002BF" w:usb1="38CF7CFA" w:usb2="00000016" w:usb3="00000000" w:csb0="0004000F" w:csb1="00000000"/>
  </w:font>
  <w:font w:name="Rooney Light">
    <w:altName w:val="Arial"/>
    <w:panose1 w:val="00000000000000000000"/>
    <w:charset w:val="00"/>
    <w:family w:val="swiss"/>
    <w:notTrueType/>
    <w:pitch w:val="variable"/>
    <w:sig w:usb0="00000001" w:usb1="5000204B" w:usb2="00000000" w:usb3="00000000" w:csb0="0000009B" w:csb1="00000000"/>
  </w:font>
  <w:font w:name="Georgia">
    <w:panose1 w:val="02040502050405020303"/>
    <w:charset w:val="00"/>
    <w:family w:val="roman"/>
    <w:pitch w:val="variable"/>
    <w:sig w:usb0="00000287" w:usb1="00000000" w:usb2="00000000" w:usb3="00000000" w:csb0="0000009F" w:csb1="00000000"/>
  </w:font>
  <w:font w:name="Proxima Nova Alt Light">
    <w:altName w:val="Cambria"/>
    <w:charset w:val="00"/>
    <w:family w:val="auto"/>
    <w:pitch w:val="variable"/>
    <w:sig w:usb0="800000AF" w:usb1="5000E0FB" w:usb2="00000000" w:usb3="00000000" w:csb0="00000001" w:csb1="00000000"/>
  </w:font>
  <w:font w:name="Proxima Nova Alt">
    <w:altName w:val="Cambria"/>
    <w:charset w:val="00"/>
    <w:family w:val="auto"/>
    <w:pitch w:val="variable"/>
    <w:sig w:usb0="800000AF" w:usb1="5000E0FB"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3610164"/>
      <w:docPartObj>
        <w:docPartGallery w:val="Page Numbers (Bottom of Page)"/>
        <w:docPartUnique/>
      </w:docPartObj>
    </w:sdtPr>
    <w:sdtEndPr>
      <w:rPr>
        <w:noProof/>
      </w:rPr>
    </w:sdtEndPr>
    <w:sdtContent>
      <w:p w:rsidR="008E2B04" w:rsidRDefault="008E2B04">
        <w:pPr>
          <w:pStyle w:val="Footer"/>
          <w:jc w:val="right"/>
        </w:pPr>
        <w:r>
          <w:fldChar w:fldCharType="begin"/>
        </w:r>
        <w:r>
          <w:instrText xml:space="preserve"> PAGE   \* MERGEFORMAT </w:instrText>
        </w:r>
        <w:r>
          <w:fldChar w:fldCharType="separate"/>
        </w:r>
        <w:r w:rsidR="00D6538B">
          <w:rPr>
            <w:noProof/>
          </w:rPr>
          <w:t>9</w:t>
        </w:r>
        <w:r>
          <w:rPr>
            <w:noProof/>
          </w:rPr>
          <w:fldChar w:fldCharType="end"/>
        </w:r>
      </w:p>
    </w:sdtContent>
  </w:sdt>
  <w:p w:rsidR="007E53D3" w:rsidRPr="00B661E5" w:rsidRDefault="007E53D3" w:rsidP="005C1058">
    <w:pPr>
      <w:pStyle w:val="Footer"/>
      <w:rPr>
        <w:rFonts w:ascii="Proxima Nova Alt" w:hAnsi="Proxima Nova Alt"/>
        <w:color w:val="A6A6A6" w:themeColor="background1" w:themeShade="A6"/>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B04" w:rsidRDefault="008E2B04">
    <w:pPr>
      <w:pStyle w:val="Footer"/>
    </w:pPr>
    <w:r w:rsidRPr="008E2B04">
      <w:rPr>
        <w:noProof/>
        <w:lang w:val="en-AU" w:eastAsia="en-AU"/>
      </w:rPr>
      <mc:AlternateContent>
        <mc:Choice Requires="wpg">
          <w:drawing>
            <wp:anchor distT="0" distB="0" distL="114300" distR="114300" simplePos="0" relativeHeight="251662336" behindDoc="0" locked="0" layoutInCell="1" allowOverlap="1" wp14:anchorId="10F46E64" wp14:editId="0C3BB804">
              <wp:simplePos x="0" y="0"/>
              <wp:positionH relativeFrom="column">
                <wp:posOffset>-629920</wp:posOffset>
              </wp:positionH>
              <wp:positionV relativeFrom="paragraph">
                <wp:posOffset>177496</wp:posOffset>
              </wp:positionV>
              <wp:extent cx="4577715" cy="508000"/>
              <wp:effectExtent l="0" t="0" r="0" b="6350"/>
              <wp:wrapSquare wrapText="bothSides"/>
              <wp:docPr id="57" name="Group 57"/>
              <wp:cNvGraphicFramePr/>
              <a:graphic xmlns:a="http://schemas.openxmlformats.org/drawingml/2006/main">
                <a:graphicData uri="http://schemas.microsoft.com/office/word/2010/wordprocessingGroup">
                  <wpg:wgp>
                    <wpg:cNvGrpSpPr/>
                    <wpg:grpSpPr>
                      <a:xfrm>
                        <a:off x="0" y="0"/>
                        <a:ext cx="4577715" cy="508000"/>
                        <a:chOff x="0" y="0"/>
                        <a:chExt cx="4577963" cy="508000"/>
                      </a:xfrm>
                    </wpg:grpSpPr>
                    <wps:wsp>
                      <wps:cNvPr id="58" name="Text Box 58"/>
                      <wps:cNvSpPr txBox="1"/>
                      <wps:spPr>
                        <a:xfrm>
                          <a:off x="0" y="0"/>
                          <a:ext cx="1600200" cy="381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rsidR="008E2B04" w:rsidRPr="007C722C" w:rsidRDefault="008E2B04" w:rsidP="008E2B04">
                            <w:pPr>
                              <w:rPr>
                                <w:color w:val="FFFFFF" w:themeColor="background1"/>
                                <w:sz w:val="20"/>
                                <w:szCs w:val="20"/>
                              </w:rPr>
                            </w:pPr>
                            <w:r w:rsidRPr="007C722C">
                              <w:rPr>
                                <w:color w:val="FFFFFF" w:themeColor="background1"/>
                                <w:sz w:val="20"/>
                                <w:szCs w:val="20"/>
                              </w:rPr>
                              <w:t>Sydney</w:t>
                            </w:r>
                            <w:r w:rsidRPr="007C722C">
                              <w:rPr>
                                <w:color w:val="FFFFFF" w:themeColor="background1"/>
                                <w:sz w:val="20"/>
                                <w:szCs w:val="20"/>
                              </w:rPr>
                              <w:br/>
                              <w:t xml:space="preserve">Canberra </w:t>
                            </w:r>
                          </w:p>
                          <w:p w:rsidR="008E2B04" w:rsidRPr="007C722C" w:rsidRDefault="008E2B04" w:rsidP="008E2B04">
                            <w:pPr>
                              <w:rPr>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Text Box 59"/>
                      <wps:cNvSpPr txBox="1"/>
                      <wps:spPr>
                        <a:xfrm>
                          <a:off x="1057523" y="0"/>
                          <a:ext cx="1600200" cy="508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rsidR="008E2B04" w:rsidRPr="007C722C" w:rsidRDefault="008E2B04" w:rsidP="008E2B04">
                            <w:pPr>
                              <w:rPr>
                                <w:color w:val="FFFFFF" w:themeColor="background1"/>
                                <w:sz w:val="20"/>
                                <w:szCs w:val="20"/>
                              </w:rPr>
                            </w:pPr>
                            <w:r w:rsidRPr="007C722C">
                              <w:rPr>
                                <w:color w:val="FFFFFF" w:themeColor="background1"/>
                                <w:sz w:val="20"/>
                                <w:szCs w:val="20"/>
                              </w:rPr>
                              <w:t xml:space="preserve">PO Box R1463 </w:t>
                            </w:r>
                            <w:r w:rsidRPr="007C722C">
                              <w:rPr>
                                <w:color w:val="FFFFFF" w:themeColor="background1"/>
                                <w:sz w:val="20"/>
                                <w:szCs w:val="20"/>
                              </w:rPr>
                              <w:br/>
                              <w:t>Sydney NSW 1225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Text Box 60"/>
                      <wps:cNvSpPr txBox="1"/>
                      <wps:spPr>
                        <a:xfrm>
                          <a:off x="2520563" y="0"/>
                          <a:ext cx="2057400" cy="508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rsidR="008E2B04" w:rsidRPr="007C722C" w:rsidRDefault="008E2B04" w:rsidP="008E2B04">
                            <w:pPr>
                              <w:rPr>
                                <w:rFonts w:ascii="Calibri Light" w:hAnsi="Calibri Light"/>
                                <w:color w:val="FFFFFF" w:themeColor="background1"/>
                                <w:sz w:val="20"/>
                                <w:szCs w:val="20"/>
                              </w:rPr>
                            </w:pPr>
                            <w:r w:rsidRPr="007C722C">
                              <w:rPr>
                                <w:color w:val="FFFFFF" w:themeColor="background1"/>
                                <w:sz w:val="20"/>
                                <w:szCs w:val="20"/>
                              </w:rPr>
                              <w:t>02 8229 7550</w:t>
                            </w:r>
                            <w:r w:rsidRPr="007C722C">
                              <w:rPr>
                                <w:color w:val="FFFFFF" w:themeColor="background1"/>
                                <w:sz w:val="20"/>
                                <w:szCs w:val="20"/>
                              </w:rPr>
                              <w:br/>
                            </w:r>
                            <w:hyperlink r:id="rId1" w:history="1">
                              <w:r w:rsidRPr="007C722C">
                                <w:rPr>
                                  <w:rFonts w:ascii="Calibri Light" w:hAnsi="Calibri Light"/>
                                  <w:color w:val="FFFFFF" w:themeColor="background1"/>
                                  <w:sz w:val="18"/>
                                  <w:szCs w:val="18"/>
                                </w:rPr>
                                <w:t>www.mentalhealthcommission.gov.au</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10F46E64" id="Group 57" o:spid="_x0000_s1026" style="position:absolute;margin-left:-49.6pt;margin-top:14pt;width:360.45pt;height:40pt;z-index:251662336;mso-width-relative:margin;mso-height-relative:margin" coordsize="45779,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">
              <v:shapetype id="_x0000_t202" coordsize="21600,21600" o:spt="202" path="m,l,21600r21600,l21600,xe">
                <v:stroke joinstyle="miter"/>
                <v:path gradientshapeok="t" o:connecttype="rect"/>
              </v:shapetype>
              <v:shape id="Text Box 58" o:spid="_x0000_s1027" type="#_x0000_t202" style="position:absolute;width:1600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rsidR="008E2B04" w:rsidRPr="007C722C" w:rsidRDefault="008E2B04" w:rsidP="008E2B04">
                      <w:pPr>
                        <w:rPr>
                          <w:color w:val="FFFFFF" w:themeColor="background1"/>
                          <w:sz w:val="20"/>
                          <w:szCs w:val="20"/>
                        </w:rPr>
                      </w:pPr>
                      <w:r w:rsidRPr="007C722C">
                        <w:rPr>
                          <w:color w:val="FFFFFF" w:themeColor="background1"/>
                          <w:sz w:val="20"/>
                          <w:szCs w:val="20"/>
                        </w:rPr>
                        <w:t>Sydney</w:t>
                      </w:r>
                      <w:r w:rsidRPr="007C722C">
                        <w:rPr>
                          <w:color w:val="FFFFFF" w:themeColor="background1"/>
                          <w:sz w:val="20"/>
                          <w:szCs w:val="20"/>
                        </w:rPr>
                        <w:br/>
                        <w:t xml:space="preserve">Canberra </w:t>
                      </w:r>
                    </w:p>
                    <w:p w:rsidR="008E2B04" w:rsidRPr="007C722C" w:rsidRDefault="008E2B04" w:rsidP="008E2B04">
                      <w:pPr>
                        <w:rPr>
                          <w:color w:val="FFFFFF" w:themeColor="background1"/>
                          <w:sz w:val="20"/>
                          <w:szCs w:val="20"/>
                        </w:rPr>
                      </w:pPr>
                    </w:p>
                  </w:txbxContent>
                </v:textbox>
              </v:shape>
              <v:shape id="Text Box 59" o:spid="_x0000_s1028" type="#_x0000_t202" style="position:absolute;left:10575;width:16002;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rsidR="008E2B04" w:rsidRPr="007C722C" w:rsidRDefault="008E2B04" w:rsidP="008E2B04">
                      <w:pPr>
                        <w:rPr>
                          <w:color w:val="FFFFFF" w:themeColor="background1"/>
                          <w:sz w:val="20"/>
                          <w:szCs w:val="20"/>
                        </w:rPr>
                      </w:pPr>
                      <w:r w:rsidRPr="007C722C">
                        <w:rPr>
                          <w:color w:val="FFFFFF" w:themeColor="background1"/>
                          <w:sz w:val="20"/>
                          <w:szCs w:val="20"/>
                        </w:rPr>
                        <w:t xml:space="preserve">PO Box R1463 </w:t>
                      </w:r>
                      <w:r w:rsidRPr="007C722C">
                        <w:rPr>
                          <w:color w:val="FFFFFF" w:themeColor="background1"/>
                          <w:sz w:val="20"/>
                          <w:szCs w:val="20"/>
                        </w:rPr>
                        <w:br/>
                        <w:t>Sydney NSW 1225</w:t>
                      </w:r>
                    </w:p>
                  </w:txbxContent>
                </v:textbox>
              </v:shape>
              <v:shape id="Text Box 60" o:spid="_x0000_s1029" type="#_x0000_t202" style="position:absolute;left:25205;width:20574;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rsidR="008E2B04" w:rsidRPr="007C722C" w:rsidRDefault="008E2B04" w:rsidP="008E2B04">
                      <w:pPr>
                        <w:rPr>
                          <w:rFonts w:ascii="Calibri Light" w:hAnsi="Calibri Light"/>
                          <w:color w:val="FFFFFF" w:themeColor="background1"/>
                          <w:sz w:val="20"/>
                          <w:szCs w:val="20"/>
                        </w:rPr>
                      </w:pPr>
                      <w:r w:rsidRPr="007C722C">
                        <w:rPr>
                          <w:color w:val="FFFFFF" w:themeColor="background1"/>
                          <w:sz w:val="20"/>
                          <w:szCs w:val="20"/>
                        </w:rPr>
                        <w:t>02 8229 7550</w:t>
                      </w:r>
                      <w:r w:rsidRPr="007C722C">
                        <w:rPr>
                          <w:color w:val="FFFFFF" w:themeColor="background1"/>
                          <w:sz w:val="20"/>
                          <w:szCs w:val="20"/>
                        </w:rPr>
                        <w:br/>
                      </w:r>
                      <w:hyperlink r:id="rId2" w:history="1">
                        <w:r w:rsidRPr="007C722C">
                          <w:rPr>
                            <w:rFonts w:ascii="Calibri Light" w:hAnsi="Calibri Light"/>
                            <w:color w:val="FFFFFF" w:themeColor="background1"/>
                            <w:sz w:val="18"/>
                            <w:szCs w:val="18"/>
                          </w:rPr>
                          <w:t>www.mentalhealthcommission.gov.au</w:t>
                        </w:r>
                      </w:hyperlink>
                    </w:p>
                  </w:txbxContent>
                </v:textbox>
              </v:shape>
              <w10:wrap type="square"/>
            </v:group>
          </w:pict>
        </mc:Fallback>
      </mc:AlternateContent>
    </w:r>
    <w:r w:rsidRPr="008E2B04">
      <w:rPr>
        <w:noProof/>
        <w:lang w:val="en-AU" w:eastAsia="en-AU"/>
      </w:rPr>
      <w:drawing>
        <wp:anchor distT="0" distB="0" distL="114300" distR="114300" simplePos="0" relativeHeight="251663360" behindDoc="1" locked="0" layoutInCell="1" allowOverlap="1" wp14:anchorId="6A0F2214" wp14:editId="619B550C">
          <wp:simplePos x="0" y="0"/>
          <wp:positionH relativeFrom="column">
            <wp:posOffset>-779780</wp:posOffset>
          </wp:positionH>
          <wp:positionV relativeFrom="paragraph">
            <wp:posOffset>86995</wp:posOffset>
          </wp:positionV>
          <wp:extent cx="7273925" cy="690245"/>
          <wp:effectExtent l="0" t="0" r="3175"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MHC_Email_Sign_Footer_2.jpg"/>
                  <pic:cNvPicPr/>
                </pic:nvPicPr>
                <pic:blipFill>
                  <a:blip r:embed="rId3">
                    <a:extLst>
                      <a:ext uri="{28A0092B-C50C-407E-A947-70E740481C1C}">
                        <a14:useLocalDpi xmlns:a14="http://schemas.microsoft.com/office/drawing/2010/main" val="0"/>
                      </a:ext>
                    </a:extLst>
                  </a:blip>
                  <a:stretch>
                    <a:fillRect/>
                  </a:stretch>
                </pic:blipFill>
                <pic:spPr>
                  <a:xfrm>
                    <a:off x="0" y="0"/>
                    <a:ext cx="7273925" cy="6902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4760648"/>
      <w:docPartObj>
        <w:docPartGallery w:val="Page Numbers (Bottom of Page)"/>
        <w:docPartUnique/>
      </w:docPartObj>
    </w:sdtPr>
    <w:sdtEndPr>
      <w:rPr>
        <w:noProof/>
      </w:rPr>
    </w:sdtEndPr>
    <w:sdtContent>
      <w:p w:rsidR="008E2B04" w:rsidRDefault="008E2B04">
        <w:pPr>
          <w:pStyle w:val="Footer"/>
          <w:jc w:val="right"/>
        </w:pPr>
        <w:r>
          <w:fldChar w:fldCharType="begin"/>
        </w:r>
        <w:r>
          <w:instrText xml:space="preserve"> PAGE   \* MERGEFORMAT </w:instrText>
        </w:r>
        <w:r>
          <w:fldChar w:fldCharType="separate"/>
        </w:r>
        <w:r w:rsidR="00D6538B">
          <w:rPr>
            <w:noProof/>
          </w:rPr>
          <w:t>1</w:t>
        </w:r>
        <w:r>
          <w:rPr>
            <w:noProof/>
          </w:rPr>
          <w:fldChar w:fldCharType="end"/>
        </w:r>
        <w:r w:rsidRPr="008E2B04">
          <w:rPr>
            <w:noProof/>
            <w:lang w:val="en-AU" w:eastAsia="en-AU"/>
          </w:rPr>
          <w:drawing>
            <wp:anchor distT="0" distB="0" distL="114300" distR="114300" simplePos="0" relativeHeight="251666432" behindDoc="1" locked="0" layoutInCell="1" allowOverlap="1" wp14:anchorId="1F1A89E6" wp14:editId="5828FC8B">
              <wp:simplePos x="0" y="0"/>
              <wp:positionH relativeFrom="column">
                <wp:posOffset>-770417</wp:posOffset>
              </wp:positionH>
              <wp:positionV relativeFrom="paragraph">
                <wp:posOffset>306705</wp:posOffset>
              </wp:positionV>
              <wp:extent cx="7273925" cy="69024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MHC_Email_Sign_Footer_2.jpg"/>
                      <pic:cNvPicPr/>
                    </pic:nvPicPr>
                    <pic:blipFill>
                      <a:blip r:embed="rId1">
                        <a:extLst>
                          <a:ext uri="{28A0092B-C50C-407E-A947-70E740481C1C}">
                            <a14:useLocalDpi xmlns:a14="http://schemas.microsoft.com/office/drawing/2010/main" val="0"/>
                          </a:ext>
                        </a:extLst>
                      </a:blip>
                      <a:stretch>
                        <a:fillRect/>
                      </a:stretch>
                    </pic:blipFill>
                    <pic:spPr>
                      <a:xfrm>
                        <a:off x="0" y="0"/>
                        <a:ext cx="7273925" cy="6902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sdtContent>
  </w:sdt>
  <w:p w:rsidR="008E2B04" w:rsidRDefault="008E2B04">
    <w:pPr>
      <w:pStyle w:val="Footer"/>
    </w:pPr>
    <w:r w:rsidRPr="008E2B04">
      <w:rPr>
        <w:noProof/>
        <w:lang w:val="en-AU" w:eastAsia="en-AU"/>
      </w:rPr>
      <mc:AlternateContent>
        <mc:Choice Requires="wpg">
          <w:drawing>
            <wp:anchor distT="0" distB="0" distL="114300" distR="114300" simplePos="0" relativeHeight="251665408" behindDoc="0" locked="0" layoutInCell="1" allowOverlap="1" wp14:anchorId="376D3EFB" wp14:editId="7515FEE5">
              <wp:simplePos x="0" y="0"/>
              <wp:positionH relativeFrom="column">
                <wp:posOffset>-610235</wp:posOffset>
              </wp:positionH>
              <wp:positionV relativeFrom="paragraph">
                <wp:posOffset>189068</wp:posOffset>
              </wp:positionV>
              <wp:extent cx="4577715" cy="508000"/>
              <wp:effectExtent l="0" t="0" r="0" b="6350"/>
              <wp:wrapSquare wrapText="bothSides"/>
              <wp:docPr id="62" name="Group 62"/>
              <wp:cNvGraphicFramePr/>
              <a:graphic xmlns:a="http://schemas.openxmlformats.org/drawingml/2006/main">
                <a:graphicData uri="http://schemas.microsoft.com/office/word/2010/wordprocessingGroup">
                  <wpg:wgp>
                    <wpg:cNvGrpSpPr/>
                    <wpg:grpSpPr>
                      <a:xfrm>
                        <a:off x="0" y="0"/>
                        <a:ext cx="4577715" cy="508000"/>
                        <a:chOff x="0" y="0"/>
                        <a:chExt cx="4577963" cy="508000"/>
                      </a:xfrm>
                    </wpg:grpSpPr>
                    <wps:wsp>
                      <wps:cNvPr id="63" name="Text Box 63"/>
                      <wps:cNvSpPr txBox="1"/>
                      <wps:spPr>
                        <a:xfrm>
                          <a:off x="0" y="0"/>
                          <a:ext cx="1600200" cy="381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rsidR="008E2B04" w:rsidRPr="007C722C" w:rsidRDefault="008E2B04" w:rsidP="008E2B04">
                            <w:pPr>
                              <w:rPr>
                                <w:color w:val="FFFFFF" w:themeColor="background1"/>
                                <w:sz w:val="20"/>
                                <w:szCs w:val="20"/>
                              </w:rPr>
                            </w:pPr>
                            <w:r w:rsidRPr="007C722C">
                              <w:rPr>
                                <w:color w:val="FFFFFF" w:themeColor="background1"/>
                                <w:sz w:val="20"/>
                                <w:szCs w:val="20"/>
                              </w:rPr>
                              <w:t>Sydney</w:t>
                            </w:r>
                            <w:r w:rsidRPr="007C722C">
                              <w:rPr>
                                <w:color w:val="FFFFFF" w:themeColor="background1"/>
                                <w:sz w:val="20"/>
                                <w:szCs w:val="20"/>
                              </w:rPr>
                              <w:br/>
                              <w:t xml:space="preserve">Canberra </w:t>
                            </w:r>
                          </w:p>
                          <w:p w:rsidR="008E2B04" w:rsidRPr="007C722C" w:rsidRDefault="008E2B04" w:rsidP="008E2B04">
                            <w:pPr>
                              <w:rPr>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Text Box 64"/>
                      <wps:cNvSpPr txBox="1"/>
                      <wps:spPr>
                        <a:xfrm>
                          <a:off x="1057523" y="0"/>
                          <a:ext cx="1600200" cy="508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rsidR="008E2B04" w:rsidRPr="007C722C" w:rsidRDefault="008E2B04" w:rsidP="008E2B04">
                            <w:pPr>
                              <w:rPr>
                                <w:color w:val="FFFFFF" w:themeColor="background1"/>
                                <w:sz w:val="20"/>
                                <w:szCs w:val="20"/>
                              </w:rPr>
                            </w:pPr>
                            <w:r w:rsidRPr="007C722C">
                              <w:rPr>
                                <w:color w:val="FFFFFF" w:themeColor="background1"/>
                                <w:sz w:val="20"/>
                                <w:szCs w:val="20"/>
                              </w:rPr>
                              <w:t xml:space="preserve">PO Box R1463 </w:t>
                            </w:r>
                            <w:r w:rsidRPr="007C722C">
                              <w:rPr>
                                <w:color w:val="FFFFFF" w:themeColor="background1"/>
                                <w:sz w:val="20"/>
                                <w:szCs w:val="20"/>
                              </w:rPr>
                              <w:br/>
                              <w:t>Sydney NSW 1225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Text Box 65"/>
                      <wps:cNvSpPr txBox="1"/>
                      <wps:spPr>
                        <a:xfrm>
                          <a:off x="2520563" y="0"/>
                          <a:ext cx="2057400" cy="508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rsidR="008E2B04" w:rsidRPr="007C722C" w:rsidRDefault="008E2B04" w:rsidP="008E2B04">
                            <w:pPr>
                              <w:rPr>
                                <w:rFonts w:ascii="Calibri Light" w:hAnsi="Calibri Light"/>
                                <w:color w:val="FFFFFF" w:themeColor="background1"/>
                                <w:sz w:val="20"/>
                                <w:szCs w:val="20"/>
                              </w:rPr>
                            </w:pPr>
                            <w:r w:rsidRPr="007C722C">
                              <w:rPr>
                                <w:color w:val="FFFFFF" w:themeColor="background1"/>
                                <w:sz w:val="20"/>
                                <w:szCs w:val="20"/>
                              </w:rPr>
                              <w:t>02 8229 7550</w:t>
                            </w:r>
                            <w:r w:rsidRPr="007C722C">
                              <w:rPr>
                                <w:color w:val="FFFFFF" w:themeColor="background1"/>
                                <w:sz w:val="20"/>
                                <w:szCs w:val="20"/>
                              </w:rPr>
                              <w:br/>
                            </w:r>
                            <w:hyperlink r:id="rId2" w:history="1">
                              <w:r w:rsidRPr="007C722C">
                                <w:rPr>
                                  <w:rFonts w:ascii="Calibri Light" w:hAnsi="Calibri Light"/>
                                  <w:color w:val="FFFFFF" w:themeColor="background1"/>
                                  <w:sz w:val="18"/>
                                  <w:szCs w:val="18"/>
                                </w:rPr>
                                <w:t>www.mentalhealthcommission.gov.au</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376D3EFB" id="Group 62" o:spid="_x0000_s1030" style="position:absolute;margin-left:-48.05pt;margin-top:14.9pt;width:360.45pt;height:40pt;z-index:251665408;mso-width-relative:margin;mso-height-relative:margin" coordsize="45779,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">
              <v:shapetype id="_x0000_t202" coordsize="21600,21600" o:spt="202" path="m,l,21600r21600,l21600,xe">
                <v:stroke joinstyle="miter"/>
                <v:path gradientshapeok="t" o:connecttype="rect"/>
              </v:shapetype>
              <v:shape id="Text Box 63" o:spid="_x0000_s1031" type="#_x0000_t202" style="position:absolute;width:1600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rsidR="008E2B04" w:rsidRPr="007C722C" w:rsidRDefault="008E2B04" w:rsidP="008E2B04">
                      <w:pPr>
                        <w:rPr>
                          <w:color w:val="FFFFFF" w:themeColor="background1"/>
                          <w:sz w:val="20"/>
                          <w:szCs w:val="20"/>
                        </w:rPr>
                      </w:pPr>
                      <w:r w:rsidRPr="007C722C">
                        <w:rPr>
                          <w:color w:val="FFFFFF" w:themeColor="background1"/>
                          <w:sz w:val="20"/>
                          <w:szCs w:val="20"/>
                        </w:rPr>
                        <w:t>Sydney</w:t>
                      </w:r>
                      <w:r w:rsidRPr="007C722C">
                        <w:rPr>
                          <w:color w:val="FFFFFF" w:themeColor="background1"/>
                          <w:sz w:val="20"/>
                          <w:szCs w:val="20"/>
                        </w:rPr>
                        <w:br/>
                        <w:t xml:space="preserve">Canberra </w:t>
                      </w:r>
                    </w:p>
                    <w:p w:rsidR="008E2B04" w:rsidRPr="007C722C" w:rsidRDefault="008E2B04" w:rsidP="008E2B04">
                      <w:pPr>
                        <w:rPr>
                          <w:color w:val="FFFFFF" w:themeColor="background1"/>
                          <w:sz w:val="20"/>
                          <w:szCs w:val="20"/>
                        </w:rPr>
                      </w:pPr>
                    </w:p>
                  </w:txbxContent>
                </v:textbox>
              </v:shape>
              <v:shape id="Text Box 64" o:spid="_x0000_s1032" type="#_x0000_t202" style="position:absolute;left:10575;width:16002;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8E2B04" w:rsidRPr="007C722C" w:rsidRDefault="008E2B04" w:rsidP="008E2B04">
                      <w:pPr>
                        <w:rPr>
                          <w:color w:val="FFFFFF" w:themeColor="background1"/>
                          <w:sz w:val="20"/>
                          <w:szCs w:val="20"/>
                        </w:rPr>
                      </w:pPr>
                      <w:r w:rsidRPr="007C722C">
                        <w:rPr>
                          <w:color w:val="FFFFFF" w:themeColor="background1"/>
                          <w:sz w:val="20"/>
                          <w:szCs w:val="20"/>
                        </w:rPr>
                        <w:t xml:space="preserve">PO Box R1463 </w:t>
                      </w:r>
                      <w:r w:rsidRPr="007C722C">
                        <w:rPr>
                          <w:color w:val="FFFFFF" w:themeColor="background1"/>
                          <w:sz w:val="20"/>
                          <w:szCs w:val="20"/>
                        </w:rPr>
                        <w:br/>
                        <w:t>Sydney NSW 1225</w:t>
                      </w:r>
                    </w:p>
                  </w:txbxContent>
                </v:textbox>
              </v:shape>
              <v:shape id="Text Box 65" o:spid="_x0000_s1033" type="#_x0000_t202" style="position:absolute;left:25205;width:20574;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rsidR="008E2B04" w:rsidRPr="007C722C" w:rsidRDefault="008E2B04" w:rsidP="008E2B04">
                      <w:pPr>
                        <w:rPr>
                          <w:rFonts w:ascii="Calibri Light" w:hAnsi="Calibri Light"/>
                          <w:color w:val="FFFFFF" w:themeColor="background1"/>
                          <w:sz w:val="20"/>
                          <w:szCs w:val="20"/>
                        </w:rPr>
                      </w:pPr>
                      <w:r w:rsidRPr="007C722C">
                        <w:rPr>
                          <w:color w:val="FFFFFF" w:themeColor="background1"/>
                          <w:sz w:val="20"/>
                          <w:szCs w:val="20"/>
                        </w:rPr>
                        <w:t>02 8229 7550</w:t>
                      </w:r>
                      <w:r w:rsidRPr="007C722C">
                        <w:rPr>
                          <w:color w:val="FFFFFF" w:themeColor="background1"/>
                          <w:sz w:val="20"/>
                          <w:szCs w:val="20"/>
                        </w:rPr>
                        <w:br/>
                      </w:r>
                      <w:hyperlink r:id="rId3" w:history="1">
                        <w:r w:rsidRPr="007C722C">
                          <w:rPr>
                            <w:rFonts w:ascii="Calibri Light" w:hAnsi="Calibri Light"/>
                            <w:color w:val="FFFFFF" w:themeColor="background1"/>
                            <w:sz w:val="18"/>
                            <w:szCs w:val="18"/>
                          </w:rPr>
                          <w:t>www.mentalhealthcommission.gov.au</w:t>
                        </w:r>
                      </w:hyperlink>
                    </w:p>
                  </w:txbxContent>
                </v:textbox>
              </v:shape>
              <w10:wrap type="squar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8C9" w:rsidRDefault="00B178C9" w:rsidP="005C1058">
      <w:r>
        <w:separator/>
      </w:r>
    </w:p>
  </w:footnote>
  <w:footnote w:type="continuationSeparator" w:id="0">
    <w:p w:rsidR="00B178C9" w:rsidRDefault="00B178C9" w:rsidP="005C10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3D3" w:rsidRPr="00B661E5" w:rsidRDefault="004A5A0E" w:rsidP="005C1058">
    <w:pPr>
      <w:pStyle w:val="Header"/>
      <w:jc w:val="center"/>
    </w:pPr>
    <w:r>
      <w:rPr>
        <w:noProof/>
        <w:lang w:val="en-AU" w:eastAsia="en-AU"/>
      </w:rPr>
      <w:drawing>
        <wp:inline distT="0" distB="0" distL="0" distR="0" wp14:anchorId="2E95868F" wp14:editId="3957EC20">
          <wp:extent cx="1637969" cy="1089392"/>
          <wp:effectExtent l="0" t="0" r="635" b="0"/>
          <wp:docPr id="54" name="Picture 54" descr="G:\National Mental Health Commission\Admin\FINAL NMH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National Mental Health Commission\Admin\FINAL NMHC LOGO.jpg"/>
                  <pic:cNvPicPr>
                    <a:picLocks noChangeAspect="1" noChangeArrowheads="1"/>
                  </pic:cNvPicPr>
                </pic:nvPicPr>
                <pic:blipFill>
                  <a:blip r:embed="rId1"/>
                  <a:srcRect/>
                  <a:stretch>
                    <a:fillRect/>
                  </a:stretch>
                </pic:blipFill>
                <pic:spPr bwMode="auto">
                  <a:xfrm>
                    <a:off x="0" y="0"/>
                    <a:ext cx="1639019" cy="109009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B04" w:rsidRDefault="008E2B04" w:rsidP="008E2B04">
    <w:pPr>
      <w:pStyle w:val="Header"/>
      <w:jc w:val="center"/>
    </w:pPr>
    <w:r>
      <w:rPr>
        <w:noProof/>
        <w:lang w:val="en-AU" w:eastAsia="en-AU"/>
      </w:rPr>
      <w:drawing>
        <wp:inline distT="0" distB="0" distL="0" distR="0" wp14:anchorId="7D0A48BC" wp14:editId="0E954E95">
          <wp:extent cx="1637969" cy="1089392"/>
          <wp:effectExtent l="0" t="0" r="635" b="0"/>
          <wp:docPr id="56" name="Picture 56" descr="G:\National Mental Health Commission\Admin\FINAL NMH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National Mental Health Commission\Admin\FINAL NMHC LOGO.jpg"/>
                  <pic:cNvPicPr>
                    <a:picLocks noChangeAspect="1" noChangeArrowheads="1"/>
                  </pic:cNvPicPr>
                </pic:nvPicPr>
                <pic:blipFill>
                  <a:blip r:embed="rId1"/>
                  <a:srcRect/>
                  <a:stretch>
                    <a:fillRect/>
                  </a:stretch>
                </pic:blipFill>
                <pic:spPr bwMode="auto">
                  <a:xfrm>
                    <a:off x="0" y="0"/>
                    <a:ext cx="1639019" cy="109009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5F3" w:rsidRPr="00A605F3" w:rsidRDefault="00A605F3" w:rsidP="00A605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2711E"/>
    <w:multiLevelType w:val="multilevel"/>
    <w:tmpl w:val="8F56566A"/>
    <w:styleLink w:val="Bullets"/>
    <w:lvl w:ilvl="0">
      <w:start w:val="1"/>
      <w:numFmt w:val="bullet"/>
      <w:pStyle w:val="ListBullet"/>
      <w:lvlText w:val=""/>
      <w:lvlJc w:val="left"/>
      <w:pPr>
        <w:tabs>
          <w:tab w:val="num" w:pos="113"/>
        </w:tabs>
        <w:ind w:left="113" w:hanging="113"/>
      </w:pPr>
      <w:rPr>
        <w:rFonts w:ascii="Symbol" w:hAnsi="Symbol" w:hint="default"/>
      </w:rPr>
    </w:lvl>
    <w:lvl w:ilvl="1">
      <w:start w:val="1"/>
      <w:numFmt w:val="none"/>
      <w:lvlText w:val=""/>
      <w:lvlJc w:val="left"/>
      <w:pPr>
        <w:ind w:left="1440" w:hanging="360"/>
      </w:pPr>
      <w:rPr>
        <w:rFonts w:hint="default"/>
      </w:rPr>
    </w:lvl>
    <w:lvl w:ilvl="2">
      <w:start w:val="1"/>
      <w:numFmt w:val="none"/>
      <w:lvlText w:val=""/>
      <w:lvlJc w:val="left"/>
      <w:pPr>
        <w:ind w:left="2160" w:hanging="360"/>
      </w:pPr>
      <w:rPr>
        <w:rFonts w:hint="default"/>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 w15:restartNumberingAfterBreak="0">
    <w:nsid w:val="15CD1F60"/>
    <w:multiLevelType w:val="multilevel"/>
    <w:tmpl w:val="940C28A4"/>
    <w:lvl w:ilvl="0">
      <w:start w:val="1"/>
      <w:numFmt w:val="decimal"/>
      <w:pStyle w:val="Recommendations"/>
      <w:suff w:val="space"/>
      <w:lvlText w:val="Recommendation %1:"/>
      <w:lvlJc w:val="left"/>
      <w:pPr>
        <w:ind w:left="0" w:firstLine="0"/>
      </w:pPr>
      <w:rPr>
        <w:rFonts w:hint="default"/>
        <w:b/>
        <w:i/>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2" w15:restartNumberingAfterBreak="0">
    <w:nsid w:val="2B372819"/>
    <w:multiLevelType w:val="hybridMultilevel"/>
    <w:tmpl w:val="151E6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5272F5D"/>
    <w:multiLevelType w:val="hybridMultilevel"/>
    <w:tmpl w:val="EF4E4396"/>
    <w:lvl w:ilvl="0" w:tplc="61AEA95E">
      <w:start w:val="1"/>
      <w:numFmt w:val="decimal"/>
      <w:lvlText w:val="Recommendation %1."/>
      <w:lvlJc w:val="lef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D4C6688"/>
    <w:multiLevelType w:val="hybridMultilevel"/>
    <w:tmpl w:val="2D160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D9B5A07"/>
    <w:multiLevelType w:val="hybridMultilevel"/>
    <w:tmpl w:val="3258B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 w:numId="7">
    <w:abstractNumId w:val="1"/>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2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superscrip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ezsta2w99aashetf5qx9r5rpp20sxf0daaw&quot;&gt;Lucy Morgan&amp;apos;s Library&lt;record-ids&gt;&lt;item&gt;1&lt;/item&gt;&lt;item&gt;73&lt;/item&gt;&lt;item&gt;328&lt;/item&gt;&lt;item&gt;689&lt;/item&gt;&lt;item&gt;1256&lt;/item&gt;&lt;item&gt;1259&lt;/item&gt;&lt;item&gt;1691&lt;/item&gt;&lt;item&gt;1709&lt;/item&gt;&lt;item&gt;2199&lt;/item&gt;&lt;item&gt;2286&lt;/item&gt;&lt;item&gt;2304&lt;/item&gt;&lt;item&gt;2518&lt;/item&gt;&lt;item&gt;2519&lt;/item&gt;&lt;item&gt;2520&lt;/item&gt;&lt;item&gt;2521&lt;/item&gt;&lt;item&gt;2522&lt;/item&gt;&lt;item&gt;2523&lt;/item&gt;&lt;item&gt;2524&lt;/item&gt;&lt;item&gt;2525&lt;/item&gt;&lt;item&gt;2526&lt;/item&gt;&lt;item&gt;2527&lt;/item&gt;&lt;item&gt;2528&lt;/item&gt;&lt;/record-ids&gt;&lt;/item&gt;&lt;/Libraries&gt;"/>
  </w:docVars>
  <w:rsids>
    <w:rsidRoot w:val="007943AD"/>
    <w:rsid w:val="00014E87"/>
    <w:rsid w:val="000176CE"/>
    <w:rsid w:val="000257AE"/>
    <w:rsid w:val="00027BFB"/>
    <w:rsid w:val="00030017"/>
    <w:rsid w:val="00076A47"/>
    <w:rsid w:val="00076B06"/>
    <w:rsid w:val="00077644"/>
    <w:rsid w:val="00080EE5"/>
    <w:rsid w:val="00082DCB"/>
    <w:rsid w:val="000838B6"/>
    <w:rsid w:val="000B42E4"/>
    <w:rsid w:val="000C49F5"/>
    <w:rsid w:val="000C6770"/>
    <w:rsid w:val="000E1D7C"/>
    <w:rsid w:val="001173F8"/>
    <w:rsid w:val="00124DFC"/>
    <w:rsid w:val="00156FEA"/>
    <w:rsid w:val="00165AFE"/>
    <w:rsid w:val="001A2F9B"/>
    <w:rsid w:val="001B1AD8"/>
    <w:rsid w:val="001C4F0B"/>
    <w:rsid w:val="001D30DA"/>
    <w:rsid w:val="00202C71"/>
    <w:rsid w:val="00225731"/>
    <w:rsid w:val="0023308A"/>
    <w:rsid w:val="00243AE3"/>
    <w:rsid w:val="00243AF1"/>
    <w:rsid w:val="00251790"/>
    <w:rsid w:val="00256B42"/>
    <w:rsid w:val="0026349C"/>
    <w:rsid w:val="002772C5"/>
    <w:rsid w:val="00293D14"/>
    <w:rsid w:val="002A604C"/>
    <w:rsid w:val="002B4165"/>
    <w:rsid w:val="002C0D14"/>
    <w:rsid w:val="002F6D10"/>
    <w:rsid w:val="003062C2"/>
    <w:rsid w:val="003125EC"/>
    <w:rsid w:val="00314345"/>
    <w:rsid w:val="00317650"/>
    <w:rsid w:val="00363F4F"/>
    <w:rsid w:val="0038150B"/>
    <w:rsid w:val="00381881"/>
    <w:rsid w:val="00387120"/>
    <w:rsid w:val="00387684"/>
    <w:rsid w:val="0039525E"/>
    <w:rsid w:val="00395838"/>
    <w:rsid w:val="00395A5D"/>
    <w:rsid w:val="003A7BA4"/>
    <w:rsid w:val="003E6C7A"/>
    <w:rsid w:val="00443C19"/>
    <w:rsid w:val="00445C39"/>
    <w:rsid w:val="004625D0"/>
    <w:rsid w:val="00476E3D"/>
    <w:rsid w:val="00476F56"/>
    <w:rsid w:val="004806CF"/>
    <w:rsid w:val="004A145B"/>
    <w:rsid w:val="004A58C0"/>
    <w:rsid w:val="004A5A0E"/>
    <w:rsid w:val="004D0FAD"/>
    <w:rsid w:val="004E0CE6"/>
    <w:rsid w:val="00502A31"/>
    <w:rsid w:val="00504AD4"/>
    <w:rsid w:val="005055D9"/>
    <w:rsid w:val="00506619"/>
    <w:rsid w:val="00507676"/>
    <w:rsid w:val="00520490"/>
    <w:rsid w:val="005429F9"/>
    <w:rsid w:val="00544CB8"/>
    <w:rsid w:val="005849D1"/>
    <w:rsid w:val="005B1375"/>
    <w:rsid w:val="005C1058"/>
    <w:rsid w:val="005D6DF2"/>
    <w:rsid w:val="00605E52"/>
    <w:rsid w:val="006151C6"/>
    <w:rsid w:val="00617E02"/>
    <w:rsid w:val="00623FC4"/>
    <w:rsid w:val="00626DAE"/>
    <w:rsid w:val="00630B2C"/>
    <w:rsid w:val="00661166"/>
    <w:rsid w:val="00671B18"/>
    <w:rsid w:val="006B0E84"/>
    <w:rsid w:val="006B3393"/>
    <w:rsid w:val="006C50E4"/>
    <w:rsid w:val="006D7D6B"/>
    <w:rsid w:val="00710E5C"/>
    <w:rsid w:val="007347B0"/>
    <w:rsid w:val="007521D1"/>
    <w:rsid w:val="00752A4C"/>
    <w:rsid w:val="0076055E"/>
    <w:rsid w:val="007726B5"/>
    <w:rsid w:val="00784BC0"/>
    <w:rsid w:val="00794302"/>
    <w:rsid w:val="007943AD"/>
    <w:rsid w:val="007A46A2"/>
    <w:rsid w:val="007A4B31"/>
    <w:rsid w:val="007A7754"/>
    <w:rsid w:val="007B1897"/>
    <w:rsid w:val="007B667E"/>
    <w:rsid w:val="007C429E"/>
    <w:rsid w:val="007C722C"/>
    <w:rsid w:val="007D1A7C"/>
    <w:rsid w:val="007D6556"/>
    <w:rsid w:val="007E2A2C"/>
    <w:rsid w:val="007E53D3"/>
    <w:rsid w:val="008012C1"/>
    <w:rsid w:val="0081270F"/>
    <w:rsid w:val="00815D5F"/>
    <w:rsid w:val="0082366A"/>
    <w:rsid w:val="00832311"/>
    <w:rsid w:val="00850FB0"/>
    <w:rsid w:val="00861E38"/>
    <w:rsid w:val="0087241B"/>
    <w:rsid w:val="00884DBF"/>
    <w:rsid w:val="0088689D"/>
    <w:rsid w:val="00891415"/>
    <w:rsid w:val="00895587"/>
    <w:rsid w:val="008D6BEF"/>
    <w:rsid w:val="008E2B04"/>
    <w:rsid w:val="008E63E0"/>
    <w:rsid w:val="008F3B9C"/>
    <w:rsid w:val="00906EB4"/>
    <w:rsid w:val="009152F7"/>
    <w:rsid w:val="00917BE0"/>
    <w:rsid w:val="00917F5D"/>
    <w:rsid w:val="00927F9F"/>
    <w:rsid w:val="009337EF"/>
    <w:rsid w:val="00946F2B"/>
    <w:rsid w:val="00952A98"/>
    <w:rsid w:val="00966074"/>
    <w:rsid w:val="0096609E"/>
    <w:rsid w:val="009665D6"/>
    <w:rsid w:val="00985692"/>
    <w:rsid w:val="00990F71"/>
    <w:rsid w:val="009937AF"/>
    <w:rsid w:val="0099563F"/>
    <w:rsid w:val="009A5BEB"/>
    <w:rsid w:val="009C1E04"/>
    <w:rsid w:val="009D2E76"/>
    <w:rsid w:val="009D5375"/>
    <w:rsid w:val="009E334E"/>
    <w:rsid w:val="009F3E88"/>
    <w:rsid w:val="00A00CE5"/>
    <w:rsid w:val="00A17EB4"/>
    <w:rsid w:val="00A20F81"/>
    <w:rsid w:val="00A310EC"/>
    <w:rsid w:val="00A605F3"/>
    <w:rsid w:val="00A92BB0"/>
    <w:rsid w:val="00AA3D41"/>
    <w:rsid w:val="00AA71FD"/>
    <w:rsid w:val="00AD5B81"/>
    <w:rsid w:val="00AE157E"/>
    <w:rsid w:val="00B13D46"/>
    <w:rsid w:val="00B1410C"/>
    <w:rsid w:val="00B178C9"/>
    <w:rsid w:val="00B243F1"/>
    <w:rsid w:val="00B26F53"/>
    <w:rsid w:val="00B33D35"/>
    <w:rsid w:val="00B3428C"/>
    <w:rsid w:val="00B3753F"/>
    <w:rsid w:val="00B46383"/>
    <w:rsid w:val="00B5387E"/>
    <w:rsid w:val="00B60218"/>
    <w:rsid w:val="00B65FBD"/>
    <w:rsid w:val="00B661E5"/>
    <w:rsid w:val="00B859C5"/>
    <w:rsid w:val="00B873C1"/>
    <w:rsid w:val="00B9608A"/>
    <w:rsid w:val="00BA7CC7"/>
    <w:rsid w:val="00BD3B41"/>
    <w:rsid w:val="00BE4371"/>
    <w:rsid w:val="00BF05AF"/>
    <w:rsid w:val="00C30CA8"/>
    <w:rsid w:val="00C43C35"/>
    <w:rsid w:val="00C47A48"/>
    <w:rsid w:val="00C50E65"/>
    <w:rsid w:val="00CA525B"/>
    <w:rsid w:val="00CA6E40"/>
    <w:rsid w:val="00CB0F41"/>
    <w:rsid w:val="00CD0BC3"/>
    <w:rsid w:val="00CD6900"/>
    <w:rsid w:val="00CF2B61"/>
    <w:rsid w:val="00D109C1"/>
    <w:rsid w:val="00D178F0"/>
    <w:rsid w:val="00D23357"/>
    <w:rsid w:val="00D2538A"/>
    <w:rsid w:val="00D2556E"/>
    <w:rsid w:val="00D25B82"/>
    <w:rsid w:val="00D52672"/>
    <w:rsid w:val="00D6473E"/>
    <w:rsid w:val="00D6538B"/>
    <w:rsid w:val="00D70A00"/>
    <w:rsid w:val="00D74081"/>
    <w:rsid w:val="00D877BF"/>
    <w:rsid w:val="00D927ED"/>
    <w:rsid w:val="00DD33CE"/>
    <w:rsid w:val="00DD470E"/>
    <w:rsid w:val="00DE0765"/>
    <w:rsid w:val="00DE0B8A"/>
    <w:rsid w:val="00DE7542"/>
    <w:rsid w:val="00DF1375"/>
    <w:rsid w:val="00DF487C"/>
    <w:rsid w:val="00E057EA"/>
    <w:rsid w:val="00E34BA6"/>
    <w:rsid w:val="00E45CF1"/>
    <w:rsid w:val="00E51D16"/>
    <w:rsid w:val="00E66B9B"/>
    <w:rsid w:val="00E83D84"/>
    <w:rsid w:val="00E955AD"/>
    <w:rsid w:val="00EC12C5"/>
    <w:rsid w:val="00F251CD"/>
    <w:rsid w:val="00F34924"/>
    <w:rsid w:val="00F539C4"/>
    <w:rsid w:val="00F56242"/>
    <w:rsid w:val="00FA7475"/>
    <w:rsid w:val="00FB31E9"/>
    <w:rsid w:val="00FC2252"/>
    <w:rsid w:val="00FC3641"/>
    <w:rsid w:val="00FE0D7B"/>
    <w:rsid w:val="00FE6DDA"/>
    <w:rsid w:val="00FF5F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2767"/>
  <w15:docId w15:val="{DF6946EE-A42B-4D94-85F9-E7AC1643B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058"/>
    <w:pPr>
      <w:spacing w:after="120"/>
    </w:pPr>
    <w:rPr>
      <w:rFonts w:eastAsia="Times New Roman" w:cs="Times New Roman"/>
      <w:sz w:val="22"/>
      <w:szCs w:val="22"/>
      <w:lang w:val="en-AU" w:eastAsia="en-US"/>
    </w:rPr>
  </w:style>
  <w:style w:type="paragraph" w:styleId="Heading1">
    <w:name w:val="heading 1"/>
    <w:basedOn w:val="Normal"/>
    <w:next w:val="Normal"/>
    <w:link w:val="Heading1Char"/>
    <w:uiPriority w:val="9"/>
    <w:qFormat/>
    <w:rsid w:val="009665D6"/>
    <w:pPr>
      <w:spacing w:after="240"/>
      <w:outlineLvl w:val="0"/>
    </w:pPr>
    <w:rPr>
      <w:b/>
      <w:sz w:val="28"/>
    </w:rPr>
  </w:style>
  <w:style w:type="paragraph" w:styleId="Heading2">
    <w:name w:val="heading 2"/>
    <w:basedOn w:val="Normal"/>
    <w:next w:val="Normal"/>
    <w:link w:val="Heading2Char"/>
    <w:uiPriority w:val="9"/>
    <w:unhideWhenUsed/>
    <w:qFormat/>
    <w:rsid w:val="009665D6"/>
    <w:pPr>
      <w:spacing w:before="240" w:after="240"/>
      <w:outlineLvl w:val="1"/>
    </w:pPr>
    <w:rPr>
      <w:b/>
      <w:sz w:val="24"/>
      <w:szCs w:val="24"/>
    </w:rPr>
  </w:style>
  <w:style w:type="paragraph" w:styleId="Heading3">
    <w:name w:val="heading 3"/>
    <w:basedOn w:val="Normal"/>
    <w:next w:val="Normal"/>
    <w:link w:val="Heading3Char"/>
    <w:uiPriority w:val="9"/>
    <w:unhideWhenUsed/>
    <w:qFormat/>
    <w:rsid w:val="00F56242"/>
    <w:pPr>
      <w:keepNext/>
      <w:keepLines/>
      <w:spacing w:before="113" w:line="240" w:lineRule="atLeast"/>
      <w:outlineLvl w:val="2"/>
    </w:pPr>
    <w:rPr>
      <w:rFonts w:ascii="Rooney Bold" w:eastAsiaTheme="majorEastAsia" w:hAnsi="Rooney Bold" w:cstheme="majorBidi"/>
      <w:bCs/>
      <w:color w:val="44546A" w:themeColor="text2"/>
      <w:sz w:val="20"/>
    </w:rPr>
  </w:style>
  <w:style w:type="paragraph" w:styleId="Heading4">
    <w:name w:val="heading 4"/>
    <w:basedOn w:val="Normal"/>
    <w:next w:val="Normal"/>
    <w:link w:val="Heading4Char"/>
    <w:uiPriority w:val="9"/>
    <w:unhideWhenUsed/>
    <w:qFormat/>
    <w:rsid w:val="00F56242"/>
    <w:pPr>
      <w:keepNext/>
      <w:keepLines/>
      <w:spacing w:before="113" w:line="240" w:lineRule="atLeast"/>
      <w:outlineLvl w:val="3"/>
    </w:pPr>
    <w:rPr>
      <w:rFonts w:ascii="Rooney Bold" w:eastAsiaTheme="majorEastAsia" w:hAnsi="Rooney Bold" w:cstheme="majorBidi"/>
      <w:bCs/>
      <w:iCs/>
      <w:color w:val="44546A" w:themeColor="tex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53D3"/>
    <w:pPr>
      <w:tabs>
        <w:tab w:val="center" w:pos="4513"/>
        <w:tab w:val="right" w:pos="9026"/>
      </w:tabs>
    </w:pPr>
    <w:rPr>
      <w:rFonts w:eastAsiaTheme="minorEastAsia" w:cstheme="minorBidi"/>
      <w:lang w:val="en-US" w:eastAsia="zh-CN"/>
    </w:rPr>
  </w:style>
  <w:style w:type="character" w:customStyle="1" w:styleId="HeaderChar">
    <w:name w:val="Header Char"/>
    <w:basedOn w:val="DefaultParagraphFont"/>
    <w:link w:val="Header"/>
    <w:uiPriority w:val="99"/>
    <w:rsid w:val="007E53D3"/>
  </w:style>
  <w:style w:type="paragraph" w:styleId="Footer">
    <w:name w:val="footer"/>
    <w:basedOn w:val="Normal"/>
    <w:link w:val="FooterChar"/>
    <w:uiPriority w:val="99"/>
    <w:unhideWhenUsed/>
    <w:rsid w:val="007E53D3"/>
    <w:pPr>
      <w:tabs>
        <w:tab w:val="center" w:pos="4513"/>
        <w:tab w:val="right" w:pos="9026"/>
      </w:tabs>
    </w:pPr>
    <w:rPr>
      <w:rFonts w:eastAsiaTheme="minorEastAsia" w:cstheme="minorBidi"/>
      <w:lang w:val="en-US" w:eastAsia="zh-CN"/>
    </w:rPr>
  </w:style>
  <w:style w:type="character" w:customStyle="1" w:styleId="FooterChar">
    <w:name w:val="Footer Char"/>
    <w:basedOn w:val="DefaultParagraphFont"/>
    <w:link w:val="Footer"/>
    <w:uiPriority w:val="99"/>
    <w:rsid w:val="007E53D3"/>
  </w:style>
  <w:style w:type="character" w:customStyle="1" w:styleId="Heading1Char">
    <w:name w:val="Heading 1 Char"/>
    <w:basedOn w:val="DefaultParagraphFont"/>
    <w:link w:val="Heading1"/>
    <w:uiPriority w:val="9"/>
    <w:rsid w:val="009665D6"/>
    <w:rPr>
      <w:rFonts w:eastAsia="Times New Roman" w:cs="Times New Roman"/>
      <w:b/>
      <w:sz w:val="28"/>
      <w:szCs w:val="22"/>
      <w:lang w:val="en-AU" w:eastAsia="en-US"/>
    </w:rPr>
  </w:style>
  <w:style w:type="character" w:customStyle="1" w:styleId="Heading2Char">
    <w:name w:val="Heading 2 Char"/>
    <w:basedOn w:val="DefaultParagraphFont"/>
    <w:link w:val="Heading2"/>
    <w:uiPriority w:val="9"/>
    <w:rsid w:val="009665D6"/>
    <w:rPr>
      <w:rFonts w:eastAsia="Times New Roman" w:cs="Times New Roman"/>
      <w:b/>
      <w:lang w:val="en-AU" w:eastAsia="en-US"/>
    </w:rPr>
  </w:style>
  <w:style w:type="character" w:customStyle="1" w:styleId="Heading3Char">
    <w:name w:val="Heading 3 Char"/>
    <w:basedOn w:val="DefaultParagraphFont"/>
    <w:link w:val="Heading3"/>
    <w:uiPriority w:val="9"/>
    <w:rsid w:val="00F56242"/>
    <w:rPr>
      <w:rFonts w:ascii="Rooney Bold" w:eastAsiaTheme="majorEastAsia" w:hAnsi="Rooney Bold" w:cstheme="majorBidi"/>
      <w:bCs/>
      <w:color w:val="44546A" w:themeColor="text2"/>
      <w:sz w:val="20"/>
      <w:szCs w:val="22"/>
      <w:lang w:val="en-AU" w:eastAsia="en-US"/>
    </w:rPr>
  </w:style>
  <w:style w:type="character" w:customStyle="1" w:styleId="Heading4Char">
    <w:name w:val="Heading 4 Char"/>
    <w:basedOn w:val="DefaultParagraphFont"/>
    <w:link w:val="Heading4"/>
    <w:uiPriority w:val="9"/>
    <w:rsid w:val="00F56242"/>
    <w:rPr>
      <w:rFonts w:ascii="Rooney Bold" w:eastAsiaTheme="majorEastAsia" w:hAnsi="Rooney Bold" w:cstheme="majorBidi"/>
      <w:bCs/>
      <w:iCs/>
      <w:color w:val="44546A" w:themeColor="text2"/>
      <w:sz w:val="20"/>
      <w:szCs w:val="22"/>
      <w:lang w:val="en-AU" w:eastAsia="en-US"/>
    </w:rPr>
  </w:style>
  <w:style w:type="paragraph" w:customStyle="1" w:styleId="TableText">
    <w:name w:val="Table Text"/>
    <w:uiPriority w:val="20"/>
    <w:qFormat/>
    <w:rsid w:val="00F56242"/>
    <w:pPr>
      <w:spacing w:after="57" w:line="220" w:lineRule="atLeast"/>
    </w:pPr>
    <w:rPr>
      <w:rFonts w:ascii="Rooney Light" w:hAnsi="Rooney Light"/>
      <w:color w:val="44546A" w:themeColor="text2"/>
      <w:sz w:val="18"/>
      <w:szCs w:val="22"/>
      <w:lang w:val="en-AU" w:eastAsia="en-AU"/>
    </w:rPr>
  </w:style>
  <w:style w:type="paragraph" w:customStyle="1" w:styleId="IntroCopy">
    <w:name w:val="Intro Copy"/>
    <w:basedOn w:val="Normal"/>
    <w:next w:val="Normal"/>
    <w:qFormat/>
    <w:rsid w:val="00F56242"/>
    <w:pPr>
      <w:spacing w:after="227" w:line="280" w:lineRule="atLeast"/>
    </w:pPr>
    <w:rPr>
      <w:rFonts w:ascii="Rooney Light" w:eastAsiaTheme="minorHAnsi" w:hAnsi="Rooney Light" w:cstheme="minorBidi"/>
    </w:rPr>
  </w:style>
  <w:style w:type="paragraph" w:styleId="ListBullet">
    <w:name w:val="List Bullet"/>
    <w:basedOn w:val="Normal"/>
    <w:uiPriority w:val="99"/>
    <w:unhideWhenUsed/>
    <w:rsid w:val="00F56242"/>
    <w:pPr>
      <w:numPr>
        <w:numId w:val="1"/>
      </w:numPr>
      <w:spacing w:line="240" w:lineRule="atLeast"/>
    </w:pPr>
    <w:rPr>
      <w:rFonts w:ascii="Rooney Light" w:eastAsiaTheme="minorHAnsi" w:hAnsi="Rooney Light" w:cstheme="minorBidi"/>
      <w:sz w:val="20"/>
    </w:rPr>
  </w:style>
  <w:style w:type="numbering" w:customStyle="1" w:styleId="Bullets">
    <w:name w:val="Bullets"/>
    <w:uiPriority w:val="99"/>
    <w:rsid w:val="00F56242"/>
    <w:pPr>
      <w:numPr>
        <w:numId w:val="1"/>
      </w:numPr>
    </w:pPr>
  </w:style>
  <w:style w:type="paragraph" w:customStyle="1" w:styleId="TableHeading">
    <w:name w:val="Table Heading"/>
    <w:qFormat/>
    <w:rsid w:val="00F56242"/>
    <w:pPr>
      <w:spacing w:line="320" w:lineRule="atLeast"/>
    </w:pPr>
    <w:rPr>
      <w:rFonts w:ascii="Rooney Bold" w:eastAsiaTheme="minorHAnsi" w:hAnsi="Rooney Bold"/>
      <w:sz w:val="20"/>
      <w:szCs w:val="22"/>
      <w:lang w:val="en-AU" w:eastAsia="en-US"/>
    </w:rPr>
  </w:style>
  <w:style w:type="table" w:customStyle="1" w:styleId="TableNMHC">
    <w:name w:val="Table_NMHC"/>
    <w:basedOn w:val="TableNormal"/>
    <w:uiPriority w:val="99"/>
    <w:qFormat/>
    <w:rsid w:val="00F56242"/>
    <w:rPr>
      <w:rFonts w:ascii="Georgia" w:eastAsiaTheme="minorHAnsi" w:hAnsi="Georgia"/>
      <w:sz w:val="20"/>
      <w:szCs w:val="22"/>
      <w:lang w:val="en-AU" w:eastAsia="en-US"/>
    </w:rPr>
    <w:tblPr>
      <w:tblStyleRowBandSize w:val="1"/>
      <w:tblCellMar>
        <w:top w:w="57" w:type="dxa"/>
        <w:left w:w="57" w:type="dxa"/>
        <w:bottom w:w="57" w:type="dxa"/>
        <w:right w:w="57" w:type="dxa"/>
      </w:tblCellMar>
    </w:tblPr>
    <w:tcPr>
      <w:shd w:val="clear" w:color="auto" w:fill="auto"/>
    </w:tcPr>
    <w:tblStylePr w:type="firstRow">
      <w:tblPr/>
      <w:tcPr>
        <w:tcBorders>
          <w:top w:val="nil"/>
          <w:left w:val="nil"/>
          <w:bottom w:val="nil"/>
          <w:right w:val="nil"/>
          <w:insideH w:val="nil"/>
          <w:insideV w:val="nil"/>
          <w:tl2br w:val="nil"/>
          <w:tr2bl w:val="nil"/>
        </w:tcBorders>
      </w:tcPr>
    </w:tblStylePr>
    <w:tblStylePr w:type="band1Horz">
      <w:tblPr/>
      <w:tcPr>
        <w:tc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l2br w:val="nil"/>
          <w:tr2bl w:val="nil"/>
        </w:tcBorders>
        <w:shd w:val="clear" w:color="auto" w:fill="4472C4" w:themeFill="accent5"/>
      </w:tcPr>
    </w:tblStylePr>
    <w:tblStylePr w:type="band2Horz">
      <w:tblPr>
        <w:tblCellMar>
          <w:top w:w="57" w:type="dxa"/>
          <w:left w:w="57" w:type="dxa"/>
          <w:bottom w:w="57" w:type="dxa"/>
          <w:right w:w="57" w:type="dxa"/>
        </w:tblCellMar>
      </w:tblPr>
      <w:tcPr>
        <w:tc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l2br w:val="nil"/>
          <w:tr2bl w:val="nil"/>
        </w:tcBorders>
        <w:shd w:val="clear" w:color="auto" w:fill="4472C4" w:themeFill="accent5"/>
      </w:tcPr>
    </w:tblStylePr>
  </w:style>
  <w:style w:type="table" w:customStyle="1" w:styleId="PlainTable11">
    <w:name w:val="Plain Table 11"/>
    <w:basedOn w:val="TableNormal"/>
    <w:uiPriority w:val="41"/>
    <w:rsid w:val="00F5624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ntro">
    <w:name w:val="Intro"/>
    <w:basedOn w:val="Normal"/>
    <w:qFormat/>
    <w:rsid w:val="00256B42"/>
    <w:pPr>
      <w:widowControl w:val="0"/>
      <w:autoSpaceDE w:val="0"/>
      <w:autoSpaceDN w:val="0"/>
      <w:adjustRightInd w:val="0"/>
      <w:spacing w:line="276" w:lineRule="auto"/>
    </w:pPr>
    <w:rPr>
      <w:rFonts w:ascii="Proxima Nova Alt Light" w:eastAsiaTheme="minorEastAsia" w:hAnsi="Proxima Nova Alt Light" w:cstheme="minorBidi"/>
      <w:lang w:val="en-US" w:eastAsia="zh-CN"/>
    </w:rPr>
  </w:style>
  <w:style w:type="paragraph" w:customStyle="1" w:styleId="NewIntro">
    <w:name w:val="New Intro"/>
    <w:basedOn w:val="Normal"/>
    <w:qFormat/>
    <w:rsid w:val="00256B42"/>
    <w:rPr>
      <w:rFonts w:ascii="Proxima Nova Alt Light" w:eastAsiaTheme="minorEastAsia" w:hAnsi="Proxima Nova Alt Light" w:cstheme="minorBidi"/>
      <w:lang w:val="en-US" w:eastAsia="zh-CN"/>
    </w:rPr>
  </w:style>
  <w:style w:type="paragraph" w:customStyle="1" w:styleId="NewHeading">
    <w:name w:val="New Heading"/>
    <w:basedOn w:val="Normal"/>
    <w:qFormat/>
    <w:rsid w:val="00256B42"/>
    <w:rPr>
      <w:rFonts w:ascii="Proxima Nova Alt" w:eastAsiaTheme="minorEastAsia" w:hAnsi="Proxima Nova Alt" w:cstheme="minorBidi"/>
      <w:b/>
      <w:bCs/>
      <w:color w:val="FFFFFF" w:themeColor="background1"/>
      <w:sz w:val="52"/>
      <w:szCs w:val="52"/>
      <w:lang w:eastAsia="zh-CN"/>
    </w:rPr>
  </w:style>
  <w:style w:type="paragraph" w:customStyle="1" w:styleId="NewBodycopy">
    <w:name w:val="New Body copy"/>
    <w:basedOn w:val="Normal"/>
    <w:qFormat/>
    <w:rsid w:val="00256B42"/>
    <w:pPr>
      <w:widowControl w:val="0"/>
      <w:autoSpaceDE w:val="0"/>
      <w:autoSpaceDN w:val="0"/>
      <w:adjustRightInd w:val="0"/>
    </w:pPr>
    <w:rPr>
      <w:rFonts w:ascii="Proxima Nova Alt Light" w:eastAsiaTheme="minorEastAsia" w:hAnsi="Proxima Nova Alt Light" w:cstheme="minorBidi"/>
      <w:sz w:val="18"/>
      <w:szCs w:val="18"/>
      <w:lang w:val="en-US" w:eastAsia="zh-CN"/>
    </w:rPr>
  </w:style>
  <w:style w:type="paragraph" w:customStyle="1" w:styleId="NewSubhead">
    <w:name w:val="New Subhead"/>
    <w:basedOn w:val="Normal"/>
    <w:qFormat/>
    <w:rsid w:val="00256B42"/>
    <w:pPr>
      <w:widowControl w:val="0"/>
      <w:autoSpaceDE w:val="0"/>
      <w:autoSpaceDN w:val="0"/>
      <w:adjustRightInd w:val="0"/>
    </w:pPr>
    <w:rPr>
      <w:rFonts w:ascii="Proxima Nova Alt Light" w:eastAsiaTheme="minorEastAsia" w:hAnsi="Proxima Nova Alt Light" w:cstheme="minorBidi"/>
      <w:b/>
      <w:bCs/>
      <w:sz w:val="18"/>
      <w:szCs w:val="18"/>
      <w:lang w:val="en-US" w:eastAsia="zh-CN"/>
    </w:rPr>
  </w:style>
  <w:style w:type="paragraph" w:customStyle="1" w:styleId="NewChartHeading">
    <w:name w:val="New Chart Heading"/>
    <w:basedOn w:val="Normal"/>
    <w:qFormat/>
    <w:rsid w:val="00256B42"/>
    <w:rPr>
      <w:rFonts w:eastAsiaTheme="minorEastAsia" w:cstheme="minorBidi"/>
      <w:b/>
      <w:bCs/>
      <w:color w:val="FFFFFF" w:themeColor="background1"/>
      <w:lang w:val="en-US" w:eastAsia="zh-CN"/>
    </w:rPr>
  </w:style>
  <w:style w:type="paragraph" w:styleId="BalloonText">
    <w:name w:val="Balloon Text"/>
    <w:basedOn w:val="Normal"/>
    <w:link w:val="BalloonTextChar"/>
    <w:uiPriority w:val="99"/>
    <w:semiHidden/>
    <w:unhideWhenUsed/>
    <w:rsid w:val="004A5A0E"/>
    <w:rPr>
      <w:rFonts w:ascii="Tahoma" w:eastAsiaTheme="minorEastAsia" w:hAnsi="Tahoma" w:cs="Tahoma"/>
      <w:sz w:val="16"/>
      <w:szCs w:val="16"/>
      <w:lang w:val="en-US" w:eastAsia="zh-CN"/>
    </w:rPr>
  </w:style>
  <w:style w:type="character" w:customStyle="1" w:styleId="BalloonTextChar">
    <w:name w:val="Balloon Text Char"/>
    <w:basedOn w:val="DefaultParagraphFont"/>
    <w:link w:val="BalloonText"/>
    <w:uiPriority w:val="99"/>
    <w:semiHidden/>
    <w:rsid w:val="004A5A0E"/>
    <w:rPr>
      <w:rFonts w:ascii="Tahoma" w:hAnsi="Tahoma" w:cs="Tahoma"/>
      <w:sz w:val="16"/>
      <w:szCs w:val="16"/>
    </w:rPr>
  </w:style>
  <w:style w:type="paragraph" w:customStyle="1" w:styleId="normal1">
    <w:name w:val="normal 1"/>
    <w:basedOn w:val="Normal"/>
    <w:link w:val="normal1Char"/>
    <w:qFormat/>
    <w:rsid w:val="002772C5"/>
    <w:pPr>
      <w:keepNext/>
      <w:spacing w:before="120"/>
      <w:outlineLvl w:val="1"/>
    </w:pPr>
    <w:rPr>
      <w:rFonts w:cs="Arial"/>
      <w:bCs/>
    </w:rPr>
  </w:style>
  <w:style w:type="character" w:customStyle="1" w:styleId="normal1Char">
    <w:name w:val="normal 1 Char"/>
    <w:basedOn w:val="DefaultParagraphFont"/>
    <w:link w:val="normal1"/>
    <w:rsid w:val="002772C5"/>
    <w:rPr>
      <w:rFonts w:eastAsia="Times New Roman" w:cs="Arial"/>
      <w:bCs/>
      <w:sz w:val="22"/>
      <w:szCs w:val="22"/>
      <w:lang w:val="en-AU" w:eastAsia="en-US"/>
    </w:rPr>
  </w:style>
  <w:style w:type="character" w:styleId="Hyperlink">
    <w:name w:val="Hyperlink"/>
    <w:basedOn w:val="DefaultParagraphFont"/>
    <w:rsid w:val="002772C5"/>
    <w:rPr>
      <w:color w:val="0563C1" w:themeColor="hyperlink"/>
      <w:u w:val="single"/>
    </w:rPr>
  </w:style>
  <w:style w:type="paragraph" w:customStyle="1" w:styleId="Default">
    <w:name w:val="Default"/>
    <w:basedOn w:val="Normal"/>
    <w:rsid w:val="0081270F"/>
    <w:pPr>
      <w:autoSpaceDE w:val="0"/>
      <w:autoSpaceDN w:val="0"/>
    </w:pPr>
    <w:rPr>
      <w:rFonts w:ascii="Calibri" w:eastAsiaTheme="minorHAnsi" w:hAnsi="Calibri"/>
      <w:color w:val="000000"/>
      <w:lang w:eastAsia="en-AU"/>
    </w:rPr>
  </w:style>
  <w:style w:type="paragraph" w:styleId="EndnoteText">
    <w:name w:val="endnote text"/>
    <w:basedOn w:val="Normal"/>
    <w:link w:val="EndnoteTextChar"/>
    <w:uiPriority w:val="99"/>
    <w:semiHidden/>
    <w:unhideWhenUsed/>
    <w:rsid w:val="00784BC0"/>
    <w:pPr>
      <w:spacing w:after="0"/>
    </w:pPr>
    <w:rPr>
      <w:sz w:val="20"/>
      <w:szCs w:val="20"/>
    </w:rPr>
  </w:style>
  <w:style w:type="character" w:customStyle="1" w:styleId="EndnoteTextChar">
    <w:name w:val="Endnote Text Char"/>
    <w:basedOn w:val="DefaultParagraphFont"/>
    <w:link w:val="EndnoteText"/>
    <w:uiPriority w:val="99"/>
    <w:semiHidden/>
    <w:rsid w:val="00784BC0"/>
    <w:rPr>
      <w:rFonts w:eastAsia="Times New Roman" w:cs="Times New Roman"/>
      <w:sz w:val="20"/>
      <w:szCs w:val="20"/>
      <w:lang w:val="en-AU" w:eastAsia="en-US"/>
    </w:rPr>
  </w:style>
  <w:style w:type="character" w:styleId="EndnoteReference">
    <w:name w:val="endnote reference"/>
    <w:basedOn w:val="DefaultParagraphFont"/>
    <w:uiPriority w:val="99"/>
    <w:semiHidden/>
    <w:unhideWhenUsed/>
    <w:rsid w:val="00784BC0"/>
    <w:rPr>
      <w:vertAlign w:val="superscript"/>
    </w:rPr>
  </w:style>
  <w:style w:type="paragraph" w:styleId="FootnoteText">
    <w:name w:val="footnote text"/>
    <w:basedOn w:val="Normal"/>
    <w:link w:val="FootnoteTextChar"/>
    <w:uiPriority w:val="99"/>
    <w:semiHidden/>
    <w:unhideWhenUsed/>
    <w:rsid w:val="00784BC0"/>
    <w:pPr>
      <w:spacing w:after="0"/>
    </w:pPr>
    <w:rPr>
      <w:sz w:val="20"/>
      <w:szCs w:val="20"/>
    </w:rPr>
  </w:style>
  <w:style w:type="character" w:customStyle="1" w:styleId="FootnoteTextChar">
    <w:name w:val="Footnote Text Char"/>
    <w:basedOn w:val="DefaultParagraphFont"/>
    <w:link w:val="FootnoteText"/>
    <w:uiPriority w:val="99"/>
    <w:semiHidden/>
    <w:rsid w:val="00784BC0"/>
    <w:rPr>
      <w:rFonts w:eastAsia="Times New Roman" w:cs="Times New Roman"/>
      <w:sz w:val="20"/>
      <w:szCs w:val="20"/>
      <w:lang w:val="en-AU" w:eastAsia="en-US"/>
    </w:rPr>
  </w:style>
  <w:style w:type="character" w:styleId="FootnoteReference">
    <w:name w:val="footnote reference"/>
    <w:basedOn w:val="DefaultParagraphFont"/>
    <w:uiPriority w:val="99"/>
    <w:semiHidden/>
    <w:unhideWhenUsed/>
    <w:rsid w:val="00784BC0"/>
    <w:rPr>
      <w:vertAlign w:val="superscript"/>
    </w:rPr>
  </w:style>
  <w:style w:type="paragraph" w:styleId="ListParagraph">
    <w:name w:val="List Paragraph"/>
    <w:basedOn w:val="Normal"/>
    <w:link w:val="ListParagraphChar"/>
    <w:uiPriority w:val="34"/>
    <w:qFormat/>
    <w:rsid w:val="00B65FBD"/>
    <w:pPr>
      <w:ind w:left="720"/>
      <w:contextualSpacing/>
    </w:pPr>
  </w:style>
  <w:style w:type="paragraph" w:customStyle="1" w:styleId="Recommendations">
    <w:name w:val="Recommendations"/>
    <w:basedOn w:val="ListParagraph"/>
    <w:link w:val="RecommendationsChar"/>
    <w:qFormat/>
    <w:rsid w:val="009937AF"/>
    <w:pPr>
      <w:numPr>
        <w:numId w:val="4"/>
      </w:numPr>
      <w:pBdr>
        <w:top w:val="single" w:sz="4" w:space="4" w:color="auto"/>
        <w:left w:val="single" w:sz="4" w:space="4" w:color="auto"/>
        <w:bottom w:val="single" w:sz="4" w:space="4" w:color="auto"/>
        <w:right w:val="single" w:sz="4" w:space="4" w:color="auto"/>
      </w:pBdr>
      <w:shd w:val="clear" w:color="auto" w:fill="FFF2CC" w:themeFill="accent4" w:themeFillTint="33"/>
    </w:pPr>
    <w:rPr>
      <w:b/>
      <w:i/>
    </w:rPr>
  </w:style>
  <w:style w:type="character" w:customStyle="1" w:styleId="ListParagraphChar">
    <w:name w:val="List Paragraph Char"/>
    <w:basedOn w:val="DefaultParagraphFont"/>
    <w:link w:val="ListParagraph"/>
    <w:uiPriority w:val="34"/>
    <w:rsid w:val="009937AF"/>
    <w:rPr>
      <w:rFonts w:eastAsia="Times New Roman" w:cs="Times New Roman"/>
      <w:sz w:val="22"/>
      <w:szCs w:val="22"/>
      <w:lang w:val="en-AU" w:eastAsia="en-US"/>
    </w:rPr>
  </w:style>
  <w:style w:type="character" w:customStyle="1" w:styleId="RecommendationsChar">
    <w:name w:val="Recommendations Char"/>
    <w:basedOn w:val="ListParagraphChar"/>
    <w:link w:val="Recommendations"/>
    <w:rsid w:val="009937AF"/>
    <w:rPr>
      <w:rFonts w:eastAsia="Times New Roman" w:cs="Times New Roman"/>
      <w:b/>
      <w:i/>
      <w:sz w:val="22"/>
      <w:szCs w:val="22"/>
      <w:shd w:val="clear" w:color="auto" w:fill="FFF2CC" w:themeFill="accent4" w:themeFillTint="33"/>
      <w:lang w:val="en-AU" w:eastAsia="en-US"/>
    </w:rPr>
  </w:style>
  <w:style w:type="paragraph" w:customStyle="1" w:styleId="EndNoteBibliographyTitle">
    <w:name w:val="EndNote Bibliography Title"/>
    <w:basedOn w:val="Normal"/>
    <w:link w:val="EndNoteBibliographyTitleChar"/>
    <w:rsid w:val="00884DBF"/>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84DBF"/>
    <w:rPr>
      <w:rFonts w:ascii="Calibri" w:eastAsia="Times New Roman" w:hAnsi="Calibri" w:cs="Calibri"/>
      <w:noProof/>
      <w:sz w:val="22"/>
      <w:szCs w:val="22"/>
      <w:lang w:eastAsia="en-US"/>
    </w:rPr>
  </w:style>
  <w:style w:type="paragraph" w:customStyle="1" w:styleId="EndNoteBibliography">
    <w:name w:val="EndNote Bibliography"/>
    <w:basedOn w:val="Normal"/>
    <w:link w:val="EndNoteBibliographyChar"/>
    <w:rsid w:val="00884DBF"/>
    <w:rPr>
      <w:rFonts w:ascii="Calibri" w:hAnsi="Calibri" w:cs="Calibri"/>
      <w:noProof/>
      <w:lang w:val="en-US"/>
    </w:rPr>
  </w:style>
  <w:style w:type="character" w:customStyle="1" w:styleId="EndNoteBibliographyChar">
    <w:name w:val="EndNote Bibliography Char"/>
    <w:basedOn w:val="DefaultParagraphFont"/>
    <w:link w:val="EndNoteBibliography"/>
    <w:rsid w:val="00884DBF"/>
    <w:rPr>
      <w:rFonts w:ascii="Calibri" w:eastAsia="Times New Roman" w:hAnsi="Calibri" w:cs="Calibri"/>
      <w:noProof/>
      <w:sz w:val="22"/>
      <w:szCs w:val="22"/>
      <w:lang w:eastAsia="en-US"/>
    </w:rPr>
  </w:style>
  <w:style w:type="character" w:styleId="CommentReference">
    <w:name w:val="annotation reference"/>
    <w:basedOn w:val="DefaultParagraphFont"/>
    <w:uiPriority w:val="99"/>
    <w:semiHidden/>
    <w:unhideWhenUsed/>
    <w:rsid w:val="00927F9F"/>
    <w:rPr>
      <w:sz w:val="16"/>
      <w:szCs w:val="16"/>
    </w:rPr>
  </w:style>
  <w:style w:type="paragraph" w:styleId="CommentText">
    <w:name w:val="annotation text"/>
    <w:basedOn w:val="Normal"/>
    <w:link w:val="CommentTextChar"/>
    <w:uiPriority w:val="99"/>
    <w:semiHidden/>
    <w:unhideWhenUsed/>
    <w:rsid w:val="00927F9F"/>
    <w:rPr>
      <w:sz w:val="20"/>
      <w:szCs w:val="20"/>
    </w:rPr>
  </w:style>
  <w:style w:type="character" w:customStyle="1" w:styleId="CommentTextChar">
    <w:name w:val="Comment Text Char"/>
    <w:basedOn w:val="DefaultParagraphFont"/>
    <w:link w:val="CommentText"/>
    <w:uiPriority w:val="99"/>
    <w:semiHidden/>
    <w:rsid w:val="00927F9F"/>
    <w:rPr>
      <w:rFonts w:eastAsia="Times New Roman" w:cs="Times New Roman"/>
      <w:sz w:val="20"/>
      <w:szCs w:val="20"/>
      <w:lang w:val="en-AU" w:eastAsia="en-US"/>
    </w:rPr>
  </w:style>
  <w:style w:type="paragraph" w:styleId="CommentSubject">
    <w:name w:val="annotation subject"/>
    <w:basedOn w:val="CommentText"/>
    <w:next w:val="CommentText"/>
    <w:link w:val="CommentSubjectChar"/>
    <w:uiPriority w:val="99"/>
    <w:semiHidden/>
    <w:unhideWhenUsed/>
    <w:rsid w:val="00927F9F"/>
    <w:rPr>
      <w:b/>
      <w:bCs/>
    </w:rPr>
  </w:style>
  <w:style w:type="character" w:customStyle="1" w:styleId="CommentSubjectChar">
    <w:name w:val="Comment Subject Char"/>
    <w:basedOn w:val="CommentTextChar"/>
    <w:link w:val="CommentSubject"/>
    <w:uiPriority w:val="99"/>
    <w:semiHidden/>
    <w:rsid w:val="00927F9F"/>
    <w:rPr>
      <w:rFonts w:eastAsia="Times New Roman" w:cs="Times New Roman"/>
      <w:b/>
      <w:bCs/>
      <w:sz w:val="20"/>
      <w:szCs w:val="20"/>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345324">
      <w:bodyDiv w:val="1"/>
      <w:marLeft w:val="0"/>
      <w:marRight w:val="0"/>
      <w:marTop w:val="0"/>
      <w:marBottom w:val="0"/>
      <w:divBdr>
        <w:top w:val="none" w:sz="0" w:space="0" w:color="auto"/>
        <w:left w:val="none" w:sz="0" w:space="0" w:color="auto"/>
        <w:bottom w:val="none" w:sz="0" w:space="0" w:color="auto"/>
        <w:right w:val="none" w:sz="0" w:space="0" w:color="auto"/>
      </w:divBdr>
    </w:div>
    <w:div w:id="523832860">
      <w:bodyDiv w:val="1"/>
      <w:marLeft w:val="0"/>
      <w:marRight w:val="0"/>
      <w:marTop w:val="0"/>
      <w:marBottom w:val="0"/>
      <w:divBdr>
        <w:top w:val="none" w:sz="0" w:space="0" w:color="auto"/>
        <w:left w:val="none" w:sz="0" w:space="0" w:color="auto"/>
        <w:bottom w:val="none" w:sz="0" w:space="0" w:color="auto"/>
        <w:right w:val="none" w:sz="0" w:space="0" w:color="auto"/>
      </w:divBdr>
    </w:div>
    <w:div w:id="706445174">
      <w:bodyDiv w:val="1"/>
      <w:marLeft w:val="0"/>
      <w:marRight w:val="0"/>
      <w:marTop w:val="0"/>
      <w:marBottom w:val="0"/>
      <w:divBdr>
        <w:top w:val="none" w:sz="0" w:space="0" w:color="auto"/>
        <w:left w:val="none" w:sz="0" w:space="0" w:color="auto"/>
        <w:bottom w:val="none" w:sz="0" w:space="0" w:color="auto"/>
        <w:right w:val="none" w:sz="0" w:space="0" w:color="auto"/>
      </w:divBdr>
    </w:div>
    <w:div w:id="19558666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mentalhealthcommission.gov.au/media/257033/PC%20Inquiry_NMHC%20FINAL%20submission_4%20April%202019.pdf" TargetMode="External"/><Relationship Id="rId26" Type="http://schemas.openxmlformats.org/officeDocument/2006/relationships/hyperlink" Target="https://46y5eh11fhgw3ve3ytpwxt9r-wpengine.netdna-ssl.com/wp-content/uploads/2010/05/Foundations-of-Lifelong-Health.pdf" TargetMode="External"/><Relationship Id="rId3" Type="http://schemas.openxmlformats.org/officeDocument/2006/relationships/customXml" Target="../customXml/item3.xml"/><Relationship Id="rId21" Type="http://schemas.openxmlformats.org/officeDocument/2006/relationships/hyperlink" Target="https://www.royalcommission.gov.au/sites/default/files/2019-01/rcnt-interim-report.pdf"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childdetentionnt.royalcommission.gov.au/media-centre/Documents/Royal-Commission-Board-Enquiry-Media-release.pdf" TargetMode="External"/><Relationship Id="rId25" Type="http://schemas.openxmlformats.org/officeDocument/2006/relationships/hyperlink" Target="file://\\central.health\DfsUserEnv\Users\User_15\BROCAT\Documents\Offline%20Records%20(A7)\NMHC%20Submission%20-%20Expenditure%20on%20children%20in%20NT%20-%20GOVERNMENT%20RELATIONS%20-%20Reporting\www.mentalhealthcommission.gov.au\our-reports\contributing-lives,-thriving-communities-review-of-mental-health-programmes-and-services.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royalcommission.gov.au/sites/default/files/2019-01/rcnt-royal-commission-nt-final-report-volume-3a.pdf" TargetMode="External"/><Relationship Id="rId29" Type="http://schemas.openxmlformats.org/officeDocument/2006/relationships/hyperlink" Target="http://www.first1000daysaustralia.org.au/first-1000-days-australia"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aihw.gov.au/getmedia/7c42913d-295f-4bc9-9c24-4e44eff4a04a/aihw-aus-221.pdf.aspx?inline=true"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parliament.nt.gov.au/__data/assets/pdf_file/0007/688948/Submission-No.-10-National-Voice-for-Our-Children-SNAICC.pdf" TargetMode="External"/><Relationship Id="rId28" Type="http://schemas.openxmlformats.org/officeDocument/2006/relationships/hyperlink" Target="https://www.ccyp.wa.gov.au/media/1452/report-mental-health-inquiry-april-2011.pdf" TargetMode="External"/><Relationship Id="rId10" Type="http://schemas.openxmlformats.org/officeDocument/2006/relationships/webSettings" Target="webSettings.xml"/><Relationship Id="rId19" Type="http://schemas.openxmlformats.org/officeDocument/2006/relationships/hyperlink" Target="http://www.familymatters.org.au/wp-content/uploads/2018/11/Family-Matters-Report-2018.pdf"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royalcommission.gov.au/sites/default/files/2019-01/rcnt-royal-commission-nt-final-report-volume-1.pdf" TargetMode="External"/><Relationship Id="rId27" Type="http://schemas.openxmlformats.org/officeDocument/2006/relationships/hyperlink" Target="https://www.ranzcp.org/files/resources/reports/prevention-and-early-intervention-of-mental-illnes.aspx" TargetMode="External"/><Relationship Id="rId30" Type="http://schemas.openxmlformats.org/officeDocument/2006/relationships/hyperlink" Target="https://www.lowitja.org.au/page/services/resources/Cultural-and-social-determinants/mental-health/journeys-to-healing-and-strong-wellbeing-final-repor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mentalhealthcommission.gov.au" TargetMode="External"/><Relationship Id="rId1" Type="http://schemas.openxmlformats.org/officeDocument/2006/relationships/hyperlink" Target="http://www.mentalhealthcommission.gov.au"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mentalhealthcommission.gov.au" TargetMode="External"/><Relationship Id="rId2" Type="http://schemas.openxmlformats.org/officeDocument/2006/relationships/hyperlink" Target="http://www.mentalhealthcommission.gov.au"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688CB6C14B17A74CA34CCE34FE659995" ma:contentTypeVersion="31" ma:contentTypeDescription="" ma:contentTypeScope="" ma:versionID="8ad30d8c02d9441498e90cfe0cfd87e1">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02b5494c76444ffce680ad7e3198f997"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_dlc_DocId xmlns="3f4bcce7-ac1a-4c9d-aa3e-7e77695652db">PCDOC-20385848-58</_dlc_DocId>
    <TaxCatchAll xmlns="3f4bcce7-ac1a-4c9d-aa3e-7e77695652db">
      <Value>139</Value>
    </TaxCatchAll>
    <_dlc_DocIdUrl xmlns="3f4bcce7-ac1a-4c9d-aa3e-7e77695652db">
      <Url>http://inet.pc.gov.au/pmo/inq/childprotection/_layouts/15/DocIdRedir.aspx?ID=PCDOC-20385848-58</Url>
      <Description>PCDOC-20385848-58</Description>
    </_dlc_DocIdUrl>
    <TaxKeywordTaxHTField xmlns="3f4bcce7-ac1a-4c9d-aa3e-7e77695652db">
      <Terms xmlns="http://schemas.microsoft.com/office/infopath/2007/PartnerControls"/>
    </TaxKeywordTaxHTField>
    <V3Comment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7EA6E-595E-449B-9A13-FD333616B971}">
  <ds:schemaRefs>
    <ds:schemaRef ds:uri="http://schemas.microsoft.com/office/2006/metadata/customXsn"/>
  </ds:schemaRefs>
</ds:datastoreItem>
</file>

<file path=customXml/itemProps2.xml><?xml version="1.0" encoding="utf-8"?>
<ds:datastoreItem xmlns:ds="http://schemas.openxmlformats.org/officeDocument/2006/customXml" ds:itemID="{7E98223A-7FB3-4656-AE3F-EADEC9461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8210DC-E506-43BC-9371-EB81EAE9ABBA}">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f4bcce7-ac1a-4c9d-aa3e-7e77695652db"/>
    <ds:schemaRef ds:uri="http://purl.org/dc/elements/1.1/"/>
    <ds:schemaRef ds:uri="http://schemas.microsoft.com/sharepoint/v3"/>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F8CDD4C-125F-4CDB-9F74-6FCD275F0F80}">
  <ds:schemaRefs>
    <ds:schemaRef ds:uri="http://schemas.microsoft.com/sharepoint/v3/contenttype/forms"/>
  </ds:schemaRefs>
</ds:datastoreItem>
</file>

<file path=customXml/itemProps5.xml><?xml version="1.0" encoding="utf-8"?>
<ds:datastoreItem xmlns:ds="http://schemas.openxmlformats.org/officeDocument/2006/customXml" ds:itemID="{4F84A093-1195-4D50-872C-241B7DB319AA}">
  <ds:schemaRefs>
    <ds:schemaRef ds:uri="http://schemas.microsoft.com/sharepoint/events"/>
  </ds:schemaRefs>
</ds:datastoreItem>
</file>

<file path=customXml/itemProps6.xml><?xml version="1.0" encoding="utf-8"?>
<ds:datastoreItem xmlns:ds="http://schemas.openxmlformats.org/officeDocument/2006/customXml" ds:itemID="{43C68B4F-761E-4F2B-8816-3D8F439BC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9052</Words>
  <Characters>51597</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Submission 17 - National Mental Health Commission (NMHC) - Expenditure on Children in the Northern Territory - Commissioned study</vt:lpstr>
    </vt:vector>
  </TitlesOfParts>
  <Company>National Mental Health Commission (NMHC)</Company>
  <LinksUpToDate>false</LinksUpToDate>
  <CharactersWithSpaces>60528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17 - National Mental Health Commission (NMHC) - Expenditure on Children in the Northern Territory - Commissioned study</dc:title>
  <dc:creator>National Mental Health Commission (NMHC)</dc:creator>
  <cp:lastModifiedBy>Productivity Commission</cp:lastModifiedBy>
  <cp:revision>3</cp:revision>
  <cp:lastPrinted>2019-07-08T03:30:00Z</cp:lastPrinted>
  <dcterms:created xsi:type="dcterms:W3CDTF">2019-07-15T05:49:00Z</dcterms:created>
  <dcterms:modified xsi:type="dcterms:W3CDTF">2019-07-17T05:09:00Z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0x0101007916246811615643A710C6FEAFF56A87110500688CB6C14B17A74CA34CCE34FE659995</vt:lpwstr>
  </property>
  <property fmtid="{D5CDD505-2E9C-101B-9397-08002B2CF9AE}" pid="3" name="_dlc_DocIdItemGuid">
    <vt:lpwstr>68f1a0c2-027d-4a60-bdda-bda8f5f942d1</vt:lpwstr>
  </property>
  <property fmtid="{D5CDD505-2E9C-101B-9397-08002B2CF9AE}" pid="4" name="TaxKeyword">
    <vt:lpwstr/>
  </property>
  <property fmtid="{D5CDD505-2E9C-101B-9397-08002B2CF9AE}" pid="5" name="Record Tag">
    <vt:lpwstr>139;#Submissions|c6e0dbf8-5444-433c-844d-d567dd519a05</vt:lpwstr>
  </property>
</Properties>
</file>