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7C5FE" w14:textId="54E26B98" w:rsidR="00280050" w:rsidRPr="007843E7" w:rsidRDefault="00CC69BD" w:rsidP="007843E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val="en-GB" w:eastAsia="en-GB"/>
        </w:rPr>
      </w:pPr>
      <w:bookmarkStart w:id="0" w:name="_GoBack"/>
      <w:bookmarkEnd w:id="0"/>
      <w:r w:rsidRPr="009228A5">
        <w:rPr>
          <w:rFonts w:asciiTheme="minorHAnsi" w:hAnsiTheme="minorHAnsi" w:cstheme="minorHAnsi"/>
          <w:b/>
        </w:rPr>
        <w:t xml:space="preserve">Submission </w:t>
      </w:r>
      <w:r w:rsidR="00D84867">
        <w:rPr>
          <w:rFonts w:asciiTheme="minorHAnsi" w:hAnsiTheme="minorHAnsi" w:cstheme="minorHAnsi"/>
          <w:b/>
        </w:rPr>
        <w:t>to the Productivity Commission Issues P</w:t>
      </w:r>
      <w:r w:rsidRPr="009228A5">
        <w:rPr>
          <w:rFonts w:asciiTheme="minorHAnsi" w:hAnsiTheme="minorHAnsi" w:cstheme="minorHAnsi"/>
          <w:b/>
        </w:rPr>
        <w:t>aper</w:t>
      </w:r>
      <w:r w:rsidR="009D5DAB">
        <w:rPr>
          <w:rFonts w:asciiTheme="minorHAnsi" w:hAnsiTheme="minorHAnsi" w:cstheme="minorHAnsi"/>
          <w:b/>
        </w:rPr>
        <w:t>:</w:t>
      </w:r>
      <w:r w:rsidRPr="009228A5">
        <w:rPr>
          <w:rFonts w:asciiTheme="minorHAnsi" w:hAnsiTheme="minorHAnsi" w:cstheme="minorHAnsi"/>
          <w:b/>
        </w:rPr>
        <w:t xml:space="preserve"> Indigenous Evaluation Strategy</w:t>
      </w:r>
    </w:p>
    <w:p w14:paraId="71437471" w14:textId="77777777" w:rsidR="00CC69BD" w:rsidRPr="009228A5" w:rsidRDefault="00CC69BD" w:rsidP="00321CE1">
      <w:pPr>
        <w:pStyle w:val="NoSpacing"/>
        <w:rPr>
          <w:rFonts w:asciiTheme="minorHAnsi" w:hAnsiTheme="minorHAnsi" w:cstheme="minorHAnsi"/>
          <w:b/>
        </w:rPr>
      </w:pPr>
    </w:p>
    <w:p w14:paraId="43D71038" w14:textId="77777777" w:rsidR="00CC69BD" w:rsidRPr="009228A5" w:rsidRDefault="00CC69BD" w:rsidP="00321CE1">
      <w:pPr>
        <w:pStyle w:val="NoSpacing"/>
        <w:rPr>
          <w:rFonts w:asciiTheme="minorHAnsi" w:hAnsiTheme="minorHAnsi" w:cstheme="minorHAnsi"/>
          <w:b/>
          <w:i/>
        </w:rPr>
      </w:pPr>
      <w:r w:rsidRPr="009228A5">
        <w:rPr>
          <w:rFonts w:asciiTheme="minorHAnsi" w:hAnsiTheme="minorHAnsi" w:cstheme="minorHAnsi"/>
          <w:b/>
          <w:i/>
        </w:rPr>
        <w:t xml:space="preserve">Introduction </w:t>
      </w:r>
    </w:p>
    <w:p w14:paraId="2C960BA3" w14:textId="77777777" w:rsidR="0055389A" w:rsidRDefault="00CC69BD" w:rsidP="00321CE1">
      <w:pPr>
        <w:pStyle w:val="NoSpacing"/>
        <w:rPr>
          <w:rFonts w:asciiTheme="minorHAnsi" w:hAnsiTheme="minorHAnsi" w:cstheme="minorHAnsi"/>
        </w:rPr>
      </w:pPr>
      <w:r w:rsidRPr="009228A5">
        <w:rPr>
          <w:rFonts w:asciiTheme="minorHAnsi" w:hAnsiTheme="minorHAnsi" w:cstheme="minorHAnsi"/>
        </w:rPr>
        <w:t>T</w:t>
      </w:r>
      <w:r w:rsidR="00CF47EF" w:rsidRPr="009228A5">
        <w:rPr>
          <w:rFonts w:asciiTheme="minorHAnsi" w:hAnsiTheme="minorHAnsi" w:cstheme="minorHAnsi"/>
        </w:rPr>
        <w:t>he Department of Health</w:t>
      </w:r>
      <w:r w:rsidRPr="009228A5">
        <w:rPr>
          <w:rFonts w:asciiTheme="minorHAnsi" w:hAnsiTheme="minorHAnsi" w:cstheme="minorHAnsi"/>
        </w:rPr>
        <w:t xml:space="preserve"> </w:t>
      </w:r>
      <w:r w:rsidR="00B333D3">
        <w:rPr>
          <w:rFonts w:asciiTheme="minorHAnsi" w:hAnsiTheme="minorHAnsi" w:cstheme="minorHAnsi"/>
        </w:rPr>
        <w:t xml:space="preserve">(Health) </w:t>
      </w:r>
      <w:r w:rsidRPr="009228A5">
        <w:rPr>
          <w:rFonts w:asciiTheme="minorHAnsi" w:hAnsiTheme="minorHAnsi" w:cstheme="minorHAnsi"/>
        </w:rPr>
        <w:t xml:space="preserve">welcomes the opportunity to comment on the </w:t>
      </w:r>
      <w:r w:rsidR="00D84867">
        <w:rPr>
          <w:rFonts w:asciiTheme="minorHAnsi" w:hAnsiTheme="minorHAnsi" w:cstheme="minorHAnsi"/>
        </w:rPr>
        <w:t>Productivity Commission’s (</w:t>
      </w:r>
      <w:r w:rsidR="00B333D3">
        <w:rPr>
          <w:rFonts w:asciiTheme="minorHAnsi" w:hAnsiTheme="minorHAnsi" w:cstheme="minorHAnsi"/>
        </w:rPr>
        <w:t>the Commission</w:t>
      </w:r>
      <w:r w:rsidR="00D84867">
        <w:rPr>
          <w:rFonts w:asciiTheme="minorHAnsi" w:hAnsiTheme="minorHAnsi" w:cstheme="minorHAnsi"/>
        </w:rPr>
        <w:t>) Issues P</w:t>
      </w:r>
      <w:r w:rsidRPr="009228A5">
        <w:rPr>
          <w:rFonts w:asciiTheme="minorHAnsi" w:hAnsiTheme="minorHAnsi" w:cstheme="minorHAnsi"/>
        </w:rPr>
        <w:t xml:space="preserve">aper </w:t>
      </w:r>
      <w:r w:rsidR="00596460">
        <w:rPr>
          <w:rFonts w:asciiTheme="minorHAnsi" w:hAnsiTheme="minorHAnsi" w:cstheme="minorHAnsi"/>
        </w:rPr>
        <w:t>about developing</w:t>
      </w:r>
      <w:r w:rsidRPr="009228A5">
        <w:rPr>
          <w:rFonts w:asciiTheme="minorHAnsi" w:hAnsiTheme="minorHAnsi" w:cstheme="minorHAnsi"/>
        </w:rPr>
        <w:t xml:space="preserve"> </w:t>
      </w:r>
      <w:r w:rsidR="00596460">
        <w:rPr>
          <w:rFonts w:asciiTheme="minorHAnsi" w:hAnsiTheme="minorHAnsi" w:cstheme="minorHAnsi"/>
        </w:rPr>
        <w:t>an</w:t>
      </w:r>
      <w:r w:rsidRPr="009228A5">
        <w:rPr>
          <w:rFonts w:asciiTheme="minorHAnsi" w:hAnsiTheme="minorHAnsi" w:cstheme="minorHAnsi"/>
        </w:rPr>
        <w:t xml:space="preserve"> Indi</w:t>
      </w:r>
      <w:r w:rsidR="00596460">
        <w:rPr>
          <w:rFonts w:asciiTheme="minorHAnsi" w:hAnsiTheme="minorHAnsi" w:cstheme="minorHAnsi"/>
        </w:rPr>
        <w:t>genous </w:t>
      </w:r>
      <w:r w:rsidR="00B91734" w:rsidRPr="009228A5">
        <w:rPr>
          <w:rFonts w:asciiTheme="minorHAnsi" w:hAnsiTheme="minorHAnsi" w:cstheme="minorHAnsi"/>
        </w:rPr>
        <w:t>Evaluation Strategy (</w:t>
      </w:r>
      <w:r w:rsidR="00973F43">
        <w:rPr>
          <w:rFonts w:asciiTheme="minorHAnsi" w:hAnsiTheme="minorHAnsi" w:cstheme="minorHAnsi"/>
        </w:rPr>
        <w:t xml:space="preserve">the </w:t>
      </w:r>
      <w:r w:rsidRPr="009228A5">
        <w:rPr>
          <w:rFonts w:asciiTheme="minorHAnsi" w:hAnsiTheme="minorHAnsi" w:cstheme="minorHAnsi"/>
        </w:rPr>
        <w:t>Strategy)</w:t>
      </w:r>
      <w:r w:rsidR="00596460">
        <w:rPr>
          <w:rFonts w:asciiTheme="minorHAnsi" w:hAnsiTheme="minorHAnsi" w:cstheme="minorHAnsi"/>
        </w:rPr>
        <w:t xml:space="preserve"> to cover all Australian Government agencies</w:t>
      </w:r>
      <w:r w:rsidRPr="009228A5">
        <w:rPr>
          <w:rFonts w:asciiTheme="minorHAnsi" w:hAnsiTheme="minorHAnsi" w:cstheme="minorHAnsi"/>
        </w:rPr>
        <w:t xml:space="preserve">. </w:t>
      </w:r>
    </w:p>
    <w:p w14:paraId="13493725" w14:textId="77777777" w:rsidR="0055389A" w:rsidRDefault="0055389A" w:rsidP="00321CE1">
      <w:pPr>
        <w:pStyle w:val="NoSpacing"/>
        <w:rPr>
          <w:rFonts w:asciiTheme="minorHAnsi" w:hAnsiTheme="minorHAnsi" w:cstheme="minorHAnsi"/>
        </w:rPr>
      </w:pPr>
    </w:p>
    <w:p w14:paraId="7AD5527E" w14:textId="29F22906" w:rsidR="002121F3" w:rsidRDefault="00B333D3" w:rsidP="00321CE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</w:t>
      </w:r>
      <w:r w:rsidR="003B01B2" w:rsidRPr="009228A5">
        <w:rPr>
          <w:rFonts w:asciiTheme="minorHAnsi" w:hAnsiTheme="minorHAnsi" w:cstheme="minorHAnsi"/>
        </w:rPr>
        <w:t xml:space="preserve"> </w:t>
      </w:r>
      <w:r w:rsidR="002E6C95">
        <w:rPr>
          <w:rFonts w:asciiTheme="minorHAnsi" w:hAnsiTheme="minorHAnsi" w:cstheme="minorHAnsi"/>
        </w:rPr>
        <w:t>supports</w:t>
      </w:r>
      <w:r w:rsidR="003B01B2" w:rsidRPr="009228A5">
        <w:rPr>
          <w:rFonts w:asciiTheme="minorHAnsi" w:hAnsiTheme="minorHAnsi" w:cstheme="minorHAnsi"/>
        </w:rPr>
        <w:t xml:space="preserve"> the o</w:t>
      </w:r>
      <w:r w:rsidR="00D84867">
        <w:rPr>
          <w:rFonts w:asciiTheme="minorHAnsi" w:hAnsiTheme="minorHAnsi" w:cstheme="minorHAnsi"/>
        </w:rPr>
        <w:t>utline of work proposed in the Issues P</w:t>
      </w:r>
      <w:r w:rsidR="003B01B2" w:rsidRPr="009228A5">
        <w:rPr>
          <w:rFonts w:asciiTheme="minorHAnsi" w:hAnsiTheme="minorHAnsi" w:cstheme="minorHAnsi"/>
        </w:rPr>
        <w:t>aper</w:t>
      </w:r>
      <w:r w:rsidR="002E6C95">
        <w:rPr>
          <w:rFonts w:asciiTheme="minorHAnsi" w:hAnsiTheme="minorHAnsi" w:cstheme="minorHAnsi"/>
        </w:rPr>
        <w:t>,</w:t>
      </w:r>
      <w:r w:rsidR="00B91734" w:rsidRPr="009228A5">
        <w:rPr>
          <w:rFonts w:asciiTheme="minorHAnsi" w:hAnsiTheme="minorHAnsi" w:cstheme="minorHAnsi"/>
        </w:rPr>
        <w:t xml:space="preserve"> to</w:t>
      </w:r>
      <w:r w:rsidR="003B01B2" w:rsidRPr="009228A5">
        <w:rPr>
          <w:rFonts w:asciiTheme="minorHAnsi" w:hAnsiTheme="minorHAnsi" w:cstheme="minorHAnsi"/>
        </w:rPr>
        <w:t xml:space="preserve"> develop a</w:t>
      </w:r>
      <w:r w:rsidR="00D87DF8">
        <w:rPr>
          <w:rFonts w:asciiTheme="minorHAnsi" w:hAnsiTheme="minorHAnsi" w:cstheme="minorHAnsi"/>
        </w:rPr>
        <w:t>n Evaluation</w:t>
      </w:r>
      <w:r w:rsidR="003B01B2" w:rsidRPr="009228A5">
        <w:rPr>
          <w:rFonts w:asciiTheme="minorHAnsi" w:hAnsiTheme="minorHAnsi" w:cstheme="minorHAnsi"/>
        </w:rPr>
        <w:t xml:space="preserve"> Strategy </w:t>
      </w:r>
      <w:r w:rsidR="007B5940">
        <w:rPr>
          <w:rFonts w:asciiTheme="minorHAnsi" w:hAnsiTheme="minorHAnsi" w:cstheme="minorHAnsi"/>
        </w:rPr>
        <w:t>with the objective of</w:t>
      </w:r>
      <w:r w:rsidR="003B01B2" w:rsidRPr="009228A5">
        <w:rPr>
          <w:rFonts w:asciiTheme="minorHAnsi" w:hAnsiTheme="minorHAnsi" w:cstheme="minorHAnsi"/>
        </w:rPr>
        <w:t xml:space="preserve"> improv</w:t>
      </w:r>
      <w:r w:rsidR="00D87DF8">
        <w:rPr>
          <w:rFonts w:asciiTheme="minorHAnsi" w:hAnsiTheme="minorHAnsi" w:cstheme="minorHAnsi"/>
        </w:rPr>
        <w:t>ing</w:t>
      </w:r>
      <w:r w:rsidR="003B01B2" w:rsidRPr="009228A5">
        <w:rPr>
          <w:rFonts w:asciiTheme="minorHAnsi" w:hAnsiTheme="minorHAnsi" w:cstheme="minorHAnsi"/>
        </w:rPr>
        <w:t xml:space="preserve"> outcomes for Indigenous Australians. </w:t>
      </w:r>
      <w:r w:rsidR="002121F3" w:rsidRPr="009228A5">
        <w:rPr>
          <w:rFonts w:asciiTheme="minorHAnsi" w:hAnsiTheme="minorHAnsi" w:cstheme="minorHAnsi"/>
        </w:rPr>
        <w:t>There is a</w:t>
      </w:r>
      <w:r w:rsidR="002D4B0A">
        <w:rPr>
          <w:rFonts w:asciiTheme="minorHAnsi" w:hAnsiTheme="minorHAnsi" w:cstheme="minorHAnsi"/>
        </w:rPr>
        <w:t>n</w:t>
      </w:r>
      <w:r w:rsidR="002121F3" w:rsidRPr="009228A5">
        <w:rPr>
          <w:rFonts w:asciiTheme="minorHAnsi" w:hAnsiTheme="minorHAnsi" w:cstheme="minorHAnsi"/>
        </w:rPr>
        <w:t xml:space="preserve"> opportun</w:t>
      </w:r>
      <w:r w:rsidR="00B91734" w:rsidRPr="009228A5">
        <w:rPr>
          <w:rFonts w:asciiTheme="minorHAnsi" w:hAnsiTheme="minorHAnsi" w:cstheme="minorHAnsi"/>
        </w:rPr>
        <w:t xml:space="preserve">ity for </w:t>
      </w:r>
      <w:r w:rsidR="002D4B0A">
        <w:rPr>
          <w:rFonts w:asciiTheme="minorHAnsi" w:hAnsiTheme="minorHAnsi" w:cstheme="minorHAnsi"/>
        </w:rPr>
        <w:t xml:space="preserve">the </w:t>
      </w:r>
      <w:r w:rsidR="002121F3" w:rsidRPr="009228A5">
        <w:rPr>
          <w:rFonts w:asciiTheme="minorHAnsi" w:hAnsiTheme="minorHAnsi" w:cstheme="minorHAnsi"/>
        </w:rPr>
        <w:t xml:space="preserve">Strategy to </w:t>
      </w:r>
      <w:r w:rsidR="002E6C95">
        <w:rPr>
          <w:rFonts w:asciiTheme="minorHAnsi" w:hAnsiTheme="minorHAnsi" w:cstheme="minorHAnsi"/>
        </w:rPr>
        <w:t>offer</w:t>
      </w:r>
      <w:r w:rsidR="002121F3" w:rsidRPr="009228A5">
        <w:rPr>
          <w:rFonts w:asciiTheme="minorHAnsi" w:hAnsiTheme="minorHAnsi" w:cstheme="minorHAnsi"/>
        </w:rPr>
        <w:t xml:space="preserve"> practical guidance in terms of principles, approaches and methodologies that </w:t>
      </w:r>
      <w:r w:rsidR="00B951DE">
        <w:rPr>
          <w:rFonts w:asciiTheme="minorHAnsi" w:hAnsiTheme="minorHAnsi" w:cstheme="minorHAnsi"/>
        </w:rPr>
        <w:t>respect</w:t>
      </w:r>
      <w:r w:rsidR="002D4B0A">
        <w:rPr>
          <w:rFonts w:asciiTheme="minorHAnsi" w:hAnsiTheme="minorHAnsi" w:cstheme="minorHAnsi"/>
        </w:rPr>
        <w:t xml:space="preserve"> the </w:t>
      </w:r>
      <w:r w:rsidR="002121F3" w:rsidRPr="009228A5">
        <w:rPr>
          <w:rFonts w:asciiTheme="minorHAnsi" w:hAnsiTheme="minorHAnsi" w:cstheme="minorHAnsi"/>
        </w:rPr>
        <w:t xml:space="preserve">perspectives of </w:t>
      </w:r>
      <w:r w:rsidR="007B5940">
        <w:rPr>
          <w:rFonts w:asciiTheme="minorHAnsi" w:hAnsiTheme="minorHAnsi" w:cstheme="minorHAnsi"/>
        </w:rPr>
        <w:t>Aboriginal and Torres Strait Islander</w:t>
      </w:r>
      <w:r w:rsidR="002121F3" w:rsidRPr="009228A5">
        <w:rPr>
          <w:rFonts w:asciiTheme="minorHAnsi" w:hAnsiTheme="minorHAnsi" w:cstheme="minorHAnsi"/>
        </w:rPr>
        <w:t xml:space="preserve"> people</w:t>
      </w:r>
      <w:r w:rsidR="002D4B0A">
        <w:rPr>
          <w:rFonts w:asciiTheme="minorHAnsi" w:hAnsiTheme="minorHAnsi" w:cstheme="minorHAnsi"/>
        </w:rPr>
        <w:t xml:space="preserve"> in the </w:t>
      </w:r>
      <w:r w:rsidR="00C82D14">
        <w:rPr>
          <w:rFonts w:asciiTheme="minorHAnsi" w:hAnsiTheme="minorHAnsi" w:cstheme="minorHAnsi"/>
        </w:rPr>
        <w:t>design, delivery and</w:t>
      </w:r>
      <w:r w:rsidR="002121F3" w:rsidRPr="009228A5">
        <w:rPr>
          <w:rFonts w:asciiTheme="minorHAnsi" w:hAnsiTheme="minorHAnsi" w:cstheme="minorHAnsi"/>
        </w:rPr>
        <w:t xml:space="preserve"> evaluation of Australian Government policies and programs.</w:t>
      </w:r>
    </w:p>
    <w:p w14:paraId="64CA939F" w14:textId="77777777" w:rsidR="00E011F6" w:rsidRDefault="00E011F6" w:rsidP="00321CE1">
      <w:pPr>
        <w:pStyle w:val="NoSpacing"/>
        <w:rPr>
          <w:rFonts w:asciiTheme="minorHAnsi" w:hAnsiTheme="minorHAnsi" w:cstheme="minorHAnsi"/>
        </w:rPr>
      </w:pPr>
    </w:p>
    <w:p w14:paraId="4A8E31AC" w14:textId="77777777" w:rsidR="00F35877" w:rsidRPr="00772318" w:rsidRDefault="00F35877" w:rsidP="00321CE1">
      <w:pPr>
        <w:pStyle w:val="NoSpacing"/>
        <w:rPr>
          <w:rFonts w:asciiTheme="minorHAnsi" w:hAnsiTheme="minorHAnsi" w:cstheme="minorHAnsi"/>
          <w:bCs/>
          <w:i/>
        </w:rPr>
      </w:pPr>
      <w:r w:rsidRPr="00772318">
        <w:rPr>
          <w:rFonts w:asciiTheme="minorHAnsi" w:hAnsiTheme="minorHAnsi" w:cstheme="minorHAnsi"/>
          <w:bCs/>
          <w:i/>
        </w:rPr>
        <w:t>Background</w:t>
      </w:r>
    </w:p>
    <w:p w14:paraId="4C147770" w14:textId="7DBDA637" w:rsidR="00E23522" w:rsidRPr="009228A5" w:rsidRDefault="00E23522" w:rsidP="003C56ED">
      <w:pPr>
        <w:pStyle w:val="NoSpacing"/>
        <w:rPr>
          <w:rFonts w:asciiTheme="minorHAnsi" w:hAnsiTheme="minorHAnsi" w:cstheme="minorHAnsi"/>
        </w:rPr>
      </w:pPr>
      <w:r w:rsidRPr="009228A5">
        <w:rPr>
          <w:rFonts w:asciiTheme="minorHAnsi" w:hAnsiTheme="minorHAnsi" w:cstheme="minorHAnsi"/>
        </w:rPr>
        <w:t>Improving the health of Aboriginal and Torres Strait Islander people is a national priority. Aboriginal and Torres Strait Islander people experience much greater mortality and burden from chronic disease than non</w:t>
      </w:r>
      <w:r w:rsidRPr="009228A5">
        <w:rPr>
          <w:rFonts w:asciiTheme="minorHAnsi" w:hAnsiTheme="minorHAnsi" w:cstheme="minorHAnsi"/>
        </w:rPr>
        <w:noBreakHyphen/>
        <w:t xml:space="preserve">Indigenous Australians. </w:t>
      </w:r>
      <w:r w:rsidR="00B333D3">
        <w:rPr>
          <w:rFonts w:asciiTheme="minorHAnsi" w:hAnsiTheme="minorHAnsi" w:cstheme="minorHAnsi"/>
        </w:rPr>
        <w:t>Health</w:t>
      </w:r>
      <w:r w:rsidRPr="009228A5">
        <w:rPr>
          <w:rFonts w:asciiTheme="minorHAnsi" w:hAnsiTheme="minorHAnsi" w:cstheme="minorHAnsi"/>
        </w:rPr>
        <w:t xml:space="preserve"> is committed to improving the health and wellbeing of Aboriginal and To</w:t>
      </w:r>
      <w:r w:rsidR="00973F43">
        <w:rPr>
          <w:rFonts w:asciiTheme="minorHAnsi" w:hAnsiTheme="minorHAnsi" w:cstheme="minorHAnsi"/>
        </w:rPr>
        <w:t>rres Strait Islander people</w:t>
      </w:r>
      <w:r w:rsidRPr="009228A5">
        <w:rPr>
          <w:rFonts w:asciiTheme="minorHAnsi" w:hAnsiTheme="minorHAnsi" w:cstheme="minorHAnsi"/>
        </w:rPr>
        <w:t xml:space="preserve"> through a range of </w:t>
      </w:r>
      <w:r w:rsidR="00816D33" w:rsidRPr="009228A5">
        <w:rPr>
          <w:rFonts w:asciiTheme="minorHAnsi" w:hAnsiTheme="minorHAnsi" w:cstheme="minorHAnsi"/>
        </w:rPr>
        <w:t>programs that provide care to all Australians</w:t>
      </w:r>
      <w:r w:rsidR="007B5940" w:rsidRPr="007B5940">
        <w:rPr>
          <w:rFonts w:asciiTheme="minorHAnsi" w:hAnsiTheme="minorHAnsi" w:cstheme="minorHAnsi"/>
        </w:rPr>
        <w:t xml:space="preserve"> </w:t>
      </w:r>
      <w:r w:rsidR="007B5940">
        <w:rPr>
          <w:rFonts w:asciiTheme="minorHAnsi" w:hAnsiTheme="minorHAnsi" w:cstheme="minorHAnsi"/>
        </w:rPr>
        <w:t xml:space="preserve">as well as </w:t>
      </w:r>
      <w:r w:rsidR="007B5940" w:rsidRPr="009228A5">
        <w:rPr>
          <w:rFonts w:asciiTheme="minorHAnsi" w:hAnsiTheme="minorHAnsi" w:cstheme="minorHAnsi"/>
        </w:rPr>
        <w:t>Indigenous-specific programs</w:t>
      </w:r>
      <w:r w:rsidR="00816D33" w:rsidRPr="009228A5">
        <w:rPr>
          <w:rFonts w:asciiTheme="minorHAnsi" w:hAnsiTheme="minorHAnsi" w:cstheme="minorHAnsi"/>
        </w:rPr>
        <w:t xml:space="preserve">. </w:t>
      </w:r>
    </w:p>
    <w:p w14:paraId="56E71FD5" w14:textId="6C64CEE5" w:rsidR="00BA168C" w:rsidRDefault="00BA168C" w:rsidP="002E6C95">
      <w:pPr>
        <w:pStyle w:val="NoSpacing"/>
        <w:rPr>
          <w:rFonts w:asciiTheme="minorHAnsi" w:hAnsiTheme="minorHAnsi" w:cstheme="minorHAnsi"/>
        </w:rPr>
      </w:pPr>
    </w:p>
    <w:p w14:paraId="7262212C" w14:textId="620CEA63" w:rsidR="00BA168C" w:rsidRPr="009E2C50" w:rsidRDefault="007B5940" w:rsidP="002E6C9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BA168C" w:rsidRPr="009E2C50">
        <w:rPr>
          <w:rFonts w:asciiTheme="minorHAnsi" w:hAnsiTheme="minorHAnsi" w:cstheme="minorHAnsi"/>
        </w:rPr>
        <w:t>stimate</w:t>
      </w:r>
      <w:r>
        <w:rPr>
          <w:rFonts w:asciiTheme="minorHAnsi" w:hAnsiTheme="minorHAnsi" w:cstheme="minorHAnsi"/>
        </w:rPr>
        <w:t>s of</w:t>
      </w:r>
      <w:r w:rsidR="00BA168C" w:rsidRPr="009E2C50">
        <w:rPr>
          <w:rFonts w:asciiTheme="minorHAnsi" w:hAnsiTheme="minorHAnsi" w:cstheme="minorHAnsi"/>
        </w:rPr>
        <w:t xml:space="preserve"> expenditure on</w:t>
      </w:r>
      <w:r w:rsidR="00C910E6">
        <w:rPr>
          <w:rFonts w:asciiTheme="minorHAnsi" w:hAnsiTheme="minorHAnsi" w:cstheme="minorHAnsi"/>
        </w:rPr>
        <w:t>,</w:t>
      </w:r>
      <w:r w:rsidR="00BA168C" w:rsidRPr="009E2C50">
        <w:rPr>
          <w:rFonts w:asciiTheme="minorHAnsi" w:hAnsiTheme="minorHAnsi" w:cstheme="minorHAnsi"/>
        </w:rPr>
        <w:t xml:space="preserve"> and particip</w:t>
      </w:r>
      <w:r w:rsidR="00BA168C">
        <w:rPr>
          <w:rFonts w:asciiTheme="minorHAnsi" w:hAnsiTheme="minorHAnsi" w:cstheme="minorHAnsi"/>
        </w:rPr>
        <w:t xml:space="preserve">ation rates </w:t>
      </w:r>
      <w:r>
        <w:rPr>
          <w:rFonts w:asciiTheme="minorHAnsi" w:hAnsiTheme="minorHAnsi" w:cstheme="minorHAnsi"/>
        </w:rPr>
        <w:t>by</w:t>
      </w:r>
      <w:r w:rsidR="00C910E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Aboriginal and Torres Strait Islander</w:t>
      </w:r>
      <w:r w:rsidR="00BA168C">
        <w:rPr>
          <w:rFonts w:asciiTheme="minorHAnsi" w:hAnsiTheme="minorHAnsi" w:cstheme="minorHAnsi"/>
        </w:rPr>
        <w:t xml:space="preserve"> Australians</w:t>
      </w:r>
      <w:r w:rsidR="00BA168C" w:rsidRPr="009E2C50">
        <w:rPr>
          <w:rFonts w:asciiTheme="minorHAnsi" w:hAnsiTheme="minorHAnsi" w:cstheme="minorHAnsi"/>
        </w:rPr>
        <w:t xml:space="preserve"> accessing mainstream programs and policies </w:t>
      </w:r>
      <w:r w:rsidR="00BD462F">
        <w:rPr>
          <w:rFonts w:asciiTheme="minorHAnsi" w:hAnsiTheme="minorHAnsi" w:cstheme="minorHAnsi"/>
        </w:rPr>
        <w:t>with a whole-of-population focus</w:t>
      </w:r>
      <w:r>
        <w:rPr>
          <w:rFonts w:asciiTheme="minorHAnsi" w:hAnsiTheme="minorHAnsi" w:cstheme="minorHAnsi"/>
        </w:rPr>
        <w:t xml:space="preserve"> are imprecise</w:t>
      </w:r>
      <w:r w:rsidR="00BA168C" w:rsidRPr="009E2C50">
        <w:rPr>
          <w:rFonts w:asciiTheme="minorHAnsi" w:hAnsiTheme="minorHAnsi" w:cstheme="minorHAnsi"/>
        </w:rPr>
        <w:t>. These programs and policies often do not collect Indigenous-specific data and it is difficult to accurately disaggregate funding and participation levels for sub-populations based on available data.</w:t>
      </w:r>
      <w:r w:rsidR="00BA168C" w:rsidRPr="00BA168C">
        <w:rPr>
          <w:rFonts w:asciiTheme="minorHAnsi" w:hAnsiTheme="minorHAnsi" w:cstheme="minorHAnsi"/>
        </w:rPr>
        <w:t xml:space="preserve"> The</w:t>
      </w:r>
      <w:r w:rsidR="00BA168C">
        <w:rPr>
          <w:rFonts w:asciiTheme="minorHAnsi" w:hAnsiTheme="minorHAnsi" w:cstheme="minorHAnsi"/>
        </w:rPr>
        <w:t xml:space="preserve"> Commission</w:t>
      </w:r>
      <w:r w:rsidR="00BA168C" w:rsidRPr="00BA168C">
        <w:rPr>
          <w:rFonts w:asciiTheme="minorHAnsi" w:hAnsiTheme="minorHAnsi" w:cstheme="minorHAnsi"/>
        </w:rPr>
        <w:t xml:space="preserve">’s </w:t>
      </w:r>
      <w:r w:rsidR="00BA168C" w:rsidRPr="00BA168C">
        <w:rPr>
          <w:rFonts w:asciiTheme="minorHAnsi" w:hAnsiTheme="minorHAnsi" w:cstheme="minorHAnsi"/>
          <w:i/>
        </w:rPr>
        <w:t>Indigenous Health Expenditure Report 2017</w:t>
      </w:r>
      <w:r w:rsidR="00BA168C" w:rsidRPr="00BA168C">
        <w:rPr>
          <w:rFonts w:asciiTheme="minorHAnsi" w:hAnsiTheme="minorHAnsi" w:cstheme="minorHAnsi"/>
          <w:vertAlign w:val="superscript"/>
        </w:rPr>
        <w:footnoteReference w:id="1"/>
      </w:r>
      <w:r w:rsidR="00BA168C">
        <w:rPr>
          <w:rFonts w:asciiTheme="minorHAnsi" w:hAnsiTheme="minorHAnsi" w:cstheme="minorHAnsi"/>
        </w:rPr>
        <w:t xml:space="preserve"> estimated</w:t>
      </w:r>
      <w:r w:rsidR="00BA168C" w:rsidRPr="00BA168C">
        <w:rPr>
          <w:rFonts w:asciiTheme="minorHAnsi" w:hAnsiTheme="minorHAnsi" w:cstheme="minorHAnsi"/>
        </w:rPr>
        <w:t xml:space="preserve"> Indigenous Health expenditure by the Australian Government on hospital, public health, community health and support serv</w:t>
      </w:r>
      <w:r w:rsidR="00BA168C">
        <w:rPr>
          <w:rFonts w:asciiTheme="minorHAnsi" w:hAnsiTheme="minorHAnsi" w:cstheme="minorHAnsi"/>
        </w:rPr>
        <w:t>ices to be $2.1 b</w:t>
      </w:r>
      <w:r w:rsidR="00BA168C" w:rsidRPr="00BA168C">
        <w:rPr>
          <w:rFonts w:asciiTheme="minorHAnsi" w:hAnsiTheme="minorHAnsi" w:cstheme="minorHAnsi"/>
        </w:rPr>
        <w:t xml:space="preserve">illion in 2015-16.  </w:t>
      </w:r>
    </w:p>
    <w:p w14:paraId="04A38199" w14:textId="759B7E68" w:rsidR="002E6C95" w:rsidRDefault="002E6C95" w:rsidP="00B018E6">
      <w:pPr>
        <w:pStyle w:val="NoSpacing"/>
        <w:rPr>
          <w:rFonts w:asciiTheme="minorHAnsi" w:hAnsiTheme="minorHAnsi" w:cstheme="minorHAnsi"/>
        </w:rPr>
      </w:pPr>
    </w:p>
    <w:p w14:paraId="694D4F9E" w14:textId="626D214A" w:rsidR="007B5940" w:rsidRDefault="007B5940" w:rsidP="00B018E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2017-18 Indigenous-specific health expenditure by </w:t>
      </w:r>
      <w:r w:rsidR="00362450">
        <w:rPr>
          <w:rFonts w:asciiTheme="minorHAnsi" w:hAnsiTheme="minorHAnsi" w:cstheme="minorHAnsi"/>
        </w:rPr>
        <w:t xml:space="preserve">Health </w:t>
      </w:r>
      <w:r>
        <w:rPr>
          <w:rFonts w:asciiTheme="minorHAnsi" w:hAnsiTheme="minorHAnsi" w:cstheme="minorHAnsi"/>
        </w:rPr>
        <w:t>was $871.2</w:t>
      </w:r>
      <w:r w:rsidR="00BC1E89">
        <w:rPr>
          <w:rFonts w:asciiTheme="minorHAnsi" w:hAnsiTheme="minorHAnsi" w:cstheme="minorHAnsi"/>
        </w:rPr>
        <w:t> </w:t>
      </w:r>
      <w:r w:rsidRPr="009E2C50">
        <w:rPr>
          <w:rFonts w:asciiTheme="minorHAnsi" w:hAnsiTheme="minorHAnsi" w:cstheme="minorHAnsi"/>
        </w:rPr>
        <w:t>million</w:t>
      </w:r>
      <w:r w:rsidR="00BC1E89">
        <w:rPr>
          <w:rFonts w:asciiTheme="minorHAnsi" w:hAnsiTheme="minorHAnsi" w:cstheme="minorHAnsi"/>
        </w:rPr>
        <w:t xml:space="preserve"> through the </w:t>
      </w:r>
      <w:r w:rsidR="00BC1E89" w:rsidRPr="00362450">
        <w:rPr>
          <w:rFonts w:asciiTheme="minorHAnsi" w:hAnsiTheme="minorHAnsi" w:cstheme="minorHAnsi"/>
        </w:rPr>
        <w:t>Indigenous Australians’ Health Programme (IAHP)</w:t>
      </w:r>
      <w:r>
        <w:rPr>
          <w:rStyle w:val="FootnoteReference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. </w:t>
      </w:r>
    </w:p>
    <w:p w14:paraId="37238D31" w14:textId="5E3F6725" w:rsidR="00F73733" w:rsidRDefault="00F73733" w:rsidP="00B018E6">
      <w:pPr>
        <w:pStyle w:val="NoSpacing"/>
        <w:rPr>
          <w:rFonts w:asciiTheme="minorHAnsi" w:hAnsiTheme="minorHAnsi" w:cstheme="minorHAnsi"/>
          <w:bCs/>
          <w:i/>
        </w:rPr>
      </w:pPr>
    </w:p>
    <w:p w14:paraId="4164DCB8" w14:textId="77777777" w:rsidR="00253A95" w:rsidRDefault="00253A95" w:rsidP="00B018E6">
      <w:pPr>
        <w:pStyle w:val="NoSpacing"/>
        <w:rPr>
          <w:rFonts w:asciiTheme="minorHAnsi" w:hAnsiTheme="minorHAnsi" w:cstheme="minorHAnsi"/>
          <w:bCs/>
          <w:i/>
        </w:rPr>
      </w:pPr>
    </w:p>
    <w:p w14:paraId="39C49ACF" w14:textId="77777777" w:rsidR="00BD462F" w:rsidRDefault="00BD462F" w:rsidP="00B018E6">
      <w:pPr>
        <w:pStyle w:val="NoSpacing"/>
        <w:rPr>
          <w:rFonts w:asciiTheme="minorHAnsi" w:hAnsiTheme="minorHAnsi" w:cstheme="minorHAnsi"/>
          <w:bCs/>
          <w:i/>
        </w:rPr>
      </w:pPr>
    </w:p>
    <w:p w14:paraId="0FAF875A" w14:textId="5AF31049" w:rsidR="00F23337" w:rsidRPr="0055389A" w:rsidRDefault="00F23337" w:rsidP="00B018E6">
      <w:pPr>
        <w:pStyle w:val="NoSpacing"/>
        <w:rPr>
          <w:rFonts w:asciiTheme="minorHAnsi" w:hAnsiTheme="minorHAnsi" w:cstheme="minorHAnsi"/>
          <w:bCs/>
        </w:rPr>
      </w:pPr>
      <w:r w:rsidRPr="00772318">
        <w:rPr>
          <w:rFonts w:asciiTheme="minorHAnsi" w:hAnsiTheme="minorHAnsi" w:cstheme="minorHAnsi"/>
          <w:bCs/>
          <w:i/>
        </w:rPr>
        <w:lastRenderedPageBreak/>
        <w:t>The Indigenous Australians’ Health Programme</w:t>
      </w:r>
      <w:r w:rsidR="002C78F0">
        <w:rPr>
          <w:rFonts w:asciiTheme="minorHAnsi" w:hAnsiTheme="minorHAnsi" w:cstheme="minorHAnsi"/>
          <w:bCs/>
          <w:i/>
        </w:rPr>
        <w:t xml:space="preserve"> – Primary </w:t>
      </w:r>
      <w:r w:rsidR="00DB36FD">
        <w:rPr>
          <w:rFonts w:asciiTheme="minorHAnsi" w:hAnsiTheme="minorHAnsi" w:cstheme="minorHAnsi"/>
          <w:bCs/>
          <w:i/>
        </w:rPr>
        <w:t xml:space="preserve">Health </w:t>
      </w:r>
      <w:r w:rsidR="002C78F0">
        <w:rPr>
          <w:rFonts w:asciiTheme="minorHAnsi" w:hAnsiTheme="minorHAnsi" w:cstheme="minorHAnsi"/>
          <w:bCs/>
          <w:i/>
        </w:rPr>
        <w:t>Care funding</w:t>
      </w:r>
    </w:p>
    <w:p w14:paraId="113DB8A7" w14:textId="17F5C827" w:rsidR="003044F6" w:rsidRDefault="004439F9" w:rsidP="00B018E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 t</w:t>
      </w:r>
      <w:r w:rsidR="00563C81" w:rsidRPr="007F57D9">
        <w:rPr>
          <w:rFonts w:asciiTheme="minorHAnsi" w:hAnsiTheme="minorHAnsi" w:cstheme="minorHAnsi"/>
        </w:rPr>
        <w:t>he IAHP</w:t>
      </w:r>
      <w:r>
        <w:rPr>
          <w:rFonts w:asciiTheme="minorHAnsi" w:hAnsiTheme="minorHAnsi" w:cstheme="minorHAnsi"/>
        </w:rPr>
        <w:t>,</w:t>
      </w:r>
      <w:r w:rsidR="00563C81" w:rsidRPr="00563C81">
        <w:rPr>
          <w:rFonts w:asciiTheme="minorHAnsi" w:hAnsiTheme="minorHAnsi" w:cstheme="minorHAnsi"/>
        </w:rPr>
        <w:t xml:space="preserve"> the Australian Government </w:t>
      </w:r>
      <w:r>
        <w:rPr>
          <w:rFonts w:asciiTheme="minorHAnsi" w:hAnsiTheme="minorHAnsi" w:cstheme="minorHAnsi"/>
        </w:rPr>
        <w:t>is providing $4.1 billion</w:t>
      </w:r>
      <w:r w:rsidRPr="00FF2B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the IAHP over four years from 2019-20 to 2022-23. Improving Aboriginal and Torres Strait Islander health remains a priority for the Government and a central component of </w:t>
      </w:r>
      <w:r w:rsidR="0052680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Closing the Gap framework. This funding supplements the much larger whole-of-population health care available for Aboriginal and Torres Strait Islander people through the Medicare Benefits Schedule, Pharmaceutical Benefits Scheme, public hospitals and aged care services. </w:t>
      </w:r>
    </w:p>
    <w:p w14:paraId="7B91C233" w14:textId="77777777" w:rsidR="003044F6" w:rsidRDefault="003044F6" w:rsidP="00B018E6">
      <w:pPr>
        <w:pStyle w:val="NoSpacing"/>
        <w:rPr>
          <w:rFonts w:asciiTheme="minorHAnsi" w:hAnsiTheme="minorHAnsi" w:cstheme="minorHAnsi"/>
        </w:rPr>
      </w:pPr>
    </w:p>
    <w:p w14:paraId="5BE84715" w14:textId="09B4FCDD" w:rsidR="00B018E6" w:rsidRPr="00B018E6" w:rsidRDefault="004439F9" w:rsidP="00B018E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More than half of the IAHP funding is spent on </w:t>
      </w:r>
      <w:r w:rsidR="004533F2">
        <w:rPr>
          <w:rFonts w:asciiTheme="minorHAnsi" w:hAnsiTheme="minorHAnsi" w:cstheme="minorHAnsi"/>
        </w:rPr>
        <w:t>primary health care</w:t>
      </w:r>
      <w:r w:rsidR="00563C81" w:rsidRPr="00563C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DB39BF">
        <w:rPr>
          <w:rFonts w:asciiTheme="minorHAnsi" w:hAnsiTheme="minorHAnsi" w:cstheme="minorHAnsi"/>
        </w:rPr>
        <w:t>approximately $5</w:t>
      </w:r>
      <w:r w:rsidR="00055EDD">
        <w:rPr>
          <w:rFonts w:asciiTheme="minorHAnsi" w:hAnsiTheme="minorHAnsi" w:cstheme="minorHAnsi"/>
        </w:rPr>
        <w:t>18</w:t>
      </w:r>
      <w:r w:rsidR="003044F6">
        <w:rPr>
          <w:rFonts w:asciiTheme="minorHAnsi" w:hAnsiTheme="minorHAnsi" w:cstheme="minorHAnsi"/>
        </w:rPr>
        <w:t> </w:t>
      </w:r>
      <w:r w:rsidR="00DB39BF">
        <w:rPr>
          <w:rFonts w:asciiTheme="minorHAnsi" w:hAnsiTheme="minorHAnsi" w:cstheme="minorHAnsi"/>
        </w:rPr>
        <w:t xml:space="preserve">million </w:t>
      </w:r>
      <w:r w:rsidR="00055EDD">
        <w:rPr>
          <w:rFonts w:asciiTheme="minorHAnsi" w:hAnsiTheme="minorHAnsi" w:cstheme="minorHAnsi"/>
        </w:rPr>
        <w:t>in 2017-18</w:t>
      </w:r>
      <w:r>
        <w:rPr>
          <w:rFonts w:asciiTheme="minorHAnsi" w:hAnsiTheme="minorHAnsi" w:cstheme="minorHAnsi"/>
        </w:rPr>
        <w:t>)</w:t>
      </w:r>
      <w:r w:rsidR="00563C81">
        <w:rPr>
          <w:rFonts w:asciiTheme="minorHAnsi" w:hAnsiTheme="minorHAnsi" w:cstheme="minorHAnsi"/>
        </w:rPr>
        <w:t>.</w:t>
      </w:r>
      <w:r w:rsidR="00563C81" w:rsidRPr="00563C81">
        <w:rPr>
          <w:rFonts w:asciiTheme="minorHAnsi" w:hAnsiTheme="minorHAnsi" w:cstheme="minorHAnsi"/>
        </w:rPr>
        <w:t xml:space="preserve"> </w:t>
      </w:r>
      <w:r w:rsidR="00B018E6" w:rsidRPr="00B018E6">
        <w:rPr>
          <w:rFonts w:asciiTheme="minorHAnsi" w:hAnsiTheme="minorHAnsi" w:cstheme="minorHAnsi"/>
        </w:rPr>
        <w:t>In 2017</w:t>
      </w:r>
      <w:r w:rsidR="00526808">
        <w:rPr>
          <w:rFonts w:asciiTheme="minorHAnsi" w:hAnsiTheme="minorHAnsi" w:cstheme="minorHAnsi"/>
        </w:rPr>
        <w:noBreakHyphen/>
      </w:r>
      <w:r w:rsidR="00B018E6" w:rsidRPr="00B018E6">
        <w:rPr>
          <w:rFonts w:asciiTheme="minorHAnsi" w:hAnsiTheme="minorHAnsi" w:cstheme="minorHAnsi"/>
        </w:rPr>
        <w:t>18, 198 organisations</w:t>
      </w:r>
      <w:r>
        <w:rPr>
          <w:rFonts w:asciiTheme="minorHAnsi" w:hAnsiTheme="minorHAnsi" w:cstheme="minorHAnsi"/>
        </w:rPr>
        <w:t>, operating in 383 sites across Australia,</w:t>
      </w:r>
      <w:r w:rsidR="00563C81">
        <w:rPr>
          <w:rFonts w:asciiTheme="minorHAnsi" w:hAnsiTheme="minorHAnsi" w:cstheme="minorHAnsi"/>
        </w:rPr>
        <w:t xml:space="preserve"> were</w:t>
      </w:r>
      <w:r w:rsidR="00B018E6" w:rsidRPr="00B018E6">
        <w:rPr>
          <w:rFonts w:asciiTheme="minorHAnsi" w:hAnsiTheme="minorHAnsi" w:cstheme="minorHAnsi"/>
        </w:rPr>
        <w:t xml:space="preserve"> funded </w:t>
      </w:r>
      <w:r>
        <w:rPr>
          <w:rFonts w:asciiTheme="minorHAnsi" w:hAnsiTheme="minorHAnsi" w:cstheme="minorHAnsi"/>
        </w:rPr>
        <w:t>to deliver</w:t>
      </w:r>
      <w:r w:rsidR="00B018E6" w:rsidRPr="00B018E6">
        <w:rPr>
          <w:rFonts w:asciiTheme="minorHAnsi" w:hAnsiTheme="minorHAnsi" w:cstheme="minorHAnsi"/>
        </w:rPr>
        <w:t xml:space="preserve"> a range of primary health service</w:t>
      </w:r>
      <w:r w:rsidR="00773B6A">
        <w:rPr>
          <w:rFonts w:asciiTheme="minorHAnsi" w:hAnsiTheme="minorHAnsi" w:cstheme="minorHAnsi"/>
        </w:rPr>
        <w:t>s to around 483,000 </w:t>
      </w:r>
      <w:r w:rsidR="004533F2">
        <w:rPr>
          <w:rFonts w:asciiTheme="minorHAnsi" w:hAnsiTheme="minorHAnsi" w:cstheme="minorHAnsi"/>
        </w:rPr>
        <w:t>clients, 81 per cent</w:t>
      </w:r>
      <w:r w:rsidR="00B018E6" w:rsidRPr="00B018E6">
        <w:rPr>
          <w:rFonts w:asciiTheme="minorHAnsi" w:hAnsiTheme="minorHAnsi" w:cstheme="minorHAnsi"/>
        </w:rPr>
        <w:t xml:space="preserve"> of whom were Aboriginal and Torr</w:t>
      </w:r>
      <w:r w:rsidR="00140363">
        <w:rPr>
          <w:rFonts w:asciiTheme="minorHAnsi" w:hAnsiTheme="minorHAnsi" w:cstheme="minorHAnsi"/>
        </w:rPr>
        <w:t>es Strait Islander people</w:t>
      </w:r>
      <w:r w:rsidR="004533F2">
        <w:rPr>
          <w:rFonts w:asciiTheme="minorHAnsi" w:hAnsiTheme="minorHAnsi" w:cstheme="minorHAnsi"/>
        </w:rPr>
        <w:t>.</w:t>
      </w:r>
      <w:r w:rsidR="00B018E6" w:rsidRPr="00B018E6">
        <w:rPr>
          <w:rFonts w:asciiTheme="minorHAnsi" w:hAnsiTheme="minorHAnsi" w:cstheme="minorHAnsi"/>
        </w:rPr>
        <w:t xml:space="preserve"> More than two-thir</w:t>
      </w:r>
      <w:r w:rsidR="004533F2">
        <w:rPr>
          <w:rFonts w:asciiTheme="minorHAnsi" w:hAnsiTheme="minorHAnsi" w:cstheme="minorHAnsi"/>
        </w:rPr>
        <w:t>ds of the 198 organisations (71 per cent</w:t>
      </w:r>
      <w:r w:rsidR="005C3CA8">
        <w:rPr>
          <w:rFonts w:asciiTheme="minorHAnsi" w:hAnsiTheme="minorHAnsi" w:cstheme="minorHAnsi"/>
        </w:rPr>
        <w:t xml:space="preserve">) </w:t>
      </w:r>
      <w:r w:rsidR="002D4B0A">
        <w:rPr>
          <w:rFonts w:asciiTheme="minorHAnsi" w:hAnsiTheme="minorHAnsi" w:cstheme="minorHAnsi"/>
        </w:rPr>
        <w:t xml:space="preserve">were </w:t>
      </w:r>
      <w:r w:rsidR="002D4B0A" w:rsidRPr="009228A5">
        <w:rPr>
          <w:rFonts w:asciiTheme="minorHAnsi" w:hAnsiTheme="minorHAnsi" w:cstheme="minorHAnsi"/>
        </w:rPr>
        <w:t xml:space="preserve">Aboriginal </w:t>
      </w:r>
      <w:r w:rsidR="00637E93">
        <w:rPr>
          <w:rFonts w:asciiTheme="minorHAnsi" w:hAnsiTheme="minorHAnsi" w:cstheme="minorHAnsi"/>
        </w:rPr>
        <w:t>C</w:t>
      </w:r>
      <w:r w:rsidR="002D4B0A" w:rsidRPr="009228A5">
        <w:rPr>
          <w:rFonts w:asciiTheme="minorHAnsi" w:hAnsiTheme="minorHAnsi" w:cstheme="minorHAnsi"/>
        </w:rPr>
        <w:t xml:space="preserve">ommunity </w:t>
      </w:r>
      <w:r w:rsidR="00637E93">
        <w:rPr>
          <w:rFonts w:asciiTheme="minorHAnsi" w:hAnsiTheme="minorHAnsi" w:cstheme="minorHAnsi"/>
        </w:rPr>
        <w:t>C</w:t>
      </w:r>
      <w:r w:rsidR="002D4B0A" w:rsidRPr="009228A5">
        <w:rPr>
          <w:rFonts w:asciiTheme="minorHAnsi" w:hAnsiTheme="minorHAnsi" w:cstheme="minorHAnsi"/>
        </w:rPr>
        <w:t xml:space="preserve">ontrolled </w:t>
      </w:r>
      <w:r w:rsidR="00637E93">
        <w:rPr>
          <w:rFonts w:asciiTheme="minorHAnsi" w:hAnsiTheme="minorHAnsi" w:cstheme="minorHAnsi"/>
        </w:rPr>
        <w:t>H</w:t>
      </w:r>
      <w:r w:rsidR="002D4B0A">
        <w:rPr>
          <w:rFonts w:asciiTheme="minorHAnsi" w:hAnsiTheme="minorHAnsi" w:cstheme="minorHAnsi"/>
        </w:rPr>
        <w:t xml:space="preserve">ealth </w:t>
      </w:r>
      <w:r w:rsidR="00637E93">
        <w:rPr>
          <w:rFonts w:asciiTheme="minorHAnsi" w:hAnsiTheme="minorHAnsi" w:cstheme="minorHAnsi"/>
        </w:rPr>
        <w:t>S</w:t>
      </w:r>
      <w:r w:rsidR="002D4B0A">
        <w:rPr>
          <w:rFonts w:asciiTheme="minorHAnsi" w:hAnsiTheme="minorHAnsi" w:cstheme="minorHAnsi"/>
        </w:rPr>
        <w:t>ervices</w:t>
      </w:r>
      <w:r w:rsidR="00601E42">
        <w:rPr>
          <w:rFonts w:asciiTheme="minorHAnsi" w:hAnsiTheme="minorHAnsi" w:cstheme="minorHAnsi"/>
        </w:rPr>
        <w:t xml:space="preserve"> (ACCHS)</w:t>
      </w:r>
      <w:r w:rsidR="00563C81">
        <w:rPr>
          <w:rFonts w:asciiTheme="minorHAnsi" w:hAnsiTheme="minorHAnsi" w:cstheme="minorHAnsi"/>
        </w:rPr>
        <w:t>.</w:t>
      </w:r>
      <w:r w:rsidR="00B018E6" w:rsidRPr="00B018E6">
        <w:rPr>
          <w:rFonts w:asciiTheme="minorHAnsi" w:hAnsiTheme="minorHAnsi" w:cstheme="minorHAnsi"/>
        </w:rPr>
        <w:t xml:space="preserve"> </w:t>
      </w:r>
      <w:r w:rsidR="00601E42">
        <w:rPr>
          <w:rFonts w:asciiTheme="minorHAnsi" w:hAnsiTheme="minorHAnsi" w:cstheme="minorHAnsi"/>
        </w:rPr>
        <w:t>Around 3.6 million episodes of care were provided, nearly 3.1 million of these (85 per cent) by these ACCHSs.</w:t>
      </w:r>
    </w:p>
    <w:p w14:paraId="78FBE417" w14:textId="77777777" w:rsidR="00CC69BD" w:rsidRDefault="00CC69BD" w:rsidP="00321CE1">
      <w:pPr>
        <w:pStyle w:val="NoSpacing"/>
        <w:rPr>
          <w:rFonts w:asciiTheme="minorHAnsi" w:hAnsiTheme="minorHAnsi" w:cstheme="minorHAnsi"/>
        </w:rPr>
      </w:pPr>
    </w:p>
    <w:p w14:paraId="726A4309" w14:textId="2FFDBC35" w:rsidR="00E0279C" w:rsidRDefault="003765D3" w:rsidP="00E027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</w:t>
      </w:r>
      <w:r w:rsidR="00176E84">
        <w:rPr>
          <w:rFonts w:asciiTheme="minorHAnsi" w:hAnsiTheme="minorHAnsi" w:cstheme="minorHAnsi"/>
        </w:rPr>
        <w:t xml:space="preserve"> is</w:t>
      </w:r>
      <w:r w:rsidR="00563C81">
        <w:rPr>
          <w:rFonts w:asciiTheme="minorHAnsi" w:hAnsiTheme="minorHAnsi" w:cstheme="minorHAnsi"/>
        </w:rPr>
        <w:t xml:space="preserve"> undertaking a four-</w:t>
      </w:r>
      <w:r w:rsidR="00563C81" w:rsidRPr="00563C81">
        <w:rPr>
          <w:rFonts w:asciiTheme="minorHAnsi" w:hAnsiTheme="minorHAnsi" w:cstheme="minorHAnsi"/>
        </w:rPr>
        <w:t>year (2018-19 to 2021-22) evaluation of the Australian Government’s investment in Aborigi</w:t>
      </w:r>
      <w:r w:rsidR="00563C81">
        <w:rPr>
          <w:rFonts w:asciiTheme="minorHAnsi" w:hAnsiTheme="minorHAnsi" w:cstheme="minorHAnsi"/>
        </w:rPr>
        <w:t>nal and Torres Strait Islander primary health care</w:t>
      </w:r>
      <w:r w:rsidR="00E0279C">
        <w:rPr>
          <w:rFonts w:asciiTheme="minorHAnsi" w:hAnsiTheme="minorHAnsi" w:cstheme="minorHAnsi"/>
        </w:rPr>
        <w:t xml:space="preserve"> under the I</w:t>
      </w:r>
      <w:r w:rsidR="00563C81">
        <w:rPr>
          <w:rFonts w:asciiTheme="minorHAnsi" w:hAnsiTheme="minorHAnsi" w:cstheme="minorHAnsi"/>
        </w:rPr>
        <w:t>A</w:t>
      </w:r>
      <w:r w:rsidR="00E0279C">
        <w:rPr>
          <w:rFonts w:asciiTheme="minorHAnsi" w:hAnsiTheme="minorHAnsi" w:cstheme="minorHAnsi"/>
        </w:rPr>
        <w:t>H</w:t>
      </w:r>
      <w:r w:rsidR="00563C81">
        <w:rPr>
          <w:rFonts w:asciiTheme="minorHAnsi" w:hAnsiTheme="minorHAnsi" w:cstheme="minorHAnsi"/>
        </w:rPr>
        <w:t xml:space="preserve">P. The evaluation </w:t>
      </w:r>
      <w:r w:rsidR="00F23337">
        <w:rPr>
          <w:rFonts w:asciiTheme="minorHAnsi" w:hAnsiTheme="minorHAnsi" w:cstheme="minorHAnsi"/>
        </w:rPr>
        <w:t>will</w:t>
      </w:r>
      <w:r w:rsidR="00563C81">
        <w:rPr>
          <w:rFonts w:asciiTheme="minorHAnsi" w:hAnsiTheme="minorHAnsi" w:cstheme="minorHAnsi"/>
        </w:rPr>
        <w:t xml:space="preserve"> explore</w:t>
      </w:r>
      <w:r w:rsidR="00563C81" w:rsidRPr="00563C81">
        <w:rPr>
          <w:rFonts w:asciiTheme="minorHAnsi" w:hAnsiTheme="minorHAnsi" w:cstheme="minorHAnsi"/>
        </w:rPr>
        <w:t xml:space="preserve"> the barriers, enablers and changes </w:t>
      </w:r>
      <w:r w:rsidR="00F23337">
        <w:rPr>
          <w:rFonts w:asciiTheme="minorHAnsi" w:hAnsiTheme="minorHAnsi" w:cstheme="minorHAnsi"/>
        </w:rPr>
        <w:t>needed in</w:t>
      </w:r>
      <w:r w:rsidR="00563C81" w:rsidRPr="00563C81">
        <w:rPr>
          <w:rFonts w:asciiTheme="minorHAnsi" w:hAnsiTheme="minorHAnsi" w:cstheme="minorHAnsi"/>
        </w:rPr>
        <w:t xml:space="preserve"> different </w:t>
      </w:r>
      <w:r w:rsidR="00F23337">
        <w:rPr>
          <w:rFonts w:asciiTheme="minorHAnsi" w:hAnsiTheme="minorHAnsi" w:cstheme="minorHAnsi"/>
        </w:rPr>
        <w:t>parts</w:t>
      </w:r>
      <w:r w:rsidR="00F23337" w:rsidRPr="00563C81">
        <w:rPr>
          <w:rFonts w:asciiTheme="minorHAnsi" w:hAnsiTheme="minorHAnsi" w:cstheme="minorHAnsi"/>
        </w:rPr>
        <w:t xml:space="preserve"> </w:t>
      </w:r>
      <w:r w:rsidR="00563C81" w:rsidRPr="00563C81">
        <w:rPr>
          <w:rFonts w:asciiTheme="minorHAnsi" w:hAnsiTheme="minorHAnsi" w:cstheme="minorHAnsi"/>
        </w:rPr>
        <w:t xml:space="preserve">of the primary health care system to </w:t>
      </w:r>
      <w:r w:rsidR="00F23337">
        <w:rPr>
          <w:rFonts w:asciiTheme="minorHAnsi" w:hAnsiTheme="minorHAnsi" w:cstheme="minorHAnsi"/>
        </w:rPr>
        <w:t>improve</w:t>
      </w:r>
      <w:r w:rsidR="00D87DF8">
        <w:rPr>
          <w:rStyle w:val="CommentReference"/>
        </w:rPr>
        <w:t xml:space="preserve"> </w:t>
      </w:r>
      <w:r w:rsidR="00563C81">
        <w:rPr>
          <w:rFonts w:asciiTheme="minorHAnsi" w:hAnsiTheme="minorHAnsi" w:cstheme="minorHAnsi"/>
        </w:rPr>
        <w:t>outcomes. The evaluation will</w:t>
      </w:r>
      <w:r w:rsidR="00563C81" w:rsidRPr="00563C81">
        <w:rPr>
          <w:rFonts w:asciiTheme="minorHAnsi" w:hAnsiTheme="minorHAnsi" w:cstheme="minorHAnsi"/>
        </w:rPr>
        <w:t xml:space="preserve"> help inform future policy and program de</w:t>
      </w:r>
      <w:r w:rsidR="00563C81">
        <w:rPr>
          <w:rFonts w:asciiTheme="minorHAnsi" w:hAnsiTheme="minorHAnsi" w:cstheme="minorHAnsi"/>
        </w:rPr>
        <w:t>cisions and</w:t>
      </w:r>
      <w:r w:rsidR="00563C81" w:rsidRPr="00563C81">
        <w:rPr>
          <w:rFonts w:asciiTheme="minorHAnsi" w:hAnsiTheme="minorHAnsi" w:cstheme="minorHAnsi"/>
        </w:rPr>
        <w:t xml:space="preserve"> improve the system-wide understanding of Aboriginal and Torres Strait Islander primary health care needs.</w:t>
      </w:r>
      <w:r w:rsidR="00E0279C" w:rsidRPr="00E0279C">
        <w:rPr>
          <w:rFonts w:asciiTheme="minorHAnsi" w:eastAsia="Times New Roman" w:hAnsiTheme="minorHAnsi" w:cstheme="minorHAnsi"/>
          <w:color w:val="44546A" w:themeColor="text2"/>
          <w:sz w:val="22"/>
          <w:szCs w:val="22"/>
          <w:lang w:eastAsia="en-AU"/>
        </w:rPr>
        <w:t xml:space="preserve"> </w:t>
      </w:r>
      <w:r w:rsidR="00E0279C" w:rsidRPr="00E0279C">
        <w:rPr>
          <w:rFonts w:asciiTheme="minorHAnsi" w:hAnsiTheme="minorHAnsi" w:cstheme="minorHAnsi"/>
        </w:rPr>
        <w:t xml:space="preserve">A case study that describes key aspects of the evaluation approach is provided at </w:t>
      </w:r>
      <w:r w:rsidR="00E0279C" w:rsidRPr="00E0279C">
        <w:rPr>
          <w:rFonts w:asciiTheme="minorHAnsi" w:hAnsiTheme="minorHAnsi" w:cstheme="minorHAnsi"/>
          <w:u w:val="single"/>
        </w:rPr>
        <w:t>Attachment A</w:t>
      </w:r>
      <w:r w:rsidR="00D87DF8">
        <w:rPr>
          <w:rFonts w:asciiTheme="minorHAnsi" w:hAnsiTheme="minorHAnsi" w:cstheme="minorHAnsi"/>
        </w:rPr>
        <w:t xml:space="preserve"> and t</w:t>
      </w:r>
      <w:r w:rsidR="00F2723A">
        <w:rPr>
          <w:rFonts w:asciiTheme="minorHAnsi" w:hAnsiTheme="minorHAnsi" w:cstheme="minorHAnsi"/>
        </w:rPr>
        <w:t xml:space="preserve">he </w:t>
      </w:r>
      <w:r w:rsidR="00FB6ACC" w:rsidRPr="00772318">
        <w:rPr>
          <w:rFonts w:asciiTheme="minorHAnsi" w:hAnsiTheme="minorHAnsi" w:cstheme="minorHAnsi"/>
        </w:rPr>
        <w:t>IAHP</w:t>
      </w:r>
      <w:r w:rsidR="00FB6ACC">
        <w:rPr>
          <w:rFonts w:asciiTheme="minorHAnsi" w:hAnsiTheme="minorHAnsi" w:cstheme="minorHAnsi"/>
        </w:rPr>
        <w:t xml:space="preserve"> </w:t>
      </w:r>
      <w:r w:rsidR="00F2723A">
        <w:rPr>
          <w:rFonts w:asciiTheme="minorHAnsi" w:hAnsiTheme="minorHAnsi" w:cstheme="minorHAnsi"/>
        </w:rPr>
        <w:t>evaluation strategy</w:t>
      </w:r>
      <w:r w:rsidR="00E0279C" w:rsidRPr="00E0279C">
        <w:rPr>
          <w:rFonts w:asciiTheme="minorHAnsi" w:hAnsiTheme="minorHAnsi" w:cstheme="minorHAnsi"/>
        </w:rPr>
        <w:t xml:space="preserve"> is provided at </w:t>
      </w:r>
      <w:r w:rsidR="00E0279C" w:rsidRPr="00E0279C">
        <w:rPr>
          <w:rFonts w:asciiTheme="minorHAnsi" w:hAnsiTheme="minorHAnsi" w:cstheme="minorHAnsi"/>
          <w:u w:val="single"/>
        </w:rPr>
        <w:t>Attachment B</w:t>
      </w:r>
      <w:r w:rsidR="00E0279C" w:rsidRPr="00E0279C">
        <w:rPr>
          <w:rFonts w:asciiTheme="minorHAnsi" w:hAnsiTheme="minorHAnsi" w:cstheme="minorHAnsi"/>
        </w:rPr>
        <w:t>.</w:t>
      </w:r>
      <w:r w:rsidR="001674C8">
        <w:rPr>
          <w:rFonts w:asciiTheme="minorHAnsi" w:hAnsiTheme="minorHAnsi" w:cstheme="minorHAnsi"/>
        </w:rPr>
        <w:t xml:space="preserve"> </w:t>
      </w:r>
      <w:r w:rsidR="007B5940">
        <w:rPr>
          <w:rFonts w:asciiTheme="minorHAnsi" w:hAnsiTheme="minorHAnsi" w:cstheme="minorHAnsi"/>
        </w:rPr>
        <w:t>T</w:t>
      </w:r>
      <w:r w:rsidR="001674C8">
        <w:rPr>
          <w:rFonts w:asciiTheme="minorHAnsi" w:hAnsiTheme="minorHAnsi" w:cstheme="minorHAnsi"/>
        </w:rPr>
        <w:t>his IAHP evaluation</w:t>
      </w:r>
      <w:r w:rsidR="007B5940">
        <w:rPr>
          <w:rFonts w:asciiTheme="minorHAnsi" w:hAnsiTheme="minorHAnsi" w:cstheme="minorHAnsi"/>
        </w:rPr>
        <w:t xml:space="preserve"> can provide</w:t>
      </w:r>
      <w:r w:rsidR="001674C8">
        <w:rPr>
          <w:rFonts w:asciiTheme="minorHAnsi" w:hAnsiTheme="minorHAnsi" w:cstheme="minorHAnsi"/>
        </w:rPr>
        <w:t xml:space="preserve"> potential lessons for the evaluation</w:t>
      </w:r>
      <w:r w:rsidR="008F2454">
        <w:rPr>
          <w:rFonts w:asciiTheme="minorHAnsi" w:hAnsiTheme="minorHAnsi" w:cstheme="minorHAnsi"/>
        </w:rPr>
        <w:t>s</w:t>
      </w:r>
      <w:r w:rsidR="001674C8">
        <w:rPr>
          <w:rFonts w:asciiTheme="minorHAnsi" w:hAnsiTheme="minorHAnsi" w:cstheme="minorHAnsi"/>
        </w:rPr>
        <w:t xml:space="preserve"> of other programs in future. </w:t>
      </w:r>
    </w:p>
    <w:p w14:paraId="719A93B2" w14:textId="77777777" w:rsidR="00F23337" w:rsidRPr="00E0279C" w:rsidRDefault="00F23337" w:rsidP="00E0279C">
      <w:pPr>
        <w:pStyle w:val="NoSpacing"/>
        <w:rPr>
          <w:rFonts w:asciiTheme="minorHAnsi" w:hAnsiTheme="minorHAnsi" w:cstheme="minorHAnsi"/>
        </w:rPr>
      </w:pPr>
    </w:p>
    <w:p w14:paraId="5221155D" w14:textId="77777777" w:rsidR="00094E8A" w:rsidRDefault="000D11CA" w:rsidP="00772318">
      <w:pPr>
        <w:pStyle w:val="NoSpacing"/>
        <w:keepNext/>
        <w:keepLine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Suggested ways to improve evaluations</w:t>
      </w:r>
    </w:p>
    <w:p w14:paraId="5A3D7ACF" w14:textId="6FBA71EF" w:rsidR="00395943" w:rsidRDefault="007B5940" w:rsidP="00772318">
      <w:pPr>
        <w:pStyle w:val="NoSpacing"/>
        <w:keepNext/>
        <w:keepLines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</w:t>
      </w:r>
      <w:r w:rsidR="00F10A8E">
        <w:rPr>
          <w:rFonts w:asciiTheme="minorHAnsi" w:hAnsiTheme="minorHAnsi" w:cstheme="minorHAnsi"/>
          <w:bCs/>
          <w:iCs/>
        </w:rPr>
        <w:t xml:space="preserve">umerous </w:t>
      </w:r>
      <w:r w:rsidR="00395943">
        <w:rPr>
          <w:rFonts w:asciiTheme="minorHAnsi" w:hAnsiTheme="minorHAnsi" w:cstheme="minorHAnsi"/>
          <w:bCs/>
          <w:iCs/>
        </w:rPr>
        <w:t>ways that evaluations c</w:t>
      </w:r>
      <w:r>
        <w:rPr>
          <w:rFonts w:asciiTheme="minorHAnsi" w:hAnsiTheme="minorHAnsi" w:cstheme="minorHAnsi"/>
          <w:bCs/>
          <w:iCs/>
        </w:rPr>
        <w:t>an expect to</w:t>
      </w:r>
      <w:r w:rsidR="00395943">
        <w:rPr>
          <w:rFonts w:asciiTheme="minorHAnsi" w:hAnsiTheme="minorHAnsi" w:cstheme="minorHAnsi"/>
          <w:bCs/>
          <w:iCs/>
        </w:rPr>
        <w:t xml:space="preserve"> be improved are canvassed in the Issues Paper. </w:t>
      </w:r>
      <w:r w:rsidR="00F528E5">
        <w:rPr>
          <w:rFonts w:asciiTheme="minorHAnsi" w:hAnsiTheme="minorHAnsi" w:cstheme="minorHAnsi"/>
          <w:bCs/>
          <w:iCs/>
        </w:rPr>
        <w:t>Health consider</w:t>
      </w:r>
      <w:r w:rsidR="007E5CE0">
        <w:rPr>
          <w:rFonts w:asciiTheme="minorHAnsi" w:hAnsiTheme="minorHAnsi" w:cstheme="minorHAnsi"/>
          <w:bCs/>
          <w:iCs/>
        </w:rPr>
        <w:t>s</w:t>
      </w:r>
      <w:r>
        <w:rPr>
          <w:rFonts w:asciiTheme="minorHAnsi" w:hAnsiTheme="minorHAnsi" w:cstheme="minorHAnsi"/>
          <w:bCs/>
          <w:iCs/>
        </w:rPr>
        <w:t xml:space="preserve"> t</w:t>
      </w:r>
      <w:r w:rsidR="00425F92">
        <w:rPr>
          <w:rFonts w:asciiTheme="minorHAnsi" w:hAnsiTheme="minorHAnsi" w:cstheme="minorHAnsi"/>
          <w:bCs/>
          <w:iCs/>
        </w:rPr>
        <w:t>he priority</w:t>
      </w:r>
      <w:r>
        <w:rPr>
          <w:rFonts w:asciiTheme="minorHAnsi" w:hAnsiTheme="minorHAnsi" w:cstheme="minorHAnsi"/>
          <w:bCs/>
          <w:iCs/>
        </w:rPr>
        <w:t xml:space="preserve"> potential</w:t>
      </w:r>
      <w:r w:rsidR="00425F92">
        <w:rPr>
          <w:rFonts w:asciiTheme="minorHAnsi" w:hAnsiTheme="minorHAnsi" w:cstheme="minorHAnsi"/>
          <w:bCs/>
          <w:iCs/>
        </w:rPr>
        <w:t xml:space="preserve"> improvements </w:t>
      </w:r>
      <w:r w:rsidR="00F528E5">
        <w:rPr>
          <w:rFonts w:asciiTheme="minorHAnsi" w:hAnsiTheme="minorHAnsi" w:cstheme="minorHAnsi"/>
          <w:bCs/>
          <w:iCs/>
        </w:rPr>
        <w:t xml:space="preserve">to </w:t>
      </w:r>
      <w:r>
        <w:rPr>
          <w:rFonts w:asciiTheme="minorHAnsi" w:hAnsiTheme="minorHAnsi" w:cstheme="minorHAnsi"/>
          <w:bCs/>
          <w:iCs/>
        </w:rPr>
        <w:t>include</w:t>
      </w:r>
      <w:r w:rsidR="00404C4B">
        <w:rPr>
          <w:rFonts w:asciiTheme="minorHAnsi" w:hAnsiTheme="minorHAnsi" w:cstheme="minorHAnsi"/>
          <w:bCs/>
          <w:iCs/>
        </w:rPr>
        <w:t xml:space="preserve">: </w:t>
      </w:r>
      <w:r w:rsidR="0011310B" w:rsidRPr="009052EA">
        <w:rPr>
          <w:rFonts w:asciiTheme="minorHAnsi" w:hAnsiTheme="minorHAnsi" w:cstheme="minorHAnsi"/>
          <w:i/>
        </w:rPr>
        <w:t>i</w:t>
      </w:r>
      <w:r w:rsidR="00404C4B">
        <w:rPr>
          <w:rFonts w:asciiTheme="minorHAnsi" w:hAnsiTheme="minorHAnsi" w:cstheme="minorHAnsi"/>
          <w:bCs/>
          <w:iCs/>
        </w:rPr>
        <w:t>.</w:t>
      </w:r>
      <w:r w:rsidR="00395943">
        <w:rPr>
          <w:rFonts w:asciiTheme="minorHAnsi" w:hAnsiTheme="minorHAnsi" w:cstheme="minorHAnsi"/>
          <w:bCs/>
          <w:iCs/>
        </w:rPr>
        <w:t xml:space="preserve"> improving the quality and usefulness of data, and</w:t>
      </w:r>
      <w:r w:rsidR="00F00B8F">
        <w:rPr>
          <w:rFonts w:asciiTheme="minorHAnsi" w:hAnsiTheme="minorHAnsi" w:cstheme="minorHAnsi"/>
          <w:bCs/>
          <w:iCs/>
        </w:rPr>
        <w:t>;</w:t>
      </w:r>
      <w:r w:rsidR="00395943">
        <w:rPr>
          <w:rFonts w:asciiTheme="minorHAnsi" w:hAnsiTheme="minorHAnsi" w:cstheme="minorHAnsi"/>
          <w:bCs/>
          <w:iCs/>
        </w:rPr>
        <w:t xml:space="preserve"> </w:t>
      </w:r>
      <w:r w:rsidR="0011310B" w:rsidRPr="009052EA">
        <w:rPr>
          <w:rFonts w:asciiTheme="minorHAnsi" w:hAnsiTheme="minorHAnsi" w:cstheme="minorHAnsi"/>
          <w:i/>
        </w:rPr>
        <w:t>ii</w:t>
      </w:r>
      <w:r w:rsidR="00404C4B">
        <w:rPr>
          <w:rFonts w:asciiTheme="minorHAnsi" w:hAnsiTheme="minorHAnsi" w:cstheme="minorHAnsi"/>
          <w:bCs/>
          <w:iCs/>
        </w:rPr>
        <w:t xml:space="preserve">. </w:t>
      </w:r>
      <w:r w:rsidR="00395943">
        <w:rPr>
          <w:rFonts w:asciiTheme="minorHAnsi" w:hAnsiTheme="minorHAnsi" w:cstheme="minorHAnsi"/>
          <w:bCs/>
          <w:iCs/>
        </w:rPr>
        <w:t xml:space="preserve">embedding evaluation into planning processes early in the design of programs. </w:t>
      </w:r>
    </w:p>
    <w:p w14:paraId="039D31DE" w14:textId="77777777" w:rsidR="00094E8A" w:rsidRPr="00772318" w:rsidRDefault="00395943" w:rsidP="00772318">
      <w:pPr>
        <w:pStyle w:val="NoSpacing"/>
        <w:keepNext/>
        <w:keepLines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</w:t>
      </w:r>
    </w:p>
    <w:p w14:paraId="408EBCE2" w14:textId="77777777" w:rsidR="00321CE1" w:rsidRPr="00094E8A" w:rsidRDefault="0055389A" w:rsidP="00321CE1">
      <w:pPr>
        <w:pStyle w:val="NoSpacing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</w:rPr>
        <w:t>Enhance</w:t>
      </w:r>
      <w:r w:rsidR="00FA2B57">
        <w:rPr>
          <w:rFonts w:asciiTheme="minorHAnsi" w:hAnsiTheme="minorHAnsi" w:cstheme="minorHAnsi"/>
          <w:i/>
        </w:rPr>
        <w:t xml:space="preserve"> data</w:t>
      </w:r>
      <w:r w:rsidR="00926456">
        <w:rPr>
          <w:rFonts w:asciiTheme="minorHAnsi" w:hAnsiTheme="minorHAnsi" w:cstheme="minorHAnsi"/>
          <w:i/>
        </w:rPr>
        <w:t xml:space="preserve"> quality and use</w:t>
      </w:r>
      <w:r w:rsidR="00B36629" w:rsidRPr="00094E8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3EF0FC86" w14:textId="3C5737EF" w:rsidR="007A373A" w:rsidRPr="009228A5" w:rsidRDefault="00C33EB2" w:rsidP="005538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Reliable and accessible data </w:t>
      </w:r>
      <w:r w:rsidR="005F7D42" w:rsidRPr="009228A5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</w:t>
      </w:r>
      <w:r w:rsidR="00F00B8F">
        <w:rPr>
          <w:rFonts w:asciiTheme="minorHAnsi" w:hAnsiTheme="minorHAnsi" w:cstheme="minorHAnsi"/>
        </w:rPr>
        <w:t>crucial</w:t>
      </w:r>
      <w:r w:rsidR="0055389A">
        <w:rPr>
          <w:rFonts w:asciiTheme="minorHAnsi" w:hAnsiTheme="minorHAnsi" w:cstheme="minorHAnsi"/>
        </w:rPr>
        <w:t xml:space="preserve"> </w:t>
      </w:r>
      <w:r w:rsidR="00F22DC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926456">
        <w:rPr>
          <w:rFonts w:asciiTheme="minorHAnsi" w:hAnsiTheme="minorHAnsi" w:cstheme="minorHAnsi"/>
        </w:rPr>
        <w:t>good</w:t>
      </w:r>
      <w:r>
        <w:rPr>
          <w:rFonts w:asciiTheme="minorHAnsi" w:hAnsiTheme="minorHAnsi" w:cstheme="minorHAnsi"/>
        </w:rPr>
        <w:t xml:space="preserve"> evaluation.</w:t>
      </w:r>
      <w:r w:rsidR="00926456">
        <w:rPr>
          <w:rFonts w:asciiTheme="minorHAnsi" w:hAnsiTheme="minorHAnsi" w:cstheme="minorHAnsi"/>
        </w:rPr>
        <w:t xml:space="preserve"> </w:t>
      </w:r>
      <w:r w:rsidR="0055389A">
        <w:rPr>
          <w:rFonts w:asciiTheme="minorHAnsi" w:hAnsiTheme="minorHAnsi" w:cstheme="minorHAnsi"/>
        </w:rPr>
        <w:t xml:space="preserve">We note that data </w:t>
      </w:r>
      <w:r w:rsidR="00F00B8F">
        <w:rPr>
          <w:rFonts w:asciiTheme="minorHAnsi" w:hAnsiTheme="minorHAnsi" w:cstheme="minorHAnsi"/>
        </w:rPr>
        <w:t>which</w:t>
      </w:r>
      <w:r w:rsidR="0055389A">
        <w:rPr>
          <w:rFonts w:asciiTheme="minorHAnsi" w:hAnsiTheme="minorHAnsi" w:cstheme="minorHAnsi"/>
        </w:rPr>
        <w:t xml:space="preserve"> </w:t>
      </w:r>
      <w:r w:rsidR="00DD7F38">
        <w:rPr>
          <w:rFonts w:asciiTheme="minorHAnsi" w:hAnsiTheme="minorHAnsi" w:cstheme="minorHAnsi"/>
        </w:rPr>
        <w:t>could</w:t>
      </w:r>
      <w:r w:rsidR="0055389A">
        <w:rPr>
          <w:rFonts w:asciiTheme="minorHAnsi" w:hAnsiTheme="minorHAnsi" w:cstheme="minorHAnsi"/>
        </w:rPr>
        <w:t xml:space="preserve"> allow evaluators to assess the impact of whole-of-population programs on Indigenous people is not</w:t>
      </w:r>
      <w:r w:rsidR="00F528E5">
        <w:rPr>
          <w:rFonts w:asciiTheme="minorHAnsi" w:hAnsiTheme="minorHAnsi" w:cstheme="minorHAnsi"/>
        </w:rPr>
        <w:t xml:space="preserve"> reliably</w:t>
      </w:r>
      <w:r w:rsidR="0055389A">
        <w:rPr>
          <w:rFonts w:asciiTheme="minorHAnsi" w:hAnsiTheme="minorHAnsi" w:cstheme="minorHAnsi"/>
        </w:rPr>
        <w:t xml:space="preserve"> available </w:t>
      </w:r>
      <w:r w:rsidR="00F528E5">
        <w:rPr>
          <w:rFonts w:asciiTheme="minorHAnsi" w:hAnsiTheme="minorHAnsi" w:cstheme="minorHAnsi"/>
        </w:rPr>
        <w:t>and may be of</w:t>
      </w:r>
      <w:r w:rsidR="0055389A">
        <w:rPr>
          <w:rFonts w:asciiTheme="minorHAnsi" w:hAnsiTheme="minorHAnsi" w:cstheme="minorHAnsi"/>
        </w:rPr>
        <w:t xml:space="preserve"> </w:t>
      </w:r>
      <w:r w:rsidR="00F528E5">
        <w:rPr>
          <w:rFonts w:asciiTheme="minorHAnsi" w:hAnsiTheme="minorHAnsi" w:cstheme="minorHAnsi"/>
        </w:rPr>
        <w:t>in</w:t>
      </w:r>
      <w:r w:rsidR="0055389A">
        <w:rPr>
          <w:rFonts w:asciiTheme="minorHAnsi" w:hAnsiTheme="minorHAnsi" w:cstheme="minorHAnsi"/>
        </w:rPr>
        <w:t xml:space="preserve">adequate quality. </w:t>
      </w:r>
      <w:r w:rsidR="00F528E5">
        <w:rPr>
          <w:rFonts w:asciiTheme="minorHAnsi" w:hAnsiTheme="minorHAnsi" w:cstheme="minorHAnsi"/>
        </w:rPr>
        <w:t>Required improvements</w:t>
      </w:r>
      <w:r w:rsidR="0055389A">
        <w:rPr>
          <w:rFonts w:asciiTheme="minorHAnsi" w:hAnsiTheme="minorHAnsi" w:cstheme="minorHAnsi"/>
        </w:rPr>
        <w:t xml:space="preserve"> include</w:t>
      </w:r>
      <w:r w:rsidR="00F00B8F">
        <w:rPr>
          <w:rFonts w:asciiTheme="minorHAnsi" w:hAnsiTheme="minorHAnsi" w:cstheme="minorHAnsi"/>
        </w:rPr>
        <w:t>:</w:t>
      </w:r>
      <w:r w:rsidR="0055389A">
        <w:rPr>
          <w:rFonts w:asciiTheme="minorHAnsi" w:hAnsiTheme="minorHAnsi" w:cstheme="minorHAnsi"/>
        </w:rPr>
        <w:t xml:space="preserve"> </w:t>
      </w:r>
      <w:r w:rsidR="009052EA" w:rsidRPr="009052EA">
        <w:rPr>
          <w:rFonts w:asciiTheme="minorHAnsi" w:hAnsiTheme="minorHAnsi" w:cstheme="minorHAnsi"/>
          <w:i/>
        </w:rPr>
        <w:t>i</w:t>
      </w:r>
      <w:r w:rsidR="00F00B8F" w:rsidRPr="009052EA">
        <w:rPr>
          <w:rFonts w:asciiTheme="minorHAnsi" w:hAnsiTheme="minorHAnsi" w:cstheme="minorHAnsi"/>
          <w:i/>
        </w:rPr>
        <w:t>.</w:t>
      </w:r>
      <w:r w:rsidR="00F00B8F">
        <w:rPr>
          <w:rFonts w:asciiTheme="minorHAnsi" w:hAnsiTheme="minorHAnsi" w:cstheme="minorHAnsi"/>
        </w:rPr>
        <w:t> </w:t>
      </w:r>
      <w:r w:rsidR="0055389A">
        <w:rPr>
          <w:rFonts w:asciiTheme="minorHAnsi" w:hAnsiTheme="minorHAnsi" w:cstheme="minorHAnsi"/>
        </w:rPr>
        <w:t xml:space="preserve">better tailoring data collection methods for </w:t>
      </w:r>
      <w:r w:rsidR="00F528E5">
        <w:rPr>
          <w:rFonts w:asciiTheme="minorHAnsi" w:hAnsiTheme="minorHAnsi" w:cstheme="minorHAnsi"/>
        </w:rPr>
        <w:t>Aboriginal and Torres Strait Islander</w:t>
      </w:r>
      <w:r w:rsidR="0055389A">
        <w:rPr>
          <w:rFonts w:asciiTheme="minorHAnsi" w:hAnsiTheme="minorHAnsi" w:cstheme="minorHAnsi"/>
        </w:rPr>
        <w:t xml:space="preserve"> people; </w:t>
      </w:r>
      <w:r w:rsidR="009052EA" w:rsidRPr="009052EA">
        <w:rPr>
          <w:rFonts w:asciiTheme="minorHAnsi" w:hAnsiTheme="minorHAnsi" w:cstheme="minorHAnsi"/>
          <w:i/>
        </w:rPr>
        <w:t>ii</w:t>
      </w:r>
      <w:r w:rsidR="00176AEA" w:rsidRPr="009052EA">
        <w:rPr>
          <w:rFonts w:asciiTheme="minorHAnsi" w:hAnsiTheme="minorHAnsi" w:cstheme="minorHAnsi"/>
          <w:i/>
        </w:rPr>
        <w:t>.</w:t>
      </w:r>
      <w:r w:rsidR="00176AEA">
        <w:rPr>
          <w:rFonts w:asciiTheme="minorHAnsi" w:hAnsiTheme="minorHAnsi" w:cstheme="minorHAnsi"/>
        </w:rPr>
        <w:t xml:space="preserve"> </w:t>
      </w:r>
      <w:r w:rsidR="0055389A">
        <w:rPr>
          <w:rFonts w:asciiTheme="minorHAnsi" w:hAnsiTheme="minorHAnsi" w:cstheme="minorHAnsi"/>
        </w:rPr>
        <w:t>making better use of longitudinal data where it is available, and small area population data where appropriate, and</w:t>
      </w:r>
      <w:r w:rsidR="0055389A" w:rsidRPr="009052EA">
        <w:rPr>
          <w:rFonts w:asciiTheme="minorHAnsi" w:hAnsiTheme="minorHAnsi" w:cstheme="minorHAnsi"/>
          <w:i/>
        </w:rPr>
        <w:t xml:space="preserve"> </w:t>
      </w:r>
      <w:r w:rsidR="009052EA" w:rsidRPr="009052EA">
        <w:rPr>
          <w:rFonts w:asciiTheme="minorHAnsi" w:hAnsiTheme="minorHAnsi" w:cstheme="minorHAnsi"/>
          <w:i/>
        </w:rPr>
        <w:t>iii</w:t>
      </w:r>
      <w:r w:rsidR="00176AEA" w:rsidRPr="009052EA">
        <w:rPr>
          <w:rFonts w:asciiTheme="minorHAnsi" w:hAnsiTheme="minorHAnsi" w:cstheme="minorHAnsi"/>
          <w:i/>
        </w:rPr>
        <w:t>.</w:t>
      </w:r>
      <w:r w:rsidR="00176AEA">
        <w:rPr>
          <w:rFonts w:asciiTheme="minorHAnsi" w:hAnsiTheme="minorHAnsi" w:cstheme="minorHAnsi"/>
        </w:rPr>
        <w:t xml:space="preserve"> </w:t>
      </w:r>
      <w:r w:rsidR="0055389A">
        <w:rPr>
          <w:rFonts w:asciiTheme="minorHAnsi" w:hAnsiTheme="minorHAnsi" w:cstheme="minorHAnsi"/>
        </w:rPr>
        <w:t xml:space="preserve">having sound ethical and privacy safeguards in place. </w:t>
      </w:r>
    </w:p>
    <w:p w14:paraId="3E147307" w14:textId="77777777" w:rsidR="007A373A" w:rsidRPr="009228A5" w:rsidRDefault="007A373A" w:rsidP="007A373A">
      <w:pPr>
        <w:pStyle w:val="NoSpacing"/>
        <w:rPr>
          <w:rFonts w:asciiTheme="minorHAnsi" w:hAnsiTheme="minorHAnsi" w:cstheme="minorHAnsi"/>
        </w:rPr>
      </w:pPr>
    </w:p>
    <w:p w14:paraId="318D9EEC" w14:textId="144E235D" w:rsidR="007A373A" w:rsidRDefault="009052EA" w:rsidP="00321CE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 some instances, d</w:t>
      </w:r>
      <w:r w:rsidR="00673F3E">
        <w:rPr>
          <w:rFonts w:asciiTheme="minorHAnsi" w:hAnsiTheme="minorHAnsi" w:cstheme="minorHAnsi"/>
        </w:rPr>
        <w:t xml:space="preserve">ata collection </w:t>
      </w:r>
      <w:r w:rsidR="00A718EC" w:rsidRPr="009228A5">
        <w:rPr>
          <w:rFonts w:asciiTheme="minorHAnsi" w:hAnsiTheme="minorHAnsi" w:cstheme="minorHAnsi"/>
        </w:rPr>
        <w:t xml:space="preserve">methods </w:t>
      </w:r>
      <w:r w:rsidR="00673F3E">
        <w:rPr>
          <w:rFonts w:asciiTheme="minorHAnsi" w:hAnsiTheme="minorHAnsi" w:cstheme="minorHAnsi"/>
        </w:rPr>
        <w:t xml:space="preserve">used for the </w:t>
      </w:r>
      <w:r w:rsidR="00A718EC" w:rsidRPr="009228A5">
        <w:rPr>
          <w:rFonts w:asciiTheme="minorHAnsi" w:hAnsiTheme="minorHAnsi" w:cstheme="minorHAnsi"/>
        </w:rPr>
        <w:t xml:space="preserve">general population may be inappropriate or ineffective </w:t>
      </w:r>
      <w:r>
        <w:rPr>
          <w:rFonts w:asciiTheme="minorHAnsi" w:hAnsiTheme="minorHAnsi" w:cstheme="minorHAnsi"/>
        </w:rPr>
        <w:t xml:space="preserve">regarding </w:t>
      </w:r>
      <w:r w:rsidR="00F528E5">
        <w:rPr>
          <w:rFonts w:asciiTheme="minorHAnsi" w:hAnsiTheme="minorHAnsi" w:cstheme="minorHAnsi"/>
        </w:rPr>
        <w:t>Aboriginal and Torres Strait Islander</w:t>
      </w:r>
      <w:r>
        <w:rPr>
          <w:rFonts w:asciiTheme="minorHAnsi" w:hAnsiTheme="minorHAnsi" w:cstheme="minorHAnsi"/>
        </w:rPr>
        <w:t xml:space="preserve"> people. Therefore, the data collection methods and tools should be better tailored</w:t>
      </w:r>
      <w:r w:rsidR="00BC763A" w:rsidRPr="009228A5">
        <w:rPr>
          <w:rFonts w:asciiTheme="minorHAnsi" w:hAnsiTheme="minorHAnsi" w:cstheme="minorHAnsi"/>
        </w:rPr>
        <w:t xml:space="preserve">. </w:t>
      </w:r>
      <w:r w:rsidR="009A45A1" w:rsidRPr="009228A5">
        <w:rPr>
          <w:rFonts w:asciiTheme="minorHAnsi" w:hAnsiTheme="minorHAnsi" w:cstheme="minorHAnsi"/>
        </w:rPr>
        <w:t>High p</w:t>
      </w:r>
      <w:r w:rsidR="007A373A" w:rsidRPr="009228A5">
        <w:rPr>
          <w:rFonts w:asciiTheme="minorHAnsi" w:hAnsiTheme="minorHAnsi" w:cstheme="minorHAnsi"/>
        </w:rPr>
        <w:t>opulation mobility</w:t>
      </w:r>
      <w:r w:rsidR="00BD5EB1" w:rsidRPr="009228A5">
        <w:rPr>
          <w:rFonts w:asciiTheme="minorHAnsi" w:hAnsiTheme="minorHAnsi" w:cstheme="minorHAnsi"/>
        </w:rPr>
        <w:t xml:space="preserve"> and inaccurate location reporting in remote areas</w:t>
      </w:r>
      <w:r w:rsidR="008A24C6" w:rsidRPr="009228A5">
        <w:rPr>
          <w:rFonts w:asciiTheme="minorHAnsi" w:hAnsiTheme="minorHAnsi" w:cstheme="minorHAnsi"/>
        </w:rPr>
        <w:t xml:space="preserve"> </w:t>
      </w:r>
      <w:r w:rsidR="00336788">
        <w:rPr>
          <w:rFonts w:asciiTheme="minorHAnsi" w:hAnsiTheme="minorHAnsi" w:cstheme="minorHAnsi"/>
        </w:rPr>
        <w:t xml:space="preserve">also </w:t>
      </w:r>
      <w:r w:rsidR="008A24C6" w:rsidRPr="009228A5">
        <w:rPr>
          <w:rFonts w:asciiTheme="minorHAnsi" w:hAnsiTheme="minorHAnsi" w:cstheme="minorHAnsi"/>
        </w:rPr>
        <w:t xml:space="preserve">make it difficult to maintain participation in longitudinal studies for data collection purposes. </w:t>
      </w:r>
      <w:r w:rsidR="00F528E5">
        <w:rPr>
          <w:rFonts w:asciiTheme="minorHAnsi" w:hAnsiTheme="minorHAnsi" w:cstheme="minorHAnsi"/>
        </w:rPr>
        <w:t>D</w:t>
      </w:r>
      <w:r w:rsidR="00DD7F38">
        <w:rPr>
          <w:rFonts w:asciiTheme="minorHAnsi" w:hAnsiTheme="minorHAnsi" w:cstheme="minorHAnsi"/>
        </w:rPr>
        <w:t>ata reliability could be imp</w:t>
      </w:r>
      <w:r w:rsidR="00F528E5">
        <w:rPr>
          <w:rFonts w:asciiTheme="minorHAnsi" w:hAnsiTheme="minorHAnsi" w:cstheme="minorHAnsi"/>
        </w:rPr>
        <w:t>aired</w:t>
      </w:r>
      <w:r w:rsidR="00DD7F38">
        <w:rPr>
          <w:rFonts w:asciiTheme="minorHAnsi" w:hAnsiTheme="minorHAnsi" w:cstheme="minorHAnsi"/>
        </w:rPr>
        <w:t xml:space="preserve"> by </w:t>
      </w:r>
      <w:r w:rsidR="00F528E5">
        <w:rPr>
          <w:rFonts w:asciiTheme="minorHAnsi" w:hAnsiTheme="minorHAnsi" w:cstheme="minorHAnsi"/>
        </w:rPr>
        <w:t>low</w:t>
      </w:r>
      <w:r w:rsidR="00DD7F38">
        <w:rPr>
          <w:rFonts w:asciiTheme="minorHAnsi" w:hAnsiTheme="minorHAnsi" w:cstheme="minorHAnsi"/>
        </w:rPr>
        <w:t xml:space="preserve"> literacy rates and </w:t>
      </w:r>
      <w:r w:rsidR="00DD7F38" w:rsidRPr="009228A5">
        <w:rPr>
          <w:rFonts w:asciiTheme="minorHAnsi" w:hAnsiTheme="minorHAnsi" w:cstheme="minorHAnsi"/>
        </w:rPr>
        <w:t>language barriers.</w:t>
      </w:r>
      <w:r w:rsidR="00DD7F38">
        <w:rPr>
          <w:rFonts w:asciiTheme="minorHAnsi" w:hAnsiTheme="minorHAnsi" w:cstheme="minorHAnsi"/>
        </w:rPr>
        <w:t xml:space="preserve"> </w:t>
      </w:r>
      <w:r w:rsidR="00F528E5">
        <w:rPr>
          <w:rFonts w:asciiTheme="minorHAnsi" w:hAnsiTheme="minorHAnsi" w:cstheme="minorHAnsi"/>
        </w:rPr>
        <w:t xml:space="preserve">High </w:t>
      </w:r>
      <w:r w:rsidR="002C78F0">
        <w:rPr>
          <w:rFonts w:asciiTheme="minorHAnsi" w:hAnsiTheme="minorHAnsi" w:cstheme="minorHAnsi"/>
        </w:rPr>
        <w:t>intensity</w:t>
      </w:r>
      <w:r w:rsidR="00F528E5">
        <w:rPr>
          <w:rFonts w:asciiTheme="minorHAnsi" w:hAnsiTheme="minorHAnsi" w:cstheme="minorHAnsi"/>
        </w:rPr>
        <w:t xml:space="preserve"> and </w:t>
      </w:r>
      <w:r w:rsidR="002C78F0">
        <w:rPr>
          <w:rFonts w:asciiTheme="minorHAnsi" w:hAnsiTheme="minorHAnsi" w:cstheme="minorHAnsi"/>
        </w:rPr>
        <w:t>innovative</w:t>
      </w:r>
      <w:r w:rsidR="002B6D41">
        <w:rPr>
          <w:rFonts w:asciiTheme="minorHAnsi" w:hAnsiTheme="minorHAnsi" w:cstheme="minorHAnsi"/>
        </w:rPr>
        <w:t xml:space="preserve"> approaches</w:t>
      </w:r>
      <w:r w:rsidR="00F528E5">
        <w:rPr>
          <w:rFonts w:asciiTheme="minorHAnsi" w:hAnsiTheme="minorHAnsi" w:cstheme="minorHAnsi"/>
        </w:rPr>
        <w:t xml:space="preserve"> are required to </w:t>
      </w:r>
      <w:r w:rsidR="002C78F0">
        <w:rPr>
          <w:rFonts w:asciiTheme="minorHAnsi" w:hAnsiTheme="minorHAnsi" w:cstheme="minorHAnsi"/>
        </w:rPr>
        <w:t>overcome</w:t>
      </w:r>
      <w:r w:rsidR="002B6D41">
        <w:rPr>
          <w:rFonts w:asciiTheme="minorHAnsi" w:hAnsiTheme="minorHAnsi" w:cstheme="minorHAnsi"/>
        </w:rPr>
        <w:t xml:space="preserve"> these barriers</w:t>
      </w:r>
      <w:r w:rsidR="00F528E5">
        <w:rPr>
          <w:rFonts w:asciiTheme="minorHAnsi" w:hAnsiTheme="minorHAnsi" w:cstheme="minorHAnsi"/>
        </w:rPr>
        <w:t xml:space="preserve">. </w:t>
      </w:r>
    </w:p>
    <w:p w14:paraId="2116933C" w14:textId="77777777" w:rsidR="00BD39F2" w:rsidRPr="009228A5" w:rsidRDefault="00BD39F2" w:rsidP="00321CE1">
      <w:pPr>
        <w:pStyle w:val="NoSpacing"/>
        <w:rPr>
          <w:rFonts w:asciiTheme="minorHAnsi" w:hAnsiTheme="minorHAnsi" w:cstheme="minorHAnsi"/>
        </w:rPr>
      </w:pPr>
    </w:p>
    <w:p w14:paraId="7A1B33EB" w14:textId="5E0C4DFA" w:rsidR="00022F36" w:rsidRPr="009228A5" w:rsidRDefault="00F22DCD" w:rsidP="00022F3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need to make better use of longitudinal data where it is available. </w:t>
      </w:r>
      <w:r w:rsidR="007A373A" w:rsidRPr="009228A5">
        <w:rPr>
          <w:rFonts w:asciiTheme="minorHAnsi" w:hAnsiTheme="minorHAnsi" w:cstheme="minorHAnsi"/>
        </w:rPr>
        <w:t>External data sources su</w:t>
      </w:r>
      <w:r w:rsidR="0050399D">
        <w:rPr>
          <w:rFonts w:asciiTheme="minorHAnsi" w:hAnsiTheme="minorHAnsi" w:cstheme="minorHAnsi"/>
        </w:rPr>
        <w:t>ch as Indigenous health surveys</w:t>
      </w:r>
      <w:r w:rsidR="007A373A" w:rsidRPr="009228A5">
        <w:rPr>
          <w:rFonts w:asciiTheme="minorHAnsi" w:hAnsiTheme="minorHAnsi" w:cstheme="minorHAnsi"/>
        </w:rPr>
        <w:t xml:space="preserve"> focus</w:t>
      </w:r>
      <w:r w:rsidR="0024149C">
        <w:rPr>
          <w:rFonts w:asciiTheme="minorHAnsi" w:hAnsiTheme="minorHAnsi" w:cstheme="minorHAnsi"/>
        </w:rPr>
        <w:t>ing</w:t>
      </w:r>
      <w:r w:rsidR="007A373A" w:rsidRPr="009228A5">
        <w:rPr>
          <w:rFonts w:asciiTheme="minorHAnsi" w:hAnsiTheme="minorHAnsi" w:cstheme="minorHAnsi"/>
        </w:rPr>
        <w:t xml:space="preserve"> on long </w:t>
      </w:r>
      <w:r w:rsidR="002D6F6D">
        <w:rPr>
          <w:rFonts w:asciiTheme="minorHAnsi" w:hAnsiTheme="minorHAnsi" w:cstheme="minorHAnsi"/>
        </w:rPr>
        <w:t>to medium-term outcomes are</w:t>
      </w:r>
      <w:r w:rsidR="007A373A" w:rsidRPr="009228A5">
        <w:rPr>
          <w:rFonts w:asciiTheme="minorHAnsi" w:hAnsiTheme="minorHAnsi" w:cstheme="minorHAnsi"/>
        </w:rPr>
        <w:t xml:space="preserve"> infrequently undertaken. </w:t>
      </w:r>
      <w:r w:rsidR="0024149C">
        <w:rPr>
          <w:rFonts w:asciiTheme="minorHAnsi" w:hAnsiTheme="minorHAnsi" w:cstheme="minorHAnsi"/>
        </w:rPr>
        <w:t>Where they do occur, t</w:t>
      </w:r>
      <w:r w:rsidR="00594AB6">
        <w:rPr>
          <w:rFonts w:asciiTheme="minorHAnsi" w:hAnsiTheme="minorHAnsi" w:cstheme="minorHAnsi"/>
        </w:rPr>
        <w:t>hese surveys are characterised by l</w:t>
      </w:r>
      <w:r w:rsidR="00673F3E">
        <w:rPr>
          <w:rFonts w:asciiTheme="minorHAnsi" w:hAnsiTheme="minorHAnsi" w:cstheme="minorHAnsi"/>
        </w:rPr>
        <w:t>ong</w:t>
      </w:r>
      <w:r w:rsidR="007A373A" w:rsidRPr="009228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time </w:t>
      </w:r>
      <w:r w:rsidR="007A373A" w:rsidRPr="009228A5">
        <w:rPr>
          <w:rFonts w:asciiTheme="minorHAnsi" w:hAnsiTheme="minorHAnsi" w:cstheme="minorHAnsi"/>
        </w:rPr>
        <w:t xml:space="preserve">intervals and data lags </w:t>
      </w:r>
      <w:r w:rsidR="00594AB6">
        <w:rPr>
          <w:rFonts w:asciiTheme="minorHAnsi" w:hAnsiTheme="minorHAnsi" w:cstheme="minorHAnsi"/>
        </w:rPr>
        <w:t xml:space="preserve">which </w:t>
      </w:r>
      <w:r w:rsidR="007A373A" w:rsidRPr="009228A5">
        <w:rPr>
          <w:rFonts w:asciiTheme="minorHAnsi" w:hAnsiTheme="minorHAnsi" w:cstheme="minorHAnsi"/>
        </w:rPr>
        <w:t>make comparisons with results from evaluations</w:t>
      </w:r>
      <w:r w:rsidR="00594AB6">
        <w:rPr>
          <w:rFonts w:asciiTheme="minorHAnsi" w:hAnsiTheme="minorHAnsi" w:cstheme="minorHAnsi"/>
        </w:rPr>
        <w:t xml:space="preserve"> difficult</w:t>
      </w:r>
      <w:r w:rsidR="007A373A" w:rsidRPr="009228A5">
        <w:rPr>
          <w:rFonts w:asciiTheme="minorHAnsi" w:hAnsiTheme="minorHAnsi" w:cstheme="minorHAnsi"/>
        </w:rPr>
        <w:t xml:space="preserve">. </w:t>
      </w:r>
    </w:p>
    <w:p w14:paraId="00A3B762" w14:textId="77777777" w:rsidR="007A373A" w:rsidRPr="009228A5" w:rsidRDefault="007A373A" w:rsidP="007A373A">
      <w:pPr>
        <w:pStyle w:val="NoSpacing"/>
        <w:rPr>
          <w:rFonts w:asciiTheme="minorHAnsi" w:hAnsiTheme="minorHAnsi" w:cstheme="minorHAnsi"/>
        </w:rPr>
      </w:pPr>
      <w:r w:rsidRPr="009228A5">
        <w:rPr>
          <w:rFonts w:asciiTheme="minorHAnsi" w:hAnsiTheme="minorHAnsi" w:cstheme="minorHAnsi"/>
        </w:rPr>
        <w:t xml:space="preserve"> </w:t>
      </w:r>
    </w:p>
    <w:p w14:paraId="03D82CDC" w14:textId="24A35C9E" w:rsidR="0024149C" w:rsidRPr="009228A5" w:rsidRDefault="00EF2E77" w:rsidP="00241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Better use of small area population data, with appropriate privacy safeguards, is also critical to effective evaluation of </w:t>
      </w:r>
      <w:r w:rsidR="0024149C">
        <w:rPr>
          <w:rFonts w:asciiTheme="minorHAnsi" w:hAnsiTheme="minorHAnsi" w:cstheme="minorHAnsi"/>
        </w:rPr>
        <w:t>Indigenous-</w:t>
      </w:r>
      <w:r>
        <w:rPr>
          <w:rFonts w:asciiTheme="minorHAnsi" w:hAnsiTheme="minorHAnsi" w:cstheme="minorHAnsi"/>
        </w:rPr>
        <w:t xml:space="preserve">specific policies and programs. </w:t>
      </w:r>
      <w:r w:rsidR="000A2702" w:rsidRPr="009228A5">
        <w:rPr>
          <w:rFonts w:asciiTheme="minorHAnsi" w:hAnsiTheme="minorHAnsi" w:cstheme="minorHAnsi"/>
        </w:rPr>
        <w:t>Small numbers of program recipients in regional areas can make</w:t>
      </w:r>
      <w:r w:rsidR="002D6F6D">
        <w:rPr>
          <w:rFonts w:asciiTheme="minorHAnsi" w:hAnsiTheme="minorHAnsi" w:cstheme="minorHAnsi"/>
        </w:rPr>
        <w:t xml:space="preserve"> it difficult to</w:t>
      </w:r>
      <w:r w:rsidR="000A2702" w:rsidRPr="009228A5">
        <w:rPr>
          <w:rFonts w:asciiTheme="minorHAnsi" w:hAnsiTheme="minorHAnsi" w:cstheme="minorHAnsi"/>
        </w:rPr>
        <w:t xml:space="preserve"> </w:t>
      </w:r>
      <w:r w:rsidR="002D6F6D">
        <w:rPr>
          <w:rFonts w:asciiTheme="minorHAnsi" w:hAnsiTheme="minorHAnsi" w:cstheme="minorHAnsi"/>
        </w:rPr>
        <w:t>balance</w:t>
      </w:r>
      <w:r w:rsidR="000A2702" w:rsidRPr="009228A5">
        <w:rPr>
          <w:rFonts w:asciiTheme="minorHAnsi" w:hAnsiTheme="minorHAnsi" w:cstheme="minorHAnsi"/>
        </w:rPr>
        <w:t xml:space="preserve"> effective data reporting to produce meaningful results with the need to maintain the privacy of patients. </w:t>
      </w:r>
      <w:r>
        <w:rPr>
          <w:rFonts w:asciiTheme="minorHAnsi" w:hAnsiTheme="minorHAnsi" w:cstheme="minorHAnsi"/>
        </w:rPr>
        <w:t xml:space="preserve">This </w:t>
      </w:r>
      <w:r w:rsidR="000A2702" w:rsidRPr="009228A5">
        <w:rPr>
          <w:rFonts w:asciiTheme="minorHAnsi" w:hAnsiTheme="minorHAnsi" w:cstheme="minorHAnsi"/>
        </w:rPr>
        <w:t>make</w:t>
      </w:r>
      <w:r w:rsidR="00926456">
        <w:rPr>
          <w:rFonts w:asciiTheme="minorHAnsi" w:hAnsiTheme="minorHAnsi" w:cstheme="minorHAnsi"/>
        </w:rPr>
        <w:t>s</w:t>
      </w:r>
      <w:r w:rsidR="000A2702" w:rsidRPr="009228A5">
        <w:rPr>
          <w:rFonts w:asciiTheme="minorHAnsi" w:hAnsiTheme="minorHAnsi" w:cstheme="minorHAnsi"/>
        </w:rPr>
        <w:t xml:space="preserve"> it more difficult to attribute impacts and outcomes to individual activities, as multiple interventions that may directly or indirectly influence health often occur simultaneously.</w:t>
      </w:r>
      <w:r w:rsidR="0024149C" w:rsidRPr="0024149C">
        <w:rPr>
          <w:rFonts w:asciiTheme="minorHAnsi" w:hAnsiTheme="minorHAnsi" w:cstheme="minorHAnsi"/>
        </w:rPr>
        <w:t xml:space="preserve"> </w:t>
      </w:r>
      <w:r w:rsidR="0024149C" w:rsidRPr="009228A5">
        <w:rPr>
          <w:rFonts w:asciiTheme="minorHAnsi" w:hAnsiTheme="minorHAnsi" w:cstheme="minorHAnsi"/>
        </w:rPr>
        <w:t xml:space="preserve">Data collection and reporting from funded service providers can be inconsistent and also </w:t>
      </w:r>
      <w:r w:rsidR="0024149C">
        <w:rPr>
          <w:rFonts w:asciiTheme="minorHAnsi" w:hAnsiTheme="minorHAnsi" w:cstheme="minorHAnsi"/>
        </w:rPr>
        <w:t>tends to vary</w:t>
      </w:r>
      <w:r w:rsidR="0024149C" w:rsidRPr="009228A5">
        <w:rPr>
          <w:rFonts w:asciiTheme="minorHAnsi" w:hAnsiTheme="minorHAnsi" w:cstheme="minorHAnsi"/>
        </w:rPr>
        <w:t xml:space="preserve"> between jurisdictions. </w:t>
      </w:r>
    </w:p>
    <w:p w14:paraId="6E5FDFA8" w14:textId="77777777" w:rsidR="00022F36" w:rsidRPr="009228A5" w:rsidRDefault="00022F36" w:rsidP="00933AC2">
      <w:pPr>
        <w:pStyle w:val="NoSpacing"/>
        <w:rPr>
          <w:rFonts w:asciiTheme="minorHAnsi" w:hAnsiTheme="minorHAnsi" w:cstheme="minorHAnsi"/>
        </w:rPr>
      </w:pPr>
    </w:p>
    <w:p w14:paraId="6F142E65" w14:textId="7D4ECDDC" w:rsidR="00933AC2" w:rsidRPr="009228A5" w:rsidRDefault="00022F36" w:rsidP="00933AC2">
      <w:pPr>
        <w:pStyle w:val="NoSpacing"/>
        <w:rPr>
          <w:rFonts w:asciiTheme="minorHAnsi" w:hAnsiTheme="minorHAnsi" w:cstheme="minorHAnsi"/>
        </w:rPr>
      </w:pPr>
      <w:r w:rsidRPr="009228A5">
        <w:rPr>
          <w:rFonts w:asciiTheme="minorHAnsi" w:hAnsiTheme="minorHAnsi" w:cstheme="minorHAnsi"/>
        </w:rPr>
        <w:t xml:space="preserve">Data-gathering techniques </w:t>
      </w:r>
      <w:r w:rsidR="00006DA0">
        <w:rPr>
          <w:rFonts w:asciiTheme="minorHAnsi" w:hAnsiTheme="minorHAnsi" w:cstheme="minorHAnsi"/>
        </w:rPr>
        <w:t>should</w:t>
      </w:r>
      <w:r w:rsidRPr="009228A5">
        <w:rPr>
          <w:rFonts w:asciiTheme="minorHAnsi" w:hAnsiTheme="minorHAnsi" w:cstheme="minorHAnsi"/>
        </w:rPr>
        <w:t xml:space="preserve"> be designed to take these issues into account. </w:t>
      </w:r>
      <w:r w:rsidR="00933AC2" w:rsidRPr="009228A5">
        <w:rPr>
          <w:rFonts w:asciiTheme="minorHAnsi" w:hAnsiTheme="minorHAnsi" w:cstheme="minorHAnsi"/>
        </w:rPr>
        <w:t>Greater effort</w:t>
      </w:r>
      <w:r w:rsidR="00AA6E0F">
        <w:rPr>
          <w:rFonts w:asciiTheme="minorHAnsi" w:hAnsiTheme="minorHAnsi" w:cstheme="minorHAnsi"/>
        </w:rPr>
        <w:t>s</w:t>
      </w:r>
      <w:r w:rsidR="00933AC2" w:rsidRPr="009228A5">
        <w:rPr>
          <w:rFonts w:asciiTheme="minorHAnsi" w:hAnsiTheme="minorHAnsi" w:cstheme="minorHAnsi"/>
        </w:rPr>
        <w:t xml:space="preserve"> </w:t>
      </w:r>
      <w:r w:rsidR="009B5566">
        <w:rPr>
          <w:rFonts w:asciiTheme="minorHAnsi" w:hAnsiTheme="minorHAnsi" w:cstheme="minorHAnsi"/>
        </w:rPr>
        <w:t>can</w:t>
      </w:r>
      <w:r w:rsidR="00933AC2" w:rsidRPr="009228A5">
        <w:rPr>
          <w:rFonts w:asciiTheme="minorHAnsi" w:hAnsiTheme="minorHAnsi" w:cstheme="minorHAnsi"/>
        </w:rPr>
        <w:t xml:space="preserve"> be directed towards improving consistency, data linkages and the sharing of data between jurisdictions, service providers and key stakeholders. This </w:t>
      </w:r>
      <w:r w:rsidR="00AA6E0F">
        <w:rPr>
          <w:rFonts w:asciiTheme="minorHAnsi" w:hAnsiTheme="minorHAnsi" w:cstheme="minorHAnsi"/>
        </w:rPr>
        <w:t>will</w:t>
      </w:r>
      <w:r w:rsidR="0024149C">
        <w:rPr>
          <w:rFonts w:asciiTheme="minorHAnsi" w:hAnsiTheme="minorHAnsi" w:cstheme="minorHAnsi"/>
        </w:rPr>
        <w:t xml:space="preserve"> often</w:t>
      </w:r>
      <w:r w:rsidR="00AA6E0F">
        <w:rPr>
          <w:rFonts w:asciiTheme="minorHAnsi" w:hAnsiTheme="minorHAnsi" w:cstheme="minorHAnsi"/>
        </w:rPr>
        <w:t xml:space="preserve"> need</w:t>
      </w:r>
      <w:r w:rsidR="00933AC2" w:rsidRPr="009228A5">
        <w:rPr>
          <w:rFonts w:asciiTheme="minorHAnsi" w:hAnsiTheme="minorHAnsi" w:cstheme="minorHAnsi"/>
        </w:rPr>
        <w:t xml:space="preserve"> to occur with the </w:t>
      </w:r>
      <w:r w:rsidR="00933AC2" w:rsidRPr="009052EA">
        <w:rPr>
          <w:rFonts w:asciiTheme="minorHAnsi" w:hAnsiTheme="minorHAnsi" w:cstheme="minorHAnsi"/>
        </w:rPr>
        <w:t>consent</w:t>
      </w:r>
      <w:r w:rsidR="00933AC2" w:rsidRPr="009228A5">
        <w:rPr>
          <w:rFonts w:asciiTheme="minorHAnsi" w:hAnsiTheme="minorHAnsi" w:cstheme="minorHAnsi"/>
        </w:rPr>
        <w:t xml:space="preserve"> of the Aboriginal and Torres Strait Islander people involved</w:t>
      </w:r>
      <w:r w:rsidR="00F22DCD">
        <w:rPr>
          <w:rFonts w:asciiTheme="minorHAnsi" w:hAnsiTheme="minorHAnsi" w:cstheme="minorHAnsi"/>
        </w:rPr>
        <w:t>, noting that such</w:t>
      </w:r>
      <w:r w:rsidR="009B5566">
        <w:rPr>
          <w:rFonts w:asciiTheme="minorHAnsi" w:hAnsiTheme="minorHAnsi" w:cstheme="minorHAnsi"/>
        </w:rPr>
        <w:t xml:space="preserve"> </w:t>
      </w:r>
      <w:r w:rsidR="00933AC2" w:rsidRPr="009228A5">
        <w:rPr>
          <w:rFonts w:asciiTheme="minorHAnsi" w:hAnsiTheme="minorHAnsi" w:cstheme="minorHAnsi"/>
        </w:rPr>
        <w:t xml:space="preserve">health data is sensitive and </w:t>
      </w:r>
      <w:r w:rsidR="00F22DCD">
        <w:rPr>
          <w:rFonts w:asciiTheme="minorHAnsi" w:hAnsiTheme="minorHAnsi" w:cstheme="minorHAnsi"/>
        </w:rPr>
        <w:t xml:space="preserve">there is a need to ensure that privacy is </w:t>
      </w:r>
      <w:r w:rsidR="00EF2E77">
        <w:rPr>
          <w:rFonts w:asciiTheme="minorHAnsi" w:hAnsiTheme="minorHAnsi" w:cstheme="minorHAnsi"/>
        </w:rPr>
        <w:t>maintained</w:t>
      </w:r>
      <w:r w:rsidR="00A65FA2">
        <w:rPr>
          <w:rFonts w:asciiTheme="minorHAnsi" w:hAnsiTheme="minorHAnsi" w:cstheme="minorHAnsi"/>
        </w:rPr>
        <w:t xml:space="preserve"> and data sovereignty respected</w:t>
      </w:r>
      <w:r w:rsidR="00A65FA2" w:rsidRPr="009228A5">
        <w:rPr>
          <w:rFonts w:asciiTheme="minorHAnsi" w:hAnsiTheme="minorHAnsi" w:cstheme="minorHAnsi"/>
        </w:rPr>
        <w:t>.</w:t>
      </w:r>
      <w:r w:rsidR="00933AC2" w:rsidRPr="009228A5">
        <w:rPr>
          <w:rFonts w:asciiTheme="minorHAnsi" w:hAnsiTheme="minorHAnsi" w:cstheme="minorHAnsi"/>
        </w:rPr>
        <w:t xml:space="preserve"> </w:t>
      </w:r>
      <w:r w:rsidR="009D2304">
        <w:rPr>
          <w:rFonts w:asciiTheme="minorHAnsi" w:hAnsiTheme="minorHAnsi" w:cstheme="minorHAnsi"/>
        </w:rPr>
        <w:t xml:space="preserve">The Commission’s Strategy can explore and explain what this would look like. </w:t>
      </w:r>
    </w:p>
    <w:p w14:paraId="7444D2BF" w14:textId="77777777" w:rsidR="0045400B" w:rsidRPr="009228A5" w:rsidRDefault="0045400B" w:rsidP="00402E88">
      <w:pPr>
        <w:pStyle w:val="NoSpacing"/>
        <w:rPr>
          <w:rFonts w:asciiTheme="minorHAnsi" w:hAnsiTheme="minorHAnsi" w:cstheme="minorHAnsi"/>
        </w:rPr>
      </w:pPr>
    </w:p>
    <w:p w14:paraId="0F55E58C" w14:textId="77777777" w:rsidR="00926456" w:rsidRPr="00435900" w:rsidRDefault="00926456" w:rsidP="00926456">
      <w:pPr>
        <w:pStyle w:val="NoSpacing"/>
        <w:keepNext/>
        <w:keepLines/>
        <w:rPr>
          <w:rFonts w:asciiTheme="minorHAnsi" w:hAnsiTheme="minorHAnsi" w:cstheme="minorHAnsi"/>
          <w:i/>
        </w:rPr>
      </w:pPr>
      <w:r w:rsidRPr="00435900">
        <w:rPr>
          <w:rFonts w:asciiTheme="minorHAnsi" w:hAnsiTheme="minorHAnsi" w:cstheme="minorHAnsi"/>
          <w:i/>
        </w:rPr>
        <w:t>Embed evaluation into other planning processes</w:t>
      </w:r>
    </w:p>
    <w:p w14:paraId="6D53DE95" w14:textId="03C1C07E" w:rsidR="00926456" w:rsidRDefault="00926456" w:rsidP="00926456">
      <w:pPr>
        <w:pStyle w:val="NoSpacing"/>
        <w:rPr>
          <w:rFonts w:asciiTheme="minorHAnsi" w:hAnsiTheme="minorHAnsi" w:cstheme="minorHAnsi"/>
        </w:rPr>
      </w:pPr>
      <w:r w:rsidRPr="003E3B16">
        <w:rPr>
          <w:rFonts w:asciiTheme="minorHAnsi" w:hAnsiTheme="minorHAnsi" w:cstheme="minorHAnsi"/>
        </w:rPr>
        <w:t>Health supports the Commission’s suggestions to embed evaluation results and plans into the policy development proces</w:t>
      </w:r>
      <w:r>
        <w:rPr>
          <w:rFonts w:asciiTheme="minorHAnsi" w:hAnsiTheme="minorHAnsi" w:cstheme="minorHAnsi"/>
        </w:rPr>
        <w:t>s,</w:t>
      </w:r>
      <w:r w:rsidRPr="003E3B16">
        <w:rPr>
          <w:rFonts w:asciiTheme="minorHAnsi" w:hAnsiTheme="minorHAnsi" w:cstheme="minorHAnsi"/>
        </w:rPr>
        <w:t xml:space="preserve"> but </w:t>
      </w:r>
      <w:r w:rsidR="0024149C">
        <w:rPr>
          <w:rFonts w:asciiTheme="minorHAnsi" w:hAnsiTheme="minorHAnsi" w:cstheme="minorHAnsi"/>
        </w:rPr>
        <w:t>suggests</w:t>
      </w:r>
      <w:r w:rsidRPr="003E3B16">
        <w:rPr>
          <w:rFonts w:asciiTheme="minorHAnsi" w:hAnsiTheme="minorHAnsi" w:cstheme="minorHAnsi"/>
        </w:rPr>
        <w:t xml:space="preserve"> that the expectations be</w:t>
      </w:r>
      <w:r w:rsidR="002B6D41">
        <w:rPr>
          <w:rFonts w:asciiTheme="minorHAnsi" w:hAnsiTheme="minorHAnsi" w:cstheme="minorHAnsi"/>
        </w:rPr>
        <w:t xml:space="preserve"> refined having regard to the </w:t>
      </w:r>
      <w:r w:rsidR="002B33C3">
        <w:rPr>
          <w:rFonts w:asciiTheme="minorHAnsi" w:hAnsiTheme="minorHAnsi" w:cstheme="minorHAnsi"/>
        </w:rPr>
        <w:t xml:space="preserve">realities </w:t>
      </w:r>
      <w:r w:rsidR="00CB7CBD">
        <w:rPr>
          <w:rFonts w:asciiTheme="minorHAnsi" w:hAnsiTheme="minorHAnsi" w:cstheme="minorHAnsi"/>
        </w:rPr>
        <w:t>of the</w:t>
      </w:r>
      <w:r w:rsidR="002B6D41">
        <w:rPr>
          <w:rFonts w:asciiTheme="minorHAnsi" w:hAnsiTheme="minorHAnsi" w:cstheme="minorHAnsi"/>
        </w:rPr>
        <w:t xml:space="preserve"> policy development process</w:t>
      </w:r>
      <w:r w:rsidRPr="009228A5">
        <w:rPr>
          <w:rFonts w:asciiTheme="minorHAnsi" w:hAnsiTheme="minorHAnsi" w:cstheme="minorHAnsi"/>
        </w:rPr>
        <w:t xml:space="preserve">. </w:t>
      </w:r>
    </w:p>
    <w:p w14:paraId="458EF935" w14:textId="18854C35" w:rsidR="00176AEA" w:rsidRDefault="00176AEA" w:rsidP="00926456">
      <w:pPr>
        <w:pStyle w:val="NoSpacing"/>
        <w:rPr>
          <w:rFonts w:asciiTheme="minorHAnsi" w:hAnsiTheme="minorHAnsi" w:cstheme="minorHAnsi"/>
        </w:rPr>
      </w:pPr>
    </w:p>
    <w:p w14:paraId="18FB427E" w14:textId="65A9B19B" w:rsidR="00176AEA" w:rsidRDefault="00176AEA" w:rsidP="00176AEA">
      <w:pPr>
        <w:pStyle w:val="NoSpacing"/>
        <w:keepNext/>
        <w:keepLine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It would be useful for the Strategy to include information about engaging</w:t>
      </w:r>
      <w:r w:rsidRPr="009228A5">
        <w:rPr>
          <w:rFonts w:asciiTheme="minorHAnsi" w:hAnsiTheme="minorHAnsi" w:cstheme="minorHAnsi"/>
        </w:rPr>
        <w:t xml:space="preserve"> with Aboriginal and Torres Strait Islander people in</w:t>
      </w:r>
      <w:r>
        <w:rPr>
          <w:rFonts w:asciiTheme="minorHAnsi" w:hAnsiTheme="minorHAnsi" w:cstheme="minorHAnsi"/>
        </w:rPr>
        <w:t xml:space="preserve"> planning programs</w:t>
      </w:r>
      <w:r w:rsidRPr="009228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9228A5">
        <w:rPr>
          <w:rFonts w:asciiTheme="minorHAnsi" w:hAnsiTheme="minorHAnsi" w:cstheme="minorHAnsi"/>
        </w:rPr>
        <w:t>developing protocols with Indigenous people/organisations</w:t>
      </w:r>
      <w:r>
        <w:rPr>
          <w:rFonts w:asciiTheme="minorHAnsi" w:hAnsiTheme="minorHAnsi" w:cstheme="minorHAnsi"/>
        </w:rPr>
        <w:t xml:space="preserve">. </w:t>
      </w:r>
      <w:r w:rsidR="0024149C">
        <w:rPr>
          <w:rFonts w:asciiTheme="minorHAnsi" w:hAnsiTheme="minorHAnsi" w:cstheme="minorHAnsi"/>
        </w:rPr>
        <w:t xml:space="preserve">The approach </w:t>
      </w:r>
      <w:r w:rsidR="00CB7CBD">
        <w:rPr>
          <w:rFonts w:asciiTheme="minorHAnsi" w:hAnsiTheme="minorHAnsi" w:cstheme="minorHAnsi"/>
        </w:rPr>
        <w:t>also</w:t>
      </w:r>
      <w:r w:rsidR="0024149C">
        <w:rPr>
          <w:rFonts w:asciiTheme="minorHAnsi" w:hAnsiTheme="minorHAnsi" w:cstheme="minorHAnsi"/>
        </w:rPr>
        <w:t xml:space="preserve"> needs to take account of the time </w:t>
      </w:r>
      <w:r w:rsidR="00CB7CBD">
        <w:rPr>
          <w:rFonts w:asciiTheme="minorHAnsi" w:hAnsiTheme="minorHAnsi" w:cstheme="minorHAnsi"/>
        </w:rPr>
        <w:t>needed</w:t>
      </w:r>
      <w:r w:rsidR="002414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 human research</w:t>
      </w:r>
      <w:r w:rsidRPr="009228A5">
        <w:rPr>
          <w:rFonts w:asciiTheme="minorHAnsi" w:hAnsiTheme="minorHAnsi" w:cstheme="minorHAnsi"/>
        </w:rPr>
        <w:t xml:space="preserve"> ethics approval process</w:t>
      </w:r>
      <w:r>
        <w:rPr>
          <w:rFonts w:asciiTheme="minorHAnsi" w:hAnsiTheme="minorHAnsi" w:cstheme="minorHAnsi"/>
        </w:rPr>
        <w:t xml:space="preserve">es as these processes can be particularly </w:t>
      </w:r>
      <w:r w:rsidRPr="009228A5">
        <w:rPr>
          <w:rFonts w:asciiTheme="minorHAnsi" w:hAnsiTheme="minorHAnsi" w:cstheme="minorHAnsi"/>
        </w:rPr>
        <w:t>lengthy for projects that require both mainstream and Indigenous-specific ethics approvals</w:t>
      </w:r>
      <w:r>
        <w:rPr>
          <w:rFonts w:asciiTheme="minorHAnsi" w:hAnsiTheme="minorHAnsi" w:cstheme="minorHAnsi"/>
        </w:rPr>
        <w:t xml:space="preserve"> (</w:t>
      </w:r>
      <w:r w:rsidRPr="00EA78E7">
        <w:rPr>
          <w:rFonts w:asciiTheme="minorHAnsi" w:hAnsiTheme="minorHAnsi" w:cstheme="minorHAnsi"/>
          <w:u w:val="single"/>
        </w:rPr>
        <w:t>Attachment</w:t>
      </w:r>
      <w:r w:rsidR="004740E2">
        <w:rPr>
          <w:rFonts w:asciiTheme="minorHAnsi" w:hAnsiTheme="minorHAnsi" w:cstheme="minorHAnsi"/>
          <w:u w:val="single"/>
        </w:rPr>
        <w:t> </w:t>
      </w:r>
      <w:r w:rsidRPr="00C565CB">
        <w:rPr>
          <w:rFonts w:asciiTheme="minorHAnsi" w:hAnsiTheme="minorHAnsi" w:cstheme="minorHAnsi"/>
          <w:u w:val="single"/>
        </w:rPr>
        <w:t>C</w:t>
      </w:r>
      <w:r>
        <w:rPr>
          <w:rFonts w:asciiTheme="minorHAnsi" w:hAnsiTheme="minorHAnsi" w:cstheme="minorHAnsi"/>
        </w:rPr>
        <w:t>)</w:t>
      </w:r>
      <w:r w:rsidRPr="009228A5">
        <w:rPr>
          <w:rFonts w:asciiTheme="minorHAnsi" w:hAnsiTheme="minorHAnsi" w:cstheme="minorHAnsi"/>
        </w:rPr>
        <w:t>.</w:t>
      </w:r>
      <w:r w:rsidR="00395943">
        <w:rPr>
          <w:rFonts w:asciiTheme="minorHAnsi" w:hAnsiTheme="minorHAnsi" w:cstheme="minorHAnsi"/>
        </w:rPr>
        <w:t xml:space="preserve"> </w:t>
      </w:r>
    </w:p>
    <w:p w14:paraId="12E619C9" w14:textId="46FF8FDD" w:rsidR="00C57A85" w:rsidRDefault="00C57A85" w:rsidP="00176AEA">
      <w:pPr>
        <w:pStyle w:val="NoSpacing"/>
        <w:keepNext/>
        <w:keepLines/>
        <w:rPr>
          <w:rFonts w:asciiTheme="minorHAnsi" w:hAnsiTheme="minorHAnsi" w:cstheme="minorHAnsi"/>
        </w:rPr>
      </w:pPr>
    </w:p>
    <w:p w14:paraId="553EE9D9" w14:textId="779B0757" w:rsidR="00C57A85" w:rsidRDefault="00C57A85" w:rsidP="0050399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</w:t>
      </w:r>
      <w:r w:rsidRPr="00371B66">
        <w:rPr>
          <w:rFonts w:asciiTheme="minorHAnsi" w:hAnsiTheme="minorHAnsi" w:cstheme="minorHAnsi"/>
        </w:rPr>
        <w:t xml:space="preserve"> supports the establishment of a principles-based framework for the design, delivery and evaluation of policies and programs affecting Aboriginal and Torres Strait Islander people. The framework </w:t>
      </w:r>
      <w:r>
        <w:rPr>
          <w:rFonts w:asciiTheme="minorHAnsi" w:hAnsiTheme="minorHAnsi" w:cstheme="minorHAnsi"/>
        </w:rPr>
        <w:t>could usefully include</w:t>
      </w:r>
      <w:r w:rsidRPr="00371B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advice about rigour and </w:t>
      </w:r>
      <w:r w:rsidRPr="00371B66">
        <w:rPr>
          <w:rFonts w:asciiTheme="minorHAnsi" w:hAnsiTheme="minorHAnsi" w:cstheme="minorHAnsi"/>
        </w:rPr>
        <w:t xml:space="preserve">participatory style approaches in the design of evaluations. </w:t>
      </w:r>
      <w:r w:rsidRPr="009228A5">
        <w:rPr>
          <w:rFonts w:asciiTheme="minorHAnsi" w:hAnsiTheme="minorHAnsi" w:cstheme="minorHAnsi"/>
        </w:rPr>
        <w:t xml:space="preserve">It would be helpful for the Strategy to offer guidance to Australian Government agencies </w:t>
      </w:r>
      <w:r>
        <w:rPr>
          <w:rFonts w:asciiTheme="minorHAnsi" w:hAnsiTheme="minorHAnsi" w:cstheme="minorHAnsi"/>
        </w:rPr>
        <w:t>about</w:t>
      </w:r>
      <w:r w:rsidRPr="009228A5">
        <w:rPr>
          <w:rFonts w:asciiTheme="minorHAnsi" w:hAnsiTheme="minorHAnsi" w:cstheme="minorHAnsi"/>
        </w:rPr>
        <w:t xml:space="preserve"> how to engage well and ethically with </w:t>
      </w:r>
      <w:r>
        <w:rPr>
          <w:rFonts w:asciiTheme="minorHAnsi" w:hAnsiTheme="minorHAnsi" w:cstheme="minorHAnsi"/>
        </w:rPr>
        <w:t>Indigenous</w:t>
      </w:r>
      <w:r w:rsidRPr="009228A5">
        <w:rPr>
          <w:rFonts w:asciiTheme="minorHAnsi" w:hAnsiTheme="minorHAnsi" w:cstheme="minorHAnsi"/>
        </w:rPr>
        <w:t xml:space="preserve"> stakeholders and communities.</w:t>
      </w:r>
      <w:r>
        <w:rPr>
          <w:rFonts w:asciiTheme="minorHAnsi" w:hAnsiTheme="minorHAnsi" w:cstheme="minorHAnsi"/>
        </w:rPr>
        <w:t xml:space="preserve"> </w:t>
      </w:r>
      <w:r w:rsidRPr="009228A5">
        <w:rPr>
          <w:rFonts w:asciiTheme="minorHAnsi" w:hAnsiTheme="minorHAnsi" w:cstheme="minorHAnsi"/>
        </w:rPr>
        <w:t>The evaluation co-design space is a new area in evaluation</w:t>
      </w:r>
      <w:r>
        <w:rPr>
          <w:rFonts w:asciiTheme="minorHAnsi" w:hAnsiTheme="minorHAnsi" w:cstheme="minorHAnsi"/>
        </w:rPr>
        <w:t>, and guidance about how and when to apply co-design to evaluations would also be useful</w:t>
      </w:r>
      <w:r w:rsidRPr="009228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A32A640" w14:textId="77777777" w:rsidR="00395943" w:rsidRDefault="00395943" w:rsidP="00176AEA">
      <w:pPr>
        <w:pStyle w:val="NoSpacing"/>
        <w:keepNext/>
        <w:keepLines/>
        <w:rPr>
          <w:rFonts w:asciiTheme="minorHAnsi" w:hAnsiTheme="minorHAnsi" w:cstheme="minorHAnsi"/>
        </w:rPr>
      </w:pPr>
    </w:p>
    <w:p w14:paraId="0420D439" w14:textId="77777777" w:rsidR="00371B66" w:rsidRPr="00371B66" w:rsidRDefault="00371B66" w:rsidP="00371B66">
      <w:pPr>
        <w:pStyle w:val="NoSpacing"/>
        <w:rPr>
          <w:rFonts w:asciiTheme="minorHAnsi" w:hAnsiTheme="minorHAnsi" w:cstheme="minorHAnsi"/>
          <w:b/>
          <w:i/>
        </w:rPr>
      </w:pPr>
      <w:r w:rsidRPr="00371B66">
        <w:rPr>
          <w:rFonts w:asciiTheme="minorHAnsi" w:hAnsiTheme="minorHAnsi" w:cstheme="minorHAnsi"/>
          <w:b/>
          <w:i/>
        </w:rPr>
        <w:t xml:space="preserve">Productivity Commission’s </w:t>
      </w:r>
      <w:r w:rsidR="0083721F">
        <w:rPr>
          <w:rFonts w:asciiTheme="minorHAnsi" w:hAnsiTheme="minorHAnsi" w:cstheme="minorHAnsi"/>
          <w:b/>
          <w:i/>
        </w:rPr>
        <w:t>r</w:t>
      </w:r>
      <w:r w:rsidRPr="00371B66">
        <w:rPr>
          <w:rFonts w:asciiTheme="minorHAnsi" w:hAnsiTheme="minorHAnsi" w:cstheme="minorHAnsi"/>
          <w:b/>
          <w:i/>
        </w:rPr>
        <w:t>ole</w:t>
      </w:r>
    </w:p>
    <w:p w14:paraId="2466B21F" w14:textId="561AD898" w:rsidR="00371B66" w:rsidRPr="00371B66" w:rsidRDefault="00395943" w:rsidP="00371B6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9228A5">
        <w:rPr>
          <w:rFonts w:asciiTheme="minorHAnsi" w:hAnsiTheme="minorHAnsi" w:cstheme="minorHAnsi"/>
        </w:rPr>
        <w:t>valuation capacity and capability can</w:t>
      </w:r>
      <w:r>
        <w:rPr>
          <w:rFonts w:asciiTheme="minorHAnsi" w:hAnsiTheme="minorHAnsi" w:cstheme="minorHAnsi"/>
        </w:rPr>
        <w:t xml:space="preserve"> </w:t>
      </w:r>
      <w:r w:rsidRPr="009228A5">
        <w:rPr>
          <w:rFonts w:asciiTheme="minorHAnsi" w:hAnsiTheme="minorHAnsi" w:cstheme="minorHAnsi"/>
        </w:rPr>
        <w:t xml:space="preserve">be improved </w:t>
      </w:r>
      <w:r>
        <w:rPr>
          <w:rFonts w:asciiTheme="minorHAnsi" w:hAnsiTheme="minorHAnsi" w:cstheme="minorHAnsi"/>
        </w:rPr>
        <w:t xml:space="preserve">by </w:t>
      </w:r>
      <w:r w:rsidRPr="009228A5">
        <w:rPr>
          <w:rFonts w:asciiTheme="minorHAnsi" w:hAnsiTheme="minorHAnsi" w:cstheme="minorHAnsi"/>
        </w:rPr>
        <w:t xml:space="preserve">investing in </w:t>
      </w:r>
      <w:r>
        <w:rPr>
          <w:rFonts w:asciiTheme="minorHAnsi" w:hAnsiTheme="minorHAnsi" w:cstheme="minorHAnsi"/>
        </w:rPr>
        <w:t xml:space="preserve">people and demonstrating leadership. </w:t>
      </w:r>
      <w:r w:rsidR="003765D3">
        <w:rPr>
          <w:rFonts w:asciiTheme="minorHAnsi" w:hAnsiTheme="minorHAnsi" w:cstheme="minorHAnsi"/>
        </w:rPr>
        <w:t>Health</w:t>
      </w:r>
      <w:r w:rsidR="00371B66" w:rsidRPr="00371B66">
        <w:rPr>
          <w:rFonts w:asciiTheme="minorHAnsi" w:hAnsiTheme="minorHAnsi" w:cstheme="minorHAnsi"/>
        </w:rPr>
        <w:t xml:space="preserve"> envisages that the </w:t>
      </w:r>
      <w:r w:rsidR="00B333D3">
        <w:rPr>
          <w:rFonts w:asciiTheme="minorHAnsi" w:hAnsiTheme="minorHAnsi" w:cstheme="minorHAnsi"/>
        </w:rPr>
        <w:t>Commission</w:t>
      </w:r>
      <w:r w:rsidR="00371B66" w:rsidRPr="00371B66">
        <w:rPr>
          <w:rFonts w:asciiTheme="minorHAnsi" w:hAnsiTheme="minorHAnsi" w:cstheme="minorHAnsi"/>
        </w:rPr>
        <w:t xml:space="preserve"> could </w:t>
      </w:r>
      <w:r w:rsidR="000F7129">
        <w:rPr>
          <w:rFonts w:asciiTheme="minorHAnsi" w:hAnsiTheme="minorHAnsi" w:cstheme="minorHAnsi"/>
        </w:rPr>
        <w:t>take</w:t>
      </w:r>
      <w:r w:rsidR="00371B66" w:rsidRPr="00371B66">
        <w:rPr>
          <w:rFonts w:asciiTheme="minorHAnsi" w:hAnsiTheme="minorHAnsi" w:cstheme="minorHAnsi"/>
        </w:rPr>
        <w:t xml:space="preserve"> a leadership role on evaluation activities in the future</w:t>
      </w:r>
      <w:r w:rsidR="00E011F6">
        <w:rPr>
          <w:rFonts w:asciiTheme="minorHAnsi" w:hAnsiTheme="minorHAnsi" w:cstheme="minorHAnsi"/>
        </w:rPr>
        <w:t xml:space="preserve">. </w:t>
      </w:r>
      <w:r w:rsidR="00371B66" w:rsidRPr="00371B66">
        <w:rPr>
          <w:rFonts w:asciiTheme="minorHAnsi" w:hAnsiTheme="minorHAnsi" w:cstheme="minorHAnsi"/>
        </w:rPr>
        <w:t xml:space="preserve">This role could be used to identify and evaluate key areas of cross-cutting work across specific policies and programs affecting the health, social and economic outcomes of Aboriginal and Torres Strait Islander people and communities. </w:t>
      </w:r>
      <w:r w:rsidR="00E011F6" w:rsidRPr="00371B66">
        <w:rPr>
          <w:rFonts w:asciiTheme="minorHAnsi" w:hAnsiTheme="minorHAnsi" w:cstheme="minorHAnsi"/>
        </w:rPr>
        <w:t xml:space="preserve">The </w:t>
      </w:r>
      <w:r w:rsidR="00E011F6">
        <w:rPr>
          <w:rFonts w:asciiTheme="minorHAnsi" w:hAnsiTheme="minorHAnsi" w:cstheme="minorHAnsi"/>
        </w:rPr>
        <w:t>Commission</w:t>
      </w:r>
      <w:r w:rsidR="00E011F6" w:rsidRPr="00371B66">
        <w:rPr>
          <w:rFonts w:asciiTheme="minorHAnsi" w:hAnsiTheme="minorHAnsi" w:cstheme="minorHAnsi"/>
        </w:rPr>
        <w:t>’s role could encompass evaluations undertaken across government, with priorities set in consultation with other agencies</w:t>
      </w:r>
      <w:r w:rsidR="00A65FA2">
        <w:rPr>
          <w:rFonts w:asciiTheme="minorHAnsi" w:hAnsiTheme="minorHAnsi" w:cstheme="minorHAnsi"/>
        </w:rPr>
        <w:t xml:space="preserve">, and </w:t>
      </w:r>
      <w:r w:rsidR="00BD462F">
        <w:rPr>
          <w:rFonts w:asciiTheme="minorHAnsi" w:hAnsiTheme="minorHAnsi" w:cstheme="minorHAnsi"/>
        </w:rPr>
        <w:t xml:space="preserve">with </w:t>
      </w:r>
      <w:r w:rsidR="00A65FA2">
        <w:rPr>
          <w:rFonts w:asciiTheme="minorHAnsi" w:hAnsiTheme="minorHAnsi" w:cstheme="minorHAnsi"/>
        </w:rPr>
        <w:t>Aboriginal and Torres Strait Islander people and communities</w:t>
      </w:r>
      <w:r w:rsidR="00A65FA2" w:rsidRPr="00371B66">
        <w:rPr>
          <w:rFonts w:asciiTheme="minorHAnsi" w:hAnsiTheme="minorHAnsi" w:cstheme="minorHAnsi"/>
        </w:rPr>
        <w:t>.</w:t>
      </w:r>
      <w:r w:rsidR="00A65FA2">
        <w:rPr>
          <w:rFonts w:asciiTheme="minorHAnsi" w:hAnsiTheme="minorHAnsi" w:cstheme="minorHAnsi"/>
        </w:rPr>
        <w:t xml:space="preserve"> </w:t>
      </w:r>
      <w:r w:rsidR="00E011F6">
        <w:rPr>
          <w:rFonts w:asciiTheme="minorHAnsi" w:hAnsiTheme="minorHAnsi" w:cstheme="minorHAnsi"/>
        </w:rPr>
        <w:t xml:space="preserve"> </w:t>
      </w:r>
    </w:p>
    <w:p w14:paraId="12CC1FBD" w14:textId="77777777" w:rsidR="00EF6BD4" w:rsidRDefault="00EF6BD4" w:rsidP="00402E88">
      <w:pPr>
        <w:pStyle w:val="NoSpacing"/>
        <w:rPr>
          <w:rFonts w:asciiTheme="minorHAnsi" w:hAnsiTheme="minorHAnsi" w:cstheme="minorHAnsi"/>
        </w:rPr>
      </w:pPr>
    </w:p>
    <w:p w14:paraId="3BEA4C49" w14:textId="77777777" w:rsidR="00474975" w:rsidRDefault="00094E8A" w:rsidP="0047497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Commission could also </w:t>
      </w:r>
      <w:r w:rsidRPr="009228A5">
        <w:rPr>
          <w:rFonts w:asciiTheme="minorHAnsi" w:hAnsiTheme="minorHAnsi" w:cstheme="minorHAnsi"/>
        </w:rPr>
        <w:t xml:space="preserve">summarise projects that </w:t>
      </w:r>
      <w:r>
        <w:rPr>
          <w:rFonts w:asciiTheme="minorHAnsi" w:hAnsiTheme="minorHAnsi" w:cstheme="minorHAnsi"/>
        </w:rPr>
        <w:t>bring</w:t>
      </w:r>
      <w:r w:rsidRPr="009228A5">
        <w:rPr>
          <w:rFonts w:asciiTheme="minorHAnsi" w:hAnsiTheme="minorHAnsi" w:cstheme="minorHAnsi"/>
        </w:rPr>
        <w:t xml:space="preserve"> together expertise in cultural competence with evaluation methods. </w:t>
      </w:r>
      <w:r>
        <w:rPr>
          <w:rFonts w:asciiTheme="minorHAnsi" w:hAnsiTheme="minorHAnsi" w:cstheme="minorHAnsi"/>
        </w:rPr>
        <w:t xml:space="preserve">This could extend to </w:t>
      </w:r>
      <w:r w:rsidRPr="009228A5">
        <w:rPr>
          <w:rFonts w:asciiTheme="minorHAnsi" w:hAnsiTheme="minorHAnsi" w:cstheme="minorHAnsi"/>
          <w:bCs/>
        </w:rPr>
        <w:t>summar</w:t>
      </w:r>
      <w:r>
        <w:rPr>
          <w:rFonts w:asciiTheme="minorHAnsi" w:hAnsiTheme="minorHAnsi" w:cstheme="minorHAnsi"/>
          <w:bCs/>
        </w:rPr>
        <w:t>ising</w:t>
      </w:r>
      <w:r w:rsidRPr="009228A5">
        <w:rPr>
          <w:rFonts w:asciiTheme="minorHAnsi" w:hAnsiTheme="minorHAnsi" w:cstheme="minorHAnsi"/>
          <w:bCs/>
        </w:rPr>
        <w:t xml:space="preserve"> important learni</w:t>
      </w:r>
      <w:r w:rsidRPr="003508E3">
        <w:rPr>
          <w:rFonts w:asciiTheme="minorHAnsi" w:hAnsiTheme="minorHAnsi" w:cstheme="minorHAnsi"/>
          <w:bCs/>
        </w:rPr>
        <w:t>ngs</w:t>
      </w:r>
      <w:r w:rsidRPr="009228A5">
        <w:rPr>
          <w:rFonts w:asciiTheme="minorHAnsi" w:hAnsiTheme="minorHAnsi" w:cstheme="minorHAnsi"/>
        </w:rPr>
        <w:t xml:space="preserve"> from </w:t>
      </w:r>
      <w:r>
        <w:rPr>
          <w:rFonts w:asciiTheme="minorHAnsi" w:hAnsiTheme="minorHAnsi" w:cstheme="minorHAnsi"/>
        </w:rPr>
        <w:t>s</w:t>
      </w:r>
      <w:r w:rsidRPr="009228A5">
        <w:rPr>
          <w:rFonts w:asciiTheme="minorHAnsi" w:hAnsiTheme="minorHAnsi" w:cstheme="minorHAnsi"/>
        </w:rPr>
        <w:t>tates and</w:t>
      </w:r>
      <w:r>
        <w:rPr>
          <w:rFonts w:asciiTheme="minorHAnsi" w:hAnsiTheme="minorHAnsi" w:cstheme="minorHAnsi"/>
        </w:rPr>
        <w:t xml:space="preserve"> territories (as mentioned on page 19 of the Issues P</w:t>
      </w:r>
      <w:r w:rsidRPr="009228A5">
        <w:rPr>
          <w:rFonts w:asciiTheme="minorHAnsi" w:hAnsiTheme="minorHAnsi" w:cstheme="minorHAnsi"/>
        </w:rPr>
        <w:t>aper</w:t>
      </w:r>
      <w:r>
        <w:rPr>
          <w:rFonts w:asciiTheme="minorHAnsi" w:hAnsiTheme="minorHAnsi" w:cstheme="minorHAnsi"/>
        </w:rPr>
        <w:t>)</w:t>
      </w:r>
      <w:r w:rsidR="009D7DE8">
        <w:rPr>
          <w:rFonts w:asciiTheme="minorHAnsi" w:hAnsiTheme="minorHAnsi" w:cstheme="minorHAnsi"/>
        </w:rPr>
        <w:t>,</w:t>
      </w:r>
      <w:r w:rsidRPr="009228A5">
        <w:rPr>
          <w:rFonts w:asciiTheme="minorHAnsi" w:hAnsiTheme="minorHAnsi" w:cstheme="minorHAnsi"/>
        </w:rPr>
        <w:t xml:space="preserve"> and from other Australian and international efforts</w:t>
      </w:r>
      <w:r w:rsidR="00E011F6">
        <w:rPr>
          <w:rFonts w:asciiTheme="minorHAnsi" w:hAnsiTheme="minorHAnsi" w:cstheme="minorHAnsi"/>
        </w:rPr>
        <w:t xml:space="preserve"> mentioned</w:t>
      </w:r>
      <w:r w:rsidRPr="009228A5">
        <w:rPr>
          <w:rFonts w:asciiTheme="minorHAnsi" w:hAnsiTheme="minorHAnsi" w:cstheme="minorHAnsi"/>
        </w:rPr>
        <w:t xml:space="preserve"> elsewhere in the </w:t>
      </w:r>
      <w:r w:rsidR="00E011F6">
        <w:rPr>
          <w:rFonts w:asciiTheme="minorHAnsi" w:hAnsiTheme="minorHAnsi" w:cstheme="minorHAnsi"/>
        </w:rPr>
        <w:t>Issues P</w:t>
      </w:r>
      <w:r w:rsidRPr="009228A5">
        <w:rPr>
          <w:rFonts w:asciiTheme="minorHAnsi" w:hAnsiTheme="minorHAnsi" w:cstheme="minorHAnsi"/>
        </w:rPr>
        <w:t>aper.</w:t>
      </w:r>
      <w:r w:rsidR="00474975">
        <w:rPr>
          <w:rFonts w:asciiTheme="minorHAnsi" w:hAnsiTheme="minorHAnsi" w:cstheme="minorHAnsi"/>
        </w:rPr>
        <w:t xml:space="preserve"> </w:t>
      </w:r>
      <w:r w:rsidR="009D7DE8">
        <w:rPr>
          <w:rFonts w:asciiTheme="minorHAnsi" w:hAnsiTheme="minorHAnsi" w:cstheme="minorHAnsi"/>
        </w:rPr>
        <w:t>To </w:t>
      </w:r>
      <w:r w:rsidR="00474975" w:rsidRPr="009228A5">
        <w:rPr>
          <w:rFonts w:asciiTheme="minorHAnsi" w:hAnsiTheme="minorHAnsi" w:cstheme="minorHAnsi"/>
        </w:rPr>
        <w:t xml:space="preserve">assist in sharing evaluation results and data with Indigenous people and the broader community, short, plain language summaries </w:t>
      </w:r>
      <w:r w:rsidR="00474975">
        <w:rPr>
          <w:rFonts w:asciiTheme="minorHAnsi" w:hAnsiTheme="minorHAnsi" w:cstheme="minorHAnsi"/>
        </w:rPr>
        <w:t>can</w:t>
      </w:r>
      <w:r w:rsidR="00474975" w:rsidRPr="009228A5">
        <w:rPr>
          <w:rFonts w:asciiTheme="minorHAnsi" w:hAnsiTheme="minorHAnsi" w:cstheme="minorHAnsi"/>
        </w:rPr>
        <w:t xml:space="preserve"> be developed for publication alongside the full evaluation reports, where possible. </w:t>
      </w:r>
    </w:p>
    <w:p w14:paraId="267D4FF5" w14:textId="77777777" w:rsidR="00176AEA" w:rsidRDefault="00176AEA" w:rsidP="00176AEA">
      <w:pPr>
        <w:pStyle w:val="NoSpacing"/>
        <w:rPr>
          <w:rFonts w:asciiTheme="minorHAnsi" w:hAnsiTheme="minorHAnsi" w:cstheme="minorHAnsi"/>
        </w:rPr>
      </w:pPr>
    </w:p>
    <w:p w14:paraId="624A6EC5" w14:textId="77777777" w:rsidR="00EF6BD4" w:rsidRPr="00773B6A" w:rsidRDefault="00EF6BD4" w:rsidP="00402E88">
      <w:pPr>
        <w:pStyle w:val="NoSpacing"/>
        <w:rPr>
          <w:rFonts w:asciiTheme="minorHAnsi" w:hAnsiTheme="minorHAnsi" w:cstheme="minorHAnsi"/>
          <w:b/>
          <w:bCs/>
          <w:i/>
        </w:rPr>
      </w:pPr>
      <w:r w:rsidRPr="00773B6A">
        <w:rPr>
          <w:rFonts w:asciiTheme="minorHAnsi" w:hAnsiTheme="minorHAnsi" w:cstheme="minorHAnsi"/>
          <w:b/>
          <w:bCs/>
          <w:i/>
        </w:rPr>
        <w:t xml:space="preserve">Conclusion </w:t>
      </w:r>
    </w:p>
    <w:p w14:paraId="5C88587A" w14:textId="77777777" w:rsidR="00EF6BD4" w:rsidRPr="009228A5" w:rsidRDefault="00B333D3" w:rsidP="00402E8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Health</w:t>
      </w:r>
      <w:r w:rsidR="00C25BAE" w:rsidRPr="009228A5">
        <w:rPr>
          <w:rFonts w:asciiTheme="minorHAnsi" w:hAnsiTheme="minorHAnsi" w:cstheme="minorHAnsi"/>
        </w:rPr>
        <w:t xml:space="preserve"> welcomes continued engagement </w:t>
      </w:r>
      <w:r w:rsidR="00C2228F">
        <w:rPr>
          <w:rFonts w:asciiTheme="minorHAnsi" w:hAnsiTheme="minorHAnsi" w:cstheme="minorHAnsi"/>
        </w:rPr>
        <w:t xml:space="preserve">with the </w:t>
      </w:r>
      <w:r w:rsidR="003C56ED">
        <w:rPr>
          <w:rFonts w:asciiTheme="minorHAnsi" w:hAnsiTheme="minorHAnsi" w:cstheme="minorHAnsi"/>
        </w:rPr>
        <w:t>Commission</w:t>
      </w:r>
      <w:r w:rsidR="00C25BAE" w:rsidRPr="009228A5">
        <w:rPr>
          <w:rFonts w:asciiTheme="minorHAnsi" w:hAnsiTheme="minorHAnsi" w:cstheme="minorHAnsi"/>
        </w:rPr>
        <w:t xml:space="preserve"> in relation to the development of the Indigenous Evaluation Strategy.</w:t>
      </w:r>
      <w:r w:rsidR="00A65FA2" w:rsidRPr="00A65FA2">
        <w:rPr>
          <w:rFonts w:asciiTheme="minorHAnsi" w:hAnsiTheme="minorHAnsi" w:cstheme="minorHAnsi"/>
        </w:rPr>
        <w:t xml:space="preserve"> </w:t>
      </w:r>
      <w:r w:rsidR="00A65FA2">
        <w:rPr>
          <w:rFonts w:asciiTheme="minorHAnsi" w:hAnsiTheme="minorHAnsi" w:cstheme="minorHAnsi"/>
        </w:rPr>
        <w:t>Health also welcomes the Commission’s particular interest in the evaluation activities under the IAHP, and will continue to engage with the Commission as this important work progresses.</w:t>
      </w:r>
    </w:p>
    <w:sectPr w:rsidR="00EF6BD4" w:rsidRPr="009228A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47C3B9" w16cid:durableId="20E85F10"/>
  <w16cid:commentId w16cid:paraId="02EEA708" w16cid:durableId="20E85F16"/>
  <w16cid:commentId w16cid:paraId="6CCC763E" w16cid:durableId="20E86619"/>
  <w16cid:commentId w16cid:paraId="7AF76205" w16cid:durableId="20E870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C488" w14:textId="77777777" w:rsidR="00A9262E" w:rsidRDefault="00A9262E" w:rsidP="009228A5">
      <w:pPr>
        <w:spacing w:after="0" w:line="240" w:lineRule="auto"/>
      </w:pPr>
      <w:r>
        <w:separator/>
      </w:r>
    </w:p>
    <w:p w14:paraId="3DCB807B" w14:textId="77777777" w:rsidR="00A9262E" w:rsidRDefault="00A9262E"/>
    <w:p w14:paraId="430CB7D0" w14:textId="77777777" w:rsidR="00A9262E" w:rsidRDefault="00A9262E"/>
  </w:endnote>
  <w:endnote w:type="continuationSeparator" w:id="0">
    <w:p w14:paraId="158CAE78" w14:textId="77777777" w:rsidR="00A9262E" w:rsidRDefault="00A9262E" w:rsidP="009228A5">
      <w:pPr>
        <w:spacing w:after="0" w:line="240" w:lineRule="auto"/>
      </w:pPr>
      <w:r>
        <w:continuationSeparator/>
      </w:r>
    </w:p>
    <w:p w14:paraId="510DF900" w14:textId="77777777" w:rsidR="00A9262E" w:rsidRDefault="00A9262E"/>
    <w:p w14:paraId="201652D0" w14:textId="77777777" w:rsidR="00A9262E" w:rsidRDefault="00A92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84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6B017" w14:textId="461EF538" w:rsidR="0083721F" w:rsidRDefault="00837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D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0E336E" w14:textId="77777777" w:rsidR="0083721F" w:rsidRDefault="0083721F">
    <w:pPr>
      <w:pStyle w:val="Footer"/>
    </w:pPr>
  </w:p>
  <w:p w14:paraId="6B9254EC" w14:textId="77777777" w:rsidR="00B46148" w:rsidRDefault="00B461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02DA1" w14:textId="77777777" w:rsidR="00A9262E" w:rsidRDefault="00A9262E" w:rsidP="009228A5">
      <w:pPr>
        <w:spacing w:after="0" w:line="240" w:lineRule="auto"/>
      </w:pPr>
      <w:r>
        <w:separator/>
      </w:r>
    </w:p>
    <w:p w14:paraId="17C33ECD" w14:textId="77777777" w:rsidR="00A9262E" w:rsidRDefault="00A9262E"/>
    <w:p w14:paraId="384CF2A0" w14:textId="77777777" w:rsidR="00A9262E" w:rsidRDefault="00A9262E"/>
  </w:footnote>
  <w:footnote w:type="continuationSeparator" w:id="0">
    <w:p w14:paraId="7CA5A4AE" w14:textId="77777777" w:rsidR="00A9262E" w:rsidRDefault="00A9262E" w:rsidP="009228A5">
      <w:pPr>
        <w:spacing w:after="0" w:line="240" w:lineRule="auto"/>
      </w:pPr>
      <w:r>
        <w:continuationSeparator/>
      </w:r>
    </w:p>
    <w:p w14:paraId="79AB9F51" w14:textId="77777777" w:rsidR="00A9262E" w:rsidRDefault="00A9262E"/>
    <w:p w14:paraId="480BED39" w14:textId="77777777" w:rsidR="00A9262E" w:rsidRDefault="00A9262E"/>
  </w:footnote>
  <w:footnote w:id="1">
    <w:p w14:paraId="58AE8839" w14:textId="77777777" w:rsidR="00BA168C" w:rsidRPr="004F50A1" w:rsidRDefault="00BA168C" w:rsidP="00BA168C">
      <w:pPr>
        <w:pStyle w:val="FootnoteText"/>
        <w:rPr>
          <w:rFonts w:asciiTheme="minorHAnsi" w:hAnsiTheme="minorHAnsi" w:cstheme="minorHAnsi"/>
        </w:rPr>
      </w:pPr>
      <w:r w:rsidRPr="004F50A1">
        <w:rPr>
          <w:rStyle w:val="FootnoteReference"/>
          <w:rFonts w:asciiTheme="minorHAnsi" w:hAnsiTheme="minorHAnsi" w:cstheme="minorHAnsi"/>
          <w:sz w:val="18"/>
        </w:rPr>
        <w:footnoteRef/>
      </w:r>
      <w:r w:rsidRPr="004F50A1">
        <w:rPr>
          <w:rFonts w:asciiTheme="minorHAnsi" w:hAnsiTheme="minorHAnsi" w:cstheme="minorHAnsi"/>
          <w:sz w:val="18"/>
        </w:rPr>
        <w:t xml:space="preserve"> Expenditure figures can be found in the data tables accompanying the report. Both the report and data tables can be accessed at </w:t>
      </w:r>
      <w:hyperlink r:id="rId1" w:history="1">
        <w:r w:rsidRPr="004F50A1">
          <w:rPr>
            <w:rStyle w:val="Hyperlink"/>
            <w:rFonts w:asciiTheme="minorHAnsi" w:hAnsiTheme="minorHAnsi" w:cstheme="minorHAnsi"/>
            <w:sz w:val="18"/>
          </w:rPr>
          <w:t>https://www.pc.gov.au/research/ongoing/indigenous-expenditure-report/2017</w:t>
        </w:r>
      </w:hyperlink>
    </w:p>
  </w:footnote>
  <w:footnote w:id="2">
    <w:p w14:paraId="6A7879B1" w14:textId="77777777" w:rsidR="007B5940" w:rsidRPr="000D5BE8" w:rsidRDefault="007B5940" w:rsidP="007B5940">
      <w:pPr>
        <w:pStyle w:val="FootnoteText"/>
        <w:rPr>
          <w:rFonts w:asciiTheme="minorHAnsi" w:hAnsiTheme="minorHAnsi" w:cstheme="minorHAnsi"/>
        </w:rPr>
      </w:pPr>
      <w:r w:rsidRPr="000D5BE8">
        <w:rPr>
          <w:rStyle w:val="FootnoteReference"/>
          <w:rFonts w:asciiTheme="minorHAnsi" w:hAnsiTheme="minorHAnsi" w:cstheme="minorHAnsi"/>
          <w:sz w:val="18"/>
        </w:rPr>
        <w:footnoteRef/>
      </w:r>
      <w:r w:rsidRPr="000D5BE8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 xml:space="preserve">Actuals </w:t>
      </w:r>
      <w:r w:rsidRPr="000D5BE8">
        <w:rPr>
          <w:rFonts w:asciiTheme="minorHAnsi" w:hAnsiTheme="minorHAnsi" w:cstheme="minorHAnsi"/>
          <w:sz w:val="18"/>
        </w:rPr>
        <w:t>for Indigenous health expenditure</w:t>
      </w:r>
      <w:r>
        <w:rPr>
          <w:rFonts w:asciiTheme="minorHAnsi" w:hAnsiTheme="minorHAnsi" w:cstheme="minorHAnsi"/>
          <w:sz w:val="18"/>
        </w:rPr>
        <w:t xml:space="preserve"> in 2017-18</w:t>
      </w:r>
      <w:r w:rsidRPr="000D5BE8">
        <w:rPr>
          <w:rFonts w:asciiTheme="minorHAnsi" w:hAnsiTheme="minorHAnsi" w:cstheme="minorHAnsi"/>
          <w:sz w:val="18"/>
        </w:rPr>
        <w:t xml:space="preserve"> can be found</w:t>
      </w:r>
      <w:r>
        <w:rPr>
          <w:rFonts w:asciiTheme="minorHAnsi" w:hAnsiTheme="minorHAnsi" w:cstheme="minorHAnsi"/>
          <w:sz w:val="18"/>
        </w:rPr>
        <w:t xml:space="preserve"> in the</w:t>
      </w:r>
      <w:r w:rsidRPr="0098567D">
        <w:rPr>
          <w:rFonts w:asciiTheme="minorHAnsi" w:hAnsiTheme="minorHAnsi" w:cstheme="minorHAnsi"/>
          <w:sz w:val="18"/>
        </w:rPr>
        <w:t xml:space="preserve"> </w:t>
      </w:r>
      <w:r w:rsidRPr="0098567D">
        <w:rPr>
          <w:rFonts w:asciiTheme="minorHAnsi" w:hAnsiTheme="minorHAnsi" w:cstheme="minorHAnsi"/>
          <w:i/>
          <w:sz w:val="18"/>
        </w:rPr>
        <w:t>Final Budget Outcome 2017-18</w:t>
      </w:r>
      <w:r w:rsidRPr="000D5BE8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(</w:t>
      </w:r>
      <w:r w:rsidRPr="000D5BE8">
        <w:rPr>
          <w:rFonts w:asciiTheme="minorHAnsi" w:hAnsiTheme="minorHAnsi" w:cstheme="minorHAnsi"/>
          <w:sz w:val="18"/>
        </w:rPr>
        <w:t>p</w:t>
      </w:r>
      <w:r>
        <w:rPr>
          <w:rFonts w:asciiTheme="minorHAnsi" w:hAnsiTheme="minorHAnsi" w:cstheme="minorHAnsi"/>
          <w:sz w:val="18"/>
        </w:rPr>
        <w:t xml:space="preserve">. </w:t>
      </w:r>
      <w:r w:rsidRPr="000D5BE8">
        <w:rPr>
          <w:rFonts w:asciiTheme="minorHAnsi" w:hAnsiTheme="minorHAnsi" w:cstheme="minorHAnsi"/>
          <w:sz w:val="18"/>
        </w:rPr>
        <w:t>79</w:t>
      </w:r>
      <w:r>
        <w:rPr>
          <w:rFonts w:asciiTheme="minorHAnsi" w:hAnsiTheme="minorHAnsi" w:cstheme="minorHAnsi"/>
          <w:sz w:val="18"/>
        </w:rPr>
        <w:t>):</w:t>
      </w:r>
      <w:r w:rsidRPr="000D5BE8">
        <w:rPr>
          <w:rFonts w:asciiTheme="minorHAnsi" w:hAnsiTheme="minorHAnsi" w:cstheme="minorHAnsi"/>
          <w:sz w:val="18"/>
        </w:rPr>
        <w:t xml:space="preserve"> </w:t>
      </w:r>
      <w:hyperlink r:id="rId2" w:history="1">
        <w:r w:rsidRPr="000D5BE8">
          <w:rPr>
            <w:rStyle w:val="Hyperlink"/>
            <w:rFonts w:asciiTheme="minorHAnsi" w:hAnsiTheme="minorHAnsi" w:cstheme="minorHAnsi"/>
            <w:sz w:val="18"/>
          </w:rPr>
          <w:t>https://archive.budget.gov.au/2017-18/fbo/FBO_2017-18_Combined.pdf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1AE3" w14:textId="2322DE3F" w:rsidR="007843E7" w:rsidRDefault="000E366B" w:rsidP="007843E7">
    <w:pPr>
      <w:pStyle w:val="Header"/>
      <w:jc w:val="center"/>
    </w:pPr>
    <w:bookmarkStart w:id="1" w:name="imageHolder"/>
    <w:bookmarkEnd w:id="1"/>
    <w:r w:rsidRPr="00D912DB">
      <w:rPr>
        <w:noProof/>
        <w:sz w:val="28"/>
        <w:szCs w:val="28"/>
        <w:lang w:eastAsia="en-AU"/>
      </w:rPr>
      <w:drawing>
        <wp:inline distT="0" distB="0" distL="0" distR="0" wp14:anchorId="0BB4DC46" wp14:editId="3473248D">
          <wp:extent cx="1688400" cy="1119600"/>
          <wp:effectExtent l="0" t="0" r="7620" b="4445"/>
          <wp:docPr id="2" name="Picture 2" descr="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partment of Health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400" cy="11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6588C" w14:textId="77777777" w:rsidR="00B46148" w:rsidRDefault="00B461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B36"/>
    <w:multiLevelType w:val="hybridMultilevel"/>
    <w:tmpl w:val="45567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036"/>
    <w:multiLevelType w:val="hybridMultilevel"/>
    <w:tmpl w:val="D92AAAAA"/>
    <w:lvl w:ilvl="0" w:tplc="019E5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0CDA"/>
    <w:multiLevelType w:val="hybridMultilevel"/>
    <w:tmpl w:val="017A0762"/>
    <w:lvl w:ilvl="0" w:tplc="0CE871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2F33"/>
    <w:multiLevelType w:val="hybridMultilevel"/>
    <w:tmpl w:val="EA1CC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C3D03"/>
    <w:multiLevelType w:val="hybridMultilevel"/>
    <w:tmpl w:val="C4A48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771F"/>
    <w:multiLevelType w:val="hybridMultilevel"/>
    <w:tmpl w:val="3DA684A6"/>
    <w:lvl w:ilvl="0" w:tplc="8E70C11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B93"/>
    <w:multiLevelType w:val="hybridMultilevel"/>
    <w:tmpl w:val="CA9E8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D7BA9"/>
    <w:multiLevelType w:val="hybridMultilevel"/>
    <w:tmpl w:val="8B665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5"/>
    <w:multiLevelType w:val="hybridMultilevel"/>
    <w:tmpl w:val="21FE5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01092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022B6"/>
    <w:multiLevelType w:val="hybridMultilevel"/>
    <w:tmpl w:val="8D928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760EB"/>
    <w:multiLevelType w:val="hybridMultilevel"/>
    <w:tmpl w:val="E99C9DF4"/>
    <w:lvl w:ilvl="0" w:tplc="8E70C11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81330"/>
    <w:multiLevelType w:val="hybridMultilevel"/>
    <w:tmpl w:val="BE9A8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BD"/>
    <w:rsid w:val="00006DA0"/>
    <w:rsid w:val="000113DD"/>
    <w:rsid w:val="00017DA5"/>
    <w:rsid w:val="00022F36"/>
    <w:rsid w:val="00041BFB"/>
    <w:rsid w:val="000528BF"/>
    <w:rsid w:val="00053AAB"/>
    <w:rsid w:val="00055EDD"/>
    <w:rsid w:val="00073941"/>
    <w:rsid w:val="00084533"/>
    <w:rsid w:val="00094E8A"/>
    <w:rsid w:val="000A2702"/>
    <w:rsid w:val="000A3C19"/>
    <w:rsid w:val="000C213A"/>
    <w:rsid w:val="000D0567"/>
    <w:rsid w:val="000D11CA"/>
    <w:rsid w:val="000D5BE8"/>
    <w:rsid w:val="000D79EB"/>
    <w:rsid w:val="000E366B"/>
    <w:rsid w:val="000E4095"/>
    <w:rsid w:val="000F7129"/>
    <w:rsid w:val="00110CFC"/>
    <w:rsid w:val="0011310B"/>
    <w:rsid w:val="00132BE7"/>
    <w:rsid w:val="00140363"/>
    <w:rsid w:val="001674C8"/>
    <w:rsid w:val="00167C52"/>
    <w:rsid w:val="001720CB"/>
    <w:rsid w:val="001758EE"/>
    <w:rsid w:val="00176AEA"/>
    <w:rsid w:val="00176E84"/>
    <w:rsid w:val="001B7CD7"/>
    <w:rsid w:val="001C6E10"/>
    <w:rsid w:val="0020741E"/>
    <w:rsid w:val="00211C69"/>
    <w:rsid w:val="002121F3"/>
    <w:rsid w:val="00216C8D"/>
    <w:rsid w:val="00227E3F"/>
    <w:rsid w:val="00234226"/>
    <w:rsid w:val="0024149C"/>
    <w:rsid w:val="00242893"/>
    <w:rsid w:val="00253A95"/>
    <w:rsid w:val="002555F1"/>
    <w:rsid w:val="00261322"/>
    <w:rsid w:val="00264A33"/>
    <w:rsid w:val="00280050"/>
    <w:rsid w:val="00281320"/>
    <w:rsid w:val="002874F7"/>
    <w:rsid w:val="002B33C3"/>
    <w:rsid w:val="002B6D41"/>
    <w:rsid w:val="002C69FF"/>
    <w:rsid w:val="002C78F0"/>
    <w:rsid w:val="002D4B0A"/>
    <w:rsid w:val="002D6B36"/>
    <w:rsid w:val="002D6F6D"/>
    <w:rsid w:val="002E6C95"/>
    <w:rsid w:val="002F5135"/>
    <w:rsid w:val="003044F6"/>
    <w:rsid w:val="00321CE1"/>
    <w:rsid w:val="003223C1"/>
    <w:rsid w:val="0032274B"/>
    <w:rsid w:val="003303C3"/>
    <w:rsid w:val="00336788"/>
    <w:rsid w:val="003373C3"/>
    <w:rsid w:val="003508E3"/>
    <w:rsid w:val="00356E49"/>
    <w:rsid w:val="00362450"/>
    <w:rsid w:val="00371B66"/>
    <w:rsid w:val="003765D3"/>
    <w:rsid w:val="00380A69"/>
    <w:rsid w:val="003877F6"/>
    <w:rsid w:val="00395943"/>
    <w:rsid w:val="003A35F5"/>
    <w:rsid w:val="003A746F"/>
    <w:rsid w:val="003B01B2"/>
    <w:rsid w:val="003B2C1B"/>
    <w:rsid w:val="003C56ED"/>
    <w:rsid w:val="003C7034"/>
    <w:rsid w:val="003E3B16"/>
    <w:rsid w:val="003F5FEA"/>
    <w:rsid w:val="00402E88"/>
    <w:rsid w:val="00404C4B"/>
    <w:rsid w:val="00425F92"/>
    <w:rsid w:val="00440512"/>
    <w:rsid w:val="004427B6"/>
    <w:rsid w:val="004439F9"/>
    <w:rsid w:val="004533F2"/>
    <w:rsid w:val="00453F9D"/>
    <w:rsid w:val="0045400B"/>
    <w:rsid w:val="00465925"/>
    <w:rsid w:val="004702A0"/>
    <w:rsid w:val="004740E2"/>
    <w:rsid w:val="00474975"/>
    <w:rsid w:val="0047693E"/>
    <w:rsid w:val="004821FA"/>
    <w:rsid w:val="00483193"/>
    <w:rsid w:val="004B3FB9"/>
    <w:rsid w:val="004B6D1A"/>
    <w:rsid w:val="004B7DDD"/>
    <w:rsid w:val="004C054C"/>
    <w:rsid w:val="004E09BB"/>
    <w:rsid w:val="004E463B"/>
    <w:rsid w:val="004F50A1"/>
    <w:rsid w:val="00502411"/>
    <w:rsid w:val="0050399D"/>
    <w:rsid w:val="00526808"/>
    <w:rsid w:val="0055389A"/>
    <w:rsid w:val="00563C81"/>
    <w:rsid w:val="00587656"/>
    <w:rsid w:val="00594AB6"/>
    <w:rsid w:val="00596460"/>
    <w:rsid w:val="005B285B"/>
    <w:rsid w:val="005B2965"/>
    <w:rsid w:val="005C387A"/>
    <w:rsid w:val="005C3CA8"/>
    <w:rsid w:val="005D42B8"/>
    <w:rsid w:val="005F0A07"/>
    <w:rsid w:val="005F7D42"/>
    <w:rsid w:val="00601E42"/>
    <w:rsid w:val="00637E93"/>
    <w:rsid w:val="00641C94"/>
    <w:rsid w:val="0065603A"/>
    <w:rsid w:val="0066056F"/>
    <w:rsid w:val="00673F3E"/>
    <w:rsid w:val="00686FD7"/>
    <w:rsid w:val="006A6E6A"/>
    <w:rsid w:val="006D105C"/>
    <w:rsid w:val="007220FC"/>
    <w:rsid w:val="00725DA4"/>
    <w:rsid w:val="00736AE6"/>
    <w:rsid w:val="00762CA6"/>
    <w:rsid w:val="00772318"/>
    <w:rsid w:val="00773B6A"/>
    <w:rsid w:val="007843E7"/>
    <w:rsid w:val="007A3013"/>
    <w:rsid w:val="007A373A"/>
    <w:rsid w:val="007B5940"/>
    <w:rsid w:val="007E5CE0"/>
    <w:rsid w:val="007F4737"/>
    <w:rsid w:val="007F57D9"/>
    <w:rsid w:val="007F6972"/>
    <w:rsid w:val="00811EAB"/>
    <w:rsid w:val="00816D33"/>
    <w:rsid w:val="008320D9"/>
    <w:rsid w:val="0083721F"/>
    <w:rsid w:val="008574C0"/>
    <w:rsid w:val="008628AA"/>
    <w:rsid w:val="00880148"/>
    <w:rsid w:val="00893F63"/>
    <w:rsid w:val="008A24C6"/>
    <w:rsid w:val="008A2C3F"/>
    <w:rsid w:val="008C2E76"/>
    <w:rsid w:val="008E1991"/>
    <w:rsid w:val="008F2454"/>
    <w:rsid w:val="008F7078"/>
    <w:rsid w:val="009052EA"/>
    <w:rsid w:val="009228A5"/>
    <w:rsid w:val="00926456"/>
    <w:rsid w:val="00933AC2"/>
    <w:rsid w:val="0093401A"/>
    <w:rsid w:val="00973F43"/>
    <w:rsid w:val="0098265B"/>
    <w:rsid w:val="0098567D"/>
    <w:rsid w:val="00994743"/>
    <w:rsid w:val="009A45A1"/>
    <w:rsid w:val="009B5566"/>
    <w:rsid w:val="009C0FCF"/>
    <w:rsid w:val="009C1233"/>
    <w:rsid w:val="009D2304"/>
    <w:rsid w:val="009D5DAB"/>
    <w:rsid w:val="009D76FF"/>
    <w:rsid w:val="009D7DE8"/>
    <w:rsid w:val="009E2C50"/>
    <w:rsid w:val="009F4D54"/>
    <w:rsid w:val="00A20F96"/>
    <w:rsid w:val="00A24827"/>
    <w:rsid w:val="00A33654"/>
    <w:rsid w:val="00A3371B"/>
    <w:rsid w:val="00A3429C"/>
    <w:rsid w:val="00A36170"/>
    <w:rsid w:val="00A4722C"/>
    <w:rsid w:val="00A53A5C"/>
    <w:rsid w:val="00A61D2B"/>
    <w:rsid w:val="00A63B90"/>
    <w:rsid w:val="00A65AD7"/>
    <w:rsid w:val="00A65FA2"/>
    <w:rsid w:val="00A718EC"/>
    <w:rsid w:val="00A90B50"/>
    <w:rsid w:val="00A9262E"/>
    <w:rsid w:val="00AA5E26"/>
    <w:rsid w:val="00AA6E0F"/>
    <w:rsid w:val="00AC4092"/>
    <w:rsid w:val="00B018E6"/>
    <w:rsid w:val="00B02C67"/>
    <w:rsid w:val="00B25F65"/>
    <w:rsid w:val="00B333D3"/>
    <w:rsid w:val="00B36629"/>
    <w:rsid w:val="00B46148"/>
    <w:rsid w:val="00B550BC"/>
    <w:rsid w:val="00B91734"/>
    <w:rsid w:val="00B91BC3"/>
    <w:rsid w:val="00B951DE"/>
    <w:rsid w:val="00B9786C"/>
    <w:rsid w:val="00BA168C"/>
    <w:rsid w:val="00BB2A20"/>
    <w:rsid w:val="00BB5B4F"/>
    <w:rsid w:val="00BC1D0D"/>
    <w:rsid w:val="00BC1E89"/>
    <w:rsid w:val="00BC42B6"/>
    <w:rsid w:val="00BC763A"/>
    <w:rsid w:val="00BD39F2"/>
    <w:rsid w:val="00BD462F"/>
    <w:rsid w:val="00BD5EB1"/>
    <w:rsid w:val="00BF61A0"/>
    <w:rsid w:val="00C02C62"/>
    <w:rsid w:val="00C2228F"/>
    <w:rsid w:val="00C2470A"/>
    <w:rsid w:val="00C25BAE"/>
    <w:rsid w:val="00C276BA"/>
    <w:rsid w:val="00C33EAF"/>
    <w:rsid w:val="00C33EB2"/>
    <w:rsid w:val="00C42037"/>
    <w:rsid w:val="00C565CB"/>
    <w:rsid w:val="00C57A85"/>
    <w:rsid w:val="00C66435"/>
    <w:rsid w:val="00C70046"/>
    <w:rsid w:val="00C712EB"/>
    <w:rsid w:val="00C82C15"/>
    <w:rsid w:val="00C82D14"/>
    <w:rsid w:val="00C910E6"/>
    <w:rsid w:val="00CB7CBD"/>
    <w:rsid w:val="00CC69BD"/>
    <w:rsid w:val="00CE6204"/>
    <w:rsid w:val="00CE6291"/>
    <w:rsid w:val="00CF47EF"/>
    <w:rsid w:val="00D029DD"/>
    <w:rsid w:val="00D579E4"/>
    <w:rsid w:val="00D57DCE"/>
    <w:rsid w:val="00D84867"/>
    <w:rsid w:val="00D87DF8"/>
    <w:rsid w:val="00D952BC"/>
    <w:rsid w:val="00DB36FD"/>
    <w:rsid w:val="00DB39BF"/>
    <w:rsid w:val="00DC7AF0"/>
    <w:rsid w:val="00DD7F38"/>
    <w:rsid w:val="00DE2F65"/>
    <w:rsid w:val="00DF096C"/>
    <w:rsid w:val="00E011F6"/>
    <w:rsid w:val="00E0279C"/>
    <w:rsid w:val="00E23522"/>
    <w:rsid w:val="00E304BD"/>
    <w:rsid w:val="00E54605"/>
    <w:rsid w:val="00E60BA2"/>
    <w:rsid w:val="00E7227A"/>
    <w:rsid w:val="00E77E86"/>
    <w:rsid w:val="00E810C2"/>
    <w:rsid w:val="00E81F19"/>
    <w:rsid w:val="00E9593F"/>
    <w:rsid w:val="00E96C64"/>
    <w:rsid w:val="00EA78E7"/>
    <w:rsid w:val="00EC5E50"/>
    <w:rsid w:val="00EE3C97"/>
    <w:rsid w:val="00EF2950"/>
    <w:rsid w:val="00EF2E77"/>
    <w:rsid w:val="00EF6BD4"/>
    <w:rsid w:val="00F00B8F"/>
    <w:rsid w:val="00F048D2"/>
    <w:rsid w:val="00F10A8E"/>
    <w:rsid w:val="00F14D6C"/>
    <w:rsid w:val="00F154AD"/>
    <w:rsid w:val="00F22DCD"/>
    <w:rsid w:val="00F23337"/>
    <w:rsid w:val="00F2723A"/>
    <w:rsid w:val="00F35877"/>
    <w:rsid w:val="00F409F8"/>
    <w:rsid w:val="00F47931"/>
    <w:rsid w:val="00F528E5"/>
    <w:rsid w:val="00F73733"/>
    <w:rsid w:val="00F924A3"/>
    <w:rsid w:val="00FA2B57"/>
    <w:rsid w:val="00FB6ACC"/>
    <w:rsid w:val="00FC4053"/>
    <w:rsid w:val="00FC7B7D"/>
    <w:rsid w:val="00FE475F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EA83EE"/>
  <w15:chartTrackingRefBased/>
  <w15:docId w15:val="{973DB1C5-058D-4D3E-922C-33EA9C8C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7F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9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7E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3522"/>
  </w:style>
  <w:style w:type="paragraph" w:styleId="ListParagraph">
    <w:name w:val="List Paragraph"/>
    <w:basedOn w:val="Normal"/>
    <w:uiPriority w:val="34"/>
    <w:qFormat/>
    <w:rsid w:val="00F35877"/>
    <w:pPr>
      <w:ind w:left="720"/>
      <w:contextualSpacing/>
    </w:pPr>
  </w:style>
  <w:style w:type="paragraph" w:styleId="NoSpacing">
    <w:name w:val="No Spacing"/>
    <w:uiPriority w:val="1"/>
    <w:qFormat/>
    <w:rsid w:val="00321C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80A6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80A69"/>
    <w:rPr>
      <w:rFonts w:asciiTheme="minorHAnsi" w:hAnsiTheme="minorHAnsi" w:cstheme="minorBid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28A5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8A5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8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7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C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7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1F"/>
  </w:style>
  <w:style w:type="paragraph" w:styleId="Revision">
    <w:name w:val="Revision"/>
    <w:hidden/>
    <w:uiPriority w:val="99"/>
    <w:semiHidden/>
    <w:rsid w:val="009B556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877F6"/>
    <w:rPr>
      <w:rFonts w:eastAsia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9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95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0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6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5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97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2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9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87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4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470986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29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4" w:color="E1E1E1"/>
                                                                                    <w:left w:val="single" w:sz="6" w:space="4" w:color="E1E1E1"/>
                                                                                    <w:bottom w:val="single" w:sz="6" w:space="4" w:color="E1E1E1"/>
                                                                                    <w:right w:val="single" w:sz="6" w:space="4" w:color="E1E1E1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72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12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389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chive.budget.gov.au/2017-18/fbo/FBO_2017-18_Combined.pdf" TargetMode="External"/><Relationship Id="rId1" Type="http://schemas.openxmlformats.org/officeDocument/2006/relationships/hyperlink" Target="https://www.pc.gov.au/research/ongoing/indigenous-expenditure-report/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60F7-A3B6-4B4F-9387-25E1A931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35 - Australian Government Department of Health - Indigenous Evaluation Strategy - Project</vt:lpstr>
    </vt:vector>
  </TitlesOfParts>
  <Company>Australian Government Department of Health</Company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35 - Australian Government Department of Health - Indigenous Evaluation Strategy - Project</dc:title>
  <dc:subject/>
  <dc:creator>Australian Government Department of Health</dc:creator>
  <cp:keywords/>
  <dc:description/>
  <cp:lastModifiedBy>Pimperl, Mark</cp:lastModifiedBy>
  <cp:revision>33</cp:revision>
  <dcterms:created xsi:type="dcterms:W3CDTF">2019-08-04T23:59:00Z</dcterms:created>
  <dcterms:modified xsi:type="dcterms:W3CDTF">2019-08-28T03:37:00Z</dcterms:modified>
</cp:coreProperties>
</file>