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5D9" w:rsidRPr="0086202A" w:rsidRDefault="00FF1F34" w:rsidP="00DD0B45">
      <w:pPr>
        <w:pStyle w:val="BDODate"/>
        <w:spacing w:before="0" w:after="0" w:line="240" w:lineRule="auto"/>
        <w:rPr>
          <w:szCs w:val="20"/>
        </w:rPr>
      </w:pPr>
      <w:r w:rsidRPr="0086202A">
        <w:fldChar w:fldCharType="begin"/>
      </w:r>
      <w:r w:rsidRPr="0086202A">
        <w:rPr>
          <w:szCs w:val="20"/>
        </w:rPr>
        <w:instrText xml:space="preserve"> HYPERLINK "mailto:remotetax@pc.gov.au" </w:instrText>
      </w:r>
      <w:r w:rsidRPr="0086202A">
        <w:fldChar w:fldCharType="separate"/>
      </w:r>
      <w:r w:rsidR="00535500" w:rsidRPr="0086202A">
        <w:rPr>
          <w:rStyle w:val="Hyperlink"/>
          <w:szCs w:val="20"/>
        </w:rPr>
        <w:t>remotetax@pc.gov.au</w:t>
      </w:r>
      <w:r w:rsidRPr="0086202A">
        <w:rPr>
          <w:rStyle w:val="Hyperlink"/>
          <w:szCs w:val="20"/>
        </w:rPr>
        <w:fldChar w:fldCharType="end"/>
      </w:r>
    </w:p>
    <w:p w:rsidR="00535500" w:rsidRPr="0086202A" w:rsidRDefault="00535500" w:rsidP="00DD0B45">
      <w:pPr>
        <w:pStyle w:val="BDODate"/>
        <w:spacing w:before="0" w:after="0" w:line="240" w:lineRule="auto"/>
        <w:rPr>
          <w:szCs w:val="20"/>
        </w:rPr>
      </w:pPr>
      <w:r w:rsidRPr="0086202A">
        <w:rPr>
          <w:szCs w:val="20"/>
        </w:rPr>
        <w:t>Productivity Commission</w:t>
      </w:r>
    </w:p>
    <w:p w:rsidR="00535500" w:rsidRPr="0086202A" w:rsidRDefault="00535500" w:rsidP="00DD0B45">
      <w:pPr>
        <w:pStyle w:val="BDODate"/>
        <w:spacing w:before="0" w:after="0" w:line="240" w:lineRule="auto"/>
        <w:rPr>
          <w:szCs w:val="20"/>
        </w:rPr>
      </w:pPr>
      <w:r w:rsidRPr="0086202A">
        <w:rPr>
          <w:szCs w:val="20"/>
        </w:rPr>
        <w:t>Remote Area Tax Concessions and Payments</w:t>
      </w:r>
    </w:p>
    <w:p w:rsidR="00535500" w:rsidRPr="0086202A" w:rsidRDefault="00535500" w:rsidP="00DD0B45">
      <w:pPr>
        <w:pStyle w:val="BDODate"/>
        <w:spacing w:before="0" w:after="0" w:line="240" w:lineRule="auto"/>
        <w:rPr>
          <w:szCs w:val="20"/>
        </w:rPr>
      </w:pPr>
      <w:r w:rsidRPr="0086202A">
        <w:rPr>
          <w:szCs w:val="20"/>
        </w:rPr>
        <w:t>Productivity Commission</w:t>
      </w:r>
    </w:p>
    <w:p w:rsidR="00535500" w:rsidRPr="0086202A" w:rsidRDefault="00535500" w:rsidP="00DD0B45">
      <w:pPr>
        <w:pStyle w:val="BDODate"/>
        <w:spacing w:before="0" w:after="0" w:line="240" w:lineRule="auto"/>
        <w:rPr>
          <w:szCs w:val="20"/>
        </w:rPr>
      </w:pPr>
      <w:r w:rsidRPr="0086202A">
        <w:rPr>
          <w:szCs w:val="20"/>
        </w:rPr>
        <w:t>GPO Box 1428, Canberra City ACT 2601, Australia</w:t>
      </w:r>
    </w:p>
    <w:p w:rsidR="00535500" w:rsidRPr="0086202A" w:rsidRDefault="00535500" w:rsidP="00DD0B45">
      <w:pPr>
        <w:pStyle w:val="BDODate"/>
        <w:spacing w:before="0" w:after="0" w:line="240" w:lineRule="auto"/>
        <w:rPr>
          <w:szCs w:val="20"/>
        </w:rPr>
      </w:pPr>
    </w:p>
    <w:p w:rsidR="00E705D9" w:rsidRPr="0086202A" w:rsidRDefault="00E705D9" w:rsidP="00DD0B45">
      <w:pPr>
        <w:pStyle w:val="BDODate"/>
        <w:spacing w:before="0" w:after="0" w:line="240" w:lineRule="auto"/>
        <w:rPr>
          <w:szCs w:val="20"/>
        </w:rPr>
      </w:pPr>
    </w:p>
    <w:p w:rsidR="003C7522" w:rsidRPr="0086202A" w:rsidRDefault="005A05BD" w:rsidP="00DD0B45">
      <w:pPr>
        <w:pStyle w:val="BDODate"/>
        <w:spacing w:before="0" w:after="0" w:line="240" w:lineRule="auto"/>
        <w:rPr>
          <w:szCs w:val="20"/>
        </w:rPr>
      </w:pPr>
      <w:r w:rsidRPr="0086202A">
        <w:rPr>
          <w:szCs w:val="20"/>
        </w:rPr>
        <w:t xml:space="preserve">11 October 2019 </w:t>
      </w:r>
    </w:p>
    <w:p w:rsidR="003C7522" w:rsidRPr="0086202A" w:rsidRDefault="003C7522" w:rsidP="00DD0B45">
      <w:pPr>
        <w:pStyle w:val="BDOSalutation"/>
        <w:spacing w:before="0" w:after="0" w:line="240" w:lineRule="auto"/>
        <w:rPr>
          <w:szCs w:val="20"/>
        </w:rPr>
      </w:pPr>
    </w:p>
    <w:p w:rsidR="004E2A57" w:rsidRPr="0086202A" w:rsidRDefault="004E2A57" w:rsidP="00DD0B45">
      <w:pPr>
        <w:pStyle w:val="BDOSalutation"/>
        <w:spacing w:before="0" w:after="0" w:line="240" w:lineRule="auto"/>
        <w:rPr>
          <w:b/>
          <w:caps/>
          <w:szCs w:val="20"/>
        </w:rPr>
      </w:pPr>
    </w:p>
    <w:p w:rsidR="003C7522" w:rsidRPr="0086202A" w:rsidRDefault="005A05BD" w:rsidP="00DD0B45">
      <w:pPr>
        <w:pStyle w:val="BDOBodyText"/>
        <w:spacing w:after="0" w:line="240" w:lineRule="auto"/>
        <w:rPr>
          <w:b/>
          <w:szCs w:val="20"/>
        </w:rPr>
      </w:pPr>
      <w:r w:rsidRPr="0086202A">
        <w:rPr>
          <w:b/>
          <w:szCs w:val="20"/>
        </w:rPr>
        <w:t>Productivity Commission draft report ‘Remote Area Tax Concessions and Payments’</w:t>
      </w:r>
    </w:p>
    <w:p w:rsidR="003C7522" w:rsidRPr="0086202A" w:rsidRDefault="003C7522" w:rsidP="00DD0B45">
      <w:pPr>
        <w:pStyle w:val="BDOBodyText"/>
        <w:spacing w:after="0" w:line="240" w:lineRule="auto"/>
        <w:rPr>
          <w:szCs w:val="20"/>
        </w:rPr>
      </w:pPr>
    </w:p>
    <w:p w:rsidR="00F81B23" w:rsidRPr="0086202A" w:rsidRDefault="003C7522" w:rsidP="0047435F">
      <w:pPr>
        <w:pStyle w:val="BDOBodyText"/>
        <w:spacing w:after="0" w:line="240" w:lineRule="auto"/>
        <w:rPr>
          <w:szCs w:val="20"/>
        </w:rPr>
      </w:pPr>
      <w:r w:rsidRPr="0086202A">
        <w:rPr>
          <w:szCs w:val="20"/>
        </w:rPr>
        <w:t xml:space="preserve">We refer to </w:t>
      </w:r>
      <w:r w:rsidR="005A05BD" w:rsidRPr="0086202A">
        <w:rPr>
          <w:szCs w:val="20"/>
        </w:rPr>
        <w:t xml:space="preserve">the </w:t>
      </w:r>
      <w:r w:rsidR="005A05BD" w:rsidRPr="0086202A">
        <w:rPr>
          <w:color w:val="000000"/>
          <w:szCs w:val="20"/>
        </w:rPr>
        <w:t xml:space="preserve">Productivity Commission </w:t>
      </w:r>
      <w:r w:rsidR="00A6576F" w:rsidRPr="0086202A">
        <w:rPr>
          <w:color w:val="000000"/>
          <w:szCs w:val="20"/>
        </w:rPr>
        <w:t xml:space="preserve">(PC) </w:t>
      </w:r>
      <w:r w:rsidR="005A05BD" w:rsidRPr="0086202A">
        <w:rPr>
          <w:color w:val="000000"/>
          <w:szCs w:val="20"/>
        </w:rPr>
        <w:t xml:space="preserve">invitation to consult on the draft report </w:t>
      </w:r>
      <w:hyperlink r:id="rId8" w:anchor="media-release" w:history="1">
        <w:r w:rsidR="005A05BD" w:rsidRPr="0086202A">
          <w:rPr>
            <w:rStyle w:val="Hyperlink"/>
            <w:szCs w:val="20"/>
          </w:rPr>
          <w:t>‘Remote Area Tax Concessions and Payments’</w:t>
        </w:r>
      </w:hyperlink>
      <w:r w:rsidR="00E14D58">
        <w:rPr>
          <w:color w:val="000000"/>
          <w:szCs w:val="20"/>
        </w:rPr>
        <w:t xml:space="preserve"> </w:t>
      </w:r>
      <w:r w:rsidR="005A05BD" w:rsidRPr="0086202A">
        <w:rPr>
          <w:color w:val="000000"/>
          <w:szCs w:val="20"/>
        </w:rPr>
        <w:t xml:space="preserve">which was released on 4 September 2019. </w:t>
      </w:r>
      <w:r w:rsidR="00A6576F" w:rsidRPr="0086202A">
        <w:rPr>
          <w:color w:val="000000"/>
          <w:szCs w:val="20"/>
        </w:rPr>
        <w:t xml:space="preserve"> </w:t>
      </w:r>
      <w:r w:rsidR="004159CA" w:rsidRPr="0086202A">
        <w:rPr>
          <w:szCs w:val="20"/>
        </w:rPr>
        <w:t xml:space="preserve">BDO support the </w:t>
      </w:r>
      <w:r w:rsidR="00A6576F" w:rsidRPr="0086202A">
        <w:rPr>
          <w:szCs w:val="20"/>
        </w:rPr>
        <w:t>PC’s r</w:t>
      </w:r>
      <w:r w:rsidR="004159CA" w:rsidRPr="0086202A">
        <w:rPr>
          <w:szCs w:val="20"/>
        </w:rPr>
        <w:t>eview and proposal to visit certain concessions and ensure they are</w:t>
      </w:r>
      <w:r w:rsidR="00F81B23" w:rsidRPr="0086202A">
        <w:rPr>
          <w:szCs w:val="20"/>
        </w:rPr>
        <w:t xml:space="preserve"> streamlined and</w:t>
      </w:r>
      <w:r w:rsidR="004159CA" w:rsidRPr="0086202A">
        <w:rPr>
          <w:szCs w:val="20"/>
        </w:rPr>
        <w:t xml:space="preserve"> more targeted at achieving the relevant policy objectives.</w:t>
      </w:r>
      <w:r w:rsidR="00F81B23" w:rsidRPr="0086202A">
        <w:rPr>
          <w:szCs w:val="20"/>
        </w:rPr>
        <w:t xml:space="preserve"> We make the following general comments about this review:</w:t>
      </w:r>
    </w:p>
    <w:p w:rsidR="004159CA" w:rsidRPr="0086202A" w:rsidRDefault="004159CA" w:rsidP="0047435F">
      <w:pPr>
        <w:spacing w:after="0" w:line="240" w:lineRule="auto"/>
        <w:rPr>
          <w:color w:val="000000"/>
          <w:szCs w:val="20"/>
        </w:rPr>
      </w:pPr>
    </w:p>
    <w:p w:rsidR="00D151FA" w:rsidRPr="0086202A" w:rsidRDefault="00F81B23" w:rsidP="0047435F">
      <w:pPr>
        <w:numPr>
          <w:ilvl w:val="0"/>
          <w:numId w:val="42"/>
        </w:numPr>
        <w:spacing w:after="0" w:line="240" w:lineRule="auto"/>
        <w:rPr>
          <w:color w:val="000000"/>
          <w:szCs w:val="20"/>
        </w:rPr>
      </w:pPr>
      <w:r w:rsidRPr="0086202A">
        <w:rPr>
          <w:color w:val="000000"/>
          <w:szCs w:val="20"/>
        </w:rPr>
        <w:t xml:space="preserve">Some of the current concessions are out of date and targeted at some of the wrong locations that are no longer considered to be remote.  </w:t>
      </w:r>
      <w:r w:rsidR="00D151FA" w:rsidRPr="0086202A">
        <w:rPr>
          <w:color w:val="000000"/>
          <w:szCs w:val="20"/>
        </w:rPr>
        <w:t xml:space="preserve"> </w:t>
      </w:r>
    </w:p>
    <w:p w:rsidR="00F81B23" w:rsidRPr="0086202A" w:rsidRDefault="00D151FA" w:rsidP="0047435F">
      <w:pPr>
        <w:numPr>
          <w:ilvl w:val="0"/>
          <w:numId w:val="42"/>
        </w:numPr>
        <w:spacing w:after="0" w:line="240" w:lineRule="auto"/>
        <w:rPr>
          <w:color w:val="000000"/>
          <w:szCs w:val="20"/>
        </w:rPr>
      </w:pPr>
      <w:r w:rsidRPr="0086202A">
        <w:rPr>
          <w:color w:val="000000"/>
          <w:szCs w:val="20"/>
        </w:rPr>
        <w:t xml:space="preserve">FBT compliance costs can be extensive and many of the concessions were put in place to ameliorate these extensive compliance costs.  </w:t>
      </w:r>
    </w:p>
    <w:p w:rsidR="00D151FA" w:rsidRPr="0086202A" w:rsidRDefault="0086202A" w:rsidP="0047435F">
      <w:pPr>
        <w:numPr>
          <w:ilvl w:val="0"/>
          <w:numId w:val="42"/>
        </w:numPr>
        <w:spacing w:after="0" w:line="240" w:lineRule="auto"/>
        <w:rPr>
          <w:color w:val="000000"/>
          <w:szCs w:val="20"/>
        </w:rPr>
      </w:pPr>
      <w:r>
        <w:rPr>
          <w:color w:val="000000"/>
          <w:szCs w:val="20"/>
        </w:rPr>
        <w:t>R</w:t>
      </w:r>
      <w:r w:rsidR="00D151FA" w:rsidRPr="0086202A">
        <w:rPr>
          <w:color w:val="000000"/>
          <w:szCs w:val="20"/>
        </w:rPr>
        <w:t xml:space="preserve">emote area concessions are an important aspect of this compliance saving measure because it recognises that employers in remote areas have to provide more of these types of benefits to attract </w:t>
      </w:r>
      <w:r w:rsidR="00BE07D0" w:rsidRPr="0086202A">
        <w:rPr>
          <w:color w:val="000000"/>
          <w:szCs w:val="20"/>
        </w:rPr>
        <w:t>appropriate</w:t>
      </w:r>
      <w:r w:rsidR="00D151FA" w:rsidRPr="0086202A">
        <w:rPr>
          <w:color w:val="000000"/>
          <w:szCs w:val="20"/>
        </w:rPr>
        <w:t xml:space="preserve"> staff compared to employers</w:t>
      </w:r>
      <w:r w:rsidR="00BE07D0" w:rsidRPr="0086202A">
        <w:rPr>
          <w:color w:val="000000"/>
          <w:szCs w:val="20"/>
        </w:rPr>
        <w:t xml:space="preserve"> </w:t>
      </w:r>
      <w:r w:rsidR="00D151FA" w:rsidRPr="0086202A">
        <w:rPr>
          <w:color w:val="000000"/>
          <w:szCs w:val="20"/>
        </w:rPr>
        <w:t>in non-remote area.</w:t>
      </w:r>
    </w:p>
    <w:p w:rsidR="00F81B23" w:rsidRPr="0086202A" w:rsidRDefault="00F81B23" w:rsidP="0047435F">
      <w:pPr>
        <w:numPr>
          <w:ilvl w:val="0"/>
          <w:numId w:val="42"/>
        </w:numPr>
        <w:spacing w:after="0" w:line="240" w:lineRule="auto"/>
        <w:rPr>
          <w:color w:val="000000"/>
          <w:szCs w:val="20"/>
        </w:rPr>
      </w:pPr>
      <w:r w:rsidRPr="0086202A">
        <w:rPr>
          <w:color w:val="000000"/>
          <w:szCs w:val="20"/>
        </w:rPr>
        <w:t xml:space="preserve">Any changes need to be carefully managed because there may be many commercial arrangements where employment costs have factored in these concessions so there will need to be some transition arrangements to ensure some people are not unfairly affected and both employers and employees are given time to reorganise their employment contracts etc.  </w:t>
      </w:r>
    </w:p>
    <w:p w:rsidR="0047435F" w:rsidRPr="0086202A" w:rsidRDefault="0086202A" w:rsidP="0047435F">
      <w:pPr>
        <w:pStyle w:val="BDOBodytext0"/>
        <w:numPr>
          <w:ilvl w:val="0"/>
          <w:numId w:val="42"/>
        </w:numPr>
        <w:spacing w:after="0" w:line="240" w:lineRule="auto"/>
      </w:pPr>
      <w:r>
        <w:t>Charitable organisations will be impacted by a</w:t>
      </w:r>
      <w:r w:rsidR="00A6576F" w:rsidRPr="0086202A">
        <w:t xml:space="preserve">ny change to </w:t>
      </w:r>
      <w:r>
        <w:t xml:space="preserve">employer provided accommodation, </w:t>
      </w:r>
      <w:r w:rsidR="00A6576F" w:rsidRPr="0086202A">
        <w:t xml:space="preserve">with the outlay for FBT diverting funds from the other current activities. </w:t>
      </w:r>
      <w:r>
        <w:t>P</w:t>
      </w:r>
      <w:r w:rsidR="0047435F" w:rsidRPr="0086202A">
        <w:t>ublic benevolent institutions might be FBT exempt</w:t>
      </w:r>
      <w:r>
        <w:t>,</w:t>
      </w:r>
      <w:r w:rsidR="0047435F" w:rsidRPr="0086202A">
        <w:t xml:space="preserve"> but in reality all of the exemption </w:t>
      </w:r>
      <w:r w:rsidR="00E14D58">
        <w:t xml:space="preserve">is usually </w:t>
      </w:r>
      <w:r w:rsidR="0047435F" w:rsidRPr="0086202A">
        <w:t>applied to a salary sacrifice remuneration model to save the organisation some wages, therefore any additional fringe benefit taxable value will be in excess of the cap and taxable.</w:t>
      </w:r>
    </w:p>
    <w:p w:rsidR="00CD00C7" w:rsidRPr="0086202A" w:rsidRDefault="00F81B23" w:rsidP="0047435F">
      <w:pPr>
        <w:numPr>
          <w:ilvl w:val="0"/>
          <w:numId w:val="42"/>
        </w:numPr>
        <w:spacing w:after="0" w:line="240" w:lineRule="auto"/>
        <w:rPr>
          <w:color w:val="000000"/>
          <w:szCs w:val="20"/>
        </w:rPr>
      </w:pPr>
      <w:r w:rsidRPr="0086202A">
        <w:rPr>
          <w:color w:val="000000"/>
          <w:szCs w:val="20"/>
        </w:rPr>
        <w:t xml:space="preserve">One of the important policy objectives of these concessions should be to ensure there is adequate employment pool of people able and willing to live and work in remote locations and this needs to be kept in mind before removing or reducing particular concessions. </w:t>
      </w:r>
      <w:r w:rsidR="00CD00C7" w:rsidRPr="0086202A">
        <w:rPr>
          <w:color w:val="000000"/>
          <w:szCs w:val="20"/>
        </w:rPr>
        <w:t xml:space="preserve"> </w:t>
      </w:r>
    </w:p>
    <w:p w:rsidR="00F81B23" w:rsidRPr="0086202A" w:rsidRDefault="00F81B23" w:rsidP="0047435F">
      <w:pPr>
        <w:numPr>
          <w:ilvl w:val="0"/>
          <w:numId w:val="42"/>
        </w:numPr>
        <w:spacing w:after="0" w:line="240" w:lineRule="auto"/>
        <w:rPr>
          <w:color w:val="000000"/>
          <w:szCs w:val="20"/>
        </w:rPr>
      </w:pPr>
      <w:r w:rsidRPr="0086202A">
        <w:rPr>
          <w:color w:val="000000"/>
          <w:szCs w:val="20"/>
        </w:rPr>
        <w:t>Many farming enterprises both in and outside ‘remote locations’ find it difficult to find enough employees, particularly for seasonal work, and therefore there may be justification to extend some concessions to locations outside the current remote locations.</w:t>
      </w:r>
      <w:r w:rsidR="001306A8" w:rsidRPr="0086202A">
        <w:rPr>
          <w:color w:val="000000"/>
          <w:szCs w:val="20"/>
        </w:rPr>
        <w:t xml:space="preserve"> This may also ap</w:t>
      </w:r>
      <w:r w:rsidR="004E2A57" w:rsidRPr="0086202A">
        <w:rPr>
          <w:color w:val="000000"/>
          <w:szCs w:val="20"/>
        </w:rPr>
        <w:t xml:space="preserve">ply to certain other employers e.g. Police services. </w:t>
      </w:r>
    </w:p>
    <w:p w:rsidR="00F81B23" w:rsidRPr="0086202A" w:rsidRDefault="00F81B23" w:rsidP="0047435F">
      <w:pPr>
        <w:spacing w:after="0" w:line="240" w:lineRule="auto"/>
        <w:rPr>
          <w:color w:val="000000"/>
          <w:szCs w:val="20"/>
        </w:rPr>
      </w:pPr>
    </w:p>
    <w:p w:rsidR="003C7522" w:rsidRPr="0086202A" w:rsidRDefault="00F60098" w:rsidP="0047435F">
      <w:pPr>
        <w:pStyle w:val="BDOBodyText"/>
        <w:spacing w:after="0" w:line="240" w:lineRule="auto"/>
        <w:rPr>
          <w:szCs w:val="20"/>
        </w:rPr>
      </w:pPr>
      <w:r w:rsidRPr="0086202A">
        <w:rPr>
          <w:szCs w:val="20"/>
        </w:rPr>
        <w:t xml:space="preserve">Please </w:t>
      </w:r>
      <w:r w:rsidR="003D0486">
        <w:rPr>
          <w:szCs w:val="20"/>
        </w:rPr>
        <w:t xml:space="preserve">refer to the </w:t>
      </w:r>
      <w:r w:rsidRPr="0086202A">
        <w:rPr>
          <w:szCs w:val="20"/>
        </w:rPr>
        <w:t>appendix for</w:t>
      </w:r>
      <w:r w:rsidR="006A6FF0" w:rsidRPr="0086202A">
        <w:rPr>
          <w:szCs w:val="20"/>
        </w:rPr>
        <w:t xml:space="preserve"> more details comments</w:t>
      </w:r>
      <w:r w:rsidRPr="0086202A">
        <w:rPr>
          <w:szCs w:val="20"/>
        </w:rPr>
        <w:t xml:space="preserve"> </w:t>
      </w:r>
      <w:r w:rsidR="006A6FF0" w:rsidRPr="0086202A">
        <w:rPr>
          <w:szCs w:val="20"/>
        </w:rPr>
        <w:t xml:space="preserve">with respect to </w:t>
      </w:r>
      <w:r w:rsidRPr="0086202A">
        <w:rPr>
          <w:szCs w:val="20"/>
        </w:rPr>
        <w:t>some of the information requests in the Productivity Commission’s draft report.</w:t>
      </w:r>
    </w:p>
    <w:p w:rsidR="00F60098" w:rsidRPr="0086202A" w:rsidRDefault="00F60098" w:rsidP="00DD0B45">
      <w:pPr>
        <w:pStyle w:val="BDOBodyText"/>
        <w:spacing w:after="0" w:line="240" w:lineRule="auto"/>
        <w:rPr>
          <w:szCs w:val="20"/>
        </w:rPr>
      </w:pPr>
    </w:p>
    <w:p w:rsidR="003C7522" w:rsidRPr="0086202A" w:rsidRDefault="003C7522" w:rsidP="00DD0B45">
      <w:pPr>
        <w:spacing w:after="0" w:line="240" w:lineRule="auto"/>
        <w:rPr>
          <w:szCs w:val="20"/>
        </w:rPr>
      </w:pPr>
      <w:r w:rsidRPr="0086202A">
        <w:rPr>
          <w:szCs w:val="20"/>
        </w:rPr>
        <w:t>Should you have any questions, or wish to discuss any of the comments made in our submission, please do not hesitate to contact me.</w:t>
      </w:r>
    </w:p>
    <w:p w:rsidR="003C7522" w:rsidRPr="0086202A" w:rsidRDefault="003C7522" w:rsidP="00DD0B45">
      <w:pPr>
        <w:spacing w:after="0" w:line="240" w:lineRule="auto"/>
        <w:rPr>
          <w:szCs w:val="20"/>
        </w:rPr>
      </w:pPr>
    </w:p>
    <w:p w:rsidR="0047435F" w:rsidRPr="0086202A" w:rsidRDefault="003C7522" w:rsidP="00DD0B45">
      <w:pPr>
        <w:spacing w:after="0" w:line="240" w:lineRule="auto"/>
        <w:rPr>
          <w:szCs w:val="20"/>
        </w:rPr>
      </w:pPr>
      <w:r w:rsidRPr="0086202A">
        <w:rPr>
          <w:szCs w:val="20"/>
        </w:rPr>
        <w:fldChar w:fldCharType="begin"/>
      </w:r>
      <w:r w:rsidRPr="0086202A">
        <w:rPr>
          <w:szCs w:val="20"/>
        </w:rPr>
        <w:instrText xml:space="preserve"> DOCPROPERTY  xClosing  \* MERGEFORMAT </w:instrText>
      </w:r>
      <w:r w:rsidRPr="0086202A">
        <w:rPr>
          <w:szCs w:val="20"/>
        </w:rPr>
        <w:fldChar w:fldCharType="separate"/>
      </w:r>
      <w:r w:rsidRPr="0086202A">
        <w:rPr>
          <w:szCs w:val="20"/>
        </w:rPr>
        <w:t>Yours sincerely</w:t>
      </w:r>
      <w:r w:rsidRPr="0086202A">
        <w:rPr>
          <w:szCs w:val="20"/>
        </w:rPr>
        <w:fldChar w:fldCharType="end"/>
      </w:r>
    </w:p>
    <w:p w:rsidR="0086202A" w:rsidRPr="0086202A" w:rsidRDefault="0086202A" w:rsidP="00DD0B45">
      <w:pPr>
        <w:spacing w:after="0" w:line="240" w:lineRule="auto"/>
        <w:rPr>
          <w:szCs w:val="20"/>
        </w:rPr>
      </w:pPr>
      <w:bookmarkStart w:id="0" w:name="_GoBack"/>
      <w:bookmarkEnd w:id="0"/>
    </w:p>
    <w:p w:rsidR="0086202A" w:rsidRPr="0086202A" w:rsidRDefault="0086202A" w:rsidP="00DD0B45">
      <w:pPr>
        <w:spacing w:after="0" w:line="240" w:lineRule="auto"/>
        <w:rPr>
          <w:szCs w:val="20"/>
        </w:rPr>
      </w:pPr>
    </w:p>
    <w:p w:rsidR="0086202A" w:rsidRPr="0086202A" w:rsidRDefault="0086202A" w:rsidP="00DD0B45">
      <w:pPr>
        <w:spacing w:after="0" w:line="240" w:lineRule="auto"/>
        <w:rPr>
          <w:szCs w:val="20"/>
        </w:rPr>
      </w:pPr>
    </w:p>
    <w:p w:rsidR="003C7522" w:rsidRPr="0086202A" w:rsidRDefault="003C7522" w:rsidP="00DD0B45">
      <w:pPr>
        <w:spacing w:after="0" w:line="240" w:lineRule="auto"/>
        <w:rPr>
          <w:szCs w:val="20"/>
        </w:rPr>
      </w:pPr>
      <w:r w:rsidRPr="0086202A">
        <w:rPr>
          <w:szCs w:val="20"/>
        </w:rPr>
        <w:t>Lance Cunningham</w:t>
      </w:r>
    </w:p>
    <w:p w:rsidR="003C7522" w:rsidRPr="0086202A" w:rsidRDefault="003C7522" w:rsidP="00DD0B45">
      <w:pPr>
        <w:spacing w:after="0" w:line="240" w:lineRule="auto"/>
        <w:rPr>
          <w:szCs w:val="20"/>
        </w:rPr>
      </w:pPr>
      <w:r w:rsidRPr="0086202A">
        <w:rPr>
          <w:szCs w:val="20"/>
        </w:rPr>
        <w:t>BDO National Tax Director</w:t>
      </w:r>
    </w:p>
    <w:p w:rsidR="003C7522" w:rsidRPr="0086202A" w:rsidRDefault="00F60098" w:rsidP="0047435F">
      <w:pPr>
        <w:spacing w:line="280" w:lineRule="exact"/>
        <w:rPr>
          <w:b/>
          <w:color w:val="FF0000"/>
          <w:szCs w:val="20"/>
        </w:rPr>
      </w:pPr>
      <w:r w:rsidRPr="0086202A">
        <w:rPr>
          <w:szCs w:val="20"/>
        </w:rPr>
        <w:br w:type="page"/>
      </w:r>
      <w:r w:rsidR="003C7522" w:rsidRPr="0086202A">
        <w:rPr>
          <w:b/>
          <w:color w:val="FF0000"/>
          <w:szCs w:val="20"/>
        </w:rPr>
        <w:lastRenderedPageBreak/>
        <w:t xml:space="preserve">APPENDIX </w:t>
      </w:r>
    </w:p>
    <w:p w:rsidR="00DD0B45" w:rsidRPr="0086202A" w:rsidRDefault="00DD0B45" w:rsidP="00DD0B45">
      <w:pPr>
        <w:spacing w:after="0" w:line="240" w:lineRule="auto"/>
        <w:rPr>
          <w:b/>
          <w:color w:val="FF0000"/>
          <w:szCs w:val="20"/>
        </w:rPr>
      </w:pPr>
    </w:p>
    <w:p w:rsidR="00DD0B45" w:rsidRPr="0086202A" w:rsidRDefault="00DD0B45" w:rsidP="00DD0B45">
      <w:pPr>
        <w:spacing w:after="0" w:line="240" w:lineRule="auto"/>
        <w:rPr>
          <w:b/>
          <w:color w:val="FF0000"/>
          <w:szCs w:val="20"/>
        </w:rPr>
      </w:pPr>
      <w:r w:rsidRPr="0086202A">
        <w:rPr>
          <w:b/>
          <w:color w:val="FF0000"/>
          <w:szCs w:val="20"/>
        </w:rPr>
        <w:t xml:space="preserve">Information request 1 </w:t>
      </w:r>
    </w:p>
    <w:p w:rsidR="00DD0B45" w:rsidRPr="0086202A" w:rsidRDefault="00DD0B45"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The Commission is seeking data capable of supporting a comparison of the cost of living in different parts of Australia, particularly in relation to housing costs.</w:t>
      </w:r>
    </w:p>
    <w:p w:rsidR="00DD0B45" w:rsidRPr="0086202A" w:rsidRDefault="00DD0B45" w:rsidP="00DD0B45">
      <w:pPr>
        <w:spacing w:after="0" w:line="240" w:lineRule="auto"/>
        <w:rPr>
          <w:b/>
          <w:szCs w:val="20"/>
        </w:rPr>
      </w:pPr>
    </w:p>
    <w:p w:rsidR="00FC04FA" w:rsidRPr="0086202A" w:rsidRDefault="00FC04FA" w:rsidP="00DD0B45">
      <w:pPr>
        <w:spacing w:after="0" w:line="240" w:lineRule="auto"/>
        <w:rPr>
          <w:szCs w:val="20"/>
        </w:rPr>
      </w:pPr>
      <w:r w:rsidRPr="0086202A">
        <w:rPr>
          <w:szCs w:val="20"/>
        </w:rPr>
        <w:t xml:space="preserve">No comment. </w:t>
      </w:r>
    </w:p>
    <w:p w:rsidR="00FC04FA" w:rsidRPr="0086202A" w:rsidRDefault="00FC04FA" w:rsidP="00DD0B45">
      <w:pPr>
        <w:spacing w:after="0" w:line="240" w:lineRule="auto"/>
        <w:rPr>
          <w:b/>
          <w:szCs w:val="20"/>
        </w:rPr>
      </w:pPr>
    </w:p>
    <w:p w:rsidR="00DD0B45" w:rsidRPr="0086202A" w:rsidRDefault="00DD0B45" w:rsidP="00DD0B45">
      <w:pPr>
        <w:spacing w:after="0" w:line="240" w:lineRule="auto"/>
        <w:rPr>
          <w:b/>
          <w:color w:val="FF0000"/>
          <w:szCs w:val="20"/>
        </w:rPr>
      </w:pPr>
      <w:r w:rsidRPr="0086202A">
        <w:rPr>
          <w:b/>
          <w:color w:val="FF0000"/>
          <w:szCs w:val="20"/>
        </w:rPr>
        <w:t>Information request 2</w:t>
      </w:r>
    </w:p>
    <w:p w:rsidR="00DD0B45" w:rsidRPr="0086202A" w:rsidRDefault="00DD0B45"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The Commission invites feedback on its estimates of the utilisation of the FBT concessions. Are the Commission’s assumptions plausible? If not, what alternative assumptions should apply? Are there other data that could assist in gauging the use of FBT concessions?</w:t>
      </w:r>
    </w:p>
    <w:p w:rsidR="00DD0B45" w:rsidRPr="0086202A" w:rsidRDefault="00DD0B45" w:rsidP="00DD0B45">
      <w:pPr>
        <w:spacing w:after="0" w:line="240" w:lineRule="auto"/>
        <w:rPr>
          <w:b/>
          <w:szCs w:val="20"/>
        </w:rPr>
      </w:pPr>
    </w:p>
    <w:p w:rsidR="00E84403" w:rsidRPr="0086202A" w:rsidRDefault="00E84403" w:rsidP="00DD0B45">
      <w:pPr>
        <w:spacing w:after="0" w:line="240" w:lineRule="auto"/>
        <w:rPr>
          <w:szCs w:val="20"/>
        </w:rPr>
      </w:pPr>
      <w:r w:rsidRPr="0086202A">
        <w:rPr>
          <w:szCs w:val="20"/>
        </w:rPr>
        <w:t>Many of the remote area FBT concessions have specific criteria that result in uneven benefits being provided to different</w:t>
      </w:r>
      <w:r w:rsidR="0086202A">
        <w:rPr>
          <w:szCs w:val="20"/>
        </w:rPr>
        <w:t xml:space="preserve"> people in similar situations. </w:t>
      </w:r>
      <w:r w:rsidRPr="0086202A">
        <w:rPr>
          <w:szCs w:val="20"/>
        </w:rPr>
        <w:t xml:space="preserve">There is justification for simplification </w:t>
      </w:r>
      <w:r w:rsidR="00CD00C7" w:rsidRPr="0086202A">
        <w:rPr>
          <w:szCs w:val="20"/>
        </w:rPr>
        <w:t>and</w:t>
      </w:r>
      <w:r w:rsidRPr="0086202A">
        <w:rPr>
          <w:szCs w:val="20"/>
        </w:rPr>
        <w:t xml:space="preserve"> clarification of the criteria for receiving these benefits</w:t>
      </w:r>
      <w:r w:rsidR="00BE07D0" w:rsidRPr="0086202A">
        <w:rPr>
          <w:szCs w:val="20"/>
        </w:rPr>
        <w:t xml:space="preserve"> but not necessarily the widespread removal of the concessions on the basis or economic equivalence</w:t>
      </w:r>
      <w:r w:rsidRPr="0086202A">
        <w:rPr>
          <w:szCs w:val="20"/>
        </w:rPr>
        <w:t xml:space="preserve">.  </w:t>
      </w:r>
    </w:p>
    <w:p w:rsidR="00E84403" w:rsidRPr="0086202A" w:rsidRDefault="00E84403" w:rsidP="00DD0B45">
      <w:pPr>
        <w:spacing w:after="0" w:line="240" w:lineRule="auto"/>
        <w:rPr>
          <w:szCs w:val="20"/>
        </w:rPr>
      </w:pPr>
    </w:p>
    <w:p w:rsidR="00FC04FA" w:rsidRPr="0086202A" w:rsidRDefault="0086202A" w:rsidP="00DD0B45">
      <w:pPr>
        <w:spacing w:after="0" w:line="240" w:lineRule="auto"/>
        <w:rPr>
          <w:szCs w:val="20"/>
        </w:rPr>
      </w:pPr>
      <w:r w:rsidRPr="0086202A">
        <w:rPr>
          <w:szCs w:val="20"/>
        </w:rPr>
        <w:t xml:space="preserve">BDO recommend that one of the </w:t>
      </w:r>
      <w:r w:rsidR="00BE07D0" w:rsidRPr="0086202A">
        <w:rPr>
          <w:szCs w:val="20"/>
        </w:rPr>
        <w:t>area</w:t>
      </w:r>
      <w:r w:rsidRPr="0086202A">
        <w:rPr>
          <w:szCs w:val="20"/>
        </w:rPr>
        <w:t>s</w:t>
      </w:r>
      <w:r w:rsidR="00BE07D0" w:rsidRPr="0086202A">
        <w:rPr>
          <w:szCs w:val="20"/>
        </w:rPr>
        <w:t xml:space="preserve"> that could be reviewed is the</w:t>
      </w:r>
      <w:r w:rsidR="00E84403" w:rsidRPr="0086202A">
        <w:rPr>
          <w:szCs w:val="20"/>
        </w:rPr>
        <w:t xml:space="preserve"> many concessions that encourage the use o</w:t>
      </w:r>
      <w:r w:rsidR="004E2A57" w:rsidRPr="0086202A">
        <w:rPr>
          <w:szCs w:val="20"/>
        </w:rPr>
        <w:t xml:space="preserve">f a fly-in-fly out work force. </w:t>
      </w:r>
      <w:r w:rsidR="00E84403" w:rsidRPr="0086202A">
        <w:rPr>
          <w:szCs w:val="20"/>
        </w:rPr>
        <w:t xml:space="preserve">If one of the policy reasons for providing remote area concessions is to encourage the establishment of local communities in remote areas there is justification for increasing the concessions that encourage employees to relocate to these remote locations rather than </w:t>
      </w:r>
      <w:r w:rsidR="009E4172" w:rsidRPr="0086202A">
        <w:rPr>
          <w:szCs w:val="20"/>
        </w:rPr>
        <w:t xml:space="preserve">as </w:t>
      </w:r>
      <w:r w:rsidR="00E84403" w:rsidRPr="0086202A">
        <w:rPr>
          <w:szCs w:val="20"/>
        </w:rPr>
        <w:t>fly in fly out workers.</w:t>
      </w:r>
      <w:r w:rsidR="00FC04FA" w:rsidRPr="0086202A">
        <w:rPr>
          <w:szCs w:val="20"/>
        </w:rPr>
        <w:t xml:space="preserve"> </w:t>
      </w:r>
    </w:p>
    <w:p w:rsidR="00FC04FA" w:rsidRPr="0086202A" w:rsidRDefault="00FC04FA" w:rsidP="00DD0B45">
      <w:pPr>
        <w:spacing w:after="0" w:line="240" w:lineRule="auto"/>
        <w:rPr>
          <w:b/>
          <w:szCs w:val="20"/>
        </w:rPr>
      </w:pPr>
    </w:p>
    <w:p w:rsidR="00DD0B45" w:rsidRPr="0086202A" w:rsidRDefault="00DD0B45" w:rsidP="00DD0B45">
      <w:pPr>
        <w:spacing w:after="0" w:line="240" w:lineRule="auto"/>
        <w:rPr>
          <w:b/>
          <w:color w:val="FF0000"/>
          <w:szCs w:val="20"/>
        </w:rPr>
      </w:pPr>
      <w:r w:rsidRPr="0086202A">
        <w:rPr>
          <w:b/>
          <w:color w:val="FF0000"/>
          <w:szCs w:val="20"/>
        </w:rPr>
        <w:t>Information request 3</w:t>
      </w:r>
    </w:p>
    <w:p w:rsidR="00DD0B45" w:rsidRPr="0086202A" w:rsidRDefault="00DD0B45"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Should the revised remote area concessions be considered ‘reportable’ or ‘excluded’ benefits? Are there additional compliance burdens from allocating these benefits to individual employees that justify excluding them?</w:t>
      </w:r>
    </w:p>
    <w:p w:rsidR="004159CA" w:rsidRPr="0086202A" w:rsidRDefault="004159CA"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Are there any other factors that should be considered in implementing these changes?</w:t>
      </w:r>
    </w:p>
    <w:p w:rsidR="004159CA" w:rsidRPr="0086202A" w:rsidRDefault="004159CA" w:rsidP="004159CA">
      <w:pPr>
        <w:spacing w:after="0" w:line="240" w:lineRule="auto"/>
        <w:rPr>
          <w:color w:val="000000"/>
          <w:szCs w:val="20"/>
        </w:rPr>
      </w:pPr>
    </w:p>
    <w:p w:rsidR="00DD0B45" w:rsidRPr="0086202A" w:rsidRDefault="0086202A" w:rsidP="00A6576F">
      <w:pPr>
        <w:spacing w:after="0" w:line="240" w:lineRule="auto"/>
        <w:rPr>
          <w:color w:val="000000"/>
          <w:szCs w:val="20"/>
        </w:rPr>
      </w:pPr>
      <w:r>
        <w:rPr>
          <w:color w:val="000000"/>
          <w:szCs w:val="20"/>
        </w:rPr>
        <w:t>BDO recommends that the</w:t>
      </w:r>
      <w:r w:rsidR="00F60098" w:rsidRPr="0086202A">
        <w:rPr>
          <w:color w:val="000000"/>
          <w:szCs w:val="20"/>
        </w:rPr>
        <w:t xml:space="preserve"> remote area concessions remain as excluded benefits</w:t>
      </w:r>
      <w:r w:rsidR="00791E85" w:rsidRPr="0086202A">
        <w:rPr>
          <w:color w:val="000000"/>
          <w:szCs w:val="20"/>
        </w:rPr>
        <w:t xml:space="preserve">. </w:t>
      </w:r>
      <w:r w:rsidR="00CD00C7" w:rsidRPr="0086202A">
        <w:rPr>
          <w:color w:val="000000"/>
          <w:szCs w:val="20"/>
        </w:rPr>
        <w:t xml:space="preserve">If </w:t>
      </w:r>
      <w:r w:rsidR="00F60098" w:rsidRPr="0086202A">
        <w:rPr>
          <w:color w:val="000000"/>
          <w:szCs w:val="20"/>
        </w:rPr>
        <w:t xml:space="preserve">after the </w:t>
      </w:r>
      <w:r w:rsidR="003D0486">
        <w:rPr>
          <w:color w:val="000000"/>
          <w:szCs w:val="20"/>
        </w:rPr>
        <w:t xml:space="preserve">PC’s </w:t>
      </w:r>
      <w:r w:rsidR="00F60098" w:rsidRPr="0086202A">
        <w:rPr>
          <w:color w:val="000000"/>
          <w:szCs w:val="20"/>
        </w:rPr>
        <w:t xml:space="preserve">review of the concessions they have been found to be justifiable, the benefit of those concessions should not be partially clawed back by the Government by including them in the relevant employees’ reportable fringe benefits amounts. </w:t>
      </w:r>
    </w:p>
    <w:p w:rsidR="001306A8" w:rsidRPr="0086202A" w:rsidRDefault="001306A8" w:rsidP="00A6576F">
      <w:pPr>
        <w:spacing w:after="0" w:line="240" w:lineRule="auto"/>
        <w:rPr>
          <w:color w:val="000000"/>
          <w:szCs w:val="20"/>
        </w:rPr>
      </w:pPr>
    </w:p>
    <w:p w:rsidR="001306A8" w:rsidRPr="0086202A" w:rsidRDefault="001306A8" w:rsidP="00A6576F">
      <w:pPr>
        <w:spacing w:after="0" w:line="240" w:lineRule="auto"/>
        <w:rPr>
          <w:szCs w:val="20"/>
        </w:rPr>
      </w:pPr>
      <w:r w:rsidRPr="0086202A">
        <w:rPr>
          <w:szCs w:val="20"/>
        </w:rPr>
        <w:t xml:space="preserve">We note that </w:t>
      </w:r>
      <w:r w:rsidR="0086202A">
        <w:rPr>
          <w:szCs w:val="20"/>
        </w:rPr>
        <w:t>the</w:t>
      </w:r>
      <w:r w:rsidRPr="0086202A">
        <w:rPr>
          <w:szCs w:val="20"/>
        </w:rPr>
        <w:t xml:space="preserve"> current FBT legislation </w:t>
      </w:r>
      <w:r w:rsidR="0086202A">
        <w:rPr>
          <w:szCs w:val="20"/>
        </w:rPr>
        <w:t xml:space="preserve">contains </w:t>
      </w:r>
      <w:r w:rsidR="00A131F3" w:rsidRPr="0086202A">
        <w:rPr>
          <w:szCs w:val="20"/>
        </w:rPr>
        <w:t xml:space="preserve">a number of provisions </w:t>
      </w:r>
      <w:r w:rsidRPr="0086202A">
        <w:rPr>
          <w:szCs w:val="20"/>
        </w:rPr>
        <w:t xml:space="preserve">providing for exclusions for remote area housing benefits, such as the following sections in the </w:t>
      </w:r>
      <w:r w:rsidRPr="0086202A">
        <w:rPr>
          <w:i/>
          <w:szCs w:val="20"/>
        </w:rPr>
        <w:t>Fringe Benefits Tax Assessment Act 1986</w:t>
      </w:r>
      <w:r w:rsidR="00953B73" w:rsidRPr="0086202A">
        <w:rPr>
          <w:i/>
          <w:szCs w:val="20"/>
        </w:rPr>
        <w:t xml:space="preserve"> (‘FBT Act’)</w:t>
      </w:r>
      <w:r w:rsidRPr="0086202A">
        <w:rPr>
          <w:szCs w:val="20"/>
        </w:rPr>
        <w:t>:</w:t>
      </w:r>
    </w:p>
    <w:p w:rsidR="001306A8" w:rsidRPr="0086202A" w:rsidRDefault="001306A8" w:rsidP="00A6576F">
      <w:pPr>
        <w:pStyle w:val="ListParagraph"/>
        <w:numPr>
          <w:ilvl w:val="0"/>
          <w:numId w:val="43"/>
        </w:numPr>
        <w:spacing w:after="0" w:line="240" w:lineRule="auto"/>
        <w:ind w:left="714" w:hanging="357"/>
        <w:rPr>
          <w:color w:val="000000"/>
          <w:szCs w:val="20"/>
        </w:rPr>
      </w:pPr>
      <w:r w:rsidRPr="0086202A">
        <w:rPr>
          <w:szCs w:val="20"/>
        </w:rPr>
        <w:t xml:space="preserve">Section </w:t>
      </w:r>
      <w:proofErr w:type="gramStart"/>
      <w:r w:rsidRPr="0086202A">
        <w:rPr>
          <w:szCs w:val="20"/>
        </w:rPr>
        <w:t>5E(</w:t>
      </w:r>
      <w:proofErr w:type="gramEnd"/>
      <w:r w:rsidRPr="0086202A">
        <w:rPr>
          <w:szCs w:val="20"/>
        </w:rPr>
        <w:t xml:space="preserve">3)(e): </w:t>
      </w:r>
      <w:r w:rsidR="00283F33" w:rsidRPr="0086202A">
        <w:rPr>
          <w:szCs w:val="20"/>
        </w:rPr>
        <w:t xml:space="preserve"> Remote area residential fuel benefits.</w:t>
      </w:r>
    </w:p>
    <w:p w:rsidR="001306A8" w:rsidRPr="0086202A" w:rsidRDefault="001306A8" w:rsidP="00A6576F">
      <w:pPr>
        <w:pStyle w:val="BDOBodytext0"/>
        <w:numPr>
          <w:ilvl w:val="0"/>
          <w:numId w:val="43"/>
        </w:numPr>
        <w:spacing w:after="0" w:line="240" w:lineRule="auto"/>
        <w:ind w:left="714" w:hanging="357"/>
      </w:pPr>
      <w:r w:rsidRPr="0086202A">
        <w:t xml:space="preserve">Section </w:t>
      </w:r>
      <w:proofErr w:type="gramStart"/>
      <w:r w:rsidRPr="0086202A">
        <w:t>5E(</w:t>
      </w:r>
      <w:proofErr w:type="gramEnd"/>
      <w:r w:rsidRPr="0086202A">
        <w:t>3)(f):</w:t>
      </w:r>
      <w:r w:rsidR="00283F33" w:rsidRPr="0086202A">
        <w:t xml:space="preserve">  Remote area housing benefits (50% concession re employee-sourced housing).</w:t>
      </w:r>
    </w:p>
    <w:p w:rsidR="001306A8" w:rsidRPr="0086202A" w:rsidRDefault="00283F33" w:rsidP="00A6576F">
      <w:pPr>
        <w:pStyle w:val="ListParagraph"/>
        <w:numPr>
          <w:ilvl w:val="0"/>
          <w:numId w:val="43"/>
        </w:numPr>
        <w:spacing w:after="0" w:line="240" w:lineRule="auto"/>
        <w:ind w:left="714" w:hanging="357"/>
        <w:rPr>
          <w:color w:val="000000"/>
          <w:szCs w:val="20"/>
        </w:rPr>
      </w:pPr>
      <w:r w:rsidRPr="0086202A">
        <w:rPr>
          <w:szCs w:val="20"/>
        </w:rPr>
        <w:t xml:space="preserve">Section </w:t>
      </w:r>
      <w:proofErr w:type="gramStart"/>
      <w:r w:rsidRPr="0086202A">
        <w:rPr>
          <w:szCs w:val="20"/>
        </w:rPr>
        <w:t>5E(</w:t>
      </w:r>
      <w:proofErr w:type="gramEnd"/>
      <w:r w:rsidRPr="0086202A">
        <w:rPr>
          <w:szCs w:val="20"/>
        </w:rPr>
        <w:t>3)(</w:t>
      </w:r>
      <w:proofErr w:type="spellStart"/>
      <w:r w:rsidRPr="0086202A">
        <w:rPr>
          <w:szCs w:val="20"/>
        </w:rPr>
        <w:t>i</w:t>
      </w:r>
      <w:proofErr w:type="spellEnd"/>
      <w:r w:rsidRPr="0086202A">
        <w:rPr>
          <w:szCs w:val="20"/>
        </w:rPr>
        <w:t>):  Certain benefits prescribed by regulations.</w:t>
      </w:r>
    </w:p>
    <w:p w:rsidR="00283F33" w:rsidRPr="0086202A" w:rsidRDefault="00283F33" w:rsidP="00A6576F">
      <w:pPr>
        <w:pStyle w:val="ListParagraph"/>
        <w:numPr>
          <w:ilvl w:val="0"/>
          <w:numId w:val="43"/>
        </w:numPr>
        <w:spacing w:after="0" w:line="240" w:lineRule="auto"/>
        <w:ind w:left="714" w:hanging="357"/>
        <w:rPr>
          <w:color w:val="000000"/>
          <w:szCs w:val="20"/>
        </w:rPr>
      </w:pPr>
      <w:r w:rsidRPr="0086202A">
        <w:rPr>
          <w:szCs w:val="20"/>
        </w:rPr>
        <w:t>Section 5E(3)(j):  Benefit relating to occasional travel to a major population centre in Australia provided to employees and family members resident in designated remote areas.</w:t>
      </w:r>
    </w:p>
    <w:p w:rsidR="00283F33" w:rsidRPr="0086202A" w:rsidRDefault="00283F33" w:rsidP="00A6576F">
      <w:pPr>
        <w:pStyle w:val="ListParagraph"/>
        <w:numPr>
          <w:ilvl w:val="0"/>
          <w:numId w:val="43"/>
        </w:numPr>
        <w:spacing w:after="0" w:line="240" w:lineRule="auto"/>
        <w:ind w:left="714" w:hanging="357"/>
        <w:rPr>
          <w:color w:val="000000"/>
          <w:szCs w:val="20"/>
        </w:rPr>
      </w:pPr>
      <w:r w:rsidRPr="0086202A">
        <w:rPr>
          <w:szCs w:val="20"/>
        </w:rPr>
        <w:t xml:space="preserve">Section </w:t>
      </w:r>
      <w:proofErr w:type="gramStart"/>
      <w:r w:rsidRPr="0086202A">
        <w:rPr>
          <w:szCs w:val="20"/>
        </w:rPr>
        <w:t>5E(</w:t>
      </w:r>
      <w:proofErr w:type="gramEnd"/>
      <w:r w:rsidRPr="0086202A">
        <w:rPr>
          <w:szCs w:val="20"/>
        </w:rPr>
        <w:t>3)(k):  Benefits relating to freight costs for foodstuffs provided to employees resident in designated remote areas.</w:t>
      </w:r>
    </w:p>
    <w:p w:rsidR="001306A8" w:rsidRPr="0086202A" w:rsidRDefault="001306A8" w:rsidP="00A6576F">
      <w:pPr>
        <w:spacing w:after="0" w:line="240" w:lineRule="auto"/>
        <w:rPr>
          <w:color w:val="000000"/>
          <w:szCs w:val="20"/>
        </w:rPr>
      </w:pPr>
    </w:p>
    <w:p w:rsidR="00283F33" w:rsidRPr="0086202A" w:rsidRDefault="00A131F3" w:rsidP="00A6576F">
      <w:pPr>
        <w:spacing w:after="0" w:line="240" w:lineRule="auto"/>
        <w:rPr>
          <w:color w:val="000000"/>
          <w:szCs w:val="20"/>
        </w:rPr>
      </w:pPr>
      <w:r w:rsidRPr="0086202A">
        <w:rPr>
          <w:color w:val="000000"/>
          <w:szCs w:val="20"/>
        </w:rPr>
        <w:t>If these</w:t>
      </w:r>
      <w:r w:rsidR="00283F33" w:rsidRPr="0086202A">
        <w:rPr>
          <w:color w:val="000000"/>
          <w:szCs w:val="20"/>
        </w:rPr>
        <w:t xml:space="preserve"> exclusions </w:t>
      </w:r>
      <w:r w:rsidRPr="0086202A">
        <w:rPr>
          <w:color w:val="000000"/>
          <w:szCs w:val="20"/>
        </w:rPr>
        <w:t xml:space="preserve">remain but become </w:t>
      </w:r>
      <w:r w:rsidR="00283F33" w:rsidRPr="0086202A">
        <w:rPr>
          <w:color w:val="000000"/>
          <w:szCs w:val="20"/>
        </w:rPr>
        <w:t>reportable fringe benefits, there will be substantial additional compliance costs for employers to track the benefits per employee.</w:t>
      </w:r>
    </w:p>
    <w:p w:rsidR="00DD0B45" w:rsidRPr="0086202A" w:rsidRDefault="00DD0B45" w:rsidP="00DD0B45">
      <w:pPr>
        <w:spacing w:after="0" w:line="240" w:lineRule="auto"/>
        <w:rPr>
          <w:b/>
          <w:color w:val="FF0000"/>
          <w:szCs w:val="20"/>
        </w:rPr>
      </w:pPr>
      <w:r w:rsidRPr="0086202A">
        <w:rPr>
          <w:b/>
          <w:color w:val="FF0000"/>
          <w:szCs w:val="20"/>
        </w:rPr>
        <w:lastRenderedPageBreak/>
        <w:t>Information request 4</w:t>
      </w:r>
    </w:p>
    <w:p w:rsidR="00DD0B45" w:rsidRPr="0086202A" w:rsidRDefault="00DD0B45"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The Commission invites further information on the compliance burdens that could arise from this change in the FBT treatment of employer provided housing, and on what could be done to reduce these burdens while addressing equity concerns.</w:t>
      </w:r>
    </w:p>
    <w:p w:rsidR="00F31EB6" w:rsidRPr="0086202A" w:rsidRDefault="00F31EB6" w:rsidP="00DD0B45">
      <w:pPr>
        <w:spacing w:after="0" w:line="240" w:lineRule="auto"/>
        <w:rPr>
          <w:b/>
          <w:szCs w:val="20"/>
        </w:rPr>
      </w:pPr>
    </w:p>
    <w:p w:rsidR="00F31EB6" w:rsidRPr="0086202A" w:rsidRDefault="00F31EB6" w:rsidP="00DD0B45">
      <w:pPr>
        <w:spacing w:after="0" w:line="240" w:lineRule="auto"/>
        <w:rPr>
          <w:b/>
          <w:szCs w:val="20"/>
        </w:rPr>
      </w:pPr>
      <w:r w:rsidRPr="0086202A">
        <w:rPr>
          <w:b/>
          <w:szCs w:val="20"/>
        </w:rPr>
        <w:t xml:space="preserve">Compliance costs </w:t>
      </w:r>
    </w:p>
    <w:p w:rsidR="00D03255" w:rsidRPr="0086202A" w:rsidRDefault="00D03255" w:rsidP="00DD0B45">
      <w:pPr>
        <w:spacing w:after="0" w:line="240" w:lineRule="auto"/>
        <w:rPr>
          <w:b/>
          <w:szCs w:val="20"/>
        </w:rPr>
      </w:pPr>
    </w:p>
    <w:p w:rsidR="00953B73" w:rsidRPr="0086202A" w:rsidRDefault="00C00228" w:rsidP="006A6FF0">
      <w:pPr>
        <w:spacing w:after="0" w:line="240" w:lineRule="auto"/>
        <w:rPr>
          <w:color w:val="000000"/>
          <w:szCs w:val="20"/>
        </w:rPr>
      </w:pPr>
      <w:r w:rsidRPr="0086202A">
        <w:rPr>
          <w:color w:val="000000"/>
          <w:szCs w:val="20"/>
        </w:rPr>
        <w:t xml:space="preserve">BDO believe that remote area housing and transportation costs </w:t>
      </w:r>
      <w:r w:rsidR="00EE2B6B" w:rsidRPr="0086202A">
        <w:rPr>
          <w:color w:val="000000"/>
          <w:szCs w:val="20"/>
        </w:rPr>
        <w:t xml:space="preserve">are too complex and do not provide an even playing field for employers and employees in remote areas. Any changes to the remote area housing and transportation concessions should </w:t>
      </w:r>
      <w:r w:rsidR="006A6FF0" w:rsidRPr="0086202A">
        <w:rPr>
          <w:color w:val="000000"/>
          <w:szCs w:val="20"/>
        </w:rPr>
        <w:t xml:space="preserve">therefore </w:t>
      </w:r>
      <w:r w:rsidR="00EE2B6B" w:rsidRPr="0086202A">
        <w:rPr>
          <w:color w:val="000000"/>
          <w:szCs w:val="20"/>
        </w:rPr>
        <w:t>be aimed at simplifying and making them equitable across all the remote area workforce.</w:t>
      </w:r>
      <w:r w:rsidR="006A6FF0" w:rsidRPr="0086202A">
        <w:rPr>
          <w:color w:val="000000"/>
          <w:szCs w:val="20"/>
        </w:rPr>
        <w:t xml:space="preserve"> </w:t>
      </w:r>
      <w:r w:rsidR="00455FCB" w:rsidRPr="0086202A">
        <w:rPr>
          <w:color w:val="000000"/>
          <w:szCs w:val="20"/>
        </w:rPr>
        <w:t xml:space="preserve"> However it needs to be kept in mind that many of the concessions are aimed at compliance cost reduction.  </w:t>
      </w:r>
      <w:r w:rsidR="006A6FF0" w:rsidRPr="0086202A">
        <w:rPr>
          <w:color w:val="000000"/>
          <w:szCs w:val="20"/>
        </w:rPr>
        <w:t xml:space="preserve">The </w:t>
      </w:r>
      <w:r w:rsidR="00EE2B6B" w:rsidRPr="0086202A">
        <w:rPr>
          <w:color w:val="000000"/>
          <w:szCs w:val="20"/>
        </w:rPr>
        <w:t xml:space="preserve">‘customary to provide’ concession in section </w:t>
      </w:r>
      <w:proofErr w:type="gramStart"/>
      <w:r w:rsidR="00EE2B6B" w:rsidRPr="0086202A">
        <w:rPr>
          <w:color w:val="000000"/>
          <w:szCs w:val="20"/>
        </w:rPr>
        <w:t>58ZC(</w:t>
      </w:r>
      <w:proofErr w:type="gramEnd"/>
      <w:r w:rsidR="00EE2B6B" w:rsidRPr="0086202A">
        <w:rPr>
          <w:color w:val="000000"/>
          <w:szCs w:val="20"/>
        </w:rPr>
        <w:t xml:space="preserve">2)(d)(iii) </w:t>
      </w:r>
      <w:r w:rsidR="004E2A57" w:rsidRPr="0086202A">
        <w:rPr>
          <w:szCs w:val="20"/>
          <w:lang w:eastAsia="en-US"/>
        </w:rPr>
        <w:t>of the FBT Act</w:t>
      </w:r>
      <w:r w:rsidR="004E2A57" w:rsidRPr="0086202A">
        <w:rPr>
          <w:color w:val="000000"/>
          <w:szCs w:val="20"/>
        </w:rPr>
        <w:t xml:space="preserve"> </w:t>
      </w:r>
      <w:r w:rsidR="00EE2B6B" w:rsidRPr="0086202A">
        <w:rPr>
          <w:color w:val="000000"/>
          <w:szCs w:val="20"/>
        </w:rPr>
        <w:t xml:space="preserve">is a particularly subjective concession that can result in inequities.  </w:t>
      </w:r>
    </w:p>
    <w:p w:rsidR="00953B73" w:rsidRPr="0086202A" w:rsidRDefault="00953B73" w:rsidP="00DD0B45">
      <w:pPr>
        <w:spacing w:after="0" w:line="240" w:lineRule="auto"/>
        <w:rPr>
          <w:color w:val="000000"/>
          <w:szCs w:val="20"/>
        </w:rPr>
      </w:pPr>
    </w:p>
    <w:p w:rsidR="00953B73" w:rsidRPr="0086202A" w:rsidRDefault="007E32E8" w:rsidP="00DD0B45">
      <w:pPr>
        <w:spacing w:after="0" w:line="240" w:lineRule="auto"/>
        <w:rPr>
          <w:color w:val="000000"/>
          <w:szCs w:val="20"/>
        </w:rPr>
      </w:pPr>
      <w:r w:rsidRPr="0086202A">
        <w:rPr>
          <w:color w:val="000000"/>
          <w:szCs w:val="20"/>
        </w:rPr>
        <w:t>However,</w:t>
      </w:r>
      <w:r w:rsidR="00EE2B6B" w:rsidRPr="0086202A">
        <w:rPr>
          <w:color w:val="000000"/>
          <w:szCs w:val="20"/>
        </w:rPr>
        <w:t xml:space="preserve"> there may be certain </w:t>
      </w:r>
      <w:r w:rsidRPr="0086202A">
        <w:rPr>
          <w:color w:val="000000"/>
          <w:szCs w:val="20"/>
        </w:rPr>
        <w:t>categories</w:t>
      </w:r>
      <w:r w:rsidR="00EE2B6B" w:rsidRPr="0086202A">
        <w:rPr>
          <w:color w:val="000000"/>
          <w:szCs w:val="20"/>
        </w:rPr>
        <w:t xml:space="preserve"> of employees such as police, emergency services and health providers that the Government considers need special encouragement to </w:t>
      </w:r>
      <w:r w:rsidRPr="0086202A">
        <w:rPr>
          <w:color w:val="000000"/>
          <w:szCs w:val="20"/>
        </w:rPr>
        <w:t>relocate</w:t>
      </w:r>
      <w:r w:rsidR="00EE2B6B" w:rsidRPr="0086202A">
        <w:rPr>
          <w:color w:val="000000"/>
          <w:szCs w:val="20"/>
        </w:rPr>
        <w:t xml:space="preserve"> employees to thes</w:t>
      </w:r>
      <w:r w:rsidRPr="0086202A">
        <w:rPr>
          <w:color w:val="000000"/>
          <w:szCs w:val="20"/>
        </w:rPr>
        <w:t>e</w:t>
      </w:r>
      <w:r w:rsidR="00EE2B6B" w:rsidRPr="0086202A">
        <w:rPr>
          <w:color w:val="000000"/>
          <w:szCs w:val="20"/>
        </w:rPr>
        <w:t xml:space="preserve"> remote areas, in which case a specific concession should be </w:t>
      </w:r>
      <w:r w:rsidRPr="0086202A">
        <w:rPr>
          <w:color w:val="000000"/>
          <w:szCs w:val="20"/>
        </w:rPr>
        <w:t>available</w:t>
      </w:r>
      <w:r w:rsidR="00EE2B6B" w:rsidRPr="0086202A">
        <w:rPr>
          <w:color w:val="000000"/>
          <w:szCs w:val="20"/>
        </w:rPr>
        <w:t xml:space="preserve"> for such situations. </w:t>
      </w:r>
      <w:r w:rsidRPr="0086202A">
        <w:rPr>
          <w:color w:val="000000"/>
          <w:szCs w:val="20"/>
        </w:rPr>
        <w:t xml:space="preserve"> </w:t>
      </w:r>
    </w:p>
    <w:p w:rsidR="00036632" w:rsidRPr="0086202A" w:rsidRDefault="00036632" w:rsidP="00DD0B45">
      <w:pPr>
        <w:spacing w:after="0" w:line="240" w:lineRule="auto"/>
        <w:rPr>
          <w:color w:val="000000"/>
          <w:szCs w:val="20"/>
        </w:rPr>
      </w:pPr>
    </w:p>
    <w:p w:rsidR="00036632" w:rsidRPr="0086202A" w:rsidRDefault="007A1BE3" w:rsidP="00DD0B45">
      <w:pPr>
        <w:spacing w:after="0" w:line="240" w:lineRule="auto"/>
        <w:rPr>
          <w:color w:val="000000"/>
          <w:szCs w:val="20"/>
        </w:rPr>
      </w:pPr>
      <w:r w:rsidRPr="0086202A">
        <w:rPr>
          <w:color w:val="000000"/>
          <w:szCs w:val="20"/>
        </w:rPr>
        <w:t>Further, we note that where the changes result in the benefits generating FBT liabilities, that were previously exempt</w:t>
      </w:r>
      <w:r w:rsidR="00E94A91" w:rsidRPr="0086202A">
        <w:rPr>
          <w:color w:val="000000"/>
          <w:szCs w:val="20"/>
        </w:rPr>
        <w:t>ed</w:t>
      </w:r>
      <w:r w:rsidRPr="0086202A">
        <w:rPr>
          <w:color w:val="000000"/>
          <w:szCs w:val="20"/>
        </w:rPr>
        <w:t xml:space="preserve"> or reduced, this will lead to additional costs for employers (both for the FBT and the adminis</w:t>
      </w:r>
      <w:r w:rsidR="00B0577E">
        <w:rPr>
          <w:color w:val="000000"/>
          <w:szCs w:val="20"/>
        </w:rPr>
        <w:t xml:space="preserve">tration and compliance costs). </w:t>
      </w:r>
      <w:r w:rsidRPr="0086202A">
        <w:rPr>
          <w:color w:val="000000"/>
          <w:szCs w:val="20"/>
        </w:rPr>
        <w:t>Such compliance costs include data gathering and compilation</w:t>
      </w:r>
      <w:r w:rsidR="00E94A91" w:rsidRPr="0086202A">
        <w:rPr>
          <w:color w:val="000000"/>
          <w:szCs w:val="20"/>
        </w:rPr>
        <w:t xml:space="preserve"> and calculations</w:t>
      </w:r>
      <w:r w:rsidRPr="0086202A">
        <w:rPr>
          <w:color w:val="000000"/>
          <w:szCs w:val="20"/>
        </w:rPr>
        <w:t>, and obtaining further informatio</w:t>
      </w:r>
      <w:r w:rsidR="00B0577E">
        <w:rPr>
          <w:color w:val="000000"/>
          <w:szCs w:val="20"/>
        </w:rPr>
        <w:t xml:space="preserve">n for record-keeping purposes. </w:t>
      </w:r>
      <w:r w:rsidRPr="0086202A">
        <w:rPr>
          <w:color w:val="000000"/>
          <w:szCs w:val="20"/>
        </w:rPr>
        <w:t xml:space="preserve">In this case, it is possible that that the employer may no longer provide the benefits to the employee, which may result in significant impacts </w:t>
      </w:r>
      <w:r w:rsidR="00E94A91" w:rsidRPr="0086202A">
        <w:rPr>
          <w:color w:val="000000"/>
          <w:szCs w:val="20"/>
        </w:rPr>
        <w:t>for</w:t>
      </w:r>
      <w:r w:rsidRPr="0086202A">
        <w:rPr>
          <w:color w:val="000000"/>
          <w:szCs w:val="20"/>
        </w:rPr>
        <w:t xml:space="preserve"> the employee.</w:t>
      </w:r>
    </w:p>
    <w:p w:rsidR="00F31EB6" w:rsidRPr="0086202A" w:rsidRDefault="00F31EB6" w:rsidP="00DD0B45">
      <w:pPr>
        <w:spacing w:after="0" w:line="240" w:lineRule="auto"/>
        <w:rPr>
          <w:color w:val="000000"/>
          <w:szCs w:val="20"/>
        </w:rPr>
      </w:pPr>
    </w:p>
    <w:p w:rsidR="00F31EB6" w:rsidRPr="0086202A" w:rsidRDefault="00F31EB6" w:rsidP="00F31EB6">
      <w:pPr>
        <w:pStyle w:val="BDOBodytext0"/>
        <w:spacing w:after="0" w:line="240" w:lineRule="auto"/>
        <w:rPr>
          <w:b/>
        </w:rPr>
      </w:pPr>
      <w:r w:rsidRPr="0086202A">
        <w:rPr>
          <w:b/>
        </w:rPr>
        <w:t>Employee / recipient contributions</w:t>
      </w:r>
    </w:p>
    <w:p w:rsidR="00F31EB6" w:rsidRPr="0086202A" w:rsidRDefault="00F31EB6" w:rsidP="00F31EB6">
      <w:pPr>
        <w:pStyle w:val="BDOBodytext0"/>
        <w:spacing w:after="0" w:line="240" w:lineRule="auto"/>
      </w:pPr>
    </w:p>
    <w:p w:rsidR="00F31EB6" w:rsidRPr="0086202A" w:rsidRDefault="00F31EB6" w:rsidP="00F31EB6">
      <w:pPr>
        <w:pStyle w:val="BDOBodytext0"/>
        <w:spacing w:after="0" w:line="240" w:lineRule="auto"/>
      </w:pPr>
      <w:r w:rsidRPr="0086202A">
        <w:t xml:space="preserve">If the FBT exemption on accommodation is removed or replaced with a 50% exemption, </w:t>
      </w:r>
      <w:r w:rsidR="00455FCB" w:rsidRPr="0086202A">
        <w:t xml:space="preserve">it is likely that </w:t>
      </w:r>
      <w:r w:rsidRPr="0086202A">
        <w:t>the cost cannot be absorbed by the business. Therefore the choices available include:</w:t>
      </w:r>
    </w:p>
    <w:p w:rsidR="00F31EB6" w:rsidRPr="0086202A" w:rsidRDefault="00F31EB6" w:rsidP="00F31EB6">
      <w:pPr>
        <w:pStyle w:val="BDOBodytext0"/>
        <w:numPr>
          <w:ilvl w:val="0"/>
          <w:numId w:val="44"/>
        </w:numPr>
        <w:spacing w:after="0" w:line="240" w:lineRule="auto"/>
      </w:pPr>
      <w:r w:rsidRPr="0086202A">
        <w:t>Increase prices on all goods and services supplied to recover this cost;</w:t>
      </w:r>
    </w:p>
    <w:p w:rsidR="00F31EB6" w:rsidRPr="0086202A" w:rsidRDefault="00F31EB6" w:rsidP="00F31EB6">
      <w:pPr>
        <w:pStyle w:val="BDOBodytext0"/>
        <w:numPr>
          <w:ilvl w:val="0"/>
          <w:numId w:val="44"/>
        </w:numPr>
        <w:spacing w:after="0" w:line="240" w:lineRule="auto"/>
      </w:pPr>
      <w:r w:rsidRPr="0086202A">
        <w:t>Reduce the number of employees so the overall cost of personnel remains similar;</w:t>
      </w:r>
    </w:p>
    <w:p w:rsidR="00F31EB6" w:rsidRPr="0086202A" w:rsidRDefault="00F31EB6" w:rsidP="00F31EB6">
      <w:pPr>
        <w:pStyle w:val="BDOBodytext0"/>
        <w:numPr>
          <w:ilvl w:val="0"/>
          <w:numId w:val="44"/>
        </w:numPr>
        <w:spacing w:after="0" w:line="240" w:lineRule="auto"/>
      </w:pPr>
      <w:r w:rsidRPr="0086202A">
        <w:t>Require the employees to pay an after tax contribution to mitigate the cost to the employer.</w:t>
      </w:r>
    </w:p>
    <w:p w:rsidR="00F31EB6" w:rsidRPr="0086202A" w:rsidRDefault="00F31EB6" w:rsidP="00F31EB6">
      <w:pPr>
        <w:pStyle w:val="BDOBodytext0"/>
        <w:spacing w:after="0" w:line="240" w:lineRule="auto"/>
      </w:pPr>
    </w:p>
    <w:p w:rsidR="00F31EB6" w:rsidRPr="0086202A" w:rsidRDefault="00F31EB6" w:rsidP="00F31EB6">
      <w:pPr>
        <w:pStyle w:val="BDOBodytext0"/>
        <w:spacing w:after="0" w:line="240" w:lineRule="auto"/>
      </w:pPr>
      <w:r w:rsidRPr="0086202A">
        <w:t>FBT is levied at the top marginal rate. In the hospitality industry this is in effect a penalty rate. Based on salaries and wages paid, no employee of FIR derives sufficient income for their personal tax rate to approach the top marginal tax rate.</w:t>
      </w:r>
    </w:p>
    <w:p w:rsidR="00F31EB6" w:rsidRPr="0086202A" w:rsidRDefault="00F31EB6" w:rsidP="00F31EB6">
      <w:pPr>
        <w:pStyle w:val="BDOBodytext0"/>
        <w:spacing w:after="0" w:line="240" w:lineRule="auto"/>
      </w:pPr>
    </w:p>
    <w:p w:rsidR="00F31EB6" w:rsidRPr="0086202A" w:rsidRDefault="00F31EB6" w:rsidP="00F31EB6">
      <w:pPr>
        <w:pStyle w:val="BDOBodytext0"/>
        <w:spacing w:after="0" w:line="240" w:lineRule="auto"/>
      </w:pPr>
      <w:r w:rsidRPr="0086202A">
        <w:t>The average income tax rate of the employees will be approximately half of the FBT tax rate, so in effect any benefit of the 50% exemption is significantly compromised. Similar circumstances will apply to those employed within the agricultural industries.</w:t>
      </w:r>
    </w:p>
    <w:p w:rsidR="00A6576F" w:rsidRPr="0086202A" w:rsidRDefault="00A6576F" w:rsidP="00F31EB6">
      <w:pPr>
        <w:pStyle w:val="BDOBodytext0"/>
        <w:spacing w:after="0" w:line="240" w:lineRule="auto"/>
      </w:pPr>
    </w:p>
    <w:p w:rsidR="00A6576F" w:rsidRPr="0086202A" w:rsidRDefault="00A6576F" w:rsidP="00F31EB6">
      <w:pPr>
        <w:pStyle w:val="BDOBodytext0"/>
        <w:spacing w:after="0" w:line="240" w:lineRule="auto"/>
        <w:rPr>
          <w:b/>
        </w:rPr>
      </w:pPr>
      <w:r w:rsidRPr="0086202A">
        <w:rPr>
          <w:b/>
        </w:rPr>
        <w:t xml:space="preserve">Impact on charitable organisations </w:t>
      </w:r>
    </w:p>
    <w:p w:rsidR="00A6576F" w:rsidRPr="0086202A" w:rsidRDefault="00A6576F" w:rsidP="00F31EB6">
      <w:pPr>
        <w:pStyle w:val="BDOBodytext0"/>
        <w:spacing w:after="0" w:line="240" w:lineRule="auto"/>
      </w:pPr>
    </w:p>
    <w:p w:rsidR="00A6576F" w:rsidRPr="0086202A" w:rsidRDefault="00A6576F" w:rsidP="00A6576F">
      <w:pPr>
        <w:pStyle w:val="BDOBodytext0"/>
        <w:spacing w:after="0" w:line="240" w:lineRule="auto"/>
      </w:pPr>
      <w:r w:rsidRPr="0086202A">
        <w:t xml:space="preserve">Any change to employer provided accommodation will impact charitable organisations with the outlay for FBT diverting funds from the other current activities. </w:t>
      </w:r>
    </w:p>
    <w:p w:rsidR="00A6576F" w:rsidRPr="0086202A" w:rsidRDefault="00A6576F" w:rsidP="00A6576F">
      <w:pPr>
        <w:spacing w:after="0" w:line="240" w:lineRule="auto"/>
        <w:rPr>
          <w:szCs w:val="20"/>
        </w:rPr>
      </w:pPr>
    </w:p>
    <w:p w:rsidR="00A6576F" w:rsidRPr="0086202A" w:rsidRDefault="00A6576F" w:rsidP="00A6576F">
      <w:pPr>
        <w:spacing w:after="0" w:line="240" w:lineRule="auto"/>
        <w:rPr>
          <w:szCs w:val="20"/>
        </w:rPr>
      </w:pPr>
      <w:r w:rsidRPr="0086202A">
        <w:rPr>
          <w:szCs w:val="20"/>
        </w:rPr>
        <w:t>A number of charitable entities provide services from remote locations and provide accommodation for those working for the organisations. One such example is the Royal Flying Doctor Service (RFDS), which provides accommodation to employees including medical practitioners and pilots. Accommodation is only provided to these categories of employees and is provide out of necessity to do so to attract them to these locations.</w:t>
      </w:r>
    </w:p>
    <w:p w:rsidR="00A6576F" w:rsidRPr="0086202A" w:rsidRDefault="00A6576F" w:rsidP="006A6FF0">
      <w:pPr>
        <w:pStyle w:val="BDOBodytext0"/>
        <w:spacing w:after="0" w:line="240" w:lineRule="auto"/>
      </w:pPr>
      <w:r w:rsidRPr="0086202A">
        <w:lastRenderedPageBreak/>
        <w:t>As a Public Bene</w:t>
      </w:r>
      <w:r w:rsidR="0047435F" w:rsidRPr="0086202A">
        <w:t xml:space="preserve">volent </w:t>
      </w:r>
      <w:r w:rsidR="00E14D58" w:rsidRPr="0086202A">
        <w:t>Institution,</w:t>
      </w:r>
      <w:r w:rsidR="0047435F" w:rsidRPr="0086202A">
        <w:t xml:space="preserve"> the RFDS </w:t>
      </w:r>
      <w:r w:rsidRPr="0086202A">
        <w:t xml:space="preserve">is an exempt employer for FBT purposes. The exemption is capped at $30,000 of grossed up value of fringe benefits. In broad </w:t>
      </w:r>
      <w:r w:rsidR="00E14D58" w:rsidRPr="0086202A">
        <w:t>terms,</w:t>
      </w:r>
      <w:r w:rsidRPr="0086202A">
        <w:t xml:space="preserve"> this roughly equates to about $15,000 of taxable value of benefits (before the gross up). Employees will not be prepared to forego their remuneration benefits without being compensated by higher wages. </w:t>
      </w:r>
    </w:p>
    <w:p w:rsidR="0047435F" w:rsidRPr="0086202A" w:rsidRDefault="0047435F" w:rsidP="006A6FF0">
      <w:pPr>
        <w:pStyle w:val="BDOBodytext0"/>
        <w:spacing w:after="0" w:line="240" w:lineRule="auto"/>
      </w:pPr>
    </w:p>
    <w:p w:rsidR="00A6576F" w:rsidRPr="0086202A" w:rsidRDefault="0047435F" w:rsidP="006A6FF0">
      <w:pPr>
        <w:pStyle w:val="BDOBodytext0"/>
        <w:spacing w:after="0" w:line="240" w:lineRule="auto"/>
      </w:pPr>
      <w:r w:rsidRPr="0086202A">
        <w:t>BDO believe that the</w:t>
      </w:r>
      <w:r w:rsidR="00A6576F" w:rsidRPr="0086202A">
        <w:t xml:space="preserve"> concession for employer provided accommodation should therefore remain as an exempt fringe benefit and should remain as not reportable.</w:t>
      </w:r>
    </w:p>
    <w:p w:rsidR="00C950BA" w:rsidRPr="0086202A" w:rsidRDefault="00C950BA" w:rsidP="00DD0B45">
      <w:pPr>
        <w:spacing w:after="0" w:line="240" w:lineRule="auto"/>
        <w:rPr>
          <w:b/>
          <w:szCs w:val="20"/>
        </w:rPr>
      </w:pPr>
    </w:p>
    <w:p w:rsidR="00DD0B45" w:rsidRPr="0086202A" w:rsidRDefault="00DD0B45" w:rsidP="00DD0B45">
      <w:pPr>
        <w:spacing w:after="0" w:line="240" w:lineRule="auto"/>
        <w:rPr>
          <w:b/>
          <w:color w:val="FF0000"/>
          <w:szCs w:val="20"/>
        </w:rPr>
      </w:pPr>
      <w:r w:rsidRPr="0086202A">
        <w:rPr>
          <w:b/>
          <w:color w:val="FF0000"/>
          <w:szCs w:val="20"/>
        </w:rPr>
        <w:t>Information request 5</w:t>
      </w:r>
    </w:p>
    <w:p w:rsidR="00DD0B45" w:rsidRPr="0086202A" w:rsidRDefault="00DD0B45"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How often should the FBT remote area boundaries be updated?</w:t>
      </w:r>
    </w:p>
    <w:p w:rsidR="007E32E8" w:rsidRPr="0086202A" w:rsidRDefault="007E32E8"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 xml:space="preserve">Should the FBT remote area boundaries be decoupled from the ZTO boundaries? If so, how? </w:t>
      </w:r>
    </w:p>
    <w:p w:rsidR="00C950BA" w:rsidRPr="0086202A" w:rsidRDefault="00C950BA"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Can the other eligibility rules for remote area concessions be improved sufficiently to make geographical boundaries redundant?</w:t>
      </w:r>
    </w:p>
    <w:p w:rsidR="00DD0B45" w:rsidRPr="0086202A" w:rsidRDefault="00DD0B45" w:rsidP="00DD0B45">
      <w:pPr>
        <w:spacing w:after="0" w:line="240" w:lineRule="auto"/>
        <w:rPr>
          <w:b/>
          <w:szCs w:val="20"/>
        </w:rPr>
      </w:pPr>
    </w:p>
    <w:p w:rsidR="00CD00C7" w:rsidRPr="0086202A" w:rsidRDefault="00CD00C7" w:rsidP="00CD00C7">
      <w:pPr>
        <w:spacing w:after="0" w:line="240" w:lineRule="auto"/>
        <w:rPr>
          <w:szCs w:val="20"/>
        </w:rPr>
      </w:pPr>
      <w:r w:rsidRPr="0086202A">
        <w:rPr>
          <w:szCs w:val="20"/>
        </w:rPr>
        <w:t xml:space="preserve">BDO considers that the various remote area boundaries for various FBT benefits, </w:t>
      </w:r>
      <w:r w:rsidR="004E2A57" w:rsidRPr="0086202A">
        <w:rPr>
          <w:szCs w:val="20"/>
        </w:rPr>
        <w:t>Zone Tax Offset (</w:t>
      </w:r>
      <w:r w:rsidRPr="0086202A">
        <w:rPr>
          <w:szCs w:val="20"/>
        </w:rPr>
        <w:t>ZTO</w:t>
      </w:r>
      <w:r w:rsidR="004E2A57" w:rsidRPr="0086202A">
        <w:rPr>
          <w:szCs w:val="20"/>
        </w:rPr>
        <w:t>) and other G</w:t>
      </w:r>
      <w:r w:rsidRPr="0086202A">
        <w:rPr>
          <w:szCs w:val="20"/>
        </w:rPr>
        <w:t>overnment concessions should be amalgamated into one set of overarching criteria that make it easier to identify the locations that the benefits apply to.  There should also be a regular review of these criteria (no longer tha</w:t>
      </w:r>
      <w:r w:rsidR="00592334" w:rsidRPr="0086202A">
        <w:rPr>
          <w:szCs w:val="20"/>
        </w:rPr>
        <w:t>n</w:t>
      </w:r>
      <w:r w:rsidRPr="0086202A">
        <w:rPr>
          <w:szCs w:val="20"/>
        </w:rPr>
        <w:t xml:space="preserve"> every 10 years) to ensure there are no changes required. </w:t>
      </w:r>
    </w:p>
    <w:p w:rsidR="00CD00C7" w:rsidRPr="0086202A" w:rsidRDefault="00CD00C7" w:rsidP="00DD0B45">
      <w:pPr>
        <w:spacing w:after="0" w:line="240" w:lineRule="auto"/>
        <w:rPr>
          <w:b/>
          <w:szCs w:val="20"/>
        </w:rPr>
      </w:pPr>
    </w:p>
    <w:p w:rsidR="00791E85" w:rsidRPr="0086202A" w:rsidRDefault="00C00228" w:rsidP="00791E85">
      <w:pPr>
        <w:spacing w:after="0" w:line="240" w:lineRule="auto"/>
        <w:rPr>
          <w:color w:val="000000"/>
          <w:szCs w:val="20"/>
        </w:rPr>
      </w:pPr>
      <w:r w:rsidRPr="0086202A">
        <w:rPr>
          <w:color w:val="000000"/>
          <w:szCs w:val="20"/>
        </w:rPr>
        <w:t>BDO believe that some</w:t>
      </w:r>
      <w:r w:rsidR="00791E85" w:rsidRPr="0086202A">
        <w:rPr>
          <w:color w:val="000000"/>
          <w:szCs w:val="20"/>
        </w:rPr>
        <w:t xml:space="preserve"> of the current </w:t>
      </w:r>
      <w:r w:rsidR="00791E85" w:rsidRPr="0086202A">
        <w:rPr>
          <w:szCs w:val="20"/>
        </w:rPr>
        <w:t xml:space="preserve">revised remote area </w:t>
      </w:r>
      <w:r w:rsidR="00791E85" w:rsidRPr="0086202A">
        <w:rPr>
          <w:color w:val="000000"/>
          <w:szCs w:val="20"/>
        </w:rPr>
        <w:t xml:space="preserve">concessions are out of date and targeted at some of the wrong locations no longer considered to be remote. Conversely, there are also many farming enterprises on the periphery of ‘remote locations’ that find it difficult </w:t>
      </w:r>
      <w:r w:rsidR="00E14D58">
        <w:rPr>
          <w:color w:val="000000"/>
          <w:szCs w:val="20"/>
        </w:rPr>
        <w:t xml:space="preserve">to find </w:t>
      </w:r>
      <w:r w:rsidR="00791E85" w:rsidRPr="0086202A">
        <w:rPr>
          <w:color w:val="000000"/>
          <w:szCs w:val="20"/>
        </w:rPr>
        <w:t>employees, particularly for seasonal work, and therefore there may be justification to extend some concessions outside remote locations.</w:t>
      </w:r>
      <w:r w:rsidR="004E2A57" w:rsidRPr="0086202A">
        <w:rPr>
          <w:color w:val="000000"/>
          <w:szCs w:val="20"/>
        </w:rPr>
        <w:t xml:space="preserve"> </w:t>
      </w:r>
      <w:r w:rsidR="0040523F" w:rsidRPr="0086202A">
        <w:rPr>
          <w:color w:val="000000"/>
          <w:szCs w:val="20"/>
        </w:rPr>
        <w:t xml:space="preserve">These can extend to other specific employers, </w:t>
      </w:r>
      <w:r w:rsidR="004E2A57" w:rsidRPr="0086202A">
        <w:rPr>
          <w:color w:val="000000"/>
          <w:szCs w:val="20"/>
        </w:rPr>
        <w:t xml:space="preserve">e.g. police. </w:t>
      </w:r>
    </w:p>
    <w:p w:rsidR="00791E85" w:rsidRPr="0086202A" w:rsidRDefault="00791E85" w:rsidP="00791E85">
      <w:pPr>
        <w:spacing w:after="0" w:line="240" w:lineRule="auto"/>
        <w:rPr>
          <w:color w:val="000000"/>
          <w:szCs w:val="20"/>
        </w:rPr>
      </w:pPr>
    </w:p>
    <w:p w:rsidR="00791E85" w:rsidRPr="0086202A" w:rsidRDefault="00791E85" w:rsidP="00791E85">
      <w:pPr>
        <w:spacing w:after="0" w:line="240" w:lineRule="auto"/>
        <w:rPr>
          <w:color w:val="000000"/>
          <w:szCs w:val="20"/>
        </w:rPr>
      </w:pPr>
      <w:r w:rsidRPr="0086202A">
        <w:rPr>
          <w:color w:val="000000"/>
          <w:szCs w:val="20"/>
        </w:rPr>
        <w:t xml:space="preserve">Any changes need to be carefully managed because there may be many commercial arrangements where employment costs have factored in these tax concessions so there will need to be some transition arrangements to ensure some people are not unfairly affected and both employers and employees are given time to reorganise their employment contracts etc.  </w:t>
      </w:r>
    </w:p>
    <w:p w:rsidR="00791E85" w:rsidRPr="0086202A" w:rsidRDefault="00791E85" w:rsidP="00791E85">
      <w:pPr>
        <w:spacing w:after="0" w:line="240" w:lineRule="auto"/>
        <w:rPr>
          <w:color w:val="000000"/>
          <w:szCs w:val="20"/>
        </w:rPr>
      </w:pPr>
    </w:p>
    <w:p w:rsidR="00791E85" w:rsidRPr="0086202A" w:rsidRDefault="00791E85" w:rsidP="00791E85">
      <w:pPr>
        <w:spacing w:after="0" w:line="240" w:lineRule="auto"/>
        <w:rPr>
          <w:color w:val="000000"/>
          <w:szCs w:val="20"/>
        </w:rPr>
      </w:pPr>
      <w:r w:rsidRPr="0086202A">
        <w:rPr>
          <w:color w:val="000000"/>
          <w:szCs w:val="20"/>
        </w:rPr>
        <w:t xml:space="preserve">One of the important policy objectives of these concessions should be to ensure there is an adequate employment pool of people able and willing to live and work in remote locations. </w:t>
      </w:r>
    </w:p>
    <w:p w:rsidR="00791E85" w:rsidRPr="0086202A" w:rsidRDefault="00791E85" w:rsidP="00DD0B45">
      <w:pPr>
        <w:spacing w:after="0" w:line="240" w:lineRule="auto"/>
        <w:rPr>
          <w:b/>
          <w:szCs w:val="20"/>
        </w:rPr>
      </w:pPr>
    </w:p>
    <w:p w:rsidR="00DD0B45" w:rsidRPr="0086202A" w:rsidRDefault="00DD0B45" w:rsidP="00DD0B45">
      <w:pPr>
        <w:spacing w:after="0" w:line="240" w:lineRule="auto"/>
        <w:rPr>
          <w:b/>
          <w:color w:val="FF0000"/>
          <w:szCs w:val="20"/>
        </w:rPr>
      </w:pPr>
      <w:r w:rsidRPr="0086202A">
        <w:rPr>
          <w:b/>
          <w:color w:val="FF0000"/>
          <w:szCs w:val="20"/>
        </w:rPr>
        <w:t>Information request 6</w:t>
      </w:r>
    </w:p>
    <w:p w:rsidR="00DD0B45" w:rsidRPr="0086202A" w:rsidRDefault="00DD0B45" w:rsidP="00DD0B45">
      <w:pPr>
        <w:spacing w:after="0" w:line="240" w:lineRule="auto"/>
        <w:rPr>
          <w:b/>
          <w:szCs w:val="20"/>
        </w:rPr>
      </w:pPr>
    </w:p>
    <w:p w:rsidR="00DD0B45" w:rsidRPr="0086202A" w:rsidRDefault="00DD0B45" w:rsidP="00DD0B45">
      <w:pPr>
        <w:spacing w:after="0" w:line="240" w:lineRule="auto"/>
        <w:rPr>
          <w:b/>
          <w:szCs w:val="20"/>
        </w:rPr>
      </w:pPr>
      <w:r w:rsidRPr="0086202A">
        <w:rPr>
          <w:b/>
          <w:szCs w:val="20"/>
        </w:rPr>
        <w:t xml:space="preserve">What impacts would the proposed changes to FBT remote area concessions (particularly for housing) have on the provision of key public services, such as health services, in remote areas? </w:t>
      </w:r>
    </w:p>
    <w:p w:rsidR="004E2A57" w:rsidRPr="0086202A" w:rsidRDefault="004E2A57" w:rsidP="00E94A91">
      <w:pPr>
        <w:spacing w:after="0" w:line="240" w:lineRule="auto"/>
        <w:rPr>
          <w:b/>
          <w:szCs w:val="20"/>
        </w:rPr>
      </w:pPr>
    </w:p>
    <w:p w:rsidR="00E94A91" w:rsidRPr="0086202A" w:rsidRDefault="00E94A91" w:rsidP="00E94A91">
      <w:pPr>
        <w:spacing w:after="0" w:line="240" w:lineRule="auto"/>
        <w:rPr>
          <w:color w:val="000000"/>
          <w:szCs w:val="20"/>
        </w:rPr>
      </w:pPr>
      <w:r w:rsidRPr="0086202A">
        <w:rPr>
          <w:color w:val="000000"/>
          <w:szCs w:val="20"/>
        </w:rPr>
        <w:t>There may be certain categories of employees such as police, emergency services and health providers that the Government considers need special encouragement to relocate employees to these remote areas, in which case a specific concession should b</w:t>
      </w:r>
      <w:r w:rsidR="004E2A57" w:rsidRPr="0086202A">
        <w:rPr>
          <w:color w:val="000000"/>
          <w:szCs w:val="20"/>
        </w:rPr>
        <w:t>e available for such situations,</w:t>
      </w:r>
      <w:r w:rsidRPr="0086202A">
        <w:rPr>
          <w:color w:val="000000"/>
          <w:szCs w:val="20"/>
        </w:rPr>
        <w:t xml:space="preserve"> as noted above.</w:t>
      </w:r>
      <w:r w:rsidR="00A6576F" w:rsidRPr="0086202A">
        <w:rPr>
          <w:color w:val="000000"/>
          <w:szCs w:val="20"/>
        </w:rPr>
        <w:t xml:space="preserve"> </w:t>
      </w:r>
      <w:r w:rsidRPr="0086202A">
        <w:rPr>
          <w:color w:val="000000"/>
          <w:szCs w:val="20"/>
        </w:rPr>
        <w:t xml:space="preserve">We note </w:t>
      </w:r>
      <w:r w:rsidR="004E2A57" w:rsidRPr="0086202A">
        <w:rPr>
          <w:color w:val="000000"/>
          <w:szCs w:val="20"/>
        </w:rPr>
        <w:t>however,</w:t>
      </w:r>
      <w:r w:rsidRPr="0086202A">
        <w:rPr>
          <w:color w:val="000000"/>
          <w:szCs w:val="20"/>
        </w:rPr>
        <w:t xml:space="preserve"> that one of the proposed changes is to remove the extension of the concession to additional areas for ‘certain regional employers’, which would generally cover these employees.  </w:t>
      </w:r>
    </w:p>
    <w:p w:rsidR="00E94A91" w:rsidRPr="0086202A" w:rsidRDefault="00E94A91" w:rsidP="00E94A91">
      <w:pPr>
        <w:spacing w:after="0" w:line="240" w:lineRule="auto"/>
        <w:rPr>
          <w:color w:val="000000"/>
          <w:szCs w:val="20"/>
        </w:rPr>
      </w:pPr>
    </w:p>
    <w:p w:rsidR="0086202A" w:rsidRDefault="00E94A91" w:rsidP="00DD0B45">
      <w:pPr>
        <w:spacing w:after="0" w:line="240" w:lineRule="auto"/>
        <w:rPr>
          <w:color w:val="000000"/>
          <w:szCs w:val="20"/>
        </w:rPr>
      </w:pPr>
      <w:r w:rsidRPr="0086202A">
        <w:rPr>
          <w:szCs w:val="20"/>
          <w:lang w:eastAsia="en-US"/>
        </w:rPr>
        <w:t>Section 140 (1A) of the FBT Act, provides an extended meaning to eligible urban areas, which ensures that more areas will be captured as remote areas under the housing exemption provided in Section 58ZC</w:t>
      </w:r>
      <w:r w:rsidR="004E2A57" w:rsidRPr="0086202A">
        <w:rPr>
          <w:szCs w:val="20"/>
          <w:lang w:eastAsia="en-US"/>
        </w:rPr>
        <w:t xml:space="preserve"> of the FBT Act</w:t>
      </w:r>
      <w:r w:rsidRPr="0086202A">
        <w:rPr>
          <w:szCs w:val="20"/>
          <w:lang w:eastAsia="en-US"/>
        </w:rPr>
        <w:t>.  This results in at least 55 areas that will no longer be eligible for the FBT exemption for remote area housing; (by comparing List 2 to List 1 regarding remote areas as listed on the ATO website, wh</w:t>
      </w:r>
      <w:r w:rsidR="004E2A57" w:rsidRPr="0086202A">
        <w:rPr>
          <w:szCs w:val="20"/>
          <w:lang w:eastAsia="en-US"/>
        </w:rPr>
        <w:t xml:space="preserve">ich are not exhaustive lists). </w:t>
      </w:r>
      <w:r w:rsidRPr="0086202A">
        <w:rPr>
          <w:szCs w:val="20"/>
          <w:lang w:eastAsia="en-US"/>
        </w:rPr>
        <w:t xml:space="preserve">This can have a significant impact on the provision of key public services in </w:t>
      </w:r>
      <w:r w:rsidR="003971D2" w:rsidRPr="0086202A">
        <w:rPr>
          <w:szCs w:val="20"/>
          <w:lang w:eastAsia="en-US"/>
        </w:rPr>
        <w:t xml:space="preserve">these </w:t>
      </w:r>
      <w:r w:rsidRPr="0086202A">
        <w:rPr>
          <w:szCs w:val="20"/>
          <w:lang w:eastAsia="en-US"/>
        </w:rPr>
        <w:t>remote areas.</w:t>
      </w:r>
    </w:p>
    <w:p w:rsidR="00FC04FA" w:rsidRPr="0086202A" w:rsidRDefault="00FC04FA" w:rsidP="00DD0B45">
      <w:pPr>
        <w:spacing w:after="0" w:line="240" w:lineRule="auto"/>
        <w:rPr>
          <w:color w:val="000000"/>
          <w:szCs w:val="20"/>
        </w:rPr>
      </w:pPr>
      <w:r w:rsidRPr="0086202A">
        <w:rPr>
          <w:b/>
          <w:color w:val="FF0000"/>
          <w:szCs w:val="20"/>
        </w:rPr>
        <w:lastRenderedPageBreak/>
        <w:t xml:space="preserve">Other issues </w:t>
      </w:r>
      <w:r w:rsidR="00DE5D40" w:rsidRPr="0086202A">
        <w:rPr>
          <w:b/>
          <w:color w:val="FF0000"/>
          <w:szCs w:val="20"/>
        </w:rPr>
        <w:t xml:space="preserve">– Concessions for individuals </w:t>
      </w:r>
    </w:p>
    <w:p w:rsidR="00DD0B45" w:rsidRPr="0086202A" w:rsidRDefault="00DD0B45" w:rsidP="00DD0B45">
      <w:pPr>
        <w:spacing w:after="0" w:line="240" w:lineRule="auto"/>
        <w:rPr>
          <w:b/>
          <w:color w:val="FF0000"/>
          <w:szCs w:val="20"/>
        </w:rPr>
      </w:pPr>
    </w:p>
    <w:p w:rsidR="00FC04FA" w:rsidRPr="0086202A" w:rsidRDefault="00FC04FA" w:rsidP="00FC04FA">
      <w:pPr>
        <w:spacing w:after="0" w:line="240" w:lineRule="auto"/>
        <w:rPr>
          <w:szCs w:val="20"/>
        </w:rPr>
      </w:pPr>
      <w:r w:rsidRPr="0086202A">
        <w:rPr>
          <w:szCs w:val="20"/>
        </w:rPr>
        <w:t>Agribusinesses often find it difficult to attract talent to work in regional Australia and they often have to compete with the mining industry to provide competitive salaries making it more difficult to attract the right people prepared to relocate to work in agribusiness in regional and remote locations.</w:t>
      </w:r>
    </w:p>
    <w:p w:rsidR="00FC04FA" w:rsidRPr="0086202A" w:rsidRDefault="00FC04FA" w:rsidP="00FC04FA">
      <w:pPr>
        <w:spacing w:after="0" w:line="240" w:lineRule="auto"/>
        <w:rPr>
          <w:szCs w:val="20"/>
        </w:rPr>
      </w:pPr>
    </w:p>
    <w:p w:rsidR="00FC04FA" w:rsidRPr="0086202A" w:rsidRDefault="00DE5D40" w:rsidP="00FC04FA">
      <w:pPr>
        <w:spacing w:after="0" w:line="240" w:lineRule="auto"/>
        <w:rPr>
          <w:szCs w:val="20"/>
        </w:rPr>
      </w:pPr>
      <w:r w:rsidRPr="0086202A">
        <w:rPr>
          <w:szCs w:val="20"/>
        </w:rPr>
        <w:t>BDO believe that more co</w:t>
      </w:r>
      <w:r w:rsidR="00FC04FA" w:rsidRPr="0086202A">
        <w:rPr>
          <w:szCs w:val="20"/>
        </w:rPr>
        <w:t xml:space="preserve">ncessions </w:t>
      </w:r>
      <w:r w:rsidRPr="0086202A">
        <w:rPr>
          <w:szCs w:val="20"/>
        </w:rPr>
        <w:t xml:space="preserve">need to be </w:t>
      </w:r>
      <w:r w:rsidR="00FC04FA" w:rsidRPr="0086202A">
        <w:rPr>
          <w:szCs w:val="20"/>
        </w:rPr>
        <w:t>provided to increase the attractiveness of working in the agribusiness industry</w:t>
      </w:r>
      <w:r w:rsidRPr="0086202A">
        <w:rPr>
          <w:szCs w:val="20"/>
        </w:rPr>
        <w:t xml:space="preserve"> including</w:t>
      </w:r>
      <w:r w:rsidR="00FC04FA" w:rsidRPr="0086202A">
        <w:rPr>
          <w:szCs w:val="20"/>
        </w:rPr>
        <w:t>:</w:t>
      </w:r>
    </w:p>
    <w:p w:rsidR="00FC04FA" w:rsidRPr="0086202A" w:rsidRDefault="00FC04FA" w:rsidP="00592334">
      <w:pPr>
        <w:pStyle w:val="ListParagraph"/>
        <w:numPr>
          <w:ilvl w:val="0"/>
          <w:numId w:val="40"/>
        </w:numPr>
        <w:spacing w:after="0" w:line="240" w:lineRule="auto"/>
        <w:rPr>
          <w:szCs w:val="20"/>
        </w:rPr>
      </w:pPr>
      <w:r w:rsidRPr="0086202A">
        <w:rPr>
          <w:szCs w:val="20"/>
        </w:rPr>
        <w:t>Exempting individuals who work in an agribusiness in a regional area from the luxury car tax as the cost of travel is a major consideration for people living and working in remote locations</w:t>
      </w:r>
      <w:r w:rsidR="00592334" w:rsidRPr="0086202A">
        <w:rPr>
          <w:szCs w:val="20"/>
        </w:rPr>
        <w:t xml:space="preserve"> </w:t>
      </w:r>
      <w:r w:rsidRPr="0086202A">
        <w:rPr>
          <w:szCs w:val="20"/>
        </w:rPr>
        <w:t xml:space="preserve">and who often require a more substantial vehicle that can handle the rigours of long distance travel. The current luxury car tax threshold for </w:t>
      </w:r>
      <w:r w:rsidR="00DE5D40" w:rsidRPr="0086202A">
        <w:rPr>
          <w:szCs w:val="20"/>
        </w:rPr>
        <w:t>fuel-efficient</w:t>
      </w:r>
      <w:r w:rsidRPr="0086202A">
        <w:rPr>
          <w:szCs w:val="20"/>
        </w:rPr>
        <w:t xml:space="preserve"> cars should be removed for individual</w:t>
      </w:r>
      <w:r w:rsidR="004E2A57" w:rsidRPr="0086202A">
        <w:rPr>
          <w:szCs w:val="20"/>
        </w:rPr>
        <w:t xml:space="preserve">s that qualify for an exemption; </w:t>
      </w:r>
    </w:p>
    <w:p w:rsidR="00FC04FA" w:rsidRPr="0086202A" w:rsidRDefault="00FC04FA" w:rsidP="00BC6E04">
      <w:pPr>
        <w:pStyle w:val="ListParagraph"/>
        <w:numPr>
          <w:ilvl w:val="0"/>
          <w:numId w:val="40"/>
        </w:numPr>
        <w:spacing w:after="0" w:line="240" w:lineRule="auto"/>
        <w:rPr>
          <w:szCs w:val="20"/>
        </w:rPr>
      </w:pPr>
      <w:r w:rsidRPr="0086202A">
        <w:rPr>
          <w:szCs w:val="20"/>
        </w:rPr>
        <w:t xml:space="preserve">Providing HECS relief for individuals who choose to work in agribusiness whilst they work in regional centres to attract younger and more mobile people to consider working in </w:t>
      </w:r>
      <w:r w:rsidR="004E2A57" w:rsidRPr="0086202A">
        <w:rPr>
          <w:szCs w:val="20"/>
        </w:rPr>
        <w:t>agribusiness;</w:t>
      </w:r>
    </w:p>
    <w:p w:rsidR="00FC04FA" w:rsidRPr="0086202A" w:rsidRDefault="00FC04FA" w:rsidP="00592334">
      <w:pPr>
        <w:pStyle w:val="ListParagraph"/>
        <w:numPr>
          <w:ilvl w:val="0"/>
          <w:numId w:val="40"/>
        </w:numPr>
        <w:spacing w:after="0" w:line="240" w:lineRule="auto"/>
        <w:rPr>
          <w:szCs w:val="20"/>
        </w:rPr>
      </w:pPr>
      <w:r w:rsidRPr="0086202A">
        <w:rPr>
          <w:szCs w:val="20"/>
        </w:rPr>
        <w:t>Providing individuals with a significant tax rebate for working in remote areas in agribusiness. The current remote area rebate is inadequate, outdated and only targets individ</w:t>
      </w:r>
      <w:r w:rsidR="0086202A">
        <w:rPr>
          <w:szCs w:val="20"/>
        </w:rPr>
        <w:t xml:space="preserve">uals who live in remote areas. </w:t>
      </w:r>
      <w:r w:rsidRPr="0086202A">
        <w:rPr>
          <w:szCs w:val="20"/>
        </w:rPr>
        <w:t>A more targeted rebate should be introduced to encourage work in the</w:t>
      </w:r>
      <w:r w:rsidR="00592334" w:rsidRPr="0086202A">
        <w:rPr>
          <w:szCs w:val="20"/>
        </w:rPr>
        <w:t xml:space="preserve"> </w:t>
      </w:r>
      <w:r w:rsidR="004E2A57" w:rsidRPr="0086202A">
        <w:rPr>
          <w:szCs w:val="20"/>
        </w:rPr>
        <w:t xml:space="preserve">industry; </w:t>
      </w:r>
    </w:p>
    <w:p w:rsidR="00FC04FA" w:rsidRPr="0086202A" w:rsidRDefault="004E2A57" w:rsidP="00FC04FA">
      <w:pPr>
        <w:pStyle w:val="ListParagraph"/>
        <w:numPr>
          <w:ilvl w:val="0"/>
          <w:numId w:val="40"/>
        </w:numPr>
        <w:spacing w:after="0" w:line="240" w:lineRule="auto"/>
        <w:rPr>
          <w:szCs w:val="20"/>
        </w:rPr>
      </w:pPr>
      <w:r w:rsidRPr="0086202A">
        <w:rPr>
          <w:szCs w:val="20"/>
        </w:rPr>
        <w:t>Providing agribusinesses with G</w:t>
      </w:r>
      <w:r w:rsidR="00FC04FA" w:rsidRPr="0086202A">
        <w:rPr>
          <w:szCs w:val="20"/>
        </w:rPr>
        <w:t>overnm</w:t>
      </w:r>
      <w:r w:rsidRPr="0086202A">
        <w:rPr>
          <w:szCs w:val="20"/>
        </w:rPr>
        <w:t>ent incentives to employ people; and</w:t>
      </w:r>
    </w:p>
    <w:p w:rsidR="00FC04FA" w:rsidRPr="0086202A" w:rsidRDefault="00FC04FA" w:rsidP="00FC04FA">
      <w:pPr>
        <w:pStyle w:val="ListParagraph"/>
        <w:numPr>
          <w:ilvl w:val="0"/>
          <w:numId w:val="40"/>
        </w:numPr>
        <w:spacing w:after="0" w:line="240" w:lineRule="auto"/>
        <w:rPr>
          <w:szCs w:val="20"/>
        </w:rPr>
      </w:pPr>
      <w:r w:rsidRPr="0086202A">
        <w:rPr>
          <w:szCs w:val="20"/>
        </w:rPr>
        <w:t>Providing regional scholarships and other funding for students studying agriculture related courses.</w:t>
      </w:r>
    </w:p>
    <w:p w:rsidR="00C00228" w:rsidRPr="0086202A" w:rsidRDefault="00C00228" w:rsidP="00791E85">
      <w:pPr>
        <w:spacing w:after="0" w:line="240" w:lineRule="auto"/>
        <w:rPr>
          <w:szCs w:val="20"/>
        </w:rPr>
      </w:pPr>
    </w:p>
    <w:p w:rsidR="00C00228" w:rsidRPr="0086202A" w:rsidRDefault="00791E85" w:rsidP="00DE5D40">
      <w:pPr>
        <w:spacing w:after="0" w:line="240" w:lineRule="auto"/>
        <w:rPr>
          <w:szCs w:val="20"/>
        </w:rPr>
      </w:pPr>
      <w:r w:rsidRPr="0086202A">
        <w:rPr>
          <w:szCs w:val="20"/>
        </w:rPr>
        <w:t xml:space="preserve">BDO believe that an increase in the talent pool available to agribusinesses will ultimately support increased profitability. Some of that talent pool may end up working in service industry roles as well as on the farm, and should ultimately increase the knowledge levels and competency of </w:t>
      </w:r>
      <w:r w:rsidR="00592334" w:rsidRPr="0086202A">
        <w:rPr>
          <w:szCs w:val="20"/>
        </w:rPr>
        <w:t>related industries that that would benefit from such knowledge, such as in the technology and investment space.</w:t>
      </w:r>
    </w:p>
    <w:p w:rsidR="00566D59" w:rsidRPr="0086202A" w:rsidRDefault="00566D59" w:rsidP="00DD0B45">
      <w:pPr>
        <w:spacing w:after="0" w:line="240" w:lineRule="auto"/>
        <w:rPr>
          <w:b/>
          <w:szCs w:val="20"/>
        </w:rPr>
      </w:pPr>
    </w:p>
    <w:p w:rsidR="00727FE7" w:rsidRPr="0086202A" w:rsidRDefault="00727FE7" w:rsidP="00DD0B45">
      <w:pPr>
        <w:spacing w:after="0" w:line="240" w:lineRule="auto"/>
        <w:rPr>
          <w:b/>
          <w:szCs w:val="20"/>
        </w:rPr>
      </w:pPr>
    </w:p>
    <w:sectPr w:rsidR="00727FE7" w:rsidRPr="0086202A" w:rsidSect="0078579E">
      <w:headerReference w:type="even" r:id="rId9"/>
      <w:headerReference w:type="default" r:id="rId10"/>
      <w:footerReference w:type="even" r:id="rId11"/>
      <w:footerReference w:type="default" r:id="rId12"/>
      <w:headerReference w:type="first" r:id="rId13"/>
      <w:footerReference w:type="first" r:id="rId14"/>
      <w:pgSz w:w="11906" w:h="16838" w:code="9"/>
      <w:pgMar w:top="2381" w:right="851" w:bottom="1985" w:left="1701" w:header="851" w:footer="3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E2" w:rsidRDefault="00670BE2">
      <w:r>
        <w:separator/>
      </w:r>
    </w:p>
  </w:endnote>
  <w:endnote w:type="continuationSeparator" w:id="0">
    <w:p w:rsidR="00670BE2" w:rsidRDefault="0067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BC6" w:rsidRDefault="00B34BC6">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6892"/>
      <w:docPartObj>
        <w:docPartGallery w:val="Page Numbers (Bottom of Page)"/>
        <w:docPartUnique/>
      </w:docPartObj>
    </w:sdtPr>
    <w:sdtEndPr/>
    <w:sdtContent>
      <w:p w:rsidR="00B34BC6" w:rsidRPr="00CD306E" w:rsidRDefault="00B34BC6" w:rsidP="003027FF">
        <w:pPr>
          <w:pStyle w:val="BDOPageNumbering"/>
          <w:framePr w:wrap="around" w:y="16104"/>
        </w:pPr>
        <w:r>
          <w:fldChar w:fldCharType="begin"/>
        </w:r>
        <w:r>
          <w:instrText xml:space="preserve"> PAGE   \* MERGEFORMAT </w:instrText>
        </w:r>
        <w:r>
          <w:fldChar w:fldCharType="separate"/>
        </w:r>
        <w:r w:rsidR="005C6A06">
          <w:rPr>
            <w:noProof/>
          </w:rPr>
          <w:t>5</w:t>
        </w:r>
        <w:r>
          <w:rPr>
            <w:noProof/>
          </w:rPr>
          <w:fldChar w:fldCharType="end"/>
        </w:r>
      </w:p>
    </w:sdtContent>
  </w:sdt>
  <w:p w:rsidR="00B34BC6" w:rsidRDefault="00B34B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alias w:val="Disclaimer"/>
      <w:tag w:val="Disclaimer"/>
      <w:id w:val="8566895"/>
      <w:lock w:val="sdtContentLocked"/>
    </w:sdtPr>
    <w:sdtEndPr>
      <w:rPr>
        <w:color w:val="786860"/>
      </w:rPr>
    </w:sdtEndPr>
    <w:sdtContent>
      <w:p w:rsidR="00B34BC6" w:rsidRDefault="00B34BC6" w:rsidP="0078579E">
        <w:pPr>
          <w:pStyle w:val="BDOFooter"/>
          <w:framePr w:w="8481" w:wrap="around"/>
        </w:pPr>
        <w:r>
          <w:t xml:space="preserve">BDO Australia Ltd ABN 77 050 110 275, an Australian company limited by guarantee, is a member of BDO International Ltd, a UK company limited by guarantee, and forms part of the international BDO network of independent member firms. Liability limited by a scheme approved under Professional Standards Legislation (other than for the acts or omissions of financial services licensees) in each State or Territory other than Tasmania. </w:t>
        </w:r>
      </w:p>
      <w:p w:rsidR="00B34BC6" w:rsidRDefault="00B34BC6" w:rsidP="0078579E">
        <w:pPr>
          <w:pStyle w:val="BDOFooter"/>
          <w:framePr w:w="8481" w:wrap="around"/>
        </w:pPr>
      </w:p>
      <w:p w:rsidR="00B34BC6" w:rsidRPr="00A425F9" w:rsidRDefault="005C6A06" w:rsidP="005C2B39">
        <w:pPr>
          <w:pStyle w:val="BDOFooter"/>
          <w:framePr w:wrap="around"/>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E2" w:rsidRDefault="00670BE2">
      <w:r>
        <w:separator/>
      </w:r>
    </w:p>
  </w:footnote>
  <w:footnote w:type="continuationSeparator" w:id="0">
    <w:p w:rsidR="00670BE2" w:rsidRDefault="0067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BC6" w:rsidRDefault="00B34BC6">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BC6" w:rsidRDefault="005C6A06">
    <w:sdt>
      <w:sdtPr>
        <w:id w:val="8566915"/>
        <w:lock w:val="sdtContentLocked"/>
        <w:placeholder>
          <w:docPart w:val="DA0281C8E918493289FBFFC7A690A867"/>
        </w:placeholder>
        <w:group/>
      </w:sdtPr>
      <w:sdtEndPr/>
      <w:sdtContent>
        <w:r w:rsidR="00B34BC6" w:rsidRPr="00297D8F">
          <w:rPr>
            <w:noProof/>
            <w:lang w:eastAsia="en-AU"/>
          </w:rPr>
          <w:drawing>
            <wp:anchor distT="0" distB="0" distL="114300" distR="114300" simplePos="0" relativeHeight="251656704" behindDoc="1" locked="0" layoutInCell="1" allowOverlap="1" wp14:anchorId="000C832D" wp14:editId="7B10F929">
              <wp:simplePos x="0" y="0"/>
              <wp:positionH relativeFrom="page">
                <wp:posOffset>1058545</wp:posOffset>
              </wp:positionH>
              <wp:positionV relativeFrom="page">
                <wp:posOffset>543560</wp:posOffset>
              </wp:positionV>
              <wp:extent cx="981075" cy="371475"/>
              <wp:effectExtent l="19050" t="0" r="9525" b="0"/>
              <wp:wrapNone/>
              <wp:docPr id="4" name="Picture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anchor>
          </w:drawing>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alias w:val="Address2"/>
      <w:tag w:val="Address2"/>
      <w:id w:val="8566911"/>
      <w:lock w:val="sdtContentLocked"/>
    </w:sdtPr>
    <w:sdtEndPr>
      <w:rPr>
        <w:color w:val="786860"/>
      </w:rPr>
    </w:sdtEndPr>
    <w:sdtContent>
      <w:p w:rsidR="00B34BC6" w:rsidRDefault="00B34BC6" w:rsidP="00E07CC4">
        <w:pPr>
          <w:pStyle w:val="BDOAddress2"/>
          <w:framePr w:wrap="around"/>
        </w:pPr>
        <w:r w:rsidRPr="008E6566">
          <w:fldChar w:fldCharType="begin"/>
        </w:r>
        <w:r w:rsidRPr="008E6566">
          <w:instrText xml:space="preserve"> DOCPROPERTY  xAddress2  \* MERGEFORMAT </w:instrText>
        </w:r>
        <w:r w:rsidRPr="008E6566">
          <w:fldChar w:fldCharType="separate"/>
        </w:r>
        <w:r>
          <w:t xml:space="preserve">Level 18, 300 Queen St </w:t>
        </w:r>
      </w:p>
      <w:p w:rsidR="00B34BC6" w:rsidRDefault="00B34BC6" w:rsidP="00E07CC4">
        <w:pPr>
          <w:pStyle w:val="BDOAddress2"/>
          <w:framePr w:wrap="around"/>
        </w:pPr>
        <w:r>
          <w:t>Brisbane QLD 4000</w:t>
        </w:r>
      </w:p>
      <w:p w:rsidR="00B34BC6" w:rsidRDefault="00B34BC6" w:rsidP="00E07CC4">
        <w:pPr>
          <w:pStyle w:val="BDOAddress2"/>
          <w:framePr w:wrap="around"/>
        </w:pPr>
        <w:r>
          <w:t>GPO Box 457 Brisbane QLD 4001</w:t>
        </w:r>
      </w:p>
      <w:p w:rsidR="00B34BC6" w:rsidRPr="008E6566" w:rsidRDefault="00B34BC6" w:rsidP="00E07CC4">
        <w:pPr>
          <w:pStyle w:val="BDOAddress2"/>
          <w:framePr w:wrap="around"/>
        </w:pPr>
        <w:r>
          <w:t>Australia</w:t>
        </w:r>
        <w:r w:rsidRPr="008E6566">
          <w:fldChar w:fldCharType="end"/>
        </w:r>
      </w:p>
      <w:p w:rsidR="00B34BC6" w:rsidRPr="006C2421" w:rsidRDefault="005C6A06" w:rsidP="00E07CC4">
        <w:pPr>
          <w:pStyle w:val="BDOAddress2"/>
          <w:framePr w:wrap="around"/>
        </w:pPr>
      </w:p>
    </w:sdtContent>
  </w:sdt>
  <w:sdt>
    <w:sdtPr>
      <w:rPr>
        <w:b/>
        <w:color w:val="auto"/>
      </w:rPr>
      <w:alias w:val="Address1"/>
      <w:tag w:val="Address1"/>
      <w:id w:val="8566912"/>
      <w:lock w:val="sdtContentLocked"/>
    </w:sdtPr>
    <w:sdtEndPr/>
    <w:sdtContent>
      <w:p w:rsidR="00B34BC6" w:rsidRDefault="00B34BC6" w:rsidP="00132121">
        <w:pPr>
          <w:pStyle w:val="BDOAddress"/>
          <w:framePr w:wrap="around" w:y="852"/>
        </w:pPr>
        <w:r w:rsidRPr="008E6566">
          <w:fldChar w:fldCharType="begin"/>
        </w:r>
        <w:r w:rsidRPr="008E6566">
          <w:instrText xml:space="preserve"> DOCPROPERTY  xTel  \* MERGEFORMAT </w:instrText>
        </w:r>
        <w:r w:rsidRPr="008E6566">
          <w:fldChar w:fldCharType="separate"/>
        </w:r>
        <w:r>
          <w:t>Tel: +61 7 3237 5999</w:t>
        </w:r>
      </w:p>
      <w:p w:rsidR="00B34BC6" w:rsidRPr="008E6566" w:rsidRDefault="00B34BC6" w:rsidP="00132121">
        <w:pPr>
          <w:pStyle w:val="BDOAddress"/>
          <w:framePr w:wrap="around" w:y="852"/>
        </w:pPr>
        <w:r>
          <w:t>Fax: +61 7 3221 9227</w:t>
        </w:r>
        <w:r w:rsidRPr="008E6566">
          <w:fldChar w:fldCharType="end"/>
        </w:r>
      </w:p>
      <w:p w:rsidR="00B34BC6" w:rsidRPr="008E6566" w:rsidRDefault="00B34BC6" w:rsidP="00132121">
        <w:pPr>
          <w:pStyle w:val="BDOAddress"/>
          <w:framePr w:wrap="around" w:y="852"/>
          <w:rPr>
            <w:b/>
          </w:rPr>
        </w:pPr>
        <w:r w:rsidRPr="008E6566">
          <w:rPr>
            <w:b/>
          </w:rPr>
          <w:t>www.bdo.com.au</w:t>
        </w:r>
      </w:p>
      <w:p w:rsidR="00B34BC6" w:rsidRDefault="005C6A06" w:rsidP="00132121">
        <w:pPr>
          <w:pStyle w:val="BDOAddress"/>
          <w:framePr w:wrap="around" w:y="852"/>
          <w:rPr>
            <w:b/>
          </w:rPr>
        </w:pPr>
      </w:p>
    </w:sdtContent>
  </w:sdt>
  <w:p w:rsidR="00B34BC6" w:rsidRDefault="00B34BC6" w:rsidP="00C979C2">
    <w:pPr>
      <w:pStyle w:val="BDONormal"/>
      <w:spacing w:before="1200"/>
    </w:pPr>
    <w:r w:rsidRPr="00E85DF7">
      <w:rPr>
        <w:noProof/>
        <w:lang w:eastAsia="en-AU"/>
      </w:rPr>
      <w:drawing>
        <wp:anchor distT="0" distB="0" distL="114300" distR="114300" simplePos="0" relativeHeight="251657728" behindDoc="1" locked="0" layoutInCell="1" allowOverlap="1" wp14:anchorId="5533935B" wp14:editId="36A8DC1B">
          <wp:simplePos x="0" y="0"/>
          <wp:positionH relativeFrom="page">
            <wp:posOffset>1058545</wp:posOffset>
          </wp:positionH>
          <wp:positionV relativeFrom="page">
            <wp:posOffset>543560</wp:posOffset>
          </wp:positionV>
          <wp:extent cx="981075" cy="371475"/>
          <wp:effectExtent l="19050" t="0" r="9525" b="0"/>
          <wp:wrapNone/>
          <wp:docPr id="7" name="Picture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792"/>
    <w:multiLevelType w:val="hybridMultilevel"/>
    <w:tmpl w:val="BE7640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01DA3"/>
    <w:multiLevelType w:val="hybridMultilevel"/>
    <w:tmpl w:val="427A8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812AC"/>
    <w:multiLevelType w:val="hybridMultilevel"/>
    <w:tmpl w:val="100631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476CA7"/>
    <w:multiLevelType w:val="hybridMultilevel"/>
    <w:tmpl w:val="430A4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6504"/>
    <w:multiLevelType w:val="hybridMultilevel"/>
    <w:tmpl w:val="2938D8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2F4439"/>
    <w:multiLevelType w:val="hybridMultilevel"/>
    <w:tmpl w:val="0A0E3F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C82912"/>
    <w:multiLevelType w:val="hybridMultilevel"/>
    <w:tmpl w:val="B7BE9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7E4EA7"/>
    <w:multiLevelType w:val="hybridMultilevel"/>
    <w:tmpl w:val="32D2F67C"/>
    <w:lvl w:ilvl="0" w:tplc="993C42C0">
      <w:start w:val="2017"/>
      <w:numFmt w:val="bullet"/>
      <w:lvlText w:val="-"/>
      <w:lvlJc w:val="left"/>
      <w:pPr>
        <w:ind w:left="720" w:hanging="360"/>
      </w:pPr>
      <w:rPr>
        <w:rFonts w:ascii="Trebuchet MS" w:eastAsia="Times New Roman" w:hAnsi="Trebuchet MS"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005EB"/>
    <w:multiLevelType w:val="multilevel"/>
    <w:tmpl w:val="21982AEC"/>
    <w:name w:val="BDOAlphaNumeric2"/>
    <w:lvl w:ilvl="0">
      <w:start w:val="1"/>
      <w:numFmt w:val="decimal"/>
      <w:pStyle w:val="BDOAlphaNumericList"/>
      <w:lvlText w:val="%1."/>
      <w:lvlJc w:val="left"/>
      <w:pPr>
        <w:ind w:left="397" w:hanging="397"/>
      </w:pPr>
      <w:rPr>
        <w:rFonts w:ascii="Trebuchet MS" w:hAnsi="Trebuchet MS" w:hint="default"/>
        <w:b w:val="0"/>
        <w:i w:val="0"/>
        <w:color w:val="000000"/>
        <w:sz w:val="20"/>
      </w:rPr>
    </w:lvl>
    <w:lvl w:ilvl="1">
      <w:start w:val="1"/>
      <w:numFmt w:val="lowerLetter"/>
      <w:lvlText w:val="%2."/>
      <w:lvlJc w:val="left"/>
      <w:pPr>
        <w:tabs>
          <w:tab w:val="num" w:pos="397"/>
        </w:tabs>
        <w:ind w:left="794" w:hanging="397"/>
      </w:pPr>
      <w:rPr>
        <w:rFonts w:ascii="Trebuchet MS" w:hAnsi="Trebuchet MS" w:hint="default"/>
        <w:b w:val="0"/>
        <w:i w:val="0"/>
        <w:color w:val="000000"/>
        <w:sz w:val="20"/>
      </w:rPr>
    </w:lvl>
    <w:lvl w:ilvl="2">
      <w:start w:val="1"/>
      <w:numFmt w:val="lowerRoman"/>
      <w:lvlText w:val="%3."/>
      <w:lvlJc w:val="left"/>
      <w:pPr>
        <w:ind w:left="1191" w:hanging="397"/>
      </w:pPr>
      <w:rPr>
        <w:rFonts w:ascii="Trebuchet MS" w:hAnsi="Trebuchet MS" w:hint="default"/>
        <w:b w:val="0"/>
        <w:i w:val="0"/>
        <w:color w:val="00000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8178B0"/>
    <w:multiLevelType w:val="hybridMultilevel"/>
    <w:tmpl w:val="B11A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5011C"/>
    <w:multiLevelType w:val="hybridMultilevel"/>
    <w:tmpl w:val="623E4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E6F18"/>
    <w:multiLevelType w:val="hybridMultilevel"/>
    <w:tmpl w:val="C4CEB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8A5D94"/>
    <w:multiLevelType w:val="hybridMultilevel"/>
    <w:tmpl w:val="5F2C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12B79"/>
    <w:multiLevelType w:val="hybridMultilevel"/>
    <w:tmpl w:val="EB780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8475FBE"/>
    <w:multiLevelType w:val="hybridMultilevel"/>
    <w:tmpl w:val="96524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5A0B0E"/>
    <w:multiLevelType w:val="hybridMultilevel"/>
    <w:tmpl w:val="8B8E4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2C4134"/>
    <w:multiLevelType w:val="hybridMultilevel"/>
    <w:tmpl w:val="43F0A9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C7F47FB"/>
    <w:multiLevelType w:val="hybridMultilevel"/>
    <w:tmpl w:val="756E5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BC23FF"/>
    <w:multiLevelType w:val="hybridMultilevel"/>
    <w:tmpl w:val="69F8D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542B5E"/>
    <w:multiLevelType w:val="multilevel"/>
    <w:tmpl w:val="5574C796"/>
    <w:lvl w:ilvl="0">
      <w:start w:val="1"/>
      <w:numFmt w:val="bullet"/>
      <w:pStyle w:val="BDOBulletOne"/>
      <w:lvlText w:val="•"/>
      <w:lvlJc w:val="left"/>
      <w:pPr>
        <w:ind w:left="397" w:hanging="397"/>
      </w:pPr>
      <w:rPr>
        <w:rFonts w:ascii="Trebuchet MS" w:hAnsi="Trebuchet MS" w:hint="default"/>
        <w:sz w:val="20"/>
        <w:szCs w:val="20"/>
      </w:rPr>
    </w:lvl>
    <w:lvl w:ilvl="1">
      <w:start w:val="1"/>
      <w:numFmt w:val="bullet"/>
      <w:lvlText w:val="-"/>
      <w:lvlJc w:val="left"/>
      <w:pPr>
        <w:tabs>
          <w:tab w:val="num" w:pos="1837"/>
        </w:tabs>
        <w:ind w:left="794" w:hanging="397"/>
      </w:pPr>
      <w:rPr>
        <w:rFonts w:ascii="Courier New" w:hAnsi="Courier New" w:hint="default"/>
      </w:rPr>
    </w:lvl>
    <w:lvl w:ilvl="2">
      <w:start w:val="1"/>
      <w:numFmt w:val="bullet"/>
      <w:lvlText w:val="•"/>
      <w:lvlJc w:val="left"/>
      <w:pPr>
        <w:tabs>
          <w:tab w:val="num" w:pos="2557"/>
        </w:tabs>
        <w:ind w:left="1191" w:hanging="397"/>
      </w:pPr>
      <w:rPr>
        <w:rFonts w:ascii="Trebuchet MS" w:hAnsi="Trebuchet M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20" w15:restartNumberingAfterBreak="0">
    <w:nsid w:val="40F007E5"/>
    <w:multiLevelType w:val="hybridMultilevel"/>
    <w:tmpl w:val="71BEF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8052FC"/>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445826FB"/>
    <w:multiLevelType w:val="hybridMultilevel"/>
    <w:tmpl w:val="4B4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11A31"/>
    <w:multiLevelType w:val="hybridMultilevel"/>
    <w:tmpl w:val="063EF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8B6D7E"/>
    <w:multiLevelType w:val="hybridMultilevel"/>
    <w:tmpl w:val="8202F7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5" w15:restartNumberingAfterBreak="0">
    <w:nsid w:val="4B2A46A8"/>
    <w:multiLevelType w:val="hybridMultilevel"/>
    <w:tmpl w:val="A01CD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C54875"/>
    <w:multiLevelType w:val="multilevel"/>
    <w:tmpl w:val="E7787826"/>
    <w:name w:val="BDOAlphaList"/>
    <w:lvl w:ilvl="0">
      <w:start w:val="1"/>
      <w:numFmt w:val="upperLetter"/>
      <w:pStyle w:val="BDOAlphaList"/>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657430"/>
    <w:multiLevelType w:val="hybridMultilevel"/>
    <w:tmpl w:val="3788A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CD06F8"/>
    <w:multiLevelType w:val="hybridMultilevel"/>
    <w:tmpl w:val="15A6F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7143E8"/>
    <w:multiLevelType w:val="hybridMultilevel"/>
    <w:tmpl w:val="DFCA0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AD53EE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F50237"/>
    <w:multiLevelType w:val="hybridMultilevel"/>
    <w:tmpl w:val="3E6E7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352C01"/>
    <w:multiLevelType w:val="hybridMultilevel"/>
    <w:tmpl w:val="B3E28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BAD15C1"/>
    <w:multiLevelType w:val="multilevel"/>
    <w:tmpl w:val="EA123406"/>
    <w:lvl w:ilvl="0">
      <w:start w:val="1"/>
      <w:numFmt w:val="decimal"/>
      <w:pStyle w:val="BDONumericList"/>
      <w:lvlText w:val="%1."/>
      <w:lvlJc w:val="left"/>
      <w:pPr>
        <w:ind w:left="454" w:hanging="454"/>
      </w:pPr>
      <w:rPr>
        <w:rFonts w:ascii="Trebuchet MS" w:hAnsi="Trebuchet MS" w:hint="default"/>
        <w:b w:val="0"/>
        <w:i w:val="0"/>
        <w:color w:val="000000"/>
        <w:sz w:val="20"/>
      </w:rPr>
    </w:lvl>
    <w:lvl w:ilvl="1">
      <w:start w:val="1"/>
      <w:numFmt w:val="decimal"/>
      <w:lvlText w:val="%1.%2."/>
      <w:lvlJc w:val="left"/>
      <w:pPr>
        <w:ind w:left="936" w:hanging="652"/>
      </w:pPr>
      <w:rPr>
        <w:rFonts w:ascii="Trebuchet MS" w:hAnsi="Trebuchet MS" w:hint="default"/>
        <w:b w:val="0"/>
        <w:i w:val="0"/>
        <w:color w:val="000000"/>
        <w:sz w:val="20"/>
      </w:rPr>
    </w:lvl>
    <w:lvl w:ilvl="2">
      <w:start w:val="1"/>
      <w:numFmt w:val="decimal"/>
      <w:lvlText w:val="%1.%2.%3."/>
      <w:lvlJc w:val="left"/>
      <w:pPr>
        <w:ind w:left="1418" w:hanging="850"/>
      </w:pPr>
      <w:rPr>
        <w:rFonts w:ascii="Trebuchet MS" w:hAnsi="Trebuchet MS" w:hint="default"/>
        <w:b w:val="0"/>
        <w:i w:val="0"/>
        <w:color w:val="000000"/>
        <w:sz w:val="20"/>
      </w:rPr>
    </w:lvl>
    <w:lvl w:ilvl="3">
      <w:start w:val="1"/>
      <w:numFmt w:val="decimal"/>
      <w:lvlText w:val="%1.%2.%3.%4."/>
      <w:lvlJc w:val="left"/>
      <w:pPr>
        <w:ind w:left="1899" w:hanging="1047"/>
      </w:pPr>
      <w:rPr>
        <w:rFonts w:ascii="Trebuchet MS" w:hAnsi="Trebuchet MS" w:hint="default"/>
        <w:b w:val="0"/>
        <w:i w:val="0"/>
        <w:sz w:val="20"/>
      </w:rPr>
    </w:lvl>
    <w:lvl w:ilvl="4">
      <w:start w:val="1"/>
      <w:numFmt w:val="decimal"/>
      <w:lvlText w:val="%1.%2.%3.%4.%5."/>
      <w:lvlJc w:val="left"/>
      <w:pPr>
        <w:ind w:left="2381" w:hanging="1245"/>
      </w:pPr>
      <w:rPr>
        <w:rFonts w:ascii="Trebuchet MS" w:hAnsi="Trebuchet MS" w:hint="default"/>
        <w:b w:val="0"/>
        <w:i w:val="0"/>
        <w:sz w:val="20"/>
      </w:rPr>
    </w:lvl>
    <w:lvl w:ilvl="5">
      <w:start w:val="1"/>
      <w:numFmt w:val="decimal"/>
      <w:lvlText w:val="%1.%2.%3.%4.%5.%6."/>
      <w:lvlJc w:val="left"/>
      <w:pPr>
        <w:ind w:left="2863" w:hanging="1443"/>
      </w:pPr>
      <w:rPr>
        <w:rFonts w:ascii="Trebuchet MS" w:hAnsi="Trebuchet MS" w:hint="default"/>
        <w:b w:val="0"/>
        <w:i w:val="0"/>
        <w:sz w:val="20"/>
      </w:rPr>
    </w:lvl>
    <w:lvl w:ilvl="6">
      <w:start w:val="1"/>
      <w:numFmt w:val="decimal"/>
      <w:lvlText w:val="%1.%2.%3.%4.%5.%6.%7."/>
      <w:lvlJc w:val="left"/>
      <w:pPr>
        <w:ind w:left="3345" w:hanging="1641"/>
      </w:pPr>
      <w:rPr>
        <w:rFonts w:ascii="Trebuchet MS" w:hAnsi="Trebuchet MS" w:hint="default"/>
        <w:b w:val="0"/>
        <w:i w:val="0"/>
        <w:sz w:val="20"/>
      </w:rPr>
    </w:lvl>
    <w:lvl w:ilvl="7">
      <w:start w:val="1"/>
      <w:numFmt w:val="decimal"/>
      <w:lvlText w:val="%1.%2.%3.%4.%5.%6.%7.%8."/>
      <w:lvlJc w:val="left"/>
      <w:pPr>
        <w:ind w:left="3827" w:hanging="1839"/>
      </w:pPr>
      <w:rPr>
        <w:rFonts w:ascii="Trebuchet MS" w:hAnsi="Trebuchet MS" w:hint="default"/>
        <w:b w:val="0"/>
        <w:i w:val="0"/>
        <w:color w:val="auto"/>
        <w:sz w:val="20"/>
      </w:rPr>
    </w:lvl>
    <w:lvl w:ilvl="8">
      <w:start w:val="1"/>
      <w:numFmt w:val="decimal"/>
      <w:lvlText w:val="%1.%2.%3.%4.%5.%6.%7.%8.%9."/>
      <w:lvlJc w:val="left"/>
      <w:pPr>
        <w:ind w:left="2669" w:hanging="397"/>
      </w:pPr>
      <w:rPr>
        <w:rFonts w:ascii="Trebuchet MS" w:hAnsi="Trebuchet MS" w:hint="default"/>
        <w:b w:val="0"/>
        <w:i w:val="0"/>
        <w:color w:val="auto"/>
        <w:sz w:val="20"/>
      </w:rPr>
    </w:lvl>
  </w:abstractNum>
  <w:abstractNum w:abstractNumId="34" w15:restartNumberingAfterBreak="0">
    <w:nsid w:val="7047299B"/>
    <w:multiLevelType w:val="hybridMultilevel"/>
    <w:tmpl w:val="8E1A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E67B0A"/>
    <w:multiLevelType w:val="hybridMultilevel"/>
    <w:tmpl w:val="020A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305F86"/>
    <w:multiLevelType w:val="hybridMultilevel"/>
    <w:tmpl w:val="D7A0953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2A61C11"/>
    <w:multiLevelType w:val="hybridMultilevel"/>
    <w:tmpl w:val="DCF8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043A6"/>
    <w:multiLevelType w:val="hybridMultilevel"/>
    <w:tmpl w:val="F980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0044"/>
    <w:multiLevelType w:val="hybridMultilevel"/>
    <w:tmpl w:val="A4CCB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96B45D1"/>
    <w:multiLevelType w:val="hybridMultilevel"/>
    <w:tmpl w:val="49942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A027C3C"/>
    <w:multiLevelType w:val="hybridMultilevel"/>
    <w:tmpl w:val="D7B4A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2A44E7"/>
    <w:multiLevelType w:val="hybridMultilevel"/>
    <w:tmpl w:val="2A80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6"/>
  </w:num>
  <w:num w:numId="4">
    <w:abstractNumId w:val="8"/>
  </w:num>
  <w:num w:numId="5">
    <w:abstractNumId w:val="33"/>
  </w:num>
  <w:num w:numId="6">
    <w:abstractNumId w:val="30"/>
  </w:num>
  <w:num w:numId="7">
    <w:abstractNumId w:val="5"/>
  </w:num>
  <w:num w:numId="8">
    <w:abstractNumId w:val="25"/>
  </w:num>
  <w:num w:numId="9">
    <w:abstractNumId w:val="4"/>
  </w:num>
  <w:num w:numId="10">
    <w:abstractNumId w:val="0"/>
  </w:num>
  <w:num w:numId="11">
    <w:abstractNumId w:val="14"/>
  </w:num>
  <w:num w:numId="12">
    <w:abstractNumId w:val="34"/>
  </w:num>
  <w:num w:numId="13">
    <w:abstractNumId w:val="36"/>
  </w:num>
  <w:num w:numId="14">
    <w:abstractNumId w:val="22"/>
  </w:num>
  <w:num w:numId="15">
    <w:abstractNumId w:val="37"/>
  </w:num>
  <w:num w:numId="16">
    <w:abstractNumId w:val="12"/>
  </w:num>
  <w:num w:numId="17">
    <w:abstractNumId w:val="38"/>
  </w:num>
  <w:num w:numId="18">
    <w:abstractNumId w:val="9"/>
  </w:num>
  <w:num w:numId="19">
    <w:abstractNumId w:val="11"/>
  </w:num>
  <w:num w:numId="20">
    <w:abstractNumId w:val="18"/>
  </w:num>
  <w:num w:numId="21">
    <w:abstractNumId w:val="24"/>
  </w:num>
  <w:num w:numId="22">
    <w:abstractNumId w:val="24"/>
  </w:num>
  <w:num w:numId="23">
    <w:abstractNumId w:val="24"/>
  </w:num>
  <w:num w:numId="24">
    <w:abstractNumId w:val="17"/>
  </w:num>
  <w:num w:numId="25">
    <w:abstractNumId w:val="42"/>
  </w:num>
  <w:num w:numId="26">
    <w:abstractNumId w:val="15"/>
  </w:num>
  <w:num w:numId="27">
    <w:abstractNumId w:val="27"/>
  </w:num>
  <w:num w:numId="28">
    <w:abstractNumId w:val="35"/>
  </w:num>
  <w:num w:numId="29">
    <w:abstractNumId w:val="28"/>
  </w:num>
  <w:num w:numId="30">
    <w:abstractNumId w:val="7"/>
  </w:num>
  <w:num w:numId="31">
    <w:abstractNumId w:val="29"/>
  </w:num>
  <w:num w:numId="32">
    <w:abstractNumId w:val="31"/>
  </w:num>
  <w:num w:numId="33">
    <w:abstractNumId w:val="10"/>
  </w:num>
  <w:num w:numId="34">
    <w:abstractNumId w:val="1"/>
  </w:num>
  <w:num w:numId="35">
    <w:abstractNumId w:val="32"/>
  </w:num>
  <w:num w:numId="36">
    <w:abstractNumId w:val="2"/>
  </w:num>
  <w:num w:numId="37">
    <w:abstractNumId w:val="16"/>
  </w:num>
  <w:num w:numId="38">
    <w:abstractNumId w:val="40"/>
  </w:num>
  <w:num w:numId="39">
    <w:abstractNumId w:val="3"/>
  </w:num>
  <w:num w:numId="40">
    <w:abstractNumId w:val="23"/>
  </w:num>
  <w:num w:numId="41">
    <w:abstractNumId w:val="6"/>
  </w:num>
  <w:num w:numId="42">
    <w:abstractNumId w:val="13"/>
  </w:num>
  <w:num w:numId="43">
    <w:abstractNumId w:val="20"/>
  </w:num>
  <w:num w:numId="44">
    <w:abstractNumId w:val="41"/>
  </w:num>
  <w:num w:numId="4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styleLockTheme/>
  <w:styleLockQFSet/>
  <w:defaultTabStop w:val="720"/>
  <w:drawingGridHorizontalSpacing w:val="100"/>
  <w:displayHorizontalDrawingGridEvery w:val="2"/>
  <w:doNotShadeFormData/>
  <w:noPunctuationKerning/>
  <w:characterSpacingControl w:val="doNotCompress"/>
  <w:hdrShapeDefaults>
    <o:shapedefaults v:ext="edit" spidmax="4097"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N1" w:val="77 050 110 275"/>
    <w:docVar w:name="ABN10" w:val="37 009 547 844"/>
    <w:docVar w:name="ABN11" w:val="69 593 209 343"/>
    <w:docVar w:name="ABN12" w:val="37 009 547 844"/>
    <w:docVar w:name="ABN13" w:val="62 805 149 677"/>
    <w:docVar w:name="ABN14" w:val="54 010 185 725"/>
    <w:docVar w:name="ABN15" w:val="33 134 022 870"/>
    <w:docVar w:name="ABN16" w:val="90 134 036 507"/>
    <w:docVar w:name="ABN17" w:val="45 134 242 434"/>
    <w:docVar w:name="ABN18" w:val="70 202 702 402"/>
    <w:docVar w:name="ABN19" w:val="49 133 818 023"/>
    <w:docVar w:name="ABN2" w:val="18 083 045 096"/>
    <w:docVar w:name="ABN20" w:val="85 134 036 490"/>
    <w:docVar w:name="ABN21" w:val="23 010 085 588"/>
    <w:docVar w:name="ABN22" w:val="77 133 657 833"/>
    <w:docVar w:name="ABN23" w:val="85 484 958 978"/>
    <w:docVar w:name="ABN24" w:val="98 944 751 649"/>
    <w:docVar w:name="ABN25" w:val="39 635 367 807"/>
    <w:docVar w:name="ABN26" w:val="25 124 031 036"/>
    <w:docVar w:name="ABN27" w:val="16 124 162 296"/>
    <w:docVar w:name="ABN28" w:val="27 124 031 045"/>
    <w:docVar w:name="ABN29" w:val="31 124 158 756"/>
    <w:docVar w:name="ABN3" w:val="31 164 696 648"/>
    <w:docVar w:name="ABN30" w:val="33 124 158 765"/>
    <w:docVar w:name="ABN31" w:val="79 112 284 787"/>
    <w:docVar w:name="ABN32" w:val="83 236 985 726"/>
    <w:docVar w:name="ABN33" w:val="70 050 038 170"/>
    <w:docVar w:name="ABN34" w:val="83 236 985 726"/>
    <w:docVar w:name="ABN35" w:val="70 050 038 170"/>
    <w:docVar w:name="ABN36" w:val="83 236 985 726 "/>
    <w:docVar w:name="ABN37" w:val="83 236 985 726"/>
    <w:docVar w:name="ABN38" w:val="83 236 985 726"/>
    <w:docVar w:name="ABN39" w:val="83 236 985 726"/>
    <w:docVar w:name="ABN4" w:val="55 121 461 041 "/>
    <w:docVar w:name="ABN40" w:val="28 086 351 135"/>
    <w:docVar w:name="ABN41" w:val="82 065 203 492"/>
    <w:docVar w:name="ABN42" w:val="28 005 875 258"/>
    <w:docVar w:name="ABN43" w:val="17 114 673 540"/>
    <w:docVar w:name="ABN44" w:val="28 005 875 258"/>
    <w:docVar w:name="ABN45" w:val="85 484 958 978"/>
    <w:docVar w:name="ABN46" w:val="98 944 751 649"/>
    <w:docVar w:name="ABN47" w:val="39 635 367 807"/>
    <w:docVar w:name="ABN48" w:val="25 124 031 036"/>
    <w:docVar w:name="ABN49" w:val="16 124 162 296"/>
    <w:docVar w:name="ABN5" w:val="37 008 146 021"/>
    <w:docVar w:name="ABN50" w:val="27 124 031 045"/>
    <w:docVar w:name="ABN51" w:val="31 124 158 756"/>
    <w:docVar w:name="ABN52" w:val="33 124 158 765"/>
    <w:docVar w:name="ABN53" w:val="79 112 284 787"/>
    <w:docVar w:name="ABN6" w:val="68 506 530 045"/>
    <w:docVar w:name="ABN7" w:val="37 008 146 021"/>
    <w:docVar w:name="ABN8" w:val="37 008 146 021"/>
    <w:docVar w:name="ABN9" w:val="008 181 379"/>
    <w:docVar w:name="Entity1" w:val="Australia Ltd"/>
    <w:docVar w:name="Entity10" w:val="(TAS) Pty Ltd"/>
    <w:docVar w:name="Entity11" w:val="Audit (TAS)"/>
    <w:docVar w:name="Entity12" w:val="(TAS) Pty Ltd"/>
    <w:docVar w:name="Entity13" w:val="Private Wealth Advisers Pty Ltd"/>
    <w:docVar w:name="Entity14" w:val="Corporate Finance (QLD) Ltd"/>
    <w:docVar w:name="Entity15" w:val="Audit Pty Ltd"/>
    <w:docVar w:name="Entity16" w:val="Business Recovery &amp; Insolvency (QLD) Pty Ltd"/>
    <w:docVar w:name="Entity17" w:val="(QLD) Pty Ltd"/>
    <w:docVar w:name="Entity18" w:val="(QLD)"/>
    <w:docVar w:name="Entity19" w:val="Forensic Services (QLD) Pty Ltd"/>
    <w:docVar w:name="Entity2" w:val="Financial Planning (NTH QLD) Pty Ltd"/>
    <w:docVar w:name="Entity20" w:val="Administration (QLD) Pty Ltd"/>
    <w:docVar w:name="Entity21" w:val="Services (QLD) Pty Ltd"/>
    <w:docVar w:name="Entity22" w:val="Group Holdings (QLD) Pty Ltd"/>
    <w:docVar w:name="Entity23" w:val="(NT)"/>
    <w:docVar w:name="Entity24" w:val="Audit (NT)"/>
    <w:docVar w:name="Entity25" w:val="(WA) Directors' &amp; Employees' Trust"/>
    <w:docVar w:name="Entity26" w:val="Tax (WA) Pty Ltd"/>
    <w:docVar w:name="Entity27" w:val="Business Recovery &amp; Insolvency (WA) Pty Ltd"/>
    <w:docVar w:name="Entity28" w:val="Corporate Finance (WA) Pty Ltd"/>
    <w:docVar w:name="Entity29" w:val="Corporate Tax (WA) Pty Ltd"/>
    <w:docVar w:name="Entity3" w:val="(NTH QLD)"/>
    <w:docVar w:name="Entity30" w:val="IT Solutions (WA) Pty Ltd"/>
    <w:docVar w:name="Entity31" w:val="Audit (WA) Pty Ltd"/>
    <w:docVar w:name="Entity32" w:val="East Coast Partnership"/>
    <w:docVar w:name="Entity33" w:val="Corporate Finance (East Coast) Pty Ltd"/>
    <w:docVar w:name="Entity34" w:val="East Coast Partnership "/>
    <w:docVar w:name="Entity35" w:val="Corporate Finance (East Coast) Pty Ltd "/>
    <w:docVar w:name="Entity36" w:val="East Coast Partnership"/>
    <w:docVar w:name="Entity37" w:val="East Coast Partnership "/>
    <w:docVar w:name="Entity38" w:val="Services (East Coast) Pty Ltd ATF York Unit Trust "/>
    <w:docVar w:name="Entity39" w:val="Services (East Coast) Pty Ltd ATF York Unit Trust "/>
    <w:docVar w:name="Entity4" w:val="Audit (NTH QLD) Pty Ltd"/>
    <w:docVar w:name="Entity40" w:val="Wealth Management (NSW) Pty Ltd"/>
    <w:docVar w:name="Entity41" w:val="Securities (NSW-VIC) Pty Ltd"/>
    <w:docVar w:name="Entity42" w:val="(NSW-VIC) Pty Ltd"/>
    <w:docVar w:name="Entity43" w:val="Audit (NSW-VIC) Pty Ltd"/>
    <w:docVar w:name="Entity44" w:val="(NSW-VIC) Pty Ltd"/>
    <w:docVar w:name="Entity45" w:val="(NT)"/>
    <w:docVar w:name="Entity46" w:val="Audit (NT)"/>
    <w:docVar w:name="Entity47" w:val="(WA) Directors' &amp; Employees' Trust"/>
    <w:docVar w:name="Entity48" w:val="Tax (WA) Pty Ltd"/>
    <w:docVar w:name="Entity49" w:val="Business Recovery &amp; Insolvency (WA) Pty Ltd"/>
    <w:docVar w:name="Entity5" w:val="(SA) Pty Ltd"/>
    <w:docVar w:name="Entity50" w:val="Corporate Finance (WA) Pty Ltd"/>
    <w:docVar w:name="Entity51" w:val="Corporate Tax (WA) Pty Ltd"/>
    <w:docVar w:name="Entity52" w:val="IT Solutions (WA) Pty Ltd"/>
    <w:docVar w:name="Entity53" w:val="Audit (WA) Pty Ltd"/>
    <w:docVar w:name="Entity6" w:val="(SA)"/>
    <w:docVar w:name="Entity7" w:val="(SA) Pty Ltd"/>
    <w:docVar w:name="Entity8" w:val="(SA) Pty Ltd"/>
    <w:docVar w:name="Entity9" w:val="Corporate Finance (SA) Pty Ltd"/>
    <w:docVar w:name="Fax1" w:val="61 7 3221 9227"/>
    <w:docVar w:name="Fax10" w:val="61 3 6234 2392"/>
    <w:docVar w:name="Fax11" w:val="61 3 6234 2392"/>
    <w:docVar w:name="Fax12" w:val="61 3 6234 2392"/>
    <w:docVar w:name="Fax13" w:val="61 7 3221 2773"/>
    <w:docVar w:name="Fax14" w:val="61 7 3221 9227"/>
    <w:docVar w:name="Fax15" w:val="61 7 3221 9227"/>
    <w:docVar w:name="Fax16" w:val="61 7 3221 9227"/>
    <w:docVar w:name="Fax17" w:val="61 7 3221 9227"/>
    <w:docVar w:name="Fax18" w:val="61 7 3221 9227"/>
    <w:docVar w:name="Fax19" w:val="61 7 3221 9227"/>
    <w:docVar w:name="Fax2" w:val="61 7 4051 3484"/>
    <w:docVar w:name="Fax20" w:val="61 7 3221 9227"/>
    <w:docVar w:name="Fax21" w:val="61 7 3221 9227"/>
    <w:docVar w:name="Fax22" w:val="61 7 3221 9227"/>
    <w:docVar w:name="Fax23" w:val="61 8 8981 7493"/>
    <w:docVar w:name="Fax24" w:val="61 8 8981 7493"/>
    <w:docVar w:name="Fax25" w:val="61 8 6382 4601"/>
    <w:docVar w:name="Fax26" w:val="61 8 6382 4601"/>
    <w:docVar w:name="Fax27" w:val="61 8 6382 4601"/>
    <w:docVar w:name="Fax28" w:val="61 8 6382 4601"/>
    <w:docVar w:name="Fax29" w:val="61 8 6382 4601"/>
    <w:docVar w:name="Fax3" w:val="61 7 4051 3484"/>
    <w:docVar w:name="Fax30" w:val="61 8 6382 4601"/>
    <w:docVar w:name="Fax31" w:val="61 8 6382 4601"/>
    <w:docVar w:name="Fax32" w:val="61 2 9526 2837"/>
    <w:docVar w:name="Fax33" w:val="61 3 9602 3870"/>
    <w:docVar w:name="Fax34" w:val="61 3 9602 3870"/>
    <w:docVar w:name="Fax35" w:val="61 2 9240 9821"/>
    <w:docVar w:name="Fax36" w:val="61 2 9240 9821"/>
    <w:docVar w:name="Fax37" w:val="61 2 9240 9821"/>
    <w:docVar w:name="Fax38" w:val="61 2 9240 9821"/>
    <w:docVar w:name="Fax39" w:val="61 3 9602 3870"/>
    <w:docVar w:name="Fax4" w:val="61 7 4051 3484"/>
    <w:docVar w:name="Fax40" w:val="61 2 9286 5599"/>
    <w:docVar w:name="Fax41" w:val="61 2 9286 5599"/>
    <w:docVar w:name="Fax42" w:val="61 2 4323 1027"/>
    <w:docVar w:name="Fax43" w:val="61 2 4323 1027"/>
    <w:docVar w:name="Fax44" w:val="61 2 9526 2193"/>
    <w:docVar w:name="Fax45" w:val="61 8 8981 7493"/>
    <w:docVar w:name="Fax46" w:val="61 8 8981 7493"/>
    <w:docVar w:name="Fax47" w:val="61 8 6382 4601"/>
    <w:docVar w:name="Fax48" w:val="61 8 6382 4601"/>
    <w:docVar w:name="Fax49" w:val="61 8 6382 4601"/>
    <w:docVar w:name="Fax5" w:val="61 8 8232 0902"/>
    <w:docVar w:name="Fax50" w:val="61 8 6382 4601"/>
    <w:docVar w:name="Fax51" w:val="61 8 6382 4601"/>
    <w:docVar w:name="Fax52" w:val="61 8 6382 4601"/>
    <w:docVar w:name="Fax53" w:val="61 8 6382 4601"/>
    <w:docVar w:name="Fax6" w:val="61 8 8232 0902"/>
    <w:docVar w:name="Fax7" w:val="61 8 8323 8794"/>
    <w:docVar w:name="Fax8" w:val="61 8 8523 4155"/>
    <w:docVar w:name="Fax9" w:val="61 8 8232 0902"/>
    <w:docVar w:name="LegalText1" w:val="BDO Australia Ltd ABN 77 050 110 275, an Australian company limited by guarantee, is a member of BDO International Ltd, a UK company limited by guarantee, and forms part of the international BDO network of independent member firms. Liability limited by a scheme approved under Professional Standards Legislation (other than for the acts or omissions of financial services licensees) in each State or Territory other than Tasmania. "/>
    <w:docVar w:name="LegalText10" w:val="BDO (TAS) Pty Ltd ABN 37 009 547 844 is a member of a national association of independent entities which are all members of BDO Australia Ltd ABN 77 050 110 275, an Australian company limited by guarantee. BDO (TAS)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1" w:val="BDO Audit (TAS) ABN 69 593 209 343 is a member of a national association of independent entities which are all members of BDO Australia Ltd ABN 77 050 110 275, an Australian company limited by guarantee. BDO Audit (TAS)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2" w:val="A Corporate Authorised Representative of Wealthsure Pty Ltd ABN 93 097 405 108  Australian Financial Services Licensee, Licence Number 238030 Suite 1, 34 Hasler Rd, Osbourne Park WA 6017 Phone 61 8 9446 7496 BDO is the brand name for the BDO International network and for each of the BDO Member Firms. BDO in Australia is a national association of separate entities."/>
    <w:docVar w:name="LegalText13" w:val="BDO Private Wealth Advisers Pty Ltd ABN 62 805 149 677 AFS Licence No. 238280 is a member of a national association of independent entities which are all members of BDO Australia Ltd ABN 77 050 110 275, an Australian company limited by guarantee. BDO Private Wealth Advisers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4" w:val="BDO Corporate Finance (QLD) Ltd ABN 54 010 185 725 AFS Licence No. 245513 is a member of a national association of independent entities which are all members of BDO Australia Ltd ABN 77 050 110 275, an Australian company limited by guarantee. BDO Corporate Finance (QLD)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5" w:val="BDO Audit Pty Ltd ABN 33 134 022 870 is a member of a national association of independent entities which are all members of BDO Australia Ltd ABN 77 050 110 275, an Australian company limited by guarantee. BDO Audit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6" w:val="BDO Business Recovery &amp; Insolvency (QLD) Pty Ltd ABN 90 134 036 507 is a member of a national association of independent entities which are all members of BDO Australia Ltd ABN 77 050 110 275, an Australian company limited by guarantee. BDO (xxx)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7" w:val="BDO (QLD) Pty Ltd ABN 45 134 242 434 is a member of a national association of independent entities which are all members of BDO Australia Ltd ABN 77 050 110 275, an Australian company limited by guarantee. BDO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8" w:val="BDO (QLD) ABN 70 202 702 402 is a member of a national association of independent entities which are all members of BDO Australia Ltd ABN 77 050 110 275, an Australian company limited by guarantee. BDO (QL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19" w:val="BDO Forensic Services (QLD) Pty Ltd ABN 49 133 818 023 is a member of a national association of independent entities which are all members of BDO Australia Ltd ABN 77 050 110 275, an Australian company limited by guarantee. BDO Forensic Services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 w:val="BDO Financial Planning (NTH QLD) Pty Ltd ABN 18 083 045 096 AFS Licence No. 297 239 is a member of a national association of independent entities which are all members of BDO Australia Ltd ABN 77 050 110 275, an Australian company limited by guarantee. Financial Planning (NTH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0" w:val="BDO Administration (QLD) Pty Ltd ABN 85 134 036 490 is a member of a national association of independent entities which are all members of BDO Australia Ltd ABN 77 050 110 275, an Australian company limited by guarantee. BDO Administration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1" w:val="BDO Services (QLD) Pty Ltd ABN 23 010 085 588 is a member of a national association of independent entities which are all members of BDO Australia Ltd ABN 77 050 110 275, an Australian company limited by guarantee. BDO Services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2" w:val="BDO Group Holdings (QLD) Pty Ltd ABN 77 133 657 833 is a member of a national association of independent entities which are all members of BDO Australia Ltd ABN 77 050 110 275, an Australian company limited by guarantee. BDO Group Holdings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3" w:val="BDO (NT) ABN 85 484 958 978 is a member of a national association of independent entities which are all members of BDO Australia Ltd ABN 77 050 110 275, an Australian company limited by guarantee. BDO (N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4" w:val="BDO Audit (NT) ABN 98 944 751 649 is a member of a national association of independent entities which are all members of BDO Australia Ltd ABN 77 050 110 275, an Australian company limited by guarantee. BDO Audit (N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5" w:val="BDO (WA) Directors' &amp; Employees' Trust ABN 39 635 367 807 is a member of a national association of independent entities which are all members of BDO Australia Ltd ABN 77 050 110 275, an Australian company limited by guarantee. BDO (WA) Directors' &amp; Employees' Trus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6" w:val="BDO Tax (WA) Pty Ltd ABN 25 124 031 036 is a member of a national association of independent entities which are all members of BDO Australia Ltd ABN 77 050 110 275, an Australian company limited by guarantee. BDO Tax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7" w:val="BDO Business Recovery &amp; Insolvency (WA) Pty Ltd ABN 16 124 162 296 is a member of a national association of independent entities which are all members of BDO Australia Ltd ABN 77 050 110 275, an Australian company limited by guarantee. BDO Business Recovery &amp; Insolvency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8" w:val="BDO Corporate Finance (WA) Pty Ltd ABN 27 124 031 045 AFS Licence No 316158 is a member of a national association of independent entities which are all members of BDO Australia Ltd ABN 77 050 110 275, an Australian company limited by guarantee. BDO Corporate Finance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29" w:val="BDO Corporate Tax (WA) Pty Ltd ABN 31 124 158 756 is a member of a national association of independent entities which are all members of BDO Australia Ltd ABN 77 050 110 275, an Australian company limited by guarantee. BDO Corporate Tax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 w:val="BDO (NTH QLD) ABN 31 164 696 648 is a member of a national association of independent entities which are all members of BDO Australia Ltd ABN 77 050 110 275, an Australian company limited by guarantee. BDO (NTH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0" w:val="BDO IT Solutions (WA) Pty Ltd ABN 33 124 158 765 is a member of a national association of independent entities which are all members of BDO Australia Ltd ABN 77 050 110 275, an Australian company limited by guarantee. BDO IT Solutions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1" w:val="BDO Audit (WA) Pty Ltd ABN 79 112 284 787 is a member of a national association of independent entities which are all members of BDO Australia Ltd ABN 77 050 110 275, an Australian company limited by guarantee. BDO Audit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2" w:val="BDO East Coast Partnership  ABN 83 236 985 726 is a member of a national association of independent entities which are all members of BDO (Australia) Ltd ABN 77 050 110 275, an Australian company limited by guarantee. BDO East Coast Partnership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3" w:val="BDO Corporate Finance (East Coast) Pty Ltd  ABN 70 050 038 170  AFS Licence No. 247 420 is a member of a national association of independent entities which are all members of BDO (Australia) Ltd ABN 77 050 110 275, an Australian company limited by guarantee. BDO Corporate Finance (East Coast)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4" w:val="BDO East Coast Partnership  ABN 83 236 985 726 is a member of a national association of independent entities which are all members of BDO (Australia) Ltd ABN 77 050 110 275, an Australian company limited by guarantee. BDO East Coast Partnership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5" w:val="BDO Corporate Finance (East Coast) Pty Ltd  ABN 70 050 038 170  AFS Licence No. 247 420 is a member of a national association of independent entities which are all members of BDO (Australia) Ltd ABN 77 050 110 275, an Australian company limited by guarantee. BDO Corporate Finance (East Coast)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6" w:val="BDO East Coast Partnership  ABN 83 236 985 726 is a member of a national association of independent entities which are all members of BDO (Australia) Ltd ABN 77 050 110 275, an Australian company limited by guarantee. BDO East Coast Partnership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7" w:val="BDO East Coast Partnership  ABN 83 236 985 726 is a member of a national association of independent entities which are all members of BDO (Australia) Ltd ABN 77 050 110 275, an Australian company limited by guarantee. BDO East Coast Partnership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8" w:val="BDO Services (East Coast) Pty Ltd ATF York Unit Trust ABN 44 581 253 026 is a member of a national association of independent entities which are all members of BDO (Australia) Ltd ABN 77 050 110 275, an Australian company limited by guarantee. BDO Services (East Coast) Pty Ltd ATF York Unit Trus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39" w:val="BDO Services (East Coast) Pty Ltd ATF York Unit Trust ABN 44 581 253 026 is a member of a national association of independent entities which are all members of BDO (Australia) Ltd ABN 77 050 110 275, an Australian company limited by guarantee. BDO Services (East Coast) Pty Ltd ATF York Unit Trus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 w:val="BDO Audit (NTH QLD) Pty Ltd ABN 55 121 461 041 is a member of a national association of independent entities which are all members of BDO (Australia) Ltd ABN 77 050 110 275, an Australian company limited by guarantee. BDO Audit (NTH QLD)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0" w:val="BDO Wealth Management (NSW) Pty Ltd ABN 28 086 351 135 AFS Licence No. 227712 is a member of a national association of independent entities which are all members of BDO Australia Ltd ABN 77 050 110 275, an Australian company limited by guarantee. BDO Wealth Management (NSW)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1" w:val="BDO Securities (NSW-VIC) Pty Ltd ABN 82 065 203 492 AFS Licence No. 222438 is a member of a national association of independent entities which are all members of BDO Australia Ltd ABN 77 050 110 275, an Australian company limited by guarantee. BDO Securities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2" w:val="BDO (NSW-VIC) Pty Ltd ABN 28 005 875 258 is a member of a national association of independent entities which are all members of BDO Australia Ltd ABN 77 050 110 275, an Australian company limited by guarantee. BDO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3" w:val="BDO Audit (NSW-VIC) Pty Ltd ABN 17 114 673 540 is a member of a national association of independent entities which are all members of BDO Australia Ltd ABN 77 050 110 275, an Australian company limited by guarantee. BDO Audit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4" w:val="BDO (NSW-VIC) Pty Ltd ABN 28 005 875 258 is a member of a national association of independent entities which are all members of BDO Australia Ltd ABN 77 050 110 275, an Australian company limited by guarantee. BDO (NSW-VIC)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5" w:val="BDO (NT) ABN 85 484 958 978 is a member of a national association of independent entities which are all members of BDO Australia Ltd ABN 77 050 110 275, an Australian company limited by guarantee. BDO (N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6" w:val="BDO Audit (NT) ABN 98 944 751 649 is a member of a national association of independent entities which are all members of BDO Australia Ltd ABN 77 050 110 275, an Australian company limited by guarantee. BDO Audit (N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7" w:val="BDO (WA) Directors' &amp; Employees' Trust ABN 39 635 367 807 is a member of a national association of independent entities which are all members of BDO Australia Ltd ABN 77 050 110 275, an Australian company limited by guarantee. BDO (WA) Directors' &amp; Employees' Trust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8" w:val="BDO Tax (WA) Pty Ltd ABN 25 124 031 036 is a member of a national association of independent entities which are all members of BDO Australia Ltd ABN 77 050 110 275, an Australian company limited by guarantee. BDO Tax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49" w:val="BDO Business Recovery &amp; Insolvency (WA) Pty Ltd ABN 16 124 162 296 is a member of a national association of independent entities which are all members of BDO Australia Ltd ABN 77 050 110 275, an Australian company limited by guarantee. BDO Business Recovery &amp; Insolvency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 w:val="BDO (SA) Pty Ltd ABN 37 008 146 021 is a member of a national association of independent entities which are all members of BDO Australia Ltd ABN 77 050 110 275, an Australian company limited by guarantee. BDO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0" w:val="BDO Corporate Finance (WA) Pty Ltd ABN 27 124 031 045 AFS Licence No 316158 is a member of a national association of independent entities which are all members of BDO Australia Ltd ABN 77 050 110 275, an Australian company limited by guarantee. BDO Corporate Finance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1" w:val="BDO Corporate Tax (WA) Pty Ltd ABN 31 124 158 756 is a member of a national association of independent entities which are all members of BDO Australia Ltd ABN 77 050 110 275, an Australian company limited by guarantee. BDO Corporate Tax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2" w:val="BDO IT Solutions (WA) Pty Ltd ABN 33 124 158 765 is a member of a national association of independent entities which are all members of BDO Australia Ltd ABN 77 050 110 275, an Australian company limited by guarantee. BDO IT Solutions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53" w:val="BDO Audit (WA) Pty Ltd ABN 79 112 284 787 is a member of a national association of independent entities which are all members of BDO Australia Ltd ABN 77 050 110 275, an Australian company limited by guarantee. BDO Audit (W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6" w:val="BDO (SA) ABN 68 506 530 045 is a member of a national association of independent entities which are all members of BDO Australia Ltd ABN 77 050 110 275, an Australian company limited by guarantee. BDO (SA)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7" w:val="BDO (SA) Pty Ltd ABN 37 008 146 021 is a member of a national association of independent entities which are all members of BDO Australia Ltd ABN 77 050 110 275, an Australian company limited by guarantee. BDO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8" w:val="BDO (SA) Pty Ltd ABN 37 008 146 021 is a member of a national association of independent entities which are all members of BDO Australia Ltd ABN 77 050 110 275, an Australian company limited by guarantee. BDO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egalText9" w:val="BDO Corporate Finance (SA) Pty Ltd ACN 008 181 379 AFS Licence No. 259983 is a member of a national association of independent entities which are all members of BDO Australia Ltd ABN 77 050 110 275, an Australian company limited by guarantee. BDO Corporate Finance (SA) Pty Ltd and BDO Australia Ltd are members of BDO International Ltd, a UK company limited by guarantee, and form part of the international BDO network of independent member firms. Liability limited by a scheme approved under Professional Standards Legislation (other than for the acts or omissions of financial services licensees) in each State or Territory other than Tasmania."/>
    <w:docVar w:name="Licence1" w:val="##NA##"/>
    <w:docVar w:name="Licence10" w:val="##NA##"/>
    <w:docVar w:name="Licence11" w:val="##NA##"/>
    <w:docVar w:name="Licence12" w:val="##NA##"/>
    <w:docVar w:name="Licence13" w:val="AFS Licence No. 238280"/>
    <w:docVar w:name="Licence14" w:val="AFS Licence No. 245513"/>
    <w:docVar w:name="Licence15" w:val="##NA##"/>
    <w:docVar w:name="Licence16" w:val="##NA##"/>
    <w:docVar w:name="Licence17" w:val="##NA##"/>
    <w:docVar w:name="Licence18" w:val="##NA##"/>
    <w:docVar w:name="Licence19" w:val="##NA##"/>
    <w:docVar w:name="Licence2" w:val="AFS Licence No. 297 239"/>
    <w:docVar w:name="Licence20" w:val="##NA##"/>
    <w:docVar w:name="Licence21" w:val="##NA##"/>
    <w:docVar w:name="Licence22" w:val="##NA##"/>
    <w:docVar w:name="Licence23" w:val="##NA##"/>
    <w:docVar w:name="Licence24" w:val="##NA##"/>
    <w:docVar w:name="Licence25" w:val="##NA##"/>
    <w:docVar w:name="Licence26" w:val="##NA##"/>
    <w:docVar w:name="Licence27" w:val="##NA##"/>
    <w:docVar w:name="Licence28" w:val="AFS Licence No 316158"/>
    <w:docVar w:name="Licence29" w:val="##NA##"/>
    <w:docVar w:name="Licence3" w:val="##NA##"/>
    <w:docVar w:name="Licence30" w:val="##NA##"/>
    <w:docVar w:name="Licence31" w:val="##NA##"/>
    <w:docVar w:name="Licence32" w:val="##NA##"/>
    <w:docVar w:name="Licence33" w:val="##NA##"/>
    <w:docVar w:name="Licence34" w:val="##NA##"/>
    <w:docVar w:name="Licence35" w:val="##NA##"/>
    <w:docVar w:name="Licence36" w:val="##NA##"/>
    <w:docVar w:name="Licence37" w:val="##NA##"/>
    <w:docVar w:name="Licence38" w:val="##NA##"/>
    <w:docVar w:name="Licence39" w:val="##NA##"/>
    <w:docVar w:name="Licence4" w:val="##NA##"/>
    <w:docVar w:name="Licence40" w:val="AFS Licence No. 227712"/>
    <w:docVar w:name="Licence41" w:val="AFS Licence No. 222438"/>
    <w:docVar w:name="Licence42" w:val="##NA##"/>
    <w:docVar w:name="Licence43" w:val="##NA##"/>
    <w:docVar w:name="Licence44" w:val="##NA##"/>
    <w:docVar w:name="Licence45" w:val="##NA##"/>
    <w:docVar w:name="Licence46" w:val="##NA##"/>
    <w:docVar w:name="Licence47" w:val="##NA##"/>
    <w:docVar w:name="Licence48" w:val="##NA##"/>
    <w:docVar w:name="Licence49" w:val="##NA##"/>
    <w:docVar w:name="Licence5" w:val="##NA##"/>
    <w:docVar w:name="Licence50" w:val="AFS Licence No 316158"/>
    <w:docVar w:name="Licence51" w:val="##NA##"/>
    <w:docVar w:name="Licence52" w:val="##NA##"/>
    <w:docVar w:name="Licence53" w:val="##NA##"/>
    <w:docVar w:name="Licence6" w:val="##NA##"/>
    <w:docVar w:name="Licence7" w:val="##NA##"/>
    <w:docVar w:name="Licence8" w:val="##NA##"/>
    <w:docVar w:name="Licence9" w:val="AFS Licence No. 259983"/>
    <w:docVar w:name="Phone1" w:val="61 7 3237 5999"/>
    <w:docVar w:name="Phone10" w:val="61 3 6234 2499"/>
    <w:docVar w:name="Phone11" w:val="61 3 6234 2499"/>
    <w:docVar w:name="Phone12" w:val="61 3 6234 2499"/>
    <w:docVar w:name="Phone13" w:val="61 7 3221 0205"/>
    <w:docVar w:name="Phone14" w:val="61 7 3237 5999"/>
    <w:docVar w:name="Phone15" w:val="61 7 3237 5999"/>
    <w:docVar w:name="Phone16" w:val="61 7 3237 5999"/>
    <w:docVar w:name="Phone17" w:val="61 7 3237 5999"/>
    <w:docVar w:name="Phone18" w:val="61 7 3237 5999"/>
    <w:docVar w:name="Phone19" w:val="61 7 3237 5999"/>
    <w:docVar w:name="Phone2" w:val="61 7 4046 0000"/>
    <w:docVar w:name="Phone20" w:val="61 7 3237 5999"/>
    <w:docVar w:name="Phone21" w:val="61 7 3237 5999"/>
    <w:docVar w:name="Phone22" w:val="61 7 3237 5999"/>
    <w:docVar w:name="Phone23" w:val="61 8 8981 7066"/>
    <w:docVar w:name="Phone24" w:val="61 8 8981 7066"/>
    <w:docVar w:name="Phone25" w:val="61 8 6382 4600"/>
    <w:docVar w:name="Phone26" w:val="61 8 6382 4600"/>
    <w:docVar w:name="Phone27" w:val="61 8 6382 4600"/>
    <w:docVar w:name="Phone28" w:val="61 8 6382 4600"/>
    <w:docVar w:name="Phone29" w:val="61 8 6382 4600"/>
    <w:docVar w:name="Phone3" w:val="61 7 4046 0000"/>
    <w:docVar w:name="Phone30" w:val="61 8 6382 4600"/>
    <w:docVar w:name="Phone31" w:val="61 8 6382 4600"/>
    <w:docVar w:name="Phone32" w:val="61 2 9525 0244"/>
    <w:docVar w:name="Phone33" w:val="61 3 9603 1700"/>
    <w:docVar w:name="Phone34" w:val="61 3 9603 1700"/>
    <w:docVar w:name="Phone35" w:val="61 2 9251 4100"/>
    <w:docVar w:name="Phone36" w:val="61 2 9251 4100"/>
    <w:docVar w:name="Phone37" w:val="61 2 9251 4100"/>
    <w:docVar w:name="Phone38" w:val="61 2 9251 4100"/>
    <w:docVar w:name="Phone39" w:val="61 3 9603 1700"/>
    <w:docVar w:name="Phone4" w:val="61 7 4046 0000"/>
    <w:docVar w:name="Phone40" w:val="61 2 9286 5555"/>
    <w:docVar w:name="Phone41" w:val="61 2 9286 5555"/>
    <w:docVar w:name="Phone42" w:val="61 2 4324 7211"/>
    <w:docVar w:name="Phone43" w:val="61 2 4324 7211"/>
    <w:docVar w:name="Phone44" w:val="61 2 9525 7900"/>
    <w:docVar w:name="Phone45" w:val="61 8 8981 7066"/>
    <w:docVar w:name="Phone46" w:val="61 8 8981 7066"/>
    <w:docVar w:name="Phone47" w:val="61 8 6382 4600"/>
    <w:docVar w:name="Phone48" w:val="61 8 6382 4600"/>
    <w:docVar w:name="Phone49" w:val="61 8 6382 4600"/>
    <w:docVar w:name="Phone5" w:val="61 8 8223 1066"/>
    <w:docVar w:name="Phone50" w:val="61 8 6382 4600"/>
    <w:docVar w:name="Phone51" w:val="61 8 6382 4600"/>
    <w:docVar w:name="Phone52" w:val="61 8 6382 4600"/>
    <w:docVar w:name="Phone53" w:val="61 8 6382 4600"/>
    <w:docVar w:name="Phone6" w:val="61 8 8223 1066"/>
    <w:docVar w:name="Phone7" w:val="61 8 8323 8752"/>
    <w:docVar w:name="Phone8" w:val="61 8 8523 4122"/>
    <w:docVar w:name="Phone9" w:val="61 8 8223 1066"/>
    <w:docVar w:name="PostalAddress1" w:val="GPO Box 457 Brisbane QLD 4001"/>
    <w:docVar w:name="PostalAddress10" w:val="GPO Box 1681 Hobart TAS 7001"/>
    <w:docVar w:name="PostalAddress11" w:val="GPO Box 1681 Hobart TAS 7001"/>
    <w:docVar w:name="PostalAddress12" w:val="GPO Box 1681 Hobart TAS 7001"/>
    <w:docVar w:name="PostalAddress13" w:val="GPO Box 860 Brisbane QLD 4001"/>
    <w:docVar w:name="PostalAddress14" w:val="GPO Box 457 Brisbane QLD 4001"/>
    <w:docVar w:name="PostalAddress15" w:val="GPO Box 457 Brisbane QLD 4001"/>
    <w:docVar w:name="PostalAddress16" w:val="GPO Box 457 Brisbane QLD 4001"/>
    <w:docVar w:name="PostalAddress17" w:val="GPO Box 457 Brisbane QLD 4001"/>
    <w:docVar w:name="PostalAddress18" w:val="GPO Box 457 Brisbane QLD 4001"/>
    <w:docVar w:name="PostalAddress19" w:val="GPO Box 457 Brisbane QLD 4001"/>
    <w:docVar w:name="PostalAddress2" w:val="PO Box 6771 Cairns Qld 4870"/>
    <w:docVar w:name="PostalAddress20" w:val="GPO Box 457 Brisbane QLD 4001"/>
    <w:docVar w:name="PostalAddress21" w:val="GPO Box 457 Brisbane QLD 4001"/>
    <w:docVar w:name="PostalAddress22" w:val="GPO Box 457 Brisbane QLD 4001"/>
    <w:docVar w:name="PostalAddress23" w:val="GPO Box 4640 Darwin NT 0801"/>
    <w:docVar w:name="PostalAddress24" w:val="GPO Box 4640 Darwin NT 0801"/>
    <w:docVar w:name="PostalAddress25" w:val="PO Box 700 West Perth WA 6872"/>
    <w:docVar w:name="PostalAddress26" w:val="PO Box 700 West Perth WA 6872"/>
    <w:docVar w:name="PostalAddress27" w:val="PO Box 700 West Perth WA 6872"/>
    <w:docVar w:name="PostalAddress28" w:val="PO Box 700 West Perth WA 6872"/>
    <w:docVar w:name="PostalAddress29" w:val="PO Box 700 West Perth WA 6872"/>
    <w:docVar w:name="PostalAddress3" w:val="PO Box 6771 Cairns Qld 4870"/>
    <w:docVar w:name="PostalAddress30" w:val="PO Box 700 West Perth WA 6872"/>
    <w:docVar w:name="PostalAddress31" w:val="PO Box 700 West Perth WA 6872"/>
    <w:docVar w:name="PostalAddress32" w:val="PO Box 532 Caringbah NSW 1495"/>
    <w:docVar w:name="PostalAddress33" w:val="GPO Box 5099 Melbourne VIC 3001"/>
    <w:docVar w:name="PostalAddress34" w:val="GPO Box 5099 Melbourne VIC 3001"/>
    <w:docVar w:name="PostalAddress35" w:val="blank"/>
    <w:docVar w:name="PostalAddress36" w:val="blank"/>
    <w:docVar w:name="PostalAddress37" w:val="PO Box 3686 Tuggerah NSW 2259"/>
    <w:docVar w:name="PostalAddress38" w:val="blank"/>
    <w:docVar w:name="PostalAddress39" w:val="GPO Box 5099 Melbourne VIC 3001"/>
    <w:docVar w:name="PostalAddress4" w:val="PO Box 6771 Cairns Qld 4870"/>
    <w:docVar w:name="PostalAddress40" w:val="GPO Box 2551 Sydney NSW 2001"/>
    <w:docVar w:name="PostalAddress41" w:val="GPO Box 2551 Sydney NSW 2001"/>
    <w:docVar w:name="PostalAddress42" w:val="PO Box 232 Gosford NSW 2250"/>
    <w:docVar w:name="PostalAddress43" w:val="PO Box 232 Gosford NSW 2250"/>
    <w:docVar w:name="PostalAddress44" w:val="PO Box 431 Miranda NSW 2228"/>
    <w:docVar w:name="PostalAddress45" w:val="GPO Box 4640 Darwin NT 0801"/>
    <w:docVar w:name="PostalAddress46" w:val="GPO Box 4640 Darwin NT 0801"/>
    <w:docVar w:name="PostalAddress47" w:val="PO Box 700 West Perth WA 6872"/>
    <w:docVar w:name="PostalAddress48" w:val="PO Box 700 West Perth WA 6872"/>
    <w:docVar w:name="PostalAddress49" w:val="PO Box 700 West Perth WA 6872"/>
    <w:docVar w:name="PostalAddress5" w:val="GPO Box 2018 Adelaide SA 5001"/>
    <w:docVar w:name="PostalAddress50" w:val="PO Box 700 West Perth WA 6872"/>
    <w:docVar w:name="PostalAddress51" w:val="PO Box 700 West Perth WA 6872"/>
    <w:docVar w:name="PostalAddress52" w:val="PO Box 700 West Perth WA 6872"/>
    <w:docVar w:name="PostalAddress53" w:val="PO Box 700 West Perth WA 6872"/>
    <w:docVar w:name="PostalAddress6" w:val="GPO Box 2018 Adelaide SA 5001"/>
    <w:docVar w:name="PostalAddress7" w:val="PO Box 2179 McLaren Vale SA 5171"/>
    <w:docVar w:name="PostalAddress8" w:val="PO Box 1847 Gawler SA 5118"/>
    <w:docVar w:name="PostalAddress9" w:val="GPO Box 2018 Adelaide SA 5001"/>
    <w:docVar w:name="StreetAddress1" w:val="Level 18, 300 Queen St ^pBrisbane QLD 4000"/>
    <w:docVar w:name="StreetAddress10" w:val="Level 8, 85 Macquarie St ^pHobart TAS 7000"/>
    <w:docVar w:name="StreetAddress11" w:val="Level 8, 85 Macquarie St ^pHobart TAS 7000"/>
    <w:docVar w:name="StreetAddress12" w:val="Level 8, 85 Macquarie St ^pHobart TAS 7000"/>
    <w:docVar w:name="StreetAddress13" w:val="Level 18, 300 Queen St ^pBrisbane QLD 4000"/>
    <w:docVar w:name="StreetAddress14" w:val="Level 18, 300 Queen St ^pBrisbane QLD 4000"/>
    <w:docVar w:name="StreetAddress15" w:val="Level 18, 300 Queen St ^pBrisbane QLD 4000,"/>
    <w:docVar w:name="StreetAddress16" w:val="Level 18, 300 Queen St ^pBrisbane QLD 4000"/>
    <w:docVar w:name="StreetAddress17" w:val="Level 18, 300 Queen St ^pBrisbane QLD 4000"/>
    <w:docVar w:name="StreetAddress18" w:val="Level 18, 300 Queen St ^pBrisbane QLD 4000"/>
    <w:docVar w:name="StreetAddress19" w:val="Level 18, 300 Queen St ^pBrisbane QLD 4000"/>
    <w:docVar w:name="StreetAddress2" w:val="Cnr Aplin &amp; Sheridan Sts ^pCairns QLD 4870"/>
    <w:docVar w:name="StreetAddress20" w:val="Level 18, 300 Queen St ^pBrisbane QLD 4000"/>
    <w:docVar w:name="StreetAddress21" w:val="Level 18, 300 Queen St ^pBrisbane QLD 4000"/>
    <w:docVar w:name="StreetAddress22" w:val="Level 18, 300 Queen St ^pBrisbane QLD 4000"/>
    <w:docVar w:name="StreetAddress23" w:val="72 Cavenagh St ^pDarwin NT 0800"/>
    <w:docVar w:name="StreetAddress24" w:val="72 Cavenagh St ^pDarwin NT 0800"/>
    <w:docVar w:name="StreetAddress25" w:val=" 38 Station Street ^pSubiaco, WA 6008"/>
    <w:docVar w:name="StreetAddress26" w:val="38 Station Street ^pSubiaco, WA 6008"/>
    <w:docVar w:name="StreetAddress27" w:val="38 Station Street ^pSubiaco, WA 6008"/>
    <w:docVar w:name="StreetAddress28" w:val="38 Station Street ^pSubiaco, WA 6008"/>
    <w:docVar w:name="StreetAddress29" w:val="38 Station Street ^pSubiaco, WA 6008"/>
    <w:docVar w:name="StreetAddress3" w:val="Cnr Aplin &amp; Sheridan Sts ^pCairns QLD 4870"/>
    <w:docVar w:name="StreetAddress30" w:val="38 Station Street ^pSubiaco, WA 6008"/>
    <w:docVar w:name="StreetAddress31" w:val="38 Station Street ^pSubiaco, WA 6008"/>
    <w:docVar w:name="StreetAddress32" w:val="Level 3, 304-318 Kingsway ^pCaringbah NSW 2229"/>
    <w:docVar w:name="StreetAddress33" w:val="Level 14, 140 William St ^pMelbourne VIC 3000"/>
    <w:docVar w:name="StreetAddress34" w:val="Level 14, 140 William St ^pMelbourne VIC 3000"/>
    <w:docVar w:name="StreetAddress35" w:val="Level 10, 1 Margaret St ^pSydney NSW 2000"/>
    <w:docVar w:name="StreetAddress36" w:val="Level 10, 1 Margaret St ^pSydney NSW 2000"/>
    <w:docVar w:name="StreetAddress37" w:val="Suite 13,14 Pioneer Ave ^pTuggerah Business Park ^pTuggerah NSW 2259 "/>
    <w:docVar w:name="StreetAddress38" w:val="Level 10, 1 Margaret St ^pSydney NSW 2000"/>
    <w:docVar w:name="StreetAddress39" w:val="Level 14, 140 William St ^pMelbourne VIC 3000"/>
    <w:docVar w:name="StreetAddress4" w:val="Cnr Aplin &amp; Sheridan Sts ^pCairns QLD 4870"/>
    <w:docVar w:name="StreetAddress40" w:val="Level 19, 2 Market St ^pSydney NSW 2000"/>
    <w:docVar w:name="StreetAddress41" w:val="Level 19, 2 Market St ^pSydney NSW 2000"/>
    <w:docVar w:name="StreetAddress42" w:val="Level 5, 131 Donnison St ^pGosford NSW 2250"/>
    <w:docVar w:name="StreetAddress43" w:val="Level 5, 131 Donnison St ^pGosford NSW 2250"/>
    <w:docVar w:name="StreetAddress44" w:val="Suite 10, 50-52 Urunga Pde ^pMiranda NSW 2228"/>
    <w:docVar w:name="StreetAddress45" w:val="72 Cavenagh St ^pDarwin NT 0800"/>
    <w:docVar w:name="StreetAddress46" w:val="72 Cavenagh St ^pDarwin NT 0800"/>
    <w:docVar w:name="StreetAddress47" w:val=" 38 Station Street ^pSubiaco, WA 6008"/>
    <w:docVar w:name="StreetAddress48" w:val="38 Station Street ^pSubiaco, WA 6008"/>
    <w:docVar w:name="StreetAddress49" w:val="38 Station Street ^pSubiaco, WA 6008"/>
    <w:docVar w:name="StreetAddress5" w:val="BDO Centre ^pLevel 7, 420 King William Street ^pAdelaide SA 5000"/>
    <w:docVar w:name="StreetAddress50" w:val="38 Station Street ^pSubiaco, WA 6008"/>
    <w:docVar w:name="StreetAddress51" w:val="38 Station Street ^pSubiaco, WA 6008"/>
    <w:docVar w:name="StreetAddress52" w:val="38 Station Street ^pSubiaco, WA 6008"/>
    <w:docVar w:name="StreetAddress53" w:val="38 Station Street ^pSubiaco, WA 6008"/>
    <w:docVar w:name="StreetAddress6" w:val="BDO Centre ^pLevel 7, 420 King William Street ^pAdelaide SA 5000"/>
    <w:docVar w:name="StreetAddress7" w:val="265 Main Rd ^pMcLaren Vale SA 5171"/>
    <w:docVar w:name="StreetAddress8" w:val="169 Murray Street^pGawler SA 5118"/>
    <w:docVar w:name="StreetAddress9" w:val="BDO Centre ^pLevel 7, 420 King William Street ^pAdelaide SA 5000"/>
  </w:docVars>
  <w:rsids>
    <w:rsidRoot w:val="000D3B13"/>
    <w:rsid w:val="00000210"/>
    <w:rsid w:val="0000056B"/>
    <w:rsid w:val="000005AD"/>
    <w:rsid w:val="000007C3"/>
    <w:rsid w:val="00001248"/>
    <w:rsid w:val="00002ADC"/>
    <w:rsid w:val="00003D14"/>
    <w:rsid w:val="0000523F"/>
    <w:rsid w:val="0000798C"/>
    <w:rsid w:val="0001040A"/>
    <w:rsid w:val="0001279C"/>
    <w:rsid w:val="000127E0"/>
    <w:rsid w:val="00013026"/>
    <w:rsid w:val="0001310F"/>
    <w:rsid w:val="00017908"/>
    <w:rsid w:val="00023B93"/>
    <w:rsid w:val="00024009"/>
    <w:rsid w:val="0002526D"/>
    <w:rsid w:val="00026C1E"/>
    <w:rsid w:val="00026F2B"/>
    <w:rsid w:val="00030B51"/>
    <w:rsid w:val="00031776"/>
    <w:rsid w:val="00031D7A"/>
    <w:rsid w:val="00034010"/>
    <w:rsid w:val="0003600F"/>
    <w:rsid w:val="00036632"/>
    <w:rsid w:val="00041C47"/>
    <w:rsid w:val="000437AC"/>
    <w:rsid w:val="000442DC"/>
    <w:rsid w:val="00044963"/>
    <w:rsid w:val="000468E6"/>
    <w:rsid w:val="00046F88"/>
    <w:rsid w:val="00047DB6"/>
    <w:rsid w:val="00050959"/>
    <w:rsid w:val="00050C33"/>
    <w:rsid w:val="000524ED"/>
    <w:rsid w:val="00052E7C"/>
    <w:rsid w:val="00063E92"/>
    <w:rsid w:val="000648B6"/>
    <w:rsid w:val="000722B7"/>
    <w:rsid w:val="000726F5"/>
    <w:rsid w:val="000766B4"/>
    <w:rsid w:val="00077C01"/>
    <w:rsid w:val="00087FBF"/>
    <w:rsid w:val="00090E09"/>
    <w:rsid w:val="00092678"/>
    <w:rsid w:val="00092B07"/>
    <w:rsid w:val="000941C4"/>
    <w:rsid w:val="000947E4"/>
    <w:rsid w:val="000964CE"/>
    <w:rsid w:val="00096635"/>
    <w:rsid w:val="000966E7"/>
    <w:rsid w:val="000A3FEE"/>
    <w:rsid w:val="000A477F"/>
    <w:rsid w:val="000B0C72"/>
    <w:rsid w:val="000B5F59"/>
    <w:rsid w:val="000B60B0"/>
    <w:rsid w:val="000B7576"/>
    <w:rsid w:val="000B7AB4"/>
    <w:rsid w:val="000C265E"/>
    <w:rsid w:val="000C37C5"/>
    <w:rsid w:val="000C7D04"/>
    <w:rsid w:val="000D076C"/>
    <w:rsid w:val="000D16B4"/>
    <w:rsid w:val="000D198B"/>
    <w:rsid w:val="000D306E"/>
    <w:rsid w:val="000D31C0"/>
    <w:rsid w:val="000D3B13"/>
    <w:rsid w:val="000D3E57"/>
    <w:rsid w:val="000D468B"/>
    <w:rsid w:val="000D539B"/>
    <w:rsid w:val="000D6F09"/>
    <w:rsid w:val="000D7F8F"/>
    <w:rsid w:val="000E26DB"/>
    <w:rsid w:val="000F0355"/>
    <w:rsid w:val="000F25B4"/>
    <w:rsid w:val="000F3F56"/>
    <w:rsid w:val="000F4D80"/>
    <w:rsid w:val="000F6AB0"/>
    <w:rsid w:val="000F7FE3"/>
    <w:rsid w:val="001062F7"/>
    <w:rsid w:val="0011058F"/>
    <w:rsid w:val="00110744"/>
    <w:rsid w:val="00110B5F"/>
    <w:rsid w:val="00113F42"/>
    <w:rsid w:val="001140AE"/>
    <w:rsid w:val="001200FA"/>
    <w:rsid w:val="00121ABA"/>
    <w:rsid w:val="00121DCC"/>
    <w:rsid w:val="00124510"/>
    <w:rsid w:val="00125F83"/>
    <w:rsid w:val="001274E0"/>
    <w:rsid w:val="001306A8"/>
    <w:rsid w:val="00130827"/>
    <w:rsid w:val="0013095B"/>
    <w:rsid w:val="00131EE5"/>
    <w:rsid w:val="0013209D"/>
    <w:rsid w:val="00132121"/>
    <w:rsid w:val="00134C81"/>
    <w:rsid w:val="00135939"/>
    <w:rsid w:val="001359DB"/>
    <w:rsid w:val="00140114"/>
    <w:rsid w:val="00141FE7"/>
    <w:rsid w:val="00142227"/>
    <w:rsid w:val="00142E05"/>
    <w:rsid w:val="0014448E"/>
    <w:rsid w:val="00146D3B"/>
    <w:rsid w:val="00150A74"/>
    <w:rsid w:val="00152B0E"/>
    <w:rsid w:val="00152B84"/>
    <w:rsid w:val="001549BF"/>
    <w:rsid w:val="0015585C"/>
    <w:rsid w:val="00156DDB"/>
    <w:rsid w:val="00156FB4"/>
    <w:rsid w:val="001629D1"/>
    <w:rsid w:val="001630D3"/>
    <w:rsid w:val="0016683E"/>
    <w:rsid w:val="001717C8"/>
    <w:rsid w:val="00171989"/>
    <w:rsid w:val="001723BB"/>
    <w:rsid w:val="001726BC"/>
    <w:rsid w:val="00173069"/>
    <w:rsid w:val="00173C84"/>
    <w:rsid w:val="00174DBE"/>
    <w:rsid w:val="00176910"/>
    <w:rsid w:val="00176A25"/>
    <w:rsid w:val="00177E3B"/>
    <w:rsid w:val="00180BEC"/>
    <w:rsid w:val="00183106"/>
    <w:rsid w:val="00192254"/>
    <w:rsid w:val="001943E6"/>
    <w:rsid w:val="00196ECF"/>
    <w:rsid w:val="00197649"/>
    <w:rsid w:val="001A075F"/>
    <w:rsid w:val="001A0F50"/>
    <w:rsid w:val="001A11A1"/>
    <w:rsid w:val="001A131E"/>
    <w:rsid w:val="001A20A8"/>
    <w:rsid w:val="001A3201"/>
    <w:rsid w:val="001A5045"/>
    <w:rsid w:val="001A5B1A"/>
    <w:rsid w:val="001A5F44"/>
    <w:rsid w:val="001B2F55"/>
    <w:rsid w:val="001B3DCF"/>
    <w:rsid w:val="001B51E2"/>
    <w:rsid w:val="001B58B6"/>
    <w:rsid w:val="001B73AB"/>
    <w:rsid w:val="001B7D43"/>
    <w:rsid w:val="001C179C"/>
    <w:rsid w:val="001C27F1"/>
    <w:rsid w:val="001C3527"/>
    <w:rsid w:val="001C36C5"/>
    <w:rsid w:val="001C37D7"/>
    <w:rsid w:val="001C49A9"/>
    <w:rsid w:val="001C5925"/>
    <w:rsid w:val="001C7F36"/>
    <w:rsid w:val="001D1A28"/>
    <w:rsid w:val="001D23C1"/>
    <w:rsid w:val="001D3904"/>
    <w:rsid w:val="001E0DFD"/>
    <w:rsid w:val="001E2B5C"/>
    <w:rsid w:val="001E39BC"/>
    <w:rsid w:val="001E5DFD"/>
    <w:rsid w:val="001E758B"/>
    <w:rsid w:val="001E75CD"/>
    <w:rsid w:val="001F2A48"/>
    <w:rsid w:val="001F34C3"/>
    <w:rsid w:val="001F35BB"/>
    <w:rsid w:val="001F5830"/>
    <w:rsid w:val="001F7D05"/>
    <w:rsid w:val="00201EAF"/>
    <w:rsid w:val="0020296C"/>
    <w:rsid w:val="00203A7A"/>
    <w:rsid w:val="00203B7E"/>
    <w:rsid w:val="002059C2"/>
    <w:rsid w:val="00205D8A"/>
    <w:rsid w:val="002062DB"/>
    <w:rsid w:val="00207210"/>
    <w:rsid w:val="00207B34"/>
    <w:rsid w:val="002122CC"/>
    <w:rsid w:val="00212C3B"/>
    <w:rsid w:val="00214A7C"/>
    <w:rsid w:val="00214E43"/>
    <w:rsid w:val="00216BC4"/>
    <w:rsid w:val="00217DDF"/>
    <w:rsid w:val="00221290"/>
    <w:rsid w:val="00221E70"/>
    <w:rsid w:val="00222BC8"/>
    <w:rsid w:val="002232DA"/>
    <w:rsid w:val="00230581"/>
    <w:rsid w:val="0023077C"/>
    <w:rsid w:val="00231131"/>
    <w:rsid w:val="00231BCF"/>
    <w:rsid w:val="002335E1"/>
    <w:rsid w:val="00234AEB"/>
    <w:rsid w:val="002407C7"/>
    <w:rsid w:val="00242C8F"/>
    <w:rsid w:val="00243042"/>
    <w:rsid w:val="00245746"/>
    <w:rsid w:val="00246246"/>
    <w:rsid w:val="0025026C"/>
    <w:rsid w:val="00250AF3"/>
    <w:rsid w:val="00256FBB"/>
    <w:rsid w:val="00257CAF"/>
    <w:rsid w:val="00262459"/>
    <w:rsid w:val="00264CBC"/>
    <w:rsid w:val="0026593D"/>
    <w:rsid w:val="002661B8"/>
    <w:rsid w:val="002665CA"/>
    <w:rsid w:val="0026787B"/>
    <w:rsid w:val="00271CEB"/>
    <w:rsid w:val="0027284F"/>
    <w:rsid w:val="00274983"/>
    <w:rsid w:val="0028095B"/>
    <w:rsid w:val="00283645"/>
    <w:rsid w:val="00283C16"/>
    <w:rsid w:val="00283F33"/>
    <w:rsid w:val="00285012"/>
    <w:rsid w:val="00286AE2"/>
    <w:rsid w:val="0028717B"/>
    <w:rsid w:val="00291285"/>
    <w:rsid w:val="00294BC2"/>
    <w:rsid w:val="00295C4B"/>
    <w:rsid w:val="00297D8F"/>
    <w:rsid w:val="002A24FA"/>
    <w:rsid w:val="002A3162"/>
    <w:rsid w:val="002A4EB3"/>
    <w:rsid w:val="002A678C"/>
    <w:rsid w:val="002B1DB1"/>
    <w:rsid w:val="002B390D"/>
    <w:rsid w:val="002B5119"/>
    <w:rsid w:val="002B5668"/>
    <w:rsid w:val="002C4EC1"/>
    <w:rsid w:val="002D08F1"/>
    <w:rsid w:val="002D0A33"/>
    <w:rsid w:val="002D1F8A"/>
    <w:rsid w:val="002D4454"/>
    <w:rsid w:val="002E562F"/>
    <w:rsid w:val="002E5C87"/>
    <w:rsid w:val="002E64A7"/>
    <w:rsid w:val="002F0093"/>
    <w:rsid w:val="002F219D"/>
    <w:rsid w:val="002F3E64"/>
    <w:rsid w:val="002F456E"/>
    <w:rsid w:val="002F4C73"/>
    <w:rsid w:val="002F5322"/>
    <w:rsid w:val="002F7D17"/>
    <w:rsid w:val="00301F63"/>
    <w:rsid w:val="003027FF"/>
    <w:rsid w:val="00302F8F"/>
    <w:rsid w:val="00303858"/>
    <w:rsid w:val="00303E04"/>
    <w:rsid w:val="00305D7E"/>
    <w:rsid w:val="00307717"/>
    <w:rsid w:val="003110CF"/>
    <w:rsid w:val="0031173A"/>
    <w:rsid w:val="00312500"/>
    <w:rsid w:val="00312606"/>
    <w:rsid w:val="00312CC6"/>
    <w:rsid w:val="00313C14"/>
    <w:rsid w:val="003140C3"/>
    <w:rsid w:val="00314DD0"/>
    <w:rsid w:val="00316F4B"/>
    <w:rsid w:val="00317A51"/>
    <w:rsid w:val="00323EC8"/>
    <w:rsid w:val="00324154"/>
    <w:rsid w:val="00324C0B"/>
    <w:rsid w:val="003278B5"/>
    <w:rsid w:val="00327977"/>
    <w:rsid w:val="00327B87"/>
    <w:rsid w:val="00330362"/>
    <w:rsid w:val="0033114C"/>
    <w:rsid w:val="00335310"/>
    <w:rsid w:val="00337721"/>
    <w:rsid w:val="00337868"/>
    <w:rsid w:val="00337DC4"/>
    <w:rsid w:val="003411F8"/>
    <w:rsid w:val="00341822"/>
    <w:rsid w:val="003425FC"/>
    <w:rsid w:val="00345898"/>
    <w:rsid w:val="00346079"/>
    <w:rsid w:val="00347C5A"/>
    <w:rsid w:val="00352B88"/>
    <w:rsid w:val="00353DDD"/>
    <w:rsid w:val="003558D0"/>
    <w:rsid w:val="003600E4"/>
    <w:rsid w:val="00360B6C"/>
    <w:rsid w:val="00361601"/>
    <w:rsid w:val="003649AD"/>
    <w:rsid w:val="00372748"/>
    <w:rsid w:val="00372C80"/>
    <w:rsid w:val="00372CA1"/>
    <w:rsid w:val="00374136"/>
    <w:rsid w:val="003757AF"/>
    <w:rsid w:val="00375C22"/>
    <w:rsid w:val="00375CCC"/>
    <w:rsid w:val="00380939"/>
    <w:rsid w:val="00382576"/>
    <w:rsid w:val="00383989"/>
    <w:rsid w:val="0038461A"/>
    <w:rsid w:val="003909E7"/>
    <w:rsid w:val="00391B1A"/>
    <w:rsid w:val="00392D02"/>
    <w:rsid w:val="003935C8"/>
    <w:rsid w:val="003956D3"/>
    <w:rsid w:val="003971D2"/>
    <w:rsid w:val="003A1C64"/>
    <w:rsid w:val="003A28B5"/>
    <w:rsid w:val="003A451E"/>
    <w:rsid w:val="003A607B"/>
    <w:rsid w:val="003B40ED"/>
    <w:rsid w:val="003B4E26"/>
    <w:rsid w:val="003B5EA1"/>
    <w:rsid w:val="003C15B4"/>
    <w:rsid w:val="003C379A"/>
    <w:rsid w:val="003C4306"/>
    <w:rsid w:val="003C4ADB"/>
    <w:rsid w:val="003C6B73"/>
    <w:rsid w:val="003C7522"/>
    <w:rsid w:val="003C758F"/>
    <w:rsid w:val="003C7B87"/>
    <w:rsid w:val="003D0486"/>
    <w:rsid w:val="003D7B51"/>
    <w:rsid w:val="003E1862"/>
    <w:rsid w:val="003F01BE"/>
    <w:rsid w:val="003F429C"/>
    <w:rsid w:val="003F473B"/>
    <w:rsid w:val="00400485"/>
    <w:rsid w:val="00404E8E"/>
    <w:rsid w:val="0040523F"/>
    <w:rsid w:val="00406E08"/>
    <w:rsid w:val="004073C9"/>
    <w:rsid w:val="0041272A"/>
    <w:rsid w:val="00412FAE"/>
    <w:rsid w:val="00414624"/>
    <w:rsid w:val="004159CA"/>
    <w:rsid w:val="00416ABB"/>
    <w:rsid w:val="004178FF"/>
    <w:rsid w:val="00421141"/>
    <w:rsid w:val="00421AF3"/>
    <w:rsid w:val="00423AC9"/>
    <w:rsid w:val="004244C3"/>
    <w:rsid w:val="00425DD1"/>
    <w:rsid w:val="00426371"/>
    <w:rsid w:val="00426437"/>
    <w:rsid w:val="004268BC"/>
    <w:rsid w:val="004270D4"/>
    <w:rsid w:val="00427D1D"/>
    <w:rsid w:val="004315F8"/>
    <w:rsid w:val="00437767"/>
    <w:rsid w:val="004404FC"/>
    <w:rsid w:val="004471D7"/>
    <w:rsid w:val="004475FE"/>
    <w:rsid w:val="00450095"/>
    <w:rsid w:val="004515D7"/>
    <w:rsid w:val="00453B91"/>
    <w:rsid w:val="00453D0F"/>
    <w:rsid w:val="00455FCB"/>
    <w:rsid w:val="00456E43"/>
    <w:rsid w:val="00457769"/>
    <w:rsid w:val="00461D31"/>
    <w:rsid w:val="004638E3"/>
    <w:rsid w:val="00464D3C"/>
    <w:rsid w:val="00464E1D"/>
    <w:rsid w:val="00471581"/>
    <w:rsid w:val="004737D4"/>
    <w:rsid w:val="00473DD6"/>
    <w:rsid w:val="0047435F"/>
    <w:rsid w:val="00475EFC"/>
    <w:rsid w:val="00476A8F"/>
    <w:rsid w:val="004851F2"/>
    <w:rsid w:val="00485388"/>
    <w:rsid w:val="00485529"/>
    <w:rsid w:val="00487B36"/>
    <w:rsid w:val="0049361A"/>
    <w:rsid w:val="00493936"/>
    <w:rsid w:val="0049464B"/>
    <w:rsid w:val="00495A65"/>
    <w:rsid w:val="004968A6"/>
    <w:rsid w:val="004A2C12"/>
    <w:rsid w:val="004A313C"/>
    <w:rsid w:val="004A6593"/>
    <w:rsid w:val="004A71E2"/>
    <w:rsid w:val="004A74C6"/>
    <w:rsid w:val="004A77AF"/>
    <w:rsid w:val="004B1018"/>
    <w:rsid w:val="004B2577"/>
    <w:rsid w:val="004B6699"/>
    <w:rsid w:val="004B681A"/>
    <w:rsid w:val="004C1868"/>
    <w:rsid w:val="004C29F9"/>
    <w:rsid w:val="004C342B"/>
    <w:rsid w:val="004C59D7"/>
    <w:rsid w:val="004C5D73"/>
    <w:rsid w:val="004D143F"/>
    <w:rsid w:val="004E094C"/>
    <w:rsid w:val="004E0A5F"/>
    <w:rsid w:val="004E0BB1"/>
    <w:rsid w:val="004E0FEC"/>
    <w:rsid w:val="004E114A"/>
    <w:rsid w:val="004E1EFD"/>
    <w:rsid w:val="004E1F7C"/>
    <w:rsid w:val="004E2830"/>
    <w:rsid w:val="004E2A57"/>
    <w:rsid w:val="004E5C14"/>
    <w:rsid w:val="004E6E95"/>
    <w:rsid w:val="004F5D74"/>
    <w:rsid w:val="004F686F"/>
    <w:rsid w:val="005012E2"/>
    <w:rsid w:val="00501DC8"/>
    <w:rsid w:val="005051B7"/>
    <w:rsid w:val="0050596A"/>
    <w:rsid w:val="00511B55"/>
    <w:rsid w:val="005153C1"/>
    <w:rsid w:val="005153E8"/>
    <w:rsid w:val="00515C50"/>
    <w:rsid w:val="00520DB7"/>
    <w:rsid w:val="0052170B"/>
    <w:rsid w:val="00524D42"/>
    <w:rsid w:val="0053018B"/>
    <w:rsid w:val="0053251A"/>
    <w:rsid w:val="00534AC2"/>
    <w:rsid w:val="00535500"/>
    <w:rsid w:val="00537BEB"/>
    <w:rsid w:val="00537EF0"/>
    <w:rsid w:val="00542DAE"/>
    <w:rsid w:val="005454CE"/>
    <w:rsid w:val="00550033"/>
    <w:rsid w:val="00550461"/>
    <w:rsid w:val="0055370A"/>
    <w:rsid w:val="005539C9"/>
    <w:rsid w:val="00553A85"/>
    <w:rsid w:val="00556C8E"/>
    <w:rsid w:val="0056118A"/>
    <w:rsid w:val="00562E8B"/>
    <w:rsid w:val="00563850"/>
    <w:rsid w:val="00566D59"/>
    <w:rsid w:val="00570974"/>
    <w:rsid w:val="00571D3E"/>
    <w:rsid w:val="00573C77"/>
    <w:rsid w:val="00575CE2"/>
    <w:rsid w:val="00575E03"/>
    <w:rsid w:val="005769E3"/>
    <w:rsid w:val="00577FEA"/>
    <w:rsid w:val="00580B28"/>
    <w:rsid w:val="00582C4D"/>
    <w:rsid w:val="00584044"/>
    <w:rsid w:val="005841A8"/>
    <w:rsid w:val="005845D0"/>
    <w:rsid w:val="00584624"/>
    <w:rsid w:val="0058518E"/>
    <w:rsid w:val="0058529C"/>
    <w:rsid w:val="00586C0C"/>
    <w:rsid w:val="00592092"/>
    <w:rsid w:val="00592334"/>
    <w:rsid w:val="0059265C"/>
    <w:rsid w:val="00595860"/>
    <w:rsid w:val="005967C6"/>
    <w:rsid w:val="00596902"/>
    <w:rsid w:val="005A05BD"/>
    <w:rsid w:val="005A075D"/>
    <w:rsid w:val="005A116E"/>
    <w:rsid w:val="005A338E"/>
    <w:rsid w:val="005A654D"/>
    <w:rsid w:val="005A6A2D"/>
    <w:rsid w:val="005A6C00"/>
    <w:rsid w:val="005A6E03"/>
    <w:rsid w:val="005B5850"/>
    <w:rsid w:val="005B5CD2"/>
    <w:rsid w:val="005C102B"/>
    <w:rsid w:val="005C1A11"/>
    <w:rsid w:val="005C25ED"/>
    <w:rsid w:val="005C2B39"/>
    <w:rsid w:val="005C4883"/>
    <w:rsid w:val="005C60E6"/>
    <w:rsid w:val="005C6A06"/>
    <w:rsid w:val="005C7FBB"/>
    <w:rsid w:val="005D1E09"/>
    <w:rsid w:val="005D2C33"/>
    <w:rsid w:val="005D3976"/>
    <w:rsid w:val="005D6CB6"/>
    <w:rsid w:val="005D7B0E"/>
    <w:rsid w:val="005E0047"/>
    <w:rsid w:val="005E017F"/>
    <w:rsid w:val="005E1266"/>
    <w:rsid w:val="005E1A58"/>
    <w:rsid w:val="005E2776"/>
    <w:rsid w:val="005E2F52"/>
    <w:rsid w:val="005E37C9"/>
    <w:rsid w:val="005E3902"/>
    <w:rsid w:val="005E4848"/>
    <w:rsid w:val="005F04CE"/>
    <w:rsid w:val="005F2114"/>
    <w:rsid w:val="005F3B31"/>
    <w:rsid w:val="005F5155"/>
    <w:rsid w:val="005F6210"/>
    <w:rsid w:val="00602FC9"/>
    <w:rsid w:val="00603D7F"/>
    <w:rsid w:val="006053CE"/>
    <w:rsid w:val="00612237"/>
    <w:rsid w:val="00613A6D"/>
    <w:rsid w:val="006156D6"/>
    <w:rsid w:val="0062473C"/>
    <w:rsid w:val="00624D64"/>
    <w:rsid w:val="00624E3E"/>
    <w:rsid w:val="00626FC8"/>
    <w:rsid w:val="00631363"/>
    <w:rsid w:val="00632D20"/>
    <w:rsid w:val="00634F51"/>
    <w:rsid w:val="00635CDA"/>
    <w:rsid w:val="00641666"/>
    <w:rsid w:val="0064242A"/>
    <w:rsid w:val="00642A39"/>
    <w:rsid w:val="00642E73"/>
    <w:rsid w:val="006444E0"/>
    <w:rsid w:val="00644E3D"/>
    <w:rsid w:val="00647375"/>
    <w:rsid w:val="00647D97"/>
    <w:rsid w:val="006512EE"/>
    <w:rsid w:val="00652462"/>
    <w:rsid w:val="00652C46"/>
    <w:rsid w:val="00653450"/>
    <w:rsid w:val="0065393F"/>
    <w:rsid w:val="00654808"/>
    <w:rsid w:val="00656264"/>
    <w:rsid w:val="00656731"/>
    <w:rsid w:val="0066597D"/>
    <w:rsid w:val="00670BE2"/>
    <w:rsid w:val="00670C51"/>
    <w:rsid w:val="00672170"/>
    <w:rsid w:val="006755E9"/>
    <w:rsid w:val="00675EA8"/>
    <w:rsid w:val="00676044"/>
    <w:rsid w:val="0067671C"/>
    <w:rsid w:val="00681368"/>
    <w:rsid w:val="00681E75"/>
    <w:rsid w:val="0068253C"/>
    <w:rsid w:val="00685132"/>
    <w:rsid w:val="006871B0"/>
    <w:rsid w:val="006902CE"/>
    <w:rsid w:val="0069066F"/>
    <w:rsid w:val="00692CF7"/>
    <w:rsid w:val="00693C96"/>
    <w:rsid w:val="00694BFB"/>
    <w:rsid w:val="00696672"/>
    <w:rsid w:val="006A2E5E"/>
    <w:rsid w:val="006A4929"/>
    <w:rsid w:val="006A5A2B"/>
    <w:rsid w:val="006A6FF0"/>
    <w:rsid w:val="006B00B9"/>
    <w:rsid w:val="006B453B"/>
    <w:rsid w:val="006B4EAF"/>
    <w:rsid w:val="006B56F3"/>
    <w:rsid w:val="006B5746"/>
    <w:rsid w:val="006B7C10"/>
    <w:rsid w:val="006C0327"/>
    <w:rsid w:val="006C0EF1"/>
    <w:rsid w:val="006C2421"/>
    <w:rsid w:val="006C416A"/>
    <w:rsid w:val="006C6279"/>
    <w:rsid w:val="006C69DD"/>
    <w:rsid w:val="006C6C23"/>
    <w:rsid w:val="006D1409"/>
    <w:rsid w:val="006D29F7"/>
    <w:rsid w:val="006D361A"/>
    <w:rsid w:val="006E3E22"/>
    <w:rsid w:val="006E4D63"/>
    <w:rsid w:val="006E61D7"/>
    <w:rsid w:val="006F5DDB"/>
    <w:rsid w:val="006F7236"/>
    <w:rsid w:val="00701641"/>
    <w:rsid w:val="007023D3"/>
    <w:rsid w:val="0070254F"/>
    <w:rsid w:val="00702EA8"/>
    <w:rsid w:val="00710CDE"/>
    <w:rsid w:val="0071105E"/>
    <w:rsid w:val="007136DC"/>
    <w:rsid w:val="0071370E"/>
    <w:rsid w:val="00715792"/>
    <w:rsid w:val="0071769D"/>
    <w:rsid w:val="00720F7A"/>
    <w:rsid w:val="00721650"/>
    <w:rsid w:val="00723BF9"/>
    <w:rsid w:val="00727FE7"/>
    <w:rsid w:val="007359BA"/>
    <w:rsid w:val="00740829"/>
    <w:rsid w:val="00740F0E"/>
    <w:rsid w:val="00740F1E"/>
    <w:rsid w:val="007425E2"/>
    <w:rsid w:val="00744BAF"/>
    <w:rsid w:val="0074631B"/>
    <w:rsid w:val="00751316"/>
    <w:rsid w:val="007514FD"/>
    <w:rsid w:val="00753660"/>
    <w:rsid w:val="0075379E"/>
    <w:rsid w:val="00756F9F"/>
    <w:rsid w:val="00764982"/>
    <w:rsid w:val="00765D64"/>
    <w:rsid w:val="00766285"/>
    <w:rsid w:val="00766C0A"/>
    <w:rsid w:val="007678AD"/>
    <w:rsid w:val="00770C5B"/>
    <w:rsid w:val="0077501E"/>
    <w:rsid w:val="0077623C"/>
    <w:rsid w:val="00776A43"/>
    <w:rsid w:val="00777033"/>
    <w:rsid w:val="00777072"/>
    <w:rsid w:val="00780E2F"/>
    <w:rsid w:val="00782AB3"/>
    <w:rsid w:val="0078579E"/>
    <w:rsid w:val="007860B0"/>
    <w:rsid w:val="00787EB4"/>
    <w:rsid w:val="00791166"/>
    <w:rsid w:val="00791362"/>
    <w:rsid w:val="00791E85"/>
    <w:rsid w:val="007920E3"/>
    <w:rsid w:val="00792B5A"/>
    <w:rsid w:val="00792FB9"/>
    <w:rsid w:val="00793A2C"/>
    <w:rsid w:val="0079596C"/>
    <w:rsid w:val="007A0245"/>
    <w:rsid w:val="007A026C"/>
    <w:rsid w:val="007A11B1"/>
    <w:rsid w:val="007A14C2"/>
    <w:rsid w:val="007A1BE3"/>
    <w:rsid w:val="007A3707"/>
    <w:rsid w:val="007A4887"/>
    <w:rsid w:val="007B4D41"/>
    <w:rsid w:val="007B59BB"/>
    <w:rsid w:val="007B5FFD"/>
    <w:rsid w:val="007B6A14"/>
    <w:rsid w:val="007C2180"/>
    <w:rsid w:val="007C2E97"/>
    <w:rsid w:val="007C3914"/>
    <w:rsid w:val="007C5522"/>
    <w:rsid w:val="007C752F"/>
    <w:rsid w:val="007C777F"/>
    <w:rsid w:val="007D110A"/>
    <w:rsid w:val="007D216E"/>
    <w:rsid w:val="007D548C"/>
    <w:rsid w:val="007D5D52"/>
    <w:rsid w:val="007D6DA7"/>
    <w:rsid w:val="007E2655"/>
    <w:rsid w:val="007E3132"/>
    <w:rsid w:val="007E32E8"/>
    <w:rsid w:val="007E3A2F"/>
    <w:rsid w:val="007E4E46"/>
    <w:rsid w:val="007F2C3C"/>
    <w:rsid w:val="007F3566"/>
    <w:rsid w:val="007F37F0"/>
    <w:rsid w:val="007F3C19"/>
    <w:rsid w:val="008004F0"/>
    <w:rsid w:val="008058DB"/>
    <w:rsid w:val="00807641"/>
    <w:rsid w:val="008102F4"/>
    <w:rsid w:val="0081246A"/>
    <w:rsid w:val="00814B10"/>
    <w:rsid w:val="0082021E"/>
    <w:rsid w:val="00824937"/>
    <w:rsid w:val="008265A0"/>
    <w:rsid w:val="0083008D"/>
    <w:rsid w:val="008300F4"/>
    <w:rsid w:val="00830437"/>
    <w:rsid w:val="00832EDA"/>
    <w:rsid w:val="00833CEC"/>
    <w:rsid w:val="0084047D"/>
    <w:rsid w:val="00841074"/>
    <w:rsid w:val="008428BF"/>
    <w:rsid w:val="00850856"/>
    <w:rsid w:val="00860893"/>
    <w:rsid w:val="008609FB"/>
    <w:rsid w:val="0086202A"/>
    <w:rsid w:val="008666C7"/>
    <w:rsid w:val="00866EB9"/>
    <w:rsid w:val="00870587"/>
    <w:rsid w:val="00870D74"/>
    <w:rsid w:val="008712DE"/>
    <w:rsid w:val="00871D3E"/>
    <w:rsid w:val="00871F59"/>
    <w:rsid w:val="00872A84"/>
    <w:rsid w:val="00874223"/>
    <w:rsid w:val="00876B6B"/>
    <w:rsid w:val="00880051"/>
    <w:rsid w:val="00880126"/>
    <w:rsid w:val="00880392"/>
    <w:rsid w:val="0088067E"/>
    <w:rsid w:val="0088088C"/>
    <w:rsid w:val="00881071"/>
    <w:rsid w:val="00881A1E"/>
    <w:rsid w:val="008824F0"/>
    <w:rsid w:val="00883DE7"/>
    <w:rsid w:val="00884591"/>
    <w:rsid w:val="0088480F"/>
    <w:rsid w:val="00886B35"/>
    <w:rsid w:val="0089384D"/>
    <w:rsid w:val="00894218"/>
    <w:rsid w:val="00894D33"/>
    <w:rsid w:val="008964F9"/>
    <w:rsid w:val="008A0797"/>
    <w:rsid w:val="008A432D"/>
    <w:rsid w:val="008A498A"/>
    <w:rsid w:val="008A517D"/>
    <w:rsid w:val="008A655C"/>
    <w:rsid w:val="008B6541"/>
    <w:rsid w:val="008B6DF0"/>
    <w:rsid w:val="008C1001"/>
    <w:rsid w:val="008C1D0A"/>
    <w:rsid w:val="008C576D"/>
    <w:rsid w:val="008C6B19"/>
    <w:rsid w:val="008C769D"/>
    <w:rsid w:val="008D097D"/>
    <w:rsid w:val="008D4505"/>
    <w:rsid w:val="008D4624"/>
    <w:rsid w:val="008D5BFA"/>
    <w:rsid w:val="008D61FC"/>
    <w:rsid w:val="008D62BE"/>
    <w:rsid w:val="008E19E6"/>
    <w:rsid w:val="008E5D88"/>
    <w:rsid w:val="008E5EF1"/>
    <w:rsid w:val="008E6566"/>
    <w:rsid w:val="008F06BD"/>
    <w:rsid w:val="008F09EE"/>
    <w:rsid w:val="008F0F6A"/>
    <w:rsid w:val="008F17F6"/>
    <w:rsid w:val="008F4936"/>
    <w:rsid w:val="008F5B1B"/>
    <w:rsid w:val="008F64A2"/>
    <w:rsid w:val="008F799F"/>
    <w:rsid w:val="009021BC"/>
    <w:rsid w:val="00905135"/>
    <w:rsid w:val="00906901"/>
    <w:rsid w:val="00907EEB"/>
    <w:rsid w:val="00914FA9"/>
    <w:rsid w:val="0091599D"/>
    <w:rsid w:val="00916297"/>
    <w:rsid w:val="00921319"/>
    <w:rsid w:val="00924151"/>
    <w:rsid w:val="00925F7F"/>
    <w:rsid w:val="009266AE"/>
    <w:rsid w:val="00926A22"/>
    <w:rsid w:val="00927DE5"/>
    <w:rsid w:val="009311AE"/>
    <w:rsid w:val="00932976"/>
    <w:rsid w:val="00934F79"/>
    <w:rsid w:val="00937830"/>
    <w:rsid w:val="009407F1"/>
    <w:rsid w:val="009421C3"/>
    <w:rsid w:val="00943CF5"/>
    <w:rsid w:val="00944FE8"/>
    <w:rsid w:val="00950994"/>
    <w:rsid w:val="00953B73"/>
    <w:rsid w:val="0095528B"/>
    <w:rsid w:val="00955D98"/>
    <w:rsid w:val="00956421"/>
    <w:rsid w:val="00956564"/>
    <w:rsid w:val="009574EB"/>
    <w:rsid w:val="0095757E"/>
    <w:rsid w:val="009637F8"/>
    <w:rsid w:val="00967510"/>
    <w:rsid w:val="00970409"/>
    <w:rsid w:val="00970D9E"/>
    <w:rsid w:val="00982696"/>
    <w:rsid w:val="00982B17"/>
    <w:rsid w:val="00983E29"/>
    <w:rsid w:val="00984F58"/>
    <w:rsid w:val="009910FE"/>
    <w:rsid w:val="0099130B"/>
    <w:rsid w:val="0099196E"/>
    <w:rsid w:val="00993BC8"/>
    <w:rsid w:val="00994552"/>
    <w:rsid w:val="00994802"/>
    <w:rsid w:val="00994BC9"/>
    <w:rsid w:val="009A02CB"/>
    <w:rsid w:val="009A14E8"/>
    <w:rsid w:val="009A18F8"/>
    <w:rsid w:val="009A1C4A"/>
    <w:rsid w:val="009A283B"/>
    <w:rsid w:val="009A439B"/>
    <w:rsid w:val="009A557D"/>
    <w:rsid w:val="009A56BF"/>
    <w:rsid w:val="009B05D1"/>
    <w:rsid w:val="009B2679"/>
    <w:rsid w:val="009B7703"/>
    <w:rsid w:val="009B7DB6"/>
    <w:rsid w:val="009C3E4B"/>
    <w:rsid w:val="009C50B2"/>
    <w:rsid w:val="009C6740"/>
    <w:rsid w:val="009C6C09"/>
    <w:rsid w:val="009C6CC8"/>
    <w:rsid w:val="009D0BED"/>
    <w:rsid w:val="009D0CA8"/>
    <w:rsid w:val="009D1D7F"/>
    <w:rsid w:val="009D45B7"/>
    <w:rsid w:val="009D58F2"/>
    <w:rsid w:val="009D6AC4"/>
    <w:rsid w:val="009E4172"/>
    <w:rsid w:val="009E63E5"/>
    <w:rsid w:val="009F0BAC"/>
    <w:rsid w:val="009F6AD2"/>
    <w:rsid w:val="009F768B"/>
    <w:rsid w:val="009F787D"/>
    <w:rsid w:val="00A016A1"/>
    <w:rsid w:val="00A01BC8"/>
    <w:rsid w:val="00A105E3"/>
    <w:rsid w:val="00A1142D"/>
    <w:rsid w:val="00A131F3"/>
    <w:rsid w:val="00A13E7F"/>
    <w:rsid w:val="00A21000"/>
    <w:rsid w:val="00A238C7"/>
    <w:rsid w:val="00A2419A"/>
    <w:rsid w:val="00A275D5"/>
    <w:rsid w:val="00A300FC"/>
    <w:rsid w:val="00A30E3D"/>
    <w:rsid w:val="00A3240E"/>
    <w:rsid w:val="00A32848"/>
    <w:rsid w:val="00A35054"/>
    <w:rsid w:val="00A36002"/>
    <w:rsid w:val="00A425F9"/>
    <w:rsid w:val="00A43708"/>
    <w:rsid w:val="00A43988"/>
    <w:rsid w:val="00A43F8F"/>
    <w:rsid w:val="00A4590C"/>
    <w:rsid w:val="00A551D9"/>
    <w:rsid w:val="00A5602E"/>
    <w:rsid w:val="00A574C0"/>
    <w:rsid w:val="00A60DF8"/>
    <w:rsid w:val="00A6467D"/>
    <w:rsid w:val="00A64FE7"/>
    <w:rsid w:val="00A6576F"/>
    <w:rsid w:val="00A66858"/>
    <w:rsid w:val="00A67482"/>
    <w:rsid w:val="00A732DE"/>
    <w:rsid w:val="00A73340"/>
    <w:rsid w:val="00A74406"/>
    <w:rsid w:val="00A75474"/>
    <w:rsid w:val="00A75E76"/>
    <w:rsid w:val="00A8044E"/>
    <w:rsid w:val="00A809DF"/>
    <w:rsid w:val="00A861F6"/>
    <w:rsid w:val="00A862D2"/>
    <w:rsid w:val="00A8687D"/>
    <w:rsid w:val="00A868E2"/>
    <w:rsid w:val="00A87DC1"/>
    <w:rsid w:val="00A91008"/>
    <w:rsid w:val="00A93D5C"/>
    <w:rsid w:val="00A94687"/>
    <w:rsid w:val="00A96B93"/>
    <w:rsid w:val="00AA0076"/>
    <w:rsid w:val="00AA35BE"/>
    <w:rsid w:val="00AA6609"/>
    <w:rsid w:val="00AA77D1"/>
    <w:rsid w:val="00AA79DC"/>
    <w:rsid w:val="00AC033A"/>
    <w:rsid w:val="00AC0946"/>
    <w:rsid w:val="00AC40FA"/>
    <w:rsid w:val="00AC488C"/>
    <w:rsid w:val="00AD0EC7"/>
    <w:rsid w:val="00AD1C48"/>
    <w:rsid w:val="00AD31A1"/>
    <w:rsid w:val="00AD34C5"/>
    <w:rsid w:val="00AE082E"/>
    <w:rsid w:val="00AE2B34"/>
    <w:rsid w:val="00AE3959"/>
    <w:rsid w:val="00AF2FB4"/>
    <w:rsid w:val="00AF3ED9"/>
    <w:rsid w:val="00AF4747"/>
    <w:rsid w:val="00B00C19"/>
    <w:rsid w:val="00B01021"/>
    <w:rsid w:val="00B014AC"/>
    <w:rsid w:val="00B02722"/>
    <w:rsid w:val="00B02E27"/>
    <w:rsid w:val="00B0577E"/>
    <w:rsid w:val="00B05A8D"/>
    <w:rsid w:val="00B06E64"/>
    <w:rsid w:val="00B077C7"/>
    <w:rsid w:val="00B15D45"/>
    <w:rsid w:val="00B16DA5"/>
    <w:rsid w:val="00B23640"/>
    <w:rsid w:val="00B2367F"/>
    <w:rsid w:val="00B23748"/>
    <w:rsid w:val="00B259FD"/>
    <w:rsid w:val="00B264DF"/>
    <w:rsid w:val="00B31622"/>
    <w:rsid w:val="00B31863"/>
    <w:rsid w:val="00B31A23"/>
    <w:rsid w:val="00B34BC6"/>
    <w:rsid w:val="00B35724"/>
    <w:rsid w:val="00B36EDF"/>
    <w:rsid w:val="00B37165"/>
    <w:rsid w:val="00B37BA6"/>
    <w:rsid w:val="00B4064A"/>
    <w:rsid w:val="00B43992"/>
    <w:rsid w:val="00B44966"/>
    <w:rsid w:val="00B45F5B"/>
    <w:rsid w:val="00B478E7"/>
    <w:rsid w:val="00B47983"/>
    <w:rsid w:val="00B56771"/>
    <w:rsid w:val="00B56DAD"/>
    <w:rsid w:val="00B57F4D"/>
    <w:rsid w:val="00B60B61"/>
    <w:rsid w:val="00B613B2"/>
    <w:rsid w:val="00B61480"/>
    <w:rsid w:val="00B61709"/>
    <w:rsid w:val="00B62B22"/>
    <w:rsid w:val="00B66204"/>
    <w:rsid w:val="00B6764A"/>
    <w:rsid w:val="00B7193E"/>
    <w:rsid w:val="00B72A46"/>
    <w:rsid w:val="00B730EA"/>
    <w:rsid w:val="00B75833"/>
    <w:rsid w:val="00B762C5"/>
    <w:rsid w:val="00B81B3F"/>
    <w:rsid w:val="00B81BF8"/>
    <w:rsid w:val="00B83B07"/>
    <w:rsid w:val="00B83ECB"/>
    <w:rsid w:val="00B850B4"/>
    <w:rsid w:val="00B850C5"/>
    <w:rsid w:val="00B86C2E"/>
    <w:rsid w:val="00B90051"/>
    <w:rsid w:val="00B907E1"/>
    <w:rsid w:val="00B90B03"/>
    <w:rsid w:val="00B9255C"/>
    <w:rsid w:val="00B929FF"/>
    <w:rsid w:val="00B94D9F"/>
    <w:rsid w:val="00B9577B"/>
    <w:rsid w:val="00B976FD"/>
    <w:rsid w:val="00B97B22"/>
    <w:rsid w:val="00BA28BD"/>
    <w:rsid w:val="00BA5661"/>
    <w:rsid w:val="00BA6286"/>
    <w:rsid w:val="00BB30E5"/>
    <w:rsid w:val="00BB3964"/>
    <w:rsid w:val="00BB39B7"/>
    <w:rsid w:val="00BB6B55"/>
    <w:rsid w:val="00BB714A"/>
    <w:rsid w:val="00BB74DA"/>
    <w:rsid w:val="00BC152E"/>
    <w:rsid w:val="00BC15CB"/>
    <w:rsid w:val="00BC1E10"/>
    <w:rsid w:val="00BC3F36"/>
    <w:rsid w:val="00BC4ED6"/>
    <w:rsid w:val="00BD039F"/>
    <w:rsid w:val="00BD0CCC"/>
    <w:rsid w:val="00BD24B7"/>
    <w:rsid w:val="00BD286D"/>
    <w:rsid w:val="00BD411A"/>
    <w:rsid w:val="00BD4226"/>
    <w:rsid w:val="00BD6503"/>
    <w:rsid w:val="00BD7843"/>
    <w:rsid w:val="00BE07D0"/>
    <w:rsid w:val="00BE1254"/>
    <w:rsid w:val="00BE50DA"/>
    <w:rsid w:val="00BE70DC"/>
    <w:rsid w:val="00BE7E65"/>
    <w:rsid w:val="00BF081C"/>
    <w:rsid w:val="00BF30C8"/>
    <w:rsid w:val="00BF3F93"/>
    <w:rsid w:val="00BF6B3A"/>
    <w:rsid w:val="00BF73DB"/>
    <w:rsid w:val="00BF745E"/>
    <w:rsid w:val="00C00228"/>
    <w:rsid w:val="00C01F64"/>
    <w:rsid w:val="00C0504F"/>
    <w:rsid w:val="00C067AD"/>
    <w:rsid w:val="00C22DDB"/>
    <w:rsid w:val="00C235E4"/>
    <w:rsid w:val="00C24E91"/>
    <w:rsid w:val="00C3793B"/>
    <w:rsid w:val="00C40B97"/>
    <w:rsid w:val="00C41743"/>
    <w:rsid w:val="00C43E01"/>
    <w:rsid w:val="00C46703"/>
    <w:rsid w:val="00C50DB2"/>
    <w:rsid w:val="00C534AA"/>
    <w:rsid w:val="00C53840"/>
    <w:rsid w:val="00C54A27"/>
    <w:rsid w:val="00C552F1"/>
    <w:rsid w:val="00C55BA1"/>
    <w:rsid w:val="00C55EFD"/>
    <w:rsid w:val="00C60E19"/>
    <w:rsid w:val="00C61599"/>
    <w:rsid w:val="00C632AD"/>
    <w:rsid w:val="00C65956"/>
    <w:rsid w:val="00C67822"/>
    <w:rsid w:val="00C70BF2"/>
    <w:rsid w:val="00C7209D"/>
    <w:rsid w:val="00C7246C"/>
    <w:rsid w:val="00C73EBE"/>
    <w:rsid w:val="00C742DA"/>
    <w:rsid w:val="00C75DD8"/>
    <w:rsid w:val="00C76955"/>
    <w:rsid w:val="00C771E9"/>
    <w:rsid w:val="00C8283D"/>
    <w:rsid w:val="00C85806"/>
    <w:rsid w:val="00C875B9"/>
    <w:rsid w:val="00C93C01"/>
    <w:rsid w:val="00C94F71"/>
    <w:rsid w:val="00C950BA"/>
    <w:rsid w:val="00C96971"/>
    <w:rsid w:val="00C979C2"/>
    <w:rsid w:val="00CA6885"/>
    <w:rsid w:val="00CB0026"/>
    <w:rsid w:val="00CB1390"/>
    <w:rsid w:val="00CB1F62"/>
    <w:rsid w:val="00CB3404"/>
    <w:rsid w:val="00CB4000"/>
    <w:rsid w:val="00CC3C27"/>
    <w:rsid w:val="00CC3FDF"/>
    <w:rsid w:val="00CC6E98"/>
    <w:rsid w:val="00CC77CD"/>
    <w:rsid w:val="00CC7909"/>
    <w:rsid w:val="00CC7B7E"/>
    <w:rsid w:val="00CC7D27"/>
    <w:rsid w:val="00CD00C7"/>
    <w:rsid w:val="00CD03CB"/>
    <w:rsid w:val="00CD306E"/>
    <w:rsid w:val="00CD6C7C"/>
    <w:rsid w:val="00CD721F"/>
    <w:rsid w:val="00CE0359"/>
    <w:rsid w:val="00CE1DA4"/>
    <w:rsid w:val="00CE1FB0"/>
    <w:rsid w:val="00CE54E8"/>
    <w:rsid w:val="00CE5FB3"/>
    <w:rsid w:val="00CE67AD"/>
    <w:rsid w:val="00CE72E3"/>
    <w:rsid w:val="00CE768E"/>
    <w:rsid w:val="00CF0CFA"/>
    <w:rsid w:val="00CF0E93"/>
    <w:rsid w:val="00CF0FB1"/>
    <w:rsid w:val="00CF27E8"/>
    <w:rsid w:val="00CF4B3E"/>
    <w:rsid w:val="00CF5045"/>
    <w:rsid w:val="00CF6ADD"/>
    <w:rsid w:val="00CF6C48"/>
    <w:rsid w:val="00CF7182"/>
    <w:rsid w:val="00D02389"/>
    <w:rsid w:val="00D03255"/>
    <w:rsid w:val="00D05BC6"/>
    <w:rsid w:val="00D05FEF"/>
    <w:rsid w:val="00D06A9D"/>
    <w:rsid w:val="00D07419"/>
    <w:rsid w:val="00D1104B"/>
    <w:rsid w:val="00D13581"/>
    <w:rsid w:val="00D13F66"/>
    <w:rsid w:val="00D1448C"/>
    <w:rsid w:val="00D14F15"/>
    <w:rsid w:val="00D151FA"/>
    <w:rsid w:val="00D20808"/>
    <w:rsid w:val="00D252EC"/>
    <w:rsid w:val="00D25F31"/>
    <w:rsid w:val="00D30019"/>
    <w:rsid w:val="00D31217"/>
    <w:rsid w:val="00D31F1B"/>
    <w:rsid w:val="00D3465C"/>
    <w:rsid w:val="00D364D2"/>
    <w:rsid w:val="00D37149"/>
    <w:rsid w:val="00D41DDA"/>
    <w:rsid w:val="00D465FC"/>
    <w:rsid w:val="00D468AD"/>
    <w:rsid w:val="00D46F30"/>
    <w:rsid w:val="00D471D5"/>
    <w:rsid w:val="00D47294"/>
    <w:rsid w:val="00D477AF"/>
    <w:rsid w:val="00D53A3B"/>
    <w:rsid w:val="00D60C15"/>
    <w:rsid w:val="00D60E28"/>
    <w:rsid w:val="00D63665"/>
    <w:rsid w:val="00D63743"/>
    <w:rsid w:val="00D645AA"/>
    <w:rsid w:val="00D64820"/>
    <w:rsid w:val="00D64D83"/>
    <w:rsid w:val="00D65311"/>
    <w:rsid w:val="00D72214"/>
    <w:rsid w:val="00D72D80"/>
    <w:rsid w:val="00D72FCA"/>
    <w:rsid w:val="00D738AC"/>
    <w:rsid w:val="00D740D6"/>
    <w:rsid w:val="00D75EA0"/>
    <w:rsid w:val="00D8216C"/>
    <w:rsid w:val="00D83C02"/>
    <w:rsid w:val="00D847C7"/>
    <w:rsid w:val="00D8583C"/>
    <w:rsid w:val="00D903F3"/>
    <w:rsid w:val="00D90413"/>
    <w:rsid w:val="00D91C4A"/>
    <w:rsid w:val="00D9422E"/>
    <w:rsid w:val="00D9483C"/>
    <w:rsid w:val="00D95848"/>
    <w:rsid w:val="00D97FFB"/>
    <w:rsid w:val="00DA1AA5"/>
    <w:rsid w:val="00DA2B6E"/>
    <w:rsid w:val="00DA4AC6"/>
    <w:rsid w:val="00DA5C90"/>
    <w:rsid w:val="00DB30A8"/>
    <w:rsid w:val="00DB4BF1"/>
    <w:rsid w:val="00DC29A9"/>
    <w:rsid w:val="00DC433A"/>
    <w:rsid w:val="00DC78E4"/>
    <w:rsid w:val="00DD0B45"/>
    <w:rsid w:val="00DD1218"/>
    <w:rsid w:val="00DD16CB"/>
    <w:rsid w:val="00DD1F5E"/>
    <w:rsid w:val="00DD3708"/>
    <w:rsid w:val="00DD4F1E"/>
    <w:rsid w:val="00DE1C33"/>
    <w:rsid w:val="00DE5A4C"/>
    <w:rsid w:val="00DE5D40"/>
    <w:rsid w:val="00DE7877"/>
    <w:rsid w:val="00DF488D"/>
    <w:rsid w:val="00DF5C88"/>
    <w:rsid w:val="00DF5F41"/>
    <w:rsid w:val="00E0165B"/>
    <w:rsid w:val="00E01FAC"/>
    <w:rsid w:val="00E03181"/>
    <w:rsid w:val="00E0350D"/>
    <w:rsid w:val="00E03BF3"/>
    <w:rsid w:val="00E04DD7"/>
    <w:rsid w:val="00E07CC4"/>
    <w:rsid w:val="00E10191"/>
    <w:rsid w:val="00E108AB"/>
    <w:rsid w:val="00E114E8"/>
    <w:rsid w:val="00E11DA3"/>
    <w:rsid w:val="00E11EE0"/>
    <w:rsid w:val="00E12217"/>
    <w:rsid w:val="00E127A3"/>
    <w:rsid w:val="00E14D58"/>
    <w:rsid w:val="00E155A8"/>
    <w:rsid w:val="00E17ABE"/>
    <w:rsid w:val="00E211C5"/>
    <w:rsid w:val="00E228BE"/>
    <w:rsid w:val="00E240A5"/>
    <w:rsid w:val="00E2411F"/>
    <w:rsid w:val="00E2421E"/>
    <w:rsid w:val="00E24F23"/>
    <w:rsid w:val="00E26392"/>
    <w:rsid w:val="00E31EC0"/>
    <w:rsid w:val="00E35DD8"/>
    <w:rsid w:val="00E37CDB"/>
    <w:rsid w:val="00E408F4"/>
    <w:rsid w:val="00E43611"/>
    <w:rsid w:val="00E45C01"/>
    <w:rsid w:val="00E47771"/>
    <w:rsid w:val="00E47A40"/>
    <w:rsid w:val="00E52C49"/>
    <w:rsid w:val="00E52CCE"/>
    <w:rsid w:val="00E54AD8"/>
    <w:rsid w:val="00E560CF"/>
    <w:rsid w:val="00E56B7B"/>
    <w:rsid w:val="00E60ECE"/>
    <w:rsid w:val="00E6199F"/>
    <w:rsid w:val="00E61EF1"/>
    <w:rsid w:val="00E627C8"/>
    <w:rsid w:val="00E63C18"/>
    <w:rsid w:val="00E64F58"/>
    <w:rsid w:val="00E701C1"/>
    <w:rsid w:val="00E705D9"/>
    <w:rsid w:val="00E718EB"/>
    <w:rsid w:val="00E72326"/>
    <w:rsid w:val="00E73357"/>
    <w:rsid w:val="00E73F94"/>
    <w:rsid w:val="00E77681"/>
    <w:rsid w:val="00E809F5"/>
    <w:rsid w:val="00E82040"/>
    <w:rsid w:val="00E84403"/>
    <w:rsid w:val="00E84AAA"/>
    <w:rsid w:val="00E85934"/>
    <w:rsid w:val="00E85CC3"/>
    <w:rsid w:val="00E85DF7"/>
    <w:rsid w:val="00E86116"/>
    <w:rsid w:val="00E907C2"/>
    <w:rsid w:val="00E91C05"/>
    <w:rsid w:val="00E9398C"/>
    <w:rsid w:val="00E94475"/>
    <w:rsid w:val="00E94A91"/>
    <w:rsid w:val="00EA0D40"/>
    <w:rsid w:val="00EA3E4D"/>
    <w:rsid w:val="00EA46FB"/>
    <w:rsid w:val="00EA5C9E"/>
    <w:rsid w:val="00EB052B"/>
    <w:rsid w:val="00EB1032"/>
    <w:rsid w:val="00EB5D1E"/>
    <w:rsid w:val="00EC1983"/>
    <w:rsid w:val="00EC340F"/>
    <w:rsid w:val="00EC393C"/>
    <w:rsid w:val="00EC7D88"/>
    <w:rsid w:val="00ED0ABC"/>
    <w:rsid w:val="00ED597B"/>
    <w:rsid w:val="00ED6F3E"/>
    <w:rsid w:val="00EE1AFF"/>
    <w:rsid w:val="00EE222F"/>
    <w:rsid w:val="00EE2475"/>
    <w:rsid w:val="00EE2B6B"/>
    <w:rsid w:val="00EE465F"/>
    <w:rsid w:val="00EE47F3"/>
    <w:rsid w:val="00EE4F7E"/>
    <w:rsid w:val="00EE76D2"/>
    <w:rsid w:val="00EF0AAC"/>
    <w:rsid w:val="00EF1315"/>
    <w:rsid w:val="00EF78CB"/>
    <w:rsid w:val="00EF7A33"/>
    <w:rsid w:val="00EF7E76"/>
    <w:rsid w:val="00F00767"/>
    <w:rsid w:val="00F027CA"/>
    <w:rsid w:val="00F048C1"/>
    <w:rsid w:val="00F078D9"/>
    <w:rsid w:val="00F1055A"/>
    <w:rsid w:val="00F11D87"/>
    <w:rsid w:val="00F12E94"/>
    <w:rsid w:val="00F1383D"/>
    <w:rsid w:val="00F20B49"/>
    <w:rsid w:val="00F2352A"/>
    <w:rsid w:val="00F23D7B"/>
    <w:rsid w:val="00F2514D"/>
    <w:rsid w:val="00F27278"/>
    <w:rsid w:val="00F30932"/>
    <w:rsid w:val="00F31EB6"/>
    <w:rsid w:val="00F3239A"/>
    <w:rsid w:val="00F32DDC"/>
    <w:rsid w:val="00F3582C"/>
    <w:rsid w:val="00F36B64"/>
    <w:rsid w:val="00F37F43"/>
    <w:rsid w:val="00F42C29"/>
    <w:rsid w:val="00F43FB2"/>
    <w:rsid w:val="00F452BB"/>
    <w:rsid w:val="00F50E1B"/>
    <w:rsid w:val="00F51D82"/>
    <w:rsid w:val="00F5308D"/>
    <w:rsid w:val="00F5464E"/>
    <w:rsid w:val="00F54C65"/>
    <w:rsid w:val="00F60098"/>
    <w:rsid w:val="00F6237F"/>
    <w:rsid w:val="00F637D5"/>
    <w:rsid w:val="00F66286"/>
    <w:rsid w:val="00F70081"/>
    <w:rsid w:val="00F758B4"/>
    <w:rsid w:val="00F75B55"/>
    <w:rsid w:val="00F766A2"/>
    <w:rsid w:val="00F770A6"/>
    <w:rsid w:val="00F77AED"/>
    <w:rsid w:val="00F81B23"/>
    <w:rsid w:val="00F82310"/>
    <w:rsid w:val="00F830BC"/>
    <w:rsid w:val="00F830F8"/>
    <w:rsid w:val="00F86337"/>
    <w:rsid w:val="00F91C45"/>
    <w:rsid w:val="00F9238E"/>
    <w:rsid w:val="00F948E7"/>
    <w:rsid w:val="00F97B11"/>
    <w:rsid w:val="00FA0A6B"/>
    <w:rsid w:val="00FA16D7"/>
    <w:rsid w:val="00FA550E"/>
    <w:rsid w:val="00FA66DC"/>
    <w:rsid w:val="00FA75B2"/>
    <w:rsid w:val="00FB5D65"/>
    <w:rsid w:val="00FB5E14"/>
    <w:rsid w:val="00FB608A"/>
    <w:rsid w:val="00FC04FA"/>
    <w:rsid w:val="00FC25A1"/>
    <w:rsid w:val="00FC2C4C"/>
    <w:rsid w:val="00FC39EA"/>
    <w:rsid w:val="00FC4643"/>
    <w:rsid w:val="00FC6168"/>
    <w:rsid w:val="00FC6609"/>
    <w:rsid w:val="00FD0692"/>
    <w:rsid w:val="00FD0BC3"/>
    <w:rsid w:val="00FD4993"/>
    <w:rsid w:val="00FD57BC"/>
    <w:rsid w:val="00FD70BF"/>
    <w:rsid w:val="00FE126E"/>
    <w:rsid w:val="00FE2308"/>
    <w:rsid w:val="00FE2C50"/>
    <w:rsid w:val="00FE369C"/>
    <w:rsid w:val="00FE3D0A"/>
    <w:rsid w:val="00FE4B4F"/>
    <w:rsid w:val="00FF0326"/>
    <w:rsid w:val="00FF1F34"/>
    <w:rsid w:val="00FF294A"/>
    <w:rsid w:val="00FF373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15:docId w15:val="{49BADF68-73B2-4D0F-84F3-A4AF11C8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lang w:val="en-AU" w:eastAsia="en-AU" w:bidi="ar-SA"/>
      </w:rPr>
    </w:rPrDefault>
    <w:pPrDefault>
      <w:pPr>
        <w:spacing w:after="120" w:line="280" w:lineRule="exact"/>
      </w:pPr>
    </w:pPrDefault>
  </w:docDefaults>
  <w:latentStyles w:defLockedState="1" w:defUIPriority="0" w:defSemiHidden="0" w:defUnhideWhenUsed="0" w:defQFormat="0" w:count="371">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locked="0"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E17ABE"/>
    <w:pPr>
      <w:spacing w:line="280" w:lineRule="atLeast"/>
    </w:pPr>
    <w:rPr>
      <w:szCs w:val="24"/>
      <w:lang w:eastAsia="en-GB"/>
    </w:rPr>
  </w:style>
  <w:style w:type="paragraph" w:styleId="Heading1">
    <w:name w:val="heading 1"/>
    <w:basedOn w:val="Normal"/>
    <w:next w:val="Normal"/>
    <w:semiHidden/>
    <w:rsid w:val="00D07419"/>
    <w:pPr>
      <w:keepNext/>
      <w:numPr>
        <w:numId w:val="1"/>
      </w:numPr>
      <w:spacing w:before="240"/>
      <w:outlineLvl w:val="0"/>
    </w:pPr>
    <w:rPr>
      <w:rFonts w:cs="Arial"/>
      <w:b/>
      <w:bCs/>
      <w:kern w:val="32"/>
      <w:sz w:val="28"/>
      <w:szCs w:val="32"/>
    </w:rPr>
  </w:style>
  <w:style w:type="paragraph" w:styleId="Heading2">
    <w:name w:val="heading 2"/>
    <w:basedOn w:val="Normal"/>
    <w:next w:val="Normal"/>
    <w:semiHidden/>
    <w:rsid w:val="00D07419"/>
    <w:pPr>
      <w:keepNext/>
      <w:numPr>
        <w:ilvl w:val="1"/>
        <w:numId w:val="1"/>
      </w:numPr>
      <w:outlineLvl w:val="1"/>
    </w:pPr>
    <w:rPr>
      <w:rFonts w:cs="Arial"/>
      <w:b/>
      <w:bCs/>
      <w:iCs/>
      <w:szCs w:val="28"/>
    </w:rPr>
  </w:style>
  <w:style w:type="paragraph" w:styleId="Heading3">
    <w:name w:val="heading 3"/>
    <w:basedOn w:val="Normal"/>
    <w:next w:val="Normal"/>
    <w:semiHidden/>
    <w:rsid w:val="00D07419"/>
    <w:pPr>
      <w:keepNext/>
      <w:numPr>
        <w:ilvl w:val="2"/>
        <w:numId w:val="1"/>
      </w:numPr>
      <w:spacing w:line="240" w:lineRule="exact"/>
      <w:outlineLvl w:val="2"/>
    </w:pPr>
    <w:rPr>
      <w:rFonts w:cs="Arial"/>
      <w:b/>
      <w:bCs/>
      <w:szCs w:val="26"/>
    </w:rPr>
  </w:style>
  <w:style w:type="paragraph" w:styleId="Heading4">
    <w:name w:val="heading 4"/>
    <w:basedOn w:val="Normal"/>
    <w:next w:val="Normal"/>
    <w:semiHidden/>
    <w:rsid w:val="00D07419"/>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semiHidden/>
    <w:rsid w:val="00D07419"/>
    <w:pPr>
      <w:numPr>
        <w:ilvl w:val="4"/>
        <w:numId w:val="1"/>
      </w:numPr>
      <w:spacing w:before="240" w:after="60"/>
      <w:outlineLvl w:val="4"/>
    </w:pPr>
    <w:rPr>
      <w:b/>
      <w:bCs/>
      <w:i/>
      <w:iCs/>
      <w:sz w:val="26"/>
      <w:szCs w:val="26"/>
    </w:rPr>
  </w:style>
  <w:style w:type="paragraph" w:styleId="Heading6">
    <w:name w:val="heading 6"/>
    <w:basedOn w:val="Normal"/>
    <w:next w:val="Normal"/>
    <w:semiHidden/>
    <w:rsid w:val="00D07419"/>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semiHidden/>
    <w:rsid w:val="00D07419"/>
    <w:pPr>
      <w:numPr>
        <w:ilvl w:val="6"/>
        <w:numId w:val="1"/>
      </w:numPr>
      <w:spacing w:before="240" w:after="60"/>
      <w:outlineLvl w:val="6"/>
    </w:pPr>
    <w:rPr>
      <w:rFonts w:ascii="Times New Roman" w:hAnsi="Times New Roman"/>
      <w:sz w:val="24"/>
    </w:rPr>
  </w:style>
  <w:style w:type="paragraph" w:styleId="Heading8">
    <w:name w:val="heading 8"/>
    <w:basedOn w:val="Normal"/>
    <w:next w:val="Normal"/>
    <w:semiHidden/>
    <w:rsid w:val="00D07419"/>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semiHidden/>
    <w:rsid w:val="00D0741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Normal">
    <w:name w:val="BDO_Normal"/>
    <w:uiPriority w:val="2"/>
    <w:qFormat/>
    <w:rsid w:val="001C5925"/>
    <w:pPr>
      <w:spacing w:line="280" w:lineRule="atLeast"/>
    </w:pPr>
    <w:rPr>
      <w:szCs w:val="24"/>
      <w:lang w:eastAsia="en-GB"/>
    </w:rPr>
  </w:style>
  <w:style w:type="paragraph" w:customStyle="1" w:styleId="BDOHeading1">
    <w:name w:val="BDO_Heading 1"/>
    <w:basedOn w:val="BDONormal"/>
    <w:next w:val="BDOBodyText"/>
    <w:qFormat/>
    <w:rsid w:val="002A3162"/>
    <w:pPr>
      <w:spacing w:before="240"/>
      <w:outlineLvl w:val="0"/>
    </w:pPr>
    <w:rPr>
      <w:b/>
      <w:sz w:val="28"/>
    </w:rPr>
  </w:style>
  <w:style w:type="paragraph" w:customStyle="1" w:styleId="BDOHeading2">
    <w:name w:val="BDO_Heading 2"/>
    <w:basedOn w:val="BDONormal"/>
    <w:next w:val="BDOBodyText"/>
    <w:qFormat/>
    <w:rsid w:val="002A3162"/>
    <w:pPr>
      <w:outlineLvl w:val="1"/>
    </w:pPr>
    <w:rPr>
      <w:b/>
      <w:sz w:val="24"/>
    </w:rPr>
  </w:style>
  <w:style w:type="paragraph" w:customStyle="1" w:styleId="BDOBodyText">
    <w:name w:val="BDO_Body Text"/>
    <w:basedOn w:val="BDONormal"/>
    <w:uiPriority w:val="1"/>
    <w:qFormat/>
    <w:rsid w:val="001C5925"/>
  </w:style>
  <w:style w:type="paragraph" w:customStyle="1" w:styleId="BDOBulletOne">
    <w:name w:val="BDO_Bullet One"/>
    <w:basedOn w:val="BDONormal"/>
    <w:uiPriority w:val="1"/>
    <w:qFormat/>
    <w:rsid w:val="009021BC"/>
    <w:pPr>
      <w:numPr>
        <w:numId w:val="2"/>
      </w:numPr>
      <w:spacing w:after="40"/>
      <w:contextualSpacing/>
    </w:pPr>
    <w:rPr>
      <w:color w:val="000000"/>
    </w:rPr>
  </w:style>
  <w:style w:type="paragraph" w:customStyle="1" w:styleId="BDOToAddress">
    <w:name w:val="BDO_ToAddress"/>
    <w:basedOn w:val="BDONormal"/>
    <w:uiPriority w:val="2"/>
    <w:qFormat/>
    <w:rsid w:val="005D6CB6"/>
    <w:pPr>
      <w:spacing w:after="0"/>
    </w:pPr>
  </w:style>
  <w:style w:type="paragraph" w:customStyle="1" w:styleId="BDODate">
    <w:name w:val="BDO_Date"/>
    <w:basedOn w:val="BDONormal"/>
    <w:uiPriority w:val="3"/>
    <w:qFormat/>
    <w:rsid w:val="00360B6C"/>
    <w:pPr>
      <w:spacing w:before="280"/>
    </w:pPr>
  </w:style>
  <w:style w:type="paragraph" w:customStyle="1" w:styleId="BDORef">
    <w:name w:val="BDO_Ref"/>
    <w:basedOn w:val="BDONormal"/>
    <w:uiPriority w:val="3"/>
    <w:qFormat/>
    <w:rsid w:val="00950994"/>
    <w:pPr>
      <w:spacing w:after="780"/>
    </w:pPr>
  </w:style>
  <w:style w:type="paragraph" w:customStyle="1" w:styleId="BDOAddress">
    <w:name w:val="BDO_Address"/>
    <w:uiPriority w:val="3"/>
    <w:rsid w:val="001C5925"/>
    <w:pPr>
      <w:framePr w:w="2461" w:h="964" w:hRule="exact" w:hSpace="181" w:wrap="around" w:vAnchor="page" w:hAnchor="page" w:x="5841" w:y="795"/>
      <w:shd w:val="clear" w:color="FFFFFF" w:fill="auto"/>
      <w:spacing w:after="0" w:line="240" w:lineRule="auto"/>
    </w:pPr>
    <w:rPr>
      <w:color w:val="786860"/>
      <w:sz w:val="16"/>
      <w:szCs w:val="16"/>
      <w:lang w:eastAsia="en-GB"/>
    </w:rPr>
  </w:style>
  <w:style w:type="paragraph" w:customStyle="1" w:styleId="BDOAddressBold">
    <w:name w:val="BDO_Address (Bold)"/>
    <w:basedOn w:val="BDOAddress"/>
    <w:uiPriority w:val="3"/>
    <w:rsid w:val="00950994"/>
    <w:pPr>
      <w:framePr w:wrap="around"/>
    </w:pPr>
    <w:rPr>
      <w:b/>
    </w:rPr>
  </w:style>
  <w:style w:type="paragraph" w:customStyle="1" w:styleId="BDOFooter">
    <w:name w:val="BDO_Footer"/>
    <w:uiPriority w:val="3"/>
    <w:rsid w:val="006A5A2B"/>
    <w:pPr>
      <w:framePr w:w="7927" w:h="675" w:hRule="exact" w:hSpace="181" w:wrap="around" w:vAnchor="page" w:hAnchor="page" w:x="1725" w:y="15752"/>
      <w:spacing w:after="0" w:line="240" w:lineRule="auto"/>
    </w:pPr>
    <w:rPr>
      <w:color w:val="786860"/>
      <w:sz w:val="12"/>
      <w:szCs w:val="12"/>
      <w:lang w:eastAsia="en-GB"/>
    </w:rPr>
  </w:style>
  <w:style w:type="paragraph" w:styleId="TOAHeading">
    <w:name w:val="toa heading"/>
    <w:basedOn w:val="Normal"/>
    <w:next w:val="Normal"/>
    <w:semiHidden/>
    <w:rsid w:val="00950994"/>
    <w:pPr>
      <w:spacing w:before="120"/>
    </w:pPr>
    <w:rPr>
      <w:rFonts w:ascii="Arial" w:hAnsi="Arial" w:cs="Arial"/>
      <w:b/>
      <w:bCs/>
      <w:sz w:val="24"/>
    </w:rPr>
  </w:style>
  <w:style w:type="paragraph" w:styleId="TOC1">
    <w:name w:val="toc 1"/>
    <w:basedOn w:val="Normal"/>
    <w:next w:val="Normal"/>
    <w:autoRedefine/>
    <w:semiHidden/>
    <w:rsid w:val="00950994"/>
  </w:style>
  <w:style w:type="paragraph" w:styleId="TOC2">
    <w:name w:val="toc 2"/>
    <w:basedOn w:val="Normal"/>
    <w:next w:val="Normal"/>
    <w:autoRedefine/>
    <w:semiHidden/>
    <w:rsid w:val="00950994"/>
    <w:pPr>
      <w:ind w:left="200"/>
    </w:pPr>
  </w:style>
  <w:style w:type="paragraph" w:styleId="TOC3">
    <w:name w:val="toc 3"/>
    <w:basedOn w:val="Normal"/>
    <w:next w:val="Normal"/>
    <w:autoRedefine/>
    <w:semiHidden/>
    <w:rsid w:val="00950994"/>
    <w:pPr>
      <w:ind w:left="400"/>
    </w:pPr>
  </w:style>
  <w:style w:type="paragraph" w:styleId="TOC4">
    <w:name w:val="toc 4"/>
    <w:basedOn w:val="Normal"/>
    <w:next w:val="Normal"/>
    <w:autoRedefine/>
    <w:semiHidden/>
    <w:rsid w:val="00950994"/>
    <w:pPr>
      <w:ind w:left="600"/>
    </w:pPr>
  </w:style>
  <w:style w:type="paragraph" w:styleId="TOC5">
    <w:name w:val="toc 5"/>
    <w:basedOn w:val="Normal"/>
    <w:next w:val="Normal"/>
    <w:autoRedefine/>
    <w:semiHidden/>
    <w:rsid w:val="00950994"/>
    <w:pPr>
      <w:ind w:left="800"/>
    </w:pPr>
  </w:style>
  <w:style w:type="paragraph" w:styleId="TOC6">
    <w:name w:val="toc 6"/>
    <w:basedOn w:val="Normal"/>
    <w:next w:val="Normal"/>
    <w:autoRedefine/>
    <w:semiHidden/>
    <w:rsid w:val="00950994"/>
    <w:pPr>
      <w:ind w:left="1000"/>
    </w:pPr>
  </w:style>
  <w:style w:type="paragraph" w:styleId="TOC7">
    <w:name w:val="toc 7"/>
    <w:basedOn w:val="Normal"/>
    <w:next w:val="Normal"/>
    <w:autoRedefine/>
    <w:semiHidden/>
    <w:rsid w:val="00950994"/>
    <w:pPr>
      <w:ind w:left="1200"/>
    </w:pPr>
  </w:style>
  <w:style w:type="paragraph" w:styleId="TOC8">
    <w:name w:val="toc 8"/>
    <w:basedOn w:val="Normal"/>
    <w:next w:val="Normal"/>
    <w:autoRedefine/>
    <w:semiHidden/>
    <w:rsid w:val="00950994"/>
    <w:pPr>
      <w:ind w:left="1400"/>
    </w:pPr>
  </w:style>
  <w:style w:type="paragraph" w:styleId="TOC9">
    <w:name w:val="toc 9"/>
    <w:basedOn w:val="Normal"/>
    <w:next w:val="Normal"/>
    <w:autoRedefine/>
    <w:semiHidden/>
    <w:rsid w:val="00950994"/>
    <w:pPr>
      <w:ind w:left="1600"/>
    </w:pPr>
  </w:style>
  <w:style w:type="table" w:customStyle="1" w:styleId="BDOTable">
    <w:name w:val="BDO Table"/>
    <w:basedOn w:val="TableNormal"/>
    <w:uiPriority w:val="99"/>
    <w:qFormat/>
    <w:rsid w:val="00CF6ADD"/>
    <w:pPr>
      <w:spacing w:before="60" w:line="280" w:lineRule="atLeast"/>
    </w:pPr>
    <w:rPr>
      <w:color w:val="000000"/>
      <w:sz w:val="18"/>
    </w:rPr>
    <w:tblPr>
      <w:tblStyleRowBandSize w:val="1"/>
      <w:tblBorders>
        <w:insideH w:val="single" w:sz="4" w:space="0" w:color="FFFFFF"/>
        <w:insideV w:val="single" w:sz="4" w:space="0" w:color="FFFFFF"/>
      </w:tblBorders>
      <w:tblCellMar>
        <w:bottom w:w="85" w:type="dxa"/>
      </w:tblCellMar>
    </w:tblPr>
    <w:tcPr>
      <w:shd w:val="clear" w:color="auto" w:fill="F4F3F1"/>
    </w:tcPr>
    <w:tblStylePr w:type="firstRow">
      <w:rPr>
        <w:rFonts w:ascii="Trebuchet MS" w:hAnsi="Trebuchet MS"/>
        <w:b/>
        <w:color w:val="FFFFFF"/>
        <w:sz w:val="18"/>
      </w:rPr>
      <w:tblPr/>
      <w:tcPr>
        <w:tcBorders>
          <w:insideH w:val="nil"/>
        </w:tcBorders>
        <w:shd w:val="clear" w:color="auto" w:fill="ED1A3B"/>
        <w:vAlign w:val="center"/>
      </w:tcPr>
    </w:tblStylePr>
    <w:tblStylePr w:type="band1Horz">
      <w:tblPr/>
      <w:tcPr>
        <w:shd w:val="clear" w:color="auto" w:fill="F4F3F1"/>
      </w:tcPr>
    </w:tblStylePr>
    <w:tblStylePr w:type="band2Horz">
      <w:tblPr/>
      <w:tcPr>
        <w:shd w:val="clear" w:color="auto" w:fill="FFFFFF"/>
      </w:tcPr>
    </w:tblStylePr>
    <w:tblStylePr w:type="nwCell">
      <w:rPr>
        <w:rFonts w:ascii="Trebuchet MS" w:hAnsi="Trebuchet MS"/>
        <w:sz w:val="18"/>
      </w:rPr>
    </w:tblStylePr>
  </w:style>
  <w:style w:type="paragraph" w:customStyle="1" w:styleId="BDOSalutation">
    <w:name w:val="BDO_Salutation"/>
    <w:basedOn w:val="BDONormal"/>
    <w:uiPriority w:val="2"/>
    <w:qFormat/>
    <w:rsid w:val="005E0047"/>
    <w:pPr>
      <w:spacing w:before="720"/>
      <w:contextualSpacing/>
    </w:pPr>
  </w:style>
  <w:style w:type="paragraph" w:customStyle="1" w:styleId="BDOAddress2">
    <w:name w:val="BDO_Address2"/>
    <w:uiPriority w:val="3"/>
    <w:qFormat/>
    <w:rsid w:val="00E07CC4"/>
    <w:pPr>
      <w:framePr w:w="2977" w:h="964" w:hRule="exact" w:hSpace="181" w:wrap="around" w:vAnchor="page" w:hAnchor="page" w:x="8557" w:y="829"/>
      <w:shd w:val="solid" w:color="FFFFFF" w:fill="auto"/>
      <w:spacing w:after="0" w:line="240" w:lineRule="auto"/>
    </w:pPr>
    <w:rPr>
      <w:color w:val="786860"/>
      <w:sz w:val="16"/>
      <w:szCs w:val="16"/>
      <w:lang w:eastAsia="en-GB"/>
    </w:rPr>
  </w:style>
  <w:style w:type="paragraph" w:styleId="TOCHeading">
    <w:name w:val="TOC Heading"/>
    <w:basedOn w:val="Heading1"/>
    <w:next w:val="Normal"/>
    <w:uiPriority w:val="39"/>
    <w:semiHidden/>
    <w:unhideWhenUsed/>
    <w:qFormat/>
    <w:rsid w:val="0025026C"/>
    <w:pPr>
      <w:keepLines/>
      <w:spacing w:before="480" w:line="240" w:lineRule="auto"/>
      <w:outlineLvl w:val="9"/>
    </w:pPr>
    <w:rPr>
      <w:rFonts w:asciiTheme="majorHAnsi" w:eastAsiaTheme="majorEastAsia" w:hAnsiTheme="majorHAnsi" w:cstheme="majorBidi"/>
      <w:color w:val="B60E28" w:themeColor="accent1" w:themeShade="BF"/>
      <w:kern w:val="0"/>
      <w:szCs w:val="28"/>
    </w:rPr>
  </w:style>
  <w:style w:type="paragraph" w:customStyle="1" w:styleId="BDOHeading3">
    <w:name w:val="BDO_Heading 3"/>
    <w:basedOn w:val="BDOHeading2"/>
    <w:next w:val="BDOBodyText"/>
    <w:qFormat/>
    <w:rsid w:val="002A3162"/>
    <w:rPr>
      <w:b w:val="0"/>
    </w:rPr>
  </w:style>
  <w:style w:type="paragraph" w:customStyle="1" w:styleId="BDOHeading4">
    <w:name w:val="BDO_Heading 4"/>
    <w:basedOn w:val="BDONormal"/>
    <w:next w:val="BDOBodyText"/>
    <w:qFormat/>
    <w:rsid w:val="002A3162"/>
    <w:rPr>
      <w:b/>
    </w:rPr>
  </w:style>
  <w:style w:type="table" w:customStyle="1" w:styleId="BDOTable2">
    <w:name w:val="BDO Table 2"/>
    <w:basedOn w:val="BDOTable"/>
    <w:uiPriority w:val="99"/>
    <w:qFormat/>
    <w:rsid w:val="00F948E7"/>
    <w:tblPr>
      <w:tblStyleColBandSize w:val="1"/>
      <w:tblBorders>
        <w:insideH w:val="single" w:sz="4" w:space="0" w:color="786860"/>
        <w:insideV w:val="none" w:sz="0" w:space="0" w:color="auto"/>
      </w:tblBorders>
    </w:tblPr>
    <w:tcPr>
      <w:shd w:val="clear" w:color="auto" w:fill="auto"/>
    </w:tcPr>
    <w:tblStylePr w:type="firstRow">
      <w:rPr>
        <w:rFonts w:ascii="Trebuchet MS" w:hAnsi="Trebuchet MS"/>
        <w:b w:val="0"/>
        <w:color w:val="000000"/>
        <w:sz w:val="18"/>
      </w:rPr>
      <w:tblPr/>
      <w:tcPr>
        <w:tcBorders>
          <w:insideH w:val="nil"/>
        </w:tcBorders>
        <w:shd w:val="clear" w:color="auto" w:fill="ED1A3B"/>
        <w:vAlign w:val="center"/>
      </w:tcPr>
    </w:tblStylePr>
    <w:tblStylePr w:type="firstCol">
      <w:rPr>
        <w:b/>
        <w:color w:val="FFFFFF"/>
      </w:rPr>
      <w:tblPr/>
      <w:tcPr>
        <w:tcBorders>
          <w:top w:val="single" w:sz="4" w:space="0" w:color="FFFFFF"/>
          <w:bottom w:val="single" w:sz="4" w:space="0" w:color="FFFFFF"/>
          <w:insideH w:val="nil"/>
        </w:tcBorders>
        <w:shd w:val="clear" w:color="auto" w:fill="ED1A3B"/>
        <w:vAlign w:val="top"/>
      </w:tcPr>
    </w:tblStylePr>
    <w:tblStylePr w:type="band1Horz">
      <w:tblPr/>
      <w:tcPr>
        <w:shd w:val="clear" w:color="auto" w:fill="FFFFFF"/>
      </w:tcPr>
    </w:tblStylePr>
    <w:tblStylePr w:type="band2Horz">
      <w:tblPr/>
      <w:tcPr>
        <w:shd w:val="clear" w:color="auto" w:fill="FFFFFF"/>
      </w:tcPr>
    </w:tblStylePr>
    <w:tblStylePr w:type="nwCell">
      <w:rPr>
        <w:rFonts w:ascii="Trebuchet MS" w:hAnsi="Trebuchet MS"/>
        <w:b/>
        <w:color w:val="FFFFFF"/>
        <w:sz w:val="18"/>
      </w:rPr>
    </w:tblStylePr>
  </w:style>
  <w:style w:type="table" w:customStyle="1" w:styleId="BDOTable3">
    <w:name w:val="BDO Table 3"/>
    <w:basedOn w:val="TableNormal"/>
    <w:uiPriority w:val="99"/>
    <w:qFormat/>
    <w:rsid w:val="00CF6ADD"/>
    <w:pPr>
      <w:spacing w:before="60" w:line="280" w:lineRule="atLeast"/>
    </w:pPr>
    <w:rPr>
      <w:color w:val="000000"/>
      <w:sz w:val="18"/>
    </w:rPr>
    <w:tblPr>
      <w:tblBorders>
        <w:top w:val="single" w:sz="4" w:space="0" w:color="786860"/>
        <w:left w:val="single" w:sz="4" w:space="0" w:color="786860"/>
        <w:bottom w:val="single" w:sz="4" w:space="0" w:color="786860"/>
        <w:right w:val="single" w:sz="4" w:space="0" w:color="786860"/>
        <w:insideH w:val="single" w:sz="4" w:space="0" w:color="786860"/>
        <w:insideV w:val="single" w:sz="4" w:space="0" w:color="786860"/>
      </w:tblBorders>
      <w:tblCellMar>
        <w:bottom w:w="85" w:type="dxa"/>
      </w:tblCellMar>
    </w:tblPr>
    <w:tcPr>
      <w:shd w:val="clear" w:color="auto" w:fill="auto"/>
      <w:tcMar>
        <w:top w:w="85" w:type="dxa"/>
        <w:bottom w:w="85" w:type="dxa"/>
      </w:tcMar>
      <w:vAlign w:val="center"/>
    </w:tcPr>
    <w:tblStylePr w:type="firstRow">
      <w:rPr>
        <w:rFonts w:ascii="Trebuchet MS" w:hAnsi="Trebuchet MS"/>
        <w:b/>
        <w:color w:val="000000"/>
        <w:sz w:val="18"/>
      </w:rPr>
    </w:tblStylePr>
    <w:tblStylePr w:type="nwCell">
      <w:rPr>
        <w:rFonts w:ascii="Trebuchet MS" w:hAnsi="Trebuchet MS"/>
        <w:color w:val="000000"/>
        <w:sz w:val="18"/>
      </w:rPr>
    </w:tblStylePr>
  </w:style>
  <w:style w:type="paragraph" w:styleId="BalloonText">
    <w:name w:val="Balloon Text"/>
    <w:basedOn w:val="Normal"/>
    <w:link w:val="BalloonTextChar"/>
    <w:semiHidden/>
    <w:rsid w:val="0038461A"/>
    <w:rPr>
      <w:rFonts w:ascii="Tahoma" w:hAnsi="Tahoma" w:cs="Tahoma"/>
      <w:sz w:val="16"/>
      <w:szCs w:val="16"/>
    </w:rPr>
  </w:style>
  <w:style w:type="character" w:customStyle="1" w:styleId="BalloonTextChar">
    <w:name w:val="Balloon Text Char"/>
    <w:basedOn w:val="DefaultParagraphFont"/>
    <w:link w:val="BalloonText"/>
    <w:semiHidden/>
    <w:rsid w:val="0038461A"/>
    <w:rPr>
      <w:rFonts w:ascii="Tahoma" w:hAnsi="Tahoma" w:cs="Tahoma"/>
      <w:sz w:val="16"/>
      <w:szCs w:val="16"/>
      <w:lang w:eastAsia="en-GB"/>
    </w:rPr>
  </w:style>
  <w:style w:type="paragraph" w:styleId="Header">
    <w:name w:val="header"/>
    <w:basedOn w:val="Normal"/>
    <w:link w:val="HeaderChar"/>
    <w:semiHidden/>
    <w:locked/>
    <w:rsid w:val="00337721"/>
    <w:pPr>
      <w:tabs>
        <w:tab w:val="center" w:pos="4513"/>
        <w:tab w:val="right" w:pos="9026"/>
      </w:tabs>
      <w:spacing w:after="0" w:line="240" w:lineRule="auto"/>
    </w:pPr>
  </w:style>
  <w:style w:type="character" w:customStyle="1" w:styleId="HeaderChar">
    <w:name w:val="Header Char"/>
    <w:basedOn w:val="DefaultParagraphFont"/>
    <w:link w:val="Header"/>
    <w:semiHidden/>
    <w:rsid w:val="00D65311"/>
    <w:rPr>
      <w:szCs w:val="24"/>
      <w:lang w:eastAsia="en-GB"/>
    </w:rPr>
  </w:style>
  <w:style w:type="paragraph" w:styleId="Footer">
    <w:name w:val="footer"/>
    <w:basedOn w:val="Normal"/>
    <w:link w:val="FooterChar"/>
    <w:uiPriority w:val="99"/>
    <w:locked/>
    <w:rsid w:val="00337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311"/>
    <w:rPr>
      <w:szCs w:val="24"/>
      <w:lang w:eastAsia="en-GB"/>
    </w:rPr>
  </w:style>
  <w:style w:type="character" w:styleId="Hyperlink">
    <w:name w:val="Hyperlink"/>
    <w:basedOn w:val="DefaultParagraphFont"/>
    <w:uiPriority w:val="99"/>
    <w:locked/>
    <w:rsid w:val="00E52CCE"/>
    <w:rPr>
      <w:color w:val="22409A" w:themeColor="hyperlink"/>
      <w:u w:val="single"/>
    </w:rPr>
  </w:style>
  <w:style w:type="character" w:styleId="PlaceholderText">
    <w:name w:val="Placeholder Text"/>
    <w:basedOn w:val="DefaultParagraphFont"/>
    <w:uiPriority w:val="99"/>
    <w:semiHidden/>
    <w:rsid w:val="007B6A14"/>
    <w:rPr>
      <w:color w:val="808080"/>
    </w:rPr>
  </w:style>
  <w:style w:type="paragraph" w:customStyle="1" w:styleId="BDOPageNumbering">
    <w:name w:val="BDO_PageNumbering"/>
    <w:uiPriority w:val="3"/>
    <w:qFormat/>
    <w:rsid w:val="00CD306E"/>
    <w:pPr>
      <w:framePr w:w="340" w:h="238" w:hRule="exact" w:hSpace="181" w:wrap="around" w:vAnchor="page" w:hAnchor="page" w:x="10593" w:y="16058"/>
      <w:spacing w:after="0" w:line="170" w:lineRule="atLeast"/>
      <w:jc w:val="right"/>
    </w:pPr>
    <w:rPr>
      <w:color w:val="786860"/>
      <w:sz w:val="16"/>
      <w:szCs w:val="24"/>
      <w:lang w:eastAsia="en-GB"/>
    </w:rPr>
  </w:style>
  <w:style w:type="paragraph" w:customStyle="1" w:styleId="BDOdocid">
    <w:name w:val="BDO_doc_id"/>
    <w:basedOn w:val="BDOFooter"/>
    <w:uiPriority w:val="3"/>
    <w:qFormat/>
    <w:rsid w:val="003027FF"/>
    <w:pPr>
      <w:framePr w:w="9242" w:h="284" w:hRule="exact" w:wrap="around" w:x="1732" w:y="15219"/>
    </w:pPr>
  </w:style>
  <w:style w:type="paragraph" w:customStyle="1" w:styleId="BDOAlphaList">
    <w:name w:val="BDO_Alpha List"/>
    <w:uiPriority w:val="2"/>
    <w:qFormat/>
    <w:rsid w:val="009021BC"/>
    <w:pPr>
      <w:numPr>
        <w:numId w:val="3"/>
      </w:numPr>
      <w:spacing w:after="40" w:line="280" w:lineRule="atLeast"/>
    </w:pPr>
    <w:rPr>
      <w:color w:val="000000"/>
      <w:szCs w:val="24"/>
      <w:lang w:eastAsia="en-GB"/>
    </w:rPr>
  </w:style>
  <w:style w:type="paragraph" w:customStyle="1" w:styleId="BDOAlphaNumericList">
    <w:name w:val="BDO_Alpha Numeric List"/>
    <w:basedOn w:val="BDOBodyText"/>
    <w:uiPriority w:val="2"/>
    <w:qFormat/>
    <w:rsid w:val="009021BC"/>
    <w:pPr>
      <w:numPr>
        <w:numId w:val="4"/>
      </w:numPr>
      <w:spacing w:after="40"/>
    </w:pPr>
    <w:rPr>
      <w:color w:val="000000"/>
    </w:rPr>
  </w:style>
  <w:style w:type="paragraph" w:customStyle="1" w:styleId="BDONumericList">
    <w:name w:val="BDO_Numeric List"/>
    <w:uiPriority w:val="1"/>
    <w:rsid w:val="009021BC"/>
    <w:pPr>
      <w:numPr>
        <w:numId w:val="5"/>
      </w:numPr>
      <w:spacing w:after="40" w:line="280" w:lineRule="atLeast"/>
    </w:pPr>
    <w:rPr>
      <w:rFonts w:cs="Arial"/>
      <w:color w:val="000000"/>
    </w:rPr>
  </w:style>
  <w:style w:type="paragraph" w:styleId="ListParagraph">
    <w:name w:val="List Paragraph"/>
    <w:basedOn w:val="Normal"/>
    <w:uiPriority w:val="34"/>
    <w:qFormat/>
    <w:locked/>
    <w:rsid w:val="000D3B13"/>
    <w:pPr>
      <w:ind w:left="720"/>
      <w:contextualSpacing/>
    </w:pPr>
  </w:style>
  <w:style w:type="table" w:customStyle="1" w:styleId="BDOTable31">
    <w:name w:val="BDO Table 31"/>
    <w:basedOn w:val="TableNormal"/>
    <w:uiPriority w:val="99"/>
    <w:qFormat/>
    <w:rsid w:val="007860B0"/>
    <w:pPr>
      <w:spacing w:before="60" w:line="280" w:lineRule="atLeast"/>
    </w:pPr>
    <w:rPr>
      <w:color w:val="000000"/>
      <w:sz w:val="18"/>
    </w:rPr>
    <w:tblPr>
      <w:tblBorders>
        <w:top w:val="single" w:sz="4" w:space="0" w:color="786860"/>
        <w:left w:val="single" w:sz="4" w:space="0" w:color="786860"/>
        <w:bottom w:val="single" w:sz="4" w:space="0" w:color="786860"/>
        <w:right w:val="single" w:sz="4" w:space="0" w:color="786860"/>
        <w:insideH w:val="single" w:sz="4" w:space="0" w:color="786860"/>
        <w:insideV w:val="single" w:sz="4" w:space="0" w:color="786860"/>
      </w:tblBorders>
      <w:tblCellMar>
        <w:bottom w:w="85" w:type="dxa"/>
      </w:tblCellMar>
    </w:tblPr>
    <w:tcPr>
      <w:shd w:val="clear" w:color="auto" w:fill="auto"/>
      <w:tcMar>
        <w:top w:w="85" w:type="dxa"/>
        <w:bottom w:w="85" w:type="dxa"/>
      </w:tcMar>
      <w:vAlign w:val="center"/>
    </w:tcPr>
    <w:tblStylePr w:type="firstRow">
      <w:rPr>
        <w:rFonts w:ascii="Trebuchet MS" w:hAnsi="Trebuchet MS"/>
        <w:b/>
        <w:color w:val="000000"/>
        <w:sz w:val="18"/>
      </w:rPr>
    </w:tblStylePr>
    <w:tblStylePr w:type="nwCell">
      <w:rPr>
        <w:rFonts w:ascii="Trebuchet MS" w:hAnsi="Trebuchet MS"/>
        <w:color w:val="000000"/>
        <w:sz w:val="18"/>
      </w:rPr>
    </w:tblStylePr>
  </w:style>
  <w:style w:type="paragraph" w:styleId="NormalWeb">
    <w:name w:val="Normal (Web)"/>
    <w:basedOn w:val="Normal"/>
    <w:uiPriority w:val="99"/>
    <w:unhideWhenUsed/>
    <w:locked/>
    <w:rsid w:val="00556C8E"/>
    <w:pPr>
      <w:spacing w:after="0" w:line="240" w:lineRule="auto"/>
    </w:pPr>
    <w:rPr>
      <w:rFonts w:ascii="Times New Roman" w:eastAsiaTheme="minorHAnsi" w:hAnsi="Times New Roman"/>
      <w:sz w:val="24"/>
      <w:lang w:eastAsia="en-AU"/>
    </w:rPr>
  </w:style>
  <w:style w:type="paragraph" w:styleId="FootnoteText">
    <w:name w:val="footnote text"/>
    <w:basedOn w:val="Normal"/>
    <w:link w:val="FootnoteTextChar"/>
    <w:semiHidden/>
    <w:unhideWhenUsed/>
    <w:locked/>
    <w:rsid w:val="0001279C"/>
    <w:pPr>
      <w:spacing w:after="0" w:line="240" w:lineRule="auto"/>
    </w:pPr>
    <w:rPr>
      <w:szCs w:val="20"/>
    </w:rPr>
  </w:style>
  <w:style w:type="character" w:customStyle="1" w:styleId="FootnoteTextChar">
    <w:name w:val="Footnote Text Char"/>
    <w:basedOn w:val="DefaultParagraphFont"/>
    <w:link w:val="FootnoteText"/>
    <w:semiHidden/>
    <w:rsid w:val="0001279C"/>
    <w:rPr>
      <w:lang w:eastAsia="en-GB"/>
    </w:rPr>
  </w:style>
  <w:style w:type="character" w:styleId="FootnoteReference">
    <w:name w:val="footnote reference"/>
    <w:basedOn w:val="DefaultParagraphFont"/>
    <w:semiHidden/>
    <w:unhideWhenUsed/>
    <w:locked/>
    <w:rsid w:val="0001279C"/>
    <w:rPr>
      <w:vertAlign w:val="superscript"/>
    </w:rPr>
  </w:style>
  <w:style w:type="character" w:styleId="CommentReference">
    <w:name w:val="annotation reference"/>
    <w:basedOn w:val="DefaultParagraphFont"/>
    <w:semiHidden/>
    <w:unhideWhenUsed/>
    <w:locked/>
    <w:rsid w:val="002F5322"/>
    <w:rPr>
      <w:sz w:val="16"/>
      <w:szCs w:val="16"/>
    </w:rPr>
  </w:style>
  <w:style w:type="paragraph" w:styleId="CommentText">
    <w:name w:val="annotation text"/>
    <w:basedOn w:val="Normal"/>
    <w:link w:val="CommentTextChar"/>
    <w:semiHidden/>
    <w:unhideWhenUsed/>
    <w:locked/>
    <w:rsid w:val="002F5322"/>
    <w:pPr>
      <w:spacing w:line="240" w:lineRule="auto"/>
    </w:pPr>
    <w:rPr>
      <w:szCs w:val="20"/>
    </w:rPr>
  </w:style>
  <w:style w:type="character" w:customStyle="1" w:styleId="CommentTextChar">
    <w:name w:val="Comment Text Char"/>
    <w:basedOn w:val="DefaultParagraphFont"/>
    <w:link w:val="CommentText"/>
    <w:semiHidden/>
    <w:rsid w:val="002F5322"/>
    <w:rPr>
      <w:lang w:eastAsia="en-GB"/>
    </w:rPr>
  </w:style>
  <w:style w:type="paragraph" w:styleId="CommentSubject">
    <w:name w:val="annotation subject"/>
    <w:basedOn w:val="CommentText"/>
    <w:next w:val="CommentText"/>
    <w:link w:val="CommentSubjectChar"/>
    <w:semiHidden/>
    <w:unhideWhenUsed/>
    <w:locked/>
    <w:rsid w:val="002F5322"/>
    <w:rPr>
      <w:b/>
      <w:bCs/>
    </w:rPr>
  </w:style>
  <w:style w:type="character" w:customStyle="1" w:styleId="CommentSubjectChar">
    <w:name w:val="Comment Subject Char"/>
    <w:basedOn w:val="CommentTextChar"/>
    <w:link w:val="CommentSubject"/>
    <w:semiHidden/>
    <w:rsid w:val="002F5322"/>
    <w:rPr>
      <w:b/>
      <w:bCs/>
      <w:lang w:eastAsia="en-GB"/>
    </w:rPr>
  </w:style>
  <w:style w:type="character" w:styleId="FollowedHyperlink">
    <w:name w:val="FollowedHyperlink"/>
    <w:basedOn w:val="DefaultParagraphFont"/>
    <w:semiHidden/>
    <w:unhideWhenUsed/>
    <w:locked/>
    <w:rsid w:val="005A05BD"/>
    <w:rPr>
      <w:color w:val="98002E" w:themeColor="followedHyperlink"/>
      <w:u w:val="single"/>
    </w:rPr>
  </w:style>
  <w:style w:type="paragraph" w:customStyle="1" w:styleId="BDOBodytext0">
    <w:name w:val="BDO_Body text"/>
    <w:qFormat/>
    <w:rsid w:val="001306A8"/>
    <w:pPr>
      <w:spacing w:line="280" w:lineRule="atLeas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9934">
      <w:bodyDiv w:val="1"/>
      <w:marLeft w:val="0"/>
      <w:marRight w:val="0"/>
      <w:marTop w:val="0"/>
      <w:marBottom w:val="0"/>
      <w:divBdr>
        <w:top w:val="none" w:sz="0" w:space="0" w:color="auto"/>
        <w:left w:val="none" w:sz="0" w:space="0" w:color="auto"/>
        <w:bottom w:val="none" w:sz="0" w:space="0" w:color="auto"/>
        <w:right w:val="none" w:sz="0" w:space="0" w:color="auto"/>
      </w:divBdr>
    </w:div>
    <w:div w:id="453520468">
      <w:bodyDiv w:val="1"/>
      <w:marLeft w:val="0"/>
      <w:marRight w:val="0"/>
      <w:marTop w:val="0"/>
      <w:marBottom w:val="0"/>
      <w:divBdr>
        <w:top w:val="none" w:sz="0" w:space="0" w:color="auto"/>
        <w:left w:val="none" w:sz="0" w:space="0" w:color="auto"/>
        <w:bottom w:val="none" w:sz="0" w:space="0" w:color="auto"/>
        <w:right w:val="none" w:sz="0" w:space="0" w:color="auto"/>
      </w:divBdr>
      <w:divsChild>
        <w:div w:id="529219115">
          <w:marLeft w:val="0"/>
          <w:marRight w:val="0"/>
          <w:marTop w:val="0"/>
          <w:marBottom w:val="0"/>
          <w:divBdr>
            <w:top w:val="none" w:sz="0" w:space="0" w:color="auto"/>
            <w:left w:val="none" w:sz="0" w:space="0" w:color="auto"/>
            <w:bottom w:val="none" w:sz="0" w:space="0" w:color="auto"/>
            <w:right w:val="none" w:sz="0" w:space="0" w:color="auto"/>
          </w:divBdr>
          <w:divsChild>
            <w:div w:id="33695114">
              <w:marLeft w:val="0"/>
              <w:marRight w:val="0"/>
              <w:marTop w:val="0"/>
              <w:marBottom w:val="0"/>
              <w:divBdr>
                <w:top w:val="none" w:sz="0" w:space="0" w:color="auto"/>
                <w:left w:val="none" w:sz="0" w:space="0" w:color="auto"/>
                <w:bottom w:val="none" w:sz="0" w:space="0" w:color="auto"/>
                <w:right w:val="none" w:sz="0" w:space="0" w:color="auto"/>
              </w:divBdr>
              <w:divsChild>
                <w:div w:id="1542934520">
                  <w:marLeft w:val="0"/>
                  <w:marRight w:val="0"/>
                  <w:marTop w:val="225"/>
                  <w:marBottom w:val="0"/>
                  <w:divBdr>
                    <w:top w:val="none" w:sz="0" w:space="0" w:color="auto"/>
                    <w:left w:val="none" w:sz="0" w:space="0" w:color="auto"/>
                    <w:bottom w:val="none" w:sz="0" w:space="0" w:color="auto"/>
                    <w:right w:val="none" w:sz="0" w:space="0" w:color="auto"/>
                  </w:divBdr>
                  <w:divsChild>
                    <w:div w:id="465896174">
                      <w:marLeft w:val="0"/>
                      <w:marRight w:val="0"/>
                      <w:marTop w:val="0"/>
                      <w:marBottom w:val="0"/>
                      <w:divBdr>
                        <w:top w:val="none" w:sz="0" w:space="0" w:color="auto"/>
                        <w:left w:val="none" w:sz="0" w:space="0" w:color="auto"/>
                        <w:bottom w:val="none" w:sz="0" w:space="0" w:color="auto"/>
                        <w:right w:val="none" w:sz="0" w:space="0" w:color="auto"/>
                      </w:divBdr>
                      <w:divsChild>
                        <w:div w:id="419764873">
                          <w:marLeft w:val="225"/>
                          <w:marRight w:val="300"/>
                          <w:marTop w:val="0"/>
                          <w:marBottom w:val="0"/>
                          <w:divBdr>
                            <w:top w:val="none" w:sz="0" w:space="0" w:color="auto"/>
                            <w:left w:val="none" w:sz="0" w:space="0" w:color="auto"/>
                            <w:bottom w:val="none" w:sz="0" w:space="0" w:color="auto"/>
                            <w:right w:val="none" w:sz="0" w:space="0" w:color="auto"/>
                          </w:divBdr>
                          <w:divsChild>
                            <w:div w:id="12148523">
                              <w:marLeft w:val="150"/>
                              <w:marRight w:val="150"/>
                              <w:marTop w:val="0"/>
                              <w:marBottom w:val="150"/>
                              <w:divBdr>
                                <w:top w:val="none" w:sz="0" w:space="0" w:color="auto"/>
                                <w:left w:val="none" w:sz="0" w:space="0" w:color="auto"/>
                                <w:bottom w:val="none" w:sz="0" w:space="0" w:color="auto"/>
                                <w:right w:val="none" w:sz="0" w:space="0" w:color="auto"/>
                              </w:divBdr>
                              <w:divsChild>
                                <w:div w:id="776606905">
                                  <w:marLeft w:val="0"/>
                                  <w:marRight w:val="0"/>
                                  <w:marTop w:val="0"/>
                                  <w:marBottom w:val="0"/>
                                  <w:divBdr>
                                    <w:top w:val="none" w:sz="0" w:space="0" w:color="auto"/>
                                    <w:left w:val="none" w:sz="0" w:space="0" w:color="auto"/>
                                    <w:bottom w:val="none" w:sz="0" w:space="0" w:color="auto"/>
                                    <w:right w:val="none" w:sz="0" w:space="0" w:color="auto"/>
                                  </w:divBdr>
                                  <w:divsChild>
                                    <w:div w:id="278803457">
                                      <w:marLeft w:val="0"/>
                                      <w:marRight w:val="0"/>
                                      <w:marTop w:val="0"/>
                                      <w:marBottom w:val="0"/>
                                      <w:divBdr>
                                        <w:top w:val="none" w:sz="0" w:space="0" w:color="auto"/>
                                        <w:left w:val="none" w:sz="0" w:space="0" w:color="auto"/>
                                        <w:bottom w:val="none" w:sz="0" w:space="0" w:color="auto"/>
                                        <w:right w:val="none" w:sz="0" w:space="0" w:color="auto"/>
                                      </w:divBdr>
                                      <w:divsChild>
                                        <w:div w:id="18261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13113">
      <w:bodyDiv w:val="1"/>
      <w:marLeft w:val="0"/>
      <w:marRight w:val="0"/>
      <w:marTop w:val="0"/>
      <w:marBottom w:val="0"/>
      <w:divBdr>
        <w:top w:val="none" w:sz="0" w:space="0" w:color="auto"/>
        <w:left w:val="none" w:sz="0" w:space="0" w:color="auto"/>
        <w:bottom w:val="none" w:sz="0" w:space="0" w:color="auto"/>
        <w:right w:val="none" w:sz="0" w:space="0" w:color="auto"/>
      </w:divBdr>
    </w:div>
    <w:div w:id="1379206307">
      <w:bodyDiv w:val="1"/>
      <w:marLeft w:val="0"/>
      <w:marRight w:val="0"/>
      <w:marTop w:val="0"/>
      <w:marBottom w:val="0"/>
      <w:divBdr>
        <w:top w:val="none" w:sz="0" w:space="0" w:color="auto"/>
        <w:left w:val="none" w:sz="0" w:space="0" w:color="auto"/>
        <w:bottom w:val="none" w:sz="0" w:space="0" w:color="auto"/>
        <w:right w:val="none" w:sz="0" w:space="0" w:color="auto"/>
      </w:divBdr>
    </w:div>
    <w:div w:id="1589532995">
      <w:bodyDiv w:val="1"/>
      <w:marLeft w:val="0"/>
      <w:marRight w:val="0"/>
      <w:marTop w:val="0"/>
      <w:marBottom w:val="0"/>
      <w:divBdr>
        <w:top w:val="none" w:sz="0" w:space="0" w:color="auto"/>
        <w:left w:val="none" w:sz="0" w:space="0" w:color="auto"/>
        <w:bottom w:val="none" w:sz="0" w:space="0" w:color="auto"/>
        <w:right w:val="none" w:sz="0" w:space="0" w:color="auto"/>
      </w:divBdr>
    </w:div>
    <w:div w:id="17125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gov.au/inquiries/current/remote-tax/draf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illai\AppData\Roaming\Microsoft\Templates\BDO_letterhead_A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0281C8E918493289FBFFC7A690A867"/>
        <w:category>
          <w:name w:val="General"/>
          <w:gallery w:val="placeholder"/>
        </w:category>
        <w:types>
          <w:type w:val="bbPlcHdr"/>
        </w:types>
        <w:behaviors>
          <w:behavior w:val="content"/>
        </w:behaviors>
        <w:guid w:val="{98507E7D-CDD9-4E3A-AC96-C23DC95881BD}"/>
      </w:docPartPr>
      <w:docPartBody>
        <w:p w:rsidR="00832742" w:rsidRDefault="00832742" w:rsidP="00860C0B">
          <w:pPr>
            <w:tabs>
              <w:tab w:val="left" w:pos="567"/>
            </w:tabs>
            <w:spacing w:after="0" w:line="280" w:lineRule="exact"/>
            <w:ind w:left="567" w:hanging="567"/>
          </w:pPr>
          <w:r>
            <w:t>Sdfsafd</w:t>
          </w:r>
        </w:p>
        <w:p w:rsidR="00860C0B" w:rsidRDefault="00832742" w:rsidP="00832742">
          <w:pPr>
            <w:pStyle w:val="DA0281C8E918493289FBFFC7A690A867"/>
          </w:pPr>
          <w:r>
            <w:t>dfasdf</w:t>
          </w:r>
          <w:r w:rsidRPr="0093297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832742"/>
    <w:rsid w:val="00060286"/>
    <w:rsid w:val="000B770E"/>
    <w:rsid w:val="000F28B4"/>
    <w:rsid w:val="000F2E8A"/>
    <w:rsid w:val="00245C94"/>
    <w:rsid w:val="002C519D"/>
    <w:rsid w:val="00304C01"/>
    <w:rsid w:val="0038481B"/>
    <w:rsid w:val="003E46F8"/>
    <w:rsid w:val="003F4C64"/>
    <w:rsid w:val="00450DC9"/>
    <w:rsid w:val="004541A8"/>
    <w:rsid w:val="004E27E1"/>
    <w:rsid w:val="00522D1C"/>
    <w:rsid w:val="00532A6B"/>
    <w:rsid w:val="005C6284"/>
    <w:rsid w:val="006401B3"/>
    <w:rsid w:val="00685D9E"/>
    <w:rsid w:val="006E287B"/>
    <w:rsid w:val="006F196F"/>
    <w:rsid w:val="006F5BF2"/>
    <w:rsid w:val="007149D0"/>
    <w:rsid w:val="00791E35"/>
    <w:rsid w:val="007B72A3"/>
    <w:rsid w:val="00832742"/>
    <w:rsid w:val="00860C0B"/>
    <w:rsid w:val="008E460D"/>
    <w:rsid w:val="009044BB"/>
    <w:rsid w:val="009224B0"/>
    <w:rsid w:val="00946FE7"/>
    <w:rsid w:val="009851DC"/>
    <w:rsid w:val="00A05922"/>
    <w:rsid w:val="00A65B2C"/>
    <w:rsid w:val="00A908EA"/>
    <w:rsid w:val="00B20294"/>
    <w:rsid w:val="00B64CB7"/>
    <w:rsid w:val="00B960C7"/>
    <w:rsid w:val="00BB08E2"/>
    <w:rsid w:val="00BC48B7"/>
    <w:rsid w:val="00C127C5"/>
    <w:rsid w:val="00C144D0"/>
    <w:rsid w:val="00CE6825"/>
    <w:rsid w:val="00D12DF1"/>
    <w:rsid w:val="00D22B71"/>
    <w:rsid w:val="00EE1A24"/>
    <w:rsid w:val="00F11012"/>
    <w:rsid w:val="00F8021E"/>
    <w:rsid w:val="00FA7DEA"/>
    <w:rsid w:val="00FB745C"/>
    <w:rsid w:val="00FB7D80"/>
    <w:rsid w:val="00FE0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15926C0C794A2A9C91B47924E78105">
    <w:name w:val="DB15926C0C794A2A9C91B47924E78105"/>
    <w:rsid w:val="009044BB"/>
  </w:style>
  <w:style w:type="paragraph" w:customStyle="1" w:styleId="6EF118B2122949D092DFDE938E09369B">
    <w:name w:val="6EF118B2122949D092DFDE938E09369B"/>
    <w:rsid w:val="009044BB"/>
  </w:style>
  <w:style w:type="paragraph" w:customStyle="1" w:styleId="DA0281C8E918493289FBFFC7A690A867">
    <w:name w:val="DA0281C8E918493289FBFFC7A690A867"/>
    <w:rsid w:val="00832742"/>
  </w:style>
  <w:style w:type="character" w:styleId="PlaceholderText">
    <w:name w:val="Placeholder Text"/>
    <w:basedOn w:val="DefaultParagraphFont"/>
    <w:uiPriority w:val="99"/>
    <w:semiHidden/>
    <w:rsid w:val="008327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BDO">
  <a:themeElements>
    <a:clrScheme name="BDO">
      <a:dk1>
        <a:srgbClr val="22409A"/>
      </a:dk1>
      <a:lt1>
        <a:srgbClr val="FFFFFF"/>
      </a:lt1>
      <a:dk2>
        <a:srgbClr val="786860"/>
      </a:dk2>
      <a:lt2>
        <a:srgbClr val="000000"/>
      </a:lt2>
      <a:accent1>
        <a:srgbClr val="ED1A3B"/>
      </a:accent1>
      <a:accent2>
        <a:srgbClr val="2EB0A4"/>
      </a:accent2>
      <a:accent3>
        <a:srgbClr val="62CAE3"/>
      </a:accent3>
      <a:accent4>
        <a:srgbClr val="FFE39C"/>
      </a:accent4>
      <a:accent5>
        <a:srgbClr val="F6A1A8"/>
      </a:accent5>
      <a:accent6>
        <a:srgbClr val="98002E"/>
      </a:accent6>
      <a:hlink>
        <a:srgbClr val="22409A"/>
      </a:hlink>
      <a:folHlink>
        <a:srgbClr val="98002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FB25B-E700-4F5A-AA2C-EC065D8E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BDO_letterhead_A4.dotm</Template>
  <TotalTime>24</TotalTime>
  <Pages>5</Pages>
  <Words>2232</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Submission DR141 - BDO - Remote Area Tax Concessions and Payments - Commissioned study</vt:lpstr>
    </vt:vector>
  </TitlesOfParts>
  <Company>BDO</Company>
  <LinksUpToDate>false</LinksUpToDate>
  <CharactersWithSpaces>14737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DR141 - BDO - Remote Area Tax Concessions and Payments - Commissioned study</dc:title>
  <dc:creator>BDO</dc:creator>
  <cp:lastModifiedBy>Productivity Commission</cp:lastModifiedBy>
  <cp:revision>11</cp:revision>
  <cp:lastPrinted>2019-10-10T04:05:00Z</cp:lastPrinted>
  <dcterms:created xsi:type="dcterms:W3CDTF">2019-10-11T06:26:00Z</dcterms:created>
  <dcterms:modified xsi:type="dcterms:W3CDTF">2019-10-14T03:29:00Z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Ver">
    <vt:lpwstr>1.0.1</vt:lpwstr>
  </property>
  <property fmtid="{D5CDD505-2E9C-101B-9397-08002B2CF9AE}" pid="3" name="xOffice">
    <vt:lpwstr>Australia Ltd, Level 18, 300 Queen St  Brisbane QLD 4000</vt:lpwstr>
  </property>
  <property fmtid="{D5CDD505-2E9C-101B-9397-08002B2CF9AE}" pid="4" name="xRecipient">
    <vt:lpwstr>The General Manager</vt:lpwstr>
  </property>
  <property fmtid="{D5CDD505-2E9C-101B-9397-08002B2CF9AE}" pid="5" name="xAddress">
    <vt:lpwstr>c/ The Treasury_x000d_
Langton Cresent_x000d_
PARKES ACT 2600</vt:lpwstr>
  </property>
  <property fmtid="{D5CDD505-2E9C-101B-9397-08002B2CF9AE}" pid="6" name="xSubject">
    <vt:lpwstr>_x000d_
_x000d_
POST IMPLEMENTATION REVIEW OF CERTAIN ASPECTS OF THE CONSOLIDATION TAX COST SETTING PROCESS</vt:lpwstr>
  </property>
  <property fmtid="{D5CDD505-2E9C-101B-9397-08002B2CF9AE}" pid="7" name="xSigningName">
    <vt:lpwstr>Lance Cunningham</vt:lpwstr>
  </property>
  <property fmtid="{D5CDD505-2E9C-101B-9397-08002B2CF9AE}" pid="8" name="xSigningTitle">
    <vt:lpwstr>BDO National Tax Director</vt:lpwstr>
  </property>
  <property fmtid="{D5CDD505-2E9C-101B-9397-08002B2CF9AE}" pid="9" name="xGreeting">
    <vt:lpwstr>Dear Sir/Madam</vt:lpwstr>
  </property>
  <property fmtid="{D5CDD505-2E9C-101B-9397-08002B2CF9AE}" pid="10" name="xClosing">
    <vt:lpwstr/>
  </property>
  <property fmtid="{D5CDD505-2E9C-101B-9397-08002B2CF9AE}" pid="11" name="xDate">
    <vt:lpwstr>12 October 2012</vt:lpwstr>
  </property>
  <property fmtid="{D5CDD505-2E9C-101B-9397-08002B2CF9AE}" pid="12" name="xRef">
    <vt:lpwstr/>
  </property>
  <property fmtid="{D5CDD505-2E9C-101B-9397-08002B2CF9AE}" pid="13" name="xEntity">
    <vt:lpwstr>Australia Ltd</vt:lpwstr>
  </property>
  <property fmtid="{D5CDD505-2E9C-101B-9397-08002B2CF9AE}" pid="14" name="xPostalAddress">
    <vt:lpwstr>GPO Box 457 Brisbane QLD 4001</vt:lpwstr>
  </property>
  <property fmtid="{D5CDD505-2E9C-101B-9397-08002B2CF9AE}" pid="15" name="xEmail">
    <vt:lpwstr>info.brisbane@bdo.com.au</vt:lpwstr>
  </property>
  <property fmtid="{D5CDD505-2E9C-101B-9397-08002B2CF9AE}" pid="16" name="xABN">
    <vt:lpwstr>ABN 77 050 110 275</vt:lpwstr>
  </property>
  <property fmtid="{D5CDD505-2E9C-101B-9397-08002B2CF9AE}" pid="17" name="xLicence">
    <vt:lpwstr>x</vt:lpwstr>
  </property>
  <property fmtid="{D5CDD505-2E9C-101B-9397-08002B2CF9AE}" pid="18" name="xStreetAddress">
    <vt:lpwstr>Level 18, 300 Queen St _x000d_
Brisbane QLD 4000</vt:lpwstr>
  </property>
  <property fmtid="{D5CDD505-2E9C-101B-9397-08002B2CF9AE}" pid="19" name="xPhone">
    <vt:lpwstr>Tel: +61 7 3237 5999</vt:lpwstr>
  </property>
  <property fmtid="{D5CDD505-2E9C-101B-9397-08002B2CF9AE}" pid="20" name="xFax">
    <vt:lpwstr>Fax: +61 7 3221 9227</vt:lpwstr>
  </property>
  <property fmtid="{D5CDD505-2E9C-101B-9397-08002B2CF9AE}" pid="21" name="xLegalText">
    <vt:lpwstr>BDO (AUSTRALIA) Ltd ABN 77 050 110 275 _x000d_
BDO is the brand name for the BDO International network and for each of the BDO Member Firms. BDO in Australia is a national association of _x000d_
separate entities. Liability of each entity is limited by a scheme appro</vt:lpwstr>
  </property>
  <property fmtid="{D5CDD505-2E9C-101B-9397-08002B2CF9AE}" pid="22" name="xPrivate">
    <vt:lpwstr/>
  </property>
  <property fmtid="{D5CDD505-2E9C-101B-9397-08002B2CF9AE}" pid="23" name="xCommercial">
    <vt:lpwstr/>
  </property>
  <property fmtid="{D5CDD505-2E9C-101B-9397-08002B2CF9AE}" pid="24" name="xDelivery">
    <vt:lpwstr>Via email:  </vt:lpwstr>
  </property>
  <property fmtid="{D5CDD505-2E9C-101B-9397-08002B2CF9AE}" pid="25" name="xDelivery2">
    <vt:lpwstr>taxboard@treasury.gov.au</vt:lpwstr>
  </property>
  <property fmtid="{D5CDD505-2E9C-101B-9397-08002B2CF9AE}" pid="26" name="xRow">
    <vt:lpwstr>2</vt:lpwstr>
  </property>
  <property fmtid="{D5CDD505-2E9C-101B-9397-08002B2CF9AE}" pid="27" name="xCol">
    <vt:lpwstr>1</vt:lpwstr>
  </property>
  <property fmtid="{D5CDD505-2E9C-101B-9397-08002B2CF9AE}" pid="28" name="xCompany">
    <vt:lpwstr/>
  </property>
  <property fmtid="{D5CDD505-2E9C-101B-9397-08002B2CF9AE}" pid="29" name="xDefaultOffice">
    <vt:lpwstr>(Australia) Ltd, Level 18, 300 Queen St  Brisbane QLD 4000</vt:lpwstr>
  </property>
  <property fmtid="{D5CDD505-2E9C-101B-9397-08002B2CF9AE}" pid="30" name="xDefaultSigningName">
    <vt:lpwstr>Signing Name</vt:lpwstr>
  </property>
  <property fmtid="{D5CDD505-2E9C-101B-9397-08002B2CF9AE}" pid="31" name="xDefaultSigningTitle">
    <vt:lpwstr>Signing Title</vt:lpwstr>
  </property>
  <property fmtid="{D5CDD505-2E9C-101B-9397-08002B2CF9AE}" pid="32" name="xDocId">
    <vt:lpwstr/>
  </property>
  <property fmtid="{D5CDD505-2E9C-101B-9397-08002B2CF9AE}" pid="33" name="Microsoft Theme">
    <vt:lpwstr>BDO 011</vt:lpwstr>
  </property>
  <property fmtid="{D5CDD505-2E9C-101B-9397-08002B2CF9AE}" pid="34" name="xOfficeDefault">
    <vt:lpwstr>Australia Ltd, Level 18, 300 Queen St  Brisbane QLD 4000</vt:lpwstr>
  </property>
  <property fmtid="{D5CDD505-2E9C-101B-9397-08002B2CF9AE}" pid="35" name="xEntity2">
    <vt:lpwstr/>
  </property>
  <property fmtid="{D5CDD505-2E9C-101B-9397-08002B2CF9AE}" pid="36" name="xLegalText2">
    <vt:lpwstr>ved under the Professional Standards Legislation other than for acts or omissions _x000d_
of financial services licensees.</vt:lpwstr>
  </property>
  <property fmtid="{D5CDD505-2E9C-101B-9397-08002B2CF9AE}" pid="37" name="xTel">
    <vt:lpwstr>Tel: +61 7 3237 5999_x000d_
Fax: +61 7 3221 9227</vt:lpwstr>
  </property>
  <property fmtid="{D5CDD505-2E9C-101B-9397-08002B2CF9AE}" pid="38" name="xAddress2">
    <vt:lpwstr>Level 18, 300 Queen St _x000d_
Brisbane QLD 4000_x000d_
GPO Box 457 Brisbane QLD 4001_x000d_
Australia</vt:lpwstr>
  </property>
  <property fmtid="{D5CDD505-2E9C-101B-9397-08002B2CF9AE}" pid="39" name="xOfficeIndex">
    <vt:lpwstr>1</vt:lpwstr>
  </property>
  <property fmtid="{D5CDD505-2E9C-101B-9397-08002B2CF9AE}" pid="40" name="xCC">
    <vt:lpwstr>_x000d_
CC:	 </vt:lpwstr>
  </property>
</Properties>
</file>