
<file path=[Content_Types].xml><?xml version="1.0" encoding="utf-8"?>
<Types xmlns="http://schemas.openxmlformats.org/package/2006/content-types">
  <Default Extension="json" ContentType="application/vnd.baytech.electronic-signing-metadata+json"/>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baytech.com.au/ooxml/rels/electronic-signing-metadata" Target="baytech/electronic-signing-metadata.json"/><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CEF31" w14:textId="77777777" w:rsidR="000B32EB" w:rsidRDefault="000B32EB" w:rsidP="000B32EB">
      <w:pPr>
        <w:pStyle w:val="Documenttitle"/>
        <w:ind w:left="0"/>
        <w:jc w:val="center"/>
      </w:pPr>
      <w:bookmarkStart w:id="0" w:name="_GoBack"/>
      <w:bookmarkEnd w:id="0"/>
    </w:p>
    <w:p w14:paraId="03B11368" w14:textId="77777777" w:rsidR="000B32EB" w:rsidRDefault="000B32EB" w:rsidP="000B32EB">
      <w:pPr>
        <w:pStyle w:val="Documenttitle"/>
        <w:ind w:left="0"/>
        <w:jc w:val="center"/>
      </w:pPr>
    </w:p>
    <w:p w14:paraId="3B421FC6" w14:textId="77777777" w:rsidR="000B32EB" w:rsidRDefault="000B32EB" w:rsidP="000B32EB">
      <w:pPr>
        <w:pStyle w:val="Documenttitle"/>
        <w:ind w:left="0"/>
        <w:jc w:val="center"/>
      </w:pPr>
    </w:p>
    <w:p w14:paraId="72C9C219" w14:textId="77777777" w:rsidR="000B32EB" w:rsidRDefault="000B32EB" w:rsidP="000B32EB">
      <w:pPr>
        <w:pStyle w:val="Documenttitle"/>
        <w:ind w:left="0"/>
        <w:jc w:val="center"/>
      </w:pPr>
    </w:p>
    <w:p w14:paraId="41282AC0" w14:textId="77777777" w:rsidR="000B32EB" w:rsidRDefault="000B32EB" w:rsidP="000B32EB">
      <w:pPr>
        <w:pStyle w:val="Documenttitle"/>
        <w:ind w:left="0"/>
        <w:jc w:val="center"/>
      </w:pPr>
    </w:p>
    <w:p w14:paraId="3CFCD05B" w14:textId="77777777" w:rsidR="00365994" w:rsidRDefault="001562AE" w:rsidP="000B32EB">
      <w:pPr>
        <w:pStyle w:val="Documenttitle"/>
        <w:ind w:left="0"/>
        <w:jc w:val="center"/>
      </w:pPr>
      <w:r>
        <w:t>Queensland Government Submission</w:t>
      </w:r>
    </w:p>
    <w:p w14:paraId="49D20D46" w14:textId="77777777" w:rsidR="000B32EB" w:rsidRDefault="000B32EB" w:rsidP="00FE1442">
      <w:pPr>
        <w:jc w:val="both"/>
      </w:pPr>
    </w:p>
    <w:p w14:paraId="1A540495" w14:textId="77777777" w:rsidR="000B32EB" w:rsidRDefault="001562AE" w:rsidP="000B32EB">
      <w:pPr>
        <w:pStyle w:val="Documenttitlesubheading"/>
        <w:ind w:left="0"/>
        <w:jc w:val="center"/>
      </w:pPr>
      <w:r w:rsidRPr="001B3652">
        <w:t>Productivity Commission Draft Report – Remote Area Tax Concess</w:t>
      </w:r>
      <w:r w:rsidR="00DD7EE5">
        <w:t>ions and Payments</w:t>
      </w:r>
    </w:p>
    <w:p w14:paraId="24408CEA" w14:textId="77777777" w:rsidR="000B32EB" w:rsidRDefault="001562AE" w:rsidP="00FE1442">
      <w:pPr>
        <w:spacing w:before="60" w:after="60"/>
        <w:jc w:val="both"/>
      </w:pPr>
      <w:r>
        <w:br w:type="page"/>
      </w:r>
    </w:p>
    <w:p w14:paraId="5B6ABD1B" w14:textId="77777777" w:rsidR="000B32EB" w:rsidRDefault="000B32EB" w:rsidP="00FE1442">
      <w:pPr>
        <w:spacing w:after="0"/>
        <w:jc w:val="both"/>
        <w:rPr>
          <w:rFonts w:cs="Arial"/>
          <w:sz w:val="16"/>
          <w:szCs w:val="16"/>
        </w:rPr>
      </w:pPr>
    </w:p>
    <w:p w14:paraId="28E59551" w14:textId="77777777" w:rsidR="000B32EB" w:rsidRDefault="000B32EB" w:rsidP="00FE1442">
      <w:pPr>
        <w:spacing w:after="0"/>
        <w:jc w:val="both"/>
        <w:rPr>
          <w:rFonts w:cs="Arial"/>
          <w:sz w:val="16"/>
          <w:szCs w:val="16"/>
        </w:rPr>
      </w:pPr>
    </w:p>
    <w:p w14:paraId="0A9E1C78" w14:textId="77777777" w:rsidR="000B32EB" w:rsidRDefault="000B32EB" w:rsidP="00FE1442">
      <w:pPr>
        <w:spacing w:after="0"/>
        <w:jc w:val="both"/>
        <w:rPr>
          <w:rFonts w:cs="Arial"/>
          <w:sz w:val="16"/>
          <w:szCs w:val="16"/>
        </w:rPr>
      </w:pPr>
    </w:p>
    <w:p w14:paraId="6EB6EB7A" w14:textId="77777777" w:rsidR="000B32EB" w:rsidRDefault="000B32EB" w:rsidP="00FE1442">
      <w:pPr>
        <w:spacing w:after="0"/>
        <w:jc w:val="both"/>
        <w:rPr>
          <w:rFonts w:cs="Arial"/>
          <w:sz w:val="16"/>
          <w:szCs w:val="16"/>
        </w:rPr>
      </w:pPr>
    </w:p>
    <w:p w14:paraId="7A7496E3" w14:textId="77777777" w:rsidR="000B32EB" w:rsidRDefault="000B32EB" w:rsidP="00FE1442">
      <w:pPr>
        <w:spacing w:after="0"/>
        <w:jc w:val="both"/>
        <w:rPr>
          <w:rFonts w:cs="Arial"/>
          <w:sz w:val="16"/>
          <w:szCs w:val="16"/>
        </w:rPr>
      </w:pPr>
    </w:p>
    <w:p w14:paraId="65CD6E23" w14:textId="77777777" w:rsidR="000B32EB" w:rsidRDefault="000B32EB" w:rsidP="00FE1442">
      <w:pPr>
        <w:spacing w:after="0"/>
        <w:jc w:val="both"/>
        <w:rPr>
          <w:rFonts w:cs="Arial"/>
          <w:sz w:val="16"/>
          <w:szCs w:val="16"/>
        </w:rPr>
      </w:pPr>
    </w:p>
    <w:p w14:paraId="15070F4E" w14:textId="77777777" w:rsidR="000B32EB" w:rsidRDefault="000B32EB" w:rsidP="00FE1442">
      <w:pPr>
        <w:spacing w:after="0"/>
        <w:jc w:val="both"/>
        <w:rPr>
          <w:rFonts w:cs="Arial"/>
          <w:sz w:val="16"/>
          <w:szCs w:val="16"/>
        </w:rPr>
      </w:pPr>
    </w:p>
    <w:p w14:paraId="4AE2EDF7" w14:textId="77777777" w:rsidR="000B32EB" w:rsidRDefault="000B32EB" w:rsidP="00FE1442">
      <w:pPr>
        <w:spacing w:after="0"/>
        <w:jc w:val="both"/>
        <w:rPr>
          <w:rFonts w:cs="Arial"/>
          <w:sz w:val="16"/>
          <w:szCs w:val="16"/>
        </w:rPr>
      </w:pPr>
    </w:p>
    <w:p w14:paraId="7ECFF345" w14:textId="77777777" w:rsidR="000B32EB" w:rsidRDefault="000B32EB" w:rsidP="00FE1442">
      <w:pPr>
        <w:spacing w:after="0"/>
        <w:jc w:val="both"/>
        <w:rPr>
          <w:rFonts w:cs="Arial"/>
          <w:sz w:val="16"/>
          <w:szCs w:val="16"/>
        </w:rPr>
      </w:pPr>
    </w:p>
    <w:p w14:paraId="0AB49668" w14:textId="77777777" w:rsidR="000B32EB" w:rsidRDefault="000B32EB" w:rsidP="00FE1442">
      <w:pPr>
        <w:spacing w:after="0"/>
        <w:jc w:val="both"/>
        <w:rPr>
          <w:rFonts w:cs="Arial"/>
          <w:sz w:val="16"/>
          <w:szCs w:val="16"/>
        </w:rPr>
      </w:pPr>
    </w:p>
    <w:p w14:paraId="4CFABC78" w14:textId="77777777" w:rsidR="000B32EB" w:rsidRDefault="000B32EB" w:rsidP="00FE1442">
      <w:pPr>
        <w:spacing w:after="0"/>
        <w:jc w:val="both"/>
        <w:rPr>
          <w:rFonts w:cs="Arial"/>
          <w:sz w:val="16"/>
          <w:szCs w:val="16"/>
        </w:rPr>
      </w:pPr>
    </w:p>
    <w:p w14:paraId="4A1D1345" w14:textId="77777777" w:rsidR="000B32EB" w:rsidRDefault="000B32EB" w:rsidP="00FE1442">
      <w:pPr>
        <w:spacing w:after="0"/>
        <w:jc w:val="both"/>
        <w:rPr>
          <w:rFonts w:cs="Arial"/>
          <w:sz w:val="16"/>
          <w:szCs w:val="16"/>
        </w:rPr>
      </w:pPr>
    </w:p>
    <w:p w14:paraId="58792970" w14:textId="77777777" w:rsidR="000B32EB" w:rsidRDefault="000B32EB" w:rsidP="00FE1442">
      <w:pPr>
        <w:spacing w:after="0"/>
        <w:jc w:val="both"/>
        <w:rPr>
          <w:rFonts w:cs="Arial"/>
          <w:sz w:val="16"/>
          <w:szCs w:val="16"/>
        </w:rPr>
      </w:pPr>
    </w:p>
    <w:p w14:paraId="3B3792B1" w14:textId="77777777" w:rsidR="000B32EB" w:rsidRDefault="000B32EB" w:rsidP="00FE1442">
      <w:pPr>
        <w:spacing w:after="0"/>
        <w:jc w:val="both"/>
        <w:rPr>
          <w:rFonts w:cs="Arial"/>
          <w:sz w:val="16"/>
          <w:szCs w:val="16"/>
        </w:rPr>
      </w:pPr>
    </w:p>
    <w:p w14:paraId="5E036472" w14:textId="77777777" w:rsidR="000B32EB" w:rsidRDefault="000B32EB" w:rsidP="00FE1442">
      <w:pPr>
        <w:spacing w:after="0"/>
        <w:jc w:val="both"/>
        <w:rPr>
          <w:rFonts w:cs="Arial"/>
          <w:sz w:val="16"/>
          <w:szCs w:val="16"/>
        </w:rPr>
      </w:pPr>
    </w:p>
    <w:p w14:paraId="43314294" w14:textId="77777777" w:rsidR="000B32EB" w:rsidRDefault="000B32EB" w:rsidP="00FE1442">
      <w:pPr>
        <w:spacing w:after="0"/>
        <w:jc w:val="both"/>
        <w:rPr>
          <w:rFonts w:cs="Arial"/>
          <w:sz w:val="16"/>
          <w:szCs w:val="16"/>
        </w:rPr>
      </w:pPr>
    </w:p>
    <w:p w14:paraId="53D40773" w14:textId="77777777" w:rsidR="000B32EB" w:rsidRDefault="000B32EB" w:rsidP="00FE1442">
      <w:pPr>
        <w:spacing w:after="0"/>
        <w:jc w:val="both"/>
        <w:rPr>
          <w:rFonts w:cs="Arial"/>
          <w:sz w:val="16"/>
          <w:szCs w:val="16"/>
        </w:rPr>
      </w:pPr>
    </w:p>
    <w:p w14:paraId="082E9EE6" w14:textId="77777777" w:rsidR="000B32EB" w:rsidRDefault="000B32EB" w:rsidP="00FE1442">
      <w:pPr>
        <w:spacing w:after="0"/>
        <w:jc w:val="both"/>
        <w:rPr>
          <w:rFonts w:cs="Arial"/>
          <w:sz w:val="16"/>
          <w:szCs w:val="16"/>
        </w:rPr>
      </w:pPr>
    </w:p>
    <w:p w14:paraId="7F92820B" w14:textId="77777777" w:rsidR="000B32EB" w:rsidRDefault="000B32EB" w:rsidP="00FE1442">
      <w:pPr>
        <w:spacing w:after="0"/>
        <w:jc w:val="both"/>
        <w:rPr>
          <w:rFonts w:cs="Arial"/>
          <w:sz w:val="16"/>
          <w:szCs w:val="16"/>
        </w:rPr>
      </w:pPr>
    </w:p>
    <w:p w14:paraId="3293CB72" w14:textId="77777777" w:rsidR="000B32EB" w:rsidRDefault="000B32EB" w:rsidP="00FE1442">
      <w:pPr>
        <w:spacing w:after="0"/>
        <w:jc w:val="both"/>
        <w:rPr>
          <w:rFonts w:cs="Arial"/>
          <w:sz w:val="16"/>
          <w:szCs w:val="16"/>
        </w:rPr>
      </w:pPr>
    </w:p>
    <w:p w14:paraId="6AF09A2C" w14:textId="77777777" w:rsidR="000B32EB" w:rsidRDefault="000B32EB" w:rsidP="00FE1442">
      <w:pPr>
        <w:spacing w:after="0"/>
        <w:jc w:val="both"/>
        <w:rPr>
          <w:rFonts w:cs="Arial"/>
          <w:sz w:val="16"/>
          <w:szCs w:val="16"/>
        </w:rPr>
      </w:pPr>
    </w:p>
    <w:p w14:paraId="2B5767F2" w14:textId="77777777" w:rsidR="000B32EB" w:rsidRDefault="000B32EB" w:rsidP="00FE1442">
      <w:pPr>
        <w:spacing w:after="0"/>
        <w:jc w:val="both"/>
        <w:rPr>
          <w:rFonts w:cs="Arial"/>
          <w:sz w:val="16"/>
          <w:szCs w:val="16"/>
        </w:rPr>
      </w:pPr>
    </w:p>
    <w:p w14:paraId="533B805C" w14:textId="77777777" w:rsidR="000B32EB" w:rsidRDefault="000B32EB" w:rsidP="00FE1442">
      <w:pPr>
        <w:spacing w:after="0"/>
        <w:jc w:val="both"/>
        <w:rPr>
          <w:rFonts w:cs="Arial"/>
          <w:sz w:val="16"/>
          <w:szCs w:val="16"/>
        </w:rPr>
      </w:pPr>
    </w:p>
    <w:p w14:paraId="2CB83445" w14:textId="77777777" w:rsidR="000B32EB" w:rsidRDefault="000B32EB" w:rsidP="00FE1442">
      <w:pPr>
        <w:spacing w:after="0"/>
        <w:jc w:val="both"/>
        <w:rPr>
          <w:rFonts w:cs="Arial"/>
          <w:sz w:val="16"/>
          <w:szCs w:val="16"/>
        </w:rPr>
      </w:pPr>
    </w:p>
    <w:p w14:paraId="31BA15A8" w14:textId="77777777" w:rsidR="000B32EB" w:rsidRDefault="000B32EB" w:rsidP="00FE1442">
      <w:pPr>
        <w:spacing w:after="0"/>
        <w:jc w:val="both"/>
        <w:rPr>
          <w:rFonts w:cs="Arial"/>
          <w:sz w:val="16"/>
          <w:szCs w:val="16"/>
        </w:rPr>
      </w:pPr>
    </w:p>
    <w:p w14:paraId="4ADD98A9" w14:textId="77777777" w:rsidR="000B32EB" w:rsidRDefault="000B32EB" w:rsidP="00FE1442">
      <w:pPr>
        <w:spacing w:after="0"/>
        <w:jc w:val="both"/>
        <w:rPr>
          <w:rFonts w:cs="Arial"/>
          <w:sz w:val="16"/>
          <w:szCs w:val="16"/>
        </w:rPr>
      </w:pPr>
    </w:p>
    <w:p w14:paraId="323661F0" w14:textId="77777777" w:rsidR="000B32EB" w:rsidRDefault="000B32EB" w:rsidP="00FE1442">
      <w:pPr>
        <w:spacing w:after="0"/>
        <w:jc w:val="both"/>
        <w:rPr>
          <w:rFonts w:cs="Arial"/>
          <w:sz w:val="16"/>
          <w:szCs w:val="16"/>
        </w:rPr>
      </w:pPr>
    </w:p>
    <w:p w14:paraId="6B580628" w14:textId="77777777" w:rsidR="000B32EB" w:rsidRDefault="000B32EB" w:rsidP="00FE1442">
      <w:pPr>
        <w:spacing w:after="0"/>
        <w:jc w:val="both"/>
        <w:rPr>
          <w:rFonts w:cs="Arial"/>
          <w:sz w:val="16"/>
          <w:szCs w:val="16"/>
        </w:rPr>
      </w:pPr>
    </w:p>
    <w:p w14:paraId="2AF121CC" w14:textId="77777777" w:rsidR="000B32EB" w:rsidRDefault="000B32EB" w:rsidP="00FE1442">
      <w:pPr>
        <w:spacing w:after="0"/>
        <w:jc w:val="both"/>
        <w:rPr>
          <w:rFonts w:cs="Arial"/>
          <w:sz w:val="16"/>
          <w:szCs w:val="16"/>
        </w:rPr>
      </w:pPr>
    </w:p>
    <w:p w14:paraId="7FAA4CEC" w14:textId="77777777" w:rsidR="000B32EB" w:rsidRDefault="000B32EB" w:rsidP="00FE1442">
      <w:pPr>
        <w:spacing w:after="0"/>
        <w:jc w:val="both"/>
        <w:rPr>
          <w:rFonts w:cs="Arial"/>
          <w:sz w:val="16"/>
          <w:szCs w:val="16"/>
        </w:rPr>
      </w:pPr>
    </w:p>
    <w:p w14:paraId="4355F451" w14:textId="77777777" w:rsidR="000B32EB" w:rsidRDefault="000B32EB" w:rsidP="00FE1442">
      <w:pPr>
        <w:spacing w:after="0"/>
        <w:jc w:val="both"/>
        <w:rPr>
          <w:rFonts w:cs="Arial"/>
          <w:sz w:val="16"/>
          <w:szCs w:val="16"/>
        </w:rPr>
      </w:pPr>
    </w:p>
    <w:p w14:paraId="538AA78F" w14:textId="77777777" w:rsidR="000B32EB" w:rsidRDefault="000B32EB" w:rsidP="00FE1442">
      <w:pPr>
        <w:spacing w:after="0"/>
        <w:jc w:val="both"/>
        <w:rPr>
          <w:rFonts w:cs="Arial"/>
          <w:sz w:val="16"/>
          <w:szCs w:val="16"/>
        </w:rPr>
      </w:pPr>
    </w:p>
    <w:p w14:paraId="094AF484" w14:textId="77777777" w:rsidR="000B32EB" w:rsidRPr="007B7E33" w:rsidRDefault="001562AE" w:rsidP="00FE1442">
      <w:pPr>
        <w:spacing w:after="0"/>
        <w:jc w:val="both"/>
        <w:rPr>
          <w:rFonts w:cs="Arial"/>
          <w:sz w:val="16"/>
          <w:szCs w:val="16"/>
        </w:rPr>
      </w:pPr>
      <w:r>
        <w:rPr>
          <w:rFonts w:cs="Arial"/>
          <w:sz w:val="16"/>
          <w:szCs w:val="16"/>
        </w:rPr>
        <w:t xml:space="preserve">© State of Queensland, </w:t>
      </w:r>
      <w:r w:rsidR="00351581">
        <w:rPr>
          <w:rFonts w:cs="Arial"/>
          <w:sz w:val="16"/>
          <w:szCs w:val="16"/>
        </w:rPr>
        <w:t>2019</w:t>
      </w:r>
    </w:p>
    <w:p w14:paraId="1B931E15" w14:textId="77777777" w:rsidR="000B32EB" w:rsidRPr="007B7E33" w:rsidRDefault="000B32EB" w:rsidP="00FE1442">
      <w:pPr>
        <w:spacing w:after="0"/>
        <w:jc w:val="both"/>
        <w:rPr>
          <w:rFonts w:cs="Arial"/>
          <w:sz w:val="16"/>
          <w:szCs w:val="16"/>
        </w:rPr>
      </w:pPr>
    </w:p>
    <w:p w14:paraId="75F5D2F5" w14:textId="77777777" w:rsidR="000B32EB" w:rsidRPr="007B7E33" w:rsidRDefault="001562AE" w:rsidP="00FE1442">
      <w:pPr>
        <w:spacing w:after="0"/>
        <w:jc w:val="both"/>
        <w:rPr>
          <w:rFonts w:cs="Arial"/>
          <w:sz w:val="16"/>
          <w:szCs w:val="16"/>
        </w:rPr>
      </w:pPr>
      <w:r w:rsidRPr="007B7E33">
        <w:rPr>
          <w:rFonts w:cs="Arial"/>
          <w:sz w:val="16"/>
          <w:szCs w:val="16"/>
        </w:rPr>
        <w:t>The Queensland Government supports and encourages the dissemination and exchange of its information. The copyright in this publication is licensed under a Creative Commons Attribution 3.0 Australia (CC BY) licence.</w:t>
      </w:r>
    </w:p>
    <w:p w14:paraId="72AAFE35" w14:textId="77777777" w:rsidR="000B32EB" w:rsidRPr="007B7E33" w:rsidRDefault="000B32EB" w:rsidP="00FE1442">
      <w:pPr>
        <w:spacing w:after="0"/>
        <w:jc w:val="both"/>
        <w:rPr>
          <w:rFonts w:cs="Arial"/>
          <w:sz w:val="16"/>
          <w:szCs w:val="16"/>
        </w:rPr>
      </w:pPr>
    </w:p>
    <w:p w14:paraId="24E7252D" w14:textId="77777777" w:rsidR="000B32EB" w:rsidRPr="007B7E33" w:rsidRDefault="001562AE" w:rsidP="00FE1442">
      <w:pPr>
        <w:spacing w:after="0"/>
        <w:jc w:val="both"/>
        <w:rPr>
          <w:rFonts w:cs="Arial"/>
          <w:sz w:val="16"/>
          <w:szCs w:val="16"/>
        </w:rPr>
      </w:pPr>
      <w:r w:rsidRPr="007B7E33">
        <w:rPr>
          <w:rFonts w:cs="Arial"/>
          <w:sz w:val="16"/>
          <w:szCs w:val="16"/>
        </w:rPr>
        <w:t>Under this licence you are free, without having to seek our permission, to use this publication in accordance with the licence terms.</w:t>
      </w:r>
    </w:p>
    <w:p w14:paraId="5289F4CE" w14:textId="77777777" w:rsidR="000B32EB" w:rsidRPr="00AB78B4" w:rsidRDefault="001562AE" w:rsidP="00FE1442">
      <w:pPr>
        <w:spacing w:before="100" w:after="100" w:line="300" w:lineRule="atLeast"/>
        <w:jc w:val="both"/>
        <w:rPr>
          <w:rFonts w:cs="Arial"/>
        </w:rPr>
      </w:pPr>
      <w:r w:rsidRPr="00AB78B4">
        <w:rPr>
          <w:rFonts w:cs="Arial"/>
        </w:rPr>
        <w:t xml:space="preserve"> </w:t>
      </w:r>
      <w:r w:rsidRPr="00343609">
        <w:rPr>
          <w:noProof/>
          <w:lang w:eastAsia="en-AU"/>
        </w:rPr>
        <w:drawing>
          <wp:inline distT="0" distB="0" distL="0" distR="0" wp14:anchorId="3B57F343" wp14:editId="381C2F4D">
            <wp:extent cx="1080770" cy="378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11269" name="Picture 2" descr="creative commons by"/>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080770" cy="378460"/>
                    </a:xfrm>
                    <a:prstGeom prst="rect">
                      <a:avLst/>
                    </a:prstGeom>
                    <a:noFill/>
                    <a:ln>
                      <a:noFill/>
                    </a:ln>
                  </pic:spPr>
                </pic:pic>
              </a:graphicData>
            </a:graphic>
          </wp:inline>
        </w:drawing>
      </w:r>
    </w:p>
    <w:p w14:paraId="11816B4A" w14:textId="77777777" w:rsidR="000B32EB" w:rsidRPr="007B7E33" w:rsidRDefault="001562AE" w:rsidP="00FE1442">
      <w:pPr>
        <w:spacing w:after="0"/>
        <w:jc w:val="both"/>
        <w:rPr>
          <w:rFonts w:cs="Arial"/>
          <w:sz w:val="16"/>
          <w:szCs w:val="16"/>
        </w:rPr>
      </w:pPr>
      <w:r w:rsidRPr="007B7E33">
        <w:rPr>
          <w:rFonts w:cs="Arial"/>
          <w:sz w:val="16"/>
          <w:szCs w:val="16"/>
        </w:rPr>
        <w:t>You must keep intact the copyright notice and attribute the State of Queensland as the source of the publication.</w:t>
      </w:r>
    </w:p>
    <w:p w14:paraId="2CFDB14D" w14:textId="77777777" w:rsidR="000B32EB" w:rsidRPr="007B7E33" w:rsidRDefault="000B32EB" w:rsidP="00FE1442">
      <w:pPr>
        <w:spacing w:after="0"/>
        <w:jc w:val="both"/>
        <w:rPr>
          <w:rFonts w:cs="Arial"/>
          <w:sz w:val="16"/>
          <w:szCs w:val="16"/>
        </w:rPr>
      </w:pPr>
    </w:p>
    <w:p w14:paraId="1B87B263" w14:textId="77777777" w:rsidR="000B32EB" w:rsidRPr="007B7E33" w:rsidRDefault="001562AE" w:rsidP="00FE1442">
      <w:pPr>
        <w:spacing w:after="0"/>
        <w:jc w:val="both"/>
        <w:rPr>
          <w:rFonts w:cs="Arial"/>
          <w:sz w:val="16"/>
          <w:szCs w:val="16"/>
        </w:rPr>
      </w:pPr>
      <w:r w:rsidRPr="007B7E33">
        <w:rPr>
          <w:rFonts w:cs="Arial"/>
          <w:sz w:val="16"/>
          <w:szCs w:val="16"/>
        </w:rPr>
        <w:t xml:space="preserve">Note: Some content in this publication may have different licence terms as indicated. </w:t>
      </w:r>
    </w:p>
    <w:p w14:paraId="3FD34A85" w14:textId="77777777" w:rsidR="000B32EB" w:rsidRPr="007B7E33" w:rsidRDefault="000B32EB" w:rsidP="00FE1442">
      <w:pPr>
        <w:spacing w:after="0"/>
        <w:jc w:val="both"/>
        <w:rPr>
          <w:rFonts w:cs="Arial"/>
          <w:sz w:val="16"/>
          <w:szCs w:val="16"/>
        </w:rPr>
      </w:pPr>
    </w:p>
    <w:p w14:paraId="27DE9FE4" w14:textId="77777777" w:rsidR="000B32EB" w:rsidRPr="007B7E33" w:rsidRDefault="001562AE" w:rsidP="00FE1442">
      <w:pPr>
        <w:spacing w:after="0"/>
        <w:jc w:val="both"/>
        <w:rPr>
          <w:rFonts w:cs="Arial"/>
          <w:sz w:val="16"/>
          <w:szCs w:val="16"/>
        </w:rPr>
      </w:pPr>
      <w:r w:rsidRPr="007B7E33">
        <w:rPr>
          <w:rFonts w:cs="Arial"/>
          <w:sz w:val="16"/>
          <w:szCs w:val="16"/>
        </w:rPr>
        <w:t>For more information on this licence, visit http://creativecommons.org/licenses/by/3.0/au/deed.en</w:t>
      </w:r>
    </w:p>
    <w:p w14:paraId="22A8C3EC" w14:textId="77777777" w:rsidR="000B32EB" w:rsidRPr="007B7E33" w:rsidRDefault="000B32EB" w:rsidP="00FE1442">
      <w:pPr>
        <w:spacing w:after="0"/>
        <w:jc w:val="both"/>
        <w:rPr>
          <w:rFonts w:cs="Arial"/>
          <w:sz w:val="16"/>
          <w:szCs w:val="16"/>
        </w:rPr>
      </w:pPr>
    </w:p>
    <w:p w14:paraId="3F710342" w14:textId="77777777" w:rsidR="000B32EB" w:rsidRDefault="001562AE" w:rsidP="00FE1442">
      <w:pPr>
        <w:jc w:val="both"/>
        <w:rPr>
          <w:rFonts w:cs="Arial"/>
          <w:sz w:val="16"/>
          <w:szCs w:val="16"/>
        </w:rPr>
      </w:pPr>
      <w:r w:rsidRPr="007B7E33">
        <w:rPr>
          <w:rFonts w:cs="Arial"/>
          <w:sz w:val="16"/>
          <w:szCs w:val="16"/>
        </w:rPr>
        <w:t>The information contained herein is subject to change without notice. The Queensland Government shall not be liable for technical or other errors or omissions contained herein. The reader/user accepts all risks and responsibility for losses, damages, costs and other consequences resulting directly or indirectly from using this information.</w:t>
      </w:r>
    </w:p>
    <w:p w14:paraId="6D96E29A" w14:textId="77777777" w:rsidR="000B32EB" w:rsidRDefault="000B32EB" w:rsidP="00FE1442">
      <w:pPr>
        <w:jc w:val="both"/>
        <w:sectPr w:rsidR="000B32EB" w:rsidSect="000B32EB">
          <w:headerReference w:type="default" r:id="rId13"/>
          <w:footerReference w:type="default" r:id="rId14"/>
          <w:pgSz w:w="11906" w:h="16838" w:code="9"/>
          <w:pgMar w:top="851" w:right="851" w:bottom="851" w:left="851" w:header="567" w:footer="284" w:gutter="0"/>
          <w:pgNumType w:fmt="lowerRoman"/>
          <w:cols w:space="567"/>
          <w:docGrid w:linePitch="360"/>
        </w:sectPr>
      </w:pPr>
    </w:p>
    <w:p w14:paraId="50800FCD" w14:textId="77777777" w:rsidR="000B32EB" w:rsidRPr="0050716B" w:rsidRDefault="001562AE" w:rsidP="000B32EB">
      <w:pPr>
        <w:pStyle w:val="TOCHeading"/>
        <w:rPr>
          <w:sz w:val="52"/>
        </w:rPr>
      </w:pPr>
      <w:bookmarkStart w:id="1" w:name="_Toc487553398"/>
      <w:bookmarkStart w:id="2" w:name="_Toc488143009"/>
      <w:r w:rsidRPr="0050716B">
        <w:rPr>
          <w:sz w:val="52"/>
        </w:rPr>
        <w:lastRenderedPageBreak/>
        <w:t>Key points</w:t>
      </w:r>
      <w:bookmarkEnd w:id="1"/>
      <w:bookmarkEnd w:id="2"/>
    </w:p>
    <w:tbl>
      <w:tblPr>
        <w:tblStyle w:val="TableGrid"/>
        <w:tblW w:w="0" w:type="auto"/>
        <w:jc w:val="center"/>
        <w:shd w:val="clear" w:color="auto" w:fill="EFC4D9" w:themeFill="accent2" w:themeFillTint="33"/>
        <w:tblLook w:val="04A0" w:firstRow="1" w:lastRow="0" w:firstColumn="1" w:lastColumn="0" w:noHBand="0" w:noVBand="1"/>
      </w:tblPr>
      <w:tblGrid>
        <w:gridCol w:w="10130"/>
      </w:tblGrid>
      <w:tr w:rsidR="00350B88" w14:paraId="5D9BE242" w14:textId="77777777" w:rsidTr="00C92D3F">
        <w:trPr>
          <w:trHeight w:val="1184"/>
          <w:jc w:val="center"/>
        </w:trPr>
        <w:tc>
          <w:tcPr>
            <w:tcW w:w="10130" w:type="dxa"/>
            <w:shd w:val="clear" w:color="auto" w:fill="EFC4D9" w:themeFill="accent2" w:themeFillTint="33"/>
          </w:tcPr>
          <w:p w14:paraId="5BEB0E01" w14:textId="77777777" w:rsidR="000B32EB" w:rsidRDefault="001562AE" w:rsidP="00AA738D">
            <w:pPr>
              <w:pStyle w:val="TableListBullet"/>
              <w:ind w:left="357" w:hanging="357"/>
            </w:pPr>
            <w:r>
              <w:t xml:space="preserve">The Queensland Government welcomes the opportunity </w:t>
            </w:r>
            <w:r w:rsidR="006500FA">
              <w:t>to make a submission to the Productivity Commission’s Inquiry to help ensure remote area tax concessions and payments are fit-for-purpose in a 21</w:t>
            </w:r>
            <w:r w:rsidR="006500FA" w:rsidRPr="00C30AF4">
              <w:t>st</w:t>
            </w:r>
            <w:r w:rsidR="006500FA">
              <w:t xml:space="preserve"> century Australia, and are working for the benefit of all Australians and regions.</w:t>
            </w:r>
          </w:p>
          <w:p w14:paraId="638510BB" w14:textId="77777777" w:rsidR="006500FA" w:rsidRDefault="001562AE" w:rsidP="00AA738D">
            <w:pPr>
              <w:pStyle w:val="TableListBullet"/>
              <w:ind w:left="357" w:hanging="357"/>
            </w:pPr>
            <w:r>
              <w:t>Queensland’s regional and remote areas are critical contributors to both the State and National economies. Continuing rapid change</w:t>
            </w:r>
            <w:r w:rsidR="0050716B">
              <w:t>s</w:t>
            </w:r>
            <w:r>
              <w:t xml:space="preserve"> domestic</w:t>
            </w:r>
            <w:r w:rsidR="0050716B">
              <w:t>ally</w:t>
            </w:r>
            <w:r>
              <w:t xml:space="preserve"> and global</w:t>
            </w:r>
            <w:r w:rsidR="0050716B">
              <w:t xml:space="preserve">ly </w:t>
            </w:r>
            <w:r>
              <w:t>are presenting a range of challenges and opportunities</w:t>
            </w:r>
            <w:r w:rsidR="003B05B2">
              <w:t xml:space="preserve">. </w:t>
            </w:r>
          </w:p>
          <w:p w14:paraId="02DFC402" w14:textId="77777777" w:rsidR="006056AF" w:rsidRDefault="001562AE" w:rsidP="00AA738D">
            <w:pPr>
              <w:pStyle w:val="TableListBullet"/>
              <w:ind w:left="357" w:hanging="357"/>
            </w:pPr>
            <w:r>
              <w:t xml:space="preserve">Further, Queensland’s regional and remote areas have a range of specific characteristics that should be considered in any discussion of </w:t>
            </w:r>
            <w:r w:rsidR="00E627B1">
              <w:t xml:space="preserve">potential </w:t>
            </w:r>
            <w:r>
              <w:t xml:space="preserve">changes </w:t>
            </w:r>
            <w:r w:rsidR="00E627B1">
              <w:t>to</w:t>
            </w:r>
            <w:r>
              <w:t xml:space="preserve"> remote area tax concessions and payments, including in terms of population size, proximity to markets, connectivity and socio-economic status</w:t>
            </w:r>
            <w:r w:rsidR="005D67F6">
              <w:t xml:space="preserve">. </w:t>
            </w:r>
          </w:p>
          <w:p w14:paraId="5D6F2DAF" w14:textId="77777777" w:rsidR="00BD4578" w:rsidRDefault="001562AE" w:rsidP="00AA738D">
            <w:pPr>
              <w:pStyle w:val="TableListBullet"/>
              <w:ind w:left="357" w:hanging="357"/>
            </w:pPr>
            <w:r>
              <w:t xml:space="preserve">In addition, </w:t>
            </w:r>
            <w:r w:rsidR="001C4BEA">
              <w:t xml:space="preserve">regional Queensland economies have </w:t>
            </w:r>
            <w:r w:rsidR="0072579A">
              <w:t xml:space="preserve">a </w:t>
            </w:r>
            <w:r>
              <w:t>relatively high</w:t>
            </w:r>
            <w:r w:rsidR="0072579A">
              <w:t>er proportion of</w:t>
            </w:r>
            <w:r>
              <w:t xml:space="preserve"> employment in industries such as mining, agriculture</w:t>
            </w:r>
            <w:r w:rsidR="001C4BEA">
              <w:t>, manufacturing</w:t>
            </w:r>
            <w:r>
              <w:t xml:space="preserve"> and tourism</w:t>
            </w:r>
            <w:r w:rsidR="001C4BEA">
              <w:t xml:space="preserve">. Businesses associated with these industries and </w:t>
            </w:r>
            <w:r w:rsidR="0072579A">
              <w:t xml:space="preserve">the </w:t>
            </w:r>
            <w:r w:rsidR="001C4BEA">
              <w:t xml:space="preserve">related supply chain tend to have a greater </w:t>
            </w:r>
            <w:r>
              <w:t xml:space="preserve">reliance on </w:t>
            </w:r>
            <w:r w:rsidR="001C4BEA">
              <w:t xml:space="preserve">incentives such as the </w:t>
            </w:r>
            <w:r>
              <w:t>remote area tax concession and payments</w:t>
            </w:r>
            <w:r w:rsidR="001C4BEA">
              <w:t xml:space="preserve"> to attract and retain staff. </w:t>
            </w:r>
            <w:r>
              <w:t xml:space="preserve"> </w:t>
            </w:r>
          </w:p>
          <w:p w14:paraId="0D386BD2" w14:textId="77777777" w:rsidR="006056AF" w:rsidRDefault="001562AE" w:rsidP="00AA738D">
            <w:pPr>
              <w:pStyle w:val="TableListBullet"/>
              <w:ind w:left="357" w:hanging="357"/>
            </w:pPr>
            <w:r>
              <w:t xml:space="preserve">Given these considerations, it is vital that governments at all levels do what they can to support regions to prosper into the future and drive more inclusive growth and development. For its part, the Queensland Government has and continues to take substantial action to </w:t>
            </w:r>
            <w:r w:rsidRPr="00471256">
              <w:t>build stronger regional economies and create secure, well-paid jobs for our communities</w:t>
            </w:r>
            <w:r>
              <w:t>.</w:t>
            </w:r>
          </w:p>
          <w:p w14:paraId="488D0838" w14:textId="77777777" w:rsidR="00AA738D" w:rsidRDefault="001562AE" w:rsidP="00AA738D">
            <w:pPr>
              <w:pStyle w:val="TableListBullet"/>
              <w:ind w:left="357" w:hanging="357"/>
            </w:pPr>
            <w:r>
              <w:t xml:space="preserve">While the Draft Report asserts that subnational governments should have primary responsibility for regional development, the </w:t>
            </w:r>
            <w:r w:rsidR="009F5B20">
              <w:t xml:space="preserve">2017 </w:t>
            </w:r>
            <w:r>
              <w:t>Transitioning Regional Economies Inquiry</w:t>
            </w:r>
            <w:r w:rsidR="009A4373">
              <w:t>:</w:t>
            </w:r>
            <w:r>
              <w:t xml:space="preserve"> highlighted </w:t>
            </w:r>
            <w:r w:rsidR="009A4373">
              <w:t>that</w:t>
            </w:r>
            <w:r w:rsidR="009F5B20">
              <w:t xml:space="preserve"> the Australian Government </w:t>
            </w:r>
            <w:r w:rsidR="009A4373">
              <w:t>has</w:t>
            </w:r>
            <w:r w:rsidR="009F5B20">
              <w:t xml:space="preserve"> a role to play in policy settings that have broad application across regions; </w:t>
            </w:r>
            <w:r w:rsidR="009A4373">
              <w:t xml:space="preserve">recommended that </w:t>
            </w:r>
            <w:r w:rsidR="009F5B20">
              <w:t>responsibility for successful Australian Government programs should be transferred to states (including funding); and that the Australian Government should work in collaboration with all tiers of government.</w:t>
            </w:r>
          </w:p>
          <w:p w14:paraId="65811745" w14:textId="77777777" w:rsidR="003B05B2" w:rsidRDefault="001562AE" w:rsidP="00AA738D">
            <w:pPr>
              <w:pStyle w:val="TableListBullet"/>
              <w:ind w:left="357" w:hanging="357"/>
            </w:pPr>
            <w:r>
              <w:t xml:space="preserve">The Draft Report includes a number of recommendations that, if implemented, will have direct and material impacts on many residents of regional and remote Queensland. Furthermore, </w:t>
            </w:r>
            <w:r w:rsidR="00AA738D">
              <w:t xml:space="preserve">state agencies </w:t>
            </w:r>
            <w:r w:rsidR="00E627B1">
              <w:t>that</w:t>
            </w:r>
            <w:r w:rsidR="00AA738D">
              <w:t xml:space="preserve"> rely directly or indirectly on remote area concessions and payments would have a reduced capacity</w:t>
            </w:r>
            <w:r>
              <w:t xml:space="preserve"> </w:t>
            </w:r>
            <w:r w:rsidR="00AA738D">
              <w:t>to attract and retain sufficient staff to deliver service</w:t>
            </w:r>
            <w:r w:rsidR="00E627B1">
              <w:t>s</w:t>
            </w:r>
            <w:r w:rsidR="00AA738D">
              <w:t xml:space="preserve"> </w:t>
            </w:r>
            <w:r w:rsidR="00E627B1">
              <w:t>to the</w:t>
            </w:r>
            <w:r w:rsidR="00AA738D">
              <w:t xml:space="preserve"> standard expected and deserved by </w:t>
            </w:r>
            <w:r w:rsidR="00AB7A0A">
              <w:t xml:space="preserve">regional </w:t>
            </w:r>
            <w:r w:rsidR="00AA738D">
              <w:t>Queenslanders. Specifically:</w:t>
            </w:r>
          </w:p>
          <w:p w14:paraId="2466A47C" w14:textId="77777777" w:rsidR="006500FA" w:rsidRPr="00AA738D" w:rsidRDefault="001562AE" w:rsidP="00AA738D">
            <w:pPr>
              <w:pStyle w:val="TableListBullet"/>
              <w:numPr>
                <w:ilvl w:val="0"/>
                <w:numId w:val="0"/>
              </w:numPr>
              <w:ind w:left="357"/>
              <w:rPr>
                <w:i/>
              </w:rPr>
            </w:pPr>
            <w:r>
              <w:rPr>
                <w:i/>
              </w:rPr>
              <w:t>Zone Tax Offset (ZTO)</w:t>
            </w:r>
          </w:p>
          <w:p w14:paraId="10C0EA8A" w14:textId="77777777" w:rsidR="001A7FD8" w:rsidRPr="009A4373" w:rsidRDefault="001562AE" w:rsidP="009A4373">
            <w:pPr>
              <w:pStyle w:val="TableListBullet"/>
              <w:numPr>
                <w:ilvl w:val="0"/>
                <w:numId w:val="17"/>
              </w:numPr>
              <w:ind w:left="884"/>
            </w:pPr>
            <w:r w:rsidRPr="009A4373">
              <w:t>It is important that the ZTO be viewed in the context of the overall tax burden on regional taxpayers, many of whom do not have access to the same level of amenity as those in metropolitan areas.</w:t>
            </w:r>
          </w:p>
          <w:p w14:paraId="53F25A2B" w14:textId="77777777" w:rsidR="00AA738D" w:rsidRDefault="001562AE" w:rsidP="002D3E6C">
            <w:pPr>
              <w:pStyle w:val="TableListBullet"/>
              <w:numPr>
                <w:ilvl w:val="0"/>
                <w:numId w:val="17"/>
              </w:numPr>
              <w:ind w:left="884"/>
            </w:pPr>
            <w:r>
              <w:t xml:space="preserve">The ZTO can make a material difference in the lives of </w:t>
            </w:r>
            <w:r w:rsidR="007A3381">
              <w:t xml:space="preserve">Queenslanders and their families, particularly those who are </w:t>
            </w:r>
            <w:r w:rsidR="00AB7A0A">
              <w:t>experiencing</w:t>
            </w:r>
            <w:r w:rsidR="007A3381">
              <w:t xml:space="preserve"> disadvantage</w:t>
            </w:r>
            <w:r w:rsidR="00A924F6">
              <w:t>, including in regional centres such as Cairns, Townsville and Mackay</w:t>
            </w:r>
            <w:r w:rsidR="007A3381">
              <w:t xml:space="preserve">. There would be strong merit in further exploring the </w:t>
            </w:r>
            <w:r w:rsidR="007A3381" w:rsidRPr="00C30AF4">
              <w:t>potential to modernise ZTO boundaries</w:t>
            </w:r>
            <w:r w:rsidR="007A3381">
              <w:t>, as opposed to abolishing it. Options could also be explored to enhance the targeting of the ZTO</w:t>
            </w:r>
            <w:r w:rsidR="00C8538C">
              <w:t xml:space="preserve"> and minimise adverse financial impacts on regional Queensland taxpayers</w:t>
            </w:r>
            <w:r w:rsidR="007A3381">
              <w:t xml:space="preserve">. </w:t>
            </w:r>
          </w:p>
          <w:p w14:paraId="1379F9A4" w14:textId="77777777" w:rsidR="005D67F6" w:rsidRDefault="001562AE" w:rsidP="005D67F6">
            <w:pPr>
              <w:pStyle w:val="TableListBullet"/>
              <w:numPr>
                <w:ilvl w:val="0"/>
                <w:numId w:val="17"/>
              </w:numPr>
              <w:ind w:left="884"/>
            </w:pPr>
            <w:r>
              <w:t xml:space="preserve">The abolishment of the ZTO would reduce the incomes of the 288,000 Queensland taxpayers by about $55 million per annum. Of these claimants, 163,000 reside in Cairns, Townsville and Mackay amounting to $20 million per annum for these regional households.  </w:t>
            </w:r>
          </w:p>
          <w:p w14:paraId="496AD022" w14:textId="77777777" w:rsidR="00AA738D" w:rsidRPr="00AA738D" w:rsidRDefault="001562AE" w:rsidP="00AA738D">
            <w:pPr>
              <w:pStyle w:val="TableListBullet"/>
              <w:numPr>
                <w:ilvl w:val="0"/>
                <w:numId w:val="0"/>
              </w:numPr>
              <w:ind w:left="357"/>
              <w:rPr>
                <w:i/>
              </w:rPr>
            </w:pPr>
            <w:r>
              <w:rPr>
                <w:i/>
              </w:rPr>
              <w:t xml:space="preserve">Remote </w:t>
            </w:r>
            <w:r w:rsidR="00FA2CFB">
              <w:rPr>
                <w:i/>
              </w:rPr>
              <w:t>Area Allowance (</w:t>
            </w:r>
            <w:r w:rsidRPr="00AA738D">
              <w:rPr>
                <w:i/>
              </w:rPr>
              <w:t>RAA</w:t>
            </w:r>
            <w:r w:rsidR="00FA2CFB">
              <w:rPr>
                <w:i/>
              </w:rPr>
              <w:t>)</w:t>
            </w:r>
          </w:p>
          <w:p w14:paraId="21BF941A" w14:textId="77777777" w:rsidR="00AA738D" w:rsidRDefault="001562AE" w:rsidP="007A3381">
            <w:pPr>
              <w:pStyle w:val="TableListBullet"/>
              <w:numPr>
                <w:ilvl w:val="0"/>
                <w:numId w:val="17"/>
              </w:numPr>
              <w:ind w:left="884"/>
            </w:pPr>
            <w:r>
              <w:t>Alignment of RAA zone</w:t>
            </w:r>
            <w:r w:rsidR="0067635D">
              <w:t>s</w:t>
            </w:r>
            <w:r>
              <w:t xml:space="preserve"> with remoteness areas appears to have strong merit, and would have a real impact on the quality of life of residents </w:t>
            </w:r>
            <w:r w:rsidR="0067635D">
              <w:t xml:space="preserve">in </w:t>
            </w:r>
            <w:r>
              <w:t>remote areas</w:t>
            </w:r>
            <w:r w:rsidR="004E38CE">
              <w:t>, including many indigenous residents,</w:t>
            </w:r>
            <w:r>
              <w:t xml:space="preserve"> who currently receive no RAA support </w:t>
            </w:r>
            <w:r w:rsidR="00B40AD3">
              <w:t xml:space="preserve">to </w:t>
            </w:r>
            <w:r w:rsidR="004E38CE">
              <w:t xml:space="preserve">cope with the higher costs of living in remote areas. However, it is important to understand the impacts on any regions </w:t>
            </w:r>
            <w:r w:rsidR="00AB7A0A">
              <w:t xml:space="preserve">who would lose </w:t>
            </w:r>
            <w:r w:rsidR="004E38CE">
              <w:t xml:space="preserve">eligibility </w:t>
            </w:r>
            <w:r w:rsidR="00AB7A0A">
              <w:t xml:space="preserve">for the </w:t>
            </w:r>
            <w:r w:rsidR="004E38CE">
              <w:t>RAA</w:t>
            </w:r>
            <w:r w:rsidR="00E13955">
              <w:t xml:space="preserve">, and consider options to minimise adverse </w:t>
            </w:r>
            <w:r w:rsidR="00687A88">
              <w:t xml:space="preserve">financial </w:t>
            </w:r>
            <w:r w:rsidR="00E13955">
              <w:t>impacts</w:t>
            </w:r>
            <w:r w:rsidR="004E38CE">
              <w:t xml:space="preserve"> </w:t>
            </w:r>
            <w:r w:rsidR="00687A88">
              <w:t xml:space="preserve">on individuals </w:t>
            </w:r>
            <w:r w:rsidR="004E38CE">
              <w:t>before any change</w:t>
            </w:r>
            <w:r w:rsidR="00AB7A0A">
              <w:t>s</w:t>
            </w:r>
            <w:r w:rsidR="004E38CE">
              <w:t xml:space="preserve"> </w:t>
            </w:r>
            <w:r w:rsidR="00AB7A0A">
              <w:t>are</w:t>
            </w:r>
            <w:r w:rsidR="004E38CE">
              <w:t xml:space="preserve"> made. </w:t>
            </w:r>
          </w:p>
          <w:p w14:paraId="4DA16490" w14:textId="77777777" w:rsidR="004E38CE" w:rsidRDefault="001562AE" w:rsidP="007A3381">
            <w:pPr>
              <w:pStyle w:val="TableListBullet"/>
              <w:numPr>
                <w:ilvl w:val="0"/>
                <w:numId w:val="17"/>
              </w:numPr>
              <w:ind w:left="884"/>
            </w:pPr>
            <w:r>
              <w:t xml:space="preserve">Revisions to the rate of payment </w:t>
            </w:r>
            <w:r w:rsidR="00A02EAE">
              <w:t xml:space="preserve">should </w:t>
            </w:r>
            <w:r>
              <w:t xml:space="preserve">ideally focus on an adjustment to account for the decline in real value of the RAA over time as a priority, with further adjustments to account for changes in other factors </w:t>
            </w:r>
            <w:r w:rsidR="00A02EAE">
              <w:t>such as the availability of other allowances and supports</w:t>
            </w:r>
            <w:r>
              <w:t xml:space="preserve">. </w:t>
            </w:r>
          </w:p>
          <w:p w14:paraId="439BCE37" w14:textId="77777777" w:rsidR="00AA738D" w:rsidRDefault="001562AE" w:rsidP="00AA738D">
            <w:pPr>
              <w:pStyle w:val="TableListBullet"/>
              <w:numPr>
                <w:ilvl w:val="0"/>
                <w:numId w:val="0"/>
              </w:numPr>
              <w:ind w:left="357"/>
              <w:rPr>
                <w:i/>
              </w:rPr>
            </w:pPr>
            <w:r>
              <w:rPr>
                <w:i/>
              </w:rPr>
              <w:t>Fringe Benefits Tax (</w:t>
            </w:r>
            <w:r w:rsidRPr="00AA738D">
              <w:rPr>
                <w:i/>
              </w:rPr>
              <w:t>FBT</w:t>
            </w:r>
            <w:r>
              <w:rPr>
                <w:i/>
              </w:rPr>
              <w:t>)</w:t>
            </w:r>
            <w:r w:rsidR="00B11695">
              <w:rPr>
                <w:i/>
              </w:rPr>
              <w:t xml:space="preserve"> remote area</w:t>
            </w:r>
            <w:r w:rsidRPr="00AA738D">
              <w:rPr>
                <w:i/>
              </w:rPr>
              <w:t xml:space="preserve"> concessions</w:t>
            </w:r>
          </w:p>
          <w:p w14:paraId="4B42EF05" w14:textId="77777777" w:rsidR="007A3381" w:rsidRPr="00AD3A8B" w:rsidRDefault="001562AE" w:rsidP="007A3381">
            <w:pPr>
              <w:pStyle w:val="TableListBullet"/>
              <w:numPr>
                <w:ilvl w:val="0"/>
                <w:numId w:val="17"/>
              </w:numPr>
              <w:ind w:left="884"/>
              <w:rPr>
                <w:i/>
              </w:rPr>
            </w:pPr>
            <w:r>
              <w:t xml:space="preserve">Worker attraction is a key issue for Queensland employers, and the availability of a skilled workforce has been identified as a </w:t>
            </w:r>
            <w:r w:rsidR="009A4373">
              <w:t>critical prerequisite</w:t>
            </w:r>
            <w:r>
              <w:t xml:space="preserve"> to business investment. </w:t>
            </w:r>
          </w:p>
          <w:p w14:paraId="61D860E4" w14:textId="77777777" w:rsidR="00C92D3F" w:rsidRPr="00C92D3F" w:rsidRDefault="001562AE" w:rsidP="007A3381">
            <w:pPr>
              <w:pStyle w:val="TableListBullet"/>
              <w:numPr>
                <w:ilvl w:val="0"/>
                <w:numId w:val="17"/>
              </w:numPr>
              <w:ind w:left="884"/>
              <w:rPr>
                <w:i/>
              </w:rPr>
            </w:pPr>
            <w:r>
              <w:t>Given Queensland’s decentralised population and vast geographic area, the Queensland Government provide</w:t>
            </w:r>
            <w:r w:rsidR="0067635D">
              <w:t>s</w:t>
            </w:r>
            <w:r>
              <w:t xml:space="preserve"> a substantial level of public services across a wide array of remote and regional areas. In doing so, agencies rely on FBT concessions to facilitate operational necessities and attract workers</w:t>
            </w:r>
            <w:r w:rsidR="0067635D">
              <w:t>.</w:t>
            </w:r>
          </w:p>
          <w:p w14:paraId="4509EF02" w14:textId="77777777" w:rsidR="00AD3A8B" w:rsidRPr="00C84D07" w:rsidRDefault="001562AE" w:rsidP="007A3381">
            <w:pPr>
              <w:pStyle w:val="TableListBullet"/>
              <w:numPr>
                <w:ilvl w:val="0"/>
                <w:numId w:val="17"/>
              </w:numPr>
              <w:ind w:left="884"/>
              <w:rPr>
                <w:i/>
              </w:rPr>
            </w:pPr>
            <w:r>
              <w:t>Many of the proposed recommendations, while aimed at simplifying the FBT concessions regime, effectively result in cost shifting to employers and state governments rather than simplification.</w:t>
            </w:r>
            <w:r w:rsidR="00C84D07">
              <w:t xml:space="preserve"> </w:t>
            </w:r>
          </w:p>
          <w:p w14:paraId="2922F3F3" w14:textId="77777777" w:rsidR="00C84D07" w:rsidRPr="00656CD4" w:rsidRDefault="001562AE" w:rsidP="007A3381">
            <w:pPr>
              <w:pStyle w:val="TableListBullet"/>
              <w:numPr>
                <w:ilvl w:val="0"/>
                <w:numId w:val="17"/>
              </w:numPr>
              <w:ind w:left="884"/>
              <w:rPr>
                <w:i/>
              </w:rPr>
            </w:pPr>
            <w:r>
              <w:lastRenderedPageBreak/>
              <w:t xml:space="preserve">Given </w:t>
            </w:r>
            <w:r>
              <w:rPr>
                <w:szCs w:val="24"/>
              </w:rPr>
              <w:t>the expectation that there is a continuing role for the Commonwealth in supporting regions, there would be merit in exploring potential options to progress reforms and achieve simplification while preserving the value of remote area FBT concessions.</w:t>
            </w:r>
          </w:p>
          <w:p w14:paraId="3CF56B0C" w14:textId="77777777" w:rsidR="00656CD4" w:rsidRDefault="001562AE" w:rsidP="00656CD4">
            <w:pPr>
              <w:pStyle w:val="TableListBullet"/>
              <w:ind w:left="357" w:hanging="357"/>
            </w:pPr>
            <w:r>
              <w:rPr>
                <w:szCs w:val="24"/>
              </w:rPr>
              <w:t xml:space="preserve">The proposed reforms to the ZTO and Fringe Benefits Tax would result in a substantial and detrimental impact on the income of many workers, </w:t>
            </w:r>
            <w:r w:rsidR="009A4373">
              <w:rPr>
                <w:szCs w:val="24"/>
              </w:rPr>
              <w:t>including</w:t>
            </w:r>
            <w:r>
              <w:rPr>
                <w:szCs w:val="24"/>
              </w:rPr>
              <w:t xml:space="preserve"> public sector employees providing essential services in remote areas.</w:t>
            </w:r>
          </w:p>
          <w:p w14:paraId="2E1886EC" w14:textId="77777777" w:rsidR="000F7998" w:rsidRPr="006423B9" w:rsidRDefault="001562AE" w:rsidP="00656CD4">
            <w:pPr>
              <w:pStyle w:val="TableListBullet"/>
              <w:ind w:left="357" w:hanging="357"/>
              <w:rPr>
                <w:i/>
              </w:rPr>
            </w:pPr>
            <w:r>
              <w:t>Preliminary analysis indicates:</w:t>
            </w:r>
          </w:p>
          <w:p w14:paraId="7DFCE439" w14:textId="77777777" w:rsidR="000F7998" w:rsidRPr="006423B9" w:rsidRDefault="001562AE" w:rsidP="006423B9">
            <w:pPr>
              <w:pStyle w:val="TableListBullet"/>
              <w:numPr>
                <w:ilvl w:val="1"/>
                <w:numId w:val="5"/>
              </w:numPr>
              <w:rPr>
                <w:i/>
              </w:rPr>
            </w:pPr>
            <w:r>
              <w:t>health workers in various zones across the State could be up to almost $15,000 per annum (and potentially significantly more in some cases) worse off given the combined impacts of the proposed abolition of the zone tax offset and changes to the fringe benefits tax; and</w:t>
            </w:r>
          </w:p>
          <w:p w14:paraId="69CC4C66" w14:textId="77777777" w:rsidR="00656CD4" w:rsidRPr="00AA738D" w:rsidRDefault="001562AE" w:rsidP="006423B9">
            <w:pPr>
              <w:pStyle w:val="TableListBullet"/>
              <w:numPr>
                <w:ilvl w:val="1"/>
                <w:numId w:val="5"/>
              </w:numPr>
              <w:rPr>
                <w:i/>
              </w:rPr>
            </w:pPr>
            <w:r>
              <w:t xml:space="preserve">a police </w:t>
            </w:r>
            <w:r w:rsidR="006423B9">
              <w:t>officer with</w:t>
            </w:r>
            <w:r>
              <w:t xml:space="preserve"> two dependents located within a special area under the ZTO </w:t>
            </w:r>
            <w:r w:rsidR="009A4373">
              <w:t>guidelines, who currently receives</w:t>
            </w:r>
            <w:r>
              <w:t xml:space="preserve"> employer benefits of housing and holiday transport, could be around $8,300 worse off per annum under these reforms.  </w:t>
            </w:r>
          </w:p>
        </w:tc>
      </w:tr>
    </w:tbl>
    <w:p w14:paraId="4043EBD2" w14:textId="77777777" w:rsidR="000B32EB" w:rsidRDefault="000B32EB" w:rsidP="00FE1442">
      <w:pPr>
        <w:jc w:val="both"/>
        <w:sectPr w:rsidR="000B32EB" w:rsidSect="000B32EB">
          <w:pgSz w:w="11906" w:h="16838" w:code="9"/>
          <w:pgMar w:top="851" w:right="851" w:bottom="851" w:left="851" w:header="567" w:footer="284" w:gutter="0"/>
          <w:pgNumType w:fmt="lowerRoman"/>
          <w:cols w:space="567"/>
          <w:docGrid w:linePitch="360"/>
        </w:sectPr>
      </w:pPr>
    </w:p>
    <w:sdt>
      <w:sdtPr>
        <w:rPr>
          <w:b w:val="0"/>
          <w:sz w:val="20"/>
        </w:rPr>
        <w:id w:val="-207416846"/>
        <w:docPartObj>
          <w:docPartGallery w:val="Table of Contents"/>
          <w:docPartUnique/>
        </w:docPartObj>
      </w:sdtPr>
      <w:sdtEndPr>
        <w:rPr>
          <w:bCs/>
          <w:noProof/>
        </w:rPr>
      </w:sdtEndPr>
      <w:sdtContent>
        <w:p w14:paraId="08BABC12" w14:textId="77777777" w:rsidR="000B32EB" w:rsidRDefault="001562AE">
          <w:pPr>
            <w:pStyle w:val="TOCHeading"/>
          </w:pPr>
          <w:r>
            <w:t>Contents</w:t>
          </w:r>
        </w:p>
        <w:p w14:paraId="7ECDBDC6" w14:textId="77777777" w:rsidR="00695624" w:rsidRDefault="001562AE">
          <w:pPr>
            <w:pStyle w:val="TOC1"/>
            <w:rPr>
              <w:rFonts w:asciiTheme="minorHAnsi" w:eastAsiaTheme="minorEastAsia" w:hAnsiTheme="minorHAnsi"/>
              <w:b w:val="0"/>
              <w:sz w:val="22"/>
              <w:szCs w:val="22"/>
              <w:lang w:eastAsia="en-AU"/>
            </w:rPr>
          </w:pPr>
          <w:r>
            <w:fldChar w:fldCharType="begin"/>
          </w:r>
          <w:r>
            <w:instrText xml:space="preserve"> TOC \o "1-3" \h \z \u </w:instrText>
          </w:r>
          <w:r>
            <w:fldChar w:fldCharType="separate"/>
          </w:r>
          <w:hyperlink w:anchor="_Toc19888001" w:history="1">
            <w:r w:rsidRPr="005C67C0">
              <w:rPr>
                <w:rStyle w:val="Hyperlink"/>
              </w:rPr>
              <w:t>Introduction</w:t>
            </w:r>
            <w:r>
              <w:rPr>
                <w:webHidden/>
              </w:rPr>
              <w:tab/>
            </w:r>
            <w:r>
              <w:rPr>
                <w:webHidden/>
              </w:rPr>
              <w:fldChar w:fldCharType="begin"/>
            </w:r>
            <w:r>
              <w:rPr>
                <w:webHidden/>
              </w:rPr>
              <w:instrText xml:space="preserve"> PAGEREF _Toc19888001 \h </w:instrText>
            </w:r>
            <w:r>
              <w:rPr>
                <w:webHidden/>
              </w:rPr>
            </w:r>
            <w:r>
              <w:rPr>
                <w:webHidden/>
              </w:rPr>
              <w:fldChar w:fldCharType="separate"/>
            </w:r>
            <w:r w:rsidR="00EB11F8">
              <w:rPr>
                <w:webHidden/>
              </w:rPr>
              <w:t>1</w:t>
            </w:r>
            <w:r>
              <w:rPr>
                <w:webHidden/>
              </w:rPr>
              <w:fldChar w:fldCharType="end"/>
            </w:r>
          </w:hyperlink>
        </w:p>
        <w:p w14:paraId="35F660D2" w14:textId="77777777" w:rsidR="00695624" w:rsidRDefault="007D2D55">
          <w:pPr>
            <w:pStyle w:val="TOC2"/>
            <w:rPr>
              <w:rFonts w:asciiTheme="minorHAnsi" w:eastAsiaTheme="minorEastAsia" w:hAnsiTheme="minorHAnsi"/>
              <w:sz w:val="22"/>
              <w:szCs w:val="22"/>
              <w:lang w:eastAsia="en-AU"/>
            </w:rPr>
          </w:pPr>
          <w:hyperlink w:anchor="_Toc19888002" w:history="1">
            <w:r w:rsidR="00F23934" w:rsidRPr="005C67C0">
              <w:rPr>
                <w:rStyle w:val="Hyperlink"/>
              </w:rPr>
              <w:t>Queensland’s regional economic characteristics and conditions</w:t>
            </w:r>
            <w:r w:rsidR="00F23934">
              <w:rPr>
                <w:webHidden/>
              </w:rPr>
              <w:tab/>
            </w:r>
            <w:r w:rsidR="00F23934">
              <w:rPr>
                <w:webHidden/>
              </w:rPr>
              <w:fldChar w:fldCharType="begin"/>
            </w:r>
            <w:r w:rsidR="00F23934">
              <w:rPr>
                <w:webHidden/>
              </w:rPr>
              <w:instrText xml:space="preserve"> PAGEREF _Toc19888002 \h </w:instrText>
            </w:r>
            <w:r w:rsidR="00F23934">
              <w:rPr>
                <w:webHidden/>
              </w:rPr>
            </w:r>
            <w:r w:rsidR="00F23934">
              <w:rPr>
                <w:webHidden/>
              </w:rPr>
              <w:fldChar w:fldCharType="separate"/>
            </w:r>
            <w:r w:rsidR="00EB11F8">
              <w:rPr>
                <w:webHidden/>
              </w:rPr>
              <w:t>1</w:t>
            </w:r>
            <w:r w:rsidR="00F23934">
              <w:rPr>
                <w:webHidden/>
              </w:rPr>
              <w:fldChar w:fldCharType="end"/>
            </w:r>
          </w:hyperlink>
        </w:p>
        <w:p w14:paraId="47ED36EC" w14:textId="77777777" w:rsidR="00695624" w:rsidRDefault="007D2D55">
          <w:pPr>
            <w:pStyle w:val="TOC2"/>
            <w:rPr>
              <w:rFonts w:asciiTheme="minorHAnsi" w:eastAsiaTheme="minorEastAsia" w:hAnsiTheme="minorHAnsi"/>
              <w:sz w:val="22"/>
              <w:szCs w:val="22"/>
              <w:lang w:eastAsia="en-AU"/>
            </w:rPr>
          </w:pPr>
          <w:hyperlink w:anchor="_Toc19888003" w:history="1">
            <w:r w:rsidR="00F23934" w:rsidRPr="005C67C0">
              <w:rPr>
                <w:rStyle w:val="Hyperlink"/>
              </w:rPr>
              <w:t>Socio-economic disadvantage</w:t>
            </w:r>
            <w:r w:rsidR="00F23934">
              <w:rPr>
                <w:webHidden/>
              </w:rPr>
              <w:tab/>
            </w:r>
            <w:r w:rsidR="00F23934">
              <w:rPr>
                <w:webHidden/>
              </w:rPr>
              <w:fldChar w:fldCharType="begin"/>
            </w:r>
            <w:r w:rsidR="00F23934">
              <w:rPr>
                <w:webHidden/>
              </w:rPr>
              <w:instrText xml:space="preserve"> PAGEREF _Toc19888003 \h </w:instrText>
            </w:r>
            <w:r w:rsidR="00F23934">
              <w:rPr>
                <w:webHidden/>
              </w:rPr>
            </w:r>
            <w:r w:rsidR="00F23934">
              <w:rPr>
                <w:webHidden/>
              </w:rPr>
              <w:fldChar w:fldCharType="separate"/>
            </w:r>
            <w:r w:rsidR="00EB11F8">
              <w:rPr>
                <w:webHidden/>
              </w:rPr>
              <w:t>2</w:t>
            </w:r>
            <w:r w:rsidR="00F23934">
              <w:rPr>
                <w:webHidden/>
              </w:rPr>
              <w:fldChar w:fldCharType="end"/>
            </w:r>
          </w:hyperlink>
        </w:p>
        <w:p w14:paraId="7260E561" w14:textId="77777777" w:rsidR="00695624" w:rsidRDefault="007D2D55">
          <w:pPr>
            <w:pStyle w:val="TOC2"/>
            <w:rPr>
              <w:rFonts w:asciiTheme="minorHAnsi" w:eastAsiaTheme="minorEastAsia" w:hAnsiTheme="minorHAnsi"/>
              <w:sz w:val="22"/>
              <w:szCs w:val="22"/>
              <w:lang w:eastAsia="en-AU"/>
            </w:rPr>
          </w:pPr>
          <w:hyperlink w:anchor="_Toc19888004" w:history="1">
            <w:r w:rsidR="00F23934" w:rsidRPr="005C67C0">
              <w:rPr>
                <w:rStyle w:val="Hyperlink"/>
              </w:rPr>
              <w:t>Costs of living in regional areas</w:t>
            </w:r>
            <w:r w:rsidR="00F23934">
              <w:rPr>
                <w:webHidden/>
              </w:rPr>
              <w:tab/>
            </w:r>
            <w:r w:rsidR="00F23934">
              <w:rPr>
                <w:webHidden/>
              </w:rPr>
              <w:fldChar w:fldCharType="begin"/>
            </w:r>
            <w:r w:rsidR="00F23934">
              <w:rPr>
                <w:webHidden/>
              </w:rPr>
              <w:instrText xml:space="preserve"> PAGEREF _Toc19888004 \h </w:instrText>
            </w:r>
            <w:r w:rsidR="00F23934">
              <w:rPr>
                <w:webHidden/>
              </w:rPr>
            </w:r>
            <w:r w:rsidR="00F23934">
              <w:rPr>
                <w:webHidden/>
              </w:rPr>
              <w:fldChar w:fldCharType="separate"/>
            </w:r>
            <w:r w:rsidR="00EB11F8">
              <w:rPr>
                <w:webHidden/>
              </w:rPr>
              <w:t>2</w:t>
            </w:r>
            <w:r w:rsidR="00F23934">
              <w:rPr>
                <w:webHidden/>
              </w:rPr>
              <w:fldChar w:fldCharType="end"/>
            </w:r>
          </w:hyperlink>
        </w:p>
        <w:p w14:paraId="0A4CBECA" w14:textId="77777777" w:rsidR="00695624" w:rsidRDefault="007D2D55">
          <w:pPr>
            <w:pStyle w:val="TOC2"/>
            <w:rPr>
              <w:rFonts w:asciiTheme="minorHAnsi" w:eastAsiaTheme="minorEastAsia" w:hAnsiTheme="minorHAnsi"/>
              <w:sz w:val="22"/>
              <w:szCs w:val="22"/>
              <w:lang w:eastAsia="en-AU"/>
            </w:rPr>
          </w:pPr>
          <w:hyperlink w:anchor="_Toc19888005" w:history="1">
            <w:r w:rsidR="00F23934" w:rsidRPr="005C67C0">
              <w:rPr>
                <w:rStyle w:val="Hyperlink"/>
              </w:rPr>
              <w:t>Queensland Government’s support for building stronger regional economies</w:t>
            </w:r>
            <w:r w:rsidR="00F23934">
              <w:rPr>
                <w:webHidden/>
              </w:rPr>
              <w:tab/>
            </w:r>
            <w:r w:rsidR="00F23934">
              <w:rPr>
                <w:webHidden/>
              </w:rPr>
              <w:fldChar w:fldCharType="begin"/>
            </w:r>
            <w:r w:rsidR="00F23934">
              <w:rPr>
                <w:webHidden/>
              </w:rPr>
              <w:instrText xml:space="preserve"> PAGEREF _Toc19888005 \h </w:instrText>
            </w:r>
            <w:r w:rsidR="00F23934">
              <w:rPr>
                <w:webHidden/>
              </w:rPr>
            </w:r>
            <w:r w:rsidR="00F23934">
              <w:rPr>
                <w:webHidden/>
              </w:rPr>
              <w:fldChar w:fldCharType="separate"/>
            </w:r>
            <w:r w:rsidR="00EB11F8">
              <w:rPr>
                <w:webHidden/>
              </w:rPr>
              <w:t>3</w:t>
            </w:r>
            <w:r w:rsidR="00F23934">
              <w:rPr>
                <w:webHidden/>
              </w:rPr>
              <w:fldChar w:fldCharType="end"/>
            </w:r>
          </w:hyperlink>
        </w:p>
        <w:p w14:paraId="3D400B4C" w14:textId="77777777" w:rsidR="00695624" w:rsidRDefault="007D2D55">
          <w:pPr>
            <w:pStyle w:val="TOC2"/>
            <w:rPr>
              <w:rFonts w:asciiTheme="minorHAnsi" w:eastAsiaTheme="minorEastAsia" w:hAnsiTheme="minorHAnsi"/>
              <w:sz w:val="22"/>
              <w:szCs w:val="22"/>
              <w:lang w:eastAsia="en-AU"/>
            </w:rPr>
          </w:pPr>
          <w:hyperlink w:anchor="_Toc19888006" w:history="1">
            <w:r w:rsidR="00F23934" w:rsidRPr="005C67C0">
              <w:rPr>
                <w:rStyle w:val="Hyperlink"/>
              </w:rPr>
              <w:t>Respective roles for subnational and national governments in regional development</w:t>
            </w:r>
            <w:r w:rsidR="00F23934">
              <w:rPr>
                <w:webHidden/>
              </w:rPr>
              <w:tab/>
            </w:r>
            <w:r w:rsidR="00F23934">
              <w:rPr>
                <w:webHidden/>
              </w:rPr>
              <w:fldChar w:fldCharType="begin"/>
            </w:r>
            <w:r w:rsidR="00F23934">
              <w:rPr>
                <w:webHidden/>
              </w:rPr>
              <w:instrText xml:space="preserve"> PAGEREF _Toc19888006 \h </w:instrText>
            </w:r>
            <w:r w:rsidR="00F23934">
              <w:rPr>
                <w:webHidden/>
              </w:rPr>
            </w:r>
            <w:r w:rsidR="00F23934">
              <w:rPr>
                <w:webHidden/>
              </w:rPr>
              <w:fldChar w:fldCharType="separate"/>
            </w:r>
            <w:r w:rsidR="00EB11F8">
              <w:rPr>
                <w:webHidden/>
              </w:rPr>
              <w:t>5</w:t>
            </w:r>
            <w:r w:rsidR="00F23934">
              <w:rPr>
                <w:webHidden/>
              </w:rPr>
              <w:fldChar w:fldCharType="end"/>
            </w:r>
          </w:hyperlink>
        </w:p>
        <w:p w14:paraId="5CFE3A20" w14:textId="77777777" w:rsidR="00695624" w:rsidRDefault="007D2D55">
          <w:pPr>
            <w:pStyle w:val="TOC1"/>
            <w:rPr>
              <w:rFonts w:asciiTheme="minorHAnsi" w:eastAsiaTheme="minorEastAsia" w:hAnsiTheme="minorHAnsi"/>
              <w:b w:val="0"/>
              <w:sz w:val="22"/>
              <w:szCs w:val="22"/>
              <w:lang w:eastAsia="en-AU"/>
            </w:rPr>
          </w:pPr>
          <w:hyperlink w:anchor="_Toc19888007" w:history="1">
            <w:r w:rsidR="00F23934" w:rsidRPr="005C67C0">
              <w:rPr>
                <w:rStyle w:val="Hyperlink"/>
              </w:rPr>
              <w:t>Specific comments on in-scope measures</w:t>
            </w:r>
            <w:r w:rsidR="00F23934">
              <w:rPr>
                <w:webHidden/>
              </w:rPr>
              <w:tab/>
            </w:r>
            <w:r w:rsidR="00F23934">
              <w:rPr>
                <w:webHidden/>
              </w:rPr>
              <w:fldChar w:fldCharType="begin"/>
            </w:r>
            <w:r w:rsidR="00F23934">
              <w:rPr>
                <w:webHidden/>
              </w:rPr>
              <w:instrText xml:space="preserve"> PAGEREF _Toc19888007 \h </w:instrText>
            </w:r>
            <w:r w:rsidR="00F23934">
              <w:rPr>
                <w:webHidden/>
              </w:rPr>
            </w:r>
            <w:r w:rsidR="00F23934">
              <w:rPr>
                <w:webHidden/>
              </w:rPr>
              <w:fldChar w:fldCharType="separate"/>
            </w:r>
            <w:r w:rsidR="00EB11F8">
              <w:rPr>
                <w:webHidden/>
              </w:rPr>
              <w:t>5</w:t>
            </w:r>
            <w:r w:rsidR="00F23934">
              <w:rPr>
                <w:webHidden/>
              </w:rPr>
              <w:fldChar w:fldCharType="end"/>
            </w:r>
          </w:hyperlink>
        </w:p>
        <w:p w14:paraId="2008BD76" w14:textId="77777777" w:rsidR="00695624" w:rsidRDefault="007D2D55">
          <w:pPr>
            <w:pStyle w:val="TOC2"/>
            <w:rPr>
              <w:rFonts w:asciiTheme="minorHAnsi" w:eastAsiaTheme="minorEastAsia" w:hAnsiTheme="minorHAnsi"/>
              <w:sz w:val="22"/>
              <w:szCs w:val="22"/>
              <w:lang w:eastAsia="en-AU"/>
            </w:rPr>
          </w:pPr>
          <w:hyperlink w:anchor="_Toc19888008" w:history="1">
            <w:r w:rsidR="00F23934" w:rsidRPr="005C67C0">
              <w:rPr>
                <w:rStyle w:val="Hyperlink"/>
              </w:rPr>
              <w:t>Zone Tax Offset</w:t>
            </w:r>
            <w:r w:rsidR="00F23934">
              <w:rPr>
                <w:webHidden/>
              </w:rPr>
              <w:tab/>
            </w:r>
            <w:r w:rsidR="00F23934">
              <w:rPr>
                <w:webHidden/>
              </w:rPr>
              <w:fldChar w:fldCharType="begin"/>
            </w:r>
            <w:r w:rsidR="00F23934">
              <w:rPr>
                <w:webHidden/>
              </w:rPr>
              <w:instrText xml:space="preserve"> PAGEREF _Toc19888008 \h </w:instrText>
            </w:r>
            <w:r w:rsidR="00F23934">
              <w:rPr>
                <w:webHidden/>
              </w:rPr>
            </w:r>
            <w:r w:rsidR="00F23934">
              <w:rPr>
                <w:webHidden/>
              </w:rPr>
              <w:fldChar w:fldCharType="separate"/>
            </w:r>
            <w:r w:rsidR="00EB11F8">
              <w:rPr>
                <w:webHidden/>
              </w:rPr>
              <w:t>6</w:t>
            </w:r>
            <w:r w:rsidR="00F23934">
              <w:rPr>
                <w:webHidden/>
              </w:rPr>
              <w:fldChar w:fldCharType="end"/>
            </w:r>
          </w:hyperlink>
        </w:p>
        <w:p w14:paraId="0A59178F" w14:textId="77777777" w:rsidR="00695624" w:rsidRDefault="007D2D55">
          <w:pPr>
            <w:pStyle w:val="TOC2"/>
            <w:rPr>
              <w:rFonts w:asciiTheme="minorHAnsi" w:eastAsiaTheme="minorEastAsia" w:hAnsiTheme="minorHAnsi"/>
              <w:sz w:val="22"/>
              <w:szCs w:val="22"/>
              <w:lang w:eastAsia="en-AU"/>
            </w:rPr>
          </w:pPr>
          <w:hyperlink w:anchor="_Toc19888009" w:history="1">
            <w:r w:rsidR="00F23934" w:rsidRPr="005C67C0">
              <w:rPr>
                <w:rStyle w:val="Hyperlink"/>
              </w:rPr>
              <w:t>Regional Area Allowance</w:t>
            </w:r>
            <w:r w:rsidR="00F23934">
              <w:rPr>
                <w:webHidden/>
              </w:rPr>
              <w:tab/>
            </w:r>
            <w:r w:rsidR="00F23934">
              <w:rPr>
                <w:webHidden/>
              </w:rPr>
              <w:fldChar w:fldCharType="begin"/>
            </w:r>
            <w:r w:rsidR="00F23934">
              <w:rPr>
                <w:webHidden/>
              </w:rPr>
              <w:instrText xml:space="preserve"> PAGEREF _Toc19888009 \h </w:instrText>
            </w:r>
            <w:r w:rsidR="00F23934">
              <w:rPr>
                <w:webHidden/>
              </w:rPr>
            </w:r>
            <w:r w:rsidR="00F23934">
              <w:rPr>
                <w:webHidden/>
              </w:rPr>
              <w:fldChar w:fldCharType="separate"/>
            </w:r>
            <w:r w:rsidR="00EB11F8">
              <w:rPr>
                <w:webHidden/>
              </w:rPr>
              <w:t>7</w:t>
            </w:r>
            <w:r w:rsidR="00F23934">
              <w:rPr>
                <w:webHidden/>
              </w:rPr>
              <w:fldChar w:fldCharType="end"/>
            </w:r>
          </w:hyperlink>
        </w:p>
        <w:p w14:paraId="16E98B90" w14:textId="77777777" w:rsidR="00695624" w:rsidRDefault="007D2D55">
          <w:pPr>
            <w:pStyle w:val="TOC2"/>
            <w:rPr>
              <w:rFonts w:asciiTheme="minorHAnsi" w:eastAsiaTheme="minorEastAsia" w:hAnsiTheme="minorHAnsi"/>
              <w:sz w:val="22"/>
              <w:szCs w:val="22"/>
              <w:lang w:eastAsia="en-AU"/>
            </w:rPr>
          </w:pPr>
          <w:hyperlink w:anchor="_Toc19888010" w:history="1">
            <w:r w:rsidR="00F23934" w:rsidRPr="005C67C0">
              <w:rPr>
                <w:rStyle w:val="Hyperlink"/>
              </w:rPr>
              <w:t>Fringe Benefit Tax concessions</w:t>
            </w:r>
            <w:r w:rsidR="00F23934">
              <w:rPr>
                <w:webHidden/>
              </w:rPr>
              <w:tab/>
            </w:r>
            <w:r w:rsidR="00F23934">
              <w:rPr>
                <w:webHidden/>
              </w:rPr>
              <w:fldChar w:fldCharType="begin"/>
            </w:r>
            <w:r w:rsidR="00F23934">
              <w:rPr>
                <w:webHidden/>
              </w:rPr>
              <w:instrText xml:space="preserve"> PAGEREF _Toc19888010 \h </w:instrText>
            </w:r>
            <w:r w:rsidR="00F23934">
              <w:rPr>
                <w:webHidden/>
              </w:rPr>
            </w:r>
            <w:r w:rsidR="00F23934">
              <w:rPr>
                <w:webHidden/>
              </w:rPr>
              <w:fldChar w:fldCharType="separate"/>
            </w:r>
            <w:r w:rsidR="00EB11F8">
              <w:rPr>
                <w:webHidden/>
              </w:rPr>
              <w:t>8</w:t>
            </w:r>
            <w:r w:rsidR="00F23934">
              <w:rPr>
                <w:webHidden/>
              </w:rPr>
              <w:fldChar w:fldCharType="end"/>
            </w:r>
          </w:hyperlink>
        </w:p>
        <w:p w14:paraId="189BD926" w14:textId="77777777" w:rsidR="000B32EB" w:rsidRDefault="001562AE" w:rsidP="00FE1442">
          <w:pPr>
            <w:jc w:val="both"/>
          </w:pPr>
          <w:r>
            <w:rPr>
              <w:b/>
              <w:lang w:val="en-US"/>
            </w:rPr>
            <w:fldChar w:fldCharType="end"/>
          </w:r>
        </w:p>
      </w:sdtContent>
    </w:sdt>
    <w:p w14:paraId="2DE6455F" w14:textId="77777777" w:rsidR="000B32EB" w:rsidRDefault="000B32EB" w:rsidP="00FE1442">
      <w:pPr>
        <w:jc w:val="both"/>
      </w:pPr>
    </w:p>
    <w:p w14:paraId="76001AAF" w14:textId="77777777" w:rsidR="000B32EB" w:rsidRDefault="000B32EB" w:rsidP="00FE1442">
      <w:pPr>
        <w:jc w:val="both"/>
        <w:sectPr w:rsidR="000B32EB" w:rsidSect="000B32EB">
          <w:pgSz w:w="11906" w:h="16838" w:code="9"/>
          <w:pgMar w:top="851" w:right="851" w:bottom="851" w:left="851" w:header="567" w:footer="284" w:gutter="0"/>
          <w:pgNumType w:fmt="lowerRoman"/>
          <w:cols w:space="567"/>
          <w:docGrid w:linePitch="360"/>
        </w:sectPr>
      </w:pPr>
    </w:p>
    <w:p w14:paraId="7D0CAF38" w14:textId="77777777" w:rsidR="00860641" w:rsidRPr="00860641" w:rsidRDefault="001562AE" w:rsidP="00860641">
      <w:pPr>
        <w:pStyle w:val="Heading1"/>
        <w:rPr>
          <w:sz w:val="24"/>
        </w:rPr>
      </w:pPr>
      <w:bookmarkStart w:id="3" w:name="_Toc19695001"/>
      <w:bookmarkStart w:id="4" w:name="_Toc19716249"/>
      <w:bookmarkStart w:id="5" w:name="_Toc19776200"/>
      <w:bookmarkStart w:id="6" w:name="_Toc19786531"/>
      <w:bookmarkStart w:id="7" w:name="_Toc19793075"/>
      <w:bookmarkStart w:id="8" w:name="_Toc19799686"/>
      <w:bookmarkStart w:id="9" w:name="_Toc19799766"/>
      <w:bookmarkStart w:id="10" w:name="_Toc19801878"/>
      <w:bookmarkStart w:id="11" w:name="_Toc19863737"/>
      <w:bookmarkStart w:id="12" w:name="_Toc19868444"/>
      <w:bookmarkStart w:id="13" w:name="_Toc19881322"/>
      <w:bookmarkStart w:id="14" w:name="_Toc19888001"/>
      <w:r w:rsidRPr="00860641">
        <w:rPr>
          <w:sz w:val="24"/>
        </w:rPr>
        <w:lastRenderedPageBreak/>
        <w:t>Introduction</w:t>
      </w:r>
      <w:bookmarkEnd w:id="3"/>
      <w:bookmarkEnd w:id="4"/>
      <w:bookmarkEnd w:id="5"/>
      <w:bookmarkEnd w:id="6"/>
      <w:bookmarkEnd w:id="7"/>
      <w:bookmarkEnd w:id="8"/>
      <w:bookmarkEnd w:id="9"/>
      <w:bookmarkEnd w:id="10"/>
      <w:bookmarkEnd w:id="11"/>
      <w:bookmarkEnd w:id="12"/>
      <w:bookmarkEnd w:id="13"/>
      <w:bookmarkEnd w:id="14"/>
    </w:p>
    <w:p w14:paraId="6AAAFD17" w14:textId="77777777" w:rsidR="00AE34D1" w:rsidRDefault="001562AE" w:rsidP="00FE1442">
      <w:pPr>
        <w:jc w:val="both"/>
      </w:pPr>
      <w:r w:rsidRPr="002E2793">
        <w:t xml:space="preserve">Appropriately designed taxation settings and concessions are important </w:t>
      </w:r>
      <w:r>
        <w:t>policy lever</w:t>
      </w:r>
      <w:r w:rsidR="00E810D5">
        <w:t>s available to governments</w:t>
      </w:r>
      <w:r w:rsidRPr="002E2793">
        <w:t xml:space="preserve"> to promote regional development and to mitigate some of the inherent challenges faced by workers and families in our vital regional communities.</w:t>
      </w:r>
      <w:r>
        <w:t xml:space="preserve"> The Queensland Government supports the intent of the Productivity Commission inquiry to ensure that current arrangements around remote area tax concessions and payments are fit-for-purpose in a 21</w:t>
      </w:r>
      <w:r w:rsidRPr="00C30AF4">
        <w:t>st</w:t>
      </w:r>
      <w:r>
        <w:t xml:space="preserve"> century Australia, and are working for the benefit of all Australians and regions. </w:t>
      </w:r>
    </w:p>
    <w:p w14:paraId="3CBC3E09" w14:textId="77777777" w:rsidR="0023458C" w:rsidRDefault="001562AE" w:rsidP="00FE1442">
      <w:pPr>
        <w:jc w:val="both"/>
      </w:pPr>
      <w:r>
        <w:t xml:space="preserve">Queensland’s regions are critical contributors not just to the economic performance of State of Queensland, but also </w:t>
      </w:r>
      <w:r w:rsidR="00E528D1">
        <w:t>the</w:t>
      </w:r>
      <w:r>
        <w:t xml:space="preserve"> performance of the national economy. Supporting economic activity and employment in our </w:t>
      </w:r>
      <w:r w:rsidRPr="00B32821">
        <w:t>regions is</w:t>
      </w:r>
      <w:r w:rsidRPr="00EF0B77">
        <w:t xml:space="preserve"> </w:t>
      </w:r>
      <w:r w:rsidRPr="007863F7">
        <w:t>key to maintaining Australia’s prosperity</w:t>
      </w:r>
      <w:r w:rsidRPr="00D71473">
        <w:t xml:space="preserve"> going forward, and all governments have a role to play.</w:t>
      </w:r>
    </w:p>
    <w:p w14:paraId="1CA4C194" w14:textId="77777777" w:rsidR="007F22C1" w:rsidRDefault="001562AE" w:rsidP="00FE1442">
      <w:pPr>
        <w:jc w:val="both"/>
      </w:pPr>
      <w:r w:rsidRPr="00C02357">
        <w:t xml:space="preserve">The Palaszczuk Government recognises the critical role regional economies play in driving sustainable growth, creating jobs and increasing prosperity across the State. </w:t>
      </w:r>
      <w:r w:rsidR="00A72362" w:rsidRPr="00A72362">
        <w:t xml:space="preserve">Central to </w:t>
      </w:r>
      <w:r w:rsidRPr="00C02357">
        <w:t xml:space="preserve">the </w:t>
      </w:r>
      <w:r w:rsidR="00A72362" w:rsidRPr="00A72362">
        <w:t xml:space="preserve">Government’s </w:t>
      </w:r>
      <w:r w:rsidR="0054082B">
        <w:t xml:space="preserve">economic plan </w:t>
      </w:r>
      <w:r w:rsidRPr="00C02357">
        <w:t xml:space="preserve">is </w:t>
      </w:r>
      <w:r w:rsidR="00A72362" w:rsidRPr="00A72362">
        <w:t xml:space="preserve">providing all Queenslanders with </w:t>
      </w:r>
      <w:r w:rsidR="005D67F6">
        <w:t>appropriate support</w:t>
      </w:r>
      <w:r w:rsidR="00A72362" w:rsidRPr="00A72362">
        <w:t xml:space="preserve"> and transformative infrastructure, including improved connectivity of all communities, and the provision of essential</w:t>
      </w:r>
      <w:r w:rsidRPr="00C02357">
        <w:t xml:space="preserve"> </w:t>
      </w:r>
      <w:r w:rsidR="00FB3F06" w:rsidRPr="00C02357">
        <w:t xml:space="preserve">services </w:t>
      </w:r>
      <w:r w:rsidR="00A72362" w:rsidRPr="00A72362">
        <w:t>to communities across the State</w:t>
      </w:r>
      <w:r>
        <w:t xml:space="preserve">. </w:t>
      </w:r>
      <w:r w:rsidR="0054082B">
        <w:t xml:space="preserve">The Government’s Advancing Queensland’s Region initiative is helping identify and address the key priorities facing regional areas and create opportunities to strengthen regional economies and services. </w:t>
      </w:r>
    </w:p>
    <w:p w14:paraId="77A30A3A" w14:textId="77777777" w:rsidR="00517955" w:rsidRPr="00C30AF4" w:rsidRDefault="001562AE" w:rsidP="00537728">
      <w:pPr>
        <w:jc w:val="both"/>
      </w:pPr>
      <w:r>
        <w:t>Given the ongoing changing domestic and international economic landscape, impacted by major factors such as rapid technological advancements, ageing population</w:t>
      </w:r>
      <w:r w:rsidR="00E528D1">
        <w:t xml:space="preserve"> and</w:t>
      </w:r>
      <w:r>
        <w:t xml:space="preserve"> climate change, regions are likely to face a range of challenges and opportunities. Further</w:t>
      </w:r>
      <w:r w:rsidR="00172EDA">
        <w:t>,</w:t>
      </w:r>
      <w:r>
        <w:t xml:space="preserve"> the current global uncertainty is also weighing on business and consumer confidence, investment and consumption which is constraining regional jobs and wage growth as well as progress more broadly. Therefore, it is important that government’s policy objectives </w:t>
      </w:r>
      <w:r w:rsidR="00232785">
        <w:t>consider short, medium and long-</w:t>
      </w:r>
      <w:r>
        <w:t>term im</w:t>
      </w:r>
      <w:r w:rsidR="006F3509">
        <w:t>pacts not just in terms of efficiency but als</w:t>
      </w:r>
      <w:r w:rsidR="009A4373">
        <w:t xml:space="preserve">o equitable outcomes to drive a </w:t>
      </w:r>
      <w:r w:rsidR="006F3509">
        <w:t xml:space="preserve">more inclusive growth and development. </w:t>
      </w:r>
    </w:p>
    <w:p w14:paraId="44CC4D81" w14:textId="77777777" w:rsidR="00700272" w:rsidRPr="00C30AF4" w:rsidRDefault="001562AE" w:rsidP="00537728">
      <w:pPr>
        <w:jc w:val="both"/>
      </w:pPr>
      <w:r>
        <w:t xml:space="preserve">Withdrawing support from regions purely on efficiency grounds at </w:t>
      </w:r>
      <w:r w:rsidR="00D54626">
        <w:t>this</w:t>
      </w:r>
      <w:r>
        <w:t xml:space="preserve"> time when the regions are facing challenges may lead to sub-optimal outcomes and counter-act broader policy objectives of supporting build thriving regions. </w:t>
      </w:r>
      <w:r w:rsidR="00BD4578">
        <w:t xml:space="preserve">Further, withdrawal </w:t>
      </w:r>
      <w:r w:rsidR="005D67F6">
        <w:t xml:space="preserve">of </w:t>
      </w:r>
      <w:r w:rsidR="00BD4578">
        <w:t xml:space="preserve">support </w:t>
      </w:r>
      <w:r w:rsidR="0072579A">
        <w:t>c</w:t>
      </w:r>
      <w:r w:rsidR="00BD4578">
        <w:t>ould place an additional burden on key regional industries such as agriculture</w:t>
      </w:r>
      <w:r w:rsidR="0072579A">
        <w:t xml:space="preserve">, manufacturing, </w:t>
      </w:r>
      <w:r w:rsidR="009A4373">
        <w:t xml:space="preserve">mining and </w:t>
      </w:r>
      <w:r w:rsidR="00BD4578">
        <w:t>tourism</w:t>
      </w:r>
      <w:r w:rsidR="009A4373">
        <w:t>,</w:t>
      </w:r>
      <w:r w:rsidR="0072579A">
        <w:t xml:space="preserve"> and businesses associated with the</w:t>
      </w:r>
      <w:r w:rsidR="009A4373">
        <w:t>ir</w:t>
      </w:r>
      <w:r w:rsidR="0072579A">
        <w:t xml:space="preserve"> supply </w:t>
      </w:r>
      <w:r w:rsidR="005D67F6">
        <w:t>chains</w:t>
      </w:r>
      <w:r w:rsidR="009A4373">
        <w:t>. These industries</w:t>
      </w:r>
      <w:r w:rsidR="005D67F6">
        <w:t xml:space="preserve"> </w:t>
      </w:r>
      <w:r w:rsidR="0072579A">
        <w:t xml:space="preserve">tend to </w:t>
      </w:r>
      <w:r w:rsidR="00BD4578">
        <w:t xml:space="preserve">rely on remote area tax concessions and payments for operational reasons and to attract and retain workers. </w:t>
      </w:r>
    </w:p>
    <w:p w14:paraId="6CC62035" w14:textId="77777777" w:rsidR="008B1F69" w:rsidRPr="00C30AF4" w:rsidRDefault="001562AE" w:rsidP="00537728">
      <w:pPr>
        <w:jc w:val="both"/>
      </w:pPr>
      <w:r>
        <w:t xml:space="preserve">The proposal to abolish the </w:t>
      </w:r>
      <w:r w:rsidR="009A4373">
        <w:t>Zone Tax Offset</w:t>
      </w:r>
      <w:r w:rsidR="00986B1B">
        <w:t xml:space="preserve"> </w:t>
      </w:r>
      <w:r w:rsidR="009A4373">
        <w:t>(</w:t>
      </w:r>
      <w:r>
        <w:t>ZTO</w:t>
      </w:r>
      <w:r w:rsidR="009A4373">
        <w:t>)</w:t>
      </w:r>
      <w:r>
        <w:t xml:space="preserve"> would </w:t>
      </w:r>
      <w:r w:rsidR="005D67F6">
        <w:t xml:space="preserve">also </w:t>
      </w:r>
      <w:r>
        <w:t xml:space="preserve">lead to </w:t>
      </w:r>
      <w:r w:rsidRPr="00E80BA7">
        <w:t xml:space="preserve">a reduction in </w:t>
      </w:r>
      <w:r>
        <w:t xml:space="preserve">the after-tax income for </w:t>
      </w:r>
      <w:r w:rsidRPr="00E80BA7">
        <w:t>state employees (e.g. teachers, police, nurses and health practitioners)</w:t>
      </w:r>
      <w:r>
        <w:t xml:space="preserve"> working in those zones</w:t>
      </w:r>
      <w:r w:rsidRPr="00E80BA7">
        <w:t>.</w:t>
      </w:r>
      <w:r>
        <w:t xml:space="preserve"> </w:t>
      </w:r>
      <w:r w:rsidR="00E80BA7">
        <w:t>The proposed change</w:t>
      </w:r>
      <w:r>
        <w:t>s to the Fringe Benefit</w:t>
      </w:r>
      <w:r w:rsidR="00B11695">
        <w:t>s</w:t>
      </w:r>
      <w:r>
        <w:t xml:space="preserve"> Tax (</w:t>
      </w:r>
      <w:r w:rsidR="00843F98" w:rsidRPr="00E80BA7">
        <w:t>FBT</w:t>
      </w:r>
      <w:r>
        <w:t>)</w:t>
      </w:r>
      <w:r w:rsidR="00843F98" w:rsidRPr="00E80BA7">
        <w:t xml:space="preserve"> remote </w:t>
      </w:r>
      <w:r w:rsidR="00B11695">
        <w:t xml:space="preserve">area </w:t>
      </w:r>
      <w:r w:rsidR="00843F98" w:rsidRPr="00E80BA7">
        <w:t xml:space="preserve">concessions would have a direct impact on state agencies </w:t>
      </w:r>
      <w:r w:rsidR="00F81DDD" w:rsidRPr="00E80BA7">
        <w:t xml:space="preserve">delivering services </w:t>
      </w:r>
      <w:r w:rsidR="00E80BA7">
        <w:t xml:space="preserve">to </w:t>
      </w:r>
      <w:r w:rsidR="00F81DDD" w:rsidRPr="00E80BA7">
        <w:t>the remote regions of Queensland</w:t>
      </w:r>
      <w:r>
        <w:t xml:space="preserve"> in the form of an </w:t>
      </w:r>
      <w:r w:rsidR="00F81DDD" w:rsidRPr="00E80BA7">
        <w:t>increased FBT liability for state agencies</w:t>
      </w:r>
      <w:r>
        <w:t>.</w:t>
      </w:r>
      <w:r w:rsidR="00F81DDD" w:rsidRPr="00E80BA7">
        <w:t xml:space="preserve"> </w:t>
      </w:r>
      <w:r>
        <w:t xml:space="preserve"> State employees able to access to an FBT Exemption Cap may face changes to the composition of benefits able to be packaged under the FBT cap. As a general premise, the proposed changes will </w:t>
      </w:r>
      <w:r w:rsidR="00F81DDD" w:rsidRPr="00E80BA7">
        <w:t>increase the challenge</w:t>
      </w:r>
      <w:r w:rsidR="00E80BA7">
        <w:t xml:space="preserve"> of</w:t>
      </w:r>
      <w:r w:rsidR="00F81DDD" w:rsidRPr="00E80BA7">
        <w:t xml:space="preserve"> attracting and retaining qualified staff and state service delivery in remote areas.</w:t>
      </w:r>
      <w:r w:rsidR="00F81DDD">
        <w:t xml:space="preserve"> </w:t>
      </w:r>
    </w:p>
    <w:p w14:paraId="07CE8300" w14:textId="77777777" w:rsidR="005F4D93" w:rsidRDefault="001562AE" w:rsidP="00FE1442">
      <w:pPr>
        <w:spacing w:before="180" w:after="0"/>
        <w:jc w:val="both"/>
      </w:pPr>
      <w:r>
        <w:t xml:space="preserve">The Draft Report includes </w:t>
      </w:r>
      <w:r w:rsidR="00EB11F8">
        <w:t>several</w:t>
      </w:r>
      <w:r>
        <w:t xml:space="preserve"> recommendations that will have direct and material impacts on many residents of regional and remote Queensland. The Queensland Government welcomes the opportunity to make a submission to this inquiry to </w:t>
      </w:r>
      <w:r w:rsidR="003C119C">
        <w:t xml:space="preserve">provide context around Queensland’s regional and remote areas, and to highlight some of the issues arising from the Draft Report and recommendations as relevant to Queensland. </w:t>
      </w:r>
    </w:p>
    <w:p w14:paraId="1884404A" w14:textId="77777777" w:rsidR="00F872CB" w:rsidRPr="00783A33" w:rsidRDefault="001562AE" w:rsidP="00F872CB">
      <w:pPr>
        <w:pStyle w:val="Heading2"/>
        <w:rPr>
          <w:i/>
          <w:sz w:val="22"/>
          <w:szCs w:val="22"/>
        </w:rPr>
      </w:pPr>
      <w:bookmarkStart w:id="15" w:name="_Toc19786409"/>
      <w:bookmarkStart w:id="16" w:name="_Toc19786532"/>
      <w:bookmarkStart w:id="17" w:name="_Toc19793076"/>
      <w:bookmarkStart w:id="18" w:name="_Toc19799687"/>
      <w:bookmarkStart w:id="19" w:name="_Toc19799767"/>
      <w:bookmarkStart w:id="20" w:name="_Toc19801879"/>
      <w:bookmarkStart w:id="21" w:name="_Toc19863738"/>
      <w:bookmarkStart w:id="22" w:name="_Toc19868445"/>
      <w:bookmarkStart w:id="23" w:name="_Toc19881323"/>
      <w:bookmarkStart w:id="24" w:name="_Toc19888002"/>
      <w:r>
        <w:rPr>
          <w:i/>
          <w:sz w:val="22"/>
          <w:szCs w:val="22"/>
        </w:rPr>
        <w:t>Q</w:t>
      </w:r>
      <w:bookmarkEnd w:id="15"/>
      <w:bookmarkEnd w:id="16"/>
      <w:r>
        <w:rPr>
          <w:i/>
          <w:sz w:val="22"/>
          <w:szCs w:val="22"/>
        </w:rPr>
        <w:t>ueensland’s r</w:t>
      </w:r>
      <w:r w:rsidRPr="00783A33">
        <w:rPr>
          <w:i/>
          <w:sz w:val="22"/>
          <w:szCs w:val="22"/>
        </w:rPr>
        <w:t xml:space="preserve">egional economic </w:t>
      </w:r>
      <w:r>
        <w:rPr>
          <w:i/>
          <w:sz w:val="22"/>
          <w:szCs w:val="22"/>
        </w:rPr>
        <w:t xml:space="preserve">characteristics and </w:t>
      </w:r>
      <w:r w:rsidRPr="00783A33">
        <w:rPr>
          <w:i/>
          <w:sz w:val="22"/>
          <w:szCs w:val="22"/>
        </w:rPr>
        <w:t>conditions</w:t>
      </w:r>
      <w:bookmarkEnd w:id="17"/>
      <w:bookmarkEnd w:id="18"/>
      <w:bookmarkEnd w:id="19"/>
      <w:bookmarkEnd w:id="20"/>
      <w:bookmarkEnd w:id="21"/>
      <w:bookmarkEnd w:id="22"/>
      <w:bookmarkEnd w:id="23"/>
      <w:bookmarkEnd w:id="24"/>
    </w:p>
    <w:p w14:paraId="24A30D95" w14:textId="77777777" w:rsidR="00DD2E6E" w:rsidRDefault="001562AE" w:rsidP="000C0C8F">
      <w:pPr>
        <w:jc w:val="both"/>
      </w:pPr>
      <w:r>
        <w:t>Q</w:t>
      </w:r>
      <w:r w:rsidR="00FF3681">
        <w:t>ueensland</w:t>
      </w:r>
      <w:r>
        <w:t>’s</w:t>
      </w:r>
      <w:r w:rsidR="00FF3681">
        <w:t xml:space="preserve"> regional economies</w:t>
      </w:r>
      <w:r w:rsidR="00632FAC">
        <w:t>,</w:t>
      </w:r>
      <w:r w:rsidR="00FF3681">
        <w:t xml:space="preserve"> </w:t>
      </w:r>
      <w:r w:rsidR="00B14DD9">
        <w:t>like most other regional economies</w:t>
      </w:r>
      <w:r w:rsidR="00632FAC">
        <w:t>,</w:t>
      </w:r>
      <w:r w:rsidR="00B14DD9">
        <w:t xml:space="preserve"> continue to transition, underpinned by changes in economic structure, population and demography. </w:t>
      </w:r>
      <w:r>
        <w:t xml:space="preserve">Further the </w:t>
      </w:r>
      <w:r w:rsidR="00AB19BF">
        <w:t>S</w:t>
      </w:r>
      <w:r>
        <w:t xml:space="preserve">tate’s regional economies are reasonably different in terms of key industries, population size, proximity to markets, connectivity and socio-economic </w:t>
      </w:r>
      <w:r w:rsidR="006056AF">
        <w:t>status</w:t>
      </w:r>
      <w:r>
        <w:t xml:space="preserve">. </w:t>
      </w:r>
      <w:r w:rsidR="009B16E4">
        <w:t xml:space="preserve">Policy design and implementation needs to consider these unique socioeconomic characteristics across different regions. </w:t>
      </w:r>
    </w:p>
    <w:p w14:paraId="1E4CD789" w14:textId="77777777" w:rsidR="0024719F" w:rsidRDefault="001562AE" w:rsidP="0024719F">
      <w:pPr>
        <w:jc w:val="both"/>
      </w:pPr>
      <w:r>
        <w:t xml:space="preserve">Regions outside of South East Queensland </w:t>
      </w:r>
      <w:r w:rsidR="00A05C52">
        <w:t xml:space="preserve">(SEQ) </w:t>
      </w:r>
      <w:r>
        <w:t>account for approximately one-third of the State’s total economic output and are home to around 28</w:t>
      </w:r>
      <w:r w:rsidR="00AB19BF">
        <w:t xml:space="preserve"> per cent</w:t>
      </w:r>
      <w:r>
        <w:t xml:space="preserve"> of the State’s growing population. Mining and agriculture account for just under 40</w:t>
      </w:r>
      <w:r w:rsidR="00AB19BF">
        <w:t xml:space="preserve"> per cent</w:t>
      </w:r>
      <w:r>
        <w:t xml:space="preserve"> of regional output, and so conditions within these industries, along with those in the tourism sector, are key drivers of economic outcomes in regional Queensland. </w:t>
      </w:r>
    </w:p>
    <w:p w14:paraId="04F56469" w14:textId="77777777" w:rsidR="00DD2E6E" w:rsidRDefault="001562AE" w:rsidP="000C0C8F">
      <w:pPr>
        <w:jc w:val="both"/>
      </w:pPr>
      <w:r>
        <w:t xml:space="preserve">Further, </w:t>
      </w:r>
      <w:r w:rsidR="00A05C52">
        <w:t>Queensland’s regions are home to a relatively high proportion of Aboriginal and Torres Strait Islander residents, who at the time of the 2016 Census accounted for around 10 per cent of the total population outside of SEQ, compared with less than 3 per cent in SEQ</w:t>
      </w:r>
      <w:r w:rsidR="00AB19BF">
        <w:t xml:space="preserve">, </w:t>
      </w:r>
      <w:r w:rsidR="00537192">
        <w:t>3 per cent</w:t>
      </w:r>
      <w:r w:rsidR="00AB19BF">
        <w:t xml:space="preserve"> in New South Wales and </w:t>
      </w:r>
      <w:r w:rsidR="00537192">
        <w:t>1 per cent</w:t>
      </w:r>
      <w:r w:rsidR="00AB19BF">
        <w:t xml:space="preserve"> in Victoria</w:t>
      </w:r>
      <w:r w:rsidR="00A05C52">
        <w:t>.</w:t>
      </w:r>
      <w:r w:rsidR="0024719F">
        <w:t xml:space="preserve"> This is an important consideration when it comes to understanding how best to support regions</w:t>
      </w:r>
      <w:r w:rsidR="00131C22">
        <w:t>,</w:t>
      </w:r>
      <w:r w:rsidR="0024719F">
        <w:t xml:space="preserve"> </w:t>
      </w:r>
      <w:r w:rsidR="00131C22">
        <w:t>as Aboriginal and Torres Strait Islander peoples can face additional challenges</w:t>
      </w:r>
      <w:r w:rsidR="00131C22" w:rsidRPr="00131C22">
        <w:t xml:space="preserve"> </w:t>
      </w:r>
      <w:r w:rsidR="00131C22">
        <w:t xml:space="preserve">in accessing opportunities to </w:t>
      </w:r>
      <w:r w:rsidR="00AB19BF">
        <w:t>participate in the economy</w:t>
      </w:r>
      <w:r w:rsidR="00131C22">
        <w:t>.</w:t>
      </w:r>
    </w:p>
    <w:p w14:paraId="5519C81D" w14:textId="77777777" w:rsidR="00C41D33" w:rsidRDefault="00C41D33" w:rsidP="000C0C8F">
      <w:pPr>
        <w:jc w:val="both"/>
      </w:pPr>
    </w:p>
    <w:p w14:paraId="591EF4AC" w14:textId="77777777" w:rsidR="000C0C8F" w:rsidRDefault="001562AE" w:rsidP="000C0C8F">
      <w:pPr>
        <w:jc w:val="both"/>
      </w:pPr>
      <w:r>
        <w:lastRenderedPageBreak/>
        <w:t>More broadly</w:t>
      </w:r>
      <w:r w:rsidR="00F872CB">
        <w:t xml:space="preserve">, regional </w:t>
      </w:r>
      <w:r>
        <w:t xml:space="preserve">economic </w:t>
      </w:r>
      <w:r w:rsidR="00F872CB">
        <w:t>conditions</w:t>
      </w:r>
      <w:r w:rsidR="00C861EC">
        <w:t xml:space="preserve"> in Queensland</w:t>
      </w:r>
      <w:r w:rsidR="00F872CB">
        <w:t xml:space="preserve"> have been improving in recent years, although outcomes have been uneven across (and within) regions, with ongoing challenges facing Queensland</w:t>
      </w:r>
      <w:r w:rsidR="00F872CB">
        <w:noBreakHyphen/>
        <w:t xml:space="preserve">Outback and Townsville in particular. </w:t>
      </w:r>
      <w:r>
        <w:t xml:space="preserve">Further, many of Queensland’s regions are also still recovering from the devastating economic and social impacts of the </w:t>
      </w:r>
      <w:r w:rsidR="00C861EC">
        <w:t xml:space="preserve">drought, </w:t>
      </w:r>
      <w:r>
        <w:t>North Queensland Floods in February</w:t>
      </w:r>
      <w:r w:rsidR="00C861EC">
        <w:t xml:space="preserve"> and the recent bushfires</w:t>
      </w:r>
      <w:r>
        <w:t>.</w:t>
      </w:r>
    </w:p>
    <w:p w14:paraId="139D5928" w14:textId="77777777" w:rsidR="009E03B5" w:rsidRDefault="001562AE" w:rsidP="00A70910">
      <w:pPr>
        <w:jc w:val="both"/>
      </w:pPr>
      <w:r>
        <w:t>In the key regional centres of Mackay, Townsville and Cairns which currently lie within ZTO Zone B (ordinary), economic conditions</w:t>
      </w:r>
      <w:r w:rsidRPr="00DE151D">
        <w:t xml:space="preserve"> </w:t>
      </w:r>
      <w:r w:rsidR="009B2DDB" w:rsidRPr="00C30AF4">
        <w:t xml:space="preserve">remain mixed. Sluggish global economic conditions affecting demand for resources </w:t>
      </w:r>
      <w:r w:rsidR="003F5172">
        <w:t xml:space="preserve">is </w:t>
      </w:r>
      <w:r w:rsidR="009B2DDB" w:rsidRPr="00C30AF4">
        <w:t xml:space="preserve">weighing on conditions in Mackay and Townsville, while the lower </w:t>
      </w:r>
      <w:r>
        <w:t>Australian dollar</w:t>
      </w:r>
      <w:r w:rsidR="009B2DDB" w:rsidRPr="00C30AF4">
        <w:t xml:space="preserve"> </w:t>
      </w:r>
      <w:r w:rsidR="00960DE9">
        <w:t>is helping support</w:t>
      </w:r>
      <w:r w:rsidR="009B2DDB" w:rsidRPr="00C30AF4">
        <w:t xml:space="preserve"> the tourism industry in Cairns. </w:t>
      </w:r>
    </w:p>
    <w:p w14:paraId="167211E0" w14:textId="77777777" w:rsidR="00444CC8" w:rsidRDefault="001562AE" w:rsidP="00444CC8">
      <w:pPr>
        <w:jc w:val="both"/>
      </w:pPr>
      <w:r>
        <w:t xml:space="preserve">Queensland – Outback’s economy is closely linked with metals mining (around Mount Isa and Weipa) and agriculture (primarily beef), while gas developments are also supporting the south west. The region continues to face challenging conditions, including those presented by a declining population, typically persistent dry conditions and a narrow industry base. </w:t>
      </w:r>
    </w:p>
    <w:p w14:paraId="312476A6" w14:textId="77777777" w:rsidR="009E03B5" w:rsidRPr="009E03B5" w:rsidRDefault="001562AE" w:rsidP="009E03B5">
      <w:pPr>
        <w:jc w:val="both"/>
      </w:pPr>
      <w:r>
        <w:t>R</w:t>
      </w:r>
      <w:r w:rsidRPr="009E03B5">
        <w:t xml:space="preserve">egional Queensland </w:t>
      </w:r>
      <w:r>
        <w:t xml:space="preserve">is expected to </w:t>
      </w:r>
      <w:r w:rsidRPr="009E03B5">
        <w:t>continue to face challenging conditions, including from ongoing drought, low livestock numbers, depleting mineral deposits and a deterioration in the global economic outlook more broadly. However, long-term opportunities exist in the production of high-quality food, diverse holiday destinations and rising demand from fast growing Asia.</w:t>
      </w:r>
    </w:p>
    <w:p w14:paraId="5EE88197" w14:textId="77777777" w:rsidR="00860641" w:rsidRPr="00783A33" w:rsidRDefault="001562AE" w:rsidP="00860641">
      <w:pPr>
        <w:pStyle w:val="Heading2"/>
        <w:rPr>
          <w:i/>
          <w:sz w:val="22"/>
          <w:szCs w:val="22"/>
        </w:rPr>
      </w:pPr>
      <w:bookmarkStart w:id="25" w:name="_Toc19695005"/>
      <w:bookmarkStart w:id="26" w:name="_Toc19716253"/>
      <w:bookmarkStart w:id="27" w:name="_Toc19776204"/>
      <w:bookmarkStart w:id="28" w:name="_Toc19786534"/>
      <w:bookmarkStart w:id="29" w:name="_Toc19793077"/>
      <w:bookmarkStart w:id="30" w:name="_Toc19799688"/>
      <w:bookmarkStart w:id="31" w:name="_Toc19799768"/>
      <w:bookmarkStart w:id="32" w:name="_Toc19801880"/>
      <w:bookmarkStart w:id="33" w:name="_Toc19863739"/>
      <w:bookmarkStart w:id="34" w:name="_Toc19868446"/>
      <w:bookmarkStart w:id="35" w:name="_Toc19881324"/>
      <w:bookmarkStart w:id="36" w:name="_Toc19888003"/>
      <w:r w:rsidRPr="00783A33">
        <w:rPr>
          <w:i/>
          <w:sz w:val="22"/>
          <w:szCs w:val="22"/>
        </w:rPr>
        <w:t>Socio-economic disadvantage</w:t>
      </w:r>
      <w:bookmarkEnd w:id="25"/>
      <w:bookmarkEnd w:id="26"/>
      <w:bookmarkEnd w:id="27"/>
      <w:bookmarkEnd w:id="28"/>
      <w:bookmarkEnd w:id="29"/>
      <w:bookmarkEnd w:id="30"/>
      <w:bookmarkEnd w:id="31"/>
      <w:bookmarkEnd w:id="32"/>
      <w:bookmarkEnd w:id="33"/>
      <w:bookmarkEnd w:id="34"/>
      <w:bookmarkEnd w:id="35"/>
      <w:bookmarkEnd w:id="36"/>
    </w:p>
    <w:p w14:paraId="18C05C0B" w14:textId="77777777" w:rsidR="00DF49E7" w:rsidRDefault="001562AE" w:rsidP="00DF49E7">
      <w:pPr>
        <w:jc w:val="both"/>
      </w:pPr>
      <w:r>
        <w:t xml:space="preserve">Socio-economic disadvantage compounds the challenges posed by broader economic and social factors, </w:t>
      </w:r>
      <w:r w:rsidR="00EE71B8">
        <w:t>as</w:t>
      </w:r>
      <w:r>
        <w:t xml:space="preserve"> disadvantaged </w:t>
      </w:r>
      <w:r w:rsidR="00EE71B8">
        <w:t xml:space="preserve">populations </w:t>
      </w:r>
      <w:r>
        <w:t>have a diminished capacity to adapt to economic disruption or social change. As such, persons facing socio-economic disadvantage rely heavily on public services and government support to work through challenges and build a better future for themselves and their families.</w:t>
      </w:r>
    </w:p>
    <w:p w14:paraId="2697D1D6" w14:textId="77777777" w:rsidR="00DF49E7" w:rsidRPr="000F6C88" w:rsidRDefault="001562AE" w:rsidP="00954F1D">
      <w:pPr>
        <w:jc w:val="both"/>
      </w:pPr>
      <w:r>
        <w:t xml:space="preserve">Many of Queensland’s regions and remote areas face significant socio-economic disadvantage. </w:t>
      </w:r>
      <w:r w:rsidR="00644A04">
        <w:t xml:space="preserve">At the time of the 2016 Census, </w:t>
      </w:r>
      <w:r w:rsidR="00E9353D">
        <w:t xml:space="preserve">seven </w:t>
      </w:r>
      <w:r w:rsidR="00644A04">
        <w:t>o</w:t>
      </w:r>
      <w:r>
        <w:t>f the 10 most disadvantaged LGAs nationally</w:t>
      </w:r>
      <w:r w:rsidR="00EE71B8">
        <w:t>,</w:t>
      </w:r>
      <w:r w:rsidR="00644A04">
        <w:t xml:space="preserve"> based on the </w:t>
      </w:r>
      <w:r w:rsidR="00D32024" w:rsidRPr="000F6C88">
        <w:t xml:space="preserve">ABS’ </w:t>
      </w:r>
      <w:r w:rsidR="00644A04" w:rsidRPr="000F6C88">
        <w:t xml:space="preserve">Index of Relative Socio-Economic </w:t>
      </w:r>
      <w:r w:rsidR="006B48B5" w:rsidRPr="000F6C88">
        <w:t xml:space="preserve">Advantage and </w:t>
      </w:r>
      <w:r w:rsidR="00644A04" w:rsidRPr="000F6C88">
        <w:t>Disadvantage</w:t>
      </w:r>
      <w:r w:rsidR="006B48B5" w:rsidRPr="000F6C88">
        <w:t xml:space="preserve"> </w:t>
      </w:r>
      <w:r w:rsidR="00D32024" w:rsidRPr="000F6C88">
        <w:t>(IRS</w:t>
      </w:r>
      <w:r w:rsidR="006B48B5" w:rsidRPr="000F6C88">
        <w:t>A</w:t>
      </w:r>
      <w:r w:rsidR="00644A04" w:rsidRPr="000F6C88">
        <w:t>D)</w:t>
      </w:r>
      <w:r w:rsidR="00EE71B8">
        <w:t>,</w:t>
      </w:r>
      <w:r w:rsidRPr="000F6C88">
        <w:t xml:space="preserve"> were in Queensland. </w:t>
      </w:r>
    </w:p>
    <w:p w14:paraId="2959CF4B" w14:textId="77777777" w:rsidR="00DF49E7" w:rsidRDefault="001562AE" w:rsidP="00954F1D">
      <w:pPr>
        <w:jc w:val="both"/>
      </w:pPr>
      <w:r w:rsidRPr="000F6C88">
        <w:t xml:space="preserve">Queensland's regions also display relatively high variation in the extent of the socio-economic disadvantage that they face, particularly when compared with other east coast states. For example, Queensland's LGAs that include remote or very remote areas range from 504 to 1,064 on the </w:t>
      </w:r>
      <w:r w:rsidR="00102660" w:rsidRPr="000F6C88">
        <w:t>ABS’s Index of Relative Socio-economic Disadvantage (</w:t>
      </w:r>
      <w:r w:rsidRPr="000F6C88">
        <w:t>IRSD</w:t>
      </w:r>
      <w:r w:rsidR="00102660" w:rsidRPr="000F6C88">
        <w:t>)</w:t>
      </w:r>
      <w:r w:rsidRPr="000F6C88">
        <w:t>,</w:t>
      </w:r>
      <w:r w:rsidRPr="00DF49E7">
        <w:t xml:space="preserve"> compared with 757 to 991 in New South Wales and 935 to 1</w:t>
      </w:r>
      <w:r w:rsidR="00EE71B8">
        <w:t>,</w:t>
      </w:r>
      <w:r w:rsidRPr="00DF49E7">
        <w:t xml:space="preserve">044 in Victoria. Further, </w:t>
      </w:r>
      <w:r w:rsidR="002D41E1">
        <w:t xml:space="preserve">based on 2016 census data </w:t>
      </w:r>
      <w:r w:rsidRPr="00DF49E7">
        <w:t xml:space="preserve">there is a much larger population of people living in </w:t>
      </w:r>
      <w:r w:rsidR="009E3075">
        <w:t>remote and very remote</w:t>
      </w:r>
      <w:r w:rsidR="009E3075" w:rsidRPr="00DF49E7">
        <w:t xml:space="preserve"> </w:t>
      </w:r>
      <w:r w:rsidRPr="00DF49E7">
        <w:t>areas in Queensland (around 124,000) than in New South Wale</w:t>
      </w:r>
      <w:r>
        <w:t>s (</w:t>
      </w:r>
      <w:r w:rsidR="003D4F8C">
        <w:t>35</w:t>
      </w:r>
      <w:r>
        <w:t>,000) and Victoria (3,000).</w:t>
      </w:r>
    </w:p>
    <w:p w14:paraId="75722DD6" w14:textId="77777777" w:rsidR="00783A33" w:rsidRDefault="001562AE" w:rsidP="00E4570F">
      <w:pPr>
        <w:jc w:val="both"/>
      </w:pPr>
      <w:r>
        <w:t xml:space="preserve">As highlighted in the Draft Report, many recipients of the RAA are located within areas of the highest socio-economic disadvantage. This is also true for many persons living in ZTO zones. </w:t>
      </w:r>
      <w:r w:rsidR="00347541">
        <w:t>N</w:t>
      </w:r>
      <w:r w:rsidR="00860641">
        <w:t xml:space="preserve">early half of Queenslanders (47%) living in the </w:t>
      </w:r>
      <w:r>
        <w:t>ZTO</w:t>
      </w:r>
      <w:r w:rsidR="00860641">
        <w:t xml:space="preserve"> zones are in the bottom third of the </w:t>
      </w:r>
      <w:r w:rsidR="00860641" w:rsidRPr="00A961BC">
        <w:t>IRSD</w:t>
      </w:r>
      <w:r w:rsidR="00102660">
        <w:t>.</w:t>
      </w:r>
      <w:r w:rsidR="00860641" w:rsidRPr="00A961BC">
        <w:t xml:space="preserve"> Additionally, only 10% of the population in ZTO zones in Queensland are in the top third of the IRSD</w:t>
      </w:r>
      <w:r w:rsidR="00860641">
        <w:t xml:space="preserve"> distribution. </w:t>
      </w:r>
    </w:p>
    <w:p w14:paraId="3855506C" w14:textId="77777777" w:rsidR="00DF49E7" w:rsidRDefault="001562AE" w:rsidP="00E4570F">
      <w:pPr>
        <w:jc w:val="both"/>
      </w:pPr>
      <w:bookmarkStart w:id="37" w:name="_Toc19695006"/>
      <w:bookmarkStart w:id="38" w:name="_Toc19716254"/>
      <w:bookmarkStart w:id="39" w:name="_Toc19776205"/>
      <w:bookmarkStart w:id="40" w:name="_Toc19786535"/>
      <w:bookmarkStart w:id="41" w:name="_Toc19793078"/>
      <w:bookmarkStart w:id="42" w:name="_Toc19799689"/>
      <w:bookmarkStart w:id="43" w:name="_Toc19799769"/>
      <w:bookmarkStart w:id="44" w:name="_Toc19801881"/>
      <w:bookmarkStart w:id="45" w:name="_Toc19863740"/>
      <w:bookmarkStart w:id="46" w:name="_Toc19868447"/>
      <w:bookmarkStart w:id="47" w:name="_Toc19881325"/>
      <w:bookmarkStart w:id="48" w:name="_Toc19888004"/>
      <w:r>
        <w:t xml:space="preserve">The </w:t>
      </w:r>
      <w:r w:rsidR="00EB5B1F">
        <w:t>depth</w:t>
      </w:r>
      <w:r>
        <w:t>, variability and number of persons experiencing socio-economic disadvantage in Queensland</w:t>
      </w:r>
      <w:r w:rsidR="00EE71B8">
        <w:t>’s regions</w:t>
      </w:r>
      <w:r>
        <w:t xml:space="preserve"> underscores the need to consider any changes to remote area concessions and supports extremely carefully to avoid adverse outcomes and unintended consequences. </w:t>
      </w:r>
    </w:p>
    <w:p w14:paraId="3BFB0571" w14:textId="77777777" w:rsidR="00860641" w:rsidRPr="00783A33" w:rsidRDefault="001562AE" w:rsidP="00860641">
      <w:pPr>
        <w:pStyle w:val="Heading2"/>
        <w:rPr>
          <w:i/>
          <w:sz w:val="22"/>
          <w:szCs w:val="22"/>
        </w:rPr>
      </w:pPr>
      <w:r w:rsidRPr="00783A33">
        <w:rPr>
          <w:i/>
          <w:sz w:val="22"/>
          <w:szCs w:val="22"/>
        </w:rPr>
        <w:t>Cost</w:t>
      </w:r>
      <w:r w:rsidR="004535C0">
        <w:rPr>
          <w:i/>
          <w:sz w:val="22"/>
          <w:szCs w:val="22"/>
        </w:rPr>
        <w:t>s</w:t>
      </w:r>
      <w:r w:rsidRPr="00783A33">
        <w:rPr>
          <w:i/>
          <w:sz w:val="22"/>
          <w:szCs w:val="22"/>
        </w:rPr>
        <w:t xml:space="preserve"> of living in regional areas</w:t>
      </w:r>
      <w:bookmarkEnd w:id="37"/>
      <w:bookmarkEnd w:id="38"/>
      <w:bookmarkEnd w:id="39"/>
      <w:bookmarkEnd w:id="40"/>
      <w:bookmarkEnd w:id="41"/>
      <w:bookmarkEnd w:id="42"/>
      <w:bookmarkEnd w:id="43"/>
      <w:bookmarkEnd w:id="44"/>
      <w:bookmarkEnd w:id="45"/>
      <w:bookmarkEnd w:id="46"/>
      <w:bookmarkEnd w:id="47"/>
      <w:bookmarkEnd w:id="48"/>
    </w:p>
    <w:p w14:paraId="280CA176" w14:textId="77777777" w:rsidR="00860641" w:rsidRDefault="001562AE" w:rsidP="00E4570F">
      <w:pPr>
        <w:jc w:val="both"/>
      </w:pPr>
      <w:r>
        <w:t xml:space="preserve">The Queensland Government notes the analysis of costs of living in regional and remote areas contained in the Draft Report, and the overall conclusion that ‘the data suggest that some living cost pressures are inherent to remoteness’. </w:t>
      </w:r>
    </w:p>
    <w:p w14:paraId="079AE471" w14:textId="77777777" w:rsidR="00860641" w:rsidRDefault="001562AE" w:rsidP="00E4570F">
      <w:pPr>
        <w:jc w:val="both"/>
      </w:pPr>
      <w:r>
        <w:t>Cost of living is an important issue fo</w:t>
      </w:r>
      <w:r w:rsidR="00EE71B8">
        <w:t xml:space="preserve">r regional Queenslanders, with </w:t>
      </w:r>
      <w:r>
        <w:t>cost pressures having a significant impact on the standard of living of families and individuals. As such, it is critical that any future policy recommendations based in-full or in-part on analysis of costs of living take full consideration of any interpretive issues and data limitations.</w:t>
      </w:r>
    </w:p>
    <w:p w14:paraId="5C3A7BD8" w14:textId="77777777" w:rsidR="0057480F" w:rsidRDefault="001562AE" w:rsidP="00E4570F">
      <w:pPr>
        <w:jc w:val="both"/>
      </w:pPr>
      <w:r>
        <w:t xml:space="preserve">In particular, care should be taken to not place an overreliance on regional price indices, since, and as </w:t>
      </w:r>
      <w:r w:rsidR="00347541">
        <w:t xml:space="preserve">evident </w:t>
      </w:r>
      <w:r>
        <w:t xml:space="preserve">in the Draft Report, these price indices can mask substantial price differentials between composites of the consumption basket. </w:t>
      </w:r>
    </w:p>
    <w:p w14:paraId="4AAE0188" w14:textId="77777777" w:rsidR="0057480F" w:rsidRDefault="001562AE" w:rsidP="00E4570F">
      <w:pPr>
        <w:jc w:val="both"/>
      </w:pPr>
      <w:r>
        <w:t>For example,</w:t>
      </w:r>
      <w:r w:rsidR="00FE1442">
        <w:t xml:space="preserve"> </w:t>
      </w:r>
      <w:r w:rsidR="008A799C">
        <w:t xml:space="preserve">based on the </w:t>
      </w:r>
      <w:r w:rsidR="008A799C" w:rsidRPr="008A799C">
        <w:t xml:space="preserve">2015 </w:t>
      </w:r>
      <w:r w:rsidR="008A799C" w:rsidRPr="00C30AF4">
        <w:rPr>
          <w:i/>
          <w:iCs/>
        </w:rPr>
        <w:t>Index of retail prices in Queensland regional centres</w:t>
      </w:r>
      <w:r w:rsidR="008A799C">
        <w:t>,</w:t>
      </w:r>
      <w:r w:rsidR="008A799C" w:rsidRPr="008A799C">
        <w:t xml:space="preserve"> release</w:t>
      </w:r>
      <w:r w:rsidR="003F6AA3">
        <w:t>d</w:t>
      </w:r>
      <w:r w:rsidR="008A799C" w:rsidRPr="008A799C">
        <w:t xml:space="preserve"> </w:t>
      </w:r>
      <w:r w:rsidR="008A799C">
        <w:t xml:space="preserve">by the Queensland Government Statistician’s Office, </w:t>
      </w:r>
      <w:r w:rsidR="006432FD" w:rsidRPr="006432FD">
        <w:t>the All items index shows that Weipa was 26.4</w:t>
      </w:r>
      <w:r w:rsidR="0078504A">
        <w:t xml:space="preserve"> per cent</w:t>
      </w:r>
      <w:r w:rsidR="006432FD" w:rsidRPr="006432FD">
        <w:t xml:space="preserve"> above the Brisbane base region. In part, this overall price differential can be attributed to the housing index, recreation index and food index which shows that Weipa was 78.3</w:t>
      </w:r>
      <w:r w:rsidR="0078504A">
        <w:t xml:space="preserve"> per cent</w:t>
      </w:r>
      <w:r w:rsidR="006432FD" w:rsidRPr="006432FD">
        <w:t>, 28.4</w:t>
      </w:r>
      <w:r w:rsidR="0078504A">
        <w:t xml:space="preserve"> per cent</w:t>
      </w:r>
      <w:r w:rsidR="006432FD" w:rsidRPr="006432FD">
        <w:t xml:space="preserve"> and 23.6</w:t>
      </w:r>
      <w:r w:rsidR="0078504A">
        <w:t xml:space="preserve"> per cent,</w:t>
      </w:r>
      <w:r w:rsidR="006432FD" w:rsidRPr="006432FD">
        <w:t xml:space="preserve"> respectively above the Brisbane base region. Many other indices at the group level (e.g. clothing and footwear, health, transportation) are comparable to the Brisbane base region. </w:t>
      </w:r>
    </w:p>
    <w:p w14:paraId="107DA61C" w14:textId="77777777" w:rsidR="00860641" w:rsidRDefault="001562AE" w:rsidP="00E4570F">
      <w:pPr>
        <w:jc w:val="both"/>
      </w:pPr>
      <w:r w:rsidRPr="006432FD">
        <w:lastRenderedPageBreak/>
        <w:t>Therefore, to better understand why the overall retail prices are greater in one location than another location, it is important to look at the underlying components that make up the overall index.</w:t>
      </w:r>
    </w:p>
    <w:p w14:paraId="3F5A42A2" w14:textId="77777777" w:rsidR="00860641" w:rsidRDefault="001562AE" w:rsidP="00E4570F">
      <w:pPr>
        <w:jc w:val="both"/>
      </w:pPr>
      <w:r>
        <w:t xml:space="preserve">Further, the Queensland Government would highlight the following points on the usage of the 2015 </w:t>
      </w:r>
      <w:r w:rsidRPr="003365C7">
        <w:rPr>
          <w:i/>
        </w:rPr>
        <w:t>Index of retail prices in Queensland regional centres</w:t>
      </w:r>
      <w:r>
        <w:t xml:space="preserve"> release, as outlined in the explanatory notes (emphasis in bold): </w:t>
      </w:r>
    </w:p>
    <w:p w14:paraId="04BB1F1E" w14:textId="77777777" w:rsidR="00860641" w:rsidRDefault="001562AE" w:rsidP="002D3E6C">
      <w:pPr>
        <w:pStyle w:val="ListParagraph"/>
        <w:numPr>
          <w:ilvl w:val="0"/>
          <w:numId w:val="14"/>
        </w:numPr>
        <w:jc w:val="both"/>
      </w:pPr>
      <w:r>
        <w:t>differences in price levels shown in the index should be regarded as indicative rather than absolute</w:t>
      </w:r>
    </w:p>
    <w:p w14:paraId="19A56258" w14:textId="77777777" w:rsidR="00860641" w:rsidRPr="001120CA" w:rsidRDefault="001562AE" w:rsidP="002D3E6C">
      <w:pPr>
        <w:pStyle w:val="ListParagraph"/>
        <w:numPr>
          <w:ilvl w:val="0"/>
          <w:numId w:val="14"/>
        </w:numPr>
        <w:jc w:val="both"/>
      </w:pPr>
      <w:r w:rsidRPr="001120CA">
        <w:t>differences in overall costs that result from differences in consumption patterns between localities are not reflected in the index numbers</w:t>
      </w:r>
    </w:p>
    <w:p w14:paraId="78BA9664" w14:textId="77777777" w:rsidR="00860641" w:rsidRPr="001120CA" w:rsidRDefault="001562AE" w:rsidP="002D3E6C">
      <w:pPr>
        <w:pStyle w:val="ListParagraph"/>
        <w:numPr>
          <w:ilvl w:val="0"/>
          <w:numId w:val="14"/>
        </w:numPr>
        <w:jc w:val="both"/>
      </w:pPr>
      <w:r w:rsidRPr="001120CA">
        <w:t>the appropriateness of the items and weights used will vary from centre to centre</w:t>
      </w:r>
    </w:p>
    <w:p w14:paraId="29288506" w14:textId="77777777" w:rsidR="00860641" w:rsidRPr="00582453" w:rsidRDefault="001562AE" w:rsidP="002D3E6C">
      <w:pPr>
        <w:pStyle w:val="ListParagraph"/>
        <w:numPr>
          <w:ilvl w:val="0"/>
          <w:numId w:val="14"/>
        </w:numPr>
        <w:jc w:val="both"/>
      </w:pPr>
      <w:r w:rsidRPr="00582453">
        <w:t>the information is collected at one point in time, and the relativities represented by the indexes are subject to seasonal and other influences on price levels in different centres at different points in time.</w:t>
      </w:r>
    </w:p>
    <w:p w14:paraId="1283F30D" w14:textId="77777777" w:rsidR="00860641" w:rsidRDefault="001562AE" w:rsidP="00E4570F">
      <w:pPr>
        <w:jc w:val="both"/>
      </w:pPr>
      <w:r>
        <w:t xml:space="preserve">The emphasised points above are particularly important to consider when interpreting regional price indices for the purposes of informing policy recommendations. As highlighted in the Draft Report, the nature of life in regional and remote areas can necessitate a significantly higher/lower reliance on certain goods and services.  </w:t>
      </w:r>
    </w:p>
    <w:p w14:paraId="6B0FF237" w14:textId="77777777" w:rsidR="00A55FA2" w:rsidRPr="001F5C73" w:rsidRDefault="001562AE" w:rsidP="003F6E86">
      <w:pPr>
        <w:jc w:val="both"/>
      </w:pPr>
      <w:bookmarkStart w:id="49" w:name="_Toc19695007"/>
      <w:bookmarkStart w:id="50" w:name="_Toc19716255"/>
      <w:r>
        <w:t xml:space="preserve">Insurance affordability is </w:t>
      </w:r>
      <w:r w:rsidR="00AA6A10">
        <w:t>an</w:t>
      </w:r>
      <w:r>
        <w:t xml:space="preserve">other key issue facing some regional economies, particularly </w:t>
      </w:r>
      <w:r w:rsidR="001C5F74">
        <w:t>in north</w:t>
      </w:r>
      <w:r w:rsidR="00B94991">
        <w:t xml:space="preserve"> Queensland</w:t>
      </w:r>
      <w:r w:rsidR="001C5F74">
        <w:t xml:space="preserve">. </w:t>
      </w:r>
      <w:r w:rsidR="00B94991">
        <w:t xml:space="preserve"> </w:t>
      </w:r>
      <w:r w:rsidR="00256E15" w:rsidRPr="001F5C73">
        <w:t xml:space="preserve">The </w:t>
      </w:r>
      <w:r w:rsidR="001F5C73" w:rsidRPr="001F5C73">
        <w:t>Australian Competition and Consumer Commission</w:t>
      </w:r>
      <w:r w:rsidR="00933FF2">
        <w:t>’s</w:t>
      </w:r>
      <w:r w:rsidR="001F5C73" w:rsidRPr="001F5C73">
        <w:t xml:space="preserve"> (ACCC) Northern Australia Insurance Inquiry has found that home, contents and strata premiums are, on average, considerably higher in northern Australia than the rest of Australia and have increased more in recent years</w:t>
      </w:r>
      <w:r w:rsidR="001F5C73">
        <w:t>. For example, the study found that combined home and contents insurance products in north Queensland was $2400 compared with $1300 on average in the rest of Australia</w:t>
      </w:r>
      <w:r w:rsidR="00C566C9">
        <w:t>. Further</w:t>
      </w:r>
      <w:r w:rsidR="00734BE0">
        <w:t>,</w:t>
      </w:r>
      <w:r w:rsidR="00C566C9">
        <w:t xml:space="preserve"> between 2007-08 and 2017-18</w:t>
      </w:r>
      <w:r w:rsidR="00734BE0">
        <w:t>,</w:t>
      </w:r>
      <w:r w:rsidR="00C566C9">
        <w:t xml:space="preserve"> the premiums rose by 77 per cent in real terms in north Queensland compared with 50 per cent for rest of Australia.  </w:t>
      </w:r>
    </w:p>
    <w:p w14:paraId="5DCC2688" w14:textId="77777777" w:rsidR="007025A0" w:rsidRDefault="001562AE" w:rsidP="007025A0">
      <w:pPr>
        <w:jc w:val="both"/>
      </w:pPr>
      <w:r>
        <w:t xml:space="preserve">The central importance of cost of living pressures to residents of regional and remote areas warrants additional close consideration of cost of living data and usage limitations, including the issues discussed above. The Queensland Government looks forward to reviewing the expanded cost of living analysis intended for inclusion in the Final Report. </w:t>
      </w:r>
    </w:p>
    <w:p w14:paraId="7BEF27AA" w14:textId="77777777" w:rsidR="00BF5BC1" w:rsidRPr="00BF5BC1" w:rsidRDefault="001562AE" w:rsidP="00BF5BC1">
      <w:pPr>
        <w:pStyle w:val="Heading2"/>
        <w:rPr>
          <w:i/>
          <w:sz w:val="22"/>
          <w:szCs w:val="22"/>
        </w:rPr>
      </w:pPr>
      <w:bookmarkStart w:id="51" w:name="_Toc19716256"/>
      <w:bookmarkStart w:id="52" w:name="_Toc19776207"/>
      <w:bookmarkStart w:id="53" w:name="_Toc19786537"/>
      <w:bookmarkStart w:id="54" w:name="_Toc19793080"/>
      <w:bookmarkStart w:id="55" w:name="_Toc19799690"/>
      <w:bookmarkStart w:id="56" w:name="_Toc19799770"/>
      <w:bookmarkStart w:id="57" w:name="_Toc19801882"/>
      <w:bookmarkStart w:id="58" w:name="_Toc19868448"/>
      <w:bookmarkStart w:id="59" w:name="_Toc19881326"/>
      <w:bookmarkStart w:id="60" w:name="_Toc19888005"/>
      <w:bookmarkStart w:id="61" w:name="_Toc19863741"/>
      <w:bookmarkEnd w:id="49"/>
      <w:bookmarkEnd w:id="50"/>
      <w:r w:rsidRPr="00C30AF4">
        <w:rPr>
          <w:i/>
          <w:sz w:val="22"/>
          <w:szCs w:val="22"/>
        </w:rPr>
        <w:t>Queensland Government</w:t>
      </w:r>
      <w:r w:rsidR="00AA470C">
        <w:rPr>
          <w:i/>
          <w:sz w:val="22"/>
          <w:szCs w:val="22"/>
        </w:rPr>
        <w:t>’s</w:t>
      </w:r>
      <w:r w:rsidRPr="00C30AF4">
        <w:rPr>
          <w:i/>
          <w:sz w:val="22"/>
          <w:szCs w:val="22"/>
        </w:rPr>
        <w:t xml:space="preserve"> support for </w:t>
      </w:r>
      <w:r w:rsidR="00AA470C">
        <w:rPr>
          <w:i/>
          <w:sz w:val="22"/>
          <w:szCs w:val="22"/>
        </w:rPr>
        <w:t xml:space="preserve">building stronger </w:t>
      </w:r>
      <w:r w:rsidRPr="00C30AF4">
        <w:rPr>
          <w:i/>
          <w:sz w:val="22"/>
          <w:szCs w:val="22"/>
        </w:rPr>
        <w:t xml:space="preserve">regional </w:t>
      </w:r>
      <w:bookmarkEnd w:id="51"/>
      <w:bookmarkEnd w:id="52"/>
      <w:bookmarkEnd w:id="53"/>
      <w:bookmarkEnd w:id="54"/>
      <w:bookmarkEnd w:id="55"/>
      <w:bookmarkEnd w:id="56"/>
      <w:bookmarkEnd w:id="57"/>
      <w:r w:rsidR="00AA470C">
        <w:rPr>
          <w:i/>
          <w:sz w:val="22"/>
          <w:szCs w:val="22"/>
        </w:rPr>
        <w:t>economies</w:t>
      </w:r>
      <w:bookmarkEnd w:id="58"/>
      <w:bookmarkEnd w:id="59"/>
      <w:bookmarkEnd w:id="60"/>
      <w:r w:rsidR="00AA470C">
        <w:rPr>
          <w:i/>
          <w:sz w:val="22"/>
          <w:szCs w:val="22"/>
        </w:rPr>
        <w:t xml:space="preserve"> </w:t>
      </w:r>
      <w:bookmarkEnd w:id="61"/>
    </w:p>
    <w:p w14:paraId="20D1930E" w14:textId="77777777" w:rsidR="00E4570F" w:rsidRDefault="001562AE" w:rsidP="00E4570F">
      <w:pPr>
        <w:jc w:val="both"/>
      </w:pPr>
      <w:r>
        <w:t>T</w:t>
      </w:r>
      <w:r w:rsidR="00624E47" w:rsidRPr="00C02357">
        <w:t xml:space="preserve">he Queensland Government has taken substantial steps </w:t>
      </w:r>
      <w:r w:rsidR="00471256" w:rsidRPr="00471256">
        <w:t>to build stronger regional economies and create secure, well-paid jobs for our communities</w:t>
      </w:r>
      <w:r w:rsidR="00624E47" w:rsidRPr="00C02357">
        <w:t xml:space="preserve">, including through a range of significant </w:t>
      </w:r>
      <w:r w:rsidR="009B7862">
        <w:t xml:space="preserve">capital investments and other </w:t>
      </w:r>
      <w:r w:rsidR="00624E47" w:rsidRPr="00C02357">
        <w:t>announcements in the 2019-20 State Budget.</w:t>
      </w:r>
      <w:r w:rsidR="008E324B">
        <w:t xml:space="preserve"> </w:t>
      </w:r>
    </w:p>
    <w:p w14:paraId="230341F3" w14:textId="77777777" w:rsidR="009B7862" w:rsidRDefault="001562AE" w:rsidP="00E4570F">
      <w:pPr>
        <w:jc w:val="both"/>
      </w:pPr>
      <w:r>
        <w:t xml:space="preserve">Around </w:t>
      </w:r>
      <w:r w:rsidRPr="00C02357">
        <w:t xml:space="preserve">60 per cent of the Government’s $12.9 billion capital works program in 2019-20 will be delivered in regions outside </w:t>
      </w:r>
      <w:r w:rsidR="004C4D5A">
        <w:t xml:space="preserve">the </w:t>
      </w:r>
      <w:r w:rsidRPr="00C02357">
        <w:t>Greater Brisbane area, directly supporting 25,500 jobs.</w:t>
      </w:r>
      <w:r>
        <w:t xml:space="preserve"> In recognition of the importance of infrastructure in supporting regional liveability, employment and productivity, </w:t>
      </w:r>
      <w:r w:rsidRPr="00C02357">
        <w:t>the Palaszczuk Government</w:t>
      </w:r>
      <w:r>
        <w:t xml:space="preserve"> has budgeted </w:t>
      </w:r>
      <w:r w:rsidRPr="00C02357">
        <w:t xml:space="preserve">more than $36 billion to fund capital projects in regions outside Greater Brisbane over the five years to 2019-20. </w:t>
      </w:r>
    </w:p>
    <w:p w14:paraId="4F05D427" w14:textId="77777777" w:rsidR="00E13D6F" w:rsidRDefault="001562AE" w:rsidP="00E13D6F">
      <w:pPr>
        <w:jc w:val="both"/>
      </w:pPr>
      <w:r>
        <w:t>The Government’s capital</w:t>
      </w:r>
      <w:r w:rsidRPr="009A3C09">
        <w:t xml:space="preserve"> investment in transformative regional infrastructure is being enhanced through </w:t>
      </w:r>
      <w:r>
        <w:t xml:space="preserve">key </w:t>
      </w:r>
      <w:r w:rsidRPr="009A3C09">
        <w:t xml:space="preserve">programs like </w:t>
      </w:r>
      <w:r>
        <w:t xml:space="preserve">the $515 million </w:t>
      </w:r>
      <w:r w:rsidRPr="009A3C09">
        <w:t>Building our Regions</w:t>
      </w:r>
      <w:r>
        <w:t xml:space="preserve"> and</w:t>
      </w:r>
      <w:r w:rsidR="00734BE0">
        <w:t xml:space="preserve"> t</w:t>
      </w:r>
      <w:r>
        <w:t xml:space="preserve">he $600 million </w:t>
      </w:r>
      <w:r w:rsidRPr="009A3C09">
        <w:t xml:space="preserve">Works for Queensland </w:t>
      </w:r>
      <w:r>
        <w:t>program</w:t>
      </w:r>
      <w:r w:rsidR="006336C6">
        <w:t>s</w:t>
      </w:r>
      <w:r>
        <w:t xml:space="preserve"> supporting </w:t>
      </w:r>
      <w:r w:rsidRPr="009A3C09">
        <w:t>regional councils to undertake</w:t>
      </w:r>
      <w:r w:rsidRPr="00486FEB">
        <w:t xml:space="preserve"> job-creating maintenance and minor infrastructure projects, backing local jobs. </w:t>
      </w:r>
    </w:p>
    <w:p w14:paraId="2DA8C3F2" w14:textId="77777777" w:rsidR="009B7862" w:rsidRDefault="001562AE" w:rsidP="00E4570F">
      <w:pPr>
        <w:jc w:val="both"/>
      </w:pPr>
      <w:r>
        <w:t xml:space="preserve">To ensure all Queenslanders have access to world-class services no matter where they live, the </w:t>
      </w:r>
      <w:r w:rsidR="00946005">
        <w:t>Palaszczuk Government has undertaken</w:t>
      </w:r>
      <w:r>
        <w:t xml:space="preserve"> record </w:t>
      </w:r>
      <w:r w:rsidR="00946005">
        <w:t xml:space="preserve">investments in </w:t>
      </w:r>
      <w:r>
        <w:t>health, education and training services,</w:t>
      </w:r>
      <w:r w:rsidR="004C4D5A">
        <w:t xml:space="preserve"> and</w:t>
      </w:r>
      <w:r>
        <w:t xml:space="preserve"> in the justice system. </w:t>
      </w:r>
    </w:p>
    <w:p w14:paraId="3E71E458" w14:textId="77777777" w:rsidR="006336C6" w:rsidRDefault="001562AE" w:rsidP="006336C6">
      <w:pPr>
        <w:jc w:val="both"/>
      </w:pPr>
      <w:r>
        <w:t>For example, t</w:t>
      </w:r>
      <w:r w:rsidR="005100A3" w:rsidRPr="00F23934">
        <w:t xml:space="preserve">he $100m </w:t>
      </w:r>
      <w:r w:rsidRPr="00F23934">
        <w:rPr>
          <w:i/>
          <w:iCs/>
        </w:rPr>
        <w:t>Advancing rural and remote education in Queensland state schools</w:t>
      </w:r>
      <w:r w:rsidR="005100A3" w:rsidRPr="00F23934">
        <w:t xml:space="preserve"> action plan, released by the Minister for Education in October 2018, sets the direction for supporting students, families, teachers and school leaders in rural and remote areas through 21 priority actions. Through the action plan, an investment of $31.1 million over four years is being made to deliver four Rural and Remote Centres for Learning and Wellbeing. The Centres support the professional learning of school leaders and teachers and provide wellbeing support to staff, students and their families in rural and remote areas of Queensland.</w:t>
      </w:r>
      <w:r w:rsidR="005100A3">
        <w:t xml:space="preserve">  </w:t>
      </w:r>
    </w:p>
    <w:p w14:paraId="3251DE1C" w14:textId="77777777" w:rsidR="00624E47" w:rsidRDefault="001562AE" w:rsidP="00E4570F">
      <w:pPr>
        <w:jc w:val="both"/>
      </w:pPr>
      <w:r>
        <w:t>The Government is</w:t>
      </w:r>
      <w:r w:rsidR="009A3C09">
        <w:t xml:space="preserve"> also taking steps </w:t>
      </w:r>
      <w:r w:rsidR="003F701A">
        <w:t>to</w:t>
      </w:r>
      <w:r w:rsidR="009A3C09">
        <w:t xml:space="preserve"> </w:t>
      </w:r>
      <w:r w:rsidR="00297527">
        <w:t xml:space="preserve">promote employment growth in the </w:t>
      </w:r>
      <w:r w:rsidR="009A3C09">
        <w:t>region</w:t>
      </w:r>
      <w:r w:rsidR="00297527">
        <w:t>s</w:t>
      </w:r>
      <w:r w:rsidR="009A3C09">
        <w:t xml:space="preserve">. </w:t>
      </w:r>
      <w:r w:rsidR="00A72362" w:rsidRPr="00A72362">
        <w:t>The 2019-20 Budget introduced a 1 per cent discount on the payroll tax rate applicable for employers located outside South East Queensland, as part of a $885 million package of payroll tax initiatives, making it easier for regional businesses to invest, grow and employ Queenslanders across all our regions.</w:t>
      </w:r>
      <w:r w:rsidR="00A72362">
        <w:t xml:space="preserve"> </w:t>
      </w:r>
      <w:r w:rsidR="00A72362" w:rsidRPr="00A72362">
        <w:t>Some 2,700 regional businesses will have a payroll tax rate up to 20 per cent lower than their previous rate</w:t>
      </w:r>
      <w:r w:rsidR="00471256" w:rsidRPr="00471256">
        <w:t>.</w:t>
      </w:r>
      <w:r w:rsidR="00A72362">
        <w:t xml:space="preserve"> </w:t>
      </w:r>
    </w:p>
    <w:p w14:paraId="09C29F5B" w14:textId="77777777" w:rsidR="00A72362" w:rsidRDefault="001562AE" w:rsidP="00265671">
      <w:pPr>
        <w:jc w:val="both"/>
      </w:pPr>
      <w:r>
        <w:t xml:space="preserve">Employment is further supported through Back to Work, including a $305 </w:t>
      </w:r>
      <w:r w:rsidR="00297112">
        <w:t xml:space="preserve">million </w:t>
      </w:r>
      <w:r>
        <w:t xml:space="preserve">regional component, which </w:t>
      </w:r>
      <w:r w:rsidRPr="00486FEB">
        <w:t>give regional employers the confidence they need to take on eligible workers.</w:t>
      </w:r>
      <w:r w:rsidR="00296564">
        <w:t xml:space="preserve"> </w:t>
      </w:r>
      <w:r w:rsidR="0072579A">
        <w:t xml:space="preserve">The initiative has assisted more than </w:t>
      </w:r>
      <w:r>
        <w:t>16</w:t>
      </w:r>
      <w:r w:rsidR="0072579A">
        <w:t xml:space="preserve">,000 </w:t>
      </w:r>
      <w:r>
        <w:t xml:space="preserve">regional </w:t>
      </w:r>
      <w:r w:rsidR="0072579A">
        <w:t>jobseekers since inception, representing funding of almost $</w:t>
      </w:r>
      <w:r>
        <w:t>158</w:t>
      </w:r>
      <w:r w:rsidR="0072579A">
        <w:t xml:space="preserve"> million provided to over </w:t>
      </w:r>
      <w:r>
        <w:t>7</w:t>
      </w:r>
      <w:r w:rsidR="0072579A">
        <w:t>,</w:t>
      </w:r>
      <w:r>
        <w:t>1</w:t>
      </w:r>
      <w:r w:rsidR="0072579A">
        <w:t xml:space="preserve">00 employers. </w:t>
      </w:r>
    </w:p>
    <w:p w14:paraId="0A682EF8" w14:textId="77777777" w:rsidR="009A3C09" w:rsidRDefault="001562AE" w:rsidP="00265671">
      <w:pPr>
        <w:jc w:val="both"/>
      </w:pPr>
      <w:r>
        <w:t>To support growth of key existing and growth industries across regional economies</w:t>
      </w:r>
      <w:r w:rsidR="00444109">
        <w:t>,</w:t>
      </w:r>
      <w:r>
        <w:t xml:space="preserve"> the Government has a range of well-targeted initiative</w:t>
      </w:r>
      <w:r w:rsidR="00444109">
        <w:t>s</w:t>
      </w:r>
      <w:r>
        <w:t xml:space="preserve"> to drive sustainable private sector investment. The $175 million Jobs </w:t>
      </w:r>
      <w:r w:rsidR="00296564">
        <w:t>and Regional Growth Fund</w:t>
      </w:r>
      <w:r w:rsidR="00A72362">
        <w:t xml:space="preserve"> </w:t>
      </w:r>
      <w:r>
        <w:t xml:space="preserve">is </w:t>
      </w:r>
      <w:r w:rsidR="00A72362" w:rsidRPr="006B316B">
        <w:t xml:space="preserve">assisting businesses and projects that generate ongoing economic development and employment </w:t>
      </w:r>
      <w:r w:rsidR="00A72362" w:rsidRPr="006B316B">
        <w:lastRenderedPageBreak/>
        <w:t>opportu</w:t>
      </w:r>
      <w:r>
        <w:t xml:space="preserve">nities in regional Queensland. </w:t>
      </w:r>
      <w:r w:rsidR="00A72362" w:rsidRPr="006B316B">
        <w:t>The fund supports projects from a variety of sectors in our regions, including agriculture, resources, tourism, manufacturing and construction</w:t>
      </w:r>
      <w:r>
        <w:t>.</w:t>
      </w:r>
    </w:p>
    <w:p w14:paraId="59DE8974" w14:textId="77777777" w:rsidR="0016532A" w:rsidRDefault="001562AE" w:rsidP="00E4570F">
      <w:pPr>
        <w:jc w:val="both"/>
      </w:pPr>
      <w:r>
        <w:t xml:space="preserve">In addition to the $755 million Advance Queensland program to foster innovation across Queensland businesses, industries and workforce, </w:t>
      </w:r>
      <w:r w:rsidR="00624E47" w:rsidRPr="00C02357">
        <w:t xml:space="preserve">investments in new emerging industries such as Hydrogen </w:t>
      </w:r>
      <w:r w:rsidR="00895B23">
        <w:t xml:space="preserve">and Biofuels </w:t>
      </w:r>
      <w:r>
        <w:t>w</w:t>
      </w:r>
      <w:r w:rsidR="00624E47" w:rsidRPr="00C02357">
        <w:t xml:space="preserve">ill help </w:t>
      </w:r>
      <w:r>
        <w:t xml:space="preserve">build regional comparative strengths </w:t>
      </w:r>
      <w:r w:rsidR="00624E47" w:rsidRPr="00C02357">
        <w:t>that will drive regional economic growth</w:t>
      </w:r>
      <w:r w:rsidR="00895B23">
        <w:t>, promote economic diversification</w:t>
      </w:r>
      <w:r w:rsidR="00624E47" w:rsidRPr="00C02357">
        <w:t xml:space="preserve"> and </w:t>
      </w:r>
      <w:r w:rsidR="00895B23">
        <w:t xml:space="preserve">grow </w:t>
      </w:r>
      <w:r w:rsidR="00624E47" w:rsidRPr="00C02357">
        <w:t xml:space="preserve">jobs </w:t>
      </w:r>
      <w:r>
        <w:t>now and in the future</w:t>
      </w:r>
      <w:r w:rsidR="00624E47" w:rsidRPr="00C02357">
        <w:t>.</w:t>
      </w:r>
      <w:r w:rsidR="003B25F8">
        <w:t xml:space="preserve"> </w:t>
      </w:r>
      <w:r>
        <w:t xml:space="preserve">To support the North West Minerals Province unlock </w:t>
      </w:r>
      <w:r w:rsidR="00D54626">
        <w:t xml:space="preserve">its </w:t>
      </w:r>
      <w:r>
        <w:t>potential</w:t>
      </w:r>
      <w:r w:rsidR="006C5D61">
        <w:t>,</w:t>
      </w:r>
      <w:r>
        <w:t xml:space="preserve"> </w:t>
      </w:r>
      <w:r w:rsidR="00D54626">
        <w:t xml:space="preserve">an </w:t>
      </w:r>
      <w:r>
        <w:t xml:space="preserve">additional $110 </w:t>
      </w:r>
      <w:r w:rsidR="00444109">
        <w:t>million</w:t>
      </w:r>
      <w:r w:rsidR="00D54626">
        <w:t xml:space="preserve"> in</w:t>
      </w:r>
      <w:r>
        <w:t xml:space="preserve"> funding has been provided to </w:t>
      </w:r>
      <w:r w:rsidR="009D5A7E">
        <w:t xml:space="preserve">attract investment and deliver jobs in </w:t>
      </w:r>
      <w:r w:rsidR="009D5A7E" w:rsidRPr="009D5A7E">
        <w:t>key sectors such as resources, agriculture, tourism, as well as related supply chain business opportunities</w:t>
      </w:r>
      <w:r>
        <w:t>.</w:t>
      </w:r>
      <w:r w:rsidR="002132B2">
        <w:t xml:space="preserve"> Manufacturing Hubs are also being established in Townsville, Cairns and Rockhampton to boost manufacturing productivity, innovation and competitiveness.</w:t>
      </w:r>
    </w:p>
    <w:p w14:paraId="494C0B2B" w14:textId="77777777" w:rsidR="009A3C09" w:rsidRDefault="001562AE" w:rsidP="009A3C09">
      <w:pPr>
        <w:jc w:val="both"/>
      </w:pPr>
      <w:r w:rsidRPr="00300239">
        <w:t>The Government is also making substantial investment</w:t>
      </w:r>
      <w:r w:rsidR="00A71147">
        <w:t xml:space="preserve">s </w:t>
      </w:r>
      <w:r w:rsidRPr="00300239">
        <w:t xml:space="preserve">in </w:t>
      </w:r>
      <w:r w:rsidR="00A71147">
        <w:t xml:space="preserve">developing </w:t>
      </w:r>
      <w:r w:rsidR="00D26432">
        <w:t>workforce capability in regional economies</w:t>
      </w:r>
      <w:r w:rsidR="00A71147">
        <w:t>,</w:t>
      </w:r>
      <w:r w:rsidRPr="00300239">
        <w:t xml:space="preserve"> through the $420 million Skilling Queenslanders for Work </w:t>
      </w:r>
      <w:r w:rsidR="00444109">
        <w:t xml:space="preserve">(SQW) </w:t>
      </w:r>
      <w:r w:rsidRPr="00300239">
        <w:t>initiative to help Queenslanders enter and stay in the workforce</w:t>
      </w:r>
      <w:r w:rsidR="00A71147">
        <w:t>. The SQW has</w:t>
      </w:r>
      <w:r w:rsidRPr="00300239">
        <w:t xml:space="preserve"> a strong focus on </w:t>
      </w:r>
      <w:r w:rsidR="00A71147">
        <w:t xml:space="preserve">improving participation amongst </w:t>
      </w:r>
      <w:r w:rsidRPr="00300239">
        <w:t xml:space="preserve">disadvantaged groups. </w:t>
      </w:r>
      <w:r w:rsidR="00444109">
        <w:t>More</w:t>
      </w:r>
      <w:r w:rsidR="00053FEE">
        <w:t xml:space="preserve"> recently announced</w:t>
      </w:r>
      <w:r w:rsidRPr="00300239">
        <w:t xml:space="preserve"> innovative initiatives such as </w:t>
      </w:r>
      <w:r w:rsidR="002678CD">
        <w:t xml:space="preserve">Free Apprenticeships for Under 21s, and </w:t>
      </w:r>
      <w:r w:rsidRPr="00300239">
        <w:t xml:space="preserve">Micro-Credentialing and Higher Level Apprenticeship </w:t>
      </w:r>
      <w:r w:rsidR="002678CD">
        <w:t>p</w:t>
      </w:r>
      <w:r w:rsidRPr="00300239">
        <w:t>ilot</w:t>
      </w:r>
      <w:r w:rsidR="002678CD">
        <w:t>s</w:t>
      </w:r>
      <w:r w:rsidRPr="00300239">
        <w:t xml:space="preserve"> </w:t>
      </w:r>
      <w:r w:rsidR="00444109">
        <w:t>will</w:t>
      </w:r>
      <w:r w:rsidR="00444109" w:rsidRPr="00300239">
        <w:t xml:space="preserve"> </w:t>
      </w:r>
      <w:r w:rsidRPr="00300239">
        <w:t xml:space="preserve">provide modern and flexible pathways to address current, emerging and future skills </w:t>
      </w:r>
      <w:r w:rsidR="00053FEE">
        <w:t xml:space="preserve">and training </w:t>
      </w:r>
      <w:r w:rsidRPr="00300239">
        <w:t xml:space="preserve">needs. </w:t>
      </w:r>
    </w:p>
    <w:p w14:paraId="05555D45" w14:textId="77777777" w:rsidR="00BF5BC1" w:rsidRDefault="001562AE" w:rsidP="00BF5BC1">
      <w:pPr>
        <w:jc w:val="both"/>
      </w:pPr>
      <w:r>
        <w:t xml:space="preserve">The Queensland Government is also committed to </w:t>
      </w:r>
      <w:r w:rsidR="00D4626B">
        <w:t>improving</w:t>
      </w:r>
      <w:r>
        <w:t xml:space="preserve"> life outcomes for the 220,000 Aboriginal and Torres Strait Islander peoples that call</w:t>
      </w:r>
      <w:r w:rsidR="00D4626B">
        <w:t xml:space="preserve"> Queensland home, including almost 40,000 of whom who live in remote and very remote areas, by increasing their self-determination and economic participation. The </w:t>
      </w:r>
      <w:r w:rsidR="00D4626B" w:rsidRPr="00D4626B">
        <w:t>Local Thriving Communities reform</w:t>
      </w:r>
      <w:r w:rsidR="00D4626B">
        <w:t xml:space="preserve"> </w:t>
      </w:r>
      <w:r w:rsidR="00D4626B" w:rsidRPr="00D4626B">
        <w:t xml:space="preserve">will move decision making closer to communities and allow </w:t>
      </w:r>
      <w:r w:rsidR="00B76178">
        <w:t>them</w:t>
      </w:r>
      <w:r w:rsidR="00D4626B" w:rsidRPr="00D4626B">
        <w:t xml:space="preserve"> to make decisions about the way services are delivered.</w:t>
      </w:r>
      <w:r w:rsidR="0016729E">
        <w:t xml:space="preserve"> This will be achieved through a co-design approach to implementation of the reform, with the Queensland Government acting as an enabler to support communities in delivering their priorities. </w:t>
      </w:r>
    </w:p>
    <w:p w14:paraId="36E7E214" w14:textId="77777777" w:rsidR="00973C6A" w:rsidRDefault="001562AE" w:rsidP="00BF5BC1">
      <w:pPr>
        <w:jc w:val="both"/>
      </w:pPr>
      <w:r w:rsidRPr="00973C6A">
        <w:t>The Government has invested $228.3 million to improve housing for remote and discrete Aboriginal and Torres Strait Islander communities, including the Remote Home Ownership Program, which is designed to enhance pathways to home ownership within these communities</w:t>
      </w:r>
      <w:r>
        <w:t xml:space="preserve">. </w:t>
      </w:r>
    </w:p>
    <w:p w14:paraId="78D8F413" w14:textId="77777777" w:rsidR="007A083B" w:rsidRDefault="001562AE" w:rsidP="00D4626B">
      <w:pPr>
        <w:jc w:val="both"/>
      </w:pPr>
      <w:r>
        <w:t xml:space="preserve">The Government also continues to implement the Queensland Indigenous Procurement Policy </w:t>
      </w:r>
      <w:r w:rsidR="00A269E5">
        <w:t xml:space="preserve">which is </w:t>
      </w:r>
      <w:r>
        <w:t>working toward</w:t>
      </w:r>
      <w:r w:rsidR="00A269E5">
        <w:t>s</w:t>
      </w:r>
      <w:r>
        <w:t xml:space="preserve"> a three per cent target for Government procurement with Aboriginal and Torres Strait Islander businesses. In 2017</w:t>
      </w:r>
      <w:r w:rsidR="006270F4">
        <w:noBreakHyphen/>
      </w:r>
      <w:r>
        <w:t>18, 427 Aboriginal and Torres Strait Islander businesses secured $305 million in Government procurement spend, up from $26 million spent with 52 Aboriginal and Torres Strait Islander businesses in 2012–13.</w:t>
      </w:r>
    </w:p>
    <w:p w14:paraId="361882CD" w14:textId="77777777" w:rsidR="009A5DC3" w:rsidRDefault="001562AE" w:rsidP="009A5DC3">
      <w:pPr>
        <w:jc w:val="both"/>
      </w:pPr>
      <w:r>
        <w:t>T</w:t>
      </w:r>
      <w:r w:rsidR="00AD114F">
        <w:t>he</w:t>
      </w:r>
      <w:r>
        <w:t xml:space="preserve"> </w:t>
      </w:r>
      <w:r w:rsidR="005B040B">
        <w:t xml:space="preserve">Palaszczuk </w:t>
      </w:r>
      <w:r>
        <w:t>Government remains committed to rebuilding regional communities impacted by the North Queensland floods and other recent natural disasters. Key elements of the Government’s investment</w:t>
      </w:r>
      <w:r w:rsidR="009C724C">
        <w:t>, which</w:t>
      </w:r>
      <w:r>
        <w:t xml:space="preserve"> </w:t>
      </w:r>
      <w:r w:rsidR="00A269E5">
        <w:t>have</w:t>
      </w:r>
      <w:r>
        <w:t xml:space="preserve"> focused on improving existing infrastructure to improve the resilience of the State’s communities (with partial funding provided by the Australian Government)</w:t>
      </w:r>
      <w:r w:rsidR="009C724C">
        <w:t>,</w:t>
      </w:r>
      <w:r>
        <w:t xml:space="preserve"> include: </w:t>
      </w:r>
    </w:p>
    <w:p w14:paraId="655EBCBA" w14:textId="77777777" w:rsidR="009A5DC3" w:rsidRDefault="001562AE" w:rsidP="002D3E6C">
      <w:pPr>
        <w:pStyle w:val="ListParagraph"/>
        <w:numPr>
          <w:ilvl w:val="0"/>
          <w:numId w:val="16"/>
        </w:numPr>
        <w:jc w:val="both"/>
      </w:pPr>
      <w:r>
        <w:t>a $242 million disaster funding package following the North and Far North Queensland Monsoon Trough</w:t>
      </w:r>
    </w:p>
    <w:p w14:paraId="7E7B05A1" w14:textId="77777777" w:rsidR="009A5DC3" w:rsidRDefault="001562AE" w:rsidP="002D3E6C">
      <w:pPr>
        <w:pStyle w:val="ListParagraph"/>
        <w:numPr>
          <w:ilvl w:val="0"/>
          <w:numId w:val="16"/>
        </w:numPr>
        <w:jc w:val="both"/>
      </w:pPr>
      <w:r>
        <w:t>ongoing funding as part of the Queensland Government's $110 million commitment for extraordinary recovery and reconstruction projects following Severe Tropical Cyclone Debbie</w:t>
      </w:r>
    </w:p>
    <w:p w14:paraId="5093FE6D" w14:textId="77777777" w:rsidR="009A5DC3" w:rsidRDefault="001562AE" w:rsidP="002D3E6C">
      <w:pPr>
        <w:pStyle w:val="ListParagraph"/>
        <w:numPr>
          <w:ilvl w:val="0"/>
          <w:numId w:val="16"/>
        </w:numPr>
        <w:jc w:val="both"/>
      </w:pPr>
      <w:r>
        <w:t>supporting drought-affected communities through continuation of the Drought Assistance Package by providing up to $74.6 million over four years.</w:t>
      </w:r>
    </w:p>
    <w:p w14:paraId="58948F10" w14:textId="77777777" w:rsidR="00AD7E3C" w:rsidRDefault="001562AE" w:rsidP="00BF5BC1">
      <w:pPr>
        <w:jc w:val="both"/>
      </w:pPr>
      <w:r w:rsidRPr="00033FEA">
        <w:t>The Queensland Government will continue to build on these commitments to ensure Queensland’s regions</w:t>
      </w:r>
      <w:r w:rsidR="00033FEA" w:rsidRPr="00033FEA">
        <w:t xml:space="preserve"> </w:t>
      </w:r>
      <w:r w:rsidR="00A94AC5">
        <w:t xml:space="preserve">can </w:t>
      </w:r>
      <w:r w:rsidR="00033FEA" w:rsidRPr="00033FEA">
        <w:t>face challenges head on, take advantage of opportunities and thrive into the future</w:t>
      </w:r>
      <w:r w:rsidRPr="00033FEA">
        <w:t xml:space="preserve">. </w:t>
      </w:r>
      <w:r>
        <w:t xml:space="preserve">After finalisation of the recently released </w:t>
      </w:r>
      <w:r w:rsidRPr="00AD7E3C">
        <w:t xml:space="preserve">Draft North Queensland Regional Plan, </w:t>
      </w:r>
      <w:r w:rsidRPr="00DE4182">
        <w:rPr>
          <w:rFonts w:cs="Arial"/>
          <w:szCs w:val="20"/>
        </w:rPr>
        <w:t>all Queensland regions will be covered by regional plans.</w:t>
      </w:r>
      <w:r>
        <w:rPr>
          <w:rFonts w:cs="Arial"/>
          <w:szCs w:val="20"/>
        </w:rPr>
        <w:t xml:space="preserve"> These plans are </w:t>
      </w:r>
      <w:r w:rsidRPr="00AD7E3C">
        <w:rPr>
          <w:rFonts w:cs="Arial"/>
          <w:szCs w:val="20"/>
        </w:rPr>
        <w:t>ba</w:t>
      </w:r>
      <w:r w:rsidRPr="00DE4182">
        <w:rPr>
          <w:rFonts w:cs="Arial"/>
          <w:szCs w:val="20"/>
        </w:rPr>
        <w:t>sed on extensive research and consultation with regional stakeholders, and provide strategic direction to land use and infrastructure.</w:t>
      </w:r>
    </w:p>
    <w:p w14:paraId="56412F21" w14:textId="77777777" w:rsidR="00296564" w:rsidRDefault="001562AE" w:rsidP="00BF5BC1">
      <w:pPr>
        <w:jc w:val="both"/>
      </w:pPr>
      <w:r>
        <w:t>In addition, the</w:t>
      </w:r>
      <w:r w:rsidRPr="00033FEA">
        <w:t xml:space="preserve"> </w:t>
      </w:r>
      <w:r w:rsidR="00033FEA" w:rsidRPr="00033FEA">
        <w:t xml:space="preserve">Advancing Queensland’s Regions initiative will build on community consultations over the past four years to identify and address key priorities facing regional areas. This will be achieved through holding quarterly regional community forums, establishing Department of the Premier and Cabinet </w:t>
      </w:r>
      <w:r w:rsidR="005B040B">
        <w:t xml:space="preserve">additional </w:t>
      </w:r>
      <w:r w:rsidR="00033FEA" w:rsidRPr="00033FEA">
        <w:t xml:space="preserve">offices in Maryborough and Rockhampton, and by establishing a new Office for Rural and Regional Queensland. These actions will ensure regions are front of mind in decision making and </w:t>
      </w:r>
      <w:r w:rsidR="00A94AC5">
        <w:t>give</w:t>
      </w:r>
      <w:r w:rsidR="00033FEA" w:rsidRPr="00033FEA">
        <w:t xml:space="preserve"> residents of regional ar</w:t>
      </w:r>
      <w:r w:rsidR="00A94AC5">
        <w:t>e</w:t>
      </w:r>
      <w:r w:rsidR="00033FEA" w:rsidRPr="00033FEA">
        <w:t xml:space="preserve">as greater access to Government. </w:t>
      </w:r>
      <w:r w:rsidR="00A94AC5">
        <w:t xml:space="preserve">This focus on the regions </w:t>
      </w:r>
      <w:r w:rsidR="00A94AC5" w:rsidRPr="00A94AC5">
        <w:t xml:space="preserve">ties in with </w:t>
      </w:r>
      <w:r w:rsidR="00A94AC5">
        <w:t>the Government’s</w:t>
      </w:r>
      <w:r w:rsidR="00A94AC5" w:rsidRPr="00A94AC5">
        <w:t xml:space="preserve"> ongoing commitment to be a responsive government that delivers for all Queenslanders.</w:t>
      </w:r>
    </w:p>
    <w:p w14:paraId="1DB9E86C" w14:textId="77777777" w:rsidR="002560C3" w:rsidRDefault="001562AE">
      <w:pPr>
        <w:spacing w:before="60" w:after="60"/>
        <w:rPr>
          <w:rFonts w:eastAsiaTheme="majorEastAsia" w:cstheme="majorBidi"/>
          <w:b/>
          <w:i/>
          <w:sz w:val="22"/>
          <w:szCs w:val="22"/>
        </w:rPr>
      </w:pPr>
      <w:bookmarkStart w:id="62" w:name="_Toc19716257"/>
      <w:bookmarkStart w:id="63" w:name="_Toc19776208"/>
      <w:bookmarkStart w:id="64" w:name="_Toc19786538"/>
      <w:bookmarkStart w:id="65" w:name="_Toc19793081"/>
      <w:bookmarkStart w:id="66" w:name="_Toc19799691"/>
      <w:bookmarkStart w:id="67" w:name="_Toc19799771"/>
      <w:bookmarkStart w:id="68" w:name="_Toc19801883"/>
      <w:bookmarkStart w:id="69" w:name="_Toc19863742"/>
      <w:bookmarkStart w:id="70" w:name="_Toc19868449"/>
      <w:bookmarkStart w:id="71" w:name="_Toc19881327"/>
      <w:bookmarkStart w:id="72" w:name="_Toc19888006"/>
      <w:r>
        <w:rPr>
          <w:i/>
          <w:sz w:val="22"/>
          <w:szCs w:val="22"/>
        </w:rPr>
        <w:br w:type="page"/>
      </w:r>
    </w:p>
    <w:p w14:paraId="00162C23" w14:textId="77777777" w:rsidR="00E3358A" w:rsidRPr="00C30AF4" w:rsidRDefault="001562AE" w:rsidP="00C30AF4">
      <w:pPr>
        <w:pStyle w:val="Heading2"/>
        <w:rPr>
          <w:i/>
          <w:sz w:val="22"/>
          <w:szCs w:val="22"/>
        </w:rPr>
      </w:pPr>
      <w:r w:rsidRPr="00C30AF4">
        <w:rPr>
          <w:i/>
          <w:sz w:val="22"/>
          <w:szCs w:val="22"/>
        </w:rPr>
        <w:lastRenderedPageBreak/>
        <w:t xml:space="preserve">Respective roles for </w:t>
      </w:r>
      <w:r w:rsidR="008D540A">
        <w:rPr>
          <w:i/>
          <w:sz w:val="22"/>
          <w:szCs w:val="22"/>
        </w:rPr>
        <w:t>all levels of</w:t>
      </w:r>
      <w:r w:rsidRPr="00C30AF4">
        <w:rPr>
          <w:i/>
          <w:sz w:val="22"/>
          <w:szCs w:val="22"/>
        </w:rPr>
        <w:t xml:space="preserve"> governments in regional development</w:t>
      </w:r>
      <w:bookmarkEnd w:id="62"/>
      <w:bookmarkEnd w:id="63"/>
      <w:bookmarkEnd w:id="64"/>
      <w:bookmarkEnd w:id="65"/>
      <w:bookmarkEnd w:id="66"/>
      <w:bookmarkEnd w:id="67"/>
      <w:bookmarkEnd w:id="68"/>
      <w:bookmarkEnd w:id="69"/>
      <w:bookmarkEnd w:id="70"/>
      <w:bookmarkEnd w:id="71"/>
      <w:bookmarkEnd w:id="72"/>
    </w:p>
    <w:p w14:paraId="6DA7F754" w14:textId="77777777" w:rsidR="00DC7E88" w:rsidRDefault="001562AE" w:rsidP="00E4570F">
      <w:pPr>
        <w:jc w:val="both"/>
      </w:pPr>
      <w:r>
        <w:t xml:space="preserve">The Draft Report references the finding from the 2017 </w:t>
      </w:r>
      <w:r w:rsidRPr="00365FC9">
        <w:rPr>
          <w:i/>
        </w:rPr>
        <w:t xml:space="preserve">Transitioning Regional Economies </w:t>
      </w:r>
      <w:r w:rsidR="00697EB1" w:rsidRPr="00365FC9">
        <w:rPr>
          <w:i/>
        </w:rPr>
        <w:t>Inquiry</w:t>
      </w:r>
      <w:r w:rsidR="00697EB1">
        <w:t xml:space="preserve"> </w:t>
      </w:r>
      <w:r w:rsidR="00365FC9">
        <w:t xml:space="preserve">(TRE Inquiry) </w:t>
      </w:r>
      <w:r>
        <w:t xml:space="preserve">that primary responsibility for regional policy should lie with subnational governments, and that the Australian Government’s role should instead be minor and closely aligned with State and Territory Governments. </w:t>
      </w:r>
    </w:p>
    <w:p w14:paraId="5FC84FB2" w14:textId="77777777" w:rsidR="003B48D3" w:rsidRDefault="001562AE" w:rsidP="00E4570F">
      <w:pPr>
        <w:jc w:val="both"/>
      </w:pPr>
      <w:r>
        <w:t>T</w:t>
      </w:r>
      <w:r w:rsidR="001C741C">
        <w:t>he Queensland Government note</w:t>
      </w:r>
      <w:r>
        <w:t>s</w:t>
      </w:r>
      <w:r w:rsidR="001C741C">
        <w:t xml:space="preserve"> that the </w:t>
      </w:r>
      <w:r w:rsidR="00DD175F">
        <w:t xml:space="preserve">TRE Inquiry </w:t>
      </w:r>
      <w:r w:rsidR="001C741C">
        <w:t xml:space="preserve">also found that </w:t>
      </w:r>
      <w:r w:rsidR="001C741C" w:rsidRPr="00365FC9">
        <w:t xml:space="preserve">‘[o]ver recent years successive </w:t>
      </w:r>
      <w:r w:rsidR="00297112" w:rsidRPr="00365FC9">
        <w:t xml:space="preserve">Australian governments </w:t>
      </w:r>
      <w:r w:rsidR="001C741C" w:rsidRPr="00365FC9">
        <w:t>encroached more into regional policies that should have remained with the states and territories. It is time for this trend to be reversed’</w:t>
      </w:r>
      <w:r w:rsidR="001C741C">
        <w:t xml:space="preserve">. </w:t>
      </w:r>
      <w:r w:rsidR="00697EB1">
        <w:t>However, if the Australian Government were to unilaterally retreat from regional development policy, then this would leave a sizeable funding gap to be covered by already fiscally-constrained subnational governments</w:t>
      </w:r>
      <w:r w:rsidR="001C741C">
        <w:t xml:space="preserve"> and further exacerbate the excessive vertical fiscal imbalance</w:t>
      </w:r>
      <w:r w:rsidR="00697EB1">
        <w:t xml:space="preserve">. </w:t>
      </w:r>
    </w:p>
    <w:p w14:paraId="22A642CC" w14:textId="77777777" w:rsidR="00925F72" w:rsidRDefault="001562AE" w:rsidP="00E4570F">
      <w:pPr>
        <w:jc w:val="both"/>
      </w:pPr>
      <w:r>
        <w:t xml:space="preserve">As such, any withdrawal by the Australian Government should be accompanied by an </w:t>
      </w:r>
      <w:r w:rsidR="00DD175F">
        <w:t xml:space="preserve">appropriate compensatory </w:t>
      </w:r>
      <w:r w:rsidR="00B27841">
        <w:t>transfer of funding to state and t</w:t>
      </w:r>
      <w:r>
        <w:t xml:space="preserve">erritory governments to ensure that regional development policy is adequately resourced. </w:t>
      </w:r>
      <w:r w:rsidR="00DD175F">
        <w:t xml:space="preserve">This would also be in keeping with the TRE Inquiry finding that, for discretionary regional programs with significant net benefits, </w:t>
      </w:r>
      <w:r w:rsidR="00537728">
        <w:t>‘</w:t>
      </w:r>
      <w:r w:rsidR="00DD175F" w:rsidRPr="00365FC9">
        <w:t xml:space="preserve">the Australian Government should </w:t>
      </w:r>
      <w:r w:rsidR="00537728" w:rsidRPr="00365FC9">
        <w:t>transfer responsibility to the relevant states and territories</w:t>
      </w:r>
      <w:r w:rsidR="00537728">
        <w:t>’.</w:t>
      </w:r>
    </w:p>
    <w:p w14:paraId="5F5D4B7F" w14:textId="77777777" w:rsidR="00697EB1" w:rsidRDefault="001562AE" w:rsidP="00E4570F">
      <w:pPr>
        <w:jc w:val="both"/>
      </w:pPr>
      <w:r>
        <w:t xml:space="preserve">Furthermore, the </w:t>
      </w:r>
      <w:r w:rsidR="00DD175F">
        <w:t>TRE</w:t>
      </w:r>
      <w:r>
        <w:t xml:space="preserve"> Inquiry also left a role for the Australian Government in regional development through policy settings that have ‘</w:t>
      </w:r>
      <w:r w:rsidRPr="00365FC9">
        <w:t>broad application across the regions</w:t>
      </w:r>
      <w:r w:rsidR="00DB28BC">
        <w:t>’, including ‘</w:t>
      </w:r>
      <w:r w:rsidR="00DB28BC" w:rsidRPr="00365FC9">
        <w:t>the built-in distribution of funds across regions’</w:t>
      </w:r>
      <w:r w:rsidR="00DB28BC">
        <w:t>. The concessions and payments reviewed under this current study could quite easily meet th</w:t>
      </w:r>
      <w:r w:rsidR="00DD175F">
        <w:t>ese</w:t>
      </w:r>
      <w:r w:rsidR="00DB28BC">
        <w:t xml:space="preserve"> criteria. </w:t>
      </w:r>
    </w:p>
    <w:p w14:paraId="19263A9B" w14:textId="77777777" w:rsidR="00FE2D3B" w:rsidRDefault="001562AE" w:rsidP="00E4570F">
      <w:pPr>
        <w:jc w:val="both"/>
      </w:pPr>
      <w:r>
        <w:t xml:space="preserve">Clearly, even if the split of regional development responsibilities posed in the TRE Inquiry was to be accepted, </w:t>
      </w:r>
      <w:r w:rsidRPr="00C02357">
        <w:t xml:space="preserve">all levels of Government </w:t>
      </w:r>
      <w:r>
        <w:t>still have a role to play in e</w:t>
      </w:r>
      <w:r w:rsidRPr="00C02357">
        <w:t>nhancing regional prosperity</w:t>
      </w:r>
      <w:r>
        <w:t>. T</w:t>
      </w:r>
      <w:r w:rsidRPr="00C02357">
        <w:t>he</w:t>
      </w:r>
      <w:r>
        <w:t xml:space="preserve"> TRE Inquiry was clear that </w:t>
      </w:r>
      <w:r w:rsidR="00537728">
        <w:t xml:space="preserve">the </w:t>
      </w:r>
      <w:r w:rsidRPr="00C02357">
        <w:t xml:space="preserve">Australian Government </w:t>
      </w:r>
      <w:r w:rsidR="00537728">
        <w:t>should work ‘</w:t>
      </w:r>
      <w:r w:rsidR="00537728" w:rsidRPr="00365FC9">
        <w:t>effectively in collaboration with all tiers of government</w:t>
      </w:r>
      <w:r w:rsidR="00537728">
        <w:t>’. Therefore, the Queensland Government encourages the</w:t>
      </w:r>
      <w:r w:rsidRPr="00C02357">
        <w:t xml:space="preserve"> Australian Government</w:t>
      </w:r>
      <w:r w:rsidR="00537728">
        <w:t xml:space="preserve"> to discuss any future</w:t>
      </w:r>
      <w:r w:rsidRPr="00C02357">
        <w:t xml:space="preserve"> intention</w:t>
      </w:r>
      <w:r w:rsidR="005D4D2C">
        <w:t>s to adjust remote area concessions and payments</w:t>
      </w:r>
      <w:r w:rsidRPr="00C02357">
        <w:t xml:space="preserve"> with State </w:t>
      </w:r>
      <w:r w:rsidR="00537728">
        <w:t>and Territory g</w:t>
      </w:r>
      <w:r w:rsidRPr="00C02357">
        <w:t>overnment</w:t>
      </w:r>
      <w:r w:rsidR="00537728">
        <w:t>s</w:t>
      </w:r>
      <w:r w:rsidRPr="00C02357">
        <w:t>, including through appropriate intergovernmental forums, at the earliest opportunity.</w:t>
      </w:r>
    </w:p>
    <w:p w14:paraId="6AA2FC43" w14:textId="77777777" w:rsidR="008748E2" w:rsidRDefault="001562AE" w:rsidP="003F7134">
      <w:pPr>
        <w:jc w:val="both"/>
      </w:pPr>
      <w:r>
        <w:t xml:space="preserve">The Australian Government itself has a stated commitment to develop Northern Australia. The Office of Northern Australia’s </w:t>
      </w:r>
      <w:r>
        <w:rPr>
          <w:i/>
        </w:rPr>
        <w:t xml:space="preserve">Northern Australia agenda </w:t>
      </w:r>
      <w:r>
        <w:t xml:space="preserve">states ‘we are </w:t>
      </w:r>
      <w:r w:rsidRPr="0020278D">
        <w:t>ensuring the north is an even more attractive place to live and do business.</w:t>
      </w:r>
      <w:r>
        <w:t xml:space="preserve">’ The draft </w:t>
      </w:r>
      <w:r w:rsidR="003F7134">
        <w:t xml:space="preserve">recommendations </w:t>
      </w:r>
      <w:r>
        <w:t>to abolish the ZTO and tighten FBT concessions would appear to be a</w:t>
      </w:r>
      <w:r w:rsidR="003F7134">
        <w:t xml:space="preserve">t odds with </w:t>
      </w:r>
      <w:r>
        <w:t>this</w:t>
      </w:r>
      <w:r w:rsidR="003F7134">
        <w:t xml:space="preserve"> commitment. </w:t>
      </w:r>
    </w:p>
    <w:p w14:paraId="09B479C6" w14:textId="77777777" w:rsidR="00585BF2" w:rsidRDefault="001562AE" w:rsidP="00585BF2">
      <w:pPr>
        <w:jc w:val="both"/>
      </w:pPr>
      <w:r>
        <w:t xml:space="preserve">Implementing the Draft Recommendations would reduce incentives for </w:t>
      </w:r>
      <w:r w:rsidRPr="00645C80">
        <w:rPr>
          <w:szCs w:val="24"/>
        </w:rPr>
        <w:t>employees to take up postings in regional and remote areas</w:t>
      </w:r>
      <w:r>
        <w:t xml:space="preserve"> and will further increase competition with employers in other areas where costs of living are lower. As growing industries demand skilled workers and the public sector requires a fixed workforce to deliver essential services, employers are likely to compensate for the decrease in benefits through increased </w:t>
      </w:r>
      <w:r w:rsidRPr="00B013D4">
        <w:t xml:space="preserve">remuneration </w:t>
      </w:r>
      <w:r>
        <w:t xml:space="preserve">to ensure vacancies are filled. </w:t>
      </w:r>
    </w:p>
    <w:p w14:paraId="6BB055D4" w14:textId="77777777" w:rsidR="00585BF2" w:rsidRDefault="001562AE" w:rsidP="00585BF2">
      <w:pPr>
        <w:jc w:val="both"/>
      </w:pPr>
      <w:r>
        <w:t>As a result of this, the Australian Government would receive additional benefits from income tax due the higher wages paid by employers in addition to receiving the revenues previously offset. These benefits would be at the expense of Queensland businesses and the Queensland Government agencies.</w:t>
      </w:r>
    </w:p>
    <w:p w14:paraId="66D988FE" w14:textId="77777777" w:rsidR="00582453" w:rsidRPr="00420172" w:rsidRDefault="001562AE" w:rsidP="00BF5BC1">
      <w:pPr>
        <w:pStyle w:val="Heading1"/>
        <w:rPr>
          <w:b w:val="0"/>
          <w:sz w:val="24"/>
          <w:szCs w:val="24"/>
        </w:rPr>
      </w:pPr>
      <w:bookmarkStart w:id="73" w:name="_Toc19695008"/>
      <w:bookmarkStart w:id="74" w:name="_Toc19799692"/>
      <w:bookmarkStart w:id="75" w:name="_Toc19799772"/>
      <w:bookmarkStart w:id="76" w:name="_Toc19801884"/>
      <w:bookmarkStart w:id="77" w:name="_Toc19863743"/>
      <w:bookmarkStart w:id="78" w:name="_Toc19868450"/>
      <w:bookmarkStart w:id="79" w:name="_Toc19881328"/>
      <w:bookmarkStart w:id="80" w:name="_Toc19888007"/>
      <w:bookmarkStart w:id="81" w:name="_Toc19786539"/>
      <w:bookmarkStart w:id="82" w:name="_Toc19793082"/>
      <w:r w:rsidRPr="00BF5BC1">
        <w:rPr>
          <w:sz w:val="24"/>
          <w:szCs w:val="24"/>
        </w:rPr>
        <w:t>Specific comments on in-scope measures</w:t>
      </w:r>
      <w:bookmarkEnd w:id="73"/>
      <w:bookmarkEnd w:id="74"/>
      <w:bookmarkEnd w:id="75"/>
      <w:bookmarkEnd w:id="76"/>
      <w:bookmarkEnd w:id="77"/>
      <w:bookmarkEnd w:id="78"/>
      <w:bookmarkEnd w:id="79"/>
      <w:bookmarkEnd w:id="80"/>
      <w:r w:rsidRPr="00BF5BC1">
        <w:rPr>
          <w:sz w:val="24"/>
          <w:szCs w:val="24"/>
        </w:rPr>
        <w:t xml:space="preserve"> </w:t>
      </w:r>
      <w:bookmarkEnd w:id="81"/>
      <w:bookmarkEnd w:id="82"/>
    </w:p>
    <w:p w14:paraId="42697687" w14:textId="77777777" w:rsidR="007D539E" w:rsidRDefault="001562AE" w:rsidP="00C30AF4">
      <w:pPr>
        <w:jc w:val="both"/>
      </w:pPr>
      <w:bookmarkStart w:id="83" w:name="_Toc19695009"/>
      <w:r>
        <w:t xml:space="preserve">As outlined in this submission, there are a range of factors, circumstances and issues—including the unique characteristics of Queensland and it’s regional and remote areas—which need to be taken into account in any discussion of changes </w:t>
      </w:r>
      <w:r w:rsidR="006F0705">
        <w:t xml:space="preserve">to </w:t>
      </w:r>
      <w:r>
        <w:t xml:space="preserve">remote area tax concessions and payments. </w:t>
      </w:r>
    </w:p>
    <w:p w14:paraId="62F4F55A" w14:textId="77777777" w:rsidR="00933A0E" w:rsidRPr="00420172" w:rsidRDefault="001562AE" w:rsidP="00C30AF4">
      <w:pPr>
        <w:jc w:val="both"/>
      </w:pPr>
      <w:r>
        <w:t>The</w:t>
      </w:r>
      <w:r w:rsidR="00713041">
        <w:t xml:space="preserve"> finding</w:t>
      </w:r>
      <w:r w:rsidR="00B94991">
        <w:t>s</w:t>
      </w:r>
      <w:r w:rsidR="00713041">
        <w:t xml:space="preserve"> and recommendations</w:t>
      </w:r>
      <w:r>
        <w:t xml:space="preserve"> outlined in the Draft Report</w:t>
      </w:r>
      <w:r w:rsidR="00713041">
        <w:t xml:space="preserve">, if </w:t>
      </w:r>
      <w:r>
        <w:t>accepted and implemented by the Australian Government, would have real consequences for many thousands of Queensland residents and businesses</w:t>
      </w:r>
      <w:r w:rsidR="00BA5322">
        <w:t xml:space="preserve"> across the regions</w:t>
      </w:r>
      <w:r>
        <w:t xml:space="preserve">. Furthermore, </w:t>
      </w:r>
      <w:r w:rsidRPr="00933A0E">
        <w:t>State agencies with responsibilities to deliver services in regional and remote communities necessarily rely on a mix of incentives to attract and retain appropriately skilled and qualified staff to those communities</w:t>
      </w:r>
      <w:r w:rsidR="00420172">
        <w:t>. These include</w:t>
      </w:r>
      <w:r w:rsidRPr="00933A0E">
        <w:t xml:space="preserve">: </w:t>
      </w:r>
    </w:p>
    <w:p w14:paraId="6A757581" w14:textId="77777777" w:rsidR="00933A0E" w:rsidRPr="00420172" w:rsidRDefault="001562AE" w:rsidP="002D3E6C">
      <w:pPr>
        <w:pStyle w:val="ListParagraph"/>
        <w:numPr>
          <w:ilvl w:val="0"/>
          <w:numId w:val="15"/>
        </w:numPr>
        <w:jc w:val="both"/>
      </w:pPr>
      <w:r w:rsidRPr="00420172">
        <w:t xml:space="preserve">monetary incentives (e.g. cash allowances, ZTO); </w:t>
      </w:r>
    </w:p>
    <w:p w14:paraId="3729C0B6" w14:textId="77777777" w:rsidR="00933A0E" w:rsidRPr="00420172" w:rsidRDefault="001562AE" w:rsidP="002D3E6C">
      <w:pPr>
        <w:pStyle w:val="ListParagraph"/>
        <w:numPr>
          <w:ilvl w:val="0"/>
          <w:numId w:val="15"/>
        </w:numPr>
        <w:jc w:val="both"/>
      </w:pPr>
      <w:r w:rsidRPr="00420172">
        <w:t xml:space="preserve">fringe benefits incentives (e.g. subsidised housing, relocation expenses, professional development); </w:t>
      </w:r>
    </w:p>
    <w:p w14:paraId="57D2E0B4" w14:textId="77777777" w:rsidR="00933A0E" w:rsidRPr="00420172" w:rsidRDefault="001562AE" w:rsidP="002D3E6C">
      <w:pPr>
        <w:pStyle w:val="ListParagraph"/>
        <w:numPr>
          <w:ilvl w:val="0"/>
          <w:numId w:val="15"/>
        </w:numPr>
        <w:jc w:val="both"/>
      </w:pPr>
      <w:r w:rsidRPr="00420172">
        <w:t xml:space="preserve">work-related incentives (e.g. tenure, additional leave provisions); and  </w:t>
      </w:r>
    </w:p>
    <w:p w14:paraId="50034A62" w14:textId="77777777" w:rsidR="00420172" w:rsidRDefault="001562AE" w:rsidP="002D3E6C">
      <w:pPr>
        <w:pStyle w:val="ListParagraph"/>
        <w:numPr>
          <w:ilvl w:val="0"/>
          <w:numId w:val="15"/>
        </w:numPr>
        <w:jc w:val="both"/>
      </w:pPr>
      <w:r w:rsidRPr="00420172">
        <w:t>professional benefits (e.g. greater autonomy; greater opportunity for a leadership role; working with more diverse stakeholders)</w:t>
      </w:r>
      <w:r>
        <w:t>.</w:t>
      </w:r>
    </w:p>
    <w:p w14:paraId="29496825" w14:textId="77777777" w:rsidR="00ED0644" w:rsidRDefault="001562AE" w:rsidP="00713041">
      <w:pPr>
        <w:jc w:val="both"/>
      </w:pPr>
      <w:r>
        <w:t xml:space="preserve">Agencies have indicated that without the range of incentives provided to employees in regional and remote areas, there are several locations that would </w:t>
      </w:r>
      <w:r w:rsidR="00BA5322">
        <w:t>experience challenges in attracting staff</w:t>
      </w:r>
      <w:r>
        <w:t>. In other words, these benefits are not an optional extra but are an essential requirement for services to be delivered in these areas.</w:t>
      </w:r>
      <w:r w:rsidRPr="00ED0644">
        <w:t xml:space="preserve"> </w:t>
      </w:r>
    </w:p>
    <w:p w14:paraId="002D256B" w14:textId="77777777" w:rsidR="00933A0E" w:rsidRPr="00C30AF4" w:rsidRDefault="001562AE" w:rsidP="00713041">
      <w:pPr>
        <w:jc w:val="both"/>
      </w:pPr>
      <w:r>
        <w:lastRenderedPageBreak/>
        <w:t xml:space="preserve">In light of these issues, the Queensland Government welcomes the opportunity to </w:t>
      </w:r>
      <w:bookmarkStart w:id="84" w:name="_Hlk19799796"/>
      <w:r>
        <w:t>provide its views on the findings and recommendations included in the Draft Report pertaining to the ZTO, the RAA and FBT concessions.</w:t>
      </w:r>
      <w:r w:rsidR="00D23D4C">
        <w:t xml:space="preserve"> </w:t>
      </w:r>
      <w:bookmarkEnd w:id="84"/>
      <w:r w:rsidR="00D23D4C">
        <w:t xml:space="preserve">The following sections highlight some of the key issues as they relate to the proposed changes to these concessions and payments and the implications for the ongoing development and prosperity of Queensland’s regions. </w:t>
      </w:r>
    </w:p>
    <w:p w14:paraId="5F012268" w14:textId="77777777" w:rsidR="0051453D" w:rsidRPr="00783A33" w:rsidRDefault="001562AE" w:rsidP="00420150">
      <w:pPr>
        <w:pStyle w:val="Heading2"/>
        <w:rPr>
          <w:i/>
          <w:sz w:val="22"/>
          <w:szCs w:val="22"/>
        </w:rPr>
      </w:pPr>
      <w:bookmarkStart w:id="85" w:name="_Toc19716258"/>
      <w:bookmarkStart w:id="86" w:name="_Toc19776209"/>
      <w:bookmarkStart w:id="87" w:name="_Toc19786540"/>
      <w:bookmarkStart w:id="88" w:name="_Toc19793083"/>
      <w:bookmarkStart w:id="89" w:name="_Toc19799693"/>
      <w:bookmarkStart w:id="90" w:name="_Toc19799773"/>
      <w:bookmarkStart w:id="91" w:name="_Toc19801885"/>
      <w:bookmarkStart w:id="92" w:name="_Toc19863744"/>
      <w:bookmarkStart w:id="93" w:name="_Toc19868451"/>
      <w:bookmarkStart w:id="94" w:name="_Toc19881329"/>
      <w:bookmarkStart w:id="95" w:name="_Toc19888008"/>
      <w:r w:rsidRPr="00783A33">
        <w:rPr>
          <w:i/>
          <w:sz w:val="22"/>
          <w:szCs w:val="22"/>
        </w:rPr>
        <w:t>Zone Tax Offset</w:t>
      </w:r>
      <w:bookmarkEnd w:id="83"/>
      <w:bookmarkEnd w:id="85"/>
      <w:bookmarkEnd w:id="86"/>
      <w:bookmarkEnd w:id="87"/>
      <w:bookmarkEnd w:id="88"/>
      <w:bookmarkEnd w:id="89"/>
      <w:bookmarkEnd w:id="90"/>
      <w:bookmarkEnd w:id="91"/>
      <w:bookmarkEnd w:id="92"/>
      <w:bookmarkEnd w:id="93"/>
      <w:bookmarkEnd w:id="94"/>
      <w:bookmarkEnd w:id="95"/>
    </w:p>
    <w:p w14:paraId="4991D3E3" w14:textId="77777777" w:rsidR="0023328F" w:rsidRDefault="001562AE" w:rsidP="00317E0D">
      <w:pPr>
        <w:jc w:val="both"/>
      </w:pPr>
      <w:r w:rsidRPr="00C30AF4">
        <w:t xml:space="preserve">The Queensland </w:t>
      </w:r>
      <w:r w:rsidRPr="00E74434">
        <w:t>Government</w:t>
      </w:r>
      <w:r w:rsidRPr="00C30AF4">
        <w:t xml:space="preserve"> notes the </w:t>
      </w:r>
      <w:r>
        <w:t xml:space="preserve">following draft recommendation </w:t>
      </w:r>
      <w:r w:rsidR="00ED0644">
        <w:t>relating</w:t>
      </w:r>
      <w:r>
        <w:t xml:space="preserve"> to the ZTO: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350B88" w14:paraId="463DBAA4" w14:textId="77777777" w:rsidTr="00ED0644">
        <w:tc>
          <w:tcPr>
            <w:tcW w:w="10194" w:type="dxa"/>
            <w:shd w:val="clear" w:color="auto" w:fill="D6D7D7" w:themeFill="background2" w:themeFillTint="66"/>
          </w:tcPr>
          <w:p w14:paraId="7A7A8719" w14:textId="77777777" w:rsidR="0023328F" w:rsidRPr="00DF3DF9" w:rsidRDefault="001562AE" w:rsidP="00DF3DF9">
            <w:pPr>
              <w:rPr>
                <w:b/>
              </w:rPr>
            </w:pPr>
            <w:bookmarkStart w:id="96" w:name="_Toc19793084"/>
            <w:bookmarkStart w:id="97" w:name="_Toc19799694"/>
            <w:bookmarkStart w:id="98" w:name="_Toc19799774"/>
            <w:bookmarkStart w:id="99" w:name="_Toc19801886"/>
            <w:bookmarkStart w:id="100" w:name="_Toc19863745"/>
            <w:bookmarkStart w:id="101" w:name="_Toc19868452"/>
            <w:r w:rsidRPr="00DF3DF9">
              <w:rPr>
                <w:b/>
              </w:rPr>
              <w:t>DRAFT RECOMMENDATION 5.1 ABOLISH ZONE AND OVERSEAS FORCES TAX OFFSETS</w:t>
            </w:r>
            <w:bookmarkEnd w:id="96"/>
            <w:bookmarkEnd w:id="97"/>
            <w:bookmarkEnd w:id="98"/>
            <w:bookmarkEnd w:id="99"/>
            <w:bookmarkEnd w:id="100"/>
            <w:bookmarkEnd w:id="101"/>
          </w:p>
          <w:p w14:paraId="499DCFE7" w14:textId="77777777" w:rsidR="0023328F" w:rsidRPr="001B3652" w:rsidRDefault="001562AE" w:rsidP="00ED0644">
            <w:pPr>
              <w:ind w:left="33"/>
            </w:pPr>
            <w:r>
              <w:t>The Australian Government should abolish the ZTO and the overseas forces tax offset.</w:t>
            </w:r>
          </w:p>
        </w:tc>
      </w:tr>
    </w:tbl>
    <w:p w14:paraId="492E0ABB" w14:textId="77777777" w:rsidR="00D23D4C" w:rsidRPr="00D23D4C" w:rsidRDefault="001562AE" w:rsidP="00317E0D">
      <w:pPr>
        <w:jc w:val="both"/>
        <w:rPr>
          <w:b/>
        </w:rPr>
      </w:pPr>
      <w:r w:rsidRPr="00D23D4C">
        <w:rPr>
          <w:b/>
        </w:rPr>
        <w:t>Key issues and implications</w:t>
      </w:r>
    </w:p>
    <w:p w14:paraId="065E8A05" w14:textId="77777777" w:rsidR="00F872CB" w:rsidRDefault="001562AE" w:rsidP="00B33FBF">
      <w:pPr>
        <w:jc w:val="both"/>
      </w:pPr>
      <w:r>
        <w:t xml:space="preserve">It is noted this recommendation is made </w:t>
      </w:r>
      <w:r w:rsidR="00317E0D" w:rsidRPr="00C30AF4">
        <w:t xml:space="preserve">on the basis that </w:t>
      </w:r>
      <w:r w:rsidR="00F00BE5">
        <w:t>the ZTO, and by extension the Overseas Forces Tax Offset (OFTO)</w:t>
      </w:r>
      <w:r w:rsidR="00317E0D" w:rsidRPr="00C30AF4">
        <w:t xml:space="preserve"> is </w:t>
      </w:r>
      <w:r w:rsidR="00317E0D" w:rsidRPr="00C30AF4">
        <w:rPr>
          <w:i/>
        </w:rPr>
        <w:t>‘ineffective and poorly targeted, and there is no compelling, contemporary justification for it to continue’</w:t>
      </w:r>
      <w:r w:rsidR="00317E0D" w:rsidRPr="00E74434">
        <w:t>.</w:t>
      </w:r>
    </w:p>
    <w:p w14:paraId="73E18C5F" w14:textId="77777777" w:rsidR="00317E0D" w:rsidRDefault="001562AE" w:rsidP="00B33FBF">
      <w:pPr>
        <w:jc w:val="both"/>
      </w:pPr>
      <w:r>
        <w:t xml:space="preserve">As </w:t>
      </w:r>
      <w:r w:rsidR="00713041">
        <w:t>discussed ea</w:t>
      </w:r>
      <w:r w:rsidR="00ED0644">
        <w:t>r</w:t>
      </w:r>
      <w:r w:rsidR="00713041">
        <w:t>lier</w:t>
      </w:r>
      <w:r>
        <w:t>, Queensland’s regions are facing a variety of challenges, and there remains a role for t</w:t>
      </w:r>
      <w:r w:rsidRPr="00783A33">
        <w:t xml:space="preserve">he Australian Government </w:t>
      </w:r>
      <w:r>
        <w:t xml:space="preserve">to play in supporting regional areas to capitalise on available economic opportunities—particularly </w:t>
      </w:r>
      <w:r w:rsidR="00F00BE5">
        <w:t xml:space="preserve">given </w:t>
      </w:r>
      <w:r>
        <w:t xml:space="preserve">its commitment to develop Northern Australia. </w:t>
      </w:r>
    </w:p>
    <w:p w14:paraId="2ED31F4F" w14:textId="77777777" w:rsidR="00317E0D" w:rsidRDefault="001562AE" w:rsidP="00B33FBF">
      <w:pPr>
        <w:jc w:val="both"/>
      </w:pPr>
      <w:r>
        <w:t>The Queensland Government is already working to support No</w:t>
      </w:r>
      <w:r w:rsidRPr="00783A33">
        <w:t>rth Queensland</w:t>
      </w:r>
      <w:r>
        <w:t>, including Cairns, Townsville and Mackay,</w:t>
      </w:r>
      <w:r w:rsidRPr="00783A33">
        <w:t xml:space="preserve"> </w:t>
      </w:r>
      <w:r w:rsidR="0033583E">
        <w:t xml:space="preserve">and Outback Queensland </w:t>
      </w:r>
      <w:r w:rsidRPr="00783A33">
        <w:t xml:space="preserve">to </w:t>
      </w:r>
      <w:r>
        <w:t>overcome economic headwinds and social challenges while making</w:t>
      </w:r>
      <w:r w:rsidRPr="00783A33">
        <w:t xml:space="preserve"> t</w:t>
      </w:r>
      <w:r>
        <w:t xml:space="preserve">he most of available opportunities. The Australian Government should continue to support these efforts, not only for the benefit of North Queensland, but to maintain Australia’s economic base and </w:t>
      </w:r>
      <w:r w:rsidR="00C26BBA">
        <w:t xml:space="preserve">ensure </w:t>
      </w:r>
      <w:r>
        <w:t xml:space="preserve">its prosperity going forward. </w:t>
      </w:r>
    </w:p>
    <w:p w14:paraId="7464EAD8" w14:textId="77777777" w:rsidR="004E462F" w:rsidRDefault="001562AE" w:rsidP="00B33FBF">
      <w:pPr>
        <w:jc w:val="both"/>
      </w:pPr>
      <w:r>
        <w:t>While the Draft Report concludes the ZTO is ‘</w:t>
      </w:r>
      <w:r w:rsidRPr="00614F07">
        <w:rPr>
          <w:i/>
        </w:rPr>
        <w:t>ineffective’</w:t>
      </w:r>
      <w:r>
        <w:t xml:space="preserve">, this will be partially due to </w:t>
      </w:r>
      <w:r w:rsidR="00A17C60">
        <w:t xml:space="preserve">the ZTO not being adjusted over time and </w:t>
      </w:r>
      <w:r w:rsidR="002970DD">
        <w:t xml:space="preserve">the </w:t>
      </w:r>
      <w:r w:rsidR="00A17C60">
        <w:t>consequent</w:t>
      </w:r>
      <w:r>
        <w:t xml:space="preserve"> low rate </w:t>
      </w:r>
      <w:r w:rsidR="00A17C60">
        <w:t>of payment in real terms (e.g. $133 on average</w:t>
      </w:r>
      <w:r>
        <w:t xml:space="preserve"> in </w:t>
      </w:r>
      <w:r w:rsidR="00A17C60">
        <w:t xml:space="preserve">Ordinary </w:t>
      </w:r>
      <w:r>
        <w:t xml:space="preserve">Zone B). </w:t>
      </w:r>
      <w:r w:rsidR="00C26BBA">
        <w:t xml:space="preserve">Some taxpayers can claim a larger rebate than the base rebate (e.g. $57 in Zone B) due to the dependant loading.  </w:t>
      </w:r>
      <w:r>
        <w:t xml:space="preserve">Regardless, for many Queenslanders this can still make a material difference in their </w:t>
      </w:r>
      <w:r w:rsidR="00A17C60">
        <w:t xml:space="preserve">own </w:t>
      </w:r>
      <w:r>
        <w:t xml:space="preserve">and their families’ quality of life. </w:t>
      </w:r>
    </w:p>
    <w:p w14:paraId="5E9255CE" w14:textId="77777777" w:rsidR="00A60952" w:rsidRDefault="001562AE" w:rsidP="00B33FBF">
      <w:pPr>
        <w:jc w:val="both"/>
      </w:pPr>
      <w:r w:rsidRPr="001C741C">
        <w:t xml:space="preserve">Further, it is important that the ZTO be viewed in the context of the </w:t>
      </w:r>
      <w:r w:rsidR="001120CA" w:rsidRPr="001C741C">
        <w:t>o</w:t>
      </w:r>
      <w:r w:rsidRPr="001C741C">
        <w:t xml:space="preserve">verall tax burden on regional taxpayers, many of whom do not have access to the same level of amenity as those in metropolitan areas. </w:t>
      </w:r>
      <w:r w:rsidR="00F51BB3" w:rsidRPr="001C741C">
        <w:t>For example</w:t>
      </w:r>
      <w:r w:rsidR="000322FD" w:rsidRPr="001C741C">
        <w:t>,</w:t>
      </w:r>
      <w:r w:rsidR="00F51BB3" w:rsidRPr="001C741C">
        <w:t xml:space="preserve"> taxpayers </w:t>
      </w:r>
      <w:r w:rsidR="001120CA" w:rsidRPr="001C741C">
        <w:t xml:space="preserve">who </w:t>
      </w:r>
      <w:r w:rsidR="000322FD" w:rsidRPr="001C741C">
        <w:t>respond to Australian Government incentives</w:t>
      </w:r>
      <w:r w:rsidRPr="001C741C">
        <w:t xml:space="preserve"> by purchasing</w:t>
      </w:r>
      <w:r w:rsidR="00F51BB3" w:rsidRPr="001C741C">
        <w:t xml:space="preserve"> </w:t>
      </w:r>
      <w:r w:rsidR="001120CA" w:rsidRPr="001C741C">
        <w:t xml:space="preserve">private </w:t>
      </w:r>
      <w:r w:rsidR="00F51BB3" w:rsidRPr="001C741C">
        <w:t xml:space="preserve">health insurance may not be able to </w:t>
      </w:r>
      <w:r w:rsidR="001120CA" w:rsidRPr="001C741C">
        <w:t xml:space="preserve">readily </w:t>
      </w:r>
      <w:r w:rsidR="00F51BB3" w:rsidRPr="001C741C">
        <w:t xml:space="preserve">access the same level of service as those living in large city centres. </w:t>
      </w:r>
      <w:r w:rsidR="000B16E0" w:rsidRPr="001C741C">
        <w:t xml:space="preserve">Therefore, </w:t>
      </w:r>
      <w:r w:rsidRPr="001C741C">
        <w:t xml:space="preserve">while the ZTO may seem </w:t>
      </w:r>
      <w:r w:rsidR="001120CA" w:rsidRPr="001C741C">
        <w:t xml:space="preserve">like a </w:t>
      </w:r>
      <w:r w:rsidRPr="001C741C">
        <w:t>relative</w:t>
      </w:r>
      <w:r w:rsidR="001120CA" w:rsidRPr="001C741C">
        <w:t xml:space="preserve">ly small benefit </w:t>
      </w:r>
      <w:r w:rsidR="000B16E0" w:rsidRPr="001C741C">
        <w:t xml:space="preserve">in some cases </w:t>
      </w:r>
      <w:r w:rsidR="001120CA" w:rsidRPr="001C741C">
        <w:t xml:space="preserve">compared with </w:t>
      </w:r>
      <w:r w:rsidRPr="001C741C">
        <w:t xml:space="preserve">the total incomes of recipients, </w:t>
      </w:r>
      <w:r w:rsidR="00F51BB3" w:rsidRPr="001C741C">
        <w:t xml:space="preserve">it </w:t>
      </w:r>
      <w:r w:rsidR="001120CA" w:rsidRPr="001C741C">
        <w:t xml:space="preserve">contributes to lowering </w:t>
      </w:r>
      <w:r w:rsidRPr="001C741C">
        <w:t>the</w:t>
      </w:r>
      <w:r w:rsidR="000B16E0" w:rsidRPr="001C741C">
        <w:t xml:space="preserve"> </w:t>
      </w:r>
      <w:r w:rsidR="00F51BB3" w:rsidRPr="001C741C">
        <w:t xml:space="preserve">overall </w:t>
      </w:r>
      <w:r w:rsidRPr="001C741C">
        <w:t xml:space="preserve">tax burden </w:t>
      </w:r>
      <w:r w:rsidR="000B16E0" w:rsidRPr="001C741C">
        <w:t xml:space="preserve">of regional taxpayers who can often also face more difficulty or cost in accessing </w:t>
      </w:r>
      <w:r w:rsidR="006800FB" w:rsidRPr="001C741C">
        <w:t>public and private services</w:t>
      </w:r>
      <w:r w:rsidR="00974E21" w:rsidRPr="001C741C">
        <w:t xml:space="preserve"> compared with </w:t>
      </w:r>
      <w:r w:rsidR="000B16E0" w:rsidRPr="001C741C">
        <w:t xml:space="preserve">people in larger population centres. </w:t>
      </w:r>
    </w:p>
    <w:p w14:paraId="2EF2AB0F" w14:textId="77777777" w:rsidR="00481280" w:rsidRDefault="001562AE" w:rsidP="00B33FBF">
      <w:pPr>
        <w:jc w:val="both"/>
      </w:pPr>
      <w:r>
        <w:t>The abolishment of the ZTO would reduce the income</w:t>
      </w:r>
      <w:r w:rsidR="003D6DF9">
        <w:t>s</w:t>
      </w:r>
      <w:r>
        <w:t xml:space="preserve"> of </w:t>
      </w:r>
      <w:r w:rsidR="003D6DF9">
        <w:t>the</w:t>
      </w:r>
      <w:r>
        <w:t xml:space="preserve"> 288,000 </w:t>
      </w:r>
      <w:r w:rsidR="003D6DF9">
        <w:t xml:space="preserve">Queensland </w:t>
      </w:r>
      <w:r w:rsidR="0050729D">
        <w:t>taxpayers</w:t>
      </w:r>
      <w:r>
        <w:t xml:space="preserve"> </w:t>
      </w:r>
      <w:r w:rsidR="003D6DF9">
        <w:t>by</w:t>
      </w:r>
      <w:r>
        <w:t xml:space="preserve"> about $55 million per annum. Of these claimants, 163,000 reside in Cairns, </w:t>
      </w:r>
      <w:r w:rsidR="003D6DF9">
        <w:t>Townsville and Mackay amount</w:t>
      </w:r>
      <w:r w:rsidR="0050729D">
        <w:t xml:space="preserve">ing </w:t>
      </w:r>
      <w:r w:rsidR="003D6DF9">
        <w:t xml:space="preserve">to $20 million per annum for these regional </w:t>
      </w:r>
      <w:r w:rsidR="0050729D">
        <w:t>households</w:t>
      </w:r>
      <w:r w:rsidR="003D6DF9">
        <w:t>.</w:t>
      </w:r>
      <w:r>
        <w:t xml:space="preserve"> </w:t>
      </w:r>
    </w:p>
    <w:p w14:paraId="2E993584" w14:textId="77777777" w:rsidR="0050729D" w:rsidRDefault="001562AE" w:rsidP="00B33FBF">
      <w:pPr>
        <w:jc w:val="both"/>
      </w:pPr>
      <w:r>
        <w:t>The Draft Report explores the option of reducing the number of zoned areas from three to two</w:t>
      </w:r>
      <w:r w:rsidR="00792BD5">
        <w:t>,</w:t>
      </w:r>
      <w:r>
        <w:t xml:space="preserve"> with the two area</w:t>
      </w:r>
      <w:r w:rsidR="00792BD5">
        <w:t>s</w:t>
      </w:r>
      <w:r>
        <w:t xml:space="preserve"> based on the ABS categories of ‘remote’ and very remote’ areas. </w:t>
      </w:r>
      <w:r w:rsidR="00792BD5">
        <w:t xml:space="preserve">Further, the Draft Report indicates that if the payments for ‘remote’ and ‘very remote’ areas were aligned with the current rates for Ordinary Zone A ($511) and special areas ($1,146) respectively, this measure would have a </w:t>
      </w:r>
      <w:r w:rsidR="008D2C48">
        <w:t>nationwide</w:t>
      </w:r>
      <w:r w:rsidR="00792BD5">
        <w:t xml:space="preserve"> cost of $160 million per year, similar to its current cost of </w:t>
      </w:r>
      <w:r>
        <w:t xml:space="preserve">$153 million. </w:t>
      </w:r>
    </w:p>
    <w:p w14:paraId="46A6E557" w14:textId="77777777" w:rsidR="0050729D" w:rsidRDefault="001562AE" w:rsidP="00B33FBF">
      <w:pPr>
        <w:jc w:val="both"/>
      </w:pPr>
      <w:r>
        <w:t>Based on 2016 Census data, it is estimated that around 55,000 Queensland residents live in ‘</w:t>
      </w:r>
      <w:r w:rsidRPr="00C30AF4">
        <w:t>remote</w:t>
      </w:r>
      <w:r>
        <w:t>’</w:t>
      </w:r>
      <w:r w:rsidRPr="0050729D">
        <w:t xml:space="preserve"> and</w:t>
      </w:r>
      <w:r w:rsidRPr="00C30AF4">
        <w:rPr>
          <w:i/>
        </w:rPr>
        <w:t xml:space="preserve"> </w:t>
      </w:r>
      <w:r>
        <w:t>‘</w:t>
      </w:r>
      <w:r w:rsidRPr="00C30AF4">
        <w:t>very remote</w:t>
      </w:r>
      <w:r>
        <w:t>’</w:t>
      </w:r>
      <w:r w:rsidRPr="002227C3">
        <w:rPr>
          <w:i/>
        </w:rPr>
        <w:t xml:space="preserve"> </w:t>
      </w:r>
      <w:r>
        <w:t>areas. This</w:t>
      </w:r>
      <w:r w:rsidR="008D2C48">
        <w:t xml:space="preserve"> </w:t>
      </w:r>
      <w:r w:rsidR="00001D95">
        <w:t xml:space="preserve">means </w:t>
      </w:r>
      <w:r>
        <w:t>around 23</w:t>
      </w:r>
      <w:r w:rsidR="00001D95">
        <w:t>3</w:t>
      </w:r>
      <w:r>
        <w:t>,000 fewer Queensland taxpayers</w:t>
      </w:r>
      <w:r w:rsidR="00001D95">
        <w:t xml:space="preserve">, primarily from Cairns, Townsville and Mackay, would be eligible to claim the ZTO when compared with current boundaries. If the </w:t>
      </w:r>
      <w:r>
        <w:t>payment</w:t>
      </w:r>
      <w:r w:rsidR="00001D95">
        <w:t>s</w:t>
      </w:r>
      <w:r>
        <w:t xml:space="preserve"> for </w:t>
      </w:r>
      <w:r w:rsidR="007767D5">
        <w:t>‘</w:t>
      </w:r>
      <w:r>
        <w:t>remote</w:t>
      </w:r>
      <w:r w:rsidR="007767D5">
        <w:t>’</w:t>
      </w:r>
      <w:r>
        <w:t xml:space="preserve"> and </w:t>
      </w:r>
      <w:r w:rsidR="007767D5">
        <w:t>‘</w:t>
      </w:r>
      <w:r>
        <w:t>very remote</w:t>
      </w:r>
      <w:r w:rsidR="007767D5">
        <w:t>’</w:t>
      </w:r>
      <w:r>
        <w:t xml:space="preserve"> areas were aligned with current rates</w:t>
      </w:r>
      <w:r w:rsidR="00001D95">
        <w:t xml:space="preserve"> for</w:t>
      </w:r>
      <w:r>
        <w:t xml:space="preserve"> Zone A </w:t>
      </w:r>
      <w:r w:rsidR="00001D95">
        <w:t xml:space="preserve">(ordinary) </w:t>
      </w:r>
      <w:r>
        <w:t xml:space="preserve">and </w:t>
      </w:r>
      <w:r w:rsidR="00001D95">
        <w:t>Zone A/B (special)</w:t>
      </w:r>
      <w:r>
        <w:t xml:space="preserve">, respectively, this </w:t>
      </w:r>
      <w:r w:rsidR="00001D95">
        <w:t xml:space="preserve">change </w:t>
      </w:r>
      <w:r>
        <w:t xml:space="preserve">would </w:t>
      </w:r>
      <w:r w:rsidR="00001D95">
        <w:t xml:space="preserve">reduce total ZTO receipts to Queensland taxpayers by around $15 million (from $55 million per year currently to </w:t>
      </w:r>
      <w:r>
        <w:t>about $4</w:t>
      </w:r>
      <w:r w:rsidR="00F471F8">
        <w:t>0</w:t>
      </w:r>
      <w:r>
        <w:t xml:space="preserve"> million per year</w:t>
      </w:r>
      <w:r w:rsidR="00001D95">
        <w:t>).</w:t>
      </w:r>
    </w:p>
    <w:p w14:paraId="0BB91306" w14:textId="77777777" w:rsidR="00485E1D" w:rsidRDefault="001562AE" w:rsidP="00B33FBF">
      <w:pPr>
        <w:jc w:val="both"/>
      </w:pPr>
      <w:r>
        <w:t xml:space="preserve">Other options to enhance the targeting of the ZTO could also be explored, </w:t>
      </w:r>
      <w:r w:rsidR="00BD4578">
        <w:t>such as options to implement</w:t>
      </w:r>
      <w:r>
        <w:t xml:space="preserve"> means testing to ensure assistance is provided to those who most need it to offset the cost of living pressures in regional and remote areas</w:t>
      </w:r>
      <w:r w:rsidR="00001D95">
        <w:t xml:space="preserve">, or the potential to implement transitional measures (such as grandfathering) to reduce the risk of generating economic hardship. </w:t>
      </w:r>
    </w:p>
    <w:p w14:paraId="561B8D8B" w14:textId="77777777" w:rsidR="002560C3" w:rsidRDefault="001562AE" w:rsidP="00B33FBF">
      <w:pPr>
        <w:jc w:val="both"/>
      </w:pPr>
      <w:r>
        <w:t>Further, a</w:t>
      </w:r>
      <w:r w:rsidR="001B1FD4">
        <w:t xml:space="preserve">lthough the abolition of the ZTO would directly impact individuals located in the zone areas, there are likely to be </w:t>
      </w:r>
      <w:r w:rsidR="00F73303">
        <w:t>significant</w:t>
      </w:r>
      <w:r w:rsidR="001B1FD4">
        <w:t xml:space="preserve"> impacts to government agencies</w:t>
      </w:r>
      <w:r w:rsidR="00864A99">
        <w:t xml:space="preserve"> and Queensland businesses</w:t>
      </w:r>
      <w:r w:rsidR="001B1FD4">
        <w:t>.</w:t>
      </w:r>
      <w:r w:rsidR="00F73303">
        <w:t xml:space="preserve"> </w:t>
      </w:r>
      <w:r w:rsidR="00864A99">
        <w:t>E</w:t>
      </w:r>
      <w:r w:rsidR="00F73303">
        <w:t xml:space="preserve">mployees that </w:t>
      </w:r>
      <w:r w:rsidR="00864A99">
        <w:t xml:space="preserve">have </w:t>
      </w:r>
      <w:r w:rsidR="00F73303">
        <w:t xml:space="preserve">lost the ZTO would </w:t>
      </w:r>
      <w:r w:rsidR="00831646">
        <w:t xml:space="preserve">seek </w:t>
      </w:r>
      <w:r w:rsidR="00F73303">
        <w:t>to be</w:t>
      </w:r>
      <w:r w:rsidR="00864A99">
        <w:t xml:space="preserve"> compensated </w:t>
      </w:r>
      <w:r w:rsidR="00F73303">
        <w:t xml:space="preserve">to ensure they were no worse off, most likely </w:t>
      </w:r>
      <w:r w:rsidR="00864A99">
        <w:t>through an increase in remuneration</w:t>
      </w:r>
      <w:r w:rsidR="00F73303">
        <w:t xml:space="preserve">. </w:t>
      </w:r>
    </w:p>
    <w:p w14:paraId="7A11E875" w14:textId="77777777" w:rsidR="002560C3" w:rsidRDefault="001562AE">
      <w:pPr>
        <w:spacing w:before="60" w:after="60"/>
      </w:pPr>
      <w:r>
        <w:br w:type="page"/>
      </w:r>
    </w:p>
    <w:p w14:paraId="1C0FBDFA" w14:textId="77777777" w:rsidR="009E78A9" w:rsidRDefault="001562AE" w:rsidP="00B33FBF">
      <w:pPr>
        <w:jc w:val="both"/>
      </w:pPr>
      <w:r>
        <w:lastRenderedPageBreak/>
        <w:t>This would not only shift the costs</w:t>
      </w:r>
      <w:r w:rsidR="008D6D35">
        <w:t xml:space="preserve"> of the ZTO</w:t>
      </w:r>
      <w:r>
        <w:t xml:space="preserve"> from the Australian Government to Queensland</w:t>
      </w:r>
      <w:r w:rsidR="008D6D35">
        <w:t>,</w:t>
      </w:r>
      <w:r>
        <w:t xml:space="preserve"> but </w:t>
      </w:r>
      <w:r w:rsidR="003A1A6C">
        <w:t>will result</w:t>
      </w:r>
      <w:r w:rsidR="008D6D35">
        <w:t xml:space="preserve"> in additional income tax revenue to the Australian Government from the higher taxable remuneration to employees. </w:t>
      </w:r>
    </w:p>
    <w:p w14:paraId="22F7E1D6" w14:textId="77777777" w:rsidR="007148DA" w:rsidRDefault="001562AE" w:rsidP="00420150">
      <w:pPr>
        <w:pStyle w:val="Heading2"/>
        <w:rPr>
          <w:i/>
          <w:sz w:val="22"/>
          <w:szCs w:val="22"/>
        </w:rPr>
      </w:pPr>
      <w:bookmarkStart w:id="102" w:name="_Toc19695010"/>
      <w:bookmarkStart w:id="103" w:name="_Toc19716259"/>
      <w:bookmarkStart w:id="104" w:name="_Toc19776210"/>
      <w:bookmarkStart w:id="105" w:name="_Toc19786541"/>
      <w:bookmarkStart w:id="106" w:name="_Toc19793085"/>
      <w:bookmarkStart w:id="107" w:name="_Toc19799695"/>
      <w:bookmarkStart w:id="108" w:name="_Toc19799775"/>
      <w:bookmarkStart w:id="109" w:name="_Toc19801887"/>
      <w:bookmarkStart w:id="110" w:name="_Toc19863746"/>
      <w:bookmarkStart w:id="111" w:name="_Toc19868453"/>
      <w:bookmarkStart w:id="112" w:name="_Toc19881330"/>
      <w:bookmarkStart w:id="113" w:name="_Toc19888009"/>
      <w:r>
        <w:rPr>
          <w:i/>
          <w:sz w:val="22"/>
          <w:szCs w:val="22"/>
        </w:rPr>
        <w:t>Remote</w:t>
      </w:r>
      <w:r w:rsidRPr="00783A33">
        <w:rPr>
          <w:i/>
          <w:sz w:val="22"/>
          <w:szCs w:val="22"/>
        </w:rPr>
        <w:t xml:space="preserve"> </w:t>
      </w:r>
      <w:r w:rsidR="0051453D" w:rsidRPr="00783A33">
        <w:rPr>
          <w:i/>
          <w:sz w:val="22"/>
          <w:szCs w:val="22"/>
        </w:rPr>
        <w:t>Area Allowance</w:t>
      </w:r>
      <w:bookmarkEnd w:id="102"/>
      <w:bookmarkEnd w:id="103"/>
      <w:bookmarkEnd w:id="104"/>
      <w:bookmarkEnd w:id="105"/>
      <w:bookmarkEnd w:id="106"/>
      <w:bookmarkEnd w:id="107"/>
      <w:bookmarkEnd w:id="108"/>
      <w:bookmarkEnd w:id="109"/>
      <w:bookmarkEnd w:id="110"/>
      <w:bookmarkEnd w:id="111"/>
      <w:bookmarkEnd w:id="112"/>
      <w:bookmarkEnd w:id="113"/>
    </w:p>
    <w:p w14:paraId="1A9F8332" w14:textId="77777777" w:rsidR="00ED0644" w:rsidRDefault="001562AE" w:rsidP="00ED0644">
      <w:pPr>
        <w:jc w:val="both"/>
      </w:pPr>
      <w:r w:rsidRPr="00C30AF4">
        <w:t xml:space="preserve">The Queensland </w:t>
      </w:r>
      <w:r w:rsidRPr="00E74434">
        <w:t>Government</w:t>
      </w:r>
      <w:r w:rsidRPr="00C30AF4">
        <w:t xml:space="preserve"> notes the </w:t>
      </w:r>
      <w:r>
        <w:t>following draft recommendations relating to the RAA: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350B88" w14:paraId="180E997C" w14:textId="77777777" w:rsidTr="00ED0644">
        <w:tc>
          <w:tcPr>
            <w:tcW w:w="10194" w:type="dxa"/>
            <w:shd w:val="clear" w:color="auto" w:fill="D6D7D7" w:themeFill="background2" w:themeFillTint="66"/>
          </w:tcPr>
          <w:p w14:paraId="7478CE55" w14:textId="77777777" w:rsidR="00ED0644" w:rsidRPr="00DF3DF9" w:rsidRDefault="001562AE" w:rsidP="00DF3DF9">
            <w:pPr>
              <w:rPr>
                <w:b/>
              </w:rPr>
            </w:pPr>
            <w:bookmarkStart w:id="114" w:name="_Toc19793086"/>
            <w:bookmarkStart w:id="115" w:name="_Toc19799696"/>
            <w:bookmarkStart w:id="116" w:name="_Toc19799776"/>
            <w:bookmarkStart w:id="117" w:name="_Toc19801888"/>
            <w:bookmarkStart w:id="118" w:name="_Toc19863747"/>
            <w:bookmarkStart w:id="119" w:name="_Toc19868454"/>
            <w:r w:rsidRPr="00DF3DF9">
              <w:rPr>
                <w:b/>
              </w:rPr>
              <w:t>DRAFT RECOMMENDATION 6.1 ADJUST RAA BOUNDARIES</w:t>
            </w:r>
            <w:bookmarkEnd w:id="114"/>
            <w:bookmarkEnd w:id="115"/>
            <w:bookmarkEnd w:id="116"/>
            <w:bookmarkEnd w:id="117"/>
            <w:bookmarkEnd w:id="118"/>
            <w:bookmarkEnd w:id="119"/>
          </w:p>
          <w:p w14:paraId="5990836C" w14:textId="77777777" w:rsidR="00ED0644" w:rsidRPr="005A35C1" w:rsidRDefault="001562AE" w:rsidP="00ED0644">
            <w:pPr>
              <w:ind w:left="33"/>
              <w:rPr>
                <w:rFonts w:eastAsia="Times New Roman"/>
              </w:rPr>
            </w:pPr>
            <w:r w:rsidRPr="001B3652">
              <w:t>The Australian Government should revise section 14 of the Social Security Act 1991 (Cth) to align the remote area allowance geographical boundaries with the Australian Bureau of Statistics remoteness classification for very remote and remote areas.</w:t>
            </w:r>
          </w:p>
        </w:tc>
      </w:tr>
    </w:tbl>
    <w:p w14:paraId="0322D5F5" w14:textId="77777777" w:rsidR="00ED0644" w:rsidRPr="00ED0644" w:rsidRDefault="00ED0644" w:rsidP="00ED0644">
      <w:pPr>
        <w:spacing w:before="0" w:after="0"/>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350B88" w14:paraId="6CF2A221" w14:textId="77777777" w:rsidTr="00C41D33">
        <w:tc>
          <w:tcPr>
            <w:tcW w:w="10194" w:type="dxa"/>
            <w:shd w:val="clear" w:color="auto" w:fill="auto"/>
          </w:tcPr>
          <w:p w14:paraId="6A76DC69" w14:textId="77777777" w:rsidR="00C41D33" w:rsidRPr="00DF3DF9" w:rsidRDefault="00C41D33" w:rsidP="00DF3DF9">
            <w:pPr>
              <w:rPr>
                <w:b/>
              </w:rPr>
            </w:pPr>
          </w:p>
        </w:tc>
      </w:tr>
      <w:tr w:rsidR="00350B88" w14:paraId="6DE55865" w14:textId="77777777" w:rsidTr="00ED0644">
        <w:tc>
          <w:tcPr>
            <w:tcW w:w="10194" w:type="dxa"/>
            <w:shd w:val="clear" w:color="auto" w:fill="D6D7D7" w:themeFill="background2" w:themeFillTint="66"/>
          </w:tcPr>
          <w:p w14:paraId="3342B1BE" w14:textId="77777777" w:rsidR="00ED0644" w:rsidRPr="00DF3DF9" w:rsidRDefault="001562AE" w:rsidP="00DF3DF9">
            <w:pPr>
              <w:rPr>
                <w:b/>
              </w:rPr>
            </w:pPr>
            <w:bookmarkStart w:id="120" w:name="_Toc19793087"/>
            <w:bookmarkStart w:id="121" w:name="_Toc19799697"/>
            <w:bookmarkStart w:id="122" w:name="_Toc19799777"/>
            <w:bookmarkStart w:id="123" w:name="_Toc19801889"/>
            <w:bookmarkStart w:id="124" w:name="_Toc19863748"/>
            <w:bookmarkStart w:id="125" w:name="_Toc19868455"/>
            <w:r w:rsidRPr="00DF3DF9">
              <w:rPr>
                <w:b/>
              </w:rPr>
              <w:t>DRAFT RECOMMENDATION 6.2 REVIEW RAA PAYMENT RATES PERIODICALLY</w:t>
            </w:r>
            <w:bookmarkEnd w:id="120"/>
            <w:bookmarkEnd w:id="121"/>
            <w:bookmarkEnd w:id="122"/>
            <w:bookmarkEnd w:id="123"/>
            <w:bookmarkEnd w:id="124"/>
            <w:bookmarkEnd w:id="125"/>
          </w:p>
          <w:p w14:paraId="20A99347" w14:textId="77777777" w:rsidR="00ED0644" w:rsidRDefault="001562AE" w:rsidP="00ED0644">
            <w:pPr>
              <w:pStyle w:val="Default"/>
              <w:spacing w:after="120"/>
              <w:ind w:left="33"/>
              <w:jc w:val="both"/>
              <w:rPr>
                <w:sz w:val="20"/>
              </w:rPr>
            </w:pPr>
            <w:r>
              <w:rPr>
                <w:sz w:val="20"/>
              </w:rPr>
              <w:t>The Australian Government should revise payment rates for the remote area allowance (RAA) following the completion of this study. Thereafter, the Department of Social Services should review the RAA periodically. These reviews should:</w:t>
            </w:r>
          </w:p>
          <w:p w14:paraId="2483C8B0" w14:textId="77777777" w:rsidR="00ED0644" w:rsidRDefault="001562AE" w:rsidP="000C6773">
            <w:pPr>
              <w:pStyle w:val="Default"/>
              <w:numPr>
                <w:ilvl w:val="0"/>
                <w:numId w:val="13"/>
              </w:numPr>
              <w:spacing w:after="60"/>
              <w:ind w:left="601" w:hanging="357"/>
              <w:jc w:val="both"/>
              <w:rPr>
                <w:sz w:val="20"/>
              </w:rPr>
            </w:pPr>
            <w:r>
              <w:rPr>
                <w:sz w:val="20"/>
              </w:rPr>
              <w:t>revise RAA payment rates, taking into account changes in living-cost differentials between remote and non-remote areas</w:t>
            </w:r>
          </w:p>
          <w:p w14:paraId="6EB6BCC2" w14:textId="77777777" w:rsidR="00ED0644" w:rsidRDefault="001562AE" w:rsidP="000C6773">
            <w:pPr>
              <w:pStyle w:val="Default"/>
              <w:numPr>
                <w:ilvl w:val="0"/>
                <w:numId w:val="13"/>
              </w:numPr>
              <w:spacing w:after="60"/>
              <w:ind w:left="601" w:hanging="357"/>
              <w:jc w:val="both"/>
              <w:rPr>
                <w:sz w:val="20"/>
              </w:rPr>
            </w:pPr>
            <w:r>
              <w:rPr>
                <w:sz w:val="20"/>
              </w:rPr>
              <w:t>report on RAA annual outlays and recipient numbers</w:t>
            </w:r>
          </w:p>
          <w:p w14:paraId="737460D9" w14:textId="77777777" w:rsidR="00ED0644" w:rsidRDefault="001562AE" w:rsidP="000C6773">
            <w:pPr>
              <w:pStyle w:val="Default"/>
              <w:numPr>
                <w:ilvl w:val="0"/>
                <w:numId w:val="13"/>
              </w:numPr>
              <w:spacing w:after="60"/>
              <w:ind w:left="601" w:hanging="357"/>
              <w:jc w:val="both"/>
              <w:rPr>
                <w:sz w:val="20"/>
              </w:rPr>
            </w:pPr>
            <w:r>
              <w:rPr>
                <w:sz w:val="20"/>
              </w:rPr>
              <w:t xml:space="preserve">consider any issues associated with administering the RAA. </w:t>
            </w:r>
          </w:p>
          <w:p w14:paraId="52B46722" w14:textId="77777777" w:rsidR="00ED0644" w:rsidRPr="005A35C1" w:rsidRDefault="001562AE" w:rsidP="00ED0644">
            <w:pPr>
              <w:ind w:left="33"/>
            </w:pPr>
            <w:r>
              <w:rPr>
                <w:rFonts w:cs="Arial"/>
                <w:szCs w:val="24"/>
              </w:rPr>
              <w:t>The reviews should be made public.</w:t>
            </w:r>
          </w:p>
        </w:tc>
      </w:tr>
    </w:tbl>
    <w:p w14:paraId="127CFAC1" w14:textId="77777777" w:rsidR="00D23D4C" w:rsidRPr="00D23D4C" w:rsidRDefault="001562AE" w:rsidP="00E4570F">
      <w:pPr>
        <w:jc w:val="both"/>
        <w:rPr>
          <w:b/>
        </w:rPr>
      </w:pPr>
      <w:r w:rsidRPr="00D23D4C">
        <w:rPr>
          <w:b/>
        </w:rPr>
        <w:t>Key issues and implications</w:t>
      </w:r>
    </w:p>
    <w:p w14:paraId="5FAC6C7E" w14:textId="77777777" w:rsidR="00B67BDD" w:rsidRDefault="001562AE" w:rsidP="00B33FBF">
      <w:pPr>
        <w:jc w:val="both"/>
      </w:pPr>
      <w:r>
        <w:t xml:space="preserve">The Queensland Government agrees the there is a policy </w:t>
      </w:r>
      <w:r w:rsidR="00E62D48">
        <w:t xml:space="preserve">rationale </w:t>
      </w:r>
      <w:r>
        <w:t xml:space="preserve">for the RAA to </w:t>
      </w:r>
      <w:r w:rsidR="00B41EB2">
        <w:t>address cost of living differences affecting income support recipien</w:t>
      </w:r>
      <w:r>
        <w:t xml:space="preserve">ts living in remote Australia. </w:t>
      </w:r>
    </w:p>
    <w:p w14:paraId="74CB0852" w14:textId="77777777" w:rsidR="005475FD" w:rsidRDefault="001562AE" w:rsidP="00B33FBF">
      <w:pPr>
        <w:jc w:val="both"/>
      </w:pPr>
      <w:r>
        <w:t xml:space="preserve">Acknowledging that there are many residents of remote Queensland who—despite facing cost of living pressures—are not eligible for the RAA, the Queensland Government </w:t>
      </w:r>
      <w:r w:rsidR="00D23D4C">
        <w:t>considers there is strong merit to</w:t>
      </w:r>
      <w:r w:rsidR="00AF0503">
        <w:t xml:space="preserve"> </w:t>
      </w:r>
      <w:r w:rsidR="00F00BE5">
        <w:t>Draft R</w:t>
      </w:r>
      <w:r w:rsidR="00AF0503">
        <w:t>ecommendation</w:t>
      </w:r>
      <w:r>
        <w:t xml:space="preserve"> </w:t>
      </w:r>
      <w:r w:rsidR="00F00BE5">
        <w:t xml:space="preserve">6.1 </w:t>
      </w:r>
      <w:r>
        <w:t xml:space="preserve">to align the geographical boundaries of the RAA with the </w:t>
      </w:r>
      <w:r w:rsidR="000C3EFE">
        <w:t xml:space="preserve">ABS </w:t>
      </w:r>
      <w:r>
        <w:t xml:space="preserve">‘remote’ and ‘very remote’ remoteness classifications. </w:t>
      </w:r>
      <w:r w:rsidR="00485B7E">
        <w:t>Adoption of this recommendation by the Australian Government would have a real impact on the quality of life of residents who currently rece</w:t>
      </w:r>
      <w:r w:rsidR="00335A13">
        <w:t xml:space="preserve">ive no </w:t>
      </w:r>
      <w:r w:rsidR="007A3381">
        <w:t xml:space="preserve">RAA </w:t>
      </w:r>
      <w:r w:rsidR="00335A13">
        <w:t>support to cope with the higher c</w:t>
      </w:r>
      <w:r w:rsidR="00217666">
        <w:t xml:space="preserve">osts of living in remote areas. </w:t>
      </w:r>
    </w:p>
    <w:p w14:paraId="2C0B16DE" w14:textId="77777777" w:rsidR="000C3EFE" w:rsidRDefault="001562AE" w:rsidP="00B33FBF">
      <w:pPr>
        <w:jc w:val="both"/>
      </w:pPr>
      <w:r>
        <w:t>The alignment of the boundaries for the RAA for the ABS ‘</w:t>
      </w:r>
      <w:r w:rsidRPr="00C30AF4">
        <w:t>remote</w:t>
      </w:r>
      <w:r>
        <w:t>’</w:t>
      </w:r>
      <w:r w:rsidRPr="000C3EFE">
        <w:t xml:space="preserve"> and </w:t>
      </w:r>
      <w:r>
        <w:t>‘</w:t>
      </w:r>
      <w:r w:rsidRPr="00C30AF4">
        <w:t>very remote</w:t>
      </w:r>
      <w:r>
        <w:t xml:space="preserve">’ areas is estimated to increase the number of </w:t>
      </w:r>
      <w:r w:rsidR="000B2AA9">
        <w:t xml:space="preserve">current </w:t>
      </w:r>
      <w:r>
        <w:t xml:space="preserve">Queensland recipients </w:t>
      </w:r>
      <w:r w:rsidR="000B2AA9">
        <w:t>(as at September Quarter 2018)</w:t>
      </w:r>
      <w:r>
        <w:t xml:space="preserve"> from about 13,000 </w:t>
      </w:r>
      <w:r w:rsidR="000B2AA9">
        <w:t xml:space="preserve">persons </w:t>
      </w:r>
      <w:r>
        <w:t>to around 20,000</w:t>
      </w:r>
      <w:r w:rsidR="000B2AA9">
        <w:t xml:space="preserve"> persons</w:t>
      </w:r>
      <w:r>
        <w:t>.</w:t>
      </w:r>
    </w:p>
    <w:p w14:paraId="40791DD6" w14:textId="77777777" w:rsidR="000C3EFE" w:rsidRDefault="001562AE" w:rsidP="00B33FBF">
      <w:pPr>
        <w:jc w:val="both"/>
      </w:pPr>
      <w:r>
        <w:t xml:space="preserve">The Commission estimated that over 60 per cent of Australian RAA recipients are Indigenous Australians. While no actual </w:t>
      </w:r>
      <w:r w:rsidR="003B1FDF">
        <w:t xml:space="preserve">data </w:t>
      </w:r>
      <w:r>
        <w:t>was available on the number of Queensland Indigenous RAA recipients, it is estimated based on 2016 Census data it could be around 10,000 persons. The proposed new RAA boundary could increase the number of Indigenous Queenslanders that are RAA recipients by another 1,000 persons.</w:t>
      </w:r>
    </w:p>
    <w:p w14:paraId="017A76C2" w14:textId="77777777" w:rsidR="008D2C48" w:rsidRDefault="001562AE" w:rsidP="00B33FBF">
      <w:pPr>
        <w:jc w:val="both"/>
      </w:pPr>
      <w:r>
        <w:t xml:space="preserve">However, before such a change was adopted, it is important the impacts on regions </w:t>
      </w:r>
      <w:r w:rsidR="00AB7A0A">
        <w:t>who would lose</w:t>
      </w:r>
      <w:r w:rsidRPr="00CB2318">
        <w:t xml:space="preserve"> </w:t>
      </w:r>
      <w:r>
        <w:t xml:space="preserve">eligibility </w:t>
      </w:r>
      <w:r w:rsidR="00AB7A0A">
        <w:t xml:space="preserve">for the RAA </w:t>
      </w:r>
      <w:r>
        <w:t>are fully understood, and that appropriate consideration is given to options to mitigate any negative impacts.</w:t>
      </w:r>
    </w:p>
    <w:p w14:paraId="522AA60D" w14:textId="77777777" w:rsidR="005475FD" w:rsidRDefault="001562AE" w:rsidP="00B33FBF">
      <w:pPr>
        <w:jc w:val="both"/>
      </w:pPr>
      <w:r>
        <w:t xml:space="preserve">The Queensland Government also </w:t>
      </w:r>
      <w:r w:rsidR="00E07956">
        <w:t>considers there is merit in</w:t>
      </w:r>
      <w:r w:rsidR="006B2614">
        <w:t xml:space="preserve"> </w:t>
      </w:r>
      <w:r w:rsidR="00F00BE5">
        <w:t>D</w:t>
      </w:r>
      <w:r>
        <w:t xml:space="preserve">raft </w:t>
      </w:r>
      <w:r w:rsidR="00F00BE5">
        <w:t>R</w:t>
      </w:r>
      <w:r w:rsidR="006B2614">
        <w:t xml:space="preserve">ecommendation </w:t>
      </w:r>
      <w:r w:rsidR="00F00BE5">
        <w:t xml:space="preserve">6.2 </w:t>
      </w:r>
      <w:r w:rsidR="006B2614">
        <w:t>to revise the RAA payment rate following completion of the PC study, with period</w:t>
      </w:r>
      <w:r w:rsidR="00335A13">
        <w:t>ic</w:t>
      </w:r>
      <w:r w:rsidR="006B2614">
        <w:t xml:space="preserve"> reviews after this. </w:t>
      </w:r>
      <w:r w:rsidR="00166D6D">
        <w:t xml:space="preserve">As highlighted in the Draft Report, the value of the RAA has declined in real terms since the last significant adjustment </w:t>
      </w:r>
      <w:r w:rsidR="00166D6D" w:rsidRPr="00B32821">
        <w:t xml:space="preserve">in </w:t>
      </w:r>
      <w:r w:rsidR="00166D6D" w:rsidRPr="00C30AF4">
        <w:t>1993</w:t>
      </w:r>
      <w:r w:rsidR="00166D6D" w:rsidRPr="00B32821">
        <w:t>, and if it</w:t>
      </w:r>
      <w:r w:rsidR="00166D6D">
        <w:t xml:space="preserve"> were indexed on the same basis as income support pensions, the benefit to recipients would be substantially higher. </w:t>
      </w:r>
    </w:p>
    <w:p w14:paraId="493115B1" w14:textId="77777777" w:rsidR="00264322" w:rsidRDefault="001562AE" w:rsidP="00B33FBF">
      <w:pPr>
        <w:jc w:val="both"/>
      </w:pPr>
      <w:r>
        <w:t>Ideally, a</w:t>
      </w:r>
      <w:r w:rsidR="00166D6D">
        <w:t xml:space="preserve">n </w:t>
      </w:r>
      <w:r w:rsidR="00CB2318">
        <w:t xml:space="preserve">initial </w:t>
      </w:r>
      <w:r w:rsidR="00166D6D">
        <w:t>adjustment to the RAA to account f</w:t>
      </w:r>
      <w:r w:rsidR="004E38CE">
        <w:t>or this decline in real value w</w:t>
      </w:r>
      <w:r w:rsidR="00166D6D">
        <w:t xml:space="preserve">ould be pursued as a priority. Any further changes to the rate of the RAA to account for changes in other factors over time, such as </w:t>
      </w:r>
      <w:r w:rsidR="0055686B">
        <w:t>the availability of other allowances and supports, should be considered subsequent to this</w:t>
      </w:r>
      <w:r w:rsidR="00CB2318">
        <w:t xml:space="preserve"> initial</w:t>
      </w:r>
      <w:r w:rsidR="0055686B">
        <w:t xml:space="preserve"> adjustment.</w:t>
      </w:r>
    </w:p>
    <w:p w14:paraId="7B1A0BDA" w14:textId="77777777" w:rsidR="002560C3" w:rsidRDefault="001562AE">
      <w:pPr>
        <w:spacing w:before="60" w:after="60"/>
      </w:pPr>
      <w:r>
        <w:br w:type="page"/>
      </w:r>
    </w:p>
    <w:p w14:paraId="3145A142" w14:textId="77777777" w:rsidR="007148DA" w:rsidRDefault="001562AE" w:rsidP="00420150">
      <w:pPr>
        <w:pStyle w:val="Heading2"/>
        <w:rPr>
          <w:i/>
          <w:sz w:val="22"/>
          <w:szCs w:val="22"/>
        </w:rPr>
      </w:pPr>
      <w:bookmarkStart w:id="126" w:name="_Toc19695011"/>
      <w:bookmarkStart w:id="127" w:name="_Toc19716260"/>
      <w:bookmarkStart w:id="128" w:name="_Toc19776211"/>
      <w:bookmarkStart w:id="129" w:name="_Toc19786542"/>
      <w:bookmarkStart w:id="130" w:name="_Toc19793088"/>
      <w:bookmarkStart w:id="131" w:name="_Toc19799698"/>
      <w:bookmarkStart w:id="132" w:name="_Toc19799778"/>
      <w:bookmarkStart w:id="133" w:name="_Toc19801890"/>
      <w:bookmarkStart w:id="134" w:name="_Toc19863749"/>
      <w:bookmarkStart w:id="135" w:name="_Toc19868456"/>
      <w:bookmarkStart w:id="136" w:name="_Toc19881331"/>
      <w:bookmarkStart w:id="137" w:name="_Toc19888010"/>
      <w:r w:rsidRPr="00783A33">
        <w:rPr>
          <w:i/>
          <w:sz w:val="22"/>
          <w:szCs w:val="22"/>
        </w:rPr>
        <w:lastRenderedPageBreak/>
        <w:t>Fringe Benefit</w:t>
      </w:r>
      <w:r w:rsidR="00B11695">
        <w:rPr>
          <w:i/>
          <w:sz w:val="22"/>
          <w:szCs w:val="22"/>
        </w:rPr>
        <w:t>s</w:t>
      </w:r>
      <w:r w:rsidRPr="00783A33">
        <w:rPr>
          <w:i/>
          <w:sz w:val="22"/>
          <w:szCs w:val="22"/>
        </w:rPr>
        <w:t xml:space="preserve"> Tax </w:t>
      </w:r>
      <w:r w:rsidR="00B11695">
        <w:rPr>
          <w:i/>
          <w:sz w:val="22"/>
          <w:szCs w:val="22"/>
        </w:rPr>
        <w:t xml:space="preserve">remote area </w:t>
      </w:r>
      <w:r w:rsidRPr="00783A33">
        <w:rPr>
          <w:i/>
          <w:sz w:val="22"/>
          <w:szCs w:val="22"/>
        </w:rPr>
        <w:t>concessions</w:t>
      </w:r>
      <w:bookmarkEnd w:id="126"/>
      <w:bookmarkEnd w:id="127"/>
      <w:bookmarkEnd w:id="128"/>
      <w:bookmarkEnd w:id="129"/>
      <w:bookmarkEnd w:id="130"/>
      <w:bookmarkEnd w:id="131"/>
      <w:bookmarkEnd w:id="132"/>
      <w:bookmarkEnd w:id="133"/>
      <w:bookmarkEnd w:id="134"/>
      <w:bookmarkEnd w:id="135"/>
      <w:bookmarkEnd w:id="136"/>
      <w:bookmarkEnd w:id="137"/>
    </w:p>
    <w:p w14:paraId="57482C94" w14:textId="77777777" w:rsidR="00ED0644" w:rsidRDefault="001562AE" w:rsidP="00ED0644">
      <w:pPr>
        <w:jc w:val="both"/>
      </w:pPr>
      <w:r w:rsidRPr="00C30AF4">
        <w:t xml:space="preserve">The Queensland </w:t>
      </w:r>
      <w:r w:rsidRPr="00E74434">
        <w:t>Government</w:t>
      </w:r>
      <w:r w:rsidRPr="00C30AF4">
        <w:t xml:space="preserve"> notes the </w:t>
      </w:r>
      <w:r>
        <w:t>following draft recommendations relating to the FBT concessions: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6D7D7" w:themeFill="background2" w:themeFillTint="66"/>
        <w:tblLook w:val="04A0" w:firstRow="1" w:lastRow="0" w:firstColumn="1" w:lastColumn="0" w:noHBand="0" w:noVBand="1"/>
      </w:tblPr>
      <w:tblGrid>
        <w:gridCol w:w="10194"/>
      </w:tblGrid>
      <w:tr w:rsidR="00350B88" w14:paraId="22D8F950" w14:textId="77777777" w:rsidTr="00ED0644">
        <w:tc>
          <w:tcPr>
            <w:tcW w:w="10194" w:type="dxa"/>
            <w:shd w:val="clear" w:color="auto" w:fill="D6D7D7" w:themeFill="background2" w:themeFillTint="66"/>
          </w:tcPr>
          <w:p w14:paraId="06E30E2C" w14:textId="77777777" w:rsidR="00ED0644" w:rsidRPr="00DF3DF9" w:rsidRDefault="001562AE" w:rsidP="00DF3DF9">
            <w:pPr>
              <w:rPr>
                <w:b/>
              </w:rPr>
            </w:pPr>
            <w:bookmarkStart w:id="138" w:name="_Toc19793089"/>
            <w:bookmarkStart w:id="139" w:name="_Toc19799699"/>
            <w:bookmarkStart w:id="140" w:name="_Toc19799779"/>
            <w:bookmarkStart w:id="141" w:name="_Toc19801891"/>
            <w:bookmarkStart w:id="142" w:name="_Toc19863750"/>
            <w:bookmarkStart w:id="143" w:name="_Toc19868457"/>
            <w:r w:rsidRPr="00DF3DF9">
              <w:rPr>
                <w:b/>
              </w:rPr>
              <w:t>DRAFT RECOMMENDATION 8.1 TIGHTEN TAX TREATMENT OF EMPLOYER-PROVIDED HOUSING</w:t>
            </w:r>
            <w:bookmarkEnd w:id="138"/>
            <w:bookmarkEnd w:id="139"/>
            <w:bookmarkEnd w:id="140"/>
            <w:bookmarkEnd w:id="141"/>
            <w:bookmarkEnd w:id="142"/>
            <w:bookmarkEnd w:id="143"/>
          </w:p>
          <w:p w14:paraId="4FA370BF" w14:textId="77777777" w:rsidR="00ED0644" w:rsidRDefault="001562AE" w:rsidP="00ED0644">
            <w:pPr>
              <w:pStyle w:val="Default"/>
              <w:spacing w:after="120"/>
              <w:ind w:left="33"/>
              <w:jc w:val="both"/>
              <w:rPr>
                <w:sz w:val="20"/>
              </w:rPr>
            </w:pPr>
            <w:r>
              <w:rPr>
                <w:sz w:val="20"/>
              </w:rPr>
              <w:t xml:space="preserve">The Australian Government should amend the </w:t>
            </w:r>
            <w:r>
              <w:rPr>
                <w:i/>
                <w:sz w:val="20"/>
              </w:rPr>
              <w:t>Fringe Benefits Tax Assessment Act 1986</w:t>
            </w:r>
            <w:r>
              <w:rPr>
                <w:sz w:val="20"/>
              </w:rPr>
              <w:t xml:space="preserve"> (Cth) to change the tax treatment of employer-provided housing. Specifically, it should:</w:t>
            </w:r>
          </w:p>
          <w:p w14:paraId="4C292328" w14:textId="77777777" w:rsidR="00ED0644" w:rsidRDefault="001562AE" w:rsidP="000C6773">
            <w:pPr>
              <w:pStyle w:val="Default"/>
              <w:numPr>
                <w:ilvl w:val="0"/>
                <w:numId w:val="13"/>
              </w:numPr>
              <w:spacing w:after="60"/>
              <w:ind w:left="601" w:hanging="357"/>
              <w:jc w:val="both"/>
              <w:rPr>
                <w:sz w:val="20"/>
              </w:rPr>
            </w:pPr>
            <w:r>
              <w:rPr>
                <w:sz w:val="20"/>
              </w:rPr>
              <w:t>revert the exemption for employer-provided housing (section 58ZC) to a 50 per cent concession (as it was prior to 2000)</w:t>
            </w:r>
          </w:p>
          <w:p w14:paraId="61369237" w14:textId="77777777" w:rsidR="00ED0644" w:rsidRDefault="001562AE" w:rsidP="000C6773">
            <w:pPr>
              <w:pStyle w:val="Default"/>
              <w:numPr>
                <w:ilvl w:val="0"/>
                <w:numId w:val="13"/>
              </w:numPr>
              <w:spacing w:after="60"/>
              <w:ind w:left="601" w:hanging="357"/>
              <w:jc w:val="both"/>
              <w:rPr>
                <w:sz w:val="20"/>
              </w:rPr>
            </w:pPr>
            <w:r>
              <w:rPr>
                <w:sz w:val="20"/>
              </w:rPr>
              <w:t>remove the provision that enables employers to claim the concession because it is ‘customary’ to provide housing (section 58ZC(2)(d)(iii))</w:t>
            </w:r>
          </w:p>
          <w:p w14:paraId="05943C46" w14:textId="77777777" w:rsidR="00ED0644" w:rsidRPr="005A35C1" w:rsidRDefault="001562AE" w:rsidP="000C6773">
            <w:pPr>
              <w:pStyle w:val="Default"/>
              <w:numPr>
                <w:ilvl w:val="0"/>
                <w:numId w:val="13"/>
              </w:numPr>
              <w:spacing w:after="60"/>
              <w:ind w:left="601" w:hanging="357"/>
              <w:jc w:val="both"/>
              <w:rPr>
                <w:rFonts w:eastAsia="Times New Roman"/>
              </w:rPr>
            </w:pPr>
            <w:r w:rsidRPr="001B3652">
              <w:rPr>
                <w:sz w:val="20"/>
              </w:rPr>
              <w:t>remove</w:t>
            </w:r>
            <w:r>
              <w:t xml:space="preserve"> </w:t>
            </w:r>
            <w:r w:rsidRPr="001B3652">
              <w:rPr>
                <w:sz w:val="20"/>
              </w:rPr>
              <w:t>the provision that extends the concession to additional areas for ‘certain regional employers’ (section 140(1A)).</w:t>
            </w:r>
          </w:p>
        </w:tc>
      </w:tr>
    </w:tbl>
    <w:p w14:paraId="78E12828" w14:textId="77777777" w:rsidR="00ED0644" w:rsidRPr="00ED0644" w:rsidRDefault="00ED0644" w:rsidP="00ED0644">
      <w:pPr>
        <w:spacing w:before="0" w:after="0"/>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350B88" w14:paraId="74169E56" w14:textId="77777777" w:rsidTr="00ED0644">
        <w:tc>
          <w:tcPr>
            <w:tcW w:w="10194" w:type="dxa"/>
            <w:shd w:val="clear" w:color="auto" w:fill="D6D7D7" w:themeFill="background2" w:themeFillTint="66"/>
          </w:tcPr>
          <w:p w14:paraId="70CE8C47" w14:textId="77777777" w:rsidR="00ED0644" w:rsidRPr="00DF3DF9" w:rsidRDefault="001562AE" w:rsidP="00DF3DF9">
            <w:pPr>
              <w:rPr>
                <w:b/>
              </w:rPr>
            </w:pPr>
            <w:bookmarkStart w:id="144" w:name="_Toc19793090"/>
            <w:bookmarkStart w:id="145" w:name="_Toc19799700"/>
            <w:bookmarkStart w:id="146" w:name="_Toc19799780"/>
            <w:bookmarkStart w:id="147" w:name="_Toc19801892"/>
            <w:bookmarkStart w:id="148" w:name="_Toc19863751"/>
            <w:bookmarkStart w:id="149" w:name="_Toc19868458"/>
            <w:r w:rsidRPr="00DF3DF9">
              <w:rPr>
                <w:b/>
              </w:rPr>
              <w:t>DRAFT RECOMMENDATION 8.2 REMOVE CONCESSION FOR EMPLOYEE-SOURCED HOUSING</w:t>
            </w:r>
            <w:bookmarkEnd w:id="144"/>
            <w:bookmarkEnd w:id="145"/>
            <w:bookmarkEnd w:id="146"/>
            <w:bookmarkEnd w:id="147"/>
            <w:bookmarkEnd w:id="148"/>
            <w:bookmarkEnd w:id="149"/>
          </w:p>
          <w:p w14:paraId="3EE86279" w14:textId="77777777" w:rsidR="00ED0644" w:rsidRPr="005A35C1" w:rsidRDefault="001562AE" w:rsidP="00ED0644">
            <w:pPr>
              <w:pStyle w:val="Default"/>
              <w:spacing w:after="120"/>
              <w:ind w:left="33"/>
              <w:jc w:val="both"/>
            </w:pPr>
            <w:r w:rsidRPr="001B3652">
              <w:rPr>
                <w:sz w:val="20"/>
              </w:rPr>
              <w:t xml:space="preserve">The Australian Government should amend the </w:t>
            </w:r>
            <w:r w:rsidRPr="001B3652">
              <w:rPr>
                <w:i/>
                <w:sz w:val="20"/>
              </w:rPr>
              <w:t>Fringe Benefits Tax Assessment Act 1986</w:t>
            </w:r>
            <w:r w:rsidRPr="001B3652">
              <w:rPr>
                <w:sz w:val="20"/>
              </w:rPr>
              <w:t xml:space="preserve"> (Cth) to remove the 50 per cent concession on employee-sourced housing (section 60).</w:t>
            </w:r>
          </w:p>
        </w:tc>
      </w:tr>
    </w:tbl>
    <w:p w14:paraId="22C5360A" w14:textId="77777777" w:rsidR="00ED0644" w:rsidRPr="00ED0644" w:rsidRDefault="00ED0644" w:rsidP="00ED0644">
      <w:pPr>
        <w:spacing w:before="0" w:after="0"/>
        <w:rPr>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350B88" w14:paraId="659DEDC3" w14:textId="77777777" w:rsidTr="00ED0644">
        <w:tc>
          <w:tcPr>
            <w:tcW w:w="10194" w:type="dxa"/>
            <w:shd w:val="clear" w:color="auto" w:fill="D6D7D7" w:themeFill="background2" w:themeFillTint="66"/>
          </w:tcPr>
          <w:p w14:paraId="02B6ED96" w14:textId="77777777" w:rsidR="00ED0644" w:rsidRPr="00DF3DF9" w:rsidRDefault="001562AE" w:rsidP="00DF3DF9">
            <w:pPr>
              <w:rPr>
                <w:b/>
              </w:rPr>
            </w:pPr>
            <w:bookmarkStart w:id="150" w:name="_Toc19793091"/>
            <w:bookmarkStart w:id="151" w:name="_Toc19799701"/>
            <w:bookmarkStart w:id="152" w:name="_Toc19799781"/>
            <w:bookmarkStart w:id="153" w:name="_Toc19801893"/>
            <w:bookmarkStart w:id="154" w:name="_Toc19863752"/>
            <w:bookmarkStart w:id="155" w:name="_Toc19868459"/>
            <w:r w:rsidRPr="00DF3DF9">
              <w:rPr>
                <w:b/>
              </w:rPr>
              <w:t>DRAFT RECOMMENDATION 8.3 TIGHTEN TAX TREATMENT OF OTHER GOODS AND SERVICES</w:t>
            </w:r>
            <w:bookmarkEnd w:id="150"/>
            <w:bookmarkEnd w:id="151"/>
            <w:bookmarkEnd w:id="152"/>
            <w:bookmarkEnd w:id="153"/>
            <w:bookmarkEnd w:id="154"/>
            <w:bookmarkEnd w:id="155"/>
          </w:p>
          <w:p w14:paraId="3EC53FB3" w14:textId="77777777" w:rsidR="00ED0644" w:rsidRDefault="001562AE" w:rsidP="00ED0644">
            <w:pPr>
              <w:pStyle w:val="Default"/>
              <w:spacing w:after="120"/>
              <w:ind w:left="33"/>
              <w:jc w:val="both"/>
              <w:rPr>
                <w:sz w:val="20"/>
              </w:rPr>
            </w:pPr>
            <w:r>
              <w:rPr>
                <w:sz w:val="20"/>
              </w:rPr>
              <w:t xml:space="preserve">The Australian Government should amend the </w:t>
            </w:r>
            <w:r>
              <w:rPr>
                <w:i/>
                <w:sz w:val="20"/>
              </w:rPr>
              <w:t>Fringe Benefits Tax Assessment Act 1986</w:t>
            </w:r>
            <w:r>
              <w:rPr>
                <w:sz w:val="20"/>
              </w:rPr>
              <w:t xml:space="preserve"> (Cth) to change the tax treatment of residential fuel, meals for primary production employees, and holiday transport provided by employers in remote areas. Specifically, it should: </w:t>
            </w:r>
          </w:p>
          <w:p w14:paraId="30299650" w14:textId="77777777" w:rsidR="00ED0644" w:rsidRDefault="001562AE" w:rsidP="000C6773">
            <w:pPr>
              <w:pStyle w:val="Default"/>
              <w:numPr>
                <w:ilvl w:val="0"/>
                <w:numId w:val="13"/>
              </w:numPr>
              <w:spacing w:after="60"/>
              <w:ind w:left="601" w:hanging="357"/>
              <w:jc w:val="both"/>
              <w:rPr>
                <w:sz w:val="20"/>
              </w:rPr>
            </w:pPr>
            <w:r>
              <w:rPr>
                <w:sz w:val="20"/>
              </w:rPr>
              <w:t xml:space="preserve">limit access to the residential fuel concession for use in conjunction with employer-provided housing (section 59(1)) to instances where there is an operational requirement for the employer to provide residential fuel </w:t>
            </w:r>
          </w:p>
          <w:p w14:paraId="46785533" w14:textId="77777777" w:rsidR="00ED0644" w:rsidRDefault="001562AE" w:rsidP="000C6773">
            <w:pPr>
              <w:pStyle w:val="Default"/>
              <w:numPr>
                <w:ilvl w:val="0"/>
                <w:numId w:val="13"/>
              </w:numPr>
              <w:spacing w:after="60"/>
              <w:ind w:left="601" w:hanging="357"/>
              <w:jc w:val="both"/>
              <w:rPr>
                <w:sz w:val="20"/>
              </w:rPr>
            </w:pPr>
            <w:r>
              <w:rPr>
                <w:sz w:val="20"/>
              </w:rPr>
              <w:t xml:space="preserve">remove the residential fuel concession for use in conjunction with employee-sourced housing (section 59(2) and (3)) </w:t>
            </w:r>
          </w:p>
          <w:p w14:paraId="11697313" w14:textId="77777777" w:rsidR="00ED0644" w:rsidRDefault="001562AE" w:rsidP="000C6773">
            <w:pPr>
              <w:pStyle w:val="Default"/>
              <w:numPr>
                <w:ilvl w:val="0"/>
                <w:numId w:val="13"/>
              </w:numPr>
              <w:spacing w:after="60"/>
              <w:ind w:left="601" w:hanging="357"/>
              <w:jc w:val="both"/>
              <w:rPr>
                <w:sz w:val="20"/>
              </w:rPr>
            </w:pPr>
            <w:r>
              <w:rPr>
                <w:sz w:val="20"/>
              </w:rPr>
              <w:t xml:space="preserve">limit access to the exemption that currently applies to meals for primary production employees (section 58ZD) to instances where there is an operational requirement for the employer to provide these meals </w:t>
            </w:r>
          </w:p>
          <w:p w14:paraId="157068CF" w14:textId="77777777" w:rsidR="00ED0644" w:rsidRDefault="001562AE" w:rsidP="000C6773">
            <w:pPr>
              <w:pStyle w:val="Default"/>
              <w:numPr>
                <w:ilvl w:val="0"/>
                <w:numId w:val="13"/>
              </w:numPr>
              <w:spacing w:after="60"/>
              <w:ind w:left="601" w:hanging="357"/>
              <w:jc w:val="both"/>
              <w:rPr>
                <w:sz w:val="20"/>
              </w:rPr>
            </w:pPr>
            <w:r>
              <w:rPr>
                <w:sz w:val="20"/>
              </w:rPr>
              <w:t xml:space="preserve">remove the definition limiting the exemption to meals ‘ready for consumption’, as it leads to ambiguity and difficulty in implementation </w:t>
            </w:r>
          </w:p>
          <w:p w14:paraId="14719CED" w14:textId="77777777" w:rsidR="00ED0644" w:rsidRPr="005A35C1" w:rsidRDefault="001562AE" w:rsidP="000C6773">
            <w:pPr>
              <w:pStyle w:val="Default"/>
              <w:numPr>
                <w:ilvl w:val="0"/>
                <w:numId w:val="13"/>
              </w:numPr>
              <w:spacing w:after="60"/>
              <w:ind w:left="601" w:hanging="357"/>
              <w:jc w:val="both"/>
            </w:pPr>
            <w:r w:rsidRPr="001B3652">
              <w:rPr>
                <w:sz w:val="20"/>
              </w:rPr>
              <w:t>remove the holiday transport concession (section 60A and section 61).</w:t>
            </w:r>
          </w:p>
        </w:tc>
      </w:tr>
    </w:tbl>
    <w:p w14:paraId="76B73E7C" w14:textId="77777777" w:rsidR="00D23D4C" w:rsidRPr="00D23D4C" w:rsidRDefault="001562AE" w:rsidP="00E4570F">
      <w:pPr>
        <w:jc w:val="both"/>
        <w:rPr>
          <w:b/>
        </w:rPr>
      </w:pPr>
      <w:r w:rsidRPr="00D23D4C">
        <w:rPr>
          <w:b/>
        </w:rPr>
        <w:t>Key issues and implications</w:t>
      </w:r>
    </w:p>
    <w:p w14:paraId="6EE5036B" w14:textId="77777777" w:rsidR="00831646" w:rsidRDefault="001562AE" w:rsidP="00E4570F">
      <w:pPr>
        <w:jc w:val="both"/>
      </w:pPr>
      <w:r>
        <w:t>The Queensland Department of Education</w:t>
      </w:r>
      <w:r w:rsidR="00D74237">
        <w:t xml:space="preserve">’s </w:t>
      </w:r>
      <w:r w:rsidR="00E95EB0">
        <w:t xml:space="preserve">confidential </w:t>
      </w:r>
      <w:r w:rsidR="00C1707E">
        <w:t xml:space="preserve">response to the PC’s Issues Paper </w:t>
      </w:r>
      <w:r w:rsidR="00D74237">
        <w:t xml:space="preserve">set out key facts informing the scale of potential issues </w:t>
      </w:r>
      <w:r w:rsidR="00E95EB0">
        <w:t xml:space="preserve">for that state agency </w:t>
      </w:r>
      <w:r w:rsidR="00D74237">
        <w:t xml:space="preserve">including </w:t>
      </w:r>
      <w:r w:rsidR="00C1707E">
        <w:t xml:space="preserve">that </w:t>
      </w:r>
      <w:r w:rsidR="00D74237">
        <w:t xml:space="preserve">around 210,000 students are currently enrolled, </w:t>
      </w:r>
      <w:r w:rsidR="00C1707E">
        <w:t>more than 60% of all Queensland state schools</w:t>
      </w:r>
      <w:r w:rsidR="00D74237">
        <w:t xml:space="preserve"> are located </w:t>
      </w:r>
      <w:r>
        <w:t xml:space="preserve">in, </w:t>
      </w:r>
      <w:r w:rsidR="00D74237">
        <w:t xml:space="preserve">and </w:t>
      </w:r>
      <w:r w:rsidR="00C1707E">
        <w:t xml:space="preserve">over 18,000 full-time equivalent teachers </w:t>
      </w:r>
      <w:r w:rsidR="00D74237">
        <w:t>work in</w:t>
      </w:r>
      <w:r>
        <w:t>,</w:t>
      </w:r>
      <w:r w:rsidR="00D74237">
        <w:t xml:space="preserve"> regional and remote areas.  The response identified key issues </w:t>
      </w:r>
      <w:r w:rsidR="00C1707E">
        <w:t xml:space="preserve">affecting </w:t>
      </w:r>
      <w:r w:rsidR="00D74237">
        <w:t xml:space="preserve">the focus </w:t>
      </w:r>
      <w:r w:rsidR="00C1707E">
        <w:t>on attracting, retaining and developing the expertise of its teaching professionals</w:t>
      </w:r>
      <w:r w:rsidR="00E95EB0">
        <w:t xml:space="preserve">.  </w:t>
      </w:r>
      <w:r>
        <w:t>It is recommended t</w:t>
      </w:r>
      <w:r w:rsidR="00E95EB0">
        <w:t xml:space="preserve">he PC refer back to that confidential response as part of considering submissions on </w:t>
      </w:r>
      <w:r w:rsidR="00D74237">
        <w:t xml:space="preserve">the PC’s Draft </w:t>
      </w:r>
      <w:r w:rsidR="00DF225D">
        <w:t>R</w:t>
      </w:r>
      <w:r w:rsidR="00D74237">
        <w:t>eport</w:t>
      </w:r>
      <w:r w:rsidR="00DF225D">
        <w:t>.</w:t>
      </w:r>
    </w:p>
    <w:p w14:paraId="62C1211F" w14:textId="77777777" w:rsidR="006F703D" w:rsidRPr="00DD557D" w:rsidRDefault="001562AE" w:rsidP="00E4570F">
      <w:pPr>
        <w:jc w:val="both"/>
      </w:pPr>
      <w:r>
        <w:t xml:space="preserve">The Queensland Government </w:t>
      </w:r>
      <w:r w:rsidR="00644F04">
        <w:t>is supportive of the continued development of an effective</w:t>
      </w:r>
      <w:r w:rsidR="00E23CA9">
        <w:t>,</w:t>
      </w:r>
      <w:r w:rsidR="00644F04">
        <w:t xml:space="preserve"> efficient and fair tax system. Australia’s FBT regime, including exemptions and concessions, is an important integrity measure helping to ensure Australia’s tax system works for all Australians. </w:t>
      </w:r>
    </w:p>
    <w:p w14:paraId="262088D7" w14:textId="77777777" w:rsidR="00905778" w:rsidRDefault="001562AE" w:rsidP="00E4570F">
      <w:pPr>
        <w:jc w:val="both"/>
      </w:pPr>
      <w:r>
        <w:t xml:space="preserve">This includes ensuring that regional employers are not disadvantaged in their ability to attract and retain a suitably skilled workforce, given the challenges that can come with living in a regional or remote area. As PC consultations show, regional employers place significant value on FBT concessions, particularly housing concessions, to attract workers. </w:t>
      </w:r>
    </w:p>
    <w:p w14:paraId="492E6D22" w14:textId="77777777" w:rsidR="00AF0503" w:rsidRDefault="001562AE" w:rsidP="00E4570F">
      <w:pPr>
        <w:jc w:val="both"/>
      </w:pPr>
      <w:r>
        <w:t xml:space="preserve">Worker attraction is a key issue for Queensland employers. </w:t>
      </w:r>
      <w:r w:rsidR="00DD557D">
        <w:t xml:space="preserve">The inability of </w:t>
      </w:r>
      <w:r>
        <w:t xml:space="preserve">businesses to access suitably skilled workers was identified as one of the primary impediments to business investment by the </w:t>
      </w:r>
      <w:r w:rsidRPr="00677885">
        <w:rPr>
          <w:i/>
        </w:rPr>
        <w:t>Report on the inquiry into impediments to business investment</w:t>
      </w:r>
      <w:r>
        <w:rPr>
          <w:i/>
        </w:rPr>
        <w:t xml:space="preserve"> </w:t>
      </w:r>
      <w:r>
        <w:t xml:space="preserve">by the House of Representatives Standing Committee on Economics. </w:t>
      </w:r>
    </w:p>
    <w:p w14:paraId="151D80B4" w14:textId="77777777" w:rsidR="00AF0503" w:rsidRDefault="001562AE" w:rsidP="00E4570F">
      <w:pPr>
        <w:jc w:val="both"/>
      </w:pPr>
      <w:r>
        <w:t>Further, the Draft Report notes that some local governments highlighted that FBT concessions were critical to their ability to provide services (i.e. hire employees) in a budget-constrained environment. This is not just true for local governments, but also state governments. Given Queensland’s status as Australia’s most decentralised mainland state and its vast geographic area, the Queensland Government provides a substantial level of public services across a wide array of remote and regional areas. Queensland Government agencies often support regional workers through the provision of housing and other support mechanisms, reflecting operational necessities and the ch</w:t>
      </w:r>
      <w:r w:rsidR="005475FD">
        <w:t>allenges in attracting workers</w:t>
      </w:r>
      <w:r w:rsidR="00A01BA5">
        <w:t>.</w:t>
      </w:r>
      <w:r>
        <w:t xml:space="preserve">  This is currently supported by the availability of FBT concessions.</w:t>
      </w:r>
    </w:p>
    <w:p w14:paraId="27DF3A94" w14:textId="77777777" w:rsidR="008B00CE" w:rsidRDefault="001562AE" w:rsidP="008B00CE">
      <w:pPr>
        <w:jc w:val="both"/>
      </w:pPr>
      <w:r>
        <w:lastRenderedPageBreak/>
        <w:t>The Queensland Government understands the PC</w:t>
      </w:r>
      <w:r w:rsidR="00831646">
        <w:t>’s</w:t>
      </w:r>
      <w:r>
        <w:t xml:space="preserve"> attempt to simplify the regime for remote FBT concessions but consider that the proposed recommendations </w:t>
      </w:r>
      <w:r w:rsidR="00E23CA9">
        <w:t xml:space="preserve">will </w:t>
      </w:r>
      <w:r>
        <w:t xml:space="preserve">result in cost shifting rather than simplification. </w:t>
      </w:r>
      <w:r w:rsidR="003A1A6C">
        <w:t>T</w:t>
      </w:r>
      <w:r>
        <w:t xml:space="preserve">he compliance effort required </w:t>
      </w:r>
      <w:r w:rsidR="006944F1">
        <w:t>to identify, record</w:t>
      </w:r>
      <w:r w:rsidR="003A1A6C">
        <w:t xml:space="preserve"> and</w:t>
      </w:r>
      <w:r w:rsidR="006944F1">
        <w:t xml:space="preserve"> value currently exempt benefits and allocate them to employees is expected to be significant</w:t>
      </w:r>
      <w:r>
        <w:t>.</w:t>
      </w:r>
    </w:p>
    <w:p w14:paraId="39D71AA8" w14:textId="77777777" w:rsidR="008B00CE" w:rsidRDefault="001562AE" w:rsidP="008B00CE">
      <w:pPr>
        <w:jc w:val="both"/>
      </w:pPr>
      <w:r w:rsidRPr="003700D4">
        <w:t xml:space="preserve">The PC </w:t>
      </w:r>
      <w:r>
        <w:t>recommendations to remove or reduce fringe benefit concessions will not only shift the associated costs from the Australian Government to Queensland, but could also negatively impact the financial position of individual employees</w:t>
      </w:r>
      <w:r w:rsidR="00E62D48">
        <w:t>.</w:t>
      </w:r>
      <w:r w:rsidR="00250339">
        <w:t xml:space="preserve"> </w:t>
      </w:r>
    </w:p>
    <w:p w14:paraId="0C265F2C" w14:textId="77777777" w:rsidR="005211FD" w:rsidRPr="00F52BFC" w:rsidRDefault="001562AE" w:rsidP="005211FD">
      <w:pPr>
        <w:jc w:val="both"/>
      </w:pPr>
      <w:r w:rsidRPr="00F52BFC">
        <w:t xml:space="preserve">Additionally, various independent reviews of government service provision have highlighted the difficulties associated with providing services in these areas, and that staff recruitment and retention are key challenges. The </w:t>
      </w:r>
      <w:r w:rsidRPr="00F52BFC">
        <w:rPr>
          <w:i/>
        </w:rPr>
        <w:t>Gonski 2.0</w:t>
      </w:r>
      <w:r w:rsidRPr="00F52BFC">
        <w:t xml:space="preserve"> report found that schools in ‘rural and remote and low socio-economic status areas, also report difficulties filling vacancies and attracting high-quality teachers’ and Halsey’s </w:t>
      </w:r>
      <w:r w:rsidRPr="00F52BFC">
        <w:rPr>
          <w:i/>
        </w:rPr>
        <w:t>Independent Review into Regional, Rural and Remote Education</w:t>
      </w:r>
      <w:r w:rsidRPr="00F52BFC">
        <w:t xml:space="preserve"> found that ‘attracting and retaining teachers for regional, rural and remote schools continues to be one of the most persistent challenges on the education agenda’.</w:t>
      </w:r>
    </w:p>
    <w:p w14:paraId="371DE10B" w14:textId="77777777" w:rsidR="00A466C7" w:rsidRPr="00F52BFC" w:rsidRDefault="001562AE" w:rsidP="00A466C7">
      <w:pPr>
        <w:spacing w:before="0"/>
        <w:jc w:val="both"/>
        <w:rPr>
          <w:szCs w:val="24"/>
        </w:rPr>
      </w:pPr>
      <w:r w:rsidRPr="00F52BFC">
        <w:rPr>
          <w:szCs w:val="24"/>
        </w:rPr>
        <w:t>These proposed fringe benefit</w:t>
      </w:r>
      <w:r w:rsidR="00CE28FD">
        <w:rPr>
          <w:szCs w:val="24"/>
        </w:rPr>
        <w:t>s</w:t>
      </w:r>
      <w:r w:rsidRPr="00F52BFC">
        <w:rPr>
          <w:szCs w:val="24"/>
        </w:rPr>
        <w:t xml:space="preserve"> tax reforms, combined with the proposed abolition of the Zone Tax Offset, would result in a substantial and detrimental impact on the income of many workers, particularly public sector employees providing essential services in remote areas, as highlighted in the illustrative example below.  </w:t>
      </w:r>
    </w:p>
    <w:p w14:paraId="104F3678" w14:textId="77777777" w:rsidR="002B4D75" w:rsidRPr="00F52BFC" w:rsidRDefault="001562AE" w:rsidP="006944F1">
      <w:pPr>
        <w:jc w:val="both"/>
      </w:pPr>
      <w:bookmarkStart w:id="156" w:name="_Hlk22883832"/>
      <w:r w:rsidRPr="00F52BFC">
        <w:t>The remote area FBT concessions are a major factor for attracting and retaining government employees</w:t>
      </w:r>
      <w:r w:rsidR="00CE28FD">
        <w:t xml:space="preserve"> </w:t>
      </w:r>
      <w:r w:rsidR="00CE28FD" w:rsidRPr="00F52BFC">
        <w:t>such as teachers, nurses, allied health or operational administrative staff</w:t>
      </w:r>
      <w:r w:rsidRPr="00F52BFC">
        <w:t xml:space="preserve">, many of whom are not in highly paid positions.  </w:t>
      </w:r>
      <w:bookmarkStart w:id="157" w:name="_Hlk22884027"/>
      <w:r w:rsidR="00CE28FD">
        <w:t>A</w:t>
      </w:r>
      <w:r w:rsidRPr="00F52BFC">
        <w:t>t this time</w:t>
      </w:r>
      <w:r w:rsidR="00CE28FD">
        <w:t>,</w:t>
      </w:r>
      <w:r w:rsidRPr="00F52BFC">
        <w:t xml:space="preserve"> there is an inability to gauge the direct impact of proposed changes on </w:t>
      </w:r>
      <w:r w:rsidRPr="006423B9">
        <w:rPr>
          <w:rFonts w:eastAsia="Times New Roman"/>
        </w:rPr>
        <w:t>attracting and retaining professionals and other staff in rural and remote locations.</w:t>
      </w:r>
    </w:p>
    <w:bookmarkEnd w:id="157"/>
    <w:p w14:paraId="49E95A68" w14:textId="77777777" w:rsidR="001316E2" w:rsidRPr="00F52BFC" w:rsidRDefault="001562AE" w:rsidP="006944F1">
      <w:pPr>
        <w:jc w:val="both"/>
      </w:pPr>
      <w:r w:rsidRPr="00F52BFC">
        <w:rPr>
          <w:szCs w:val="24"/>
        </w:rPr>
        <w:t>The proposed reforms bring the prospect of diminished incentives for employees to take up postings in regional and remote areas</w:t>
      </w:r>
      <w:r w:rsidRPr="00F42AB1">
        <w:t>. This in turn has direct implications on the Queensland Government’s ability to provide key services such as education, health and public safety in these areas.</w:t>
      </w:r>
      <w:bookmarkEnd w:id="156"/>
      <w:r w:rsidR="006E232C" w:rsidRPr="00F42AB1">
        <w:t xml:space="preserve"> </w:t>
      </w:r>
      <w:bookmarkStart w:id="158" w:name="_Hlk22883705"/>
      <w:r w:rsidRPr="00F42AB1">
        <w:t>For example, t</w:t>
      </w:r>
      <w:r w:rsidRPr="006423B9">
        <w:rPr>
          <w:rFonts w:eastAsia="Times New Roman"/>
        </w:rPr>
        <w:t xml:space="preserve">here </w:t>
      </w:r>
      <w:r w:rsidR="002B4D75" w:rsidRPr="006423B9">
        <w:rPr>
          <w:rFonts w:eastAsia="Times New Roman"/>
        </w:rPr>
        <w:t xml:space="preserve">would be </w:t>
      </w:r>
      <w:r w:rsidRPr="006423B9">
        <w:rPr>
          <w:rFonts w:eastAsia="Times New Roman"/>
        </w:rPr>
        <w:t xml:space="preserve">an impact on all </w:t>
      </w:r>
      <w:r w:rsidR="002B4D75" w:rsidRPr="006423B9">
        <w:rPr>
          <w:rFonts w:eastAsia="Times New Roman"/>
        </w:rPr>
        <w:t xml:space="preserve">categories of state health services employees in </w:t>
      </w:r>
      <w:r w:rsidRPr="006423B9">
        <w:rPr>
          <w:rFonts w:eastAsia="Times New Roman"/>
        </w:rPr>
        <w:t>regional</w:t>
      </w:r>
      <w:r w:rsidR="002B4D75" w:rsidRPr="006423B9">
        <w:rPr>
          <w:rFonts w:eastAsia="Times New Roman"/>
        </w:rPr>
        <w:t xml:space="preserve"> and </w:t>
      </w:r>
      <w:r w:rsidRPr="006423B9">
        <w:rPr>
          <w:rFonts w:eastAsia="Times New Roman"/>
        </w:rPr>
        <w:t xml:space="preserve">remote areas </w:t>
      </w:r>
      <w:r w:rsidR="002B4D75" w:rsidRPr="006423B9">
        <w:rPr>
          <w:rFonts w:eastAsia="Times New Roman"/>
        </w:rPr>
        <w:t xml:space="preserve">that are </w:t>
      </w:r>
      <w:r w:rsidRPr="006423B9">
        <w:rPr>
          <w:rFonts w:eastAsia="Times New Roman"/>
        </w:rPr>
        <w:t>provided with accommodation and/or given accommodation rental assistance.</w:t>
      </w:r>
      <w:r w:rsidR="006E232C" w:rsidRPr="00F52BFC">
        <w:t xml:space="preserve">  </w:t>
      </w:r>
    </w:p>
    <w:bookmarkEnd w:id="158"/>
    <w:p w14:paraId="183E2632" w14:textId="77777777" w:rsidR="006E232C" w:rsidRPr="006423B9" w:rsidRDefault="001562AE" w:rsidP="006944F1">
      <w:pPr>
        <w:jc w:val="both"/>
      </w:pPr>
      <w:r w:rsidRPr="006423B9">
        <w:t xml:space="preserve">Removal of the extended remote area housing exemption would have a significant impact on relevant employees within hospital, ambulance and police services.  Adding </w:t>
      </w:r>
      <w:r w:rsidR="00E240EA" w:rsidRPr="006423B9">
        <w:t xml:space="preserve">a change from exempt to </w:t>
      </w:r>
      <w:r w:rsidRPr="006423B9">
        <w:t xml:space="preserve">concessional for remote area housing would </w:t>
      </w:r>
      <w:r w:rsidR="00E240EA" w:rsidRPr="006423B9">
        <w:t>affect se</w:t>
      </w:r>
      <w:r w:rsidRPr="006423B9">
        <w:t xml:space="preserve">veral thousand exempt housing fringe benefits </w:t>
      </w:r>
      <w:r w:rsidR="00E240EA" w:rsidRPr="006423B9">
        <w:t xml:space="preserve">that would be </w:t>
      </w:r>
      <w:r w:rsidRPr="006423B9">
        <w:t>concessional at best, and fully subject to FBT at worst.</w:t>
      </w:r>
      <w:r w:rsidR="001316E2" w:rsidRPr="006423B9">
        <w:t xml:space="preserve">   </w:t>
      </w:r>
    </w:p>
    <w:p w14:paraId="234BFA8C" w14:textId="77777777" w:rsidR="002B4D75" w:rsidRPr="00F52BFC" w:rsidRDefault="001562AE" w:rsidP="006423B9">
      <w:pPr>
        <w:jc w:val="both"/>
        <w:rPr>
          <w:szCs w:val="24"/>
        </w:rPr>
      </w:pPr>
      <w:r w:rsidRPr="006423B9">
        <w:t xml:space="preserve">In some areas, e.g. Thursday Island, there is no capacity for increased housing stock, so there is no capacity for private residential housing thus the need for ongoing employer supplied accommodation or subsidised accommodation is essential.  </w:t>
      </w:r>
      <w:r w:rsidRPr="00F52BFC">
        <w:rPr>
          <w:szCs w:val="24"/>
        </w:rPr>
        <w:t xml:space="preserve">Some state agency locations, e.g. Torres </w:t>
      </w:r>
      <w:r w:rsidR="00100726" w:rsidRPr="00F52BFC">
        <w:rPr>
          <w:szCs w:val="24"/>
        </w:rPr>
        <w:t xml:space="preserve">Strait </w:t>
      </w:r>
      <w:r w:rsidRPr="00F52BFC">
        <w:rPr>
          <w:szCs w:val="24"/>
        </w:rPr>
        <w:t>and Cape</w:t>
      </w:r>
      <w:r w:rsidR="00100726" w:rsidRPr="00F52BFC">
        <w:rPr>
          <w:szCs w:val="24"/>
        </w:rPr>
        <w:t xml:space="preserve"> York</w:t>
      </w:r>
      <w:r w:rsidRPr="00F52BFC">
        <w:rPr>
          <w:szCs w:val="24"/>
        </w:rPr>
        <w:t>, require employer-provided housing for employees and are reliant on Government Employee Housing as there is essentially not a housing rental market in some very remote areas.</w:t>
      </w:r>
    </w:p>
    <w:p w14:paraId="34D7910C" w14:textId="77777777" w:rsidR="005211FD" w:rsidRPr="00F52BFC" w:rsidRDefault="001562AE" w:rsidP="005211FD">
      <w:pPr>
        <w:spacing w:before="0"/>
        <w:jc w:val="both"/>
        <w:rPr>
          <w:szCs w:val="24"/>
        </w:rPr>
      </w:pPr>
      <w:bookmarkStart w:id="159" w:name="_Hlk22883406"/>
      <w:r w:rsidRPr="00F42AB1">
        <w:rPr>
          <w:szCs w:val="24"/>
        </w:rPr>
        <w:t xml:space="preserve">Given the higher cost of living in remote areas, it is likely that employees will seek employer-compensation to address the loss of remote area FBT concessions. </w:t>
      </w:r>
      <w:bookmarkEnd w:id="159"/>
      <w:r w:rsidRPr="00F42AB1">
        <w:rPr>
          <w:szCs w:val="24"/>
        </w:rPr>
        <w:t xml:space="preserve"> </w:t>
      </w:r>
      <w:r w:rsidRPr="00F52BFC">
        <w:rPr>
          <w:szCs w:val="24"/>
        </w:rPr>
        <w:t>The income tax liability of the compensatory measures is also likely to result in increased income tax revenue to the Australian Government.</w:t>
      </w:r>
      <w:r w:rsidR="002B4D75" w:rsidRPr="00F52BFC">
        <w:rPr>
          <w:szCs w:val="24"/>
        </w:rPr>
        <w:t xml:space="preserve">  </w:t>
      </w:r>
      <w:bookmarkStart w:id="160" w:name="_Hlk22884424"/>
      <w:r w:rsidR="002B4D75" w:rsidRPr="00F52BFC">
        <w:rPr>
          <w:szCs w:val="24"/>
        </w:rPr>
        <w:t xml:space="preserve">A further consideration </w:t>
      </w:r>
      <w:r w:rsidR="00A466C7" w:rsidRPr="00F52BFC">
        <w:rPr>
          <w:szCs w:val="24"/>
        </w:rPr>
        <w:t xml:space="preserve">adding complexity involves rural and remote assistance incentives that might be recognised as part of industrial provisions.  </w:t>
      </w:r>
      <w:bookmarkEnd w:id="160"/>
    </w:p>
    <w:p w14:paraId="4CE43813" w14:textId="77777777" w:rsidR="005211FD" w:rsidRDefault="001562AE" w:rsidP="005211FD">
      <w:pPr>
        <w:spacing w:before="0"/>
        <w:jc w:val="both"/>
        <w:rPr>
          <w:szCs w:val="24"/>
        </w:rPr>
      </w:pPr>
      <w:r w:rsidRPr="00F52BFC">
        <w:rPr>
          <w:szCs w:val="24"/>
        </w:rPr>
        <w:t xml:space="preserve">Where employees benefit from an FBT Exemption Cap such as in </w:t>
      </w:r>
      <w:r>
        <w:rPr>
          <w:szCs w:val="24"/>
        </w:rPr>
        <w:t xml:space="preserve">some health agencies, </w:t>
      </w:r>
      <w:r w:rsidRPr="003700D4">
        <w:rPr>
          <w:szCs w:val="24"/>
        </w:rPr>
        <w:t xml:space="preserve">the changes could reduce </w:t>
      </w:r>
      <w:r w:rsidR="006E232C">
        <w:rPr>
          <w:szCs w:val="24"/>
        </w:rPr>
        <w:t xml:space="preserve">or eliminate </w:t>
      </w:r>
      <w:r w:rsidRPr="003700D4">
        <w:rPr>
          <w:szCs w:val="24"/>
        </w:rPr>
        <w:t xml:space="preserve">the extent of </w:t>
      </w:r>
      <w:r w:rsidR="006E232C">
        <w:rPr>
          <w:szCs w:val="24"/>
        </w:rPr>
        <w:t xml:space="preserve">benefit items </w:t>
      </w:r>
      <w:r w:rsidRPr="003700D4">
        <w:rPr>
          <w:szCs w:val="24"/>
        </w:rPr>
        <w:t>that can be packaged under the cap (e.g. a concessional rather than exempt employer-provided housing would need to be charged against the cap).   More generally the proposed change might increase the reportable fringe benefits amounts and this could potentially affect employees’ income tests for various Commonwealth benefits</w:t>
      </w:r>
      <w:r>
        <w:rPr>
          <w:szCs w:val="24"/>
        </w:rPr>
        <w:t xml:space="preserve"> and concessions</w:t>
      </w:r>
      <w:r w:rsidRPr="003700D4">
        <w:rPr>
          <w:szCs w:val="24"/>
        </w:rPr>
        <w:t xml:space="preserve">.     </w:t>
      </w:r>
    </w:p>
    <w:p w14:paraId="6A480C03" w14:textId="77777777" w:rsidR="001316E2" w:rsidRDefault="001316E2" w:rsidP="008B00CE">
      <w:pPr>
        <w:jc w:val="both"/>
        <w:rPr>
          <w:szCs w:val="24"/>
        </w:rPr>
      </w:pPr>
    </w:p>
    <w:p w14:paraId="6901CA7F" w14:textId="77777777" w:rsidR="00F42AB1" w:rsidRDefault="00F42AB1" w:rsidP="008B00CE">
      <w:pPr>
        <w:jc w:val="both"/>
        <w:rPr>
          <w:szCs w:val="24"/>
        </w:rPr>
      </w:pPr>
    </w:p>
    <w:p w14:paraId="04C24A33" w14:textId="77777777" w:rsidR="00F42AB1" w:rsidRDefault="00F42AB1" w:rsidP="008B00CE">
      <w:pPr>
        <w:jc w:val="both"/>
        <w:rPr>
          <w:szCs w:val="24"/>
        </w:rPr>
      </w:pPr>
    </w:p>
    <w:p w14:paraId="2CA534C2" w14:textId="77777777" w:rsidR="00F42AB1" w:rsidRDefault="00F42AB1" w:rsidP="008B00CE">
      <w:pPr>
        <w:jc w:val="both"/>
        <w:rPr>
          <w:szCs w:val="24"/>
        </w:rPr>
      </w:pPr>
    </w:p>
    <w:p w14:paraId="58E5D316" w14:textId="77777777" w:rsidR="00F42AB1" w:rsidRDefault="00F42AB1" w:rsidP="008B00CE">
      <w:pPr>
        <w:jc w:val="both"/>
        <w:rPr>
          <w:szCs w:val="24"/>
        </w:rPr>
      </w:pPr>
    </w:p>
    <w:p w14:paraId="03DFE051" w14:textId="77777777" w:rsidR="00F42AB1" w:rsidRDefault="00F42AB1" w:rsidP="008B00CE">
      <w:pPr>
        <w:jc w:val="both"/>
        <w:rPr>
          <w:szCs w:val="24"/>
        </w:rPr>
      </w:pPr>
    </w:p>
    <w:p w14:paraId="3EAD376D" w14:textId="77777777" w:rsidR="00F42AB1" w:rsidRDefault="00F42AB1" w:rsidP="008B00CE">
      <w:pPr>
        <w:jc w:val="both"/>
        <w:rPr>
          <w:szCs w:val="24"/>
        </w:rPr>
      </w:pPr>
    </w:p>
    <w:p w14:paraId="16342CB0" w14:textId="77777777" w:rsidR="00F42AB1" w:rsidRDefault="00F42AB1" w:rsidP="008B00CE">
      <w:pPr>
        <w:jc w:val="both"/>
        <w:rPr>
          <w:szCs w:val="24"/>
        </w:rPr>
      </w:pPr>
    </w:p>
    <w:p w14:paraId="6AA3187A" w14:textId="77777777" w:rsidR="00F42AB1" w:rsidRDefault="00F42AB1" w:rsidP="008B00CE">
      <w:pPr>
        <w:jc w:val="both"/>
        <w:rPr>
          <w:szCs w:val="24"/>
        </w:rPr>
      </w:pPr>
    </w:p>
    <w:p w14:paraId="0DEEF789" w14:textId="77777777" w:rsidR="00F42AB1" w:rsidRDefault="00F42AB1" w:rsidP="008B00CE">
      <w:pPr>
        <w:jc w:val="both"/>
        <w:rPr>
          <w:szCs w:val="24"/>
        </w:rPr>
      </w:pPr>
    </w:p>
    <w:p w14:paraId="239AF5DF" w14:textId="77777777" w:rsidR="0031285D" w:rsidRDefault="001562AE">
      <w:pPr>
        <w:spacing w:before="60" w:after="60"/>
      </w:pPr>
      <w:r>
        <w:br w:type="page"/>
      </w:r>
    </w:p>
    <w:p w14:paraId="0AD74135" w14:textId="77777777" w:rsidR="0031285D" w:rsidRDefault="001562AE">
      <w:pPr>
        <w:spacing w:before="60" w:after="60"/>
      </w:pPr>
      <w:r>
        <w:rPr>
          <w:noProof/>
          <w:lang w:eastAsia="en-AU"/>
        </w:rPr>
        <w:lastRenderedPageBreak/>
        <mc:AlternateContent>
          <mc:Choice Requires="wps">
            <w:drawing>
              <wp:anchor distT="0" distB="0" distL="114300" distR="114300" simplePos="0" relativeHeight="251659264" behindDoc="0" locked="0" layoutInCell="1" allowOverlap="1" wp14:anchorId="2C4F6E45" wp14:editId="7E4629F9">
                <wp:simplePos x="0" y="0"/>
                <wp:positionH relativeFrom="page">
                  <wp:posOffset>704850</wp:posOffset>
                </wp:positionH>
                <wp:positionV relativeFrom="paragraph">
                  <wp:posOffset>14605</wp:posOffset>
                </wp:positionV>
                <wp:extent cx="6162675" cy="69723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162675" cy="6972300"/>
                        </a:xfrm>
                        <a:prstGeom prst="rect">
                          <a:avLst/>
                        </a:prstGeom>
                        <a:solidFill>
                          <a:schemeClr val="lt1"/>
                        </a:solidFill>
                        <a:ln w="6350">
                          <a:solidFill>
                            <a:prstClr val="black"/>
                          </a:solidFill>
                        </a:ln>
                      </wps:spPr>
                      <wps:txbx>
                        <w:txbxContent>
                          <w:p w14:paraId="7D83265C" w14:textId="77777777" w:rsidR="0031285D" w:rsidRPr="00250339" w:rsidRDefault="001562AE" w:rsidP="0031285D">
                            <w:pPr>
                              <w:rPr>
                                <w:b/>
                              </w:rPr>
                            </w:pPr>
                            <w:r>
                              <w:rPr>
                                <w:b/>
                              </w:rPr>
                              <w:t>I</w:t>
                            </w:r>
                            <w:r w:rsidRPr="00250339">
                              <w:rPr>
                                <w:b/>
                              </w:rPr>
                              <w:t>llustrative example</w:t>
                            </w:r>
                            <w:r w:rsidR="00747E52">
                              <w:rPr>
                                <w:b/>
                              </w:rPr>
                              <w:t>s</w:t>
                            </w:r>
                            <w:r>
                              <w:rPr>
                                <w:b/>
                              </w:rPr>
                              <w:t>: P</w:t>
                            </w:r>
                            <w:r w:rsidRPr="00250339">
                              <w:rPr>
                                <w:b/>
                              </w:rPr>
                              <w:t xml:space="preserve">otential impact on </w:t>
                            </w:r>
                            <w:r>
                              <w:rPr>
                                <w:b/>
                              </w:rPr>
                              <w:t xml:space="preserve"> public </w:t>
                            </w:r>
                            <w:r w:rsidRPr="00250339">
                              <w:rPr>
                                <w:b/>
                              </w:rPr>
                              <w:t>sector employee</w:t>
                            </w:r>
                            <w:r>
                              <w:rPr>
                                <w:b/>
                              </w:rPr>
                              <w:t>s</w:t>
                            </w:r>
                            <w:r w:rsidRPr="00250339">
                              <w:rPr>
                                <w:b/>
                              </w:rPr>
                              <w:t xml:space="preserve"> </w:t>
                            </w:r>
                          </w:p>
                          <w:p w14:paraId="2B638C3D" w14:textId="77777777" w:rsidR="0031285D" w:rsidRDefault="001562AE" w:rsidP="0031285D">
                            <w:r>
                              <w:t xml:space="preserve">Preliminary analysis indicates that a police officer with two dependents located within a special area under the Zone Tax Offset guidelines, who currently receives employer benefits of housing and holiday transport, could be around $8,300 worse off per annum if the ZTO was abolished and the increased Fringe Benefit Tax liability on these benefits was recovered from employees. </w:t>
                            </w:r>
                          </w:p>
                          <w:p w14:paraId="2507BA88" w14:textId="77777777" w:rsidR="0031285D" w:rsidRPr="00C116CC" w:rsidRDefault="001562AE" w:rsidP="0031285D">
                            <w:pPr>
                              <w:spacing w:after="0"/>
                              <w:ind w:left="2410"/>
                              <w:rPr>
                                <w:b/>
                                <w:sz w:val="18"/>
                              </w:rPr>
                            </w:pPr>
                            <w:r w:rsidRPr="00C116CC">
                              <w:rPr>
                                <w:b/>
                                <w:sz w:val="18"/>
                              </w:rPr>
                              <w:t xml:space="preserve">Table 1: </w:t>
                            </w:r>
                            <w:r>
                              <w:rPr>
                                <w:b/>
                                <w:sz w:val="18"/>
                              </w:rPr>
                              <w:t>Estimated p</w:t>
                            </w:r>
                            <w:r w:rsidRPr="00C116CC">
                              <w:rPr>
                                <w:b/>
                                <w:sz w:val="18"/>
                              </w:rPr>
                              <w:t xml:space="preserve">otential impacts </w:t>
                            </w:r>
                            <w:r>
                              <w:rPr>
                                <w:b/>
                                <w:sz w:val="18"/>
                              </w:rPr>
                              <w:t>for police officer</w:t>
                            </w:r>
                          </w:p>
                          <w:tbl>
                            <w:tblPr>
                              <w:tblStyle w:val="TableGrid1"/>
                              <w:tblW w:w="5000" w:type="pct"/>
                              <w:tblLook w:val="04A0" w:firstRow="1" w:lastRow="0" w:firstColumn="1" w:lastColumn="0" w:noHBand="0" w:noVBand="1"/>
                            </w:tblPr>
                            <w:tblGrid>
                              <w:gridCol w:w="6491"/>
                              <w:gridCol w:w="2906"/>
                            </w:tblGrid>
                            <w:tr w:rsidR="00350B88" w14:paraId="7670E86F" w14:textId="77777777" w:rsidTr="006423B9">
                              <w:trPr>
                                <w:trHeight w:val="412"/>
                              </w:trPr>
                              <w:tc>
                                <w:tcPr>
                                  <w:tcW w:w="3454" w:type="pct"/>
                                </w:tcPr>
                                <w:p w14:paraId="348BB9FD" w14:textId="77777777" w:rsidR="0031285D" w:rsidRPr="005211FD" w:rsidRDefault="001562AE" w:rsidP="0031285D">
                                  <w:pPr>
                                    <w:spacing w:before="0" w:after="0"/>
                                    <w:rPr>
                                      <w:rFonts w:asciiTheme="minorHAnsi" w:hAnsiTheme="minorHAnsi" w:cstheme="minorHAnsi"/>
                                      <w:sz w:val="18"/>
                                      <w:szCs w:val="18"/>
                                    </w:rPr>
                                  </w:pPr>
                                  <w:r w:rsidRPr="005211FD">
                                    <w:rPr>
                                      <w:rFonts w:asciiTheme="minorHAnsi" w:hAnsiTheme="minorHAnsi" w:cstheme="minorHAnsi"/>
                                      <w:sz w:val="18"/>
                                      <w:szCs w:val="18"/>
                                    </w:rPr>
                                    <w:t xml:space="preserve">Zone Tax Offset </w:t>
                                  </w:r>
                                </w:p>
                              </w:tc>
                              <w:tc>
                                <w:tcPr>
                                  <w:tcW w:w="1546" w:type="pct"/>
                                </w:tcPr>
                                <w:p w14:paraId="6F6AFCCB" w14:textId="77777777" w:rsidR="0031285D" w:rsidRPr="005211FD" w:rsidRDefault="001562AE" w:rsidP="0031285D">
                                  <w:pPr>
                                    <w:spacing w:before="0" w:after="0"/>
                                    <w:rPr>
                                      <w:rFonts w:asciiTheme="minorHAnsi" w:hAnsiTheme="minorHAnsi" w:cstheme="minorHAnsi"/>
                                      <w:sz w:val="18"/>
                                      <w:szCs w:val="18"/>
                                    </w:rPr>
                                  </w:pPr>
                                  <w:r w:rsidRPr="005211FD">
                                    <w:rPr>
                                      <w:rFonts w:asciiTheme="minorHAnsi" w:hAnsiTheme="minorHAnsi" w:cstheme="minorHAnsi"/>
                                      <w:sz w:val="18"/>
                                      <w:szCs w:val="18"/>
                                    </w:rPr>
                                    <w:t>$1,502</w:t>
                                  </w:r>
                                </w:p>
                              </w:tc>
                            </w:tr>
                            <w:tr w:rsidR="00350B88" w14:paraId="7EAEF13E" w14:textId="77777777" w:rsidTr="006423B9">
                              <w:trPr>
                                <w:trHeight w:val="382"/>
                              </w:trPr>
                              <w:tc>
                                <w:tcPr>
                                  <w:tcW w:w="3454" w:type="pct"/>
                                </w:tcPr>
                                <w:p w14:paraId="6491F1B8" w14:textId="77777777" w:rsidR="0031285D" w:rsidRPr="005211FD" w:rsidRDefault="001562AE" w:rsidP="0031285D">
                                  <w:pPr>
                                    <w:spacing w:before="0" w:after="0"/>
                                    <w:rPr>
                                      <w:rFonts w:asciiTheme="minorHAnsi" w:hAnsiTheme="minorHAnsi" w:cstheme="minorHAnsi"/>
                                      <w:sz w:val="18"/>
                                      <w:szCs w:val="18"/>
                                    </w:rPr>
                                  </w:pPr>
                                  <w:r w:rsidRPr="005211FD">
                                    <w:rPr>
                                      <w:rFonts w:asciiTheme="minorHAnsi" w:hAnsiTheme="minorHAnsi" w:cstheme="minorHAnsi"/>
                                      <w:sz w:val="18"/>
                                      <w:szCs w:val="18"/>
                                    </w:rPr>
                                    <w:t>Employer provided housing</w:t>
                                  </w:r>
                                  <w:r w:rsidRPr="005211FD">
                                    <w:rPr>
                                      <w:rFonts w:asciiTheme="minorHAnsi" w:hAnsiTheme="minorHAnsi" w:cstheme="minorHAnsi"/>
                                      <w:sz w:val="18"/>
                                      <w:szCs w:val="18"/>
                                      <w:vertAlign w:val="superscript"/>
                                    </w:rPr>
                                    <w:t>1</w:t>
                                  </w:r>
                                  <w:r>
                                    <w:rPr>
                                      <w:rFonts w:asciiTheme="minorHAnsi" w:hAnsiTheme="minorHAnsi" w:cstheme="minorHAnsi"/>
                                      <w:sz w:val="18"/>
                                      <w:szCs w:val="18"/>
                                      <w:vertAlign w:val="superscript"/>
                                    </w:rPr>
                                    <w:t>,2</w:t>
                                  </w:r>
                                </w:p>
                              </w:tc>
                              <w:tc>
                                <w:tcPr>
                                  <w:tcW w:w="1546" w:type="pct"/>
                                </w:tcPr>
                                <w:p w14:paraId="4DF30260" w14:textId="77777777" w:rsidR="0031285D" w:rsidRPr="005211FD" w:rsidRDefault="001562AE" w:rsidP="0031285D">
                                  <w:pPr>
                                    <w:spacing w:before="0" w:after="0"/>
                                    <w:rPr>
                                      <w:rFonts w:asciiTheme="minorHAnsi" w:hAnsiTheme="minorHAnsi" w:cstheme="minorHAnsi"/>
                                      <w:sz w:val="18"/>
                                      <w:szCs w:val="18"/>
                                    </w:rPr>
                                  </w:pPr>
                                  <w:r w:rsidRPr="005211FD">
                                    <w:rPr>
                                      <w:rFonts w:asciiTheme="minorHAnsi" w:hAnsiTheme="minorHAnsi" w:cstheme="minorHAnsi"/>
                                      <w:sz w:val="18"/>
                                      <w:szCs w:val="18"/>
                                    </w:rPr>
                                    <w:t>$6,250</w:t>
                                  </w:r>
                                </w:p>
                              </w:tc>
                            </w:tr>
                            <w:tr w:rsidR="00350B88" w14:paraId="7C6C063D" w14:textId="77777777" w:rsidTr="006423B9">
                              <w:trPr>
                                <w:trHeight w:val="412"/>
                              </w:trPr>
                              <w:tc>
                                <w:tcPr>
                                  <w:tcW w:w="3454" w:type="pct"/>
                                </w:tcPr>
                                <w:p w14:paraId="1869C599" w14:textId="77777777" w:rsidR="0031285D" w:rsidRPr="005211FD" w:rsidRDefault="001562AE" w:rsidP="0031285D">
                                  <w:pPr>
                                    <w:spacing w:before="0" w:after="0"/>
                                    <w:rPr>
                                      <w:rFonts w:asciiTheme="minorHAnsi" w:hAnsiTheme="minorHAnsi" w:cstheme="minorHAnsi"/>
                                      <w:sz w:val="18"/>
                                      <w:szCs w:val="18"/>
                                    </w:rPr>
                                  </w:pPr>
                                  <w:r w:rsidRPr="005211FD">
                                    <w:rPr>
                                      <w:rFonts w:asciiTheme="minorHAnsi" w:hAnsiTheme="minorHAnsi" w:cstheme="minorHAnsi"/>
                                      <w:sz w:val="18"/>
                                      <w:szCs w:val="18"/>
                                    </w:rPr>
                                    <w:t>Holiday transport</w:t>
                                  </w:r>
                                  <w:r w:rsidRPr="000C7EF7">
                                    <w:rPr>
                                      <w:rFonts w:asciiTheme="minorHAnsi" w:hAnsiTheme="minorHAnsi" w:cstheme="minorHAnsi"/>
                                      <w:sz w:val="18"/>
                                      <w:vertAlign w:val="superscript"/>
                                    </w:rPr>
                                    <w:t>3</w:t>
                                  </w:r>
                                </w:p>
                              </w:tc>
                              <w:tc>
                                <w:tcPr>
                                  <w:tcW w:w="1546" w:type="pct"/>
                                </w:tcPr>
                                <w:p w14:paraId="2CCE2B9E" w14:textId="77777777" w:rsidR="0031285D" w:rsidRPr="005211FD" w:rsidRDefault="001562AE" w:rsidP="0031285D">
                                  <w:pPr>
                                    <w:spacing w:before="0" w:after="0"/>
                                    <w:rPr>
                                      <w:rFonts w:asciiTheme="minorHAnsi" w:hAnsiTheme="minorHAnsi" w:cstheme="minorHAnsi"/>
                                      <w:sz w:val="18"/>
                                      <w:szCs w:val="18"/>
                                    </w:rPr>
                                  </w:pPr>
                                  <w:r>
                                    <w:rPr>
                                      <w:rFonts w:asciiTheme="minorHAnsi" w:hAnsiTheme="minorHAnsi" w:cstheme="minorHAnsi"/>
                                      <w:sz w:val="18"/>
                                      <w:szCs w:val="18"/>
                                    </w:rPr>
                                    <w:t>$</w:t>
                                  </w:r>
                                  <w:r w:rsidRPr="005211FD">
                                    <w:rPr>
                                      <w:rFonts w:asciiTheme="minorHAnsi" w:hAnsiTheme="minorHAnsi" w:cstheme="minorHAnsi"/>
                                      <w:sz w:val="18"/>
                                      <w:szCs w:val="18"/>
                                    </w:rPr>
                                    <w:t xml:space="preserve">570 </w:t>
                                  </w:r>
                                </w:p>
                              </w:tc>
                            </w:tr>
                            <w:tr w:rsidR="00350B88" w14:paraId="2229BC15" w14:textId="77777777" w:rsidTr="006423B9">
                              <w:trPr>
                                <w:trHeight w:val="382"/>
                              </w:trPr>
                              <w:tc>
                                <w:tcPr>
                                  <w:tcW w:w="3454" w:type="pct"/>
                                </w:tcPr>
                                <w:p w14:paraId="57385B0E" w14:textId="77777777" w:rsidR="0031285D" w:rsidRPr="005211FD" w:rsidRDefault="001562AE" w:rsidP="0031285D">
                                  <w:pPr>
                                    <w:spacing w:before="0" w:after="0"/>
                                    <w:rPr>
                                      <w:rFonts w:asciiTheme="minorHAnsi" w:hAnsiTheme="minorHAnsi" w:cstheme="minorHAnsi"/>
                                      <w:sz w:val="18"/>
                                    </w:rPr>
                                  </w:pPr>
                                  <w:r>
                                    <w:rPr>
                                      <w:rFonts w:asciiTheme="minorHAnsi" w:hAnsiTheme="minorHAnsi" w:cstheme="minorHAnsi"/>
                                      <w:sz w:val="18"/>
                                    </w:rPr>
                                    <w:t xml:space="preserve">Total impact </w:t>
                                  </w:r>
                                </w:p>
                              </w:tc>
                              <w:tc>
                                <w:tcPr>
                                  <w:tcW w:w="1546" w:type="pct"/>
                                </w:tcPr>
                                <w:p w14:paraId="2809FC88" w14:textId="77777777" w:rsidR="0031285D" w:rsidRPr="005211FD" w:rsidRDefault="001562AE" w:rsidP="0031285D">
                                  <w:pPr>
                                    <w:spacing w:before="0" w:after="0"/>
                                    <w:rPr>
                                      <w:rFonts w:asciiTheme="minorHAnsi" w:hAnsiTheme="minorHAnsi" w:cstheme="minorHAnsi"/>
                                      <w:sz w:val="18"/>
                                    </w:rPr>
                                  </w:pPr>
                                  <w:r>
                                    <w:rPr>
                                      <w:rFonts w:asciiTheme="minorHAnsi" w:hAnsiTheme="minorHAnsi" w:cstheme="minorHAnsi"/>
                                      <w:sz w:val="18"/>
                                    </w:rPr>
                                    <w:t>$8,322</w:t>
                                  </w:r>
                                </w:p>
                              </w:tc>
                            </w:tr>
                          </w:tbl>
                          <w:p w14:paraId="362140D4" w14:textId="77777777" w:rsidR="0031285D" w:rsidRPr="000C7EF7" w:rsidRDefault="001562AE" w:rsidP="0031285D">
                            <w:pPr>
                              <w:pStyle w:val="ListParagraph"/>
                              <w:numPr>
                                <w:ilvl w:val="0"/>
                                <w:numId w:val="24"/>
                              </w:numPr>
                              <w:spacing w:after="0"/>
                              <w:ind w:left="405"/>
                              <w:rPr>
                                <w:sz w:val="16"/>
                                <w:szCs w:val="16"/>
                              </w:rPr>
                            </w:pPr>
                            <w:r>
                              <w:rPr>
                                <w:sz w:val="16"/>
                                <w:szCs w:val="16"/>
                              </w:rPr>
                              <w:t>E</w:t>
                            </w:r>
                            <w:r w:rsidRPr="000C7EF7">
                              <w:rPr>
                                <w:sz w:val="16"/>
                                <w:szCs w:val="16"/>
                              </w:rPr>
                              <w:t xml:space="preserve">mployee would already be paying a nominal rent amount to the agency, so this amount is in addition.  </w:t>
                            </w:r>
                          </w:p>
                          <w:p w14:paraId="34C0DEA2" w14:textId="77777777" w:rsidR="0031285D" w:rsidRDefault="001562AE" w:rsidP="0031285D">
                            <w:pPr>
                              <w:pStyle w:val="ListParagraph"/>
                              <w:numPr>
                                <w:ilvl w:val="0"/>
                                <w:numId w:val="24"/>
                              </w:numPr>
                              <w:spacing w:after="0"/>
                              <w:ind w:left="405"/>
                              <w:rPr>
                                <w:sz w:val="16"/>
                                <w:szCs w:val="16"/>
                              </w:rPr>
                            </w:pPr>
                            <w:r>
                              <w:rPr>
                                <w:sz w:val="16"/>
                                <w:szCs w:val="16"/>
                              </w:rPr>
                              <w:t xml:space="preserve">An average based on estimated aggregate impact.  Impact will range from nil to significantly higher than the amount disclosed above depending on individual circumstances.  Furthermore, this cost could be double if the employer- provided housing fell outside any revised remote area boundaries into a non-remote area.  </w:t>
                            </w:r>
                          </w:p>
                          <w:p w14:paraId="6629A99E" w14:textId="77777777" w:rsidR="0031285D" w:rsidRPr="000C7EF7" w:rsidRDefault="001562AE" w:rsidP="0031285D">
                            <w:pPr>
                              <w:pStyle w:val="ListParagraph"/>
                              <w:numPr>
                                <w:ilvl w:val="0"/>
                                <w:numId w:val="24"/>
                              </w:numPr>
                              <w:spacing w:after="0"/>
                              <w:ind w:left="405"/>
                              <w:rPr>
                                <w:sz w:val="16"/>
                                <w:szCs w:val="16"/>
                              </w:rPr>
                            </w:pPr>
                            <w:r>
                              <w:rPr>
                                <w:sz w:val="16"/>
                                <w:szCs w:val="16"/>
                              </w:rPr>
                              <w:t xml:space="preserve">An average based on estimated aggregate impact.  </w:t>
                            </w:r>
                            <w:r w:rsidRPr="000C7EF7">
                              <w:rPr>
                                <w:sz w:val="16"/>
                                <w:szCs w:val="16"/>
                              </w:rPr>
                              <w:t xml:space="preserve"> </w:t>
                            </w:r>
                          </w:p>
                          <w:p w14:paraId="675CF826" w14:textId="77777777" w:rsidR="0031285D" w:rsidRPr="00C116CC" w:rsidRDefault="001562AE" w:rsidP="0031285D">
                            <w:pPr>
                              <w:spacing w:after="0"/>
                              <w:ind w:left="2410"/>
                              <w:rPr>
                                <w:b/>
                                <w:sz w:val="18"/>
                              </w:rPr>
                            </w:pPr>
                            <w:r w:rsidRPr="00C116CC">
                              <w:rPr>
                                <w:b/>
                                <w:sz w:val="18"/>
                              </w:rPr>
                              <w:t xml:space="preserve">Table </w:t>
                            </w:r>
                            <w:r>
                              <w:rPr>
                                <w:b/>
                                <w:sz w:val="18"/>
                              </w:rPr>
                              <w:t>2</w:t>
                            </w:r>
                            <w:r w:rsidRPr="00C116CC">
                              <w:rPr>
                                <w:b/>
                                <w:sz w:val="18"/>
                              </w:rPr>
                              <w:t xml:space="preserve">: </w:t>
                            </w:r>
                            <w:r>
                              <w:rPr>
                                <w:b/>
                                <w:sz w:val="18"/>
                              </w:rPr>
                              <w:t>Estimated p</w:t>
                            </w:r>
                            <w:r w:rsidRPr="00C116CC">
                              <w:rPr>
                                <w:b/>
                                <w:sz w:val="18"/>
                              </w:rPr>
                              <w:t xml:space="preserve">otential impacts </w:t>
                            </w:r>
                            <w:r>
                              <w:rPr>
                                <w:b/>
                                <w:sz w:val="18"/>
                              </w:rPr>
                              <w:t>for health workers</w:t>
                            </w:r>
                          </w:p>
                          <w:tbl>
                            <w:tblPr>
                              <w:tblW w:w="5000" w:type="pct"/>
                              <w:tblLook w:val="04A0" w:firstRow="1" w:lastRow="0" w:firstColumn="1" w:lastColumn="0" w:noHBand="0" w:noVBand="1"/>
                            </w:tblPr>
                            <w:tblGrid>
                              <w:gridCol w:w="2938"/>
                              <w:gridCol w:w="1763"/>
                              <w:gridCol w:w="1909"/>
                              <w:gridCol w:w="2787"/>
                            </w:tblGrid>
                            <w:tr w:rsidR="00350B88" w14:paraId="51D9039A" w14:textId="77777777" w:rsidTr="0031285D">
                              <w:trPr>
                                <w:trHeight w:val="532"/>
                              </w:trPr>
                              <w:tc>
                                <w:tcPr>
                                  <w:tcW w:w="1563" w:type="pct"/>
                                  <w:tcBorders>
                                    <w:top w:val="single" w:sz="4" w:space="0" w:color="auto"/>
                                    <w:left w:val="single" w:sz="4" w:space="0" w:color="auto"/>
                                    <w:right w:val="nil"/>
                                  </w:tcBorders>
                                  <w:shd w:val="clear" w:color="auto" w:fill="auto"/>
                                  <w:noWrap/>
                                  <w:vAlign w:val="bottom"/>
                                  <w:hideMark/>
                                </w:tcPr>
                                <w:p w14:paraId="74A8BD44" w14:textId="77777777" w:rsidR="0031285D" w:rsidRPr="00AA1E45" w:rsidRDefault="0031285D" w:rsidP="0031285D">
                                  <w:pPr>
                                    <w:spacing w:before="0" w:after="0"/>
                                    <w:rPr>
                                      <w:rFonts w:ascii="Times New Roman" w:eastAsia="Times New Roman" w:hAnsi="Times New Roman" w:cs="Times New Roman"/>
                                      <w:sz w:val="24"/>
                                      <w:szCs w:val="20"/>
                                      <w:lang w:eastAsia="en-AU"/>
                                    </w:rPr>
                                  </w:pPr>
                                </w:p>
                              </w:tc>
                              <w:tc>
                                <w:tcPr>
                                  <w:tcW w:w="938" w:type="pct"/>
                                  <w:tcBorders>
                                    <w:top w:val="single" w:sz="4" w:space="0" w:color="auto"/>
                                    <w:left w:val="single" w:sz="4" w:space="0" w:color="auto"/>
                                    <w:right w:val="single" w:sz="4" w:space="0" w:color="auto"/>
                                  </w:tcBorders>
                                  <w:vAlign w:val="center"/>
                                </w:tcPr>
                                <w:p w14:paraId="0871D663" w14:textId="77777777" w:rsidR="0031285D" w:rsidRPr="002D3583" w:rsidRDefault="001562AE" w:rsidP="0031285D">
                                  <w:pPr>
                                    <w:jc w:val="center"/>
                                    <w:rPr>
                                      <w:rFonts w:eastAsia="Times New Roman" w:cs="Arial"/>
                                      <w:color w:val="000000"/>
                                      <w:sz w:val="18"/>
                                      <w:lang w:eastAsia="en-AU"/>
                                    </w:rPr>
                                  </w:pPr>
                                  <w:r w:rsidRPr="002D3583">
                                    <w:rPr>
                                      <w:rFonts w:eastAsia="Times New Roman" w:cs="Arial"/>
                                      <w:color w:val="000000"/>
                                      <w:sz w:val="18"/>
                                      <w:lang w:eastAsia="en-AU"/>
                                    </w:rPr>
                                    <w:t>Mt Isa</w:t>
                                  </w:r>
                                  <w:r>
                                    <w:rPr>
                                      <w:rFonts w:eastAsia="Times New Roman" w:cs="Arial"/>
                                      <w:color w:val="000000"/>
                                      <w:sz w:val="18"/>
                                      <w:lang w:eastAsia="en-AU"/>
                                    </w:rPr>
                                    <w:t xml:space="preserve"> (</w:t>
                                  </w:r>
                                  <w:r w:rsidRPr="002D3583">
                                    <w:rPr>
                                      <w:rFonts w:eastAsia="Times New Roman" w:cs="Arial"/>
                                      <w:color w:val="000000"/>
                                      <w:sz w:val="18"/>
                                      <w:lang w:eastAsia="en-AU"/>
                                    </w:rPr>
                                    <w:t>Zone A</w:t>
                                  </w:r>
                                  <w:r>
                                    <w:rPr>
                                      <w:rFonts w:eastAsia="Times New Roman" w:cs="Arial"/>
                                      <w:color w:val="000000"/>
                                      <w:sz w:val="18"/>
                                      <w:lang w:eastAsia="en-AU"/>
                                    </w:rPr>
                                    <w:t>)</w:t>
                                  </w:r>
                                </w:p>
                              </w:tc>
                              <w:tc>
                                <w:tcPr>
                                  <w:tcW w:w="101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A5109" w14:textId="77777777" w:rsidR="0031285D" w:rsidRPr="00AA1E45" w:rsidRDefault="001562AE" w:rsidP="0031285D">
                                  <w:pPr>
                                    <w:jc w:val="center"/>
                                    <w:rPr>
                                      <w:rFonts w:eastAsia="Times New Roman" w:cs="Arial"/>
                                      <w:color w:val="000000"/>
                                      <w:sz w:val="18"/>
                                      <w:lang w:eastAsia="en-AU"/>
                                    </w:rPr>
                                  </w:pPr>
                                  <w:r w:rsidRPr="00AA1E45">
                                    <w:rPr>
                                      <w:rFonts w:eastAsia="Times New Roman" w:cs="Arial"/>
                                      <w:color w:val="000000"/>
                                      <w:sz w:val="18"/>
                                      <w:lang w:eastAsia="en-AU"/>
                                    </w:rPr>
                                    <w:t>Cairns</w:t>
                                  </w:r>
                                  <w:r>
                                    <w:rPr>
                                      <w:rFonts w:eastAsia="Times New Roman" w:cs="Arial"/>
                                      <w:color w:val="000000"/>
                                      <w:sz w:val="18"/>
                                      <w:lang w:eastAsia="en-AU"/>
                                    </w:rPr>
                                    <w:t xml:space="preserve"> (</w:t>
                                  </w:r>
                                  <w:r w:rsidRPr="00AA1E45">
                                    <w:rPr>
                                      <w:rFonts w:eastAsia="Times New Roman" w:cs="Arial"/>
                                      <w:color w:val="000000"/>
                                      <w:sz w:val="18"/>
                                      <w:lang w:eastAsia="en-AU"/>
                                    </w:rPr>
                                    <w:t>Zone B</w:t>
                                  </w:r>
                                  <w:r>
                                    <w:rPr>
                                      <w:rFonts w:eastAsia="Times New Roman" w:cs="Arial"/>
                                      <w:color w:val="000000"/>
                                      <w:sz w:val="18"/>
                                      <w:lang w:eastAsia="en-AU"/>
                                    </w:rPr>
                                    <w:t>)</w:t>
                                  </w:r>
                                </w:p>
                              </w:tc>
                              <w:tc>
                                <w:tcPr>
                                  <w:tcW w:w="1484" w:type="pct"/>
                                  <w:tcBorders>
                                    <w:top w:val="single" w:sz="4" w:space="0" w:color="auto"/>
                                    <w:left w:val="nil"/>
                                    <w:bottom w:val="single" w:sz="4" w:space="0" w:color="auto"/>
                                    <w:right w:val="single" w:sz="4" w:space="0" w:color="auto"/>
                                  </w:tcBorders>
                                  <w:shd w:val="clear" w:color="000000" w:fill="FFFFFF"/>
                                  <w:noWrap/>
                                  <w:vAlign w:val="center"/>
                                  <w:hideMark/>
                                </w:tcPr>
                                <w:p w14:paraId="62437B2B" w14:textId="77777777" w:rsidR="0031285D" w:rsidRPr="002D3583" w:rsidRDefault="001562AE" w:rsidP="0031285D">
                                  <w:pPr>
                                    <w:jc w:val="center"/>
                                    <w:rPr>
                                      <w:rFonts w:eastAsia="Times New Roman" w:cs="Arial"/>
                                      <w:color w:val="000000"/>
                                      <w:sz w:val="18"/>
                                      <w:lang w:eastAsia="en-AU"/>
                                    </w:rPr>
                                  </w:pPr>
                                  <w:r w:rsidRPr="002D3583">
                                    <w:rPr>
                                      <w:rFonts w:eastAsia="Times New Roman" w:cs="Arial"/>
                                      <w:color w:val="000000"/>
                                      <w:sz w:val="18"/>
                                      <w:lang w:eastAsia="en-AU"/>
                                    </w:rPr>
                                    <w:t>Weipa</w:t>
                                  </w:r>
                                  <w:r>
                                    <w:rPr>
                                      <w:rFonts w:eastAsia="Times New Roman" w:cs="Arial"/>
                                      <w:color w:val="000000"/>
                                      <w:sz w:val="18"/>
                                      <w:lang w:eastAsia="en-AU"/>
                                    </w:rPr>
                                    <w:t xml:space="preserve"> (</w:t>
                                  </w:r>
                                  <w:r w:rsidRPr="002D3583">
                                    <w:rPr>
                                      <w:rFonts w:eastAsia="Times New Roman" w:cs="Arial"/>
                                      <w:color w:val="000000"/>
                                      <w:sz w:val="18"/>
                                      <w:lang w:eastAsia="en-AU"/>
                                    </w:rPr>
                                    <w:t>Special Area</w:t>
                                  </w:r>
                                  <w:r>
                                    <w:rPr>
                                      <w:rFonts w:eastAsia="Times New Roman" w:cs="Arial"/>
                                      <w:color w:val="000000"/>
                                      <w:sz w:val="18"/>
                                      <w:lang w:eastAsia="en-AU"/>
                                    </w:rPr>
                                    <w:t>)</w:t>
                                  </w:r>
                                </w:p>
                              </w:tc>
                            </w:tr>
                            <w:tr w:rsidR="00350B88" w14:paraId="2E1A5EE9" w14:textId="77777777" w:rsidTr="0031285D">
                              <w:trPr>
                                <w:trHeight w:val="195"/>
                              </w:trPr>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C02C4" w14:textId="77777777" w:rsidR="0031285D" w:rsidRPr="00AA1E45" w:rsidRDefault="001562AE" w:rsidP="0031285D">
                                  <w:pPr>
                                    <w:spacing w:before="0" w:after="0"/>
                                    <w:rPr>
                                      <w:rFonts w:eastAsia="Times New Roman" w:cs="Arial"/>
                                      <w:color w:val="000000"/>
                                      <w:sz w:val="18"/>
                                      <w:lang w:eastAsia="en-AU"/>
                                    </w:rPr>
                                  </w:pPr>
                                  <w:r w:rsidRPr="00AA1E45">
                                    <w:rPr>
                                      <w:rFonts w:eastAsia="Times New Roman" w:cs="Arial"/>
                                      <w:color w:val="000000"/>
                                      <w:sz w:val="18"/>
                                      <w:lang w:eastAsia="en-AU"/>
                                    </w:rPr>
                                    <w:t xml:space="preserve">Zone Tax Offset </w:t>
                                  </w:r>
                                </w:p>
                              </w:tc>
                              <w:tc>
                                <w:tcPr>
                                  <w:tcW w:w="938" w:type="pct"/>
                                  <w:tcBorders>
                                    <w:top w:val="single" w:sz="4" w:space="0" w:color="auto"/>
                                    <w:left w:val="nil"/>
                                    <w:bottom w:val="single" w:sz="4" w:space="0" w:color="auto"/>
                                    <w:right w:val="single" w:sz="4" w:space="0" w:color="auto"/>
                                  </w:tcBorders>
                                </w:tcPr>
                                <w:p w14:paraId="03B2C830"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$667</w:t>
                                  </w: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688A4" w14:textId="77777777" w:rsidR="0031285D" w:rsidRPr="00AA1E45" w:rsidRDefault="001562AE" w:rsidP="0031285D">
                                  <w:pPr>
                                    <w:rPr>
                                      <w:rFonts w:eastAsia="Times New Roman" w:cs="Arial"/>
                                      <w:color w:val="000000"/>
                                      <w:sz w:val="18"/>
                                      <w:lang w:eastAsia="en-AU"/>
                                    </w:rPr>
                                  </w:pPr>
                                  <w:r w:rsidRPr="00AA1E45">
                                    <w:rPr>
                                      <w:rFonts w:eastAsia="Times New Roman" w:cs="Arial"/>
                                      <w:color w:val="000000"/>
                                      <w:sz w:val="18"/>
                                      <w:lang w:eastAsia="en-AU"/>
                                    </w:rPr>
                                    <w:t>$189</w:t>
                                  </w:r>
                                </w:p>
                              </w:tc>
                              <w:tc>
                                <w:tcPr>
                                  <w:tcW w:w="1484" w:type="pct"/>
                                  <w:tcBorders>
                                    <w:top w:val="single" w:sz="4" w:space="0" w:color="auto"/>
                                    <w:left w:val="nil"/>
                                    <w:bottom w:val="single" w:sz="4" w:space="0" w:color="auto"/>
                                    <w:right w:val="single" w:sz="4" w:space="0" w:color="auto"/>
                                  </w:tcBorders>
                                  <w:shd w:val="clear" w:color="auto" w:fill="auto"/>
                                  <w:noWrap/>
                                  <w:hideMark/>
                                </w:tcPr>
                                <w:p w14:paraId="01A4E60E"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$1,502</w:t>
                                  </w:r>
                                </w:p>
                              </w:tc>
                            </w:tr>
                            <w:tr w:rsidR="00350B88" w14:paraId="5CB40109" w14:textId="77777777" w:rsidTr="0031285D">
                              <w:trPr>
                                <w:trHeight w:val="19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14:paraId="44B7D07C" w14:textId="77777777" w:rsidR="0031285D" w:rsidRPr="00AA1E45" w:rsidRDefault="001562AE" w:rsidP="0031285D">
                                  <w:pPr>
                                    <w:spacing w:before="0" w:after="0"/>
                                    <w:rPr>
                                      <w:rFonts w:eastAsia="Times New Roman" w:cs="Arial"/>
                                      <w:color w:val="000000"/>
                                      <w:sz w:val="18"/>
                                      <w:lang w:eastAsia="en-AU"/>
                                    </w:rPr>
                                  </w:pPr>
                                  <w:r w:rsidRPr="00AA1E45">
                                    <w:rPr>
                                      <w:rFonts w:eastAsia="Times New Roman" w:cs="Arial"/>
                                      <w:color w:val="000000"/>
                                      <w:sz w:val="18"/>
                                      <w:lang w:eastAsia="en-AU"/>
                                    </w:rPr>
                                    <w:t>Employer provided housing</w:t>
                                  </w:r>
                                  <w:r w:rsidRPr="00AA1E45">
                                    <w:rPr>
                                      <w:rFonts w:eastAsia="Times New Roman" w:cs="Arial"/>
                                      <w:color w:val="000000"/>
                                      <w:sz w:val="18"/>
                                      <w:vertAlign w:val="superscript"/>
                                      <w:lang w:eastAsia="en-AU"/>
                                    </w:rPr>
                                    <w:t>1,2</w:t>
                                  </w:r>
                                  <w:r w:rsidR="00283B7E" w:rsidRPr="00AA1E45">
                                    <w:rPr>
                                      <w:rFonts w:eastAsia="Times New Roman" w:cs="Arial"/>
                                      <w:color w:val="000000"/>
                                      <w:sz w:val="18"/>
                                      <w:vertAlign w:val="superscript"/>
                                      <w:lang w:eastAsia="en-AU"/>
                                    </w:rPr>
                                    <w:t>,</w:t>
                                  </w:r>
                                  <w:r w:rsidRPr="00AA1E45">
                                    <w:rPr>
                                      <w:rFonts w:eastAsia="Times New Roman" w:cs="Arial"/>
                                      <w:color w:val="000000"/>
                                      <w:sz w:val="18"/>
                                      <w:vertAlign w:val="superscript"/>
                                      <w:lang w:eastAsia="en-AU"/>
                                    </w:rPr>
                                    <w:t>3</w:t>
                                  </w:r>
                                </w:p>
                              </w:tc>
                              <w:tc>
                                <w:tcPr>
                                  <w:tcW w:w="938" w:type="pct"/>
                                  <w:tcBorders>
                                    <w:top w:val="single" w:sz="4" w:space="0" w:color="auto"/>
                                    <w:left w:val="nil"/>
                                    <w:bottom w:val="single" w:sz="4" w:space="0" w:color="auto"/>
                                    <w:right w:val="single" w:sz="4" w:space="0" w:color="auto"/>
                                  </w:tcBorders>
                                </w:tcPr>
                                <w:p w14:paraId="5AC60118"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$6,519</w:t>
                                  </w:r>
                                </w:p>
                              </w:tc>
                              <w:tc>
                                <w:tcPr>
                                  <w:tcW w:w="1016" w:type="pct"/>
                                  <w:tcBorders>
                                    <w:top w:val="nil"/>
                                    <w:left w:val="single" w:sz="4" w:space="0" w:color="auto"/>
                                    <w:bottom w:val="single" w:sz="4" w:space="0" w:color="auto"/>
                                    <w:right w:val="single" w:sz="4" w:space="0" w:color="auto"/>
                                  </w:tcBorders>
                                  <w:shd w:val="clear" w:color="auto" w:fill="auto"/>
                                  <w:noWrap/>
                                  <w:vAlign w:val="bottom"/>
                                  <w:hideMark/>
                                </w:tcPr>
                                <w:p w14:paraId="7924E85B" w14:textId="77777777" w:rsidR="0031285D" w:rsidRPr="00AA1E45" w:rsidRDefault="001562AE" w:rsidP="0031285D">
                                  <w:pPr>
                                    <w:rPr>
                                      <w:rFonts w:eastAsia="Times New Roman" w:cs="Arial"/>
                                      <w:color w:val="000000"/>
                                      <w:sz w:val="18"/>
                                      <w:lang w:eastAsia="en-AU"/>
                                    </w:rPr>
                                  </w:pPr>
                                  <w:r w:rsidRPr="00AA1E45">
                                    <w:rPr>
                                      <w:rFonts w:eastAsia="Times New Roman" w:cs="Arial"/>
                                      <w:color w:val="000000"/>
                                      <w:sz w:val="18"/>
                                      <w:lang w:eastAsia="en-AU"/>
                                    </w:rPr>
                                    <w:t>$7,834</w:t>
                                  </w:r>
                                </w:p>
                              </w:tc>
                              <w:tc>
                                <w:tcPr>
                                  <w:tcW w:w="1484" w:type="pct"/>
                                  <w:tcBorders>
                                    <w:top w:val="nil"/>
                                    <w:left w:val="nil"/>
                                    <w:bottom w:val="single" w:sz="4" w:space="0" w:color="auto"/>
                                    <w:right w:val="single" w:sz="4" w:space="0" w:color="auto"/>
                                  </w:tcBorders>
                                  <w:shd w:val="clear" w:color="auto" w:fill="auto"/>
                                  <w:noWrap/>
                                  <w:hideMark/>
                                </w:tcPr>
                                <w:p w14:paraId="17F2E7D1"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$12,260</w:t>
                                  </w:r>
                                </w:p>
                              </w:tc>
                            </w:tr>
                            <w:tr w:rsidR="00350B88" w14:paraId="2BE7D9AD" w14:textId="77777777" w:rsidTr="0031285D">
                              <w:trPr>
                                <w:trHeight w:val="19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14:paraId="00989462" w14:textId="77777777" w:rsidR="0031285D" w:rsidRPr="00AA1E45" w:rsidRDefault="001562AE" w:rsidP="0031285D">
                                  <w:pPr>
                                    <w:spacing w:before="0" w:after="0"/>
                                    <w:rPr>
                                      <w:rFonts w:eastAsia="Times New Roman" w:cs="Arial"/>
                                      <w:color w:val="000000"/>
                                      <w:sz w:val="18"/>
                                      <w:lang w:eastAsia="en-AU"/>
                                    </w:rPr>
                                  </w:pPr>
                                  <w:r w:rsidRPr="00AA1E45">
                                    <w:rPr>
                                      <w:rFonts w:eastAsia="Times New Roman" w:cs="Arial"/>
                                      <w:color w:val="000000"/>
                                      <w:sz w:val="18"/>
                                      <w:lang w:eastAsia="en-AU"/>
                                    </w:rPr>
                                    <w:t>Remote Area training transport</w:t>
                                  </w:r>
                                  <w:r w:rsidRPr="00AA1E45">
                                    <w:rPr>
                                      <w:rFonts w:eastAsia="Times New Roman" w:cs="Arial"/>
                                      <w:color w:val="000000"/>
                                      <w:sz w:val="18"/>
                                      <w:vertAlign w:val="superscript"/>
                                      <w:lang w:eastAsia="en-AU"/>
                                    </w:rPr>
                                    <w:t>4</w:t>
                                  </w:r>
                                </w:p>
                              </w:tc>
                              <w:tc>
                                <w:tcPr>
                                  <w:tcW w:w="938" w:type="pct"/>
                                  <w:tcBorders>
                                    <w:top w:val="single" w:sz="4" w:space="0" w:color="auto"/>
                                    <w:left w:val="nil"/>
                                    <w:bottom w:val="single" w:sz="4" w:space="0" w:color="auto"/>
                                    <w:right w:val="single" w:sz="4" w:space="0" w:color="auto"/>
                                  </w:tcBorders>
                                </w:tcPr>
                                <w:p w14:paraId="78812C78"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Nil</w:t>
                                  </w:r>
                                </w:p>
                              </w:tc>
                              <w:tc>
                                <w:tcPr>
                                  <w:tcW w:w="1016" w:type="pct"/>
                                  <w:tcBorders>
                                    <w:top w:val="nil"/>
                                    <w:left w:val="single" w:sz="4" w:space="0" w:color="auto"/>
                                    <w:bottom w:val="single" w:sz="4" w:space="0" w:color="auto"/>
                                    <w:right w:val="single" w:sz="4" w:space="0" w:color="auto"/>
                                  </w:tcBorders>
                                  <w:shd w:val="clear" w:color="auto" w:fill="auto"/>
                                  <w:noWrap/>
                                  <w:vAlign w:val="bottom"/>
                                  <w:hideMark/>
                                </w:tcPr>
                                <w:p w14:paraId="0E93F2A1" w14:textId="77777777" w:rsidR="0031285D" w:rsidRPr="002D3583" w:rsidRDefault="001562AE" w:rsidP="0031285D">
                                  <w:pPr>
                                    <w:rPr>
                                      <w:rFonts w:eastAsia="Times New Roman" w:cs="Arial"/>
                                      <w:color w:val="000000"/>
                                      <w:sz w:val="18"/>
                                      <w:lang w:eastAsia="en-AU"/>
                                    </w:rPr>
                                  </w:pPr>
                                  <w:r w:rsidRPr="00F72D25">
                                    <w:rPr>
                                      <w:rFonts w:eastAsia="Times New Roman" w:cs="Arial"/>
                                      <w:color w:val="000000"/>
                                      <w:sz w:val="18"/>
                                      <w:lang w:eastAsia="en-AU"/>
                                    </w:rPr>
                                    <w:t>Nil</w:t>
                                  </w:r>
                                </w:p>
                              </w:tc>
                              <w:tc>
                                <w:tcPr>
                                  <w:tcW w:w="1484" w:type="pct"/>
                                  <w:tcBorders>
                                    <w:top w:val="nil"/>
                                    <w:left w:val="nil"/>
                                    <w:bottom w:val="single" w:sz="4" w:space="0" w:color="auto"/>
                                    <w:right w:val="single" w:sz="4" w:space="0" w:color="auto"/>
                                  </w:tcBorders>
                                  <w:shd w:val="clear" w:color="auto" w:fill="auto"/>
                                  <w:noWrap/>
                                  <w:hideMark/>
                                </w:tcPr>
                                <w:p w14:paraId="5CCFD33E"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$997</w:t>
                                  </w:r>
                                </w:p>
                              </w:tc>
                            </w:tr>
                            <w:tr w:rsidR="00350B88" w14:paraId="16CD713C" w14:textId="77777777" w:rsidTr="0031285D">
                              <w:trPr>
                                <w:trHeight w:val="19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14:paraId="789687C1" w14:textId="77777777" w:rsidR="0031285D" w:rsidRPr="00AA1E45" w:rsidRDefault="001562AE" w:rsidP="0031285D">
                                  <w:pPr>
                                    <w:spacing w:before="0" w:after="0"/>
                                    <w:rPr>
                                      <w:rFonts w:eastAsia="Times New Roman" w:cs="Arial"/>
                                      <w:color w:val="000000"/>
                                      <w:sz w:val="18"/>
                                      <w:lang w:eastAsia="en-AU"/>
                                    </w:rPr>
                                  </w:pPr>
                                  <w:r w:rsidRPr="00AA1E45">
                                    <w:rPr>
                                      <w:rFonts w:eastAsia="Times New Roman" w:cs="Arial"/>
                                      <w:color w:val="000000"/>
                                      <w:sz w:val="18"/>
                                      <w:lang w:eastAsia="en-AU"/>
                                    </w:rPr>
                                    <w:t xml:space="preserve">Total impact </w:t>
                                  </w:r>
                                </w:p>
                              </w:tc>
                              <w:tc>
                                <w:tcPr>
                                  <w:tcW w:w="938" w:type="pct"/>
                                  <w:tcBorders>
                                    <w:top w:val="single" w:sz="4" w:space="0" w:color="auto"/>
                                    <w:left w:val="nil"/>
                                    <w:bottom w:val="single" w:sz="4" w:space="0" w:color="auto"/>
                                    <w:right w:val="single" w:sz="4" w:space="0" w:color="auto"/>
                                  </w:tcBorders>
                                </w:tcPr>
                                <w:p w14:paraId="41E2E303"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$7,186</w:t>
                                  </w:r>
                                </w:p>
                              </w:tc>
                              <w:tc>
                                <w:tcPr>
                                  <w:tcW w:w="1016" w:type="pct"/>
                                  <w:tcBorders>
                                    <w:top w:val="nil"/>
                                    <w:left w:val="single" w:sz="4" w:space="0" w:color="auto"/>
                                    <w:bottom w:val="single" w:sz="4" w:space="0" w:color="auto"/>
                                    <w:right w:val="single" w:sz="4" w:space="0" w:color="auto"/>
                                  </w:tcBorders>
                                  <w:shd w:val="clear" w:color="auto" w:fill="auto"/>
                                  <w:noWrap/>
                                  <w:vAlign w:val="bottom"/>
                                  <w:hideMark/>
                                </w:tcPr>
                                <w:p w14:paraId="382BB325" w14:textId="77777777" w:rsidR="0031285D" w:rsidRPr="00AA1E45" w:rsidRDefault="001562AE" w:rsidP="0031285D">
                                  <w:pPr>
                                    <w:rPr>
                                      <w:rFonts w:eastAsia="Times New Roman" w:cs="Arial"/>
                                      <w:color w:val="000000"/>
                                      <w:sz w:val="18"/>
                                      <w:lang w:eastAsia="en-AU"/>
                                    </w:rPr>
                                  </w:pPr>
                                  <w:r w:rsidRPr="00AA1E45">
                                    <w:rPr>
                                      <w:rFonts w:eastAsia="Times New Roman" w:cs="Arial"/>
                                      <w:color w:val="000000"/>
                                      <w:sz w:val="18"/>
                                      <w:lang w:eastAsia="en-AU"/>
                                    </w:rPr>
                                    <w:t>$8,023</w:t>
                                  </w:r>
                                </w:p>
                              </w:tc>
                              <w:tc>
                                <w:tcPr>
                                  <w:tcW w:w="1484" w:type="pct"/>
                                  <w:tcBorders>
                                    <w:top w:val="nil"/>
                                    <w:left w:val="nil"/>
                                    <w:bottom w:val="single" w:sz="4" w:space="0" w:color="auto"/>
                                    <w:right w:val="single" w:sz="4" w:space="0" w:color="auto"/>
                                  </w:tcBorders>
                                  <w:shd w:val="clear" w:color="auto" w:fill="auto"/>
                                  <w:noWrap/>
                                  <w:hideMark/>
                                </w:tcPr>
                                <w:p w14:paraId="7F847019"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$14,759</w:t>
                                  </w:r>
                                </w:p>
                              </w:tc>
                            </w:tr>
                          </w:tbl>
                          <w:p w14:paraId="627DD1E7" w14:textId="77777777" w:rsidR="0031285D" w:rsidRPr="006423B9" w:rsidRDefault="001562AE" w:rsidP="006423B9">
                            <w:pPr>
                              <w:pStyle w:val="ListParagraph"/>
                              <w:numPr>
                                <w:ilvl w:val="0"/>
                                <w:numId w:val="25"/>
                              </w:numPr>
                              <w:spacing w:after="0"/>
                              <w:rPr>
                                <w:sz w:val="16"/>
                                <w:szCs w:val="16"/>
                              </w:rPr>
                            </w:pPr>
                            <w:r>
                              <w:rPr>
                                <w:sz w:val="16"/>
                                <w:szCs w:val="16"/>
                              </w:rPr>
                              <w:t>E</w:t>
                            </w:r>
                            <w:r w:rsidRPr="006423B9">
                              <w:rPr>
                                <w:sz w:val="16"/>
                                <w:szCs w:val="16"/>
                              </w:rPr>
                              <w:t xml:space="preserve">mployee would already be paying a nominal rent amount to the agency, so this amount is in addition.  </w:t>
                            </w:r>
                            <w:r w:rsidRPr="006423B9">
                              <w:rPr>
                                <w:sz w:val="16"/>
                                <w:szCs w:val="16"/>
                              </w:rPr>
                              <w:tab/>
                            </w:r>
                          </w:p>
                          <w:p w14:paraId="0FEA7339" w14:textId="77777777" w:rsidR="0031285D" w:rsidRDefault="001562AE" w:rsidP="006423B9">
                            <w:pPr>
                              <w:pStyle w:val="ListParagraph"/>
                              <w:numPr>
                                <w:ilvl w:val="0"/>
                                <w:numId w:val="25"/>
                              </w:numPr>
                              <w:spacing w:after="0"/>
                              <w:rPr>
                                <w:sz w:val="16"/>
                                <w:szCs w:val="16"/>
                              </w:rPr>
                            </w:pPr>
                            <w:r w:rsidRPr="006423B9">
                              <w:rPr>
                                <w:sz w:val="16"/>
                                <w:szCs w:val="16"/>
                              </w:rPr>
                              <w:t>An average based on estimated aggregate impact.  Impact will range from nil to significantly higher than the amount disclosed above depending on individual circumstances.  Furthermore, this indicative cost could be double if the employer- provided housing fell outside any revised remote area bou</w:t>
                            </w:r>
                            <w:r w:rsidRPr="0088658A">
                              <w:rPr>
                                <w:sz w:val="16"/>
                                <w:szCs w:val="16"/>
                              </w:rPr>
                              <w:t>ndaries into a non-remote area.</w:t>
                            </w:r>
                          </w:p>
                          <w:p w14:paraId="3052FF31" w14:textId="77777777" w:rsidR="0031285D" w:rsidRPr="006423B9" w:rsidRDefault="001562AE" w:rsidP="006423B9">
                            <w:pPr>
                              <w:pStyle w:val="ListParagraph"/>
                              <w:numPr>
                                <w:ilvl w:val="0"/>
                                <w:numId w:val="25"/>
                              </w:numPr>
                              <w:spacing w:after="0"/>
                              <w:rPr>
                                <w:sz w:val="16"/>
                                <w:szCs w:val="16"/>
                              </w:rPr>
                            </w:pPr>
                            <w:r w:rsidRPr="006423B9">
                              <w:rPr>
                                <w:sz w:val="16"/>
                                <w:szCs w:val="16"/>
                              </w:rPr>
                              <w:t>These amounts include provision for the loss of the $17,000 cap which would otherwise have been used to participate in salary sacrifice arrangements.</w:t>
                            </w:r>
                          </w:p>
                          <w:p w14:paraId="7B14B817" w14:textId="77777777" w:rsidR="0031285D" w:rsidRPr="006423B9" w:rsidRDefault="001562AE" w:rsidP="006423B9">
                            <w:pPr>
                              <w:pStyle w:val="ListParagraph"/>
                              <w:numPr>
                                <w:ilvl w:val="0"/>
                                <w:numId w:val="25"/>
                              </w:numPr>
                              <w:spacing w:after="0"/>
                              <w:rPr>
                                <w:sz w:val="16"/>
                                <w:szCs w:val="16"/>
                              </w:rPr>
                            </w:pPr>
                            <w:r w:rsidRPr="006423B9">
                              <w:rPr>
                                <w:sz w:val="16"/>
                                <w:szCs w:val="16"/>
                              </w:rPr>
                              <w:t>Remote area holiday transport is only provided to staff working in certain towns and for the use in gaining further professional development.</w:t>
                            </w:r>
                          </w:p>
                          <w:p w14:paraId="64E73A85" w14:textId="77777777" w:rsidR="0031285D" w:rsidRDefault="001562AE" w:rsidP="0031285D">
                            <w:r w:rsidRPr="00A47727">
                              <w:t xml:space="preserve">Additionally, the </w:t>
                            </w:r>
                            <w:r w:rsidR="00747E52">
                              <w:t>employees</w:t>
                            </w:r>
                            <w:r w:rsidR="00747E52" w:rsidRPr="00A47727">
                              <w:t xml:space="preserve"> </w:t>
                            </w:r>
                            <w:r w:rsidRPr="00A47727">
                              <w:t>would see an increase in Reportable Fringe Benefit Amounts</w:t>
                            </w:r>
                            <w:r>
                              <w:t>.</w:t>
                            </w:r>
                            <w:r w:rsidRPr="00A47727">
                              <w:t xml:space="preserve">  While these amounts don’t necessarily affect the employee’s assessable i</w:t>
                            </w:r>
                            <w:r>
                              <w:t>ncome or the standard Medicare L</w:t>
                            </w:r>
                            <w:r w:rsidRPr="00A47727">
                              <w:t xml:space="preserve">evy, they are included in the income tests for a range of Commonwealth Government benefits and obligations such as the employee’s Medicare Levy Surcharge (if applicable), Private Health Insurance Rebate percentage, Family Tax Benefit, Child Care Benefit, and eligibility for the Commonwealth’s co-contribution for personal superannuation contributions.   </w:t>
                            </w:r>
                          </w:p>
                          <w:p w14:paraId="15BCFD60" w14:textId="77777777" w:rsidR="0031285D" w:rsidRDefault="0031285D"/>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2C4F6E45" id="_x0000_t202" coordsize="21600,21600" o:spt="202" path="m,l,21600r21600,l21600,xe">
                <v:stroke joinstyle="miter"/>
                <v:path gradientshapeok="t" o:connecttype="rect"/>
              </v:shapetype>
              <v:shape id="Text Box 1" o:spid="_x0000_s1026" type="#_x0000_t202" style="position:absolute;margin-left:55.5pt;margin-top:1.15pt;width:485.25pt;height:5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" fillcolor="white [3201]" strokeweight=".5pt">
                <v:textbox>
                  <w:txbxContent>
                    <w:p w14:paraId="7D83265C" w14:textId="77777777" w:rsidR="0031285D" w:rsidRPr="00250339" w:rsidRDefault="001562AE" w:rsidP="0031285D">
                      <w:pPr>
                        <w:rPr>
                          <w:b/>
                        </w:rPr>
                      </w:pPr>
                      <w:r>
                        <w:rPr>
                          <w:b/>
                        </w:rPr>
                        <w:t>I</w:t>
                      </w:r>
                      <w:r w:rsidRPr="00250339">
                        <w:rPr>
                          <w:b/>
                        </w:rPr>
                        <w:t>llustrative example</w:t>
                      </w:r>
                      <w:r w:rsidR="00747E52">
                        <w:rPr>
                          <w:b/>
                        </w:rPr>
                        <w:t>s</w:t>
                      </w:r>
                      <w:r>
                        <w:rPr>
                          <w:b/>
                        </w:rPr>
                        <w:t>: P</w:t>
                      </w:r>
                      <w:r w:rsidRPr="00250339">
                        <w:rPr>
                          <w:b/>
                        </w:rPr>
                        <w:t xml:space="preserve">otential impact on </w:t>
                      </w:r>
                      <w:r>
                        <w:rPr>
                          <w:b/>
                        </w:rPr>
                        <w:t xml:space="preserve"> public </w:t>
                      </w:r>
                      <w:r w:rsidRPr="00250339">
                        <w:rPr>
                          <w:b/>
                        </w:rPr>
                        <w:t>sector employee</w:t>
                      </w:r>
                      <w:r>
                        <w:rPr>
                          <w:b/>
                        </w:rPr>
                        <w:t>s</w:t>
                      </w:r>
                      <w:r w:rsidRPr="00250339">
                        <w:rPr>
                          <w:b/>
                        </w:rPr>
                        <w:t xml:space="preserve"> </w:t>
                      </w:r>
                    </w:p>
                    <w:p w14:paraId="2B638C3D" w14:textId="77777777" w:rsidR="0031285D" w:rsidRDefault="001562AE" w:rsidP="0031285D">
                      <w:r>
                        <w:t xml:space="preserve">Preliminary analysis indicates that a police officer with two dependents located within a special area under the Zone Tax Offset guidelines, who currently receives employer benefits of housing and holiday transport, could be around $8,300 worse off per annum if the ZTO was abolished and the increased Fringe Benefit Tax liability on these benefits was recovered from employees. </w:t>
                      </w:r>
                    </w:p>
                    <w:p w14:paraId="2507BA88" w14:textId="77777777" w:rsidR="0031285D" w:rsidRPr="00C116CC" w:rsidRDefault="001562AE" w:rsidP="0031285D">
                      <w:pPr>
                        <w:spacing w:after="0"/>
                        <w:ind w:left="2410"/>
                        <w:rPr>
                          <w:b/>
                          <w:sz w:val="18"/>
                        </w:rPr>
                      </w:pPr>
                      <w:r w:rsidRPr="00C116CC">
                        <w:rPr>
                          <w:b/>
                          <w:sz w:val="18"/>
                        </w:rPr>
                        <w:t xml:space="preserve">Table 1: </w:t>
                      </w:r>
                      <w:r>
                        <w:rPr>
                          <w:b/>
                          <w:sz w:val="18"/>
                        </w:rPr>
                        <w:t>Estimated p</w:t>
                      </w:r>
                      <w:r w:rsidRPr="00C116CC">
                        <w:rPr>
                          <w:b/>
                          <w:sz w:val="18"/>
                        </w:rPr>
                        <w:t xml:space="preserve">otential impacts </w:t>
                      </w:r>
                      <w:r>
                        <w:rPr>
                          <w:b/>
                          <w:sz w:val="18"/>
                        </w:rPr>
                        <w:t>for police officer</w:t>
                      </w:r>
                    </w:p>
                    <w:tbl>
                      <w:tblPr>
                        <w:tblStyle w:val="TableGrid1"/>
                        <w:tblW w:w="5000" w:type="pct"/>
                        <w:tblLook w:val="04A0" w:firstRow="1" w:lastRow="0" w:firstColumn="1" w:lastColumn="0" w:noHBand="0" w:noVBand="1"/>
                      </w:tblPr>
                      <w:tblGrid>
                        <w:gridCol w:w="6491"/>
                        <w:gridCol w:w="2906"/>
                      </w:tblGrid>
                      <w:tr w:rsidR="00350B88" w14:paraId="7670E86F" w14:textId="77777777" w:rsidTr="006423B9">
                        <w:trPr>
                          <w:trHeight w:val="412"/>
                        </w:trPr>
                        <w:tc>
                          <w:tcPr>
                            <w:tcW w:w="3454" w:type="pct"/>
                          </w:tcPr>
                          <w:p w14:paraId="348BB9FD" w14:textId="77777777" w:rsidR="0031285D" w:rsidRPr="005211FD" w:rsidRDefault="001562AE" w:rsidP="0031285D">
                            <w:pPr>
                              <w:spacing w:before="0" w:after="0"/>
                              <w:rPr>
                                <w:rFonts w:asciiTheme="minorHAnsi" w:hAnsiTheme="minorHAnsi" w:cstheme="minorHAnsi"/>
                                <w:sz w:val="18"/>
                                <w:szCs w:val="18"/>
                              </w:rPr>
                            </w:pPr>
                            <w:r w:rsidRPr="005211FD">
                              <w:rPr>
                                <w:rFonts w:asciiTheme="minorHAnsi" w:hAnsiTheme="minorHAnsi" w:cstheme="minorHAnsi"/>
                                <w:sz w:val="18"/>
                                <w:szCs w:val="18"/>
                              </w:rPr>
                              <w:t xml:space="preserve">Zone Tax Offset </w:t>
                            </w:r>
                          </w:p>
                        </w:tc>
                        <w:tc>
                          <w:tcPr>
                            <w:tcW w:w="1546" w:type="pct"/>
                          </w:tcPr>
                          <w:p w14:paraId="6F6AFCCB" w14:textId="77777777" w:rsidR="0031285D" w:rsidRPr="005211FD" w:rsidRDefault="001562AE" w:rsidP="0031285D">
                            <w:pPr>
                              <w:spacing w:before="0" w:after="0"/>
                              <w:rPr>
                                <w:rFonts w:asciiTheme="minorHAnsi" w:hAnsiTheme="minorHAnsi" w:cstheme="minorHAnsi"/>
                                <w:sz w:val="18"/>
                                <w:szCs w:val="18"/>
                              </w:rPr>
                            </w:pPr>
                            <w:r w:rsidRPr="005211FD">
                              <w:rPr>
                                <w:rFonts w:asciiTheme="minorHAnsi" w:hAnsiTheme="minorHAnsi" w:cstheme="minorHAnsi"/>
                                <w:sz w:val="18"/>
                                <w:szCs w:val="18"/>
                              </w:rPr>
                              <w:t>$1,502</w:t>
                            </w:r>
                          </w:p>
                        </w:tc>
                      </w:tr>
                      <w:tr w:rsidR="00350B88" w14:paraId="7EAEF13E" w14:textId="77777777" w:rsidTr="006423B9">
                        <w:trPr>
                          <w:trHeight w:val="382"/>
                        </w:trPr>
                        <w:tc>
                          <w:tcPr>
                            <w:tcW w:w="3454" w:type="pct"/>
                          </w:tcPr>
                          <w:p w14:paraId="6491F1B8" w14:textId="77777777" w:rsidR="0031285D" w:rsidRPr="005211FD" w:rsidRDefault="001562AE" w:rsidP="0031285D">
                            <w:pPr>
                              <w:spacing w:before="0" w:after="0"/>
                              <w:rPr>
                                <w:rFonts w:asciiTheme="minorHAnsi" w:hAnsiTheme="minorHAnsi" w:cstheme="minorHAnsi"/>
                                <w:sz w:val="18"/>
                                <w:szCs w:val="18"/>
                              </w:rPr>
                            </w:pPr>
                            <w:r w:rsidRPr="005211FD">
                              <w:rPr>
                                <w:rFonts w:asciiTheme="minorHAnsi" w:hAnsiTheme="minorHAnsi" w:cstheme="minorHAnsi"/>
                                <w:sz w:val="18"/>
                                <w:szCs w:val="18"/>
                              </w:rPr>
                              <w:t>Employer provided housing</w:t>
                            </w:r>
                            <w:r w:rsidRPr="005211FD">
                              <w:rPr>
                                <w:rFonts w:asciiTheme="minorHAnsi" w:hAnsiTheme="minorHAnsi" w:cstheme="minorHAnsi"/>
                                <w:sz w:val="18"/>
                                <w:szCs w:val="18"/>
                                <w:vertAlign w:val="superscript"/>
                              </w:rPr>
                              <w:t>1</w:t>
                            </w:r>
                            <w:r>
                              <w:rPr>
                                <w:rFonts w:asciiTheme="minorHAnsi" w:hAnsiTheme="minorHAnsi" w:cstheme="minorHAnsi"/>
                                <w:sz w:val="18"/>
                                <w:szCs w:val="18"/>
                                <w:vertAlign w:val="superscript"/>
                              </w:rPr>
                              <w:t>,2</w:t>
                            </w:r>
                          </w:p>
                        </w:tc>
                        <w:tc>
                          <w:tcPr>
                            <w:tcW w:w="1546" w:type="pct"/>
                          </w:tcPr>
                          <w:p w14:paraId="4DF30260" w14:textId="77777777" w:rsidR="0031285D" w:rsidRPr="005211FD" w:rsidRDefault="001562AE" w:rsidP="0031285D">
                            <w:pPr>
                              <w:spacing w:before="0" w:after="0"/>
                              <w:rPr>
                                <w:rFonts w:asciiTheme="minorHAnsi" w:hAnsiTheme="minorHAnsi" w:cstheme="minorHAnsi"/>
                                <w:sz w:val="18"/>
                                <w:szCs w:val="18"/>
                              </w:rPr>
                            </w:pPr>
                            <w:r w:rsidRPr="005211FD">
                              <w:rPr>
                                <w:rFonts w:asciiTheme="minorHAnsi" w:hAnsiTheme="minorHAnsi" w:cstheme="minorHAnsi"/>
                                <w:sz w:val="18"/>
                                <w:szCs w:val="18"/>
                              </w:rPr>
                              <w:t>$6,250</w:t>
                            </w:r>
                          </w:p>
                        </w:tc>
                      </w:tr>
                      <w:tr w:rsidR="00350B88" w14:paraId="7C6C063D" w14:textId="77777777" w:rsidTr="006423B9">
                        <w:trPr>
                          <w:trHeight w:val="412"/>
                        </w:trPr>
                        <w:tc>
                          <w:tcPr>
                            <w:tcW w:w="3454" w:type="pct"/>
                          </w:tcPr>
                          <w:p w14:paraId="1869C599" w14:textId="77777777" w:rsidR="0031285D" w:rsidRPr="005211FD" w:rsidRDefault="001562AE" w:rsidP="0031285D">
                            <w:pPr>
                              <w:spacing w:before="0" w:after="0"/>
                              <w:rPr>
                                <w:rFonts w:asciiTheme="minorHAnsi" w:hAnsiTheme="minorHAnsi" w:cstheme="minorHAnsi"/>
                                <w:sz w:val="18"/>
                                <w:szCs w:val="18"/>
                              </w:rPr>
                            </w:pPr>
                            <w:r w:rsidRPr="005211FD">
                              <w:rPr>
                                <w:rFonts w:asciiTheme="minorHAnsi" w:hAnsiTheme="minorHAnsi" w:cstheme="minorHAnsi"/>
                                <w:sz w:val="18"/>
                                <w:szCs w:val="18"/>
                              </w:rPr>
                              <w:t>Holiday transport</w:t>
                            </w:r>
                            <w:r w:rsidRPr="000C7EF7">
                              <w:rPr>
                                <w:rFonts w:asciiTheme="minorHAnsi" w:hAnsiTheme="minorHAnsi" w:cstheme="minorHAnsi"/>
                                <w:sz w:val="18"/>
                                <w:vertAlign w:val="superscript"/>
                              </w:rPr>
                              <w:t>3</w:t>
                            </w:r>
                          </w:p>
                        </w:tc>
                        <w:tc>
                          <w:tcPr>
                            <w:tcW w:w="1546" w:type="pct"/>
                          </w:tcPr>
                          <w:p w14:paraId="2CCE2B9E" w14:textId="77777777" w:rsidR="0031285D" w:rsidRPr="005211FD" w:rsidRDefault="001562AE" w:rsidP="0031285D">
                            <w:pPr>
                              <w:spacing w:before="0" w:after="0"/>
                              <w:rPr>
                                <w:rFonts w:asciiTheme="minorHAnsi" w:hAnsiTheme="minorHAnsi" w:cstheme="minorHAnsi"/>
                                <w:sz w:val="18"/>
                                <w:szCs w:val="18"/>
                              </w:rPr>
                            </w:pPr>
                            <w:r>
                              <w:rPr>
                                <w:rFonts w:asciiTheme="minorHAnsi" w:hAnsiTheme="minorHAnsi" w:cstheme="minorHAnsi"/>
                                <w:sz w:val="18"/>
                                <w:szCs w:val="18"/>
                              </w:rPr>
                              <w:t>$</w:t>
                            </w:r>
                            <w:r w:rsidRPr="005211FD">
                              <w:rPr>
                                <w:rFonts w:asciiTheme="minorHAnsi" w:hAnsiTheme="minorHAnsi" w:cstheme="minorHAnsi"/>
                                <w:sz w:val="18"/>
                                <w:szCs w:val="18"/>
                              </w:rPr>
                              <w:t xml:space="preserve">570 </w:t>
                            </w:r>
                          </w:p>
                        </w:tc>
                      </w:tr>
                      <w:tr w:rsidR="00350B88" w14:paraId="2229BC15" w14:textId="77777777" w:rsidTr="006423B9">
                        <w:trPr>
                          <w:trHeight w:val="382"/>
                        </w:trPr>
                        <w:tc>
                          <w:tcPr>
                            <w:tcW w:w="3454" w:type="pct"/>
                          </w:tcPr>
                          <w:p w14:paraId="57385B0E" w14:textId="77777777" w:rsidR="0031285D" w:rsidRPr="005211FD" w:rsidRDefault="001562AE" w:rsidP="0031285D">
                            <w:pPr>
                              <w:spacing w:before="0" w:after="0"/>
                              <w:rPr>
                                <w:rFonts w:asciiTheme="minorHAnsi" w:hAnsiTheme="minorHAnsi" w:cstheme="minorHAnsi"/>
                                <w:sz w:val="18"/>
                              </w:rPr>
                            </w:pPr>
                            <w:r>
                              <w:rPr>
                                <w:rFonts w:asciiTheme="minorHAnsi" w:hAnsiTheme="minorHAnsi" w:cstheme="minorHAnsi"/>
                                <w:sz w:val="18"/>
                              </w:rPr>
                              <w:t xml:space="preserve">Total impact </w:t>
                            </w:r>
                          </w:p>
                        </w:tc>
                        <w:tc>
                          <w:tcPr>
                            <w:tcW w:w="1546" w:type="pct"/>
                          </w:tcPr>
                          <w:p w14:paraId="2809FC88" w14:textId="77777777" w:rsidR="0031285D" w:rsidRPr="005211FD" w:rsidRDefault="001562AE" w:rsidP="0031285D">
                            <w:pPr>
                              <w:spacing w:before="0" w:after="0"/>
                              <w:rPr>
                                <w:rFonts w:asciiTheme="minorHAnsi" w:hAnsiTheme="minorHAnsi" w:cstheme="minorHAnsi"/>
                                <w:sz w:val="18"/>
                              </w:rPr>
                            </w:pPr>
                            <w:r>
                              <w:rPr>
                                <w:rFonts w:asciiTheme="minorHAnsi" w:hAnsiTheme="minorHAnsi" w:cstheme="minorHAnsi"/>
                                <w:sz w:val="18"/>
                              </w:rPr>
                              <w:t>$8,322</w:t>
                            </w:r>
                          </w:p>
                        </w:tc>
                      </w:tr>
                    </w:tbl>
                    <w:p w14:paraId="362140D4" w14:textId="77777777" w:rsidR="0031285D" w:rsidRPr="000C7EF7" w:rsidRDefault="001562AE" w:rsidP="0031285D">
                      <w:pPr>
                        <w:pStyle w:val="ListParagraph"/>
                        <w:numPr>
                          <w:ilvl w:val="0"/>
                          <w:numId w:val="24"/>
                        </w:numPr>
                        <w:spacing w:after="0"/>
                        <w:ind w:left="405"/>
                        <w:rPr>
                          <w:sz w:val="16"/>
                          <w:szCs w:val="16"/>
                        </w:rPr>
                      </w:pPr>
                      <w:r>
                        <w:rPr>
                          <w:sz w:val="16"/>
                          <w:szCs w:val="16"/>
                        </w:rPr>
                        <w:t>E</w:t>
                      </w:r>
                      <w:r w:rsidRPr="000C7EF7">
                        <w:rPr>
                          <w:sz w:val="16"/>
                          <w:szCs w:val="16"/>
                        </w:rPr>
                        <w:t xml:space="preserve">mployee would already be paying a nominal rent amount to the agency, so this amount is in addition.  </w:t>
                      </w:r>
                    </w:p>
                    <w:p w14:paraId="34C0DEA2" w14:textId="77777777" w:rsidR="0031285D" w:rsidRDefault="001562AE" w:rsidP="0031285D">
                      <w:pPr>
                        <w:pStyle w:val="ListParagraph"/>
                        <w:numPr>
                          <w:ilvl w:val="0"/>
                          <w:numId w:val="24"/>
                        </w:numPr>
                        <w:spacing w:after="0"/>
                        <w:ind w:left="405"/>
                        <w:rPr>
                          <w:sz w:val="16"/>
                          <w:szCs w:val="16"/>
                        </w:rPr>
                      </w:pPr>
                      <w:r>
                        <w:rPr>
                          <w:sz w:val="16"/>
                          <w:szCs w:val="16"/>
                        </w:rPr>
                        <w:t xml:space="preserve">An average based on estimated aggregate impact.  Impact will range from nil to significantly higher than the amount disclosed above depending on individual circumstances.  Furthermore, this cost could be double if the employer- provided housing fell outside any revised remote area boundaries into a non-remote area.  </w:t>
                      </w:r>
                    </w:p>
                    <w:p w14:paraId="6629A99E" w14:textId="77777777" w:rsidR="0031285D" w:rsidRPr="000C7EF7" w:rsidRDefault="001562AE" w:rsidP="0031285D">
                      <w:pPr>
                        <w:pStyle w:val="ListParagraph"/>
                        <w:numPr>
                          <w:ilvl w:val="0"/>
                          <w:numId w:val="24"/>
                        </w:numPr>
                        <w:spacing w:after="0"/>
                        <w:ind w:left="405"/>
                        <w:rPr>
                          <w:sz w:val="16"/>
                          <w:szCs w:val="16"/>
                        </w:rPr>
                      </w:pPr>
                      <w:r>
                        <w:rPr>
                          <w:sz w:val="16"/>
                          <w:szCs w:val="16"/>
                        </w:rPr>
                        <w:t xml:space="preserve">An average based on estimated aggregate impact.  </w:t>
                      </w:r>
                      <w:r w:rsidRPr="000C7EF7">
                        <w:rPr>
                          <w:sz w:val="16"/>
                          <w:szCs w:val="16"/>
                        </w:rPr>
                        <w:t xml:space="preserve"> </w:t>
                      </w:r>
                    </w:p>
                    <w:p w14:paraId="675CF826" w14:textId="77777777" w:rsidR="0031285D" w:rsidRPr="00C116CC" w:rsidRDefault="001562AE" w:rsidP="0031285D">
                      <w:pPr>
                        <w:spacing w:after="0"/>
                        <w:ind w:left="2410"/>
                        <w:rPr>
                          <w:b/>
                          <w:sz w:val="18"/>
                        </w:rPr>
                      </w:pPr>
                      <w:r w:rsidRPr="00C116CC">
                        <w:rPr>
                          <w:b/>
                          <w:sz w:val="18"/>
                        </w:rPr>
                        <w:t xml:space="preserve">Table </w:t>
                      </w:r>
                      <w:r>
                        <w:rPr>
                          <w:b/>
                          <w:sz w:val="18"/>
                        </w:rPr>
                        <w:t>2</w:t>
                      </w:r>
                      <w:r w:rsidRPr="00C116CC">
                        <w:rPr>
                          <w:b/>
                          <w:sz w:val="18"/>
                        </w:rPr>
                        <w:t xml:space="preserve">: </w:t>
                      </w:r>
                      <w:r>
                        <w:rPr>
                          <w:b/>
                          <w:sz w:val="18"/>
                        </w:rPr>
                        <w:t>Estimated p</w:t>
                      </w:r>
                      <w:r w:rsidRPr="00C116CC">
                        <w:rPr>
                          <w:b/>
                          <w:sz w:val="18"/>
                        </w:rPr>
                        <w:t xml:space="preserve">otential impacts </w:t>
                      </w:r>
                      <w:r>
                        <w:rPr>
                          <w:b/>
                          <w:sz w:val="18"/>
                        </w:rPr>
                        <w:t>for health workers</w:t>
                      </w:r>
                    </w:p>
                    <w:tbl>
                      <w:tblPr>
                        <w:tblW w:w="5000" w:type="pct"/>
                        <w:tblLook w:val="04A0" w:firstRow="1" w:lastRow="0" w:firstColumn="1" w:lastColumn="0" w:noHBand="0" w:noVBand="1"/>
                      </w:tblPr>
                      <w:tblGrid>
                        <w:gridCol w:w="2938"/>
                        <w:gridCol w:w="1763"/>
                        <w:gridCol w:w="1909"/>
                        <w:gridCol w:w="2787"/>
                      </w:tblGrid>
                      <w:tr w:rsidR="00350B88" w14:paraId="51D9039A" w14:textId="77777777" w:rsidTr="0031285D">
                        <w:trPr>
                          <w:trHeight w:val="532"/>
                        </w:trPr>
                        <w:tc>
                          <w:tcPr>
                            <w:tcW w:w="1563" w:type="pct"/>
                            <w:tcBorders>
                              <w:top w:val="single" w:sz="4" w:space="0" w:color="auto"/>
                              <w:left w:val="single" w:sz="4" w:space="0" w:color="auto"/>
                              <w:right w:val="nil"/>
                            </w:tcBorders>
                            <w:shd w:val="clear" w:color="auto" w:fill="auto"/>
                            <w:noWrap/>
                            <w:vAlign w:val="bottom"/>
                            <w:hideMark/>
                          </w:tcPr>
                          <w:p w14:paraId="74A8BD44" w14:textId="77777777" w:rsidR="0031285D" w:rsidRPr="00AA1E45" w:rsidRDefault="0031285D" w:rsidP="0031285D">
                            <w:pPr>
                              <w:spacing w:before="0" w:after="0"/>
                              <w:rPr>
                                <w:rFonts w:ascii="Times New Roman" w:eastAsia="Times New Roman" w:hAnsi="Times New Roman" w:cs="Times New Roman"/>
                                <w:sz w:val="24"/>
                                <w:szCs w:val="20"/>
                                <w:lang w:eastAsia="en-AU"/>
                              </w:rPr>
                            </w:pPr>
                          </w:p>
                        </w:tc>
                        <w:tc>
                          <w:tcPr>
                            <w:tcW w:w="938" w:type="pct"/>
                            <w:tcBorders>
                              <w:top w:val="single" w:sz="4" w:space="0" w:color="auto"/>
                              <w:left w:val="single" w:sz="4" w:space="0" w:color="auto"/>
                              <w:right w:val="single" w:sz="4" w:space="0" w:color="auto"/>
                            </w:tcBorders>
                            <w:vAlign w:val="center"/>
                          </w:tcPr>
                          <w:p w14:paraId="0871D663" w14:textId="77777777" w:rsidR="0031285D" w:rsidRPr="002D3583" w:rsidRDefault="001562AE" w:rsidP="0031285D">
                            <w:pPr>
                              <w:jc w:val="center"/>
                              <w:rPr>
                                <w:rFonts w:eastAsia="Times New Roman" w:cs="Arial"/>
                                <w:color w:val="000000"/>
                                <w:sz w:val="18"/>
                                <w:lang w:eastAsia="en-AU"/>
                              </w:rPr>
                            </w:pPr>
                            <w:r w:rsidRPr="002D3583">
                              <w:rPr>
                                <w:rFonts w:eastAsia="Times New Roman" w:cs="Arial"/>
                                <w:color w:val="000000"/>
                                <w:sz w:val="18"/>
                                <w:lang w:eastAsia="en-AU"/>
                              </w:rPr>
                              <w:t>Mt Isa</w:t>
                            </w:r>
                            <w:r>
                              <w:rPr>
                                <w:rFonts w:eastAsia="Times New Roman" w:cs="Arial"/>
                                <w:color w:val="000000"/>
                                <w:sz w:val="18"/>
                                <w:lang w:eastAsia="en-AU"/>
                              </w:rPr>
                              <w:t xml:space="preserve"> (</w:t>
                            </w:r>
                            <w:r w:rsidRPr="002D3583">
                              <w:rPr>
                                <w:rFonts w:eastAsia="Times New Roman" w:cs="Arial"/>
                                <w:color w:val="000000"/>
                                <w:sz w:val="18"/>
                                <w:lang w:eastAsia="en-AU"/>
                              </w:rPr>
                              <w:t>Zone A</w:t>
                            </w:r>
                            <w:r>
                              <w:rPr>
                                <w:rFonts w:eastAsia="Times New Roman" w:cs="Arial"/>
                                <w:color w:val="000000"/>
                                <w:sz w:val="18"/>
                                <w:lang w:eastAsia="en-AU"/>
                              </w:rPr>
                              <w:t>)</w:t>
                            </w:r>
                          </w:p>
                        </w:tc>
                        <w:tc>
                          <w:tcPr>
                            <w:tcW w:w="1016"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3A5109" w14:textId="77777777" w:rsidR="0031285D" w:rsidRPr="00AA1E45" w:rsidRDefault="001562AE" w:rsidP="0031285D">
                            <w:pPr>
                              <w:jc w:val="center"/>
                              <w:rPr>
                                <w:rFonts w:eastAsia="Times New Roman" w:cs="Arial"/>
                                <w:color w:val="000000"/>
                                <w:sz w:val="18"/>
                                <w:lang w:eastAsia="en-AU"/>
                              </w:rPr>
                            </w:pPr>
                            <w:r w:rsidRPr="00AA1E45">
                              <w:rPr>
                                <w:rFonts w:eastAsia="Times New Roman" w:cs="Arial"/>
                                <w:color w:val="000000"/>
                                <w:sz w:val="18"/>
                                <w:lang w:eastAsia="en-AU"/>
                              </w:rPr>
                              <w:t>Cairns</w:t>
                            </w:r>
                            <w:r>
                              <w:rPr>
                                <w:rFonts w:eastAsia="Times New Roman" w:cs="Arial"/>
                                <w:color w:val="000000"/>
                                <w:sz w:val="18"/>
                                <w:lang w:eastAsia="en-AU"/>
                              </w:rPr>
                              <w:t xml:space="preserve"> (</w:t>
                            </w:r>
                            <w:r w:rsidRPr="00AA1E45">
                              <w:rPr>
                                <w:rFonts w:eastAsia="Times New Roman" w:cs="Arial"/>
                                <w:color w:val="000000"/>
                                <w:sz w:val="18"/>
                                <w:lang w:eastAsia="en-AU"/>
                              </w:rPr>
                              <w:t>Zone B</w:t>
                            </w:r>
                            <w:r>
                              <w:rPr>
                                <w:rFonts w:eastAsia="Times New Roman" w:cs="Arial"/>
                                <w:color w:val="000000"/>
                                <w:sz w:val="18"/>
                                <w:lang w:eastAsia="en-AU"/>
                              </w:rPr>
                              <w:t>)</w:t>
                            </w:r>
                          </w:p>
                        </w:tc>
                        <w:tc>
                          <w:tcPr>
                            <w:tcW w:w="1484" w:type="pct"/>
                            <w:tcBorders>
                              <w:top w:val="single" w:sz="4" w:space="0" w:color="auto"/>
                              <w:left w:val="nil"/>
                              <w:bottom w:val="single" w:sz="4" w:space="0" w:color="auto"/>
                              <w:right w:val="single" w:sz="4" w:space="0" w:color="auto"/>
                            </w:tcBorders>
                            <w:shd w:val="clear" w:color="000000" w:fill="FFFFFF"/>
                            <w:noWrap/>
                            <w:vAlign w:val="center"/>
                            <w:hideMark/>
                          </w:tcPr>
                          <w:p w14:paraId="62437B2B" w14:textId="77777777" w:rsidR="0031285D" w:rsidRPr="002D3583" w:rsidRDefault="001562AE" w:rsidP="0031285D">
                            <w:pPr>
                              <w:jc w:val="center"/>
                              <w:rPr>
                                <w:rFonts w:eastAsia="Times New Roman" w:cs="Arial"/>
                                <w:color w:val="000000"/>
                                <w:sz w:val="18"/>
                                <w:lang w:eastAsia="en-AU"/>
                              </w:rPr>
                            </w:pPr>
                            <w:r w:rsidRPr="002D3583">
                              <w:rPr>
                                <w:rFonts w:eastAsia="Times New Roman" w:cs="Arial"/>
                                <w:color w:val="000000"/>
                                <w:sz w:val="18"/>
                                <w:lang w:eastAsia="en-AU"/>
                              </w:rPr>
                              <w:t>Weipa</w:t>
                            </w:r>
                            <w:r>
                              <w:rPr>
                                <w:rFonts w:eastAsia="Times New Roman" w:cs="Arial"/>
                                <w:color w:val="000000"/>
                                <w:sz w:val="18"/>
                                <w:lang w:eastAsia="en-AU"/>
                              </w:rPr>
                              <w:t xml:space="preserve"> (</w:t>
                            </w:r>
                            <w:r w:rsidRPr="002D3583">
                              <w:rPr>
                                <w:rFonts w:eastAsia="Times New Roman" w:cs="Arial"/>
                                <w:color w:val="000000"/>
                                <w:sz w:val="18"/>
                                <w:lang w:eastAsia="en-AU"/>
                              </w:rPr>
                              <w:t>Special Area</w:t>
                            </w:r>
                            <w:r>
                              <w:rPr>
                                <w:rFonts w:eastAsia="Times New Roman" w:cs="Arial"/>
                                <w:color w:val="000000"/>
                                <w:sz w:val="18"/>
                                <w:lang w:eastAsia="en-AU"/>
                              </w:rPr>
                              <w:t>)</w:t>
                            </w:r>
                          </w:p>
                        </w:tc>
                      </w:tr>
                      <w:tr w:rsidR="00350B88" w14:paraId="2E1A5EE9" w14:textId="77777777" w:rsidTr="0031285D">
                        <w:trPr>
                          <w:trHeight w:val="195"/>
                        </w:trPr>
                        <w:tc>
                          <w:tcPr>
                            <w:tcW w:w="15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C02C4" w14:textId="77777777" w:rsidR="0031285D" w:rsidRPr="00AA1E45" w:rsidRDefault="001562AE" w:rsidP="0031285D">
                            <w:pPr>
                              <w:spacing w:before="0" w:after="0"/>
                              <w:rPr>
                                <w:rFonts w:eastAsia="Times New Roman" w:cs="Arial"/>
                                <w:color w:val="000000"/>
                                <w:sz w:val="18"/>
                                <w:lang w:eastAsia="en-AU"/>
                              </w:rPr>
                            </w:pPr>
                            <w:r w:rsidRPr="00AA1E45">
                              <w:rPr>
                                <w:rFonts w:eastAsia="Times New Roman" w:cs="Arial"/>
                                <w:color w:val="000000"/>
                                <w:sz w:val="18"/>
                                <w:lang w:eastAsia="en-AU"/>
                              </w:rPr>
                              <w:t xml:space="preserve">Zone Tax Offset </w:t>
                            </w:r>
                          </w:p>
                        </w:tc>
                        <w:tc>
                          <w:tcPr>
                            <w:tcW w:w="938" w:type="pct"/>
                            <w:tcBorders>
                              <w:top w:val="single" w:sz="4" w:space="0" w:color="auto"/>
                              <w:left w:val="nil"/>
                              <w:bottom w:val="single" w:sz="4" w:space="0" w:color="auto"/>
                              <w:right w:val="single" w:sz="4" w:space="0" w:color="auto"/>
                            </w:tcBorders>
                          </w:tcPr>
                          <w:p w14:paraId="03B2C830"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$667</w:t>
                            </w:r>
                          </w:p>
                        </w:tc>
                        <w:tc>
                          <w:tcPr>
                            <w:tcW w:w="101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688A4" w14:textId="77777777" w:rsidR="0031285D" w:rsidRPr="00AA1E45" w:rsidRDefault="001562AE" w:rsidP="0031285D">
                            <w:pPr>
                              <w:rPr>
                                <w:rFonts w:eastAsia="Times New Roman" w:cs="Arial"/>
                                <w:color w:val="000000"/>
                                <w:sz w:val="18"/>
                                <w:lang w:eastAsia="en-AU"/>
                              </w:rPr>
                            </w:pPr>
                            <w:r w:rsidRPr="00AA1E45">
                              <w:rPr>
                                <w:rFonts w:eastAsia="Times New Roman" w:cs="Arial"/>
                                <w:color w:val="000000"/>
                                <w:sz w:val="18"/>
                                <w:lang w:eastAsia="en-AU"/>
                              </w:rPr>
                              <w:t>$189</w:t>
                            </w:r>
                          </w:p>
                        </w:tc>
                        <w:tc>
                          <w:tcPr>
                            <w:tcW w:w="1484" w:type="pct"/>
                            <w:tcBorders>
                              <w:top w:val="single" w:sz="4" w:space="0" w:color="auto"/>
                              <w:left w:val="nil"/>
                              <w:bottom w:val="single" w:sz="4" w:space="0" w:color="auto"/>
                              <w:right w:val="single" w:sz="4" w:space="0" w:color="auto"/>
                            </w:tcBorders>
                            <w:shd w:val="clear" w:color="auto" w:fill="auto"/>
                            <w:noWrap/>
                            <w:hideMark/>
                          </w:tcPr>
                          <w:p w14:paraId="01A4E60E"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$1,502</w:t>
                            </w:r>
                          </w:p>
                        </w:tc>
                      </w:tr>
                      <w:tr w:rsidR="00350B88" w14:paraId="5CB40109" w14:textId="77777777" w:rsidTr="0031285D">
                        <w:trPr>
                          <w:trHeight w:val="19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14:paraId="44B7D07C" w14:textId="77777777" w:rsidR="0031285D" w:rsidRPr="00AA1E45" w:rsidRDefault="001562AE" w:rsidP="0031285D">
                            <w:pPr>
                              <w:spacing w:before="0" w:after="0"/>
                              <w:rPr>
                                <w:rFonts w:eastAsia="Times New Roman" w:cs="Arial"/>
                                <w:color w:val="000000"/>
                                <w:sz w:val="18"/>
                                <w:lang w:eastAsia="en-AU"/>
                              </w:rPr>
                            </w:pPr>
                            <w:r w:rsidRPr="00AA1E45">
                              <w:rPr>
                                <w:rFonts w:eastAsia="Times New Roman" w:cs="Arial"/>
                                <w:color w:val="000000"/>
                                <w:sz w:val="18"/>
                                <w:lang w:eastAsia="en-AU"/>
                              </w:rPr>
                              <w:t>Employer provided housing</w:t>
                            </w:r>
                            <w:r w:rsidRPr="00AA1E45">
                              <w:rPr>
                                <w:rFonts w:eastAsia="Times New Roman" w:cs="Arial"/>
                                <w:color w:val="000000"/>
                                <w:sz w:val="18"/>
                                <w:vertAlign w:val="superscript"/>
                                <w:lang w:eastAsia="en-AU"/>
                              </w:rPr>
                              <w:t>1,2</w:t>
                            </w:r>
                            <w:r w:rsidR="00283B7E" w:rsidRPr="00AA1E45">
                              <w:rPr>
                                <w:rFonts w:eastAsia="Times New Roman" w:cs="Arial"/>
                                <w:color w:val="000000"/>
                                <w:sz w:val="18"/>
                                <w:vertAlign w:val="superscript"/>
                                <w:lang w:eastAsia="en-AU"/>
                              </w:rPr>
                              <w:t>,</w:t>
                            </w:r>
                            <w:r w:rsidRPr="00AA1E45">
                              <w:rPr>
                                <w:rFonts w:eastAsia="Times New Roman" w:cs="Arial"/>
                                <w:color w:val="000000"/>
                                <w:sz w:val="18"/>
                                <w:vertAlign w:val="superscript"/>
                                <w:lang w:eastAsia="en-AU"/>
                              </w:rPr>
                              <w:t>3</w:t>
                            </w:r>
                          </w:p>
                        </w:tc>
                        <w:tc>
                          <w:tcPr>
                            <w:tcW w:w="938" w:type="pct"/>
                            <w:tcBorders>
                              <w:top w:val="single" w:sz="4" w:space="0" w:color="auto"/>
                              <w:left w:val="nil"/>
                              <w:bottom w:val="single" w:sz="4" w:space="0" w:color="auto"/>
                              <w:right w:val="single" w:sz="4" w:space="0" w:color="auto"/>
                            </w:tcBorders>
                          </w:tcPr>
                          <w:p w14:paraId="5AC60118"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$6,519</w:t>
                            </w:r>
                          </w:p>
                        </w:tc>
                        <w:tc>
                          <w:tcPr>
                            <w:tcW w:w="1016" w:type="pct"/>
                            <w:tcBorders>
                              <w:top w:val="nil"/>
                              <w:left w:val="single" w:sz="4" w:space="0" w:color="auto"/>
                              <w:bottom w:val="single" w:sz="4" w:space="0" w:color="auto"/>
                              <w:right w:val="single" w:sz="4" w:space="0" w:color="auto"/>
                            </w:tcBorders>
                            <w:shd w:val="clear" w:color="auto" w:fill="auto"/>
                            <w:noWrap/>
                            <w:vAlign w:val="bottom"/>
                            <w:hideMark/>
                          </w:tcPr>
                          <w:p w14:paraId="7924E85B" w14:textId="77777777" w:rsidR="0031285D" w:rsidRPr="00AA1E45" w:rsidRDefault="001562AE" w:rsidP="0031285D">
                            <w:pPr>
                              <w:rPr>
                                <w:rFonts w:eastAsia="Times New Roman" w:cs="Arial"/>
                                <w:color w:val="000000"/>
                                <w:sz w:val="18"/>
                                <w:lang w:eastAsia="en-AU"/>
                              </w:rPr>
                            </w:pPr>
                            <w:r w:rsidRPr="00AA1E45">
                              <w:rPr>
                                <w:rFonts w:eastAsia="Times New Roman" w:cs="Arial"/>
                                <w:color w:val="000000"/>
                                <w:sz w:val="18"/>
                                <w:lang w:eastAsia="en-AU"/>
                              </w:rPr>
                              <w:t>$7,834</w:t>
                            </w:r>
                          </w:p>
                        </w:tc>
                        <w:tc>
                          <w:tcPr>
                            <w:tcW w:w="1484" w:type="pct"/>
                            <w:tcBorders>
                              <w:top w:val="nil"/>
                              <w:left w:val="nil"/>
                              <w:bottom w:val="single" w:sz="4" w:space="0" w:color="auto"/>
                              <w:right w:val="single" w:sz="4" w:space="0" w:color="auto"/>
                            </w:tcBorders>
                            <w:shd w:val="clear" w:color="auto" w:fill="auto"/>
                            <w:noWrap/>
                            <w:hideMark/>
                          </w:tcPr>
                          <w:p w14:paraId="17F2E7D1"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$12,260</w:t>
                            </w:r>
                          </w:p>
                        </w:tc>
                      </w:tr>
                      <w:tr w:rsidR="00350B88" w14:paraId="2BE7D9AD" w14:textId="77777777" w:rsidTr="0031285D">
                        <w:trPr>
                          <w:trHeight w:val="19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14:paraId="00989462" w14:textId="77777777" w:rsidR="0031285D" w:rsidRPr="00AA1E45" w:rsidRDefault="001562AE" w:rsidP="0031285D">
                            <w:pPr>
                              <w:spacing w:before="0" w:after="0"/>
                              <w:rPr>
                                <w:rFonts w:eastAsia="Times New Roman" w:cs="Arial"/>
                                <w:color w:val="000000"/>
                                <w:sz w:val="18"/>
                                <w:lang w:eastAsia="en-AU"/>
                              </w:rPr>
                            </w:pPr>
                            <w:r w:rsidRPr="00AA1E45">
                              <w:rPr>
                                <w:rFonts w:eastAsia="Times New Roman" w:cs="Arial"/>
                                <w:color w:val="000000"/>
                                <w:sz w:val="18"/>
                                <w:lang w:eastAsia="en-AU"/>
                              </w:rPr>
                              <w:t>Remote Area training transport</w:t>
                            </w:r>
                            <w:r w:rsidRPr="00AA1E45">
                              <w:rPr>
                                <w:rFonts w:eastAsia="Times New Roman" w:cs="Arial"/>
                                <w:color w:val="000000"/>
                                <w:sz w:val="18"/>
                                <w:vertAlign w:val="superscript"/>
                                <w:lang w:eastAsia="en-AU"/>
                              </w:rPr>
                              <w:t>4</w:t>
                            </w:r>
                          </w:p>
                        </w:tc>
                        <w:tc>
                          <w:tcPr>
                            <w:tcW w:w="938" w:type="pct"/>
                            <w:tcBorders>
                              <w:top w:val="single" w:sz="4" w:space="0" w:color="auto"/>
                              <w:left w:val="nil"/>
                              <w:bottom w:val="single" w:sz="4" w:space="0" w:color="auto"/>
                              <w:right w:val="single" w:sz="4" w:space="0" w:color="auto"/>
                            </w:tcBorders>
                          </w:tcPr>
                          <w:p w14:paraId="78812C78"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Nil</w:t>
                            </w:r>
                          </w:p>
                        </w:tc>
                        <w:tc>
                          <w:tcPr>
                            <w:tcW w:w="1016" w:type="pct"/>
                            <w:tcBorders>
                              <w:top w:val="nil"/>
                              <w:left w:val="single" w:sz="4" w:space="0" w:color="auto"/>
                              <w:bottom w:val="single" w:sz="4" w:space="0" w:color="auto"/>
                              <w:right w:val="single" w:sz="4" w:space="0" w:color="auto"/>
                            </w:tcBorders>
                            <w:shd w:val="clear" w:color="auto" w:fill="auto"/>
                            <w:noWrap/>
                            <w:vAlign w:val="bottom"/>
                            <w:hideMark/>
                          </w:tcPr>
                          <w:p w14:paraId="0E93F2A1" w14:textId="77777777" w:rsidR="0031285D" w:rsidRPr="002D3583" w:rsidRDefault="001562AE" w:rsidP="0031285D">
                            <w:pPr>
                              <w:rPr>
                                <w:rFonts w:eastAsia="Times New Roman" w:cs="Arial"/>
                                <w:color w:val="000000"/>
                                <w:sz w:val="18"/>
                                <w:lang w:eastAsia="en-AU"/>
                              </w:rPr>
                            </w:pPr>
                            <w:r w:rsidRPr="00F72D25">
                              <w:rPr>
                                <w:rFonts w:eastAsia="Times New Roman" w:cs="Arial"/>
                                <w:color w:val="000000"/>
                                <w:sz w:val="18"/>
                                <w:lang w:eastAsia="en-AU"/>
                              </w:rPr>
                              <w:t>Nil</w:t>
                            </w:r>
                          </w:p>
                        </w:tc>
                        <w:tc>
                          <w:tcPr>
                            <w:tcW w:w="1484" w:type="pct"/>
                            <w:tcBorders>
                              <w:top w:val="nil"/>
                              <w:left w:val="nil"/>
                              <w:bottom w:val="single" w:sz="4" w:space="0" w:color="auto"/>
                              <w:right w:val="single" w:sz="4" w:space="0" w:color="auto"/>
                            </w:tcBorders>
                            <w:shd w:val="clear" w:color="auto" w:fill="auto"/>
                            <w:noWrap/>
                            <w:hideMark/>
                          </w:tcPr>
                          <w:p w14:paraId="5CCFD33E"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$997</w:t>
                            </w:r>
                          </w:p>
                        </w:tc>
                      </w:tr>
                      <w:tr w:rsidR="00350B88" w14:paraId="16CD713C" w14:textId="77777777" w:rsidTr="0031285D">
                        <w:trPr>
                          <w:trHeight w:val="195"/>
                        </w:trPr>
                        <w:tc>
                          <w:tcPr>
                            <w:tcW w:w="1563" w:type="pct"/>
                            <w:tcBorders>
                              <w:top w:val="nil"/>
                              <w:left w:val="single" w:sz="4" w:space="0" w:color="auto"/>
                              <w:bottom w:val="single" w:sz="4" w:space="0" w:color="auto"/>
                              <w:right w:val="single" w:sz="4" w:space="0" w:color="auto"/>
                            </w:tcBorders>
                            <w:shd w:val="clear" w:color="auto" w:fill="auto"/>
                            <w:noWrap/>
                            <w:vAlign w:val="center"/>
                            <w:hideMark/>
                          </w:tcPr>
                          <w:p w14:paraId="789687C1" w14:textId="77777777" w:rsidR="0031285D" w:rsidRPr="00AA1E45" w:rsidRDefault="001562AE" w:rsidP="0031285D">
                            <w:pPr>
                              <w:spacing w:before="0" w:after="0"/>
                              <w:rPr>
                                <w:rFonts w:eastAsia="Times New Roman" w:cs="Arial"/>
                                <w:color w:val="000000"/>
                                <w:sz w:val="18"/>
                                <w:lang w:eastAsia="en-AU"/>
                              </w:rPr>
                            </w:pPr>
                            <w:r w:rsidRPr="00AA1E45">
                              <w:rPr>
                                <w:rFonts w:eastAsia="Times New Roman" w:cs="Arial"/>
                                <w:color w:val="000000"/>
                                <w:sz w:val="18"/>
                                <w:lang w:eastAsia="en-AU"/>
                              </w:rPr>
                              <w:t xml:space="preserve">Total impact </w:t>
                            </w:r>
                          </w:p>
                        </w:tc>
                        <w:tc>
                          <w:tcPr>
                            <w:tcW w:w="938" w:type="pct"/>
                            <w:tcBorders>
                              <w:top w:val="single" w:sz="4" w:space="0" w:color="auto"/>
                              <w:left w:val="nil"/>
                              <w:bottom w:val="single" w:sz="4" w:space="0" w:color="auto"/>
                              <w:right w:val="single" w:sz="4" w:space="0" w:color="auto"/>
                            </w:tcBorders>
                          </w:tcPr>
                          <w:p w14:paraId="41E2E303"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$7,186</w:t>
                            </w:r>
                          </w:p>
                        </w:tc>
                        <w:tc>
                          <w:tcPr>
                            <w:tcW w:w="1016" w:type="pct"/>
                            <w:tcBorders>
                              <w:top w:val="nil"/>
                              <w:left w:val="single" w:sz="4" w:space="0" w:color="auto"/>
                              <w:bottom w:val="single" w:sz="4" w:space="0" w:color="auto"/>
                              <w:right w:val="single" w:sz="4" w:space="0" w:color="auto"/>
                            </w:tcBorders>
                            <w:shd w:val="clear" w:color="auto" w:fill="auto"/>
                            <w:noWrap/>
                            <w:vAlign w:val="bottom"/>
                            <w:hideMark/>
                          </w:tcPr>
                          <w:p w14:paraId="382BB325" w14:textId="77777777" w:rsidR="0031285D" w:rsidRPr="00AA1E45" w:rsidRDefault="001562AE" w:rsidP="0031285D">
                            <w:pPr>
                              <w:rPr>
                                <w:rFonts w:eastAsia="Times New Roman" w:cs="Arial"/>
                                <w:color w:val="000000"/>
                                <w:sz w:val="18"/>
                                <w:lang w:eastAsia="en-AU"/>
                              </w:rPr>
                            </w:pPr>
                            <w:r w:rsidRPr="00AA1E45">
                              <w:rPr>
                                <w:rFonts w:eastAsia="Times New Roman" w:cs="Arial"/>
                                <w:color w:val="000000"/>
                                <w:sz w:val="18"/>
                                <w:lang w:eastAsia="en-AU"/>
                              </w:rPr>
                              <w:t>$8,023</w:t>
                            </w:r>
                          </w:p>
                        </w:tc>
                        <w:tc>
                          <w:tcPr>
                            <w:tcW w:w="1484" w:type="pct"/>
                            <w:tcBorders>
                              <w:top w:val="nil"/>
                              <w:left w:val="nil"/>
                              <w:bottom w:val="single" w:sz="4" w:space="0" w:color="auto"/>
                              <w:right w:val="single" w:sz="4" w:space="0" w:color="auto"/>
                            </w:tcBorders>
                            <w:shd w:val="clear" w:color="auto" w:fill="auto"/>
                            <w:noWrap/>
                            <w:hideMark/>
                          </w:tcPr>
                          <w:p w14:paraId="7F847019" w14:textId="77777777" w:rsidR="0031285D" w:rsidRPr="002D3583" w:rsidRDefault="001562AE" w:rsidP="0031285D">
                            <w:pPr>
                              <w:rPr>
                                <w:rFonts w:eastAsia="Times New Roman" w:cs="Arial"/>
                                <w:color w:val="000000"/>
                                <w:sz w:val="18"/>
                                <w:lang w:eastAsia="en-AU"/>
                              </w:rPr>
                            </w:pPr>
                            <w:r w:rsidRPr="002D3583">
                              <w:rPr>
                                <w:rFonts w:eastAsia="Times New Roman" w:cs="Arial"/>
                                <w:color w:val="000000"/>
                                <w:sz w:val="18"/>
                                <w:lang w:eastAsia="en-AU"/>
                              </w:rPr>
                              <w:t>$14,759</w:t>
                            </w:r>
                          </w:p>
                        </w:tc>
                      </w:tr>
                    </w:tbl>
                    <w:p w14:paraId="627DD1E7" w14:textId="77777777" w:rsidR="0031285D" w:rsidRPr="006423B9" w:rsidRDefault="001562AE" w:rsidP="006423B9">
                      <w:pPr>
                        <w:pStyle w:val="ListParagraph"/>
                        <w:numPr>
                          <w:ilvl w:val="0"/>
                          <w:numId w:val="25"/>
                        </w:numPr>
                        <w:spacing w:after="0"/>
                        <w:rPr>
                          <w:sz w:val="16"/>
                          <w:szCs w:val="16"/>
                        </w:rPr>
                      </w:pPr>
                      <w:r>
                        <w:rPr>
                          <w:sz w:val="16"/>
                          <w:szCs w:val="16"/>
                        </w:rPr>
                        <w:t>E</w:t>
                      </w:r>
                      <w:r w:rsidRPr="006423B9">
                        <w:rPr>
                          <w:sz w:val="16"/>
                          <w:szCs w:val="16"/>
                        </w:rPr>
                        <w:t xml:space="preserve">mployee would already be paying a nominal rent amount to the agency, so this amount is in addition.  </w:t>
                      </w:r>
                      <w:r w:rsidRPr="006423B9">
                        <w:rPr>
                          <w:sz w:val="16"/>
                          <w:szCs w:val="16"/>
                        </w:rPr>
                        <w:tab/>
                      </w:r>
                    </w:p>
                    <w:p w14:paraId="0FEA7339" w14:textId="77777777" w:rsidR="0031285D" w:rsidRDefault="001562AE" w:rsidP="006423B9">
                      <w:pPr>
                        <w:pStyle w:val="ListParagraph"/>
                        <w:numPr>
                          <w:ilvl w:val="0"/>
                          <w:numId w:val="25"/>
                        </w:numPr>
                        <w:spacing w:after="0"/>
                        <w:rPr>
                          <w:sz w:val="16"/>
                          <w:szCs w:val="16"/>
                        </w:rPr>
                      </w:pPr>
                      <w:r w:rsidRPr="006423B9">
                        <w:rPr>
                          <w:sz w:val="16"/>
                          <w:szCs w:val="16"/>
                        </w:rPr>
                        <w:t>An average based on estimated aggregate impact.  Impact will range from nil to significantly higher than the amount disclosed above depending on individual circumstances.  Furthermore, this indicative cost could be double if the employer- provided housing fell outside any revised remote area bou</w:t>
                      </w:r>
                      <w:r w:rsidRPr="0088658A">
                        <w:rPr>
                          <w:sz w:val="16"/>
                          <w:szCs w:val="16"/>
                        </w:rPr>
                        <w:t>ndaries into a non-remote area.</w:t>
                      </w:r>
                    </w:p>
                    <w:p w14:paraId="3052FF31" w14:textId="77777777" w:rsidR="0031285D" w:rsidRPr="006423B9" w:rsidRDefault="001562AE" w:rsidP="006423B9">
                      <w:pPr>
                        <w:pStyle w:val="ListParagraph"/>
                        <w:numPr>
                          <w:ilvl w:val="0"/>
                          <w:numId w:val="25"/>
                        </w:numPr>
                        <w:spacing w:after="0"/>
                        <w:rPr>
                          <w:sz w:val="16"/>
                          <w:szCs w:val="16"/>
                        </w:rPr>
                      </w:pPr>
                      <w:r w:rsidRPr="006423B9">
                        <w:rPr>
                          <w:sz w:val="16"/>
                          <w:szCs w:val="16"/>
                        </w:rPr>
                        <w:t>These amounts include provision for the loss of the $17,000 cap which would otherwise have been used to participate in salary sacrifice arrangements.</w:t>
                      </w:r>
                    </w:p>
                    <w:p w14:paraId="7B14B817" w14:textId="77777777" w:rsidR="0031285D" w:rsidRPr="006423B9" w:rsidRDefault="001562AE" w:rsidP="006423B9">
                      <w:pPr>
                        <w:pStyle w:val="ListParagraph"/>
                        <w:numPr>
                          <w:ilvl w:val="0"/>
                          <w:numId w:val="25"/>
                        </w:numPr>
                        <w:spacing w:after="0"/>
                        <w:rPr>
                          <w:sz w:val="16"/>
                          <w:szCs w:val="16"/>
                        </w:rPr>
                      </w:pPr>
                      <w:r w:rsidRPr="006423B9">
                        <w:rPr>
                          <w:sz w:val="16"/>
                          <w:szCs w:val="16"/>
                        </w:rPr>
                        <w:t>Remote area holiday transport is only provided to staff working in certain towns and for the use in gaining further professional development.</w:t>
                      </w:r>
                    </w:p>
                    <w:p w14:paraId="64E73A85" w14:textId="77777777" w:rsidR="0031285D" w:rsidRDefault="001562AE" w:rsidP="0031285D">
                      <w:r w:rsidRPr="00A47727">
                        <w:t xml:space="preserve">Additionally, the </w:t>
                      </w:r>
                      <w:r w:rsidR="00747E52">
                        <w:t>employees</w:t>
                      </w:r>
                      <w:r w:rsidR="00747E52" w:rsidRPr="00A47727">
                        <w:t xml:space="preserve"> </w:t>
                      </w:r>
                      <w:r w:rsidRPr="00A47727">
                        <w:t>would see an increase in Reportable Fringe Benefit Amounts</w:t>
                      </w:r>
                      <w:r>
                        <w:t>.</w:t>
                      </w:r>
                      <w:r w:rsidRPr="00A47727">
                        <w:t xml:space="preserve">  While these amounts don’t necessarily affect the employee’s assessable i</w:t>
                      </w:r>
                      <w:r>
                        <w:t>ncome or the standard Medicare L</w:t>
                      </w:r>
                      <w:r w:rsidRPr="00A47727">
                        <w:t xml:space="preserve">evy, they are included in the income tests for a range of Commonwealth Government benefits and obligations such as the employee’s Medicare Levy Surcharge (if applicable), Private Health Insurance Rebate percentage, Family Tax Benefit, Child Care Benefit, and eligibility for the Commonwealth’s co-contribution for personal superannuation contributions.   </w:t>
                      </w:r>
                    </w:p>
                    <w:p w14:paraId="15BCFD60" w14:textId="77777777" w:rsidR="0031285D" w:rsidRDefault="0031285D"/>
                  </w:txbxContent>
                </v:textbox>
                <w10:wrap anchorx="page"/>
              </v:shape>
            </w:pict>
          </mc:Fallback>
        </mc:AlternateContent>
      </w:r>
    </w:p>
    <w:p w14:paraId="7EED55E2" w14:textId="77777777" w:rsidR="0031285D" w:rsidRDefault="0031285D">
      <w:pPr>
        <w:spacing w:before="60" w:after="60"/>
      </w:pPr>
    </w:p>
    <w:p w14:paraId="7204B1D0" w14:textId="77777777" w:rsidR="0031285D" w:rsidRDefault="0031285D">
      <w:pPr>
        <w:spacing w:before="60" w:after="60"/>
      </w:pPr>
    </w:p>
    <w:p w14:paraId="39267C5D" w14:textId="77777777" w:rsidR="0031285D" w:rsidRDefault="0031285D">
      <w:pPr>
        <w:spacing w:before="60" w:after="60"/>
      </w:pPr>
    </w:p>
    <w:p w14:paraId="147DC2BF" w14:textId="77777777" w:rsidR="0031285D" w:rsidRDefault="0031285D">
      <w:pPr>
        <w:spacing w:before="60" w:after="60"/>
      </w:pPr>
    </w:p>
    <w:p w14:paraId="37A4CD63" w14:textId="77777777" w:rsidR="0031285D" w:rsidRDefault="0031285D">
      <w:pPr>
        <w:spacing w:before="60" w:after="60"/>
      </w:pPr>
    </w:p>
    <w:p w14:paraId="48682B0D" w14:textId="77777777" w:rsidR="0031285D" w:rsidRDefault="0031285D">
      <w:pPr>
        <w:spacing w:before="60" w:after="60"/>
      </w:pPr>
    </w:p>
    <w:p w14:paraId="5F4874A0" w14:textId="77777777" w:rsidR="0031285D" w:rsidRDefault="0031285D">
      <w:pPr>
        <w:spacing w:before="60" w:after="60"/>
      </w:pPr>
    </w:p>
    <w:p w14:paraId="79AF1555" w14:textId="77777777" w:rsidR="0031285D" w:rsidRDefault="0031285D">
      <w:pPr>
        <w:spacing w:before="60" w:after="60"/>
      </w:pPr>
    </w:p>
    <w:p w14:paraId="4CD25DB5" w14:textId="77777777" w:rsidR="0031285D" w:rsidRDefault="0031285D">
      <w:pPr>
        <w:spacing w:before="60" w:after="60"/>
      </w:pPr>
    </w:p>
    <w:p w14:paraId="3D61BE19" w14:textId="77777777" w:rsidR="0031285D" w:rsidRDefault="0031285D">
      <w:pPr>
        <w:spacing w:before="60" w:after="60"/>
      </w:pPr>
    </w:p>
    <w:p w14:paraId="69C69AA6" w14:textId="77777777" w:rsidR="0031285D" w:rsidRDefault="0031285D">
      <w:pPr>
        <w:spacing w:before="60" w:after="60"/>
      </w:pPr>
    </w:p>
    <w:p w14:paraId="0327BCC8" w14:textId="77777777" w:rsidR="0031285D" w:rsidRDefault="0031285D">
      <w:pPr>
        <w:spacing w:before="60" w:after="60"/>
      </w:pPr>
    </w:p>
    <w:p w14:paraId="2681FC68" w14:textId="77777777" w:rsidR="0031285D" w:rsidRDefault="0031285D">
      <w:pPr>
        <w:spacing w:before="60" w:after="60"/>
      </w:pPr>
    </w:p>
    <w:p w14:paraId="63BCDAA7" w14:textId="77777777" w:rsidR="0031285D" w:rsidRDefault="0031285D">
      <w:pPr>
        <w:spacing w:before="60" w:after="60"/>
      </w:pPr>
    </w:p>
    <w:p w14:paraId="5F1D2457" w14:textId="77777777" w:rsidR="0031285D" w:rsidRDefault="0031285D">
      <w:pPr>
        <w:spacing w:before="60" w:after="60"/>
      </w:pPr>
    </w:p>
    <w:p w14:paraId="7C07F81E" w14:textId="77777777" w:rsidR="0031285D" w:rsidRDefault="0031285D">
      <w:pPr>
        <w:spacing w:before="60" w:after="60"/>
      </w:pPr>
    </w:p>
    <w:p w14:paraId="58C680EC" w14:textId="77777777" w:rsidR="0031285D" w:rsidRDefault="0031285D" w:rsidP="008B00CE">
      <w:pPr>
        <w:jc w:val="both"/>
      </w:pPr>
    </w:p>
    <w:p w14:paraId="524CB879" w14:textId="77777777" w:rsidR="0031285D" w:rsidRDefault="0031285D" w:rsidP="008B00CE">
      <w:pPr>
        <w:jc w:val="both"/>
      </w:pPr>
    </w:p>
    <w:p w14:paraId="644DD285" w14:textId="77777777" w:rsidR="0031285D" w:rsidRDefault="0031285D" w:rsidP="008B00CE">
      <w:pPr>
        <w:jc w:val="both"/>
      </w:pPr>
    </w:p>
    <w:p w14:paraId="18922CFC" w14:textId="77777777" w:rsidR="0031285D" w:rsidRDefault="0031285D" w:rsidP="008B00CE">
      <w:pPr>
        <w:jc w:val="both"/>
      </w:pPr>
    </w:p>
    <w:p w14:paraId="3AD46BE8" w14:textId="77777777" w:rsidR="0031285D" w:rsidRDefault="0031285D" w:rsidP="008B00CE">
      <w:pPr>
        <w:jc w:val="both"/>
      </w:pPr>
    </w:p>
    <w:p w14:paraId="023C6B24" w14:textId="77777777" w:rsidR="0031285D" w:rsidRDefault="0031285D" w:rsidP="008B00CE">
      <w:pPr>
        <w:jc w:val="both"/>
      </w:pPr>
    </w:p>
    <w:p w14:paraId="62E6FEF8" w14:textId="77777777" w:rsidR="0031285D" w:rsidRDefault="0031285D" w:rsidP="008B00CE">
      <w:pPr>
        <w:jc w:val="both"/>
      </w:pPr>
    </w:p>
    <w:p w14:paraId="52D06775" w14:textId="77777777" w:rsidR="0031285D" w:rsidRDefault="0031285D" w:rsidP="008B00CE">
      <w:pPr>
        <w:jc w:val="both"/>
      </w:pPr>
    </w:p>
    <w:p w14:paraId="201DCB8C" w14:textId="77777777" w:rsidR="0031285D" w:rsidRDefault="0031285D" w:rsidP="008B00CE">
      <w:pPr>
        <w:jc w:val="both"/>
      </w:pPr>
    </w:p>
    <w:p w14:paraId="32167DBF" w14:textId="77777777" w:rsidR="0031285D" w:rsidRDefault="0031285D" w:rsidP="008B00CE">
      <w:pPr>
        <w:jc w:val="both"/>
      </w:pPr>
    </w:p>
    <w:p w14:paraId="23E2D198" w14:textId="77777777" w:rsidR="0031285D" w:rsidRDefault="0031285D" w:rsidP="008B00CE">
      <w:pPr>
        <w:jc w:val="both"/>
      </w:pPr>
    </w:p>
    <w:p w14:paraId="4F8F7974" w14:textId="77777777" w:rsidR="0031285D" w:rsidRDefault="0031285D" w:rsidP="008B00CE">
      <w:pPr>
        <w:jc w:val="both"/>
      </w:pPr>
    </w:p>
    <w:p w14:paraId="4E332AAF" w14:textId="77777777" w:rsidR="0031285D" w:rsidRDefault="0031285D" w:rsidP="008B00CE">
      <w:pPr>
        <w:jc w:val="both"/>
      </w:pPr>
    </w:p>
    <w:p w14:paraId="1BF969B9" w14:textId="77777777" w:rsidR="0031285D" w:rsidRDefault="0031285D" w:rsidP="008B00CE">
      <w:pPr>
        <w:jc w:val="both"/>
      </w:pPr>
    </w:p>
    <w:p w14:paraId="4A599222" w14:textId="77777777" w:rsidR="0031285D" w:rsidRDefault="0031285D" w:rsidP="008B00CE">
      <w:pPr>
        <w:jc w:val="both"/>
      </w:pPr>
    </w:p>
    <w:p w14:paraId="6947F778" w14:textId="77777777" w:rsidR="0031285D" w:rsidRDefault="0031285D" w:rsidP="008B00CE">
      <w:pPr>
        <w:jc w:val="both"/>
      </w:pPr>
    </w:p>
    <w:p w14:paraId="08ED9DA0" w14:textId="77777777" w:rsidR="0031285D" w:rsidRDefault="0031285D" w:rsidP="008B00CE">
      <w:pPr>
        <w:jc w:val="both"/>
      </w:pPr>
    </w:p>
    <w:p w14:paraId="1EC4AD3D" w14:textId="77777777" w:rsidR="0031285D" w:rsidRDefault="0031285D" w:rsidP="008B00CE">
      <w:pPr>
        <w:jc w:val="both"/>
      </w:pPr>
    </w:p>
    <w:p w14:paraId="7A36B3C8" w14:textId="77777777" w:rsidR="008B00CE" w:rsidRPr="003700D4" w:rsidRDefault="001562AE" w:rsidP="008B00CE">
      <w:pPr>
        <w:jc w:val="both"/>
      </w:pPr>
      <w:r>
        <w:t>From a government agency perspective, t</w:t>
      </w:r>
      <w:r w:rsidRPr="003700D4">
        <w:t xml:space="preserve">he </w:t>
      </w:r>
      <w:r>
        <w:t>PC view</w:t>
      </w:r>
      <w:r w:rsidRPr="003700D4">
        <w:t xml:space="preserve"> that </w:t>
      </w:r>
      <w:r>
        <w:t xml:space="preserve">employers may offset their additional FBT obligations by reducing employee remuneration is </w:t>
      </w:r>
      <w:r w:rsidR="00831646">
        <w:t>not supported</w:t>
      </w:r>
      <w:r>
        <w:t xml:space="preserve">. </w:t>
      </w:r>
      <w:r w:rsidR="00831646">
        <w:t>T</w:t>
      </w:r>
      <w:r>
        <w:t>he services provided</w:t>
      </w:r>
      <w:r w:rsidR="00831646">
        <w:t xml:space="preserve"> are important and remuneration should remain commensurate with the value of the work performed in delivering these services. </w:t>
      </w:r>
      <w:r w:rsidR="0045567D">
        <w:t xml:space="preserve"> </w:t>
      </w:r>
      <w:r w:rsidR="009D791A">
        <w:t>Any negative impact on employees will need to be addressed via the employer, in addition to the direct impact of higher FBT payments.</w:t>
      </w:r>
    </w:p>
    <w:p w14:paraId="1F9BE975" w14:textId="77777777" w:rsidR="005A35C1" w:rsidRPr="00B94991" w:rsidRDefault="001562AE" w:rsidP="00E4570F">
      <w:pPr>
        <w:jc w:val="both"/>
        <w:rPr>
          <w:highlight w:val="yellow"/>
        </w:rPr>
      </w:pPr>
      <w:r>
        <w:rPr>
          <w:szCs w:val="24"/>
        </w:rPr>
        <w:t xml:space="preserve">Given the expectation that there is a continuing role for the Commonwealth in supporting regions, the PC should explore options to progress reforms while preserving the value of remote area </w:t>
      </w:r>
      <w:r w:rsidR="00E62D48">
        <w:rPr>
          <w:szCs w:val="24"/>
        </w:rPr>
        <w:t>FBT</w:t>
      </w:r>
      <w:r>
        <w:rPr>
          <w:szCs w:val="24"/>
        </w:rPr>
        <w:t xml:space="preserve"> concessions.  This would recognise the disproportionate impacts of changes advocated by the PC on regional and remote areas at the local level.  </w:t>
      </w:r>
    </w:p>
    <w:sectPr w:rsidR="005A35C1" w:rsidRPr="00B94991" w:rsidSect="000B32EB">
      <w:footerReference w:type="default" r:id="rId15"/>
      <w:pgSz w:w="11906" w:h="16838" w:code="9"/>
      <w:pgMar w:top="851" w:right="851" w:bottom="851" w:left="851" w:header="567" w:footer="284" w:gutter="0"/>
      <w:pgNumType w:start="1"/>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1C663" w14:textId="77777777" w:rsidR="00C04D39" w:rsidRDefault="001562AE">
      <w:pPr>
        <w:spacing w:before="0" w:after="0"/>
      </w:pPr>
      <w:r>
        <w:separator/>
      </w:r>
    </w:p>
  </w:endnote>
  <w:endnote w:type="continuationSeparator" w:id="0">
    <w:p w14:paraId="1904201B" w14:textId="77777777" w:rsidR="00C04D39" w:rsidRDefault="001562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1743368"/>
      <w:docPartObj>
        <w:docPartGallery w:val="Page Numbers (Bottom of Page)"/>
        <w:docPartUnique/>
      </w:docPartObj>
    </w:sdtPr>
    <w:sdtEndPr>
      <w:rPr>
        <w:noProof/>
      </w:rPr>
    </w:sdtEndPr>
    <w:sdtContent>
      <w:p w14:paraId="7C11897B" w14:textId="77777777" w:rsidR="00656CD4" w:rsidRDefault="001562AE">
        <w:pPr>
          <w:pStyle w:val="Footer"/>
          <w:jc w:val="right"/>
        </w:pPr>
        <w:r>
          <w:fldChar w:fldCharType="begin"/>
        </w:r>
        <w:r>
          <w:instrText xml:space="preserve"> PAGE   \* MERGEFORMAT </w:instrText>
        </w:r>
        <w:r>
          <w:fldChar w:fldCharType="separate"/>
        </w:r>
        <w:r w:rsidR="007D2D55">
          <w:rPr>
            <w:noProof/>
          </w:rPr>
          <w:t>i</w:t>
        </w:r>
        <w:r>
          <w:rPr>
            <w:noProof/>
          </w:rPr>
          <w:fldChar w:fldCharType="end"/>
        </w:r>
      </w:p>
    </w:sdtContent>
  </w:sdt>
  <w:p w14:paraId="47D43E3A" w14:textId="77777777" w:rsidR="00656CD4" w:rsidRDefault="00656C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2805130"/>
      <w:docPartObj>
        <w:docPartGallery w:val="Page Numbers (Bottom of Page)"/>
        <w:docPartUnique/>
      </w:docPartObj>
    </w:sdtPr>
    <w:sdtEndPr>
      <w:rPr>
        <w:noProof/>
      </w:rPr>
    </w:sdtEndPr>
    <w:sdtContent>
      <w:p w14:paraId="7D14D5E2" w14:textId="77777777" w:rsidR="00656CD4" w:rsidRDefault="001562AE">
        <w:pPr>
          <w:pStyle w:val="Footer"/>
          <w:jc w:val="right"/>
        </w:pPr>
        <w:r>
          <w:fldChar w:fldCharType="begin"/>
        </w:r>
        <w:r>
          <w:instrText xml:space="preserve"> PAGE   \* MERGEFORMAT </w:instrText>
        </w:r>
        <w:r>
          <w:fldChar w:fldCharType="separate"/>
        </w:r>
        <w:r w:rsidR="007D2D55">
          <w:rPr>
            <w:noProof/>
          </w:rPr>
          <w:t>1</w:t>
        </w:r>
        <w:r>
          <w:rPr>
            <w:noProof/>
          </w:rPr>
          <w:fldChar w:fldCharType="end"/>
        </w:r>
      </w:p>
    </w:sdtContent>
  </w:sdt>
  <w:p w14:paraId="235E3CE9" w14:textId="77777777" w:rsidR="00656CD4" w:rsidRDefault="00656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1569E" w14:textId="77777777" w:rsidR="00C04D39" w:rsidRDefault="001562AE">
      <w:pPr>
        <w:spacing w:before="0" w:after="0"/>
      </w:pPr>
      <w:r>
        <w:separator/>
      </w:r>
    </w:p>
  </w:footnote>
  <w:footnote w:type="continuationSeparator" w:id="0">
    <w:p w14:paraId="004A5247" w14:textId="77777777" w:rsidR="00C04D39" w:rsidRDefault="001562A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34647" w14:textId="77777777" w:rsidR="00656CD4" w:rsidRDefault="001562AE">
    <w:pPr>
      <w:pStyle w:val="Header"/>
    </w:pPr>
    <w:r>
      <w:rPr>
        <w:noProof/>
        <w:lang w:eastAsia="en-AU"/>
      </w:rPr>
      <w:drawing>
        <wp:anchor distT="0" distB="0" distL="114300" distR="114300" simplePos="0" relativeHeight="251658240" behindDoc="1" locked="0" layoutInCell="1" allowOverlap="1" wp14:anchorId="027FCBAE" wp14:editId="7BB58383">
          <wp:simplePos x="0" y="0"/>
          <wp:positionH relativeFrom="column">
            <wp:posOffset>-552450</wp:posOffset>
          </wp:positionH>
          <wp:positionV relativeFrom="paragraph">
            <wp:posOffset>-289882</wp:posOffset>
          </wp:positionV>
          <wp:extent cx="7561580" cy="609600"/>
          <wp:effectExtent l="0" t="0" r="127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30517" name="Header-DEWS-A4-Maroon.jpg"/>
                  <pic:cNvPicPr/>
                </pic:nvPicPr>
                <pic:blipFill>
                  <a:blip r:embed="rId1">
                    <a:extLst>
                      <a:ext uri="{28A0092B-C50C-407E-A947-70E740481C1C}">
                        <a14:useLocalDpi xmlns:a14="http://schemas.microsoft.com/office/drawing/2010/main" val="0"/>
                      </a:ext>
                    </a:extLst>
                  </a:blip>
                  <a:srcRect t="4097" b="90204"/>
                  <a:stretch>
                    <a:fillRect/>
                  </a:stretch>
                </pic:blipFill>
                <pic:spPr bwMode="auto">
                  <a:xfrm>
                    <a:off x="0" y="0"/>
                    <a:ext cx="7561580"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7C1E10" w14:textId="77777777" w:rsidR="00656CD4" w:rsidRDefault="00656C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7D30F9A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66925DB2"/>
    <w:lvl w:ilvl="0">
      <w:start w:val="1"/>
      <w:numFmt w:val="bullet"/>
      <w:pStyle w:val="ListBullet2"/>
      <w:lvlText w:val="–"/>
      <w:lvlJc w:val="left"/>
      <w:pPr>
        <w:ind w:left="717" w:hanging="360"/>
      </w:pPr>
      <w:rPr>
        <w:rFonts w:ascii="Arial" w:hAnsi="Arial" w:hint="default"/>
        <w:b w:val="0"/>
        <w:i w:val="0"/>
        <w:sz w:val="20"/>
      </w:rPr>
    </w:lvl>
  </w:abstractNum>
  <w:abstractNum w:abstractNumId="2" w15:restartNumberingAfterBreak="0">
    <w:nsid w:val="FFFFFF89"/>
    <w:multiLevelType w:val="singleLevel"/>
    <w:tmpl w:val="E228BEC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6612EB3"/>
    <w:multiLevelType w:val="hybridMultilevel"/>
    <w:tmpl w:val="B87C15B4"/>
    <w:lvl w:ilvl="0" w:tplc="6930E0C4">
      <w:start w:val="1"/>
      <w:numFmt w:val="decimal"/>
      <w:pStyle w:val="TableListNumber"/>
      <w:lvlText w:val="%1."/>
      <w:lvlJc w:val="left"/>
      <w:pPr>
        <w:ind w:left="360" w:hanging="360"/>
      </w:pPr>
      <w:rPr>
        <w:rFonts w:ascii="Arial" w:hAnsi="Arial" w:hint="default"/>
        <w:b w:val="0"/>
        <w:i w:val="0"/>
        <w:sz w:val="20"/>
        <w:u w:val="none"/>
      </w:rPr>
    </w:lvl>
    <w:lvl w:ilvl="1" w:tplc="49967996" w:tentative="1">
      <w:start w:val="1"/>
      <w:numFmt w:val="lowerLetter"/>
      <w:lvlText w:val="%2."/>
      <w:lvlJc w:val="left"/>
      <w:pPr>
        <w:ind w:left="1440" w:hanging="360"/>
      </w:pPr>
    </w:lvl>
    <w:lvl w:ilvl="2" w:tplc="09069DCC" w:tentative="1">
      <w:start w:val="1"/>
      <w:numFmt w:val="lowerRoman"/>
      <w:lvlText w:val="%3."/>
      <w:lvlJc w:val="right"/>
      <w:pPr>
        <w:ind w:left="2160" w:hanging="180"/>
      </w:pPr>
    </w:lvl>
    <w:lvl w:ilvl="3" w:tplc="150858D4" w:tentative="1">
      <w:start w:val="1"/>
      <w:numFmt w:val="decimal"/>
      <w:lvlText w:val="%4."/>
      <w:lvlJc w:val="left"/>
      <w:pPr>
        <w:ind w:left="2880" w:hanging="360"/>
      </w:pPr>
    </w:lvl>
    <w:lvl w:ilvl="4" w:tplc="211A2C9E" w:tentative="1">
      <w:start w:val="1"/>
      <w:numFmt w:val="lowerLetter"/>
      <w:lvlText w:val="%5."/>
      <w:lvlJc w:val="left"/>
      <w:pPr>
        <w:ind w:left="3600" w:hanging="360"/>
      </w:pPr>
    </w:lvl>
    <w:lvl w:ilvl="5" w:tplc="1F021A62" w:tentative="1">
      <w:start w:val="1"/>
      <w:numFmt w:val="lowerRoman"/>
      <w:lvlText w:val="%6."/>
      <w:lvlJc w:val="right"/>
      <w:pPr>
        <w:ind w:left="4320" w:hanging="180"/>
      </w:pPr>
    </w:lvl>
    <w:lvl w:ilvl="6" w:tplc="8EEC5D7E" w:tentative="1">
      <w:start w:val="1"/>
      <w:numFmt w:val="decimal"/>
      <w:lvlText w:val="%7."/>
      <w:lvlJc w:val="left"/>
      <w:pPr>
        <w:ind w:left="5040" w:hanging="360"/>
      </w:pPr>
    </w:lvl>
    <w:lvl w:ilvl="7" w:tplc="0688110C" w:tentative="1">
      <w:start w:val="1"/>
      <w:numFmt w:val="lowerLetter"/>
      <w:lvlText w:val="%8."/>
      <w:lvlJc w:val="left"/>
      <w:pPr>
        <w:ind w:left="5760" w:hanging="360"/>
      </w:pPr>
    </w:lvl>
    <w:lvl w:ilvl="8" w:tplc="685042E8" w:tentative="1">
      <w:start w:val="1"/>
      <w:numFmt w:val="lowerRoman"/>
      <w:lvlText w:val="%9."/>
      <w:lvlJc w:val="right"/>
      <w:pPr>
        <w:ind w:left="6480" w:hanging="180"/>
      </w:pPr>
    </w:lvl>
  </w:abstractNum>
  <w:abstractNum w:abstractNumId="4" w15:restartNumberingAfterBreak="0">
    <w:nsid w:val="1E13657F"/>
    <w:multiLevelType w:val="hybridMultilevel"/>
    <w:tmpl w:val="7BCEF594"/>
    <w:lvl w:ilvl="0" w:tplc="539ABB34">
      <w:start w:val="1"/>
      <w:numFmt w:val="lowerLetter"/>
      <w:pStyle w:val="ListNumber2"/>
      <w:lvlText w:val="%1."/>
      <w:lvlJc w:val="left"/>
      <w:pPr>
        <w:ind w:left="720" w:hanging="360"/>
      </w:pPr>
      <w:rPr>
        <w:rFonts w:hint="default"/>
      </w:rPr>
    </w:lvl>
    <w:lvl w:ilvl="1" w:tplc="72B89982" w:tentative="1">
      <w:start w:val="1"/>
      <w:numFmt w:val="lowerLetter"/>
      <w:lvlText w:val="%2."/>
      <w:lvlJc w:val="left"/>
      <w:pPr>
        <w:ind w:left="1440" w:hanging="360"/>
      </w:pPr>
    </w:lvl>
    <w:lvl w:ilvl="2" w:tplc="B2C0ED5E" w:tentative="1">
      <w:start w:val="1"/>
      <w:numFmt w:val="lowerRoman"/>
      <w:lvlText w:val="%3."/>
      <w:lvlJc w:val="right"/>
      <w:pPr>
        <w:ind w:left="2160" w:hanging="180"/>
      </w:pPr>
    </w:lvl>
    <w:lvl w:ilvl="3" w:tplc="CFF685D8" w:tentative="1">
      <w:start w:val="1"/>
      <w:numFmt w:val="decimal"/>
      <w:lvlText w:val="%4."/>
      <w:lvlJc w:val="left"/>
      <w:pPr>
        <w:ind w:left="2880" w:hanging="360"/>
      </w:pPr>
    </w:lvl>
    <w:lvl w:ilvl="4" w:tplc="4AA2B0AE" w:tentative="1">
      <w:start w:val="1"/>
      <w:numFmt w:val="lowerLetter"/>
      <w:lvlText w:val="%5."/>
      <w:lvlJc w:val="left"/>
      <w:pPr>
        <w:ind w:left="3600" w:hanging="360"/>
      </w:pPr>
    </w:lvl>
    <w:lvl w:ilvl="5" w:tplc="80303E56" w:tentative="1">
      <w:start w:val="1"/>
      <w:numFmt w:val="lowerRoman"/>
      <w:lvlText w:val="%6."/>
      <w:lvlJc w:val="right"/>
      <w:pPr>
        <w:ind w:left="4320" w:hanging="180"/>
      </w:pPr>
    </w:lvl>
    <w:lvl w:ilvl="6" w:tplc="DD28C3C6" w:tentative="1">
      <w:start w:val="1"/>
      <w:numFmt w:val="decimal"/>
      <w:lvlText w:val="%7."/>
      <w:lvlJc w:val="left"/>
      <w:pPr>
        <w:ind w:left="5040" w:hanging="360"/>
      </w:pPr>
    </w:lvl>
    <w:lvl w:ilvl="7" w:tplc="0C440FE2" w:tentative="1">
      <w:start w:val="1"/>
      <w:numFmt w:val="lowerLetter"/>
      <w:lvlText w:val="%8."/>
      <w:lvlJc w:val="left"/>
      <w:pPr>
        <w:ind w:left="5760" w:hanging="360"/>
      </w:pPr>
    </w:lvl>
    <w:lvl w:ilvl="8" w:tplc="CA50D32C" w:tentative="1">
      <w:start w:val="1"/>
      <w:numFmt w:val="lowerRoman"/>
      <w:lvlText w:val="%9."/>
      <w:lvlJc w:val="right"/>
      <w:pPr>
        <w:ind w:left="6480" w:hanging="180"/>
      </w:pPr>
    </w:lvl>
  </w:abstractNum>
  <w:abstractNum w:abstractNumId="5" w15:restartNumberingAfterBreak="0">
    <w:nsid w:val="28CF5632"/>
    <w:multiLevelType w:val="multilevel"/>
    <w:tmpl w:val="A77AA4BE"/>
    <w:lvl w:ilvl="0">
      <w:start w:val="1"/>
      <w:numFmt w:val="decimal"/>
      <w:pStyle w:val="ListNumber"/>
      <w:lvlText w:val="%1."/>
      <w:lvlJc w:val="left"/>
      <w:pPr>
        <w:ind w:left="360" w:hanging="360"/>
      </w:pPr>
      <w:rPr>
        <w:rFonts w:ascii="Arial" w:hAnsi="Arial" w:hint="default"/>
        <w:b w:val="0"/>
        <w:i w:val="0"/>
        <w:sz w:val="20"/>
        <w:u w:val="no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68E1C21"/>
    <w:multiLevelType w:val="hybridMultilevel"/>
    <w:tmpl w:val="740A39B0"/>
    <w:lvl w:ilvl="0" w:tplc="866EC0A6">
      <w:start w:val="1"/>
      <w:numFmt w:val="bullet"/>
      <w:pStyle w:val="TableListBullet"/>
      <w:lvlText w:val=""/>
      <w:lvlJc w:val="left"/>
      <w:pPr>
        <w:ind w:left="720" w:hanging="360"/>
      </w:pPr>
      <w:rPr>
        <w:rFonts w:ascii="Symbol" w:hAnsi="Symbol" w:hint="default"/>
      </w:rPr>
    </w:lvl>
    <w:lvl w:ilvl="1" w:tplc="3358037A">
      <w:start w:val="1"/>
      <w:numFmt w:val="bullet"/>
      <w:lvlText w:val="o"/>
      <w:lvlJc w:val="left"/>
      <w:pPr>
        <w:ind w:left="1440" w:hanging="360"/>
      </w:pPr>
      <w:rPr>
        <w:rFonts w:ascii="Courier New" w:hAnsi="Courier New" w:cs="Courier New" w:hint="default"/>
      </w:rPr>
    </w:lvl>
    <w:lvl w:ilvl="2" w:tplc="BF1C3FEA" w:tentative="1">
      <w:start w:val="1"/>
      <w:numFmt w:val="bullet"/>
      <w:lvlText w:val=""/>
      <w:lvlJc w:val="left"/>
      <w:pPr>
        <w:ind w:left="2160" w:hanging="360"/>
      </w:pPr>
      <w:rPr>
        <w:rFonts w:ascii="Wingdings" w:hAnsi="Wingdings" w:hint="default"/>
      </w:rPr>
    </w:lvl>
    <w:lvl w:ilvl="3" w:tplc="60089FAA" w:tentative="1">
      <w:start w:val="1"/>
      <w:numFmt w:val="bullet"/>
      <w:lvlText w:val=""/>
      <w:lvlJc w:val="left"/>
      <w:pPr>
        <w:ind w:left="2880" w:hanging="360"/>
      </w:pPr>
      <w:rPr>
        <w:rFonts w:ascii="Symbol" w:hAnsi="Symbol" w:hint="default"/>
      </w:rPr>
    </w:lvl>
    <w:lvl w:ilvl="4" w:tplc="B3960782" w:tentative="1">
      <w:start w:val="1"/>
      <w:numFmt w:val="bullet"/>
      <w:lvlText w:val="o"/>
      <w:lvlJc w:val="left"/>
      <w:pPr>
        <w:ind w:left="3600" w:hanging="360"/>
      </w:pPr>
      <w:rPr>
        <w:rFonts w:ascii="Courier New" w:hAnsi="Courier New" w:cs="Courier New" w:hint="default"/>
      </w:rPr>
    </w:lvl>
    <w:lvl w:ilvl="5" w:tplc="7190043C" w:tentative="1">
      <w:start w:val="1"/>
      <w:numFmt w:val="bullet"/>
      <w:lvlText w:val=""/>
      <w:lvlJc w:val="left"/>
      <w:pPr>
        <w:ind w:left="4320" w:hanging="360"/>
      </w:pPr>
      <w:rPr>
        <w:rFonts w:ascii="Wingdings" w:hAnsi="Wingdings" w:hint="default"/>
      </w:rPr>
    </w:lvl>
    <w:lvl w:ilvl="6" w:tplc="B5202E86" w:tentative="1">
      <w:start w:val="1"/>
      <w:numFmt w:val="bullet"/>
      <w:lvlText w:val=""/>
      <w:lvlJc w:val="left"/>
      <w:pPr>
        <w:ind w:left="5040" w:hanging="360"/>
      </w:pPr>
      <w:rPr>
        <w:rFonts w:ascii="Symbol" w:hAnsi="Symbol" w:hint="default"/>
      </w:rPr>
    </w:lvl>
    <w:lvl w:ilvl="7" w:tplc="19EE2D74" w:tentative="1">
      <w:start w:val="1"/>
      <w:numFmt w:val="bullet"/>
      <w:lvlText w:val="o"/>
      <w:lvlJc w:val="left"/>
      <w:pPr>
        <w:ind w:left="5760" w:hanging="360"/>
      </w:pPr>
      <w:rPr>
        <w:rFonts w:ascii="Courier New" w:hAnsi="Courier New" w:cs="Courier New" w:hint="default"/>
      </w:rPr>
    </w:lvl>
    <w:lvl w:ilvl="8" w:tplc="3E14FDA2" w:tentative="1">
      <w:start w:val="1"/>
      <w:numFmt w:val="bullet"/>
      <w:lvlText w:val=""/>
      <w:lvlJc w:val="left"/>
      <w:pPr>
        <w:ind w:left="6480" w:hanging="360"/>
      </w:pPr>
      <w:rPr>
        <w:rFonts w:ascii="Wingdings" w:hAnsi="Wingdings" w:hint="default"/>
      </w:rPr>
    </w:lvl>
  </w:abstractNum>
  <w:abstractNum w:abstractNumId="7" w15:restartNumberingAfterBreak="0">
    <w:nsid w:val="37561BA4"/>
    <w:multiLevelType w:val="hybridMultilevel"/>
    <w:tmpl w:val="4CCA4F40"/>
    <w:lvl w:ilvl="0" w:tplc="3F586B30">
      <w:start w:val="1"/>
      <w:numFmt w:val="bullet"/>
      <w:lvlText w:val=""/>
      <w:lvlJc w:val="left"/>
      <w:pPr>
        <w:ind w:left="720" w:hanging="360"/>
      </w:pPr>
      <w:rPr>
        <w:rFonts w:ascii="Symbol" w:hAnsi="Symbol" w:hint="default"/>
      </w:rPr>
    </w:lvl>
    <w:lvl w:ilvl="1" w:tplc="8EBA10BC" w:tentative="1">
      <w:start w:val="1"/>
      <w:numFmt w:val="bullet"/>
      <w:lvlText w:val="o"/>
      <w:lvlJc w:val="left"/>
      <w:pPr>
        <w:ind w:left="1440" w:hanging="360"/>
      </w:pPr>
      <w:rPr>
        <w:rFonts w:ascii="Courier New" w:hAnsi="Courier New" w:cs="Courier New" w:hint="default"/>
      </w:rPr>
    </w:lvl>
    <w:lvl w:ilvl="2" w:tplc="5A1C535A" w:tentative="1">
      <w:start w:val="1"/>
      <w:numFmt w:val="bullet"/>
      <w:lvlText w:val=""/>
      <w:lvlJc w:val="left"/>
      <w:pPr>
        <w:ind w:left="2160" w:hanging="360"/>
      </w:pPr>
      <w:rPr>
        <w:rFonts w:ascii="Wingdings" w:hAnsi="Wingdings" w:hint="default"/>
      </w:rPr>
    </w:lvl>
    <w:lvl w:ilvl="3" w:tplc="375C2B56" w:tentative="1">
      <w:start w:val="1"/>
      <w:numFmt w:val="bullet"/>
      <w:lvlText w:val=""/>
      <w:lvlJc w:val="left"/>
      <w:pPr>
        <w:ind w:left="2880" w:hanging="360"/>
      </w:pPr>
      <w:rPr>
        <w:rFonts w:ascii="Symbol" w:hAnsi="Symbol" w:hint="default"/>
      </w:rPr>
    </w:lvl>
    <w:lvl w:ilvl="4" w:tplc="FB126B7E" w:tentative="1">
      <w:start w:val="1"/>
      <w:numFmt w:val="bullet"/>
      <w:lvlText w:val="o"/>
      <w:lvlJc w:val="left"/>
      <w:pPr>
        <w:ind w:left="3600" w:hanging="360"/>
      </w:pPr>
      <w:rPr>
        <w:rFonts w:ascii="Courier New" w:hAnsi="Courier New" w:cs="Courier New" w:hint="default"/>
      </w:rPr>
    </w:lvl>
    <w:lvl w:ilvl="5" w:tplc="26DE563C" w:tentative="1">
      <w:start w:val="1"/>
      <w:numFmt w:val="bullet"/>
      <w:lvlText w:val=""/>
      <w:lvlJc w:val="left"/>
      <w:pPr>
        <w:ind w:left="4320" w:hanging="360"/>
      </w:pPr>
      <w:rPr>
        <w:rFonts w:ascii="Wingdings" w:hAnsi="Wingdings" w:hint="default"/>
      </w:rPr>
    </w:lvl>
    <w:lvl w:ilvl="6" w:tplc="ACFCC952" w:tentative="1">
      <w:start w:val="1"/>
      <w:numFmt w:val="bullet"/>
      <w:lvlText w:val=""/>
      <w:lvlJc w:val="left"/>
      <w:pPr>
        <w:ind w:left="5040" w:hanging="360"/>
      </w:pPr>
      <w:rPr>
        <w:rFonts w:ascii="Symbol" w:hAnsi="Symbol" w:hint="default"/>
      </w:rPr>
    </w:lvl>
    <w:lvl w:ilvl="7" w:tplc="D3C0F3B4" w:tentative="1">
      <w:start w:val="1"/>
      <w:numFmt w:val="bullet"/>
      <w:lvlText w:val="o"/>
      <w:lvlJc w:val="left"/>
      <w:pPr>
        <w:ind w:left="5760" w:hanging="360"/>
      </w:pPr>
      <w:rPr>
        <w:rFonts w:ascii="Courier New" w:hAnsi="Courier New" w:cs="Courier New" w:hint="default"/>
      </w:rPr>
    </w:lvl>
    <w:lvl w:ilvl="8" w:tplc="DDD8442A" w:tentative="1">
      <w:start w:val="1"/>
      <w:numFmt w:val="bullet"/>
      <w:lvlText w:val=""/>
      <w:lvlJc w:val="left"/>
      <w:pPr>
        <w:ind w:left="6480" w:hanging="360"/>
      </w:pPr>
      <w:rPr>
        <w:rFonts w:ascii="Wingdings" w:hAnsi="Wingdings" w:hint="default"/>
      </w:rPr>
    </w:lvl>
  </w:abstractNum>
  <w:abstractNum w:abstractNumId="8" w15:restartNumberingAfterBreak="0">
    <w:nsid w:val="41162CE7"/>
    <w:multiLevelType w:val="hybridMultilevel"/>
    <w:tmpl w:val="CBD2BA18"/>
    <w:lvl w:ilvl="0" w:tplc="B5DC5F2E">
      <w:start w:val="1"/>
      <w:numFmt w:val="bullet"/>
      <w:lvlText w:val=""/>
      <w:lvlJc w:val="left"/>
      <w:pPr>
        <w:ind w:left="720" w:hanging="360"/>
      </w:pPr>
      <w:rPr>
        <w:rFonts w:ascii="Symbol" w:hAnsi="Symbol" w:hint="default"/>
      </w:rPr>
    </w:lvl>
    <w:lvl w:ilvl="1" w:tplc="BC8CE8F2">
      <w:start w:val="1"/>
      <w:numFmt w:val="bullet"/>
      <w:lvlText w:val="o"/>
      <w:lvlJc w:val="left"/>
      <w:pPr>
        <w:ind w:left="1440" w:hanging="360"/>
      </w:pPr>
      <w:rPr>
        <w:rFonts w:ascii="Courier New" w:hAnsi="Courier New" w:cs="Courier New" w:hint="default"/>
      </w:rPr>
    </w:lvl>
    <w:lvl w:ilvl="2" w:tplc="17CA0498">
      <w:start w:val="1"/>
      <w:numFmt w:val="bullet"/>
      <w:lvlText w:val=""/>
      <w:lvlJc w:val="left"/>
      <w:pPr>
        <w:ind w:left="2160" w:hanging="360"/>
      </w:pPr>
      <w:rPr>
        <w:rFonts w:ascii="Wingdings" w:hAnsi="Wingdings" w:hint="default"/>
      </w:rPr>
    </w:lvl>
    <w:lvl w:ilvl="3" w:tplc="A1221552">
      <w:start w:val="1"/>
      <w:numFmt w:val="bullet"/>
      <w:lvlText w:val=""/>
      <w:lvlJc w:val="left"/>
      <w:pPr>
        <w:ind w:left="2880" w:hanging="360"/>
      </w:pPr>
      <w:rPr>
        <w:rFonts w:ascii="Symbol" w:hAnsi="Symbol" w:hint="default"/>
      </w:rPr>
    </w:lvl>
    <w:lvl w:ilvl="4" w:tplc="5942C738">
      <w:start w:val="1"/>
      <w:numFmt w:val="bullet"/>
      <w:lvlText w:val="o"/>
      <w:lvlJc w:val="left"/>
      <w:pPr>
        <w:ind w:left="3600" w:hanging="360"/>
      </w:pPr>
      <w:rPr>
        <w:rFonts w:ascii="Courier New" w:hAnsi="Courier New" w:cs="Courier New" w:hint="default"/>
      </w:rPr>
    </w:lvl>
    <w:lvl w:ilvl="5" w:tplc="24A64816">
      <w:start w:val="1"/>
      <w:numFmt w:val="bullet"/>
      <w:lvlText w:val=""/>
      <w:lvlJc w:val="left"/>
      <w:pPr>
        <w:ind w:left="4320" w:hanging="360"/>
      </w:pPr>
      <w:rPr>
        <w:rFonts w:ascii="Wingdings" w:hAnsi="Wingdings" w:hint="default"/>
      </w:rPr>
    </w:lvl>
    <w:lvl w:ilvl="6" w:tplc="DB6C4692">
      <w:start w:val="1"/>
      <w:numFmt w:val="bullet"/>
      <w:lvlText w:val=""/>
      <w:lvlJc w:val="left"/>
      <w:pPr>
        <w:ind w:left="5040" w:hanging="360"/>
      </w:pPr>
      <w:rPr>
        <w:rFonts w:ascii="Symbol" w:hAnsi="Symbol" w:hint="default"/>
      </w:rPr>
    </w:lvl>
    <w:lvl w:ilvl="7" w:tplc="B184A442">
      <w:start w:val="1"/>
      <w:numFmt w:val="bullet"/>
      <w:lvlText w:val="o"/>
      <w:lvlJc w:val="left"/>
      <w:pPr>
        <w:ind w:left="5760" w:hanging="360"/>
      </w:pPr>
      <w:rPr>
        <w:rFonts w:ascii="Courier New" w:hAnsi="Courier New" w:cs="Courier New" w:hint="default"/>
      </w:rPr>
    </w:lvl>
    <w:lvl w:ilvl="8" w:tplc="1D861268">
      <w:start w:val="1"/>
      <w:numFmt w:val="bullet"/>
      <w:lvlText w:val=""/>
      <w:lvlJc w:val="left"/>
      <w:pPr>
        <w:ind w:left="6480" w:hanging="360"/>
      </w:pPr>
      <w:rPr>
        <w:rFonts w:ascii="Wingdings" w:hAnsi="Wingdings" w:hint="default"/>
      </w:rPr>
    </w:lvl>
  </w:abstractNum>
  <w:abstractNum w:abstractNumId="9" w15:restartNumberingAfterBreak="0">
    <w:nsid w:val="4BA3030F"/>
    <w:multiLevelType w:val="hybridMultilevel"/>
    <w:tmpl w:val="189EA684"/>
    <w:lvl w:ilvl="0" w:tplc="1B223F82">
      <w:start w:val="1"/>
      <w:numFmt w:val="lowerLetter"/>
      <w:pStyle w:val="Listalpha"/>
      <w:lvlText w:val="%1."/>
      <w:lvlJc w:val="left"/>
      <w:pPr>
        <w:ind w:left="717" w:hanging="360"/>
      </w:pPr>
      <w:rPr>
        <w:rFonts w:ascii="Arial" w:hAnsi="Arial" w:hint="default"/>
        <w:b w:val="0"/>
        <w:i w:val="0"/>
        <w:sz w:val="20"/>
        <w:u w:val="none"/>
      </w:rPr>
    </w:lvl>
    <w:lvl w:ilvl="1" w:tplc="C248E116" w:tentative="1">
      <w:start w:val="1"/>
      <w:numFmt w:val="lowerLetter"/>
      <w:lvlText w:val="%2."/>
      <w:lvlJc w:val="left"/>
      <w:pPr>
        <w:ind w:left="1440" w:hanging="360"/>
      </w:pPr>
    </w:lvl>
    <w:lvl w:ilvl="2" w:tplc="B1CA43CA" w:tentative="1">
      <w:start w:val="1"/>
      <w:numFmt w:val="lowerRoman"/>
      <w:lvlText w:val="%3."/>
      <w:lvlJc w:val="right"/>
      <w:pPr>
        <w:ind w:left="2160" w:hanging="180"/>
      </w:pPr>
    </w:lvl>
    <w:lvl w:ilvl="3" w:tplc="0C2EAB0A" w:tentative="1">
      <w:start w:val="1"/>
      <w:numFmt w:val="decimal"/>
      <w:lvlText w:val="%4."/>
      <w:lvlJc w:val="left"/>
      <w:pPr>
        <w:ind w:left="2880" w:hanging="360"/>
      </w:pPr>
    </w:lvl>
    <w:lvl w:ilvl="4" w:tplc="3B58FD68" w:tentative="1">
      <w:start w:val="1"/>
      <w:numFmt w:val="lowerLetter"/>
      <w:lvlText w:val="%5."/>
      <w:lvlJc w:val="left"/>
      <w:pPr>
        <w:ind w:left="3600" w:hanging="360"/>
      </w:pPr>
    </w:lvl>
    <w:lvl w:ilvl="5" w:tplc="303CDF48" w:tentative="1">
      <w:start w:val="1"/>
      <w:numFmt w:val="lowerRoman"/>
      <w:lvlText w:val="%6."/>
      <w:lvlJc w:val="right"/>
      <w:pPr>
        <w:ind w:left="4320" w:hanging="180"/>
      </w:pPr>
    </w:lvl>
    <w:lvl w:ilvl="6" w:tplc="6F92AE18" w:tentative="1">
      <w:start w:val="1"/>
      <w:numFmt w:val="decimal"/>
      <w:lvlText w:val="%7."/>
      <w:lvlJc w:val="left"/>
      <w:pPr>
        <w:ind w:left="5040" w:hanging="360"/>
      </w:pPr>
    </w:lvl>
    <w:lvl w:ilvl="7" w:tplc="78B6517A" w:tentative="1">
      <w:start w:val="1"/>
      <w:numFmt w:val="lowerLetter"/>
      <w:lvlText w:val="%8."/>
      <w:lvlJc w:val="left"/>
      <w:pPr>
        <w:ind w:left="5760" w:hanging="360"/>
      </w:pPr>
    </w:lvl>
    <w:lvl w:ilvl="8" w:tplc="33F0EA28" w:tentative="1">
      <w:start w:val="1"/>
      <w:numFmt w:val="lowerRoman"/>
      <w:lvlText w:val="%9."/>
      <w:lvlJc w:val="right"/>
      <w:pPr>
        <w:ind w:left="6480" w:hanging="180"/>
      </w:pPr>
    </w:lvl>
  </w:abstractNum>
  <w:abstractNum w:abstractNumId="10" w15:restartNumberingAfterBreak="0">
    <w:nsid w:val="52DF73A0"/>
    <w:multiLevelType w:val="hybridMultilevel"/>
    <w:tmpl w:val="6284CFDC"/>
    <w:lvl w:ilvl="0" w:tplc="BC3E054E">
      <w:start w:val="1"/>
      <w:numFmt w:val="lowerLetter"/>
      <w:pStyle w:val="Tablelistalpha"/>
      <w:lvlText w:val="%1."/>
      <w:lvlJc w:val="left"/>
      <w:pPr>
        <w:ind w:left="717" w:hanging="360"/>
      </w:pPr>
      <w:rPr>
        <w:rFonts w:ascii="Arial" w:hAnsi="Arial" w:hint="default"/>
        <w:b w:val="0"/>
        <w:i w:val="0"/>
        <w:sz w:val="20"/>
        <w:u w:val="none"/>
      </w:rPr>
    </w:lvl>
    <w:lvl w:ilvl="1" w:tplc="04A0A68E" w:tentative="1">
      <w:start w:val="1"/>
      <w:numFmt w:val="lowerLetter"/>
      <w:lvlText w:val="%2."/>
      <w:lvlJc w:val="left"/>
      <w:pPr>
        <w:ind w:left="1440" w:hanging="360"/>
      </w:pPr>
    </w:lvl>
    <w:lvl w:ilvl="2" w:tplc="469065D2" w:tentative="1">
      <w:start w:val="1"/>
      <w:numFmt w:val="lowerRoman"/>
      <w:lvlText w:val="%3."/>
      <w:lvlJc w:val="right"/>
      <w:pPr>
        <w:ind w:left="2160" w:hanging="180"/>
      </w:pPr>
    </w:lvl>
    <w:lvl w:ilvl="3" w:tplc="BC000232" w:tentative="1">
      <w:start w:val="1"/>
      <w:numFmt w:val="decimal"/>
      <w:lvlText w:val="%4."/>
      <w:lvlJc w:val="left"/>
      <w:pPr>
        <w:ind w:left="2880" w:hanging="360"/>
      </w:pPr>
    </w:lvl>
    <w:lvl w:ilvl="4" w:tplc="9724A7F8" w:tentative="1">
      <w:start w:val="1"/>
      <w:numFmt w:val="lowerLetter"/>
      <w:lvlText w:val="%5."/>
      <w:lvlJc w:val="left"/>
      <w:pPr>
        <w:ind w:left="3600" w:hanging="360"/>
      </w:pPr>
    </w:lvl>
    <w:lvl w:ilvl="5" w:tplc="84CE6B0A" w:tentative="1">
      <w:start w:val="1"/>
      <w:numFmt w:val="lowerRoman"/>
      <w:lvlText w:val="%6."/>
      <w:lvlJc w:val="right"/>
      <w:pPr>
        <w:ind w:left="4320" w:hanging="180"/>
      </w:pPr>
    </w:lvl>
    <w:lvl w:ilvl="6" w:tplc="C980D15C" w:tentative="1">
      <w:start w:val="1"/>
      <w:numFmt w:val="decimal"/>
      <w:lvlText w:val="%7."/>
      <w:lvlJc w:val="left"/>
      <w:pPr>
        <w:ind w:left="5040" w:hanging="360"/>
      </w:pPr>
    </w:lvl>
    <w:lvl w:ilvl="7" w:tplc="752EC972" w:tentative="1">
      <w:start w:val="1"/>
      <w:numFmt w:val="lowerLetter"/>
      <w:lvlText w:val="%8."/>
      <w:lvlJc w:val="left"/>
      <w:pPr>
        <w:ind w:left="5760" w:hanging="360"/>
      </w:pPr>
    </w:lvl>
    <w:lvl w:ilvl="8" w:tplc="A4FE2140" w:tentative="1">
      <w:start w:val="1"/>
      <w:numFmt w:val="lowerRoman"/>
      <w:lvlText w:val="%9."/>
      <w:lvlJc w:val="right"/>
      <w:pPr>
        <w:ind w:left="6480" w:hanging="180"/>
      </w:pPr>
    </w:lvl>
  </w:abstractNum>
  <w:abstractNum w:abstractNumId="11" w15:restartNumberingAfterBreak="0">
    <w:nsid w:val="57A816EF"/>
    <w:multiLevelType w:val="hybridMultilevel"/>
    <w:tmpl w:val="2EF00F3E"/>
    <w:lvl w:ilvl="0" w:tplc="F6804A54">
      <w:start w:val="1"/>
      <w:numFmt w:val="decimal"/>
      <w:lvlText w:val="%1."/>
      <w:lvlJc w:val="left"/>
      <w:pPr>
        <w:ind w:left="1211" w:hanging="360"/>
      </w:pPr>
      <w:rPr>
        <w:rFonts w:hint="default"/>
      </w:rPr>
    </w:lvl>
    <w:lvl w:ilvl="1" w:tplc="DADE050E" w:tentative="1">
      <w:start w:val="1"/>
      <w:numFmt w:val="lowerLetter"/>
      <w:lvlText w:val="%2."/>
      <w:lvlJc w:val="left"/>
      <w:pPr>
        <w:ind w:left="1931" w:hanging="360"/>
      </w:pPr>
    </w:lvl>
    <w:lvl w:ilvl="2" w:tplc="3A309E32" w:tentative="1">
      <w:start w:val="1"/>
      <w:numFmt w:val="lowerRoman"/>
      <w:lvlText w:val="%3."/>
      <w:lvlJc w:val="right"/>
      <w:pPr>
        <w:ind w:left="2651" w:hanging="180"/>
      </w:pPr>
    </w:lvl>
    <w:lvl w:ilvl="3" w:tplc="74767690" w:tentative="1">
      <w:start w:val="1"/>
      <w:numFmt w:val="decimal"/>
      <w:lvlText w:val="%4."/>
      <w:lvlJc w:val="left"/>
      <w:pPr>
        <w:ind w:left="3371" w:hanging="360"/>
      </w:pPr>
    </w:lvl>
    <w:lvl w:ilvl="4" w:tplc="1450BDFE" w:tentative="1">
      <w:start w:val="1"/>
      <w:numFmt w:val="lowerLetter"/>
      <w:lvlText w:val="%5."/>
      <w:lvlJc w:val="left"/>
      <w:pPr>
        <w:ind w:left="4091" w:hanging="360"/>
      </w:pPr>
    </w:lvl>
    <w:lvl w:ilvl="5" w:tplc="36329702" w:tentative="1">
      <w:start w:val="1"/>
      <w:numFmt w:val="lowerRoman"/>
      <w:lvlText w:val="%6."/>
      <w:lvlJc w:val="right"/>
      <w:pPr>
        <w:ind w:left="4811" w:hanging="180"/>
      </w:pPr>
    </w:lvl>
    <w:lvl w:ilvl="6" w:tplc="C116E014" w:tentative="1">
      <w:start w:val="1"/>
      <w:numFmt w:val="decimal"/>
      <w:lvlText w:val="%7."/>
      <w:lvlJc w:val="left"/>
      <w:pPr>
        <w:ind w:left="5531" w:hanging="360"/>
      </w:pPr>
    </w:lvl>
    <w:lvl w:ilvl="7" w:tplc="08DC3774" w:tentative="1">
      <w:start w:val="1"/>
      <w:numFmt w:val="lowerLetter"/>
      <w:lvlText w:val="%8."/>
      <w:lvlJc w:val="left"/>
      <w:pPr>
        <w:ind w:left="6251" w:hanging="360"/>
      </w:pPr>
    </w:lvl>
    <w:lvl w:ilvl="8" w:tplc="ADDC7890" w:tentative="1">
      <w:start w:val="1"/>
      <w:numFmt w:val="lowerRoman"/>
      <w:lvlText w:val="%9."/>
      <w:lvlJc w:val="right"/>
      <w:pPr>
        <w:ind w:left="6971" w:hanging="180"/>
      </w:pPr>
    </w:lvl>
  </w:abstractNum>
  <w:abstractNum w:abstractNumId="12" w15:restartNumberingAfterBreak="0">
    <w:nsid w:val="6056211D"/>
    <w:multiLevelType w:val="hybridMultilevel"/>
    <w:tmpl w:val="35961EB4"/>
    <w:lvl w:ilvl="0" w:tplc="651E94DA">
      <w:start w:val="1"/>
      <w:numFmt w:val="decimal"/>
      <w:lvlText w:val="%1."/>
      <w:lvlJc w:val="left"/>
      <w:pPr>
        <w:ind w:left="405" w:hanging="405"/>
      </w:pPr>
      <w:rPr>
        <w:rFonts w:hint="default"/>
      </w:rPr>
    </w:lvl>
    <w:lvl w:ilvl="1" w:tplc="DE3EAFC6" w:tentative="1">
      <w:start w:val="1"/>
      <w:numFmt w:val="lowerLetter"/>
      <w:lvlText w:val="%2."/>
      <w:lvlJc w:val="left"/>
      <w:pPr>
        <w:ind w:left="1080" w:hanging="360"/>
      </w:pPr>
    </w:lvl>
    <w:lvl w:ilvl="2" w:tplc="F184D514" w:tentative="1">
      <w:start w:val="1"/>
      <w:numFmt w:val="lowerRoman"/>
      <w:lvlText w:val="%3."/>
      <w:lvlJc w:val="right"/>
      <w:pPr>
        <w:ind w:left="1800" w:hanging="180"/>
      </w:pPr>
    </w:lvl>
    <w:lvl w:ilvl="3" w:tplc="04B4C610" w:tentative="1">
      <w:start w:val="1"/>
      <w:numFmt w:val="decimal"/>
      <w:lvlText w:val="%4."/>
      <w:lvlJc w:val="left"/>
      <w:pPr>
        <w:ind w:left="2520" w:hanging="360"/>
      </w:pPr>
    </w:lvl>
    <w:lvl w:ilvl="4" w:tplc="04E8B6A0" w:tentative="1">
      <w:start w:val="1"/>
      <w:numFmt w:val="lowerLetter"/>
      <w:lvlText w:val="%5."/>
      <w:lvlJc w:val="left"/>
      <w:pPr>
        <w:ind w:left="3240" w:hanging="360"/>
      </w:pPr>
    </w:lvl>
    <w:lvl w:ilvl="5" w:tplc="C004CAF6" w:tentative="1">
      <w:start w:val="1"/>
      <w:numFmt w:val="lowerRoman"/>
      <w:lvlText w:val="%6."/>
      <w:lvlJc w:val="right"/>
      <w:pPr>
        <w:ind w:left="3960" w:hanging="180"/>
      </w:pPr>
    </w:lvl>
    <w:lvl w:ilvl="6" w:tplc="B82CF43E" w:tentative="1">
      <w:start w:val="1"/>
      <w:numFmt w:val="decimal"/>
      <w:lvlText w:val="%7."/>
      <w:lvlJc w:val="left"/>
      <w:pPr>
        <w:ind w:left="4680" w:hanging="360"/>
      </w:pPr>
    </w:lvl>
    <w:lvl w:ilvl="7" w:tplc="AF3867F8" w:tentative="1">
      <w:start w:val="1"/>
      <w:numFmt w:val="lowerLetter"/>
      <w:lvlText w:val="%8."/>
      <w:lvlJc w:val="left"/>
      <w:pPr>
        <w:ind w:left="5400" w:hanging="360"/>
      </w:pPr>
    </w:lvl>
    <w:lvl w:ilvl="8" w:tplc="35CE7EE0" w:tentative="1">
      <w:start w:val="1"/>
      <w:numFmt w:val="lowerRoman"/>
      <w:lvlText w:val="%9."/>
      <w:lvlJc w:val="right"/>
      <w:pPr>
        <w:ind w:left="6120" w:hanging="180"/>
      </w:pPr>
    </w:lvl>
  </w:abstractNum>
  <w:abstractNum w:abstractNumId="13" w15:restartNumberingAfterBreak="0">
    <w:nsid w:val="64DA388F"/>
    <w:multiLevelType w:val="hybridMultilevel"/>
    <w:tmpl w:val="70D2C936"/>
    <w:lvl w:ilvl="0" w:tplc="52EC9F54">
      <w:start w:val="1"/>
      <w:numFmt w:val="bullet"/>
      <w:pStyle w:val="TableListBullet2"/>
      <w:lvlText w:val="–"/>
      <w:lvlJc w:val="left"/>
      <w:pPr>
        <w:ind w:left="717" w:hanging="360"/>
      </w:pPr>
      <w:rPr>
        <w:rFonts w:ascii="Arial" w:hAnsi="Arial" w:hint="default"/>
        <w:b w:val="0"/>
        <w:i w:val="0"/>
        <w:sz w:val="20"/>
      </w:rPr>
    </w:lvl>
    <w:lvl w:ilvl="1" w:tplc="0122CB52" w:tentative="1">
      <w:start w:val="1"/>
      <w:numFmt w:val="bullet"/>
      <w:lvlText w:val="o"/>
      <w:lvlJc w:val="left"/>
      <w:pPr>
        <w:ind w:left="1724" w:hanging="360"/>
      </w:pPr>
      <w:rPr>
        <w:rFonts w:ascii="Courier New" w:hAnsi="Courier New" w:cs="Courier New" w:hint="default"/>
      </w:rPr>
    </w:lvl>
    <w:lvl w:ilvl="2" w:tplc="C0121B7A" w:tentative="1">
      <w:start w:val="1"/>
      <w:numFmt w:val="bullet"/>
      <w:lvlText w:val=""/>
      <w:lvlJc w:val="left"/>
      <w:pPr>
        <w:ind w:left="2444" w:hanging="360"/>
      </w:pPr>
      <w:rPr>
        <w:rFonts w:ascii="Wingdings" w:hAnsi="Wingdings" w:hint="default"/>
      </w:rPr>
    </w:lvl>
    <w:lvl w:ilvl="3" w:tplc="99805934" w:tentative="1">
      <w:start w:val="1"/>
      <w:numFmt w:val="bullet"/>
      <w:lvlText w:val=""/>
      <w:lvlJc w:val="left"/>
      <w:pPr>
        <w:ind w:left="3164" w:hanging="360"/>
      </w:pPr>
      <w:rPr>
        <w:rFonts w:ascii="Symbol" w:hAnsi="Symbol" w:hint="default"/>
      </w:rPr>
    </w:lvl>
    <w:lvl w:ilvl="4" w:tplc="A9FA6F6C" w:tentative="1">
      <w:start w:val="1"/>
      <w:numFmt w:val="bullet"/>
      <w:lvlText w:val="o"/>
      <w:lvlJc w:val="left"/>
      <w:pPr>
        <w:ind w:left="3884" w:hanging="360"/>
      </w:pPr>
      <w:rPr>
        <w:rFonts w:ascii="Courier New" w:hAnsi="Courier New" w:cs="Courier New" w:hint="default"/>
      </w:rPr>
    </w:lvl>
    <w:lvl w:ilvl="5" w:tplc="133C230A" w:tentative="1">
      <w:start w:val="1"/>
      <w:numFmt w:val="bullet"/>
      <w:lvlText w:val=""/>
      <w:lvlJc w:val="left"/>
      <w:pPr>
        <w:ind w:left="4604" w:hanging="360"/>
      </w:pPr>
      <w:rPr>
        <w:rFonts w:ascii="Wingdings" w:hAnsi="Wingdings" w:hint="default"/>
      </w:rPr>
    </w:lvl>
    <w:lvl w:ilvl="6" w:tplc="87847DE8" w:tentative="1">
      <w:start w:val="1"/>
      <w:numFmt w:val="bullet"/>
      <w:lvlText w:val=""/>
      <w:lvlJc w:val="left"/>
      <w:pPr>
        <w:ind w:left="5324" w:hanging="360"/>
      </w:pPr>
      <w:rPr>
        <w:rFonts w:ascii="Symbol" w:hAnsi="Symbol" w:hint="default"/>
      </w:rPr>
    </w:lvl>
    <w:lvl w:ilvl="7" w:tplc="A836AA4C" w:tentative="1">
      <w:start w:val="1"/>
      <w:numFmt w:val="bullet"/>
      <w:lvlText w:val="o"/>
      <w:lvlJc w:val="left"/>
      <w:pPr>
        <w:ind w:left="6044" w:hanging="360"/>
      </w:pPr>
      <w:rPr>
        <w:rFonts w:ascii="Courier New" w:hAnsi="Courier New" w:cs="Courier New" w:hint="default"/>
      </w:rPr>
    </w:lvl>
    <w:lvl w:ilvl="8" w:tplc="AD84556C" w:tentative="1">
      <w:start w:val="1"/>
      <w:numFmt w:val="bullet"/>
      <w:lvlText w:val=""/>
      <w:lvlJc w:val="left"/>
      <w:pPr>
        <w:ind w:left="6764" w:hanging="360"/>
      </w:pPr>
      <w:rPr>
        <w:rFonts w:ascii="Wingdings" w:hAnsi="Wingdings" w:hint="default"/>
      </w:rPr>
    </w:lvl>
  </w:abstractNum>
  <w:abstractNum w:abstractNumId="14" w15:restartNumberingAfterBreak="0">
    <w:nsid w:val="66FC0E07"/>
    <w:multiLevelType w:val="hybridMultilevel"/>
    <w:tmpl w:val="015C82C4"/>
    <w:lvl w:ilvl="0" w:tplc="5D3429CA">
      <w:start w:val="1"/>
      <w:numFmt w:val="decimal"/>
      <w:pStyle w:val="NoteIndent"/>
      <w:lvlText w:val="%1."/>
      <w:lvlJc w:val="left"/>
      <w:pPr>
        <w:ind w:left="360" w:hanging="360"/>
      </w:pPr>
      <w:rPr>
        <w:rFonts w:ascii="Arial" w:hAnsi="Arial" w:hint="default"/>
        <w:b w:val="0"/>
        <w:i w:val="0"/>
        <w:sz w:val="16"/>
        <w:u w:val="none"/>
      </w:rPr>
    </w:lvl>
    <w:lvl w:ilvl="1" w:tplc="702E0C6A" w:tentative="1">
      <w:start w:val="1"/>
      <w:numFmt w:val="lowerLetter"/>
      <w:lvlText w:val="%2."/>
      <w:lvlJc w:val="left"/>
      <w:pPr>
        <w:ind w:left="2101" w:hanging="360"/>
      </w:pPr>
    </w:lvl>
    <w:lvl w:ilvl="2" w:tplc="C05C1D96" w:tentative="1">
      <w:start w:val="1"/>
      <w:numFmt w:val="lowerRoman"/>
      <w:lvlText w:val="%3."/>
      <w:lvlJc w:val="right"/>
      <w:pPr>
        <w:ind w:left="2821" w:hanging="180"/>
      </w:pPr>
    </w:lvl>
    <w:lvl w:ilvl="3" w:tplc="561285A8" w:tentative="1">
      <w:start w:val="1"/>
      <w:numFmt w:val="decimal"/>
      <w:lvlText w:val="%4."/>
      <w:lvlJc w:val="left"/>
      <w:pPr>
        <w:ind w:left="3541" w:hanging="360"/>
      </w:pPr>
    </w:lvl>
    <w:lvl w:ilvl="4" w:tplc="0854C12E" w:tentative="1">
      <w:start w:val="1"/>
      <w:numFmt w:val="lowerLetter"/>
      <w:lvlText w:val="%5."/>
      <w:lvlJc w:val="left"/>
      <w:pPr>
        <w:ind w:left="4261" w:hanging="360"/>
      </w:pPr>
    </w:lvl>
    <w:lvl w:ilvl="5" w:tplc="7D222314" w:tentative="1">
      <w:start w:val="1"/>
      <w:numFmt w:val="lowerRoman"/>
      <w:lvlText w:val="%6."/>
      <w:lvlJc w:val="right"/>
      <w:pPr>
        <w:ind w:left="4981" w:hanging="180"/>
      </w:pPr>
    </w:lvl>
    <w:lvl w:ilvl="6" w:tplc="2A88F86A" w:tentative="1">
      <w:start w:val="1"/>
      <w:numFmt w:val="decimal"/>
      <w:lvlText w:val="%7."/>
      <w:lvlJc w:val="left"/>
      <w:pPr>
        <w:ind w:left="5701" w:hanging="360"/>
      </w:pPr>
    </w:lvl>
    <w:lvl w:ilvl="7" w:tplc="942CBF02" w:tentative="1">
      <w:start w:val="1"/>
      <w:numFmt w:val="lowerLetter"/>
      <w:lvlText w:val="%8."/>
      <w:lvlJc w:val="left"/>
      <w:pPr>
        <w:ind w:left="6421" w:hanging="360"/>
      </w:pPr>
    </w:lvl>
    <w:lvl w:ilvl="8" w:tplc="50B0DE7C" w:tentative="1">
      <w:start w:val="1"/>
      <w:numFmt w:val="lowerRoman"/>
      <w:lvlText w:val="%9."/>
      <w:lvlJc w:val="right"/>
      <w:pPr>
        <w:ind w:left="7141" w:hanging="180"/>
      </w:pPr>
    </w:lvl>
  </w:abstractNum>
  <w:abstractNum w:abstractNumId="15" w15:restartNumberingAfterBreak="0">
    <w:nsid w:val="67113474"/>
    <w:multiLevelType w:val="hybridMultilevel"/>
    <w:tmpl w:val="C86EBB24"/>
    <w:lvl w:ilvl="0" w:tplc="91CEF9BC">
      <w:start w:val="1"/>
      <w:numFmt w:val="decimal"/>
      <w:lvlText w:val="%1."/>
      <w:lvlJc w:val="left"/>
      <w:pPr>
        <w:ind w:left="765" w:hanging="405"/>
      </w:pPr>
      <w:rPr>
        <w:rFonts w:hint="default"/>
      </w:rPr>
    </w:lvl>
    <w:lvl w:ilvl="1" w:tplc="2B129E6C" w:tentative="1">
      <w:start w:val="1"/>
      <w:numFmt w:val="lowerLetter"/>
      <w:lvlText w:val="%2."/>
      <w:lvlJc w:val="left"/>
      <w:pPr>
        <w:ind w:left="1440" w:hanging="360"/>
      </w:pPr>
    </w:lvl>
    <w:lvl w:ilvl="2" w:tplc="39DE4C72" w:tentative="1">
      <w:start w:val="1"/>
      <w:numFmt w:val="lowerRoman"/>
      <w:lvlText w:val="%3."/>
      <w:lvlJc w:val="right"/>
      <w:pPr>
        <w:ind w:left="2160" w:hanging="180"/>
      </w:pPr>
    </w:lvl>
    <w:lvl w:ilvl="3" w:tplc="0ADA957C" w:tentative="1">
      <w:start w:val="1"/>
      <w:numFmt w:val="decimal"/>
      <w:lvlText w:val="%4."/>
      <w:lvlJc w:val="left"/>
      <w:pPr>
        <w:ind w:left="2880" w:hanging="360"/>
      </w:pPr>
    </w:lvl>
    <w:lvl w:ilvl="4" w:tplc="4482C5D6" w:tentative="1">
      <w:start w:val="1"/>
      <w:numFmt w:val="lowerLetter"/>
      <w:lvlText w:val="%5."/>
      <w:lvlJc w:val="left"/>
      <w:pPr>
        <w:ind w:left="3600" w:hanging="360"/>
      </w:pPr>
    </w:lvl>
    <w:lvl w:ilvl="5" w:tplc="16F8842E" w:tentative="1">
      <w:start w:val="1"/>
      <w:numFmt w:val="lowerRoman"/>
      <w:lvlText w:val="%6."/>
      <w:lvlJc w:val="right"/>
      <w:pPr>
        <w:ind w:left="4320" w:hanging="180"/>
      </w:pPr>
    </w:lvl>
    <w:lvl w:ilvl="6" w:tplc="49C6A05A" w:tentative="1">
      <w:start w:val="1"/>
      <w:numFmt w:val="decimal"/>
      <w:lvlText w:val="%7."/>
      <w:lvlJc w:val="left"/>
      <w:pPr>
        <w:ind w:left="5040" w:hanging="360"/>
      </w:pPr>
    </w:lvl>
    <w:lvl w:ilvl="7" w:tplc="28140F34" w:tentative="1">
      <w:start w:val="1"/>
      <w:numFmt w:val="lowerLetter"/>
      <w:lvlText w:val="%8."/>
      <w:lvlJc w:val="left"/>
      <w:pPr>
        <w:ind w:left="5760" w:hanging="360"/>
      </w:pPr>
    </w:lvl>
    <w:lvl w:ilvl="8" w:tplc="9522AE14" w:tentative="1">
      <w:start w:val="1"/>
      <w:numFmt w:val="lowerRoman"/>
      <w:lvlText w:val="%9."/>
      <w:lvlJc w:val="right"/>
      <w:pPr>
        <w:ind w:left="6480" w:hanging="180"/>
      </w:pPr>
    </w:lvl>
  </w:abstractNum>
  <w:abstractNum w:abstractNumId="16" w15:restartNumberingAfterBreak="0">
    <w:nsid w:val="67905B6F"/>
    <w:multiLevelType w:val="hybridMultilevel"/>
    <w:tmpl w:val="EE70D8EA"/>
    <w:lvl w:ilvl="0" w:tplc="D402D21A">
      <w:start w:val="1"/>
      <w:numFmt w:val="bullet"/>
      <w:lvlText w:val="­"/>
      <w:lvlJc w:val="left"/>
      <w:pPr>
        <w:ind w:left="1800" w:hanging="360"/>
      </w:pPr>
      <w:rPr>
        <w:rFonts w:ascii="Courier New" w:hAnsi="Courier New" w:hint="default"/>
      </w:rPr>
    </w:lvl>
    <w:lvl w:ilvl="1" w:tplc="A672F4A6" w:tentative="1">
      <w:start w:val="1"/>
      <w:numFmt w:val="bullet"/>
      <w:lvlText w:val="o"/>
      <w:lvlJc w:val="left"/>
      <w:pPr>
        <w:ind w:left="2520" w:hanging="360"/>
      </w:pPr>
      <w:rPr>
        <w:rFonts w:ascii="Courier New" w:hAnsi="Courier New" w:cs="Courier New" w:hint="default"/>
      </w:rPr>
    </w:lvl>
    <w:lvl w:ilvl="2" w:tplc="2190DEF4" w:tentative="1">
      <w:start w:val="1"/>
      <w:numFmt w:val="bullet"/>
      <w:lvlText w:val=""/>
      <w:lvlJc w:val="left"/>
      <w:pPr>
        <w:ind w:left="3240" w:hanging="360"/>
      </w:pPr>
      <w:rPr>
        <w:rFonts w:ascii="Wingdings" w:hAnsi="Wingdings" w:hint="default"/>
      </w:rPr>
    </w:lvl>
    <w:lvl w:ilvl="3" w:tplc="D960CD7E" w:tentative="1">
      <w:start w:val="1"/>
      <w:numFmt w:val="bullet"/>
      <w:lvlText w:val=""/>
      <w:lvlJc w:val="left"/>
      <w:pPr>
        <w:ind w:left="3960" w:hanging="360"/>
      </w:pPr>
      <w:rPr>
        <w:rFonts w:ascii="Symbol" w:hAnsi="Symbol" w:hint="default"/>
      </w:rPr>
    </w:lvl>
    <w:lvl w:ilvl="4" w:tplc="0D86406A" w:tentative="1">
      <w:start w:val="1"/>
      <w:numFmt w:val="bullet"/>
      <w:lvlText w:val="o"/>
      <w:lvlJc w:val="left"/>
      <w:pPr>
        <w:ind w:left="4680" w:hanging="360"/>
      </w:pPr>
      <w:rPr>
        <w:rFonts w:ascii="Courier New" w:hAnsi="Courier New" w:cs="Courier New" w:hint="default"/>
      </w:rPr>
    </w:lvl>
    <w:lvl w:ilvl="5" w:tplc="7E7865E4" w:tentative="1">
      <w:start w:val="1"/>
      <w:numFmt w:val="bullet"/>
      <w:lvlText w:val=""/>
      <w:lvlJc w:val="left"/>
      <w:pPr>
        <w:ind w:left="5400" w:hanging="360"/>
      </w:pPr>
      <w:rPr>
        <w:rFonts w:ascii="Wingdings" w:hAnsi="Wingdings" w:hint="default"/>
      </w:rPr>
    </w:lvl>
    <w:lvl w:ilvl="6" w:tplc="6ECC1CF0" w:tentative="1">
      <w:start w:val="1"/>
      <w:numFmt w:val="bullet"/>
      <w:lvlText w:val=""/>
      <w:lvlJc w:val="left"/>
      <w:pPr>
        <w:ind w:left="6120" w:hanging="360"/>
      </w:pPr>
      <w:rPr>
        <w:rFonts w:ascii="Symbol" w:hAnsi="Symbol" w:hint="default"/>
      </w:rPr>
    </w:lvl>
    <w:lvl w:ilvl="7" w:tplc="8572C6CE" w:tentative="1">
      <w:start w:val="1"/>
      <w:numFmt w:val="bullet"/>
      <w:lvlText w:val="o"/>
      <w:lvlJc w:val="left"/>
      <w:pPr>
        <w:ind w:left="6840" w:hanging="360"/>
      </w:pPr>
      <w:rPr>
        <w:rFonts w:ascii="Courier New" w:hAnsi="Courier New" w:cs="Courier New" w:hint="default"/>
      </w:rPr>
    </w:lvl>
    <w:lvl w:ilvl="8" w:tplc="563E2272" w:tentative="1">
      <w:start w:val="1"/>
      <w:numFmt w:val="bullet"/>
      <w:lvlText w:val=""/>
      <w:lvlJc w:val="left"/>
      <w:pPr>
        <w:ind w:left="7560" w:hanging="360"/>
      </w:pPr>
      <w:rPr>
        <w:rFonts w:ascii="Wingdings" w:hAnsi="Wingdings" w:hint="default"/>
      </w:rPr>
    </w:lvl>
  </w:abstractNum>
  <w:abstractNum w:abstractNumId="17" w15:restartNumberingAfterBreak="0">
    <w:nsid w:val="70357C79"/>
    <w:multiLevelType w:val="hybridMultilevel"/>
    <w:tmpl w:val="860CE49A"/>
    <w:lvl w:ilvl="0" w:tplc="4F8AE134">
      <w:start w:val="1"/>
      <w:numFmt w:val="decimal"/>
      <w:pStyle w:val="SourceIndent"/>
      <w:lvlText w:val="%1."/>
      <w:lvlJc w:val="left"/>
      <w:pPr>
        <w:ind w:left="360" w:hanging="360"/>
      </w:pPr>
      <w:rPr>
        <w:rFonts w:ascii="Arial" w:hAnsi="Arial" w:hint="default"/>
        <w:b w:val="0"/>
        <w:i w:val="0"/>
        <w:sz w:val="12"/>
        <w:u w:val="none"/>
      </w:rPr>
    </w:lvl>
    <w:lvl w:ilvl="1" w:tplc="3BFC9338" w:tentative="1">
      <w:start w:val="1"/>
      <w:numFmt w:val="lowerLetter"/>
      <w:lvlText w:val="%2."/>
      <w:lvlJc w:val="left"/>
      <w:pPr>
        <w:ind w:left="1440" w:hanging="360"/>
      </w:pPr>
    </w:lvl>
    <w:lvl w:ilvl="2" w:tplc="33A479BC" w:tentative="1">
      <w:start w:val="1"/>
      <w:numFmt w:val="lowerRoman"/>
      <w:lvlText w:val="%3."/>
      <w:lvlJc w:val="right"/>
      <w:pPr>
        <w:ind w:left="2160" w:hanging="180"/>
      </w:pPr>
    </w:lvl>
    <w:lvl w:ilvl="3" w:tplc="9456215C" w:tentative="1">
      <w:start w:val="1"/>
      <w:numFmt w:val="decimal"/>
      <w:lvlText w:val="%4."/>
      <w:lvlJc w:val="left"/>
      <w:pPr>
        <w:ind w:left="2880" w:hanging="360"/>
      </w:pPr>
    </w:lvl>
    <w:lvl w:ilvl="4" w:tplc="31CA671E" w:tentative="1">
      <w:start w:val="1"/>
      <w:numFmt w:val="lowerLetter"/>
      <w:lvlText w:val="%5."/>
      <w:lvlJc w:val="left"/>
      <w:pPr>
        <w:ind w:left="3600" w:hanging="360"/>
      </w:pPr>
    </w:lvl>
    <w:lvl w:ilvl="5" w:tplc="7D06DCEE" w:tentative="1">
      <w:start w:val="1"/>
      <w:numFmt w:val="lowerRoman"/>
      <w:lvlText w:val="%6."/>
      <w:lvlJc w:val="right"/>
      <w:pPr>
        <w:ind w:left="4320" w:hanging="180"/>
      </w:pPr>
    </w:lvl>
    <w:lvl w:ilvl="6" w:tplc="202CAABA" w:tentative="1">
      <w:start w:val="1"/>
      <w:numFmt w:val="decimal"/>
      <w:lvlText w:val="%7."/>
      <w:lvlJc w:val="left"/>
      <w:pPr>
        <w:ind w:left="5040" w:hanging="360"/>
      </w:pPr>
    </w:lvl>
    <w:lvl w:ilvl="7" w:tplc="3948EE20" w:tentative="1">
      <w:start w:val="1"/>
      <w:numFmt w:val="lowerLetter"/>
      <w:lvlText w:val="%8."/>
      <w:lvlJc w:val="left"/>
      <w:pPr>
        <w:ind w:left="5760" w:hanging="360"/>
      </w:pPr>
    </w:lvl>
    <w:lvl w:ilvl="8" w:tplc="076CF8CE" w:tentative="1">
      <w:start w:val="1"/>
      <w:numFmt w:val="lowerRoman"/>
      <w:lvlText w:val="%9."/>
      <w:lvlJc w:val="right"/>
      <w:pPr>
        <w:ind w:left="6480" w:hanging="180"/>
      </w:pPr>
    </w:lvl>
  </w:abstractNum>
  <w:abstractNum w:abstractNumId="18" w15:restartNumberingAfterBreak="0">
    <w:nsid w:val="76AA261B"/>
    <w:multiLevelType w:val="hybridMultilevel"/>
    <w:tmpl w:val="32289EF2"/>
    <w:lvl w:ilvl="0" w:tplc="C6E83110">
      <w:start w:val="1"/>
      <w:numFmt w:val="bullet"/>
      <w:lvlText w:val=""/>
      <w:lvlJc w:val="left"/>
      <w:pPr>
        <w:ind w:left="720" w:hanging="360"/>
      </w:pPr>
      <w:rPr>
        <w:rFonts w:ascii="Symbol" w:hAnsi="Symbol" w:hint="default"/>
      </w:rPr>
    </w:lvl>
    <w:lvl w:ilvl="1" w:tplc="88907C8E" w:tentative="1">
      <w:start w:val="1"/>
      <w:numFmt w:val="bullet"/>
      <w:lvlText w:val="o"/>
      <w:lvlJc w:val="left"/>
      <w:pPr>
        <w:ind w:left="1440" w:hanging="360"/>
      </w:pPr>
      <w:rPr>
        <w:rFonts w:ascii="Courier New" w:hAnsi="Courier New" w:cs="Courier New" w:hint="default"/>
      </w:rPr>
    </w:lvl>
    <w:lvl w:ilvl="2" w:tplc="B4DE60DA" w:tentative="1">
      <w:start w:val="1"/>
      <w:numFmt w:val="bullet"/>
      <w:lvlText w:val=""/>
      <w:lvlJc w:val="left"/>
      <w:pPr>
        <w:ind w:left="2160" w:hanging="360"/>
      </w:pPr>
      <w:rPr>
        <w:rFonts w:ascii="Wingdings" w:hAnsi="Wingdings" w:hint="default"/>
      </w:rPr>
    </w:lvl>
    <w:lvl w:ilvl="3" w:tplc="E680547C" w:tentative="1">
      <w:start w:val="1"/>
      <w:numFmt w:val="bullet"/>
      <w:lvlText w:val=""/>
      <w:lvlJc w:val="left"/>
      <w:pPr>
        <w:ind w:left="2880" w:hanging="360"/>
      </w:pPr>
      <w:rPr>
        <w:rFonts w:ascii="Symbol" w:hAnsi="Symbol" w:hint="default"/>
      </w:rPr>
    </w:lvl>
    <w:lvl w:ilvl="4" w:tplc="69B4B5F2" w:tentative="1">
      <w:start w:val="1"/>
      <w:numFmt w:val="bullet"/>
      <w:lvlText w:val="o"/>
      <w:lvlJc w:val="left"/>
      <w:pPr>
        <w:ind w:left="3600" w:hanging="360"/>
      </w:pPr>
      <w:rPr>
        <w:rFonts w:ascii="Courier New" w:hAnsi="Courier New" w:cs="Courier New" w:hint="default"/>
      </w:rPr>
    </w:lvl>
    <w:lvl w:ilvl="5" w:tplc="AF0AAD66" w:tentative="1">
      <w:start w:val="1"/>
      <w:numFmt w:val="bullet"/>
      <w:lvlText w:val=""/>
      <w:lvlJc w:val="left"/>
      <w:pPr>
        <w:ind w:left="4320" w:hanging="360"/>
      </w:pPr>
      <w:rPr>
        <w:rFonts w:ascii="Wingdings" w:hAnsi="Wingdings" w:hint="default"/>
      </w:rPr>
    </w:lvl>
    <w:lvl w:ilvl="6" w:tplc="ABEAD1D0" w:tentative="1">
      <w:start w:val="1"/>
      <w:numFmt w:val="bullet"/>
      <w:lvlText w:val=""/>
      <w:lvlJc w:val="left"/>
      <w:pPr>
        <w:ind w:left="5040" w:hanging="360"/>
      </w:pPr>
      <w:rPr>
        <w:rFonts w:ascii="Symbol" w:hAnsi="Symbol" w:hint="default"/>
      </w:rPr>
    </w:lvl>
    <w:lvl w:ilvl="7" w:tplc="9EC450CC" w:tentative="1">
      <w:start w:val="1"/>
      <w:numFmt w:val="bullet"/>
      <w:lvlText w:val="o"/>
      <w:lvlJc w:val="left"/>
      <w:pPr>
        <w:ind w:left="5760" w:hanging="360"/>
      </w:pPr>
      <w:rPr>
        <w:rFonts w:ascii="Courier New" w:hAnsi="Courier New" w:cs="Courier New" w:hint="default"/>
      </w:rPr>
    </w:lvl>
    <w:lvl w:ilvl="8" w:tplc="29808A3A" w:tentative="1">
      <w:start w:val="1"/>
      <w:numFmt w:val="bullet"/>
      <w:lvlText w:val=""/>
      <w:lvlJc w:val="left"/>
      <w:pPr>
        <w:ind w:left="6480" w:hanging="360"/>
      </w:pPr>
      <w:rPr>
        <w:rFonts w:ascii="Wingdings" w:hAnsi="Wingdings" w:hint="default"/>
      </w:rPr>
    </w:lvl>
  </w:abstractNum>
  <w:abstractNum w:abstractNumId="19" w15:restartNumberingAfterBreak="0">
    <w:nsid w:val="78F82611"/>
    <w:multiLevelType w:val="hybridMultilevel"/>
    <w:tmpl w:val="99B07498"/>
    <w:lvl w:ilvl="0" w:tplc="2F4E4F84">
      <w:start w:val="1"/>
      <w:numFmt w:val="bullet"/>
      <w:lvlText w:val="­"/>
      <w:lvlJc w:val="left"/>
      <w:pPr>
        <w:ind w:left="1080" w:hanging="360"/>
      </w:pPr>
      <w:rPr>
        <w:rFonts w:ascii="Courier New" w:hAnsi="Courier New" w:cs="Times New Roman" w:hint="default"/>
      </w:rPr>
    </w:lvl>
    <w:lvl w:ilvl="1" w:tplc="E0F244F6">
      <w:start w:val="1"/>
      <w:numFmt w:val="bullet"/>
      <w:lvlText w:val="o"/>
      <w:lvlJc w:val="left"/>
      <w:pPr>
        <w:ind w:left="1800" w:hanging="360"/>
      </w:pPr>
      <w:rPr>
        <w:rFonts w:ascii="Courier New" w:hAnsi="Courier New" w:cs="Courier New" w:hint="default"/>
      </w:rPr>
    </w:lvl>
    <w:lvl w:ilvl="2" w:tplc="091E28EE">
      <w:start w:val="1"/>
      <w:numFmt w:val="bullet"/>
      <w:lvlText w:val=""/>
      <w:lvlJc w:val="left"/>
      <w:pPr>
        <w:ind w:left="2520" w:hanging="360"/>
      </w:pPr>
      <w:rPr>
        <w:rFonts w:ascii="Wingdings" w:hAnsi="Wingdings" w:hint="default"/>
      </w:rPr>
    </w:lvl>
    <w:lvl w:ilvl="3" w:tplc="9056A5E2">
      <w:start w:val="1"/>
      <w:numFmt w:val="bullet"/>
      <w:lvlText w:val=""/>
      <w:lvlJc w:val="left"/>
      <w:pPr>
        <w:ind w:left="3240" w:hanging="360"/>
      </w:pPr>
      <w:rPr>
        <w:rFonts w:ascii="Symbol" w:hAnsi="Symbol" w:hint="default"/>
      </w:rPr>
    </w:lvl>
    <w:lvl w:ilvl="4" w:tplc="751C47D8">
      <w:start w:val="1"/>
      <w:numFmt w:val="bullet"/>
      <w:lvlText w:val="o"/>
      <w:lvlJc w:val="left"/>
      <w:pPr>
        <w:ind w:left="3960" w:hanging="360"/>
      </w:pPr>
      <w:rPr>
        <w:rFonts w:ascii="Courier New" w:hAnsi="Courier New" w:cs="Courier New" w:hint="default"/>
      </w:rPr>
    </w:lvl>
    <w:lvl w:ilvl="5" w:tplc="78C6A032">
      <w:start w:val="1"/>
      <w:numFmt w:val="bullet"/>
      <w:lvlText w:val=""/>
      <w:lvlJc w:val="left"/>
      <w:pPr>
        <w:ind w:left="4680" w:hanging="360"/>
      </w:pPr>
      <w:rPr>
        <w:rFonts w:ascii="Wingdings" w:hAnsi="Wingdings" w:hint="default"/>
      </w:rPr>
    </w:lvl>
    <w:lvl w:ilvl="6" w:tplc="42FE8DD8">
      <w:start w:val="1"/>
      <w:numFmt w:val="bullet"/>
      <w:lvlText w:val=""/>
      <w:lvlJc w:val="left"/>
      <w:pPr>
        <w:ind w:left="5400" w:hanging="360"/>
      </w:pPr>
      <w:rPr>
        <w:rFonts w:ascii="Symbol" w:hAnsi="Symbol" w:hint="default"/>
      </w:rPr>
    </w:lvl>
    <w:lvl w:ilvl="7" w:tplc="0DE67F4A">
      <w:start w:val="1"/>
      <w:numFmt w:val="bullet"/>
      <w:lvlText w:val="o"/>
      <w:lvlJc w:val="left"/>
      <w:pPr>
        <w:ind w:left="6120" w:hanging="360"/>
      </w:pPr>
      <w:rPr>
        <w:rFonts w:ascii="Courier New" w:hAnsi="Courier New" w:cs="Courier New" w:hint="default"/>
      </w:rPr>
    </w:lvl>
    <w:lvl w:ilvl="8" w:tplc="E03CD8E6">
      <w:start w:val="1"/>
      <w:numFmt w:val="bullet"/>
      <w:lvlText w:val=""/>
      <w:lvlJc w:val="left"/>
      <w:pPr>
        <w:ind w:left="6840" w:hanging="360"/>
      </w:pPr>
      <w:rPr>
        <w:rFonts w:ascii="Wingdings" w:hAnsi="Wingdings" w:hint="default"/>
      </w:rPr>
    </w:lvl>
  </w:abstractNum>
  <w:abstractNum w:abstractNumId="20" w15:restartNumberingAfterBreak="0">
    <w:nsid w:val="7E91501E"/>
    <w:multiLevelType w:val="hybridMultilevel"/>
    <w:tmpl w:val="A00ED9CC"/>
    <w:lvl w:ilvl="0" w:tplc="4FF84ABE">
      <w:start w:val="1"/>
      <w:numFmt w:val="bullet"/>
      <w:lvlText w:val=""/>
      <w:lvlJc w:val="left"/>
      <w:pPr>
        <w:ind w:left="720" w:hanging="360"/>
      </w:pPr>
      <w:rPr>
        <w:rFonts w:ascii="Symbol" w:hAnsi="Symbol" w:hint="default"/>
        <w:sz w:val="20"/>
        <w:szCs w:val="20"/>
      </w:rPr>
    </w:lvl>
    <w:lvl w:ilvl="1" w:tplc="C6A8B74E">
      <w:start w:val="1"/>
      <w:numFmt w:val="bullet"/>
      <w:lvlText w:val="­"/>
      <w:lvlJc w:val="left"/>
      <w:pPr>
        <w:ind w:left="1440" w:hanging="360"/>
      </w:pPr>
      <w:rPr>
        <w:rFonts w:ascii="Courier New" w:hAnsi="Courier New" w:hint="default"/>
      </w:rPr>
    </w:lvl>
    <w:lvl w:ilvl="2" w:tplc="BB264C20" w:tentative="1">
      <w:start w:val="1"/>
      <w:numFmt w:val="bullet"/>
      <w:lvlText w:val=""/>
      <w:lvlJc w:val="left"/>
      <w:pPr>
        <w:ind w:left="2160" w:hanging="360"/>
      </w:pPr>
      <w:rPr>
        <w:rFonts w:ascii="Wingdings" w:hAnsi="Wingdings" w:hint="default"/>
      </w:rPr>
    </w:lvl>
    <w:lvl w:ilvl="3" w:tplc="C3D42C06" w:tentative="1">
      <w:start w:val="1"/>
      <w:numFmt w:val="bullet"/>
      <w:lvlText w:val=""/>
      <w:lvlJc w:val="left"/>
      <w:pPr>
        <w:ind w:left="2880" w:hanging="360"/>
      </w:pPr>
      <w:rPr>
        <w:rFonts w:ascii="Symbol" w:hAnsi="Symbol" w:hint="default"/>
      </w:rPr>
    </w:lvl>
    <w:lvl w:ilvl="4" w:tplc="5498A7D4" w:tentative="1">
      <w:start w:val="1"/>
      <w:numFmt w:val="bullet"/>
      <w:lvlText w:val="o"/>
      <w:lvlJc w:val="left"/>
      <w:pPr>
        <w:ind w:left="3600" w:hanging="360"/>
      </w:pPr>
      <w:rPr>
        <w:rFonts w:ascii="Courier New" w:hAnsi="Courier New" w:cs="Courier New" w:hint="default"/>
      </w:rPr>
    </w:lvl>
    <w:lvl w:ilvl="5" w:tplc="DADE32A2" w:tentative="1">
      <w:start w:val="1"/>
      <w:numFmt w:val="bullet"/>
      <w:lvlText w:val=""/>
      <w:lvlJc w:val="left"/>
      <w:pPr>
        <w:ind w:left="4320" w:hanging="360"/>
      </w:pPr>
      <w:rPr>
        <w:rFonts w:ascii="Wingdings" w:hAnsi="Wingdings" w:hint="default"/>
      </w:rPr>
    </w:lvl>
    <w:lvl w:ilvl="6" w:tplc="F7EE2E12" w:tentative="1">
      <w:start w:val="1"/>
      <w:numFmt w:val="bullet"/>
      <w:lvlText w:val=""/>
      <w:lvlJc w:val="left"/>
      <w:pPr>
        <w:ind w:left="5040" w:hanging="360"/>
      </w:pPr>
      <w:rPr>
        <w:rFonts w:ascii="Symbol" w:hAnsi="Symbol" w:hint="default"/>
      </w:rPr>
    </w:lvl>
    <w:lvl w:ilvl="7" w:tplc="BB74D3F6" w:tentative="1">
      <w:start w:val="1"/>
      <w:numFmt w:val="bullet"/>
      <w:lvlText w:val="o"/>
      <w:lvlJc w:val="left"/>
      <w:pPr>
        <w:ind w:left="5760" w:hanging="360"/>
      </w:pPr>
      <w:rPr>
        <w:rFonts w:ascii="Courier New" w:hAnsi="Courier New" w:cs="Courier New" w:hint="default"/>
      </w:rPr>
    </w:lvl>
    <w:lvl w:ilvl="8" w:tplc="00C28C4A"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13"/>
  </w:num>
  <w:num w:numId="5">
    <w:abstractNumId w:val="6"/>
  </w:num>
  <w:num w:numId="6">
    <w:abstractNumId w:val="3"/>
  </w:num>
  <w:num w:numId="7">
    <w:abstractNumId w:val="17"/>
  </w:num>
  <w:num w:numId="8">
    <w:abstractNumId w:val="14"/>
  </w:num>
  <w:num w:numId="9">
    <w:abstractNumId w:val="5"/>
  </w:num>
  <w:num w:numId="10">
    <w:abstractNumId w:val="9"/>
  </w:num>
  <w:num w:numId="11">
    <w:abstractNumId w:val="10"/>
  </w:num>
  <w:num w:numId="12">
    <w:abstractNumId w:val="0"/>
  </w:num>
  <w:num w:numId="13">
    <w:abstractNumId w:val="19"/>
  </w:num>
  <w:num w:numId="14">
    <w:abstractNumId w:val="18"/>
  </w:num>
  <w:num w:numId="15">
    <w:abstractNumId w:val="7"/>
  </w:num>
  <w:num w:numId="16">
    <w:abstractNumId w:val="20"/>
  </w:num>
  <w:num w:numId="17">
    <w:abstractNumId w:val="16"/>
  </w:num>
  <w:num w:numId="18">
    <w:abstractNumId w:val="6"/>
  </w:num>
  <w:num w:numId="19">
    <w:abstractNumId w:val="6"/>
  </w:num>
  <w:num w:numId="20">
    <w:abstractNumId w:val="6"/>
  </w:num>
  <w:num w:numId="21">
    <w:abstractNumId w:val="11"/>
  </w:num>
  <w:num w:numId="22">
    <w:abstractNumId w:val="6"/>
  </w:num>
  <w:num w:numId="23">
    <w:abstractNumId w:val="8"/>
  </w:num>
  <w:num w:numId="24">
    <w:abstractNumId w:val="15"/>
  </w:num>
  <w:num w:numId="2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401" w:allStyles="1" w:customStyles="0" w:latentStyles="0" w:stylesInUse="0" w:headingStyles="0" w:numberingStyles="0" w:tableStyles="0" w:directFormattingOnRuns="0" w:directFormattingOnParagraphs="0"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2EB"/>
    <w:rsid w:val="000000D7"/>
    <w:rsid w:val="000007C0"/>
    <w:rsid w:val="00001D95"/>
    <w:rsid w:val="000028D1"/>
    <w:rsid w:val="0000401D"/>
    <w:rsid w:val="00004AB8"/>
    <w:rsid w:val="000070FB"/>
    <w:rsid w:val="00007613"/>
    <w:rsid w:val="000103C8"/>
    <w:rsid w:val="0001327F"/>
    <w:rsid w:val="00013B66"/>
    <w:rsid w:val="0001415C"/>
    <w:rsid w:val="00015D17"/>
    <w:rsid w:val="00017CD1"/>
    <w:rsid w:val="00017D62"/>
    <w:rsid w:val="00017F81"/>
    <w:rsid w:val="000200B5"/>
    <w:rsid w:val="00020258"/>
    <w:rsid w:val="00020DB7"/>
    <w:rsid w:val="00021CAA"/>
    <w:rsid w:val="00022408"/>
    <w:rsid w:val="000240E3"/>
    <w:rsid w:val="000243C6"/>
    <w:rsid w:val="00025D17"/>
    <w:rsid w:val="00027982"/>
    <w:rsid w:val="000304D7"/>
    <w:rsid w:val="00031EDB"/>
    <w:rsid w:val="000322FD"/>
    <w:rsid w:val="00032E17"/>
    <w:rsid w:val="00033FEA"/>
    <w:rsid w:val="000363AB"/>
    <w:rsid w:val="00036987"/>
    <w:rsid w:val="00040E16"/>
    <w:rsid w:val="00043D04"/>
    <w:rsid w:val="00044EA3"/>
    <w:rsid w:val="00045DC2"/>
    <w:rsid w:val="00046970"/>
    <w:rsid w:val="00050AE2"/>
    <w:rsid w:val="00051C81"/>
    <w:rsid w:val="00053FEE"/>
    <w:rsid w:val="00055C3A"/>
    <w:rsid w:val="0005714D"/>
    <w:rsid w:val="0006290B"/>
    <w:rsid w:val="00067D69"/>
    <w:rsid w:val="00070065"/>
    <w:rsid w:val="00070F7A"/>
    <w:rsid w:val="0007264E"/>
    <w:rsid w:val="00072B87"/>
    <w:rsid w:val="0007321D"/>
    <w:rsid w:val="00073D6B"/>
    <w:rsid w:val="00077D5D"/>
    <w:rsid w:val="0008038E"/>
    <w:rsid w:val="0008053D"/>
    <w:rsid w:val="00080C9D"/>
    <w:rsid w:val="0008161F"/>
    <w:rsid w:val="00083591"/>
    <w:rsid w:val="00083CD3"/>
    <w:rsid w:val="00084839"/>
    <w:rsid w:val="000860EE"/>
    <w:rsid w:val="00090409"/>
    <w:rsid w:val="00090B6E"/>
    <w:rsid w:val="00091B16"/>
    <w:rsid w:val="00091C35"/>
    <w:rsid w:val="0009275F"/>
    <w:rsid w:val="0009706E"/>
    <w:rsid w:val="000A014D"/>
    <w:rsid w:val="000A0658"/>
    <w:rsid w:val="000A072B"/>
    <w:rsid w:val="000A3183"/>
    <w:rsid w:val="000A3611"/>
    <w:rsid w:val="000A38CF"/>
    <w:rsid w:val="000A6751"/>
    <w:rsid w:val="000A7B16"/>
    <w:rsid w:val="000B0C2B"/>
    <w:rsid w:val="000B14A6"/>
    <w:rsid w:val="000B16E0"/>
    <w:rsid w:val="000B19EF"/>
    <w:rsid w:val="000B2340"/>
    <w:rsid w:val="000B2AA9"/>
    <w:rsid w:val="000B32EB"/>
    <w:rsid w:val="000B674E"/>
    <w:rsid w:val="000C0541"/>
    <w:rsid w:val="000C0C8F"/>
    <w:rsid w:val="000C23E7"/>
    <w:rsid w:val="000C2FD1"/>
    <w:rsid w:val="000C3789"/>
    <w:rsid w:val="000C3EFE"/>
    <w:rsid w:val="000C4E34"/>
    <w:rsid w:val="000C5C3F"/>
    <w:rsid w:val="000C6773"/>
    <w:rsid w:val="000C7922"/>
    <w:rsid w:val="000C7EF7"/>
    <w:rsid w:val="000D0C33"/>
    <w:rsid w:val="000D1008"/>
    <w:rsid w:val="000D1576"/>
    <w:rsid w:val="000D16F5"/>
    <w:rsid w:val="000D18A2"/>
    <w:rsid w:val="000D263E"/>
    <w:rsid w:val="000D27A4"/>
    <w:rsid w:val="000D3BBD"/>
    <w:rsid w:val="000D48DE"/>
    <w:rsid w:val="000D4A28"/>
    <w:rsid w:val="000D56AF"/>
    <w:rsid w:val="000D7EDD"/>
    <w:rsid w:val="000E07ED"/>
    <w:rsid w:val="000E18B6"/>
    <w:rsid w:val="000E2924"/>
    <w:rsid w:val="000E3E98"/>
    <w:rsid w:val="000E4108"/>
    <w:rsid w:val="000E72DD"/>
    <w:rsid w:val="000F0553"/>
    <w:rsid w:val="000F1676"/>
    <w:rsid w:val="000F30BB"/>
    <w:rsid w:val="000F4581"/>
    <w:rsid w:val="000F6C88"/>
    <w:rsid w:val="000F76F5"/>
    <w:rsid w:val="000F7998"/>
    <w:rsid w:val="000F7CDC"/>
    <w:rsid w:val="00100726"/>
    <w:rsid w:val="00101CE1"/>
    <w:rsid w:val="00102660"/>
    <w:rsid w:val="0010379B"/>
    <w:rsid w:val="00103A1A"/>
    <w:rsid w:val="00104D90"/>
    <w:rsid w:val="00106523"/>
    <w:rsid w:val="001100C4"/>
    <w:rsid w:val="001109FF"/>
    <w:rsid w:val="00111377"/>
    <w:rsid w:val="001120CA"/>
    <w:rsid w:val="0011488B"/>
    <w:rsid w:val="00115043"/>
    <w:rsid w:val="001151B0"/>
    <w:rsid w:val="00116623"/>
    <w:rsid w:val="00121195"/>
    <w:rsid w:val="0012130D"/>
    <w:rsid w:val="001239BE"/>
    <w:rsid w:val="00124034"/>
    <w:rsid w:val="00125866"/>
    <w:rsid w:val="00127474"/>
    <w:rsid w:val="0013150F"/>
    <w:rsid w:val="001316E2"/>
    <w:rsid w:val="00131C22"/>
    <w:rsid w:val="00134E78"/>
    <w:rsid w:val="001367F2"/>
    <w:rsid w:val="0013727C"/>
    <w:rsid w:val="00137F7B"/>
    <w:rsid w:val="00140CC1"/>
    <w:rsid w:val="00142B8F"/>
    <w:rsid w:val="001459C0"/>
    <w:rsid w:val="00147F76"/>
    <w:rsid w:val="00153534"/>
    <w:rsid w:val="0015399A"/>
    <w:rsid w:val="001539DC"/>
    <w:rsid w:val="00153BB5"/>
    <w:rsid w:val="00154295"/>
    <w:rsid w:val="001548E7"/>
    <w:rsid w:val="001562AE"/>
    <w:rsid w:val="00157FAD"/>
    <w:rsid w:val="00161D82"/>
    <w:rsid w:val="00162D1A"/>
    <w:rsid w:val="001650E4"/>
    <w:rsid w:val="0016532A"/>
    <w:rsid w:val="0016690E"/>
    <w:rsid w:val="00166D6D"/>
    <w:rsid w:val="0016729E"/>
    <w:rsid w:val="00167564"/>
    <w:rsid w:val="0017030D"/>
    <w:rsid w:val="001724CC"/>
    <w:rsid w:val="00172D32"/>
    <w:rsid w:val="00172EDA"/>
    <w:rsid w:val="00173EC4"/>
    <w:rsid w:val="00175AF1"/>
    <w:rsid w:val="00177CB5"/>
    <w:rsid w:val="00181590"/>
    <w:rsid w:val="0018217D"/>
    <w:rsid w:val="00183F72"/>
    <w:rsid w:val="00184BCE"/>
    <w:rsid w:val="001852FF"/>
    <w:rsid w:val="0018617B"/>
    <w:rsid w:val="001870A2"/>
    <w:rsid w:val="0019000F"/>
    <w:rsid w:val="00190A94"/>
    <w:rsid w:val="00194427"/>
    <w:rsid w:val="00195B5B"/>
    <w:rsid w:val="001968BD"/>
    <w:rsid w:val="001976D8"/>
    <w:rsid w:val="001979AE"/>
    <w:rsid w:val="001A053B"/>
    <w:rsid w:val="001A3336"/>
    <w:rsid w:val="001A41B2"/>
    <w:rsid w:val="001A46BA"/>
    <w:rsid w:val="001A4D16"/>
    <w:rsid w:val="001A785C"/>
    <w:rsid w:val="001A7FD8"/>
    <w:rsid w:val="001B197E"/>
    <w:rsid w:val="001B1FD4"/>
    <w:rsid w:val="001B3014"/>
    <w:rsid w:val="001B335A"/>
    <w:rsid w:val="001B3480"/>
    <w:rsid w:val="001B3652"/>
    <w:rsid w:val="001B43B2"/>
    <w:rsid w:val="001B506F"/>
    <w:rsid w:val="001B6C5A"/>
    <w:rsid w:val="001B7B5F"/>
    <w:rsid w:val="001C1650"/>
    <w:rsid w:val="001C24E6"/>
    <w:rsid w:val="001C3106"/>
    <w:rsid w:val="001C4BEA"/>
    <w:rsid w:val="001C57ED"/>
    <w:rsid w:val="001C5CFA"/>
    <w:rsid w:val="001C5F74"/>
    <w:rsid w:val="001C640E"/>
    <w:rsid w:val="001C644C"/>
    <w:rsid w:val="001C741C"/>
    <w:rsid w:val="001C74E5"/>
    <w:rsid w:val="001C7F2E"/>
    <w:rsid w:val="001D03FE"/>
    <w:rsid w:val="001D06A8"/>
    <w:rsid w:val="001D1AA6"/>
    <w:rsid w:val="001D4009"/>
    <w:rsid w:val="001D47EB"/>
    <w:rsid w:val="001D6E0F"/>
    <w:rsid w:val="001D76EE"/>
    <w:rsid w:val="001D785D"/>
    <w:rsid w:val="001E2332"/>
    <w:rsid w:val="001E296F"/>
    <w:rsid w:val="001E302B"/>
    <w:rsid w:val="001E32B2"/>
    <w:rsid w:val="001E5E82"/>
    <w:rsid w:val="001E6087"/>
    <w:rsid w:val="001E704B"/>
    <w:rsid w:val="001E7600"/>
    <w:rsid w:val="001F03BD"/>
    <w:rsid w:val="001F14E6"/>
    <w:rsid w:val="001F43A6"/>
    <w:rsid w:val="001F491A"/>
    <w:rsid w:val="001F514F"/>
    <w:rsid w:val="001F5177"/>
    <w:rsid w:val="001F5C73"/>
    <w:rsid w:val="001F7972"/>
    <w:rsid w:val="002002AE"/>
    <w:rsid w:val="002013D0"/>
    <w:rsid w:val="00201E5E"/>
    <w:rsid w:val="00202605"/>
    <w:rsid w:val="0020278D"/>
    <w:rsid w:val="0020311A"/>
    <w:rsid w:val="002033EE"/>
    <w:rsid w:val="002034A6"/>
    <w:rsid w:val="00203FC1"/>
    <w:rsid w:val="00204AEE"/>
    <w:rsid w:val="00204B37"/>
    <w:rsid w:val="00206B95"/>
    <w:rsid w:val="00210BB3"/>
    <w:rsid w:val="00211B44"/>
    <w:rsid w:val="0021242D"/>
    <w:rsid w:val="002130F1"/>
    <w:rsid w:val="002132B2"/>
    <w:rsid w:val="00213773"/>
    <w:rsid w:val="002137C7"/>
    <w:rsid w:val="00216458"/>
    <w:rsid w:val="00217666"/>
    <w:rsid w:val="002213C2"/>
    <w:rsid w:val="002221E3"/>
    <w:rsid w:val="002227C3"/>
    <w:rsid w:val="00223208"/>
    <w:rsid w:val="002252D5"/>
    <w:rsid w:val="00225D66"/>
    <w:rsid w:val="002306A2"/>
    <w:rsid w:val="00230CC5"/>
    <w:rsid w:val="00230EC6"/>
    <w:rsid w:val="00231045"/>
    <w:rsid w:val="00231767"/>
    <w:rsid w:val="00231839"/>
    <w:rsid w:val="00232785"/>
    <w:rsid w:val="00232CA6"/>
    <w:rsid w:val="0023328F"/>
    <w:rsid w:val="00233CBF"/>
    <w:rsid w:val="0023458C"/>
    <w:rsid w:val="002345BE"/>
    <w:rsid w:val="002348E8"/>
    <w:rsid w:val="0023567A"/>
    <w:rsid w:val="00236310"/>
    <w:rsid w:val="0023634A"/>
    <w:rsid w:val="00237346"/>
    <w:rsid w:val="00237A58"/>
    <w:rsid w:val="00241BC9"/>
    <w:rsid w:val="002427F1"/>
    <w:rsid w:val="0024719F"/>
    <w:rsid w:val="0024766B"/>
    <w:rsid w:val="00247774"/>
    <w:rsid w:val="00250339"/>
    <w:rsid w:val="00250FFF"/>
    <w:rsid w:val="00251981"/>
    <w:rsid w:val="002542B3"/>
    <w:rsid w:val="002556C5"/>
    <w:rsid w:val="002560C3"/>
    <w:rsid w:val="00256E15"/>
    <w:rsid w:val="0025779A"/>
    <w:rsid w:val="00257979"/>
    <w:rsid w:val="002579D2"/>
    <w:rsid w:val="00261888"/>
    <w:rsid w:val="00262700"/>
    <w:rsid w:val="00263040"/>
    <w:rsid w:val="00264322"/>
    <w:rsid w:val="00264663"/>
    <w:rsid w:val="002655E0"/>
    <w:rsid w:val="00265671"/>
    <w:rsid w:val="00265B76"/>
    <w:rsid w:val="00266E4C"/>
    <w:rsid w:val="002678CD"/>
    <w:rsid w:val="00270BA1"/>
    <w:rsid w:val="002728B6"/>
    <w:rsid w:val="002729A3"/>
    <w:rsid w:val="00274CB3"/>
    <w:rsid w:val="0028098B"/>
    <w:rsid w:val="00281E77"/>
    <w:rsid w:val="00283B7E"/>
    <w:rsid w:val="00283FF4"/>
    <w:rsid w:val="002840EB"/>
    <w:rsid w:val="00284FEB"/>
    <w:rsid w:val="00285E28"/>
    <w:rsid w:val="00290874"/>
    <w:rsid w:val="002920F6"/>
    <w:rsid w:val="00292D4C"/>
    <w:rsid w:val="00293AF4"/>
    <w:rsid w:val="00293DB7"/>
    <w:rsid w:val="0029442F"/>
    <w:rsid w:val="00294CF6"/>
    <w:rsid w:val="0029526A"/>
    <w:rsid w:val="00295DC2"/>
    <w:rsid w:val="00296564"/>
    <w:rsid w:val="00296BBC"/>
    <w:rsid w:val="00296ED5"/>
    <w:rsid w:val="002970DD"/>
    <w:rsid w:val="00297112"/>
    <w:rsid w:val="00297527"/>
    <w:rsid w:val="002A341E"/>
    <w:rsid w:val="002A3BDC"/>
    <w:rsid w:val="002A4790"/>
    <w:rsid w:val="002A492B"/>
    <w:rsid w:val="002A62AF"/>
    <w:rsid w:val="002A64C0"/>
    <w:rsid w:val="002A7CCB"/>
    <w:rsid w:val="002B0F2C"/>
    <w:rsid w:val="002B1F02"/>
    <w:rsid w:val="002B2173"/>
    <w:rsid w:val="002B3055"/>
    <w:rsid w:val="002B3534"/>
    <w:rsid w:val="002B414D"/>
    <w:rsid w:val="002B4D75"/>
    <w:rsid w:val="002B5233"/>
    <w:rsid w:val="002B5F6F"/>
    <w:rsid w:val="002B7CF6"/>
    <w:rsid w:val="002C2258"/>
    <w:rsid w:val="002C3341"/>
    <w:rsid w:val="002C6A2A"/>
    <w:rsid w:val="002C732F"/>
    <w:rsid w:val="002C79F5"/>
    <w:rsid w:val="002D15D1"/>
    <w:rsid w:val="002D162A"/>
    <w:rsid w:val="002D1EE0"/>
    <w:rsid w:val="002D351A"/>
    <w:rsid w:val="002D3583"/>
    <w:rsid w:val="002D3E6C"/>
    <w:rsid w:val="002D41E1"/>
    <w:rsid w:val="002D5BE0"/>
    <w:rsid w:val="002D6342"/>
    <w:rsid w:val="002D75D3"/>
    <w:rsid w:val="002D7B25"/>
    <w:rsid w:val="002E0151"/>
    <w:rsid w:val="002E12AA"/>
    <w:rsid w:val="002E2793"/>
    <w:rsid w:val="002E4726"/>
    <w:rsid w:val="002E756D"/>
    <w:rsid w:val="002F37C1"/>
    <w:rsid w:val="002F444D"/>
    <w:rsid w:val="002F48FC"/>
    <w:rsid w:val="002F4B28"/>
    <w:rsid w:val="002F4DDB"/>
    <w:rsid w:val="002F63A1"/>
    <w:rsid w:val="002F7E66"/>
    <w:rsid w:val="00300239"/>
    <w:rsid w:val="00301262"/>
    <w:rsid w:val="00301830"/>
    <w:rsid w:val="003023C7"/>
    <w:rsid w:val="003027FF"/>
    <w:rsid w:val="00302968"/>
    <w:rsid w:val="00303BF9"/>
    <w:rsid w:val="00304E4C"/>
    <w:rsid w:val="00304FE0"/>
    <w:rsid w:val="00311199"/>
    <w:rsid w:val="0031285D"/>
    <w:rsid w:val="00313E90"/>
    <w:rsid w:val="00314446"/>
    <w:rsid w:val="0031478A"/>
    <w:rsid w:val="00316777"/>
    <w:rsid w:val="00316BD0"/>
    <w:rsid w:val="0031724C"/>
    <w:rsid w:val="003179AF"/>
    <w:rsid w:val="00317E0D"/>
    <w:rsid w:val="003204AB"/>
    <w:rsid w:val="003207C5"/>
    <w:rsid w:val="00322EDC"/>
    <w:rsid w:val="003233F1"/>
    <w:rsid w:val="003236CD"/>
    <w:rsid w:val="00325560"/>
    <w:rsid w:val="003255F1"/>
    <w:rsid w:val="00326112"/>
    <w:rsid w:val="003276B3"/>
    <w:rsid w:val="00330F92"/>
    <w:rsid w:val="00331671"/>
    <w:rsid w:val="00331C31"/>
    <w:rsid w:val="00331EA4"/>
    <w:rsid w:val="0033396A"/>
    <w:rsid w:val="00334C08"/>
    <w:rsid w:val="0033583E"/>
    <w:rsid w:val="00335A13"/>
    <w:rsid w:val="00336528"/>
    <w:rsid w:val="003365C7"/>
    <w:rsid w:val="00337112"/>
    <w:rsid w:val="00337FBC"/>
    <w:rsid w:val="00337FDD"/>
    <w:rsid w:val="003415D9"/>
    <w:rsid w:val="00341EFF"/>
    <w:rsid w:val="003421DE"/>
    <w:rsid w:val="00342BD3"/>
    <w:rsid w:val="0034354D"/>
    <w:rsid w:val="00344B4E"/>
    <w:rsid w:val="00344F6C"/>
    <w:rsid w:val="003467A6"/>
    <w:rsid w:val="00346C6E"/>
    <w:rsid w:val="00347541"/>
    <w:rsid w:val="003504C1"/>
    <w:rsid w:val="00350B88"/>
    <w:rsid w:val="00350F0B"/>
    <w:rsid w:val="00351581"/>
    <w:rsid w:val="00351DDB"/>
    <w:rsid w:val="00352307"/>
    <w:rsid w:val="0035286C"/>
    <w:rsid w:val="00354CF4"/>
    <w:rsid w:val="003551D7"/>
    <w:rsid w:val="00356162"/>
    <w:rsid w:val="0035629D"/>
    <w:rsid w:val="00357174"/>
    <w:rsid w:val="00360274"/>
    <w:rsid w:val="00361DDE"/>
    <w:rsid w:val="00363D60"/>
    <w:rsid w:val="00365994"/>
    <w:rsid w:val="00365FC9"/>
    <w:rsid w:val="00367294"/>
    <w:rsid w:val="00367C89"/>
    <w:rsid w:val="003700D4"/>
    <w:rsid w:val="00370213"/>
    <w:rsid w:val="00371AC5"/>
    <w:rsid w:val="00372832"/>
    <w:rsid w:val="00375D70"/>
    <w:rsid w:val="00377ADF"/>
    <w:rsid w:val="00380AFA"/>
    <w:rsid w:val="00382BC8"/>
    <w:rsid w:val="00383F41"/>
    <w:rsid w:val="003844A9"/>
    <w:rsid w:val="00384C2D"/>
    <w:rsid w:val="0038564F"/>
    <w:rsid w:val="0038667B"/>
    <w:rsid w:val="00387D85"/>
    <w:rsid w:val="00390CCE"/>
    <w:rsid w:val="00392279"/>
    <w:rsid w:val="0039432C"/>
    <w:rsid w:val="00396623"/>
    <w:rsid w:val="00397DF1"/>
    <w:rsid w:val="003A12AD"/>
    <w:rsid w:val="003A1A6C"/>
    <w:rsid w:val="003A55E8"/>
    <w:rsid w:val="003A5E88"/>
    <w:rsid w:val="003A64A3"/>
    <w:rsid w:val="003A7869"/>
    <w:rsid w:val="003B05B2"/>
    <w:rsid w:val="003B0D5F"/>
    <w:rsid w:val="003B183A"/>
    <w:rsid w:val="003B1FDF"/>
    <w:rsid w:val="003B25F8"/>
    <w:rsid w:val="003B2B53"/>
    <w:rsid w:val="003B3461"/>
    <w:rsid w:val="003B4489"/>
    <w:rsid w:val="003B48D3"/>
    <w:rsid w:val="003B5C1E"/>
    <w:rsid w:val="003B7A6A"/>
    <w:rsid w:val="003C103A"/>
    <w:rsid w:val="003C119C"/>
    <w:rsid w:val="003C2A7F"/>
    <w:rsid w:val="003C5DB3"/>
    <w:rsid w:val="003C71BA"/>
    <w:rsid w:val="003D0638"/>
    <w:rsid w:val="003D0A3D"/>
    <w:rsid w:val="003D0DEC"/>
    <w:rsid w:val="003D1A30"/>
    <w:rsid w:val="003D3E6D"/>
    <w:rsid w:val="003D4F8C"/>
    <w:rsid w:val="003D6DF9"/>
    <w:rsid w:val="003D6F3E"/>
    <w:rsid w:val="003D7E08"/>
    <w:rsid w:val="003E1170"/>
    <w:rsid w:val="003E1CE1"/>
    <w:rsid w:val="003E3081"/>
    <w:rsid w:val="003E3599"/>
    <w:rsid w:val="003E42C8"/>
    <w:rsid w:val="003E4C2D"/>
    <w:rsid w:val="003E7FFE"/>
    <w:rsid w:val="003F2236"/>
    <w:rsid w:val="003F5172"/>
    <w:rsid w:val="003F66B4"/>
    <w:rsid w:val="003F6AA3"/>
    <w:rsid w:val="003F6E86"/>
    <w:rsid w:val="003F701A"/>
    <w:rsid w:val="003F7134"/>
    <w:rsid w:val="003F74FF"/>
    <w:rsid w:val="0040154D"/>
    <w:rsid w:val="00402874"/>
    <w:rsid w:val="00403002"/>
    <w:rsid w:val="004040EC"/>
    <w:rsid w:val="004043C2"/>
    <w:rsid w:val="00406667"/>
    <w:rsid w:val="00410C83"/>
    <w:rsid w:val="004131BB"/>
    <w:rsid w:val="00414062"/>
    <w:rsid w:val="00417F2B"/>
    <w:rsid w:val="00417F5D"/>
    <w:rsid w:val="00420150"/>
    <w:rsid w:val="00420172"/>
    <w:rsid w:val="00421CC3"/>
    <w:rsid w:val="00423348"/>
    <w:rsid w:val="00423CD3"/>
    <w:rsid w:val="00424936"/>
    <w:rsid w:val="004308AC"/>
    <w:rsid w:val="004314DB"/>
    <w:rsid w:val="00431A11"/>
    <w:rsid w:val="00431D03"/>
    <w:rsid w:val="004320CA"/>
    <w:rsid w:val="00434917"/>
    <w:rsid w:val="00434FDE"/>
    <w:rsid w:val="00435923"/>
    <w:rsid w:val="00441C47"/>
    <w:rsid w:val="004434D3"/>
    <w:rsid w:val="00443850"/>
    <w:rsid w:val="00443AD2"/>
    <w:rsid w:val="00444109"/>
    <w:rsid w:val="004441F4"/>
    <w:rsid w:val="00444CC8"/>
    <w:rsid w:val="00445AE2"/>
    <w:rsid w:val="00445D91"/>
    <w:rsid w:val="0044641E"/>
    <w:rsid w:val="00447A9A"/>
    <w:rsid w:val="00447D06"/>
    <w:rsid w:val="004535C0"/>
    <w:rsid w:val="00454341"/>
    <w:rsid w:val="004552AF"/>
    <w:rsid w:val="0045567D"/>
    <w:rsid w:val="004561B1"/>
    <w:rsid w:val="0045760D"/>
    <w:rsid w:val="00462335"/>
    <w:rsid w:val="0046591D"/>
    <w:rsid w:val="00465C1E"/>
    <w:rsid w:val="00467D90"/>
    <w:rsid w:val="00471256"/>
    <w:rsid w:val="00471B8E"/>
    <w:rsid w:val="004730E1"/>
    <w:rsid w:val="00475428"/>
    <w:rsid w:val="004778A2"/>
    <w:rsid w:val="00477CD5"/>
    <w:rsid w:val="004800E5"/>
    <w:rsid w:val="004807DD"/>
    <w:rsid w:val="00481280"/>
    <w:rsid w:val="00483217"/>
    <w:rsid w:val="00484274"/>
    <w:rsid w:val="00485B7E"/>
    <w:rsid w:val="00485E1D"/>
    <w:rsid w:val="00486FEB"/>
    <w:rsid w:val="00495AB0"/>
    <w:rsid w:val="00496D2B"/>
    <w:rsid w:val="004A06F6"/>
    <w:rsid w:val="004A21CF"/>
    <w:rsid w:val="004A3B30"/>
    <w:rsid w:val="004B3166"/>
    <w:rsid w:val="004B5A5B"/>
    <w:rsid w:val="004C0E02"/>
    <w:rsid w:val="004C11A3"/>
    <w:rsid w:val="004C2FF1"/>
    <w:rsid w:val="004C350C"/>
    <w:rsid w:val="004C4900"/>
    <w:rsid w:val="004C4D5A"/>
    <w:rsid w:val="004D0B45"/>
    <w:rsid w:val="004D0D40"/>
    <w:rsid w:val="004D4B55"/>
    <w:rsid w:val="004D5E2E"/>
    <w:rsid w:val="004D62A4"/>
    <w:rsid w:val="004D7DC9"/>
    <w:rsid w:val="004E00D7"/>
    <w:rsid w:val="004E04BA"/>
    <w:rsid w:val="004E0BFD"/>
    <w:rsid w:val="004E1626"/>
    <w:rsid w:val="004E38CE"/>
    <w:rsid w:val="004E462F"/>
    <w:rsid w:val="004E48FD"/>
    <w:rsid w:val="004E6378"/>
    <w:rsid w:val="004E79CA"/>
    <w:rsid w:val="004F03CE"/>
    <w:rsid w:val="004F04AF"/>
    <w:rsid w:val="004F2DF7"/>
    <w:rsid w:val="004F5DBE"/>
    <w:rsid w:val="004F77C5"/>
    <w:rsid w:val="004F7B60"/>
    <w:rsid w:val="00503B00"/>
    <w:rsid w:val="005059B5"/>
    <w:rsid w:val="00505A7D"/>
    <w:rsid w:val="00505C55"/>
    <w:rsid w:val="00506563"/>
    <w:rsid w:val="0050716B"/>
    <w:rsid w:val="0050729D"/>
    <w:rsid w:val="0050746A"/>
    <w:rsid w:val="005100A3"/>
    <w:rsid w:val="00511848"/>
    <w:rsid w:val="0051282A"/>
    <w:rsid w:val="005134B9"/>
    <w:rsid w:val="0051453D"/>
    <w:rsid w:val="0051550D"/>
    <w:rsid w:val="005162BA"/>
    <w:rsid w:val="005163D8"/>
    <w:rsid w:val="00516DB2"/>
    <w:rsid w:val="00517790"/>
    <w:rsid w:val="00517955"/>
    <w:rsid w:val="00517D02"/>
    <w:rsid w:val="00517D44"/>
    <w:rsid w:val="00520A86"/>
    <w:rsid w:val="005211FD"/>
    <w:rsid w:val="00521364"/>
    <w:rsid w:val="005216CB"/>
    <w:rsid w:val="00522A96"/>
    <w:rsid w:val="00525F3D"/>
    <w:rsid w:val="005278EB"/>
    <w:rsid w:val="0052791E"/>
    <w:rsid w:val="00530C8A"/>
    <w:rsid w:val="00533085"/>
    <w:rsid w:val="00533BF9"/>
    <w:rsid w:val="005344DA"/>
    <w:rsid w:val="00535A62"/>
    <w:rsid w:val="0053605D"/>
    <w:rsid w:val="005370BB"/>
    <w:rsid w:val="00537192"/>
    <w:rsid w:val="00537728"/>
    <w:rsid w:val="0054082B"/>
    <w:rsid w:val="00540D3E"/>
    <w:rsid w:val="00543412"/>
    <w:rsid w:val="00543B1D"/>
    <w:rsid w:val="00545B06"/>
    <w:rsid w:val="00545C0D"/>
    <w:rsid w:val="00546294"/>
    <w:rsid w:val="00546879"/>
    <w:rsid w:val="005475FD"/>
    <w:rsid w:val="0055006F"/>
    <w:rsid w:val="0055077F"/>
    <w:rsid w:val="00552212"/>
    <w:rsid w:val="00553B9D"/>
    <w:rsid w:val="00553F2E"/>
    <w:rsid w:val="0055686B"/>
    <w:rsid w:val="00557AA3"/>
    <w:rsid w:val="00560628"/>
    <w:rsid w:val="00560815"/>
    <w:rsid w:val="00562BF0"/>
    <w:rsid w:val="00563C5A"/>
    <w:rsid w:val="00563D79"/>
    <w:rsid w:val="00563FE5"/>
    <w:rsid w:val="00565A4B"/>
    <w:rsid w:val="00566C91"/>
    <w:rsid w:val="00572D8E"/>
    <w:rsid w:val="0057480F"/>
    <w:rsid w:val="0057483C"/>
    <w:rsid w:val="005751B4"/>
    <w:rsid w:val="005753CF"/>
    <w:rsid w:val="005758CF"/>
    <w:rsid w:val="00575B71"/>
    <w:rsid w:val="0057785B"/>
    <w:rsid w:val="00580A2F"/>
    <w:rsid w:val="005822C0"/>
    <w:rsid w:val="00582453"/>
    <w:rsid w:val="00583349"/>
    <w:rsid w:val="00585BF2"/>
    <w:rsid w:val="00585DCD"/>
    <w:rsid w:val="00585FCD"/>
    <w:rsid w:val="005864A7"/>
    <w:rsid w:val="00592055"/>
    <w:rsid w:val="005920CF"/>
    <w:rsid w:val="0059333F"/>
    <w:rsid w:val="0059437A"/>
    <w:rsid w:val="0059467C"/>
    <w:rsid w:val="00596DE0"/>
    <w:rsid w:val="00597375"/>
    <w:rsid w:val="00597CBF"/>
    <w:rsid w:val="005A083C"/>
    <w:rsid w:val="005A150C"/>
    <w:rsid w:val="005A2F01"/>
    <w:rsid w:val="005A35C1"/>
    <w:rsid w:val="005A39C3"/>
    <w:rsid w:val="005A6B58"/>
    <w:rsid w:val="005A6C2F"/>
    <w:rsid w:val="005A70C5"/>
    <w:rsid w:val="005B040B"/>
    <w:rsid w:val="005B27CB"/>
    <w:rsid w:val="005B2890"/>
    <w:rsid w:val="005B3C41"/>
    <w:rsid w:val="005B3DF4"/>
    <w:rsid w:val="005B5AEB"/>
    <w:rsid w:val="005B5C92"/>
    <w:rsid w:val="005B5FF2"/>
    <w:rsid w:val="005B705E"/>
    <w:rsid w:val="005B71A9"/>
    <w:rsid w:val="005B7CFA"/>
    <w:rsid w:val="005C0460"/>
    <w:rsid w:val="005C22A1"/>
    <w:rsid w:val="005C38C4"/>
    <w:rsid w:val="005C3F99"/>
    <w:rsid w:val="005C419D"/>
    <w:rsid w:val="005C4600"/>
    <w:rsid w:val="005C4985"/>
    <w:rsid w:val="005C54C2"/>
    <w:rsid w:val="005C5FD4"/>
    <w:rsid w:val="005C67C0"/>
    <w:rsid w:val="005C6D6D"/>
    <w:rsid w:val="005C713B"/>
    <w:rsid w:val="005D00EB"/>
    <w:rsid w:val="005D02E6"/>
    <w:rsid w:val="005D0C1C"/>
    <w:rsid w:val="005D120B"/>
    <w:rsid w:val="005D280E"/>
    <w:rsid w:val="005D3E56"/>
    <w:rsid w:val="005D4D2C"/>
    <w:rsid w:val="005D5EF5"/>
    <w:rsid w:val="005D63FF"/>
    <w:rsid w:val="005D67F6"/>
    <w:rsid w:val="005D7504"/>
    <w:rsid w:val="005D769A"/>
    <w:rsid w:val="005E0CE8"/>
    <w:rsid w:val="005E1059"/>
    <w:rsid w:val="005E1316"/>
    <w:rsid w:val="005E1987"/>
    <w:rsid w:val="005E2738"/>
    <w:rsid w:val="005E2BD9"/>
    <w:rsid w:val="005E2E37"/>
    <w:rsid w:val="005E2EC3"/>
    <w:rsid w:val="005E48CC"/>
    <w:rsid w:val="005E4DB2"/>
    <w:rsid w:val="005E5562"/>
    <w:rsid w:val="005E5AF8"/>
    <w:rsid w:val="005E7973"/>
    <w:rsid w:val="005E7C09"/>
    <w:rsid w:val="005F1975"/>
    <w:rsid w:val="005F39C5"/>
    <w:rsid w:val="005F3F51"/>
    <w:rsid w:val="005F4D93"/>
    <w:rsid w:val="005F4E5F"/>
    <w:rsid w:val="005F6BAA"/>
    <w:rsid w:val="0060028C"/>
    <w:rsid w:val="00602406"/>
    <w:rsid w:val="00604678"/>
    <w:rsid w:val="006048BD"/>
    <w:rsid w:val="00604A09"/>
    <w:rsid w:val="006056AF"/>
    <w:rsid w:val="00606CFA"/>
    <w:rsid w:val="006102B1"/>
    <w:rsid w:val="0061037B"/>
    <w:rsid w:val="0061041A"/>
    <w:rsid w:val="006105AC"/>
    <w:rsid w:val="00610A5C"/>
    <w:rsid w:val="00614F07"/>
    <w:rsid w:val="00615CDE"/>
    <w:rsid w:val="00615FCA"/>
    <w:rsid w:val="00616B04"/>
    <w:rsid w:val="006173B2"/>
    <w:rsid w:val="00617F1A"/>
    <w:rsid w:val="00620024"/>
    <w:rsid w:val="0062084F"/>
    <w:rsid w:val="0062135A"/>
    <w:rsid w:val="00622F65"/>
    <w:rsid w:val="00623B26"/>
    <w:rsid w:val="00624E47"/>
    <w:rsid w:val="006257A3"/>
    <w:rsid w:val="006270F4"/>
    <w:rsid w:val="006276E1"/>
    <w:rsid w:val="006278AD"/>
    <w:rsid w:val="00630648"/>
    <w:rsid w:val="00632FAC"/>
    <w:rsid w:val="006336C6"/>
    <w:rsid w:val="00633EFA"/>
    <w:rsid w:val="0063775B"/>
    <w:rsid w:val="00640B6B"/>
    <w:rsid w:val="006423B9"/>
    <w:rsid w:val="00642C00"/>
    <w:rsid w:val="006432FD"/>
    <w:rsid w:val="00643469"/>
    <w:rsid w:val="0064481B"/>
    <w:rsid w:val="00644A04"/>
    <w:rsid w:val="00644F04"/>
    <w:rsid w:val="00645C80"/>
    <w:rsid w:val="0064691D"/>
    <w:rsid w:val="00646BF1"/>
    <w:rsid w:val="00647BF3"/>
    <w:rsid w:val="00647CBC"/>
    <w:rsid w:val="006500FA"/>
    <w:rsid w:val="0065214B"/>
    <w:rsid w:val="00652640"/>
    <w:rsid w:val="00652F51"/>
    <w:rsid w:val="00653226"/>
    <w:rsid w:val="00654072"/>
    <w:rsid w:val="0065439A"/>
    <w:rsid w:val="006553EE"/>
    <w:rsid w:val="00656CD4"/>
    <w:rsid w:val="00656E8A"/>
    <w:rsid w:val="00657A73"/>
    <w:rsid w:val="00657B78"/>
    <w:rsid w:val="00661FC1"/>
    <w:rsid w:val="00662FF3"/>
    <w:rsid w:val="0066374F"/>
    <w:rsid w:val="0066489A"/>
    <w:rsid w:val="00667342"/>
    <w:rsid w:val="00667DFB"/>
    <w:rsid w:val="00670EE7"/>
    <w:rsid w:val="0067110A"/>
    <w:rsid w:val="006722A5"/>
    <w:rsid w:val="0067253E"/>
    <w:rsid w:val="00674CF0"/>
    <w:rsid w:val="0067635D"/>
    <w:rsid w:val="006771F8"/>
    <w:rsid w:val="00677885"/>
    <w:rsid w:val="006800FB"/>
    <w:rsid w:val="00680D97"/>
    <w:rsid w:val="00682020"/>
    <w:rsid w:val="0068335F"/>
    <w:rsid w:val="00684CD8"/>
    <w:rsid w:val="00684DDC"/>
    <w:rsid w:val="006879AC"/>
    <w:rsid w:val="00687A88"/>
    <w:rsid w:val="00690029"/>
    <w:rsid w:val="006915DB"/>
    <w:rsid w:val="006944F1"/>
    <w:rsid w:val="00695294"/>
    <w:rsid w:val="00695624"/>
    <w:rsid w:val="00696855"/>
    <w:rsid w:val="00697513"/>
    <w:rsid w:val="006976CB"/>
    <w:rsid w:val="00697EB1"/>
    <w:rsid w:val="006A3B81"/>
    <w:rsid w:val="006A637C"/>
    <w:rsid w:val="006A651D"/>
    <w:rsid w:val="006B06A8"/>
    <w:rsid w:val="006B0FD0"/>
    <w:rsid w:val="006B113F"/>
    <w:rsid w:val="006B2614"/>
    <w:rsid w:val="006B316B"/>
    <w:rsid w:val="006B346E"/>
    <w:rsid w:val="006B48B5"/>
    <w:rsid w:val="006B4DB7"/>
    <w:rsid w:val="006B516D"/>
    <w:rsid w:val="006B589F"/>
    <w:rsid w:val="006B5EB9"/>
    <w:rsid w:val="006C0631"/>
    <w:rsid w:val="006C1E05"/>
    <w:rsid w:val="006C3B6A"/>
    <w:rsid w:val="006C5D61"/>
    <w:rsid w:val="006D02D9"/>
    <w:rsid w:val="006D29D5"/>
    <w:rsid w:val="006D3097"/>
    <w:rsid w:val="006D40D8"/>
    <w:rsid w:val="006D59B2"/>
    <w:rsid w:val="006D6C7E"/>
    <w:rsid w:val="006D7561"/>
    <w:rsid w:val="006D7D39"/>
    <w:rsid w:val="006E09D1"/>
    <w:rsid w:val="006E0D50"/>
    <w:rsid w:val="006E232C"/>
    <w:rsid w:val="006E43DD"/>
    <w:rsid w:val="006E482D"/>
    <w:rsid w:val="006E6640"/>
    <w:rsid w:val="006E6CB2"/>
    <w:rsid w:val="006F0705"/>
    <w:rsid w:val="006F0A39"/>
    <w:rsid w:val="006F3509"/>
    <w:rsid w:val="006F4404"/>
    <w:rsid w:val="006F45D2"/>
    <w:rsid w:val="006F66B4"/>
    <w:rsid w:val="006F703D"/>
    <w:rsid w:val="00700009"/>
    <w:rsid w:val="00700272"/>
    <w:rsid w:val="00701386"/>
    <w:rsid w:val="007025A0"/>
    <w:rsid w:val="0071132F"/>
    <w:rsid w:val="007123FA"/>
    <w:rsid w:val="00713041"/>
    <w:rsid w:val="007148DA"/>
    <w:rsid w:val="00716960"/>
    <w:rsid w:val="0071771E"/>
    <w:rsid w:val="00720A89"/>
    <w:rsid w:val="007218E8"/>
    <w:rsid w:val="00722249"/>
    <w:rsid w:val="0072257E"/>
    <w:rsid w:val="007245EF"/>
    <w:rsid w:val="00725490"/>
    <w:rsid w:val="0072579A"/>
    <w:rsid w:val="00727284"/>
    <w:rsid w:val="007303F9"/>
    <w:rsid w:val="00731372"/>
    <w:rsid w:val="007342B5"/>
    <w:rsid w:val="00734BE0"/>
    <w:rsid w:val="00736717"/>
    <w:rsid w:val="0073690F"/>
    <w:rsid w:val="00737D04"/>
    <w:rsid w:val="00737F1A"/>
    <w:rsid w:val="007404E4"/>
    <w:rsid w:val="007412FA"/>
    <w:rsid w:val="00742D62"/>
    <w:rsid w:val="0074548D"/>
    <w:rsid w:val="00747156"/>
    <w:rsid w:val="0074799F"/>
    <w:rsid w:val="00747E52"/>
    <w:rsid w:val="00747EEB"/>
    <w:rsid w:val="00747F9F"/>
    <w:rsid w:val="007506AD"/>
    <w:rsid w:val="007537DF"/>
    <w:rsid w:val="00753CE7"/>
    <w:rsid w:val="007542D1"/>
    <w:rsid w:val="00755AC6"/>
    <w:rsid w:val="0075783A"/>
    <w:rsid w:val="00757F20"/>
    <w:rsid w:val="0076136C"/>
    <w:rsid w:val="00761378"/>
    <w:rsid w:val="00762071"/>
    <w:rsid w:val="00763286"/>
    <w:rsid w:val="007639FC"/>
    <w:rsid w:val="00763BC7"/>
    <w:rsid w:val="0076638E"/>
    <w:rsid w:val="00770402"/>
    <w:rsid w:val="00773D5D"/>
    <w:rsid w:val="007750B4"/>
    <w:rsid w:val="00775B4B"/>
    <w:rsid w:val="00775DCF"/>
    <w:rsid w:val="007767D5"/>
    <w:rsid w:val="0077696D"/>
    <w:rsid w:val="00777661"/>
    <w:rsid w:val="00777B9A"/>
    <w:rsid w:val="00780B3E"/>
    <w:rsid w:val="00783A33"/>
    <w:rsid w:val="00783CD3"/>
    <w:rsid w:val="00784C1E"/>
    <w:rsid w:val="0078504A"/>
    <w:rsid w:val="007863F7"/>
    <w:rsid w:val="0078745C"/>
    <w:rsid w:val="00787854"/>
    <w:rsid w:val="00787FF2"/>
    <w:rsid w:val="00790B81"/>
    <w:rsid w:val="00790BFB"/>
    <w:rsid w:val="00790F79"/>
    <w:rsid w:val="00792900"/>
    <w:rsid w:val="00792BD5"/>
    <w:rsid w:val="00797C7E"/>
    <w:rsid w:val="00797F78"/>
    <w:rsid w:val="007A083B"/>
    <w:rsid w:val="007A3381"/>
    <w:rsid w:val="007A3E24"/>
    <w:rsid w:val="007A6989"/>
    <w:rsid w:val="007B039E"/>
    <w:rsid w:val="007B0B4A"/>
    <w:rsid w:val="007B0BCB"/>
    <w:rsid w:val="007B21E5"/>
    <w:rsid w:val="007B24FC"/>
    <w:rsid w:val="007B2B9E"/>
    <w:rsid w:val="007B7E33"/>
    <w:rsid w:val="007C0C14"/>
    <w:rsid w:val="007C21B7"/>
    <w:rsid w:val="007C2943"/>
    <w:rsid w:val="007C295E"/>
    <w:rsid w:val="007C2DD1"/>
    <w:rsid w:val="007C2ECF"/>
    <w:rsid w:val="007C34D9"/>
    <w:rsid w:val="007C4E05"/>
    <w:rsid w:val="007C4F23"/>
    <w:rsid w:val="007C5218"/>
    <w:rsid w:val="007C6EE0"/>
    <w:rsid w:val="007D2222"/>
    <w:rsid w:val="007D2D55"/>
    <w:rsid w:val="007D43BA"/>
    <w:rsid w:val="007D539E"/>
    <w:rsid w:val="007E05A3"/>
    <w:rsid w:val="007E15F1"/>
    <w:rsid w:val="007E1BEC"/>
    <w:rsid w:val="007E295F"/>
    <w:rsid w:val="007E3976"/>
    <w:rsid w:val="007E3AB6"/>
    <w:rsid w:val="007E4CD8"/>
    <w:rsid w:val="007E6F3E"/>
    <w:rsid w:val="007F00ED"/>
    <w:rsid w:val="007F22C1"/>
    <w:rsid w:val="007F2BE4"/>
    <w:rsid w:val="007F59F8"/>
    <w:rsid w:val="007F623F"/>
    <w:rsid w:val="007F7448"/>
    <w:rsid w:val="007F7900"/>
    <w:rsid w:val="007F7A94"/>
    <w:rsid w:val="00800F2B"/>
    <w:rsid w:val="00801FE6"/>
    <w:rsid w:val="00803AA6"/>
    <w:rsid w:val="00805A5C"/>
    <w:rsid w:val="00806195"/>
    <w:rsid w:val="00806EFE"/>
    <w:rsid w:val="0080759B"/>
    <w:rsid w:val="00807A45"/>
    <w:rsid w:val="00807FFE"/>
    <w:rsid w:val="00810353"/>
    <w:rsid w:val="00810D25"/>
    <w:rsid w:val="0081267E"/>
    <w:rsid w:val="008147CE"/>
    <w:rsid w:val="00816115"/>
    <w:rsid w:val="0082159E"/>
    <w:rsid w:val="00822973"/>
    <w:rsid w:val="008230C9"/>
    <w:rsid w:val="008234E2"/>
    <w:rsid w:val="008248FE"/>
    <w:rsid w:val="00824C1C"/>
    <w:rsid w:val="008260EF"/>
    <w:rsid w:val="008272DD"/>
    <w:rsid w:val="00830995"/>
    <w:rsid w:val="00831646"/>
    <w:rsid w:val="008334F9"/>
    <w:rsid w:val="00834C7C"/>
    <w:rsid w:val="00835552"/>
    <w:rsid w:val="00836D06"/>
    <w:rsid w:val="0084040F"/>
    <w:rsid w:val="00840997"/>
    <w:rsid w:val="00840EC4"/>
    <w:rsid w:val="00843F98"/>
    <w:rsid w:val="00844AB8"/>
    <w:rsid w:val="00844EFA"/>
    <w:rsid w:val="0084509B"/>
    <w:rsid w:val="00845F83"/>
    <w:rsid w:val="008463E6"/>
    <w:rsid w:val="00850430"/>
    <w:rsid w:val="00850F6D"/>
    <w:rsid w:val="008511FF"/>
    <w:rsid w:val="00851257"/>
    <w:rsid w:val="00851E0E"/>
    <w:rsid w:val="00852170"/>
    <w:rsid w:val="00853A0D"/>
    <w:rsid w:val="00854C3B"/>
    <w:rsid w:val="008551F8"/>
    <w:rsid w:val="00856A5F"/>
    <w:rsid w:val="00856C99"/>
    <w:rsid w:val="00857EC4"/>
    <w:rsid w:val="00860641"/>
    <w:rsid w:val="00864A99"/>
    <w:rsid w:val="00866201"/>
    <w:rsid w:val="00866ADF"/>
    <w:rsid w:val="00867CE5"/>
    <w:rsid w:val="00867F11"/>
    <w:rsid w:val="00870598"/>
    <w:rsid w:val="00870A37"/>
    <w:rsid w:val="00873174"/>
    <w:rsid w:val="008748E2"/>
    <w:rsid w:val="00876F24"/>
    <w:rsid w:val="00877E57"/>
    <w:rsid w:val="008803D6"/>
    <w:rsid w:val="00881286"/>
    <w:rsid w:val="008829CE"/>
    <w:rsid w:val="008839D6"/>
    <w:rsid w:val="00883F5A"/>
    <w:rsid w:val="00885AC5"/>
    <w:rsid w:val="00885D2F"/>
    <w:rsid w:val="008863E8"/>
    <w:rsid w:val="0088658A"/>
    <w:rsid w:val="008865F5"/>
    <w:rsid w:val="008868C1"/>
    <w:rsid w:val="00886D7B"/>
    <w:rsid w:val="00886F5D"/>
    <w:rsid w:val="00890203"/>
    <w:rsid w:val="00891753"/>
    <w:rsid w:val="00892EF5"/>
    <w:rsid w:val="008939CC"/>
    <w:rsid w:val="00893F86"/>
    <w:rsid w:val="00895B23"/>
    <w:rsid w:val="00896C7A"/>
    <w:rsid w:val="00897833"/>
    <w:rsid w:val="00897966"/>
    <w:rsid w:val="008A15D3"/>
    <w:rsid w:val="008A20B8"/>
    <w:rsid w:val="008A39BE"/>
    <w:rsid w:val="008A3C1D"/>
    <w:rsid w:val="008A3FEA"/>
    <w:rsid w:val="008A522D"/>
    <w:rsid w:val="008A6828"/>
    <w:rsid w:val="008A799C"/>
    <w:rsid w:val="008B00CE"/>
    <w:rsid w:val="008B1352"/>
    <w:rsid w:val="008B172B"/>
    <w:rsid w:val="008B18FA"/>
    <w:rsid w:val="008B1F69"/>
    <w:rsid w:val="008B3017"/>
    <w:rsid w:val="008B470A"/>
    <w:rsid w:val="008B49CE"/>
    <w:rsid w:val="008B4C74"/>
    <w:rsid w:val="008B65F5"/>
    <w:rsid w:val="008C2748"/>
    <w:rsid w:val="008C3E3F"/>
    <w:rsid w:val="008C5FCA"/>
    <w:rsid w:val="008D1F5D"/>
    <w:rsid w:val="008D2C48"/>
    <w:rsid w:val="008D4A31"/>
    <w:rsid w:val="008D540A"/>
    <w:rsid w:val="008D5CEC"/>
    <w:rsid w:val="008D6D35"/>
    <w:rsid w:val="008D74E9"/>
    <w:rsid w:val="008D7965"/>
    <w:rsid w:val="008E324B"/>
    <w:rsid w:val="008E62E3"/>
    <w:rsid w:val="008E637C"/>
    <w:rsid w:val="008F058B"/>
    <w:rsid w:val="008F3429"/>
    <w:rsid w:val="008F3779"/>
    <w:rsid w:val="008F4AF2"/>
    <w:rsid w:val="008F69EE"/>
    <w:rsid w:val="009000E5"/>
    <w:rsid w:val="00900AF1"/>
    <w:rsid w:val="00901795"/>
    <w:rsid w:val="009025F3"/>
    <w:rsid w:val="009031F8"/>
    <w:rsid w:val="00904279"/>
    <w:rsid w:val="00904CC1"/>
    <w:rsid w:val="00905778"/>
    <w:rsid w:val="00907BDB"/>
    <w:rsid w:val="0091137D"/>
    <w:rsid w:val="00913157"/>
    <w:rsid w:val="0091689F"/>
    <w:rsid w:val="00917311"/>
    <w:rsid w:val="00920D75"/>
    <w:rsid w:val="009243EB"/>
    <w:rsid w:val="00925F72"/>
    <w:rsid w:val="009267B5"/>
    <w:rsid w:val="009269DF"/>
    <w:rsid w:val="009310F4"/>
    <w:rsid w:val="00931CF8"/>
    <w:rsid w:val="00931DCA"/>
    <w:rsid w:val="00933A0E"/>
    <w:rsid w:val="00933FF2"/>
    <w:rsid w:val="00934BDA"/>
    <w:rsid w:val="00935B4E"/>
    <w:rsid w:val="00936F7D"/>
    <w:rsid w:val="009373DC"/>
    <w:rsid w:val="00942B4D"/>
    <w:rsid w:val="00944F2D"/>
    <w:rsid w:val="00946005"/>
    <w:rsid w:val="009464BB"/>
    <w:rsid w:val="00946635"/>
    <w:rsid w:val="00947A31"/>
    <w:rsid w:val="00951526"/>
    <w:rsid w:val="00953AE1"/>
    <w:rsid w:val="00954F1D"/>
    <w:rsid w:val="0095548F"/>
    <w:rsid w:val="00956040"/>
    <w:rsid w:val="00956F0B"/>
    <w:rsid w:val="00960A63"/>
    <w:rsid w:val="00960DE9"/>
    <w:rsid w:val="00962F48"/>
    <w:rsid w:val="009644E2"/>
    <w:rsid w:val="00964730"/>
    <w:rsid w:val="0096496E"/>
    <w:rsid w:val="009654AA"/>
    <w:rsid w:val="009659DE"/>
    <w:rsid w:val="00966A1C"/>
    <w:rsid w:val="0096770E"/>
    <w:rsid w:val="009704E2"/>
    <w:rsid w:val="00970DB2"/>
    <w:rsid w:val="00970F86"/>
    <w:rsid w:val="00971B47"/>
    <w:rsid w:val="00971DE7"/>
    <w:rsid w:val="00972A6F"/>
    <w:rsid w:val="00972B38"/>
    <w:rsid w:val="00973C6A"/>
    <w:rsid w:val="00974055"/>
    <w:rsid w:val="009749F9"/>
    <w:rsid w:val="00974E21"/>
    <w:rsid w:val="009757A4"/>
    <w:rsid w:val="0097747F"/>
    <w:rsid w:val="00984378"/>
    <w:rsid w:val="00984C5A"/>
    <w:rsid w:val="00986062"/>
    <w:rsid w:val="009864EE"/>
    <w:rsid w:val="00986B1B"/>
    <w:rsid w:val="009873F2"/>
    <w:rsid w:val="009914B5"/>
    <w:rsid w:val="00991E66"/>
    <w:rsid w:val="009931D9"/>
    <w:rsid w:val="00993262"/>
    <w:rsid w:val="00996A8F"/>
    <w:rsid w:val="00997CFF"/>
    <w:rsid w:val="009A30A9"/>
    <w:rsid w:val="009A3C09"/>
    <w:rsid w:val="009A4373"/>
    <w:rsid w:val="009A53C7"/>
    <w:rsid w:val="009A5A8F"/>
    <w:rsid w:val="009A5DC3"/>
    <w:rsid w:val="009A5E32"/>
    <w:rsid w:val="009A6E3C"/>
    <w:rsid w:val="009A70DF"/>
    <w:rsid w:val="009B05D4"/>
    <w:rsid w:val="009B16E4"/>
    <w:rsid w:val="009B226C"/>
    <w:rsid w:val="009B2DDB"/>
    <w:rsid w:val="009B36E2"/>
    <w:rsid w:val="009B3DA6"/>
    <w:rsid w:val="009B4C04"/>
    <w:rsid w:val="009B54F8"/>
    <w:rsid w:val="009B6D99"/>
    <w:rsid w:val="009B7862"/>
    <w:rsid w:val="009B7DB6"/>
    <w:rsid w:val="009C0207"/>
    <w:rsid w:val="009C1159"/>
    <w:rsid w:val="009C1FB5"/>
    <w:rsid w:val="009C3946"/>
    <w:rsid w:val="009C49D5"/>
    <w:rsid w:val="009C4FAD"/>
    <w:rsid w:val="009C5074"/>
    <w:rsid w:val="009C6217"/>
    <w:rsid w:val="009C6465"/>
    <w:rsid w:val="009C724C"/>
    <w:rsid w:val="009D0B35"/>
    <w:rsid w:val="009D0D95"/>
    <w:rsid w:val="009D3436"/>
    <w:rsid w:val="009D372B"/>
    <w:rsid w:val="009D3EB4"/>
    <w:rsid w:val="009D3F82"/>
    <w:rsid w:val="009D4427"/>
    <w:rsid w:val="009D5412"/>
    <w:rsid w:val="009D5A7E"/>
    <w:rsid w:val="009D6306"/>
    <w:rsid w:val="009D791A"/>
    <w:rsid w:val="009E03B5"/>
    <w:rsid w:val="009E137D"/>
    <w:rsid w:val="009E157E"/>
    <w:rsid w:val="009E228D"/>
    <w:rsid w:val="009E3075"/>
    <w:rsid w:val="009E37E6"/>
    <w:rsid w:val="009E62C5"/>
    <w:rsid w:val="009E6909"/>
    <w:rsid w:val="009E6B54"/>
    <w:rsid w:val="009E7138"/>
    <w:rsid w:val="009E78A9"/>
    <w:rsid w:val="009F28F7"/>
    <w:rsid w:val="009F3C84"/>
    <w:rsid w:val="009F46C8"/>
    <w:rsid w:val="009F51F4"/>
    <w:rsid w:val="009F5B20"/>
    <w:rsid w:val="009F65C8"/>
    <w:rsid w:val="00A01BA5"/>
    <w:rsid w:val="00A028E3"/>
    <w:rsid w:val="00A02EAE"/>
    <w:rsid w:val="00A03163"/>
    <w:rsid w:val="00A03B6D"/>
    <w:rsid w:val="00A05C52"/>
    <w:rsid w:val="00A05DED"/>
    <w:rsid w:val="00A06371"/>
    <w:rsid w:val="00A06CCE"/>
    <w:rsid w:val="00A072D2"/>
    <w:rsid w:val="00A10803"/>
    <w:rsid w:val="00A13C67"/>
    <w:rsid w:val="00A13CA6"/>
    <w:rsid w:val="00A13F56"/>
    <w:rsid w:val="00A148BA"/>
    <w:rsid w:val="00A15C0E"/>
    <w:rsid w:val="00A16663"/>
    <w:rsid w:val="00A17C60"/>
    <w:rsid w:val="00A17F8C"/>
    <w:rsid w:val="00A209C1"/>
    <w:rsid w:val="00A21BA6"/>
    <w:rsid w:val="00A22018"/>
    <w:rsid w:val="00A22400"/>
    <w:rsid w:val="00A22B4E"/>
    <w:rsid w:val="00A26040"/>
    <w:rsid w:val="00A269E5"/>
    <w:rsid w:val="00A3089C"/>
    <w:rsid w:val="00A3243E"/>
    <w:rsid w:val="00A3257C"/>
    <w:rsid w:val="00A34A34"/>
    <w:rsid w:val="00A34B93"/>
    <w:rsid w:val="00A34D90"/>
    <w:rsid w:val="00A34FD7"/>
    <w:rsid w:val="00A3698C"/>
    <w:rsid w:val="00A37537"/>
    <w:rsid w:val="00A37BAA"/>
    <w:rsid w:val="00A411D3"/>
    <w:rsid w:val="00A419DB"/>
    <w:rsid w:val="00A420C5"/>
    <w:rsid w:val="00A4535B"/>
    <w:rsid w:val="00A45D8E"/>
    <w:rsid w:val="00A466C7"/>
    <w:rsid w:val="00A47727"/>
    <w:rsid w:val="00A50C26"/>
    <w:rsid w:val="00A523BA"/>
    <w:rsid w:val="00A52FAC"/>
    <w:rsid w:val="00A5479A"/>
    <w:rsid w:val="00A55578"/>
    <w:rsid w:val="00A55FA2"/>
    <w:rsid w:val="00A56653"/>
    <w:rsid w:val="00A56B45"/>
    <w:rsid w:val="00A60952"/>
    <w:rsid w:val="00A624AC"/>
    <w:rsid w:val="00A62EDD"/>
    <w:rsid w:val="00A654CE"/>
    <w:rsid w:val="00A65874"/>
    <w:rsid w:val="00A6744C"/>
    <w:rsid w:val="00A67550"/>
    <w:rsid w:val="00A677AE"/>
    <w:rsid w:val="00A701B3"/>
    <w:rsid w:val="00A70910"/>
    <w:rsid w:val="00A71147"/>
    <w:rsid w:val="00A7145A"/>
    <w:rsid w:val="00A71CAD"/>
    <w:rsid w:val="00A72362"/>
    <w:rsid w:val="00A72DA9"/>
    <w:rsid w:val="00A76085"/>
    <w:rsid w:val="00A81015"/>
    <w:rsid w:val="00A81417"/>
    <w:rsid w:val="00A81FCB"/>
    <w:rsid w:val="00A86622"/>
    <w:rsid w:val="00A86783"/>
    <w:rsid w:val="00A87498"/>
    <w:rsid w:val="00A924F6"/>
    <w:rsid w:val="00A93441"/>
    <w:rsid w:val="00A943FC"/>
    <w:rsid w:val="00A94AC5"/>
    <w:rsid w:val="00A952C6"/>
    <w:rsid w:val="00A9569E"/>
    <w:rsid w:val="00A961BC"/>
    <w:rsid w:val="00AA0B91"/>
    <w:rsid w:val="00AA1892"/>
    <w:rsid w:val="00AA1E11"/>
    <w:rsid w:val="00AA1E45"/>
    <w:rsid w:val="00AA253E"/>
    <w:rsid w:val="00AA3F33"/>
    <w:rsid w:val="00AA470C"/>
    <w:rsid w:val="00AA623B"/>
    <w:rsid w:val="00AA6A10"/>
    <w:rsid w:val="00AA738D"/>
    <w:rsid w:val="00AA7C6B"/>
    <w:rsid w:val="00AB19BF"/>
    <w:rsid w:val="00AB255C"/>
    <w:rsid w:val="00AB3381"/>
    <w:rsid w:val="00AB675F"/>
    <w:rsid w:val="00AB78B4"/>
    <w:rsid w:val="00AB7A0A"/>
    <w:rsid w:val="00AC1F96"/>
    <w:rsid w:val="00AC3C4F"/>
    <w:rsid w:val="00AC537A"/>
    <w:rsid w:val="00AC557C"/>
    <w:rsid w:val="00AC58DC"/>
    <w:rsid w:val="00AC605F"/>
    <w:rsid w:val="00AD114F"/>
    <w:rsid w:val="00AD25BB"/>
    <w:rsid w:val="00AD2961"/>
    <w:rsid w:val="00AD3A8B"/>
    <w:rsid w:val="00AD585F"/>
    <w:rsid w:val="00AD7E3C"/>
    <w:rsid w:val="00AD7E90"/>
    <w:rsid w:val="00AE0A88"/>
    <w:rsid w:val="00AE2AA5"/>
    <w:rsid w:val="00AE34D1"/>
    <w:rsid w:val="00AE4304"/>
    <w:rsid w:val="00AE49E7"/>
    <w:rsid w:val="00AE4B27"/>
    <w:rsid w:val="00AE5A6D"/>
    <w:rsid w:val="00AE666F"/>
    <w:rsid w:val="00AF0503"/>
    <w:rsid w:val="00AF115B"/>
    <w:rsid w:val="00AF2845"/>
    <w:rsid w:val="00AF3C3A"/>
    <w:rsid w:val="00AF447C"/>
    <w:rsid w:val="00AF46B9"/>
    <w:rsid w:val="00AF6558"/>
    <w:rsid w:val="00AF76FA"/>
    <w:rsid w:val="00B011C0"/>
    <w:rsid w:val="00B013D4"/>
    <w:rsid w:val="00B025AA"/>
    <w:rsid w:val="00B02D4F"/>
    <w:rsid w:val="00B04906"/>
    <w:rsid w:val="00B04ACB"/>
    <w:rsid w:val="00B051BB"/>
    <w:rsid w:val="00B06894"/>
    <w:rsid w:val="00B11695"/>
    <w:rsid w:val="00B124D9"/>
    <w:rsid w:val="00B13BC5"/>
    <w:rsid w:val="00B13DE5"/>
    <w:rsid w:val="00B141DC"/>
    <w:rsid w:val="00B14DD9"/>
    <w:rsid w:val="00B150F2"/>
    <w:rsid w:val="00B1582D"/>
    <w:rsid w:val="00B15CAA"/>
    <w:rsid w:val="00B160B0"/>
    <w:rsid w:val="00B17267"/>
    <w:rsid w:val="00B20437"/>
    <w:rsid w:val="00B212DE"/>
    <w:rsid w:val="00B23957"/>
    <w:rsid w:val="00B249E0"/>
    <w:rsid w:val="00B272B2"/>
    <w:rsid w:val="00B27841"/>
    <w:rsid w:val="00B279F0"/>
    <w:rsid w:val="00B3026D"/>
    <w:rsid w:val="00B313DD"/>
    <w:rsid w:val="00B31FF7"/>
    <w:rsid w:val="00B324DF"/>
    <w:rsid w:val="00B32821"/>
    <w:rsid w:val="00B3291B"/>
    <w:rsid w:val="00B32EAF"/>
    <w:rsid w:val="00B33FBF"/>
    <w:rsid w:val="00B35B1D"/>
    <w:rsid w:val="00B35BCA"/>
    <w:rsid w:val="00B37117"/>
    <w:rsid w:val="00B375CE"/>
    <w:rsid w:val="00B401E3"/>
    <w:rsid w:val="00B408F1"/>
    <w:rsid w:val="00B40AD3"/>
    <w:rsid w:val="00B40BBF"/>
    <w:rsid w:val="00B40FB6"/>
    <w:rsid w:val="00B410D8"/>
    <w:rsid w:val="00B41688"/>
    <w:rsid w:val="00B41EB2"/>
    <w:rsid w:val="00B43168"/>
    <w:rsid w:val="00B43CF8"/>
    <w:rsid w:val="00B45CC8"/>
    <w:rsid w:val="00B46688"/>
    <w:rsid w:val="00B4688B"/>
    <w:rsid w:val="00B46AF3"/>
    <w:rsid w:val="00B47F21"/>
    <w:rsid w:val="00B56AE3"/>
    <w:rsid w:val="00B56C16"/>
    <w:rsid w:val="00B56FBE"/>
    <w:rsid w:val="00B57254"/>
    <w:rsid w:val="00B57A24"/>
    <w:rsid w:val="00B60358"/>
    <w:rsid w:val="00B60778"/>
    <w:rsid w:val="00B60933"/>
    <w:rsid w:val="00B62DA4"/>
    <w:rsid w:val="00B63189"/>
    <w:rsid w:val="00B67BDD"/>
    <w:rsid w:val="00B67F59"/>
    <w:rsid w:val="00B67F84"/>
    <w:rsid w:val="00B70554"/>
    <w:rsid w:val="00B71DA8"/>
    <w:rsid w:val="00B7269F"/>
    <w:rsid w:val="00B72DC7"/>
    <w:rsid w:val="00B73B6F"/>
    <w:rsid w:val="00B74C68"/>
    <w:rsid w:val="00B76178"/>
    <w:rsid w:val="00B762DB"/>
    <w:rsid w:val="00B809A9"/>
    <w:rsid w:val="00B80E4D"/>
    <w:rsid w:val="00B80FFD"/>
    <w:rsid w:val="00B815B5"/>
    <w:rsid w:val="00B81B0A"/>
    <w:rsid w:val="00B81F50"/>
    <w:rsid w:val="00B836B9"/>
    <w:rsid w:val="00B86DA4"/>
    <w:rsid w:val="00B91A2F"/>
    <w:rsid w:val="00B92152"/>
    <w:rsid w:val="00B92C69"/>
    <w:rsid w:val="00B94991"/>
    <w:rsid w:val="00B96640"/>
    <w:rsid w:val="00B96702"/>
    <w:rsid w:val="00BA02F4"/>
    <w:rsid w:val="00BA0440"/>
    <w:rsid w:val="00BA09C1"/>
    <w:rsid w:val="00BA32A1"/>
    <w:rsid w:val="00BA46A0"/>
    <w:rsid w:val="00BA4703"/>
    <w:rsid w:val="00BA5322"/>
    <w:rsid w:val="00BA5B0A"/>
    <w:rsid w:val="00BA7046"/>
    <w:rsid w:val="00BA7F39"/>
    <w:rsid w:val="00BB1F78"/>
    <w:rsid w:val="00BB2C66"/>
    <w:rsid w:val="00BB3421"/>
    <w:rsid w:val="00BB355A"/>
    <w:rsid w:val="00BB421A"/>
    <w:rsid w:val="00BB50F7"/>
    <w:rsid w:val="00BB51CD"/>
    <w:rsid w:val="00BB5714"/>
    <w:rsid w:val="00BB595D"/>
    <w:rsid w:val="00BB78B7"/>
    <w:rsid w:val="00BC2777"/>
    <w:rsid w:val="00BC3539"/>
    <w:rsid w:val="00BC37DD"/>
    <w:rsid w:val="00BC4114"/>
    <w:rsid w:val="00BC5217"/>
    <w:rsid w:val="00BC5A69"/>
    <w:rsid w:val="00BC5B09"/>
    <w:rsid w:val="00BC5D7C"/>
    <w:rsid w:val="00BC6C86"/>
    <w:rsid w:val="00BC6D44"/>
    <w:rsid w:val="00BC706C"/>
    <w:rsid w:val="00BC7364"/>
    <w:rsid w:val="00BC744B"/>
    <w:rsid w:val="00BC74B8"/>
    <w:rsid w:val="00BD01F6"/>
    <w:rsid w:val="00BD15F0"/>
    <w:rsid w:val="00BD1C87"/>
    <w:rsid w:val="00BD4578"/>
    <w:rsid w:val="00BD4D6B"/>
    <w:rsid w:val="00BE021A"/>
    <w:rsid w:val="00BE12DE"/>
    <w:rsid w:val="00BE1F13"/>
    <w:rsid w:val="00BE29C5"/>
    <w:rsid w:val="00BE3C63"/>
    <w:rsid w:val="00BE42FD"/>
    <w:rsid w:val="00BE64E1"/>
    <w:rsid w:val="00BF07A3"/>
    <w:rsid w:val="00BF12AB"/>
    <w:rsid w:val="00BF5189"/>
    <w:rsid w:val="00BF533B"/>
    <w:rsid w:val="00BF5BC1"/>
    <w:rsid w:val="00BF5E73"/>
    <w:rsid w:val="00C0129A"/>
    <w:rsid w:val="00C02226"/>
    <w:rsid w:val="00C02357"/>
    <w:rsid w:val="00C04D00"/>
    <w:rsid w:val="00C04D39"/>
    <w:rsid w:val="00C0666E"/>
    <w:rsid w:val="00C07826"/>
    <w:rsid w:val="00C1024D"/>
    <w:rsid w:val="00C116CC"/>
    <w:rsid w:val="00C11AD6"/>
    <w:rsid w:val="00C121D1"/>
    <w:rsid w:val="00C1259A"/>
    <w:rsid w:val="00C12B10"/>
    <w:rsid w:val="00C148A2"/>
    <w:rsid w:val="00C1707E"/>
    <w:rsid w:val="00C178A9"/>
    <w:rsid w:val="00C2050B"/>
    <w:rsid w:val="00C20512"/>
    <w:rsid w:val="00C23A82"/>
    <w:rsid w:val="00C255B7"/>
    <w:rsid w:val="00C264BB"/>
    <w:rsid w:val="00C26BBA"/>
    <w:rsid w:val="00C272E3"/>
    <w:rsid w:val="00C30026"/>
    <w:rsid w:val="00C30AF4"/>
    <w:rsid w:val="00C31D71"/>
    <w:rsid w:val="00C323BD"/>
    <w:rsid w:val="00C32B5B"/>
    <w:rsid w:val="00C34189"/>
    <w:rsid w:val="00C412D7"/>
    <w:rsid w:val="00C418CE"/>
    <w:rsid w:val="00C41D33"/>
    <w:rsid w:val="00C43687"/>
    <w:rsid w:val="00C454D3"/>
    <w:rsid w:val="00C45B29"/>
    <w:rsid w:val="00C45C33"/>
    <w:rsid w:val="00C4642F"/>
    <w:rsid w:val="00C50364"/>
    <w:rsid w:val="00C5321F"/>
    <w:rsid w:val="00C53380"/>
    <w:rsid w:val="00C533EC"/>
    <w:rsid w:val="00C54899"/>
    <w:rsid w:val="00C55045"/>
    <w:rsid w:val="00C551CC"/>
    <w:rsid w:val="00C555F4"/>
    <w:rsid w:val="00C566C9"/>
    <w:rsid w:val="00C57F6E"/>
    <w:rsid w:val="00C6217D"/>
    <w:rsid w:val="00C63652"/>
    <w:rsid w:val="00C63678"/>
    <w:rsid w:val="00C6418B"/>
    <w:rsid w:val="00C6665E"/>
    <w:rsid w:val="00C66950"/>
    <w:rsid w:val="00C70083"/>
    <w:rsid w:val="00C71A78"/>
    <w:rsid w:val="00C7203A"/>
    <w:rsid w:val="00C734CF"/>
    <w:rsid w:val="00C7562C"/>
    <w:rsid w:val="00C7669A"/>
    <w:rsid w:val="00C76C32"/>
    <w:rsid w:val="00C7781E"/>
    <w:rsid w:val="00C77D9F"/>
    <w:rsid w:val="00C82283"/>
    <w:rsid w:val="00C829C2"/>
    <w:rsid w:val="00C842F3"/>
    <w:rsid w:val="00C843D1"/>
    <w:rsid w:val="00C84D07"/>
    <w:rsid w:val="00C850F5"/>
    <w:rsid w:val="00C851A9"/>
    <w:rsid w:val="00C8538C"/>
    <w:rsid w:val="00C861EC"/>
    <w:rsid w:val="00C86378"/>
    <w:rsid w:val="00C868C6"/>
    <w:rsid w:val="00C87A63"/>
    <w:rsid w:val="00C90710"/>
    <w:rsid w:val="00C90E24"/>
    <w:rsid w:val="00C9199D"/>
    <w:rsid w:val="00C92D33"/>
    <w:rsid w:val="00C92D3F"/>
    <w:rsid w:val="00C93DC3"/>
    <w:rsid w:val="00C95EDE"/>
    <w:rsid w:val="00C97A1D"/>
    <w:rsid w:val="00CA132D"/>
    <w:rsid w:val="00CA1364"/>
    <w:rsid w:val="00CA196D"/>
    <w:rsid w:val="00CA2160"/>
    <w:rsid w:val="00CA2AD8"/>
    <w:rsid w:val="00CA36AC"/>
    <w:rsid w:val="00CB0B8A"/>
    <w:rsid w:val="00CB1101"/>
    <w:rsid w:val="00CB1F22"/>
    <w:rsid w:val="00CB2318"/>
    <w:rsid w:val="00CB303F"/>
    <w:rsid w:val="00CB3D6F"/>
    <w:rsid w:val="00CB4005"/>
    <w:rsid w:val="00CB62AC"/>
    <w:rsid w:val="00CB6D2F"/>
    <w:rsid w:val="00CB74BC"/>
    <w:rsid w:val="00CB7736"/>
    <w:rsid w:val="00CC29B7"/>
    <w:rsid w:val="00CC2AF0"/>
    <w:rsid w:val="00CC456A"/>
    <w:rsid w:val="00CC4C3D"/>
    <w:rsid w:val="00CC4DDA"/>
    <w:rsid w:val="00CC65EF"/>
    <w:rsid w:val="00CC6CF9"/>
    <w:rsid w:val="00CC6FAC"/>
    <w:rsid w:val="00CC761D"/>
    <w:rsid w:val="00CD0B7A"/>
    <w:rsid w:val="00CD2718"/>
    <w:rsid w:val="00CD274D"/>
    <w:rsid w:val="00CD576B"/>
    <w:rsid w:val="00CD60DD"/>
    <w:rsid w:val="00CD7E81"/>
    <w:rsid w:val="00CE01B5"/>
    <w:rsid w:val="00CE28FD"/>
    <w:rsid w:val="00CE322F"/>
    <w:rsid w:val="00CE3D3A"/>
    <w:rsid w:val="00CE499F"/>
    <w:rsid w:val="00CE5384"/>
    <w:rsid w:val="00CE6B9E"/>
    <w:rsid w:val="00CF0111"/>
    <w:rsid w:val="00CF5094"/>
    <w:rsid w:val="00CF7D80"/>
    <w:rsid w:val="00D02E70"/>
    <w:rsid w:val="00D03985"/>
    <w:rsid w:val="00D048AF"/>
    <w:rsid w:val="00D055E1"/>
    <w:rsid w:val="00D05D6E"/>
    <w:rsid w:val="00D05E11"/>
    <w:rsid w:val="00D0741F"/>
    <w:rsid w:val="00D1030D"/>
    <w:rsid w:val="00D11BD1"/>
    <w:rsid w:val="00D1358B"/>
    <w:rsid w:val="00D13F9D"/>
    <w:rsid w:val="00D15555"/>
    <w:rsid w:val="00D20F48"/>
    <w:rsid w:val="00D215A7"/>
    <w:rsid w:val="00D21CE6"/>
    <w:rsid w:val="00D239C6"/>
    <w:rsid w:val="00D23D4C"/>
    <w:rsid w:val="00D26432"/>
    <w:rsid w:val="00D27A01"/>
    <w:rsid w:val="00D307F4"/>
    <w:rsid w:val="00D30C78"/>
    <w:rsid w:val="00D30D07"/>
    <w:rsid w:val="00D3197B"/>
    <w:rsid w:val="00D32024"/>
    <w:rsid w:val="00D33D45"/>
    <w:rsid w:val="00D351DD"/>
    <w:rsid w:val="00D352C9"/>
    <w:rsid w:val="00D3548E"/>
    <w:rsid w:val="00D37506"/>
    <w:rsid w:val="00D37DCB"/>
    <w:rsid w:val="00D401AA"/>
    <w:rsid w:val="00D418D4"/>
    <w:rsid w:val="00D428E8"/>
    <w:rsid w:val="00D43477"/>
    <w:rsid w:val="00D4626B"/>
    <w:rsid w:val="00D519B5"/>
    <w:rsid w:val="00D51EEB"/>
    <w:rsid w:val="00D52190"/>
    <w:rsid w:val="00D545EC"/>
    <w:rsid w:val="00D54626"/>
    <w:rsid w:val="00D54F1A"/>
    <w:rsid w:val="00D60DBB"/>
    <w:rsid w:val="00D613B8"/>
    <w:rsid w:val="00D63AE1"/>
    <w:rsid w:val="00D646EB"/>
    <w:rsid w:val="00D670A8"/>
    <w:rsid w:val="00D67FB9"/>
    <w:rsid w:val="00D70680"/>
    <w:rsid w:val="00D71473"/>
    <w:rsid w:val="00D71DAA"/>
    <w:rsid w:val="00D73281"/>
    <w:rsid w:val="00D73564"/>
    <w:rsid w:val="00D74237"/>
    <w:rsid w:val="00D747DB"/>
    <w:rsid w:val="00D74CB1"/>
    <w:rsid w:val="00D74FFE"/>
    <w:rsid w:val="00D75C05"/>
    <w:rsid w:val="00D762B1"/>
    <w:rsid w:val="00D765A0"/>
    <w:rsid w:val="00D76A32"/>
    <w:rsid w:val="00D81D49"/>
    <w:rsid w:val="00D82046"/>
    <w:rsid w:val="00D8243B"/>
    <w:rsid w:val="00D82803"/>
    <w:rsid w:val="00D84902"/>
    <w:rsid w:val="00D85BFD"/>
    <w:rsid w:val="00D865CD"/>
    <w:rsid w:val="00D8676D"/>
    <w:rsid w:val="00D86D34"/>
    <w:rsid w:val="00D87878"/>
    <w:rsid w:val="00D91453"/>
    <w:rsid w:val="00D9244F"/>
    <w:rsid w:val="00D92501"/>
    <w:rsid w:val="00D927A3"/>
    <w:rsid w:val="00D952B6"/>
    <w:rsid w:val="00D96F27"/>
    <w:rsid w:val="00D9714E"/>
    <w:rsid w:val="00D9719E"/>
    <w:rsid w:val="00DA1F54"/>
    <w:rsid w:val="00DA2E25"/>
    <w:rsid w:val="00DA4004"/>
    <w:rsid w:val="00DA44DF"/>
    <w:rsid w:val="00DA6A55"/>
    <w:rsid w:val="00DB10D3"/>
    <w:rsid w:val="00DB1655"/>
    <w:rsid w:val="00DB246E"/>
    <w:rsid w:val="00DB28BC"/>
    <w:rsid w:val="00DB4206"/>
    <w:rsid w:val="00DB4363"/>
    <w:rsid w:val="00DB4DBE"/>
    <w:rsid w:val="00DC0AF2"/>
    <w:rsid w:val="00DC0E49"/>
    <w:rsid w:val="00DC156C"/>
    <w:rsid w:val="00DC1E30"/>
    <w:rsid w:val="00DC2948"/>
    <w:rsid w:val="00DC3D59"/>
    <w:rsid w:val="00DC5461"/>
    <w:rsid w:val="00DC674F"/>
    <w:rsid w:val="00DC7381"/>
    <w:rsid w:val="00DC7E88"/>
    <w:rsid w:val="00DD175F"/>
    <w:rsid w:val="00DD2E6E"/>
    <w:rsid w:val="00DD42BB"/>
    <w:rsid w:val="00DD475D"/>
    <w:rsid w:val="00DD498E"/>
    <w:rsid w:val="00DD4AE1"/>
    <w:rsid w:val="00DD4B4C"/>
    <w:rsid w:val="00DD557D"/>
    <w:rsid w:val="00DD6F4D"/>
    <w:rsid w:val="00DD7EE5"/>
    <w:rsid w:val="00DE151D"/>
    <w:rsid w:val="00DE28CA"/>
    <w:rsid w:val="00DE39B6"/>
    <w:rsid w:val="00DE4182"/>
    <w:rsid w:val="00DE49EB"/>
    <w:rsid w:val="00DE5472"/>
    <w:rsid w:val="00DF066B"/>
    <w:rsid w:val="00DF1017"/>
    <w:rsid w:val="00DF225D"/>
    <w:rsid w:val="00DF3DF9"/>
    <w:rsid w:val="00DF4837"/>
    <w:rsid w:val="00DF4908"/>
    <w:rsid w:val="00DF49E7"/>
    <w:rsid w:val="00DF6188"/>
    <w:rsid w:val="00E000B4"/>
    <w:rsid w:val="00E0055D"/>
    <w:rsid w:val="00E00DE2"/>
    <w:rsid w:val="00E02B6D"/>
    <w:rsid w:val="00E030EA"/>
    <w:rsid w:val="00E03A0F"/>
    <w:rsid w:val="00E07956"/>
    <w:rsid w:val="00E1087F"/>
    <w:rsid w:val="00E117CB"/>
    <w:rsid w:val="00E1200D"/>
    <w:rsid w:val="00E1331E"/>
    <w:rsid w:val="00E13955"/>
    <w:rsid w:val="00E13D6F"/>
    <w:rsid w:val="00E14EE4"/>
    <w:rsid w:val="00E15041"/>
    <w:rsid w:val="00E16243"/>
    <w:rsid w:val="00E16414"/>
    <w:rsid w:val="00E205F5"/>
    <w:rsid w:val="00E22094"/>
    <w:rsid w:val="00E222D9"/>
    <w:rsid w:val="00E223E4"/>
    <w:rsid w:val="00E224F9"/>
    <w:rsid w:val="00E231BD"/>
    <w:rsid w:val="00E23CA9"/>
    <w:rsid w:val="00E240EA"/>
    <w:rsid w:val="00E2485D"/>
    <w:rsid w:val="00E2549B"/>
    <w:rsid w:val="00E26263"/>
    <w:rsid w:val="00E26E41"/>
    <w:rsid w:val="00E2759F"/>
    <w:rsid w:val="00E2794A"/>
    <w:rsid w:val="00E27ADA"/>
    <w:rsid w:val="00E3147B"/>
    <w:rsid w:val="00E3260E"/>
    <w:rsid w:val="00E331AD"/>
    <w:rsid w:val="00E3358A"/>
    <w:rsid w:val="00E36591"/>
    <w:rsid w:val="00E456BB"/>
    <w:rsid w:val="00E4570F"/>
    <w:rsid w:val="00E46734"/>
    <w:rsid w:val="00E4734A"/>
    <w:rsid w:val="00E51382"/>
    <w:rsid w:val="00E528D1"/>
    <w:rsid w:val="00E53D33"/>
    <w:rsid w:val="00E53F1C"/>
    <w:rsid w:val="00E56384"/>
    <w:rsid w:val="00E56C5A"/>
    <w:rsid w:val="00E56C88"/>
    <w:rsid w:val="00E57B74"/>
    <w:rsid w:val="00E6012E"/>
    <w:rsid w:val="00E60B72"/>
    <w:rsid w:val="00E61D11"/>
    <w:rsid w:val="00E62274"/>
    <w:rsid w:val="00E627B1"/>
    <w:rsid w:val="00E62AD4"/>
    <w:rsid w:val="00E62AE8"/>
    <w:rsid w:val="00E62D48"/>
    <w:rsid w:val="00E63B9F"/>
    <w:rsid w:val="00E64611"/>
    <w:rsid w:val="00E677A1"/>
    <w:rsid w:val="00E70DA1"/>
    <w:rsid w:val="00E72782"/>
    <w:rsid w:val="00E74434"/>
    <w:rsid w:val="00E74690"/>
    <w:rsid w:val="00E74A3D"/>
    <w:rsid w:val="00E751FF"/>
    <w:rsid w:val="00E75CAF"/>
    <w:rsid w:val="00E760F9"/>
    <w:rsid w:val="00E76905"/>
    <w:rsid w:val="00E76921"/>
    <w:rsid w:val="00E80BA7"/>
    <w:rsid w:val="00E80E7C"/>
    <w:rsid w:val="00E810D5"/>
    <w:rsid w:val="00E816A7"/>
    <w:rsid w:val="00E81907"/>
    <w:rsid w:val="00E826B2"/>
    <w:rsid w:val="00E82E2B"/>
    <w:rsid w:val="00E83410"/>
    <w:rsid w:val="00E835A7"/>
    <w:rsid w:val="00E83E46"/>
    <w:rsid w:val="00E84E20"/>
    <w:rsid w:val="00E85528"/>
    <w:rsid w:val="00E879BD"/>
    <w:rsid w:val="00E87DCE"/>
    <w:rsid w:val="00E9154C"/>
    <w:rsid w:val="00E9190F"/>
    <w:rsid w:val="00E9353D"/>
    <w:rsid w:val="00E94B3A"/>
    <w:rsid w:val="00E95060"/>
    <w:rsid w:val="00E950B5"/>
    <w:rsid w:val="00E95EB0"/>
    <w:rsid w:val="00EA0EBF"/>
    <w:rsid w:val="00EA292C"/>
    <w:rsid w:val="00EA2AE6"/>
    <w:rsid w:val="00EA2C2D"/>
    <w:rsid w:val="00EA4176"/>
    <w:rsid w:val="00EA44B0"/>
    <w:rsid w:val="00EA4D09"/>
    <w:rsid w:val="00EA59D3"/>
    <w:rsid w:val="00EB0318"/>
    <w:rsid w:val="00EB04D7"/>
    <w:rsid w:val="00EB0537"/>
    <w:rsid w:val="00EB11F8"/>
    <w:rsid w:val="00EB1DB9"/>
    <w:rsid w:val="00EB21CF"/>
    <w:rsid w:val="00EB2CBE"/>
    <w:rsid w:val="00EB3A5A"/>
    <w:rsid w:val="00EB475A"/>
    <w:rsid w:val="00EB5968"/>
    <w:rsid w:val="00EB5B1F"/>
    <w:rsid w:val="00EB5CAC"/>
    <w:rsid w:val="00EB6F3D"/>
    <w:rsid w:val="00EC4E3C"/>
    <w:rsid w:val="00EC53F2"/>
    <w:rsid w:val="00EC67E0"/>
    <w:rsid w:val="00EC7763"/>
    <w:rsid w:val="00EC780A"/>
    <w:rsid w:val="00EC7C1C"/>
    <w:rsid w:val="00ED0644"/>
    <w:rsid w:val="00ED1E04"/>
    <w:rsid w:val="00ED1E1E"/>
    <w:rsid w:val="00ED2B50"/>
    <w:rsid w:val="00ED456C"/>
    <w:rsid w:val="00ED47A1"/>
    <w:rsid w:val="00ED5DE3"/>
    <w:rsid w:val="00ED6DD6"/>
    <w:rsid w:val="00ED724F"/>
    <w:rsid w:val="00ED7E63"/>
    <w:rsid w:val="00EE2A43"/>
    <w:rsid w:val="00EE304C"/>
    <w:rsid w:val="00EE328C"/>
    <w:rsid w:val="00EE5E54"/>
    <w:rsid w:val="00EE71B8"/>
    <w:rsid w:val="00EF0B77"/>
    <w:rsid w:val="00EF0F22"/>
    <w:rsid w:val="00EF119F"/>
    <w:rsid w:val="00EF3587"/>
    <w:rsid w:val="00EF4E69"/>
    <w:rsid w:val="00EF5A36"/>
    <w:rsid w:val="00F0019F"/>
    <w:rsid w:val="00F00BE5"/>
    <w:rsid w:val="00F01428"/>
    <w:rsid w:val="00F0315D"/>
    <w:rsid w:val="00F033D9"/>
    <w:rsid w:val="00F04965"/>
    <w:rsid w:val="00F064A0"/>
    <w:rsid w:val="00F07397"/>
    <w:rsid w:val="00F11E41"/>
    <w:rsid w:val="00F1207F"/>
    <w:rsid w:val="00F13560"/>
    <w:rsid w:val="00F13EAA"/>
    <w:rsid w:val="00F140FA"/>
    <w:rsid w:val="00F15138"/>
    <w:rsid w:val="00F16B2E"/>
    <w:rsid w:val="00F17308"/>
    <w:rsid w:val="00F20BA8"/>
    <w:rsid w:val="00F20BC3"/>
    <w:rsid w:val="00F21501"/>
    <w:rsid w:val="00F23934"/>
    <w:rsid w:val="00F23C2F"/>
    <w:rsid w:val="00F23FF4"/>
    <w:rsid w:val="00F25BAE"/>
    <w:rsid w:val="00F26400"/>
    <w:rsid w:val="00F2690B"/>
    <w:rsid w:val="00F26C99"/>
    <w:rsid w:val="00F30BE8"/>
    <w:rsid w:val="00F332B2"/>
    <w:rsid w:val="00F35223"/>
    <w:rsid w:val="00F3556D"/>
    <w:rsid w:val="00F35749"/>
    <w:rsid w:val="00F35954"/>
    <w:rsid w:val="00F365B7"/>
    <w:rsid w:val="00F401A1"/>
    <w:rsid w:val="00F42AB1"/>
    <w:rsid w:val="00F42B90"/>
    <w:rsid w:val="00F42BC5"/>
    <w:rsid w:val="00F45415"/>
    <w:rsid w:val="00F46203"/>
    <w:rsid w:val="00F46611"/>
    <w:rsid w:val="00F46A0D"/>
    <w:rsid w:val="00F471F8"/>
    <w:rsid w:val="00F47D3B"/>
    <w:rsid w:val="00F51AB3"/>
    <w:rsid w:val="00F51BB3"/>
    <w:rsid w:val="00F52661"/>
    <w:rsid w:val="00F52BFC"/>
    <w:rsid w:val="00F53A82"/>
    <w:rsid w:val="00F53C42"/>
    <w:rsid w:val="00F543EE"/>
    <w:rsid w:val="00F544D6"/>
    <w:rsid w:val="00F548DA"/>
    <w:rsid w:val="00F551A7"/>
    <w:rsid w:val="00F61485"/>
    <w:rsid w:val="00F6195C"/>
    <w:rsid w:val="00F62C2B"/>
    <w:rsid w:val="00F65D2B"/>
    <w:rsid w:val="00F66B6F"/>
    <w:rsid w:val="00F66BD7"/>
    <w:rsid w:val="00F6723C"/>
    <w:rsid w:val="00F67892"/>
    <w:rsid w:val="00F67AAA"/>
    <w:rsid w:val="00F702C9"/>
    <w:rsid w:val="00F7062B"/>
    <w:rsid w:val="00F7246B"/>
    <w:rsid w:val="00F72B4C"/>
    <w:rsid w:val="00F72D25"/>
    <w:rsid w:val="00F73303"/>
    <w:rsid w:val="00F736BF"/>
    <w:rsid w:val="00F73C93"/>
    <w:rsid w:val="00F74ED5"/>
    <w:rsid w:val="00F756E6"/>
    <w:rsid w:val="00F75A69"/>
    <w:rsid w:val="00F7692A"/>
    <w:rsid w:val="00F7797A"/>
    <w:rsid w:val="00F802CC"/>
    <w:rsid w:val="00F80718"/>
    <w:rsid w:val="00F81DDD"/>
    <w:rsid w:val="00F8214C"/>
    <w:rsid w:val="00F82E73"/>
    <w:rsid w:val="00F82FC0"/>
    <w:rsid w:val="00F8426C"/>
    <w:rsid w:val="00F84299"/>
    <w:rsid w:val="00F84A2F"/>
    <w:rsid w:val="00F84CA3"/>
    <w:rsid w:val="00F852B9"/>
    <w:rsid w:val="00F86728"/>
    <w:rsid w:val="00F86FD6"/>
    <w:rsid w:val="00F872CB"/>
    <w:rsid w:val="00F87F0B"/>
    <w:rsid w:val="00F91755"/>
    <w:rsid w:val="00F91DAA"/>
    <w:rsid w:val="00F929DF"/>
    <w:rsid w:val="00F94B30"/>
    <w:rsid w:val="00F95673"/>
    <w:rsid w:val="00F95C09"/>
    <w:rsid w:val="00F97253"/>
    <w:rsid w:val="00F978B7"/>
    <w:rsid w:val="00FA00ED"/>
    <w:rsid w:val="00FA27A7"/>
    <w:rsid w:val="00FA2CFB"/>
    <w:rsid w:val="00FA36DB"/>
    <w:rsid w:val="00FA4497"/>
    <w:rsid w:val="00FA5E06"/>
    <w:rsid w:val="00FA64BC"/>
    <w:rsid w:val="00FB0E7E"/>
    <w:rsid w:val="00FB26D8"/>
    <w:rsid w:val="00FB2A77"/>
    <w:rsid w:val="00FB3F06"/>
    <w:rsid w:val="00FB661F"/>
    <w:rsid w:val="00FC2094"/>
    <w:rsid w:val="00FC304E"/>
    <w:rsid w:val="00FC4985"/>
    <w:rsid w:val="00FC49E7"/>
    <w:rsid w:val="00FC6AD6"/>
    <w:rsid w:val="00FC6ED1"/>
    <w:rsid w:val="00FC71FB"/>
    <w:rsid w:val="00FC7DD3"/>
    <w:rsid w:val="00FD068F"/>
    <w:rsid w:val="00FD140A"/>
    <w:rsid w:val="00FD2073"/>
    <w:rsid w:val="00FD2968"/>
    <w:rsid w:val="00FD2AC9"/>
    <w:rsid w:val="00FD3DB8"/>
    <w:rsid w:val="00FD46C4"/>
    <w:rsid w:val="00FD4E36"/>
    <w:rsid w:val="00FE09EE"/>
    <w:rsid w:val="00FE1442"/>
    <w:rsid w:val="00FE1B25"/>
    <w:rsid w:val="00FE2A78"/>
    <w:rsid w:val="00FE2D3B"/>
    <w:rsid w:val="00FE61ED"/>
    <w:rsid w:val="00FF36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E8C9"/>
  <w15:chartTrackingRefBased/>
  <w15:docId w15:val="{1244AA1B-DCA1-4084-8E63-3484B73D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18"/>
        <w:szCs w:val="18"/>
        <w:lang w:val="en-AU" w:eastAsia="en-US" w:bidi="ar-SA"/>
      </w:rPr>
    </w:rPrDefault>
    <w:pPrDefault>
      <w:pPr>
        <w:spacing w:before="60" w:after="60"/>
      </w:pPr>
    </w:pPrDefault>
  </w:docDefaults>
  <w:latentStyles w:defLockedState="0" w:defUIPriority="99" w:defSemiHidden="0" w:defUnhideWhenUsed="0" w:defQFormat="0" w:count="371">
    <w:lsdException w:name="Normal" w:uiPriority="8" w:qFormat="1"/>
    <w:lsdException w:name="heading 1" w:uiPriority="5"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 w:unhideWhenUsed="1" w:qFormat="1"/>
    <w:lsdException w:name="Normal Indent" w:semiHidden="1" w:unhideWhenUsed="1"/>
    <w:lsdException w:name="footnote text" w:semiHidden="1" w:uiPriority="23" w:unhideWhenUsed="1" w:qFormat="1"/>
    <w:lsdException w:name="annotation text" w:semiHidden="1" w:unhideWhenUsed="1"/>
    <w:lsdException w:name="header" w:semiHidden="1" w:uiPriority="27"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9" w:unhideWhenUsed="1"/>
    <w:lsdException w:name="List Number" w:semiHidden="1" w:uiPriority="10" w:unhideWhenUsed="1"/>
    <w:lsdException w:name="List 2" w:semiHidden="1"/>
    <w:lsdException w:name="List 3" w:semiHidden="1" w:unhideWhenUsed="1"/>
    <w:lsdException w:name="List 4" w:semiHidden="1" w:unhideWhenUsed="1"/>
    <w:lsdException w:name="List 5" w:semiHidden="1" w:unhideWhenUsed="1"/>
    <w:lsdException w:name="List Bullet 2" w:semiHidden="1" w:uiPriority="10" w:unhideWhenUsed="1"/>
    <w:lsdException w:name="List Bullet 3" w:unhideWhenUsed="1"/>
    <w:lsdException w:name="List Bullet 4" w:semiHidden="1" w:unhideWhenUsed="1"/>
    <w:lsdException w:name="List Bullet 5" w:semiHidden="1" w:unhideWhenUsed="1"/>
    <w:lsdException w:name="List Number 2" w:semiHidden="1" w:uiPriority="1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0A7B16"/>
    <w:pPr>
      <w:spacing w:before="120" w:after="120"/>
    </w:pPr>
    <w:rPr>
      <w:sz w:val="20"/>
    </w:rPr>
  </w:style>
  <w:style w:type="paragraph" w:styleId="Heading1">
    <w:name w:val="heading 1"/>
    <w:basedOn w:val="Normal"/>
    <w:next w:val="Normal"/>
    <w:link w:val="Heading1Char"/>
    <w:uiPriority w:val="5"/>
    <w:qFormat/>
    <w:rsid w:val="00022408"/>
    <w:pPr>
      <w:tabs>
        <w:tab w:val="left" w:pos="1134"/>
      </w:tabs>
      <w:spacing w:before="480" w:after="240"/>
      <w:ind w:left="1134" w:hanging="1134"/>
      <w:outlineLvl w:val="0"/>
    </w:pPr>
    <w:rPr>
      <w:rFonts w:eastAsiaTheme="majorEastAsia" w:cstheme="majorBidi"/>
      <w:b/>
      <w:bCs/>
      <w:color w:val="000000" w:themeColor="text1"/>
      <w:sz w:val="40"/>
      <w:szCs w:val="28"/>
    </w:rPr>
  </w:style>
  <w:style w:type="paragraph" w:styleId="Heading2">
    <w:name w:val="heading 2"/>
    <w:basedOn w:val="Heading1"/>
    <w:next w:val="Normal"/>
    <w:link w:val="Heading2Char"/>
    <w:uiPriority w:val="6"/>
    <w:qFormat/>
    <w:rsid w:val="003B183A"/>
    <w:pPr>
      <w:spacing w:before="360"/>
      <w:ind w:left="576" w:hanging="576"/>
      <w:outlineLvl w:val="1"/>
    </w:pPr>
    <w:rPr>
      <w:bCs w:val="0"/>
      <w:color w:val="auto"/>
      <w:sz w:val="36"/>
      <w:szCs w:val="26"/>
    </w:rPr>
  </w:style>
  <w:style w:type="paragraph" w:styleId="Heading3">
    <w:name w:val="heading 3"/>
    <w:basedOn w:val="Heading2"/>
    <w:next w:val="Normal"/>
    <w:link w:val="Heading3Char"/>
    <w:uiPriority w:val="6"/>
    <w:qFormat/>
    <w:rsid w:val="003B183A"/>
    <w:pPr>
      <w:spacing w:before="240"/>
      <w:ind w:left="1134" w:hanging="1134"/>
      <w:outlineLvl w:val="2"/>
    </w:pPr>
    <w:rPr>
      <w:bCs/>
      <w:sz w:val="32"/>
    </w:rPr>
  </w:style>
  <w:style w:type="paragraph" w:styleId="Heading4">
    <w:name w:val="heading 4"/>
    <w:basedOn w:val="Heading3"/>
    <w:next w:val="Normal"/>
    <w:link w:val="Heading4Char"/>
    <w:uiPriority w:val="6"/>
    <w:qFormat/>
    <w:rsid w:val="003B183A"/>
    <w:pPr>
      <w:outlineLvl w:val="3"/>
    </w:pPr>
    <w:rPr>
      <w:bCs w:val="0"/>
      <w:iCs/>
      <w:sz w:val="28"/>
    </w:rPr>
  </w:style>
  <w:style w:type="paragraph" w:styleId="Heading5">
    <w:name w:val="heading 5"/>
    <w:basedOn w:val="Normal"/>
    <w:next w:val="Normal"/>
    <w:link w:val="Heading5Char"/>
    <w:uiPriority w:val="9"/>
    <w:semiHidden/>
    <w:rsid w:val="00944F2D"/>
    <w:pPr>
      <w:keepNext/>
      <w:keepLines/>
      <w:spacing w:before="200"/>
      <w:ind w:left="1008" w:hanging="1008"/>
      <w:outlineLvl w:val="4"/>
    </w:pPr>
    <w:rPr>
      <w:rFonts w:asciiTheme="majorHAnsi" w:eastAsiaTheme="majorEastAsia" w:hAnsiTheme="majorHAnsi" w:cstheme="majorBidi"/>
      <w:color w:val="24272A" w:themeColor="accent1" w:themeShade="7F"/>
    </w:rPr>
  </w:style>
  <w:style w:type="paragraph" w:styleId="Heading6">
    <w:name w:val="heading 6"/>
    <w:basedOn w:val="Normal"/>
    <w:next w:val="Normal"/>
    <w:link w:val="Heading6Char"/>
    <w:uiPriority w:val="9"/>
    <w:semiHidden/>
    <w:rsid w:val="00944F2D"/>
    <w:pPr>
      <w:keepNext/>
      <w:keepLines/>
      <w:spacing w:before="200"/>
      <w:ind w:left="1152" w:hanging="1152"/>
      <w:outlineLvl w:val="5"/>
    </w:pPr>
    <w:rPr>
      <w:rFonts w:asciiTheme="majorHAnsi" w:eastAsiaTheme="majorEastAsia" w:hAnsiTheme="majorHAnsi" w:cstheme="majorBidi"/>
      <w:i/>
      <w:iCs/>
      <w:color w:val="24272A" w:themeColor="accent1" w:themeShade="7F"/>
    </w:rPr>
  </w:style>
  <w:style w:type="paragraph" w:styleId="Heading7">
    <w:name w:val="heading 7"/>
    <w:basedOn w:val="Normal"/>
    <w:next w:val="Normal"/>
    <w:link w:val="Heading7Char"/>
    <w:uiPriority w:val="9"/>
    <w:semiHidden/>
    <w:qFormat/>
    <w:rsid w:val="00944F2D"/>
    <w:pPr>
      <w:keepNext/>
      <w:keepLines/>
      <w:spacing w:before="20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944F2D"/>
    <w:pPr>
      <w:keepNext/>
      <w:keepLines/>
      <w:spacing w:before="20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944F2D"/>
    <w:pPr>
      <w:keepNext/>
      <w:keepLines/>
      <w:spacing w:before="20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7"/>
    <w:rsid w:val="00F94B30"/>
    <w:pPr>
      <w:spacing w:before="60" w:after="0"/>
    </w:pPr>
    <w:rPr>
      <w:b/>
    </w:rPr>
  </w:style>
  <w:style w:type="character" w:customStyle="1" w:styleId="HeaderChar">
    <w:name w:val="Header Char"/>
    <w:basedOn w:val="DefaultParagraphFont"/>
    <w:link w:val="Header"/>
    <w:uiPriority w:val="27"/>
    <w:rsid w:val="00F94B30"/>
    <w:rPr>
      <w:b/>
      <w:sz w:val="19"/>
    </w:rPr>
  </w:style>
  <w:style w:type="paragraph" w:styleId="Footer">
    <w:name w:val="footer"/>
    <w:basedOn w:val="Normal"/>
    <w:link w:val="FooterChar"/>
    <w:uiPriority w:val="99"/>
    <w:rsid w:val="00B96702"/>
    <w:pPr>
      <w:spacing w:before="60" w:after="0"/>
    </w:pPr>
    <w:rPr>
      <w:sz w:val="16"/>
    </w:rPr>
  </w:style>
  <w:style w:type="character" w:customStyle="1" w:styleId="FooterChar">
    <w:name w:val="Footer Char"/>
    <w:basedOn w:val="DefaultParagraphFont"/>
    <w:link w:val="Footer"/>
    <w:uiPriority w:val="99"/>
    <w:rsid w:val="00B96702"/>
    <w:rPr>
      <w:sz w:val="16"/>
    </w:rPr>
  </w:style>
  <w:style w:type="table" w:styleId="TableGrid">
    <w:name w:val="Table Grid"/>
    <w:basedOn w:val="TableNormal"/>
    <w:uiPriority w:val="59"/>
    <w:rsid w:val="009C020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A27A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7A7"/>
    <w:rPr>
      <w:rFonts w:ascii="Tahoma" w:hAnsi="Tahoma" w:cs="Tahoma"/>
      <w:sz w:val="16"/>
      <w:szCs w:val="16"/>
    </w:rPr>
  </w:style>
  <w:style w:type="character" w:customStyle="1" w:styleId="Heading1Char">
    <w:name w:val="Heading 1 Char"/>
    <w:basedOn w:val="DefaultParagraphFont"/>
    <w:link w:val="Heading1"/>
    <w:uiPriority w:val="5"/>
    <w:rsid w:val="00022408"/>
    <w:rPr>
      <w:rFonts w:eastAsiaTheme="majorEastAsia" w:cstheme="majorBidi"/>
      <w:b/>
      <w:bCs/>
      <w:color w:val="000000" w:themeColor="text1"/>
      <w:sz w:val="40"/>
      <w:szCs w:val="28"/>
    </w:rPr>
  </w:style>
  <w:style w:type="paragraph" w:styleId="TOCHeading">
    <w:name w:val="TOC Heading"/>
    <w:basedOn w:val="Documenttitle"/>
    <w:next w:val="Normal"/>
    <w:uiPriority w:val="39"/>
    <w:qFormat/>
    <w:rsid w:val="00022408"/>
    <w:pPr>
      <w:ind w:left="0"/>
    </w:pPr>
  </w:style>
  <w:style w:type="paragraph" w:styleId="TOC1">
    <w:name w:val="toc 1"/>
    <w:basedOn w:val="Normal"/>
    <w:next w:val="Normal"/>
    <w:uiPriority w:val="39"/>
    <w:qFormat/>
    <w:rsid w:val="003B183A"/>
    <w:pPr>
      <w:tabs>
        <w:tab w:val="left" w:pos="851"/>
        <w:tab w:val="right" w:leader="dot" w:pos="10206"/>
      </w:tabs>
      <w:spacing w:before="360" w:after="240"/>
      <w:ind w:left="851" w:hanging="851"/>
    </w:pPr>
    <w:rPr>
      <w:b/>
      <w:noProof/>
      <w:sz w:val="28"/>
    </w:rPr>
  </w:style>
  <w:style w:type="character" w:styleId="Hyperlink">
    <w:name w:val="Hyperlink"/>
    <w:basedOn w:val="DefaultParagraphFont"/>
    <w:uiPriority w:val="99"/>
    <w:rsid w:val="002D15D1"/>
    <w:rPr>
      <w:rFonts w:ascii="Arial" w:hAnsi="Arial"/>
      <w:color w:val="EFC4D9" w:themeColor="accent3"/>
      <w:sz w:val="20"/>
      <w:u w:val="single"/>
    </w:rPr>
  </w:style>
  <w:style w:type="character" w:customStyle="1" w:styleId="Heading2Char">
    <w:name w:val="Heading 2 Char"/>
    <w:basedOn w:val="DefaultParagraphFont"/>
    <w:link w:val="Heading2"/>
    <w:uiPriority w:val="6"/>
    <w:rsid w:val="003B183A"/>
    <w:rPr>
      <w:rFonts w:eastAsiaTheme="majorEastAsia" w:cstheme="majorBidi"/>
      <w:b/>
      <w:sz w:val="36"/>
      <w:szCs w:val="26"/>
    </w:rPr>
  </w:style>
  <w:style w:type="paragraph" w:customStyle="1" w:styleId="Heading1introtext">
    <w:name w:val="Heading 1 intro text"/>
    <w:basedOn w:val="Heading2"/>
    <w:next w:val="Normal"/>
    <w:uiPriority w:val="5"/>
    <w:qFormat/>
    <w:rsid w:val="00697513"/>
    <w:pPr>
      <w:ind w:left="0" w:firstLine="0"/>
    </w:pPr>
    <w:rPr>
      <w:b w:val="0"/>
      <w:color w:val="4A4F55"/>
      <w:sz w:val="40"/>
    </w:rPr>
  </w:style>
  <w:style w:type="character" w:customStyle="1" w:styleId="Heading3Char">
    <w:name w:val="Heading 3 Char"/>
    <w:basedOn w:val="DefaultParagraphFont"/>
    <w:link w:val="Heading3"/>
    <w:uiPriority w:val="6"/>
    <w:rsid w:val="003B183A"/>
    <w:rPr>
      <w:rFonts w:eastAsiaTheme="majorEastAsia" w:cstheme="majorBidi"/>
      <w:b/>
      <w:bCs/>
      <w:sz w:val="32"/>
      <w:szCs w:val="26"/>
    </w:rPr>
  </w:style>
  <w:style w:type="character" w:customStyle="1" w:styleId="Heading4Char">
    <w:name w:val="Heading 4 Char"/>
    <w:basedOn w:val="DefaultParagraphFont"/>
    <w:link w:val="Heading4"/>
    <w:uiPriority w:val="6"/>
    <w:rsid w:val="003B183A"/>
    <w:rPr>
      <w:rFonts w:eastAsiaTheme="majorEastAsia" w:cstheme="majorBidi"/>
      <w:b/>
      <w:iCs/>
      <w:sz w:val="28"/>
      <w:szCs w:val="26"/>
    </w:rPr>
  </w:style>
  <w:style w:type="paragraph" w:styleId="TOC2">
    <w:name w:val="toc 2"/>
    <w:basedOn w:val="Normal"/>
    <w:next w:val="Normal"/>
    <w:uiPriority w:val="39"/>
    <w:qFormat/>
    <w:rsid w:val="003B183A"/>
    <w:pPr>
      <w:tabs>
        <w:tab w:val="left" w:pos="851"/>
        <w:tab w:val="right" w:leader="dot" w:pos="10206"/>
      </w:tabs>
      <w:ind w:left="851" w:hanging="851"/>
    </w:pPr>
    <w:rPr>
      <w:noProof/>
    </w:rPr>
  </w:style>
  <w:style w:type="paragraph" w:styleId="TOC3">
    <w:name w:val="toc 3"/>
    <w:basedOn w:val="Normal"/>
    <w:next w:val="Normal"/>
    <w:autoRedefine/>
    <w:uiPriority w:val="39"/>
    <w:qFormat/>
    <w:rsid w:val="003C5DB3"/>
  </w:style>
  <w:style w:type="paragraph" w:customStyle="1" w:styleId="Text">
    <w:name w:val="Text"/>
    <w:basedOn w:val="Normal"/>
    <w:semiHidden/>
    <w:qFormat/>
    <w:rsid w:val="004F5DBE"/>
  </w:style>
  <w:style w:type="paragraph" w:customStyle="1" w:styleId="Appendices">
    <w:name w:val="Appendices"/>
    <w:basedOn w:val="Normal"/>
    <w:next w:val="Normal"/>
    <w:uiPriority w:val="24"/>
    <w:qFormat/>
    <w:rsid w:val="001239BE"/>
    <w:pPr>
      <w:pageBreakBefore/>
      <w:spacing w:before="240" w:after="240"/>
    </w:pPr>
    <w:rPr>
      <w:rFonts w:eastAsia="Arial" w:cs="Times New Roman"/>
      <w:b/>
      <w:sz w:val="40"/>
    </w:rPr>
  </w:style>
  <w:style w:type="paragraph" w:styleId="FootnoteText">
    <w:name w:val="footnote text"/>
    <w:basedOn w:val="Normal"/>
    <w:link w:val="FootnoteTextChar"/>
    <w:autoRedefine/>
    <w:uiPriority w:val="23"/>
    <w:semiHidden/>
    <w:qFormat/>
    <w:rsid w:val="00FD2073"/>
    <w:pPr>
      <w:spacing w:before="40" w:after="40"/>
    </w:pPr>
    <w:rPr>
      <w:sz w:val="12"/>
      <w:szCs w:val="20"/>
    </w:rPr>
  </w:style>
  <w:style w:type="character" w:customStyle="1" w:styleId="FootnoteTextChar">
    <w:name w:val="Footnote Text Char"/>
    <w:basedOn w:val="DefaultParagraphFont"/>
    <w:link w:val="FootnoteText"/>
    <w:uiPriority w:val="23"/>
    <w:semiHidden/>
    <w:rsid w:val="00646BF1"/>
    <w:rPr>
      <w:sz w:val="12"/>
      <w:szCs w:val="20"/>
    </w:rPr>
  </w:style>
  <w:style w:type="paragraph" w:styleId="EndnoteText">
    <w:name w:val="endnote text"/>
    <w:basedOn w:val="Normal"/>
    <w:link w:val="EndnoteTextChar"/>
    <w:uiPriority w:val="99"/>
    <w:semiHidden/>
    <w:rsid w:val="00585DCD"/>
    <w:rPr>
      <w:szCs w:val="20"/>
    </w:rPr>
  </w:style>
  <w:style w:type="character" w:customStyle="1" w:styleId="EndnoteTextChar">
    <w:name w:val="Endnote Text Char"/>
    <w:basedOn w:val="DefaultParagraphFont"/>
    <w:link w:val="EndnoteText"/>
    <w:uiPriority w:val="99"/>
    <w:semiHidden/>
    <w:rsid w:val="00807FFE"/>
    <w:rPr>
      <w:sz w:val="20"/>
      <w:szCs w:val="20"/>
    </w:rPr>
  </w:style>
  <w:style w:type="paragraph" w:styleId="ListNumber">
    <w:name w:val="List Number"/>
    <w:basedOn w:val="ListParagraph"/>
    <w:uiPriority w:val="10"/>
    <w:rsid w:val="00022408"/>
    <w:pPr>
      <w:numPr>
        <w:numId w:val="9"/>
      </w:numPr>
      <w:tabs>
        <w:tab w:val="left" w:pos="357"/>
      </w:tabs>
      <w:spacing w:before="60" w:after="60"/>
    </w:pPr>
  </w:style>
  <w:style w:type="paragraph" w:styleId="ListBullet">
    <w:name w:val="List Bullet"/>
    <w:basedOn w:val="Normal"/>
    <w:uiPriority w:val="9"/>
    <w:rsid w:val="00942B4D"/>
    <w:pPr>
      <w:numPr>
        <w:numId w:val="1"/>
      </w:numPr>
      <w:tabs>
        <w:tab w:val="clear" w:pos="360"/>
        <w:tab w:val="left" w:pos="357"/>
      </w:tabs>
      <w:spacing w:before="60" w:after="60"/>
      <w:ind w:left="357" w:hanging="357"/>
    </w:pPr>
  </w:style>
  <w:style w:type="paragraph" w:styleId="ListBullet2">
    <w:name w:val="List Bullet 2"/>
    <w:basedOn w:val="Normal"/>
    <w:uiPriority w:val="10"/>
    <w:rsid w:val="003B183A"/>
    <w:pPr>
      <w:numPr>
        <w:numId w:val="2"/>
      </w:numPr>
      <w:tabs>
        <w:tab w:val="left" w:pos="714"/>
      </w:tabs>
      <w:spacing w:before="60" w:after="60"/>
    </w:pPr>
  </w:style>
  <w:style w:type="paragraph" w:styleId="ListNumber2">
    <w:name w:val="List Number 2"/>
    <w:basedOn w:val="Normal"/>
    <w:uiPriority w:val="11"/>
    <w:semiHidden/>
    <w:rsid w:val="00646BF1"/>
    <w:pPr>
      <w:numPr>
        <w:numId w:val="3"/>
      </w:numPr>
    </w:pPr>
  </w:style>
  <w:style w:type="paragraph" w:styleId="ListNumber3">
    <w:name w:val="List Number 3"/>
    <w:basedOn w:val="Normal"/>
    <w:uiPriority w:val="99"/>
    <w:semiHidden/>
    <w:rsid w:val="00B80FFD"/>
    <w:pPr>
      <w:ind w:left="794"/>
    </w:pPr>
  </w:style>
  <w:style w:type="paragraph" w:styleId="TOC4">
    <w:name w:val="toc 4"/>
    <w:basedOn w:val="Normal"/>
    <w:next w:val="Normal"/>
    <w:autoRedefine/>
    <w:uiPriority w:val="3"/>
    <w:semiHidden/>
    <w:qFormat/>
    <w:rsid w:val="00B91A2F"/>
  </w:style>
  <w:style w:type="paragraph" w:customStyle="1" w:styleId="TableListBullet2">
    <w:name w:val="Table List Bullet 2"/>
    <w:basedOn w:val="Normal"/>
    <w:uiPriority w:val="20"/>
    <w:qFormat/>
    <w:rsid w:val="003B183A"/>
    <w:pPr>
      <w:numPr>
        <w:numId w:val="4"/>
      </w:numPr>
      <w:tabs>
        <w:tab w:val="left" w:pos="714"/>
      </w:tabs>
      <w:spacing w:before="60" w:after="60"/>
    </w:pPr>
  </w:style>
  <w:style w:type="paragraph" w:styleId="Caption">
    <w:name w:val="caption"/>
    <w:basedOn w:val="Normal"/>
    <w:next w:val="Normal"/>
    <w:uiPriority w:val="12"/>
    <w:qFormat/>
    <w:rsid w:val="003B183A"/>
    <w:pPr>
      <w:tabs>
        <w:tab w:val="left" w:pos="1418"/>
      </w:tabs>
      <w:spacing w:before="60" w:after="60"/>
      <w:ind w:left="1418" w:hanging="1418"/>
    </w:pPr>
    <w:rPr>
      <w:b/>
      <w:bCs/>
    </w:rPr>
  </w:style>
  <w:style w:type="paragraph" w:styleId="BodyText">
    <w:name w:val="Body Text"/>
    <w:basedOn w:val="Text"/>
    <w:link w:val="BodyTextChar"/>
    <w:uiPriority w:val="99"/>
    <w:semiHidden/>
    <w:rsid w:val="0052791E"/>
  </w:style>
  <w:style w:type="character" w:customStyle="1" w:styleId="BodyTextChar">
    <w:name w:val="Body Text Char"/>
    <w:basedOn w:val="DefaultParagraphFont"/>
    <w:link w:val="BodyText"/>
    <w:uiPriority w:val="99"/>
    <w:semiHidden/>
    <w:rsid w:val="0052791E"/>
  </w:style>
  <w:style w:type="paragraph" w:styleId="TableofFigures">
    <w:name w:val="table of figures"/>
    <w:basedOn w:val="Normal"/>
    <w:next w:val="Normal"/>
    <w:uiPriority w:val="99"/>
    <w:rsid w:val="003B183A"/>
    <w:pPr>
      <w:tabs>
        <w:tab w:val="left" w:pos="1418"/>
        <w:tab w:val="right" w:leader="dot" w:pos="10206"/>
      </w:tabs>
      <w:ind w:left="1418" w:hanging="1418"/>
    </w:pPr>
  </w:style>
  <w:style w:type="paragraph" w:customStyle="1" w:styleId="AppendixText">
    <w:name w:val="Appendix Text"/>
    <w:basedOn w:val="Caption"/>
    <w:next w:val="Normal"/>
    <w:uiPriority w:val="24"/>
    <w:semiHidden/>
    <w:qFormat/>
    <w:rsid w:val="00725490"/>
    <w:pPr>
      <w:pageBreakBefore/>
      <w:tabs>
        <w:tab w:val="left" w:pos="2155"/>
      </w:tabs>
      <w:spacing w:before="360" w:after="240"/>
      <w:ind w:left="2155" w:hanging="2155"/>
    </w:pPr>
    <w:rPr>
      <w:sz w:val="32"/>
    </w:rPr>
  </w:style>
  <w:style w:type="character" w:customStyle="1" w:styleId="Heading5Char">
    <w:name w:val="Heading 5 Char"/>
    <w:basedOn w:val="DefaultParagraphFont"/>
    <w:link w:val="Heading5"/>
    <w:uiPriority w:val="9"/>
    <w:semiHidden/>
    <w:rsid w:val="00FA27A7"/>
    <w:rPr>
      <w:rFonts w:asciiTheme="majorHAnsi" w:eastAsiaTheme="majorEastAsia" w:hAnsiTheme="majorHAnsi" w:cstheme="majorBidi"/>
      <w:color w:val="24272A" w:themeColor="accent1" w:themeShade="7F"/>
      <w:sz w:val="20"/>
    </w:rPr>
  </w:style>
  <w:style w:type="character" w:customStyle="1" w:styleId="Heading6Char">
    <w:name w:val="Heading 6 Char"/>
    <w:basedOn w:val="DefaultParagraphFont"/>
    <w:link w:val="Heading6"/>
    <w:uiPriority w:val="9"/>
    <w:semiHidden/>
    <w:rsid w:val="00FA27A7"/>
    <w:rPr>
      <w:rFonts w:asciiTheme="majorHAnsi" w:eastAsiaTheme="majorEastAsia" w:hAnsiTheme="majorHAnsi" w:cstheme="majorBidi"/>
      <w:i/>
      <w:iCs/>
      <w:color w:val="24272A" w:themeColor="accent1" w:themeShade="7F"/>
      <w:sz w:val="20"/>
    </w:rPr>
  </w:style>
  <w:style w:type="character" w:customStyle="1" w:styleId="Heading7Char">
    <w:name w:val="Heading 7 Char"/>
    <w:basedOn w:val="DefaultParagraphFont"/>
    <w:link w:val="Heading7"/>
    <w:uiPriority w:val="9"/>
    <w:semiHidden/>
    <w:rsid w:val="00FA27A7"/>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FA27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27A7"/>
    <w:rPr>
      <w:rFonts w:asciiTheme="majorHAnsi" w:eastAsiaTheme="majorEastAsia" w:hAnsiTheme="majorHAnsi" w:cstheme="majorBidi"/>
      <w:i/>
      <w:iCs/>
      <w:color w:val="404040" w:themeColor="text1" w:themeTint="BF"/>
      <w:sz w:val="20"/>
      <w:szCs w:val="20"/>
    </w:rPr>
  </w:style>
  <w:style w:type="paragraph" w:styleId="TOC9">
    <w:name w:val="toc 9"/>
    <w:basedOn w:val="Normal"/>
    <w:next w:val="Normal"/>
    <w:uiPriority w:val="3"/>
    <w:semiHidden/>
    <w:qFormat/>
    <w:rsid w:val="004043C2"/>
    <w:pPr>
      <w:tabs>
        <w:tab w:val="left" w:pos="1134"/>
        <w:tab w:val="right" w:leader="dot" w:pos="4808"/>
      </w:tabs>
      <w:ind w:left="1134" w:hanging="1134"/>
    </w:pPr>
  </w:style>
  <w:style w:type="paragraph" w:customStyle="1" w:styleId="TableTextHeading">
    <w:name w:val="Table Text Heading"/>
    <w:basedOn w:val="Normal"/>
    <w:uiPriority w:val="13"/>
    <w:qFormat/>
    <w:rsid w:val="00E223E4"/>
    <w:pPr>
      <w:spacing w:before="60" w:after="60"/>
      <w:jc w:val="center"/>
    </w:pPr>
    <w:rPr>
      <w:b/>
    </w:rPr>
  </w:style>
  <w:style w:type="paragraph" w:customStyle="1" w:styleId="TableText">
    <w:name w:val="Table Text"/>
    <w:basedOn w:val="Normal"/>
    <w:uiPriority w:val="14"/>
    <w:qFormat/>
    <w:rsid w:val="00B81B0A"/>
    <w:pPr>
      <w:spacing w:before="60" w:after="60"/>
    </w:pPr>
  </w:style>
  <w:style w:type="paragraph" w:customStyle="1" w:styleId="TableTextCentre">
    <w:name w:val="Table Text Centre"/>
    <w:basedOn w:val="Normal"/>
    <w:uiPriority w:val="15"/>
    <w:qFormat/>
    <w:rsid w:val="00942B4D"/>
    <w:pPr>
      <w:spacing w:before="60" w:after="60"/>
      <w:jc w:val="center"/>
    </w:pPr>
  </w:style>
  <w:style w:type="paragraph" w:customStyle="1" w:styleId="TableTextRight">
    <w:name w:val="Table Text Right"/>
    <w:basedOn w:val="Normal"/>
    <w:uiPriority w:val="16"/>
    <w:qFormat/>
    <w:rsid w:val="00942B4D"/>
    <w:pPr>
      <w:spacing w:before="60" w:after="60"/>
      <w:jc w:val="right"/>
    </w:pPr>
  </w:style>
  <w:style w:type="paragraph" w:customStyle="1" w:styleId="TableListBullet">
    <w:name w:val="Table List Bullet"/>
    <w:basedOn w:val="Normal"/>
    <w:uiPriority w:val="19"/>
    <w:qFormat/>
    <w:rsid w:val="006102B1"/>
    <w:pPr>
      <w:numPr>
        <w:numId w:val="5"/>
      </w:numPr>
      <w:tabs>
        <w:tab w:val="left" w:pos="357"/>
      </w:tabs>
      <w:spacing w:before="60" w:after="60"/>
    </w:pPr>
  </w:style>
  <w:style w:type="paragraph" w:customStyle="1" w:styleId="TableListNumber">
    <w:name w:val="Table List Number"/>
    <w:basedOn w:val="Normal"/>
    <w:uiPriority w:val="20"/>
    <w:qFormat/>
    <w:rsid w:val="00022408"/>
    <w:pPr>
      <w:numPr>
        <w:numId w:val="6"/>
      </w:numPr>
      <w:tabs>
        <w:tab w:val="left" w:pos="357"/>
      </w:tabs>
      <w:spacing w:before="60" w:after="60"/>
    </w:pPr>
  </w:style>
  <w:style w:type="paragraph" w:customStyle="1" w:styleId="Source">
    <w:name w:val="Source"/>
    <w:basedOn w:val="Normal"/>
    <w:uiPriority w:val="23"/>
    <w:qFormat/>
    <w:rsid w:val="00942B4D"/>
    <w:pPr>
      <w:spacing w:before="60" w:after="60"/>
    </w:pPr>
    <w:rPr>
      <w:i/>
      <w:sz w:val="16"/>
    </w:rPr>
  </w:style>
  <w:style w:type="character" w:styleId="EndnoteReference">
    <w:name w:val="endnote reference"/>
    <w:basedOn w:val="DefaultParagraphFont"/>
    <w:uiPriority w:val="99"/>
    <w:semiHidden/>
    <w:rsid w:val="001F514F"/>
    <w:rPr>
      <w:vertAlign w:val="superscript"/>
    </w:rPr>
  </w:style>
  <w:style w:type="paragraph" w:customStyle="1" w:styleId="SourceIndent">
    <w:name w:val="Source Indent"/>
    <w:basedOn w:val="Normal"/>
    <w:semiHidden/>
    <w:qFormat/>
    <w:rsid w:val="007537DF"/>
    <w:pPr>
      <w:numPr>
        <w:numId w:val="7"/>
      </w:numPr>
      <w:tabs>
        <w:tab w:val="left" w:pos="284"/>
      </w:tabs>
      <w:jc w:val="both"/>
    </w:pPr>
    <w:rPr>
      <w:sz w:val="12"/>
    </w:rPr>
  </w:style>
  <w:style w:type="character" w:styleId="FootnoteReference">
    <w:name w:val="footnote reference"/>
    <w:basedOn w:val="DefaultParagraphFont"/>
    <w:uiPriority w:val="23"/>
    <w:semiHidden/>
    <w:rsid w:val="0057785B"/>
    <w:rPr>
      <w:color w:val="auto"/>
      <w:bdr w:val="none" w:sz="0" w:space="0" w:color="auto"/>
      <w:vertAlign w:val="superscript"/>
    </w:rPr>
  </w:style>
  <w:style w:type="paragraph" w:styleId="Date">
    <w:name w:val="Date"/>
    <w:basedOn w:val="Documenttitle"/>
    <w:next w:val="Normal"/>
    <w:link w:val="DateChar"/>
    <w:uiPriority w:val="1"/>
    <w:qFormat/>
    <w:rsid w:val="00022408"/>
    <w:rPr>
      <w:sz w:val="34"/>
    </w:rPr>
  </w:style>
  <w:style w:type="character" w:customStyle="1" w:styleId="DateChar">
    <w:name w:val="Date Char"/>
    <w:basedOn w:val="DefaultParagraphFont"/>
    <w:link w:val="Date"/>
    <w:uiPriority w:val="1"/>
    <w:rsid w:val="00022408"/>
    <w:rPr>
      <w:b/>
      <w:sz w:val="34"/>
    </w:rPr>
  </w:style>
  <w:style w:type="paragraph" w:customStyle="1" w:styleId="Documenttitlesubheading">
    <w:name w:val="Document title subheading"/>
    <w:basedOn w:val="Normal"/>
    <w:next w:val="Normal"/>
    <w:qFormat/>
    <w:rsid w:val="00022408"/>
    <w:pPr>
      <w:ind w:left="1134"/>
    </w:pPr>
    <w:rPr>
      <w:b/>
      <w:sz w:val="34"/>
    </w:rPr>
  </w:style>
  <w:style w:type="character" w:styleId="PlaceholderText">
    <w:name w:val="Placeholder Text"/>
    <w:basedOn w:val="DefaultParagraphFont"/>
    <w:uiPriority w:val="99"/>
    <w:semiHidden/>
    <w:rsid w:val="00CA2AD8"/>
    <w:rPr>
      <w:color w:val="808080"/>
    </w:rPr>
  </w:style>
  <w:style w:type="paragraph" w:customStyle="1" w:styleId="ListBullet2Indent">
    <w:name w:val="List Bullet 2 Indent"/>
    <w:basedOn w:val="ListBullet2"/>
    <w:uiPriority w:val="10"/>
    <w:qFormat/>
    <w:rsid w:val="000E4108"/>
    <w:pPr>
      <w:numPr>
        <w:numId w:val="0"/>
      </w:numPr>
      <w:tabs>
        <w:tab w:val="clear" w:pos="714"/>
      </w:tabs>
      <w:ind w:left="714"/>
    </w:pPr>
  </w:style>
  <w:style w:type="paragraph" w:customStyle="1" w:styleId="Documenttitle">
    <w:name w:val="Document title"/>
    <w:basedOn w:val="Normal"/>
    <w:next w:val="Normal"/>
    <w:qFormat/>
    <w:rsid w:val="00022408"/>
    <w:pPr>
      <w:ind w:left="1134"/>
    </w:pPr>
    <w:rPr>
      <w:b/>
      <w:sz w:val="60"/>
    </w:rPr>
  </w:style>
  <w:style w:type="paragraph" w:customStyle="1" w:styleId="TableTextItalics">
    <w:name w:val="Table Text Italics"/>
    <w:basedOn w:val="TableText"/>
    <w:uiPriority w:val="18"/>
    <w:rsid w:val="00942B4D"/>
    <w:rPr>
      <w:i/>
    </w:rPr>
  </w:style>
  <w:style w:type="paragraph" w:customStyle="1" w:styleId="ListBulletIndent">
    <w:name w:val="List Bullet Indent"/>
    <w:basedOn w:val="ListBullet"/>
    <w:uiPriority w:val="9"/>
    <w:qFormat/>
    <w:rsid w:val="000E4108"/>
    <w:pPr>
      <w:numPr>
        <w:numId w:val="0"/>
      </w:numPr>
      <w:tabs>
        <w:tab w:val="left" w:pos="357"/>
      </w:tabs>
      <w:ind w:left="357"/>
    </w:pPr>
  </w:style>
  <w:style w:type="paragraph" w:customStyle="1" w:styleId="Note">
    <w:name w:val="Note"/>
    <w:basedOn w:val="Normal"/>
    <w:next w:val="Normal"/>
    <w:uiPriority w:val="22"/>
    <w:qFormat/>
    <w:rsid w:val="00942B4D"/>
    <w:pPr>
      <w:spacing w:before="60" w:after="60"/>
      <w:jc w:val="both"/>
    </w:pPr>
    <w:rPr>
      <w:sz w:val="16"/>
      <w:szCs w:val="22"/>
    </w:rPr>
  </w:style>
  <w:style w:type="paragraph" w:customStyle="1" w:styleId="NoteIndent">
    <w:name w:val="Note Indent"/>
    <w:basedOn w:val="Normal"/>
    <w:uiPriority w:val="22"/>
    <w:qFormat/>
    <w:rsid w:val="005E2E37"/>
    <w:pPr>
      <w:numPr>
        <w:numId w:val="8"/>
      </w:numPr>
      <w:tabs>
        <w:tab w:val="left" w:pos="357"/>
      </w:tabs>
      <w:spacing w:before="60" w:after="60"/>
    </w:pPr>
    <w:rPr>
      <w:sz w:val="16"/>
    </w:rPr>
  </w:style>
  <w:style w:type="paragraph" w:customStyle="1" w:styleId="TableListBulletIndent">
    <w:name w:val="Table List Bullet Indent"/>
    <w:basedOn w:val="Normal"/>
    <w:uiPriority w:val="19"/>
    <w:qFormat/>
    <w:rsid w:val="006102B1"/>
    <w:pPr>
      <w:spacing w:before="60" w:after="60"/>
      <w:ind w:left="357"/>
    </w:pPr>
  </w:style>
  <w:style w:type="paragraph" w:customStyle="1" w:styleId="TableListBullet2Indent">
    <w:name w:val="Table List Bullet 2 Indent"/>
    <w:basedOn w:val="TableListBullet2"/>
    <w:uiPriority w:val="20"/>
    <w:qFormat/>
    <w:rsid w:val="00B60358"/>
    <w:pPr>
      <w:numPr>
        <w:numId w:val="0"/>
      </w:numPr>
      <w:ind w:left="714"/>
    </w:pPr>
  </w:style>
  <w:style w:type="paragraph" w:customStyle="1" w:styleId="TableListNumber2">
    <w:name w:val="Table List Number 2"/>
    <w:basedOn w:val="ListNumber2"/>
    <w:uiPriority w:val="21"/>
    <w:semiHidden/>
    <w:qFormat/>
    <w:rsid w:val="007A6989"/>
  </w:style>
  <w:style w:type="character" w:styleId="CommentReference">
    <w:name w:val="annotation reference"/>
    <w:basedOn w:val="DefaultParagraphFont"/>
    <w:uiPriority w:val="99"/>
    <w:semiHidden/>
    <w:rsid w:val="00D84902"/>
    <w:rPr>
      <w:sz w:val="16"/>
      <w:szCs w:val="16"/>
    </w:rPr>
  </w:style>
  <w:style w:type="paragraph" w:styleId="CommentText">
    <w:name w:val="annotation text"/>
    <w:basedOn w:val="Normal"/>
    <w:link w:val="CommentTextChar"/>
    <w:uiPriority w:val="99"/>
    <w:semiHidden/>
    <w:rsid w:val="00D84902"/>
    <w:rPr>
      <w:szCs w:val="20"/>
    </w:rPr>
  </w:style>
  <w:style w:type="character" w:customStyle="1" w:styleId="CommentTextChar">
    <w:name w:val="Comment Text Char"/>
    <w:basedOn w:val="DefaultParagraphFont"/>
    <w:link w:val="CommentText"/>
    <w:uiPriority w:val="99"/>
    <w:semiHidden/>
    <w:rsid w:val="00D84902"/>
    <w:rPr>
      <w:sz w:val="20"/>
      <w:szCs w:val="20"/>
    </w:rPr>
  </w:style>
  <w:style w:type="paragraph" w:customStyle="1" w:styleId="Listalpha">
    <w:name w:val="List alpha"/>
    <w:basedOn w:val="ListParagraph"/>
    <w:uiPriority w:val="11"/>
    <w:qFormat/>
    <w:rsid w:val="00022408"/>
    <w:pPr>
      <w:numPr>
        <w:numId w:val="10"/>
      </w:numPr>
      <w:tabs>
        <w:tab w:val="left" w:pos="714"/>
      </w:tabs>
      <w:spacing w:before="60" w:after="60"/>
    </w:pPr>
  </w:style>
  <w:style w:type="paragraph" w:customStyle="1" w:styleId="Tablelistalpha">
    <w:name w:val="Table list alpha"/>
    <w:basedOn w:val="Normal"/>
    <w:uiPriority w:val="21"/>
    <w:qFormat/>
    <w:rsid w:val="00022408"/>
    <w:pPr>
      <w:numPr>
        <w:numId w:val="11"/>
      </w:numPr>
      <w:tabs>
        <w:tab w:val="left" w:pos="714"/>
      </w:tabs>
      <w:spacing w:before="60" w:after="60"/>
    </w:pPr>
  </w:style>
  <w:style w:type="paragraph" w:customStyle="1" w:styleId="Tabletextindent">
    <w:name w:val="Table text indent"/>
    <w:basedOn w:val="Normal"/>
    <w:uiPriority w:val="14"/>
    <w:qFormat/>
    <w:rsid w:val="00942B4D"/>
    <w:pPr>
      <w:spacing w:before="60" w:after="60"/>
      <w:ind w:left="357"/>
    </w:p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2B2173"/>
  </w:style>
  <w:style w:type="paragraph" w:styleId="ListBullet3">
    <w:name w:val="List Bullet 3"/>
    <w:basedOn w:val="Normal"/>
    <w:uiPriority w:val="99"/>
    <w:semiHidden/>
    <w:rsid w:val="00942B4D"/>
    <w:pPr>
      <w:numPr>
        <w:numId w:val="12"/>
      </w:numPr>
      <w:spacing w:before="60" w:after="60"/>
      <w:ind w:left="714" w:hanging="357"/>
    </w:pPr>
  </w:style>
  <w:style w:type="paragraph" w:styleId="CommentSubject">
    <w:name w:val="annotation subject"/>
    <w:basedOn w:val="CommentText"/>
    <w:next w:val="CommentText"/>
    <w:link w:val="CommentSubjectChar"/>
    <w:uiPriority w:val="99"/>
    <w:semiHidden/>
    <w:rsid w:val="004441F4"/>
    <w:rPr>
      <w:b/>
      <w:bCs/>
    </w:rPr>
  </w:style>
  <w:style w:type="character" w:customStyle="1" w:styleId="CommentSubjectChar">
    <w:name w:val="Comment Subject Char"/>
    <w:basedOn w:val="CommentTextChar"/>
    <w:link w:val="CommentSubject"/>
    <w:uiPriority w:val="99"/>
    <w:semiHidden/>
    <w:rsid w:val="004441F4"/>
    <w:rPr>
      <w:b/>
      <w:bCs/>
      <w:sz w:val="20"/>
      <w:szCs w:val="20"/>
    </w:rPr>
  </w:style>
  <w:style w:type="paragraph" w:styleId="Revision">
    <w:name w:val="Revision"/>
    <w:hidden/>
    <w:uiPriority w:val="99"/>
    <w:semiHidden/>
    <w:rsid w:val="004441F4"/>
    <w:pPr>
      <w:spacing w:before="0" w:after="0"/>
    </w:pPr>
  </w:style>
  <w:style w:type="character" w:styleId="FollowedHyperlink">
    <w:name w:val="FollowedHyperlink"/>
    <w:basedOn w:val="DefaultParagraphFont"/>
    <w:uiPriority w:val="99"/>
    <w:semiHidden/>
    <w:rsid w:val="00302968"/>
    <w:rPr>
      <w:color w:val="009CA6" w:themeColor="followedHyperlink"/>
      <w:u w:val="single"/>
    </w:rPr>
  </w:style>
  <w:style w:type="paragraph" w:customStyle="1" w:styleId="Breakouttext">
    <w:name w:val="Breakout text"/>
    <w:basedOn w:val="Normal"/>
    <w:uiPriority w:val="7"/>
    <w:qFormat/>
    <w:rsid w:val="00FD068F"/>
    <w:rPr>
      <w:szCs w:val="19"/>
    </w:rPr>
  </w:style>
  <w:style w:type="paragraph" w:customStyle="1" w:styleId="Breakoutboxtitle">
    <w:name w:val="Breakout box title"/>
    <w:basedOn w:val="Caption"/>
    <w:uiPriority w:val="7"/>
    <w:qFormat/>
    <w:rsid w:val="0038667B"/>
    <w:pPr>
      <w:tabs>
        <w:tab w:val="clear" w:pos="1418"/>
      </w:tabs>
      <w:ind w:left="0" w:firstLine="0"/>
    </w:pPr>
    <w:rPr>
      <w:sz w:val="32"/>
    </w:rPr>
  </w:style>
  <w:style w:type="paragraph" w:customStyle="1" w:styleId="TableTextbold">
    <w:name w:val="Table Text bold"/>
    <w:basedOn w:val="Normal"/>
    <w:uiPriority w:val="17"/>
    <w:qFormat/>
    <w:rsid w:val="00CB4005"/>
    <w:pPr>
      <w:spacing w:before="60" w:after="60"/>
    </w:pPr>
    <w:rPr>
      <w:b/>
    </w:rPr>
  </w:style>
  <w:style w:type="paragraph" w:customStyle="1" w:styleId="AppendixHeading2">
    <w:name w:val="Appendix Heading 2"/>
    <w:basedOn w:val="Normal"/>
    <w:uiPriority w:val="25"/>
    <w:qFormat/>
    <w:rsid w:val="003B183A"/>
    <w:pPr>
      <w:tabs>
        <w:tab w:val="left" w:pos="2552"/>
      </w:tabs>
      <w:spacing w:before="360" w:after="240"/>
      <w:ind w:left="2552" w:hanging="2552"/>
      <w:outlineLvl w:val="1"/>
    </w:pPr>
    <w:rPr>
      <w:rFonts w:eastAsia="Times New Roman" w:cs="Times New Roman"/>
      <w:b/>
      <w:sz w:val="36"/>
      <w:szCs w:val="32"/>
    </w:rPr>
  </w:style>
  <w:style w:type="paragraph" w:customStyle="1" w:styleId="AppendixHeading3">
    <w:name w:val="Appendix Heading 3"/>
    <w:basedOn w:val="Normal"/>
    <w:uiPriority w:val="25"/>
    <w:qFormat/>
    <w:rsid w:val="003B183A"/>
    <w:pPr>
      <w:tabs>
        <w:tab w:val="left" w:pos="1134"/>
      </w:tabs>
      <w:spacing w:before="240" w:after="240"/>
      <w:outlineLvl w:val="2"/>
    </w:pPr>
    <w:rPr>
      <w:rFonts w:eastAsia="Times New Roman" w:cs="Times New Roman"/>
      <w:b/>
      <w:bCs/>
      <w:sz w:val="32"/>
      <w:szCs w:val="24"/>
    </w:rPr>
  </w:style>
  <w:style w:type="paragraph" w:customStyle="1" w:styleId="AppendixHeading4">
    <w:name w:val="Appendix Heading 4"/>
    <w:basedOn w:val="Normal"/>
    <w:uiPriority w:val="25"/>
    <w:qFormat/>
    <w:rsid w:val="003B183A"/>
    <w:pPr>
      <w:spacing w:before="240" w:after="240"/>
      <w:outlineLvl w:val="3"/>
    </w:pPr>
    <w:rPr>
      <w:rFonts w:eastAsia="Times New Roman" w:cs="Times New Roman"/>
      <w:b/>
      <w:sz w:val="28"/>
      <w:szCs w:val="20"/>
    </w:rPr>
  </w:style>
  <w:style w:type="paragraph" w:styleId="NoSpacing">
    <w:name w:val="No Spacing"/>
    <w:link w:val="NoSpacingChar"/>
    <w:uiPriority w:val="1"/>
    <w:qFormat/>
    <w:rsid w:val="000B32EB"/>
    <w:pPr>
      <w:spacing w:before="0" w:after="0"/>
    </w:pPr>
    <w:rPr>
      <w:rFonts w:asciiTheme="minorHAnsi" w:eastAsiaTheme="minorEastAsia" w:hAnsiTheme="minorHAnsi"/>
      <w:sz w:val="22"/>
      <w:szCs w:val="22"/>
      <w:lang w:val="en-US"/>
    </w:rPr>
  </w:style>
  <w:style w:type="character" w:customStyle="1" w:styleId="NoSpacingChar">
    <w:name w:val="No Spacing Char"/>
    <w:basedOn w:val="DefaultParagraphFont"/>
    <w:link w:val="NoSpacing"/>
    <w:uiPriority w:val="1"/>
    <w:rsid w:val="000B32EB"/>
    <w:rPr>
      <w:rFonts w:asciiTheme="minorHAnsi" w:eastAsiaTheme="minorEastAsia" w:hAnsiTheme="minorHAnsi"/>
      <w:sz w:val="22"/>
      <w:szCs w:val="22"/>
      <w:lang w:val="en-US"/>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link w:val="ListParagraph"/>
    <w:uiPriority w:val="34"/>
    <w:qFormat/>
    <w:locked/>
    <w:rsid w:val="000B32EB"/>
    <w:rPr>
      <w:sz w:val="20"/>
    </w:rPr>
  </w:style>
  <w:style w:type="character" w:customStyle="1" w:styleId="UnresolvedMention1">
    <w:name w:val="Unresolved Mention1"/>
    <w:basedOn w:val="DefaultParagraphFont"/>
    <w:uiPriority w:val="99"/>
    <w:semiHidden/>
    <w:unhideWhenUsed/>
    <w:rsid w:val="00533BF9"/>
    <w:rPr>
      <w:color w:val="808080"/>
      <w:shd w:val="clear" w:color="auto" w:fill="E6E6E6"/>
    </w:rPr>
  </w:style>
  <w:style w:type="paragraph" w:customStyle="1" w:styleId="Default">
    <w:name w:val="Default"/>
    <w:rsid w:val="001B3652"/>
    <w:pPr>
      <w:autoSpaceDE w:val="0"/>
      <w:autoSpaceDN w:val="0"/>
      <w:adjustRightInd w:val="0"/>
      <w:spacing w:before="0" w:after="0"/>
    </w:pPr>
    <w:rPr>
      <w:rFonts w:cs="Arial"/>
      <w:color w:val="000000"/>
      <w:sz w:val="24"/>
      <w:szCs w:val="24"/>
    </w:rPr>
  </w:style>
  <w:style w:type="table" w:customStyle="1" w:styleId="TableGrid1">
    <w:name w:val="Table Grid1"/>
    <w:basedOn w:val="TableNormal"/>
    <w:next w:val="TableGrid"/>
    <w:rsid w:val="005211FD"/>
    <w:pPr>
      <w:overflowPunct w:val="0"/>
      <w:autoSpaceDE w:val="0"/>
      <w:autoSpaceDN w:val="0"/>
      <w:adjustRightInd w:val="0"/>
      <w:spacing w:before="0" w:after="0"/>
      <w:textAlignment w:val="baseline"/>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QT Maroon">
      <a:dk1>
        <a:sysClr val="windowText" lastClr="000000"/>
      </a:dk1>
      <a:lt1>
        <a:sysClr val="window" lastClr="FFFFFF"/>
      </a:lt1>
      <a:dk2>
        <a:srgbClr val="4A4F55"/>
      </a:dk2>
      <a:lt2>
        <a:srgbClr val="9A9D9D"/>
      </a:lt2>
      <a:accent1>
        <a:srgbClr val="4A4F55"/>
      </a:accent1>
      <a:accent2>
        <a:srgbClr val="6C1D45"/>
      </a:accent2>
      <a:accent3>
        <a:srgbClr val="EFC4D9"/>
      </a:accent3>
      <a:accent4>
        <a:srgbClr val="DF89B4"/>
      </a:accent4>
      <a:accent5>
        <a:srgbClr val="CF4E8F"/>
      </a:accent5>
      <a:accent6>
        <a:srgbClr val="511533"/>
      </a:accent6>
      <a:hlink>
        <a:srgbClr val="009CA6"/>
      </a:hlink>
      <a:folHlink>
        <a:srgbClr val="009CA6"/>
      </a:folHlink>
    </a:clrScheme>
    <a:fontScheme name="QT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2015-09-09T00:00:00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A21FF14C5D444F9C30F0D99AE14CE3" ma:contentTypeVersion="11" ma:contentTypeDescription="Create a new document." ma:contentTypeScope="" ma:versionID="24f3ae26c79f4e440d281d437bf1a509">
  <xsd:schema xmlns:xsd="http://www.w3.org/2001/XMLSchema" xmlns:xs="http://www.w3.org/2001/XMLSchema" xmlns:p="http://schemas.microsoft.com/office/2006/metadata/properties" xmlns:ns3="d92f2371-5933-4d3e-83a2-cbc0c616ad41" xmlns:ns4="b6165231-1cde-4ae5-90d7-9c59cb8e837d" targetNamespace="http://schemas.microsoft.com/office/2006/metadata/properties" ma:root="true" ma:fieldsID="31e3fb2f623c32744745a70f03052844" ns3:_="" ns4:_="">
    <xsd:import namespace="d92f2371-5933-4d3e-83a2-cbc0c616ad41"/>
    <xsd:import namespace="b6165231-1cde-4ae5-90d7-9c59cb8e837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2f2371-5933-4d3e-83a2-cbc0c616ad4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165231-1cde-4ae5-90d7-9c59cb8e837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D53250-BDB1-49FC-9880-5AD98C959F44}">
  <ds:schemaRefs>
    <ds:schemaRef ds:uri="http://schemas.microsoft.com/sharepoint/v3/contenttype/forms"/>
  </ds:schemaRefs>
</ds:datastoreItem>
</file>

<file path=customXml/itemProps3.xml><?xml version="1.0" encoding="utf-8"?>
<ds:datastoreItem xmlns:ds="http://schemas.openxmlformats.org/officeDocument/2006/customXml" ds:itemID="{48E69C87-39B8-4119-AF49-8EED85700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2f2371-5933-4d3e-83a2-cbc0c616ad41"/>
    <ds:schemaRef ds:uri="b6165231-1cde-4ae5-90d7-9c59cb8e8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310BA-C1F4-4755-8578-79658CFEAF64}">
  <ds:schemaRefs>
    <ds:schemaRef ds:uri="http://purl.org/dc/elements/1.1/"/>
    <ds:schemaRef ds:uri="d92f2371-5933-4d3e-83a2-cbc0c616ad4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b6165231-1cde-4ae5-90d7-9c59cb8e837d"/>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02CEE21-F3D7-4700-A63B-03091B23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6502F910.dotm</Template>
  <TotalTime>2</TotalTime>
  <Pages>15</Pages>
  <Words>7787</Words>
  <Characters>44391</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Submission DR197 - Queensland Government - Remote Area Tax Concessions and Payments - Commissioned study</vt:lpstr>
    </vt:vector>
  </TitlesOfParts>
  <Company>Queensland Government</Company>
  <LinksUpToDate>false</LinksUpToDate>
  <CharactersWithSpaces>52074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DR197 - Queensland Government - Remote Area Tax Concessions and Payments - Commissioned study</dc:title>
  <dc:subject/>
  <dc:creator>Queensland Government</dc:creator>
  <cp:lastModifiedBy>Productivity Commission</cp:lastModifiedBy>
  <cp:revision>3</cp:revision>
  <cp:lastPrinted>2019-11-04T02:27:00Z</cp:lastPrinted>
  <dcterms:created xsi:type="dcterms:W3CDTF">2019-11-26T23:29:00Z</dcterms:created>
  <dcterms:modified xsi:type="dcterms:W3CDTF">2019-11-27T22:10:00Z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0x010100F4A21FF14C5D444F9C30F0D99AE14CE3</vt:lpwstr>
  </property>
  <property fmtid="{D5CDD505-2E9C-101B-9397-08002B2CF9AE}" pid="3" name="RecordPoint_ActiveItemListId">
    <vt:lpwstr>{dd5cd27e-575f-451c-a865-6e5733a70fb8}</vt:lpwstr>
  </property>
  <property fmtid="{D5CDD505-2E9C-101B-9397-08002B2CF9AE}" pid="4" name="RecordPoint_ActiveItemMoved">
    <vt:lpwstr/>
  </property>
  <property fmtid="{D5CDD505-2E9C-101B-9397-08002B2CF9AE}" pid="5" name="RecordPoint_ActiveItemSiteId">
    <vt:lpwstr>{2d3d9033-cc0e-4e83-9d44-a41c43f327d3}</vt:lpwstr>
  </property>
  <property fmtid="{D5CDD505-2E9C-101B-9397-08002B2CF9AE}" pid="6" name="RecordPoint_ActiveItemUniqueId">
    <vt:lpwstr>{bfb55b44-5add-4f97-9bfe-fe400bd6a840}</vt:lpwstr>
  </property>
  <property fmtid="{D5CDD505-2E9C-101B-9397-08002B2CF9AE}" pid="7" name="RecordPoint_ActiveItemWebId">
    <vt:lpwstr>{f12e9405-e87b-4434-846e-7028592b0865}</vt:lpwstr>
  </property>
  <property fmtid="{D5CDD505-2E9C-101B-9397-08002B2CF9AE}" pid="8" name="RecordPoint_RecordFormat">
    <vt:lpwstr/>
  </property>
  <property fmtid="{D5CDD505-2E9C-101B-9397-08002B2CF9AE}" pid="9" name="RecordPoint_RecordNumberSubmitted">
    <vt:lpwstr/>
  </property>
  <property fmtid="{D5CDD505-2E9C-101B-9397-08002B2CF9AE}" pid="10" name="RecordPoint_SubmissionCompleted">
    <vt:lpwstr/>
  </property>
  <property fmtid="{D5CDD505-2E9C-101B-9397-08002B2CF9AE}" pid="11" name="RecordPoint_SubmissionDate">
    <vt:lpwstr/>
  </property>
  <property fmtid="{D5CDD505-2E9C-101B-9397-08002B2CF9AE}" pid="12" name="RecordPoint_WorkflowType">
    <vt:lpwstr>ActiveSubmitStub</vt:lpwstr>
  </property>
  <property fmtid="{D5CDD505-2E9C-101B-9397-08002B2CF9AE}" pid="13" name="_dlc_DocIdItemGuid">
    <vt:lpwstr>bfb55b44-5add-4f97-9bfe-fe400bd6a840</vt:lpwstr>
  </property>
  <property fmtid="{D5CDD505-2E9C-101B-9397-08002B2CF9AE}" pid="14" name="_docset_NoMedatataSyncRequired">
    <vt:lpwstr>False</vt:lpwstr>
  </property>
</Properties>
</file>