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C82" w:rsidRPr="00044C6A" w:rsidRDefault="00610C82" w:rsidP="00610C82">
      <w:pPr>
        <w:pStyle w:val="Heading1"/>
        <w:rPr>
          <w:lang w:val="en-AU"/>
        </w:rPr>
      </w:pPr>
      <w:bookmarkStart w:id="0" w:name="_GoBack"/>
      <w:bookmarkEnd w:id="0"/>
      <w:r w:rsidRPr="00044C6A">
        <w:rPr>
          <w:lang w:val="en-AU"/>
        </w:rPr>
        <w:t>A response to the Productivity Commission’s Draft Report: Expenditure on Children in The Northern Territory</w:t>
      </w:r>
    </w:p>
    <w:p w:rsidR="00610C82" w:rsidRPr="00044C6A" w:rsidRDefault="00610C82" w:rsidP="00610C82">
      <w:pPr>
        <w:pStyle w:val="Heading2"/>
        <w:rPr>
          <w:lang w:val="en-AU"/>
        </w:rPr>
      </w:pPr>
      <w:r w:rsidRPr="00044C6A">
        <w:rPr>
          <w:lang w:val="en-AU"/>
        </w:rPr>
        <w:t>A submission by the Australian Research Alliance for Children and Youth</w:t>
      </w:r>
    </w:p>
    <w:p w:rsidR="00DC10C7" w:rsidRPr="00044C6A" w:rsidRDefault="00610C82" w:rsidP="00610C82">
      <w:pPr>
        <w:pStyle w:val="Heading2"/>
        <w:rPr>
          <w:lang w:val="en-AU"/>
        </w:rPr>
      </w:pPr>
      <w:r w:rsidRPr="00044C6A">
        <w:rPr>
          <w:lang w:val="en-AU"/>
        </w:rPr>
        <w:t>December 2019</w:t>
      </w:r>
    </w:p>
    <w:p w:rsidR="00610C82" w:rsidRPr="00044C6A" w:rsidRDefault="00610C82" w:rsidP="00610C82">
      <w:pPr>
        <w:rPr>
          <w:lang w:val="en-AU"/>
        </w:rPr>
      </w:pPr>
    </w:p>
    <w:p w:rsidR="00610C82" w:rsidRPr="00044C6A" w:rsidRDefault="00610C82" w:rsidP="00610C82">
      <w:pPr>
        <w:pStyle w:val="Heading2"/>
        <w:rPr>
          <w:lang w:val="en-AU"/>
        </w:rPr>
      </w:pPr>
      <w:r w:rsidRPr="00044C6A">
        <w:rPr>
          <w:lang w:val="en-AU"/>
        </w:rPr>
        <w:t>Overview</w:t>
      </w:r>
    </w:p>
    <w:p w:rsidR="00610C82" w:rsidRPr="00044C6A" w:rsidRDefault="00610C82" w:rsidP="00610C82">
      <w:pPr>
        <w:rPr>
          <w:lang w:val="en-AU"/>
        </w:rPr>
      </w:pPr>
      <w:r w:rsidRPr="00044C6A">
        <w:rPr>
          <w:lang w:val="en-AU"/>
        </w:rPr>
        <w:t>ARACY overall supports the four key reform areas identified by the Productivity Commission (1. Coordinated funding underpinned by community plans, 2. Longer-term, more collaborative contracting of service providers, 3. Better and more transparent data at the community level, 4. Stronger supporting institutions)</w:t>
      </w:r>
      <w:sdt>
        <w:sdtPr>
          <w:rPr>
            <w:lang w:val="en-AU"/>
          </w:rPr>
          <w:id w:val="1884368922"/>
          <w:citation/>
        </w:sdtPr>
        <w:sdtEndPr/>
        <w:sdtContent>
          <w:r w:rsidRPr="00044C6A">
            <w:rPr>
              <w:lang w:val="en-AU"/>
            </w:rPr>
            <w:fldChar w:fldCharType="begin"/>
          </w:r>
          <w:r w:rsidRPr="00044C6A">
            <w:rPr>
              <w:lang w:val="en-AU"/>
            </w:rPr>
            <w:instrText xml:space="preserve"> CITATION Pro19 \l 1033 </w:instrText>
          </w:r>
          <w:r w:rsidRPr="00044C6A">
            <w:rPr>
              <w:lang w:val="en-AU"/>
            </w:rPr>
            <w:fldChar w:fldCharType="separate"/>
          </w:r>
          <w:r w:rsidR="00DA015F" w:rsidRPr="00044C6A">
            <w:rPr>
              <w:noProof/>
              <w:lang w:val="en-AU"/>
            </w:rPr>
            <w:t xml:space="preserve"> [1]</w:t>
          </w:r>
          <w:r w:rsidRPr="00044C6A">
            <w:rPr>
              <w:lang w:val="en-AU"/>
            </w:rPr>
            <w:fldChar w:fldCharType="end"/>
          </w:r>
        </w:sdtContent>
      </w:sdt>
      <w:r w:rsidRPr="00044C6A">
        <w:rPr>
          <w:lang w:val="en-AU"/>
        </w:rPr>
        <w:t>. While ARACY does not have the expertise to endorse all recommendations put forward by the Productivity Commission, specific recommendations</w:t>
      </w:r>
      <w:r w:rsidR="00FF4A28" w:rsidRPr="00044C6A">
        <w:rPr>
          <w:lang w:val="en-AU"/>
        </w:rPr>
        <w:t>,</w:t>
      </w:r>
      <w:r w:rsidR="00F7187C" w:rsidRPr="00044C6A">
        <w:rPr>
          <w:lang w:val="en-AU"/>
        </w:rPr>
        <w:t xml:space="preserve"> findings</w:t>
      </w:r>
      <w:r w:rsidR="007B3D97">
        <w:rPr>
          <w:lang w:val="en-AU"/>
        </w:rPr>
        <w:t>,</w:t>
      </w:r>
      <w:r w:rsidR="00FF4A28" w:rsidRPr="00044C6A">
        <w:rPr>
          <w:lang w:val="en-AU"/>
        </w:rPr>
        <w:t xml:space="preserve"> and information requests</w:t>
      </w:r>
      <w:r w:rsidRPr="00044C6A">
        <w:rPr>
          <w:lang w:val="en-AU"/>
        </w:rPr>
        <w:t xml:space="preserve"> that fall within our area of expertise are commented on below.</w:t>
      </w:r>
    </w:p>
    <w:p w:rsidR="00610C82" w:rsidRPr="00044C6A" w:rsidRDefault="00E826C4" w:rsidP="00D46824">
      <w:pPr>
        <w:pStyle w:val="Heading2"/>
        <w:spacing w:after="240"/>
        <w:rPr>
          <w:lang w:val="en-AU"/>
        </w:rPr>
      </w:pPr>
      <w:r w:rsidRPr="00044C6A">
        <w:rPr>
          <w:lang w:val="en-AU"/>
        </w:rPr>
        <w:t xml:space="preserve">Response to </w:t>
      </w:r>
      <w:r w:rsidR="00610C82" w:rsidRPr="00044C6A">
        <w:rPr>
          <w:lang w:val="en-AU"/>
        </w:rPr>
        <w:t>Specific Recommendations</w:t>
      </w:r>
      <w:r w:rsidRPr="00044C6A">
        <w:rPr>
          <w:lang w:val="en-AU"/>
        </w:rPr>
        <w:t>, Findings, and Information Requests</w:t>
      </w:r>
    </w:p>
    <w:p w:rsidR="00954DC9" w:rsidRPr="00044C6A" w:rsidRDefault="00954DC9" w:rsidP="00954DC9">
      <w:pPr>
        <w:rPr>
          <w:lang w:val="en-AU"/>
        </w:rPr>
      </w:pPr>
      <w:r w:rsidRPr="00044C6A">
        <w:rPr>
          <w:lang w:val="en-AU"/>
        </w:rPr>
        <w:t xml:space="preserve">In response to Draft Finding 2.1: </w:t>
      </w:r>
    </w:p>
    <w:p w:rsidR="00954DC9" w:rsidRPr="00044C6A" w:rsidRDefault="00954DC9" w:rsidP="0036638A">
      <w:pPr>
        <w:pBdr>
          <w:top w:val="single" w:sz="4" w:space="1" w:color="auto"/>
          <w:left w:val="single" w:sz="4" w:space="4" w:color="auto"/>
          <w:bottom w:val="single" w:sz="4" w:space="1" w:color="auto"/>
          <w:right w:val="single" w:sz="4" w:space="4" w:color="auto"/>
        </w:pBdr>
        <w:shd w:val="clear" w:color="auto" w:fill="F2F2F2" w:themeFill="background1" w:themeFillShade="F2"/>
        <w:rPr>
          <w:lang w:val="en-AU"/>
        </w:rPr>
      </w:pPr>
      <w:r w:rsidRPr="00044C6A">
        <w:rPr>
          <w:lang w:val="en-AU"/>
        </w:rPr>
        <w:t xml:space="preserve">DRAFT FINDING 2.1 </w:t>
      </w:r>
    </w:p>
    <w:p w:rsidR="00954DC9" w:rsidRPr="00044C6A" w:rsidRDefault="00954DC9" w:rsidP="0036638A">
      <w:pPr>
        <w:pBdr>
          <w:top w:val="single" w:sz="4" w:space="1" w:color="auto"/>
          <w:left w:val="single" w:sz="4" w:space="4" w:color="auto"/>
          <w:bottom w:val="single" w:sz="4" w:space="1" w:color="auto"/>
          <w:right w:val="single" w:sz="4" w:space="4" w:color="auto"/>
        </w:pBdr>
        <w:shd w:val="clear" w:color="auto" w:fill="F2F2F2" w:themeFill="background1" w:themeFillShade="F2"/>
        <w:rPr>
          <w:lang w:val="en-AU"/>
        </w:rPr>
      </w:pPr>
      <w:r w:rsidRPr="00044C6A">
        <w:rPr>
          <w:lang w:val="en-AU"/>
        </w:rPr>
        <w:t xml:space="preserve">Significant funds are spent on children and family services in the Northern Territory — in 2018-19, expenditure on services directly relevant to the prevention of harm to children was about $538 million. The expenditure landscape for children and family services is complex and involves: </w:t>
      </w:r>
    </w:p>
    <w:p w:rsidR="00853452" w:rsidRPr="00044C6A" w:rsidRDefault="00954DC9" w:rsidP="0036638A">
      <w:pPr>
        <w:pBdr>
          <w:top w:val="single" w:sz="4" w:space="1" w:color="auto"/>
          <w:left w:val="single" w:sz="4" w:space="4" w:color="auto"/>
          <w:bottom w:val="single" w:sz="4" w:space="1" w:color="auto"/>
          <w:right w:val="single" w:sz="4" w:space="4" w:color="auto"/>
        </w:pBdr>
        <w:shd w:val="clear" w:color="auto" w:fill="F2F2F2" w:themeFill="background1" w:themeFillShade="F2"/>
        <w:rPr>
          <w:lang w:val="en-AU"/>
        </w:rPr>
      </w:pPr>
      <w:r w:rsidRPr="00044C6A">
        <w:rPr>
          <w:lang w:val="en-AU"/>
        </w:rPr>
        <w:sym w:font="Symbol" w:char="F0B7"/>
      </w:r>
      <w:r w:rsidRPr="00044C6A">
        <w:rPr>
          <w:lang w:val="en-AU"/>
        </w:rPr>
        <w:t xml:space="preserve"> Nine funding agencies — five Commonwealth Government departments and fou</w:t>
      </w:r>
      <w:r w:rsidR="00853452" w:rsidRPr="00044C6A">
        <w:rPr>
          <w:lang w:val="en-AU"/>
        </w:rPr>
        <w:t xml:space="preserve">r NT Government departments  </w:t>
      </w:r>
    </w:p>
    <w:p w:rsidR="00954DC9" w:rsidRPr="00044C6A" w:rsidRDefault="00853452" w:rsidP="0036638A">
      <w:pPr>
        <w:pBdr>
          <w:top w:val="single" w:sz="4" w:space="1" w:color="auto"/>
          <w:left w:val="single" w:sz="4" w:space="4" w:color="auto"/>
          <w:bottom w:val="single" w:sz="4" w:space="1" w:color="auto"/>
          <w:right w:val="single" w:sz="4" w:space="4" w:color="auto"/>
        </w:pBdr>
        <w:shd w:val="clear" w:color="auto" w:fill="F2F2F2" w:themeFill="background1" w:themeFillShade="F2"/>
        <w:rPr>
          <w:lang w:val="en-AU"/>
        </w:rPr>
      </w:pPr>
      <w:r w:rsidRPr="00044C6A">
        <w:rPr>
          <w:lang w:val="en-AU"/>
        </w:rPr>
        <w:sym w:font="Symbol" w:char="F0B7"/>
      </w:r>
      <w:r w:rsidRPr="00044C6A">
        <w:rPr>
          <w:lang w:val="en-AU"/>
        </w:rPr>
        <w:t xml:space="preserve"> M</w:t>
      </w:r>
      <w:r w:rsidR="00954DC9" w:rsidRPr="00044C6A">
        <w:rPr>
          <w:lang w:val="en-AU"/>
        </w:rPr>
        <w:t xml:space="preserve">ore than 500 service providers  </w:t>
      </w:r>
    </w:p>
    <w:p w:rsidR="00954DC9" w:rsidRPr="00044C6A" w:rsidRDefault="00954DC9" w:rsidP="0036638A">
      <w:pPr>
        <w:pBdr>
          <w:top w:val="single" w:sz="4" w:space="1" w:color="auto"/>
          <w:left w:val="single" w:sz="4" w:space="4" w:color="auto"/>
          <w:bottom w:val="single" w:sz="4" w:space="1" w:color="auto"/>
          <w:right w:val="single" w:sz="4" w:space="4" w:color="auto"/>
        </w:pBdr>
        <w:shd w:val="clear" w:color="auto" w:fill="F2F2F2" w:themeFill="background1" w:themeFillShade="F2"/>
        <w:rPr>
          <w:lang w:val="en-AU"/>
        </w:rPr>
      </w:pPr>
      <w:r w:rsidRPr="00044C6A">
        <w:rPr>
          <w:lang w:val="en-AU"/>
        </w:rPr>
        <w:sym w:font="Symbol" w:char="F0B7"/>
      </w:r>
      <w:r w:rsidRPr="00044C6A">
        <w:rPr>
          <w:lang w:val="en-AU"/>
        </w:rPr>
        <w:t xml:space="preserve"> More than 20 funding streams, including over 700 grants. Despite the size of this funding, expenditure data is not kept in a format that allows it to be used to inform policy.</w:t>
      </w:r>
    </w:p>
    <w:p w:rsidR="0085079F" w:rsidRPr="00044C6A" w:rsidRDefault="00885411" w:rsidP="006E0252">
      <w:pPr>
        <w:pStyle w:val="ListParagraph"/>
        <w:numPr>
          <w:ilvl w:val="0"/>
          <w:numId w:val="2"/>
        </w:numPr>
        <w:rPr>
          <w:lang w:val="en-AU"/>
        </w:rPr>
      </w:pPr>
      <w:r w:rsidRPr="00044C6A">
        <w:rPr>
          <w:lang w:val="en-AU"/>
        </w:rPr>
        <w:t xml:space="preserve">While adequate resourcing is essential for improving outcomes for children and young people, ARACY is aware that </w:t>
      </w:r>
      <w:r w:rsidR="000602A4" w:rsidRPr="00044C6A">
        <w:rPr>
          <w:lang w:val="en-AU"/>
        </w:rPr>
        <w:t>q</w:t>
      </w:r>
      <w:r w:rsidR="00671425" w:rsidRPr="00044C6A">
        <w:rPr>
          <w:lang w:val="en-AU"/>
        </w:rPr>
        <w:t>uantity of resourcing</w:t>
      </w:r>
      <w:r w:rsidR="000602A4" w:rsidRPr="00044C6A">
        <w:rPr>
          <w:lang w:val="en-AU"/>
        </w:rPr>
        <w:t xml:space="preserve"> alone is not</w:t>
      </w:r>
      <w:r w:rsidRPr="00044C6A">
        <w:rPr>
          <w:lang w:val="en-AU"/>
        </w:rPr>
        <w:t xml:space="preserve"> necessarily</w:t>
      </w:r>
      <w:r w:rsidR="0085079F" w:rsidRPr="00044C6A">
        <w:rPr>
          <w:lang w:val="en-AU"/>
        </w:rPr>
        <w:t xml:space="preserve"> indicative of service improvement or quality</w:t>
      </w:r>
      <w:r w:rsidR="00671425" w:rsidRPr="00044C6A">
        <w:rPr>
          <w:lang w:val="en-AU"/>
        </w:rPr>
        <w:t xml:space="preserve">. </w:t>
      </w:r>
      <w:r w:rsidR="0085079F" w:rsidRPr="00044C6A">
        <w:rPr>
          <w:lang w:val="en-AU"/>
        </w:rPr>
        <w:t>This can be seen in the discrepancy between</w:t>
      </w:r>
      <w:r w:rsidR="007B3D97">
        <w:rPr>
          <w:lang w:val="en-AU"/>
        </w:rPr>
        <w:t xml:space="preserve"> high</w:t>
      </w:r>
      <w:r w:rsidR="0085079F" w:rsidRPr="00044C6A">
        <w:rPr>
          <w:lang w:val="en-AU"/>
        </w:rPr>
        <w:t xml:space="preserve"> per-capita expenditure </w:t>
      </w:r>
      <w:r w:rsidR="007B3D97">
        <w:rPr>
          <w:lang w:val="en-AU"/>
        </w:rPr>
        <w:t>with comparatively poorer</w:t>
      </w:r>
      <w:r w:rsidR="0085079F" w:rsidRPr="00044C6A">
        <w:rPr>
          <w:lang w:val="en-AU"/>
        </w:rPr>
        <w:t xml:space="preserve"> health outcomes</w:t>
      </w:r>
      <w:r w:rsidRPr="00044C6A">
        <w:rPr>
          <w:lang w:val="en-AU"/>
        </w:rPr>
        <w:t>, for example, in the United States</w:t>
      </w:r>
      <w:sdt>
        <w:sdtPr>
          <w:rPr>
            <w:lang w:val="en-AU"/>
          </w:rPr>
          <w:id w:val="-1981602576"/>
          <w:citation/>
        </w:sdtPr>
        <w:sdtEndPr/>
        <w:sdtContent>
          <w:r w:rsidRPr="00044C6A">
            <w:rPr>
              <w:lang w:val="en-AU"/>
            </w:rPr>
            <w:fldChar w:fldCharType="begin"/>
          </w:r>
          <w:r w:rsidRPr="00044C6A">
            <w:rPr>
              <w:lang w:val="en-AU"/>
            </w:rPr>
            <w:instrText xml:space="preserve"> CITATION OEC19 \l 1033 </w:instrText>
          </w:r>
          <w:r w:rsidRPr="00044C6A">
            <w:rPr>
              <w:lang w:val="en-AU"/>
            </w:rPr>
            <w:fldChar w:fldCharType="separate"/>
          </w:r>
          <w:r w:rsidR="00DA015F" w:rsidRPr="00044C6A">
            <w:rPr>
              <w:noProof/>
              <w:lang w:val="en-AU"/>
            </w:rPr>
            <w:t xml:space="preserve"> [2]</w:t>
          </w:r>
          <w:r w:rsidRPr="00044C6A">
            <w:rPr>
              <w:lang w:val="en-AU"/>
            </w:rPr>
            <w:fldChar w:fldCharType="end"/>
          </w:r>
        </w:sdtContent>
      </w:sdt>
      <w:r w:rsidR="0085079F" w:rsidRPr="00044C6A">
        <w:rPr>
          <w:lang w:val="en-AU"/>
        </w:rPr>
        <w:t>. Governments have a responsibility to the community to provide</w:t>
      </w:r>
      <w:r w:rsidRPr="00044C6A">
        <w:rPr>
          <w:lang w:val="en-AU"/>
        </w:rPr>
        <w:t xml:space="preserve"> both</w:t>
      </w:r>
      <w:r w:rsidR="0085079F" w:rsidRPr="00044C6A">
        <w:rPr>
          <w:lang w:val="en-AU"/>
        </w:rPr>
        <w:t xml:space="preserve"> cost-effective and sustainable services that ar</w:t>
      </w:r>
      <w:r w:rsidR="00671425" w:rsidRPr="00044C6A">
        <w:rPr>
          <w:lang w:val="en-AU"/>
        </w:rPr>
        <w:t>e demonstrably</w:t>
      </w:r>
      <w:r w:rsidR="0085079F" w:rsidRPr="00044C6A">
        <w:rPr>
          <w:lang w:val="en-AU"/>
        </w:rPr>
        <w:t xml:space="preserve"> effective</w:t>
      </w:r>
      <w:r w:rsidR="00671425" w:rsidRPr="00044C6A">
        <w:rPr>
          <w:lang w:val="en-AU"/>
        </w:rPr>
        <w:t xml:space="preserve"> in the chosen community. On these grounds, ARACY supports the inquiry into expenditure in the Northern Territory.</w:t>
      </w:r>
    </w:p>
    <w:p w:rsidR="0085079F" w:rsidRPr="00044C6A" w:rsidRDefault="0085079F" w:rsidP="0085079F">
      <w:pPr>
        <w:rPr>
          <w:lang w:val="en-AU"/>
        </w:rPr>
      </w:pPr>
      <w:r w:rsidRPr="00044C6A">
        <w:rPr>
          <w:lang w:val="en-AU"/>
        </w:rPr>
        <w:t>In respon</w:t>
      </w:r>
      <w:r w:rsidR="007C3A8D" w:rsidRPr="00044C6A">
        <w:rPr>
          <w:lang w:val="en-AU"/>
        </w:rPr>
        <w:t>se to Draft Recommendation 6.1:</w:t>
      </w:r>
    </w:p>
    <w:p w:rsidR="007C3A8D" w:rsidRPr="00044C6A" w:rsidRDefault="007C3A8D" w:rsidP="007C3A8D">
      <w:pPr>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lang w:val="en-AU"/>
        </w:rPr>
      </w:pPr>
      <w:r w:rsidRPr="00044C6A">
        <w:rPr>
          <w:sz w:val="20"/>
          <w:szCs w:val="20"/>
          <w:lang w:val="en-AU"/>
        </w:rPr>
        <w:t xml:space="preserve">DRAFT RECOMMENDATION 6.1   COMMUNITY PLANS AND COORDINATED FUNDING DECISIONS  </w:t>
      </w:r>
    </w:p>
    <w:p w:rsidR="007C3A8D" w:rsidRPr="00044C6A" w:rsidRDefault="007C3A8D" w:rsidP="007C3A8D">
      <w:pPr>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lang w:val="en-AU"/>
        </w:rPr>
      </w:pPr>
      <w:r w:rsidRPr="00044C6A">
        <w:rPr>
          <w:sz w:val="20"/>
          <w:szCs w:val="20"/>
          <w:lang w:val="en-AU"/>
        </w:rPr>
        <w:t xml:space="preserve">To deliver on their shared responsibility for funding children and family services in the Northern Territory, the Commonwealth and NT Governments need a new way of working together. This should include both governments </w:t>
      </w:r>
      <w:r w:rsidRPr="00044C6A">
        <w:rPr>
          <w:sz w:val="20"/>
          <w:szCs w:val="20"/>
          <w:lang w:val="en-AU"/>
        </w:rPr>
        <w:lastRenderedPageBreak/>
        <w:t xml:space="preserve">genuinely engaging with NT communities, coming to a shared understanding of the issues affecting children and families, and jointly committing to solutions, with collective ownership and accountability for outcomes.  </w:t>
      </w:r>
    </w:p>
    <w:p w:rsidR="007C3A8D" w:rsidRPr="00044C6A" w:rsidRDefault="007C3A8D" w:rsidP="007C3A8D">
      <w:pPr>
        <w:pBdr>
          <w:top w:val="single" w:sz="4" w:space="1" w:color="auto"/>
          <w:left w:val="single" w:sz="4" w:space="4" w:color="auto"/>
          <w:bottom w:val="single" w:sz="4" w:space="1" w:color="auto"/>
          <w:right w:val="single" w:sz="4" w:space="4" w:color="auto"/>
        </w:pBdr>
        <w:shd w:val="clear" w:color="auto" w:fill="E2EFD9" w:themeFill="accent6" w:themeFillTint="33"/>
        <w:rPr>
          <w:sz w:val="20"/>
          <w:szCs w:val="20"/>
          <w:lang w:val="en-AU"/>
        </w:rPr>
      </w:pPr>
      <w:r w:rsidRPr="00044C6A">
        <w:rPr>
          <w:sz w:val="20"/>
          <w:szCs w:val="20"/>
          <w:lang w:val="en-AU"/>
        </w:rPr>
        <w:t xml:space="preserve">To put this new way of working into practice, the Commonwealth and NT Governments should establish a formal process to coordinate funding. </w:t>
      </w:r>
    </w:p>
    <w:p w:rsidR="007C3A8D" w:rsidRPr="00044C6A" w:rsidRDefault="007C3A8D" w:rsidP="007C3A8D">
      <w:pPr>
        <w:pBdr>
          <w:top w:val="single" w:sz="4" w:space="1" w:color="auto"/>
          <w:left w:val="single" w:sz="4" w:space="4" w:color="auto"/>
          <w:bottom w:val="single" w:sz="4" w:space="1" w:color="auto"/>
          <w:right w:val="single" w:sz="4" w:space="4" w:color="auto"/>
        </w:pBdr>
        <w:shd w:val="clear" w:color="auto" w:fill="E2EFD9" w:themeFill="accent6" w:themeFillTint="33"/>
        <w:ind w:firstLine="720"/>
        <w:rPr>
          <w:sz w:val="20"/>
          <w:szCs w:val="20"/>
          <w:lang w:val="en-AU"/>
        </w:rPr>
      </w:pPr>
      <w:r w:rsidRPr="00044C6A">
        <w:rPr>
          <w:sz w:val="20"/>
          <w:szCs w:val="20"/>
          <w:lang w:val="en-AU"/>
        </w:rPr>
        <w:t xml:space="preserve">1. Both governments should collate community-level data on services, outcomes (risk and protective factors) and current expenditure on children and family services in each community. </w:t>
      </w:r>
    </w:p>
    <w:p w:rsidR="007C3A8D" w:rsidRPr="00044C6A" w:rsidRDefault="007C3A8D" w:rsidP="007C3A8D">
      <w:pPr>
        <w:pBdr>
          <w:top w:val="single" w:sz="4" w:space="1" w:color="auto"/>
          <w:left w:val="single" w:sz="4" w:space="4" w:color="auto"/>
          <w:bottom w:val="single" w:sz="4" w:space="1" w:color="auto"/>
          <w:right w:val="single" w:sz="4" w:space="4" w:color="auto"/>
        </w:pBdr>
        <w:shd w:val="clear" w:color="auto" w:fill="E2EFD9" w:themeFill="accent6" w:themeFillTint="33"/>
        <w:ind w:firstLine="720"/>
        <w:rPr>
          <w:sz w:val="20"/>
          <w:szCs w:val="20"/>
          <w:lang w:val="en-AU"/>
        </w:rPr>
      </w:pPr>
      <w:r w:rsidRPr="00044C6A">
        <w:rPr>
          <w:sz w:val="20"/>
          <w:szCs w:val="20"/>
          <w:lang w:val="en-AU"/>
        </w:rPr>
        <w:t>2. The regional representatives of both governments should share the data with communities, and in collaboration with communities develop a short community plan that: – provides a snapshot of the strengths, needs and priority issues of children and families in the community  – gives the community a voice about which children and family services they would like to retain, change or replace. The regional representatives should provide the community plans to the Children and Families Tripartite Forum, together with a summary of overall expenditure, headline data and any other relevant information for each region.</w:t>
      </w:r>
    </w:p>
    <w:p w:rsidR="007C3A8D" w:rsidRPr="00044C6A" w:rsidRDefault="007C3A8D" w:rsidP="007C3A8D">
      <w:pPr>
        <w:pBdr>
          <w:top w:val="single" w:sz="4" w:space="1" w:color="auto"/>
          <w:left w:val="single" w:sz="4" w:space="4" w:color="auto"/>
          <w:bottom w:val="single" w:sz="4" w:space="1" w:color="auto"/>
          <w:right w:val="single" w:sz="4" w:space="4" w:color="auto"/>
        </w:pBdr>
        <w:shd w:val="clear" w:color="auto" w:fill="E2EFD9" w:themeFill="accent6" w:themeFillTint="33"/>
        <w:ind w:firstLine="720"/>
        <w:rPr>
          <w:sz w:val="20"/>
          <w:szCs w:val="20"/>
          <w:lang w:val="en-AU"/>
        </w:rPr>
      </w:pPr>
      <w:r w:rsidRPr="00044C6A">
        <w:rPr>
          <w:sz w:val="20"/>
          <w:szCs w:val="20"/>
          <w:lang w:val="en-AU"/>
        </w:rPr>
        <w:t>3. Drawing on the community plans and regional summaries, the Children and Families Tripartite Forum should provide advice to both governments about funding arrangements for children and family services across the Northern Territory, including advice about funds pooling for particular locations or services.</w:t>
      </w:r>
    </w:p>
    <w:p w:rsidR="0056450A" w:rsidRPr="00044C6A" w:rsidRDefault="007C3A8D" w:rsidP="0056450A">
      <w:pPr>
        <w:pBdr>
          <w:top w:val="single" w:sz="4" w:space="1" w:color="auto"/>
          <w:left w:val="single" w:sz="4" w:space="4" w:color="auto"/>
          <w:bottom w:val="single" w:sz="4" w:space="1" w:color="auto"/>
          <w:right w:val="single" w:sz="4" w:space="4" w:color="auto"/>
        </w:pBdr>
        <w:shd w:val="clear" w:color="auto" w:fill="E2EFD9" w:themeFill="accent6" w:themeFillTint="33"/>
        <w:ind w:firstLine="720"/>
        <w:rPr>
          <w:sz w:val="20"/>
          <w:szCs w:val="20"/>
          <w:lang w:val="en-AU"/>
        </w:rPr>
      </w:pPr>
      <w:r w:rsidRPr="00044C6A">
        <w:rPr>
          <w:sz w:val="20"/>
          <w:szCs w:val="20"/>
          <w:lang w:val="en-AU"/>
        </w:rPr>
        <w:t>4. The relevant Ministers of both governments should consider the advice of the Children and Families Tripartite Forum and then agree on which children and family services each is going to fund and in which locations, and publish details of the agreed funding.  This process should be repeated as necessary, including when there are significant changes in government or community priorities, or when new funding becomes available.</w:t>
      </w:r>
    </w:p>
    <w:p w:rsidR="002131B9" w:rsidRPr="00044C6A" w:rsidRDefault="0056450A" w:rsidP="000F0797">
      <w:pPr>
        <w:pStyle w:val="ListParagraph"/>
        <w:numPr>
          <w:ilvl w:val="0"/>
          <w:numId w:val="2"/>
        </w:numPr>
        <w:rPr>
          <w:lang w:val="en-AU"/>
        </w:rPr>
      </w:pPr>
      <w:r w:rsidRPr="00044C6A">
        <w:rPr>
          <w:lang w:val="en-AU"/>
        </w:rPr>
        <w:t>ARACY supports the Productivity Commission’s recommendation that governments genuinely engage with Northern Territory communities. ARACY recommends broad community consultation with key stakeholders, including</w:t>
      </w:r>
      <w:r w:rsidR="00B33777" w:rsidRPr="00044C6A">
        <w:rPr>
          <w:lang w:val="en-AU"/>
        </w:rPr>
        <w:t xml:space="preserve"> local</w:t>
      </w:r>
      <w:r w:rsidRPr="00044C6A">
        <w:rPr>
          <w:lang w:val="en-AU"/>
        </w:rPr>
        <w:t xml:space="preserve"> service providers and consumers. </w:t>
      </w:r>
    </w:p>
    <w:p w:rsidR="000F0797" w:rsidRPr="00044C6A" w:rsidRDefault="000F0797" w:rsidP="000F0797">
      <w:pPr>
        <w:pStyle w:val="ListParagraph"/>
        <w:ind w:left="360"/>
        <w:rPr>
          <w:lang w:val="en-AU"/>
        </w:rPr>
      </w:pPr>
    </w:p>
    <w:p w:rsidR="009F3E5B" w:rsidRPr="00044C6A" w:rsidRDefault="0056450A" w:rsidP="000F0797">
      <w:pPr>
        <w:pStyle w:val="ListParagraph"/>
        <w:numPr>
          <w:ilvl w:val="0"/>
          <w:numId w:val="2"/>
        </w:numPr>
        <w:rPr>
          <w:lang w:val="en-AU"/>
        </w:rPr>
      </w:pPr>
      <w:r w:rsidRPr="00044C6A">
        <w:rPr>
          <w:lang w:val="en-AU"/>
        </w:rPr>
        <w:t xml:space="preserve">In particular, </w:t>
      </w:r>
      <w:r w:rsidRPr="00044C6A">
        <w:rPr>
          <w:b/>
          <w:lang w:val="en-AU"/>
        </w:rPr>
        <w:t>ARACY recommends direct consultation with children and young people and their families</w:t>
      </w:r>
      <w:r w:rsidRPr="00044C6A">
        <w:rPr>
          <w:lang w:val="en-AU"/>
        </w:rPr>
        <w:t>.</w:t>
      </w:r>
      <w:r w:rsidR="00BB4746" w:rsidRPr="00044C6A">
        <w:rPr>
          <w:lang w:val="en-AU"/>
        </w:rPr>
        <w:t xml:space="preserve"> </w:t>
      </w:r>
      <w:r w:rsidR="002131B9" w:rsidRPr="00044C6A">
        <w:rPr>
          <w:lang w:val="en-AU"/>
        </w:rPr>
        <w:t>There is an abundance of evidence supporting the inclusion of children</w:t>
      </w:r>
      <w:r w:rsidR="00922B3E" w:rsidRPr="00044C6A">
        <w:rPr>
          <w:lang w:val="en-AU"/>
        </w:rPr>
        <w:t>’</w:t>
      </w:r>
      <w:r w:rsidR="002131B9" w:rsidRPr="00044C6A">
        <w:rPr>
          <w:lang w:val="en-AU"/>
        </w:rPr>
        <w:t>s voice</w:t>
      </w:r>
      <w:r w:rsidR="00922B3E" w:rsidRPr="00044C6A">
        <w:rPr>
          <w:lang w:val="en-AU"/>
        </w:rPr>
        <w:t>s</w:t>
      </w:r>
      <w:r w:rsidR="002131B9" w:rsidRPr="00044C6A">
        <w:rPr>
          <w:lang w:val="en-AU"/>
        </w:rPr>
        <w:t xml:space="preserve"> in policy a</w:t>
      </w:r>
      <w:r w:rsidR="009F3E5B" w:rsidRPr="00044C6A">
        <w:rPr>
          <w:lang w:val="en-AU"/>
        </w:rPr>
        <w:t>nd practice:</w:t>
      </w:r>
    </w:p>
    <w:p w:rsidR="009F3E5B" w:rsidRPr="00044C6A" w:rsidRDefault="0056450A" w:rsidP="009F3E5B">
      <w:pPr>
        <w:pStyle w:val="ListParagraph"/>
        <w:numPr>
          <w:ilvl w:val="0"/>
          <w:numId w:val="10"/>
        </w:numPr>
        <w:rPr>
          <w:lang w:val="en-AU"/>
        </w:rPr>
      </w:pPr>
      <w:r w:rsidRPr="00044C6A">
        <w:rPr>
          <w:lang w:val="en-AU"/>
        </w:rPr>
        <w:t>Evidence shows that</w:t>
      </w:r>
      <w:r w:rsidR="00B33777" w:rsidRPr="00044C6A">
        <w:rPr>
          <w:lang w:val="en-AU"/>
        </w:rPr>
        <w:t xml:space="preserve"> children and young people are capable research participants,</w:t>
      </w:r>
      <w:r w:rsidR="009F3E5B" w:rsidRPr="00044C6A">
        <w:rPr>
          <w:lang w:val="en-AU"/>
        </w:rPr>
        <w:t xml:space="preserve"> and</w:t>
      </w:r>
      <w:r w:rsidR="007B3D97">
        <w:rPr>
          <w:lang w:val="en-AU"/>
        </w:rPr>
        <w:t xml:space="preserve"> suggests</w:t>
      </w:r>
      <w:r w:rsidR="00B33777" w:rsidRPr="00044C6A">
        <w:rPr>
          <w:lang w:val="en-AU"/>
        </w:rPr>
        <w:t xml:space="preserve"> </w:t>
      </w:r>
      <w:r w:rsidR="00857708" w:rsidRPr="00044C6A">
        <w:rPr>
          <w:lang w:val="en-AU"/>
        </w:rPr>
        <w:t>that their input</w:t>
      </w:r>
      <w:r w:rsidR="009F3E5B" w:rsidRPr="00044C6A">
        <w:rPr>
          <w:lang w:val="en-AU"/>
        </w:rPr>
        <w:t xml:space="preserve"> can enable</w:t>
      </w:r>
      <w:r w:rsidR="00857708" w:rsidRPr="00044C6A">
        <w:rPr>
          <w:lang w:val="en-AU"/>
        </w:rPr>
        <w:t xml:space="preserve"> the development of more effective and efficient policies and services</w:t>
      </w:r>
      <w:sdt>
        <w:sdtPr>
          <w:rPr>
            <w:lang w:val="en-AU"/>
          </w:rPr>
          <w:id w:val="-796680501"/>
          <w:citation/>
        </w:sdtPr>
        <w:sdtEndPr/>
        <w:sdtContent>
          <w:r w:rsidR="009F3E5B" w:rsidRPr="00044C6A">
            <w:rPr>
              <w:lang w:val="en-AU"/>
            </w:rPr>
            <w:fldChar w:fldCharType="begin"/>
          </w:r>
          <w:r w:rsidR="009F3E5B" w:rsidRPr="00044C6A">
            <w:rPr>
              <w:lang w:val="en-AU"/>
            </w:rPr>
            <w:instrText xml:space="preserve"> CITATION Moo11 \l 1033 </w:instrText>
          </w:r>
          <w:r w:rsidR="009F3E5B" w:rsidRPr="00044C6A">
            <w:rPr>
              <w:lang w:val="en-AU"/>
            </w:rPr>
            <w:fldChar w:fldCharType="separate"/>
          </w:r>
          <w:r w:rsidR="00DA015F" w:rsidRPr="00044C6A">
            <w:rPr>
              <w:noProof/>
              <w:lang w:val="en-AU"/>
            </w:rPr>
            <w:t xml:space="preserve"> [3]</w:t>
          </w:r>
          <w:r w:rsidR="009F3E5B" w:rsidRPr="00044C6A">
            <w:rPr>
              <w:lang w:val="en-AU"/>
            </w:rPr>
            <w:fldChar w:fldCharType="end"/>
          </w:r>
        </w:sdtContent>
      </w:sdt>
      <w:r w:rsidR="00857708" w:rsidRPr="00044C6A">
        <w:rPr>
          <w:lang w:val="en-AU"/>
        </w:rPr>
        <w:t xml:space="preserve">. </w:t>
      </w:r>
    </w:p>
    <w:p w:rsidR="009F3E5B" w:rsidRPr="00044C6A" w:rsidRDefault="009F3E5B" w:rsidP="009F3E5B">
      <w:pPr>
        <w:pStyle w:val="ListParagraph"/>
        <w:numPr>
          <w:ilvl w:val="0"/>
          <w:numId w:val="10"/>
        </w:numPr>
        <w:rPr>
          <w:lang w:val="en-AU"/>
        </w:rPr>
      </w:pPr>
      <w:r w:rsidRPr="00044C6A">
        <w:rPr>
          <w:lang w:val="en-AU"/>
        </w:rPr>
        <w:t>Involvement of children and young people in issues that affect them is consistent with the United Nations Convention on the Rights of The Child</w:t>
      </w:r>
      <w:sdt>
        <w:sdtPr>
          <w:rPr>
            <w:lang w:val="en-AU"/>
          </w:rPr>
          <w:id w:val="-1303775012"/>
          <w:citation/>
        </w:sdtPr>
        <w:sdtEndPr/>
        <w:sdtContent>
          <w:r w:rsidRPr="00044C6A">
            <w:rPr>
              <w:lang w:val="en-AU"/>
            </w:rPr>
            <w:fldChar w:fldCharType="begin"/>
          </w:r>
          <w:r w:rsidR="00E61C23" w:rsidRPr="00044C6A">
            <w:rPr>
              <w:lang w:val="en-AU"/>
            </w:rPr>
            <w:instrText xml:space="preserve">CITATION UNG89 \l 1033 </w:instrText>
          </w:r>
          <w:r w:rsidRPr="00044C6A">
            <w:rPr>
              <w:lang w:val="en-AU"/>
            </w:rPr>
            <w:fldChar w:fldCharType="separate"/>
          </w:r>
          <w:r w:rsidR="00DA015F" w:rsidRPr="00044C6A">
            <w:rPr>
              <w:noProof/>
              <w:lang w:val="en-AU"/>
            </w:rPr>
            <w:t xml:space="preserve"> [4]</w:t>
          </w:r>
          <w:r w:rsidRPr="00044C6A">
            <w:rPr>
              <w:lang w:val="en-AU"/>
            </w:rPr>
            <w:fldChar w:fldCharType="end"/>
          </w:r>
        </w:sdtContent>
      </w:sdt>
      <w:r w:rsidRPr="00044C6A">
        <w:rPr>
          <w:lang w:val="en-AU"/>
        </w:rPr>
        <w:t>.</w:t>
      </w:r>
    </w:p>
    <w:p w:rsidR="009F3E5B" w:rsidRPr="00044C6A" w:rsidRDefault="009F3E5B" w:rsidP="000B0185">
      <w:pPr>
        <w:pStyle w:val="ListParagraph"/>
        <w:numPr>
          <w:ilvl w:val="0"/>
          <w:numId w:val="10"/>
        </w:numPr>
        <w:rPr>
          <w:lang w:val="en-AU"/>
        </w:rPr>
      </w:pPr>
      <w:r w:rsidRPr="00044C6A">
        <w:rPr>
          <w:lang w:val="en-AU"/>
        </w:rPr>
        <w:t xml:space="preserve">In our consultations with over 3000 children and young people, they have told us that participation in issues that affect them is important to their </w:t>
      </w:r>
      <w:r w:rsidR="00951634" w:rsidRPr="00044C6A">
        <w:rPr>
          <w:lang w:val="en-AU"/>
        </w:rPr>
        <w:t>wellbeing</w:t>
      </w:r>
      <w:sdt>
        <w:sdtPr>
          <w:rPr>
            <w:lang w:val="en-AU"/>
          </w:rPr>
          <w:id w:val="1190729496"/>
          <w:citation/>
        </w:sdtPr>
        <w:sdtEndPr/>
        <w:sdtContent>
          <w:r w:rsidR="00857708" w:rsidRPr="00044C6A">
            <w:rPr>
              <w:lang w:val="en-AU"/>
            </w:rPr>
            <w:fldChar w:fldCharType="begin"/>
          </w:r>
          <w:r w:rsidR="00857708" w:rsidRPr="00044C6A">
            <w:rPr>
              <w:lang w:val="en-AU"/>
            </w:rPr>
            <w:instrText xml:space="preserve"> CITATION Aus121 \l 1033 </w:instrText>
          </w:r>
          <w:r w:rsidR="00857708" w:rsidRPr="00044C6A">
            <w:rPr>
              <w:lang w:val="en-AU"/>
            </w:rPr>
            <w:fldChar w:fldCharType="separate"/>
          </w:r>
          <w:r w:rsidR="00DA015F" w:rsidRPr="00044C6A">
            <w:rPr>
              <w:noProof/>
              <w:lang w:val="en-AU"/>
            </w:rPr>
            <w:t xml:space="preserve"> [5]</w:t>
          </w:r>
          <w:r w:rsidR="00857708" w:rsidRPr="00044C6A">
            <w:rPr>
              <w:lang w:val="en-AU"/>
            </w:rPr>
            <w:fldChar w:fldCharType="end"/>
          </w:r>
        </w:sdtContent>
      </w:sdt>
      <w:r w:rsidRPr="00044C6A">
        <w:rPr>
          <w:lang w:val="en-AU"/>
        </w:rPr>
        <w:t xml:space="preserve">. </w:t>
      </w:r>
    </w:p>
    <w:p w:rsidR="0035411D" w:rsidRPr="00044C6A" w:rsidRDefault="009F3E5B" w:rsidP="0035411D">
      <w:pPr>
        <w:pStyle w:val="ListParagraph"/>
        <w:numPr>
          <w:ilvl w:val="0"/>
          <w:numId w:val="10"/>
        </w:numPr>
        <w:rPr>
          <w:lang w:val="en-AU"/>
        </w:rPr>
      </w:pPr>
      <w:r w:rsidRPr="00044C6A">
        <w:rPr>
          <w:lang w:val="en-AU"/>
        </w:rPr>
        <w:t>Evidence suggests that research</w:t>
      </w:r>
      <w:r w:rsidR="008330B7" w:rsidRPr="00044C6A">
        <w:rPr>
          <w:lang w:val="en-AU"/>
        </w:rPr>
        <w:t xml:space="preserve"> par</w:t>
      </w:r>
      <w:r w:rsidR="00951634" w:rsidRPr="00044C6A">
        <w:rPr>
          <w:lang w:val="en-AU"/>
        </w:rPr>
        <w:t>tic</w:t>
      </w:r>
      <w:r w:rsidRPr="00044C6A">
        <w:rPr>
          <w:lang w:val="en-AU"/>
        </w:rPr>
        <w:t>i</w:t>
      </w:r>
      <w:r w:rsidR="00951634" w:rsidRPr="00044C6A">
        <w:rPr>
          <w:lang w:val="en-AU"/>
        </w:rPr>
        <w:t xml:space="preserve">pation can </w:t>
      </w:r>
      <w:r w:rsidRPr="00044C6A">
        <w:rPr>
          <w:lang w:val="en-AU"/>
        </w:rPr>
        <w:t>be beneficial</w:t>
      </w:r>
      <w:r w:rsidR="007B3D97">
        <w:rPr>
          <w:lang w:val="en-AU"/>
        </w:rPr>
        <w:t xml:space="preserve"> to children and young people on</w:t>
      </w:r>
      <w:r w:rsidRPr="00044C6A">
        <w:rPr>
          <w:lang w:val="en-AU"/>
        </w:rPr>
        <w:t xml:space="preserve"> </w:t>
      </w:r>
      <w:r w:rsidR="00951634" w:rsidRPr="00044C6A">
        <w:rPr>
          <w:lang w:val="en-AU"/>
        </w:rPr>
        <w:t>an individual level</w:t>
      </w:r>
      <w:sdt>
        <w:sdtPr>
          <w:rPr>
            <w:lang w:val="en-AU"/>
          </w:rPr>
          <w:id w:val="-99571691"/>
          <w:citation/>
        </w:sdtPr>
        <w:sdtEndPr/>
        <w:sdtContent>
          <w:r w:rsidR="00951634" w:rsidRPr="00044C6A">
            <w:rPr>
              <w:lang w:val="en-AU"/>
            </w:rPr>
            <w:fldChar w:fldCharType="begin"/>
          </w:r>
          <w:r w:rsidR="00951634" w:rsidRPr="00044C6A">
            <w:rPr>
              <w:lang w:val="en-AU"/>
            </w:rPr>
            <w:instrText xml:space="preserve"> CITATION Moo11 \l 1033 </w:instrText>
          </w:r>
          <w:r w:rsidR="00951634" w:rsidRPr="00044C6A">
            <w:rPr>
              <w:lang w:val="en-AU"/>
            </w:rPr>
            <w:fldChar w:fldCharType="separate"/>
          </w:r>
          <w:r w:rsidR="00DA015F" w:rsidRPr="00044C6A">
            <w:rPr>
              <w:noProof/>
              <w:lang w:val="en-AU"/>
            </w:rPr>
            <w:t xml:space="preserve"> [3]</w:t>
          </w:r>
          <w:r w:rsidR="00951634" w:rsidRPr="00044C6A">
            <w:rPr>
              <w:lang w:val="en-AU"/>
            </w:rPr>
            <w:fldChar w:fldCharType="end"/>
          </w:r>
        </w:sdtContent>
      </w:sdt>
      <w:r w:rsidR="00951634" w:rsidRPr="00044C6A">
        <w:rPr>
          <w:lang w:val="en-AU"/>
        </w:rPr>
        <w:t xml:space="preserve">. </w:t>
      </w:r>
    </w:p>
    <w:p w:rsidR="000F0797" w:rsidRPr="00044C6A" w:rsidRDefault="000F0797" w:rsidP="000F0797">
      <w:pPr>
        <w:pStyle w:val="ListParagraph"/>
        <w:ind w:left="1170"/>
        <w:rPr>
          <w:lang w:val="en-AU"/>
        </w:rPr>
      </w:pPr>
    </w:p>
    <w:p w:rsidR="0019165A" w:rsidRPr="00044C6A" w:rsidRDefault="00E827AD" w:rsidP="0019165A">
      <w:pPr>
        <w:pStyle w:val="ListParagraph"/>
        <w:numPr>
          <w:ilvl w:val="0"/>
          <w:numId w:val="11"/>
        </w:numPr>
        <w:rPr>
          <w:lang w:val="en-AU"/>
        </w:rPr>
      </w:pPr>
      <w:r w:rsidRPr="00044C6A">
        <w:rPr>
          <w:lang w:val="en-AU"/>
        </w:rPr>
        <w:t>ARACY thereby makes the recommendation that consultation with children, young people, and their families be emphasized as a key component of genuine community engagement.</w:t>
      </w:r>
    </w:p>
    <w:p w:rsidR="000F0797" w:rsidRPr="00044C6A" w:rsidRDefault="000F0797" w:rsidP="0035411D">
      <w:pPr>
        <w:rPr>
          <w:lang w:val="en-AU"/>
        </w:rPr>
      </w:pPr>
      <w:r w:rsidRPr="00044C6A">
        <w:rPr>
          <w:lang w:val="en-AU"/>
        </w:rPr>
        <w:t>In response to Draft Recommendation 6.3:</w:t>
      </w:r>
    </w:p>
    <w:p w:rsidR="000F0797" w:rsidRPr="00044C6A" w:rsidRDefault="000F0797" w:rsidP="000F0797">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t xml:space="preserve">DRAFT RECOMMENDATION 6.3   BETTER DATA ON OUTCOMES FOR CHILDREN AND FAMILIES  </w:t>
      </w:r>
    </w:p>
    <w:p w:rsidR="000F0797" w:rsidRPr="00044C6A" w:rsidRDefault="000F0797" w:rsidP="000F0797">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t xml:space="preserve">To provide a more complete picture of the wellbeing of children and families in the Northern Territory, the Commonwealth and NT Governments should improve their data so that it is: </w:t>
      </w:r>
    </w:p>
    <w:p w:rsidR="000F0797" w:rsidRPr="00044C6A" w:rsidRDefault="000F0797" w:rsidP="000F0797">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lastRenderedPageBreak/>
        <w:sym w:font="Symbol" w:char="F0B7"/>
      </w:r>
      <w:r w:rsidRPr="00044C6A">
        <w:rPr>
          <w:lang w:val="en-AU"/>
        </w:rPr>
        <w:t xml:space="preserve"> Outcomes-focused — seeking to measure outcomes for children and families using available child-centred indicators across all the domains of child wellbeing </w:t>
      </w:r>
    </w:p>
    <w:p w:rsidR="000F0797" w:rsidRPr="00044C6A" w:rsidRDefault="000F0797" w:rsidP="000F0797">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sym w:font="Symbol" w:char="F0B7"/>
      </w:r>
      <w:r w:rsidRPr="00044C6A">
        <w:rPr>
          <w:lang w:val="en-AU"/>
        </w:rPr>
        <w:t xml:space="preserve"> Collected, tracked and publicly reported at the community level wherever possible. </w:t>
      </w:r>
    </w:p>
    <w:p w:rsidR="000F0797" w:rsidRPr="00044C6A" w:rsidRDefault="000F0797" w:rsidP="000F0797">
      <w:pPr>
        <w:pStyle w:val="ListParagraph"/>
        <w:numPr>
          <w:ilvl w:val="0"/>
          <w:numId w:val="11"/>
        </w:numPr>
        <w:rPr>
          <w:lang w:val="en-AU"/>
        </w:rPr>
      </w:pPr>
      <w:r w:rsidRPr="00044C6A">
        <w:rPr>
          <w:lang w:val="en-AU"/>
        </w:rPr>
        <w:t>ARACY strongly s</w:t>
      </w:r>
      <w:r w:rsidR="00B643A0" w:rsidRPr="00044C6A">
        <w:rPr>
          <w:lang w:val="en-AU"/>
        </w:rPr>
        <w:t>upports the recommendation data be collected on child-centred indicators across all wellbeing domains, and strongly supports the recommendation tha</w:t>
      </w:r>
      <w:r w:rsidR="00E61C23" w:rsidRPr="00044C6A">
        <w:rPr>
          <w:lang w:val="en-AU"/>
        </w:rPr>
        <w:t>t these indicators are outcomes-</w:t>
      </w:r>
      <w:r w:rsidR="00B643A0" w:rsidRPr="00044C6A">
        <w:rPr>
          <w:lang w:val="en-AU"/>
        </w:rPr>
        <w:t>focused.</w:t>
      </w:r>
    </w:p>
    <w:p w:rsidR="00B643A0" w:rsidRPr="00044C6A" w:rsidRDefault="00B643A0" w:rsidP="00B643A0">
      <w:pPr>
        <w:pStyle w:val="ListParagraph"/>
        <w:ind w:left="360"/>
        <w:rPr>
          <w:lang w:val="en-AU"/>
        </w:rPr>
      </w:pPr>
    </w:p>
    <w:p w:rsidR="00B643A0" w:rsidRPr="00044C6A" w:rsidRDefault="00063584" w:rsidP="000F0797">
      <w:pPr>
        <w:pStyle w:val="ListParagraph"/>
        <w:numPr>
          <w:ilvl w:val="0"/>
          <w:numId w:val="11"/>
        </w:numPr>
        <w:rPr>
          <w:lang w:val="en-AU"/>
        </w:rPr>
      </w:pPr>
      <w:r w:rsidRPr="00044C6A">
        <w:rPr>
          <w:lang w:val="en-AU"/>
        </w:rPr>
        <w:t>ARACY agrees</w:t>
      </w:r>
      <w:r w:rsidR="00B643A0" w:rsidRPr="00044C6A">
        <w:rPr>
          <w:lang w:val="en-AU"/>
        </w:rPr>
        <w:t xml:space="preserve"> that data be reported and/or adapted</w:t>
      </w:r>
      <w:r w:rsidRPr="00044C6A">
        <w:rPr>
          <w:lang w:val="en-AU"/>
        </w:rPr>
        <w:t xml:space="preserve"> in</w:t>
      </w:r>
      <w:r w:rsidR="00B643A0" w:rsidRPr="00044C6A">
        <w:rPr>
          <w:lang w:val="en-AU"/>
        </w:rPr>
        <w:t xml:space="preserve"> in order to be accessi</w:t>
      </w:r>
      <w:r w:rsidRPr="00044C6A">
        <w:rPr>
          <w:lang w:val="en-AU"/>
        </w:rPr>
        <w:t>ble to families and communities,</w:t>
      </w:r>
      <w:r w:rsidR="007B3D97">
        <w:rPr>
          <w:lang w:val="en-AU"/>
        </w:rPr>
        <w:t xml:space="preserve"> and emphasised that this should include accessibility to</w:t>
      </w:r>
      <w:r w:rsidRPr="00044C6A">
        <w:rPr>
          <w:lang w:val="en-AU"/>
        </w:rPr>
        <w:t xml:space="preserve"> including children and young people.</w:t>
      </w:r>
      <w:r w:rsidR="00E61C23" w:rsidRPr="00044C6A">
        <w:rPr>
          <w:lang w:val="en-AU"/>
        </w:rPr>
        <w:t xml:space="preserve"> </w:t>
      </w:r>
    </w:p>
    <w:p w:rsidR="00B643A0" w:rsidRPr="00044C6A" w:rsidRDefault="00B643A0" w:rsidP="00B643A0">
      <w:pPr>
        <w:pStyle w:val="ListParagraph"/>
        <w:ind w:left="360"/>
        <w:rPr>
          <w:lang w:val="en-AU"/>
        </w:rPr>
      </w:pPr>
    </w:p>
    <w:p w:rsidR="00423744" w:rsidRPr="00044C6A" w:rsidRDefault="00063584" w:rsidP="000F0797">
      <w:pPr>
        <w:pStyle w:val="ListParagraph"/>
        <w:numPr>
          <w:ilvl w:val="0"/>
          <w:numId w:val="11"/>
        </w:numPr>
        <w:rPr>
          <w:lang w:val="en-AU"/>
        </w:rPr>
      </w:pPr>
      <w:r w:rsidRPr="00044C6A">
        <w:rPr>
          <w:lang w:val="en-AU"/>
        </w:rPr>
        <w:t>ARACY would like to refer</w:t>
      </w:r>
      <w:r w:rsidR="00B643A0" w:rsidRPr="00044C6A">
        <w:rPr>
          <w:lang w:val="en-AU"/>
        </w:rPr>
        <w:t xml:space="preserve"> the Productivity Commission and the Commonwealth and Northern Territory Governments to ARACY’s 2018 Report Card</w:t>
      </w:r>
      <w:r w:rsidR="007B3D97">
        <w:rPr>
          <w:lang w:val="en-AU"/>
        </w:rPr>
        <w:t xml:space="preserve"> (added as attachment)</w:t>
      </w:r>
      <w:sdt>
        <w:sdtPr>
          <w:rPr>
            <w:lang w:val="en-AU"/>
          </w:rPr>
          <w:id w:val="-1984455286"/>
          <w:citation/>
        </w:sdtPr>
        <w:sdtEndPr/>
        <w:sdtContent>
          <w:r w:rsidR="009704DA" w:rsidRPr="00044C6A">
            <w:rPr>
              <w:lang w:val="en-AU"/>
            </w:rPr>
            <w:fldChar w:fldCharType="begin"/>
          </w:r>
          <w:r w:rsidR="009704DA" w:rsidRPr="00044C6A">
            <w:rPr>
              <w:lang w:val="en-AU"/>
            </w:rPr>
            <w:instrText xml:space="preserve"> CITATION Aus18 \l 1033 </w:instrText>
          </w:r>
          <w:r w:rsidR="009704DA" w:rsidRPr="00044C6A">
            <w:rPr>
              <w:lang w:val="en-AU"/>
            </w:rPr>
            <w:fldChar w:fldCharType="separate"/>
          </w:r>
          <w:r w:rsidR="00DA015F" w:rsidRPr="00044C6A">
            <w:rPr>
              <w:noProof/>
              <w:lang w:val="en-AU"/>
            </w:rPr>
            <w:t xml:space="preserve"> [6]</w:t>
          </w:r>
          <w:r w:rsidR="009704DA" w:rsidRPr="00044C6A">
            <w:rPr>
              <w:lang w:val="en-AU"/>
            </w:rPr>
            <w:fldChar w:fldCharType="end"/>
          </w:r>
        </w:sdtContent>
      </w:sdt>
      <w:r w:rsidR="009704DA" w:rsidRPr="00044C6A">
        <w:rPr>
          <w:lang w:val="en-AU"/>
        </w:rPr>
        <w:t xml:space="preserve">, which serves as </w:t>
      </w:r>
      <w:r w:rsidR="00600F69" w:rsidRPr="00044C6A">
        <w:rPr>
          <w:lang w:val="en-AU"/>
        </w:rPr>
        <w:t xml:space="preserve">a </w:t>
      </w:r>
      <w:r w:rsidR="00B643A0" w:rsidRPr="00044C6A">
        <w:rPr>
          <w:lang w:val="en-AU"/>
        </w:rPr>
        <w:t>national summary of the wellbeing of children and young people, reported via child-centred indicators acr</w:t>
      </w:r>
      <w:r w:rsidRPr="00044C6A">
        <w:rPr>
          <w:lang w:val="en-AU"/>
        </w:rPr>
        <w:t>oss six wellbeing domains. This Report Card may be a useful template for reporting on the wellbeing of children and young people at a territory and local level.</w:t>
      </w:r>
    </w:p>
    <w:p w:rsidR="0019165A" w:rsidRPr="00044C6A" w:rsidRDefault="0019165A" w:rsidP="0019165A">
      <w:pPr>
        <w:rPr>
          <w:lang w:val="en-AU"/>
        </w:rPr>
      </w:pPr>
      <w:r w:rsidRPr="00044C6A">
        <w:rPr>
          <w:lang w:val="en-AU"/>
        </w:rPr>
        <w:t>In response to Information Request 6.2:</w:t>
      </w:r>
    </w:p>
    <w:p w:rsidR="0019165A" w:rsidRPr="00044C6A" w:rsidRDefault="0019165A" w:rsidP="0019165A">
      <w:pPr>
        <w:rPr>
          <w:i/>
          <w:lang w:val="en-AU"/>
        </w:rPr>
      </w:pPr>
      <w:r w:rsidRPr="00044C6A">
        <w:rPr>
          <w:i/>
          <w:lang w:val="en-AU"/>
        </w:rPr>
        <w:t xml:space="preserve">INFORMATION REQUEST 6.2 </w:t>
      </w:r>
    </w:p>
    <w:p w:rsidR="0019165A" w:rsidRPr="00044C6A" w:rsidRDefault="0019165A" w:rsidP="0019165A">
      <w:pPr>
        <w:rPr>
          <w:i/>
          <w:lang w:val="en-AU"/>
        </w:rPr>
      </w:pPr>
      <w:r w:rsidRPr="00044C6A">
        <w:rPr>
          <w:i/>
          <w:lang w:val="en-AU"/>
        </w:rPr>
        <w:t>What are the sensitivities involved in releasing data at the community level on risk, protective and wellbeing factors of children and families (such as statistics on child protection, police, justice, health and education)? How could these sensitivities best be managed?</w:t>
      </w:r>
    </w:p>
    <w:p w:rsidR="00DA015F" w:rsidRPr="00601C1C" w:rsidRDefault="00DA015F" w:rsidP="00DA015F">
      <w:pPr>
        <w:pStyle w:val="ListParagraph"/>
        <w:numPr>
          <w:ilvl w:val="0"/>
          <w:numId w:val="15"/>
        </w:numPr>
        <w:rPr>
          <w:lang w:val="en-AU"/>
        </w:rPr>
      </w:pPr>
      <w:r w:rsidRPr="00601C1C">
        <w:rPr>
          <w:lang w:val="en-AU"/>
        </w:rPr>
        <w:t>ARACY is conscious of the risk of stigmatizing communities when reporting community-level data.</w:t>
      </w:r>
    </w:p>
    <w:p w:rsidR="00DA015F" w:rsidRPr="00601C1C" w:rsidRDefault="00DA015F" w:rsidP="00DA015F">
      <w:pPr>
        <w:pStyle w:val="ListParagraph"/>
        <w:ind w:left="360"/>
        <w:rPr>
          <w:lang w:val="en-AU"/>
        </w:rPr>
      </w:pPr>
    </w:p>
    <w:p w:rsidR="00527CB8" w:rsidRPr="00601C1C" w:rsidRDefault="00527CB8" w:rsidP="00527CB8">
      <w:pPr>
        <w:pStyle w:val="ListParagraph"/>
        <w:numPr>
          <w:ilvl w:val="0"/>
          <w:numId w:val="15"/>
        </w:numPr>
        <w:rPr>
          <w:lang w:val="en-AU"/>
        </w:rPr>
      </w:pPr>
      <w:r w:rsidRPr="00601C1C">
        <w:rPr>
          <w:lang w:val="en-AU"/>
        </w:rPr>
        <w:t xml:space="preserve">ARACY is </w:t>
      </w:r>
      <w:r w:rsidR="00DA015F" w:rsidRPr="00601C1C">
        <w:rPr>
          <w:lang w:val="en-AU"/>
        </w:rPr>
        <w:t xml:space="preserve">also </w:t>
      </w:r>
      <w:r w:rsidRPr="00601C1C">
        <w:rPr>
          <w:lang w:val="en-AU"/>
        </w:rPr>
        <w:t xml:space="preserve">conscious of the impact of framing of information on community response. For example, a recent study </w:t>
      </w:r>
      <w:r w:rsidR="00DA015F" w:rsidRPr="00601C1C">
        <w:rPr>
          <w:lang w:val="en-AU"/>
        </w:rPr>
        <w:t>on parenting behaviours in Australia</w:t>
      </w:r>
      <w:sdt>
        <w:sdtPr>
          <w:rPr>
            <w:lang w:val="en-AU"/>
          </w:rPr>
          <w:id w:val="-1389487736"/>
          <w:citation/>
        </w:sdtPr>
        <w:sdtEndPr/>
        <w:sdtContent>
          <w:r w:rsidR="00DA015F" w:rsidRPr="00601C1C">
            <w:rPr>
              <w:lang w:val="en-AU"/>
            </w:rPr>
            <w:fldChar w:fldCharType="begin"/>
          </w:r>
          <w:r w:rsidR="00DA015F" w:rsidRPr="00601C1C">
            <w:rPr>
              <w:lang w:val="en-AU"/>
            </w:rPr>
            <w:instrText xml:space="preserve"> CITATION Fra18 \l 1033 </w:instrText>
          </w:r>
          <w:r w:rsidR="00DA015F" w:rsidRPr="00601C1C">
            <w:rPr>
              <w:lang w:val="en-AU"/>
            </w:rPr>
            <w:fldChar w:fldCharType="separate"/>
          </w:r>
          <w:r w:rsidR="00DA015F" w:rsidRPr="00601C1C">
            <w:rPr>
              <w:noProof/>
              <w:lang w:val="en-AU"/>
            </w:rPr>
            <w:t xml:space="preserve"> [7]</w:t>
          </w:r>
          <w:r w:rsidR="00DA015F" w:rsidRPr="00601C1C">
            <w:rPr>
              <w:lang w:val="en-AU"/>
            </w:rPr>
            <w:fldChar w:fldCharType="end"/>
          </w:r>
        </w:sdtContent>
      </w:sdt>
      <w:r w:rsidRPr="00601C1C">
        <w:rPr>
          <w:lang w:val="en-AU"/>
        </w:rPr>
        <w:t xml:space="preserve"> </w:t>
      </w:r>
      <w:r w:rsidR="00DA015F" w:rsidRPr="00601C1C">
        <w:rPr>
          <w:lang w:val="en-AU"/>
        </w:rPr>
        <w:t xml:space="preserve">showed strong community support for parenting initiatives when framed from a </w:t>
      </w:r>
      <w:r w:rsidR="00FA6615">
        <w:rPr>
          <w:lang w:val="en-AU"/>
        </w:rPr>
        <w:t>“</w:t>
      </w:r>
      <w:r w:rsidR="00DA015F" w:rsidRPr="00601C1C">
        <w:rPr>
          <w:lang w:val="en-AU"/>
        </w:rPr>
        <w:t>child development</w:t>
      </w:r>
      <w:r w:rsidR="00FA6615">
        <w:rPr>
          <w:lang w:val="en-AU"/>
        </w:rPr>
        <w:t>”</w:t>
      </w:r>
      <w:r w:rsidR="00DA015F" w:rsidRPr="00601C1C">
        <w:rPr>
          <w:lang w:val="en-AU"/>
        </w:rPr>
        <w:t xml:space="preserve"> perspective. Conversely, framing the same messages from an “effective parenting” perspective resulted in a strong decrease in participants’ support for the initiative</w:t>
      </w:r>
      <w:r w:rsidR="00FA6615">
        <w:rPr>
          <w:lang w:val="en-AU"/>
        </w:rPr>
        <w:t>, measured by markers such as willingness to pay additional taxes to support parenting initiatives</w:t>
      </w:r>
      <w:r w:rsidR="00DA015F" w:rsidRPr="00601C1C">
        <w:rPr>
          <w:lang w:val="en-AU"/>
        </w:rPr>
        <w:t xml:space="preserve">. </w:t>
      </w:r>
    </w:p>
    <w:p w:rsidR="00DA015F" w:rsidRPr="00601C1C" w:rsidRDefault="00DA015F" w:rsidP="00DA015F">
      <w:pPr>
        <w:pStyle w:val="ListParagraph"/>
        <w:rPr>
          <w:lang w:val="en-AU"/>
        </w:rPr>
      </w:pPr>
    </w:p>
    <w:p w:rsidR="00DA015F" w:rsidRPr="00601C1C" w:rsidRDefault="00DA015F" w:rsidP="00527CB8">
      <w:pPr>
        <w:pStyle w:val="ListParagraph"/>
        <w:numPr>
          <w:ilvl w:val="0"/>
          <w:numId w:val="15"/>
        </w:numPr>
        <w:rPr>
          <w:lang w:val="en-AU"/>
        </w:rPr>
      </w:pPr>
      <w:r w:rsidRPr="00601C1C">
        <w:rPr>
          <w:lang w:val="en-AU"/>
        </w:rPr>
        <w:t xml:space="preserve">Evidence suggests that a strengths-based approach when working with children </w:t>
      </w:r>
      <w:r w:rsidR="00044C6A" w:rsidRPr="00601C1C">
        <w:rPr>
          <w:lang w:val="en-AU"/>
        </w:rPr>
        <w:t xml:space="preserve">and families is associated with </w:t>
      </w:r>
      <w:r w:rsidRPr="00601C1C">
        <w:rPr>
          <w:lang w:val="en-AU"/>
        </w:rPr>
        <w:t>in improved engagement with services</w:t>
      </w:r>
      <w:r w:rsidR="00B26CFA" w:rsidRPr="00601C1C">
        <w:rPr>
          <w:lang w:val="en-AU"/>
        </w:rPr>
        <w:t>, at an individual and family level</w:t>
      </w:r>
      <w:sdt>
        <w:sdtPr>
          <w:rPr>
            <w:lang w:val="en-AU"/>
          </w:rPr>
          <w:id w:val="1229954319"/>
          <w:citation/>
        </w:sdtPr>
        <w:sdtEndPr/>
        <w:sdtContent>
          <w:r w:rsidRPr="00601C1C">
            <w:rPr>
              <w:lang w:val="en-AU"/>
            </w:rPr>
            <w:fldChar w:fldCharType="begin"/>
          </w:r>
          <w:r w:rsidRPr="00601C1C">
            <w:rPr>
              <w:lang w:val="en-AU"/>
            </w:rPr>
            <w:instrText xml:space="preserve"> CITATION Sce11 \l 1033 </w:instrText>
          </w:r>
          <w:r w:rsidRPr="00601C1C">
            <w:rPr>
              <w:lang w:val="en-AU"/>
            </w:rPr>
            <w:fldChar w:fldCharType="separate"/>
          </w:r>
          <w:r w:rsidRPr="00601C1C">
            <w:rPr>
              <w:noProof/>
              <w:lang w:val="en-AU"/>
            </w:rPr>
            <w:t xml:space="preserve"> [8]</w:t>
          </w:r>
          <w:r w:rsidRPr="00601C1C">
            <w:rPr>
              <w:lang w:val="en-AU"/>
            </w:rPr>
            <w:fldChar w:fldCharType="end"/>
          </w:r>
        </w:sdtContent>
      </w:sdt>
      <w:r w:rsidR="00044C6A" w:rsidRPr="00601C1C">
        <w:rPr>
          <w:lang w:val="en-AU"/>
        </w:rPr>
        <w:t>.</w:t>
      </w:r>
    </w:p>
    <w:p w:rsidR="0062742C" w:rsidRPr="00601C1C" w:rsidRDefault="0062742C" w:rsidP="0062742C">
      <w:pPr>
        <w:pStyle w:val="ListParagraph"/>
        <w:rPr>
          <w:lang w:val="en-AU"/>
        </w:rPr>
      </w:pPr>
    </w:p>
    <w:p w:rsidR="0062742C" w:rsidRPr="00601C1C" w:rsidRDefault="0062742C" w:rsidP="0062742C">
      <w:pPr>
        <w:pStyle w:val="ListParagraph"/>
        <w:numPr>
          <w:ilvl w:val="0"/>
          <w:numId w:val="15"/>
        </w:numPr>
        <w:rPr>
          <w:lang w:val="en-AU"/>
        </w:rPr>
      </w:pPr>
      <w:r w:rsidRPr="00601C1C">
        <w:rPr>
          <w:lang w:val="en-AU"/>
        </w:rPr>
        <w:t>ARACY recommends due consideration be given to the above points when publishing data at a community level.</w:t>
      </w:r>
    </w:p>
    <w:p w:rsidR="0062742C" w:rsidRPr="00044C6A" w:rsidRDefault="0062742C" w:rsidP="0062742C">
      <w:pPr>
        <w:pStyle w:val="ListParagraph"/>
        <w:ind w:left="360"/>
        <w:rPr>
          <w:lang w:val="en-AU"/>
        </w:rPr>
      </w:pPr>
    </w:p>
    <w:p w:rsidR="00423744" w:rsidRPr="00044C6A" w:rsidRDefault="00423744" w:rsidP="000F0797">
      <w:pPr>
        <w:rPr>
          <w:lang w:val="en-AU"/>
        </w:rPr>
      </w:pPr>
      <w:r w:rsidRPr="00044C6A">
        <w:rPr>
          <w:lang w:val="en-AU"/>
        </w:rPr>
        <w:t>In response to Draft Recommendation 7.2:</w:t>
      </w:r>
    </w:p>
    <w:p w:rsidR="00423744" w:rsidRPr="00044C6A" w:rsidRDefault="00423744" w:rsidP="0042374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t xml:space="preserve">DRAFT RECOMMENDATION 7.2   INCREASING CERTAINTY IN THE CONTRACTING PROCESS </w:t>
      </w:r>
    </w:p>
    <w:p w:rsidR="00423744" w:rsidRPr="00044C6A" w:rsidRDefault="00423744" w:rsidP="0042374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t xml:space="preserve">To reduce uncertainty in funding of children and family services, the Commonwealth and NT Governments should:  </w:t>
      </w:r>
    </w:p>
    <w:p w:rsidR="00423744" w:rsidRPr="00044C6A" w:rsidRDefault="00423744" w:rsidP="0042374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sym w:font="Symbol" w:char="F0B7"/>
      </w:r>
      <w:r w:rsidRPr="00044C6A">
        <w:rPr>
          <w:lang w:val="en-AU"/>
        </w:rPr>
        <w:t xml:space="preserve"> Publish a rolling schedule of upcoming funding opportunities over (at least) the next twelve months </w:t>
      </w:r>
    </w:p>
    <w:p w:rsidR="00423744" w:rsidRPr="00044C6A" w:rsidRDefault="00423744" w:rsidP="0042374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lastRenderedPageBreak/>
        <w:sym w:font="Symbol" w:char="F0B7"/>
      </w:r>
      <w:r w:rsidRPr="00044C6A">
        <w:rPr>
          <w:lang w:val="en-AU"/>
        </w:rPr>
        <w:t xml:space="preserve"> Allow sufficient time (a default of three months) for providers to prepare considered responses, including the development of integrated bids across related services  </w:t>
      </w:r>
    </w:p>
    <w:p w:rsidR="00423744" w:rsidRPr="00044C6A" w:rsidRDefault="00423744" w:rsidP="0042374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sym w:font="Symbol" w:char="F0B7"/>
      </w:r>
      <w:r w:rsidRPr="00044C6A">
        <w:rPr>
          <w:lang w:val="en-AU"/>
        </w:rPr>
        <w:t xml:space="preserve"> Notify providers of the outcome of funding processes in a timely manner, well in advance of the end of the existing contract. </w:t>
      </w:r>
    </w:p>
    <w:p w:rsidR="00423744" w:rsidRPr="00044C6A" w:rsidRDefault="00423744" w:rsidP="00423744">
      <w:pPr>
        <w:pStyle w:val="ListParagraph"/>
        <w:numPr>
          <w:ilvl w:val="0"/>
          <w:numId w:val="12"/>
        </w:numPr>
        <w:rPr>
          <w:lang w:val="en-AU"/>
        </w:rPr>
      </w:pPr>
      <w:r w:rsidRPr="00044C6A">
        <w:rPr>
          <w:lang w:val="en-AU"/>
        </w:rPr>
        <w:t xml:space="preserve">ARACY supports the recommendation that sufficient time be allowed for providers to prepare considered responses to bids, and agrees that a default of three months is an appropriate timeframe. </w:t>
      </w:r>
    </w:p>
    <w:p w:rsidR="00423744" w:rsidRPr="00044C6A" w:rsidRDefault="00DA2EFB" w:rsidP="00423744">
      <w:pPr>
        <w:rPr>
          <w:lang w:val="en-AU"/>
        </w:rPr>
      </w:pPr>
      <w:r w:rsidRPr="00044C6A">
        <w:rPr>
          <w:lang w:val="en-AU"/>
        </w:rPr>
        <w:t>In response to Draft Recommendation 7.3:</w:t>
      </w:r>
    </w:p>
    <w:p w:rsidR="00AF38CA" w:rsidRPr="00044C6A" w:rsidRDefault="00AF38CA" w:rsidP="00AF38CA">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t xml:space="preserve">DRAFT RECOMMENDATION 7.3   A RELATIONAL APPROACH TO CONTRACTING </w:t>
      </w:r>
    </w:p>
    <w:p w:rsidR="00AF38CA" w:rsidRPr="00044C6A" w:rsidRDefault="00AF38CA" w:rsidP="00AF38CA">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t xml:space="preserve">The Commonwealth and NT Governments should adopt a relational approach to contracting, in which governments, service providers and communities work collaboratively towards shared outcomes. A relational contracting approach would involve: </w:t>
      </w:r>
    </w:p>
    <w:p w:rsidR="00AF38CA" w:rsidRPr="00044C6A" w:rsidRDefault="00AF38CA" w:rsidP="00AF38CA">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sym w:font="Symbol" w:char="F0B7"/>
      </w:r>
      <w:r w:rsidRPr="00044C6A">
        <w:rPr>
          <w:lang w:val="en-AU"/>
        </w:rPr>
        <w:t xml:space="preserve"> Governments and service providers engaging in collaborative, regular reviews of service outcomes (after consulting users of the service) to assess progress against user needs, with continuous improvement and adaptation of services when required </w:t>
      </w:r>
    </w:p>
    <w:p w:rsidR="00AF38CA" w:rsidRPr="00044C6A" w:rsidRDefault="00AF38CA" w:rsidP="00AF38CA">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sym w:font="Symbol" w:char="F0B7"/>
      </w:r>
      <w:r w:rsidRPr="00044C6A">
        <w:rPr>
          <w:lang w:val="en-AU"/>
        </w:rPr>
        <w:t xml:space="preserve"> Regular reviews that are proportionate to the dependency between governments and providers — for example, more regular reviews where there is lack of competition — and where the risk and complexities associated with the service are high </w:t>
      </w:r>
    </w:p>
    <w:p w:rsidR="00DA2EFB" w:rsidRPr="00044C6A" w:rsidRDefault="00AF38CA" w:rsidP="00AF38CA">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sym w:font="Symbol" w:char="F0B7"/>
      </w:r>
      <w:r w:rsidRPr="00044C6A">
        <w:rPr>
          <w:lang w:val="en-AU"/>
        </w:rPr>
        <w:t xml:space="preserve"> Management of the relationship with service providers at the local or regional level, using existing regional network staff and infrastructure already in place. Governments should ensure that regional network staff have the skills, capacity and authority to make independent decisions on minor changes to service delivery, and in consultation with head offices when more substantial changes are required.</w:t>
      </w:r>
    </w:p>
    <w:p w:rsidR="00F27F18" w:rsidRPr="00044C6A" w:rsidRDefault="00AF38CA" w:rsidP="00F27F18">
      <w:pPr>
        <w:pStyle w:val="ListParagraph"/>
        <w:numPr>
          <w:ilvl w:val="0"/>
          <w:numId w:val="12"/>
        </w:numPr>
        <w:rPr>
          <w:lang w:val="en-AU"/>
        </w:rPr>
      </w:pPr>
      <w:r w:rsidRPr="00044C6A">
        <w:rPr>
          <w:lang w:val="en-AU"/>
        </w:rPr>
        <w:t>ARACY supports the recommendation that governments and service providers engage in collaborative, regular reviews of service outcomes. Specifically, ARACY would like to reinforce the importance of consulting with children and young people regarding the effectiveness of service delivery, for the reasons outlined in our response to Draft Recommendation 6.1.</w:t>
      </w:r>
    </w:p>
    <w:p w:rsidR="00210553" w:rsidRPr="00044C6A" w:rsidRDefault="00210553" w:rsidP="00210553">
      <w:pPr>
        <w:pStyle w:val="ListParagraph"/>
        <w:ind w:left="360"/>
        <w:rPr>
          <w:lang w:val="en-AU"/>
        </w:rPr>
      </w:pPr>
    </w:p>
    <w:p w:rsidR="0066217A" w:rsidRPr="00044C6A" w:rsidRDefault="00210553" w:rsidP="00210553">
      <w:pPr>
        <w:pStyle w:val="ListParagraph"/>
        <w:numPr>
          <w:ilvl w:val="0"/>
          <w:numId w:val="12"/>
        </w:numPr>
        <w:rPr>
          <w:lang w:val="en-AU"/>
        </w:rPr>
      </w:pPr>
      <w:r w:rsidRPr="00044C6A">
        <w:rPr>
          <w:lang w:val="en-AU"/>
        </w:rPr>
        <w:t>ARACY also agrees that service delivery should have sufficient flexibility and capacity to be adapted and improved throughout implementation, based on family and community input.</w:t>
      </w:r>
    </w:p>
    <w:p w:rsidR="00063584" w:rsidRPr="00044C6A" w:rsidRDefault="00063584" w:rsidP="00063584">
      <w:pPr>
        <w:pStyle w:val="ListParagraph"/>
        <w:ind w:left="0"/>
        <w:rPr>
          <w:lang w:val="en-AU"/>
        </w:rPr>
      </w:pPr>
    </w:p>
    <w:p w:rsidR="00063584" w:rsidRPr="00044C6A" w:rsidRDefault="00063584" w:rsidP="00063584">
      <w:pPr>
        <w:pStyle w:val="ListParagraph"/>
        <w:ind w:left="0"/>
        <w:rPr>
          <w:lang w:val="en-AU"/>
        </w:rPr>
      </w:pPr>
      <w:r w:rsidRPr="00044C6A">
        <w:rPr>
          <w:lang w:val="en-AU"/>
        </w:rPr>
        <w:t>In response to Draft Recommendation 8.1:</w:t>
      </w:r>
    </w:p>
    <w:p w:rsidR="00063584" w:rsidRPr="00044C6A" w:rsidRDefault="00063584" w:rsidP="0006358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t xml:space="preserve">DRAFT RECOMMENDATION 8.1   BUILDING THE EVIDENCE BASE THROUGH EVALUATION </w:t>
      </w:r>
    </w:p>
    <w:p w:rsidR="00063584" w:rsidRPr="00044C6A" w:rsidRDefault="00063584" w:rsidP="0006358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t xml:space="preserve">The Commonwealth and NT Governments should embed requirements (and appropriate resourcing) for monitoring and evaluation into contracts for children and family services where: </w:t>
      </w:r>
    </w:p>
    <w:p w:rsidR="00063584" w:rsidRPr="00044C6A" w:rsidRDefault="00063584" w:rsidP="0006358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sym w:font="Symbol" w:char="F0B7"/>
      </w:r>
      <w:r w:rsidRPr="00044C6A">
        <w:rPr>
          <w:lang w:val="en-AU"/>
        </w:rPr>
        <w:t xml:space="preserve"> The service lacks an existing, relevant and context-specific evidence base  </w:t>
      </w:r>
    </w:p>
    <w:p w:rsidR="00063584" w:rsidRPr="00044C6A" w:rsidRDefault="00063584" w:rsidP="0006358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sym w:font="Symbol" w:char="F0B7"/>
      </w:r>
      <w:r w:rsidRPr="00044C6A">
        <w:rPr>
          <w:lang w:val="en-AU"/>
        </w:rPr>
        <w:t xml:space="preserve"> The service is expected to be adapted over time (for example, because the exact inputs and outputs of the program may not be known in advance). </w:t>
      </w:r>
    </w:p>
    <w:p w:rsidR="00063584" w:rsidRPr="00044C6A" w:rsidRDefault="00063584" w:rsidP="0006358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t xml:space="preserve">At a minimum, funding should support the use of an evaluative approach that facilitates learning by doing and continuous improvement in services (draft finding 8.2). This should include funding to run periodic surveys that seek to understand user experience and community views on the functioning of the service and </w:t>
      </w:r>
      <w:r w:rsidRPr="00044C6A">
        <w:rPr>
          <w:lang w:val="en-AU"/>
        </w:rPr>
        <w:lastRenderedPageBreak/>
        <w:t xml:space="preserve">how it could be improved. This is an important complement to the collection and reporting of data on outcomes for children and families at the community level (draft recommendation 6.3).  </w:t>
      </w:r>
    </w:p>
    <w:p w:rsidR="00063584" w:rsidRPr="00044C6A" w:rsidRDefault="00063584" w:rsidP="0006358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t xml:space="preserve">Governments should prioritise and fund more formal, rigorous evaluations for programs or services that: </w:t>
      </w:r>
    </w:p>
    <w:p w:rsidR="00063584" w:rsidRPr="00044C6A" w:rsidRDefault="00063584" w:rsidP="0006358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sym w:font="Symbol" w:char="F0B7"/>
      </w:r>
      <w:r w:rsidRPr="00044C6A">
        <w:rPr>
          <w:lang w:val="en-AU"/>
        </w:rPr>
        <w:t xml:space="preserve"> Involve a high level of expenditure and risk, or that cover a large number of children and families  </w:t>
      </w:r>
    </w:p>
    <w:p w:rsidR="00063584" w:rsidRPr="00044C6A" w:rsidRDefault="00063584" w:rsidP="00063584">
      <w:pPr>
        <w:pBdr>
          <w:top w:val="single" w:sz="4" w:space="1" w:color="auto"/>
          <w:left w:val="single" w:sz="4" w:space="4" w:color="auto"/>
          <w:bottom w:val="single" w:sz="4" w:space="1" w:color="auto"/>
          <w:right w:val="single" w:sz="4" w:space="4" w:color="auto"/>
        </w:pBdr>
        <w:shd w:val="clear" w:color="auto" w:fill="E2EFD9" w:themeFill="accent6" w:themeFillTint="33"/>
        <w:rPr>
          <w:lang w:val="en-AU"/>
        </w:rPr>
      </w:pPr>
      <w:r w:rsidRPr="00044C6A">
        <w:rPr>
          <w:lang w:val="en-AU"/>
        </w:rPr>
        <w:sym w:font="Symbol" w:char="F0B7"/>
      </w:r>
      <w:r w:rsidRPr="00044C6A">
        <w:rPr>
          <w:lang w:val="en-AU"/>
        </w:rPr>
        <w:t xml:space="preserve"> Have been introduced in communities where there have not been significant changes in policies or other programs (to enable reasonable attribution of the impact of the program on outcomes).</w:t>
      </w:r>
    </w:p>
    <w:p w:rsidR="00063584" w:rsidRPr="00044C6A" w:rsidRDefault="005F11EC" w:rsidP="00063584">
      <w:pPr>
        <w:pStyle w:val="ListParagraph"/>
        <w:numPr>
          <w:ilvl w:val="0"/>
          <w:numId w:val="14"/>
        </w:numPr>
        <w:rPr>
          <w:lang w:val="en-AU"/>
        </w:rPr>
      </w:pPr>
      <w:r w:rsidRPr="00044C6A">
        <w:rPr>
          <w:lang w:val="en-AU"/>
        </w:rPr>
        <w:t>ARACY strongly supports the recommendation by the Productivity Commission to embed requirements and appropriate resourcing for monitorin</w:t>
      </w:r>
      <w:r w:rsidR="00C85F13" w:rsidRPr="00044C6A">
        <w:rPr>
          <w:lang w:val="en-AU"/>
        </w:rPr>
        <w:t>g and evaluation into contracts, and agrees that user experience and community views are an important component of this. In particular, ARACY emphasises the value of including children and young people’s views on services, as per our response to Draft Recommendation 6.1.</w:t>
      </w:r>
    </w:p>
    <w:p w:rsidR="00C85F13" w:rsidRPr="00044C6A" w:rsidRDefault="00C85F13" w:rsidP="00C85F13">
      <w:pPr>
        <w:pStyle w:val="ListParagraph"/>
        <w:ind w:left="360"/>
        <w:rPr>
          <w:lang w:val="en-AU"/>
        </w:rPr>
      </w:pPr>
    </w:p>
    <w:p w:rsidR="005F11EC" w:rsidRPr="00044C6A" w:rsidRDefault="005F11EC" w:rsidP="00063584">
      <w:pPr>
        <w:pStyle w:val="ListParagraph"/>
        <w:numPr>
          <w:ilvl w:val="0"/>
          <w:numId w:val="14"/>
        </w:numPr>
        <w:rPr>
          <w:lang w:val="en-AU"/>
        </w:rPr>
      </w:pPr>
      <w:r w:rsidRPr="00044C6A">
        <w:rPr>
          <w:lang w:val="en-AU"/>
        </w:rPr>
        <w:t xml:space="preserve">ARACY </w:t>
      </w:r>
      <w:r w:rsidR="00C85F13" w:rsidRPr="00044C6A">
        <w:rPr>
          <w:lang w:val="en-AU"/>
        </w:rPr>
        <w:t>also supports the recommendation of more formal and rigorous evaluation in risky or large programs or services, and to monitor impact on communities.</w:t>
      </w:r>
    </w:p>
    <w:p w:rsidR="0019165A" w:rsidRPr="00044C6A" w:rsidRDefault="0019165A" w:rsidP="0019165A">
      <w:pPr>
        <w:rPr>
          <w:lang w:val="en-AU"/>
        </w:rPr>
      </w:pPr>
      <w:r w:rsidRPr="00044C6A">
        <w:rPr>
          <w:lang w:val="en-AU"/>
        </w:rPr>
        <w:t>In response to Information Request 8.1:</w:t>
      </w:r>
    </w:p>
    <w:p w:rsidR="0019165A" w:rsidRPr="00044C6A" w:rsidRDefault="0019165A" w:rsidP="0019165A">
      <w:pPr>
        <w:rPr>
          <w:i/>
          <w:lang w:val="en-AU"/>
        </w:rPr>
      </w:pPr>
      <w:r w:rsidRPr="00044C6A">
        <w:rPr>
          <w:i/>
          <w:lang w:val="en-AU"/>
        </w:rPr>
        <w:t xml:space="preserve">INFORMATION REQUEST 8.1 </w:t>
      </w:r>
    </w:p>
    <w:p w:rsidR="0019165A" w:rsidRDefault="0019165A" w:rsidP="0019165A">
      <w:pPr>
        <w:rPr>
          <w:i/>
          <w:lang w:val="en-AU"/>
        </w:rPr>
      </w:pPr>
      <w:r w:rsidRPr="00044C6A">
        <w:rPr>
          <w:i/>
          <w:lang w:val="en-AU"/>
        </w:rPr>
        <w:t>How could the reporting burden be reduced for service providers that receive multiple grants from different funding agencies? Should providers only have to report to one funding agency? For example, should a ‘lead agency’ receive a unified report covering all reporting obligations for the children and family services the provider has been funded for in that jurisdiction? What other options are there to reduce reporting burdens?</w:t>
      </w:r>
    </w:p>
    <w:p w:rsidR="00D9178A" w:rsidRDefault="00D9178A" w:rsidP="00D9178A">
      <w:pPr>
        <w:pStyle w:val="ListParagraph"/>
        <w:numPr>
          <w:ilvl w:val="0"/>
          <w:numId w:val="16"/>
        </w:numPr>
        <w:rPr>
          <w:lang w:val="en-AU"/>
        </w:rPr>
      </w:pPr>
      <w:r>
        <w:rPr>
          <w:lang w:val="en-AU"/>
        </w:rPr>
        <w:t>ARACY supports the idea of a “lead agency” to reduced reporting burdens.</w:t>
      </w:r>
    </w:p>
    <w:p w:rsidR="00D9178A" w:rsidRDefault="00D9178A" w:rsidP="00D9178A">
      <w:pPr>
        <w:pStyle w:val="ListParagraph"/>
        <w:ind w:left="360"/>
        <w:rPr>
          <w:lang w:val="en-AU"/>
        </w:rPr>
      </w:pPr>
    </w:p>
    <w:p w:rsidR="00D9178A" w:rsidRDefault="00D9178A" w:rsidP="00D9178A">
      <w:pPr>
        <w:pStyle w:val="ListParagraph"/>
        <w:numPr>
          <w:ilvl w:val="0"/>
          <w:numId w:val="16"/>
        </w:numPr>
        <w:rPr>
          <w:lang w:val="en-AU"/>
        </w:rPr>
      </w:pPr>
      <w:r>
        <w:rPr>
          <w:lang w:val="en-AU"/>
        </w:rPr>
        <w:t>ARACY suggest</w:t>
      </w:r>
      <w:r w:rsidR="0068007B">
        <w:rPr>
          <w:lang w:val="en-AU"/>
        </w:rPr>
        <w:t>s that</w:t>
      </w:r>
      <w:r>
        <w:rPr>
          <w:lang w:val="en-AU"/>
        </w:rPr>
        <w:t xml:space="preserve"> a combined report that covers all reporting obligations, where the format has been agreed upon jointly by the funders, would also reduce reporting burdens.</w:t>
      </w:r>
    </w:p>
    <w:p w:rsidR="0019165A" w:rsidRPr="00044C6A" w:rsidRDefault="0019165A" w:rsidP="0019165A">
      <w:pPr>
        <w:rPr>
          <w:lang w:val="en-AU"/>
        </w:rPr>
      </w:pPr>
    </w:p>
    <w:p w:rsidR="000F0797" w:rsidRPr="00044C6A" w:rsidRDefault="000F0797" w:rsidP="0066217A">
      <w:pPr>
        <w:rPr>
          <w:lang w:val="en-AU"/>
        </w:rPr>
      </w:pPr>
      <w:r w:rsidRPr="00044C6A">
        <w:rPr>
          <w:lang w:val="en-AU"/>
        </w:rPr>
        <w:br w:type="page"/>
      </w:r>
    </w:p>
    <w:p w:rsidR="00E827AD" w:rsidRPr="00044C6A" w:rsidRDefault="00E827AD" w:rsidP="0035411D">
      <w:pPr>
        <w:rPr>
          <w:lang w:val="en-AU"/>
        </w:rPr>
      </w:pPr>
    </w:p>
    <w:p w:rsidR="00857708" w:rsidRPr="00044C6A" w:rsidRDefault="00857708" w:rsidP="00857708">
      <w:pPr>
        <w:pStyle w:val="Heading2"/>
        <w:rPr>
          <w:lang w:val="en-AU"/>
        </w:rPr>
      </w:pPr>
      <w:r w:rsidRPr="00044C6A">
        <w:rPr>
          <w:lang w:val="en-AU"/>
        </w:rPr>
        <w:t>Summary</w:t>
      </w:r>
      <w:r w:rsidR="009704DA" w:rsidRPr="00044C6A">
        <w:rPr>
          <w:lang w:val="en-AU"/>
        </w:rPr>
        <w:t xml:space="preserve"> of Recommendations</w:t>
      </w:r>
    </w:p>
    <w:p w:rsidR="009704DA" w:rsidRPr="00044C6A" w:rsidRDefault="009704DA" w:rsidP="009704DA">
      <w:pPr>
        <w:rPr>
          <w:lang w:val="en-AU"/>
        </w:rPr>
      </w:pPr>
    </w:p>
    <w:p w:rsidR="00BC6880" w:rsidRPr="00044C6A" w:rsidRDefault="00BC6880" w:rsidP="009704DA">
      <w:pPr>
        <w:pStyle w:val="ListParagraph"/>
        <w:numPr>
          <w:ilvl w:val="0"/>
          <w:numId w:val="11"/>
        </w:numPr>
        <w:rPr>
          <w:lang w:val="en-AU"/>
        </w:rPr>
      </w:pPr>
      <w:r w:rsidRPr="00044C6A">
        <w:rPr>
          <w:lang w:val="en-AU"/>
        </w:rPr>
        <w:t>ARACY supports the Review of Expenditure on Children in the Northern Territory given the need for governments to provide cost-effective and sustainable services that are demonstrably effective in the local community.</w:t>
      </w:r>
    </w:p>
    <w:p w:rsidR="00BC6880" w:rsidRPr="00044C6A" w:rsidRDefault="00BC6880" w:rsidP="00BC6880">
      <w:pPr>
        <w:pStyle w:val="ListParagraph"/>
        <w:ind w:left="360"/>
        <w:rPr>
          <w:lang w:val="en-AU"/>
        </w:rPr>
      </w:pPr>
    </w:p>
    <w:p w:rsidR="009704DA" w:rsidRPr="00044C6A" w:rsidRDefault="009704DA" w:rsidP="009704DA">
      <w:pPr>
        <w:pStyle w:val="ListParagraph"/>
        <w:numPr>
          <w:ilvl w:val="0"/>
          <w:numId w:val="11"/>
        </w:numPr>
        <w:rPr>
          <w:lang w:val="en-AU"/>
        </w:rPr>
      </w:pPr>
      <w:r w:rsidRPr="00044C6A">
        <w:rPr>
          <w:lang w:val="en-AU"/>
        </w:rPr>
        <w:t>ARACY recommends t</w:t>
      </w:r>
      <w:r w:rsidR="0068415F" w:rsidRPr="00044C6A">
        <w:rPr>
          <w:lang w:val="en-AU"/>
        </w:rPr>
        <w:t>hat</w:t>
      </w:r>
      <w:r w:rsidRPr="00044C6A">
        <w:rPr>
          <w:lang w:val="en-AU"/>
        </w:rPr>
        <w:t xml:space="preserve"> consultation with children, young people, and their families be emphasized as a key component</w:t>
      </w:r>
      <w:r w:rsidR="0068415F" w:rsidRPr="00044C6A">
        <w:rPr>
          <w:lang w:val="en-AU"/>
        </w:rPr>
        <w:t xml:space="preserve"> of genuine community engagement, and that</w:t>
      </w:r>
      <w:r w:rsidR="005E62B0">
        <w:rPr>
          <w:lang w:val="en-AU"/>
        </w:rPr>
        <w:t xml:space="preserve"> evidence suggests this</w:t>
      </w:r>
      <w:r w:rsidR="001A6801" w:rsidRPr="00044C6A">
        <w:rPr>
          <w:lang w:val="en-AU"/>
        </w:rPr>
        <w:t xml:space="preserve"> should</w:t>
      </w:r>
      <w:r w:rsidR="0068415F" w:rsidRPr="00044C6A">
        <w:rPr>
          <w:lang w:val="en-AU"/>
        </w:rPr>
        <w:t xml:space="preserve"> lead to the improvement of policies and services.</w:t>
      </w:r>
    </w:p>
    <w:p w:rsidR="0068415F" w:rsidRPr="00044C6A" w:rsidRDefault="0068415F" w:rsidP="0068415F">
      <w:pPr>
        <w:pStyle w:val="ListParagraph"/>
        <w:ind w:left="360"/>
        <w:rPr>
          <w:lang w:val="en-AU"/>
        </w:rPr>
      </w:pPr>
    </w:p>
    <w:p w:rsidR="009704DA" w:rsidRDefault="0068415F" w:rsidP="009704DA">
      <w:pPr>
        <w:pStyle w:val="ListParagraph"/>
        <w:numPr>
          <w:ilvl w:val="0"/>
          <w:numId w:val="11"/>
        </w:numPr>
        <w:rPr>
          <w:lang w:val="en-AU"/>
        </w:rPr>
      </w:pPr>
      <w:r w:rsidRPr="00044C6A">
        <w:rPr>
          <w:lang w:val="en-AU"/>
        </w:rPr>
        <w:t>ARACY strongly supports the recommendation th</w:t>
      </w:r>
      <w:r w:rsidR="00FB220B" w:rsidRPr="00044C6A">
        <w:rPr>
          <w:lang w:val="en-AU"/>
        </w:rPr>
        <w:t>at child-centred, outcomes-focu</w:t>
      </w:r>
      <w:r w:rsidRPr="00044C6A">
        <w:rPr>
          <w:lang w:val="en-AU"/>
        </w:rPr>
        <w:t>sed data be collected on children and families, and</w:t>
      </w:r>
      <w:r w:rsidR="00CD2879" w:rsidRPr="00044C6A">
        <w:rPr>
          <w:lang w:val="en-AU"/>
        </w:rPr>
        <w:t xml:space="preserve"> further recommends that this data be reported in a way that is accessible to children and families. ARACY</w:t>
      </w:r>
      <w:r w:rsidRPr="00044C6A">
        <w:rPr>
          <w:lang w:val="en-AU"/>
        </w:rPr>
        <w:t xml:space="preserve"> points</w:t>
      </w:r>
      <w:r w:rsidR="00CD2879" w:rsidRPr="00044C6A">
        <w:rPr>
          <w:lang w:val="en-AU"/>
        </w:rPr>
        <w:t xml:space="preserve"> to</w:t>
      </w:r>
      <w:r w:rsidRPr="00044C6A">
        <w:rPr>
          <w:lang w:val="en-AU"/>
        </w:rPr>
        <w:t xml:space="preserve"> the ARACY 2018 Rep</w:t>
      </w:r>
      <w:r w:rsidR="00CD2879" w:rsidRPr="00044C6A">
        <w:rPr>
          <w:lang w:val="en-AU"/>
        </w:rPr>
        <w:t>ort Card as a valuable resource.</w:t>
      </w:r>
    </w:p>
    <w:p w:rsidR="0062742C" w:rsidRPr="0062742C" w:rsidRDefault="0062742C" w:rsidP="0062742C">
      <w:pPr>
        <w:pStyle w:val="ListParagraph"/>
        <w:rPr>
          <w:lang w:val="en-AU"/>
        </w:rPr>
      </w:pPr>
    </w:p>
    <w:p w:rsidR="0062742C" w:rsidRPr="00044C6A" w:rsidRDefault="0062742C" w:rsidP="009704DA">
      <w:pPr>
        <w:pStyle w:val="ListParagraph"/>
        <w:numPr>
          <w:ilvl w:val="0"/>
          <w:numId w:val="11"/>
        </w:numPr>
        <w:rPr>
          <w:lang w:val="en-AU"/>
        </w:rPr>
      </w:pPr>
      <w:r>
        <w:rPr>
          <w:lang w:val="en-AU"/>
        </w:rPr>
        <w:t>ARACY recommends due consideration be given to the risk of stigmatisation, the community response, and</w:t>
      </w:r>
      <w:r w:rsidR="005E61E7">
        <w:rPr>
          <w:lang w:val="en-AU"/>
        </w:rPr>
        <w:t xml:space="preserve"> the</w:t>
      </w:r>
      <w:r>
        <w:rPr>
          <w:lang w:val="en-AU"/>
        </w:rPr>
        <w:t xml:space="preserve"> potential value of a strengths-based reporting style when publishing data at a community level.</w:t>
      </w:r>
    </w:p>
    <w:p w:rsidR="00622873" w:rsidRPr="00044C6A" w:rsidRDefault="00622873" w:rsidP="00622873">
      <w:pPr>
        <w:pStyle w:val="ListParagraph"/>
        <w:rPr>
          <w:lang w:val="en-AU"/>
        </w:rPr>
      </w:pPr>
    </w:p>
    <w:p w:rsidR="00622873" w:rsidRPr="00044C6A" w:rsidRDefault="00622873" w:rsidP="00622873">
      <w:pPr>
        <w:pStyle w:val="ListParagraph"/>
        <w:numPr>
          <w:ilvl w:val="0"/>
          <w:numId w:val="11"/>
        </w:numPr>
        <w:rPr>
          <w:lang w:val="en-AU"/>
        </w:rPr>
      </w:pPr>
      <w:r w:rsidRPr="00044C6A">
        <w:rPr>
          <w:lang w:val="en-AU"/>
        </w:rPr>
        <w:t xml:space="preserve">ARACY supports the recommendation that sufficient time be allowed for providers to prepare considered responses to bids, and agrees that a default of three months is an appropriate timeframe. </w:t>
      </w:r>
    </w:p>
    <w:p w:rsidR="00622873" w:rsidRPr="00044C6A" w:rsidRDefault="00622873" w:rsidP="00622873">
      <w:pPr>
        <w:pStyle w:val="ListParagraph"/>
        <w:rPr>
          <w:lang w:val="en-AU"/>
        </w:rPr>
      </w:pPr>
    </w:p>
    <w:p w:rsidR="00622873" w:rsidRPr="00044C6A" w:rsidRDefault="00622873" w:rsidP="00622873">
      <w:pPr>
        <w:pStyle w:val="ListParagraph"/>
        <w:numPr>
          <w:ilvl w:val="0"/>
          <w:numId w:val="11"/>
        </w:numPr>
        <w:rPr>
          <w:lang w:val="en-AU"/>
        </w:rPr>
      </w:pPr>
      <w:r w:rsidRPr="00044C6A">
        <w:rPr>
          <w:lang w:val="en-AU"/>
        </w:rPr>
        <w:t>ARACY supports the recommendation that service outcome evaluation be a collaborative process, and</w:t>
      </w:r>
      <w:r w:rsidR="00634961" w:rsidRPr="00044C6A">
        <w:rPr>
          <w:lang w:val="en-AU"/>
        </w:rPr>
        <w:t xml:space="preserve"> emphasises the importance of </w:t>
      </w:r>
      <w:r w:rsidR="00FB220B" w:rsidRPr="00044C6A">
        <w:rPr>
          <w:lang w:val="en-AU"/>
        </w:rPr>
        <w:t xml:space="preserve">including </w:t>
      </w:r>
      <w:r w:rsidR="00634961" w:rsidRPr="00044C6A">
        <w:rPr>
          <w:lang w:val="en-AU"/>
        </w:rPr>
        <w:t>consultation with children and young people</w:t>
      </w:r>
      <w:r w:rsidR="005E62B0">
        <w:rPr>
          <w:lang w:val="en-AU"/>
        </w:rPr>
        <w:t xml:space="preserve"> in this process</w:t>
      </w:r>
      <w:r w:rsidR="00634961" w:rsidRPr="00044C6A">
        <w:rPr>
          <w:lang w:val="en-AU"/>
        </w:rPr>
        <w:t>. ARACY also agrees that services should have sufficient flexibility and capacity to adapt based on consultation findings.</w:t>
      </w:r>
    </w:p>
    <w:p w:rsidR="008F54AC" w:rsidRPr="00044C6A" w:rsidRDefault="008F54AC" w:rsidP="008F54AC">
      <w:pPr>
        <w:pStyle w:val="ListParagraph"/>
        <w:rPr>
          <w:lang w:val="en-AU"/>
        </w:rPr>
      </w:pPr>
    </w:p>
    <w:p w:rsidR="00841A25" w:rsidRDefault="008F54AC" w:rsidP="00622873">
      <w:pPr>
        <w:pStyle w:val="ListParagraph"/>
        <w:numPr>
          <w:ilvl w:val="0"/>
          <w:numId w:val="11"/>
        </w:numPr>
        <w:rPr>
          <w:lang w:val="en-AU"/>
        </w:rPr>
      </w:pPr>
      <w:r w:rsidRPr="00044C6A">
        <w:rPr>
          <w:lang w:val="en-AU"/>
        </w:rPr>
        <w:t>ARAC</w:t>
      </w:r>
      <w:r w:rsidR="005E62B0">
        <w:rPr>
          <w:lang w:val="en-AU"/>
        </w:rPr>
        <w:t>Y supports the recommendation that</w:t>
      </w:r>
      <w:r w:rsidRPr="00044C6A">
        <w:rPr>
          <w:lang w:val="en-AU"/>
        </w:rPr>
        <w:t xml:space="preserve"> monitoring and eva</w:t>
      </w:r>
      <w:r w:rsidR="005E62B0">
        <w:rPr>
          <w:lang w:val="en-AU"/>
        </w:rPr>
        <w:t>luation processes be embedded</w:t>
      </w:r>
      <w:r w:rsidRPr="00044C6A">
        <w:rPr>
          <w:lang w:val="en-AU"/>
        </w:rPr>
        <w:t xml:space="preserve"> appropriately resourced</w:t>
      </w:r>
      <w:r w:rsidR="005E62B0">
        <w:rPr>
          <w:lang w:val="en-AU"/>
        </w:rPr>
        <w:t xml:space="preserve"> in programs and services</w:t>
      </w:r>
      <w:r w:rsidRPr="00044C6A">
        <w:rPr>
          <w:lang w:val="en-AU"/>
        </w:rPr>
        <w:t xml:space="preserve">, </w:t>
      </w:r>
      <w:r w:rsidR="005E62B0">
        <w:rPr>
          <w:lang w:val="en-AU"/>
        </w:rPr>
        <w:t>and that the rigor of the evaluation is</w:t>
      </w:r>
      <w:r w:rsidRPr="00044C6A">
        <w:rPr>
          <w:lang w:val="en-AU"/>
        </w:rPr>
        <w:t xml:space="preserve"> adapted according to context, scale, and risk of the program or service. ARACY also supports the inclusion of user experience and community views as part of these evaluations, with emphasis on the importance and value of including the views of children and young people impacted by the program or service</w:t>
      </w:r>
      <w:r w:rsidR="005E61E7">
        <w:rPr>
          <w:lang w:val="en-AU"/>
        </w:rPr>
        <w:t xml:space="preserve"> in these evaluations</w:t>
      </w:r>
      <w:r w:rsidRPr="00044C6A">
        <w:rPr>
          <w:lang w:val="en-AU"/>
        </w:rPr>
        <w:t>.</w:t>
      </w:r>
    </w:p>
    <w:p w:rsidR="00D46824" w:rsidRPr="00D46824" w:rsidRDefault="00D46824" w:rsidP="00D46824">
      <w:pPr>
        <w:pStyle w:val="ListParagraph"/>
        <w:rPr>
          <w:lang w:val="en-AU"/>
        </w:rPr>
      </w:pPr>
    </w:p>
    <w:p w:rsidR="00D46824" w:rsidRPr="00044C6A" w:rsidRDefault="00787497" w:rsidP="00622873">
      <w:pPr>
        <w:pStyle w:val="ListParagraph"/>
        <w:numPr>
          <w:ilvl w:val="0"/>
          <w:numId w:val="11"/>
        </w:numPr>
        <w:rPr>
          <w:lang w:val="en-AU"/>
        </w:rPr>
      </w:pPr>
      <w:r>
        <w:rPr>
          <w:lang w:val="en-AU"/>
        </w:rPr>
        <w:t>ARACY suggests</w:t>
      </w:r>
      <w:r w:rsidR="00D46824">
        <w:rPr>
          <w:lang w:val="en-AU"/>
        </w:rPr>
        <w:t xml:space="preserve"> a lead agency submit a combined report, which covers all reporting obligations, and where the format has been ag</w:t>
      </w:r>
      <w:r>
        <w:rPr>
          <w:lang w:val="en-AU"/>
        </w:rPr>
        <w:t>reed upon by funders, in order to</w:t>
      </w:r>
      <w:r w:rsidR="00D46824">
        <w:rPr>
          <w:lang w:val="en-AU"/>
        </w:rPr>
        <w:t xml:space="preserve"> reduce the reporting burden.</w:t>
      </w:r>
    </w:p>
    <w:p w:rsidR="00841A25" w:rsidRPr="00044C6A" w:rsidRDefault="00841A25" w:rsidP="00841A25">
      <w:pPr>
        <w:rPr>
          <w:lang w:val="en-AU"/>
        </w:rPr>
      </w:pPr>
      <w:r w:rsidRPr="00044C6A">
        <w:rPr>
          <w:lang w:val="en-AU"/>
        </w:rPr>
        <w:br w:type="page"/>
      </w:r>
    </w:p>
    <w:sdt>
      <w:sdtPr>
        <w:rPr>
          <w:rFonts w:asciiTheme="minorHAnsi" w:eastAsiaTheme="minorEastAsia" w:hAnsiTheme="minorHAnsi" w:cstheme="minorBidi"/>
          <w:color w:val="auto"/>
          <w:sz w:val="21"/>
          <w:szCs w:val="21"/>
          <w:lang w:val="en-AU"/>
        </w:rPr>
        <w:id w:val="590277320"/>
        <w:docPartObj>
          <w:docPartGallery w:val="Bibliographies"/>
          <w:docPartUnique/>
        </w:docPartObj>
      </w:sdtPr>
      <w:sdtEndPr/>
      <w:sdtContent>
        <w:p w:rsidR="0056450A" w:rsidRPr="00044C6A" w:rsidRDefault="0056450A">
          <w:pPr>
            <w:pStyle w:val="Heading1"/>
            <w:rPr>
              <w:lang w:val="en-AU"/>
            </w:rPr>
          </w:pPr>
          <w:r w:rsidRPr="00044C6A">
            <w:rPr>
              <w:lang w:val="en-AU"/>
            </w:rPr>
            <w:t>References</w:t>
          </w:r>
        </w:p>
        <w:sdt>
          <w:sdtPr>
            <w:rPr>
              <w:lang w:val="en-AU"/>
            </w:rPr>
            <w:id w:val="-573587230"/>
            <w:bibliography/>
          </w:sdtPr>
          <w:sdtEndPr/>
          <w:sdtContent>
            <w:p w:rsidR="00DA015F" w:rsidRPr="00044C6A" w:rsidRDefault="0056450A" w:rsidP="00922B3E">
              <w:pPr>
                <w:rPr>
                  <w:noProof/>
                  <w:lang w:val="en-AU"/>
                </w:rPr>
              </w:pPr>
              <w:r w:rsidRPr="00044C6A">
                <w:rPr>
                  <w:lang w:val="en-AU"/>
                </w:rPr>
                <w:fldChar w:fldCharType="begin"/>
              </w:r>
              <w:r w:rsidRPr="00044C6A">
                <w:rPr>
                  <w:lang w:val="en-AU"/>
                </w:rPr>
                <w:instrText xml:space="preserve"> BIBLIOGRAPHY </w:instrText>
              </w:r>
              <w:r w:rsidRPr="00044C6A">
                <w:rPr>
                  <w:lang w:val="en-AU"/>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1"/>
                <w:gridCol w:w="9049"/>
              </w:tblGrid>
              <w:tr w:rsidR="00DA015F" w:rsidRPr="00044C6A">
                <w:trPr>
                  <w:divId w:val="1051538771"/>
                  <w:tblCellSpacing w:w="15" w:type="dxa"/>
                </w:trPr>
                <w:tc>
                  <w:tcPr>
                    <w:tcW w:w="50" w:type="pct"/>
                    <w:hideMark/>
                  </w:tcPr>
                  <w:p w:rsidR="00DA015F" w:rsidRPr="00044C6A" w:rsidRDefault="00DA015F">
                    <w:pPr>
                      <w:pStyle w:val="Bibliography"/>
                      <w:rPr>
                        <w:noProof/>
                        <w:sz w:val="24"/>
                        <w:szCs w:val="24"/>
                        <w:lang w:val="en-AU"/>
                      </w:rPr>
                    </w:pPr>
                    <w:r w:rsidRPr="00044C6A">
                      <w:rPr>
                        <w:noProof/>
                        <w:lang w:val="en-AU"/>
                      </w:rPr>
                      <w:t xml:space="preserve">[1] </w:t>
                    </w:r>
                  </w:p>
                </w:tc>
                <w:tc>
                  <w:tcPr>
                    <w:tcW w:w="0" w:type="auto"/>
                    <w:hideMark/>
                  </w:tcPr>
                  <w:p w:rsidR="00DA015F" w:rsidRPr="00044C6A" w:rsidRDefault="00DA015F">
                    <w:pPr>
                      <w:pStyle w:val="Bibliography"/>
                      <w:rPr>
                        <w:noProof/>
                        <w:lang w:val="en-AU"/>
                      </w:rPr>
                    </w:pPr>
                    <w:r w:rsidRPr="00044C6A">
                      <w:rPr>
                        <w:noProof/>
                        <w:lang w:val="en-AU"/>
                      </w:rPr>
                      <w:t>Productivity Commission, “Expenditure on Children in the Northern Territory, Draft Report,” Canberra, 2019.</w:t>
                    </w:r>
                  </w:p>
                </w:tc>
              </w:tr>
              <w:tr w:rsidR="00DA015F" w:rsidRPr="00044C6A">
                <w:trPr>
                  <w:divId w:val="1051538771"/>
                  <w:tblCellSpacing w:w="15" w:type="dxa"/>
                </w:trPr>
                <w:tc>
                  <w:tcPr>
                    <w:tcW w:w="50" w:type="pct"/>
                    <w:hideMark/>
                  </w:tcPr>
                  <w:p w:rsidR="00DA015F" w:rsidRPr="00044C6A" w:rsidRDefault="00DA015F">
                    <w:pPr>
                      <w:pStyle w:val="Bibliography"/>
                      <w:rPr>
                        <w:noProof/>
                        <w:lang w:val="en-AU"/>
                      </w:rPr>
                    </w:pPr>
                    <w:r w:rsidRPr="00044C6A">
                      <w:rPr>
                        <w:noProof/>
                        <w:lang w:val="en-AU"/>
                      </w:rPr>
                      <w:t xml:space="preserve">[2] </w:t>
                    </w:r>
                  </w:p>
                </w:tc>
                <w:tc>
                  <w:tcPr>
                    <w:tcW w:w="0" w:type="auto"/>
                    <w:hideMark/>
                  </w:tcPr>
                  <w:p w:rsidR="00DA015F" w:rsidRPr="00044C6A" w:rsidRDefault="00DA015F">
                    <w:pPr>
                      <w:pStyle w:val="Bibliography"/>
                      <w:rPr>
                        <w:noProof/>
                        <w:lang w:val="en-AU"/>
                      </w:rPr>
                    </w:pPr>
                    <w:r w:rsidRPr="00044C6A">
                      <w:rPr>
                        <w:noProof/>
                        <w:lang w:val="en-AU"/>
                      </w:rPr>
                      <w:t>OECD, “Health at a Glance 2019: OECD Indicators,” OECD Publishing, Paris, 2019.</w:t>
                    </w:r>
                  </w:p>
                </w:tc>
              </w:tr>
              <w:tr w:rsidR="00DA015F" w:rsidRPr="00044C6A">
                <w:trPr>
                  <w:divId w:val="1051538771"/>
                  <w:tblCellSpacing w:w="15" w:type="dxa"/>
                </w:trPr>
                <w:tc>
                  <w:tcPr>
                    <w:tcW w:w="50" w:type="pct"/>
                    <w:hideMark/>
                  </w:tcPr>
                  <w:p w:rsidR="00DA015F" w:rsidRPr="00044C6A" w:rsidRDefault="00DA015F">
                    <w:pPr>
                      <w:pStyle w:val="Bibliography"/>
                      <w:rPr>
                        <w:noProof/>
                        <w:lang w:val="en-AU"/>
                      </w:rPr>
                    </w:pPr>
                    <w:r w:rsidRPr="00044C6A">
                      <w:rPr>
                        <w:noProof/>
                        <w:lang w:val="en-AU"/>
                      </w:rPr>
                      <w:t xml:space="preserve">[3] </w:t>
                    </w:r>
                  </w:p>
                </w:tc>
                <w:tc>
                  <w:tcPr>
                    <w:tcW w:w="0" w:type="auto"/>
                    <w:hideMark/>
                  </w:tcPr>
                  <w:p w:rsidR="00DA015F" w:rsidRPr="00044C6A" w:rsidRDefault="00DA015F">
                    <w:pPr>
                      <w:pStyle w:val="Bibliography"/>
                      <w:rPr>
                        <w:noProof/>
                        <w:lang w:val="en-AU"/>
                      </w:rPr>
                    </w:pPr>
                    <w:r w:rsidRPr="00044C6A">
                      <w:rPr>
                        <w:noProof/>
                        <w:lang w:val="en-AU"/>
                      </w:rPr>
                      <w:t xml:space="preserve">T. Moore, V. Saunders and M. McArthur, “Championing Choice—Lessons Learned from Children and Young People About Research and Their Involvement,” </w:t>
                    </w:r>
                    <w:r w:rsidRPr="00044C6A">
                      <w:rPr>
                        <w:i/>
                        <w:iCs/>
                        <w:noProof/>
                        <w:lang w:val="en-AU"/>
                      </w:rPr>
                      <w:t xml:space="preserve">Child Indicators Research, </w:t>
                    </w:r>
                    <w:r w:rsidRPr="00044C6A">
                      <w:rPr>
                        <w:noProof/>
                        <w:lang w:val="en-AU"/>
                      </w:rPr>
                      <w:t xml:space="preserve">pp. 249-267, 2011. </w:t>
                    </w:r>
                  </w:p>
                </w:tc>
              </w:tr>
              <w:tr w:rsidR="00DA015F" w:rsidRPr="00044C6A">
                <w:trPr>
                  <w:divId w:val="1051538771"/>
                  <w:tblCellSpacing w:w="15" w:type="dxa"/>
                </w:trPr>
                <w:tc>
                  <w:tcPr>
                    <w:tcW w:w="50" w:type="pct"/>
                    <w:hideMark/>
                  </w:tcPr>
                  <w:p w:rsidR="00DA015F" w:rsidRPr="00044C6A" w:rsidRDefault="00DA015F">
                    <w:pPr>
                      <w:pStyle w:val="Bibliography"/>
                      <w:rPr>
                        <w:noProof/>
                        <w:lang w:val="en-AU"/>
                      </w:rPr>
                    </w:pPr>
                    <w:r w:rsidRPr="00044C6A">
                      <w:rPr>
                        <w:noProof/>
                        <w:lang w:val="en-AU"/>
                      </w:rPr>
                      <w:t xml:space="preserve">[4] </w:t>
                    </w:r>
                  </w:p>
                </w:tc>
                <w:tc>
                  <w:tcPr>
                    <w:tcW w:w="0" w:type="auto"/>
                    <w:hideMark/>
                  </w:tcPr>
                  <w:p w:rsidR="00DA015F" w:rsidRPr="00044C6A" w:rsidRDefault="00DA015F">
                    <w:pPr>
                      <w:pStyle w:val="Bibliography"/>
                      <w:rPr>
                        <w:noProof/>
                        <w:lang w:val="en-AU"/>
                      </w:rPr>
                    </w:pPr>
                    <w:r w:rsidRPr="00044C6A">
                      <w:rPr>
                        <w:noProof/>
                        <w:lang w:val="en-AU"/>
                      </w:rPr>
                      <w:t xml:space="preserve">UN General Assembly, “Convention on the Rights of the Child,” 1989. </w:t>
                    </w:r>
                  </w:p>
                </w:tc>
              </w:tr>
              <w:tr w:rsidR="00DA015F" w:rsidRPr="00044C6A">
                <w:trPr>
                  <w:divId w:val="1051538771"/>
                  <w:tblCellSpacing w:w="15" w:type="dxa"/>
                </w:trPr>
                <w:tc>
                  <w:tcPr>
                    <w:tcW w:w="50" w:type="pct"/>
                    <w:hideMark/>
                  </w:tcPr>
                  <w:p w:rsidR="00DA015F" w:rsidRPr="00044C6A" w:rsidRDefault="00DA015F">
                    <w:pPr>
                      <w:pStyle w:val="Bibliography"/>
                      <w:rPr>
                        <w:noProof/>
                        <w:lang w:val="en-AU"/>
                      </w:rPr>
                    </w:pPr>
                    <w:r w:rsidRPr="00044C6A">
                      <w:rPr>
                        <w:noProof/>
                        <w:lang w:val="en-AU"/>
                      </w:rPr>
                      <w:t xml:space="preserve">[5] </w:t>
                    </w:r>
                  </w:p>
                </w:tc>
                <w:tc>
                  <w:tcPr>
                    <w:tcW w:w="0" w:type="auto"/>
                    <w:hideMark/>
                  </w:tcPr>
                  <w:p w:rsidR="00DA015F" w:rsidRPr="00044C6A" w:rsidRDefault="00DA015F">
                    <w:pPr>
                      <w:pStyle w:val="Bibliography"/>
                      <w:rPr>
                        <w:noProof/>
                        <w:lang w:val="en-AU"/>
                      </w:rPr>
                    </w:pPr>
                    <w:r w:rsidRPr="00044C6A">
                      <w:rPr>
                        <w:noProof/>
                        <w:lang w:val="en-AU"/>
                      </w:rPr>
                      <w:t>Australian Research Alliance for Children and Youth, “The Nest consultation: Findings from consultation with children, young people, parents and other adults conducted between March and September 2012,” 2012.</w:t>
                    </w:r>
                  </w:p>
                </w:tc>
              </w:tr>
              <w:tr w:rsidR="00DA015F" w:rsidRPr="00044C6A">
                <w:trPr>
                  <w:divId w:val="1051538771"/>
                  <w:tblCellSpacing w:w="15" w:type="dxa"/>
                </w:trPr>
                <w:tc>
                  <w:tcPr>
                    <w:tcW w:w="50" w:type="pct"/>
                    <w:hideMark/>
                  </w:tcPr>
                  <w:p w:rsidR="00DA015F" w:rsidRPr="00044C6A" w:rsidRDefault="00DA015F">
                    <w:pPr>
                      <w:pStyle w:val="Bibliography"/>
                      <w:rPr>
                        <w:noProof/>
                        <w:lang w:val="en-AU"/>
                      </w:rPr>
                    </w:pPr>
                    <w:r w:rsidRPr="00044C6A">
                      <w:rPr>
                        <w:noProof/>
                        <w:lang w:val="en-AU"/>
                      </w:rPr>
                      <w:t xml:space="preserve">[6] </w:t>
                    </w:r>
                  </w:p>
                </w:tc>
                <w:tc>
                  <w:tcPr>
                    <w:tcW w:w="0" w:type="auto"/>
                    <w:hideMark/>
                  </w:tcPr>
                  <w:p w:rsidR="00DA015F" w:rsidRPr="00044C6A" w:rsidRDefault="00DA015F">
                    <w:pPr>
                      <w:pStyle w:val="Bibliography"/>
                      <w:rPr>
                        <w:noProof/>
                        <w:lang w:val="en-AU"/>
                      </w:rPr>
                    </w:pPr>
                    <w:r w:rsidRPr="00044C6A">
                      <w:rPr>
                        <w:noProof/>
                        <w:lang w:val="en-AU"/>
                      </w:rPr>
                      <w:t>Australian Research Alliance for Children and Youth, “Report Card: The wellbeing of young Australians,” Canberra, 2018.</w:t>
                    </w:r>
                  </w:p>
                </w:tc>
              </w:tr>
              <w:tr w:rsidR="00DA015F" w:rsidRPr="00044C6A">
                <w:trPr>
                  <w:divId w:val="1051538771"/>
                  <w:tblCellSpacing w:w="15" w:type="dxa"/>
                </w:trPr>
                <w:tc>
                  <w:tcPr>
                    <w:tcW w:w="50" w:type="pct"/>
                    <w:hideMark/>
                  </w:tcPr>
                  <w:p w:rsidR="00DA015F" w:rsidRPr="00044C6A" w:rsidRDefault="00DA015F">
                    <w:pPr>
                      <w:pStyle w:val="Bibliography"/>
                      <w:rPr>
                        <w:noProof/>
                        <w:lang w:val="en-AU"/>
                      </w:rPr>
                    </w:pPr>
                    <w:r w:rsidRPr="00044C6A">
                      <w:rPr>
                        <w:noProof/>
                        <w:lang w:val="en-AU"/>
                      </w:rPr>
                      <w:t xml:space="preserve">[7] </w:t>
                    </w:r>
                  </w:p>
                </w:tc>
                <w:tc>
                  <w:tcPr>
                    <w:tcW w:w="0" w:type="auto"/>
                    <w:hideMark/>
                  </w:tcPr>
                  <w:p w:rsidR="00DA015F" w:rsidRPr="00044C6A" w:rsidRDefault="00DA015F">
                    <w:pPr>
                      <w:pStyle w:val="Bibliography"/>
                      <w:rPr>
                        <w:noProof/>
                        <w:lang w:val="en-AU"/>
                      </w:rPr>
                    </w:pPr>
                    <w:r w:rsidRPr="00044C6A">
                      <w:rPr>
                        <w:noProof/>
                        <w:lang w:val="en-AU"/>
                      </w:rPr>
                      <w:t>Frameworks Institute, “Talking about the Science of Parenting,” 2018.</w:t>
                    </w:r>
                  </w:p>
                </w:tc>
              </w:tr>
              <w:tr w:rsidR="00DA015F" w:rsidRPr="00044C6A">
                <w:trPr>
                  <w:divId w:val="1051538771"/>
                  <w:tblCellSpacing w:w="15" w:type="dxa"/>
                </w:trPr>
                <w:tc>
                  <w:tcPr>
                    <w:tcW w:w="50" w:type="pct"/>
                    <w:hideMark/>
                  </w:tcPr>
                  <w:p w:rsidR="00DA015F" w:rsidRPr="00044C6A" w:rsidRDefault="00DA015F">
                    <w:pPr>
                      <w:pStyle w:val="Bibliography"/>
                      <w:rPr>
                        <w:noProof/>
                        <w:lang w:val="en-AU"/>
                      </w:rPr>
                    </w:pPr>
                    <w:r w:rsidRPr="00044C6A">
                      <w:rPr>
                        <w:noProof/>
                        <w:lang w:val="en-AU"/>
                      </w:rPr>
                      <w:t xml:space="preserve">[8] </w:t>
                    </w:r>
                  </w:p>
                </w:tc>
                <w:tc>
                  <w:tcPr>
                    <w:tcW w:w="0" w:type="auto"/>
                    <w:hideMark/>
                  </w:tcPr>
                  <w:p w:rsidR="00DA015F" w:rsidRPr="00044C6A" w:rsidRDefault="00DA015F">
                    <w:pPr>
                      <w:pStyle w:val="Bibliography"/>
                      <w:rPr>
                        <w:noProof/>
                        <w:lang w:val="en-AU"/>
                      </w:rPr>
                    </w:pPr>
                    <w:r w:rsidRPr="00044C6A">
                      <w:rPr>
                        <w:noProof/>
                        <w:lang w:val="en-AU"/>
                      </w:rPr>
                      <w:t>N. Scerra, “Strengths-Based Practice: The Evidence,” Uniting Care, Parramatta, 2011.</w:t>
                    </w:r>
                  </w:p>
                </w:tc>
              </w:tr>
            </w:tbl>
            <w:p w:rsidR="00DA015F" w:rsidRPr="00044C6A" w:rsidRDefault="00DA015F">
              <w:pPr>
                <w:divId w:val="1051538771"/>
                <w:rPr>
                  <w:rFonts w:eastAsia="Times New Roman"/>
                  <w:noProof/>
                  <w:lang w:val="en-AU"/>
                </w:rPr>
              </w:pPr>
            </w:p>
            <w:p w:rsidR="0056450A" w:rsidRPr="00044C6A" w:rsidRDefault="0056450A" w:rsidP="00922B3E">
              <w:pPr>
                <w:rPr>
                  <w:lang w:val="en-AU"/>
                </w:rPr>
              </w:pPr>
              <w:r w:rsidRPr="00044C6A">
                <w:rPr>
                  <w:b/>
                  <w:bCs/>
                  <w:noProof/>
                  <w:lang w:val="en-AU"/>
                </w:rPr>
                <w:fldChar w:fldCharType="end"/>
              </w:r>
            </w:p>
          </w:sdtContent>
        </w:sdt>
      </w:sdtContent>
    </w:sdt>
    <w:p w:rsidR="0056450A" w:rsidRPr="00044C6A" w:rsidRDefault="0056450A" w:rsidP="0056450A">
      <w:pPr>
        <w:pStyle w:val="Heading2"/>
        <w:rPr>
          <w:lang w:val="en-AU"/>
        </w:rPr>
      </w:pPr>
    </w:p>
    <w:sectPr w:rsidR="0056450A" w:rsidRPr="00044C6A" w:rsidSect="007C3A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996" w:rsidRDefault="00B77996" w:rsidP="00B33777">
      <w:pPr>
        <w:spacing w:after="0" w:line="240" w:lineRule="auto"/>
      </w:pPr>
      <w:r>
        <w:separator/>
      </w:r>
    </w:p>
  </w:endnote>
  <w:endnote w:type="continuationSeparator" w:id="0">
    <w:p w:rsidR="00B77996" w:rsidRDefault="00B77996" w:rsidP="00B3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996" w:rsidRDefault="00B77996" w:rsidP="00B33777">
      <w:pPr>
        <w:spacing w:after="0" w:line="240" w:lineRule="auto"/>
      </w:pPr>
      <w:r>
        <w:separator/>
      </w:r>
    </w:p>
  </w:footnote>
  <w:footnote w:type="continuationSeparator" w:id="0">
    <w:p w:rsidR="00B77996" w:rsidRDefault="00B77996" w:rsidP="00B33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1BE2"/>
    <w:multiLevelType w:val="hybridMultilevel"/>
    <w:tmpl w:val="AA261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D3A58"/>
    <w:multiLevelType w:val="hybridMultilevel"/>
    <w:tmpl w:val="0C52F768"/>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12585F59"/>
    <w:multiLevelType w:val="hybridMultilevel"/>
    <w:tmpl w:val="4E3A84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9E7183"/>
    <w:multiLevelType w:val="hybridMultilevel"/>
    <w:tmpl w:val="EC88B2A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C73E6A"/>
    <w:multiLevelType w:val="hybridMultilevel"/>
    <w:tmpl w:val="4C54AE4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F895F75"/>
    <w:multiLevelType w:val="hybridMultilevel"/>
    <w:tmpl w:val="D5FE00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922D25"/>
    <w:multiLevelType w:val="hybridMultilevel"/>
    <w:tmpl w:val="F8D0E4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9244A1"/>
    <w:multiLevelType w:val="hybridMultilevel"/>
    <w:tmpl w:val="AE14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F6A0F"/>
    <w:multiLevelType w:val="hybridMultilevel"/>
    <w:tmpl w:val="416C3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A0267"/>
    <w:multiLevelType w:val="hybridMultilevel"/>
    <w:tmpl w:val="10587F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63620"/>
    <w:multiLevelType w:val="hybridMultilevel"/>
    <w:tmpl w:val="1B7CB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50E17"/>
    <w:multiLevelType w:val="hybridMultilevel"/>
    <w:tmpl w:val="94F2A9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A0191"/>
    <w:multiLevelType w:val="hybridMultilevel"/>
    <w:tmpl w:val="483698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BB63A4"/>
    <w:multiLevelType w:val="hybridMultilevel"/>
    <w:tmpl w:val="A4106E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193716"/>
    <w:multiLevelType w:val="hybridMultilevel"/>
    <w:tmpl w:val="1D2C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085C2A"/>
    <w:multiLevelType w:val="hybridMultilevel"/>
    <w:tmpl w:val="111E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8"/>
  </w:num>
  <w:num w:numId="4">
    <w:abstractNumId w:val="14"/>
  </w:num>
  <w:num w:numId="5">
    <w:abstractNumId w:val="7"/>
  </w:num>
  <w:num w:numId="6">
    <w:abstractNumId w:val="10"/>
  </w:num>
  <w:num w:numId="7">
    <w:abstractNumId w:val="13"/>
  </w:num>
  <w:num w:numId="8">
    <w:abstractNumId w:val="1"/>
  </w:num>
  <w:num w:numId="9">
    <w:abstractNumId w:val="11"/>
  </w:num>
  <w:num w:numId="10">
    <w:abstractNumId w:val="4"/>
  </w:num>
  <w:num w:numId="11">
    <w:abstractNumId w:val="6"/>
  </w:num>
  <w:num w:numId="12">
    <w:abstractNumId w:val="5"/>
  </w:num>
  <w:num w:numId="13">
    <w:abstractNumId w:val="0"/>
  </w:num>
  <w:num w:numId="14">
    <w:abstractNumId w:val="12"/>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2"/>
    <w:rsid w:val="00044C6A"/>
    <w:rsid w:val="000602A4"/>
    <w:rsid w:val="00063584"/>
    <w:rsid w:val="000A525C"/>
    <w:rsid w:val="000F0797"/>
    <w:rsid w:val="0019165A"/>
    <w:rsid w:val="001A6801"/>
    <w:rsid w:val="001B2CAC"/>
    <w:rsid w:val="00210553"/>
    <w:rsid w:val="002131B9"/>
    <w:rsid w:val="00220ACF"/>
    <w:rsid w:val="0024132F"/>
    <w:rsid w:val="0035411D"/>
    <w:rsid w:val="0036638A"/>
    <w:rsid w:val="003805FA"/>
    <w:rsid w:val="003D284C"/>
    <w:rsid w:val="00423744"/>
    <w:rsid w:val="00430D5A"/>
    <w:rsid w:val="004C1AF1"/>
    <w:rsid w:val="00527CB8"/>
    <w:rsid w:val="005330D7"/>
    <w:rsid w:val="0056450A"/>
    <w:rsid w:val="005D5668"/>
    <w:rsid w:val="005E61E7"/>
    <w:rsid w:val="005E62B0"/>
    <w:rsid w:val="005F11EC"/>
    <w:rsid w:val="00600F69"/>
    <w:rsid w:val="00601C1C"/>
    <w:rsid w:val="00610C82"/>
    <w:rsid w:val="00622873"/>
    <w:rsid w:val="0062742C"/>
    <w:rsid w:val="00634961"/>
    <w:rsid w:val="0066217A"/>
    <w:rsid w:val="00671425"/>
    <w:rsid w:val="0068007B"/>
    <w:rsid w:val="0068415F"/>
    <w:rsid w:val="006E217E"/>
    <w:rsid w:val="007018E4"/>
    <w:rsid w:val="007129BC"/>
    <w:rsid w:val="00787497"/>
    <w:rsid w:val="007B3D97"/>
    <w:rsid w:val="007C3A8D"/>
    <w:rsid w:val="008330B7"/>
    <w:rsid w:val="00841A25"/>
    <w:rsid w:val="0084442E"/>
    <w:rsid w:val="0085079F"/>
    <w:rsid w:val="00851192"/>
    <w:rsid w:val="00853452"/>
    <w:rsid w:val="00857708"/>
    <w:rsid w:val="0086033E"/>
    <w:rsid w:val="00885411"/>
    <w:rsid w:val="008F14E3"/>
    <w:rsid w:val="008F54AC"/>
    <w:rsid w:val="00922B3E"/>
    <w:rsid w:val="00951634"/>
    <w:rsid w:val="00954DC9"/>
    <w:rsid w:val="009704DA"/>
    <w:rsid w:val="009F3E5B"/>
    <w:rsid w:val="00AF38CA"/>
    <w:rsid w:val="00AF72B7"/>
    <w:rsid w:val="00B26CFA"/>
    <w:rsid w:val="00B33777"/>
    <w:rsid w:val="00B643A0"/>
    <w:rsid w:val="00B77996"/>
    <w:rsid w:val="00B85438"/>
    <w:rsid w:val="00BB4746"/>
    <w:rsid w:val="00BC6880"/>
    <w:rsid w:val="00BD42E7"/>
    <w:rsid w:val="00C85F13"/>
    <w:rsid w:val="00C9032C"/>
    <w:rsid w:val="00C97DD4"/>
    <w:rsid w:val="00CD2879"/>
    <w:rsid w:val="00D46824"/>
    <w:rsid w:val="00D9178A"/>
    <w:rsid w:val="00DA015F"/>
    <w:rsid w:val="00DA2EFB"/>
    <w:rsid w:val="00DC10C7"/>
    <w:rsid w:val="00E213EF"/>
    <w:rsid w:val="00E457BF"/>
    <w:rsid w:val="00E61C23"/>
    <w:rsid w:val="00E74466"/>
    <w:rsid w:val="00E81A9F"/>
    <w:rsid w:val="00E826C4"/>
    <w:rsid w:val="00E827AD"/>
    <w:rsid w:val="00F27F18"/>
    <w:rsid w:val="00F7187C"/>
    <w:rsid w:val="00FA6615"/>
    <w:rsid w:val="00FB220B"/>
    <w:rsid w:val="00FF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8499A-D5FE-4AC0-92A0-D417304A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C82"/>
  </w:style>
  <w:style w:type="paragraph" w:styleId="Heading1">
    <w:name w:val="heading 1"/>
    <w:basedOn w:val="Normal"/>
    <w:next w:val="Normal"/>
    <w:link w:val="Heading1Char"/>
    <w:uiPriority w:val="9"/>
    <w:qFormat/>
    <w:rsid w:val="00610C8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610C8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610C8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10C8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10C8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10C8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10C8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10C8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10C8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82"/>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610C82"/>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610C8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610C8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10C8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10C8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10C8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10C8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10C8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10C8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610C8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610C82"/>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610C8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10C8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610C82"/>
    <w:rPr>
      <w:b/>
      <w:bCs/>
    </w:rPr>
  </w:style>
  <w:style w:type="character" w:styleId="Emphasis">
    <w:name w:val="Emphasis"/>
    <w:basedOn w:val="DefaultParagraphFont"/>
    <w:uiPriority w:val="20"/>
    <w:qFormat/>
    <w:rsid w:val="00610C82"/>
    <w:rPr>
      <w:i/>
      <w:iCs/>
    </w:rPr>
  </w:style>
  <w:style w:type="paragraph" w:styleId="NoSpacing">
    <w:name w:val="No Spacing"/>
    <w:uiPriority w:val="1"/>
    <w:qFormat/>
    <w:rsid w:val="00610C82"/>
    <w:pPr>
      <w:spacing w:after="0" w:line="240" w:lineRule="auto"/>
    </w:pPr>
  </w:style>
  <w:style w:type="paragraph" w:styleId="Quote">
    <w:name w:val="Quote"/>
    <w:basedOn w:val="Normal"/>
    <w:next w:val="Normal"/>
    <w:link w:val="QuoteChar"/>
    <w:uiPriority w:val="29"/>
    <w:qFormat/>
    <w:rsid w:val="00610C8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10C82"/>
    <w:rPr>
      <w:i/>
      <w:iCs/>
    </w:rPr>
  </w:style>
  <w:style w:type="paragraph" w:styleId="IntenseQuote">
    <w:name w:val="Intense Quote"/>
    <w:basedOn w:val="Normal"/>
    <w:next w:val="Normal"/>
    <w:link w:val="IntenseQuoteChar"/>
    <w:uiPriority w:val="30"/>
    <w:qFormat/>
    <w:rsid w:val="00610C8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10C8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10C82"/>
    <w:rPr>
      <w:i/>
      <w:iCs/>
      <w:color w:val="595959" w:themeColor="text1" w:themeTint="A6"/>
    </w:rPr>
  </w:style>
  <w:style w:type="character" w:styleId="IntenseEmphasis">
    <w:name w:val="Intense Emphasis"/>
    <w:basedOn w:val="DefaultParagraphFont"/>
    <w:uiPriority w:val="21"/>
    <w:qFormat/>
    <w:rsid w:val="00610C82"/>
    <w:rPr>
      <w:b/>
      <w:bCs/>
      <w:i/>
      <w:iCs/>
    </w:rPr>
  </w:style>
  <w:style w:type="character" w:styleId="SubtleReference">
    <w:name w:val="Subtle Reference"/>
    <w:basedOn w:val="DefaultParagraphFont"/>
    <w:uiPriority w:val="31"/>
    <w:qFormat/>
    <w:rsid w:val="00610C82"/>
    <w:rPr>
      <w:smallCaps/>
      <w:color w:val="404040" w:themeColor="text1" w:themeTint="BF"/>
    </w:rPr>
  </w:style>
  <w:style w:type="character" w:styleId="IntenseReference">
    <w:name w:val="Intense Reference"/>
    <w:basedOn w:val="DefaultParagraphFont"/>
    <w:uiPriority w:val="32"/>
    <w:qFormat/>
    <w:rsid w:val="00610C82"/>
    <w:rPr>
      <w:b/>
      <w:bCs/>
      <w:smallCaps/>
      <w:u w:val="single"/>
    </w:rPr>
  </w:style>
  <w:style w:type="character" w:styleId="BookTitle">
    <w:name w:val="Book Title"/>
    <w:basedOn w:val="DefaultParagraphFont"/>
    <w:uiPriority w:val="33"/>
    <w:qFormat/>
    <w:rsid w:val="00610C82"/>
    <w:rPr>
      <w:b/>
      <w:bCs/>
      <w:smallCaps/>
    </w:rPr>
  </w:style>
  <w:style w:type="paragraph" w:styleId="TOCHeading">
    <w:name w:val="TOC Heading"/>
    <w:basedOn w:val="Heading1"/>
    <w:next w:val="Normal"/>
    <w:uiPriority w:val="39"/>
    <w:semiHidden/>
    <w:unhideWhenUsed/>
    <w:qFormat/>
    <w:rsid w:val="00610C82"/>
    <w:pPr>
      <w:outlineLvl w:val="9"/>
    </w:pPr>
  </w:style>
  <w:style w:type="paragraph" w:styleId="ListParagraph">
    <w:name w:val="List Paragraph"/>
    <w:basedOn w:val="Normal"/>
    <w:uiPriority w:val="34"/>
    <w:qFormat/>
    <w:rsid w:val="00610C82"/>
    <w:pPr>
      <w:ind w:left="720"/>
      <w:contextualSpacing/>
    </w:pPr>
  </w:style>
  <w:style w:type="table" w:styleId="TableGrid">
    <w:name w:val="Table Grid"/>
    <w:basedOn w:val="TableNormal"/>
    <w:uiPriority w:val="39"/>
    <w:rsid w:val="00850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6450A"/>
  </w:style>
  <w:style w:type="paragraph" w:styleId="EndnoteText">
    <w:name w:val="endnote text"/>
    <w:basedOn w:val="Normal"/>
    <w:link w:val="EndnoteTextChar"/>
    <w:uiPriority w:val="99"/>
    <w:semiHidden/>
    <w:unhideWhenUsed/>
    <w:rsid w:val="00B337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3777"/>
    <w:rPr>
      <w:sz w:val="20"/>
      <w:szCs w:val="20"/>
    </w:rPr>
  </w:style>
  <w:style w:type="character" w:styleId="EndnoteReference">
    <w:name w:val="endnote reference"/>
    <w:basedOn w:val="DefaultParagraphFont"/>
    <w:uiPriority w:val="99"/>
    <w:semiHidden/>
    <w:unhideWhenUsed/>
    <w:rsid w:val="00B337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20">
      <w:bodyDiv w:val="1"/>
      <w:marLeft w:val="0"/>
      <w:marRight w:val="0"/>
      <w:marTop w:val="0"/>
      <w:marBottom w:val="0"/>
      <w:divBdr>
        <w:top w:val="none" w:sz="0" w:space="0" w:color="auto"/>
        <w:left w:val="none" w:sz="0" w:space="0" w:color="auto"/>
        <w:bottom w:val="none" w:sz="0" w:space="0" w:color="auto"/>
        <w:right w:val="none" w:sz="0" w:space="0" w:color="auto"/>
      </w:divBdr>
    </w:div>
    <w:div w:id="9338442">
      <w:bodyDiv w:val="1"/>
      <w:marLeft w:val="0"/>
      <w:marRight w:val="0"/>
      <w:marTop w:val="0"/>
      <w:marBottom w:val="0"/>
      <w:divBdr>
        <w:top w:val="none" w:sz="0" w:space="0" w:color="auto"/>
        <w:left w:val="none" w:sz="0" w:space="0" w:color="auto"/>
        <w:bottom w:val="none" w:sz="0" w:space="0" w:color="auto"/>
        <w:right w:val="none" w:sz="0" w:space="0" w:color="auto"/>
      </w:divBdr>
    </w:div>
    <w:div w:id="40330732">
      <w:bodyDiv w:val="1"/>
      <w:marLeft w:val="0"/>
      <w:marRight w:val="0"/>
      <w:marTop w:val="0"/>
      <w:marBottom w:val="0"/>
      <w:divBdr>
        <w:top w:val="none" w:sz="0" w:space="0" w:color="auto"/>
        <w:left w:val="none" w:sz="0" w:space="0" w:color="auto"/>
        <w:bottom w:val="none" w:sz="0" w:space="0" w:color="auto"/>
        <w:right w:val="none" w:sz="0" w:space="0" w:color="auto"/>
      </w:divBdr>
    </w:div>
    <w:div w:id="72823278">
      <w:bodyDiv w:val="1"/>
      <w:marLeft w:val="0"/>
      <w:marRight w:val="0"/>
      <w:marTop w:val="0"/>
      <w:marBottom w:val="0"/>
      <w:divBdr>
        <w:top w:val="none" w:sz="0" w:space="0" w:color="auto"/>
        <w:left w:val="none" w:sz="0" w:space="0" w:color="auto"/>
        <w:bottom w:val="none" w:sz="0" w:space="0" w:color="auto"/>
        <w:right w:val="none" w:sz="0" w:space="0" w:color="auto"/>
      </w:divBdr>
    </w:div>
    <w:div w:id="110708231">
      <w:bodyDiv w:val="1"/>
      <w:marLeft w:val="0"/>
      <w:marRight w:val="0"/>
      <w:marTop w:val="0"/>
      <w:marBottom w:val="0"/>
      <w:divBdr>
        <w:top w:val="none" w:sz="0" w:space="0" w:color="auto"/>
        <w:left w:val="none" w:sz="0" w:space="0" w:color="auto"/>
        <w:bottom w:val="none" w:sz="0" w:space="0" w:color="auto"/>
        <w:right w:val="none" w:sz="0" w:space="0" w:color="auto"/>
      </w:divBdr>
    </w:div>
    <w:div w:id="170074906">
      <w:bodyDiv w:val="1"/>
      <w:marLeft w:val="0"/>
      <w:marRight w:val="0"/>
      <w:marTop w:val="0"/>
      <w:marBottom w:val="0"/>
      <w:divBdr>
        <w:top w:val="none" w:sz="0" w:space="0" w:color="auto"/>
        <w:left w:val="none" w:sz="0" w:space="0" w:color="auto"/>
        <w:bottom w:val="none" w:sz="0" w:space="0" w:color="auto"/>
        <w:right w:val="none" w:sz="0" w:space="0" w:color="auto"/>
      </w:divBdr>
    </w:div>
    <w:div w:id="176193231">
      <w:bodyDiv w:val="1"/>
      <w:marLeft w:val="0"/>
      <w:marRight w:val="0"/>
      <w:marTop w:val="0"/>
      <w:marBottom w:val="0"/>
      <w:divBdr>
        <w:top w:val="none" w:sz="0" w:space="0" w:color="auto"/>
        <w:left w:val="none" w:sz="0" w:space="0" w:color="auto"/>
        <w:bottom w:val="none" w:sz="0" w:space="0" w:color="auto"/>
        <w:right w:val="none" w:sz="0" w:space="0" w:color="auto"/>
      </w:divBdr>
    </w:div>
    <w:div w:id="207566712">
      <w:bodyDiv w:val="1"/>
      <w:marLeft w:val="0"/>
      <w:marRight w:val="0"/>
      <w:marTop w:val="0"/>
      <w:marBottom w:val="0"/>
      <w:divBdr>
        <w:top w:val="none" w:sz="0" w:space="0" w:color="auto"/>
        <w:left w:val="none" w:sz="0" w:space="0" w:color="auto"/>
        <w:bottom w:val="none" w:sz="0" w:space="0" w:color="auto"/>
        <w:right w:val="none" w:sz="0" w:space="0" w:color="auto"/>
      </w:divBdr>
    </w:div>
    <w:div w:id="212738822">
      <w:bodyDiv w:val="1"/>
      <w:marLeft w:val="0"/>
      <w:marRight w:val="0"/>
      <w:marTop w:val="0"/>
      <w:marBottom w:val="0"/>
      <w:divBdr>
        <w:top w:val="none" w:sz="0" w:space="0" w:color="auto"/>
        <w:left w:val="none" w:sz="0" w:space="0" w:color="auto"/>
        <w:bottom w:val="none" w:sz="0" w:space="0" w:color="auto"/>
        <w:right w:val="none" w:sz="0" w:space="0" w:color="auto"/>
      </w:divBdr>
    </w:div>
    <w:div w:id="284577551">
      <w:bodyDiv w:val="1"/>
      <w:marLeft w:val="0"/>
      <w:marRight w:val="0"/>
      <w:marTop w:val="0"/>
      <w:marBottom w:val="0"/>
      <w:divBdr>
        <w:top w:val="none" w:sz="0" w:space="0" w:color="auto"/>
        <w:left w:val="none" w:sz="0" w:space="0" w:color="auto"/>
        <w:bottom w:val="none" w:sz="0" w:space="0" w:color="auto"/>
        <w:right w:val="none" w:sz="0" w:space="0" w:color="auto"/>
      </w:divBdr>
    </w:div>
    <w:div w:id="295337380">
      <w:bodyDiv w:val="1"/>
      <w:marLeft w:val="0"/>
      <w:marRight w:val="0"/>
      <w:marTop w:val="0"/>
      <w:marBottom w:val="0"/>
      <w:divBdr>
        <w:top w:val="none" w:sz="0" w:space="0" w:color="auto"/>
        <w:left w:val="none" w:sz="0" w:space="0" w:color="auto"/>
        <w:bottom w:val="none" w:sz="0" w:space="0" w:color="auto"/>
        <w:right w:val="none" w:sz="0" w:space="0" w:color="auto"/>
      </w:divBdr>
    </w:div>
    <w:div w:id="321081054">
      <w:bodyDiv w:val="1"/>
      <w:marLeft w:val="0"/>
      <w:marRight w:val="0"/>
      <w:marTop w:val="0"/>
      <w:marBottom w:val="0"/>
      <w:divBdr>
        <w:top w:val="none" w:sz="0" w:space="0" w:color="auto"/>
        <w:left w:val="none" w:sz="0" w:space="0" w:color="auto"/>
        <w:bottom w:val="none" w:sz="0" w:space="0" w:color="auto"/>
        <w:right w:val="none" w:sz="0" w:space="0" w:color="auto"/>
      </w:divBdr>
    </w:div>
    <w:div w:id="322391036">
      <w:bodyDiv w:val="1"/>
      <w:marLeft w:val="0"/>
      <w:marRight w:val="0"/>
      <w:marTop w:val="0"/>
      <w:marBottom w:val="0"/>
      <w:divBdr>
        <w:top w:val="none" w:sz="0" w:space="0" w:color="auto"/>
        <w:left w:val="none" w:sz="0" w:space="0" w:color="auto"/>
        <w:bottom w:val="none" w:sz="0" w:space="0" w:color="auto"/>
        <w:right w:val="none" w:sz="0" w:space="0" w:color="auto"/>
      </w:divBdr>
    </w:div>
    <w:div w:id="328944094">
      <w:bodyDiv w:val="1"/>
      <w:marLeft w:val="0"/>
      <w:marRight w:val="0"/>
      <w:marTop w:val="0"/>
      <w:marBottom w:val="0"/>
      <w:divBdr>
        <w:top w:val="none" w:sz="0" w:space="0" w:color="auto"/>
        <w:left w:val="none" w:sz="0" w:space="0" w:color="auto"/>
        <w:bottom w:val="none" w:sz="0" w:space="0" w:color="auto"/>
        <w:right w:val="none" w:sz="0" w:space="0" w:color="auto"/>
      </w:divBdr>
    </w:div>
    <w:div w:id="332034718">
      <w:bodyDiv w:val="1"/>
      <w:marLeft w:val="0"/>
      <w:marRight w:val="0"/>
      <w:marTop w:val="0"/>
      <w:marBottom w:val="0"/>
      <w:divBdr>
        <w:top w:val="none" w:sz="0" w:space="0" w:color="auto"/>
        <w:left w:val="none" w:sz="0" w:space="0" w:color="auto"/>
        <w:bottom w:val="none" w:sz="0" w:space="0" w:color="auto"/>
        <w:right w:val="none" w:sz="0" w:space="0" w:color="auto"/>
      </w:divBdr>
    </w:div>
    <w:div w:id="335889776">
      <w:bodyDiv w:val="1"/>
      <w:marLeft w:val="0"/>
      <w:marRight w:val="0"/>
      <w:marTop w:val="0"/>
      <w:marBottom w:val="0"/>
      <w:divBdr>
        <w:top w:val="none" w:sz="0" w:space="0" w:color="auto"/>
        <w:left w:val="none" w:sz="0" w:space="0" w:color="auto"/>
        <w:bottom w:val="none" w:sz="0" w:space="0" w:color="auto"/>
        <w:right w:val="none" w:sz="0" w:space="0" w:color="auto"/>
      </w:divBdr>
    </w:div>
    <w:div w:id="346442623">
      <w:bodyDiv w:val="1"/>
      <w:marLeft w:val="0"/>
      <w:marRight w:val="0"/>
      <w:marTop w:val="0"/>
      <w:marBottom w:val="0"/>
      <w:divBdr>
        <w:top w:val="none" w:sz="0" w:space="0" w:color="auto"/>
        <w:left w:val="none" w:sz="0" w:space="0" w:color="auto"/>
        <w:bottom w:val="none" w:sz="0" w:space="0" w:color="auto"/>
        <w:right w:val="none" w:sz="0" w:space="0" w:color="auto"/>
      </w:divBdr>
    </w:div>
    <w:div w:id="351806339">
      <w:bodyDiv w:val="1"/>
      <w:marLeft w:val="0"/>
      <w:marRight w:val="0"/>
      <w:marTop w:val="0"/>
      <w:marBottom w:val="0"/>
      <w:divBdr>
        <w:top w:val="none" w:sz="0" w:space="0" w:color="auto"/>
        <w:left w:val="none" w:sz="0" w:space="0" w:color="auto"/>
        <w:bottom w:val="none" w:sz="0" w:space="0" w:color="auto"/>
        <w:right w:val="none" w:sz="0" w:space="0" w:color="auto"/>
      </w:divBdr>
    </w:div>
    <w:div w:id="353187156">
      <w:bodyDiv w:val="1"/>
      <w:marLeft w:val="0"/>
      <w:marRight w:val="0"/>
      <w:marTop w:val="0"/>
      <w:marBottom w:val="0"/>
      <w:divBdr>
        <w:top w:val="none" w:sz="0" w:space="0" w:color="auto"/>
        <w:left w:val="none" w:sz="0" w:space="0" w:color="auto"/>
        <w:bottom w:val="none" w:sz="0" w:space="0" w:color="auto"/>
        <w:right w:val="none" w:sz="0" w:space="0" w:color="auto"/>
      </w:divBdr>
    </w:div>
    <w:div w:id="391392015">
      <w:bodyDiv w:val="1"/>
      <w:marLeft w:val="0"/>
      <w:marRight w:val="0"/>
      <w:marTop w:val="0"/>
      <w:marBottom w:val="0"/>
      <w:divBdr>
        <w:top w:val="none" w:sz="0" w:space="0" w:color="auto"/>
        <w:left w:val="none" w:sz="0" w:space="0" w:color="auto"/>
        <w:bottom w:val="none" w:sz="0" w:space="0" w:color="auto"/>
        <w:right w:val="none" w:sz="0" w:space="0" w:color="auto"/>
      </w:divBdr>
    </w:div>
    <w:div w:id="396827684">
      <w:bodyDiv w:val="1"/>
      <w:marLeft w:val="0"/>
      <w:marRight w:val="0"/>
      <w:marTop w:val="0"/>
      <w:marBottom w:val="0"/>
      <w:divBdr>
        <w:top w:val="none" w:sz="0" w:space="0" w:color="auto"/>
        <w:left w:val="none" w:sz="0" w:space="0" w:color="auto"/>
        <w:bottom w:val="none" w:sz="0" w:space="0" w:color="auto"/>
        <w:right w:val="none" w:sz="0" w:space="0" w:color="auto"/>
      </w:divBdr>
    </w:div>
    <w:div w:id="399329509">
      <w:bodyDiv w:val="1"/>
      <w:marLeft w:val="0"/>
      <w:marRight w:val="0"/>
      <w:marTop w:val="0"/>
      <w:marBottom w:val="0"/>
      <w:divBdr>
        <w:top w:val="none" w:sz="0" w:space="0" w:color="auto"/>
        <w:left w:val="none" w:sz="0" w:space="0" w:color="auto"/>
        <w:bottom w:val="none" w:sz="0" w:space="0" w:color="auto"/>
        <w:right w:val="none" w:sz="0" w:space="0" w:color="auto"/>
      </w:divBdr>
    </w:div>
    <w:div w:id="426270531">
      <w:bodyDiv w:val="1"/>
      <w:marLeft w:val="0"/>
      <w:marRight w:val="0"/>
      <w:marTop w:val="0"/>
      <w:marBottom w:val="0"/>
      <w:divBdr>
        <w:top w:val="none" w:sz="0" w:space="0" w:color="auto"/>
        <w:left w:val="none" w:sz="0" w:space="0" w:color="auto"/>
        <w:bottom w:val="none" w:sz="0" w:space="0" w:color="auto"/>
        <w:right w:val="none" w:sz="0" w:space="0" w:color="auto"/>
      </w:divBdr>
    </w:div>
    <w:div w:id="445127389">
      <w:bodyDiv w:val="1"/>
      <w:marLeft w:val="0"/>
      <w:marRight w:val="0"/>
      <w:marTop w:val="0"/>
      <w:marBottom w:val="0"/>
      <w:divBdr>
        <w:top w:val="none" w:sz="0" w:space="0" w:color="auto"/>
        <w:left w:val="none" w:sz="0" w:space="0" w:color="auto"/>
        <w:bottom w:val="none" w:sz="0" w:space="0" w:color="auto"/>
        <w:right w:val="none" w:sz="0" w:space="0" w:color="auto"/>
      </w:divBdr>
    </w:div>
    <w:div w:id="461269126">
      <w:bodyDiv w:val="1"/>
      <w:marLeft w:val="0"/>
      <w:marRight w:val="0"/>
      <w:marTop w:val="0"/>
      <w:marBottom w:val="0"/>
      <w:divBdr>
        <w:top w:val="none" w:sz="0" w:space="0" w:color="auto"/>
        <w:left w:val="none" w:sz="0" w:space="0" w:color="auto"/>
        <w:bottom w:val="none" w:sz="0" w:space="0" w:color="auto"/>
        <w:right w:val="none" w:sz="0" w:space="0" w:color="auto"/>
      </w:divBdr>
    </w:div>
    <w:div w:id="462427425">
      <w:bodyDiv w:val="1"/>
      <w:marLeft w:val="0"/>
      <w:marRight w:val="0"/>
      <w:marTop w:val="0"/>
      <w:marBottom w:val="0"/>
      <w:divBdr>
        <w:top w:val="none" w:sz="0" w:space="0" w:color="auto"/>
        <w:left w:val="none" w:sz="0" w:space="0" w:color="auto"/>
        <w:bottom w:val="none" w:sz="0" w:space="0" w:color="auto"/>
        <w:right w:val="none" w:sz="0" w:space="0" w:color="auto"/>
      </w:divBdr>
    </w:div>
    <w:div w:id="475029579">
      <w:bodyDiv w:val="1"/>
      <w:marLeft w:val="0"/>
      <w:marRight w:val="0"/>
      <w:marTop w:val="0"/>
      <w:marBottom w:val="0"/>
      <w:divBdr>
        <w:top w:val="none" w:sz="0" w:space="0" w:color="auto"/>
        <w:left w:val="none" w:sz="0" w:space="0" w:color="auto"/>
        <w:bottom w:val="none" w:sz="0" w:space="0" w:color="auto"/>
        <w:right w:val="none" w:sz="0" w:space="0" w:color="auto"/>
      </w:divBdr>
    </w:div>
    <w:div w:id="494422516">
      <w:bodyDiv w:val="1"/>
      <w:marLeft w:val="0"/>
      <w:marRight w:val="0"/>
      <w:marTop w:val="0"/>
      <w:marBottom w:val="0"/>
      <w:divBdr>
        <w:top w:val="none" w:sz="0" w:space="0" w:color="auto"/>
        <w:left w:val="none" w:sz="0" w:space="0" w:color="auto"/>
        <w:bottom w:val="none" w:sz="0" w:space="0" w:color="auto"/>
        <w:right w:val="none" w:sz="0" w:space="0" w:color="auto"/>
      </w:divBdr>
    </w:div>
    <w:div w:id="501118226">
      <w:bodyDiv w:val="1"/>
      <w:marLeft w:val="0"/>
      <w:marRight w:val="0"/>
      <w:marTop w:val="0"/>
      <w:marBottom w:val="0"/>
      <w:divBdr>
        <w:top w:val="none" w:sz="0" w:space="0" w:color="auto"/>
        <w:left w:val="none" w:sz="0" w:space="0" w:color="auto"/>
        <w:bottom w:val="none" w:sz="0" w:space="0" w:color="auto"/>
        <w:right w:val="none" w:sz="0" w:space="0" w:color="auto"/>
      </w:divBdr>
    </w:div>
    <w:div w:id="530581432">
      <w:bodyDiv w:val="1"/>
      <w:marLeft w:val="0"/>
      <w:marRight w:val="0"/>
      <w:marTop w:val="0"/>
      <w:marBottom w:val="0"/>
      <w:divBdr>
        <w:top w:val="none" w:sz="0" w:space="0" w:color="auto"/>
        <w:left w:val="none" w:sz="0" w:space="0" w:color="auto"/>
        <w:bottom w:val="none" w:sz="0" w:space="0" w:color="auto"/>
        <w:right w:val="none" w:sz="0" w:space="0" w:color="auto"/>
      </w:divBdr>
    </w:div>
    <w:div w:id="542639135">
      <w:bodyDiv w:val="1"/>
      <w:marLeft w:val="0"/>
      <w:marRight w:val="0"/>
      <w:marTop w:val="0"/>
      <w:marBottom w:val="0"/>
      <w:divBdr>
        <w:top w:val="none" w:sz="0" w:space="0" w:color="auto"/>
        <w:left w:val="none" w:sz="0" w:space="0" w:color="auto"/>
        <w:bottom w:val="none" w:sz="0" w:space="0" w:color="auto"/>
        <w:right w:val="none" w:sz="0" w:space="0" w:color="auto"/>
      </w:divBdr>
    </w:div>
    <w:div w:id="569733613">
      <w:bodyDiv w:val="1"/>
      <w:marLeft w:val="0"/>
      <w:marRight w:val="0"/>
      <w:marTop w:val="0"/>
      <w:marBottom w:val="0"/>
      <w:divBdr>
        <w:top w:val="none" w:sz="0" w:space="0" w:color="auto"/>
        <w:left w:val="none" w:sz="0" w:space="0" w:color="auto"/>
        <w:bottom w:val="none" w:sz="0" w:space="0" w:color="auto"/>
        <w:right w:val="none" w:sz="0" w:space="0" w:color="auto"/>
      </w:divBdr>
    </w:div>
    <w:div w:id="651103869">
      <w:bodyDiv w:val="1"/>
      <w:marLeft w:val="0"/>
      <w:marRight w:val="0"/>
      <w:marTop w:val="0"/>
      <w:marBottom w:val="0"/>
      <w:divBdr>
        <w:top w:val="none" w:sz="0" w:space="0" w:color="auto"/>
        <w:left w:val="none" w:sz="0" w:space="0" w:color="auto"/>
        <w:bottom w:val="none" w:sz="0" w:space="0" w:color="auto"/>
        <w:right w:val="none" w:sz="0" w:space="0" w:color="auto"/>
      </w:divBdr>
    </w:div>
    <w:div w:id="667437914">
      <w:bodyDiv w:val="1"/>
      <w:marLeft w:val="0"/>
      <w:marRight w:val="0"/>
      <w:marTop w:val="0"/>
      <w:marBottom w:val="0"/>
      <w:divBdr>
        <w:top w:val="none" w:sz="0" w:space="0" w:color="auto"/>
        <w:left w:val="none" w:sz="0" w:space="0" w:color="auto"/>
        <w:bottom w:val="none" w:sz="0" w:space="0" w:color="auto"/>
        <w:right w:val="none" w:sz="0" w:space="0" w:color="auto"/>
      </w:divBdr>
    </w:div>
    <w:div w:id="682634878">
      <w:bodyDiv w:val="1"/>
      <w:marLeft w:val="0"/>
      <w:marRight w:val="0"/>
      <w:marTop w:val="0"/>
      <w:marBottom w:val="0"/>
      <w:divBdr>
        <w:top w:val="none" w:sz="0" w:space="0" w:color="auto"/>
        <w:left w:val="none" w:sz="0" w:space="0" w:color="auto"/>
        <w:bottom w:val="none" w:sz="0" w:space="0" w:color="auto"/>
        <w:right w:val="none" w:sz="0" w:space="0" w:color="auto"/>
      </w:divBdr>
    </w:div>
    <w:div w:id="700283181">
      <w:bodyDiv w:val="1"/>
      <w:marLeft w:val="0"/>
      <w:marRight w:val="0"/>
      <w:marTop w:val="0"/>
      <w:marBottom w:val="0"/>
      <w:divBdr>
        <w:top w:val="none" w:sz="0" w:space="0" w:color="auto"/>
        <w:left w:val="none" w:sz="0" w:space="0" w:color="auto"/>
        <w:bottom w:val="none" w:sz="0" w:space="0" w:color="auto"/>
        <w:right w:val="none" w:sz="0" w:space="0" w:color="auto"/>
      </w:divBdr>
    </w:div>
    <w:div w:id="700593907">
      <w:bodyDiv w:val="1"/>
      <w:marLeft w:val="0"/>
      <w:marRight w:val="0"/>
      <w:marTop w:val="0"/>
      <w:marBottom w:val="0"/>
      <w:divBdr>
        <w:top w:val="none" w:sz="0" w:space="0" w:color="auto"/>
        <w:left w:val="none" w:sz="0" w:space="0" w:color="auto"/>
        <w:bottom w:val="none" w:sz="0" w:space="0" w:color="auto"/>
        <w:right w:val="none" w:sz="0" w:space="0" w:color="auto"/>
      </w:divBdr>
    </w:div>
    <w:div w:id="720252568">
      <w:bodyDiv w:val="1"/>
      <w:marLeft w:val="0"/>
      <w:marRight w:val="0"/>
      <w:marTop w:val="0"/>
      <w:marBottom w:val="0"/>
      <w:divBdr>
        <w:top w:val="none" w:sz="0" w:space="0" w:color="auto"/>
        <w:left w:val="none" w:sz="0" w:space="0" w:color="auto"/>
        <w:bottom w:val="none" w:sz="0" w:space="0" w:color="auto"/>
        <w:right w:val="none" w:sz="0" w:space="0" w:color="auto"/>
      </w:divBdr>
    </w:div>
    <w:div w:id="739598413">
      <w:bodyDiv w:val="1"/>
      <w:marLeft w:val="0"/>
      <w:marRight w:val="0"/>
      <w:marTop w:val="0"/>
      <w:marBottom w:val="0"/>
      <w:divBdr>
        <w:top w:val="none" w:sz="0" w:space="0" w:color="auto"/>
        <w:left w:val="none" w:sz="0" w:space="0" w:color="auto"/>
        <w:bottom w:val="none" w:sz="0" w:space="0" w:color="auto"/>
        <w:right w:val="none" w:sz="0" w:space="0" w:color="auto"/>
      </w:divBdr>
    </w:div>
    <w:div w:id="752970645">
      <w:bodyDiv w:val="1"/>
      <w:marLeft w:val="0"/>
      <w:marRight w:val="0"/>
      <w:marTop w:val="0"/>
      <w:marBottom w:val="0"/>
      <w:divBdr>
        <w:top w:val="none" w:sz="0" w:space="0" w:color="auto"/>
        <w:left w:val="none" w:sz="0" w:space="0" w:color="auto"/>
        <w:bottom w:val="none" w:sz="0" w:space="0" w:color="auto"/>
        <w:right w:val="none" w:sz="0" w:space="0" w:color="auto"/>
      </w:divBdr>
    </w:div>
    <w:div w:id="778568210">
      <w:bodyDiv w:val="1"/>
      <w:marLeft w:val="0"/>
      <w:marRight w:val="0"/>
      <w:marTop w:val="0"/>
      <w:marBottom w:val="0"/>
      <w:divBdr>
        <w:top w:val="none" w:sz="0" w:space="0" w:color="auto"/>
        <w:left w:val="none" w:sz="0" w:space="0" w:color="auto"/>
        <w:bottom w:val="none" w:sz="0" w:space="0" w:color="auto"/>
        <w:right w:val="none" w:sz="0" w:space="0" w:color="auto"/>
      </w:divBdr>
    </w:div>
    <w:div w:id="788816382">
      <w:bodyDiv w:val="1"/>
      <w:marLeft w:val="0"/>
      <w:marRight w:val="0"/>
      <w:marTop w:val="0"/>
      <w:marBottom w:val="0"/>
      <w:divBdr>
        <w:top w:val="none" w:sz="0" w:space="0" w:color="auto"/>
        <w:left w:val="none" w:sz="0" w:space="0" w:color="auto"/>
        <w:bottom w:val="none" w:sz="0" w:space="0" w:color="auto"/>
        <w:right w:val="none" w:sz="0" w:space="0" w:color="auto"/>
      </w:divBdr>
    </w:div>
    <w:div w:id="818880248">
      <w:bodyDiv w:val="1"/>
      <w:marLeft w:val="0"/>
      <w:marRight w:val="0"/>
      <w:marTop w:val="0"/>
      <w:marBottom w:val="0"/>
      <w:divBdr>
        <w:top w:val="none" w:sz="0" w:space="0" w:color="auto"/>
        <w:left w:val="none" w:sz="0" w:space="0" w:color="auto"/>
        <w:bottom w:val="none" w:sz="0" w:space="0" w:color="auto"/>
        <w:right w:val="none" w:sz="0" w:space="0" w:color="auto"/>
      </w:divBdr>
    </w:div>
    <w:div w:id="825702158">
      <w:bodyDiv w:val="1"/>
      <w:marLeft w:val="0"/>
      <w:marRight w:val="0"/>
      <w:marTop w:val="0"/>
      <w:marBottom w:val="0"/>
      <w:divBdr>
        <w:top w:val="none" w:sz="0" w:space="0" w:color="auto"/>
        <w:left w:val="none" w:sz="0" w:space="0" w:color="auto"/>
        <w:bottom w:val="none" w:sz="0" w:space="0" w:color="auto"/>
        <w:right w:val="none" w:sz="0" w:space="0" w:color="auto"/>
      </w:divBdr>
    </w:div>
    <w:div w:id="837303446">
      <w:bodyDiv w:val="1"/>
      <w:marLeft w:val="0"/>
      <w:marRight w:val="0"/>
      <w:marTop w:val="0"/>
      <w:marBottom w:val="0"/>
      <w:divBdr>
        <w:top w:val="none" w:sz="0" w:space="0" w:color="auto"/>
        <w:left w:val="none" w:sz="0" w:space="0" w:color="auto"/>
        <w:bottom w:val="none" w:sz="0" w:space="0" w:color="auto"/>
        <w:right w:val="none" w:sz="0" w:space="0" w:color="auto"/>
      </w:divBdr>
      <w:divsChild>
        <w:div w:id="410083406">
          <w:marLeft w:val="0"/>
          <w:marRight w:val="0"/>
          <w:marTop w:val="0"/>
          <w:marBottom w:val="0"/>
          <w:divBdr>
            <w:top w:val="none" w:sz="0" w:space="0" w:color="auto"/>
            <w:left w:val="none" w:sz="0" w:space="0" w:color="auto"/>
            <w:bottom w:val="none" w:sz="0" w:space="0" w:color="auto"/>
            <w:right w:val="none" w:sz="0" w:space="0" w:color="auto"/>
          </w:divBdr>
        </w:div>
      </w:divsChild>
    </w:div>
    <w:div w:id="856895579">
      <w:bodyDiv w:val="1"/>
      <w:marLeft w:val="0"/>
      <w:marRight w:val="0"/>
      <w:marTop w:val="0"/>
      <w:marBottom w:val="0"/>
      <w:divBdr>
        <w:top w:val="none" w:sz="0" w:space="0" w:color="auto"/>
        <w:left w:val="none" w:sz="0" w:space="0" w:color="auto"/>
        <w:bottom w:val="none" w:sz="0" w:space="0" w:color="auto"/>
        <w:right w:val="none" w:sz="0" w:space="0" w:color="auto"/>
      </w:divBdr>
    </w:div>
    <w:div w:id="859054279">
      <w:bodyDiv w:val="1"/>
      <w:marLeft w:val="0"/>
      <w:marRight w:val="0"/>
      <w:marTop w:val="0"/>
      <w:marBottom w:val="0"/>
      <w:divBdr>
        <w:top w:val="none" w:sz="0" w:space="0" w:color="auto"/>
        <w:left w:val="none" w:sz="0" w:space="0" w:color="auto"/>
        <w:bottom w:val="none" w:sz="0" w:space="0" w:color="auto"/>
        <w:right w:val="none" w:sz="0" w:space="0" w:color="auto"/>
      </w:divBdr>
    </w:div>
    <w:div w:id="861358111">
      <w:bodyDiv w:val="1"/>
      <w:marLeft w:val="0"/>
      <w:marRight w:val="0"/>
      <w:marTop w:val="0"/>
      <w:marBottom w:val="0"/>
      <w:divBdr>
        <w:top w:val="none" w:sz="0" w:space="0" w:color="auto"/>
        <w:left w:val="none" w:sz="0" w:space="0" w:color="auto"/>
        <w:bottom w:val="none" w:sz="0" w:space="0" w:color="auto"/>
        <w:right w:val="none" w:sz="0" w:space="0" w:color="auto"/>
      </w:divBdr>
    </w:div>
    <w:div w:id="874198118">
      <w:bodyDiv w:val="1"/>
      <w:marLeft w:val="0"/>
      <w:marRight w:val="0"/>
      <w:marTop w:val="0"/>
      <w:marBottom w:val="0"/>
      <w:divBdr>
        <w:top w:val="none" w:sz="0" w:space="0" w:color="auto"/>
        <w:left w:val="none" w:sz="0" w:space="0" w:color="auto"/>
        <w:bottom w:val="none" w:sz="0" w:space="0" w:color="auto"/>
        <w:right w:val="none" w:sz="0" w:space="0" w:color="auto"/>
      </w:divBdr>
    </w:div>
    <w:div w:id="883175432">
      <w:bodyDiv w:val="1"/>
      <w:marLeft w:val="0"/>
      <w:marRight w:val="0"/>
      <w:marTop w:val="0"/>
      <w:marBottom w:val="0"/>
      <w:divBdr>
        <w:top w:val="none" w:sz="0" w:space="0" w:color="auto"/>
        <w:left w:val="none" w:sz="0" w:space="0" w:color="auto"/>
        <w:bottom w:val="none" w:sz="0" w:space="0" w:color="auto"/>
        <w:right w:val="none" w:sz="0" w:space="0" w:color="auto"/>
      </w:divBdr>
    </w:div>
    <w:div w:id="888761916">
      <w:bodyDiv w:val="1"/>
      <w:marLeft w:val="0"/>
      <w:marRight w:val="0"/>
      <w:marTop w:val="0"/>
      <w:marBottom w:val="0"/>
      <w:divBdr>
        <w:top w:val="none" w:sz="0" w:space="0" w:color="auto"/>
        <w:left w:val="none" w:sz="0" w:space="0" w:color="auto"/>
        <w:bottom w:val="none" w:sz="0" w:space="0" w:color="auto"/>
        <w:right w:val="none" w:sz="0" w:space="0" w:color="auto"/>
      </w:divBdr>
    </w:div>
    <w:div w:id="945231280">
      <w:bodyDiv w:val="1"/>
      <w:marLeft w:val="0"/>
      <w:marRight w:val="0"/>
      <w:marTop w:val="0"/>
      <w:marBottom w:val="0"/>
      <w:divBdr>
        <w:top w:val="none" w:sz="0" w:space="0" w:color="auto"/>
        <w:left w:val="none" w:sz="0" w:space="0" w:color="auto"/>
        <w:bottom w:val="none" w:sz="0" w:space="0" w:color="auto"/>
        <w:right w:val="none" w:sz="0" w:space="0" w:color="auto"/>
      </w:divBdr>
    </w:div>
    <w:div w:id="974216734">
      <w:bodyDiv w:val="1"/>
      <w:marLeft w:val="0"/>
      <w:marRight w:val="0"/>
      <w:marTop w:val="0"/>
      <w:marBottom w:val="0"/>
      <w:divBdr>
        <w:top w:val="none" w:sz="0" w:space="0" w:color="auto"/>
        <w:left w:val="none" w:sz="0" w:space="0" w:color="auto"/>
        <w:bottom w:val="none" w:sz="0" w:space="0" w:color="auto"/>
        <w:right w:val="none" w:sz="0" w:space="0" w:color="auto"/>
      </w:divBdr>
    </w:div>
    <w:div w:id="974221485">
      <w:bodyDiv w:val="1"/>
      <w:marLeft w:val="0"/>
      <w:marRight w:val="0"/>
      <w:marTop w:val="0"/>
      <w:marBottom w:val="0"/>
      <w:divBdr>
        <w:top w:val="none" w:sz="0" w:space="0" w:color="auto"/>
        <w:left w:val="none" w:sz="0" w:space="0" w:color="auto"/>
        <w:bottom w:val="none" w:sz="0" w:space="0" w:color="auto"/>
        <w:right w:val="none" w:sz="0" w:space="0" w:color="auto"/>
      </w:divBdr>
    </w:div>
    <w:div w:id="995065435">
      <w:bodyDiv w:val="1"/>
      <w:marLeft w:val="0"/>
      <w:marRight w:val="0"/>
      <w:marTop w:val="0"/>
      <w:marBottom w:val="0"/>
      <w:divBdr>
        <w:top w:val="none" w:sz="0" w:space="0" w:color="auto"/>
        <w:left w:val="none" w:sz="0" w:space="0" w:color="auto"/>
        <w:bottom w:val="none" w:sz="0" w:space="0" w:color="auto"/>
        <w:right w:val="none" w:sz="0" w:space="0" w:color="auto"/>
      </w:divBdr>
    </w:div>
    <w:div w:id="995383070">
      <w:bodyDiv w:val="1"/>
      <w:marLeft w:val="0"/>
      <w:marRight w:val="0"/>
      <w:marTop w:val="0"/>
      <w:marBottom w:val="0"/>
      <w:divBdr>
        <w:top w:val="none" w:sz="0" w:space="0" w:color="auto"/>
        <w:left w:val="none" w:sz="0" w:space="0" w:color="auto"/>
        <w:bottom w:val="none" w:sz="0" w:space="0" w:color="auto"/>
        <w:right w:val="none" w:sz="0" w:space="0" w:color="auto"/>
      </w:divBdr>
    </w:div>
    <w:div w:id="997684493">
      <w:bodyDiv w:val="1"/>
      <w:marLeft w:val="0"/>
      <w:marRight w:val="0"/>
      <w:marTop w:val="0"/>
      <w:marBottom w:val="0"/>
      <w:divBdr>
        <w:top w:val="none" w:sz="0" w:space="0" w:color="auto"/>
        <w:left w:val="none" w:sz="0" w:space="0" w:color="auto"/>
        <w:bottom w:val="none" w:sz="0" w:space="0" w:color="auto"/>
        <w:right w:val="none" w:sz="0" w:space="0" w:color="auto"/>
      </w:divBdr>
    </w:div>
    <w:div w:id="1020935033">
      <w:bodyDiv w:val="1"/>
      <w:marLeft w:val="0"/>
      <w:marRight w:val="0"/>
      <w:marTop w:val="0"/>
      <w:marBottom w:val="0"/>
      <w:divBdr>
        <w:top w:val="none" w:sz="0" w:space="0" w:color="auto"/>
        <w:left w:val="none" w:sz="0" w:space="0" w:color="auto"/>
        <w:bottom w:val="none" w:sz="0" w:space="0" w:color="auto"/>
        <w:right w:val="none" w:sz="0" w:space="0" w:color="auto"/>
      </w:divBdr>
    </w:div>
    <w:div w:id="1044447321">
      <w:bodyDiv w:val="1"/>
      <w:marLeft w:val="0"/>
      <w:marRight w:val="0"/>
      <w:marTop w:val="0"/>
      <w:marBottom w:val="0"/>
      <w:divBdr>
        <w:top w:val="none" w:sz="0" w:space="0" w:color="auto"/>
        <w:left w:val="none" w:sz="0" w:space="0" w:color="auto"/>
        <w:bottom w:val="none" w:sz="0" w:space="0" w:color="auto"/>
        <w:right w:val="none" w:sz="0" w:space="0" w:color="auto"/>
      </w:divBdr>
    </w:div>
    <w:div w:id="1044718987">
      <w:bodyDiv w:val="1"/>
      <w:marLeft w:val="0"/>
      <w:marRight w:val="0"/>
      <w:marTop w:val="0"/>
      <w:marBottom w:val="0"/>
      <w:divBdr>
        <w:top w:val="none" w:sz="0" w:space="0" w:color="auto"/>
        <w:left w:val="none" w:sz="0" w:space="0" w:color="auto"/>
        <w:bottom w:val="none" w:sz="0" w:space="0" w:color="auto"/>
        <w:right w:val="none" w:sz="0" w:space="0" w:color="auto"/>
      </w:divBdr>
    </w:div>
    <w:div w:id="1051538771">
      <w:bodyDiv w:val="1"/>
      <w:marLeft w:val="0"/>
      <w:marRight w:val="0"/>
      <w:marTop w:val="0"/>
      <w:marBottom w:val="0"/>
      <w:divBdr>
        <w:top w:val="none" w:sz="0" w:space="0" w:color="auto"/>
        <w:left w:val="none" w:sz="0" w:space="0" w:color="auto"/>
        <w:bottom w:val="none" w:sz="0" w:space="0" w:color="auto"/>
        <w:right w:val="none" w:sz="0" w:space="0" w:color="auto"/>
      </w:divBdr>
    </w:div>
    <w:div w:id="1070812368">
      <w:bodyDiv w:val="1"/>
      <w:marLeft w:val="0"/>
      <w:marRight w:val="0"/>
      <w:marTop w:val="0"/>
      <w:marBottom w:val="0"/>
      <w:divBdr>
        <w:top w:val="none" w:sz="0" w:space="0" w:color="auto"/>
        <w:left w:val="none" w:sz="0" w:space="0" w:color="auto"/>
        <w:bottom w:val="none" w:sz="0" w:space="0" w:color="auto"/>
        <w:right w:val="none" w:sz="0" w:space="0" w:color="auto"/>
      </w:divBdr>
    </w:div>
    <w:div w:id="1097482641">
      <w:bodyDiv w:val="1"/>
      <w:marLeft w:val="0"/>
      <w:marRight w:val="0"/>
      <w:marTop w:val="0"/>
      <w:marBottom w:val="0"/>
      <w:divBdr>
        <w:top w:val="none" w:sz="0" w:space="0" w:color="auto"/>
        <w:left w:val="none" w:sz="0" w:space="0" w:color="auto"/>
        <w:bottom w:val="none" w:sz="0" w:space="0" w:color="auto"/>
        <w:right w:val="none" w:sz="0" w:space="0" w:color="auto"/>
      </w:divBdr>
    </w:div>
    <w:div w:id="1121874365">
      <w:bodyDiv w:val="1"/>
      <w:marLeft w:val="0"/>
      <w:marRight w:val="0"/>
      <w:marTop w:val="0"/>
      <w:marBottom w:val="0"/>
      <w:divBdr>
        <w:top w:val="none" w:sz="0" w:space="0" w:color="auto"/>
        <w:left w:val="none" w:sz="0" w:space="0" w:color="auto"/>
        <w:bottom w:val="none" w:sz="0" w:space="0" w:color="auto"/>
        <w:right w:val="none" w:sz="0" w:space="0" w:color="auto"/>
      </w:divBdr>
    </w:div>
    <w:div w:id="1125852233">
      <w:bodyDiv w:val="1"/>
      <w:marLeft w:val="0"/>
      <w:marRight w:val="0"/>
      <w:marTop w:val="0"/>
      <w:marBottom w:val="0"/>
      <w:divBdr>
        <w:top w:val="none" w:sz="0" w:space="0" w:color="auto"/>
        <w:left w:val="none" w:sz="0" w:space="0" w:color="auto"/>
        <w:bottom w:val="none" w:sz="0" w:space="0" w:color="auto"/>
        <w:right w:val="none" w:sz="0" w:space="0" w:color="auto"/>
      </w:divBdr>
    </w:div>
    <w:div w:id="1169097783">
      <w:bodyDiv w:val="1"/>
      <w:marLeft w:val="0"/>
      <w:marRight w:val="0"/>
      <w:marTop w:val="0"/>
      <w:marBottom w:val="0"/>
      <w:divBdr>
        <w:top w:val="none" w:sz="0" w:space="0" w:color="auto"/>
        <w:left w:val="none" w:sz="0" w:space="0" w:color="auto"/>
        <w:bottom w:val="none" w:sz="0" w:space="0" w:color="auto"/>
        <w:right w:val="none" w:sz="0" w:space="0" w:color="auto"/>
      </w:divBdr>
    </w:div>
    <w:div w:id="1170370828">
      <w:bodyDiv w:val="1"/>
      <w:marLeft w:val="0"/>
      <w:marRight w:val="0"/>
      <w:marTop w:val="0"/>
      <w:marBottom w:val="0"/>
      <w:divBdr>
        <w:top w:val="none" w:sz="0" w:space="0" w:color="auto"/>
        <w:left w:val="none" w:sz="0" w:space="0" w:color="auto"/>
        <w:bottom w:val="none" w:sz="0" w:space="0" w:color="auto"/>
        <w:right w:val="none" w:sz="0" w:space="0" w:color="auto"/>
      </w:divBdr>
    </w:div>
    <w:div w:id="1171872071">
      <w:bodyDiv w:val="1"/>
      <w:marLeft w:val="0"/>
      <w:marRight w:val="0"/>
      <w:marTop w:val="0"/>
      <w:marBottom w:val="0"/>
      <w:divBdr>
        <w:top w:val="none" w:sz="0" w:space="0" w:color="auto"/>
        <w:left w:val="none" w:sz="0" w:space="0" w:color="auto"/>
        <w:bottom w:val="none" w:sz="0" w:space="0" w:color="auto"/>
        <w:right w:val="none" w:sz="0" w:space="0" w:color="auto"/>
      </w:divBdr>
    </w:div>
    <w:div w:id="1175220168">
      <w:bodyDiv w:val="1"/>
      <w:marLeft w:val="0"/>
      <w:marRight w:val="0"/>
      <w:marTop w:val="0"/>
      <w:marBottom w:val="0"/>
      <w:divBdr>
        <w:top w:val="none" w:sz="0" w:space="0" w:color="auto"/>
        <w:left w:val="none" w:sz="0" w:space="0" w:color="auto"/>
        <w:bottom w:val="none" w:sz="0" w:space="0" w:color="auto"/>
        <w:right w:val="none" w:sz="0" w:space="0" w:color="auto"/>
      </w:divBdr>
    </w:div>
    <w:div w:id="1181510579">
      <w:bodyDiv w:val="1"/>
      <w:marLeft w:val="0"/>
      <w:marRight w:val="0"/>
      <w:marTop w:val="0"/>
      <w:marBottom w:val="0"/>
      <w:divBdr>
        <w:top w:val="none" w:sz="0" w:space="0" w:color="auto"/>
        <w:left w:val="none" w:sz="0" w:space="0" w:color="auto"/>
        <w:bottom w:val="none" w:sz="0" w:space="0" w:color="auto"/>
        <w:right w:val="none" w:sz="0" w:space="0" w:color="auto"/>
      </w:divBdr>
    </w:div>
    <w:div w:id="1181554510">
      <w:bodyDiv w:val="1"/>
      <w:marLeft w:val="0"/>
      <w:marRight w:val="0"/>
      <w:marTop w:val="0"/>
      <w:marBottom w:val="0"/>
      <w:divBdr>
        <w:top w:val="none" w:sz="0" w:space="0" w:color="auto"/>
        <w:left w:val="none" w:sz="0" w:space="0" w:color="auto"/>
        <w:bottom w:val="none" w:sz="0" w:space="0" w:color="auto"/>
        <w:right w:val="none" w:sz="0" w:space="0" w:color="auto"/>
      </w:divBdr>
    </w:div>
    <w:div w:id="1186559873">
      <w:bodyDiv w:val="1"/>
      <w:marLeft w:val="0"/>
      <w:marRight w:val="0"/>
      <w:marTop w:val="0"/>
      <w:marBottom w:val="0"/>
      <w:divBdr>
        <w:top w:val="none" w:sz="0" w:space="0" w:color="auto"/>
        <w:left w:val="none" w:sz="0" w:space="0" w:color="auto"/>
        <w:bottom w:val="none" w:sz="0" w:space="0" w:color="auto"/>
        <w:right w:val="none" w:sz="0" w:space="0" w:color="auto"/>
      </w:divBdr>
    </w:div>
    <w:div w:id="1198857584">
      <w:bodyDiv w:val="1"/>
      <w:marLeft w:val="0"/>
      <w:marRight w:val="0"/>
      <w:marTop w:val="0"/>
      <w:marBottom w:val="0"/>
      <w:divBdr>
        <w:top w:val="none" w:sz="0" w:space="0" w:color="auto"/>
        <w:left w:val="none" w:sz="0" w:space="0" w:color="auto"/>
        <w:bottom w:val="none" w:sz="0" w:space="0" w:color="auto"/>
        <w:right w:val="none" w:sz="0" w:space="0" w:color="auto"/>
      </w:divBdr>
    </w:div>
    <w:div w:id="1210678898">
      <w:bodyDiv w:val="1"/>
      <w:marLeft w:val="0"/>
      <w:marRight w:val="0"/>
      <w:marTop w:val="0"/>
      <w:marBottom w:val="0"/>
      <w:divBdr>
        <w:top w:val="none" w:sz="0" w:space="0" w:color="auto"/>
        <w:left w:val="none" w:sz="0" w:space="0" w:color="auto"/>
        <w:bottom w:val="none" w:sz="0" w:space="0" w:color="auto"/>
        <w:right w:val="none" w:sz="0" w:space="0" w:color="auto"/>
      </w:divBdr>
    </w:div>
    <w:div w:id="1241865348">
      <w:bodyDiv w:val="1"/>
      <w:marLeft w:val="0"/>
      <w:marRight w:val="0"/>
      <w:marTop w:val="0"/>
      <w:marBottom w:val="0"/>
      <w:divBdr>
        <w:top w:val="none" w:sz="0" w:space="0" w:color="auto"/>
        <w:left w:val="none" w:sz="0" w:space="0" w:color="auto"/>
        <w:bottom w:val="none" w:sz="0" w:space="0" w:color="auto"/>
        <w:right w:val="none" w:sz="0" w:space="0" w:color="auto"/>
      </w:divBdr>
    </w:div>
    <w:div w:id="1269002803">
      <w:bodyDiv w:val="1"/>
      <w:marLeft w:val="0"/>
      <w:marRight w:val="0"/>
      <w:marTop w:val="0"/>
      <w:marBottom w:val="0"/>
      <w:divBdr>
        <w:top w:val="none" w:sz="0" w:space="0" w:color="auto"/>
        <w:left w:val="none" w:sz="0" w:space="0" w:color="auto"/>
        <w:bottom w:val="none" w:sz="0" w:space="0" w:color="auto"/>
        <w:right w:val="none" w:sz="0" w:space="0" w:color="auto"/>
      </w:divBdr>
    </w:div>
    <w:div w:id="1278442802">
      <w:bodyDiv w:val="1"/>
      <w:marLeft w:val="0"/>
      <w:marRight w:val="0"/>
      <w:marTop w:val="0"/>
      <w:marBottom w:val="0"/>
      <w:divBdr>
        <w:top w:val="none" w:sz="0" w:space="0" w:color="auto"/>
        <w:left w:val="none" w:sz="0" w:space="0" w:color="auto"/>
        <w:bottom w:val="none" w:sz="0" w:space="0" w:color="auto"/>
        <w:right w:val="none" w:sz="0" w:space="0" w:color="auto"/>
      </w:divBdr>
    </w:div>
    <w:div w:id="1287931126">
      <w:bodyDiv w:val="1"/>
      <w:marLeft w:val="0"/>
      <w:marRight w:val="0"/>
      <w:marTop w:val="0"/>
      <w:marBottom w:val="0"/>
      <w:divBdr>
        <w:top w:val="none" w:sz="0" w:space="0" w:color="auto"/>
        <w:left w:val="none" w:sz="0" w:space="0" w:color="auto"/>
        <w:bottom w:val="none" w:sz="0" w:space="0" w:color="auto"/>
        <w:right w:val="none" w:sz="0" w:space="0" w:color="auto"/>
      </w:divBdr>
    </w:div>
    <w:div w:id="1306550351">
      <w:bodyDiv w:val="1"/>
      <w:marLeft w:val="0"/>
      <w:marRight w:val="0"/>
      <w:marTop w:val="0"/>
      <w:marBottom w:val="0"/>
      <w:divBdr>
        <w:top w:val="none" w:sz="0" w:space="0" w:color="auto"/>
        <w:left w:val="none" w:sz="0" w:space="0" w:color="auto"/>
        <w:bottom w:val="none" w:sz="0" w:space="0" w:color="auto"/>
        <w:right w:val="none" w:sz="0" w:space="0" w:color="auto"/>
      </w:divBdr>
    </w:div>
    <w:div w:id="1348361496">
      <w:bodyDiv w:val="1"/>
      <w:marLeft w:val="0"/>
      <w:marRight w:val="0"/>
      <w:marTop w:val="0"/>
      <w:marBottom w:val="0"/>
      <w:divBdr>
        <w:top w:val="none" w:sz="0" w:space="0" w:color="auto"/>
        <w:left w:val="none" w:sz="0" w:space="0" w:color="auto"/>
        <w:bottom w:val="none" w:sz="0" w:space="0" w:color="auto"/>
        <w:right w:val="none" w:sz="0" w:space="0" w:color="auto"/>
      </w:divBdr>
    </w:div>
    <w:div w:id="1362241165">
      <w:bodyDiv w:val="1"/>
      <w:marLeft w:val="0"/>
      <w:marRight w:val="0"/>
      <w:marTop w:val="0"/>
      <w:marBottom w:val="0"/>
      <w:divBdr>
        <w:top w:val="none" w:sz="0" w:space="0" w:color="auto"/>
        <w:left w:val="none" w:sz="0" w:space="0" w:color="auto"/>
        <w:bottom w:val="none" w:sz="0" w:space="0" w:color="auto"/>
        <w:right w:val="none" w:sz="0" w:space="0" w:color="auto"/>
      </w:divBdr>
    </w:div>
    <w:div w:id="1375740386">
      <w:bodyDiv w:val="1"/>
      <w:marLeft w:val="0"/>
      <w:marRight w:val="0"/>
      <w:marTop w:val="0"/>
      <w:marBottom w:val="0"/>
      <w:divBdr>
        <w:top w:val="none" w:sz="0" w:space="0" w:color="auto"/>
        <w:left w:val="none" w:sz="0" w:space="0" w:color="auto"/>
        <w:bottom w:val="none" w:sz="0" w:space="0" w:color="auto"/>
        <w:right w:val="none" w:sz="0" w:space="0" w:color="auto"/>
      </w:divBdr>
    </w:div>
    <w:div w:id="1376854779">
      <w:bodyDiv w:val="1"/>
      <w:marLeft w:val="0"/>
      <w:marRight w:val="0"/>
      <w:marTop w:val="0"/>
      <w:marBottom w:val="0"/>
      <w:divBdr>
        <w:top w:val="none" w:sz="0" w:space="0" w:color="auto"/>
        <w:left w:val="none" w:sz="0" w:space="0" w:color="auto"/>
        <w:bottom w:val="none" w:sz="0" w:space="0" w:color="auto"/>
        <w:right w:val="none" w:sz="0" w:space="0" w:color="auto"/>
      </w:divBdr>
    </w:div>
    <w:div w:id="1382099842">
      <w:bodyDiv w:val="1"/>
      <w:marLeft w:val="0"/>
      <w:marRight w:val="0"/>
      <w:marTop w:val="0"/>
      <w:marBottom w:val="0"/>
      <w:divBdr>
        <w:top w:val="none" w:sz="0" w:space="0" w:color="auto"/>
        <w:left w:val="none" w:sz="0" w:space="0" w:color="auto"/>
        <w:bottom w:val="none" w:sz="0" w:space="0" w:color="auto"/>
        <w:right w:val="none" w:sz="0" w:space="0" w:color="auto"/>
      </w:divBdr>
    </w:div>
    <w:div w:id="1393313736">
      <w:bodyDiv w:val="1"/>
      <w:marLeft w:val="0"/>
      <w:marRight w:val="0"/>
      <w:marTop w:val="0"/>
      <w:marBottom w:val="0"/>
      <w:divBdr>
        <w:top w:val="none" w:sz="0" w:space="0" w:color="auto"/>
        <w:left w:val="none" w:sz="0" w:space="0" w:color="auto"/>
        <w:bottom w:val="none" w:sz="0" w:space="0" w:color="auto"/>
        <w:right w:val="none" w:sz="0" w:space="0" w:color="auto"/>
      </w:divBdr>
    </w:div>
    <w:div w:id="1400900750">
      <w:bodyDiv w:val="1"/>
      <w:marLeft w:val="0"/>
      <w:marRight w:val="0"/>
      <w:marTop w:val="0"/>
      <w:marBottom w:val="0"/>
      <w:divBdr>
        <w:top w:val="none" w:sz="0" w:space="0" w:color="auto"/>
        <w:left w:val="none" w:sz="0" w:space="0" w:color="auto"/>
        <w:bottom w:val="none" w:sz="0" w:space="0" w:color="auto"/>
        <w:right w:val="none" w:sz="0" w:space="0" w:color="auto"/>
      </w:divBdr>
    </w:div>
    <w:div w:id="1412508951">
      <w:bodyDiv w:val="1"/>
      <w:marLeft w:val="0"/>
      <w:marRight w:val="0"/>
      <w:marTop w:val="0"/>
      <w:marBottom w:val="0"/>
      <w:divBdr>
        <w:top w:val="none" w:sz="0" w:space="0" w:color="auto"/>
        <w:left w:val="none" w:sz="0" w:space="0" w:color="auto"/>
        <w:bottom w:val="none" w:sz="0" w:space="0" w:color="auto"/>
        <w:right w:val="none" w:sz="0" w:space="0" w:color="auto"/>
      </w:divBdr>
    </w:div>
    <w:div w:id="1456948991">
      <w:bodyDiv w:val="1"/>
      <w:marLeft w:val="0"/>
      <w:marRight w:val="0"/>
      <w:marTop w:val="0"/>
      <w:marBottom w:val="0"/>
      <w:divBdr>
        <w:top w:val="none" w:sz="0" w:space="0" w:color="auto"/>
        <w:left w:val="none" w:sz="0" w:space="0" w:color="auto"/>
        <w:bottom w:val="none" w:sz="0" w:space="0" w:color="auto"/>
        <w:right w:val="none" w:sz="0" w:space="0" w:color="auto"/>
      </w:divBdr>
    </w:div>
    <w:div w:id="1466196584">
      <w:bodyDiv w:val="1"/>
      <w:marLeft w:val="0"/>
      <w:marRight w:val="0"/>
      <w:marTop w:val="0"/>
      <w:marBottom w:val="0"/>
      <w:divBdr>
        <w:top w:val="none" w:sz="0" w:space="0" w:color="auto"/>
        <w:left w:val="none" w:sz="0" w:space="0" w:color="auto"/>
        <w:bottom w:val="none" w:sz="0" w:space="0" w:color="auto"/>
        <w:right w:val="none" w:sz="0" w:space="0" w:color="auto"/>
      </w:divBdr>
    </w:div>
    <w:div w:id="1480539883">
      <w:bodyDiv w:val="1"/>
      <w:marLeft w:val="0"/>
      <w:marRight w:val="0"/>
      <w:marTop w:val="0"/>
      <w:marBottom w:val="0"/>
      <w:divBdr>
        <w:top w:val="none" w:sz="0" w:space="0" w:color="auto"/>
        <w:left w:val="none" w:sz="0" w:space="0" w:color="auto"/>
        <w:bottom w:val="none" w:sz="0" w:space="0" w:color="auto"/>
        <w:right w:val="none" w:sz="0" w:space="0" w:color="auto"/>
      </w:divBdr>
    </w:div>
    <w:div w:id="1501851539">
      <w:bodyDiv w:val="1"/>
      <w:marLeft w:val="0"/>
      <w:marRight w:val="0"/>
      <w:marTop w:val="0"/>
      <w:marBottom w:val="0"/>
      <w:divBdr>
        <w:top w:val="none" w:sz="0" w:space="0" w:color="auto"/>
        <w:left w:val="none" w:sz="0" w:space="0" w:color="auto"/>
        <w:bottom w:val="none" w:sz="0" w:space="0" w:color="auto"/>
        <w:right w:val="none" w:sz="0" w:space="0" w:color="auto"/>
      </w:divBdr>
    </w:div>
    <w:div w:id="1506092629">
      <w:bodyDiv w:val="1"/>
      <w:marLeft w:val="0"/>
      <w:marRight w:val="0"/>
      <w:marTop w:val="0"/>
      <w:marBottom w:val="0"/>
      <w:divBdr>
        <w:top w:val="none" w:sz="0" w:space="0" w:color="auto"/>
        <w:left w:val="none" w:sz="0" w:space="0" w:color="auto"/>
        <w:bottom w:val="none" w:sz="0" w:space="0" w:color="auto"/>
        <w:right w:val="none" w:sz="0" w:space="0" w:color="auto"/>
      </w:divBdr>
    </w:div>
    <w:div w:id="1506747062">
      <w:bodyDiv w:val="1"/>
      <w:marLeft w:val="0"/>
      <w:marRight w:val="0"/>
      <w:marTop w:val="0"/>
      <w:marBottom w:val="0"/>
      <w:divBdr>
        <w:top w:val="none" w:sz="0" w:space="0" w:color="auto"/>
        <w:left w:val="none" w:sz="0" w:space="0" w:color="auto"/>
        <w:bottom w:val="none" w:sz="0" w:space="0" w:color="auto"/>
        <w:right w:val="none" w:sz="0" w:space="0" w:color="auto"/>
      </w:divBdr>
    </w:div>
    <w:div w:id="1525823770">
      <w:bodyDiv w:val="1"/>
      <w:marLeft w:val="0"/>
      <w:marRight w:val="0"/>
      <w:marTop w:val="0"/>
      <w:marBottom w:val="0"/>
      <w:divBdr>
        <w:top w:val="none" w:sz="0" w:space="0" w:color="auto"/>
        <w:left w:val="none" w:sz="0" w:space="0" w:color="auto"/>
        <w:bottom w:val="none" w:sz="0" w:space="0" w:color="auto"/>
        <w:right w:val="none" w:sz="0" w:space="0" w:color="auto"/>
      </w:divBdr>
    </w:div>
    <w:div w:id="1532187024">
      <w:bodyDiv w:val="1"/>
      <w:marLeft w:val="0"/>
      <w:marRight w:val="0"/>
      <w:marTop w:val="0"/>
      <w:marBottom w:val="0"/>
      <w:divBdr>
        <w:top w:val="none" w:sz="0" w:space="0" w:color="auto"/>
        <w:left w:val="none" w:sz="0" w:space="0" w:color="auto"/>
        <w:bottom w:val="none" w:sz="0" w:space="0" w:color="auto"/>
        <w:right w:val="none" w:sz="0" w:space="0" w:color="auto"/>
      </w:divBdr>
    </w:div>
    <w:div w:id="1539195970">
      <w:bodyDiv w:val="1"/>
      <w:marLeft w:val="0"/>
      <w:marRight w:val="0"/>
      <w:marTop w:val="0"/>
      <w:marBottom w:val="0"/>
      <w:divBdr>
        <w:top w:val="none" w:sz="0" w:space="0" w:color="auto"/>
        <w:left w:val="none" w:sz="0" w:space="0" w:color="auto"/>
        <w:bottom w:val="none" w:sz="0" w:space="0" w:color="auto"/>
        <w:right w:val="none" w:sz="0" w:space="0" w:color="auto"/>
      </w:divBdr>
    </w:div>
    <w:div w:id="1543783096">
      <w:bodyDiv w:val="1"/>
      <w:marLeft w:val="0"/>
      <w:marRight w:val="0"/>
      <w:marTop w:val="0"/>
      <w:marBottom w:val="0"/>
      <w:divBdr>
        <w:top w:val="none" w:sz="0" w:space="0" w:color="auto"/>
        <w:left w:val="none" w:sz="0" w:space="0" w:color="auto"/>
        <w:bottom w:val="none" w:sz="0" w:space="0" w:color="auto"/>
        <w:right w:val="none" w:sz="0" w:space="0" w:color="auto"/>
      </w:divBdr>
    </w:div>
    <w:div w:id="1548444147">
      <w:bodyDiv w:val="1"/>
      <w:marLeft w:val="0"/>
      <w:marRight w:val="0"/>
      <w:marTop w:val="0"/>
      <w:marBottom w:val="0"/>
      <w:divBdr>
        <w:top w:val="none" w:sz="0" w:space="0" w:color="auto"/>
        <w:left w:val="none" w:sz="0" w:space="0" w:color="auto"/>
        <w:bottom w:val="none" w:sz="0" w:space="0" w:color="auto"/>
        <w:right w:val="none" w:sz="0" w:space="0" w:color="auto"/>
      </w:divBdr>
    </w:div>
    <w:div w:id="1562207333">
      <w:bodyDiv w:val="1"/>
      <w:marLeft w:val="0"/>
      <w:marRight w:val="0"/>
      <w:marTop w:val="0"/>
      <w:marBottom w:val="0"/>
      <w:divBdr>
        <w:top w:val="none" w:sz="0" w:space="0" w:color="auto"/>
        <w:left w:val="none" w:sz="0" w:space="0" w:color="auto"/>
        <w:bottom w:val="none" w:sz="0" w:space="0" w:color="auto"/>
        <w:right w:val="none" w:sz="0" w:space="0" w:color="auto"/>
      </w:divBdr>
    </w:div>
    <w:div w:id="1567031360">
      <w:bodyDiv w:val="1"/>
      <w:marLeft w:val="0"/>
      <w:marRight w:val="0"/>
      <w:marTop w:val="0"/>
      <w:marBottom w:val="0"/>
      <w:divBdr>
        <w:top w:val="none" w:sz="0" w:space="0" w:color="auto"/>
        <w:left w:val="none" w:sz="0" w:space="0" w:color="auto"/>
        <w:bottom w:val="none" w:sz="0" w:space="0" w:color="auto"/>
        <w:right w:val="none" w:sz="0" w:space="0" w:color="auto"/>
      </w:divBdr>
    </w:div>
    <w:div w:id="1573197091">
      <w:bodyDiv w:val="1"/>
      <w:marLeft w:val="0"/>
      <w:marRight w:val="0"/>
      <w:marTop w:val="0"/>
      <w:marBottom w:val="0"/>
      <w:divBdr>
        <w:top w:val="none" w:sz="0" w:space="0" w:color="auto"/>
        <w:left w:val="none" w:sz="0" w:space="0" w:color="auto"/>
        <w:bottom w:val="none" w:sz="0" w:space="0" w:color="auto"/>
        <w:right w:val="none" w:sz="0" w:space="0" w:color="auto"/>
      </w:divBdr>
    </w:div>
    <w:div w:id="1575581452">
      <w:bodyDiv w:val="1"/>
      <w:marLeft w:val="0"/>
      <w:marRight w:val="0"/>
      <w:marTop w:val="0"/>
      <w:marBottom w:val="0"/>
      <w:divBdr>
        <w:top w:val="none" w:sz="0" w:space="0" w:color="auto"/>
        <w:left w:val="none" w:sz="0" w:space="0" w:color="auto"/>
        <w:bottom w:val="none" w:sz="0" w:space="0" w:color="auto"/>
        <w:right w:val="none" w:sz="0" w:space="0" w:color="auto"/>
      </w:divBdr>
    </w:div>
    <w:div w:id="1579054836">
      <w:bodyDiv w:val="1"/>
      <w:marLeft w:val="0"/>
      <w:marRight w:val="0"/>
      <w:marTop w:val="0"/>
      <w:marBottom w:val="0"/>
      <w:divBdr>
        <w:top w:val="none" w:sz="0" w:space="0" w:color="auto"/>
        <w:left w:val="none" w:sz="0" w:space="0" w:color="auto"/>
        <w:bottom w:val="none" w:sz="0" w:space="0" w:color="auto"/>
        <w:right w:val="none" w:sz="0" w:space="0" w:color="auto"/>
      </w:divBdr>
    </w:div>
    <w:div w:id="1622566905">
      <w:bodyDiv w:val="1"/>
      <w:marLeft w:val="0"/>
      <w:marRight w:val="0"/>
      <w:marTop w:val="0"/>
      <w:marBottom w:val="0"/>
      <w:divBdr>
        <w:top w:val="none" w:sz="0" w:space="0" w:color="auto"/>
        <w:left w:val="none" w:sz="0" w:space="0" w:color="auto"/>
        <w:bottom w:val="none" w:sz="0" w:space="0" w:color="auto"/>
        <w:right w:val="none" w:sz="0" w:space="0" w:color="auto"/>
      </w:divBdr>
    </w:div>
    <w:div w:id="1644773085">
      <w:bodyDiv w:val="1"/>
      <w:marLeft w:val="0"/>
      <w:marRight w:val="0"/>
      <w:marTop w:val="0"/>
      <w:marBottom w:val="0"/>
      <w:divBdr>
        <w:top w:val="none" w:sz="0" w:space="0" w:color="auto"/>
        <w:left w:val="none" w:sz="0" w:space="0" w:color="auto"/>
        <w:bottom w:val="none" w:sz="0" w:space="0" w:color="auto"/>
        <w:right w:val="none" w:sz="0" w:space="0" w:color="auto"/>
      </w:divBdr>
    </w:div>
    <w:div w:id="1672025035">
      <w:bodyDiv w:val="1"/>
      <w:marLeft w:val="0"/>
      <w:marRight w:val="0"/>
      <w:marTop w:val="0"/>
      <w:marBottom w:val="0"/>
      <w:divBdr>
        <w:top w:val="none" w:sz="0" w:space="0" w:color="auto"/>
        <w:left w:val="none" w:sz="0" w:space="0" w:color="auto"/>
        <w:bottom w:val="none" w:sz="0" w:space="0" w:color="auto"/>
        <w:right w:val="none" w:sz="0" w:space="0" w:color="auto"/>
      </w:divBdr>
    </w:div>
    <w:div w:id="1726296148">
      <w:bodyDiv w:val="1"/>
      <w:marLeft w:val="0"/>
      <w:marRight w:val="0"/>
      <w:marTop w:val="0"/>
      <w:marBottom w:val="0"/>
      <w:divBdr>
        <w:top w:val="none" w:sz="0" w:space="0" w:color="auto"/>
        <w:left w:val="none" w:sz="0" w:space="0" w:color="auto"/>
        <w:bottom w:val="none" w:sz="0" w:space="0" w:color="auto"/>
        <w:right w:val="none" w:sz="0" w:space="0" w:color="auto"/>
      </w:divBdr>
    </w:div>
    <w:div w:id="1750884898">
      <w:bodyDiv w:val="1"/>
      <w:marLeft w:val="0"/>
      <w:marRight w:val="0"/>
      <w:marTop w:val="0"/>
      <w:marBottom w:val="0"/>
      <w:divBdr>
        <w:top w:val="none" w:sz="0" w:space="0" w:color="auto"/>
        <w:left w:val="none" w:sz="0" w:space="0" w:color="auto"/>
        <w:bottom w:val="none" w:sz="0" w:space="0" w:color="auto"/>
        <w:right w:val="none" w:sz="0" w:space="0" w:color="auto"/>
      </w:divBdr>
    </w:div>
    <w:div w:id="1773084008">
      <w:bodyDiv w:val="1"/>
      <w:marLeft w:val="0"/>
      <w:marRight w:val="0"/>
      <w:marTop w:val="0"/>
      <w:marBottom w:val="0"/>
      <w:divBdr>
        <w:top w:val="none" w:sz="0" w:space="0" w:color="auto"/>
        <w:left w:val="none" w:sz="0" w:space="0" w:color="auto"/>
        <w:bottom w:val="none" w:sz="0" w:space="0" w:color="auto"/>
        <w:right w:val="none" w:sz="0" w:space="0" w:color="auto"/>
      </w:divBdr>
    </w:div>
    <w:div w:id="1801878390">
      <w:bodyDiv w:val="1"/>
      <w:marLeft w:val="0"/>
      <w:marRight w:val="0"/>
      <w:marTop w:val="0"/>
      <w:marBottom w:val="0"/>
      <w:divBdr>
        <w:top w:val="none" w:sz="0" w:space="0" w:color="auto"/>
        <w:left w:val="none" w:sz="0" w:space="0" w:color="auto"/>
        <w:bottom w:val="none" w:sz="0" w:space="0" w:color="auto"/>
        <w:right w:val="none" w:sz="0" w:space="0" w:color="auto"/>
      </w:divBdr>
    </w:div>
    <w:div w:id="1881085556">
      <w:bodyDiv w:val="1"/>
      <w:marLeft w:val="0"/>
      <w:marRight w:val="0"/>
      <w:marTop w:val="0"/>
      <w:marBottom w:val="0"/>
      <w:divBdr>
        <w:top w:val="none" w:sz="0" w:space="0" w:color="auto"/>
        <w:left w:val="none" w:sz="0" w:space="0" w:color="auto"/>
        <w:bottom w:val="none" w:sz="0" w:space="0" w:color="auto"/>
        <w:right w:val="none" w:sz="0" w:space="0" w:color="auto"/>
      </w:divBdr>
    </w:div>
    <w:div w:id="1895777829">
      <w:bodyDiv w:val="1"/>
      <w:marLeft w:val="0"/>
      <w:marRight w:val="0"/>
      <w:marTop w:val="0"/>
      <w:marBottom w:val="0"/>
      <w:divBdr>
        <w:top w:val="none" w:sz="0" w:space="0" w:color="auto"/>
        <w:left w:val="none" w:sz="0" w:space="0" w:color="auto"/>
        <w:bottom w:val="none" w:sz="0" w:space="0" w:color="auto"/>
        <w:right w:val="none" w:sz="0" w:space="0" w:color="auto"/>
      </w:divBdr>
    </w:div>
    <w:div w:id="1904751006">
      <w:bodyDiv w:val="1"/>
      <w:marLeft w:val="0"/>
      <w:marRight w:val="0"/>
      <w:marTop w:val="0"/>
      <w:marBottom w:val="0"/>
      <w:divBdr>
        <w:top w:val="none" w:sz="0" w:space="0" w:color="auto"/>
        <w:left w:val="none" w:sz="0" w:space="0" w:color="auto"/>
        <w:bottom w:val="none" w:sz="0" w:space="0" w:color="auto"/>
        <w:right w:val="none" w:sz="0" w:space="0" w:color="auto"/>
      </w:divBdr>
    </w:div>
    <w:div w:id="1906259568">
      <w:bodyDiv w:val="1"/>
      <w:marLeft w:val="0"/>
      <w:marRight w:val="0"/>
      <w:marTop w:val="0"/>
      <w:marBottom w:val="0"/>
      <w:divBdr>
        <w:top w:val="none" w:sz="0" w:space="0" w:color="auto"/>
        <w:left w:val="none" w:sz="0" w:space="0" w:color="auto"/>
        <w:bottom w:val="none" w:sz="0" w:space="0" w:color="auto"/>
        <w:right w:val="none" w:sz="0" w:space="0" w:color="auto"/>
      </w:divBdr>
    </w:div>
    <w:div w:id="1906598895">
      <w:bodyDiv w:val="1"/>
      <w:marLeft w:val="0"/>
      <w:marRight w:val="0"/>
      <w:marTop w:val="0"/>
      <w:marBottom w:val="0"/>
      <w:divBdr>
        <w:top w:val="none" w:sz="0" w:space="0" w:color="auto"/>
        <w:left w:val="none" w:sz="0" w:space="0" w:color="auto"/>
        <w:bottom w:val="none" w:sz="0" w:space="0" w:color="auto"/>
        <w:right w:val="none" w:sz="0" w:space="0" w:color="auto"/>
      </w:divBdr>
    </w:div>
    <w:div w:id="1907256411">
      <w:bodyDiv w:val="1"/>
      <w:marLeft w:val="0"/>
      <w:marRight w:val="0"/>
      <w:marTop w:val="0"/>
      <w:marBottom w:val="0"/>
      <w:divBdr>
        <w:top w:val="none" w:sz="0" w:space="0" w:color="auto"/>
        <w:left w:val="none" w:sz="0" w:space="0" w:color="auto"/>
        <w:bottom w:val="none" w:sz="0" w:space="0" w:color="auto"/>
        <w:right w:val="none" w:sz="0" w:space="0" w:color="auto"/>
      </w:divBdr>
    </w:div>
    <w:div w:id="1910922506">
      <w:bodyDiv w:val="1"/>
      <w:marLeft w:val="0"/>
      <w:marRight w:val="0"/>
      <w:marTop w:val="0"/>
      <w:marBottom w:val="0"/>
      <w:divBdr>
        <w:top w:val="none" w:sz="0" w:space="0" w:color="auto"/>
        <w:left w:val="none" w:sz="0" w:space="0" w:color="auto"/>
        <w:bottom w:val="none" w:sz="0" w:space="0" w:color="auto"/>
        <w:right w:val="none" w:sz="0" w:space="0" w:color="auto"/>
      </w:divBdr>
    </w:div>
    <w:div w:id="1929263690">
      <w:bodyDiv w:val="1"/>
      <w:marLeft w:val="0"/>
      <w:marRight w:val="0"/>
      <w:marTop w:val="0"/>
      <w:marBottom w:val="0"/>
      <w:divBdr>
        <w:top w:val="none" w:sz="0" w:space="0" w:color="auto"/>
        <w:left w:val="none" w:sz="0" w:space="0" w:color="auto"/>
        <w:bottom w:val="none" w:sz="0" w:space="0" w:color="auto"/>
        <w:right w:val="none" w:sz="0" w:space="0" w:color="auto"/>
      </w:divBdr>
    </w:div>
    <w:div w:id="1930429475">
      <w:bodyDiv w:val="1"/>
      <w:marLeft w:val="0"/>
      <w:marRight w:val="0"/>
      <w:marTop w:val="0"/>
      <w:marBottom w:val="0"/>
      <w:divBdr>
        <w:top w:val="none" w:sz="0" w:space="0" w:color="auto"/>
        <w:left w:val="none" w:sz="0" w:space="0" w:color="auto"/>
        <w:bottom w:val="none" w:sz="0" w:space="0" w:color="auto"/>
        <w:right w:val="none" w:sz="0" w:space="0" w:color="auto"/>
      </w:divBdr>
    </w:div>
    <w:div w:id="1989436139">
      <w:bodyDiv w:val="1"/>
      <w:marLeft w:val="0"/>
      <w:marRight w:val="0"/>
      <w:marTop w:val="0"/>
      <w:marBottom w:val="0"/>
      <w:divBdr>
        <w:top w:val="none" w:sz="0" w:space="0" w:color="auto"/>
        <w:left w:val="none" w:sz="0" w:space="0" w:color="auto"/>
        <w:bottom w:val="none" w:sz="0" w:space="0" w:color="auto"/>
        <w:right w:val="none" w:sz="0" w:space="0" w:color="auto"/>
      </w:divBdr>
    </w:div>
    <w:div w:id="2045522717">
      <w:bodyDiv w:val="1"/>
      <w:marLeft w:val="0"/>
      <w:marRight w:val="0"/>
      <w:marTop w:val="0"/>
      <w:marBottom w:val="0"/>
      <w:divBdr>
        <w:top w:val="none" w:sz="0" w:space="0" w:color="auto"/>
        <w:left w:val="none" w:sz="0" w:space="0" w:color="auto"/>
        <w:bottom w:val="none" w:sz="0" w:space="0" w:color="auto"/>
        <w:right w:val="none" w:sz="0" w:space="0" w:color="auto"/>
      </w:divBdr>
    </w:div>
    <w:div w:id="2048604222">
      <w:bodyDiv w:val="1"/>
      <w:marLeft w:val="0"/>
      <w:marRight w:val="0"/>
      <w:marTop w:val="0"/>
      <w:marBottom w:val="0"/>
      <w:divBdr>
        <w:top w:val="none" w:sz="0" w:space="0" w:color="auto"/>
        <w:left w:val="none" w:sz="0" w:space="0" w:color="auto"/>
        <w:bottom w:val="none" w:sz="0" w:space="0" w:color="auto"/>
        <w:right w:val="none" w:sz="0" w:space="0" w:color="auto"/>
      </w:divBdr>
    </w:div>
    <w:div w:id="2067029697">
      <w:bodyDiv w:val="1"/>
      <w:marLeft w:val="0"/>
      <w:marRight w:val="0"/>
      <w:marTop w:val="0"/>
      <w:marBottom w:val="0"/>
      <w:divBdr>
        <w:top w:val="none" w:sz="0" w:space="0" w:color="auto"/>
        <w:left w:val="none" w:sz="0" w:space="0" w:color="auto"/>
        <w:bottom w:val="none" w:sz="0" w:space="0" w:color="auto"/>
        <w:right w:val="none" w:sz="0" w:space="0" w:color="auto"/>
      </w:divBdr>
    </w:div>
    <w:div w:id="2075156659">
      <w:bodyDiv w:val="1"/>
      <w:marLeft w:val="0"/>
      <w:marRight w:val="0"/>
      <w:marTop w:val="0"/>
      <w:marBottom w:val="0"/>
      <w:divBdr>
        <w:top w:val="none" w:sz="0" w:space="0" w:color="auto"/>
        <w:left w:val="none" w:sz="0" w:space="0" w:color="auto"/>
        <w:bottom w:val="none" w:sz="0" w:space="0" w:color="auto"/>
        <w:right w:val="none" w:sz="0" w:space="0" w:color="auto"/>
      </w:divBdr>
    </w:div>
    <w:div w:id="2079403223">
      <w:bodyDiv w:val="1"/>
      <w:marLeft w:val="0"/>
      <w:marRight w:val="0"/>
      <w:marTop w:val="0"/>
      <w:marBottom w:val="0"/>
      <w:divBdr>
        <w:top w:val="none" w:sz="0" w:space="0" w:color="auto"/>
        <w:left w:val="none" w:sz="0" w:space="0" w:color="auto"/>
        <w:bottom w:val="none" w:sz="0" w:space="0" w:color="auto"/>
        <w:right w:val="none" w:sz="0" w:space="0" w:color="auto"/>
      </w:divBdr>
    </w:div>
    <w:div w:id="2081050661">
      <w:bodyDiv w:val="1"/>
      <w:marLeft w:val="0"/>
      <w:marRight w:val="0"/>
      <w:marTop w:val="0"/>
      <w:marBottom w:val="0"/>
      <w:divBdr>
        <w:top w:val="none" w:sz="0" w:space="0" w:color="auto"/>
        <w:left w:val="none" w:sz="0" w:space="0" w:color="auto"/>
        <w:bottom w:val="none" w:sz="0" w:space="0" w:color="auto"/>
        <w:right w:val="none" w:sz="0" w:space="0" w:color="auto"/>
      </w:divBdr>
    </w:div>
    <w:div w:id="21193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Pro19</b:Tag>
    <b:SourceType>Report</b:SourceType>
    <b:Guid>{61886156-C47B-400C-9838-FB61DC4C958C}</b:Guid>
    <b:Author>
      <b:Author>
        <b:Corporate>Productivity Commission</b:Corporate>
      </b:Author>
    </b:Author>
    <b:Title>Expenditure on Children in the Northern Territory, Draft Report</b:Title>
    <b:Year>2019</b:Year>
    <b:City>Canberra</b:City>
    <b:RefOrder>1</b:RefOrder>
  </b:Source>
  <b:Source>
    <b:Tag>Moo11</b:Tag>
    <b:SourceType>JournalArticle</b:SourceType>
    <b:Guid>{CAE65791-7DD5-4F0B-8BF5-C3674437F8DD}</b:Guid>
    <b:Author>
      <b:Author>
        <b:NameList>
          <b:Person>
            <b:Last>Moore</b:Last>
            <b:First>Tim</b:First>
          </b:Person>
          <b:Person>
            <b:Last>Saunders</b:Last>
            <b:First>Vicky</b:First>
          </b:Person>
          <b:Person>
            <b:Last>McArthur</b:Last>
            <b:First>Morag</b:First>
          </b:Person>
        </b:NameList>
      </b:Author>
    </b:Author>
    <b:Title>Championing Choice—Lessons Learned from Children and Young People About Research and Their Involvement</b:Title>
    <b:Year>2011</b:Year>
    <b:JournalName>Child Indicators Research</b:JournalName>
    <b:Pages>249-267</b:Pages>
    <b:RefOrder>3</b:RefOrder>
  </b:Source>
  <b:Source>
    <b:Tag>Aus121</b:Tag>
    <b:SourceType>Report</b:SourceType>
    <b:Guid>{DE55292E-FC9D-4F52-80D4-904D495348A7}</b:Guid>
    <b:Author>
      <b:Author>
        <b:Corporate>Australian Research Alliance for Children and Youth</b:Corporate>
      </b:Author>
    </b:Author>
    <b:Title>The Nest consultation: Findings from consultation with children, young people, parents and other adults conducted between March and September 2012</b:Title>
    <b:Year>2012</b:Year>
    <b:RefOrder>5</b:RefOrder>
  </b:Source>
  <b:Source>
    <b:Tag>Aus18</b:Tag>
    <b:SourceType>Report</b:SourceType>
    <b:Guid>{2F874AA4-83F8-4C25-B796-177FE4F408C0}</b:Guid>
    <b:Author>
      <b:Author>
        <b:Corporate>Australian Research Alliance for Children and Youth</b:Corporate>
      </b:Author>
    </b:Author>
    <b:Title>Report Card: The wellbeing of young Australians</b:Title>
    <b:Year>2018</b:Year>
    <b:City>Canberra</b:City>
    <b:URL>https://www.aracy.org.au/the-nest-in-action/report-card-the-wellbeing-of-young-australians</b:URL>
    <b:RefOrder>6</b:RefOrder>
  </b:Source>
  <b:Source>
    <b:Tag>OEC19</b:Tag>
    <b:SourceType>Report</b:SourceType>
    <b:Guid>{22E2B849-469D-4FCB-876B-F63E970D93A9}</b:Guid>
    <b:Title>Health at a Glance 2019: OECD Indicators</b:Title>
    <b:Year>2019</b:Year>
    <b:City>Paris</b:City>
    <b:Author>
      <b:Author>
        <b:NameList>
          <b:Person>
            <b:Last>OECD</b:Last>
          </b:Person>
        </b:NameList>
      </b:Author>
    </b:Author>
    <b:Publisher>OECD Publishing</b:Publisher>
    <b:Pages>34-35</b:Pages>
    <b:YearAccessed>2019</b:YearAccessed>
    <b:MonthAccessed>December</b:MonthAccessed>
    <b:DayAccessed>16</b:DayAccessed>
    <b:URL>https://doi.org/10.1787/4dd50c09-en</b:URL>
    <b:RefOrder>2</b:RefOrder>
  </b:Source>
  <b:Source>
    <b:Tag>UNG89</b:Tag>
    <b:SourceType>ConferenceProceedings</b:SourceType>
    <b:Guid>{87979FF6-6057-4D6D-9ADD-51209ACDE2B8}</b:Guid>
    <b:Title>Convention on the Rights of the Child</b:Title>
    <b:Year>1989</b:Year>
    <b:URL>https://www.ohchr.org/en/professionalinterest/pages/crc.aspx</b:URL>
    <b:Publisher>United Nations, Treaty Series</b:Publisher>
    <b:Author>
      <b:Author>
        <b:Corporate>UN General Assembly</b:Corporate>
      </b:Author>
    </b:Author>
    <b:Volume>1577</b:Volume>
    <b:Pages>Article 12</b:Pages>
    <b:RefOrder>4</b:RefOrder>
  </b:Source>
  <b:Source>
    <b:Tag>Fra18</b:Tag>
    <b:SourceType>Report</b:SourceType>
    <b:Guid>{D547E145-D4A1-4A64-8E4C-010922622BFC}</b:Guid>
    <b:Author>
      <b:Author>
        <b:Corporate>Frameworks Institute</b:Corporate>
      </b:Author>
    </b:Author>
    <b:Title>Talking about the Science of Parenting</b:Title>
    <b:Year>2018</b:Year>
    <b:YearAccessed>2019</b:YearAccessed>
    <b:MonthAccessed>December</b:MonthAccessed>
    <b:DayAccessed>16</b:DayAccessed>
    <b:URL>http://www.frameworksinstitute.org/assets/files/Australia/prc_message_memo_2018.pdf</b:URL>
    <b:RefOrder>7</b:RefOrder>
  </b:Source>
  <b:Source>
    <b:Tag>Sce11</b:Tag>
    <b:SourceType>Report</b:SourceType>
    <b:Guid>{AF75F1D9-D2D4-4FCA-B8AF-800DA438CDA4}</b:Guid>
    <b:Author>
      <b:Author>
        <b:NameList>
          <b:Person>
            <b:Last>Scerra</b:Last>
            <b:First>Natalie</b:First>
          </b:Person>
        </b:NameList>
      </b:Author>
    </b:Author>
    <b:Title>Strengths-Based Practice: The Evidence</b:Title>
    <b:Year>2011</b:Year>
    <b:Publisher>Uniting Care</b:Publisher>
    <b:City>Parramatta</b:City>
    <b:URL>https://bluepeteraustralia.files.wordpress.com/2012/12/strengths-based-perspective.pdf</b:URL>
    <b:RefOrder>8</b:RefOrder>
  </b:Source>
</b:Sources>
</file>

<file path=customXml/itemProps1.xml><?xml version="1.0" encoding="utf-8"?>
<ds:datastoreItem xmlns:ds="http://schemas.openxmlformats.org/officeDocument/2006/customXml" ds:itemID="{27BC2793-EBE4-4701-B4FA-F9BA5613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DA888A9A.dotm</Template>
  <TotalTime>344</TotalTime>
  <Pages>7</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Submission DR36 - Australian Research Alliance for Children and Youth (ARACY) - Expenditure on Children in the Northern Territory - Commissioned study</vt:lpstr>
    </vt:vector>
  </TitlesOfParts>
  <Company>Australian Research Alliance for Children and Youth (ARACY)</Company>
  <LinksUpToDate>false</LinksUpToDate>
  <CharactersWithSpaces>17049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DR36 - Australian Research Alliance for Children and Youth (ARACY) - Expenditure on Children in the Northern Territory - Commissioned study</dc:title>
  <dc:subject/>
  <dc:creator>Australian Research Alliance for Children and Youth (ARACY)</dc:creator>
  <cp:keywords/>
  <dc:description/>
  <cp:lastModifiedBy>Productivity Commission</cp:lastModifiedBy>
  <cp:revision>82</cp:revision>
  <dcterms:created xsi:type="dcterms:W3CDTF">2019-12-12T03:01:00Z</dcterms:created>
  <dcterms:modified xsi:type="dcterms:W3CDTF">2019-12-18T02:50:00Z</dcterms:modified>
</cp:coreProperties>
</file>