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B7B7B" w14:textId="6FDBFB07" w:rsidR="004A7FD1" w:rsidRDefault="00555309" w:rsidP="004A7FD1">
      <w:pPr>
        <w:pStyle w:val="Title"/>
      </w:pPr>
      <w:r>
        <w:t>Productivity Commission</w:t>
      </w:r>
      <w:r w:rsidR="002C3203">
        <w:br/>
      </w:r>
      <w:r w:rsidR="00D810DE">
        <w:t>Indigenous Evaluation Strategy</w:t>
      </w:r>
      <w:r w:rsidR="004A7FD1">
        <w:t xml:space="preserve"> Project</w:t>
      </w:r>
    </w:p>
    <w:p w14:paraId="37987C0E" w14:textId="653A227E" w:rsidR="00901D8A" w:rsidRPr="00901D8A" w:rsidRDefault="00901D8A" w:rsidP="00901D8A">
      <w:pPr>
        <w:jc w:val="center"/>
        <w:rPr>
          <w:b/>
        </w:rPr>
      </w:pPr>
      <w:r w:rsidRPr="00901D8A">
        <w:rPr>
          <w:b/>
        </w:rPr>
        <w:t>Oral Submission</w:t>
      </w:r>
    </w:p>
    <w:p w14:paraId="19D43624" w14:textId="4D94005D" w:rsidR="00FD3161" w:rsidRPr="00F774D0" w:rsidRDefault="00FD3161" w:rsidP="00FD3161">
      <w:r w:rsidRPr="00A66140">
        <w:rPr>
          <w:b/>
        </w:rPr>
        <w:t xml:space="preserve">Date of </w:t>
      </w:r>
      <w:r>
        <w:rPr>
          <w:b/>
        </w:rPr>
        <w:t xml:space="preserve">Oral </w:t>
      </w:r>
      <w:r w:rsidRPr="00A66140">
        <w:rPr>
          <w:b/>
        </w:rPr>
        <w:t>Submission</w:t>
      </w:r>
      <w:r w:rsidR="00815853">
        <w:t>: 22 October 2019</w:t>
      </w:r>
      <w:r>
        <w:br/>
      </w:r>
      <w:r w:rsidRPr="00A66140">
        <w:rPr>
          <w:b/>
        </w:rPr>
        <w:t>Submission provided by</w:t>
      </w:r>
      <w:r w:rsidR="00815853">
        <w:t>: Maggie Walter</w:t>
      </w:r>
    </w:p>
    <w:p w14:paraId="0EFC65BD" w14:textId="0AF47053" w:rsidR="00D810DE" w:rsidRPr="00FD3161" w:rsidRDefault="00D810DE" w:rsidP="00960733">
      <w:pPr>
        <w:pStyle w:val="Heading1"/>
        <w:jc w:val="both"/>
        <w:rPr>
          <w:b w:val="0"/>
          <w:sz w:val="18"/>
          <w:szCs w:val="18"/>
        </w:rPr>
      </w:pPr>
      <w:r w:rsidRPr="00FD3161">
        <w:rPr>
          <w:b w:val="0"/>
          <w:sz w:val="18"/>
          <w:szCs w:val="18"/>
        </w:rPr>
        <w:t>This is an oral submission to the Productivity Commission’s Indigenous Evaluation Strategy project. The</w:t>
      </w:r>
      <w:r w:rsidR="004A7FD1" w:rsidRPr="00FD3161">
        <w:rPr>
          <w:b w:val="0"/>
          <w:sz w:val="18"/>
          <w:szCs w:val="18"/>
        </w:rPr>
        <w:t xml:space="preserve"> information contained here was </w:t>
      </w:r>
      <w:r w:rsidRPr="00FD3161">
        <w:rPr>
          <w:b w:val="0"/>
          <w:sz w:val="18"/>
          <w:szCs w:val="18"/>
        </w:rPr>
        <w:t xml:space="preserve">provided </w:t>
      </w:r>
      <w:r w:rsidR="00963947" w:rsidRPr="00FD3161">
        <w:rPr>
          <w:b w:val="0"/>
          <w:sz w:val="18"/>
          <w:szCs w:val="18"/>
        </w:rPr>
        <w:t xml:space="preserve">by phone </w:t>
      </w:r>
      <w:r w:rsidR="004A7FD1" w:rsidRPr="00FD3161">
        <w:rPr>
          <w:b w:val="0"/>
          <w:sz w:val="18"/>
          <w:szCs w:val="18"/>
        </w:rPr>
        <w:t xml:space="preserve">by the individual for Commission </w:t>
      </w:r>
      <w:r w:rsidRPr="00FD3161">
        <w:rPr>
          <w:b w:val="0"/>
          <w:sz w:val="18"/>
          <w:szCs w:val="18"/>
        </w:rPr>
        <w:t>staff</w:t>
      </w:r>
      <w:r w:rsidR="00FD3161">
        <w:rPr>
          <w:b w:val="0"/>
          <w:sz w:val="18"/>
          <w:szCs w:val="18"/>
        </w:rPr>
        <w:t xml:space="preserve"> </w:t>
      </w:r>
      <w:r w:rsidR="003D4ED4">
        <w:rPr>
          <w:b w:val="0"/>
          <w:sz w:val="18"/>
          <w:szCs w:val="18"/>
        </w:rPr>
        <w:t xml:space="preserve">to </w:t>
      </w:r>
      <w:r w:rsidR="00FD3161">
        <w:rPr>
          <w:b w:val="0"/>
          <w:sz w:val="18"/>
          <w:szCs w:val="18"/>
        </w:rPr>
        <w:t xml:space="preserve">assist in </w:t>
      </w:r>
      <w:r w:rsidR="004A7FD1" w:rsidRPr="00FD3161">
        <w:rPr>
          <w:b w:val="0"/>
          <w:sz w:val="18"/>
          <w:szCs w:val="18"/>
        </w:rPr>
        <w:t>document</w:t>
      </w:r>
      <w:r w:rsidR="00FD3161">
        <w:rPr>
          <w:b w:val="0"/>
          <w:sz w:val="18"/>
          <w:szCs w:val="18"/>
        </w:rPr>
        <w:t>ing</w:t>
      </w:r>
      <w:r w:rsidR="004A7FD1" w:rsidRPr="00FD3161">
        <w:rPr>
          <w:b w:val="0"/>
          <w:sz w:val="18"/>
          <w:szCs w:val="18"/>
        </w:rPr>
        <w:t xml:space="preserve"> in written form</w:t>
      </w:r>
      <w:r w:rsidRPr="00FD3161">
        <w:rPr>
          <w:b w:val="0"/>
          <w:sz w:val="18"/>
          <w:szCs w:val="18"/>
        </w:rPr>
        <w:t xml:space="preserve">. </w:t>
      </w:r>
      <w:r w:rsidR="004A7FD1" w:rsidRPr="00FD3161">
        <w:rPr>
          <w:b w:val="0"/>
          <w:sz w:val="18"/>
          <w:szCs w:val="18"/>
        </w:rPr>
        <w:t xml:space="preserve">The </w:t>
      </w:r>
      <w:r w:rsidR="006C756E">
        <w:rPr>
          <w:b w:val="0"/>
          <w:sz w:val="18"/>
          <w:szCs w:val="18"/>
        </w:rPr>
        <w:t>participant</w:t>
      </w:r>
      <w:r w:rsidR="004A7FD1" w:rsidRPr="00FD3161">
        <w:rPr>
          <w:b w:val="0"/>
          <w:sz w:val="18"/>
          <w:szCs w:val="18"/>
        </w:rPr>
        <w:t xml:space="preserve"> has </w:t>
      </w:r>
      <w:r w:rsidRPr="00FD3161">
        <w:rPr>
          <w:b w:val="0"/>
          <w:sz w:val="18"/>
          <w:szCs w:val="18"/>
        </w:rPr>
        <w:t xml:space="preserve">agreed </w:t>
      </w:r>
      <w:r w:rsidR="004A7FD1" w:rsidRPr="00FD3161">
        <w:rPr>
          <w:b w:val="0"/>
          <w:sz w:val="18"/>
          <w:szCs w:val="18"/>
        </w:rPr>
        <w:t xml:space="preserve">that this is </w:t>
      </w:r>
      <w:r w:rsidR="003165BC">
        <w:rPr>
          <w:b w:val="0"/>
          <w:sz w:val="18"/>
          <w:szCs w:val="18"/>
        </w:rPr>
        <w:t>a</w:t>
      </w:r>
      <w:r w:rsidRPr="00FD3161">
        <w:rPr>
          <w:b w:val="0"/>
          <w:sz w:val="18"/>
          <w:szCs w:val="18"/>
        </w:rPr>
        <w:t xml:space="preserve"> correct reflection of their views and </w:t>
      </w:r>
      <w:r w:rsidR="004A7FD1" w:rsidRPr="00FD3161">
        <w:rPr>
          <w:b w:val="0"/>
          <w:sz w:val="18"/>
          <w:szCs w:val="18"/>
        </w:rPr>
        <w:t xml:space="preserve">has </w:t>
      </w:r>
      <w:r w:rsidRPr="00FD3161">
        <w:rPr>
          <w:b w:val="0"/>
          <w:sz w:val="18"/>
          <w:szCs w:val="18"/>
        </w:rPr>
        <w:t xml:space="preserve">approved </w:t>
      </w:r>
      <w:r w:rsidR="004A7FD1" w:rsidRPr="00FD3161">
        <w:rPr>
          <w:b w:val="0"/>
          <w:sz w:val="18"/>
          <w:szCs w:val="18"/>
        </w:rPr>
        <w:t xml:space="preserve">it </w:t>
      </w:r>
      <w:r w:rsidRPr="00FD3161">
        <w:rPr>
          <w:b w:val="0"/>
          <w:sz w:val="18"/>
          <w:szCs w:val="18"/>
        </w:rPr>
        <w:t>for publication</w:t>
      </w:r>
      <w:r w:rsidR="004A7FD1" w:rsidRPr="00FD3161">
        <w:rPr>
          <w:b w:val="0"/>
          <w:sz w:val="18"/>
          <w:szCs w:val="18"/>
        </w:rPr>
        <w:t xml:space="preserve"> on the Productivity Commission website</w:t>
      </w:r>
      <w:r w:rsidRPr="00FD3161">
        <w:rPr>
          <w:b w:val="0"/>
          <w:sz w:val="18"/>
          <w:szCs w:val="18"/>
        </w:rPr>
        <w:t>.</w:t>
      </w:r>
    </w:p>
    <w:p w14:paraId="0EFC65BF" w14:textId="4B8A7D82" w:rsidR="00D611E3" w:rsidRDefault="00815853" w:rsidP="001E1EFB">
      <w:pPr>
        <w:pStyle w:val="Heading1"/>
        <w:jc w:val="both"/>
      </w:pPr>
      <w:r>
        <w:t xml:space="preserve">Opening </w:t>
      </w:r>
      <w:r w:rsidR="007E6201">
        <w:t>remarks</w:t>
      </w:r>
    </w:p>
    <w:p w14:paraId="248AA37C" w14:textId="72378AFF" w:rsidR="00815853" w:rsidRDefault="007974E9" w:rsidP="001E1EFB">
      <w:pPr>
        <w:jc w:val="both"/>
      </w:pPr>
      <w:r>
        <w:t>I have</w:t>
      </w:r>
      <w:r w:rsidR="001E1EFB">
        <w:t xml:space="preserve"> </w:t>
      </w:r>
      <w:r>
        <w:t>been involved with areas of the public service</w:t>
      </w:r>
      <w:r w:rsidR="00E36AFC">
        <w:t xml:space="preserve"> for a number of years, </w:t>
      </w:r>
      <w:r>
        <w:t xml:space="preserve"> in both Indigenous policy and evaluation</w:t>
      </w:r>
      <w:r w:rsidR="001E6A1F">
        <w:t>, and</w:t>
      </w:r>
      <w:r w:rsidR="00E36AFC">
        <w:t xml:space="preserve"> a</w:t>
      </w:r>
      <w:r w:rsidR="00FF71BF">
        <w:t>m aware</w:t>
      </w:r>
      <w:r w:rsidR="00815853">
        <w:t xml:space="preserve"> of the sheer size of the </w:t>
      </w:r>
      <w:r w:rsidR="00FF71BF">
        <w:t>job</w:t>
      </w:r>
      <w:r w:rsidR="00815853">
        <w:t xml:space="preserve"> to get an evaluation culture </w:t>
      </w:r>
      <w:r w:rsidR="00352BC5">
        <w:t>happening across pub</w:t>
      </w:r>
      <w:r w:rsidR="00A07D83">
        <w:t>l</w:t>
      </w:r>
      <w:bookmarkStart w:id="0" w:name="_GoBack"/>
      <w:bookmarkEnd w:id="0"/>
      <w:r w:rsidR="00352BC5">
        <w:t>ic service agencies</w:t>
      </w:r>
      <w:r w:rsidR="00815853">
        <w:t>.</w:t>
      </w:r>
      <w:r w:rsidR="00FF71BF">
        <w:t xml:space="preserve"> Even within well-functioning, well-meaning agencies there </w:t>
      </w:r>
      <w:r w:rsidR="00815853">
        <w:t>is a different paradigm</w:t>
      </w:r>
      <w:r w:rsidR="00FF71BF">
        <w:t xml:space="preserve"> </w:t>
      </w:r>
      <w:r w:rsidR="00E516B0">
        <w:t xml:space="preserve">at </w:t>
      </w:r>
      <w:r w:rsidR="00FF71BF">
        <w:t>work, and changing that paradigm is</w:t>
      </w:r>
      <w:r w:rsidR="00815853">
        <w:t xml:space="preserve"> not for the </w:t>
      </w:r>
      <w:r w:rsidR="002227EA">
        <w:t>faint</w:t>
      </w:r>
      <w:r w:rsidR="00815853">
        <w:t xml:space="preserve"> hearted</w:t>
      </w:r>
      <w:r w:rsidR="00352BC5">
        <w:rPr>
          <w:rStyle w:val="e24kjd"/>
          <w:color w:val="222222"/>
          <w:sz w:val="21"/>
        </w:rPr>
        <w:t>.</w:t>
      </w:r>
      <w:r w:rsidR="00352BC5">
        <w:t xml:space="preserve"> </w:t>
      </w:r>
      <w:r w:rsidR="00E30DD7">
        <w:t>It</w:t>
      </w:r>
      <w:r w:rsidR="00075946">
        <w:t xml:space="preserve"> </w:t>
      </w:r>
      <w:r w:rsidR="00FF71BF">
        <w:t>is not achieve</w:t>
      </w:r>
      <w:r w:rsidR="006300A4">
        <w:t>d</w:t>
      </w:r>
      <w:r w:rsidR="00FF71BF">
        <w:t xml:space="preserve"> without </w:t>
      </w:r>
      <w:r w:rsidR="00815853">
        <w:t>shifting people’s mindsets.</w:t>
      </w:r>
    </w:p>
    <w:p w14:paraId="0CE37709" w14:textId="49AFAA91" w:rsidR="00815853" w:rsidRDefault="00FF71BF" w:rsidP="001E1EFB">
      <w:pPr>
        <w:jc w:val="both"/>
      </w:pPr>
      <w:r>
        <w:t>In Indigenous policy, especially in Australia</w:t>
      </w:r>
      <w:r w:rsidR="00075946">
        <w:t>,</w:t>
      </w:r>
      <w:r>
        <w:t xml:space="preserve"> we have what </w:t>
      </w:r>
      <w:proofErr w:type="spellStart"/>
      <w:r w:rsidR="00815853">
        <w:t>Hir</w:t>
      </w:r>
      <w:r w:rsidR="00E36AFC">
        <w:t>c</w:t>
      </w:r>
      <w:r w:rsidR="00815853">
        <w:t>shman</w:t>
      </w:r>
      <w:proofErr w:type="spellEnd"/>
      <w:r w:rsidR="00815853">
        <w:t xml:space="preserve"> </w:t>
      </w:r>
      <w:r>
        <w:t xml:space="preserve">called a </w:t>
      </w:r>
      <w:r w:rsidR="00075946">
        <w:t>“</w:t>
      </w:r>
      <w:r w:rsidR="00815853">
        <w:t xml:space="preserve">complex of </w:t>
      </w:r>
      <w:r>
        <w:t>failure</w:t>
      </w:r>
      <w:r w:rsidR="00075946">
        <w:t>”</w:t>
      </w:r>
      <w:r w:rsidR="00352BC5">
        <w:t xml:space="preserve"> </w:t>
      </w:r>
      <w:r>
        <w:t xml:space="preserve">or </w:t>
      </w:r>
      <w:r w:rsidR="00E36AFC">
        <w:t>“</w:t>
      </w:r>
      <w:proofErr w:type="spellStart"/>
      <w:r w:rsidRPr="00FF71BF">
        <w:t>fracasomania</w:t>
      </w:r>
      <w:proofErr w:type="spellEnd"/>
      <w:r w:rsidR="00E36AFC">
        <w:t>”</w:t>
      </w:r>
      <w:r w:rsidR="00F53624" w:rsidRPr="00070EE1">
        <w:rPr>
          <w:rStyle w:val="FootnoteReference"/>
        </w:rPr>
        <w:footnoteReference w:id="2"/>
      </w:r>
      <w:r w:rsidR="00352BC5">
        <w:t xml:space="preserve">. It is </w:t>
      </w:r>
      <w:r>
        <w:t xml:space="preserve">a comfortable adjustment to policy </w:t>
      </w:r>
      <w:r w:rsidR="00A15CCC">
        <w:t>f</w:t>
      </w:r>
      <w:r w:rsidR="004159C6">
        <w:t>ailure</w:t>
      </w:r>
      <w:r w:rsidR="00A15CCC">
        <w:t xml:space="preserve"> </w:t>
      </w:r>
      <w:r w:rsidR="004159C6">
        <w:t>in which</w:t>
      </w:r>
      <w:r w:rsidR="00A15CCC">
        <w:t xml:space="preserve"> </w:t>
      </w:r>
      <w:r w:rsidR="004159C6">
        <w:t>there exists a desire for</w:t>
      </w:r>
      <w:r w:rsidR="00815853">
        <w:t xml:space="preserve"> policies</w:t>
      </w:r>
      <w:r w:rsidR="00352BC5">
        <w:t xml:space="preserve"> to</w:t>
      </w:r>
      <w:r w:rsidR="00815853">
        <w:t xml:space="preserve"> succeed</w:t>
      </w:r>
      <w:r w:rsidR="00352BC5">
        <w:t>,</w:t>
      </w:r>
      <w:r w:rsidR="00755BA7">
        <w:t xml:space="preserve"> but history has bred a mindset where failure is accepted and expected.</w:t>
      </w:r>
      <w:r w:rsidR="001E6A1F">
        <w:t xml:space="preserve"> </w:t>
      </w:r>
      <w:r w:rsidR="00815853">
        <w:t>Evaluation is a</w:t>
      </w:r>
      <w:r w:rsidR="00E65187">
        <w:t>n important</w:t>
      </w:r>
      <w:r w:rsidR="00352BC5">
        <w:t xml:space="preserve"> tool to shift that mindset. G</w:t>
      </w:r>
      <w:r w:rsidR="00E65187">
        <w:t>etting public servants</w:t>
      </w:r>
      <w:r w:rsidR="00352BC5">
        <w:t>,</w:t>
      </w:r>
      <w:r w:rsidR="00E65187">
        <w:t xml:space="preserve"> from the outset</w:t>
      </w:r>
      <w:r w:rsidR="00352BC5">
        <w:t>,</w:t>
      </w:r>
      <w:r w:rsidR="00E65187">
        <w:t xml:space="preserve"> to sig</w:t>
      </w:r>
      <w:r w:rsidR="00352BC5">
        <w:t>n on to that evaluative mindset –</w:t>
      </w:r>
      <w:r w:rsidR="00E65187">
        <w:t xml:space="preserve"> to </w:t>
      </w:r>
      <w:r w:rsidR="00815853">
        <w:t xml:space="preserve">think about evaluation before </w:t>
      </w:r>
      <w:r w:rsidR="00E65187">
        <w:t xml:space="preserve">you start thinking about </w:t>
      </w:r>
      <w:r w:rsidR="00815853">
        <w:t>policy</w:t>
      </w:r>
      <w:r w:rsidR="00E65187">
        <w:t xml:space="preserve"> formulation</w:t>
      </w:r>
      <w:r w:rsidR="00352BC5">
        <w:t xml:space="preserve"> –</w:t>
      </w:r>
      <w:r w:rsidR="00E65187">
        <w:t xml:space="preserve"> requires a lot of work.</w:t>
      </w:r>
    </w:p>
    <w:p w14:paraId="1B445AE0" w14:textId="63C53AB5" w:rsidR="006300A4" w:rsidRPr="006300A4" w:rsidRDefault="006300A4" w:rsidP="001E1EFB">
      <w:pPr>
        <w:jc w:val="both"/>
        <w:rPr>
          <w:b/>
        </w:rPr>
      </w:pPr>
      <w:r w:rsidRPr="006300A4">
        <w:rPr>
          <w:b/>
        </w:rPr>
        <w:t>Evaluation culture requires incentives</w:t>
      </w:r>
    </w:p>
    <w:p w14:paraId="5895BDF1" w14:textId="07E0A88C" w:rsidR="00815853" w:rsidRDefault="00E65187" w:rsidP="001E1EFB">
      <w:pPr>
        <w:jc w:val="both"/>
      </w:pPr>
      <w:r>
        <w:t>Behavioural change only comes when people have skin in the game</w:t>
      </w:r>
      <w:r w:rsidR="00371722">
        <w:t xml:space="preserve"> through</w:t>
      </w:r>
      <w:r>
        <w:t xml:space="preserve"> some measure of accountability or responsibility</w:t>
      </w:r>
      <w:r w:rsidR="0026253A">
        <w:t xml:space="preserve"> for the outcomes of their actions</w:t>
      </w:r>
      <w:r>
        <w:t>.</w:t>
      </w:r>
      <w:r w:rsidR="00587791">
        <w:t xml:space="preserve"> There is no shortage of g</w:t>
      </w:r>
      <w:r>
        <w:t xml:space="preserve">oodwill in departments </w:t>
      </w:r>
      <w:r w:rsidR="00815853">
        <w:t xml:space="preserve">but </w:t>
      </w:r>
      <w:r w:rsidR="00EF78C8">
        <w:t>that</w:t>
      </w:r>
      <w:r w:rsidR="00075946">
        <w:t xml:space="preserve"> </w:t>
      </w:r>
      <w:r w:rsidR="00E36AFC">
        <w:t>i</w:t>
      </w:r>
      <w:r w:rsidR="00815853">
        <w:t xml:space="preserve">s not enough. </w:t>
      </w:r>
      <w:r w:rsidR="005C74B7">
        <w:t>The public service needs</w:t>
      </w:r>
      <w:r w:rsidR="00815853">
        <w:t xml:space="preserve"> </w:t>
      </w:r>
      <w:r w:rsidR="00140F8D">
        <w:t xml:space="preserve">a reason to move beyond what </w:t>
      </w:r>
      <w:r w:rsidR="005C74B7">
        <w:t>it</w:t>
      </w:r>
      <w:r w:rsidR="00E36AFC">
        <w:t xml:space="preserve"> i</w:t>
      </w:r>
      <w:r w:rsidR="005C74B7">
        <w:t>s</w:t>
      </w:r>
      <w:r w:rsidR="00140F8D">
        <w:t xml:space="preserve"> doing </w:t>
      </w:r>
      <w:r w:rsidR="00815853">
        <w:t>now</w:t>
      </w:r>
      <w:r w:rsidR="00140F8D">
        <w:t xml:space="preserve">, to consider and include evaluation in a more comprehensive sense, which will only come with </w:t>
      </w:r>
      <w:r w:rsidR="00075946">
        <w:t xml:space="preserve">greater </w:t>
      </w:r>
      <w:proofErr w:type="spellStart"/>
      <w:r w:rsidR="007B2F03">
        <w:t>incentivisation</w:t>
      </w:r>
      <w:proofErr w:type="spellEnd"/>
      <w:r w:rsidR="00140F8D">
        <w:t>.</w:t>
      </w:r>
    </w:p>
    <w:p w14:paraId="4FC8930C" w14:textId="0EB1D8EF" w:rsidR="00F26FC7" w:rsidRDefault="00A44989" w:rsidP="001E1EFB">
      <w:pPr>
        <w:jc w:val="both"/>
      </w:pPr>
      <w:r>
        <w:t>Ongoing funding</w:t>
      </w:r>
      <w:r w:rsidR="00F26FC7">
        <w:t>,</w:t>
      </w:r>
      <w:r w:rsidR="004159C6">
        <w:t xml:space="preserve"> contingent on showing value through evaluation</w:t>
      </w:r>
      <w:r w:rsidR="00F26FC7">
        <w:t xml:space="preserve">, </w:t>
      </w:r>
      <w:r w:rsidR="004159C6">
        <w:t xml:space="preserve">will make agencies and departments take </w:t>
      </w:r>
      <w:r w:rsidR="00F26FC7">
        <w:t xml:space="preserve">the Indigenous Evaluation Strategy </w:t>
      </w:r>
      <w:r w:rsidR="004159C6">
        <w:t xml:space="preserve">seriously. </w:t>
      </w:r>
      <w:r w:rsidR="001827ED">
        <w:t>Under the Strategy</w:t>
      </w:r>
      <w:r w:rsidR="00F26FC7">
        <w:t>, it may not be possible for the Productivity Commission to</w:t>
      </w:r>
      <w:r w:rsidR="004159C6">
        <w:t xml:space="preserve"> compel agencies to toe the line</w:t>
      </w:r>
      <w:r w:rsidR="00F26FC7">
        <w:t>,</w:t>
      </w:r>
      <w:r w:rsidR="004159C6">
        <w:t xml:space="preserve"> but a lot can be said for the </w:t>
      </w:r>
      <w:r w:rsidR="00F26FC7">
        <w:t>“</w:t>
      </w:r>
      <w:r w:rsidR="004159C6">
        <w:t>politics of embarrassment</w:t>
      </w:r>
      <w:r w:rsidR="00F26FC7">
        <w:t>” – that is – naming and shaming agencies. However, if</w:t>
      </w:r>
      <w:r w:rsidR="004159C6">
        <w:t xml:space="preserve"> </w:t>
      </w:r>
      <w:r w:rsidR="00F26FC7">
        <w:t>the Commission</w:t>
      </w:r>
      <w:r w:rsidR="004159C6">
        <w:t xml:space="preserve"> </w:t>
      </w:r>
      <w:r w:rsidR="00F26FC7">
        <w:t xml:space="preserve">gave options to government on whether it should </w:t>
      </w:r>
      <w:r w:rsidR="004159C6">
        <w:t xml:space="preserve">name and shame, or </w:t>
      </w:r>
      <w:r w:rsidR="00F26FC7">
        <w:t xml:space="preserve">be given </w:t>
      </w:r>
      <w:r w:rsidR="009A2CA4">
        <w:t>more</w:t>
      </w:r>
      <w:r w:rsidR="004159C6">
        <w:t xml:space="preserve"> power to compel agencies to deliver evaluation, I believe the government </w:t>
      </w:r>
      <w:r w:rsidR="00F26FC7">
        <w:t>would</w:t>
      </w:r>
      <w:r w:rsidR="004159C6">
        <w:t xml:space="preserve"> </w:t>
      </w:r>
      <w:r w:rsidR="00E30DD7">
        <w:t>choose the latter</w:t>
      </w:r>
      <w:r w:rsidR="004159C6">
        <w:t xml:space="preserve">. </w:t>
      </w:r>
    </w:p>
    <w:p w14:paraId="0474E48A" w14:textId="674DAE01" w:rsidR="00857DAF" w:rsidRPr="00857DAF" w:rsidRDefault="004159C6" w:rsidP="001E1EFB">
      <w:pPr>
        <w:jc w:val="both"/>
      </w:pPr>
      <w:r>
        <w:t xml:space="preserve">The </w:t>
      </w:r>
      <w:r w:rsidR="00F3706C">
        <w:t>Australian National Audit Office (</w:t>
      </w:r>
      <w:r>
        <w:t>ANAO</w:t>
      </w:r>
      <w:r w:rsidR="00F3706C">
        <w:t>)</w:t>
      </w:r>
      <w:r>
        <w:t xml:space="preserve"> report for </w:t>
      </w:r>
      <w:r w:rsidR="000935D4">
        <w:t xml:space="preserve">the </w:t>
      </w:r>
      <w:r>
        <w:t xml:space="preserve">Indigenous Advancement Strategy (IAS) </w:t>
      </w:r>
      <w:r w:rsidRPr="00E151E2">
        <w:rPr>
          <w:i/>
        </w:rPr>
        <w:t>did</w:t>
      </w:r>
      <w:r>
        <w:t xml:space="preserve"> cut through with government</w:t>
      </w:r>
      <w:r w:rsidR="00B41FD2" w:rsidRPr="00070EE1">
        <w:rPr>
          <w:rStyle w:val="FootnoteReference"/>
        </w:rPr>
        <w:footnoteReference w:id="3"/>
      </w:r>
      <w:r>
        <w:t xml:space="preserve">. </w:t>
      </w:r>
      <w:r w:rsidR="00E151E2">
        <w:t>No agency</w:t>
      </w:r>
      <w:r>
        <w:t xml:space="preserve"> wants a report written about them that says they</w:t>
      </w:r>
      <w:r w:rsidR="00F26FC7">
        <w:t xml:space="preserve"> a</w:t>
      </w:r>
      <w:r>
        <w:t xml:space="preserve">re not doing a good job. </w:t>
      </w:r>
      <w:r w:rsidR="00F26FC7">
        <w:t xml:space="preserve"> The Commission should</w:t>
      </w:r>
      <w:r>
        <w:t xml:space="preserve"> </w:t>
      </w:r>
      <w:r w:rsidR="00C318CB">
        <w:t xml:space="preserve">determine the </w:t>
      </w:r>
      <w:r w:rsidR="001827ED">
        <w:t>Indigenous Evaluation Strategy</w:t>
      </w:r>
      <w:r>
        <w:t xml:space="preserve"> principles, work them into </w:t>
      </w:r>
      <w:r w:rsidR="00E151E2">
        <w:t xml:space="preserve">an </w:t>
      </w:r>
      <w:r>
        <w:t xml:space="preserve">evaluation </w:t>
      </w:r>
      <w:r w:rsidR="00E151E2">
        <w:t>strategy, and review agencies’ conduct</w:t>
      </w:r>
      <w:r>
        <w:t xml:space="preserve"> against the strategy.</w:t>
      </w:r>
    </w:p>
    <w:p w14:paraId="09B7824A" w14:textId="77777777" w:rsidR="00C318CB" w:rsidRDefault="00C318CB" w:rsidP="001E1EFB">
      <w:pPr>
        <w:jc w:val="both"/>
        <w:rPr>
          <w:b/>
        </w:rPr>
      </w:pPr>
    </w:p>
    <w:p w14:paraId="31B7C57C" w14:textId="600DFD3D" w:rsidR="00F26FC7" w:rsidRPr="00C318CB" w:rsidRDefault="00857DAF" w:rsidP="001E1EFB">
      <w:pPr>
        <w:jc w:val="both"/>
        <w:rPr>
          <w:b/>
        </w:rPr>
      </w:pPr>
      <w:r>
        <w:rPr>
          <w:b/>
        </w:rPr>
        <w:t>Indigenous</w:t>
      </w:r>
      <w:r w:rsidR="00151A30" w:rsidRPr="00151A30">
        <w:rPr>
          <w:b/>
        </w:rPr>
        <w:t xml:space="preserve"> </w:t>
      </w:r>
      <w:r w:rsidR="00371722">
        <w:rPr>
          <w:b/>
        </w:rPr>
        <w:t>leadership</w:t>
      </w:r>
      <w:r>
        <w:rPr>
          <w:b/>
        </w:rPr>
        <w:t xml:space="preserve">, evaluation </w:t>
      </w:r>
      <w:r w:rsidR="00151A30" w:rsidRPr="00151A30">
        <w:rPr>
          <w:b/>
        </w:rPr>
        <w:t>capacity</w:t>
      </w:r>
      <w:r>
        <w:rPr>
          <w:b/>
        </w:rPr>
        <w:t>, and voice</w:t>
      </w:r>
      <w:r w:rsidR="00151A30" w:rsidRPr="00151A30">
        <w:rPr>
          <w:b/>
        </w:rPr>
        <w:t xml:space="preserve"> </w:t>
      </w:r>
    </w:p>
    <w:p w14:paraId="481B9448" w14:textId="21E14ACB" w:rsidR="00815853" w:rsidRDefault="00F26FC7" w:rsidP="001E1EFB">
      <w:pPr>
        <w:jc w:val="both"/>
      </w:pPr>
      <w:r>
        <w:t xml:space="preserve">In many agencies there is a </w:t>
      </w:r>
      <w:r w:rsidRPr="002E540F">
        <w:t xml:space="preserve">complete misunderstanding of what Indigenous leadership involves and what Indigenous voice means. </w:t>
      </w:r>
      <w:r w:rsidR="00B41FD2" w:rsidRPr="002E540F">
        <w:t>M</w:t>
      </w:r>
      <w:r w:rsidRPr="002E540F">
        <w:t xml:space="preserve">ost </w:t>
      </w:r>
      <w:r w:rsidR="00E516B0" w:rsidRPr="002E540F">
        <w:t xml:space="preserve">non-Indigenous </w:t>
      </w:r>
      <w:r w:rsidRPr="002E540F">
        <w:t xml:space="preserve">public servants do not have </w:t>
      </w:r>
      <w:r w:rsidR="00C07A82" w:rsidRPr="002E540F">
        <w:t xml:space="preserve">the ability to </w:t>
      </w:r>
      <w:r w:rsidR="00B41FD2" w:rsidRPr="002E540F">
        <w:t xml:space="preserve">understand these concepts and </w:t>
      </w:r>
      <w:r w:rsidRPr="002E540F">
        <w:t>for these messages to land</w:t>
      </w:r>
      <w:r w:rsidR="00E516B0" w:rsidRPr="002E540F">
        <w:t>, regardless of good intentions</w:t>
      </w:r>
      <w:r w:rsidRPr="002E540F">
        <w:t>.</w:t>
      </w:r>
      <w:r w:rsidR="00B41FD2" w:rsidRPr="002E540F">
        <w:t xml:space="preserve"> </w:t>
      </w:r>
      <w:r w:rsidR="00C07A82" w:rsidRPr="002E540F">
        <w:t>Aboriginal and Torres Strait Islander people can say things and those listening cannot actually ‘hear’ what is being said.</w:t>
      </w:r>
      <w:r w:rsidR="00C07A82" w:rsidRPr="00C07A82">
        <w:t xml:space="preserve"> </w:t>
      </w:r>
      <w:r w:rsidR="00B41FD2">
        <w:t xml:space="preserve">One </w:t>
      </w:r>
      <w:r w:rsidR="00962376">
        <w:t xml:space="preserve">ongoing problem </w:t>
      </w:r>
      <w:r w:rsidR="00B41FD2">
        <w:t>in</w:t>
      </w:r>
      <w:r w:rsidR="00962376">
        <w:t xml:space="preserve"> the</w:t>
      </w:r>
      <w:r w:rsidR="00815853">
        <w:t xml:space="preserve"> public service is </w:t>
      </w:r>
      <w:r w:rsidR="00962376">
        <w:t>poor</w:t>
      </w:r>
      <w:r w:rsidR="00815853">
        <w:t xml:space="preserve"> retention of </w:t>
      </w:r>
      <w:r w:rsidR="00151A30">
        <w:t>Aboriginal</w:t>
      </w:r>
      <w:r w:rsidR="00815853">
        <w:t xml:space="preserve"> and Torres Strait Islander staff. </w:t>
      </w:r>
      <w:r w:rsidR="00962376">
        <w:t>There</w:t>
      </w:r>
      <w:r w:rsidR="00815853">
        <w:t xml:space="preserve"> is no cohort of senior Indigenous public </w:t>
      </w:r>
      <w:r w:rsidR="0000772E">
        <w:t>servants to help</w:t>
      </w:r>
      <w:r w:rsidR="00815853">
        <w:t xml:space="preserve"> change the prevailing mindset. The lack of this cohort is </w:t>
      </w:r>
      <w:r w:rsidR="0000772E">
        <w:t xml:space="preserve">something that </w:t>
      </w:r>
      <w:r w:rsidR="00962376">
        <w:t>must be addressed</w:t>
      </w:r>
      <w:r w:rsidR="0000772E">
        <w:t>.</w:t>
      </w:r>
    </w:p>
    <w:p w14:paraId="4F2D53CC" w14:textId="57D4E68E" w:rsidR="00B41FD2" w:rsidRDefault="00B41FD2" w:rsidP="00B41FD2">
      <w:pPr>
        <w:jc w:val="both"/>
      </w:pPr>
      <w:r>
        <w:t>Currently, evaluations only superficially reflect Aboriginal and Torres Strait Isla</w:t>
      </w:r>
      <w:r w:rsidR="00C318CB">
        <w:t xml:space="preserve">nder people’s </w:t>
      </w:r>
      <w:r>
        <w:t xml:space="preserve">perspectives because input is only sought at the participant level. By that time, important decisions have already been made about the evaluation process </w:t>
      </w:r>
      <w:r w:rsidRPr="00857DAF">
        <w:t>—</w:t>
      </w:r>
      <w:r>
        <w:t xml:space="preserve"> what to evaluate, how to evaluate, the evaluation logic, key outcomes and objectives. Indigenous voice is denied and the current policy mindset is perpetuated. We need Indigenous voice up-front and helping to make decisions from the outset. </w:t>
      </w:r>
    </w:p>
    <w:p w14:paraId="087B3A63" w14:textId="7A7B9C56" w:rsidR="00526ACD" w:rsidRPr="00526ACD" w:rsidRDefault="00526ACD" w:rsidP="00DB1F4C">
      <w:pPr>
        <w:jc w:val="both"/>
        <w:rPr>
          <w:b/>
        </w:rPr>
      </w:pPr>
      <w:r w:rsidRPr="00526ACD">
        <w:rPr>
          <w:b/>
        </w:rPr>
        <w:t>Aboriginal and Torres Strait Islander evaluators in the public service</w:t>
      </w:r>
    </w:p>
    <w:p w14:paraId="04587BDB" w14:textId="36DE692F" w:rsidR="00DB1F4C" w:rsidRDefault="00B41FD2" w:rsidP="00DB1F4C">
      <w:pPr>
        <w:jc w:val="both"/>
      </w:pPr>
      <w:r>
        <w:t>One</w:t>
      </w:r>
      <w:r w:rsidR="0000772E">
        <w:t xml:space="preserve"> suggestion</w:t>
      </w:r>
      <w:r>
        <w:t xml:space="preserve"> </w:t>
      </w:r>
      <w:r w:rsidR="00815853">
        <w:t xml:space="preserve">would be to recruit and rapidly develop Indigenous evaluation experts who understand evaluation as a </w:t>
      </w:r>
      <w:r w:rsidR="0000772E">
        <w:t>central</w:t>
      </w:r>
      <w:r w:rsidR="00815853">
        <w:t xml:space="preserve"> pillar of policy</w:t>
      </w:r>
      <w:r w:rsidR="0000772E">
        <w:t xml:space="preserve"> as well as a research method. </w:t>
      </w:r>
      <w:r w:rsidR="00962376">
        <w:t>Without this,</w:t>
      </w:r>
      <w:r w:rsidR="0000772E">
        <w:t xml:space="preserve"> </w:t>
      </w:r>
      <w:r w:rsidR="00962376">
        <w:t>the result is</w:t>
      </w:r>
      <w:r w:rsidR="0000772E">
        <w:t xml:space="preserve"> </w:t>
      </w:r>
      <w:r w:rsidR="001A676D">
        <w:t>“</w:t>
      </w:r>
      <w:r w:rsidR="0000772E">
        <w:t>evaluation-</w:t>
      </w:r>
      <w:proofErr w:type="spellStart"/>
      <w:r w:rsidR="00815853">
        <w:t>lite</w:t>
      </w:r>
      <w:proofErr w:type="spellEnd"/>
      <w:r w:rsidR="001A676D">
        <w:t>”</w:t>
      </w:r>
      <w:r w:rsidR="00815853">
        <w:t xml:space="preserve"> </w:t>
      </w:r>
      <w:r w:rsidR="00857DAF" w:rsidRPr="00857DAF">
        <w:t>—</w:t>
      </w:r>
      <w:r w:rsidR="00815853">
        <w:t xml:space="preserve"> </w:t>
      </w:r>
      <w:r w:rsidR="00F73C38">
        <w:t xml:space="preserve">poor </w:t>
      </w:r>
      <w:r w:rsidR="00815853">
        <w:t>practice that</w:t>
      </w:r>
      <w:r w:rsidR="00F73C38">
        <w:t xml:space="preserve"> </w:t>
      </w:r>
      <w:r w:rsidR="00815853" w:rsidRPr="00EF4F3F">
        <w:rPr>
          <w:i/>
        </w:rPr>
        <w:t>looks</w:t>
      </w:r>
      <w:r w:rsidR="00815853">
        <w:t xml:space="preserve"> like evaluation</w:t>
      </w:r>
      <w:r w:rsidR="00526ACD">
        <w:t xml:space="preserve"> for </w:t>
      </w:r>
      <w:r w:rsidR="00DC30AA">
        <w:t>Aboriginal and Torres Strait Islander</w:t>
      </w:r>
      <w:r w:rsidR="00526ACD">
        <w:t xml:space="preserve"> people</w:t>
      </w:r>
      <w:r w:rsidR="00815853">
        <w:t>.</w:t>
      </w:r>
      <w:r w:rsidR="0000772E">
        <w:t xml:space="preserve"> </w:t>
      </w:r>
      <w:r w:rsidR="00962376">
        <w:t>There needs to be</w:t>
      </w:r>
      <w:r w:rsidR="0000772E">
        <w:t xml:space="preserve"> a</w:t>
      </w:r>
      <w:r w:rsidR="00815853">
        <w:t xml:space="preserve"> good number of people </w:t>
      </w:r>
      <w:r w:rsidR="00857DAF">
        <w:t>with expertise</w:t>
      </w:r>
      <w:r w:rsidR="0000772E">
        <w:t xml:space="preserve"> that can </w:t>
      </w:r>
      <w:r w:rsidR="00962376">
        <w:t xml:space="preserve">be </w:t>
      </w:r>
      <w:r w:rsidR="0000772E">
        <w:t>deploy</w:t>
      </w:r>
      <w:r w:rsidR="00962376">
        <w:t>ed</w:t>
      </w:r>
      <w:r w:rsidR="0000772E">
        <w:t xml:space="preserve"> across the public service to try and drive change</w:t>
      </w:r>
      <w:r w:rsidR="00815853">
        <w:t>.</w:t>
      </w:r>
      <w:r w:rsidR="00DB1F4C">
        <w:t xml:space="preserve"> </w:t>
      </w:r>
      <w:r>
        <w:t>A cohort of 25 Aboriginal and Torres Strait Isl</w:t>
      </w:r>
      <w:r w:rsidR="00DB1F4C">
        <w:t>ander</w:t>
      </w:r>
      <w:r w:rsidR="00DC30AA">
        <w:t xml:space="preserve"> evaluation</w:t>
      </w:r>
      <w:r w:rsidR="00DB1F4C">
        <w:t xml:space="preserve"> staff might be sufficient.</w:t>
      </w:r>
    </w:p>
    <w:p w14:paraId="27BAC272" w14:textId="19DDADA5" w:rsidR="00DB1F4C" w:rsidRDefault="00DB1F4C" w:rsidP="00DB1F4C">
      <w:pPr>
        <w:jc w:val="both"/>
      </w:pPr>
      <w:r>
        <w:t>One possibility could be for Aboriginal and Torres Strait Islander evaluators to be a resource attached to the N</w:t>
      </w:r>
      <w:r w:rsidR="00526ACD">
        <w:t xml:space="preserve">ational </w:t>
      </w:r>
      <w:r>
        <w:t>I</w:t>
      </w:r>
      <w:r w:rsidR="00526ACD">
        <w:t xml:space="preserve">ndigenous </w:t>
      </w:r>
      <w:r>
        <w:t>A</w:t>
      </w:r>
      <w:r w:rsidR="00526ACD">
        <w:t xml:space="preserve">ustralians </w:t>
      </w:r>
      <w:r>
        <w:t>A</w:t>
      </w:r>
      <w:r w:rsidR="00526ACD">
        <w:t>gency (NIAA)</w:t>
      </w:r>
      <w:r w:rsidR="00DC30AA">
        <w:t xml:space="preserve">, </w:t>
      </w:r>
      <w:r w:rsidR="001E79A3">
        <w:t xml:space="preserve">who </w:t>
      </w:r>
      <w:r w:rsidR="00DC30AA">
        <w:t xml:space="preserve">are </w:t>
      </w:r>
      <w:r w:rsidR="00526ACD">
        <w:t>deployed to each department. However,</w:t>
      </w:r>
      <w:r w:rsidR="00DC30AA">
        <w:t xml:space="preserve"> there is a risk that</w:t>
      </w:r>
      <w:r w:rsidR="00526ACD">
        <w:t xml:space="preserve"> capacity</w:t>
      </w:r>
      <w:r w:rsidR="00DC30AA">
        <w:t xml:space="preserve"> would be spread</w:t>
      </w:r>
      <w:r>
        <w:t xml:space="preserve"> too thin</w:t>
      </w:r>
      <w:r w:rsidR="00DC30AA">
        <w:t>ly</w:t>
      </w:r>
      <w:r>
        <w:t xml:space="preserve"> and </w:t>
      </w:r>
      <w:r w:rsidR="00526ACD">
        <w:t xml:space="preserve">that </w:t>
      </w:r>
      <w:r w:rsidR="00DC30AA">
        <w:t>the</w:t>
      </w:r>
      <w:r w:rsidR="00F05F17">
        <w:t>se</w:t>
      </w:r>
      <w:r w:rsidR="00DC30AA">
        <w:t xml:space="preserve"> evaluators would</w:t>
      </w:r>
      <w:r>
        <w:t xml:space="preserve"> quickly get </w:t>
      </w:r>
      <w:r w:rsidR="003F3F5E">
        <w:t>“</w:t>
      </w:r>
      <w:r>
        <w:t>monstered</w:t>
      </w:r>
      <w:r w:rsidR="003F3F5E">
        <w:t>”</w:t>
      </w:r>
      <w:r w:rsidR="003F3F5E" w:rsidRPr="003F3F5E">
        <w:t xml:space="preserve"> — </w:t>
      </w:r>
      <w:r w:rsidR="003F3F5E">
        <w:t xml:space="preserve">they </w:t>
      </w:r>
      <w:r w:rsidR="00DC30AA">
        <w:t>would</w:t>
      </w:r>
      <w:r>
        <w:t xml:space="preserve"> b</w:t>
      </w:r>
      <w:r w:rsidR="003F3F5E">
        <w:t xml:space="preserve">e just one voice at the table. </w:t>
      </w:r>
      <w:r w:rsidR="00DC30AA">
        <w:t>A bet</w:t>
      </w:r>
      <w:r w:rsidR="00F05F17">
        <w:t>ter option may be to establish i</w:t>
      </w:r>
      <w:r w:rsidR="00DC30AA">
        <w:t xml:space="preserve">ndividual evaluation </w:t>
      </w:r>
      <w:r>
        <w:t xml:space="preserve">groups in </w:t>
      </w:r>
      <w:r w:rsidR="003F3F5E">
        <w:t>large</w:t>
      </w:r>
      <w:r w:rsidR="00DC30AA">
        <w:t xml:space="preserve"> departments, </w:t>
      </w:r>
      <w:r w:rsidR="003F3F5E">
        <w:t>such as</w:t>
      </w:r>
      <w:r w:rsidR="00832A89">
        <w:t xml:space="preserve"> the Department of</w:t>
      </w:r>
      <w:r w:rsidR="003F3F5E">
        <w:t xml:space="preserve"> Health</w:t>
      </w:r>
      <w:r w:rsidR="00DC30AA">
        <w:t xml:space="preserve"> and the NIAA</w:t>
      </w:r>
      <w:r>
        <w:t xml:space="preserve">. It all depends </w:t>
      </w:r>
      <w:r w:rsidR="003F3F5E">
        <w:t xml:space="preserve">on </w:t>
      </w:r>
      <w:r>
        <w:t xml:space="preserve">where </w:t>
      </w:r>
      <w:r w:rsidR="003F3F5E">
        <w:t>the Commission decides to</w:t>
      </w:r>
      <w:r>
        <w:t xml:space="preserve"> concentrate the evaluations. </w:t>
      </w:r>
      <w:r w:rsidR="00DC30AA">
        <w:t>The</w:t>
      </w:r>
      <w:r>
        <w:t xml:space="preserve"> NIAA has limited funding streams</w:t>
      </w:r>
      <w:r w:rsidR="003F3F5E">
        <w:t xml:space="preserve"> for policy and program delivery, and it i</w:t>
      </w:r>
      <w:r>
        <w:t>s hard to know</w:t>
      </w:r>
      <w:r w:rsidR="003F3F5E">
        <w:t xml:space="preserve"> at a whole-of-government level</w:t>
      </w:r>
      <w:r>
        <w:t xml:space="preserve"> what programs and evaluations </w:t>
      </w:r>
      <w:r w:rsidR="00DC30AA">
        <w:t>should</w:t>
      </w:r>
      <w:r>
        <w:t xml:space="preserve"> proceed. </w:t>
      </w:r>
      <w:r w:rsidR="003F3F5E">
        <w:t>O</w:t>
      </w:r>
      <w:r>
        <w:t xml:space="preserve">ver the whole public service, determining </w:t>
      </w:r>
      <w:r w:rsidR="003F3F5E">
        <w:t>evaluation</w:t>
      </w:r>
      <w:r>
        <w:t xml:space="preserve"> priorities will be very hard work.</w:t>
      </w:r>
    </w:p>
    <w:p w14:paraId="0B441B8E" w14:textId="77777777" w:rsidR="0082290A" w:rsidRDefault="0082290A" w:rsidP="0082290A">
      <w:pPr>
        <w:jc w:val="both"/>
        <w:rPr>
          <w:b/>
        </w:rPr>
      </w:pPr>
      <w:r>
        <w:rPr>
          <w:b/>
        </w:rPr>
        <w:t>Evaluation priorities</w:t>
      </w:r>
    </w:p>
    <w:p w14:paraId="4EE1C677" w14:textId="61FE7889" w:rsidR="0082290A" w:rsidRDefault="0082290A" w:rsidP="0082290A">
      <w:pPr>
        <w:jc w:val="both"/>
      </w:pPr>
      <w:r>
        <w:t xml:space="preserve">The first 1000 days of a child’s life can be the most important. If funds are limited, this should be a priority for government policies and programs, as resilience is laid down by the age of four. The Closing the Gap preschool attendance target is very useful in this sense. But the rest </w:t>
      </w:r>
      <w:r w:rsidR="001E79A3">
        <w:t xml:space="preserve">of the targets </w:t>
      </w:r>
      <w:r>
        <w:t>are very fragmented for Aboriginal and Torres Strait Islander children and expecting mothers. If I had one vote, investment would go to early childhood as it has a ricochet effect throughout life.</w:t>
      </w:r>
    </w:p>
    <w:p w14:paraId="14016BD5" w14:textId="55649BB1" w:rsidR="00A94647" w:rsidRDefault="00C600F0" w:rsidP="001E1EFB">
      <w:pPr>
        <w:jc w:val="both"/>
        <w:rPr>
          <w:b/>
        </w:rPr>
      </w:pPr>
      <w:r>
        <w:rPr>
          <w:b/>
        </w:rPr>
        <w:t>Relationship between evaluation principles and methods</w:t>
      </w:r>
    </w:p>
    <w:p w14:paraId="0EE38A07" w14:textId="0401A108" w:rsidR="00D438D8" w:rsidRPr="007D48AD" w:rsidRDefault="00F73C38" w:rsidP="00E07E2F">
      <w:pPr>
        <w:jc w:val="both"/>
        <w:rPr>
          <w:color w:val="FF0000"/>
        </w:rPr>
      </w:pPr>
      <w:r>
        <w:t>P</w:t>
      </w:r>
      <w:r w:rsidR="00DB6D17">
        <w:t xml:space="preserve">rinciples </w:t>
      </w:r>
      <w:r>
        <w:t>chosen</w:t>
      </w:r>
      <w:r w:rsidR="00DB6D17">
        <w:t xml:space="preserve"> </w:t>
      </w:r>
      <w:r>
        <w:t>under</w:t>
      </w:r>
      <w:r w:rsidR="00DB6D17">
        <w:t xml:space="preserve"> the Indigenous Evaluation Strategy</w:t>
      </w:r>
      <w:r w:rsidRPr="00F73C38">
        <w:t xml:space="preserve"> </w:t>
      </w:r>
      <w:r>
        <w:t>should shape evaluation methods and processes. For example, r</w:t>
      </w:r>
      <w:r w:rsidR="00A94647">
        <w:t xml:space="preserve">ealist evaluation has taken root </w:t>
      </w:r>
      <w:r w:rsidR="00147E3B">
        <w:t>with</w:t>
      </w:r>
      <w:r w:rsidR="00A94647">
        <w:t xml:space="preserve">in the </w:t>
      </w:r>
      <w:r w:rsidR="00147E3B">
        <w:t>public service, and with good reason</w:t>
      </w:r>
      <w:r w:rsidR="00C600F0">
        <w:t xml:space="preserve">, </w:t>
      </w:r>
      <w:r>
        <w:t>however, the realist approach</w:t>
      </w:r>
      <w:r w:rsidR="00A94647">
        <w:t xml:space="preserve"> </w:t>
      </w:r>
      <w:r>
        <w:t xml:space="preserve">is </w:t>
      </w:r>
      <w:r w:rsidR="00A94647">
        <w:t xml:space="preserve">very </w:t>
      </w:r>
      <w:r w:rsidR="00147E3B">
        <w:t xml:space="preserve">prescriptive. </w:t>
      </w:r>
      <w:r>
        <w:t xml:space="preserve">It is not sufficient to simply </w:t>
      </w:r>
      <w:r w:rsidR="00147E3B">
        <w:t>lump a mainstream realist method on top</w:t>
      </w:r>
      <w:r>
        <w:t xml:space="preserve"> of a conventional evaluation process</w:t>
      </w:r>
      <w:r w:rsidR="00147E3B">
        <w:t>.</w:t>
      </w:r>
      <w:r w:rsidR="00A94647">
        <w:t xml:space="preserve"> </w:t>
      </w:r>
      <w:r w:rsidR="00F05F17">
        <w:t>T</w:t>
      </w:r>
      <w:r>
        <w:t xml:space="preserve">he </w:t>
      </w:r>
      <w:r w:rsidRPr="00F73C38">
        <w:lastRenderedPageBreak/>
        <w:t xml:space="preserve">realist method </w:t>
      </w:r>
      <w:r w:rsidR="00F05F17">
        <w:t>needs to</w:t>
      </w:r>
      <w:r>
        <w:t xml:space="preserve"> </w:t>
      </w:r>
      <w:r w:rsidR="001E79A3">
        <w:t xml:space="preserve">be </w:t>
      </w:r>
      <w:r>
        <w:t>adapted</w:t>
      </w:r>
      <w:r w:rsidR="00F05F17">
        <w:t>, according to clearly defined principles,</w:t>
      </w:r>
      <w:r w:rsidRPr="00F73C38">
        <w:t xml:space="preserve"> to suit</w:t>
      </w:r>
      <w:r>
        <w:t xml:space="preserve"> the context and</w:t>
      </w:r>
      <w:r w:rsidRPr="00F73C38">
        <w:t xml:space="preserve"> </w:t>
      </w:r>
      <w:r w:rsidR="00847296">
        <w:t>considerations of interest to</w:t>
      </w:r>
      <w:r w:rsidRPr="00F73C38">
        <w:t xml:space="preserve"> Aboriginal and Torres</w:t>
      </w:r>
      <w:r>
        <w:t xml:space="preserve"> Strait Islander </w:t>
      </w:r>
      <w:r w:rsidR="00847296">
        <w:t>people</w:t>
      </w:r>
      <w:r>
        <w:t xml:space="preserve">. </w:t>
      </w:r>
      <w:r w:rsidR="00A94647">
        <w:t xml:space="preserve">There is good work </w:t>
      </w:r>
      <w:r w:rsidR="007D48AD">
        <w:t xml:space="preserve">on research frameworks </w:t>
      </w:r>
      <w:r w:rsidR="00C600F0">
        <w:t xml:space="preserve">coming </w:t>
      </w:r>
      <w:r w:rsidR="00E07E2F">
        <w:t>out of</w:t>
      </w:r>
      <w:r w:rsidR="00A94647">
        <w:t xml:space="preserve"> New Zealand</w:t>
      </w:r>
      <w:r w:rsidR="00020DBD">
        <w:rPr>
          <w:rStyle w:val="FootnoteReference"/>
        </w:rPr>
        <w:footnoteReference w:id="4"/>
      </w:r>
      <w:r w:rsidR="00B00637">
        <w:t xml:space="preserve">, but evaluation methods </w:t>
      </w:r>
      <w:r>
        <w:t>cannot</w:t>
      </w:r>
      <w:r w:rsidR="00E07E2F">
        <w:t xml:space="preserve"> be separated from core</w:t>
      </w:r>
      <w:r w:rsidR="00B00637">
        <w:t xml:space="preserve"> principles</w:t>
      </w:r>
      <w:r w:rsidR="00E07E2F">
        <w:t xml:space="preserve"> for evaluation with Aboriginal and Torres Strait Islander people</w:t>
      </w:r>
      <w:r w:rsidR="00B00637">
        <w:t>.</w:t>
      </w:r>
      <w:r w:rsidR="00E07E2F">
        <w:t xml:space="preserve"> </w:t>
      </w:r>
    </w:p>
    <w:p w14:paraId="7983D791" w14:textId="091BCD9A" w:rsidR="00D438D8" w:rsidRPr="001561B4" w:rsidRDefault="00D438D8" w:rsidP="001E1EFB">
      <w:pPr>
        <w:jc w:val="both"/>
        <w:rPr>
          <w:b/>
        </w:rPr>
      </w:pPr>
      <w:r w:rsidRPr="001561B4">
        <w:rPr>
          <w:b/>
        </w:rPr>
        <w:t>Principles</w:t>
      </w:r>
      <w:r w:rsidR="00E07E2F">
        <w:rPr>
          <w:b/>
        </w:rPr>
        <w:t xml:space="preserve"> in action</w:t>
      </w:r>
    </w:p>
    <w:p w14:paraId="584E6EDA" w14:textId="06603458" w:rsidR="003B1AC7" w:rsidRDefault="00D438D8" w:rsidP="001E1EFB">
      <w:pPr>
        <w:jc w:val="both"/>
      </w:pPr>
      <w:r>
        <w:t>It</w:t>
      </w:r>
      <w:r w:rsidR="005C23E9">
        <w:t xml:space="preserve"> i</w:t>
      </w:r>
      <w:r>
        <w:t xml:space="preserve">s </w:t>
      </w:r>
      <w:r w:rsidR="001561B4">
        <w:t>difficult</w:t>
      </w:r>
      <w:r>
        <w:t xml:space="preserve"> to </w:t>
      </w:r>
      <w:r w:rsidR="00B63082">
        <w:t>develop</w:t>
      </w:r>
      <w:r>
        <w:t xml:space="preserve"> clear principles</w:t>
      </w:r>
      <w:r w:rsidR="001561B4">
        <w:t xml:space="preserve"> that are useable and </w:t>
      </w:r>
      <w:r w:rsidR="00D97ECE">
        <w:t>not easily</w:t>
      </w:r>
      <w:r>
        <w:t xml:space="preserve"> bypassed</w:t>
      </w:r>
      <w:r w:rsidR="008F72A1">
        <w:t>. In this respect, p</w:t>
      </w:r>
      <w:r w:rsidR="0080112E">
        <w:t xml:space="preserve">roviding </w:t>
      </w:r>
      <w:r w:rsidR="003650EF">
        <w:t>rewards</w:t>
      </w:r>
      <w:r w:rsidR="0080112E">
        <w:t xml:space="preserve"> to agencies is </w:t>
      </w:r>
      <w:r w:rsidR="00B63082">
        <w:t>important</w:t>
      </w:r>
      <w:r w:rsidR="003650EF">
        <w:t xml:space="preserve"> </w:t>
      </w:r>
      <w:r w:rsidR="005C23E9" w:rsidRPr="005C23E9">
        <w:t>—</w:t>
      </w:r>
      <w:r w:rsidR="0035656A">
        <w:t xml:space="preserve"> </w:t>
      </w:r>
      <w:r w:rsidR="003650EF">
        <w:t>c</w:t>
      </w:r>
      <w:r>
        <w:t xml:space="preserve">arrots are </w:t>
      </w:r>
      <w:r w:rsidR="003650EF">
        <w:t xml:space="preserve">much </w:t>
      </w:r>
      <w:r>
        <w:t>better than sticks.</w:t>
      </w:r>
      <w:r w:rsidR="00D97ECE">
        <w:t xml:space="preserve"> </w:t>
      </w:r>
      <w:r w:rsidR="003650EF">
        <w:t>There are many good sources of principles that the Indigenous Eva</w:t>
      </w:r>
      <w:r w:rsidR="003B1AC7">
        <w:t xml:space="preserve">luation Strategy can draw from. </w:t>
      </w:r>
      <w:r w:rsidR="003650EF">
        <w:t xml:space="preserve">Some examples </w:t>
      </w:r>
      <w:r w:rsidR="00070EE1">
        <w:t>are</w:t>
      </w:r>
      <w:r w:rsidR="003B1AC7">
        <w:t>:</w:t>
      </w:r>
    </w:p>
    <w:p w14:paraId="690D7116" w14:textId="68E11734" w:rsidR="003B1AC7" w:rsidRDefault="00F05F17" w:rsidP="003B1AC7">
      <w:pPr>
        <w:pStyle w:val="ListParagraph"/>
        <w:numPr>
          <w:ilvl w:val="0"/>
          <w:numId w:val="52"/>
        </w:numPr>
        <w:jc w:val="both"/>
      </w:pPr>
      <w:r>
        <w:t xml:space="preserve">the GIDA Global Indigenous Data Alliance CARE Principles for </w:t>
      </w:r>
      <w:r w:rsidR="003650EF">
        <w:t xml:space="preserve">Indigenous Data </w:t>
      </w:r>
      <w:r>
        <w:t>Governance</w:t>
      </w:r>
      <w:r>
        <w:rPr>
          <w:rStyle w:val="FootnoteReference"/>
        </w:rPr>
        <w:footnoteReference w:id="5"/>
      </w:r>
    </w:p>
    <w:p w14:paraId="575D6535" w14:textId="0D932608" w:rsidR="003B1AC7" w:rsidRDefault="00F05F17" w:rsidP="00F05F17">
      <w:pPr>
        <w:pStyle w:val="ListParagraph"/>
        <w:numPr>
          <w:ilvl w:val="0"/>
          <w:numId w:val="52"/>
        </w:numPr>
        <w:jc w:val="both"/>
      </w:pPr>
      <w:r>
        <w:t xml:space="preserve">the </w:t>
      </w:r>
      <w:proofErr w:type="spellStart"/>
      <w:r w:rsidR="003B1AC7">
        <w:t>Lowitja</w:t>
      </w:r>
      <w:proofErr w:type="spellEnd"/>
      <w:r w:rsidR="003B1AC7">
        <w:t xml:space="preserve"> Institute</w:t>
      </w:r>
      <w:r>
        <w:t xml:space="preserve"> Indigenous Evaluation Framework principles developed by </w:t>
      </w:r>
      <w:proofErr w:type="spellStart"/>
      <w:r w:rsidR="00B63082">
        <w:t>Ke</w:t>
      </w:r>
      <w:r w:rsidR="00D438D8">
        <w:t>laher</w:t>
      </w:r>
      <w:proofErr w:type="spellEnd"/>
      <w:r w:rsidR="00D438D8">
        <w:t xml:space="preserve"> et al</w:t>
      </w:r>
      <w:r w:rsidR="001E79A3">
        <w:t>.</w:t>
      </w:r>
      <w:r w:rsidR="00ED6132" w:rsidRPr="00070EE1">
        <w:rPr>
          <w:rStyle w:val="FootnoteReference"/>
        </w:rPr>
        <w:footnoteReference w:id="6"/>
      </w:r>
    </w:p>
    <w:p w14:paraId="33DC0523" w14:textId="77777777" w:rsidR="003B1AC7" w:rsidRDefault="003B1AC7" w:rsidP="003B1AC7">
      <w:pPr>
        <w:pStyle w:val="ListParagraph"/>
        <w:jc w:val="both"/>
      </w:pPr>
    </w:p>
    <w:p w14:paraId="3013FA7E" w14:textId="62D1D672" w:rsidR="00ED6132" w:rsidRDefault="003B1AC7" w:rsidP="003B1AC7">
      <w:pPr>
        <w:pStyle w:val="ListParagraph"/>
        <w:ind w:left="0"/>
        <w:jc w:val="both"/>
      </w:pPr>
      <w:r>
        <w:t xml:space="preserve">There are also some frameworks from New Zealand that focus </w:t>
      </w:r>
      <w:r w:rsidR="00ED6132">
        <w:t>on</w:t>
      </w:r>
      <w:r w:rsidR="003650EF">
        <w:t xml:space="preserve"> respectful, meaningful relationships</w:t>
      </w:r>
      <w:r w:rsidR="00ED6132">
        <w:t xml:space="preserve"> with indigenous peoples</w:t>
      </w:r>
      <w:r w:rsidR="004C1E5B">
        <w:t xml:space="preserve"> — </w:t>
      </w:r>
      <w:r w:rsidR="00ED6132">
        <w:t xml:space="preserve">Human rights, gender equality, capacity building, </w:t>
      </w:r>
      <w:r>
        <w:t xml:space="preserve">and </w:t>
      </w:r>
      <w:r w:rsidR="00ED6132">
        <w:t>evidence based</w:t>
      </w:r>
      <w:r w:rsidR="00584587">
        <w:t xml:space="preserve"> evaluations. The </w:t>
      </w:r>
      <w:r w:rsidR="00ED6132">
        <w:t>UN Declaration for the Rights of Indigenous Peoples (UNDRIP)</w:t>
      </w:r>
      <w:r w:rsidR="0070572E">
        <w:t xml:space="preserve"> is also an important framework</w:t>
      </w:r>
      <w:r w:rsidR="00ED6132">
        <w:t>. An issue with s</w:t>
      </w:r>
      <w:r w:rsidR="003650EF">
        <w:t xml:space="preserve">ome sets of principles </w:t>
      </w:r>
      <w:r w:rsidR="00ED6132">
        <w:t xml:space="preserve">is that there are simply </w:t>
      </w:r>
      <w:r w:rsidR="003650EF">
        <w:t>too many (19 in one case)</w:t>
      </w:r>
      <w:r w:rsidR="00584587">
        <w:t xml:space="preserve"> — a</w:t>
      </w:r>
      <w:r w:rsidR="00ED6132">
        <w:t xml:space="preserve"> set of 6 to 8 </w:t>
      </w:r>
      <w:r w:rsidR="00FE7AF7">
        <w:t>principles</w:t>
      </w:r>
      <w:r w:rsidR="00ED6132">
        <w:t xml:space="preserve"> for the Indigenous Evaluation Strategy would be ideal.</w:t>
      </w:r>
      <w:r w:rsidR="00FE7AF7">
        <w:t xml:space="preserve"> </w:t>
      </w:r>
    </w:p>
    <w:p w14:paraId="1627B3C8" w14:textId="1C16C01C" w:rsidR="005C23E9" w:rsidRDefault="00ED6132" w:rsidP="001E1EFB">
      <w:pPr>
        <w:jc w:val="both"/>
      </w:pPr>
      <w:r>
        <w:t xml:space="preserve">There is also a propensity to </w:t>
      </w:r>
      <w:r w:rsidR="008F457A">
        <w:t>use motherhood statements, which point</w:t>
      </w:r>
      <w:r>
        <w:t xml:space="preserve"> to concepts </w:t>
      </w:r>
      <w:r w:rsidR="008F457A">
        <w:t>but</w:t>
      </w:r>
      <w:r>
        <w:t xml:space="preserve"> essentially do not mean anything on the ground. </w:t>
      </w:r>
      <w:r w:rsidR="00717207">
        <w:t>Be careful with word</w:t>
      </w:r>
      <w:r>
        <w:t>s like</w:t>
      </w:r>
      <w:r w:rsidR="00717207">
        <w:t xml:space="preserve"> co-design</w:t>
      </w:r>
      <w:r>
        <w:t>, which is</w:t>
      </w:r>
      <w:r w:rsidR="00717207">
        <w:t xml:space="preserve"> flitting around more frequently with no solid definition. </w:t>
      </w:r>
      <w:r>
        <w:t>A</w:t>
      </w:r>
      <w:r w:rsidR="00FB3C01">
        <w:t xml:space="preserve"> principles </w:t>
      </w:r>
      <w:r w:rsidR="00717207">
        <w:t>based approach need</w:t>
      </w:r>
      <w:r>
        <w:t>s</w:t>
      </w:r>
      <w:r w:rsidR="00717207">
        <w:t xml:space="preserve"> to</w:t>
      </w:r>
      <w:r>
        <w:t xml:space="preserve"> conceptualise those principles along</w:t>
      </w:r>
      <w:r w:rsidR="00717207">
        <w:t xml:space="preserve"> with examples of how they can be operationalised. </w:t>
      </w:r>
      <w:r>
        <w:t>They</w:t>
      </w:r>
      <w:r w:rsidR="00717207">
        <w:t xml:space="preserve"> need to make clear</w:t>
      </w:r>
      <w:r w:rsidR="008F457A">
        <w:t xml:space="preserve"> the meaning of the principle</w:t>
      </w:r>
      <w:r>
        <w:t xml:space="preserve"> and how </w:t>
      </w:r>
      <w:r w:rsidR="008F457A">
        <w:t>can</w:t>
      </w:r>
      <w:r>
        <w:t xml:space="preserve"> it be implemented.</w:t>
      </w:r>
      <w:r w:rsidR="00717207">
        <w:t xml:space="preserve"> </w:t>
      </w:r>
      <w:r w:rsidR="008F457A">
        <w:t>Once principles have</w:t>
      </w:r>
      <w:r w:rsidR="00D438D8">
        <w:t xml:space="preserve"> a solid </w:t>
      </w:r>
      <w:r w:rsidR="00D3653C">
        <w:t>definition</w:t>
      </w:r>
      <w:r w:rsidR="00D438D8">
        <w:t xml:space="preserve">, </w:t>
      </w:r>
      <w:r w:rsidR="008F457A">
        <w:t>then parties have ownership</w:t>
      </w:r>
      <w:r w:rsidR="00D438D8">
        <w:t>.</w:t>
      </w:r>
      <w:r w:rsidR="008F457A">
        <w:t xml:space="preserve"> For example, </w:t>
      </w:r>
      <w:r w:rsidR="00584587">
        <w:t xml:space="preserve">while founding the GIDA Global Indigenous Data Alliance, </w:t>
      </w:r>
      <w:r w:rsidR="008F457A">
        <w:t>w</w:t>
      </w:r>
      <w:r w:rsidR="00D438D8">
        <w:t xml:space="preserve">e defined </w:t>
      </w:r>
      <w:r w:rsidR="004C1E5B">
        <w:t>i</w:t>
      </w:r>
      <w:r w:rsidR="00D438D8">
        <w:t xml:space="preserve">ndigenous </w:t>
      </w:r>
      <w:r w:rsidR="004C1E5B">
        <w:t>d</w:t>
      </w:r>
      <w:r w:rsidR="00D438D8">
        <w:t xml:space="preserve">ata </w:t>
      </w:r>
      <w:r w:rsidR="004C1E5B">
        <w:t>s</w:t>
      </w:r>
      <w:r w:rsidR="00D438D8">
        <w:t>overeignty</w:t>
      </w:r>
      <w:r w:rsidR="00867E8C">
        <w:t xml:space="preserve"> and </w:t>
      </w:r>
      <w:r w:rsidR="004C1E5B">
        <w:t>g</w:t>
      </w:r>
      <w:r w:rsidR="00867E8C">
        <w:t>overnance</w:t>
      </w:r>
      <w:r w:rsidR="00D438D8">
        <w:t xml:space="preserve"> very early in the process to stop the term</w:t>
      </w:r>
      <w:r w:rsidR="00584587">
        <w:t>s</w:t>
      </w:r>
      <w:r w:rsidR="00D438D8">
        <w:t xml:space="preserve"> being hijacked</w:t>
      </w:r>
      <w:r w:rsidR="003912C4">
        <w:t xml:space="preserve">. Definition stops a term becoming a meaningless buzzword and works against </w:t>
      </w:r>
      <w:r w:rsidR="00D438D8">
        <w:t>grandiose claims and overpromising.</w:t>
      </w:r>
      <w:r w:rsidR="005C23E9" w:rsidRPr="005C23E9">
        <w:t xml:space="preserve"> </w:t>
      </w:r>
    </w:p>
    <w:p w14:paraId="2CFA190A" w14:textId="51504E45" w:rsidR="008F457A" w:rsidRDefault="00584587" w:rsidP="008F457A">
      <w:pPr>
        <w:jc w:val="both"/>
      </w:pPr>
      <w:r>
        <w:t>Real c</w:t>
      </w:r>
      <w:r w:rsidR="008F457A">
        <w:t xml:space="preserve">o-design in practice is an equal share in decision-making </w:t>
      </w:r>
      <w:r>
        <w:t>and</w:t>
      </w:r>
      <w:r w:rsidR="008F457A">
        <w:t xml:space="preserve"> equality of power. This is not embodied in </w:t>
      </w:r>
      <w:r>
        <w:t xml:space="preserve">many government </w:t>
      </w:r>
      <w:r w:rsidR="008F457A">
        <w:t xml:space="preserve">advisory groups or consultations processes. Aboriginal and Torres Strait Islander experts </w:t>
      </w:r>
      <w:r>
        <w:t>must be</w:t>
      </w:r>
      <w:r w:rsidR="008F457A">
        <w:t xml:space="preserve"> </w:t>
      </w:r>
      <w:r w:rsidR="004C1E5B">
        <w:t xml:space="preserve">at </w:t>
      </w:r>
      <w:r w:rsidR="008F457A">
        <w:t>the table</w:t>
      </w:r>
      <w:r>
        <w:t xml:space="preserve"> as decision makers, and these representatives must have</w:t>
      </w:r>
      <w:r w:rsidR="008F457A">
        <w:t xml:space="preserve"> expertise in evaluation and data practice. Currently</w:t>
      </w:r>
      <w:r>
        <w:t>,</w:t>
      </w:r>
      <w:r w:rsidR="008F457A">
        <w:t xml:space="preserve"> some departments and agencies have </w:t>
      </w:r>
      <w:r>
        <w:t>Aboriginal and Torres Strait Islander</w:t>
      </w:r>
      <w:r w:rsidR="008F457A">
        <w:t xml:space="preserve"> people on advisory panels with good links throughout the Indigenous community, but </w:t>
      </w:r>
      <w:r>
        <w:t xml:space="preserve">who </w:t>
      </w:r>
      <w:r w:rsidR="008F457A">
        <w:t>pos</w:t>
      </w:r>
      <w:r>
        <w:t xml:space="preserve">sess no expertise in evaluation. </w:t>
      </w:r>
      <w:r w:rsidR="004C1E5B">
        <w:t>T</w:t>
      </w:r>
      <w:r>
        <w:t xml:space="preserve">his </w:t>
      </w:r>
      <w:r w:rsidR="008F457A">
        <w:t>somewhat negates their impact, meaning they can be shut down easily when it comes to technical issues. And this comes back to</w:t>
      </w:r>
      <w:r>
        <w:t xml:space="preserve"> importance of</w:t>
      </w:r>
      <w:r w:rsidR="008F457A">
        <w:t xml:space="preserve"> rapid capacity-building </w:t>
      </w:r>
      <w:r>
        <w:t>and</w:t>
      </w:r>
      <w:r w:rsidR="008F457A">
        <w:t xml:space="preserve"> data expertise </w:t>
      </w:r>
      <w:r>
        <w:t>of</w:t>
      </w:r>
      <w:r w:rsidR="008F457A">
        <w:t xml:space="preserve"> Aboriginal and Torres Strait Islander people</w:t>
      </w:r>
      <w:r>
        <w:t>, which</w:t>
      </w:r>
      <w:r w:rsidR="008F457A">
        <w:t xml:space="preserve"> is still relatively rare</w:t>
      </w:r>
      <w:r>
        <w:t xml:space="preserve"> in the public service</w:t>
      </w:r>
      <w:r w:rsidR="008F457A">
        <w:t xml:space="preserve">. To legitimately participate in co-design, </w:t>
      </w:r>
      <w:r>
        <w:t>Aboriginal and Torres Strait Islander people</w:t>
      </w:r>
      <w:r w:rsidR="008F457A">
        <w:t xml:space="preserve"> need to have those skillsets in place.</w:t>
      </w:r>
    </w:p>
    <w:p w14:paraId="4935FDE3" w14:textId="6163ABF2" w:rsidR="00E07E2F" w:rsidRPr="00A970AF" w:rsidRDefault="005F6D9E" w:rsidP="008F457A">
      <w:pPr>
        <w:jc w:val="both"/>
        <w:rPr>
          <w:color w:val="FF0000"/>
        </w:rPr>
      </w:pPr>
      <w:r>
        <w:t xml:space="preserve">The implementation of principles would be supported by having </w:t>
      </w:r>
      <w:r w:rsidR="00E07E2F">
        <w:t>Aboriginal a</w:t>
      </w:r>
      <w:r>
        <w:t>nd Torres Strait Islander staff working on program and policy evaluation in agencies.</w:t>
      </w:r>
      <w:r w:rsidR="00E07E2F">
        <w:t xml:space="preserve"> </w:t>
      </w:r>
      <w:r>
        <w:t xml:space="preserve">Without </w:t>
      </w:r>
      <w:r w:rsidR="00E07E2F" w:rsidRPr="005F6D9E">
        <w:t xml:space="preserve">Indigenous staff </w:t>
      </w:r>
      <w:r w:rsidR="00E07E2F" w:rsidRPr="005F6D9E">
        <w:lastRenderedPageBreak/>
        <w:t>or capacity to deliver on those principles</w:t>
      </w:r>
      <w:r>
        <w:t>,</w:t>
      </w:r>
      <w:r w:rsidR="00E07E2F" w:rsidRPr="005F6D9E">
        <w:t xml:space="preserve"> the framework</w:t>
      </w:r>
      <w:r w:rsidR="00584587">
        <w:t xml:space="preserve"> is likely to stay</w:t>
      </w:r>
      <w:r w:rsidR="00E07E2F" w:rsidRPr="005F6D9E">
        <w:t xml:space="preserve"> </w:t>
      </w:r>
      <w:r w:rsidR="00584587">
        <w:t>“</w:t>
      </w:r>
      <w:r w:rsidR="00E07E2F" w:rsidRPr="005F6D9E">
        <w:t>on the shelf</w:t>
      </w:r>
      <w:r w:rsidR="00584587">
        <w:t>”</w:t>
      </w:r>
      <w:r>
        <w:t>,</w:t>
      </w:r>
      <w:r w:rsidR="00E07E2F" w:rsidRPr="005F6D9E">
        <w:t xml:space="preserve"> and </w:t>
      </w:r>
      <w:r>
        <w:t>nothing will change</w:t>
      </w:r>
      <w:r w:rsidR="00E07E2F" w:rsidRPr="005F6D9E">
        <w:t xml:space="preserve"> on the ground.</w:t>
      </w:r>
    </w:p>
    <w:p w14:paraId="6160ABB1" w14:textId="34D700CE" w:rsidR="008C1382" w:rsidRPr="000206C8" w:rsidRDefault="001E1EFB" w:rsidP="001E1EFB">
      <w:pPr>
        <w:jc w:val="both"/>
        <w:rPr>
          <w:b/>
        </w:rPr>
      </w:pPr>
      <w:r>
        <w:rPr>
          <w:b/>
        </w:rPr>
        <w:t>Voice</w:t>
      </w:r>
      <w:r w:rsidR="00083602">
        <w:rPr>
          <w:b/>
        </w:rPr>
        <w:t xml:space="preserve"> and governance</w:t>
      </w:r>
    </w:p>
    <w:p w14:paraId="379EC7B8" w14:textId="02BF6CED" w:rsidR="008C1382" w:rsidRPr="003B1AC7" w:rsidRDefault="000904F0" w:rsidP="001E1EFB">
      <w:pPr>
        <w:jc w:val="both"/>
      </w:pPr>
      <w:r>
        <w:t>The difference between governance and consultation groups is that g</w:t>
      </w:r>
      <w:r w:rsidR="008C1382">
        <w:t>overnance gro</w:t>
      </w:r>
      <w:r>
        <w:t xml:space="preserve">ups have decision making input — </w:t>
      </w:r>
      <w:r w:rsidR="008C1382">
        <w:t>an authoritative base. Consultation groups have no power</w:t>
      </w:r>
      <w:r w:rsidR="00083602">
        <w:t>,</w:t>
      </w:r>
      <w:r w:rsidR="008C1382">
        <w:t xml:space="preserve"> can give advice only</w:t>
      </w:r>
      <w:r w:rsidR="00083602">
        <w:t xml:space="preserve">, and can be consulted </w:t>
      </w:r>
      <w:r w:rsidR="008C1382">
        <w:t>only on those issues the government or the agency wants consult</w:t>
      </w:r>
      <w:r w:rsidR="00083602">
        <w:t>ation</w:t>
      </w:r>
      <w:r w:rsidR="008C1382">
        <w:t xml:space="preserve"> on. If this is the case, consult</w:t>
      </w:r>
      <w:r w:rsidR="00083602">
        <w:t>ation</w:t>
      </w:r>
      <w:r w:rsidR="008C1382">
        <w:t xml:space="preserve"> on</w:t>
      </w:r>
      <w:r w:rsidR="00083602">
        <w:t xml:space="preserve"> only</w:t>
      </w:r>
      <w:r w:rsidR="008C1382">
        <w:t xml:space="preserve"> what the government wants becomes a function of the department’s business as usual. </w:t>
      </w:r>
      <w:r w:rsidR="00083602">
        <w:t>Any</w:t>
      </w:r>
      <w:r w:rsidR="008C1382">
        <w:t xml:space="preserve"> message</w:t>
      </w:r>
      <w:r w:rsidR="00083602">
        <w:t xml:space="preserve"> provided by the consultation group</w:t>
      </w:r>
      <w:r w:rsidR="008C1382">
        <w:t xml:space="preserve"> gets washed out as it </w:t>
      </w:r>
      <w:r w:rsidR="00083602">
        <w:t>goes up the line because there is no accountability or</w:t>
      </w:r>
      <w:r w:rsidR="008C1382">
        <w:t xml:space="preserve"> reporting back. A </w:t>
      </w:r>
      <w:r w:rsidR="003B1AC7">
        <w:t>consultation</w:t>
      </w:r>
      <w:r w:rsidR="008C1382">
        <w:t xml:space="preserve"> group </w:t>
      </w:r>
      <w:r w:rsidR="00083602">
        <w:t>does not</w:t>
      </w:r>
      <w:r w:rsidR="008C1382">
        <w:t xml:space="preserve"> know wh</w:t>
      </w:r>
      <w:r w:rsidR="00083602">
        <w:t>ether it made any impact at all.</w:t>
      </w:r>
      <w:r w:rsidR="003B1AC7">
        <w:t xml:space="preserve"> </w:t>
      </w:r>
      <w:r w:rsidR="00083602" w:rsidRPr="003B1AC7">
        <w:t>N</w:t>
      </w:r>
      <w:r w:rsidR="008C1382" w:rsidRPr="003B1AC7">
        <w:t xml:space="preserve">othing has changed in this respect since 1994. </w:t>
      </w:r>
      <w:r w:rsidR="004B2BC0">
        <w:t>Having</w:t>
      </w:r>
      <w:r w:rsidR="008C1382" w:rsidRPr="003B1AC7">
        <w:t xml:space="preserve"> Aboriginal and Torres Strait Islander people at the table</w:t>
      </w:r>
      <w:r w:rsidR="004B2BC0">
        <w:t xml:space="preserve"> </w:t>
      </w:r>
      <w:r w:rsidR="008C1382" w:rsidRPr="003B1AC7">
        <w:t xml:space="preserve">would </w:t>
      </w:r>
      <w:r w:rsidR="00CE7428">
        <w:t>be</w:t>
      </w:r>
      <w:r w:rsidR="008C1382" w:rsidRPr="003B1AC7">
        <w:t xml:space="preserve"> a different look.</w:t>
      </w:r>
    </w:p>
    <w:p w14:paraId="37CA2493" w14:textId="1CE488D8" w:rsidR="000276BC" w:rsidRDefault="00F445A5" w:rsidP="001E1EFB">
      <w:pPr>
        <w:jc w:val="both"/>
        <w:rPr>
          <w:b/>
        </w:rPr>
      </w:pPr>
      <w:r>
        <w:rPr>
          <w:b/>
        </w:rPr>
        <w:t>The need for good Indigenous data</w:t>
      </w:r>
      <w:r w:rsidR="004E12DA">
        <w:rPr>
          <w:b/>
        </w:rPr>
        <w:t xml:space="preserve"> governance</w:t>
      </w:r>
    </w:p>
    <w:p w14:paraId="1A2DAB14" w14:textId="6350BA45" w:rsidR="000276BC" w:rsidRDefault="00B034C8" w:rsidP="001E1EFB">
      <w:pPr>
        <w:jc w:val="both"/>
      </w:pPr>
      <w:r>
        <w:t>A</w:t>
      </w:r>
      <w:r w:rsidR="00712631">
        <w:t xml:space="preserve"> huge </w:t>
      </w:r>
      <w:r>
        <w:t>amount</w:t>
      </w:r>
      <w:r w:rsidR="00712631">
        <w:t xml:space="preserve"> of data</w:t>
      </w:r>
      <w:r w:rsidR="008C4D1D">
        <w:t xml:space="preserve"> about Aboriginal and Torres Strait Islander people</w:t>
      </w:r>
      <w:r>
        <w:t xml:space="preserve"> exists</w:t>
      </w:r>
      <w:r w:rsidR="00712631">
        <w:t xml:space="preserve"> but nearly all of it is </w:t>
      </w:r>
      <w:r>
        <w:t xml:space="preserve">contained </w:t>
      </w:r>
      <w:r w:rsidR="00712631">
        <w:t>in admin</w:t>
      </w:r>
      <w:r w:rsidR="008C4D1D">
        <w:t>istrative</w:t>
      </w:r>
      <w:r w:rsidR="00712631">
        <w:t xml:space="preserve"> datasets </w:t>
      </w:r>
      <w:r w:rsidR="008C4D1D">
        <w:t xml:space="preserve">built around </w:t>
      </w:r>
      <w:r w:rsidR="00712631">
        <w:t xml:space="preserve">programs of disadvantage. </w:t>
      </w:r>
      <w:r>
        <w:t>T</w:t>
      </w:r>
      <w:r w:rsidR="00712631">
        <w:t xml:space="preserve">wo points </w:t>
      </w:r>
      <w:r>
        <w:t>are important</w:t>
      </w:r>
      <w:r w:rsidR="00712631">
        <w:t>:</w:t>
      </w:r>
    </w:p>
    <w:p w14:paraId="400304A5" w14:textId="537AE60A" w:rsidR="004D02BC" w:rsidRDefault="00DF5562" w:rsidP="005B16D2">
      <w:pPr>
        <w:pStyle w:val="ListParagraph"/>
        <w:numPr>
          <w:ilvl w:val="0"/>
          <w:numId w:val="50"/>
        </w:numPr>
        <w:jc w:val="both"/>
      </w:pPr>
      <w:r w:rsidRPr="008B450F">
        <w:rPr>
          <w:b/>
          <w:i/>
        </w:rPr>
        <w:t xml:space="preserve">We need good governance </w:t>
      </w:r>
      <w:r w:rsidR="005B16D2" w:rsidRPr="008B450F">
        <w:rPr>
          <w:b/>
          <w:i/>
        </w:rPr>
        <w:t>for existing</w:t>
      </w:r>
      <w:r w:rsidRPr="008B450F">
        <w:rPr>
          <w:b/>
          <w:i/>
        </w:rPr>
        <w:t xml:space="preserve"> data</w:t>
      </w:r>
      <w:r w:rsidR="00B034C8">
        <w:rPr>
          <w:b/>
        </w:rPr>
        <w:t xml:space="preserve"> </w:t>
      </w:r>
      <w:r w:rsidR="00B034C8" w:rsidRPr="00B034C8">
        <w:t>—</w:t>
      </w:r>
      <w:r w:rsidR="00B034C8">
        <w:rPr>
          <w:b/>
        </w:rPr>
        <w:t xml:space="preserve"> </w:t>
      </w:r>
      <w:r w:rsidR="00712631">
        <w:t xml:space="preserve">Huge amounts of data </w:t>
      </w:r>
      <w:r w:rsidR="005B16D2">
        <w:t>exists but is</w:t>
      </w:r>
      <w:r w:rsidR="00712631">
        <w:t xml:space="preserve"> not very </w:t>
      </w:r>
      <w:r w:rsidR="00334AED">
        <w:t>available</w:t>
      </w:r>
      <w:r w:rsidR="00712631">
        <w:t xml:space="preserve">. </w:t>
      </w:r>
      <w:r w:rsidR="00ED01BD">
        <w:t xml:space="preserve">For example, </w:t>
      </w:r>
      <w:r w:rsidR="005B16D2">
        <w:t xml:space="preserve">it is very </w:t>
      </w:r>
      <w:r w:rsidR="00B034C8">
        <w:t>difficult</w:t>
      </w:r>
      <w:r w:rsidR="005B16D2">
        <w:t xml:space="preserve"> to access</w:t>
      </w:r>
      <w:r w:rsidR="00ED01BD">
        <w:t xml:space="preserve"> data from</w:t>
      </w:r>
      <w:r w:rsidR="008C4D1D">
        <w:t xml:space="preserve"> the ABS from</w:t>
      </w:r>
      <w:r w:rsidR="00ED01BD">
        <w:t xml:space="preserve"> </w:t>
      </w:r>
      <w:r w:rsidR="008C4D1D" w:rsidRPr="008C4D1D">
        <w:t>National Aboriginal and Torres Strait Islander Social Survey (NATSISS</w:t>
      </w:r>
      <w:r w:rsidR="005B16D2">
        <w:t>)</w:t>
      </w:r>
      <w:r w:rsidR="00ED01BD">
        <w:t>. Aboriginal and Torres Strait Islander people are treated as object</w:t>
      </w:r>
      <w:r w:rsidR="00310E60">
        <w:t>s</w:t>
      </w:r>
      <w:r w:rsidR="00B034C8">
        <w:t xml:space="preserve"> of data, and we </w:t>
      </w:r>
      <w:r w:rsidR="00ED01BD">
        <w:t xml:space="preserve">have no say in </w:t>
      </w:r>
      <w:r w:rsidR="00310E60">
        <w:t xml:space="preserve">what is collected, where </w:t>
      </w:r>
      <w:r w:rsidR="00B034C8">
        <w:t>and</w:t>
      </w:r>
      <w:r w:rsidR="00625C2B">
        <w:t xml:space="preserve"> how it i</w:t>
      </w:r>
      <w:r w:rsidR="00310E60">
        <w:t>s collected, who uses it</w:t>
      </w:r>
      <w:r w:rsidR="00625C2B">
        <w:t>,</w:t>
      </w:r>
      <w:r w:rsidR="00310E60">
        <w:t xml:space="preserve"> and for what purposes, under what circumstances</w:t>
      </w:r>
      <w:r w:rsidR="00AC5002">
        <w:t xml:space="preserve"> and what comes from it</w:t>
      </w:r>
      <w:r w:rsidR="00ED01BD">
        <w:t>. This is a huge potential resource that needs sound governance to ensure its use is not just reinforcing marginalisation</w:t>
      </w:r>
      <w:r>
        <w:t xml:space="preserve"> (disparity, deprivation, disadvantage, dysfunction and difference) of</w:t>
      </w:r>
      <w:r w:rsidR="00AC5002">
        <w:t xml:space="preserve"> </w:t>
      </w:r>
      <w:r>
        <w:t>Aboriginal and Torres Strait Islander people</w:t>
      </w:r>
      <w:r w:rsidR="00ED01BD">
        <w:t>.</w:t>
      </w:r>
    </w:p>
    <w:p w14:paraId="0F567370" w14:textId="7B7F0E07" w:rsidR="00BE1A88" w:rsidRDefault="00B034C8" w:rsidP="005B16D2">
      <w:pPr>
        <w:pStyle w:val="ListParagraph"/>
        <w:numPr>
          <w:ilvl w:val="0"/>
          <w:numId w:val="50"/>
        </w:numPr>
        <w:jc w:val="both"/>
      </w:pPr>
      <w:r w:rsidRPr="008B450F">
        <w:rPr>
          <w:b/>
          <w:i/>
        </w:rPr>
        <w:t xml:space="preserve">We need data </w:t>
      </w:r>
      <w:r w:rsidR="00C97FA6" w:rsidRPr="008B450F">
        <w:rPr>
          <w:b/>
          <w:i/>
        </w:rPr>
        <w:t>for</w:t>
      </w:r>
      <w:r w:rsidRPr="008B450F">
        <w:rPr>
          <w:b/>
          <w:i/>
        </w:rPr>
        <w:t xml:space="preserve"> governance</w:t>
      </w:r>
      <w:r>
        <w:rPr>
          <w:b/>
        </w:rPr>
        <w:t xml:space="preserve"> </w:t>
      </w:r>
      <w:r w:rsidRPr="00B034C8">
        <w:t>—</w:t>
      </w:r>
      <w:r w:rsidR="00DF5562" w:rsidRPr="00D42EB5">
        <w:rPr>
          <w:b/>
        </w:rPr>
        <w:t xml:space="preserve"> </w:t>
      </w:r>
      <w:r w:rsidR="004D02BC">
        <w:t xml:space="preserve">Data is needed and should be made available for community governance, </w:t>
      </w:r>
      <w:r>
        <w:t>so that</w:t>
      </w:r>
      <w:r w:rsidR="004D02BC">
        <w:t xml:space="preserve"> communities</w:t>
      </w:r>
      <w:r w:rsidR="00DF5562">
        <w:t xml:space="preserve"> and groups</w:t>
      </w:r>
      <w:r w:rsidR="004D02BC">
        <w:t xml:space="preserve"> </w:t>
      </w:r>
      <w:r w:rsidR="00625C2B">
        <w:t>can</w:t>
      </w:r>
      <w:r w:rsidR="004D02BC">
        <w:t xml:space="preserve"> decide their own needs for programs. But just having data</w:t>
      </w:r>
      <w:r w:rsidR="00DF5562">
        <w:t xml:space="preserve"> that highlights problems</w:t>
      </w:r>
      <w:r w:rsidR="004D02BC">
        <w:t xml:space="preserve"> is not sufficient</w:t>
      </w:r>
      <w:r w:rsidR="00625C2B">
        <w:t xml:space="preserve"> to deliver this</w:t>
      </w:r>
      <w:r w:rsidR="004D02BC">
        <w:t xml:space="preserve">. </w:t>
      </w:r>
      <w:r w:rsidR="00DF5562">
        <w:t>Current</w:t>
      </w:r>
      <w:r>
        <w:t>ly,</w:t>
      </w:r>
      <w:r w:rsidR="00DF5562">
        <w:t xml:space="preserve"> data </w:t>
      </w:r>
      <w:r>
        <w:t>is largely</w:t>
      </w:r>
      <w:r w:rsidR="00DF5562">
        <w:t xml:space="preserve"> based on aggregated</w:t>
      </w:r>
      <w:r>
        <w:t xml:space="preserve"> reporting on “</w:t>
      </w:r>
      <w:r w:rsidR="00DF5562">
        <w:t>w</w:t>
      </w:r>
      <w:r w:rsidR="004D02BC">
        <w:t>hat</w:t>
      </w:r>
      <w:r>
        <w:t>” is happening (e.g. incarceration rates for each community)</w:t>
      </w:r>
      <w:r w:rsidR="00DF5562">
        <w:t>.</w:t>
      </w:r>
      <w:r w:rsidR="00741407">
        <w:t xml:space="preserve"> </w:t>
      </w:r>
      <w:r w:rsidR="00BE1A88">
        <w:t xml:space="preserve">There is an over-reliance </w:t>
      </w:r>
      <w:r>
        <w:t>on bare bones, aggregated data because this type of data is relatively easy to collect, and it reflects largely</w:t>
      </w:r>
      <w:r w:rsidR="00BE1A88">
        <w:t xml:space="preserve"> w</w:t>
      </w:r>
      <w:r>
        <w:t>h</w:t>
      </w:r>
      <w:r w:rsidR="00BE1A88">
        <w:t>at governments think they need to know about Aboriginal and Torres Strait Islander people</w:t>
      </w:r>
      <w:r>
        <w:t>.</w:t>
      </w:r>
    </w:p>
    <w:p w14:paraId="0E26F077" w14:textId="77777777" w:rsidR="005717D8" w:rsidRDefault="005717D8" w:rsidP="005717D8">
      <w:pPr>
        <w:pStyle w:val="ListParagraph"/>
        <w:jc w:val="both"/>
      </w:pPr>
    </w:p>
    <w:p w14:paraId="2429E8B6" w14:textId="4D58592E" w:rsidR="005717D8" w:rsidRDefault="005717D8" w:rsidP="005717D8">
      <w:pPr>
        <w:pStyle w:val="ListParagraph"/>
        <w:ind w:left="0"/>
        <w:jc w:val="both"/>
      </w:pPr>
      <w:r>
        <w:t>Good evaluation requires good data. If the right questions and evaluation logics are put in place, and Indigenous input is there from the start, then good data processes will ensue.</w:t>
      </w:r>
    </w:p>
    <w:p w14:paraId="56F65C63" w14:textId="07ED0D44" w:rsidR="00695345" w:rsidRPr="00695345" w:rsidRDefault="000D4706" w:rsidP="001E1EFB">
      <w:pPr>
        <w:jc w:val="both"/>
        <w:rPr>
          <w:b/>
        </w:rPr>
      </w:pPr>
      <w:r>
        <w:rPr>
          <w:b/>
        </w:rPr>
        <w:t>Improving Indigenous data</w:t>
      </w:r>
    </w:p>
    <w:p w14:paraId="713107B3" w14:textId="4336BCD0" w:rsidR="00601646" w:rsidRDefault="00601646" w:rsidP="00601646">
      <w:pPr>
        <w:jc w:val="both"/>
      </w:pPr>
      <w:r>
        <w:t xml:space="preserve">Regarding data reporting, there exists an orthodoxy of </w:t>
      </w:r>
      <w:r w:rsidR="00E516B0">
        <w:t xml:space="preserve">the </w:t>
      </w:r>
      <w:r>
        <w:t xml:space="preserve">dichotomy – that is – simplified comparisons of Indigenous versus non-Indigenous, which is sometimes useful (for example in cancer rates), but other times just reinforces that “hopeless, helpless and hapless” narrative, which is the picture that a non-Indigenous Australia is presented of Aboriginal and Torres Strait Islander people. They know the </w:t>
      </w:r>
      <w:r w:rsidR="00C027EF">
        <w:t>“</w:t>
      </w:r>
      <w:r>
        <w:t>statistical Indigene</w:t>
      </w:r>
      <w:r w:rsidR="00C027EF">
        <w:t>”</w:t>
      </w:r>
      <w:r>
        <w:t xml:space="preserve"> and the picture that paints, which is pretty awful.</w:t>
      </w:r>
    </w:p>
    <w:p w14:paraId="50FBAA16" w14:textId="75412308" w:rsidR="00231B7D" w:rsidRDefault="00601646" w:rsidP="001E1EFB">
      <w:pPr>
        <w:jc w:val="both"/>
      </w:pPr>
      <w:r w:rsidRPr="00601646">
        <w:t xml:space="preserve">There needs to be a more nuanced approach to </w:t>
      </w:r>
      <w:r>
        <w:t xml:space="preserve">data and reporting, and something other than treating Aboriginal and Torres Strait Islander people as an aggregated mob. </w:t>
      </w:r>
      <w:r w:rsidR="00231B7D">
        <w:t xml:space="preserve">For example, I was working on </w:t>
      </w:r>
      <w:r>
        <w:t>a project involving</w:t>
      </w:r>
      <w:r w:rsidR="00231B7D">
        <w:t xml:space="preserve"> </w:t>
      </w:r>
      <w:r w:rsidR="00BE59B8">
        <w:t>linking</w:t>
      </w:r>
      <w:r w:rsidR="00231B7D">
        <w:t xml:space="preserve"> </w:t>
      </w:r>
      <w:r>
        <w:t xml:space="preserve">of </w:t>
      </w:r>
      <w:r w:rsidR="00231B7D">
        <w:t xml:space="preserve">Northern Territory data </w:t>
      </w:r>
      <w:r w:rsidR="00C4708F">
        <w:t>on</w:t>
      </w:r>
      <w:r w:rsidR="00231B7D">
        <w:t xml:space="preserve"> children. Non-Indigenous </w:t>
      </w:r>
      <w:r w:rsidR="008C0BC8">
        <w:t>colleagues</w:t>
      </w:r>
      <w:r w:rsidR="00231B7D">
        <w:t xml:space="preserve"> </w:t>
      </w:r>
      <w:r>
        <w:t>implemented a</w:t>
      </w:r>
      <w:r w:rsidR="00231B7D">
        <w:t xml:space="preserve"> really straight</w:t>
      </w:r>
      <w:r w:rsidR="00C4708F">
        <w:t>forward</w:t>
      </w:r>
      <w:r w:rsidR="00231B7D">
        <w:t xml:space="preserve"> model </w:t>
      </w:r>
      <w:r w:rsidR="008C0BC8">
        <w:t xml:space="preserve">comparing </w:t>
      </w:r>
      <w:r w:rsidR="00231B7D">
        <w:t xml:space="preserve">Aboriginal </w:t>
      </w:r>
      <w:r w:rsidR="008C0BC8">
        <w:t>with</w:t>
      </w:r>
      <w:r w:rsidR="00231B7D">
        <w:t xml:space="preserve"> </w:t>
      </w:r>
      <w:r w:rsidR="00231B7D">
        <w:lastRenderedPageBreak/>
        <w:t>non-Aboriginal</w:t>
      </w:r>
      <w:r w:rsidR="008C0BC8">
        <w:t xml:space="preserve"> kids</w:t>
      </w:r>
      <w:r w:rsidR="00231B7D">
        <w:t xml:space="preserve">. </w:t>
      </w:r>
      <w:r w:rsidR="00C4708F">
        <w:t>A more useful question to ask is</w:t>
      </w:r>
      <w:r w:rsidR="00666564">
        <w:t>,</w:t>
      </w:r>
      <w:r w:rsidR="00C4708F">
        <w:t xml:space="preserve"> “how</w:t>
      </w:r>
      <w:r w:rsidR="00C50A8F">
        <w:t xml:space="preserve"> </w:t>
      </w:r>
      <w:r>
        <w:t>are</w:t>
      </w:r>
      <w:r w:rsidR="00C50A8F">
        <w:t xml:space="preserve"> </w:t>
      </w:r>
      <w:r w:rsidR="00231B7D">
        <w:t>urban Indigenous</w:t>
      </w:r>
      <w:r w:rsidR="00C50A8F">
        <w:t xml:space="preserve"> kids doing in comparison to their regional or remote counterparts</w:t>
      </w:r>
      <w:r w:rsidR="00C4708F">
        <w:t>”</w:t>
      </w:r>
      <w:r w:rsidR="00C50A8F">
        <w:t xml:space="preserve">? </w:t>
      </w:r>
      <w:r w:rsidR="00231B7D">
        <w:t>The remote area data needed to be put into conte</w:t>
      </w:r>
      <w:r>
        <w:t>xt of these communities – grouping of communities according to</w:t>
      </w:r>
      <w:r w:rsidR="00231B7D">
        <w:t xml:space="preserve"> things </w:t>
      </w:r>
      <w:r>
        <w:t xml:space="preserve">they have </w:t>
      </w:r>
      <w:r w:rsidR="00231B7D">
        <w:t>in common (</w:t>
      </w:r>
      <w:r>
        <w:t>e.g.</w:t>
      </w:r>
      <w:r w:rsidR="00231B7D">
        <w:t xml:space="preserve"> presence o</w:t>
      </w:r>
      <w:r w:rsidR="00666564">
        <w:t>f</w:t>
      </w:r>
      <w:r w:rsidR="00231B7D">
        <w:t xml:space="preserve"> a </w:t>
      </w:r>
      <w:r w:rsidR="00666564">
        <w:t xml:space="preserve">primary or </w:t>
      </w:r>
      <w:r w:rsidR="00D91A85">
        <w:t>high school, quality of medical service</w:t>
      </w:r>
      <w:r w:rsidR="00666564">
        <w:t>s</w:t>
      </w:r>
      <w:r w:rsidR="00231B7D">
        <w:t xml:space="preserve">). </w:t>
      </w:r>
      <w:r w:rsidR="00D91A85">
        <w:t>We got a much better picture than</w:t>
      </w:r>
      <w:r>
        <w:t xml:space="preserve"> when</w:t>
      </w:r>
      <w:r w:rsidR="00D91A85">
        <w:t xml:space="preserve"> just comparing Abori</w:t>
      </w:r>
      <w:r w:rsidR="00141A30">
        <w:t xml:space="preserve">ginal with non-Aboriginal kids (e.g. </w:t>
      </w:r>
      <w:r w:rsidR="00D91A85">
        <w:t>mother’s smoking rates, alcohol</w:t>
      </w:r>
      <w:r w:rsidR="00C4708F">
        <w:t xml:space="preserve"> consumption</w:t>
      </w:r>
      <w:r w:rsidR="00D91A85">
        <w:t xml:space="preserve"> </w:t>
      </w:r>
      <w:r w:rsidR="00141A30">
        <w:t>in the family</w:t>
      </w:r>
      <w:r>
        <w:t>,</w:t>
      </w:r>
      <w:r w:rsidR="00D91A85">
        <w:t xml:space="preserve"> </w:t>
      </w:r>
      <w:proofErr w:type="spellStart"/>
      <w:r w:rsidR="00D91A85">
        <w:t>etc</w:t>
      </w:r>
      <w:proofErr w:type="spellEnd"/>
      <w:r w:rsidR="00141A30">
        <w:t>)</w:t>
      </w:r>
      <w:r w:rsidR="00D91A85">
        <w:t xml:space="preserve">. </w:t>
      </w:r>
      <w:r>
        <w:t>It i</w:t>
      </w:r>
      <w:r w:rsidR="00231B7D">
        <w:t>s hard to b</w:t>
      </w:r>
      <w:r w:rsidR="00141A30">
        <w:t>reak people out of that trope — i</w:t>
      </w:r>
      <w:r w:rsidR="00231B7D">
        <w:t>f all you have in the model are negative things, data can only tell a negative story.</w:t>
      </w:r>
    </w:p>
    <w:p w14:paraId="233E545D" w14:textId="65C730E2" w:rsidR="00D101CC" w:rsidRDefault="00674227" w:rsidP="001E1EFB">
      <w:pPr>
        <w:jc w:val="both"/>
      </w:pPr>
      <w:r>
        <w:t>T</w:t>
      </w:r>
      <w:r w:rsidR="00D23879">
        <w:t>he Longitudinal Study of Indigenous Children</w:t>
      </w:r>
      <w:r w:rsidR="00D101CC">
        <w:t xml:space="preserve"> </w:t>
      </w:r>
      <w:r w:rsidR="00D23879">
        <w:t>(</w:t>
      </w:r>
      <w:r w:rsidR="001E6BE0">
        <w:t>LSIC</w:t>
      </w:r>
      <w:r w:rsidR="00D23879">
        <w:t>)</w:t>
      </w:r>
      <w:r>
        <w:t xml:space="preserve"> is another example.</w:t>
      </w:r>
      <w:r w:rsidR="00593A1A">
        <w:t xml:space="preserve"> </w:t>
      </w:r>
      <w:r>
        <w:t>T</w:t>
      </w:r>
      <w:r w:rsidR="00986D82">
        <w:t>here is a standard</w:t>
      </w:r>
      <w:r w:rsidR="00593A1A">
        <w:t xml:space="preserve"> parenting </w:t>
      </w:r>
      <w:r w:rsidR="00986D82">
        <w:t>efficacy</w:t>
      </w:r>
      <w:r w:rsidR="00593A1A">
        <w:t xml:space="preserve"> and esteem</w:t>
      </w:r>
      <w:r w:rsidR="00986D82">
        <w:t xml:space="preserve"> measure</w:t>
      </w:r>
      <w:r w:rsidR="00B643F4">
        <w:t xml:space="preserve"> </w:t>
      </w:r>
      <w:r>
        <w:t>—</w:t>
      </w:r>
      <w:r w:rsidR="00B643F4">
        <w:t xml:space="preserve"> how parents rate their own parenting across a number of measures. </w:t>
      </w:r>
      <w:r>
        <w:t>Results</w:t>
      </w:r>
      <w:r w:rsidR="00601646">
        <w:t xml:space="preserve"> can be put into a</w:t>
      </w:r>
      <w:r w:rsidR="00D101CC">
        <w:t xml:space="preserve"> model and the usual suspects appear</w:t>
      </w:r>
      <w:r>
        <w:t xml:space="preserve"> to explain differences in parenting efficacy —</w:t>
      </w:r>
      <w:r w:rsidR="00D101CC">
        <w:t xml:space="preserve"> age </w:t>
      </w:r>
      <w:r w:rsidR="00005B85">
        <w:t>of parents</w:t>
      </w:r>
      <w:r w:rsidR="00D101CC">
        <w:t xml:space="preserve">, </w:t>
      </w:r>
      <w:r w:rsidR="00D12225">
        <w:t>remoteness</w:t>
      </w:r>
      <w:r w:rsidR="00666564">
        <w:t xml:space="preserve"> (remote</w:t>
      </w:r>
      <w:r w:rsidR="00D101CC">
        <w:t xml:space="preserve"> </w:t>
      </w:r>
      <w:r>
        <w:t>parents do</w:t>
      </w:r>
      <w:r w:rsidR="00D101CC">
        <w:t xml:space="preserve"> better than urban possibly</w:t>
      </w:r>
      <w:r w:rsidR="00601646">
        <w:t xml:space="preserve"> because of</w:t>
      </w:r>
      <w:r w:rsidR="00D101CC">
        <w:t xml:space="preserve"> the absence of judgement)</w:t>
      </w:r>
      <w:r w:rsidR="00F01365">
        <w:t xml:space="preserve">, </w:t>
      </w:r>
      <w:r>
        <w:t xml:space="preserve">the </w:t>
      </w:r>
      <w:r w:rsidR="00F01365">
        <w:t>mother’s health</w:t>
      </w:r>
      <w:r>
        <w:t xml:space="preserve"> also has an influence</w:t>
      </w:r>
      <w:r w:rsidR="00601646">
        <w:t>,</w:t>
      </w:r>
      <w:r w:rsidR="00F01365">
        <w:t xml:space="preserve"> etc</w:t>
      </w:r>
      <w:r>
        <w:t>. However, t</w:t>
      </w:r>
      <w:r w:rsidR="00D101CC">
        <w:t>hrow in time spen</w:t>
      </w:r>
      <w:r w:rsidR="00CF77E1">
        <w:t>t</w:t>
      </w:r>
      <w:r w:rsidR="00D101CC">
        <w:t xml:space="preserve"> with community elders and leaders, </w:t>
      </w:r>
      <w:r>
        <w:t>and</w:t>
      </w:r>
      <w:r w:rsidR="00D101CC">
        <w:t xml:space="preserve"> a </w:t>
      </w:r>
      <w:r w:rsidR="00F01365">
        <w:t xml:space="preserve">statistically, highly significant </w:t>
      </w:r>
      <w:r w:rsidR="00D101CC">
        <w:t>positive outcome</w:t>
      </w:r>
      <w:r>
        <w:t xml:space="preserve"> emerges</w:t>
      </w:r>
      <w:r w:rsidR="00D101CC">
        <w:t xml:space="preserve">. A normal dataset </w:t>
      </w:r>
      <w:r w:rsidR="00CF77E1">
        <w:t xml:space="preserve">will not </w:t>
      </w:r>
      <w:r w:rsidR="00D101CC">
        <w:t xml:space="preserve">have these variables. </w:t>
      </w:r>
      <w:r w:rsidR="00F01365">
        <w:t>That</w:t>
      </w:r>
      <w:r w:rsidR="00CF77E1">
        <w:t xml:space="preserve"> i</w:t>
      </w:r>
      <w:r w:rsidR="00F01365">
        <w:t>s what LSIC does</w:t>
      </w:r>
      <w:r>
        <w:t xml:space="preserve"> well</w:t>
      </w:r>
      <w:r w:rsidR="00005B85">
        <w:t>. I</w:t>
      </w:r>
      <w:r w:rsidR="00F01365">
        <w:t>t adds things to the model outside of “what’s wrong with Aboriginal people</w:t>
      </w:r>
      <w:r w:rsidR="00DB717F">
        <w:t>?</w:t>
      </w:r>
      <w:r w:rsidR="00F01365">
        <w:t>”</w:t>
      </w:r>
    </w:p>
    <w:p w14:paraId="5FEE2978" w14:textId="53481916" w:rsidR="00D101CC" w:rsidRDefault="00B72D72" w:rsidP="001E1EFB">
      <w:pPr>
        <w:jc w:val="both"/>
        <w:rPr>
          <w:b/>
        </w:rPr>
      </w:pPr>
      <w:r>
        <w:rPr>
          <w:b/>
        </w:rPr>
        <w:t>Are</w:t>
      </w:r>
      <w:r w:rsidR="00D23879">
        <w:rPr>
          <w:b/>
        </w:rPr>
        <w:t xml:space="preserve"> </w:t>
      </w:r>
      <w:r w:rsidR="004B3357">
        <w:rPr>
          <w:b/>
        </w:rPr>
        <w:t>Aboriginal and Torres Strait Islander</w:t>
      </w:r>
      <w:r w:rsidR="00D23879">
        <w:rPr>
          <w:b/>
        </w:rPr>
        <w:t xml:space="preserve"> people’s priorities and interest</w:t>
      </w:r>
      <w:r>
        <w:rPr>
          <w:b/>
        </w:rPr>
        <w:t>s</w:t>
      </w:r>
      <w:r w:rsidR="00D23879">
        <w:rPr>
          <w:b/>
        </w:rPr>
        <w:t xml:space="preserve"> </w:t>
      </w:r>
      <w:r>
        <w:rPr>
          <w:b/>
        </w:rPr>
        <w:t>being</w:t>
      </w:r>
      <w:r w:rsidR="00432021">
        <w:rPr>
          <w:b/>
        </w:rPr>
        <w:t xml:space="preserve"> </w:t>
      </w:r>
      <w:r w:rsidR="00D23879">
        <w:rPr>
          <w:b/>
        </w:rPr>
        <w:t>captured</w:t>
      </w:r>
      <w:r w:rsidR="00432021">
        <w:rPr>
          <w:b/>
        </w:rPr>
        <w:t xml:space="preserve"> </w:t>
      </w:r>
      <w:r w:rsidR="000D4706">
        <w:rPr>
          <w:b/>
        </w:rPr>
        <w:t>under current</w:t>
      </w:r>
      <w:r w:rsidR="00432021">
        <w:rPr>
          <w:b/>
        </w:rPr>
        <w:t xml:space="preserve"> data </w:t>
      </w:r>
      <w:r>
        <w:rPr>
          <w:b/>
        </w:rPr>
        <w:t>arrangements?</w:t>
      </w:r>
    </w:p>
    <w:p w14:paraId="7DBADB1D" w14:textId="25AB3056" w:rsidR="00D23879" w:rsidRDefault="00D23879" w:rsidP="001E1EFB">
      <w:pPr>
        <w:jc w:val="both"/>
      </w:pPr>
      <w:r>
        <w:t>This is not reall</w:t>
      </w:r>
      <w:r w:rsidR="00D2485A">
        <w:t>y being done, except with LSIC</w:t>
      </w:r>
      <w:r w:rsidR="000A2089">
        <w:t>,</w:t>
      </w:r>
      <w:r w:rsidR="00D2485A">
        <w:t xml:space="preserve"> </w:t>
      </w:r>
      <w:r w:rsidR="000A2089">
        <w:t>which has</w:t>
      </w:r>
      <w:r w:rsidR="00D2485A">
        <w:t xml:space="preserve"> an Aboriginal and Torres Strait Islander dominated steering committee</w:t>
      </w:r>
      <w:r w:rsidR="000A2089">
        <w:t xml:space="preserve"> and </w:t>
      </w:r>
      <w:r w:rsidR="002273B2">
        <w:t xml:space="preserve">has </w:t>
      </w:r>
      <w:r w:rsidR="00B72D72">
        <w:t>been running successfully since 2008</w:t>
      </w:r>
      <w:r w:rsidR="00D2485A">
        <w:t>.</w:t>
      </w:r>
      <w:r w:rsidR="002273B2">
        <w:t xml:space="preserve"> However, t</w:t>
      </w:r>
      <w:r w:rsidR="00942361">
        <w:t>he program is under constant threat from actions taken by the department that panic and unsettle parents</w:t>
      </w:r>
      <w:r w:rsidR="00CF77E1">
        <w:t>,</w:t>
      </w:r>
      <w:r w:rsidR="00942361">
        <w:t xml:space="preserve"> particularly streamli</w:t>
      </w:r>
      <w:r w:rsidR="00CF77E1">
        <w:t>ni</w:t>
      </w:r>
      <w:r w:rsidR="00942361">
        <w:t>ng and harmonising measures</w:t>
      </w:r>
      <w:r w:rsidR="000A2089">
        <w:t xml:space="preserve"> with the Longitudinal Study of Australian Children (LSAC)</w:t>
      </w:r>
      <w:r w:rsidR="00942361">
        <w:t xml:space="preserve">. </w:t>
      </w:r>
      <w:r w:rsidR="000A2089">
        <w:t>LSIC has</w:t>
      </w:r>
      <w:r w:rsidR="00D2485A">
        <w:t xml:space="preserve"> been successful by persuading parents </w:t>
      </w:r>
      <w:r w:rsidR="006C4661">
        <w:t xml:space="preserve">that </w:t>
      </w:r>
      <w:r w:rsidR="00D2485A">
        <w:t xml:space="preserve">it presents </w:t>
      </w:r>
      <w:r w:rsidR="009F39CB">
        <w:t xml:space="preserve">a more nuanced reality of </w:t>
      </w:r>
      <w:r w:rsidR="00D2485A">
        <w:t>Aboriginal perspectives</w:t>
      </w:r>
      <w:r w:rsidR="009F39CB">
        <w:t xml:space="preserve"> and lived experience</w:t>
      </w:r>
      <w:r w:rsidR="006C4661">
        <w:t xml:space="preserve"> in the data gathered</w:t>
      </w:r>
      <w:r w:rsidR="009A7E10">
        <w:t xml:space="preserve"> </w:t>
      </w:r>
      <w:r w:rsidR="00CA091F">
        <w:t xml:space="preserve">for </w:t>
      </w:r>
      <w:r w:rsidR="009A7E10">
        <w:t>government,</w:t>
      </w:r>
      <w:r w:rsidR="00593A1A">
        <w:t xml:space="preserve"> and </w:t>
      </w:r>
      <w:r w:rsidR="006C4661">
        <w:t xml:space="preserve">it </w:t>
      </w:r>
      <w:r w:rsidR="00593A1A">
        <w:t xml:space="preserve">has </w:t>
      </w:r>
      <w:r w:rsidR="000A2089">
        <w:t>achieved a</w:t>
      </w:r>
      <w:r w:rsidR="00593A1A">
        <w:t xml:space="preserve"> great retention rate over a number of years. But this resource is hard-built</w:t>
      </w:r>
      <w:r w:rsidR="00A42BBE">
        <w:t xml:space="preserve"> through trust</w:t>
      </w:r>
      <w:r w:rsidR="004B3357">
        <w:t>,</w:t>
      </w:r>
      <w:r w:rsidR="00593A1A">
        <w:t xml:space="preserve"> and </w:t>
      </w:r>
      <w:r w:rsidR="000A2089">
        <w:t xml:space="preserve">trust can be </w:t>
      </w:r>
      <w:r w:rsidR="00593A1A">
        <w:t>easily destroyed</w:t>
      </w:r>
      <w:r w:rsidR="00486394">
        <w:t xml:space="preserve">, not by malignant intent, but </w:t>
      </w:r>
      <w:r w:rsidR="000A2089">
        <w:t xml:space="preserve">by </w:t>
      </w:r>
      <w:r w:rsidR="00486394">
        <w:t>a lack of understanding</w:t>
      </w:r>
      <w:r w:rsidR="00593A1A">
        <w:t>.</w:t>
      </w:r>
    </w:p>
    <w:p w14:paraId="72D17A61" w14:textId="4CA802E1" w:rsidR="00593A1A" w:rsidRDefault="00593A1A" w:rsidP="001E1EFB">
      <w:pPr>
        <w:jc w:val="both"/>
      </w:pPr>
      <w:r>
        <w:t xml:space="preserve">Every big department should have an Indigenous data </w:t>
      </w:r>
      <w:r w:rsidR="00394432">
        <w:t xml:space="preserve">governance </w:t>
      </w:r>
      <w:r>
        <w:t>mechanism</w:t>
      </w:r>
      <w:r w:rsidR="00394432">
        <w:t xml:space="preserve"> to provide Indigenous input</w:t>
      </w:r>
      <w:r>
        <w:t xml:space="preserve"> that dictates what data is collected and under what circumstances</w:t>
      </w:r>
      <w:r w:rsidR="00CD43BB">
        <w:t xml:space="preserve">. </w:t>
      </w:r>
      <w:r w:rsidR="00CD43BB" w:rsidRPr="002E540F">
        <w:t xml:space="preserve">This is the approach that we, the </w:t>
      </w:r>
      <w:proofErr w:type="spellStart"/>
      <w:r w:rsidR="00CD43BB" w:rsidRPr="002E540F">
        <w:t>Maiam</w:t>
      </w:r>
      <w:proofErr w:type="spellEnd"/>
      <w:r w:rsidR="00CD43BB" w:rsidRPr="002E540F">
        <w:t xml:space="preserve"> </w:t>
      </w:r>
      <w:proofErr w:type="spellStart"/>
      <w:r w:rsidR="00CD43BB" w:rsidRPr="002E540F">
        <w:t>nayri</w:t>
      </w:r>
      <w:proofErr w:type="spellEnd"/>
      <w:r w:rsidR="00CD43BB" w:rsidRPr="002E540F">
        <w:t xml:space="preserve"> </w:t>
      </w:r>
      <w:proofErr w:type="spellStart"/>
      <w:r w:rsidR="00CD43BB" w:rsidRPr="002E540F">
        <w:t>Wingara</w:t>
      </w:r>
      <w:proofErr w:type="spellEnd"/>
      <w:r w:rsidR="00CD43BB" w:rsidRPr="002E540F">
        <w:t xml:space="preserve"> Indigenous Data Sovereignty collective members, took </w:t>
      </w:r>
      <w:r w:rsidR="00781453" w:rsidRPr="002E540F">
        <w:t xml:space="preserve"> with the data sharing legislation</w:t>
      </w:r>
      <w:r w:rsidRPr="002E540F">
        <w:t>.</w:t>
      </w:r>
      <w:r w:rsidR="006D2450">
        <w:t xml:space="preserve"> This is necessary to prevent data being used to reinforce the same old tropes.</w:t>
      </w:r>
      <w:r>
        <w:t xml:space="preserve"> LSIC has been a good example in the past</w:t>
      </w:r>
      <w:r w:rsidR="00715142">
        <w:t xml:space="preserve"> but Indigenous decision making has been fading off</w:t>
      </w:r>
      <w:r w:rsidR="000A2089">
        <w:t xml:space="preserve"> — t</w:t>
      </w:r>
      <w:r>
        <w:t>he information collect</w:t>
      </w:r>
      <w:r w:rsidR="000A2089">
        <w:t>ed</w:t>
      </w:r>
      <w:r>
        <w:t xml:space="preserve"> needs to reflect what Aboriginal and Torres Strait Islander people want</w:t>
      </w:r>
      <w:r w:rsidR="000273EF">
        <w:t xml:space="preserve"> the</w:t>
      </w:r>
      <w:r>
        <w:t xml:space="preserve"> government to know. </w:t>
      </w:r>
      <w:r w:rsidR="00D1486C">
        <w:t>LSIC</w:t>
      </w:r>
      <w:r>
        <w:t xml:space="preserve"> information is collected on the ground by Aboriginal and Torres Strai</w:t>
      </w:r>
      <w:r w:rsidR="00D1486C">
        <w:t xml:space="preserve">t Islander people and maintains, through trust, a </w:t>
      </w:r>
      <w:r>
        <w:t xml:space="preserve">75 percent retention </w:t>
      </w:r>
      <w:r w:rsidR="00FA57F1">
        <w:t xml:space="preserve">rate </w:t>
      </w:r>
      <w:r>
        <w:t xml:space="preserve">from the beginning of the study, </w:t>
      </w:r>
      <w:r w:rsidR="00D1486C">
        <w:t>and</w:t>
      </w:r>
      <w:r>
        <w:t xml:space="preserve"> a 90 perce</w:t>
      </w:r>
      <w:r w:rsidR="00F25EE8">
        <w:t xml:space="preserve">nt retention </w:t>
      </w:r>
      <w:r w:rsidR="00FA57F1">
        <w:t xml:space="preserve">rate </w:t>
      </w:r>
      <w:r w:rsidR="00F25EE8">
        <w:t>from wave to wave. All of this is under threat as the</w:t>
      </w:r>
      <w:r w:rsidR="000A2089">
        <w:t xml:space="preserve"> LSIC</w:t>
      </w:r>
      <w:r w:rsidR="00F25EE8">
        <w:t xml:space="preserve"> project is out to tender. </w:t>
      </w:r>
    </w:p>
    <w:p w14:paraId="249C3FC0" w14:textId="4ECD5A34" w:rsidR="008C1382" w:rsidRDefault="00EB3881" w:rsidP="001E1EFB">
      <w:pPr>
        <w:jc w:val="both"/>
        <w:rPr>
          <w:b/>
        </w:rPr>
      </w:pPr>
      <w:r>
        <w:rPr>
          <w:b/>
        </w:rPr>
        <w:t>Reciprocity in</w:t>
      </w:r>
      <w:r w:rsidR="005A63D6">
        <w:rPr>
          <w:b/>
        </w:rPr>
        <w:t xml:space="preserve"> government</w:t>
      </w:r>
      <w:r>
        <w:rPr>
          <w:b/>
        </w:rPr>
        <w:t xml:space="preserve"> data collection</w:t>
      </w:r>
    </w:p>
    <w:p w14:paraId="19466944" w14:textId="5AEAD592" w:rsidR="008C1382" w:rsidRDefault="008C1382" w:rsidP="001E1EFB">
      <w:pPr>
        <w:jc w:val="both"/>
      </w:pPr>
      <w:r>
        <w:t>Significant barriers exists for local organisations trying to utilise data. For example</w:t>
      </w:r>
      <w:r w:rsidR="00C07CDC">
        <w:t>, I a</w:t>
      </w:r>
      <w:r>
        <w:t xml:space="preserve">m working on a project at the moment </w:t>
      </w:r>
      <w:r w:rsidR="00C07CDC">
        <w:t>using</w:t>
      </w:r>
      <w:r>
        <w:t xml:space="preserve"> </w:t>
      </w:r>
      <w:r w:rsidR="00C07CDC">
        <w:t xml:space="preserve">linked health data containing </w:t>
      </w:r>
      <w:r>
        <w:t>10,000</w:t>
      </w:r>
      <w:r w:rsidR="00C07CDC">
        <w:t xml:space="preserve"> records. But </w:t>
      </w:r>
      <w:r w:rsidR="00E516B0">
        <w:t xml:space="preserve">we are </w:t>
      </w:r>
      <w:r>
        <w:t xml:space="preserve">struggling to get permission from my community to investigate that data. People are deeply suspicious of data about them being investigated and findings on them coming out. </w:t>
      </w:r>
      <w:r w:rsidR="003606DA">
        <w:t>The main</w:t>
      </w:r>
      <w:r>
        <w:t xml:space="preserve"> </w:t>
      </w:r>
      <w:r w:rsidR="00C07CDC">
        <w:t>reason behind this</w:t>
      </w:r>
      <w:r>
        <w:t xml:space="preserve"> is that </w:t>
      </w:r>
      <w:r w:rsidR="00C07CDC">
        <w:t>they do no</w:t>
      </w:r>
      <w:r>
        <w:t>t understand data at the community level and government</w:t>
      </w:r>
      <w:r w:rsidR="003606DA">
        <w:t>s</w:t>
      </w:r>
      <w:r>
        <w:t xml:space="preserve"> </w:t>
      </w:r>
      <w:r w:rsidR="003606DA">
        <w:t>act</w:t>
      </w:r>
      <w:r w:rsidR="00C07CDC">
        <w:t xml:space="preserve"> like</w:t>
      </w:r>
      <w:r w:rsidR="003606DA">
        <w:t xml:space="preserve"> </w:t>
      </w:r>
      <w:r>
        <w:t>huge vacuum cleaner</w:t>
      </w:r>
      <w:r w:rsidR="003606DA">
        <w:t>s that just suck</w:t>
      </w:r>
      <w:r>
        <w:t xml:space="preserve"> up information from organisations that have to supply data, but </w:t>
      </w:r>
      <w:r w:rsidR="00C07CDC">
        <w:t xml:space="preserve">the community </w:t>
      </w:r>
      <w:r>
        <w:t xml:space="preserve">never get anything in return. </w:t>
      </w:r>
      <w:r w:rsidR="00C07CDC">
        <w:t>Local organisations are being asked for expertise they do not have. We need to be careful not to overburden people who have not been provided with the skills, or give the</w:t>
      </w:r>
      <w:r w:rsidR="003606DA">
        <w:t>m the</w:t>
      </w:r>
      <w:r w:rsidR="00C07CDC">
        <w:t xml:space="preserve"> opportunity to develop the skills. </w:t>
      </w:r>
    </w:p>
    <w:p w14:paraId="3D41183D" w14:textId="336A0BBD" w:rsidR="008C1382" w:rsidRDefault="00C07CDC" w:rsidP="001E1EFB">
      <w:pPr>
        <w:jc w:val="both"/>
      </w:pPr>
      <w:r>
        <w:lastRenderedPageBreak/>
        <w:t>The Indigenous Evaluation Strategy s</w:t>
      </w:r>
      <w:r w:rsidR="008C1382">
        <w:t>hould encourage or incentivise departments and agencies to provide information back to commun</w:t>
      </w:r>
      <w:r>
        <w:t xml:space="preserve">ities that they draw </w:t>
      </w:r>
      <w:r w:rsidR="008C1382">
        <w:t xml:space="preserve">data from. If Aboriginal Controlled Health Organisations are providing all this data, </w:t>
      </w:r>
      <w:r>
        <w:t>then</w:t>
      </w:r>
      <w:r w:rsidR="008C1382">
        <w:t xml:space="preserve"> there </w:t>
      </w:r>
      <w:r>
        <w:t>should be a</w:t>
      </w:r>
      <w:r w:rsidR="008C1382">
        <w:t xml:space="preserve"> responsibility</w:t>
      </w:r>
      <w:r>
        <w:t xml:space="preserve"> for government</w:t>
      </w:r>
      <w:r w:rsidR="008C1382">
        <w:t xml:space="preserve"> to actually provide some sort of feedback on </w:t>
      </w:r>
      <w:r>
        <w:t>the</w:t>
      </w:r>
      <w:r w:rsidR="008C1382">
        <w:t xml:space="preserve"> data</w:t>
      </w:r>
      <w:r w:rsidRPr="00C07CDC">
        <w:t xml:space="preserve"> </w:t>
      </w:r>
      <w:r w:rsidR="003606DA">
        <w:t>periodically throughout the</w:t>
      </w:r>
      <w:r>
        <w:t xml:space="preserve"> a year</w:t>
      </w:r>
      <w:r w:rsidR="008C1382">
        <w:t xml:space="preserve">. This applies </w:t>
      </w:r>
      <w:r w:rsidR="008612A2">
        <w:t xml:space="preserve">to </w:t>
      </w:r>
      <w:r w:rsidR="003606DA">
        <w:t>both</w:t>
      </w:r>
      <w:r w:rsidR="008C1382">
        <w:t xml:space="preserve"> urban and remote </w:t>
      </w:r>
      <w:r w:rsidR="003606DA">
        <w:t>populations</w:t>
      </w:r>
      <w:r w:rsidR="008C1382">
        <w:t>.</w:t>
      </w:r>
    </w:p>
    <w:p w14:paraId="05C19D62" w14:textId="4803E30F" w:rsidR="005A63D6" w:rsidRDefault="005A63D6" w:rsidP="005A63D6">
      <w:pPr>
        <w:jc w:val="both"/>
      </w:pPr>
      <w:r>
        <w:t xml:space="preserve">The focus of the government’s Indigenous Advancement Strategy and Indigenous policy is very much on remote people, which is understandable, given some of the issues of poor housing, health, education and outcomes. But this comes </w:t>
      </w:r>
      <w:r w:rsidR="003606DA">
        <w:t>at</w:t>
      </w:r>
      <w:r>
        <w:t xml:space="preserve"> the exclusion of the 80 percent of Aboriginal and Torres Strait Islander people who do not live in remote areas. And this is evident in the data available. Often they face the same problems and factors. For example – the elders question mentioned in the parenting study previously – this was equally important across urban, regional and remote Indigenous communities. </w:t>
      </w:r>
    </w:p>
    <w:p w14:paraId="27735242" w14:textId="462BB67E" w:rsidR="008C1382" w:rsidRDefault="004D56D1" w:rsidP="001E1EFB">
      <w:pPr>
        <w:jc w:val="both"/>
        <w:rPr>
          <w:b/>
        </w:rPr>
      </w:pPr>
      <w:r>
        <w:rPr>
          <w:b/>
        </w:rPr>
        <w:t>Indigenous data s</w:t>
      </w:r>
      <w:r w:rsidR="008C1382">
        <w:rPr>
          <w:b/>
        </w:rPr>
        <w:t>overeignty</w:t>
      </w:r>
    </w:p>
    <w:p w14:paraId="3A3225C6" w14:textId="26E798A1" w:rsidR="008C1382" w:rsidRDefault="008C1382" w:rsidP="001E1EFB">
      <w:pPr>
        <w:jc w:val="both"/>
      </w:pPr>
      <w:r>
        <w:t xml:space="preserve">We have recently formed the Global Indigenous data alliance. </w:t>
      </w:r>
      <w:r w:rsidR="00F2431C">
        <w:t>C</w:t>
      </w:r>
      <w:r w:rsidR="001649C3">
        <w:t>ountries</w:t>
      </w:r>
      <w:r>
        <w:t xml:space="preserve"> such as New Zealand, t</w:t>
      </w:r>
      <w:r w:rsidR="005A63D6">
        <w:t xml:space="preserve">he United States, Canada and Australia </w:t>
      </w:r>
      <w:r>
        <w:t xml:space="preserve">are the main players, but Columbia, Sweden, Mexico and the Basque region of Spain are involved as well. We have come together to work on a global level because the principles that we all work under are very similar. One thing we are constantly focussed on is capacity building in our organisations, our communities and government departments, getting people to improve their statistical capability and literacy. There </w:t>
      </w:r>
      <w:r w:rsidR="005A63D6">
        <w:t>is such a need out there for guidance and we a</w:t>
      </w:r>
      <w:r>
        <w:t xml:space="preserve">re constantly being asked how to do things. As technology advances and </w:t>
      </w:r>
      <w:r w:rsidR="001649C3">
        <w:t xml:space="preserve">government </w:t>
      </w:r>
      <w:r>
        <w:t>gets more and more complex – algorithms, big</w:t>
      </w:r>
      <w:r w:rsidR="005A63D6">
        <w:t xml:space="preserve"> data –</w:t>
      </w:r>
      <w:r>
        <w:t xml:space="preserve"> Indigenous people are getting further removed from the process, and these</w:t>
      </w:r>
      <w:r w:rsidR="005A63D6">
        <w:t xml:space="preserve"> data</w:t>
      </w:r>
      <w:r>
        <w:t xml:space="preserve"> </w:t>
      </w:r>
      <w:r w:rsidR="005A63D6">
        <w:t xml:space="preserve">processes </w:t>
      </w:r>
      <w:r>
        <w:t xml:space="preserve">end up defining the policies that </w:t>
      </w:r>
      <w:r w:rsidR="005A63D6">
        <w:t>govern indigenous peoples’</w:t>
      </w:r>
      <w:r>
        <w:t xml:space="preserve"> lives. There is enormous potential </w:t>
      </w:r>
      <w:r w:rsidR="005A63D6">
        <w:t>and</w:t>
      </w:r>
      <w:r>
        <w:t xml:space="preserve"> </w:t>
      </w:r>
      <w:r w:rsidR="005A63D6">
        <w:t>although</w:t>
      </w:r>
      <w:r>
        <w:t xml:space="preserve"> we strong</w:t>
      </w:r>
      <w:r w:rsidR="005A63D6">
        <w:t>ly</w:t>
      </w:r>
      <w:r>
        <w:t xml:space="preserve"> critique data collection practices, </w:t>
      </w:r>
      <w:r w:rsidR="005A63D6">
        <w:t>this does no</w:t>
      </w:r>
      <w:r>
        <w:t>t mean we want to close</w:t>
      </w:r>
      <w:r w:rsidR="005A63D6">
        <w:t xml:space="preserve"> </w:t>
      </w:r>
      <w:r w:rsidR="001649C3">
        <w:t xml:space="preserve">them down. We want the opposite. We want data management </w:t>
      </w:r>
      <w:r>
        <w:t>in a way that works for us.</w:t>
      </w:r>
    </w:p>
    <w:p w14:paraId="5AC2AD2D" w14:textId="4E8566E5" w:rsidR="009A01DA" w:rsidRDefault="00A96FA3" w:rsidP="001E1EFB">
      <w:pPr>
        <w:jc w:val="both"/>
        <w:rPr>
          <w:b/>
        </w:rPr>
      </w:pPr>
      <w:r>
        <w:rPr>
          <w:b/>
        </w:rPr>
        <w:t>How does Indigenous data governance apply to</w:t>
      </w:r>
      <w:r w:rsidR="009A01DA">
        <w:rPr>
          <w:b/>
        </w:rPr>
        <w:t xml:space="preserve"> mainstream data (e</w:t>
      </w:r>
      <w:r>
        <w:rPr>
          <w:b/>
        </w:rPr>
        <w:t>.</w:t>
      </w:r>
      <w:r w:rsidR="009A01DA">
        <w:rPr>
          <w:b/>
        </w:rPr>
        <w:t>g</w:t>
      </w:r>
      <w:r>
        <w:rPr>
          <w:b/>
        </w:rPr>
        <w:t>.</w:t>
      </w:r>
      <w:r w:rsidR="009A01DA">
        <w:rPr>
          <w:b/>
        </w:rPr>
        <w:t xml:space="preserve"> social security)?</w:t>
      </w:r>
    </w:p>
    <w:p w14:paraId="34FB63A7" w14:textId="4091090A" w:rsidR="00EC611B" w:rsidRDefault="00A15D24" w:rsidP="001E1EFB">
      <w:pPr>
        <w:jc w:val="both"/>
      </w:pPr>
      <w:r>
        <w:t>Data collection is necessary</w:t>
      </w:r>
      <w:r w:rsidR="009A01DA" w:rsidRPr="009A01DA">
        <w:t xml:space="preserve"> for </w:t>
      </w:r>
      <w:r>
        <w:t>making government payments,</w:t>
      </w:r>
      <w:r w:rsidR="009A01DA" w:rsidRPr="009A01DA">
        <w:t xml:space="preserve"> and there are some impressive techniques out there that show what you can do with it.</w:t>
      </w:r>
      <w:r w:rsidR="009A01DA">
        <w:t xml:space="preserve"> Data collected for the</w:t>
      </w:r>
      <w:r>
        <w:t xml:space="preserve"> general</w:t>
      </w:r>
      <w:r w:rsidR="009A01DA">
        <w:t xml:space="preserve"> running of </w:t>
      </w:r>
      <w:r w:rsidR="002864FB">
        <w:t>a</w:t>
      </w:r>
      <w:r w:rsidR="009A01DA">
        <w:t xml:space="preserve"> department </w:t>
      </w:r>
      <w:r w:rsidR="00A96FA3">
        <w:t>would no</w:t>
      </w:r>
      <w:r w:rsidR="002D2E7A">
        <w:t>t</w:t>
      </w:r>
      <w:r w:rsidR="009A01DA">
        <w:t xml:space="preserve"> need Indigenous data governance, but some of </w:t>
      </w:r>
      <w:r>
        <w:t>elements</w:t>
      </w:r>
      <w:r w:rsidR="002D2E7A">
        <w:t xml:space="preserve"> would</w:t>
      </w:r>
      <w:r>
        <w:t>. One of my concerns is that we a</w:t>
      </w:r>
      <w:r w:rsidR="002D2E7A">
        <w:t>re m</w:t>
      </w:r>
      <w:r w:rsidR="00EC611B">
        <w:t>oving towards algorithms</w:t>
      </w:r>
      <w:r w:rsidR="002D2E7A">
        <w:t xml:space="preserve"> and machine learning data to run social programs, b</w:t>
      </w:r>
      <w:r>
        <w:t>ut algorithms do no</w:t>
      </w:r>
      <w:r w:rsidR="00EC611B">
        <w:t>t write themselves</w:t>
      </w:r>
      <w:r w:rsidR="00531D05">
        <w:t xml:space="preserve"> and still reflect certain biases and ways of thinking</w:t>
      </w:r>
      <w:r w:rsidR="00EC611B">
        <w:t>, so this still has the potential to need Indigenous data governance.</w:t>
      </w:r>
    </w:p>
    <w:p w14:paraId="161DE72F" w14:textId="3DA9C2FD" w:rsidR="00A15D24" w:rsidRPr="00A15D24" w:rsidRDefault="00A15D24" w:rsidP="001E1EFB">
      <w:pPr>
        <w:jc w:val="both"/>
        <w:rPr>
          <w:b/>
        </w:rPr>
      </w:pPr>
      <w:r>
        <w:rPr>
          <w:b/>
        </w:rPr>
        <w:t>Commonwealth-state</w:t>
      </w:r>
      <w:r w:rsidRPr="00A15D24">
        <w:rPr>
          <w:b/>
        </w:rPr>
        <w:t xml:space="preserve"> data</w:t>
      </w:r>
    </w:p>
    <w:p w14:paraId="7867CEEC" w14:textId="6C67269E" w:rsidR="00EC611B" w:rsidRDefault="00EC611B" w:rsidP="001E1EFB">
      <w:pPr>
        <w:jc w:val="both"/>
      </w:pPr>
      <w:r>
        <w:t xml:space="preserve">In the field of education, state departments </w:t>
      </w:r>
      <w:r w:rsidR="00F962CC">
        <w:t>receive huge amounts of money for</w:t>
      </w:r>
      <w:r>
        <w:t xml:space="preserve"> Indigenous </w:t>
      </w:r>
      <w:r w:rsidR="00F962CC">
        <w:t>education</w:t>
      </w:r>
      <w:r>
        <w:t xml:space="preserve"> but </w:t>
      </w:r>
      <w:r w:rsidR="00F962CC">
        <w:t xml:space="preserve">in some cases </w:t>
      </w:r>
      <w:r>
        <w:t>only allocate about 11 percent to Indigenous-badged programs</w:t>
      </w:r>
      <w:r w:rsidR="00F962CC">
        <w:t xml:space="preserve"> and the rest into mainstream services. </w:t>
      </w:r>
      <w:r w:rsidR="00A15D24">
        <w:t>There i</w:t>
      </w:r>
      <w:r w:rsidR="00E82DAF">
        <w:t>s no mechanism to check the impact of this funding</w:t>
      </w:r>
      <w:r w:rsidR="00C75635">
        <w:t>. Looking at NAPLA</w:t>
      </w:r>
      <w:r w:rsidR="00D42EB5">
        <w:t>N</w:t>
      </w:r>
      <w:r w:rsidR="00A15D24">
        <w:t xml:space="preserve"> data</w:t>
      </w:r>
      <w:r w:rsidR="006C7508">
        <w:t>,</w:t>
      </w:r>
      <w:r w:rsidR="005068F2">
        <w:t xml:space="preserve"> </w:t>
      </w:r>
      <w:r w:rsidR="00A15D24">
        <w:t>nothing ha</w:t>
      </w:r>
      <w:r w:rsidR="00C75635">
        <w:t>s improved in 10 years in some states</w:t>
      </w:r>
      <w:r>
        <w:t xml:space="preserve">. </w:t>
      </w:r>
      <w:r w:rsidR="00C75635">
        <w:t>In Tasmania</w:t>
      </w:r>
      <w:r w:rsidR="00A15D24">
        <w:t>,</w:t>
      </w:r>
      <w:r w:rsidR="00C75635">
        <w:t xml:space="preserve"> </w:t>
      </w:r>
      <w:r>
        <w:t xml:space="preserve">50 percent of kids coming out at grade 9 </w:t>
      </w:r>
      <w:r w:rsidR="00A15D24">
        <w:t>are</w:t>
      </w:r>
      <w:r>
        <w:t xml:space="preserve"> at a very low standard. </w:t>
      </w:r>
      <w:r w:rsidR="00B2225A">
        <w:t>This needs improvement and it needs for state governments to be asked for the data, to be asked to show where the funding is going</w:t>
      </w:r>
      <w:r w:rsidR="00A15D24">
        <w:t>,</w:t>
      </w:r>
      <w:r w:rsidR="00B2225A">
        <w:t xml:space="preserve"> and to show how </w:t>
      </w:r>
      <w:r w:rsidR="00A15D24">
        <w:t>it is</w:t>
      </w:r>
      <w:r w:rsidR="00B2225A">
        <w:t xml:space="preserve"> making a difference. </w:t>
      </w:r>
      <w:r w:rsidR="00A15D24">
        <w:t>This is</w:t>
      </w:r>
      <w:r w:rsidR="00B2225A">
        <w:t xml:space="preserve"> about asking for outcome</w:t>
      </w:r>
      <w:r w:rsidR="00A15D24">
        <w:t>s information</w:t>
      </w:r>
      <w:r w:rsidR="00B2225A">
        <w:t xml:space="preserve">, not just spending. </w:t>
      </w:r>
      <w:r>
        <w:t xml:space="preserve">If </w:t>
      </w:r>
      <w:r w:rsidR="00A15D24">
        <w:t>the Commonwealth</w:t>
      </w:r>
      <w:r>
        <w:t xml:space="preserve"> ask</w:t>
      </w:r>
      <w:r w:rsidR="00A15D24">
        <w:t>s</w:t>
      </w:r>
      <w:r>
        <w:t xml:space="preserve"> state depa</w:t>
      </w:r>
      <w:r w:rsidR="00A15D24">
        <w:t>rtments for outcome data, there i</w:t>
      </w:r>
      <w:r>
        <w:t xml:space="preserve">s very little transparency of where it is going. </w:t>
      </w:r>
      <w:r w:rsidR="00130C2B">
        <w:t xml:space="preserve">I suspect that state governments themselves </w:t>
      </w:r>
      <w:r w:rsidR="00A15D24">
        <w:t>do not know where funding is</w:t>
      </w:r>
      <w:r>
        <w:t xml:space="preserve"> going, but asking them for </w:t>
      </w:r>
      <w:r w:rsidR="00A15D24">
        <w:t>data</w:t>
      </w:r>
      <w:r>
        <w:t xml:space="preserve"> </w:t>
      </w:r>
      <w:r w:rsidR="001E0E93">
        <w:t xml:space="preserve">means that they would have to quickly </w:t>
      </w:r>
      <w:r w:rsidR="00A15D24">
        <w:t>find out. M</w:t>
      </w:r>
      <w:r w:rsidR="00455DE9">
        <w:t>aking further funding contingent on providing that data would help also.</w:t>
      </w:r>
    </w:p>
    <w:p w14:paraId="19C0EAC9" w14:textId="77777777" w:rsidR="003C2953" w:rsidRDefault="003C2953" w:rsidP="000D4706">
      <w:pPr>
        <w:jc w:val="both"/>
        <w:rPr>
          <w:b/>
        </w:rPr>
      </w:pPr>
    </w:p>
    <w:p w14:paraId="2DCD60EB" w14:textId="31344F53" w:rsidR="000D4706" w:rsidRDefault="000D4706" w:rsidP="000D4706">
      <w:pPr>
        <w:jc w:val="both"/>
        <w:rPr>
          <w:b/>
        </w:rPr>
      </w:pPr>
      <w:r>
        <w:rPr>
          <w:b/>
        </w:rPr>
        <w:lastRenderedPageBreak/>
        <w:t>Aboriginal and Torres Strait representation in evaluation governance</w:t>
      </w:r>
    </w:p>
    <w:p w14:paraId="3B0BE021" w14:textId="2E22E776" w:rsidR="000D4706" w:rsidRDefault="000D4706" w:rsidP="000D4706">
      <w:pPr>
        <w:jc w:val="both"/>
      </w:pPr>
      <w:r>
        <w:t>Data governance would be just part of the larger Indigenous governance of an evaluation process. The Indigenous Evaluation Strategy should require informed, expert Indigenous input right from the start. So earlier capacity building will play a part in that, but also using academics and peak organisations. It requires identifying key sources of Aboriginal and Torres Strait Islander expertise. The Indigenous Evaluation Strate</w:t>
      </w:r>
      <w:r w:rsidR="00CF7596">
        <w:t>gy could help bring together a “Coalition of the Academy”</w:t>
      </w:r>
      <w:r>
        <w:t xml:space="preserve">, or something similar, </w:t>
      </w:r>
      <w:r w:rsidR="00CF7596">
        <w:t>which</w:t>
      </w:r>
      <w:r>
        <w:t xml:space="preserve"> provides places </w:t>
      </w:r>
      <w:r w:rsidR="00CF7596">
        <w:t xml:space="preserve">for agencies to </w:t>
      </w:r>
      <w:r>
        <w:t>ask for input, rather than trying to find individual</w:t>
      </w:r>
      <w:r w:rsidR="00CF7596">
        <w:t>s for each project</w:t>
      </w:r>
      <w:r>
        <w:t xml:space="preserve">. </w:t>
      </w:r>
    </w:p>
    <w:p w14:paraId="71F1D288" w14:textId="7C9BC887" w:rsidR="00626EA1" w:rsidRDefault="00CF7596" w:rsidP="001E1EFB">
      <w:pPr>
        <w:jc w:val="both"/>
      </w:pPr>
      <w:r>
        <w:t>However, a</w:t>
      </w:r>
      <w:r w:rsidR="007A585D">
        <w:t xml:space="preserve">n Indigenous data governance function is </w:t>
      </w:r>
      <w:r w:rsidR="00406A15">
        <w:t xml:space="preserve">too limited </w:t>
      </w:r>
      <w:r w:rsidR="007A585D">
        <w:t>in the context of policy and program evaluation. The governance function</w:t>
      </w:r>
      <w:r>
        <w:t xml:space="preserve"> under the Indigenous Evaluation Strategy</w:t>
      </w:r>
      <w:r w:rsidR="007A585D">
        <w:t xml:space="preserve"> needs to </w:t>
      </w:r>
      <w:r w:rsidR="00406A15">
        <w:t xml:space="preserve">look more broadly at evaluation practice. Data organisations (such as </w:t>
      </w:r>
      <w:r w:rsidR="00CE0F40">
        <w:t xml:space="preserve">the </w:t>
      </w:r>
      <w:r w:rsidR="00406A15">
        <w:t>A</w:t>
      </w:r>
      <w:r w:rsidR="00CE0F40">
        <w:t xml:space="preserve">ustralian </w:t>
      </w:r>
      <w:r w:rsidR="00406A15">
        <w:t>I</w:t>
      </w:r>
      <w:r w:rsidR="00CE0F40">
        <w:t xml:space="preserve">nstitute of </w:t>
      </w:r>
      <w:r w:rsidR="00406A15">
        <w:t>H</w:t>
      </w:r>
      <w:r w:rsidR="00CE0F40">
        <w:t xml:space="preserve">ealth and </w:t>
      </w:r>
      <w:r w:rsidR="00406A15">
        <w:t>W</w:t>
      </w:r>
      <w:r w:rsidR="00CE0F40">
        <w:t>elfare</w:t>
      </w:r>
      <w:r w:rsidR="00406A15">
        <w:t xml:space="preserve">) should have an Indigenous data </w:t>
      </w:r>
      <w:r>
        <w:t>group because they deal in data</w:t>
      </w:r>
      <w:r w:rsidR="00712528">
        <w:t>.</w:t>
      </w:r>
      <w:r w:rsidR="00035841">
        <w:t xml:space="preserve"> The Indigenous Evaluation strategy </w:t>
      </w:r>
      <w:r w:rsidR="00270303">
        <w:t>needs an Indigenous governance body</w:t>
      </w:r>
      <w:r w:rsidR="00993731">
        <w:t xml:space="preserve"> to help make decisions and to be there at the start when evaluations are </w:t>
      </w:r>
      <w:r w:rsidR="007A585D">
        <w:t xml:space="preserve">first </w:t>
      </w:r>
      <w:r w:rsidR="00993731">
        <w:t>being considered</w:t>
      </w:r>
      <w:r w:rsidR="00270303">
        <w:t xml:space="preserve">. </w:t>
      </w:r>
      <w:r w:rsidR="00DE1AAF">
        <w:t>The</w:t>
      </w:r>
      <w:r w:rsidR="00406A15">
        <w:t xml:space="preserve"> Indigenous Evaluation Committee model </w:t>
      </w:r>
      <w:r>
        <w:t>operating</w:t>
      </w:r>
      <w:r w:rsidR="00406A15">
        <w:t xml:space="preserve"> within the</w:t>
      </w:r>
      <w:r w:rsidR="00DE1AAF">
        <w:t xml:space="preserve"> </w:t>
      </w:r>
      <w:r w:rsidR="00406A15">
        <w:t>NIAA, which I chair, works okay</w:t>
      </w:r>
      <w:r w:rsidR="00270303">
        <w:t xml:space="preserve"> but </w:t>
      </w:r>
      <w:r w:rsidR="00406A15">
        <w:t>there is a limit</w:t>
      </w:r>
      <w:r w:rsidR="00993731">
        <w:t xml:space="preserve"> </w:t>
      </w:r>
      <w:r>
        <w:t>to</w:t>
      </w:r>
      <w:r w:rsidR="00993731">
        <w:t xml:space="preserve"> what we can do. There are only a few of us</w:t>
      </w:r>
      <w:r>
        <w:t xml:space="preserve"> on the committee</w:t>
      </w:r>
      <w:r w:rsidR="00993731">
        <w:t xml:space="preserve"> and we all have 60-70 hour a week day jobs. </w:t>
      </w:r>
      <w:r w:rsidR="00626EA1">
        <w:t xml:space="preserve">But despite this, we are changing </w:t>
      </w:r>
      <w:r w:rsidR="0063516E">
        <w:t>things slowly.</w:t>
      </w:r>
    </w:p>
    <w:p w14:paraId="426FB143" w14:textId="5946BC5F" w:rsidR="00332CA5" w:rsidRDefault="00332CA5" w:rsidP="001E1EFB">
      <w:pPr>
        <w:jc w:val="both"/>
      </w:pPr>
      <w:r>
        <w:t>In lieu of all departments having their own</w:t>
      </w:r>
      <w:r w:rsidR="00406A15">
        <w:t xml:space="preserve"> Indigenous</w:t>
      </w:r>
      <w:r w:rsidR="007A585D">
        <w:t xml:space="preserve"> expertise (</w:t>
      </w:r>
      <w:r>
        <w:t>which would be ideal</w:t>
      </w:r>
      <w:r w:rsidR="007A585D">
        <w:t>)</w:t>
      </w:r>
      <w:r>
        <w:t xml:space="preserve"> </w:t>
      </w:r>
      <w:r w:rsidR="00406A15">
        <w:t xml:space="preserve">an Indigenous </w:t>
      </w:r>
      <w:r w:rsidR="00270303">
        <w:t xml:space="preserve">governance committee </w:t>
      </w:r>
      <w:r w:rsidR="00406A15">
        <w:t>is needed with</w:t>
      </w:r>
      <w:r>
        <w:t xml:space="preserve"> authority and</w:t>
      </w:r>
      <w:r w:rsidR="00270303">
        <w:t xml:space="preserve"> power</w:t>
      </w:r>
      <w:r>
        <w:t xml:space="preserve"> </w:t>
      </w:r>
      <w:r w:rsidR="00406A15">
        <w:t>t</w:t>
      </w:r>
      <w:r w:rsidR="00F34A68">
        <w:t>o make decisions</w:t>
      </w:r>
      <w:r w:rsidR="00406A15">
        <w:t xml:space="preserve"> and </w:t>
      </w:r>
      <w:r w:rsidR="00EB5007">
        <w:t>guide good practice.</w:t>
      </w:r>
    </w:p>
    <w:p w14:paraId="22660F27" w14:textId="581AC8EA" w:rsidR="003D1A56" w:rsidRDefault="00CC6180" w:rsidP="001E1EFB">
      <w:pPr>
        <w:jc w:val="both"/>
        <w:rPr>
          <w:b/>
        </w:rPr>
      </w:pPr>
      <w:r>
        <w:rPr>
          <w:b/>
        </w:rPr>
        <w:t>Is there a role</w:t>
      </w:r>
      <w:r w:rsidR="00D72B5A">
        <w:rPr>
          <w:b/>
        </w:rPr>
        <w:t xml:space="preserve"> for </w:t>
      </w:r>
      <w:r w:rsidR="003D1A56">
        <w:rPr>
          <w:b/>
        </w:rPr>
        <w:t xml:space="preserve">Indigenous </w:t>
      </w:r>
      <w:r w:rsidR="00D72B5A">
        <w:rPr>
          <w:b/>
        </w:rPr>
        <w:t>o</w:t>
      </w:r>
      <w:r w:rsidR="003D1A56">
        <w:rPr>
          <w:b/>
        </w:rPr>
        <w:t>rganisations</w:t>
      </w:r>
      <w:r w:rsidR="00D72B5A">
        <w:rPr>
          <w:b/>
        </w:rPr>
        <w:t xml:space="preserve"> in</w:t>
      </w:r>
      <w:r>
        <w:rPr>
          <w:b/>
        </w:rPr>
        <w:t xml:space="preserve"> the Indigenous E</w:t>
      </w:r>
      <w:r w:rsidR="00D72B5A">
        <w:rPr>
          <w:b/>
        </w:rPr>
        <w:t>valuation</w:t>
      </w:r>
      <w:r>
        <w:rPr>
          <w:b/>
        </w:rPr>
        <w:t xml:space="preserve"> Strategy?</w:t>
      </w:r>
    </w:p>
    <w:p w14:paraId="5F5E0F2B" w14:textId="398422E0" w:rsidR="009850BE" w:rsidRDefault="005F6B18" w:rsidP="001E1EFB">
      <w:pPr>
        <w:jc w:val="both"/>
      </w:pPr>
      <w:r>
        <w:t xml:space="preserve">The </w:t>
      </w:r>
      <w:r w:rsidR="00DF3C89">
        <w:t>Coalition of Peaks</w:t>
      </w:r>
      <w:r w:rsidR="002C7884">
        <w:t xml:space="preserve"> (</w:t>
      </w:r>
      <w:r w:rsidR="00CC6180">
        <w:t>who are party to the</w:t>
      </w:r>
      <w:r w:rsidR="002C7884">
        <w:t xml:space="preserve"> </w:t>
      </w:r>
      <w:r w:rsidR="002C7884" w:rsidRPr="003C2953">
        <w:t>COAG</w:t>
      </w:r>
      <w:r w:rsidR="002C7884" w:rsidRPr="003C2953">
        <w:rPr>
          <w:i/>
        </w:rPr>
        <w:t xml:space="preserve"> </w:t>
      </w:r>
      <w:r w:rsidR="003C2953" w:rsidRPr="003C2953">
        <w:rPr>
          <w:i/>
        </w:rPr>
        <w:t xml:space="preserve">Partnership Agreement on </w:t>
      </w:r>
      <w:r w:rsidR="002C7884" w:rsidRPr="003C2953">
        <w:rPr>
          <w:i/>
        </w:rPr>
        <w:t>Closing the Gap</w:t>
      </w:r>
      <w:r w:rsidR="003C2953" w:rsidRPr="003C2953">
        <w:rPr>
          <w:i/>
        </w:rPr>
        <w:t xml:space="preserve"> 2019-2029</w:t>
      </w:r>
      <w:r w:rsidR="002C7884">
        <w:t>)</w:t>
      </w:r>
      <w:r w:rsidR="00DF3C89">
        <w:t xml:space="preserve"> </w:t>
      </w:r>
      <w:r w:rsidR="00372FA9">
        <w:t>is a</w:t>
      </w:r>
      <w:r w:rsidR="00A46D36">
        <w:t>n extremely</w:t>
      </w:r>
      <w:r w:rsidR="00372FA9">
        <w:t xml:space="preserve"> important </w:t>
      </w:r>
      <w:r w:rsidR="00A46D36">
        <w:t>group</w:t>
      </w:r>
      <w:r w:rsidR="00372FA9">
        <w:t>.</w:t>
      </w:r>
      <w:r w:rsidR="00CC6180">
        <w:t xml:space="preserve"> Pat Turner has</w:t>
      </w:r>
      <w:r w:rsidR="00212AB9">
        <w:t xml:space="preserve"> done a wonderful job of bringing together a lot of very important groups</w:t>
      </w:r>
      <w:r w:rsidR="00CC6180">
        <w:t xml:space="preserve"> such as</w:t>
      </w:r>
      <w:r w:rsidR="00212AB9">
        <w:t xml:space="preserve"> NACCHO, land councils, </w:t>
      </w:r>
      <w:r w:rsidR="00CC6180">
        <w:t xml:space="preserve">the </w:t>
      </w:r>
      <w:r w:rsidR="00212AB9">
        <w:t>Tasma</w:t>
      </w:r>
      <w:r w:rsidR="009A4B1D">
        <w:t>nian Aboriginal Centre</w:t>
      </w:r>
      <w:r w:rsidR="00CC6180">
        <w:t xml:space="preserve"> and SNAICC. A</w:t>
      </w:r>
      <w:r w:rsidR="009A4B1D">
        <w:t xml:space="preserve">ll of these organisations are now involved. They can have meetings, work out disagreements and then come with one voice. </w:t>
      </w:r>
      <w:r w:rsidR="003266F4">
        <w:t xml:space="preserve">Data has just been added as a discussion item for all interactions with COAG in meeting the </w:t>
      </w:r>
      <w:r w:rsidR="00CC6180">
        <w:t>Closing the Gap</w:t>
      </w:r>
      <w:r w:rsidR="003266F4">
        <w:t xml:space="preserve"> targets. </w:t>
      </w:r>
      <w:r w:rsidR="00372FA9">
        <w:t xml:space="preserve">Since </w:t>
      </w:r>
      <w:r w:rsidR="003C2953">
        <w:t>the abolition of the Aboriginal and Torres Strait Islander Commission (</w:t>
      </w:r>
      <w:r w:rsidR="00372FA9">
        <w:t>ATSIC</w:t>
      </w:r>
      <w:r w:rsidR="003C2953">
        <w:t>)</w:t>
      </w:r>
      <w:r w:rsidR="00CC6180">
        <w:t>,</w:t>
      </w:r>
      <w:r w:rsidR="00372FA9">
        <w:t xml:space="preserve"> there has been a deliberate policy of keeping Aboriginal and Torres Strait Islander organisations separate, but </w:t>
      </w:r>
      <w:r w:rsidR="00CC6180">
        <w:t>there needs to be</w:t>
      </w:r>
      <w:r w:rsidR="009850BE">
        <w:t xml:space="preserve"> a capacity</w:t>
      </w:r>
      <w:r w:rsidR="00372FA9">
        <w:t xml:space="preserve"> to talk </w:t>
      </w:r>
      <w:r w:rsidR="00CC6180">
        <w:t>with each other</w:t>
      </w:r>
      <w:r w:rsidR="009850BE">
        <w:t xml:space="preserve"> </w:t>
      </w:r>
      <w:r w:rsidR="00372FA9">
        <w:t xml:space="preserve">to come to </w:t>
      </w:r>
      <w:r w:rsidR="009850BE">
        <w:t>a communal review</w:t>
      </w:r>
      <w:r w:rsidR="00372FA9">
        <w:t xml:space="preserve">. </w:t>
      </w:r>
    </w:p>
    <w:p w14:paraId="4BA3A9D1" w14:textId="49055B7F" w:rsidR="00372FA9" w:rsidRDefault="00372FA9" w:rsidP="001E1EFB">
      <w:pPr>
        <w:jc w:val="both"/>
      </w:pPr>
      <w:r>
        <w:t xml:space="preserve">Departments need to be pushed into developing Indigenous </w:t>
      </w:r>
      <w:r w:rsidR="0078343E">
        <w:t xml:space="preserve">evaluation </w:t>
      </w:r>
      <w:r>
        <w:t>expertise</w:t>
      </w:r>
      <w:r w:rsidR="00CC6180">
        <w:t xml:space="preserve"> — they ha</w:t>
      </w:r>
      <w:r w:rsidR="001C25E1">
        <w:t>ve had many year</w:t>
      </w:r>
      <w:r w:rsidR="00C67C48">
        <w:t xml:space="preserve">s to do such things, but </w:t>
      </w:r>
      <w:r w:rsidR="00CC6180">
        <w:t>it has no</w:t>
      </w:r>
      <w:r w:rsidR="001C25E1">
        <w:t xml:space="preserve">t happened. Having not developed that expertise, </w:t>
      </w:r>
      <w:r w:rsidR="00C67C48">
        <w:t>d</w:t>
      </w:r>
      <w:r w:rsidR="00CC6180">
        <w:t>epartments</w:t>
      </w:r>
      <w:r w:rsidR="001C25E1">
        <w:t xml:space="preserve"> still need to access it</w:t>
      </w:r>
      <w:r w:rsidR="00CC6180">
        <w:t xml:space="preserve"> externally</w:t>
      </w:r>
      <w:r>
        <w:t xml:space="preserve">. </w:t>
      </w:r>
      <w:r w:rsidR="00CC6180">
        <w:t xml:space="preserve">The </w:t>
      </w:r>
      <w:r w:rsidR="00D42EB5">
        <w:t xml:space="preserve">Coalition of Peaks </w:t>
      </w:r>
      <w:r>
        <w:t>is an organisation with good access to this expertise an</w:t>
      </w:r>
      <w:r w:rsidR="006E1F48">
        <w:t xml:space="preserve">d will </w:t>
      </w:r>
      <w:r w:rsidR="00C67C48">
        <w:t>would</w:t>
      </w:r>
      <w:r w:rsidR="006E1F48">
        <w:t xml:space="preserve"> a good place to start but we must be careful </w:t>
      </w:r>
      <w:r w:rsidR="00CC6180">
        <w:t>not to overload</w:t>
      </w:r>
      <w:r w:rsidR="006E1F48">
        <w:t xml:space="preserve"> it. A conversation needs to be had with </w:t>
      </w:r>
      <w:r w:rsidR="00CC6180">
        <w:t xml:space="preserve">the </w:t>
      </w:r>
      <w:r w:rsidR="00D42EB5">
        <w:t xml:space="preserve">Coalition of Peaks </w:t>
      </w:r>
      <w:r w:rsidR="006E1F48">
        <w:t xml:space="preserve">to decide on </w:t>
      </w:r>
      <w:r w:rsidR="00CE0F40">
        <w:t xml:space="preserve">the </w:t>
      </w:r>
      <w:r w:rsidR="006E1F48">
        <w:t>best model for engagement. Currently</w:t>
      </w:r>
      <w:r w:rsidR="00CC6180">
        <w:t>,</w:t>
      </w:r>
      <w:r w:rsidR="006E1F48">
        <w:t xml:space="preserve"> </w:t>
      </w:r>
      <w:r w:rsidR="00CC6180">
        <w:t>government agencies head toward</w:t>
      </w:r>
      <w:r w:rsidR="006E1F48">
        <w:t xml:space="preserve"> individual</w:t>
      </w:r>
      <w:r w:rsidR="00CC6180">
        <w:t>s</w:t>
      </w:r>
      <w:r w:rsidR="006E1F48">
        <w:t xml:space="preserve"> (such as academics), but </w:t>
      </w:r>
      <w:r w:rsidR="00C67C48">
        <w:t xml:space="preserve">seeking input from </w:t>
      </w:r>
      <w:r w:rsidR="006E1F48">
        <w:t xml:space="preserve">individuals </w:t>
      </w:r>
      <w:r w:rsidR="00C67C48">
        <w:t>is</w:t>
      </w:r>
      <w:r w:rsidR="00CC6180">
        <w:t xml:space="preserve"> no</w:t>
      </w:r>
      <w:r w:rsidR="006E1F48">
        <w:t xml:space="preserve">t </w:t>
      </w:r>
      <w:r w:rsidR="00C67C48">
        <w:t>sufficient</w:t>
      </w:r>
      <w:r w:rsidR="006E1F48">
        <w:t>.</w:t>
      </w:r>
    </w:p>
    <w:p w14:paraId="61C6752A" w14:textId="4394800A" w:rsidR="00372FA9" w:rsidRDefault="00344EC9" w:rsidP="001E1EFB">
      <w:pPr>
        <w:jc w:val="both"/>
        <w:rPr>
          <w:b/>
        </w:rPr>
      </w:pPr>
      <w:r>
        <w:rPr>
          <w:b/>
        </w:rPr>
        <w:t xml:space="preserve">What </w:t>
      </w:r>
      <w:r w:rsidR="003C0002">
        <w:rPr>
          <w:b/>
        </w:rPr>
        <w:t>should</w:t>
      </w:r>
      <w:r w:rsidR="00372FA9">
        <w:rPr>
          <w:b/>
        </w:rPr>
        <w:t xml:space="preserve"> </w:t>
      </w:r>
      <w:r w:rsidR="003C0002">
        <w:rPr>
          <w:b/>
        </w:rPr>
        <w:t xml:space="preserve">the </w:t>
      </w:r>
      <w:r>
        <w:rPr>
          <w:b/>
        </w:rPr>
        <w:t xml:space="preserve">Productivity </w:t>
      </w:r>
      <w:r w:rsidR="00372FA9">
        <w:rPr>
          <w:b/>
        </w:rPr>
        <w:t>Commission consider</w:t>
      </w:r>
      <w:r>
        <w:rPr>
          <w:b/>
        </w:rPr>
        <w:t xml:space="preserve"> in developing the Indigenous Evaluation Strategy?</w:t>
      </w:r>
    </w:p>
    <w:p w14:paraId="231760FF" w14:textId="6D93FEAF" w:rsidR="00372FA9" w:rsidRDefault="00344EC9" w:rsidP="001E1EFB">
      <w:pPr>
        <w:jc w:val="both"/>
      </w:pPr>
      <w:r>
        <w:t xml:space="preserve">The </w:t>
      </w:r>
      <w:r w:rsidR="00CA347E">
        <w:t>Commission needs to make sure it d</w:t>
      </w:r>
      <w:r w:rsidR="003C0002">
        <w:t>oes no</w:t>
      </w:r>
      <w:r w:rsidR="00372FA9">
        <w:t>t spread</w:t>
      </w:r>
      <w:r w:rsidR="003C0002">
        <w:t xml:space="preserve"> itself</w:t>
      </w:r>
      <w:r w:rsidR="00372FA9">
        <w:t xml:space="preserve"> too thin</w:t>
      </w:r>
      <w:r w:rsidR="003C0002">
        <w:t>,</w:t>
      </w:r>
      <w:r w:rsidR="00372FA9">
        <w:t xml:space="preserve"> too quick</w:t>
      </w:r>
      <w:r w:rsidR="003C0002">
        <w:t>ly. It must d</w:t>
      </w:r>
      <w:r w:rsidR="00372FA9">
        <w:t>efine</w:t>
      </w:r>
      <w:r w:rsidR="00CA347E">
        <w:t xml:space="preserve"> and operationalise </w:t>
      </w:r>
      <w:r w:rsidR="003C0002">
        <w:t>the Indigenous Evaluation Strategy principles. It should c</w:t>
      </w:r>
      <w:r w:rsidR="00372FA9">
        <w:t>onsult widely as to what</w:t>
      </w:r>
      <w:r w:rsidR="00CA347E">
        <w:t xml:space="preserve"> </w:t>
      </w:r>
      <w:r w:rsidR="00CE0F40">
        <w:t xml:space="preserve">the </w:t>
      </w:r>
      <w:r w:rsidR="00CA347E">
        <w:t xml:space="preserve">principles should be </w:t>
      </w:r>
      <w:r w:rsidR="00C67C48">
        <w:t xml:space="preserve">and </w:t>
      </w:r>
      <w:r w:rsidR="00CA347E">
        <w:t xml:space="preserve">then </w:t>
      </w:r>
      <w:r w:rsidR="00372FA9">
        <w:t>use aca</w:t>
      </w:r>
      <w:r w:rsidR="00CA347E">
        <w:t>demics to pare down the list to a manageable number.</w:t>
      </w:r>
      <w:r w:rsidR="003C0002">
        <w:t xml:space="preserve"> </w:t>
      </w:r>
      <w:r w:rsidR="00BE7B34">
        <w:t>The Commission is a small agency so</w:t>
      </w:r>
      <w:r w:rsidR="003C0002">
        <w:t xml:space="preserve"> </w:t>
      </w:r>
      <w:r>
        <w:t>it</w:t>
      </w:r>
      <w:r w:rsidR="00BE7B34">
        <w:t xml:space="preserve"> will need to g</w:t>
      </w:r>
      <w:r w:rsidR="00372FA9">
        <w:t>et the scope right</w:t>
      </w:r>
      <w:r w:rsidR="00BE7B34">
        <w:t>. It can</w:t>
      </w:r>
      <w:r>
        <w:t>no</w:t>
      </w:r>
      <w:r w:rsidR="00BE7B34">
        <w:t xml:space="preserve">t compel </w:t>
      </w:r>
      <w:r w:rsidR="003C0002">
        <w:t>agencies</w:t>
      </w:r>
      <w:r w:rsidR="00BE7B34">
        <w:t xml:space="preserve"> to toe the line </w:t>
      </w:r>
      <w:r w:rsidR="00C67C48">
        <w:t xml:space="preserve">and </w:t>
      </w:r>
      <w:r w:rsidR="00BE7B34">
        <w:t xml:space="preserve">so </w:t>
      </w:r>
      <w:r w:rsidR="003C0002">
        <w:t>can</w:t>
      </w:r>
      <w:r w:rsidR="00BE7B34">
        <w:t xml:space="preserve"> only play an i</w:t>
      </w:r>
      <w:r w:rsidR="00372FA9">
        <w:t>nfluencing role</w:t>
      </w:r>
      <w:r w:rsidR="003C0002">
        <w:t>,</w:t>
      </w:r>
      <w:r w:rsidR="00BE7B34">
        <w:t xml:space="preserve"> but a helpful step will be </w:t>
      </w:r>
      <w:r w:rsidR="003C0002">
        <w:t>for the Commission to</w:t>
      </w:r>
      <w:r w:rsidR="00BE7B34">
        <w:t xml:space="preserve"> m</w:t>
      </w:r>
      <w:r w:rsidR="00372FA9">
        <w:t>odel what</w:t>
      </w:r>
      <w:r w:rsidR="00BE7B34">
        <w:t xml:space="preserve"> </w:t>
      </w:r>
      <w:r w:rsidR="003C0002">
        <w:t>it</w:t>
      </w:r>
      <w:r w:rsidR="00BE7B34">
        <w:t xml:space="preserve"> want</w:t>
      </w:r>
      <w:r w:rsidR="003C0002">
        <w:t>s</w:t>
      </w:r>
      <w:r w:rsidR="00372FA9">
        <w:t xml:space="preserve"> departments </w:t>
      </w:r>
      <w:r w:rsidR="00BE7B34">
        <w:t xml:space="preserve">to do </w:t>
      </w:r>
      <w:r w:rsidR="003C0002">
        <w:t>in its</w:t>
      </w:r>
      <w:r w:rsidR="00BE7B34">
        <w:t xml:space="preserve"> </w:t>
      </w:r>
      <w:r w:rsidR="00372FA9">
        <w:t xml:space="preserve">own practices. </w:t>
      </w:r>
    </w:p>
    <w:p w14:paraId="2B584704" w14:textId="5A47B9D3" w:rsidR="00372FA9" w:rsidRDefault="003C0002" w:rsidP="001E1EFB">
      <w:pPr>
        <w:jc w:val="both"/>
      </w:pPr>
      <w:r>
        <w:lastRenderedPageBreak/>
        <w:t>The Commission needs to</w:t>
      </w:r>
      <w:r w:rsidR="00372FA9">
        <w:t xml:space="preserve"> </w:t>
      </w:r>
      <w:r w:rsidR="00C67C48">
        <w:t xml:space="preserve">work </w:t>
      </w:r>
      <w:r w:rsidR="00372FA9">
        <w:t xml:space="preserve">out a way to </w:t>
      </w:r>
      <w:r w:rsidR="0052262C">
        <w:t>introduce</w:t>
      </w:r>
      <w:r w:rsidR="00372FA9">
        <w:t xml:space="preserve"> </w:t>
      </w:r>
      <w:r>
        <w:t>“</w:t>
      </w:r>
      <w:r w:rsidR="00372FA9">
        <w:t>skin in the game</w:t>
      </w:r>
      <w:r>
        <w:t>”</w:t>
      </w:r>
      <w:r w:rsidR="00372FA9">
        <w:t xml:space="preserve"> </w:t>
      </w:r>
      <w:r w:rsidR="003476C7">
        <w:t xml:space="preserve">for agencies, and </w:t>
      </w:r>
      <w:r w:rsidR="00C67C48">
        <w:t xml:space="preserve">Commonwealth and State </w:t>
      </w:r>
      <w:r w:rsidR="003476C7">
        <w:t>governments around</w:t>
      </w:r>
      <w:r w:rsidR="00677751">
        <w:t xml:space="preserve"> doing evaluation</w:t>
      </w:r>
      <w:r>
        <w:t>,</w:t>
      </w:r>
      <w:r w:rsidR="00677751">
        <w:t xml:space="preserve"> with the Productivity Commission checking whether these measure</w:t>
      </w:r>
      <w:r>
        <w:t>s are producing the desired outcome</w:t>
      </w:r>
      <w:r w:rsidR="00677751">
        <w:t xml:space="preserve">. </w:t>
      </w:r>
      <w:r>
        <w:t>E</w:t>
      </w:r>
      <w:r w:rsidR="00677751">
        <w:t xml:space="preserve">valuations </w:t>
      </w:r>
      <w:r>
        <w:t>should</w:t>
      </w:r>
      <w:r w:rsidR="00677751">
        <w:t xml:space="preserve"> be </w:t>
      </w:r>
      <w:r w:rsidR="00372FA9">
        <w:t>delivering</w:t>
      </w:r>
      <w:r w:rsidR="00F86BD3">
        <w:t xml:space="preserve"> value for money</w:t>
      </w:r>
      <w:r w:rsidR="00372FA9">
        <w:t xml:space="preserve"> for Aboriginal and Torres Strait Islander people.</w:t>
      </w:r>
      <w:r w:rsidR="0052262C">
        <w:t xml:space="preserve"> The Commission should decide how to measure value and benefit and identify ways to carry that out.</w:t>
      </w:r>
    </w:p>
    <w:p w14:paraId="2F1CEC65" w14:textId="47245FA8" w:rsidR="00372FA9" w:rsidRDefault="00372FA9" w:rsidP="001E1EFB">
      <w:pPr>
        <w:tabs>
          <w:tab w:val="center" w:pos="4513"/>
        </w:tabs>
        <w:jc w:val="both"/>
        <w:rPr>
          <w:b/>
        </w:rPr>
      </w:pPr>
      <w:r>
        <w:rPr>
          <w:b/>
        </w:rPr>
        <w:t xml:space="preserve">How </w:t>
      </w:r>
      <w:r w:rsidR="00BC204B">
        <w:rPr>
          <w:b/>
        </w:rPr>
        <w:t>should the success of the Indigenous Evaluation Strategy be measured?</w:t>
      </w:r>
    </w:p>
    <w:p w14:paraId="2A3BDBF8" w14:textId="6864ECE5" w:rsidR="009D4271" w:rsidRDefault="00BC204B" w:rsidP="001E1EFB">
      <w:pPr>
        <w:jc w:val="both"/>
      </w:pPr>
      <w:r>
        <w:t>The Indigenous</w:t>
      </w:r>
      <w:r w:rsidR="00344EC9">
        <w:t xml:space="preserve"> </w:t>
      </w:r>
      <w:r>
        <w:t xml:space="preserve">Evaluation Strategy </w:t>
      </w:r>
      <w:r w:rsidR="00344EC9">
        <w:t xml:space="preserve">should </w:t>
      </w:r>
      <w:r>
        <w:t>incorporate</w:t>
      </w:r>
      <w:r w:rsidR="00344EC9">
        <w:t xml:space="preserve"> t</w:t>
      </w:r>
      <w:r w:rsidR="00372FA9">
        <w:t xml:space="preserve">angible </w:t>
      </w:r>
      <w:r w:rsidR="00344EC9">
        <w:t xml:space="preserve">measures on </w:t>
      </w:r>
      <w:r w:rsidR="00372FA9">
        <w:t>improv</w:t>
      </w:r>
      <w:r w:rsidR="00344EC9">
        <w:t>ing</w:t>
      </w:r>
      <w:r w:rsidR="00372FA9">
        <w:t xml:space="preserve"> </w:t>
      </w:r>
      <w:r w:rsidR="002C5AFE">
        <w:t xml:space="preserve">the </w:t>
      </w:r>
      <w:r w:rsidR="00372FA9">
        <w:t xml:space="preserve">wellbeing of Aboriginal and Torres Strait Islander people, using Indigenous definitions of what wellbeing means. At the moment, </w:t>
      </w:r>
      <w:r w:rsidR="00C67C48">
        <w:t>there is a lot of emphasis on</w:t>
      </w:r>
      <w:r w:rsidR="00372FA9">
        <w:t xml:space="preserve"> </w:t>
      </w:r>
      <w:r w:rsidR="008D76BE">
        <w:t>education and</w:t>
      </w:r>
      <w:r w:rsidR="00372FA9">
        <w:t xml:space="preserve"> jobs</w:t>
      </w:r>
      <w:r w:rsidR="00344EC9">
        <w:t>,</w:t>
      </w:r>
      <w:r w:rsidR="008D76BE">
        <w:t xml:space="preserve"> which is good</w:t>
      </w:r>
      <w:r>
        <w:t>, b</w:t>
      </w:r>
      <w:r w:rsidR="00372FA9">
        <w:t xml:space="preserve">ut </w:t>
      </w:r>
      <w:r w:rsidR="004C063F">
        <w:t>to most Aboriginal and Torres Strait Islander communities</w:t>
      </w:r>
      <w:r w:rsidR="00BF6F95">
        <w:t>, focusing on employment means we</w:t>
      </w:r>
      <w:r w:rsidR="00344EC9">
        <w:t xml:space="preserve"> a</w:t>
      </w:r>
      <w:r w:rsidR="00BF6F95">
        <w:t xml:space="preserve">re not focusing on community wellbeing </w:t>
      </w:r>
      <w:r w:rsidR="00344EC9" w:rsidRPr="00E36AFC">
        <w:t>—</w:t>
      </w:r>
      <w:r w:rsidR="00BF6F95">
        <w:t xml:space="preserve"> </w:t>
      </w:r>
      <w:r w:rsidR="00344EC9">
        <w:t xml:space="preserve">for example, what </w:t>
      </w:r>
      <w:r w:rsidR="00BF6F95">
        <w:t xml:space="preserve">supports </w:t>
      </w:r>
      <w:r w:rsidR="00344EC9">
        <w:t>are in</w:t>
      </w:r>
      <w:r w:rsidR="00BF6F95">
        <w:t xml:space="preserve"> place</w:t>
      </w:r>
      <w:r w:rsidR="00372FA9">
        <w:t xml:space="preserve">, </w:t>
      </w:r>
      <w:r w:rsidR="00344EC9">
        <w:t xml:space="preserve">and </w:t>
      </w:r>
      <w:r w:rsidR="00BF6F95">
        <w:t xml:space="preserve">how </w:t>
      </w:r>
      <w:r w:rsidR="00372FA9">
        <w:t>kids</w:t>
      </w:r>
      <w:r w:rsidR="00BF6F95">
        <w:t xml:space="preserve"> are being supported to develop</w:t>
      </w:r>
      <w:r w:rsidR="00C67C48">
        <w:t xml:space="preserve"> resilience?</w:t>
      </w:r>
      <w:r w:rsidR="00372FA9">
        <w:t xml:space="preserve"> </w:t>
      </w:r>
      <w:r w:rsidR="00BF6F95">
        <w:t>All these things are important</w:t>
      </w:r>
      <w:r w:rsidR="00344EC9">
        <w:t>. I</w:t>
      </w:r>
      <w:r w:rsidR="00372FA9">
        <w:t>t shouldn’t be either/or.</w:t>
      </w:r>
      <w:r>
        <w:t xml:space="preserve"> </w:t>
      </w:r>
      <w:r w:rsidR="00F95BC8">
        <w:t>As far as the aggregation of</w:t>
      </w:r>
      <w:r w:rsidR="00344EC9">
        <w:t xml:space="preserve"> data </w:t>
      </w:r>
      <w:r>
        <w:t>on</w:t>
      </w:r>
      <w:r w:rsidR="00F95BC8">
        <w:t xml:space="preserve"> wellbeing, </w:t>
      </w:r>
      <w:r>
        <w:t>this</w:t>
      </w:r>
      <w:r w:rsidR="00F95BC8">
        <w:t xml:space="preserve"> probably need</w:t>
      </w:r>
      <w:r>
        <w:t>s</w:t>
      </w:r>
      <w:r w:rsidR="00F95BC8">
        <w:t xml:space="preserve"> to move a little wider than single communities. </w:t>
      </w:r>
      <w:r w:rsidR="00213DB3">
        <w:t xml:space="preserve">The </w:t>
      </w:r>
      <w:r w:rsidR="009D4271">
        <w:t>ABS Indigenous Regions</w:t>
      </w:r>
      <w:r w:rsidR="00213DB3">
        <w:t xml:space="preserve">, </w:t>
      </w:r>
      <w:r w:rsidR="007461D8">
        <w:t xml:space="preserve">which are </w:t>
      </w:r>
      <w:r w:rsidR="00213DB3">
        <w:t>set out around the old ATSIC regions</w:t>
      </w:r>
      <w:r>
        <w:t>,</w:t>
      </w:r>
      <w:r w:rsidR="007461D8">
        <w:t xml:space="preserve"> are not a bad way to go, although t</w:t>
      </w:r>
      <w:r w:rsidR="00213DB3">
        <w:t xml:space="preserve">hey do </w:t>
      </w:r>
      <w:r w:rsidR="009D4271">
        <w:t>clump together</w:t>
      </w:r>
      <w:r w:rsidR="00213DB3">
        <w:t xml:space="preserve"> fairly</w:t>
      </w:r>
      <w:r w:rsidR="009D4271">
        <w:t xml:space="preserve"> large areas with similar </w:t>
      </w:r>
      <w:r w:rsidR="00213DB3">
        <w:t>populations</w:t>
      </w:r>
      <w:r w:rsidR="009D4271">
        <w:t xml:space="preserve"> under similar circumstance</w:t>
      </w:r>
      <w:r w:rsidR="00213DB3">
        <w:t>s.</w:t>
      </w:r>
    </w:p>
    <w:sectPr w:rsidR="009D427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AD02D" w14:textId="77777777" w:rsidR="001D0EBF" w:rsidRDefault="001D0EBF" w:rsidP="001F42E1">
      <w:r>
        <w:separator/>
      </w:r>
    </w:p>
  </w:endnote>
  <w:endnote w:type="continuationSeparator" w:id="0">
    <w:p w14:paraId="61E4418A" w14:textId="77777777" w:rsidR="001D0EBF" w:rsidRDefault="001D0EBF" w:rsidP="001F42E1">
      <w:r>
        <w:continuationSeparator/>
      </w:r>
    </w:p>
  </w:endnote>
  <w:endnote w:type="continuationNotice" w:id="1">
    <w:p w14:paraId="4FD7B38B" w14:textId="77777777" w:rsidR="001D0EBF" w:rsidRDefault="001D0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646468"/>
      <w:docPartObj>
        <w:docPartGallery w:val="Page Numbers (Bottom of Page)"/>
        <w:docPartUnique/>
      </w:docPartObj>
    </w:sdtPr>
    <w:sdtEndPr>
      <w:rPr>
        <w:noProof/>
      </w:rPr>
    </w:sdtEndPr>
    <w:sdtContent>
      <w:p w14:paraId="0EFC65CC" w14:textId="77777777" w:rsidR="00555309" w:rsidRDefault="00555309" w:rsidP="00370F2B">
        <w:pPr>
          <w:pStyle w:val="Footer"/>
          <w:jc w:val="right"/>
        </w:pPr>
        <w:r>
          <w:fldChar w:fldCharType="begin"/>
        </w:r>
        <w:r>
          <w:instrText xml:space="preserve"> PAGE   \* MERGEFORMAT </w:instrText>
        </w:r>
        <w:r>
          <w:fldChar w:fldCharType="separate"/>
        </w:r>
        <w:r w:rsidR="00A07D83">
          <w:rPr>
            <w:noProof/>
          </w:rPr>
          <w:t>1</w:t>
        </w:r>
        <w:r>
          <w:rPr>
            <w:noProof/>
          </w:rPr>
          <w:fldChar w:fldCharType="end"/>
        </w:r>
      </w:p>
    </w:sdtContent>
  </w:sdt>
  <w:p w14:paraId="0EFC65CD" w14:textId="77777777" w:rsidR="00555309" w:rsidRDefault="00555309" w:rsidP="001F4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26CF" w14:textId="77777777" w:rsidR="001D0EBF" w:rsidRDefault="001D0EBF" w:rsidP="001F42E1">
      <w:r>
        <w:separator/>
      </w:r>
    </w:p>
  </w:footnote>
  <w:footnote w:type="continuationSeparator" w:id="0">
    <w:p w14:paraId="2A978FEC" w14:textId="77777777" w:rsidR="001D0EBF" w:rsidRDefault="001D0EBF" w:rsidP="001F42E1">
      <w:r>
        <w:continuationSeparator/>
      </w:r>
    </w:p>
  </w:footnote>
  <w:footnote w:type="continuationNotice" w:id="1">
    <w:p w14:paraId="2AD05629" w14:textId="77777777" w:rsidR="001D0EBF" w:rsidRDefault="001D0EBF">
      <w:pPr>
        <w:spacing w:after="0"/>
      </w:pPr>
    </w:p>
  </w:footnote>
  <w:footnote w:id="2">
    <w:p w14:paraId="19FE6146" w14:textId="766608E6" w:rsidR="00B41FD2" w:rsidRPr="00B41FD2" w:rsidRDefault="00F53624">
      <w:pPr>
        <w:pStyle w:val="FootnoteText"/>
        <w:rPr>
          <w:sz w:val="18"/>
        </w:rPr>
      </w:pPr>
      <w:r w:rsidRPr="00070EE1">
        <w:rPr>
          <w:rStyle w:val="FootnoteReference"/>
        </w:rPr>
        <w:footnoteRef/>
      </w:r>
      <w:r>
        <w:t xml:space="preserve"> </w:t>
      </w:r>
      <w:r w:rsidRPr="00E30DD7">
        <w:rPr>
          <w:sz w:val="18"/>
        </w:rPr>
        <w:t>Hirschman, A.O.</w:t>
      </w:r>
      <w:r>
        <w:rPr>
          <w:sz w:val="18"/>
        </w:rPr>
        <w:t xml:space="preserve"> 1975,</w:t>
      </w:r>
      <w:r w:rsidRPr="001A676D">
        <w:rPr>
          <w:sz w:val="18"/>
        </w:rPr>
        <w:t xml:space="preserve"> </w:t>
      </w:r>
      <w:r w:rsidRPr="00E30DD7">
        <w:rPr>
          <w:i/>
          <w:sz w:val="18"/>
        </w:rPr>
        <w:t>Policy Science</w:t>
      </w:r>
      <w:r w:rsidRPr="001A676D">
        <w:rPr>
          <w:sz w:val="18"/>
        </w:rPr>
        <w:t xml:space="preserve">, </w:t>
      </w:r>
      <w:r>
        <w:rPr>
          <w:sz w:val="18"/>
        </w:rPr>
        <w:t>vol.</w:t>
      </w:r>
      <w:r w:rsidRPr="001A676D">
        <w:rPr>
          <w:sz w:val="18"/>
        </w:rPr>
        <w:t xml:space="preserve"> 6,</w:t>
      </w:r>
      <w:r>
        <w:rPr>
          <w:sz w:val="18"/>
        </w:rPr>
        <w:t xml:space="preserve"> no.</w:t>
      </w:r>
      <w:r w:rsidR="00F3706C">
        <w:rPr>
          <w:sz w:val="18"/>
        </w:rPr>
        <w:t xml:space="preserve"> </w:t>
      </w:r>
      <w:r>
        <w:rPr>
          <w:sz w:val="18"/>
        </w:rPr>
        <w:t>4,</w:t>
      </w:r>
      <w:r w:rsidRPr="001A676D">
        <w:rPr>
          <w:sz w:val="18"/>
        </w:rPr>
        <w:t xml:space="preserve"> p. </w:t>
      </w:r>
      <w:r w:rsidRPr="00E30DD7">
        <w:rPr>
          <w:sz w:val="18"/>
        </w:rPr>
        <w:t>385</w:t>
      </w:r>
      <w:r w:rsidRPr="001A676D">
        <w:rPr>
          <w:sz w:val="18"/>
        </w:rPr>
        <w:t>-402</w:t>
      </w:r>
      <w:r w:rsidR="00F3706C">
        <w:rPr>
          <w:sz w:val="18"/>
        </w:rPr>
        <w:t>.</w:t>
      </w:r>
    </w:p>
  </w:footnote>
  <w:footnote w:id="3">
    <w:p w14:paraId="28D88D61" w14:textId="366B6D17" w:rsidR="00B41FD2" w:rsidRDefault="00B41FD2">
      <w:pPr>
        <w:pStyle w:val="FootnoteText"/>
      </w:pPr>
      <w:r w:rsidRPr="00070EE1">
        <w:rPr>
          <w:rStyle w:val="FootnoteReference"/>
        </w:rPr>
        <w:footnoteRef/>
      </w:r>
      <w:r>
        <w:t xml:space="preserve"> </w:t>
      </w:r>
      <w:r w:rsidRPr="00230A71">
        <w:rPr>
          <w:sz w:val="18"/>
        </w:rPr>
        <w:t>A</w:t>
      </w:r>
      <w:r w:rsidR="00DB1F4C" w:rsidRPr="00230A71">
        <w:rPr>
          <w:sz w:val="18"/>
        </w:rPr>
        <w:t>ustralian National Audit Office</w:t>
      </w:r>
      <w:r w:rsidRPr="00230A71">
        <w:rPr>
          <w:sz w:val="18"/>
        </w:rPr>
        <w:t xml:space="preserve"> 2019, ‘Evaluating Aboriginal and Torres Strait Islander Programs’, </w:t>
      </w:r>
      <w:r w:rsidR="00DB1F4C" w:rsidRPr="00230A71">
        <w:rPr>
          <w:sz w:val="18"/>
        </w:rPr>
        <w:t>ANAO, Canberra</w:t>
      </w:r>
      <w:r w:rsidR="00DB1F4C">
        <w:t>.</w:t>
      </w:r>
    </w:p>
  </w:footnote>
  <w:footnote w:id="4">
    <w:p w14:paraId="4D8B7284" w14:textId="21EFCFA3" w:rsidR="00020DBD" w:rsidRDefault="00020DBD">
      <w:pPr>
        <w:pStyle w:val="FootnoteText"/>
      </w:pPr>
      <w:r w:rsidRPr="002E540F">
        <w:rPr>
          <w:rStyle w:val="FootnoteReference"/>
        </w:rPr>
        <w:footnoteRef/>
      </w:r>
      <w:r w:rsidRPr="002E540F">
        <w:t xml:space="preserve"> For example, work by Associate Professor </w:t>
      </w:r>
      <w:proofErr w:type="spellStart"/>
      <w:r w:rsidRPr="002E540F">
        <w:t>Māui</w:t>
      </w:r>
      <w:proofErr w:type="spellEnd"/>
      <w:r w:rsidRPr="002E540F">
        <w:t xml:space="preserve"> Hudson.</w:t>
      </w:r>
    </w:p>
  </w:footnote>
  <w:footnote w:id="5">
    <w:p w14:paraId="506EB9F5" w14:textId="559ED4EE" w:rsidR="00F05F17" w:rsidRDefault="00F05F17">
      <w:pPr>
        <w:pStyle w:val="FootnoteText"/>
      </w:pPr>
      <w:r>
        <w:rPr>
          <w:rStyle w:val="FootnoteReference"/>
        </w:rPr>
        <w:footnoteRef/>
      </w:r>
      <w:r>
        <w:t xml:space="preserve"> GIDA Global Indigenous Data Alliance 2019 (online) available at: </w:t>
      </w:r>
      <w:hyperlink r:id="rId1" w:history="1">
        <w:r w:rsidRPr="005743DE">
          <w:rPr>
            <w:rStyle w:val="Hyperlink"/>
          </w:rPr>
          <w:t>https://www.gida-global.org/care</w:t>
        </w:r>
      </w:hyperlink>
      <w:r>
        <w:t xml:space="preserve"> [accessed 20 November 2019].</w:t>
      </w:r>
    </w:p>
  </w:footnote>
  <w:footnote w:id="6">
    <w:p w14:paraId="79B07CAA" w14:textId="4616E9AE" w:rsidR="00ED6132" w:rsidRDefault="00ED6132" w:rsidP="00ED6132">
      <w:pPr>
        <w:pStyle w:val="FootnoteText"/>
      </w:pPr>
      <w:r w:rsidRPr="00070EE1">
        <w:rPr>
          <w:rStyle w:val="FootnoteReference"/>
        </w:rPr>
        <w:footnoteRef/>
      </w:r>
      <w:r>
        <w:t xml:space="preserve"> </w:t>
      </w:r>
      <w:proofErr w:type="spellStart"/>
      <w:r w:rsidRPr="008F72A1">
        <w:t>Kelaher</w:t>
      </w:r>
      <w:proofErr w:type="spellEnd"/>
      <w:r w:rsidRPr="008F72A1">
        <w:t xml:space="preserve">, M., Luke, J., Ferdinand, A., </w:t>
      </w:r>
      <w:proofErr w:type="spellStart"/>
      <w:r w:rsidRPr="008F72A1">
        <w:t>Chamravi</w:t>
      </w:r>
      <w:proofErr w:type="spellEnd"/>
      <w:r w:rsidRPr="008F72A1">
        <w:t xml:space="preserve">, D., Ewan, S. and </w:t>
      </w:r>
      <w:proofErr w:type="spellStart"/>
      <w:r w:rsidRPr="008F72A1">
        <w:t>Paradies</w:t>
      </w:r>
      <w:proofErr w:type="spellEnd"/>
      <w:r w:rsidR="00F3706C">
        <w:t>, Y. 2018;</w:t>
      </w:r>
      <w:r w:rsidRPr="008F72A1">
        <w:t xml:space="preserve"> An Evaluation Framework to Improve Aboriginal and Torres Strait Islander Health, </w:t>
      </w:r>
      <w:proofErr w:type="spellStart"/>
      <w:r w:rsidRPr="008F72A1">
        <w:t>Lowitja</w:t>
      </w:r>
      <w:proofErr w:type="spellEnd"/>
      <w:r w:rsidRPr="008F72A1">
        <w:t xml:space="preserve"> Institute, Melbourne.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EC22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C25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823D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94C7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279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CCF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FCC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186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562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A88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38D"/>
    <w:multiLevelType w:val="hybridMultilevel"/>
    <w:tmpl w:val="920C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8B522E"/>
    <w:multiLevelType w:val="hybridMultilevel"/>
    <w:tmpl w:val="013831B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68D71B8"/>
    <w:multiLevelType w:val="hybridMultilevel"/>
    <w:tmpl w:val="CF1A99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380C36"/>
    <w:multiLevelType w:val="hybridMultilevel"/>
    <w:tmpl w:val="904C1C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0916348E"/>
    <w:multiLevelType w:val="hybridMultilevel"/>
    <w:tmpl w:val="BCF45D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056C13"/>
    <w:multiLevelType w:val="hybridMultilevel"/>
    <w:tmpl w:val="5F3C1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75792D"/>
    <w:multiLevelType w:val="hybridMultilevel"/>
    <w:tmpl w:val="296A3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33798E"/>
    <w:multiLevelType w:val="hybridMultilevel"/>
    <w:tmpl w:val="0F9A0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922243"/>
    <w:multiLevelType w:val="hybridMultilevel"/>
    <w:tmpl w:val="58866566"/>
    <w:lvl w:ilvl="0" w:tplc="0C090003">
      <w:start w:val="1"/>
      <w:numFmt w:val="bullet"/>
      <w:lvlText w:val="o"/>
      <w:lvlJc w:val="left"/>
      <w:pPr>
        <w:ind w:left="1353" w:hanging="360"/>
      </w:pPr>
      <w:rPr>
        <w:rFonts w:ascii="Courier New" w:hAnsi="Courier New" w:cs="Courier New"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15:restartNumberingAfterBreak="0">
    <w:nsid w:val="261D4DA0"/>
    <w:multiLevelType w:val="hybridMultilevel"/>
    <w:tmpl w:val="1FEAD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FF27AE"/>
    <w:multiLevelType w:val="hybridMultilevel"/>
    <w:tmpl w:val="F200B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E33422"/>
    <w:multiLevelType w:val="hybridMultilevel"/>
    <w:tmpl w:val="7E1091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3D6AF3"/>
    <w:multiLevelType w:val="hybridMultilevel"/>
    <w:tmpl w:val="EBAC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D32526"/>
    <w:multiLevelType w:val="hybridMultilevel"/>
    <w:tmpl w:val="CE1E1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F606C1"/>
    <w:multiLevelType w:val="hybridMultilevel"/>
    <w:tmpl w:val="4B4C0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ED41EA"/>
    <w:multiLevelType w:val="hybridMultilevel"/>
    <w:tmpl w:val="F58476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D40202"/>
    <w:multiLevelType w:val="hybridMultilevel"/>
    <w:tmpl w:val="D8B42DD2"/>
    <w:lvl w:ilvl="0" w:tplc="59EC1846">
      <w:start w:val="1"/>
      <w:numFmt w:val="bullet"/>
      <w:pStyle w:val="List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777"/>
    <w:multiLevelType w:val="multilevel"/>
    <w:tmpl w:val="CB922F08"/>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547B2F"/>
    <w:multiLevelType w:val="hybridMultilevel"/>
    <w:tmpl w:val="324ABB0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9356C5"/>
    <w:multiLevelType w:val="hybridMultilevel"/>
    <w:tmpl w:val="09988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277F22"/>
    <w:multiLevelType w:val="hybridMultilevel"/>
    <w:tmpl w:val="39C2111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1" w15:restartNumberingAfterBreak="0">
    <w:nsid w:val="507274A7"/>
    <w:multiLevelType w:val="hybridMultilevel"/>
    <w:tmpl w:val="0D1AF3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3883E7A"/>
    <w:multiLevelType w:val="hybridMultilevel"/>
    <w:tmpl w:val="176A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A643D3"/>
    <w:multiLevelType w:val="multilevel"/>
    <w:tmpl w:val="CB922F08"/>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382D6E"/>
    <w:multiLevelType w:val="singleLevel"/>
    <w:tmpl w:val="315ABD1E"/>
    <w:lvl w:ilvl="0">
      <w:numFmt w:val="bullet"/>
      <w:lvlText w:val=""/>
      <w:lvlJc w:val="left"/>
      <w:pPr>
        <w:tabs>
          <w:tab w:val="num" w:pos="340"/>
        </w:tabs>
        <w:ind w:left="340" w:hanging="340"/>
      </w:pPr>
      <w:rPr>
        <w:rFonts w:ascii="Symbol" w:hAnsi="Symbol" w:hint="default"/>
        <w:sz w:val="18"/>
      </w:rPr>
    </w:lvl>
  </w:abstractNum>
  <w:abstractNum w:abstractNumId="35" w15:restartNumberingAfterBreak="0">
    <w:nsid w:val="55474850"/>
    <w:multiLevelType w:val="hybridMultilevel"/>
    <w:tmpl w:val="D5C20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3543E"/>
    <w:multiLevelType w:val="hybridMultilevel"/>
    <w:tmpl w:val="34CC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725DCB"/>
    <w:multiLevelType w:val="hybridMultilevel"/>
    <w:tmpl w:val="7C5C40A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203FD"/>
    <w:multiLevelType w:val="hybridMultilevel"/>
    <w:tmpl w:val="5D60B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F65108"/>
    <w:multiLevelType w:val="hybridMultilevel"/>
    <w:tmpl w:val="C8AE537A"/>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0" w15:restartNumberingAfterBreak="0">
    <w:nsid w:val="5F7F57A3"/>
    <w:multiLevelType w:val="hybridMultilevel"/>
    <w:tmpl w:val="8BF0E0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842F16"/>
    <w:multiLevelType w:val="hybridMultilevel"/>
    <w:tmpl w:val="BEA68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D362E7"/>
    <w:multiLevelType w:val="hybridMultilevel"/>
    <w:tmpl w:val="90467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5A4A4E"/>
    <w:multiLevelType w:val="hybridMultilevel"/>
    <w:tmpl w:val="2EF84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BA1A19"/>
    <w:multiLevelType w:val="hybridMultilevel"/>
    <w:tmpl w:val="A03E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8B5600"/>
    <w:multiLevelType w:val="hybridMultilevel"/>
    <w:tmpl w:val="C00C124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95524B"/>
    <w:multiLevelType w:val="hybridMultilevel"/>
    <w:tmpl w:val="B392916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8A283D"/>
    <w:multiLevelType w:val="hybridMultilevel"/>
    <w:tmpl w:val="8E5CFC9E"/>
    <w:lvl w:ilvl="0" w:tplc="BDFC27FC">
      <w:start w:val="1"/>
      <w:numFmt w:val="bullet"/>
      <w:pStyle w:val="ListBullet2"/>
      <w:lvlText w:val=""/>
      <w:lvlJc w:val="righ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7B10336"/>
    <w:multiLevelType w:val="multilevel"/>
    <w:tmpl w:val="CD1E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D33482"/>
    <w:multiLevelType w:val="multilevel"/>
    <w:tmpl w:val="4B5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4607DA"/>
    <w:multiLevelType w:val="hybridMultilevel"/>
    <w:tmpl w:val="EB6A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D65EB8"/>
    <w:multiLevelType w:val="hybridMultilevel"/>
    <w:tmpl w:val="1258FB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37"/>
  </w:num>
  <w:num w:numId="3">
    <w:abstractNumId w:val="46"/>
  </w:num>
  <w:num w:numId="4">
    <w:abstractNumId w:val="31"/>
  </w:num>
  <w:num w:numId="5">
    <w:abstractNumId w:val="41"/>
  </w:num>
  <w:num w:numId="6">
    <w:abstractNumId w:val="27"/>
  </w:num>
  <w:num w:numId="7">
    <w:abstractNumId w:val="33"/>
  </w:num>
  <w:num w:numId="8">
    <w:abstractNumId w:val="44"/>
  </w:num>
  <w:num w:numId="9">
    <w:abstractNumId w:val="48"/>
  </w:num>
  <w:num w:numId="10">
    <w:abstractNumId w:val="35"/>
  </w:num>
  <w:num w:numId="11">
    <w:abstractNumId w:val="24"/>
  </w:num>
  <w:num w:numId="12">
    <w:abstractNumId w:val="15"/>
  </w:num>
  <w:num w:numId="13">
    <w:abstractNumId w:val="21"/>
  </w:num>
  <w:num w:numId="14">
    <w:abstractNumId w:val="11"/>
  </w:num>
  <w:num w:numId="15">
    <w:abstractNumId w:val="40"/>
  </w:num>
  <w:num w:numId="16">
    <w:abstractNumId w:val="20"/>
  </w:num>
  <w:num w:numId="17">
    <w:abstractNumId w:val="25"/>
  </w:num>
  <w:num w:numId="18">
    <w:abstractNumId w:val="28"/>
  </w:num>
  <w:num w:numId="19">
    <w:abstractNumId w:val="19"/>
  </w:num>
  <w:num w:numId="20">
    <w:abstractNumId w:val="22"/>
  </w:num>
  <w:num w:numId="21">
    <w:abstractNumId w:val="47"/>
  </w:num>
  <w:num w:numId="22">
    <w:abstractNumId w:val="12"/>
  </w:num>
  <w:num w:numId="23">
    <w:abstractNumId w:val="39"/>
  </w:num>
  <w:num w:numId="24">
    <w:abstractNumId w:val="18"/>
  </w:num>
  <w:num w:numId="25">
    <w:abstractNumId w:val="43"/>
  </w:num>
  <w:num w:numId="26">
    <w:abstractNumId w:val="34"/>
  </w:num>
  <w:num w:numId="27">
    <w:abstractNumId w:val="42"/>
  </w:num>
  <w:num w:numId="28">
    <w:abstractNumId w:val="17"/>
  </w:num>
  <w:num w:numId="29">
    <w:abstractNumId w:val="10"/>
  </w:num>
  <w:num w:numId="30">
    <w:abstractNumId w:val="32"/>
  </w:num>
  <w:num w:numId="31">
    <w:abstractNumId w:val="30"/>
  </w:num>
  <w:num w:numId="32">
    <w:abstractNumId w:val="50"/>
  </w:num>
  <w:num w:numId="33">
    <w:abstractNumId w:val="13"/>
  </w:num>
  <w:num w:numId="34">
    <w:abstractNumId w:val="29"/>
  </w:num>
  <w:num w:numId="35">
    <w:abstractNumId w:val="23"/>
  </w:num>
  <w:num w:numId="36">
    <w:abstractNumId w:val="26"/>
  </w:num>
  <w:num w:numId="37">
    <w:abstractNumId w:val="4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45"/>
  </w:num>
  <w:num w:numId="48">
    <w:abstractNumId w:val="51"/>
  </w:num>
  <w:num w:numId="49">
    <w:abstractNumId w:val="9"/>
  </w:num>
  <w:num w:numId="50">
    <w:abstractNumId w:val="14"/>
  </w:num>
  <w:num w:numId="51">
    <w:abstractNumId w:val="36"/>
  </w:num>
  <w:num w:numId="5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DE"/>
    <w:rsid w:val="000007D6"/>
    <w:rsid w:val="000029D1"/>
    <w:rsid w:val="000039E1"/>
    <w:rsid w:val="00005B85"/>
    <w:rsid w:val="0000772E"/>
    <w:rsid w:val="00012CCC"/>
    <w:rsid w:val="00012CF6"/>
    <w:rsid w:val="000159B0"/>
    <w:rsid w:val="000206C8"/>
    <w:rsid w:val="00020DBD"/>
    <w:rsid w:val="000273EF"/>
    <w:rsid w:val="000276BC"/>
    <w:rsid w:val="00035841"/>
    <w:rsid w:val="00036E26"/>
    <w:rsid w:val="00040721"/>
    <w:rsid w:val="00040B00"/>
    <w:rsid w:val="0004649D"/>
    <w:rsid w:val="00046FC7"/>
    <w:rsid w:val="00047B59"/>
    <w:rsid w:val="00061E5C"/>
    <w:rsid w:val="00070EE1"/>
    <w:rsid w:val="00075946"/>
    <w:rsid w:val="00083602"/>
    <w:rsid w:val="000904F0"/>
    <w:rsid w:val="00091300"/>
    <w:rsid w:val="000935D4"/>
    <w:rsid w:val="000A2089"/>
    <w:rsid w:val="000A36FE"/>
    <w:rsid w:val="000B7C2F"/>
    <w:rsid w:val="000C1845"/>
    <w:rsid w:val="000C3773"/>
    <w:rsid w:val="000C41DC"/>
    <w:rsid w:val="000C56B4"/>
    <w:rsid w:val="000D4706"/>
    <w:rsid w:val="00112618"/>
    <w:rsid w:val="0011556D"/>
    <w:rsid w:val="00122960"/>
    <w:rsid w:val="00130C2B"/>
    <w:rsid w:val="00136B3E"/>
    <w:rsid w:val="00140F8D"/>
    <w:rsid w:val="00141A30"/>
    <w:rsid w:val="00147E3B"/>
    <w:rsid w:val="00151A30"/>
    <w:rsid w:val="001561B4"/>
    <w:rsid w:val="0016079F"/>
    <w:rsid w:val="00162A2D"/>
    <w:rsid w:val="001649C3"/>
    <w:rsid w:val="00172303"/>
    <w:rsid w:val="00177A74"/>
    <w:rsid w:val="001827ED"/>
    <w:rsid w:val="0019277A"/>
    <w:rsid w:val="00194801"/>
    <w:rsid w:val="0019712F"/>
    <w:rsid w:val="001A0D10"/>
    <w:rsid w:val="001A676D"/>
    <w:rsid w:val="001A7503"/>
    <w:rsid w:val="001B6A63"/>
    <w:rsid w:val="001C25E1"/>
    <w:rsid w:val="001D0EBF"/>
    <w:rsid w:val="001E0E93"/>
    <w:rsid w:val="001E1EFB"/>
    <w:rsid w:val="001E59AA"/>
    <w:rsid w:val="001E5B79"/>
    <w:rsid w:val="001E6A1F"/>
    <w:rsid w:val="001E6BE0"/>
    <w:rsid w:val="001E79A3"/>
    <w:rsid w:val="001F42E1"/>
    <w:rsid w:val="002002D9"/>
    <w:rsid w:val="002030F6"/>
    <w:rsid w:val="00212AB9"/>
    <w:rsid w:val="00212FA7"/>
    <w:rsid w:val="00213DB3"/>
    <w:rsid w:val="00217C4F"/>
    <w:rsid w:val="00221736"/>
    <w:rsid w:val="002227EA"/>
    <w:rsid w:val="00222A1E"/>
    <w:rsid w:val="00225A25"/>
    <w:rsid w:val="002273B2"/>
    <w:rsid w:val="00230A71"/>
    <w:rsid w:val="00231366"/>
    <w:rsid w:val="00231B7D"/>
    <w:rsid w:val="00234C2F"/>
    <w:rsid w:val="00251517"/>
    <w:rsid w:val="00254D23"/>
    <w:rsid w:val="0026253A"/>
    <w:rsid w:val="00263D7D"/>
    <w:rsid w:val="00266A44"/>
    <w:rsid w:val="00270303"/>
    <w:rsid w:val="00270D6C"/>
    <w:rsid w:val="00271885"/>
    <w:rsid w:val="002770BF"/>
    <w:rsid w:val="00285885"/>
    <w:rsid w:val="002864FB"/>
    <w:rsid w:val="002A3414"/>
    <w:rsid w:val="002A6566"/>
    <w:rsid w:val="002B3113"/>
    <w:rsid w:val="002C077F"/>
    <w:rsid w:val="002C3203"/>
    <w:rsid w:val="002C4214"/>
    <w:rsid w:val="002C5AFE"/>
    <w:rsid w:val="002C7884"/>
    <w:rsid w:val="002D2E7A"/>
    <w:rsid w:val="002D3DDF"/>
    <w:rsid w:val="002E2697"/>
    <w:rsid w:val="002E540F"/>
    <w:rsid w:val="00301AD1"/>
    <w:rsid w:val="00303F0A"/>
    <w:rsid w:val="00310E60"/>
    <w:rsid w:val="0031491C"/>
    <w:rsid w:val="003165BC"/>
    <w:rsid w:val="003266F4"/>
    <w:rsid w:val="00326E7A"/>
    <w:rsid w:val="003304F0"/>
    <w:rsid w:val="00332CA5"/>
    <w:rsid w:val="00334AED"/>
    <w:rsid w:val="003376CB"/>
    <w:rsid w:val="00344460"/>
    <w:rsid w:val="00344EC9"/>
    <w:rsid w:val="003465A7"/>
    <w:rsid w:val="003476C7"/>
    <w:rsid w:val="00352BC5"/>
    <w:rsid w:val="0035656A"/>
    <w:rsid w:val="003606DA"/>
    <w:rsid w:val="003613DB"/>
    <w:rsid w:val="00364CF9"/>
    <w:rsid w:val="00364F48"/>
    <w:rsid w:val="003650EF"/>
    <w:rsid w:val="00370F2B"/>
    <w:rsid w:val="00371722"/>
    <w:rsid w:val="00372FA9"/>
    <w:rsid w:val="003845EF"/>
    <w:rsid w:val="003912C4"/>
    <w:rsid w:val="00392FB5"/>
    <w:rsid w:val="00394432"/>
    <w:rsid w:val="003952F4"/>
    <w:rsid w:val="003972D8"/>
    <w:rsid w:val="003976EC"/>
    <w:rsid w:val="003A02CF"/>
    <w:rsid w:val="003A344E"/>
    <w:rsid w:val="003A6804"/>
    <w:rsid w:val="003A68EE"/>
    <w:rsid w:val="003B1AC7"/>
    <w:rsid w:val="003B1EC2"/>
    <w:rsid w:val="003C0002"/>
    <w:rsid w:val="003C2953"/>
    <w:rsid w:val="003C79B8"/>
    <w:rsid w:val="003D1A56"/>
    <w:rsid w:val="003D4ED4"/>
    <w:rsid w:val="003E2A75"/>
    <w:rsid w:val="003E55F1"/>
    <w:rsid w:val="003E778B"/>
    <w:rsid w:val="003F3F5E"/>
    <w:rsid w:val="00406A15"/>
    <w:rsid w:val="004112A4"/>
    <w:rsid w:val="004159C6"/>
    <w:rsid w:val="004274AE"/>
    <w:rsid w:val="00432021"/>
    <w:rsid w:val="00433F05"/>
    <w:rsid w:val="00446B00"/>
    <w:rsid w:val="00455DE9"/>
    <w:rsid w:val="00466C85"/>
    <w:rsid w:val="00475E25"/>
    <w:rsid w:val="00476AE1"/>
    <w:rsid w:val="004841C0"/>
    <w:rsid w:val="00485FFB"/>
    <w:rsid w:val="00486394"/>
    <w:rsid w:val="00487C23"/>
    <w:rsid w:val="00487FB8"/>
    <w:rsid w:val="00490186"/>
    <w:rsid w:val="00497C1D"/>
    <w:rsid w:val="004A7F6D"/>
    <w:rsid w:val="004A7FD1"/>
    <w:rsid w:val="004B2BC0"/>
    <w:rsid w:val="004B3357"/>
    <w:rsid w:val="004C063F"/>
    <w:rsid w:val="004C11BD"/>
    <w:rsid w:val="004C1E5B"/>
    <w:rsid w:val="004C6D94"/>
    <w:rsid w:val="004D02BC"/>
    <w:rsid w:val="004D56D1"/>
    <w:rsid w:val="004D6786"/>
    <w:rsid w:val="004D6D23"/>
    <w:rsid w:val="004E0D30"/>
    <w:rsid w:val="004E12DA"/>
    <w:rsid w:val="004E26F7"/>
    <w:rsid w:val="004E546B"/>
    <w:rsid w:val="004F420E"/>
    <w:rsid w:val="005068F2"/>
    <w:rsid w:val="005111CF"/>
    <w:rsid w:val="005166D2"/>
    <w:rsid w:val="00516CAB"/>
    <w:rsid w:val="00520697"/>
    <w:rsid w:val="0052262C"/>
    <w:rsid w:val="00522DB5"/>
    <w:rsid w:val="0052509B"/>
    <w:rsid w:val="005257BB"/>
    <w:rsid w:val="005267AF"/>
    <w:rsid w:val="00526ACD"/>
    <w:rsid w:val="00531D05"/>
    <w:rsid w:val="00541ADC"/>
    <w:rsid w:val="00542B22"/>
    <w:rsid w:val="00555309"/>
    <w:rsid w:val="00557739"/>
    <w:rsid w:val="005577E2"/>
    <w:rsid w:val="00560085"/>
    <w:rsid w:val="00567064"/>
    <w:rsid w:val="005717D8"/>
    <w:rsid w:val="00571B53"/>
    <w:rsid w:val="0057466B"/>
    <w:rsid w:val="0058137D"/>
    <w:rsid w:val="005819AD"/>
    <w:rsid w:val="0058271D"/>
    <w:rsid w:val="00584587"/>
    <w:rsid w:val="00587791"/>
    <w:rsid w:val="00593A1A"/>
    <w:rsid w:val="005952E3"/>
    <w:rsid w:val="0059599F"/>
    <w:rsid w:val="005A6379"/>
    <w:rsid w:val="005A63D6"/>
    <w:rsid w:val="005A733A"/>
    <w:rsid w:val="005B167D"/>
    <w:rsid w:val="005B16D2"/>
    <w:rsid w:val="005C20E5"/>
    <w:rsid w:val="005C23E9"/>
    <w:rsid w:val="005C74B7"/>
    <w:rsid w:val="005E276A"/>
    <w:rsid w:val="005E2935"/>
    <w:rsid w:val="005E33C5"/>
    <w:rsid w:val="005F6B18"/>
    <w:rsid w:val="005F6D9E"/>
    <w:rsid w:val="00601646"/>
    <w:rsid w:val="00602F11"/>
    <w:rsid w:val="006046C1"/>
    <w:rsid w:val="00611C0B"/>
    <w:rsid w:val="00620B01"/>
    <w:rsid w:val="00625C2B"/>
    <w:rsid w:val="00626EA1"/>
    <w:rsid w:val="006300A4"/>
    <w:rsid w:val="0063516E"/>
    <w:rsid w:val="00645675"/>
    <w:rsid w:val="00651880"/>
    <w:rsid w:val="0065248C"/>
    <w:rsid w:val="00666564"/>
    <w:rsid w:val="00666FCB"/>
    <w:rsid w:val="00674227"/>
    <w:rsid w:val="00677751"/>
    <w:rsid w:val="00685C3F"/>
    <w:rsid w:val="00695345"/>
    <w:rsid w:val="006A5E8E"/>
    <w:rsid w:val="006A62FE"/>
    <w:rsid w:val="006B33AF"/>
    <w:rsid w:val="006C4661"/>
    <w:rsid w:val="006C7508"/>
    <w:rsid w:val="006C756E"/>
    <w:rsid w:val="006D2450"/>
    <w:rsid w:val="006E1F48"/>
    <w:rsid w:val="006E35A8"/>
    <w:rsid w:val="006E3610"/>
    <w:rsid w:val="006E6789"/>
    <w:rsid w:val="006F733B"/>
    <w:rsid w:val="007017BD"/>
    <w:rsid w:val="00704A01"/>
    <w:rsid w:val="007055F1"/>
    <w:rsid w:val="0070572E"/>
    <w:rsid w:val="0070741B"/>
    <w:rsid w:val="00710A99"/>
    <w:rsid w:val="00712528"/>
    <w:rsid w:val="00712631"/>
    <w:rsid w:val="007127F5"/>
    <w:rsid w:val="00713026"/>
    <w:rsid w:val="00714749"/>
    <w:rsid w:val="00715142"/>
    <w:rsid w:val="00716DC1"/>
    <w:rsid w:val="00717207"/>
    <w:rsid w:val="007328F4"/>
    <w:rsid w:val="00734EBC"/>
    <w:rsid w:val="00735A51"/>
    <w:rsid w:val="00741407"/>
    <w:rsid w:val="007461D8"/>
    <w:rsid w:val="00752441"/>
    <w:rsid w:val="0075522B"/>
    <w:rsid w:val="00755BA7"/>
    <w:rsid w:val="0076078B"/>
    <w:rsid w:val="00764B58"/>
    <w:rsid w:val="00771BBE"/>
    <w:rsid w:val="007762DA"/>
    <w:rsid w:val="00777741"/>
    <w:rsid w:val="00781453"/>
    <w:rsid w:val="0078343E"/>
    <w:rsid w:val="007974E9"/>
    <w:rsid w:val="007A585D"/>
    <w:rsid w:val="007A7847"/>
    <w:rsid w:val="007B2F03"/>
    <w:rsid w:val="007C07F9"/>
    <w:rsid w:val="007C3782"/>
    <w:rsid w:val="007C5A97"/>
    <w:rsid w:val="007C7BC2"/>
    <w:rsid w:val="007D0EC7"/>
    <w:rsid w:val="007D48AD"/>
    <w:rsid w:val="007D5092"/>
    <w:rsid w:val="007D5D83"/>
    <w:rsid w:val="007E1AC9"/>
    <w:rsid w:val="007E213D"/>
    <w:rsid w:val="007E6201"/>
    <w:rsid w:val="007F26BB"/>
    <w:rsid w:val="007F390B"/>
    <w:rsid w:val="007F6542"/>
    <w:rsid w:val="007F737C"/>
    <w:rsid w:val="0080112E"/>
    <w:rsid w:val="00806D32"/>
    <w:rsid w:val="00807A47"/>
    <w:rsid w:val="00815853"/>
    <w:rsid w:val="00821E21"/>
    <w:rsid w:val="0082290A"/>
    <w:rsid w:val="008232BD"/>
    <w:rsid w:val="00825339"/>
    <w:rsid w:val="00831207"/>
    <w:rsid w:val="008325E4"/>
    <w:rsid w:val="00832A89"/>
    <w:rsid w:val="00834071"/>
    <w:rsid w:val="00834098"/>
    <w:rsid w:val="00845937"/>
    <w:rsid w:val="00847296"/>
    <w:rsid w:val="008515C9"/>
    <w:rsid w:val="00857DAF"/>
    <w:rsid w:val="008612A2"/>
    <w:rsid w:val="00867E8C"/>
    <w:rsid w:val="00886614"/>
    <w:rsid w:val="008B0360"/>
    <w:rsid w:val="008B450F"/>
    <w:rsid w:val="008C0BC8"/>
    <w:rsid w:val="008C1382"/>
    <w:rsid w:val="008C4D1D"/>
    <w:rsid w:val="008C5143"/>
    <w:rsid w:val="008C555F"/>
    <w:rsid w:val="008D76BE"/>
    <w:rsid w:val="008F39A7"/>
    <w:rsid w:val="008F457A"/>
    <w:rsid w:val="008F4BCF"/>
    <w:rsid w:val="008F59FE"/>
    <w:rsid w:val="008F72A1"/>
    <w:rsid w:val="00901D8A"/>
    <w:rsid w:val="00910921"/>
    <w:rsid w:val="009136E8"/>
    <w:rsid w:val="009249A9"/>
    <w:rsid w:val="009339CE"/>
    <w:rsid w:val="00934B23"/>
    <w:rsid w:val="00942361"/>
    <w:rsid w:val="009444C0"/>
    <w:rsid w:val="00945182"/>
    <w:rsid w:val="00950368"/>
    <w:rsid w:val="00950D14"/>
    <w:rsid w:val="00952B67"/>
    <w:rsid w:val="00956B33"/>
    <w:rsid w:val="00960733"/>
    <w:rsid w:val="00962376"/>
    <w:rsid w:val="00963947"/>
    <w:rsid w:val="00970DCE"/>
    <w:rsid w:val="0097550E"/>
    <w:rsid w:val="009850BE"/>
    <w:rsid w:val="00986D82"/>
    <w:rsid w:val="009918C6"/>
    <w:rsid w:val="00993731"/>
    <w:rsid w:val="009A01DA"/>
    <w:rsid w:val="009A2CA4"/>
    <w:rsid w:val="009A4B1D"/>
    <w:rsid w:val="009A7E10"/>
    <w:rsid w:val="009D2669"/>
    <w:rsid w:val="009D2889"/>
    <w:rsid w:val="009D4271"/>
    <w:rsid w:val="009D7F2D"/>
    <w:rsid w:val="009E5776"/>
    <w:rsid w:val="009E7426"/>
    <w:rsid w:val="009F39CB"/>
    <w:rsid w:val="009F468F"/>
    <w:rsid w:val="00A029AF"/>
    <w:rsid w:val="00A07D83"/>
    <w:rsid w:val="00A121B7"/>
    <w:rsid w:val="00A15CCC"/>
    <w:rsid w:val="00A15D24"/>
    <w:rsid w:val="00A24315"/>
    <w:rsid w:val="00A273D6"/>
    <w:rsid w:val="00A42BBE"/>
    <w:rsid w:val="00A44989"/>
    <w:rsid w:val="00A46D36"/>
    <w:rsid w:val="00A55F8B"/>
    <w:rsid w:val="00A65AB0"/>
    <w:rsid w:val="00A66140"/>
    <w:rsid w:val="00A81894"/>
    <w:rsid w:val="00A81B0E"/>
    <w:rsid w:val="00A81C8C"/>
    <w:rsid w:val="00A82DA3"/>
    <w:rsid w:val="00A94647"/>
    <w:rsid w:val="00A96FA3"/>
    <w:rsid w:val="00A970AF"/>
    <w:rsid w:val="00AA0F12"/>
    <w:rsid w:val="00AA1986"/>
    <w:rsid w:val="00AA22B7"/>
    <w:rsid w:val="00AA2F34"/>
    <w:rsid w:val="00AA48BC"/>
    <w:rsid w:val="00AB15ED"/>
    <w:rsid w:val="00AB3923"/>
    <w:rsid w:val="00AB7900"/>
    <w:rsid w:val="00AC5002"/>
    <w:rsid w:val="00AD7A6B"/>
    <w:rsid w:val="00AE4C57"/>
    <w:rsid w:val="00AF4276"/>
    <w:rsid w:val="00AF56E0"/>
    <w:rsid w:val="00B00637"/>
    <w:rsid w:val="00B034C8"/>
    <w:rsid w:val="00B035BB"/>
    <w:rsid w:val="00B04464"/>
    <w:rsid w:val="00B11DF6"/>
    <w:rsid w:val="00B13F88"/>
    <w:rsid w:val="00B153CC"/>
    <w:rsid w:val="00B2225A"/>
    <w:rsid w:val="00B23258"/>
    <w:rsid w:val="00B3260B"/>
    <w:rsid w:val="00B37113"/>
    <w:rsid w:val="00B41FD2"/>
    <w:rsid w:val="00B42AE8"/>
    <w:rsid w:val="00B458C2"/>
    <w:rsid w:val="00B53A69"/>
    <w:rsid w:val="00B63082"/>
    <w:rsid w:val="00B643F4"/>
    <w:rsid w:val="00B65C5C"/>
    <w:rsid w:val="00B7080C"/>
    <w:rsid w:val="00B72C3B"/>
    <w:rsid w:val="00B72D72"/>
    <w:rsid w:val="00B77675"/>
    <w:rsid w:val="00B82AA8"/>
    <w:rsid w:val="00B82BB3"/>
    <w:rsid w:val="00B9671E"/>
    <w:rsid w:val="00BA05E8"/>
    <w:rsid w:val="00BB66E7"/>
    <w:rsid w:val="00BC051C"/>
    <w:rsid w:val="00BC204B"/>
    <w:rsid w:val="00BD4B0B"/>
    <w:rsid w:val="00BE1A88"/>
    <w:rsid w:val="00BE59B8"/>
    <w:rsid w:val="00BE7B34"/>
    <w:rsid w:val="00BF4704"/>
    <w:rsid w:val="00BF6F95"/>
    <w:rsid w:val="00C027EF"/>
    <w:rsid w:val="00C061A1"/>
    <w:rsid w:val="00C07A82"/>
    <w:rsid w:val="00C07CDC"/>
    <w:rsid w:val="00C12F3D"/>
    <w:rsid w:val="00C13C76"/>
    <w:rsid w:val="00C21534"/>
    <w:rsid w:val="00C318CB"/>
    <w:rsid w:val="00C4708F"/>
    <w:rsid w:val="00C50A8F"/>
    <w:rsid w:val="00C52FA9"/>
    <w:rsid w:val="00C600F0"/>
    <w:rsid w:val="00C66154"/>
    <w:rsid w:val="00C67C48"/>
    <w:rsid w:val="00C75635"/>
    <w:rsid w:val="00C7757B"/>
    <w:rsid w:val="00C922C0"/>
    <w:rsid w:val="00C97FA6"/>
    <w:rsid w:val="00CA091F"/>
    <w:rsid w:val="00CA347E"/>
    <w:rsid w:val="00CB3891"/>
    <w:rsid w:val="00CB6A1E"/>
    <w:rsid w:val="00CC2348"/>
    <w:rsid w:val="00CC4D39"/>
    <w:rsid w:val="00CC6180"/>
    <w:rsid w:val="00CD43BB"/>
    <w:rsid w:val="00CD672F"/>
    <w:rsid w:val="00CE0F40"/>
    <w:rsid w:val="00CE628F"/>
    <w:rsid w:val="00CE7428"/>
    <w:rsid w:val="00CF269A"/>
    <w:rsid w:val="00CF7596"/>
    <w:rsid w:val="00CF77E1"/>
    <w:rsid w:val="00CF7D0A"/>
    <w:rsid w:val="00D0631E"/>
    <w:rsid w:val="00D07DCF"/>
    <w:rsid w:val="00D101CC"/>
    <w:rsid w:val="00D12225"/>
    <w:rsid w:val="00D1486C"/>
    <w:rsid w:val="00D15ABB"/>
    <w:rsid w:val="00D22BA6"/>
    <w:rsid w:val="00D23879"/>
    <w:rsid w:val="00D2485A"/>
    <w:rsid w:val="00D258E9"/>
    <w:rsid w:val="00D25D69"/>
    <w:rsid w:val="00D3653C"/>
    <w:rsid w:val="00D367BF"/>
    <w:rsid w:val="00D42EB5"/>
    <w:rsid w:val="00D438D8"/>
    <w:rsid w:val="00D4404E"/>
    <w:rsid w:val="00D611E3"/>
    <w:rsid w:val="00D63525"/>
    <w:rsid w:val="00D72B5A"/>
    <w:rsid w:val="00D810DE"/>
    <w:rsid w:val="00D91A85"/>
    <w:rsid w:val="00D97ECE"/>
    <w:rsid w:val="00DB1F4C"/>
    <w:rsid w:val="00DB6D17"/>
    <w:rsid w:val="00DB717F"/>
    <w:rsid w:val="00DC1883"/>
    <w:rsid w:val="00DC30AA"/>
    <w:rsid w:val="00DD0CF7"/>
    <w:rsid w:val="00DE1AAF"/>
    <w:rsid w:val="00DF3C89"/>
    <w:rsid w:val="00DF5562"/>
    <w:rsid w:val="00E004FD"/>
    <w:rsid w:val="00E05B57"/>
    <w:rsid w:val="00E064CB"/>
    <w:rsid w:val="00E07E2F"/>
    <w:rsid w:val="00E10ADF"/>
    <w:rsid w:val="00E13603"/>
    <w:rsid w:val="00E14CC6"/>
    <w:rsid w:val="00E151E2"/>
    <w:rsid w:val="00E2119A"/>
    <w:rsid w:val="00E30DD7"/>
    <w:rsid w:val="00E3658D"/>
    <w:rsid w:val="00E36AFC"/>
    <w:rsid w:val="00E40D6C"/>
    <w:rsid w:val="00E516B0"/>
    <w:rsid w:val="00E65187"/>
    <w:rsid w:val="00E65CB6"/>
    <w:rsid w:val="00E6605A"/>
    <w:rsid w:val="00E72F5D"/>
    <w:rsid w:val="00E80C14"/>
    <w:rsid w:val="00E82D2C"/>
    <w:rsid w:val="00E82DAF"/>
    <w:rsid w:val="00EA0936"/>
    <w:rsid w:val="00EA0E2B"/>
    <w:rsid w:val="00EA3872"/>
    <w:rsid w:val="00EB3881"/>
    <w:rsid w:val="00EB5007"/>
    <w:rsid w:val="00EC611B"/>
    <w:rsid w:val="00ED01BD"/>
    <w:rsid w:val="00ED5C90"/>
    <w:rsid w:val="00ED6132"/>
    <w:rsid w:val="00EF1F0B"/>
    <w:rsid w:val="00EF4F3F"/>
    <w:rsid w:val="00EF78C8"/>
    <w:rsid w:val="00F01365"/>
    <w:rsid w:val="00F02BF3"/>
    <w:rsid w:val="00F05F17"/>
    <w:rsid w:val="00F07A28"/>
    <w:rsid w:val="00F12ABA"/>
    <w:rsid w:val="00F212DA"/>
    <w:rsid w:val="00F2431C"/>
    <w:rsid w:val="00F25EE8"/>
    <w:rsid w:val="00F26FC7"/>
    <w:rsid w:val="00F34A68"/>
    <w:rsid w:val="00F3706C"/>
    <w:rsid w:val="00F445A5"/>
    <w:rsid w:val="00F45DC6"/>
    <w:rsid w:val="00F50BE4"/>
    <w:rsid w:val="00F53624"/>
    <w:rsid w:val="00F55944"/>
    <w:rsid w:val="00F668EB"/>
    <w:rsid w:val="00F676A8"/>
    <w:rsid w:val="00F717C5"/>
    <w:rsid w:val="00F73C38"/>
    <w:rsid w:val="00F774D0"/>
    <w:rsid w:val="00F85AED"/>
    <w:rsid w:val="00F86BD3"/>
    <w:rsid w:val="00F90380"/>
    <w:rsid w:val="00F95B5E"/>
    <w:rsid w:val="00F95BC8"/>
    <w:rsid w:val="00F962CC"/>
    <w:rsid w:val="00FA57F1"/>
    <w:rsid w:val="00FA71E7"/>
    <w:rsid w:val="00FA7398"/>
    <w:rsid w:val="00FB3C01"/>
    <w:rsid w:val="00FC057B"/>
    <w:rsid w:val="00FD3161"/>
    <w:rsid w:val="00FD34C8"/>
    <w:rsid w:val="00FE3136"/>
    <w:rsid w:val="00FE3E30"/>
    <w:rsid w:val="00FE4266"/>
    <w:rsid w:val="00FE7AF7"/>
    <w:rsid w:val="00FF0934"/>
    <w:rsid w:val="00FF7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65BC"/>
  <w15:docId w15:val="{6D4B9AA0-C5E8-479A-845B-F9B8052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C14"/>
    <w:pPr>
      <w:spacing w:after="240" w:line="240" w:lineRule="auto"/>
    </w:pPr>
    <w:rPr>
      <w:rFonts w:ascii="Arial" w:hAnsi="Arial" w:cs="Arial"/>
      <w:szCs w:val="21"/>
    </w:rPr>
  </w:style>
  <w:style w:type="paragraph" w:styleId="Heading1">
    <w:name w:val="heading 1"/>
    <w:basedOn w:val="Normal"/>
    <w:next w:val="Normal"/>
    <w:link w:val="Heading1Char"/>
    <w:uiPriority w:val="9"/>
    <w:qFormat/>
    <w:rsid w:val="001F42E1"/>
    <w:pPr>
      <w:outlineLvl w:val="0"/>
    </w:pPr>
    <w:rPr>
      <w:b/>
    </w:rPr>
  </w:style>
  <w:style w:type="paragraph" w:styleId="Heading2">
    <w:name w:val="heading 2"/>
    <w:basedOn w:val="Normal"/>
    <w:next w:val="Normal"/>
    <w:link w:val="Heading2Char"/>
    <w:uiPriority w:val="9"/>
    <w:qFormat/>
    <w:rsid w:val="001F42E1"/>
    <w:pPr>
      <w:outlineLvl w:val="1"/>
    </w:pPr>
    <w:rPr>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rsid w:val="005267AF"/>
    <w:pPr>
      <w:ind w:left="720"/>
      <w:contextualSpacing/>
    </w:pPr>
  </w:style>
  <w:style w:type="paragraph" w:styleId="BalloonText">
    <w:name w:val="Balloon Text"/>
    <w:basedOn w:val="Normal"/>
    <w:link w:val="BalloonTextChar"/>
    <w:uiPriority w:val="99"/>
    <w:semiHidden/>
    <w:unhideWhenUsed/>
    <w:rsid w:val="00970D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CE"/>
    <w:rPr>
      <w:rFonts w:ascii="Tahoma" w:hAnsi="Tahoma" w:cs="Tahoma"/>
      <w:sz w:val="16"/>
      <w:szCs w:val="16"/>
    </w:rPr>
  </w:style>
  <w:style w:type="character" w:styleId="CommentReference">
    <w:name w:val="annotation reference"/>
    <w:basedOn w:val="DefaultParagraphFont"/>
    <w:uiPriority w:val="99"/>
    <w:semiHidden/>
    <w:unhideWhenUsed/>
    <w:rsid w:val="00EA3872"/>
    <w:rPr>
      <w:sz w:val="16"/>
      <w:szCs w:val="16"/>
    </w:rPr>
  </w:style>
  <w:style w:type="paragraph" w:styleId="CommentText">
    <w:name w:val="annotation text"/>
    <w:basedOn w:val="Normal"/>
    <w:link w:val="CommentTextChar"/>
    <w:uiPriority w:val="99"/>
    <w:semiHidden/>
    <w:unhideWhenUsed/>
    <w:rsid w:val="00EA3872"/>
    <w:rPr>
      <w:sz w:val="20"/>
      <w:szCs w:val="20"/>
    </w:rPr>
  </w:style>
  <w:style w:type="character" w:customStyle="1" w:styleId="CommentTextChar">
    <w:name w:val="Comment Text Char"/>
    <w:basedOn w:val="DefaultParagraphFont"/>
    <w:link w:val="CommentText"/>
    <w:uiPriority w:val="99"/>
    <w:semiHidden/>
    <w:rsid w:val="00EA3872"/>
    <w:rPr>
      <w:sz w:val="20"/>
      <w:szCs w:val="20"/>
    </w:rPr>
  </w:style>
  <w:style w:type="paragraph" w:styleId="CommentSubject">
    <w:name w:val="annotation subject"/>
    <w:basedOn w:val="CommentText"/>
    <w:next w:val="CommentText"/>
    <w:link w:val="CommentSubjectChar"/>
    <w:uiPriority w:val="99"/>
    <w:semiHidden/>
    <w:unhideWhenUsed/>
    <w:rsid w:val="00EA3872"/>
    <w:rPr>
      <w:b/>
      <w:bCs/>
    </w:rPr>
  </w:style>
  <w:style w:type="character" w:customStyle="1" w:styleId="CommentSubjectChar">
    <w:name w:val="Comment Subject Char"/>
    <w:basedOn w:val="CommentTextChar"/>
    <w:link w:val="CommentSubject"/>
    <w:uiPriority w:val="99"/>
    <w:semiHidden/>
    <w:rsid w:val="00EA3872"/>
    <w:rPr>
      <w:b/>
      <w:bCs/>
      <w:sz w:val="20"/>
      <w:szCs w:val="20"/>
    </w:rPr>
  </w:style>
  <w:style w:type="paragraph" w:styleId="ListBullet">
    <w:name w:val="List Bullet"/>
    <w:basedOn w:val="ListParagraph"/>
    <w:link w:val="ListBulletChar"/>
    <w:qFormat/>
    <w:rsid w:val="00263D7D"/>
    <w:pPr>
      <w:numPr>
        <w:numId w:val="36"/>
      </w:numPr>
      <w:ind w:left="386" w:hanging="284"/>
      <w:contextualSpacing w:val="0"/>
    </w:pPr>
  </w:style>
  <w:style w:type="character" w:customStyle="1" w:styleId="ListBulletChar">
    <w:name w:val="List Bullet Char"/>
    <w:basedOn w:val="DefaultParagraphFont"/>
    <w:link w:val="ListBullet"/>
    <w:rsid w:val="00263D7D"/>
    <w:rPr>
      <w:rFonts w:ascii="Arial" w:hAnsi="Arial" w:cs="Arial"/>
      <w:sz w:val="21"/>
      <w:szCs w:val="21"/>
    </w:rPr>
  </w:style>
  <w:style w:type="paragraph" w:styleId="BodyText">
    <w:name w:val="Body Text"/>
    <w:basedOn w:val="Normal"/>
    <w:link w:val="BodyTextChar"/>
    <w:uiPriority w:val="99"/>
    <w:semiHidden/>
    <w:unhideWhenUsed/>
    <w:rsid w:val="004E546B"/>
    <w:pPr>
      <w:spacing w:after="120"/>
    </w:pPr>
  </w:style>
  <w:style w:type="character" w:customStyle="1" w:styleId="BodyTextChar">
    <w:name w:val="Body Text Char"/>
    <w:basedOn w:val="DefaultParagraphFont"/>
    <w:link w:val="BodyText"/>
    <w:uiPriority w:val="99"/>
    <w:semiHidden/>
    <w:rsid w:val="004E546B"/>
  </w:style>
  <w:style w:type="paragraph" w:customStyle="1" w:styleId="Default">
    <w:name w:val="Default"/>
    <w:rsid w:val="002002D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63525"/>
    <w:pPr>
      <w:tabs>
        <w:tab w:val="center" w:pos="4513"/>
        <w:tab w:val="right" w:pos="9026"/>
      </w:tabs>
      <w:spacing w:after="0"/>
    </w:pPr>
  </w:style>
  <w:style w:type="character" w:customStyle="1" w:styleId="HeaderChar">
    <w:name w:val="Header Char"/>
    <w:basedOn w:val="DefaultParagraphFont"/>
    <w:link w:val="Header"/>
    <w:uiPriority w:val="99"/>
    <w:rsid w:val="00D63525"/>
  </w:style>
  <w:style w:type="paragraph" w:styleId="Footer">
    <w:name w:val="footer"/>
    <w:basedOn w:val="Normal"/>
    <w:link w:val="FooterChar"/>
    <w:uiPriority w:val="99"/>
    <w:unhideWhenUsed/>
    <w:rsid w:val="00D63525"/>
    <w:pPr>
      <w:tabs>
        <w:tab w:val="center" w:pos="4513"/>
        <w:tab w:val="right" w:pos="9026"/>
      </w:tabs>
      <w:spacing w:after="0"/>
    </w:pPr>
  </w:style>
  <w:style w:type="character" w:customStyle="1" w:styleId="FooterChar">
    <w:name w:val="Footer Char"/>
    <w:basedOn w:val="DefaultParagraphFont"/>
    <w:link w:val="Footer"/>
    <w:uiPriority w:val="99"/>
    <w:rsid w:val="00D63525"/>
  </w:style>
  <w:style w:type="paragraph" w:styleId="Title">
    <w:name w:val="Title"/>
    <w:basedOn w:val="Normal"/>
    <w:next w:val="Normal"/>
    <w:link w:val="TitleChar"/>
    <w:uiPriority w:val="10"/>
    <w:qFormat/>
    <w:rsid w:val="001F42E1"/>
    <w:pPr>
      <w:spacing w:after="360"/>
      <w:jc w:val="center"/>
    </w:pPr>
    <w:rPr>
      <w:b/>
      <w:sz w:val="24"/>
      <w:szCs w:val="24"/>
    </w:rPr>
  </w:style>
  <w:style w:type="character" w:customStyle="1" w:styleId="TitleChar">
    <w:name w:val="Title Char"/>
    <w:basedOn w:val="DefaultParagraphFont"/>
    <w:link w:val="Title"/>
    <w:uiPriority w:val="10"/>
    <w:rsid w:val="00E80C14"/>
    <w:rPr>
      <w:rFonts w:ascii="Arial" w:hAnsi="Arial" w:cs="Arial"/>
      <w:b/>
      <w:sz w:val="24"/>
      <w:szCs w:val="24"/>
    </w:rPr>
  </w:style>
  <w:style w:type="character" w:customStyle="1" w:styleId="Heading1Char">
    <w:name w:val="Heading 1 Char"/>
    <w:basedOn w:val="DefaultParagraphFont"/>
    <w:link w:val="Heading1"/>
    <w:uiPriority w:val="9"/>
    <w:rsid w:val="001F42E1"/>
    <w:rPr>
      <w:rFonts w:ascii="Arial" w:hAnsi="Arial" w:cs="Arial"/>
      <w:b/>
      <w:sz w:val="21"/>
      <w:szCs w:val="21"/>
    </w:rPr>
  </w:style>
  <w:style w:type="character" w:customStyle="1" w:styleId="Heading2Char">
    <w:name w:val="Heading 2 Char"/>
    <w:basedOn w:val="DefaultParagraphFont"/>
    <w:link w:val="Heading2"/>
    <w:uiPriority w:val="9"/>
    <w:rsid w:val="00222A1E"/>
    <w:rPr>
      <w:rFonts w:ascii="Arial" w:hAnsi="Arial" w:cs="Arial"/>
      <w:i/>
      <w:color w:val="000000"/>
      <w:sz w:val="21"/>
      <w:szCs w:val="21"/>
    </w:rPr>
  </w:style>
  <w:style w:type="paragraph" w:styleId="ListBullet2">
    <w:name w:val="List Bullet 2"/>
    <w:basedOn w:val="ListParagraph"/>
    <w:qFormat/>
    <w:rsid w:val="007E213D"/>
    <w:pPr>
      <w:numPr>
        <w:numId w:val="21"/>
      </w:numPr>
      <w:ind w:left="777" w:hanging="284"/>
      <w:contextualSpacing w:val="0"/>
    </w:pPr>
  </w:style>
  <w:style w:type="character" w:customStyle="1" w:styleId="e24kjd">
    <w:name w:val="e24kjd"/>
    <w:basedOn w:val="DefaultParagraphFont"/>
    <w:rsid w:val="00E36AFC"/>
  </w:style>
  <w:style w:type="paragraph" w:styleId="FootnoteText">
    <w:name w:val="footnote text"/>
    <w:basedOn w:val="Normal"/>
    <w:link w:val="FootnoteTextChar"/>
    <w:uiPriority w:val="99"/>
    <w:semiHidden/>
    <w:unhideWhenUsed/>
    <w:rsid w:val="00F53624"/>
    <w:pPr>
      <w:spacing w:after="0"/>
    </w:pPr>
    <w:rPr>
      <w:sz w:val="20"/>
      <w:szCs w:val="20"/>
    </w:rPr>
  </w:style>
  <w:style w:type="character" w:customStyle="1" w:styleId="FootnoteTextChar">
    <w:name w:val="Footnote Text Char"/>
    <w:basedOn w:val="DefaultParagraphFont"/>
    <w:link w:val="FootnoteText"/>
    <w:uiPriority w:val="99"/>
    <w:semiHidden/>
    <w:rsid w:val="00F53624"/>
    <w:rPr>
      <w:rFonts w:ascii="Arial" w:hAnsi="Arial" w:cs="Arial"/>
      <w:sz w:val="20"/>
      <w:szCs w:val="20"/>
    </w:rPr>
  </w:style>
  <w:style w:type="character" w:styleId="FootnoteReference">
    <w:name w:val="footnote reference"/>
    <w:basedOn w:val="DefaultParagraphFont"/>
    <w:uiPriority w:val="99"/>
    <w:semiHidden/>
    <w:unhideWhenUsed/>
    <w:rsid w:val="00F53624"/>
    <w:rPr>
      <w:vertAlign w:val="superscript"/>
    </w:rPr>
  </w:style>
  <w:style w:type="character" w:styleId="EndnoteReference">
    <w:name w:val="endnote reference"/>
    <w:basedOn w:val="DefaultParagraphFont"/>
    <w:uiPriority w:val="99"/>
    <w:semiHidden/>
    <w:unhideWhenUsed/>
    <w:rsid w:val="00070EE1"/>
    <w:rPr>
      <w:vertAlign w:val="superscript"/>
    </w:rPr>
  </w:style>
  <w:style w:type="character" w:styleId="Hyperlink">
    <w:name w:val="Hyperlink"/>
    <w:basedOn w:val="DefaultParagraphFont"/>
    <w:uiPriority w:val="99"/>
    <w:unhideWhenUsed/>
    <w:rsid w:val="00F05F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04582">
      <w:bodyDiv w:val="1"/>
      <w:marLeft w:val="0"/>
      <w:marRight w:val="0"/>
      <w:marTop w:val="0"/>
      <w:marBottom w:val="0"/>
      <w:divBdr>
        <w:top w:val="none" w:sz="0" w:space="0" w:color="auto"/>
        <w:left w:val="none" w:sz="0" w:space="0" w:color="auto"/>
        <w:bottom w:val="none" w:sz="0" w:space="0" w:color="auto"/>
        <w:right w:val="none" w:sz="0" w:space="0" w:color="auto"/>
      </w:divBdr>
    </w:div>
    <w:div w:id="1344283943">
      <w:bodyDiv w:val="1"/>
      <w:marLeft w:val="0"/>
      <w:marRight w:val="0"/>
      <w:marTop w:val="0"/>
      <w:marBottom w:val="0"/>
      <w:divBdr>
        <w:top w:val="none" w:sz="0" w:space="0" w:color="auto"/>
        <w:left w:val="none" w:sz="0" w:space="0" w:color="auto"/>
        <w:bottom w:val="none" w:sz="0" w:space="0" w:color="auto"/>
        <w:right w:val="none" w:sz="0" w:space="0" w:color="auto"/>
      </w:divBdr>
      <w:divsChild>
        <w:div w:id="1604222343">
          <w:marLeft w:val="0"/>
          <w:marRight w:val="0"/>
          <w:marTop w:val="0"/>
          <w:marBottom w:val="0"/>
          <w:divBdr>
            <w:top w:val="none" w:sz="0" w:space="0" w:color="auto"/>
            <w:left w:val="none" w:sz="0" w:space="0" w:color="auto"/>
            <w:bottom w:val="none" w:sz="0" w:space="0" w:color="auto"/>
            <w:right w:val="none" w:sz="0" w:space="0" w:color="auto"/>
          </w:divBdr>
          <w:divsChild>
            <w:div w:id="2124036496">
              <w:marLeft w:val="0"/>
              <w:marRight w:val="0"/>
              <w:marTop w:val="0"/>
              <w:marBottom w:val="0"/>
              <w:divBdr>
                <w:top w:val="none" w:sz="0" w:space="0" w:color="auto"/>
                <w:left w:val="none" w:sz="0" w:space="0" w:color="auto"/>
                <w:bottom w:val="none" w:sz="0" w:space="0" w:color="auto"/>
                <w:right w:val="none" w:sz="0" w:space="0" w:color="auto"/>
              </w:divBdr>
              <w:divsChild>
                <w:div w:id="242498624">
                  <w:marLeft w:val="0"/>
                  <w:marRight w:val="0"/>
                  <w:marTop w:val="0"/>
                  <w:marBottom w:val="0"/>
                  <w:divBdr>
                    <w:top w:val="none" w:sz="0" w:space="0" w:color="auto"/>
                    <w:left w:val="none" w:sz="0" w:space="0" w:color="auto"/>
                    <w:bottom w:val="none" w:sz="0" w:space="0" w:color="auto"/>
                    <w:right w:val="none" w:sz="0" w:space="0" w:color="auto"/>
                  </w:divBdr>
                  <w:divsChild>
                    <w:div w:id="346180176">
                      <w:marLeft w:val="0"/>
                      <w:marRight w:val="0"/>
                      <w:marTop w:val="0"/>
                      <w:marBottom w:val="0"/>
                      <w:divBdr>
                        <w:top w:val="none" w:sz="0" w:space="0" w:color="auto"/>
                        <w:left w:val="none" w:sz="0" w:space="0" w:color="auto"/>
                        <w:bottom w:val="none" w:sz="0" w:space="0" w:color="auto"/>
                        <w:right w:val="none" w:sz="0" w:space="0" w:color="auto"/>
                      </w:divBdr>
                      <w:divsChild>
                        <w:div w:id="1455370637">
                          <w:marLeft w:val="0"/>
                          <w:marRight w:val="0"/>
                          <w:marTop w:val="0"/>
                          <w:marBottom w:val="0"/>
                          <w:divBdr>
                            <w:top w:val="none" w:sz="0" w:space="0" w:color="auto"/>
                            <w:left w:val="none" w:sz="0" w:space="0" w:color="auto"/>
                            <w:bottom w:val="none" w:sz="0" w:space="0" w:color="auto"/>
                            <w:right w:val="none" w:sz="0" w:space="0" w:color="auto"/>
                          </w:divBdr>
                          <w:divsChild>
                            <w:div w:id="16485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20959">
      <w:bodyDiv w:val="1"/>
      <w:marLeft w:val="0"/>
      <w:marRight w:val="0"/>
      <w:marTop w:val="0"/>
      <w:marBottom w:val="0"/>
      <w:divBdr>
        <w:top w:val="none" w:sz="0" w:space="0" w:color="auto"/>
        <w:left w:val="none" w:sz="0" w:space="0" w:color="auto"/>
        <w:bottom w:val="none" w:sz="0" w:space="0" w:color="auto"/>
        <w:right w:val="none" w:sz="0" w:space="0" w:color="auto"/>
      </w:divBdr>
    </w:div>
    <w:div w:id="1819035089">
      <w:bodyDiv w:val="1"/>
      <w:marLeft w:val="0"/>
      <w:marRight w:val="0"/>
      <w:marTop w:val="0"/>
      <w:marBottom w:val="0"/>
      <w:divBdr>
        <w:top w:val="none" w:sz="0" w:space="0" w:color="auto"/>
        <w:left w:val="none" w:sz="0" w:space="0" w:color="auto"/>
        <w:bottom w:val="none" w:sz="0" w:space="0" w:color="auto"/>
        <w:right w:val="none" w:sz="0" w:space="0" w:color="auto"/>
      </w:divBdr>
      <w:divsChild>
        <w:div w:id="876626034">
          <w:marLeft w:val="0"/>
          <w:marRight w:val="0"/>
          <w:marTop w:val="0"/>
          <w:marBottom w:val="0"/>
          <w:divBdr>
            <w:top w:val="none" w:sz="0" w:space="0" w:color="auto"/>
            <w:left w:val="none" w:sz="0" w:space="0" w:color="auto"/>
            <w:bottom w:val="none" w:sz="0" w:space="0" w:color="auto"/>
            <w:right w:val="none" w:sz="0" w:space="0" w:color="auto"/>
          </w:divBdr>
          <w:divsChild>
            <w:div w:id="487213519">
              <w:marLeft w:val="0"/>
              <w:marRight w:val="0"/>
              <w:marTop w:val="0"/>
              <w:marBottom w:val="0"/>
              <w:divBdr>
                <w:top w:val="none" w:sz="0" w:space="0" w:color="auto"/>
                <w:left w:val="none" w:sz="0" w:space="0" w:color="auto"/>
                <w:bottom w:val="none" w:sz="0" w:space="0" w:color="auto"/>
                <w:right w:val="none" w:sz="0" w:space="0" w:color="auto"/>
              </w:divBdr>
              <w:divsChild>
                <w:div w:id="1059935656">
                  <w:marLeft w:val="0"/>
                  <w:marRight w:val="0"/>
                  <w:marTop w:val="0"/>
                  <w:marBottom w:val="0"/>
                  <w:divBdr>
                    <w:top w:val="none" w:sz="0" w:space="0" w:color="auto"/>
                    <w:left w:val="none" w:sz="0" w:space="0" w:color="auto"/>
                    <w:bottom w:val="none" w:sz="0" w:space="0" w:color="auto"/>
                    <w:right w:val="none" w:sz="0" w:space="0" w:color="auto"/>
                  </w:divBdr>
                  <w:divsChild>
                    <w:div w:id="1990667602">
                      <w:marLeft w:val="0"/>
                      <w:marRight w:val="0"/>
                      <w:marTop w:val="0"/>
                      <w:marBottom w:val="0"/>
                      <w:divBdr>
                        <w:top w:val="none" w:sz="0" w:space="0" w:color="auto"/>
                        <w:left w:val="none" w:sz="0" w:space="0" w:color="auto"/>
                        <w:bottom w:val="none" w:sz="0" w:space="0" w:color="auto"/>
                        <w:right w:val="none" w:sz="0" w:space="0" w:color="auto"/>
                      </w:divBdr>
                      <w:divsChild>
                        <w:div w:id="11198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00833">
      <w:bodyDiv w:val="1"/>
      <w:marLeft w:val="0"/>
      <w:marRight w:val="0"/>
      <w:marTop w:val="0"/>
      <w:marBottom w:val="0"/>
      <w:divBdr>
        <w:top w:val="none" w:sz="0" w:space="0" w:color="auto"/>
        <w:left w:val="none" w:sz="0" w:space="0" w:color="auto"/>
        <w:bottom w:val="none" w:sz="0" w:space="0" w:color="auto"/>
        <w:right w:val="none" w:sz="0" w:space="0" w:color="auto"/>
      </w:divBdr>
      <w:divsChild>
        <w:div w:id="407309666">
          <w:marLeft w:val="0"/>
          <w:marRight w:val="0"/>
          <w:marTop w:val="0"/>
          <w:marBottom w:val="0"/>
          <w:divBdr>
            <w:top w:val="none" w:sz="0" w:space="0" w:color="auto"/>
            <w:left w:val="none" w:sz="0" w:space="0" w:color="auto"/>
            <w:bottom w:val="none" w:sz="0" w:space="0" w:color="auto"/>
            <w:right w:val="none" w:sz="0" w:space="0" w:color="auto"/>
          </w:divBdr>
          <w:divsChild>
            <w:div w:id="714546198">
              <w:marLeft w:val="0"/>
              <w:marRight w:val="0"/>
              <w:marTop w:val="0"/>
              <w:marBottom w:val="0"/>
              <w:divBdr>
                <w:top w:val="none" w:sz="0" w:space="0" w:color="auto"/>
                <w:left w:val="none" w:sz="0" w:space="0" w:color="auto"/>
                <w:bottom w:val="none" w:sz="0" w:space="0" w:color="auto"/>
                <w:right w:val="none" w:sz="0" w:space="0" w:color="auto"/>
              </w:divBdr>
              <w:divsChild>
                <w:div w:id="1038581590">
                  <w:marLeft w:val="0"/>
                  <w:marRight w:val="0"/>
                  <w:marTop w:val="0"/>
                  <w:marBottom w:val="0"/>
                  <w:divBdr>
                    <w:top w:val="none" w:sz="0" w:space="0" w:color="auto"/>
                    <w:left w:val="none" w:sz="0" w:space="0" w:color="auto"/>
                    <w:bottom w:val="none" w:sz="0" w:space="0" w:color="auto"/>
                    <w:right w:val="none" w:sz="0" w:space="0" w:color="auto"/>
                  </w:divBdr>
                  <w:divsChild>
                    <w:div w:id="1997538366">
                      <w:marLeft w:val="0"/>
                      <w:marRight w:val="0"/>
                      <w:marTop w:val="0"/>
                      <w:marBottom w:val="0"/>
                      <w:divBdr>
                        <w:top w:val="none" w:sz="0" w:space="0" w:color="auto"/>
                        <w:left w:val="none" w:sz="0" w:space="0" w:color="auto"/>
                        <w:bottom w:val="none" w:sz="0" w:space="0" w:color="auto"/>
                        <w:right w:val="none" w:sz="0" w:space="0" w:color="auto"/>
                      </w:divBdr>
                      <w:divsChild>
                        <w:div w:id="20124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ida-global.org/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search" ma:contentTypeID="0x0101007916246811615643A710C6FEAFF56A870C0063BD7BCB249BD0439B29B8AB6A7C8B1D" ma:contentTypeVersion="13" ma:contentTypeDescription="" ma:contentTypeScope="" ma:versionID="01c85b051cf96d03f7b920ed0650542b">
  <xsd:schema xmlns:xsd="http://www.w3.org/2001/XMLSchema" xmlns:xs="http://www.w3.org/2001/XMLSchema" xmlns:p="http://schemas.microsoft.com/office/2006/metadata/properties" xmlns:ns2="3f4bcce7-ac1a-4c9d-aa3e-7e77695652db" xmlns:ns3="45e32098-de10-4f64-956f-48a3aa38a787" targetNamespace="http://schemas.microsoft.com/office/2006/metadata/properties" ma:root="true" ma:fieldsID="56019b3cefc33b4f7da6760a8c219a39" ns2:_="" ns3:_="">
    <xsd:import namespace="3f4bcce7-ac1a-4c9d-aa3e-7e77695652db"/>
    <xsd:import namespace="45e32098-de10-4f64-956f-48a3aa38a78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3:a7a5a907837943fd951a2be4a66fba5c" minOccurs="0"/>
                <xsd:element ref="ns3:m7c07575cbd647dc9ea2eaeb48a46a12"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8;#Reference Only|923c7a19-3b10-4b1a-aa53-490b73d512fc" ma:fieldId="{97a0baa8-c884-45a7-8b6f-55906390ba17}" ma:sspId="70da5c63-8548-4ac8-9616-83b0f373280e" ma:termSetId="e99b77ca-c000-4e3f-a77f-a64077d5e2f2" ma:anchorId="9b71ac1a-8981-4d3d-a2de-4ab1595b057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e32098-de10-4f64-956f-48a3aa38a787" elementFormDefault="qualified">
    <xsd:import namespace="http://schemas.microsoft.com/office/2006/documentManagement/types"/>
    <xsd:import namespace="http://schemas.microsoft.com/office/infopath/2007/PartnerControls"/>
    <xsd:element name="a7a5a907837943fd951a2be4a66fba5c" ma:index="15" nillable="true" ma:taxonomy="true" ma:internalName="a7a5a907837943fd951a2be4a66fba5c" ma:taxonomyFieldName="Folder_x0020_Lv_x0020_1" ma:displayName="Folder Lv 1" ma:default="" ma:fieldId="{a7a5a907-8379-43fd-951a-2be4a66fba5c}" ma:sspId="70da5c63-8548-4ac8-9616-83b0f373280e" ma:termSetId="7a1257bf-2952-45c5-80b4-fe0bb32b028a" ma:anchorId="00000000-0000-0000-0000-000000000000" ma:open="true" ma:isKeyword="false">
      <xsd:complexType>
        <xsd:sequence>
          <xsd:element ref="pc:Terms" minOccurs="0" maxOccurs="1"/>
        </xsd:sequence>
      </xsd:complexType>
    </xsd:element>
    <xsd:element name="m7c07575cbd647dc9ea2eaeb48a46a12" ma:index="17" nillable="true" ma:taxonomy="true" ma:internalName="m7c07575cbd647dc9ea2eaeb48a46a12" ma:taxonomyFieldName="Folder_x0020_Lv_x0020_2" ma:displayName="Folder Lv 2" ma:default="" ma:fieldId="{67c07575-cbd6-47dc-9ea2-eaeb48a46a12}" ma:sspId="70da5c63-8548-4ac8-9616-83b0f373280e" ma:termSetId="7a1257bf-2952-45c5-80b4-fe0bb32b028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a7a5a907837943fd951a2be4a66fba5c xmlns="45e32098-de10-4f64-956f-48a3aa38a787">
      <Terms xmlns="http://schemas.microsoft.com/office/infopath/2007/PartnerControls">
        <TermInfo xmlns="http://schemas.microsoft.com/office/infopath/2007/PartnerControls">
          <TermName xmlns="http://schemas.microsoft.com/office/infopath/2007/PartnerControls">Oral Submission Instructions</TermName>
          <TermId xmlns="http://schemas.microsoft.com/office/infopath/2007/PartnerControls">72993b8c-daa2-4810-be22-688d505970bf</TermId>
        </TermInfo>
      </Terms>
    </a7a5a907837943fd951a2be4a66fba5c>
    <m7c07575cbd647dc9ea2eaeb48a46a12 xmlns="45e32098-de10-4f64-956f-48a3aa38a787">
      <Terms xmlns="http://schemas.microsoft.com/office/infopath/2007/PartnerControls"/>
    </m7c07575cbd647dc9ea2eaeb48a46a12>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Reference Only</TermName>
          <TermId xmlns="http://schemas.microsoft.com/office/infopath/2007/PartnerControls">923c7a19-3b10-4b1a-aa53-490b73d512fc</TermId>
        </TermInfo>
      </Terms>
    </p7a0baa8c88445a78b6f55906390ba17>
    <TaxCatchAll xmlns="3f4bcce7-ac1a-4c9d-aa3e-7e77695652db">
      <Value>5650</Value>
      <Value>138</Value>
    </TaxCatchAll>
    <_dlc_DocId xmlns="3f4bcce7-ac1a-4c9d-aa3e-7e77695652db">PCDOC-685086555-30</_dlc_DocId>
    <_dlc_DocIdUrl xmlns="3f4bcce7-ac1a-4c9d-aa3e-7e77695652db">
      <Url>http://inet.pc.gov.au/pmo/inq/indeval/_layouts/15/DocIdRedir.aspx?ID=PCDOC-685086555-30</Url>
      <Description>PCDOC-685086555-30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1506-1585-4DC5-ABE9-FE1B97D95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45e32098-de10-4f64-956f-48a3aa38a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BC982-BC82-48E7-86DE-4B182D0198CF}">
  <ds:schemaRefs>
    <ds:schemaRef ds:uri="http://schemas.microsoft.com/office/2006/metadata/customXsn"/>
  </ds:schemaRefs>
</ds:datastoreItem>
</file>

<file path=customXml/itemProps3.xml><?xml version="1.0" encoding="utf-8"?>
<ds:datastoreItem xmlns:ds="http://schemas.openxmlformats.org/officeDocument/2006/customXml" ds:itemID="{A373DECA-B222-4E25-B7B5-65403DE96D0B}">
  <ds:schemaRefs>
    <ds:schemaRef ds:uri="http://schemas.microsoft.com/sharepoint/v3/contenttype/forms"/>
  </ds:schemaRefs>
</ds:datastoreItem>
</file>

<file path=customXml/itemProps4.xml><?xml version="1.0" encoding="utf-8"?>
<ds:datastoreItem xmlns:ds="http://schemas.openxmlformats.org/officeDocument/2006/customXml" ds:itemID="{079FA23D-90BE-468E-AC6F-B37EF8A7051B}">
  <ds:schemaRefs>
    <ds:schemaRef ds:uri="http://schemas.openxmlformats.org/package/2006/metadata/core-properties"/>
    <ds:schemaRef ds:uri="http://purl.org/dc/elements/1.1/"/>
    <ds:schemaRef ds:uri="http://schemas.microsoft.com/office/2006/metadata/properties"/>
    <ds:schemaRef ds:uri="3f4bcce7-ac1a-4c9d-aa3e-7e77695652db"/>
    <ds:schemaRef ds:uri="http://schemas.microsoft.com/office/2006/documentManagement/types"/>
    <ds:schemaRef ds:uri="http://purl.org/dc/dcmitype/"/>
    <ds:schemaRef ds:uri="http://schemas.microsoft.com/office/infopath/2007/PartnerControls"/>
    <ds:schemaRef ds:uri="45e32098-de10-4f64-956f-48a3aa38a787"/>
    <ds:schemaRef ds:uri="http://www.w3.org/XML/1998/namespace"/>
    <ds:schemaRef ds:uri="http://purl.org/dc/terms/"/>
  </ds:schemaRefs>
</ds:datastoreItem>
</file>

<file path=customXml/itemProps5.xml><?xml version="1.0" encoding="utf-8"?>
<ds:datastoreItem xmlns:ds="http://schemas.openxmlformats.org/officeDocument/2006/customXml" ds:itemID="{D72305CD-F401-40A6-BF21-302E8EFF8E35}">
  <ds:schemaRefs>
    <ds:schemaRef ds:uri="http://schemas.microsoft.com/sharepoint/events"/>
  </ds:schemaRefs>
</ds:datastoreItem>
</file>

<file path=customXml/itemProps6.xml><?xml version="1.0" encoding="utf-8"?>
<ds:datastoreItem xmlns:ds="http://schemas.openxmlformats.org/officeDocument/2006/customXml" ds:itemID="{E6E8AAA4-B233-432E-A288-2460EC96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6152BAB7.dotm</Template>
  <TotalTime>2</TotalTime>
  <Pages>8</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Submission 112 - Professor Maggie Walter - Indigenous Evaluation Strategy - Project</vt:lpstr>
    </vt:vector>
  </TitlesOfParts>
  <Company>Professor Maggie Walte</Company>
  <LinksUpToDate>false</LinksUpToDate>
  <CharactersWithSpaces>26561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112 - Professor Maggie Walter - Indigenous Evaluation Strategy - Project</dc:title>
  <dc:creator>Professor Maggie Walte</dc:creator>
  <cp:keywords/>
  <cp:lastModifiedBy>Productivity Commission</cp:lastModifiedBy>
  <cp:revision>4</cp:revision>
  <cp:lastPrinted>2018-05-29T00:29:00Z</cp:lastPrinted>
  <dcterms:created xsi:type="dcterms:W3CDTF">2020-01-07T23:21:00Z</dcterms:created>
  <dcterms:modified xsi:type="dcterms:W3CDTF">2020-01-09T00:43:00Z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0x0101007916246811615643A710C6FEAFF56A870C0063BD7BCB249BD0439B29B8AB6A7C8B1D</vt:lpwstr>
  </property>
  <property fmtid="{D5CDD505-2E9C-101B-9397-08002B2CF9AE}" pid="3" name="Record Tag">
    <vt:lpwstr>138;#Reference Only|923c7a19-3b10-4b1a-aa53-490b73d512fc</vt:lpwstr>
  </property>
  <property fmtid="{D5CDD505-2E9C-101B-9397-08002B2CF9AE}" pid="4" name="TaxKeyword">
    <vt:lpwstr/>
  </property>
  <property fmtid="{D5CDD505-2E9C-101B-9397-08002B2CF9AE}" pid="5" name="Folder Lv 2">
    <vt:lpwstr/>
  </property>
  <property fmtid="{D5CDD505-2E9C-101B-9397-08002B2CF9AE}" pid="6" name="Folder Lv 1">
    <vt:lpwstr>5650;#Oral Submission Instructions|72993b8c-daa2-4810-be22-688d505970bf</vt:lpwstr>
  </property>
  <property fmtid="{D5CDD505-2E9C-101B-9397-08002B2CF9AE}" pid="7" name="_dlc_DocIdItemGuid">
    <vt:lpwstr>b756db11-9737-4bc8-b5a2-913d350c7cdf</vt:lpwstr>
  </property>
</Properties>
</file>