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D5A" w:rsidRDefault="00945DDE">
      <w:pPr>
        <w:keepNext/>
        <w:keepLines/>
        <w:spacing w:before="240" w:after="0"/>
        <w:jc w:val="center"/>
        <w:rPr>
          <w:rFonts w:ascii="Verdana" w:eastAsia="Verdana" w:hAnsi="Verdana" w:cs="Verdana"/>
          <w:b/>
          <w:color w:val="222222"/>
          <w:sz w:val="24"/>
          <w:shd w:val="clear" w:color="auto" w:fill="FFFFFF"/>
        </w:rPr>
      </w:pPr>
      <w:bookmarkStart w:id="0" w:name="_GoBack"/>
      <w:bookmarkEnd w:id="0"/>
      <w:r>
        <w:rPr>
          <w:rFonts w:ascii="Verdana" w:eastAsia="Verdana" w:hAnsi="Verdana" w:cs="Verdana"/>
          <w:b/>
          <w:color w:val="222222"/>
          <w:sz w:val="24"/>
          <w:shd w:val="clear" w:color="auto" w:fill="FFFFFF"/>
        </w:rPr>
        <w:t>SUBMISSION TO THE PRODUCTIVITY COMMISSION</w:t>
      </w:r>
    </w:p>
    <w:p w:rsidR="000D0D5A" w:rsidRDefault="00945DDE">
      <w:pPr>
        <w:jc w:val="center"/>
        <w:rPr>
          <w:rFonts w:ascii="Verdana" w:eastAsia="Verdana" w:hAnsi="Verdana" w:cs="Verdana"/>
          <w:sz w:val="24"/>
        </w:rPr>
      </w:pPr>
      <w:r>
        <w:rPr>
          <w:rFonts w:ascii="Verdana" w:eastAsia="Verdana" w:hAnsi="Verdana" w:cs="Verdana"/>
          <w:b/>
          <w:sz w:val="24"/>
        </w:rPr>
        <w:t>ON REVIEW OF SKILLS AND WORKFORCE DEVELOPMENT AGREEMEN</w:t>
      </w:r>
      <w:r>
        <w:rPr>
          <w:rFonts w:ascii="Verdana" w:eastAsia="Verdana" w:hAnsi="Verdana" w:cs="Verdana"/>
          <w:sz w:val="24"/>
        </w:rPr>
        <w:t>T</w:t>
      </w:r>
    </w:p>
    <w:p w:rsidR="000D0D5A" w:rsidRDefault="00945DDE">
      <w:pPr>
        <w:rPr>
          <w:rFonts w:ascii="Verdana" w:eastAsia="Verdana" w:hAnsi="Verdana" w:cs="Verdana"/>
          <w:sz w:val="24"/>
        </w:rPr>
      </w:pPr>
      <w:r>
        <w:rPr>
          <w:rFonts w:ascii="Verdana" w:eastAsia="Verdana" w:hAnsi="Verdana" w:cs="Verdana"/>
          <w:sz w:val="24"/>
          <w:u w:val="single"/>
        </w:rPr>
        <w:t>SUBMITTER:</w:t>
      </w:r>
      <w:r>
        <w:rPr>
          <w:rFonts w:ascii="Verdana" w:eastAsia="Verdana" w:hAnsi="Verdana" w:cs="Verdana"/>
          <w:sz w:val="24"/>
        </w:rPr>
        <w:t xml:space="preserve">  Anne Bowden (B.VET).  </w:t>
      </w:r>
    </w:p>
    <w:p w:rsidR="000D0D5A" w:rsidRDefault="00945DDE">
      <w:pPr>
        <w:rPr>
          <w:rFonts w:ascii="Verdana" w:eastAsia="Verdana" w:hAnsi="Verdana" w:cs="Verdana"/>
          <w:sz w:val="24"/>
        </w:rPr>
      </w:pPr>
      <w:r>
        <w:rPr>
          <w:rFonts w:ascii="Verdana" w:eastAsia="Verdana" w:hAnsi="Verdana" w:cs="Verdana"/>
          <w:sz w:val="24"/>
        </w:rPr>
        <w:t>I make this submission as an individual and do not represent any organisation in these opinions.  I make the submission as a Vocational Education and Training practitioner in many organisations - private, not-for-profit, TAFE and ACE - over more than 40 years.</w:t>
      </w:r>
    </w:p>
    <w:p w:rsidR="000D0D5A" w:rsidRDefault="000D0D5A">
      <w:pPr>
        <w:rPr>
          <w:rFonts w:ascii="Verdana" w:eastAsia="Verdana" w:hAnsi="Verdana" w:cs="Verdana"/>
          <w:sz w:val="24"/>
        </w:rPr>
      </w:pPr>
    </w:p>
    <w:p w:rsidR="000D0D5A" w:rsidRDefault="00945DDE">
      <w:pPr>
        <w:rPr>
          <w:rFonts w:ascii="Verdana" w:eastAsia="Verdana" w:hAnsi="Verdana" w:cs="Verdana"/>
          <w:sz w:val="24"/>
          <w:u w:val="single"/>
        </w:rPr>
      </w:pPr>
      <w:r>
        <w:rPr>
          <w:rFonts w:ascii="Verdana" w:eastAsia="Verdana" w:hAnsi="Verdana" w:cs="Verdana"/>
          <w:sz w:val="24"/>
          <w:u w:val="single"/>
        </w:rPr>
        <w:t>Introduction</w:t>
      </w:r>
    </w:p>
    <w:p w:rsidR="000D0D5A" w:rsidRDefault="00945DDE">
      <w:pPr>
        <w:rPr>
          <w:rFonts w:ascii="Verdana" w:eastAsia="Verdana" w:hAnsi="Verdana" w:cs="Verdana"/>
          <w:sz w:val="24"/>
        </w:rPr>
      </w:pPr>
      <w:r>
        <w:rPr>
          <w:rFonts w:ascii="Verdana" w:eastAsia="Verdana" w:hAnsi="Verdana" w:cs="Verdana"/>
          <w:sz w:val="24"/>
        </w:rPr>
        <w:t>Thank you for the opportunity to make a submission to the Commission as it considers the review of this Agreement in a number of contexts.</w:t>
      </w:r>
    </w:p>
    <w:p w:rsidR="000D0D5A" w:rsidRDefault="00945DDE">
      <w:pPr>
        <w:rPr>
          <w:rFonts w:ascii="Verdana" w:eastAsia="Verdana" w:hAnsi="Verdana" w:cs="Verdana"/>
          <w:sz w:val="24"/>
        </w:rPr>
      </w:pPr>
      <w:r>
        <w:rPr>
          <w:rFonts w:ascii="Verdana" w:eastAsia="Verdana" w:hAnsi="Verdana" w:cs="Verdana"/>
          <w:sz w:val="24"/>
        </w:rPr>
        <w:t xml:space="preserve">My submission is very brief.  Whilst it does not attempt to address individual items of review by the Commission, it is rather an attempt to highlight the disparities between the way in which governments in Australia implement and fund Vocational Education and Training (VET) in comparison to other compulsory and post-compulsory sectors.  </w:t>
      </w:r>
    </w:p>
    <w:p w:rsidR="000D0D5A" w:rsidRDefault="00945DDE">
      <w:pPr>
        <w:keepNext/>
        <w:keepLines/>
        <w:spacing w:before="240" w:after="0"/>
        <w:rPr>
          <w:rFonts w:ascii="Verdana" w:eastAsia="Verdana" w:hAnsi="Verdana" w:cs="Verdana"/>
          <w:color w:val="222222"/>
          <w:sz w:val="24"/>
          <w:u w:val="single"/>
          <w:shd w:val="clear" w:color="auto" w:fill="FFFFFF"/>
        </w:rPr>
      </w:pPr>
      <w:r>
        <w:rPr>
          <w:rFonts w:ascii="Verdana" w:eastAsia="Verdana" w:hAnsi="Verdana" w:cs="Verdana"/>
          <w:color w:val="222222"/>
          <w:sz w:val="24"/>
          <w:u w:val="single"/>
          <w:shd w:val="clear" w:color="auto" w:fill="FFFFFF"/>
        </w:rPr>
        <w:t>Philosophical and Ideological Stance of Governments</w:t>
      </w:r>
    </w:p>
    <w:p w:rsidR="000D0D5A" w:rsidRDefault="00945DDE">
      <w:pPr>
        <w:keepNext/>
        <w:keepLines/>
        <w:spacing w:before="240" w:after="0"/>
        <w:rPr>
          <w:rFonts w:ascii="Verdana" w:eastAsia="Verdana" w:hAnsi="Verdana" w:cs="Verdana"/>
          <w:color w:val="222222"/>
          <w:sz w:val="24"/>
          <w:shd w:val="clear" w:color="auto" w:fill="FFFFFF"/>
        </w:rPr>
      </w:pPr>
      <w:r>
        <w:rPr>
          <w:rFonts w:ascii="Verdana" w:eastAsia="Verdana" w:hAnsi="Verdana" w:cs="Verdana"/>
          <w:color w:val="222222"/>
          <w:sz w:val="24"/>
          <w:shd w:val="clear" w:color="auto" w:fill="FFFFFF"/>
        </w:rPr>
        <w:t>Other than class distinction, why is vocational education and training treated differently in legislation and resulting funding to the other sectors? Higher education, under legislation, cannot use public money for profit. School education also cannot use public money for profit. Yet  governments, both federal and state it seems, are actively agitating for VET to be treated as a market opportunity.</w:t>
      </w:r>
    </w:p>
    <w:p w:rsidR="000D0D5A" w:rsidRDefault="000D0D5A">
      <w:pPr>
        <w:rPr>
          <w:rFonts w:ascii="Verdana" w:eastAsia="Verdana" w:hAnsi="Verdana" w:cs="Verdana"/>
          <w:sz w:val="24"/>
        </w:rPr>
      </w:pPr>
    </w:p>
    <w:p w:rsidR="000D0D5A" w:rsidRDefault="00945DDE">
      <w:pPr>
        <w:rPr>
          <w:rFonts w:ascii="Verdana" w:eastAsia="Verdana" w:hAnsi="Verdana" w:cs="Verdana"/>
          <w:sz w:val="24"/>
        </w:rPr>
      </w:pPr>
      <w:r>
        <w:rPr>
          <w:rFonts w:ascii="Verdana" w:eastAsia="Verdana" w:hAnsi="Verdana" w:cs="Verdana"/>
          <w:sz w:val="24"/>
        </w:rPr>
        <w:t>Is it that there are stakeholders who would like to see other sectors similarly treated as a market?  Alternatively, are there some characteristics of this sector that suggest it should be treated as a marketable commodity?  Whilst international education broadly is seen as a significant commercial product such a philosophy has not characterised  domestic education to date.</w:t>
      </w:r>
    </w:p>
    <w:p w:rsidR="000D0D5A" w:rsidRDefault="000D0D5A">
      <w:pPr>
        <w:rPr>
          <w:rFonts w:ascii="Verdana" w:eastAsia="Verdana" w:hAnsi="Verdana" w:cs="Verdana"/>
          <w:sz w:val="24"/>
        </w:rPr>
      </w:pPr>
    </w:p>
    <w:p w:rsidR="000D0D5A" w:rsidRDefault="00945DDE">
      <w:pPr>
        <w:rPr>
          <w:rFonts w:ascii="Verdana" w:eastAsia="Verdana" w:hAnsi="Verdana" w:cs="Verdana"/>
          <w:sz w:val="24"/>
        </w:rPr>
      </w:pPr>
      <w:r>
        <w:rPr>
          <w:rFonts w:ascii="Verdana" w:eastAsia="Verdana" w:hAnsi="Verdana" w:cs="Verdana"/>
          <w:sz w:val="24"/>
        </w:rPr>
        <w:t>In putting these questions to the Commission I rely on the following items of legislation.</w:t>
      </w:r>
    </w:p>
    <w:p w:rsidR="000D0D5A" w:rsidRDefault="000D0D5A">
      <w:pPr>
        <w:spacing w:before="280" w:after="0" w:line="240" w:lineRule="auto"/>
        <w:ind w:left="1134" w:hanging="1134"/>
        <w:rPr>
          <w:rFonts w:ascii="Verdana" w:eastAsia="Verdana" w:hAnsi="Verdana" w:cs="Verdana"/>
          <w:b/>
          <w:color w:val="0D4A88"/>
          <w:sz w:val="24"/>
          <w:shd w:val="clear" w:color="auto" w:fill="FFFFFF"/>
        </w:rPr>
      </w:pPr>
    </w:p>
    <w:p w:rsidR="000D0D5A" w:rsidRDefault="000D0D5A">
      <w:pPr>
        <w:spacing w:before="280" w:after="0" w:line="240" w:lineRule="auto"/>
        <w:ind w:left="1134" w:hanging="1134"/>
        <w:rPr>
          <w:rFonts w:ascii="Verdana" w:eastAsia="Verdana" w:hAnsi="Verdana" w:cs="Verdana"/>
          <w:b/>
          <w:color w:val="0D4A88"/>
          <w:sz w:val="24"/>
          <w:shd w:val="clear" w:color="auto" w:fill="FFFFFF"/>
        </w:rPr>
      </w:pPr>
    </w:p>
    <w:p w:rsidR="000D0D5A" w:rsidRDefault="00945DDE">
      <w:pPr>
        <w:spacing w:before="280" w:after="0" w:line="240" w:lineRule="auto"/>
        <w:ind w:left="1134" w:hanging="1134"/>
        <w:rPr>
          <w:rFonts w:ascii="Verdana" w:eastAsia="Verdana" w:hAnsi="Verdana" w:cs="Verdana"/>
          <w:b/>
          <w:color w:val="0D4A88"/>
          <w:sz w:val="24"/>
          <w:u w:val="single"/>
        </w:rPr>
      </w:pPr>
      <w:r>
        <w:rPr>
          <w:rFonts w:ascii="Verdana" w:eastAsia="Verdana" w:hAnsi="Verdana" w:cs="Verdana"/>
          <w:b/>
          <w:color w:val="0D4A88"/>
          <w:sz w:val="24"/>
          <w:u w:val="single"/>
        </w:rPr>
        <w:t>Australian Education Act 2013</w:t>
      </w:r>
    </w:p>
    <w:p w:rsidR="000D0D5A" w:rsidRDefault="00945DDE">
      <w:pPr>
        <w:spacing w:before="280" w:after="0" w:line="240" w:lineRule="auto"/>
        <w:ind w:left="1134" w:hanging="1134"/>
        <w:rPr>
          <w:rFonts w:ascii="Verdana" w:eastAsia="Verdana" w:hAnsi="Verdana" w:cs="Verdana"/>
          <w:b/>
          <w:color w:val="0D4A88"/>
          <w:sz w:val="24"/>
          <w:u w:val="single"/>
        </w:rPr>
      </w:pPr>
      <w:r>
        <w:rPr>
          <w:rFonts w:ascii="Verdana" w:eastAsia="Verdana" w:hAnsi="Verdana" w:cs="Verdana"/>
          <w:b/>
          <w:color w:val="0D4A88"/>
          <w:sz w:val="24"/>
          <w:u w:val="single"/>
        </w:rPr>
        <w:t>Division 1, Part 2, Clause 75</w:t>
      </w:r>
    </w:p>
    <w:p w:rsidR="000D0D5A" w:rsidRDefault="00945DDE">
      <w:pPr>
        <w:spacing w:before="280" w:after="0" w:line="240" w:lineRule="auto"/>
        <w:ind w:left="1134" w:hanging="1134"/>
        <w:rPr>
          <w:rFonts w:ascii="Verdana" w:eastAsia="Verdana" w:hAnsi="Verdana" w:cs="Verdana"/>
          <w:b/>
          <w:color w:val="000000"/>
          <w:sz w:val="24"/>
          <w:u w:val="single"/>
        </w:rPr>
      </w:pPr>
      <w:r>
        <w:rPr>
          <w:rFonts w:ascii="Verdana" w:eastAsia="Verdana" w:hAnsi="Verdana" w:cs="Verdana"/>
          <w:b/>
          <w:color w:val="0D4A88"/>
          <w:sz w:val="24"/>
          <w:u w:val="single"/>
        </w:rPr>
        <w:t>75  Basic requirements for approval</w:t>
      </w:r>
    </w:p>
    <w:p w:rsidR="000D0D5A" w:rsidRDefault="00945DDE">
      <w:pPr>
        <w:spacing w:before="180" w:after="0" w:line="240" w:lineRule="auto"/>
        <w:ind w:left="1134" w:hanging="1134"/>
        <w:rPr>
          <w:rFonts w:ascii="Verdana" w:eastAsia="Verdana" w:hAnsi="Verdana" w:cs="Verdana"/>
          <w:color w:val="000000"/>
          <w:sz w:val="24"/>
          <w:u w:val="single"/>
        </w:rPr>
      </w:pPr>
      <w:r>
        <w:rPr>
          <w:rFonts w:ascii="Verdana" w:eastAsia="Verdana" w:hAnsi="Verdana" w:cs="Verdana"/>
          <w:color w:val="000000"/>
          <w:sz w:val="24"/>
          <w:u w:val="single"/>
        </w:rPr>
        <w:t>             (1)  This section sets out requirements for a person for the purposes of subparagraph 73(1)(b)(</w:t>
      </w:r>
      <w:proofErr w:type="spellStart"/>
      <w:r>
        <w:rPr>
          <w:rFonts w:ascii="Verdana" w:eastAsia="Verdana" w:hAnsi="Verdana" w:cs="Verdana"/>
          <w:color w:val="000000"/>
          <w:sz w:val="24"/>
          <w:u w:val="single"/>
        </w:rPr>
        <w:t>i</w:t>
      </w:r>
      <w:proofErr w:type="spellEnd"/>
      <w:r>
        <w:rPr>
          <w:rFonts w:ascii="Verdana" w:eastAsia="Verdana" w:hAnsi="Verdana" w:cs="Verdana"/>
          <w:color w:val="000000"/>
          <w:sz w:val="24"/>
          <w:u w:val="single"/>
        </w:rPr>
        <w:t>) and paragraph 81(1)(a).</w:t>
      </w:r>
    </w:p>
    <w:p w:rsidR="000D0D5A" w:rsidRDefault="00945DDE">
      <w:pPr>
        <w:spacing w:before="122" w:after="0" w:line="240" w:lineRule="auto"/>
        <w:ind w:left="1985" w:hanging="851"/>
        <w:rPr>
          <w:rFonts w:ascii="Verdana" w:eastAsia="Verdana" w:hAnsi="Verdana" w:cs="Verdana"/>
          <w:color w:val="000000"/>
          <w:sz w:val="24"/>
          <w:u w:val="single"/>
        </w:rPr>
      </w:pPr>
      <w:r>
        <w:rPr>
          <w:rFonts w:ascii="Verdana" w:eastAsia="Verdana" w:hAnsi="Verdana" w:cs="Verdana"/>
          <w:color w:val="000000"/>
          <w:sz w:val="24"/>
          <w:u w:val="single"/>
        </w:rPr>
        <w:t>Note:          Approved authorities for government schools may be taken to satisfy the requirements in this section (see section 76).</w:t>
      </w:r>
    </w:p>
    <w:p w:rsidR="000D0D5A" w:rsidRDefault="00945DDE">
      <w:pPr>
        <w:spacing w:before="240" w:after="0" w:line="240" w:lineRule="auto"/>
        <w:ind w:left="1134"/>
        <w:rPr>
          <w:rFonts w:ascii="Verdana" w:eastAsia="Verdana" w:hAnsi="Verdana" w:cs="Verdana"/>
          <w:i/>
          <w:color w:val="000000"/>
          <w:sz w:val="24"/>
          <w:u w:val="single"/>
        </w:rPr>
      </w:pPr>
      <w:r>
        <w:rPr>
          <w:rFonts w:ascii="Verdana" w:eastAsia="Verdana" w:hAnsi="Verdana" w:cs="Verdana"/>
          <w:i/>
          <w:color w:val="000000"/>
          <w:sz w:val="24"/>
          <w:u w:val="single"/>
        </w:rPr>
        <w:t>Body corporate or body politic</w:t>
      </w:r>
    </w:p>
    <w:p w:rsidR="000D0D5A" w:rsidRDefault="00945DDE">
      <w:pPr>
        <w:spacing w:before="180" w:after="0" w:line="240" w:lineRule="auto"/>
        <w:ind w:left="1134" w:hanging="1134"/>
        <w:rPr>
          <w:rFonts w:ascii="Verdana" w:eastAsia="Verdana" w:hAnsi="Verdana" w:cs="Verdana"/>
          <w:color w:val="000000"/>
          <w:sz w:val="24"/>
          <w:u w:val="single"/>
        </w:rPr>
      </w:pPr>
      <w:r>
        <w:rPr>
          <w:rFonts w:ascii="Verdana" w:eastAsia="Verdana" w:hAnsi="Verdana" w:cs="Verdana"/>
          <w:color w:val="000000"/>
          <w:sz w:val="24"/>
          <w:u w:val="single"/>
        </w:rPr>
        <w:t>             (2)  The person is a body corporate or a body politic.</w:t>
      </w:r>
    </w:p>
    <w:p w:rsidR="000D0D5A" w:rsidRDefault="00945DDE">
      <w:pPr>
        <w:spacing w:before="240" w:after="0" w:line="240" w:lineRule="auto"/>
        <w:ind w:left="1134"/>
        <w:rPr>
          <w:rFonts w:ascii="Verdana" w:eastAsia="Verdana" w:hAnsi="Verdana" w:cs="Verdana"/>
          <w:i/>
          <w:color w:val="000000"/>
          <w:sz w:val="24"/>
          <w:u w:val="single"/>
        </w:rPr>
      </w:pPr>
      <w:r>
        <w:rPr>
          <w:rFonts w:ascii="Verdana" w:eastAsia="Verdana" w:hAnsi="Verdana" w:cs="Verdana"/>
          <w:i/>
          <w:color w:val="000000"/>
          <w:sz w:val="24"/>
          <w:u w:val="single"/>
        </w:rPr>
        <w:t>Not-for-profit</w:t>
      </w:r>
    </w:p>
    <w:p w:rsidR="000D0D5A" w:rsidRDefault="00945DDE">
      <w:pPr>
        <w:spacing w:before="180" w:after="0" w:line="240" w:lineRule="auto"/>
        <w:ind w:left="1134" w:hanging="1134"/>
        <w:rPr>
          <w:rFonts w:ascii="Verdana" w:eastAsia="Verdana" w:hAnsi="Verdana" w:cs="Verdana"/>
          <w:color w:val="000000"/>
          <w:sz w:val="24"/>
          <w:u w:val="single"/>
        </w:rPr>
      </w:pPr>
      <w:r>
        <w:rPr>
          <w:rFonts w:ascii="Verdana" w:eastAsia="Verdana" w:hAnsi="Verdana" w:cs="Verdana"/>
          <w:color w:val="000000"/>
          <w:sz w:val="24"/>
          <w:u w:val="single"/>
        </w:rPr>
        <w:t>             (3)  The person does not conduct for profit any school in relation to which the application is made.</w:t>
      </w:r>
    </w:p>
    <w:p w:rsidR="000D0D5A" w:rsidRDefault="000D0D5A">
      <w:pPr>
        <w:rPr>
          <w:rFonts w:ascii="Verdana" w:eastAsia="Verdana" w:hAnsi="Verdana" w:cs="Verdana"/>
          <w:sz w:val="24"/>
        </w:rPr>
      </w:pPr>
    </w:p>
    <w:p w:rsidR="000D0D5A" w:rsidRDefault="00945DDE">
      <w:pPr>
        <w:rPr>
          <w:rFonts w:ascii="Verdana" w:eastAsia="Verdana" w:hAnsi="Verdana" w:cs="Verdana"/>
          <w:b/>
          <w:sz w:val="24"/>
        </w:rPr>
      </w:pPr>
      <w:r>
        <w:rPr>
          <w:rFonts w:ascii="Verdana" w:eastAsia="Verdana" w:hAnsi="Verdana" w:cs="Verdana"/>
          <w:b/>
          <w:sz w:val="24"/>
        </w:rPr>
        <w:t>Note the specific exclusion of conduct for profit if receiving funding for school education.</w:t>
      </w:r>
    </w:p>
    <w:p w:rsidR="000D0D5A" w:rsidRDefault="00945DDE">
      <w:pPr>
        <w:rPr>
          <w:rFonts w:ascii="Verdana" w:eastAsia="Verdana" w:hAnsi="Verdana" w:cs="Verdana"/>
          <w:b/>
          <w:color w:val="0D4A88"/>
          <w:sz w:val="24"/>
        </w:rPr>
      </w:pPr>
      <w:r>
        <w:rPr>
          <w:rFonts w:ascii="Verdana" w:eastAsia="Verdana" w:hAnsi="Verdana" w:cs="Verdana"/>
          <w:b/>
          <w:color w:val="0D4A88"/>
          <w:sz w:val="24"/>
        </w:rPr>
        <w:t>Higher Education Act 2003</w:t>
      </w:r>
    </w:p>
    <w:p w:rsidR="000D0D5A" w:rsidRDefault="00945DDE">
      <w:pPr>
        <w:rPr>
          <w:rFonts w:ascii="Verdana" w:eastAsia="Verdana" w:hAnsi="Verdana" w:cs="Verdana"/>
          <w:b/>
          <w:color w:val="0D4A88"/>
          <w:sz w:val="24"/>
        </w:rPr>
      </w:pPr>
      <w:r>
        <w:rPr>
          <w:rFonts w:ascii="Verdana" w:eastAsia="Verdana" w:hAnsi="Verdana" w:cs="Verdana"/>
          <w:b/>
          <w:color w:val="0D4A88"/>
          <w:sz w:val="24"/>
        </w:rPr>
        <w:t>Subdivision 16-B</w:t>
      </w:r>
    </w:p>
    <w:p w:rsidR="000D0D5A" w:rsidRDefault="00945DDE">
      <w:pPr>
        <w:rPr>
          <w:rFonts w:ascii="Verdana" w:eastAsia="Verdana" w:hAnsi="Verdana" w:cs="Verdana"/>
          <w:sz w:val="24"/>
        </w:rPr>
      </w:pPr>
      <w:r>
        <w:rPr>
          <w:rFonts w:ascii="Verdana" w:eastAsia="Verdana" w:hAnsi="Verdana" w:cs="Verdana"/>
          <w:sz w:val="24"/>
        </w:rPr>
        <w:t>Table A – (lists all 38  public universities in Australia)</w:t>
      </w:r>
    </w:p>
    <w:p w:rsidR="000D0D5A" w:rsidRDefault="00945DDE">
      <w:pPr>
        <w:rPr>
          <w:rFonts w:ascii="Verdana" w:eastAsia="Verdana" w:hAnsi="Verdana" w:cs="Verdana"/>
          <w:sz w:val="24"/>
        </w:rPr>
      </w:pPr>
      <w:r>
        <w:rPr>
          <w:rFonts w:ascii="Verdana" w:eastAsia="Verdana" w:hAnsi="Verdana" w:cs="Verdana"/>
          <w:sz w:val="24"/>
        </w:rPr>
        <w:t>Table B – (is limited to four higher education not-for-profit providers)</w:t>
      </w:r>
    </w:p>
    <w:p w:rsidR="000D0D5A" w:rsidRDefault="00945DDE">
      <w:pPr>
        <w:rPr>
          <w:rFonts w:ascii="Verdana" w:eastAsia="Verdana" w:hAnsi="Verdana" w:cs="Verdana"/>
          <w:sz w:val="24"/>
        </w:rPr>
      </w:pPr>
      <w:r>
        <w:rPr>
          <w:rFonts w:ascii="Verdana" w:eastAsia="Verdana" w:hAnsi="Verdana" w:cs="Verdana"/>
          <w:sz w:val="24"/>
        </w:rPr>
        <w:t>Table C – (lists two international providers registered under international law specifying neither are entitled to receive a grant under Division 16).</w:t>
      </w:r>
    </w:p>
    <w:p w:rsidR="000D0D5A" w:rsidRDefault="00945DDE">
      <w:pPr>
        <w:spacing w:before="280" w:after="0" w:line="240" w:lineRule="auto"/>
        <w:ind w:left="1134" w:hanging="1134"/>
        <w:rPr>
          <w:rFonts w:ascii="Verdana" w:eastAsia="Verdana" w:hAnsi="Verdana" w:cs="Verdana"/>
          <w:b/>
          <w:color w:val="000000"/>
          <w:sz w:val="24"/>
          <w:u w:val="single"/>
        </w:rPr>
      </w:pPr>
      <w:r>
        <w:rPr>
          <w:rFonts w:ascii="Verdana" w:eastAsia="Verdana" w:hAnsi="Verdana" w:cs="Verdana"/>
          <w:b/>
          <w:color w:val="0D4A88"/>
          <w:sz w:val="24"/>
          <w:u w:val="single"/>
        </w:rPr>
        <w:t>30-1  Eligibility for grants</w:t>
      </w:r>
    </w:p>
    <w:p w:rsidR="000D0D5A" w:rsidRDefault="00945DDE">
      <w:pPr>
        <w:spacing w:before="180" w:after="0" w:line="240" w:lineRule="auto"/>
        <w:ind w:left="1134" w:hanging="1134"/>
        <w:rPr>
          <w:rFonts w:ascii="Verdana" w:eastAsia="Verdana" w:hAnsi="Verdana" w:cs="Verdana"/>
          <w:color w:val="000000"/>
          <w:sz w:val="24"/>
          <w:u w:val="single"/>
        </w:rPr>
      </w:pPr>
      <w:r>
        <w:rPr>
          <w:rFonts w:ascii="Verdana" w:eastAsia="Verdana" w:hAnsi="Verdana" w:cs="Verdana"/>
          <w:color w:val="000000"/>
          <w:sz w:val="24"/>
          <w:u w:val="single"/>
        </w:rPr>
        <w:t>             (1)  A grant under this Part is payable, as a benefit to students, to a higher education provider, in respect of the year 2005 or a later year, if:</w:t>
      </w:r>
    </w:p>
    <w:p w:rsidR="000D0D5A" w:rsidRDefault="00945DDE">
      <w:pPr>
        <w:spacing w:before="40" w:after="0" w:line="240" w:lineRule="auto"/>
        <w:ind w:left="1644" w:hanging="1644"/>
        <w:rPr>
          <w:rFonts w:ascii="Verdana" w:eastAsia="Verdana" w:hAnsi="Verdana" w:cs="Verdana"/>
          <w:color w:val="000000"/>
          <w:sz w:val="24"/>
          <w:u w:val="single"/>
        </w:rPr>
      </w:pPr>
      <w:r>
        <w:rPr>
          <w:rFonts w:ascii="Verdana" w:eastAsia="Verdana" w:hAnsi="Verdana" w:cs="Verdana"/>
          <w:color w:val="000000"/>
          <w:sz w:val="24"/>
          <w:u w:val="single"/>
        </w:rPr>
        <w:t>                     (a)  the provider:</w:t>
      </w:r>
    </w:p>
    <w:p w:rsidR="000D0D5A" w:rsidRDefault="00945DDE">
      <w:pPr>
        <w:spacing w:before="40" w:after="0" w:line="240" w:lineRule="auto"/>
        <w:ind w:left="2098" w:hanging="2098"/>
        <w:rPr>
          <w:rFonts w:ascii="Verdana" w:eastAsia="Verdana" w:hAnsi="Verdana" w:cs="Verdana"/>
          <w:color w:val="000000"/>
          <w:sz w:val="24"/>
          <w:u w:val="single"/>
        </w:rPr>
      </w:pPr>
      <w:r>
        <w:rPr>
          <w:rFonts w:ascii="Verdana" w:eastAsia="Verdana" w:hAnsi="Verdana" w:cs="Verdana"/>
          <w:color w:val="000000"/>
          <w:sz w:val="24"/>
          <w:u w:val="single"/>
        </w:rPr>
        <w:t>                              (</w:t>
      </w:r>
      <w:proofErr w:type="spellStart"/>
      <w:r>
        <w:rPr>
          <w:rFonts w:ascii="Verdana" w:eastAsia="Verdana" w:hAnsi="Verdana" w:cs="Verdana"/>
          <w:color w:val="000000"/>
          <w:sz w:val="24"/>
          <w:u w:val="single"/>
        </w:rPr>
        <w:t>i</w:t>
      </w:r>
      <w:proofErr w:type="spellEnd"/>
      <w:r>
        <w:rPr>
          <w:rFonts w:ascii="Verdana" w:eastAsia="Verdana" w:hAnsi="Verdana" w:cs="Verdana"/>
          <w:color w:val="000000"/>
          <w:sz w:val="24"/>
          <w:u w:val="single"/>
        </w:rPr>
        <w:t>)  is a *Table A provider; and</w:t>
      </w:r>
    </w:p>
    <w:p w:rsidR="000D0D5A" w:rsidRDefault="00945DDE">
      <w:pPr>
        <w:spacing w:before="40" w:after="0" w:line="240" w:lineRule="auto"/>
        <w:ind w:left="2098" w:hanging="2098"/>
        <w:rPr>
          <w:rFonts w:ascii="Verdana" w:eastAsia="Verdana" w:hAnsi="Verdana" w:cs="Verdana"/>
          <w:color w:val="000000"/>
          <w:sz w:val="24"/>
          <w:u w:val="single"/>
        </w:rPr>
      </w:pPr>
      <w:r>
        <w:rPr>
          <w:rFonts w:ascii="Verdana" w:eastAsia="Verdana" w:hAnsi="Verdana" w:cs="Verdana"/>
          <w:color w:val="000000"/>
          <w:sz w:val="24"/>
          <w:u w:val="single"/>
        </w:rPr>
        <w:t>                             (ii)  has entered into a funding agreement with the Commonwealth under section 30-25 in respect of a period that includes that year; or</w:t>
      </w:r>
    </w:p>
    <w:p w:rsidR="000D0D5A" w:rsidRDefault="00945DDE">
      <w:pPr>
        <w:spacing w:before="40" w:after="0" w:line="240" w:lineRule="auto"/>
        <w:ind w:left="1644" w:hanging="1644"/>
        <w:rPr>
          <w:rFonts w:ascii="Verdana" w:eastAsia="Verdana" w:hAnsi="Verdana" w:cs="Verdana"/>
          <w:color w:val="000000"/>
          <w:sz w:val="24"/>
          <w:u w:val="single"/>
        </w:rPr>
      </w:pPr>
      <w:r>
        <w:rPr>
          <w:rFonts w:ascii="Verdana" w:eastAsia="Verdana" w:hAnsi="Verdana" w:cs="Verdana"/>
          <w:color w:val="000000"/>
          <w:sz w:val="24"/>
          <w:u w:val="single"/>
        </w:rPr>
        <w:t>                     (b)  all of the following apply:</w:t>
      </w:r>
    </w:p>
    <w:p w:rsidR="000D0D5A" w:rsidRDefault="00945DDE">
      <w:pPr>
        <w:spacing w:before="40" w:after="0" w:line="240" w:lineRule="auto"/>
        <w:ind w:left="2098" w:hanging="2098"/>
        <w:rPr>
          <w:rFonts w:ascii="Verdana" w:eastAsia="Verdana" w:hAnsi="Verdana" w:cs="Verdana"/>
          <w:color w:val="000000"/>
          <w:sz w:val="24"/>
          <w:u w:val="single"/>
        </w:rPr>
      </w:pPr>
      <w:r>
        <w:rPr>
          <w:rFonts w:ascii="Verdana" w:eastAsia="Verdana" w:hAnsi="Verdana" w:cs="Verdana"/>
          <w:color w:val="000000"/>
          <w:sz w:val="24"/>
          <w:u w:val="single"/>
        </w:rPr>
        <w:lastRenderedPageBreak/>
        <w:t>                              (</w:t>
      </w:r>
      <w:proofErr w:type="spellStart"/>
      <w:r>
        <w:rPr>
          <w:rFonts w:ascii="Verdana" w:eastAsia="Verdana" w:hAnsi="Verdana" w:cs="Verdana"/>
          <w:color w:val="000000"/>
          <w:sz w:val="24"/>
          <w:u w:val="single"/>
        </w:rPr>
        <w:t>i</w:t>
      </w:r>
      <w:proofErr w:type="spellEnd"/>
      <w:r>
        <w:rPr>
          <w:rFonts w:ascii="Verdana" w:eastAsia="Verdana" w:hAnsi="Verdana" w:cs="Verdana"/>
          <w:color w:val="000000"/>
          <w:sz w:val="24"/>
          <w:u w:val="single"/>
        </w:rPr>
        <w:t>)  the provider is a higher education provider specified in the Commonwealth Grant Scheme Guidelines as a higher education provider that can be paid grants under this Part;</w:t>
      </w:r>
    </w:p>
    <w:p w:rsidR="000D0D5A" w:rsidRDefault="00945DDE">
      <w:pPr>
        <w:spacing w:before="40" w:after="0" w:line="240" w:lineRule="auto"/>
        <w:ind w:left="2098" w:hanging="2098"/>
        <w:rPr>
          <w:rFonts w:ascii="Verdana" w:eastAsia="Verdana" w:hAnsi="Verdana" w:cs="Verdana"/>
          <w:color w:val="000000"/>
          <w:sz w:val="24"/>
          <w:u w:val="single"/>
        </w:rPr>
      </w:pPr>
      <w:r>
        <w:rPr>
          <w:rFonts w:ascii="Verdana" w:eastAsia="Verdana" w:hAnsi="Verdana" w:cs="Verdana"/>
          <w:color w:val="000000"/>
          <w:sz w:val="24"/>
          <w:u w:val="single"/>
        </w:rPr>
        <w:t>                             (ii)  the Minister has allocated a *number of Commonwealth supported places to the provider for that year under section 30-10;</w:t>
      </w:r>
    </w:p>
    <w:p w:rsidR="000D0D5A" w:rsidRDefault="00945DDE">
      <w:pPr>
        <w:spacing w:before="40" w:after="0" w:line="240" w:lineRule="auto"/>
        <w:ind w:left="2098" w:hanging="2098"/>
        <w:rPr>
          <w:rFonts w:ascii="Verdana" w:eastAsia="Verdana" w:hAnsi="Verdana" w:cs="Verdana"/>
          <w:color w:val="000000"/>
          <w:sz w:val="24"/>
          <w:u w:val="single"/>
        </w:rPr>
      </w:pPr>
      <w:r>
        <w:rPr>
          <w:rFonts w:ascii="Verdana" w:eastAsia="Verdana" w:hAnsi="Verdana" w:cs="Verdana"/>
          <w:color w:val="000000"/>
          <w:sz w:val="24"/>
          <w:u w:val="single"/>
        </w:rPr>
        <w:t>                            (iii)  the provider has entered into a funding agreement with the Commonwealth under section 30-25 in respect of a period that includes that year.</w:t>
      </w:r>
    </w:p>
    <w:p w:rsidR="000D0D5A" w:rsidRDefault="00945DDE">
      <w:pPr>
        <w:spacing w:before="180" w:after="0" w:line="240" w:lineRule="auto"/>
        <w:ind w:left="1134" w:hanging="1134"/>
        <w:rPr>
          <w:rFonts w:ascii="Verdana" w:eastAsia="Verdana" w:hAnsi="Verdana" w:cs="Verdana"/>
          <w:sz w:val="24"/>
          <w:shd w:val="clear" w:color="auto" w:fill="FFFFFF"/>
        </w:rPr>
      </w:pPr>
      <w:r>
        <w:rPr>
          <w:rFonts w:ascii="Verdana" w:eastAsia="Verdana" w:hAnsi="Verdana" w:cs="Verdana"/>
          <w:color w:val="000000"/>
          <w:sz w:val="24"/>
          <w:u w:val="single"/>
        </w:rPr>
        <w:t>             (2)  However, a grant is payable to a higher education provider that is not a *Table A provider only if the grant relates only to *national priorities.</w:t>
      </w:r>
    </w:p>
    <w:p w:rsidR="000D0D5A" w:rsidRDefault="000D0D5A">
      <w:pPr>
        <w:spacing w:before="180" w:after="0" w:line="240" w:lineRule="auto"/>
        <w:ind w:left="1134" w:hanging="1134"/>
        <w:rPr>
          <w:rFonts w:ascii="Verdana" w:eastAsia="Verdana" w:hAnsi="Verdana" w:cs="Verdana"/>
          <w:sz w:val="24"/>
          <w:shd w:val="clear" w:color="auto" w:fill="FFFFFF"/>
        </w:rPr>
      </w:pPr>
    </w:p>
    <w:p w:rsidR="000D0D5A" w:rsidRDefault="00945DDE">
      <w:pPr>
        <w:rPr>
          <w:rFonts w:ascii="Verdana" w:eastAsia="Verdana" w:hAnsi="Verdana" w:cs="Verdana"/>
          <w:b/>
          <w:sz w:val="24"/>
        </w:rPr>
      </w:pPr>
      <w:r>
        <w:rPr>
          <w:rFonts w:ascii="Verdana" w:eastAsia="Verdana" w:hAnsi="Verdana" w:cs="Verdana"/>
          <w:b/>
          <w:sz w:val="24"/>
        </w:rPr>
        <w:t>Note that this effectively limits public funding to public universities or four non-for-profit providers.</w:t>
      </w:r>
    </w:p>
    <w:p w:rsidR="000D0D5A" w:rsidRDefault="000D0D5A">
      <w:pPr>
        <w:rPr>
          <w:rFonts w:ascii="Verdana" w:eastAsia="Verdana" w:hAnsi="Verdana" w:cs="Verdana"/>
          <w:sz w:val="24"/>
        </w:rPr>
      </w:pPr>
    </w:p>
    <w:p w:rsidR="000D0D5A" w:rsidRDefault="00945DDE">
      <w:pPr>
        <w:spacing w:before="280" w:after="0" w:line="240" w:lineRule="auto"/>
        <w:ind w:left="1134" w:hanging="1134"/>
        <w:rPr>
          <w:rFonts w:ascii="Verdana" w:eastAsia="Verdana" w:hAnsi="Verdana" w:cs="Verdana"/>
          <w:b/>
          <w:color w:val="000000"/>
          <w:sz w:val="24"/>
          <w:u w:val="single"/>
        </w:rPr>
      </w:pPr>
      <w:r>
        <w:rPr>
          <w:rFonts w:ascii="Verdana" w:eastAsia="Verdana" w:hAnsi="Verdana" w:cs="Verdana"/>
          <w:b/>
          <w:color w:val="0D4A88"/>
          <w:sz w:val="24"/>
          <w:u w:val="single"/>
        </w:rPr>
        <w:t>22-7  Revocation of approval if providing education and/or conducting research ceases to be the body’s principal purpose</w:t>
      </w:r>
    </w:p>
    <w:p w:rsidR="000D0D5A" w:rsidRDefault="00945DDE">
      <w:pPr>
        <w:spacing w:before="180" w:after="0" w:line="240" w:lineRule="auto"/>
        <w:ind w:left="1134" w:hanging="1134"/>
        <w:rPr>
          <w:rFonts w:ascii="Verdana" w:eastAsia="Verdana" w:hAnsi="Verdana" w:cs="Verdana"/>
          <w:color w:val="000000"/>
          <w:sz w:val="24"/>
          <w:u w:val="single"/>
        </w:rPr>
      </w:pPr>
      <w:r>
        <w:rPr>
          <w:rFonts w:ascii="Verdana" w:eastAsia="Verdana" w:hAnsi="Verdana" w:cs="Verdana"/>
          <w:color w:val="000000"/>
          <w:sz w:val="24"/>
          <w:u w:val="single"/>
        </w:rPr>
        <w:t>             (1)  The Minister may revoke a body’s approval as a higher education provider if:</w:t>
      </w:r>
    </w:p>
    <w:p w:rsidR="000D0D5A" w:rsidRDefault="00945DDE">
      <w:pPr>
        <w:spacing w:before="40" w:after="0" w:line="240" w:lineRule="auto"/>
        <w:ind w:left="1644" w:hanging="1644"/>
        <w:rPr>
          <w:rFonts w:ascii="Verdana" w:eastAsia="Verdana" w:hAnsi="Verdana" w:cs="Verdana"/>
          <w:color w:val="000000"/>
          <w:sz w:val="24"/>
          <w:u w:val="single"/>
        </w:rPr>
      </w:pPr>
      <w:r>
        <w:rPr>
          <w:rFonts w:ascii="Verdana" w:eastAsia="Verdana" w:hAnsi="Verdana" w:cs="Verdana"/>
          <w:color w:val="000000"/>
          <w:sz w:val="24"/>
          <w:u w:val="single"/>
        </w:rPr>
        <w:t>                     (a)  the body’s principal purpose is no longer, or is no longer taken to be, either or both of the following:</w:t>
      </w:r>
    </w:p>
    <w:p w:rsidR="000D0D5A" w:rsidRDefault="00945DDE">
      <w:pPr>
        <w:spacing w:before="40" w:after="0" w:line="240" w:lineRule="auto"/>
        <w:ind w:left="2098" w:hanging="2098"/>
        <w:rPr>
          <w:rFonts w:ascii="Verdana" w:eastAsia="Verdana" w:hAnsi="Verdana" w:cs="Verdana"/>
          <w:color w:val="000000"/>
          <w:sz w:val="24"/>
          <w:u w:val="single"/>
        </w:rPr>
      </w:pPr>
      <w:r>
        <w:rPr>
          <w:rFonts w:ascii="Verdana" w:eastAsia="Verdana" w:hAnsi="Verdana" w:cs="Verdana"/>
          <w:color w:val="000000"/>
          <w:sz w:val="24"/>
          <w:u w:val="single"/>
        </w:rPr>
        <w:t>                              (</w:t>
      </w:r>
      <w:proofErr w:type="spellStart"/>
      <w:r>
        <w:rPr>
          <w:rFonts w:ascii="Verdana" w:eastAsia="Verdana" w:hAnsi="Verdana" w:cs="Verdana"/>
          <w:color w:val="000000"/>
          <w:sz w:val="24"/>
          <w:u w:val="single"/>
        </w:rPr>
        <w:t>i</w:t>
      </w:r>
      <w:proofErr w:type="spellEnd"/>
      <w:r>
        <w:rPr>
          <w:rFonts w:ascii="Verdana" w:eastAsia="Verdana" w:hAnsi="Verdana" w:cs="Verdana"/>
          <w:color w:val="000000"/>
          <w:sz w:val="24"/>
          <w:u w:val="single"/>
        </w:rPr>
        <w:t>)  to provide education;</w:t>
      </w:r>
    </w:p>
    <w:p w:rsidR="000D0D5A" w:rsidRDefault="00945DDE">
      <w:pPr>
        <w:spacing w:before="40" w:after="0" w:line="240" w:lineRule="auto"/>
        <w:ind w:left="2098" w:hanging="2098"/>
        <w:rPr>
          <w:rFonts w:ascii="Verdana" w:eastAsia="Verdana" w:hAnsi="Verdana" w:cs="Verdana"/>
          <w:color w:val="000000"/>
          <w:sz w:val="24"/>
          <w:u w:val="single"/>
        </w:rPr>
      </w:pPr>
      <w:r>
        <w:rPr>
          <w:rFonts w:ascii="Verdana" w:eastAsia="Verdana" w:hAnsi="Verdana" w:cs="Verdana"/>
          <w:color w:val="000000"/>
          <w:sz w:val="24"/>
          <w:u w:val="single"/>
        </w:rPr>
        <w:t>                             (ii)  to conduct research; and</w:t>
      </w:r>
    </w:p>
    <w:p w:rsidR="000D0D5A" w:rsidRDefault="00945DDE">
      <w:pPr>
        <w:spacing w:before="40" w:after="0" w:line="240" w:lineRule="auto"/>
        <w:ind w:left="1644" w:hanging="1644"/>
        <w:rPr>
          <w:rFonts w:ascii="Verdana" w:eastAsia="Verdana" w:hAnsi="Verdana" w:cs="Verdana"/>
          <w:color w:val="000000"/>
          <w:sz w:val="24"/>
          <w:u w:val="single"/>
        </w:rPr>
      </w:pPr>
      <w:r>
        <w:rPr>
          <w:rFonts w:ascii="Verdana" w:eastAsia="Verdana" w:hAnsi="Verdana" w:cs="Verdana"/>
          <w:color w:val="000000"/>
          <w:sz w:val="24"/>
          <w:u w:val="single"/>
        </w:rPr>
        <w:t>                     (c)  the Minister complies with the requirements of section 22-20.</w:t>
      </w:r>
    </w:p>
    <w:p w:rsidR="000D0D5A" w:rsidRDefault="00945DDE">
      <w:pPr>
        <w:spacing w:before="180" w:after="0" w:line="240" w:lineRule="auto"/>
        <w:ind w:left="1134" w:hanging="1134"/>
        <w:rPr>
          <w:rFonts w:ascii="Verdana" w:eastAsia="Verdana" w:hAnsi="Verdana" w:cs="Verdana"/>
          <w:color w:val="000000"/>
          <w:sz w:val="24"/>
          <w:u w:val="single"/>
        </w:rPr>
      </w:pPr>
      <w:r>
        <w:rPr>
          <w:rFonts w:ascii="Verdana" w:eastAsia="Verdana" w:hAnsi="Verdana" w:cs="Verdana"/>
          <w:color w:val="000000"/>
          <w:sz w:val="24"/>
          <w:u w:val="single"/>
        </w:rPr>
        <w:t>             (2)  The Minister may also revoke a body’s approval as a higher education provider if:</w:t>
      </w:r>
    </w:p>
    <w:p w:rsidR="000D0D5A" w:rsidRDefault="00945DDE">
      <w:pPr>
        <w:spacing w:before="40" w:after="0" w:line="240" w:lineRule="auto"/>
        <w:ind w:left="1644" w:hanging="1644"/>
        <w:rPr>
          <w:rFonts w:ascii="Verdana" w:eastAsia="Verdana" w:hAnsi="Verdana" w:cs="Verdana"/>
          <w:color w:val="000000"/>
          <w:sz w:val="24"/>
          <w:u w:val="single"/>
        </w:rPr>
      </w:pPr>
      <w:r>
        <w:rPr>
          <w:rFonts w:ascii="Verdana" w:eastAsia="Verdana" w:hAnsi="Verdana" w:cs="Verdana"/>
          <w:color w:val="000000"/>
          <w:sz w:val="24"/>
          <w:u w:val="single"/>
        </w:rPr>
        <w:t>                     (a)  the Minister is satisfied that any of the body’s purposes conflict with the body’s principal purpose of providing education and/or conducting research; and</w:t>
      </w:r>
    </w:p>
    <w:p w:rsidR="000D0D5A" w:rsidRDefault="00945DDE">
      <w:pPr>
        <w:spacing w:before="40" w:after="0" w:line="240" w:lineRule="auto"/>
        <w:ind w:left="1644" w:hanging="1644"/>
        <w:rPr>
          <w:rFonts w:ascii="Verdana" w:eastAsia="Verdana" w:hAnsi="Verdana" w:cs="Verdana"/>
          <w:color w:val="000000"/>
          <w:sz w:val="24"/>
          <w:u w:val="single"/>
        </w:rPr>
      </w:pPr>
      <w:r>
        <w:rPr>
          <w:rFonts w:ascii="Verdana" w:eastAsia="Verdana" w:hAnsi="Verdana" w:cs="Verdana"/>
          <w:color w:val="000000"/>
          <w:sz w:val="24"/>
          <w:u w:val="single"/>
        </w:rPr>
        <w:t>                     (b)  the Minister complies with the requirements of section 22-20.</w:t>
      </w:r>
    </w:p>
    <w:p w:rsidR="000D0D5A" w:rsidRDefault="000D0D5A">
      <w:pPr>
        <w:rPr>
          <w:rFonts w:ascii="Verdana" w:eastAsia="Verdana" w:hAnsi="Verdana" w:cs="Verdana"/>
          <w:sz w:val="24"/>
        </w:rPr>
      </w:pPr>
    </w:p>
    <w:p w:rsidR="000D0D5A" w:rsidRDefault="00945DDE">
      <w:pPr>
        <w:rPr>
          <w:rFonts w:ascii="Verdana" w:eastAsia="Verdana" w:hAnsi="Verdana" w:cs="Verdana"/>
          <w:b/>
          <w:sz w:val="24"/>
        </w:rPr>
      </w:pPr>
      <w:r>
        <w:rPr>
          <w:rFonts w:ascii="Verdana" w:eastAsia="Verdana" w:hAnsi="Verdana" w:cs="Verdana"/>
          <w:b/>
          <w:sz w:val="24"/>
        </w:rPr>
        <w:t>Note this means that if the body’s purposes are primarily profit making as is the case in privately-owned commercial entities, higher education provider status is to be revoked.  As such, no grants could be made to such a body.</w:t>
      </w:r>
    </w:p>
    <w:p w:rsidR="000D0D5A" w:rsidRDefault="000D0D5A">
      <w:pPr>
        <w:rPr>
          <w:rFonts w:ascii="Verdana" w:eastAsia="Verdana" w:hAnsi="Verdana" w:cs="Verdana"/>
          <w:b/>
          <w:sz w:val="24"/>
        </w:rPr>
      </w:pPr>
    </w:p>
    <w:p w:rsidR="000D0D5A" w:rsidRDefault="00945DDE">
      <w:pPr>
        <w:spacing w:after="0"/>
        <w:rPr>
          <w:rFonts w:ascii="Verdana" w:eastAsia="Verdana" w:hAnsi="Verdana" w:cs="Verdana"/>
          <w:sz w:val="24"/>
          <w:shd w:val="clear" w:color="auto" w:fill="FFFFFF"/>
        </w:rPr>
      </w:pPr>
      <w:r>
        <w:rPr>
          <w:rFonts w:ascii="Verdana" w:eastAsia="Verdana" w:hAnsi="Verdana" w:cs="Verdana"/>
          <w:sz w:val="24"/>
          <w:shd w:val="clear" w:color="auto" w:fill="FFFFFF"/>
        </w:rPr>
        <w:lastRenderedPageBreak/>
        <w:t>A significant body of research has identified the detrimental effects of quality and equity of education when it becomes a commodity.  Just a very small selection is:</w:t>
      </w:r>
    </w:p>
    <w:p w:rsidR="000D0D5A" w:rsidRDefault="000D0D5A">
      <w:pPr>
        <w:spacing w:after="0"/>
        <w:rPr>
          <w:rFonts w:ascii="Verdana" w:eastAsia="Verdana" w:hAnsi="Verdana" w:cs="Verdana"/>
          <w:sz w:val="24"/>
          <w:shd w:val="clear" w:color="auto" w:fill="FFFFFF"/>
        </w:rPr>
      </w:pPr>
    </w:p>
    <w:p w:rsidR="000D0D5A" w:rsidRDefault="00945DDE">
      <w:pPr>
        <w:spacing w:after="0"/>
        <w:rPr>
          <w:rFonts w:ascii="Verdana" w:eastAsia="Verdana" w:hAnsi="Verdana" w:cs="Verdana"/>
          <w:sz w:val="24"/>
          <w:shd w:val="clear" w:color="auto" w:fill="FFFFFF"/>
        </w:rPr>
      </w:pPr>
      <w:r>
        <w:rPr>
          <w:rFonts w:ascii="Verdana" w:eastAsia="Verdana" w:hAnsi="Verdana" w:cs="Verdana"/>
          <w:sz w:val="24"/>
          <w:shd w:val="clear" w:color="auto" w:fill="FFFFFF"/>
        </w:rPr>
        <w:t xml:space="preserve">Fisher, D., K. </w:t>
      </w:r>
      <w:proofErr w:type="spellStart"/>
      <w:r>
        <w:rPr>
          <w:rFonts w:ascii="Verdana" w:eastAsia="Verdana" w:hAnsi="Verdana" w:cs="Verdana"/>
          <w:sz w:val="24"/>
          <w:shd w:val="clear" w:color="auto" w:fill="FFFFFF"/>
        </w:rPr>
        <w:t>Rubenson</w:t>
      </w:r>
      <w:proofErr w:type="spellEnd"/>
      <w:r>
        <w:rPr>
          <w:rFonts w:ascii="Verdana" w:eastAsia="Verdana" w:hAnsi="Verdana" w:cs="Verdana"/>
          <w:sz w:val="24"/>
          <w:shd w:val="clear" w:color="auto" w:fill="FFFFFF"/>
        </w:rPr>
        <w:t>, G. Jones and T. Shanahan. (2009). The Political</w:t>
      </w:r>
    </w:p>
    <w:p w:rsidR="000D0D5A" w:rsidRDefault="00945DDE">
      <w:pPr>
        <w:spacing w:after="0"/>
        <w:rPr>
          <w:rFonts w:ascii="Verdana" w:eastAsia="Verdana" w:hAnsi="Verdana" w:cs="Verdana"/>
          <w:sz w:val="24"/>
          <w:shd w:val="clear" w:color="auto" w:fill="FFFFFF"/>
        </w:rPr>
      </w:pPr>
      <w:r>
        <w:rPr>
          <w:rFonts w:ascii="Verdana" w:eastAsia="Verdana" w:hAnsi="Verdana" w:cs="Verdana"/>
          <w:sz w:val="24"/>
          <w:shd w:val="clear" w:color="auto" w:fill="FFFFFF"/>
        </w:rPr>
        <w:t>Economy of Post-Secondary Education: A Comparison of British</w:t>
      </w:r>
    </w:p>
    <w:p w:rsidR="000D0D5A" w:rsidRDefault="00945DDE">
      <w:pPr>
        <w:spacing w:after="0"/>
        <w:rPr>
          <w:rFonts w:ascii="Verdana" w:eastAsia="Verdana" w:hAnsi="Verdana" w:cs="Verdana"/>
          <w:sz w:val="24"/>
          <w:shd w:val="clear" w:color="auto" w:fill="FFFFFF"/>
        </w:rPr>
      </w:pPr>
      <w:r>
        <w:rPr>
          <w:rFonts w:ascii="Verdana" w:eastAsia="Verdana" w:hAnsi="Verdana" w:cs="Verdana"/>
          <w:sz w:val="24"/>
          <w:shd w:val="clear" w:color="auto" w:fill="FFFFFF"/>
        </w:rPr>
        <w:t>Columbia, Ontario, and Québec.  Higher Education , 57, 549-56</w:t>
      </w:r>
    </w:p>
    <w:p w:rsidR="000D0D5A" w:rsidRDefault="000D0D5A">
      <w:pPr>
        <w:rPr>
          <w:rFonts w:ascii="Verdana" w:eastAsia="Verdana" w:hAnsi="Verdana" w:cs="Verdana"/>
          <w:sz w:val="24"/>
        </w:rPr>
      </w:pPr>
    </w:p>
    <w:p w:rsidR="000D0D5A" w:rsidRDefault="00945DDE">
      <w:pPr>
        <w:spacing w:after="0"/>
        <w:rPr>
          <w:rFonts w:ascii="Verdana" w:eastAsia="Verdana" w:hAnsi="Verdana" w:cs="Verdana"/>
          <w:sz w:val="24"/>
          <w:shd w:val="clear" w:color="auto" w:fill="FFFFFF"/>
        </w:rPr>
      </w:pPr>
      <w:r>
        <w:rPr>
          <w:rFonts w:ascii="Verdana" w:eastAsia="Verdana" w:hAnsi="Verdana" w:cs="Verdana"/>
          <w:sz w:val="24"/>
          <w:shd w:val="clear" w:color="auto" w:fill="FFFFFF"/>
        </w:rPr>
        <w:t>The Economist. (2013). Capitalists in the Classroom.</w:t>
      </w:r>
    </w:p>
    <w:p w:rsidR="000D0D5A" w:rsidRDefault="00945DDE">
      <w:pPr>
        <w:spacing w:after="0"/>
        <w:rPr>
          <w:rFonts w:ascii="Verdana" w:eastAsia="Verdana" w:hAnsi="Verdana" w:cs="Verdana"/>
          <w:sz w:val="24"/>
          <w:shd w:val="clear" w:color="auto" w:fill="FFFFFF"/>
        </w:rPr>
      </w:pPr>
      <w:r>
        <w:rPr>
          <w:rFonts w:ascii="Verdana" w:eastAsia="Verdana" w:hAnsi="Verdana" w:cs="Verdana"/>
          <w:sz w:val="24"/>
          <w:shd w:val="clear" w:color="auto" w:fill="FFFFFF"/>
        </w:rPr>
        <w:t xml:space="preserve">The Economist, </w:t>
      </w:r>
      <w:hyperlink r:id="rId4">
        <w:r>
          <w:rPr>
            <w:rFonts w:ascii="Verdana" w:eastAsia="Verdana" w:hAnsi="Verdana" w:cs="Verdana"/>
            <w:color w:val="0000FF"/>
            <w:sz w:val="24"/>
            <w:u w:val="single"/>
            <w:shd w:val="clear" w:color="auto" w:fill="FFFFFF"/>
          </w:rPr>
          <w:t>http://www.economist.com/node/21587817</w:t>
        </w:r>
      </w:hyperlink>
    </w:p>
    <w:p w:rsidR="000D0D5A" w:rsidRDefault="000D0D5A">
      <w:pPr>
        <w:spacing w:after="0"/>
        <w:rPr>
          <w:rFonts w:ascii="Verdana" w:eastAsia="Verdana" w:hAnsi="Verdana" w:cs="Verdana"/>
          <w:sz w:val="24"/>
          <w:shd w:val="clear" w:color="auto" w:fill="FFFFFF"/>
        </w:rPr>
      </w:pPr>
    </w:p>
    <w:p w:rsidR="000D0D5A" w:rsidRDefault="00945DDE">
      <w:pPr>
        <w:spacing w:after="0"/>
        <w:rPr>
          <w:rFonts w:ascii="Verdana" w:eastAsia="Verdana" w:hAnsi="Verdana" w:cs="Verdana"/>
          <w:sz w:val="24"/>
          <w:shd w:val="clear" w:color="auto" w:fill="FFFFFF"/>
        </w:rPr>
      </w:pPr>
      <w:r>
        <w:rPr>
          <w:rFonts w:ascii="Verdana" w:eastAsia="Verdana" w:hAnsi="Verdana" w:cs="Verdana"/>
          <w:sz w:val="24"/>
          <w:shd w:val="clear" w:color="auto" w:fill="FFFFFF"/>
        </w:rPr>
        <w:t>Yan, T. (2013, April 8) . Ontario announces tuition fees compromise.</w:t>
      </w:r>
    </w:p>
    <w:p w:rsidR="000D0D5A" w:rsidRDefault="00945DDE">
      <w:pPr>
        <w:spacing w:after="0"/>
        <w:rPr>
          <w:rFonts w:ascii="Verdana" w:eastAsia="Verdana" w:hAnsi="Verdana" w:cs="Verdana"/>
          <w:sz w:val="24"/>
          <w:shd w:val="clear" w:color="auto" w:fill="FFFFFF"/>
        </w:rPr>
      </w:pPr>
      <w:r>
        <w:rPr>
          <w:rFonts w:ascii="Verdana" w:eastAsia="Verdana" w:hAnsi="Verdana" w:cs="Verdana"/>
          <w:sz w:val="24"/>
          <w:shd w:val="clear" w:color="auto" w:fill="FFFFFF"/>
        </w:rPr>
        <w:t xml:space="preserve">The Varsity, </w:t>
      </w:r>
      <w:hyperlink r:id="rId5">
        <w:r>
          <w:rPr>
            <w:rFonts w:ascii="Verdana" w:eastAsia="Verdana" w:hAnsi="Verdana" w:cs="Verdana"/>
            <w:color w:val="0000FF"/>
            <w:sz w:val="24"/>
            <w:u w:val="single"/>
            <w:shd w:val="clear" w:color="auto" w:fill="FFFFFF"/>
          </w:rPr>
          <w:t>http://thevarsity.ca/2013/04/01/</w:t>
        </w:r>
      </w:hyperlink>
      <w:r>
        <w:rPr>
          <w:rFonts w:ascii="Verdana" w:eastAsia="Verdana" w:hAnsi="Verdana" w:cs="Verdana"/>
          <w:sz w:val="24"/>
          <w:shd w:val="clear" w:color="auto" w:fill="FFFFFF"/>
        </w:rPr>
        <w:t xml:space="preserve"> </w:t>
      </w:r>
      <w:proofErr w:type="spellStart"/>
      <w:r>
        <w:rPr>
          <w:rFonts w:ascii="Verdana" w:eastAsia="Verdana" w:hAnsi="Verdana" w:cs="Verdana"/>
          <w:sz w:val="24"/>
          <w:shd w:val="clear" w:color="auto" w:fill="FFFFFF"/>
        </w:rPr>
        <w:t>ontario</w:t>
      </w:r>
      <w:proofErr w:type="spellEnd"/>
      <w:r>
        <w:rPr>
          <w:rFonts w:ascii="Verdana" w:eastAsia="Verdana" w:hAnsi="Verdana" w:cs="Verdana"/>
          <w:sz w:val="24"/>
          <w:shd w:val="clear" w:color="auto" w:fill="FFFFFF"/>
        </w:rPr>
        <w:t>-announces-tuition-fees-compromise/</w:t>
      </w:r>
    </w:p>
    <w:p w:rsidR="000D0D5A" w:rsidRDefault="000D0D5A">
      <w:pPr>
        <w:rPr>
          <w:rFonts w:ascii="Verdana" w:eastAsia="Verdana" w:hAnsi="Verdana" w:cs="Verdana"/>
          <w:sz w:val="24"/>
        </w:rPr>
      </w:pPr>
    </w:p>
    <w:p w:rsidR="000D0D5A" w:rsidRDefault="00945DDE">
      <w:pPr>
        <w:rPr>
          <w:rFonts w:ascii="Verdana" w:eastAsia="Verdana" w:hAnsi="Verdana" w:cs="Verdana"/>
          <w:sz w:val="24"/>
        </w:rPr>
      </w:pPr>
      <w:r>
        <w:rPr>
          <w:rFonts w:ascii="Verdana" w:eastAsia="Verdana" w:hAnsi="Verdana" w:cs="Verdana"/>
          <w:sz w:val="24"/>
        </w:rPr>
        <w:t>I urge the Commission to review the philosophy and ideology on which the VET sector is regulated and funded and bring it to parity with the other sectors in Australia.</w:t>
      </w:r>
    </w:p>
    <w:p w:rsidR="000D0D5A" w:rsidRDefault="000D0D5A">
      <w:pPr>
        <w:rPr>
          <w:rFonts w:ascii="Verdana" w:eastAsia="Verdana" w:hAnsi="Verdana" w:cs="Verdana"/>
          <w:sz w:val="24"/>
        </w:rPr>
      </w:pPr>
    </w:p>
    <w:p w:rsidR="000D0D5A" w:rsidRDefault="00945DDE">
      <w:pPr>
        <w:rPr>
          <w:rFonts w:ascii="Verdana" w:eastAsia="Verdana" w:hAnsi="Verdana" w:cs="Verdana"/>
          <w:sz w:val="24"/>
        </w:rPr>
      </w:pPr>
      <w:r>
        <w:rPr>
          <w:rFonts w:ascii="Verdana" w:eastAsia="Verdana" w:hAnsi="Verdana" w:cs="Verdana"/>
          <w:sz w:val="24"/>
        </w:rPr>
        <w:t>I am very willing to provide further contribution to this review if it is useful.</w:t>
      </w:r>
    </w:p>
    <w:p w:rsidR="000D0D5A" w:rsidRDefault="000D0D5A">
      <w:pPr>
        <w:rPr>
          <w:rFonts w:ascii="Verdana" w:eastAsia="Verdana" w:hAnsi="Verdana" w:cs="Verdana"/>
          <w:sz w:val="24"/>
        </w:rPr>
      </w:pPr>
    </w:p>
    <w:p w:rsidR="000D0D5A" w:rsidRDefault="000D0D5A">
      <w:pPr>
        <w:rPr>
          <w:rFonts w:ascii="Verdana" w:eastAsia="Verdana" w:hAnsi="Verdana" w:cs="Verdana"/>
          <w:sz w:val="24"/>
        </w:rPr>
      </w:pPr>
    </w:p>
    <w:sectPr w:rsidR="000D0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5A"/>
    <w:rsid w:val="000D0D5A"/>
    <w:rsid w:val="00546D08"/>
    <w:rsid w:val="00945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D2292-B61D-4058-99B3-C10E326E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evarsity.ca/2013/04/01/" TargetMode="External"/><Relationship Id="rId4" Type="http://schemas.openxmlformats.org/officeDocument/2006/relationships/hyperlink" Target="http://www.economist.com/node/21587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30A5B099.dotm</Template>
  <TotalTime>2</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IR111 - Anne Bowden - Skills and Workforce Agreement - Commissioned study</vt:lpstr>
    </vt:vector>
  </TitlesOfParts>
  <Company>Anne Bowden</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IR111 - Anne Bowden - Skills and Workforce Agreement - Commissioned study</dc:title>
  <dc:creator>Anne Bowden</dc:creator>
  <cp:lastModifiedBy>Productivity Commission</cp:lastModifiedBy>
  <cp:revision>3</cp:revision>
  <dcterms:created xsi:type="dcterms:W3CDTF">2020-07-22T04:05:00Z</dcterms:created>
  <dcterms:modified xsi:type="dcterms:W3CDTF">2020-07-22T05:56:00Z</dcterms:modified>
</cp:coreProperties>
</file>