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0EF74" w14:textId="77777777" w:rsidR="00913297" w:rsidRDefault="00913297">
      <w:pPr>
        <w:rPr>
          <w:rFonts w:ascii="Times New Roman" w:hAnsi="Times New Roman" w:cs="Times New Roman"/>
          <w:b/>
          <w:sz w:val="24"/>
          <w:szCs w:val="24"/>
        </w:rPr>
      </w:pPr>
    </w:p>
    <w:p w14:paraId="637F2097" w14:textId="77777777" w:rsidR="0020187D" w:rsidRPr="008A5B35" w:rsidRDefault="0020187D">
      <w:pPr>
        <w:rPr>
          <w:rFonts w:ascii="Times New Roman" w:hAnsi="Times New Roman" w:cs="Times New Roman"/>
          <w:b/>
          <w:sz w:val="24"/>
          <w:szCs w:val="24"/>
        </w:rPr>
      </w:pPr>
      <w:r w:rsidRPr="008A5B35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1F121D78" w14:textId="77777777" w:rsidR="0020187D" w:rsidRPr="008A5B35" w:rsidRDefault="0020187D" w:rsidP="002018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</w:rPr>
        <w:t xml:space="preserve">The 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>Treasury Laws Amendment (2020 Measures No. 6) Bill 2020 (</w:t>
      </w:r>
      <w:hyperlink r:id="rId9" w:history="1">
        <w:r w:rsidRPr="008A5B35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https://www.aph.gov.au/Parliamentary_Business/Bills_Legislation/Bills_Search_Results/Result?bId=r6633</w:t>
        </w:r>
      </w:hyperlink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, was passed just before Christmas 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>and the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amendments to ss260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(relates to goods)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&amp; 268 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(relates to services) 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of the ACL 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>took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effect on 18 December 2021.</w:t>
      </w:r>
    </w:p>
    <w:p w14:paraId="15014B8E" w14:textId="77777777" w:rsidR="000E783E" w:rsidRPr="008A5B35" w:rsidRDefault="000E783E" w:rsidP="007F411A">
      <w:pPr>
        <w:pStyle w:val="subsection"/>
        <w:spacing w:before="0" w:beforeAutospacing="0" w:after="0" w:afterAutospacing="0"/>
        <w:ind w:left="720"/>
        <w:rPr>
          <w:i/>
          <w:color w:val="000000"/>
        </w:rPr>
      </w:pPr>
      <w:r w:rsidRPr="008A5B35">
        <w:rPr>
          <w:i/>
          <w:color w:val="000000"/>
        </w:rPr>
        <w:t>(2)  A failure to comply with a guarantee referred to in section 259(1)(b) that applies to a </w:t>
      </w:r>
      <w:hyperlink r:id="rId10" w:anchor="supply" w:history="1">
        <w:r w:rsidRPr="008A5B35">
          <w:rPr>
            <w:rStyle w:val="Hyperlink"/>
            <w:i/>
          </w:rPr>
          <w:t>supply</w:t>
        </w:r>
      </w:hyperlink>
      <w:r w:rsidRPr="008A5B35">
        <w:rPr>
          <w:i/>
          <w:color w:val="000000"/>
        </w:rPr>
        <w:t> of </w:t>
      </w:r>
      <w:hyperlink r:id="rId11" w:anchor="goods" w:history="1">
        <w:r w:rsidRPr="008A5B35">
          <w:rPr>
            <w:rStyle w:val="Hyperlink"/>
            <w:i/>
          </w:rPr>
          <w:t>goods</w:t>
        </w:r>
      </w:hyperlink>
      <w:r w:rsidRPr="008A5B35">
        <w:rPr>
          <w:i/>
          <w:color w:val="000000"/>
        </w:rPr>
        <w:t> is also a </w:t>
      </w:r>
      <w:r w:rsidRPr="008A5B35">
        <w:rPr>
          <w:b/>
          <w:bCs/>
          <w:i/>
          <w:iCs/>
          <w:color w:val="000000"/>
        </w:rPr>
        <w:t>major failure </w:t>
      </w:r>
      <w:r w:rsidRPr="008A5B35">
        <w:rPr>
          <w:i/>
          <w:color w:val="000000"/>
        </w:rPr>
        <w:t>if:</w:t>
      </w:r>
    </w:p>
    <w:p w14:paraId="6DBC3A95" w14:textId="77777777" w:rsidR="000E783E" w:rsidRPr="008A5B35" w:rsidRDefault="000E783E" w:rsidP="007F411A">
      <w:pPr>
        <w:pStyle w:val="subsection"/>
        <w:spacing w:before="0" w:beforeAutospacing="0" w:after="0" w:afterAutospacing="0"/>
        <w:ind w:left="720"/>
        <w:rPr>
          <w:i/>
          <w:color w:val="000000"/>
        </w:rPr>
      </w:pPr>
      <w:r w:rsidRPr="008A5B35">
        <w:rPr>
          <w:i/>
          <w:color w:val="000000"/>
          <w:highlight w:val="yellow"/>
        </w:rPr>
        <w:t>(a)  the failure is one of 2 or more failures to comply with a guarantee referred to in section 259(1)(b) that </w:t>
      </w:r>
      <w:hyperlink r:id="rId12" w:anchor="apply" w:history="1">
        <w:r w:rsidRPr="008A5B35">
          <w:rPr>
            <w:rStyle w:val="Hyperlink"/>
            <w:i/>
            <w:highlight w:val="yellow"/>
          </w:rPr>
          <w:t>apply</w:t>
        </w:r>
      </w:hyperlink>
      <w:r w:rsidRPr="008A5B35">
        <w:rPr>
          <w:i/>
          <w:color w:val="000000"/>
          <w:highlight w:val="yellow"/>
        </w:rPr>
        <w:t> to the </w:t>
      </w:r>
      <w:hyperlink r:id="rId13" w:anchor="supply" w:history="1">
        <w:r w:rsidRPr="008A5B35">
          <w:rPr>
            <w:rStyle w:val="Hyperlink"/>
            <w:i/>
            <w:highlight w:val="yellow"/>
          </w:rPr>
          <w:t>supply</w:t>
        </w:r>
      </w:hyperlink>
      <w:r w:rsidRPr="008A5B35">
        <w:rPr>
          <w:i/>
          <w:color w:val="000000"/>
          <w:highlight w:val="yellow"/>
        </w:rPr>
        <w:t>; and</w:t>
      </w:r>
    </w:p>
    <w:p w14:paraId="69206894" w14:textId="77777777" w:rsidR="000E783E" w:rsidRPr="008A5B35" w:rsidRDefault="000E783E" w:rsidP="007F411A">
      <w:pPr>
        <w:pStyle w:val="paragraph"/>
        <w:spacing w:before="0" w:beforeAutospacing="0" w:after="0" w:afterAutospacing="0"/>
        <w:ind w:left="720"/>
        <w:rPr>
          <w:i/>
          <w:color w:val="000000"/>
        </w:rPr>
      </w:pPr>
      <w:r w:rsidRPr="008A5B35">
        <w:rPr>
          <w:i/>
          <w:color w:val="000000"/>
        </w:rPr>
        <w:t>(b)  the </w:t>
      </w:r>
      <w:hyperlink r:id="rId14" w:anchor="goods" w:history="1">
        <w:r w:rsidRPr="008A5B35">
          <w:rPr>
            <w:rStyle w:val="Hyperlink"/>
            <w:i/>
          </w:rPr>
          <w:t>goods</w:t>
        </w:r>
      </w:hyperlink>
      <w:r w:rsidRPr="008A5B35">
        <w:rPr>
          <w:i/>
          <w:color w:val="000000"/>
        </w:rPr>
        <w:t> would not have been </w:t>
      </w:r>
      <w:hyperlink r:id="rId15" w:anchor="acquire" w:history="1">
        <w:r w:rsidRPr="008A5B35">
          <w:rPr>
            <w:rStyle w:val="Hyperlink"/>
            <w:i/>
          </w:rPr>
          <w:t>acquired</w:t>
        </w:r>
      </w:hyperlink>
      <w:r w:rsidRPr="008A5B35">
        <w:rPr>
          <w:i/>
          <w:color w:val="000000"/>
        </w:rPr>
        <w:t> by a reasonable </w:t>
      </w:r>
      <w:hyperlink r:id="rId16" w:anchor="consumer" w:history="1">
        <w:r w:rsidRPr="008A5B35">
          <w:rPr>
            <w:rStyle w:val="Hyperlink"/>
            <w:i/>
          </w:rPr>
          <w:t>consumer</w:t>
        </w:r>
      </w:hyperlink>
      <w:r w:rsidRPr="008A5B35">
        <w:rPr>
          <w:i/>
          <w:color w:val="000000"/>
        </w:rPr>
        <w:t> fully acquainted with the nature and extent of those failures, taken as a whole.</w:t>
      </w:r>
    </w:p>
    <w:p w14:paraId="1B58D8C0" w14:textId="77777777" w:rsidR="000E783E" w:rsidRPr="008A5B35" w:rsidRDefault="000E783E" w:rsidP="007F411A">
      <w:pPr>
        <w:pStyle w:val="notetext"/>
        <w:spacing w:before="0" w:beforeAutospacing="0" w:after="0" w:afterAutospacing="0"/>
        <w:ind w:left="720"/>
        <w:rPr>
          <w:i/>
          <w:color w:val="000000"/>
          <w:highlight w:val="yellow"/>
        </w:rPr>
      </w:pPr>
      <w:r w:rsidRPr="008A5B35">
        <w:rPr>
          <w:i/>
          <w:color w:val="000000"/>
          <w:highlight w:val="yellow"/>
        </w:rPr>
        <w:t>Note:          The multiple failures do not need to relate to the same guarantee.</w:t>
      </w:r>
    </w:p>
    <w:p w14:paraId="3A7FEF34" w14:textId="77777777" w:rsidR="000E783E" w:rsidRPr="008A5B35" w:rsidRDefault="000E783E" w:rsidP="007F411A">
      <w:pPr>
        <w:pStyle w:val="subsection"/>
        <w:spacing w:before="0" w:beforeAutospacing="0" w:after="0" w:afterAutospacing="0"/>
        <w:ind w:left="720"/>
        <w:rPr>
          <w:i/>
          <w:color w:val="000000"/>
        </w:rPr>
      </w:pPr>
      <w:r w:rsidRPr="008A5B35">
        <w:rPr>
          <w:i/>
          <w:color w:val="000000"/>
          <w:highlight w:val="yellow"/>
        </w:rPr>
        <w:t>(3)  </w:t>
      </w:r>
      <w:hyperlink r:id="rId17" w:anchor="subsection" w:history="1">
        <w:r w:rsidRPr="008A5B35">
          <w:rPr>
            <w:rStyle w:val="Hyperlink"/>
            <w:i/>
            <w:highlight w:val="yellow"/>
          </w:rPr>
          <w:t>Subsection</w:t>
        </w:r>
      </w:hyperlink>
      <w:r w:rsidRPr="008A5B35">
        <w:rPr>
          <w:i/>
          <w:color w:val="000000"/>
          <w:highlight w:val="yellow"/>
        </w:rPr>
        <w:t> (2) applies regardless of whether the </w:t>
      </w:r>
      <w:hyperlink r:id="rId18" w:anchor="consumer" w:history="1">
        <w:r w:rsidRPr="008A5B35">
          <w:rPr>
            <w:rStyle w:val="Hyperlink"/>
            <w:i/>
            <w:highlight w:val="yellow"/>
          </w:rPr>
          <w:t>consumer</w:t>
        </w:r>
      </w:hyperlink>
      <w:r w:rsidRPr="008A5B35">
        <w:rPr>
          <w:i/>
          <w:color w:val="000000"/>
          <w:highlight w:val="yellow"/>
        </w:rPr>
        <w:t> has taken action under section 259 in relation to any of the failures.</w:t>
      </w:r>
    </w:p>
    <w:p w14:paraId="5908733C" w14:textId="77777777" w:rsidR="007F411A" w:rsidRPr="008A5B35" w:rsidRDefault="000E783E" w:rsidP="007F411A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</w:rPr>
        <w:t> </w:t>
      </w:r>
    </w:p>
    <w:p w14:paraId="0797D13B" w14:textId="77777777" w:rsidR="00731990" w:rsidRPr="008A5B35" w:rsidRDefault="00731990" w:rsidP="00731990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64272BD" w14:textId="77777777" w:rsidR="00085594" w:rsidRPr="008A5B35" w:rsidRDefault="0020187D" w:rsidP="00731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The changes </w:t>
      </w:r>
      <w:r w:rsidR="00AD09DF" w:rsidRPr="008A5B35">
        <w:rPr>
          <w:rFonts w:ascii="Times New Roman" w:hAnsi="Times New Roman" w:cs="Times New Roman"/>
          <w:sz w:val="24"/>
          <w:szCs w:val="24"/>
          <w:lang w:val="en-GB"/>
        </w:rPr>
        <w:t>essentially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extend the definition of</w:t>
      </w:r>
      <w:r w:rsidR="00AD09DF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‘major failure’ </w:t>
      </w:r>
      <w:r w:rsidR="00731990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to also apply 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>to goods</w:t>
      </w:r>
      <w:r w:rsidR="00AD09DF" w:rsidRPr="008A5B35">
        <w:rPr>
          <w:rFonts w:ascii="Times New Roman" w:hAnsi="Times New Roman" w:cs="Times New Roman"/>
          <w:sz w:val="24"/>
          <w:szCs w:val="24"/>
          <w:lang w:val="en-GB"/>
        </w:rPr>
        <w:t>/services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if the failure is </w:t>
      </w:r>
      <w:r w:rsidR="00085594" w:rsidRPr="008A5B35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one of 2</w:t>
      </w:r>
      <w:r w:rsidR="00B32C23" w:rsidRPr="008A5B35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 [minor]</w:t>
      </w:r>
      <w:r w:rsidR="00085594" w:rsidRPr="008A5B35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 failures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to comply with the guarantees. The </w:t>
      </w:r>
      <w:r w:rsidR="00085594" w:rsidRPr="008A5B35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multiple failures do not need to relate to the same guarantee</w:t>
      </w:r>
      <w:r w:rsidR="00085594" w:rsidRPr="008A5B3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085594" w:rsidRPr="008A5B35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applies regardless of whether the consumer has been provided with a remedy in relation to any of the failures</w:t>
      </w:r>
      <w:r w:rsidR="00085594" w:rsidRPr="008A5B3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38A03E" w14:textId="77777777" w:rsidR="00731990" w:rsidRPr="008A5B35" w:rsidRDefault="00731990" w:rsidP="007319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F79F1A" w14:textId="77777777" w:rsidR="00085594" w:rsidRPr="008A5B35" w:rsidRDefault="00731990" w:rsidP="00731990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b/>
          <w:sz w:val="24"/>
          <w:szCs w:val="24"/>
          <w:lang w:val="en-GB"/>
        </w:rPr>
        <w:t xml:space="preserve">Regulatory Burden and Impact </w:t>
      </w:r>
    </w:p>
    <w:p w14:paraId="16F6C971" w14:textId="580F08CF" w:rsidR="000E783E" w:rsidRPr="00ED4ADE" w:rsidRDefault="00731990" w:rsidP="00520E4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13543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practical effects of the </w:t>
      </w:r>
      <w:r w:rsidRPr="00ED4ADE">
        <w:rPr>
          <w:rFonts w:ascii="Times New Roman" w:hAnsi="Times New Roman" w:cs="Times New Roman"/>
          <w:sz w:val="24"/>
          <w:szCs w:val="24"/>
          <w:lang w:val="en-GB"/>
        </w:rPr>
        <w:t>amendments to s260 and s268</w:t>
      </w:r>
      <w:r w:rsidR="00413543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 sets a very low threshold for what would constitute a ‘major failure’. One of 2 [minor and </w:t>
      </w:r>
      <w:r w:rsidR="00173AB2" w:rsidRPr="00ED4ADE">
        <w:rPr>
          <w:rFonts w:ascii="Times New Roman" w:hAnsi="Times New Roman" w:cs="Times New Roman"/>
          <w:sz w:val="24"/>
          <w:szCs w:val="24"/>
          <w:lang w:val="en-GB"/>
        </w:rPr>
        <w:t>unrelated</w:t>
      </w:r>
      <w:r w:rsidR="00413543" w:rsidRPr="00ED4ADE">
        <w:rPr>
          <w:rFonts w:ascii="Times New Roman" w:hAnsi="Times New Roman" w:cs="Times New Roman"/>
          <w:sz w:val="24"/>
          <w:szCs w:val="24"/>
          <w:lang w:val="en-GB"/>
        </w:rPr>
        <w:t>] failures over a product</w:t>
      </w:r>
      <w:r w:rsidR="00AD09DF" w:rsidRPr="00ED4ADE">
        <w:rPr>
          <w:rFonts w:ascii="Times New Roman" w:hAnsi="Times New Roman" w:cs="Times New Roman"/>
          <w:sz w:val="24"/>
          <w:szCs w:val="24"/>
          <w:lang w:val="en-GB"/>
        </w:rPr>
        <w:t>’</w:t>
      </w:r>
      <w:r w:rsidR="00413543" w:rsidRPr="00ED4ADE">
        <w:rPr>
          <w:rFonts w:ascii="Times New Roman" w:hAnsi="Times New Roman" w:cs="Times New Roman"/>
          <w:sz w:val="24"/>
          <w:szCs w:val="24"/>
          <w:lang w:val="en-GB"/>
        </w:rPr>
        <w:t>s life</w:t>
      </w:r>
      <w:r w:rsidR="00105085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 particularly for complex produ</w:t>
      </w:r>
      <w:r w:rsidR="00A64857" w:rsidRPr="00ED4ADE">
        <w:rPr>
          <w:rFonts w:ascii="Times New Roman" w:hAnsi="Times New Roman" w:cs="Times New Roman"/>
          <w:sz w:val="24"/>
          <w:szCs w:val="24"/>
          <w:lang w:val="en-GB"/>
        </w:rPr>
        <w:t>ct</w:t>
      </w:r>
      <w:r w:rsidR="00AD09DF" w:rsidRPr="00ED4AD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64857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 such as consumer electronics, motor vehicles etc are</w:t>
      </w:r>
      <w:r w:rsidR="00413543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 not </w:t>
      </w:r>
      <w:r w:rsidR="00E6305B" w:rsidRPr="00ED4ADE">
        <w:rPr>
          <w:rFonts w:ascii="Times New Roman" w:hAnsi="Times New Roman" w:cs="Times New Roman"/>
          <w:sz w:val="24"/>
          <w:szCs w:val="24"/>
          <w:lang w:val="en-GB"/>
        </w:rPr>
        <w:t>un</w:t>
      </w:r>
      <w:r w:rsidR="00A64857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usual, </w:t>
      </w:r>
      <w:r w:rsidR="00413543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 w:rsidR="00173AB2" w:rsidRPr="00ED4ADE">
        <w:rPr>
          <w:rFonts w:ascii="Times New Roman" w:hAnsi="Times New Roman" w:cs="Times New Roman"/>
          <w:sz w:val="24"/>
          <w:szCs w:val="24"/>
          <w:lang w:val="en-GB"/>
        </w:rPr>
        <w:t>unacceptable</w:t>
      </w:r>
      <w:r w:rsidR="00105085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A64857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r w:rsidR="00105085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not amount to a product </w:t>
      </w:r>
      <w:r w:rsidR="00A64857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being ‘written off’ as </w:t>
      </w:r>
      <w:r w:rsidR="00105085" w:rsidRPr="00ED4ADE">
        <w:rPr>
          <w:rFonts w:ascii="Times New Roman" w:hAnsi="Times New Roman" w:cs="Times New Roman"/>
          <w:sz w:val="24"/>
          <w:szCs w:val="24"/>
          <w:lang w:val="en-GB"/>
        </w:rPr>
        <w:t>defective</w:t>
      </w:r>
      <w:r w:rsidR="00413543" w:rsidRPr="00ED4AD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149AB757" w14:textId="77777777" w:rsidR="00C76675" w:rsidRPr="00ED4ADE" w:rsidRDefault="000E783E" w:rsidP="004135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A m</w:t>
      </w:r>
      <w:r w:rsidR="00330191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ajor failure</w:t>
      </w:r>
      <w:r w:rsidR="00C703E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trigger</w:t>
      </w:r>
      <w:r w:rsidR="00330191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s</w:t>
      </w:r>
      <w:r w:rsidR="00C703E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consumer</w:t>
      </w:r>
      <w:r w:rsidR="00330191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’s rights to seek a </w:t>
      </w:r>
      <w:r w:rsidR="00C703E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replacement or refund for the goods or services. </w:t>
      </w:r>
      <w:r w:rsidR="0010508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As a </w:t>
      </w:r>
      <w:proofErr w:type="gramStart"/>
      <w:r w:rsidR="0010508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consequence</w:t>
      </w:r>
      <w:proofErr w:type="gramEnd"/>
      <w:r w:rsidR="0010508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330191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more </w:t>
      </w:r>
      <w:r w:rsidR="00C703E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consumers </w:t>
      </w:r>
      <w:r w:rsidR="0010508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will opt for a </w:t>
      </w:r>
      <w:r w:rsidR="00C7667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new product</w:t>
      </w:r>
      <w:r w:rsidR="0010508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rather than a repair, even </w:t>
      </w:r>
      <w:r w:rsidR="00C7667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if the</w:t>
      </w:r>
      <w:r w:rsidR="0010508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fault</w:t>
      </w:r>
      <w:r w:rsidR="00C703E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is repairable</w:t>
      </w:r>
      <w:r w:rsidR="00330191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and minor</w:t>
      </w:r>
      <w:r w:rsidR="0010508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</w:p>
    <w:p w14:paraId="0E783C6E" w14:textId="77777777" w:rsidR="00C76675" w:rsidRPr="008A5B35" w:rsidRDefault="00C76675" w:rsidP="00C76675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35B307CD" w14:textId="77777777" w:rsidR="00731990" w:rsidRPr="008A5B35" w:rsidRDefault="00105085" w:rsidP="004135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="00C703E5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has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far reaching</w:t>
      </w:r>
      <w:r w:rsidR="0093467F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73AB2" w:rsidRPr="008A5B35">
        <w:rPr>
          <w:rFonts w:ascii="Times New Roman" w:hAnsi="Times New Roman" w:cs="Times New Roman"/>
          <w:sz w:val="24"/>
          <w:szCs w:val="24"/>
          <w:lang w:val="en-GB"/>
        </w:rPr>
        <w:t>environmental an</w:t>
      </w:r>
      <w:r w:rsidR="00A648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d economic 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>impact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64857" w:rsidRPr="008A5B35">
        <w:rPr>
          <w:rFonts w:ascii="Times New Roman" w:hAnsi="Times New Roman" w:cs="Times New Roman"/>
          <w:sz w:val="24"/>
          <w:szCs w:val="24"/>
          <w:lang w:val="en-GB"/>
        </w:rPr>
        <w:t>and places a significant regulatory burden on industry because:</w:t>
      </w:r>
    </w:p>
    <w:p w14:paraId="303F1406" w14:textId="77777777" w:rsidR="000B5F57" w:rsidRPr="008A5B35" w:rsidRDefault="000B5F57" w:rsidP="000B5F57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14:paraId="7EEFE7C4" w14:textId="77777777" w:rsidR="00105085" w:rsidRPr="008A5B35" w:rsidRDefault="00C703E5" w:rsidP="007B026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Repairable 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products will be 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>discarded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and replaced with new goods resulting in a </w:t>
      </w:r>
      <w:r w:rsidR="000B5F57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significant increase in e-waste</w:t>
      </w:r>
      <w:r w:rsidR="00C76675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as well as associated</w:t>
      </w:r>
      <w:r w:rsidR="00A64857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transportation and </w:t>
      </w:r>
      <w:r w:rsidR="00330191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disposal costs</w:t>
      </w:r>
      <w:r w:rsidR="000B5F57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B6704" w:rsidRPr="008A5B35">
        <w:rPr>
          <w:rFonts w:ascii="Times New Roman" w:hAnsi="Times New Roman" w:cs="Times New Roman"/>
          <w:sz w:val="24"/>
          <w:szCs w:val="24"/>
          <w:lang w:val="en-GB"/>
        </w:rPr>
        <w:t>The increase in e-waste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50409">
        <w:rPr>
          <w:rFonts w:ascii="Times New Roman" w:hAnsi="Times New Roman" w:cs="Times New Roman"/>
          <w:sz w:val="24"/>
          <w:szCs w:val="24"/>
          <w:lang w:val="en-GB"/>
        </w:rPr>
        <w:t xml:space="preserve">(a side effect of increased ‘consumerism’) 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>is already a serious environmental issue</w:t>
      </w:r>
      <w:r w:rsidR="007B670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. The impact of the amendment to section 260 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105085" w:rsidRPr="008A5B35">
        <w:rPr>
          <w:rFonts w:ascii="Times New Roman" w:hAnsi="Times New Roman" w:cs="Times New Roman"/>
          <w:sz w:val="24"/>
          <w:szCs w:val="24"/>
          <w:lang w:val="en-GB"/>
        </w:rPr>
        <w:t>wholly inconsistent with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environmental</w:t>
      </w:r>
      <w:r w:rsidR="00300D8C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and waste management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initiatives </w:t>
      </w:r>
      <w:r w:rsidR="00300D8C" w:rsidRPr="008A5B35">
        <w:rPr>
          <w:rFonts w:ascii="Times New Roman" w:hAnsi="Times New Roman" w:cs="Times New Roman"/>
          <w:sz w:val="24"/>
          <w:szCs w:val="24"/>
          <w:lang w:val="en-GB"/>
        </w:rPr>
        <w:t>aimed at reducing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carbon footprints and 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>e-waste</w:t>
      </w:r>
      <w:r w:rsidR="007B670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549B563E" w14:textId="77777777" w:rsidR="007B6704" w:rsidRPr="008A5B35" w:rsidRDefault="007B6704" w:rsidP="007B6704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6487518" w14:textId="77777777" w:rsidR="00105085" w:rsidRPr="008A5B35" w:rsidRDefault="00105085" w:rsidP="00E630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Manufacturing volumes will need to be increased to provide replacement </w:t>
      </w:r>
      <w:r w:rsidR="00950409">
        <w:rPr>
          <w:rFonts w:ascii="Times New Roman" w:hAnsi="Times New Roman" w:cs="Times New Roman"/>
          <w:sz w:val="24"/>
          <w:szCs w:val="24"/>
          <w:lang w:val="en-GB"/>
        </w:rPr>
        <w:t xml:space="preserve">products at manufacturers’ 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costs and </w:t>
      </w:r>
      <w:r w:rsidR="00950409">
        <w:rPr>
          <w:rFonts w:ascii="Times New Roman" w:hAnsi="Times New Roman" w:cs="Times New Roman"/>
          <w:sz w:val="24"/>
          <w:szCs w:val="24"/>
          <w:lang w:val="en-GB"/>
        </w:rPr>
        <w:t>will further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deplete natural resources.</w:t>
      </w:r>
    </w:p>
    <w:p w14:paraId="04C0FB21" w14:textId="77777777" w:rsidR="00330191" w:rsidRPr="008A5B35" w:rsidRDefault="00330191" w:rsidP="00330191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7A6ED98E" w14:textId="77777777" w:rsidR="00C703E5" w:rsidRPr="008A5B35" w:rsidRDefault="00A64857" w:rsidP="00E630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>In our experience, m</w:t>
      </w:r>
      <w:r w:rsidR="00105085" w:rsidRPr="008A5B35">
        <w:rPr>
          <w:rFonts w:ascii="Times New Roman" w:hAnsi="Times New Roman" w:cs="Times New Roman"/>
          <w:sz w:val="24"/>
          <w:szCs w:val="24"/>
          <w:lang w:val="en-GB"/>
        </w:rPr>
        <w:t>ost c</w:t>
      </w:r>
      <w:r w:rsidR="00E6305B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onsumers will choose </w:t>
      </w:r>
      <w:r w:rsidR="00105085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a new product </w:t>
      </w:r>
      <w:r w:rsidR="00E6305B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instead of 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>a repair</w:t>
      </w:r>
      <w:r w:rsidR="00E6305B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. This will </w:t>
      </w:r>
      <w:r w:rsidR="00E6305B" w:rsidRPr="00ED4ADE">
        <w:rPr>
          <w:rFonts w:ascii="Times New Roman" w:hAnsi="Times New Roman" w:cs="Times New Roman"/>
          <w:b/>
          <w:bCs/>
          <w:sz w:val="24"/>
          <w:szCs w:val="24"/>
          <w:lang w:val="en-GB"/>
        </w:rPr>
        <w:t>significantly reduce the volume of repair work for service technicians</w:t>
      </w:r>
      <w:r w:rsidR="00E6305B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– the impacts of which would be devastating 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>for a sector</w:t>
      </w:r>
      <w:r w:rsidR="00E6305B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that is already struggling. 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It </w:t>
      </w:r>
      <w:r w:rsidR="00300D8C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also cuts across other 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>government initiatives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like the right to repair,</w:t>
      </w:r>
      <w:r w:rsidR="000B5F57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00D8C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aimed at promoting a circular economy. 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300D8C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aking the </w:t>
      </w:r>
      <w:r w:rsidR="00E6305B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repair remedy 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300D8C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6305B" w:rsidRPr="008A5B35">
        <w:rPr>
          <w:rFonts w:ascii="Times New Roman" w:hAnsi="Times New Roman" w:cs="Times New Roman"/>
          <w:sz w:val="24"/>
          <w:szCs w:val="24"/>
          <w:lang w:val="en-GB"/>
        </w:rPr>
        <w:t>preferred option for consumers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(not replacement or refunds)</w:t>
      </w:r>
      <w:r w:rsidR="00C76675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is a key component to the right to repair campaign.</w:t>
      </w:r>
    </w:p>
    <w:p w14:paraId="099D221D" w14:textId="77777777" w:rsidR="00330191" w:rsidRPr="008A5B35" w:rsidRDefault="00330191" w:rsidP="00E6305B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6C325A05" w14:textId="77777777" w:rsidR="00330191" w:rsidRPr="008A5B35" w:rsidRDefault="00C76675" w:rsidP="00094A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>It is generally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more cost effective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to repa</w:t>
      </w:r>
      <w:r w:rsidR="00253F3D">
        <w:rPr>
          <w:rFonts w:ascii="Times New Roman" w:hAnsi="Times New Roman" w:cs="Times New Roman"/>
          <w:sz w:val="24"/>
          <w:szCs w:val="24"/>
          <w:lang w:val="en-GB"/>
        </w:rPr>
        <w:t>ir minor failures than provide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 replacement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which involve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not only the cost of the goods, but delivery costs and</w:t>
      </w:r>
      <w:r w:rsidR="00A4790A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disposal costs.</w:t>
      </w:r>
      <w:r w:rsidR="007B670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Average cost to repair a minor issue with a refrigerator is $300 versus $3,000 to replace/refund.  This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imposes</w:t>
      </w:r>
      <w:r w:rsidR="007B670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 significant cost impact on retailers and manufacturers. </w:t>
      </w:r>
    </w:p>
    <w:p w14:paraId="62B46774" w14:textId="77777777" w:rsidR="007B6704" w:rsidRPr="008A5B35" w:rsidRDefault="007B6704" w:rsidP="007B6704">
      <w:pPr>
        <w:pStyle w:val="ListParagraph"/>
        <w:rPr>
          <w:rFonts w:ascii="Times New Roman" w:hAnsi="Times New Roman" w:cs="Times New Roman"/>
          <w:sz w:val="24"/>
          <w:szCs w:val="24"/>
          <w:lang w:val="en-GB"/>
        </w:rPr>
      </w:pPr>
    </w:p>
    <w:p w14:paraId="3DF1ADE0" w14:textId="77777777" w:rsidR="00B32C23" w:rsidRPr="008A5B35" w:rsidRDefault="000E783E" w:rsidP="00E6305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>Minor failures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are generally easy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to repair and repairs would return</w:t>
      </w:r>
      <w:r w:rsidR="007B6704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the product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to good working order. The nature of minor failures do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not justify 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>the need to replace goods or provide a refund</w:t>
      </w:r>
      <w:r w:rsidR="0093467F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because:</w:t>
      </w:r>
      <w:r w:rsidR="00B32C23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BA830F4" w14:textId="77777777" w:rsidR="0093467F" w:rsidRPr="008A5B35" w:rsidRDefault="000E783E" w:rsidP="00AD09DF">
      <w:pPr>
        <w:pStyle w:val="ListParagraph"/>
        <w:numPr>
          <w:ilvl w:val="2"/>
          <w:numId w:val="7"/>
        </w:numPr>
        <w:ind w:left="993"/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It is generally more cost effective to repair minor failures than provide a replacement or refund e.g. 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if a washer fails 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in a tap it would be more 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>cost effective</w:t>
      </w:r>
      <w:r w:rsidR="00AD09DF"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and easier to repair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than replacing the tap</w:t>
      </w:r>
      <w:r w:rsidR="00330191" w:rsidRPr="008A5B3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6B04E3" w14:textId="77777777" w:rsidR="00330191" w:rsidRPr="008A5B35" w:rsidRDefault="00B32C23" w:rsidP="00AD09DF">
      <w:pPr>
        <w:pStyle w:val="ListParagraph"/>
        <w:numPr>
          <w:ilvl w:val="2"/>
          <w:numId w:val="7"/>
        </w:numPr>
        <w:ind w:left="993"/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>Minor failures usually impact secondary functions of a product e.g. a</w:t>
      </w:r>
      <w:r w:rsidR="00244B17" w:rsidRPr="008A5B35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ic</w:t>
      </w:r>
      <w:r w:rsidR="00244B17" w:rsidRPr="008A5B35">
        <w:rPr>
          <w:rFonts w:ascii="Times New Roman" w:hAnsi="Times New Roman" w:cs="Times New Roman"/>
          <w:sz w:val="24"/>
          <w:szCs w:val="24"/>
          <w:lang w:val="en-GB"/>
        </w:rPr>
        <w:t>e dispenser on a fridge and do</w:t>
      </w: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not justify replacement of the entire refrigerator.</w:t>
      </w:r>
    </w:p>
    <w:p w14:paraId="4726C0D2" w14:textId="53D1D9EB" w:rsidR="007B6704" w:rsidRPr="008A5B35" w:rsidRDefault="007B6704" w:rsidP="00ED4ADE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8A5B3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7B6704" w:rsidRPr="008A5B35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37675"/>
    <w:multiLevelType w:val="hybridMultilevel"/>
    <w:tmpl w:val="81A62E8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E0F44"/>
    <w:multiLevelType w:val="hybridMultilevel"/>
    <w:tmpl w:val="D1426C8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47325"/>
    <w:multiLevelType w:val="hybridMultilevel"/>
    <w:tmpl w:val="046ABE7A"/>
    <w:lvl w:ilvl="0" w:tplc="B650887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C4F29"/>
    <w:multiLevelType w:val="hybridMultilevel"/>
    <w:tmpl w:val="3012A36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960B3"/>
    <w:multiLevelType w:val="hybridMultilevel"/>
    <w:tmpl w:val="C5B427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211525"/>
    <w:multiLevelType w:val="hybridMultilevel"/>
    <w:tmpl w:val="784674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E31444"/>
    <w:multiLevelType w:val="hybridMultilevel"/>
    <w:tmpl w:val="322E7CE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87D"/>
    <w:rsid w:val="00085594"/>
    <w:rsid w:val="000B5F57"/>
    <w:rsid w:val="000E783E"/>
    <w:rsid w:val="001009B0"/>
    <w:rsid w:val="00105085"/>
    <w:rsid w:val="00134CA4"/>
    <w:rsid w:val="00173AB2"/>
    <w:rsid w:val="0020187D"/>
    <w:rsid w:val="00225240"/>
    <w:rsid w:val="00244B17"/>
    <w:rsid w:val="00253F3D"/>
    <w:rsid w:val="00287C66"/>
    <w:rsid w:val="00300D8C"/>
    <w:rsid w:val="00330191"/>
    <w:rsid w:val="00413543"/>
    <w:rsid w:val="00424E86"/>
    <w:rsid w:val="005C5C4F"/>
    <w:rsid w:val="00731990"/>
    <w:rsid w:val="007B6704"/>
    <w:rsid w:val="007F411A"/>
    <w:rsid w:val="008A5B35"/>
    <w:rsid w:val="00913297"/>
    <w:rsid w:val="0093467F"/>
    <w:rsid w:val="00950409"/>
    <w:rsid w:val="00A4790A"/>
    <w:rsid w:val="00A64857"/>
    <w:rsid w:val="00AB192E"/>
    <w:rsid w:val="00AD09DF"/>
    <w:rsid w:val="00AD591C"/>
    <w:rsid w:val="00B32C23"/>
    <w:rsid w:val="00C703E5"/>
    <w:rsid w:val="00C76675"/>
    <w:rsid w:val="00E100B9"/>
    <w:rsid w:val="00E6305B"/>
    <w:rsid w:val="00ED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B4239"/>
  <w15:chartTrackingRefBased/>
  <w15:docId w15:val="{8DF60872-65D6-46BA-97D7-2EEFEAFA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8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0187D"/>
    <w:rPr>
      <w:color w:val="0563C1"/>
      <w:u w:val="single"/>
    </w:rPr>
  </w:style>
  <w:style w:type="paragraph" w:customStyle="1" w:styleId="subsection">
    <w:name w:val="subsection"/>
    <w:basedOn w:val="Normal"/>
    <w:rsid w:val="0020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20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text">
    <w:name w:val="notetext"/>
    <w:basedOn w:val="Normal"/>
    <w:rsid w:val="0020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classic.austlii.edu.au/au/legis/cth/consol_act/caca2010265/s95a.html" TargetMode="External"/><Relationship Id="rId18" Type="http://schemas.openxmlformats.org/officeDocument/2006/relationships/hyperlink" Target="http://classic.austlii.edu.au/au/legis/cth/consol_act/caca2010265/s51aca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lassic.austlii.edu.au/au/legis/cth/consol_act/caca2010265/s150a.html" TargetMode="External"/><Relationship Id="rId17" Type="http://schemas.openxmlformats.org/officeDocument/2006/relationships/hyperlink" Target="http://classic.austlii.edu.au/au/legis/cth/consol_act/caca2010265/s152cd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classic.austlii.edu.au/au/legis/cth/consol_act/caca2010265/s51ac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lassic.austlii.edu.au/au/legis/cth/consol_act/caca2010265/s95a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classic.austlii.edu.au/au/legis/cth/consol_act/caca2010265/s4.html" TargetMode="External"/><Relationship Id="rId10" Type="http://schemas.openxmlformats.org/officeDocument/2006/relationships/hyperlink" Target="http://classic.austlii.edu.au/au/legis/cth/consol_act/caca2010265/s95a.html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ph.gov.au/Parliamentary_Business/Bills_Legislation/Bills_Search_Results/Result?bId=r6633" TargetMode="External"/><Relationship Id="rId14" Type="http://schemas.openxmlformats.org/officeDocument/2006/relationships/hyperlink" Target="http://classic.austlii.edu.au/au/legis/cth/consol_act/caca2010265/s95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b52af2629b4410c035cbf3181eec8f37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9609062a1392e3c0fcaf96e4e77f1381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RREP-2110725275-2468</_dlc_DocId>
    <_dlc_DocIdUrl xmlns="ffbe827b-229f-4d45-a454-c5723c898f52">
      <Url>https://pcgov.sharepoint.com/teams/repair/_layouts/15/DocIdRedir.aspx?ID=RREP-2110725275-2468</Url>
      <Description>RREP-2110725275-2468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DAB5FD-B503-487C-882F-F405DFB519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023AEC7-6544-4CAF-B20F-7AFCB37BF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CB64CE-463B-4E36-96C7-C0A59ED67499}">
  <ds:schemaRefs>
    <ds:schemaRef ds:uri="http://schemas.microsoft.com/office/infopath/2007/PartnerControls"/>
    <ds:schemaRef ds:uri="http://purl.org/dc/dcmitype/"/>
    <ds:schemaRef ds:uri="http://purl.org/dc/terms/"/>
    <ds:schemaRef ds:uri="0ad56286-c3bf-404c-927b-63d63b20e0b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fbe827b-229f-4d45-a454-c5723c898f52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57D245B-A34C-4EFC-A4EB-943DD8C72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135 - Consumer Electronics Suppliers Association (CESA) - Right to Repair - Public inquiry</vt:lpstr>
    </vt:vector>
  </TitlesOfParts>
  <Company>Consumer Electronics Suppliers Association (CESA)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135 - Consumer Electronics Suppliers Association (CESA) - Right to Repair - Public inquiry</dc:title>
  <dc:subject/>
  <dc:creator>Consumer Electronics Suppliers Association (CESA)</dc:creator>
  <cp:keywords/>
  <dc:description/>
  <cp:lastModifiedBy>Alston, Chris</cp:lastModifiedBy>
  <cp:revision>3</cp:revision>
  <dcterms:created xsi:type="dcterms:W3CDTF">2021-03-11T01:36:00Z</dcterms:created>
  <dcterms:modified xsi:type="dcterms:W3CDTF">2021-03-11T06:28:00Z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a1cc0184-044c-4edc-a1a4-cca1a1e7b628</vt:lpwstr>
  </property>
</Properties>
</file>