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6FF4" w14:textId="4FF4E14D" w:rsidR="0016124B" w:rsidRDefault="0016124B">
      <w:pPr>
        <w:widowControl w:val="0"/>
        <w:pBdr>
          <w:top w:val="nil"/>
          <w:left w:val="nil"/>
          <w:bottom w:val="nil"/>
          <w:right w:val="nil"/>
          <w:between w:val="nil"/>
        </w:pBdr>
        <w:spacing w:after="0" w:line="276" w:lineRule="auto"/>
        <w:rPr>
          <w:rFonts w:ascii="Arial" w:eastAsia="Arial" w:hAnsi="Arial" w:cs="Arial"/>
          <w:color w:val="000000"/>
        </w:rPr>
      </w:pPr>
    </w:p>
    <w:p w14:paraId="00743280" w14:textId="04C1FEB8" w:rsidR="0093284D" w:rsidRDefault="0093284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16124B" w14:paraId="273112DF" w14:textId="77777777">
        <w:tc>
          <w:tcPr>
            <w:tcW w:w="9016" w:type="dxa"/>
          </w:tcPr>
          <w:tbl>
            <w:tblPr>
              <w:tblW w:w="8790" w:type="dxa"/>
              <w:tblLayout w:type="fixed"/>
              <w:tblLook w:val="04A0" w:firstRow="1" w:lastRow="0" w:firstColumn="1" w:lastColumn="0" w:noHBand="0" w:noVBand="1"/>
            </w:tblPr>
            <w:tblGrid>
              <w:gridCol w:w="8790"/>
            </w:tblGrid>
            <w:tr w:rsidR="0016124B" w14:paraId="2F5229E0" w14:textId="77777777" w:rsidTr="00D54648">
              <w:tc>
                <w:tcPr>
                  <w:tcW w:w="8790" w:type="dxa"/>
                </w:tcPr>
                <w:p w14:paraId="7377B8AC" w14:textId="77777777" w:rsidR="0016124B" w:rsidRDefault="0016124B">
                  <w:pPr>
                    <w:pBdr>
                      <w:top w:val="nil"/>
                      <w:left w:val="nil"/>
                      <w:bottom w:val="nil"/>
                      <w:right w:val="nil"/>
                      <w:between w:val="nil"/>
                    </w:pBdr>
                    <w:jc w:val="center"/>
                    <w:rPr>
                      <w:b/>
                      <w:color w:val="000000"/>
                      <w:sz w:val="32"/>
                      <w:szCs w:val="32"/>
                    </w:rPr>
                  </w:pPr>
                </w:p>
                <w:p w14:paraId="52F48D87" w14:textId="77777777" w:rsidR="0016124B" w:rsidRDefault="0016124B">
                  <w:pPr>
                    <w:pBdr>
                      <w:top w:val="nil"/>
                      <w:left w:val="nil"/>
                      <w:bottom w:val="nil"/>
                      <w:right w:val="nil"/>
                      <w:between w:val="nil"/>
                    </w:pBdr>
                    <w:jc w:val="center"/>
                    <w:rPr>
                      <w:b/>
                      <w:color w:val="000000"/>
                      <w:sz w:val="32"/>
                      <w:szCs w:val="32"/>
                    </w:rPr>
                  </w:pPr>
                </w:p>
                <w:p w14:paraId="0AE65561" w14:textId="77777777" w:rsidR="0016124B" w:rsidRDefault="0016124B">
                  <w:pPr>
                    <w:pBdr>
                      <w:top w:val="nil"/>
                      <w:left w:val="nil"/>
                      <w:bottom w:val="nil"/>
                      <w:right w:val="nil"/>
                      <w:between w:val="nil"/>
                    </w:pBdr>
                    <w:jc w:val="center"/>
                    <w:rPr>
                      <w:b/>
                      <w:color w:val="000000"/>
                      <w:sz w:val="32"/>
                      <w:szCs w:val="32"/>
                    </w:rPr>
                  </w:pPr>
                </w:p>
                <w:p w14:paraId="41661BD7" w14:textId="252EB835" w:rsidR="0016124B" w:rsidRDefault="007B7189">
                  <w:pPr>
                    <w:pBdr>
                      <w:top w:val="nil"/>
                      <w:left w:val="nil"/>
                      <w:bottom w:val="nil"/>
                      <w:right w:val="nil"/>
                      <w:between w:val="nil"/>
                    </w:pBdr>
                    <w:jc w:val="center"/>
                    <w:rPr>
                      <w:b/>
                      <w:color w:val="000000"/>
                      <w:sz w:val="32"/>
                      <w:szCs w:val="32"/>
                    </w:rPr>
                  </w:pPr>
                  <w:r>
                    <w:rPr>
                      <w:b/>
                      <w:color w:val="000000"/>
                      <w:sz w:val="32"/>
                      <w:szCs w:val="32"/>
                    </w:rPr>
                    <w:t>Australia</w:t>
                  </w:r>
                  <w:r w:rsidR="00C214F9">
                    <w:rPr>
                      <w:b/>
                      <w:color w:val="000000"/>
                      <w:sz w:val="32"/>
                      <w:szCs w:val="32"/>
                    </w:rPr>
                    <w:t>'</w:t>
                  </w:r>
                  <w:r>
                    <w:rPr>
                      <w:b/>
                      <w:color w:val="000000"/>
                      <w:sz w:val="32"/>
                      <w:szCs w:val="32"/>
                    </w:rPr>
                    <w:t>s Productivity Performance</w:t>
                  </w:r>
                </w:p>
                <w:p w14:paraId="0546EA64" w14:textId="77777777" w:rsidR="0016124B" w:rsidRDefault="007B7189">
                  <w:pPr>
                    <w:pBdr>
                      <w:top w:val="nil"/>
                      <w:left w:val="nil"/>
                      <w:bottom w:val="nil"/>
                      <w:right w:val="nil"/>
                      <w:between w:val="nil"/>
                    </w:pBdr>
                    <w:jc w:val="center"/>
                    <w:rPr>
                      <w:b/>
                      <w:color w:val="000000"/>
                      <w:sz w:val="32"/>
                      <w:szCs w:val="32"/>
                    </w:rPr>
                  </w:pPr>
                  <w:r>
                    <w:rPr>
                      <w:b/>
                      <w:color w:val="000000"/>
                      <w:sz w:val="32"/>
                      <w:szCs w:val="32"/>
                    </w:rPr>
                    <w:t>Call for Submissions</w:t>
                  </w:r>
                </w:p>
                <w:p w14:paraId="0C9AA54B" w14:textId="0547985E" w:rsidR="0016124B" w:rsidRDefault="00395693">
                  <w:pPr>
                    <w:pBdr>
                      <w:top w:val="nil"/>
                      <w:left w:val="nil"/>
                      <w:bottom w:val="nil"/>
                      <w:right w:val="nil"/>
                      <w:between w:val="nil"/>
                    </w:pBdr>
                    <w:jc w:val="center"/>
                    <w:rPr>
                      <w:b/>
                      <w:color w:val="000000"/>
                      <w:sz w:val="32"/>
                      <w:szCs w:val="32"/>
                    </w:rPr>
                  </w:pPr>
                  <w:r>
                    <w:rPr>
                      <w:b/>
                      <w:color w:val="000000"/>
                      <w:sz w:val="32"/>
                      <w:szCs w:val="32"/>
                    </w:rPr>
                    <w:t xml:space="preserve">23 </w:t>
                  </w:r>
                  <w:r w:rsidR="007B7189">
                    <w:rPr>
                      <w:b/>
                      <w:color w:val="000000"/>
                      <w:sz w:val="32"/>
                      <w:szCs w:val="32"/>
                    </w:rPr>
                    <w:t>March 2022</w:t>
                  </w:r>
                </w:p>
                <w:p w14:paraId="23C3F31B" w14:textId="77777777" w:rsidR="0016124B" w:rsidRDefault="0016124B">
                  <w:pPr>
                    <w:pBdr>
                      <w:top w:val="nil"/>
                      <w:left w:val="nil"/>
                      <w:bottom w:val="nil"/>
                      <w:right w:val="nil"/>
                      <w:between w:val="nil"/>
                    </w:pBdr>
                    <w:jc w:val="center"/>
                    <w:rPr>
                      <w:b/>
                      <w:color w:val="000000"/>
                      <w:sz w:val="32"/>
                      <w:szCs w:val="32"/>
                    </w:rPr>
                  </w:pPr>
                </w:p>
              </w:tc>
            </w:tr>
            <w:tr w:rsidR="0016124B" w14:paraId="45FCDB41" w14:textId="77777777" w:rsidTr="00D54648">
              <w:tc>
                <w:tcPr>
                  <w:tcW w:w="8790" w:type="dxa"/>
                </w:tcPr>
                <w:p w14:paraId="7E1D52C2" w14:textId="77777777" w:rsidR="0016124B" w:rsidRDefault="0016124B">
                  <w:pPr>
                    <w:pBdr>
                      <w:top w:val="nil"/>
                      <w:left w:val="nil"/>
                      <w:bottom w:val="nil"/>
                      <w:right w:val="nil"/>
                      <w:between w:val="nil"/>
                    </w:pBdr>
                    <w:jc w:val="center"/>
                    <w:rPr>
                      <w:b/>
                      <w:color w:val="000080"/>
                      <w:sz w:val="24"/>
                      <w:szCs w:val="24"/>
                    </w:rPr>
                  </w:pPr>
                </w:p>
              </w:tc>
            </w:tr>
            <w:tr w:rsidR="0016124B" w14:paraId="0D458726" w14:textId="77777777" w:rsidTr="00D54648">
              <w:tc>
                <w:tcPr>
                  <w:tcW w:w="8790" w:type="dxa"/>
                </w:tcPr>
                <w:p w14:paraId="10743358" w14:textId="77777777" w:rsidR="0016124B" w:rsidRDefault="007B7189">
                  <w:pPr>
                    <w:pBdr>
                      <w:top w:val="nil"/>
                      <w:left w:val="nil"/>
                      <w:bottom w:val="nil"/>
                      <w:right w:val="nil"/>
                      <w:between w:val="nil"/>
                    </w:pBdr>
                    <w:jc w:val="center"/>
                    <w:rPr>
                      <w:b/>
                      <w:color w:val="000080"/>
                      <w:sz w:val="24"/>
                      <w:szCs w:val="24"/>
                    </w:rPr>
                  </w:pPr>
                  <w:r>
                    <w:rPr>
                      <w:rFonts w:ascii="Eras" w:eastAsia="Eras" w:hAnsi="Eras" w:cs="Eras"/>
                      <w:b/>
                      <w:noProof/>
                      <w:color w:val="000000"/>
                      <w:sz w:val="32"/>
                      <w:szCs w:val="32"/>
                    </w:rPr>
                    <w:drawing>
                      <wp:inline distT="0" distB="0" distL="0" distR="0" wp14:anchorId="6DE6D64A" wp14:editId="2BDD5C06">
                        <wp:extent cx="1810948" cy="3234885"/>
                        <wp:effectExtent l="0" t="0" r="0" b="0"/>
                        <wp:docPr id="2" name="image1.jpg" descr="Business Excellence Australia logo"/>
                        <wp:cNvGraphicFramePr/>
                        <a:graphic xmlns:a="http://schemas.openxmlformats.org/drawingml/2006/main">
                          <a:graphicData uri="http://schemas.openxmlformats.org/drawingml/2006/picture">
                            <pic:pic xmlns:pic="http://schemas.openxmlformats.org/drawingml/2006/picture">
                              <pic:nvPicPr>
                                <pic:cNvPr id="2" name="image1.jpg" descr="Business Excellence Australia logo"/>
                                <pic:cNvPicPr preferRelativeResize="0"/>
                              </pic:nvPicPr>
                              <pic:blipFill>
                                <a:blip r:embed="rId9"/>
                                <a:srcRect/>
                                <a:stretch>
                                  <a:fillRect/>
                                </a:stretch>
                              </pic:blipFill>
                              <pic:spPr>
                                <a:xfrm>
                                  <a:off x="0" y="0"/>
                                  <a:ext cx="1810948" cy="3234885"/>
                                </a:xfrm>
                                <a:prstGeom prst="rect">
                                  <a:avLst/>
                                </a:prstGeom>
                                <a:ln/>
                              </pic:spPr>
                            </pic:pic>
                          </a:graphicData>
                        </a:graphic>
                      </wp:inline>
                    </w:drawing>
                  </w:r>
                </w:p>
                <w:p w14:paraId="54E26B91" w14:textId="77777777" w:rsidR="0016124B" w:rsidRDefault="007B7189">
                  <w:pPr>
                    <w:pBdr>
                      <w:top w:val="nil"/>
                      <w:left w:val="nil"/>
                      <w:bottom w:val="nil"/>
                      <w:right w:val="nil"/>
                      <w:between w:val="nil"/>
                    </w:pBdr>
                    <w:jc w:val="center"/>
                    <w:rPr>
                      <w:color w:val="000080"/>
                      <w:sz w:val="24"/>
                      <w:szCs w:val="24"/>
                    </w:rPr>
                  </w:pPr>
                  <w:r>
                    <w:rPr>
                      <w:color w:val="000000"/>
                      <w:sz w:val="24"/>
                      <w:szCs w:val="24"/>
                    </w:rPr>
                    <w:t>www.businessexcellenceaustralia.org.au</w:t>
                  </w:r>
                </w:p>
              </w:tc>
            </w:tr>
          </w:tbl>
          <w:p w14:paraId="3F5E7EBE" w14:textId="77777777" w:rsidR="0016124B" w:rsidRDefault="0016124B">
            <w:pPr>
              <w:pBdr>
                <w:top w:val="nil"/>
                <w:left w:val="nil"/>
                <w:bottom w:val="nil"/>
                <w:right w:val="nil"/>
                <w:between w:val="nil"/>
              </w:pBdr>
              <w:rPr>
                <w:b/>
                <w:color w:val="000080"/>
                <w:sz w:val="24"/>
                <w:szCs w:val="24"/>
              </w:rPr>
            </w:pPr>
          </w:p>
        </w:tc>
      </w:tr>
      <w:tr w:rsidR="0016124B" w14:paraId="429E2424" w14:textId="77777777">
        <w:tc>
          <w:tcPr>
            <w:tcW w:w="9016" w:type="dxa"/>
          </w:tcPr>
          <w:p w14:paraId="20ADB24E" w14:textId="77777777" w:rsidR="0016124B" w:rsidRDefault="0016124B">
            <w:pPr>
              <w:pBdr>
                <w:top w:val="nil"/>
                <w:left w:val="nil"/>
                <w:bottom w:val="nil"/>
                <w:right w:val="nil"/>
                <w:between w:val="nil"/>
              </w:pBdr>
              <w:jc w:val="center"/>
              <w:rPr>
                <w:b/>
                <w:color w:val="000080"/>
                <w:sz w:val="24"/>
                <w:szCs w:val="24"/>
              </w:rPr>
            </w:pPr>
          </w:p>
        </w:tc>
      </w:tr>
      <w:tr w:rsidR="0016124B" w14:paraId="1047389B" w14:textId="77777777">
        <w:tc>
          <w:tcPr>
            <w:tcW w:w="9016" w:type="dxa"/>
          </w:tcPr>
          <w:p w14:paraId="47DD4FB2" w14:textId="77777777" w:rsidR="0016124B" w:rsidRDefault="0016124B">
            <w:pPr>
              <w:pBdr>
                <w:top w:val="nil"/>
                <w:left w:val="nil"/>
                <w:bottom w:val="nil"/>
                <w:right w:val="nil"/>
                <w:between w:val="nil"/>
              </w:pBdr>
              <w:jc w:val="center"/>
              <w:rPr>
                <w:b/>
                <w:color w:val="000080"/>
                <w:sz w:val="24"/>
                <w:szCs w:val="24"/>
              </w:rPr>
            </w:pPr>
          </w:p>
        </w:tc>
      </w:tr>
    </w:tbl>
    <w:p w14:paraId="17535D17" w14:textId="77777777" w:rsidR="0016124B" w:rsidRDefault="0016124B">
      <w:pPr>
        <w:rPr>
          <w:color w:val="000080"/>
          <w:sz w:val="24"/>
          <w:szCs w:val="24"/>
        </w:rPr>
        <w:sectPr w:rsidR="0016124B">
          <w:footerReference w:type="default" r:id="rId10"/>
          <w:headerReference w:type="first" r:id="rId11"/>
          <w:footerReference w:type="first" r:id="rId12"/>
          <w:pgSz w:w="11906" w:h="16838"/>
          <w:pgMar w:top="1440" w:right="1440" w:bottom="1440" w:left="1440" w:header="709" w:footer="709" w:gutter="0"/>
          <w:pgNumType w:start="1"/>
          <w:cols w:space="720"/>
          <w:titlePg/>
        </w:sectPr>
      </w:pPr>
    </w:p>
    <w:p w14:paraId="585661BC" w14:textId="77777777" w:rsidR="0093284D" w:rsidRDefault="0093284D">
      <w:pPr>
        <w:pStyle w:val="Heading2"/>
      </w:pPr>
    </w:p>
    <w:p w14:paraId="1265EF35" w14:textId="77777777" w:rsidR="0093284D" w:rsidRDefault="0093284D">
      <w:pPr>
        <w:pStyle w:val="Heading2"/>
      </w:pPr>
    </w:p>
    <w:p w14:paraId="05E97934" w14:textId="77777777" w:rsidR="0093284D" w:rsidRDefault="0093284D">
      <w:pPr>
        <w:pStyle w:val="Heading2"/>
      </w:pPr>
    </w:p>
    <w:p w14:paraId="7426F978" w14:textId="7D5B1780" w:rsidR="0016124B" w:rsidRDefault="007B7189">
      <w:pPr>
        <w:pStyle w:val="Heading2"/>
      </w:pPr>
      <w:r>
        <w:t>Australia</w:t>
      </w:r>
      <w:r w:rsidR="00C214F9">
        <w:t>'</w:t>
      </w:r>
      <w:r>
        <w:t>s Productivity performance – call for submissions</w:t>
      </w:r>
    </w:p>
    <w:p w14:paraId="163D60B0" w14:textId="68DB8559" w:rsidR="0016124B" w:rsidRDefault="007B7189">
      <w:pPr>
        <w:pStyle w:val="Heading2"/>
      </w:pPr>
      <w:r>
        <w:t>march 2022</w:t>
      </w:r>
    </w:p>
    <w:p w14:paraId="48978FC8" w14:textId="26ACF856" w:rsidR="0093284D" w:rsidRDefault="0093284D" w:rsidP="0093284D">
      <w:pPr>
        <w:rPr>
          <w:lang w:val="en-US"/>
        </w:rPr>
      </w:pPr>
    </w:p>
    <w:p w14:paraId="54BFB8D5" w14:textId="71288339" w:rsidR="00395693" w:rsidRPr="0032785E" w:rsidRDefault="00395693" w:rsidP="0093284D">
      <w:pPr>
        <w:rPr>
          <w:b/>
          <w:bCs/>
          <w:lang w:val="en-US"/>
        </w:rPr>
      </w:pPr>
      <w:r w:rsidRPr="0032785E">
        <w:rPr>
          <w:b/>
          <w:bCs/>
          <w:lang w:val="en-US"/>
        </w:rPr>
        <w:t>Contact</w:t>
      </w:r>
      <w:r w:rsidR="0032785E">
        <w:rPr>
          <w:b/>
          <w:bCs/>
          <w:lang w:val="en-US"/>
        </w:rPr>
        <w:t>s:</w:t>
      </w:r>
    </w:p>
    <w:p w14:paraId="4BB30F96" w14:textId="77777777" w:rsidR="0016124B" w:rsidRDefault="007B7189">
      <w:pPr>
        <w:spacing w:after="0" w:line="240" w:lineRule="auto"/>
        <w:rPr>
          <w:sz w:val="24"/>
          <w:szCs w:val="24"/>
        </w:rPr>
      </w:pPr>
      <w:r>
        <w:rPr>
          <w:sz w:val="24"/>
          <w:szCs w:val="24"/>
        </w:rPr>
        <w:t>Romy Baker, CEO</w:t>
      </w:r>
    </w:p>
    <w:p w14:paraId="088C73FE" w14:textId="094F6365" w:rsidR="0016124B" w:rsidRDefault="0016124B">
      <w:pPr>
        <w:spacing w:after="0" w:line="240" w:lineRule="auto"/>
        <w:rPr>
          <w:sz w:val="24"/>
          <w:szCs w:val="24"/>
        </w:rPr>
      </w:pPr>
    </w:p>
    <w:p w14:paraId="1226E32E" w14:textId="77777777" w:rsidR="0032785E" w:rsidRDefault="0032785E">
      <w:pPr>
        <w:spacing w:after="0" w:line="240" w:lineRule="auto"/>
        <w:rPr>
          <w:sz w:val="24"/>
          <w:szCs w:val="24"/>
        </w:rPr>
      </w:pPr>
    </w:p>
    <w:p w14:paraId="0F4A98EA" w14:textId="77777777" w:rsidR="0016124B" w:rsidRDefault="0016124B">
      <w:pPr>
        <w:spacing w:after="0" w:line="240" w:lineRule="auto"/>
        <w:rPr>
          <w:sz w:val="24"/>
          <w:szCs w:val="24"/>
        </w:rPr>
      </w:pPr>
    </w:p>
    <w:p w14:paraId="3BD900FB" w14:textId="77777777" w:rsidR="0016124B" w:rsidRDefault="007B7189">
      <w:pPr>
        <w:spacing w:after="0" w:line="240" w:lineRule="auto"/>
        <w:rPr>
          <w:sz w:val="24"/>
          <w:szCs w:val="24"/>
        </w:rPr>
      </w:pPr>
      <w:r>
        <w:rPr>
          <w:sz w:val="24"/>
          <w:szCs w:val="24"/>
        </w:rPr>
        <w:t>Fulvio Barbuio, Director</w:t>
      </w:r>
    </w:p>
    <w:p w14:paraId="0F076AF6" w14:textId="77777777" w:rsidR="0016124B" w:rsidRDefault="007B7189">
      <w:pPr>
        <w:spacing w:after="0" w:line="240" w:lineRule="auto"/>
        <w:rPr>
          <w:sz w:val="24"/>
          <w:szCs w:val="24"/>
        </w:rPr>
      </w:pPr>
      <w:r>
        <w:rPr>
          <w:sz w:val="24"/>
          <w:szCs w:val="24"/>
        </w:rPr>
        <w:t>Business Excellence Australia Ltd</w:t>
      </w:r>
    </w:p>
    <w:p w14:paraId="4542CE12" w14:textId="3A12C6CD" w:rsidR="0016124B" w:rsidRDefault="0016124B">
      <w:pPr>
        <w:spacing w:after="0" w:line="240" w:lineRule="auto"/>
        <w:rPr>
          <w:sz w:val="24"/>
          <w:szCs w:val="24"/>
        </w:rPr>
      </w:pPr>
    </w:p>
    <w:p w14:paraId="7D616DF3" w14:textId="1DC40E6C" w:rsidR="000839D3" w:rsidRDefault="000839D3">
      <w:pPr>
        <w:spacing w:after="0" w:line="240" w:lineRule="auto"/>
        <w:rPr>
          <w:sz w:val="24"/>
          <w:szCs w:val="24"/>
        </w:rPr>
      </w:pPr>
    </w:p>
    <w:p w14:paraId="056A048D" w14:textId="77777777" w:rsidR="000839D3" w:rsidRDefault="000839D3">
      <w:pPr>
        <w:spacing w:after="0" w:line="240" w:lineRule="auto"/>
        <w:rPr>
          <w:sz w:val="24"/>
          <w:szCs w:val="24"/>
        </w:rPr>
      </w:pPr>
    </w:p>
    <w:p w14:paraId="2EE87230" w14:textId="77777777" w:rsidR="0016124B" w:rsidRDefault="007B7189">
      <w:pPr>
        <w:spacing w:after="0" w:line="240" w:lineRule="auto"/>
        <w:rPr>
          <w:sz w:val="24"/>
          <w:szCs w:val="24"/>
        </w:rPr>
      </w:pPr>
      <w:r>
        <w:rPr>
          <w:sz w:val="24"/>
          <w:szCs w:val="24"/>
        </w:rPr>
        <w:t xml:space="preserve">14 Wormald Street </w:t>
      </w:r>
    </w:p>
    <w:p w14:paraId="267179A0" w14:textId="77777777" w:rsidR="0016124B" w:rsidRDefault="007B7189">
      <w:pPr>
        <w:spacing w:after="0" w:line="240" w:lineRule="auto"/>
        <w:rPr>
          <w:sz w:val="24"/>
          <w:szCs w:val="24"/>
        </w:rPr>
      </w:pPr>
      <w:r>
        <w:rPr>
          <w:sz w:val="24"/>
          <w:szCs w:val="24"/>
        </w:rPr>
        <w:t>Symondston</w:t>
      </w:r>
    </w:p>
    <w:p w14:paraId="6A53AEF6" w14:textId="03C0A3C7" w:rsidR="0016124B" w:rsidRDefault="007B7189">
      <w:pPr>
        <w:spacing w:after="0" w:line="240" w:lineRule="auto"/>
        <w:rPr>
          <w:sz w:val="24"/>
          <w:szCs w:val="24"/>
        </w:rPr>
      </w:pPr>
      <w:r>
        <w:rPr>
          <w:sz w:val="24"/>
          <w:szCs w:val="24"/>
        </w:rPr>
        <w:t>ACT 2609</w:t>
      </w:r>
    </w:p>
    <w:p w14:paraId="1057BBDF" w14:textId="77777777" w:rsidR="00147A9C" w:rsidRDefault="00147A9C">
      <w:pPr>
        <w:spacing w:after="0" w:line="240" w:lineRule="auto"/>
        <w:rPr>
          <w:sz w:val="24"/>
          <w:szCs w:val="24"/>
        </w:rPr>
      </w:pPr>
    </w:p>
    <w:p w14:paraId="276C0A48" w14:textId="77777777" w:rsidR="0016124B" w:rsidRDefault="007B7189">
      <w:pPr>
        <w:spacing w:after="0" w:line="240" w:lineRule="auto"/>
        <w:rPr>
          <w:sz w:val="24"/>
          <w:szCs w:val="24"/>
        </w:rPr>
      </w:pPr>
      <w:r>
        <w:rPr>
          <w:sz w:val="24"/>
          <w:szCs w:val="24"/>
        </w:rPr>
        <w:t xml:space="preserve">Email: </w:t>
      </w:r>
      <w:r>
        <w:t xml:space="preserve"> </w:t>
      </w:r>
      <w:r>
        <w:rPr>
          <w:sz w:val="24"/>
          <w:szCs w:val="24"/>
        </w:rPr>
        <w:t>enquiry@businessexcellenceaustralia.org.au</w:t>
      </w:r>
    </w:p>
    <w:p w14:paraId="76D329BF" w14:textId="5CEF3D60" w:rsidR="0016124B" w:rsidRDefault="00E51093">
      <w:pPr>
        <w:spacing w:after="0" w:line="240" w:lineRule="auto"/>
        <w:rPr>
          <w:sz w:val="24"/>
          <w:szCs w:val="24"/>
        </w:rPr>
      </w:pPr>
      <w:hyperlink r:id="rId13" w:history="1">
        <w:r w:rsidR="00147A9C" w:rsidRPr="00232F26">
          <w:rPr>
            <w:rStyle w:val="Hyperlink"/>
            <w:sz w:val="24"/>
            <w:szCs w:val="24"/>
          </w:rPr>
          <w:t>http://www.businessexcellenceaustralia.org.au</w:t>
        </w:r>
      </w:hyperlink>
    </w:p>
    <w:p w14:paraId="5B514081" w14:textId="6112846F" w:rsidR="00147A9C" w:rsidRDefault="00147A9C">
      <w:pPr>
        <w:spacing w:after="0" w:line="240" w:lineRule="auto"/>
        <w:rPr>
          <w:sz w:val="24"/>
          <w:szCs w:val="24"/>
        </w:rPr>
      </w:pPr>
    </w:p>
    <w:p w14:paraId="1E6F7A22" w14:textId="5BA1D153" w:rsidR="00147A9C" w:rsidRDefault="00147A9C">
      <w:pPr>
        <w:rPr>
          <w:sz w:val="24"/>
          <w:szCs w:val="24"/>
        </w:rPr>
      </w:pPr>
      <w:r>
        <w:rPr>
          <w:sz w:val="24"/>
          <w:szCs w:val="24"/>
        </w:rPr>
        <w:br w:type="page"/>
      </w:r>
    </w:p>
    <w:p w14:paraId="00CA9503" w14:textId="77777777" w:rsidR="0016124B" w:rsidRDefault="007B7189">
      <w:pPr>
        <w:pStyle w:val="Heading1"/>
        <w:numPr>
          <w:ilvl w:val="0"/>
          <w:numId w:val="3"/>
        </w:numPr>
      </w:pPr>
      <w:r>
        <w:lastRenderedPageBreak/>
        <w:t>Introduction</w:t>
      </w:r>
    </w:p>
    <w:p w14:paraId="76C34CA8" w14:textId="77777777" w:rsidR="0016124B" w:rsidRDefault="0016124B">
      <w:pPr>
        <w:spacing w:after="0" w:line="240" w:lineRule="auto"/>
        <w:jc w:val="both"/>
        <w:rPr>
          <w:sz w:val="24"/>
          <w:szCs w:val="24"/>
        </w:rPr>
      </w:pPr>
    </w:p>
    <w:p w14:paraId="3D60CE8E" w14:textId="065FB502" w:rsidR="0016124B" w:rsidRDefault="007B7189" w:rsidP="00A1506C">
      <w:pPr>
        <w:spacing w:after="0" w:line="240" w:lineRule="auto"/>
        <w:rPr>
          <w:sz w:val="24"/>
          <w:szCs w:val="24"/>
        </w:rPr>
      </w:pPr>
      <w:r>
        <w:rPr>
          <w:sz w:val="24"/>
          <w:szCs w:val="24"/>
        </w:rPr>
        <w:t>Business Excellence Australia (BEA) thanks the Productivity Commission (the Commission) for the opportunity to contribute to a review of Australia</w:t>
      </w:r>
      <w:r w:rsidR="00C214F9">
        <w:rPr>
          <w:sz w:val="24"/>
          <w:szCs w:val="24"/>
        </w:rPr>
        <w:t>'</w:t>
      </w:r>
      <w:r>
        <w:rPr>
          <w:sz w:val="24"/>
          <w:szCs w:val="24"/>
        </w:rPr>
        <w:t>s Productivity Performance which is of vital importance to Australia</w:t>
      </w:r>
      <w:r w:rsidR="00C214F9">
        <w:rPr>
          <w:sz w:val="24"/>
          <w:szCs w:val="24"/>
        </w:rPr>
        <w:t>'</w:t>
      </w:r>
      <w:r>
        <w:rPr>
          <w:sz w:val="24"/>
          <w:szCs w:val="24"/>
        </w:rPr>
        <w:t>s living standards, economic wellbeing, and national interest.</w:t>
      </w:r>
      <w:r w:rsidR="00222234">
        <w:rPr>
          <w:sz w:val="24"/>
          <w:szCs w:val="24"/>
        </w:rPr>
        <w:t xml:space="preserve"> </w:t>
      </w:r>
      <w:r>
        <w:rPr>
          <w:sz w:val="24"/>
          <w:szCs w:val="24"/>
        </w:rPr>
        <w:t xml:space="preserve"> BEA shares a strong focus on productivity improvement and what might drive success with the Government and the Commission.</w:t>
      </w:r>
    </w:p>
    <w:p w14:paraId="0DF55EA8" w14:textId="193D0D41" w:rsidR="00DA1A10" w:rsidRDefault="00DA1A10" w:rsidP="00A1506C">
      <w:pPr>
        <w:spacing w:after="0" w:line="240" w:lineRule="auto"/>
        <w:rPr>
          <w:sz w:val="24"/>
          <w:szCs w:val="24"/>
        </w:rPr>
      </w:pPr>
    </w:p>
    <w:p w14:paraId="56322F42" w14:textId="3A1E6B23" w:rsidR="00DA1A10" w:rsidRDefault="00DA1A10" w:rsidP="00A1506C">
      <w:pPr>
        <w:spacing w:after="0" w:line="240" w:lineRule="auto"/>
        <w:rPr>
          <w:sz w:val="24"/>
          <w:szCs w:val="24"/>
        </w:rPr>
      </w:pPr>
      <w:r w:rsidRPr="008D4CC3">
        <w:rPr>
          <w:sz w:val="24"/>
          <w:szCs w:val="24"/>
        </w:rPr>
        <w:t xml:space="preserve">This submission promotes that the key to increased productivity lies in the ability of organisations to operate efficiently leading to greater productivity.  Organisations that integrate </w:t>
      </w:r>
      <w:r w:rsidR="00707543" w:rsidRPr="008D4CC3">
        <w:rPr>
          <w:sz w:val="24"/>
          <w:szCs w:val="24"/>
        </w:rPr>
        <w:t xml:space="preserve">and align </w:t>
      </w:r>
      <w:r w:rsidRPr="008D4CC3">
        <w:rPr>
          <w:sz w:val="24"/>
          <w:szCs w:val="24"/>
        </w:rPr>
        <w:t xml:space="preserve">all aspects of their </w:t>
      </w:r>
      <w:r w:rsidR="00707543" w:rsidRPr="008D4CC3">
        <w:rPr>
          <w:sz w:val="24"/>
          <w:szCs w:val="24"/>
        </w:rPr>
        <w:t xml:space="preserve">procedures and </w:t>
      </w:r>
      <w:r w:rsidRPr="008D4CC3">
        <w:rPr>
          <w:sz w:val="24"/>
          <w:szCs w:val="24"/>
        </w:rPr>
        <w:t xml:space="preserve">processes </w:t>
      </w:r>
      <w:r w:rsidR="008F4252" w:rsidRPr="008D4CC3">
        <w:rPr>
          <w:sz w:val="24"/>
          <w:szCs w:val="24"/>
        </w:rPr>
        <w:t>improve capability and increase</w:t>
      </w:r>
      <w:r w:rsidR="00707543" w:rsidRPr="008D4CC3">
        <w:rPr>
          <w:sz w:val="24"/>
          <w:szCs w:val="24"/>
        </w:rPr>
        <w:t xml:space="preserve"> productivity.</w:t>
      </w:r>
      <w:r w:rsidR="00707543">
        <w:rPr>
          <w:sz w:val="24"/>
          <w:szCs w:val="24"/>
        </w:rPr>
        <w:t xml:space="preserve">  </w:t>
      </w:r>
    </w:p>
    <w:p w14:paraId="6269E34D" w14:textId="77777777" w:rsidR="0016124B" w:rsidRDefault="0016124B" w:rsidP="00A1506C">
      <w:pPr>
        <w:spacing w:after="0" w:line="240" w:lineRule="auto"/>
        <w:rPr>
          <w:sz w:val="24"/>
          <w:szCs w:val="24"/>
        </w:rPr>
      </w:pPr>
    </w:p>
    <w:p w14:paraId="1341FB55" w14:textId="77777777" w:rsidR="0016124B" w:rsidRPr="003C25F8" w:rsidRDefault="007B7189" w:rsidP="00A1506C">
      <w:pPr>
        <w:pStyle w:val="Heading2"/>
        <w:rPr>
          <w:b w:val="0"/>
          <w:bCs/>
        </w:rPr>
      </w:pPr>
      <w:r w:rsidRPr="003C25F8">
        <w:rPr>
          <w:b w:val="0"/>
          <w:bCs/>
        </w:rPr>
        <w:t>1.1 Context</w:t>
      </w:r>
    </w:p>
    <w:p w14:paraId="6553B71B" w14:textId="77777777" w:rsidR="0016124B" w:rsidRDefault="0016124B" w:rsidP="00A1506C">
      <w:pPr>
        <w:spacing w:after="0" w:line="240" w:lineRule="auto"/>
        <w:rPr>
          <w:sz w:val="24"/>
          <w:szCs w:val="24"/>
        </w:rPr>
      </w:pPr>
    </w:p>
    <w:p w14:paraId="57A46EBC" w14:textId="0156682B" w:rsidR="0016124B" w:rsidRDefault="007B7189" w:rsidP="00A1506C">
      <w:pPr>
        <w:spacing w:after="0" w:line="240" w:lineRule="auto"/>
        <w:rPr>
          <w:sz w:val="24"/>
          <w:szCs w:val="24"/>
        </w:rPr>
      </w:pPr>
      <w:r>
        <w:rPr>
          <w:sz w:val="24"/>
          <w:szCs w:val="24"/>
        </w:rPr>
        <w:t>As noted in the Commission</w:t>
      </w:r>
      <w:r w:rsidR="00C214F9">
        <w:rPr>
          <w:sz w:val="24"/>
          <w:szCs w:val="24"/>
        </w:rPr>
        <w:t>'</w:t>
      </w:r>
      <w:r>
        <w:rPr>
          <w:sz w:val="24"/>
          <w:szCs w:val="24"/>
        </w:rPr>
        <w:t>s Call for Submissions document, Australia</w:t>
      </w:r>
      <w:r w:rsidR="00C214F9">
        <w:rPr>
          <w:sz w:val="24"/>
          <w:szCs w:val="24"/>
        </w:rPr>
        <w:t>'</w:t>
      </w:r>
      <w:r>
        <w:rPr>
          <w:sz w:val="24"/>
          <w:szCs w:val="24"/>
        </w:rPr>
        <w:t>s productivity growth has fallen behind other comparable economies with the resultant impact on Australians</w:t>
      </w:r>
      <w:r w:rsidR="00C214F9">
        <w:rPr>
          <w:sz w:val="24"/>
          <w:szCs w:val="24"/>
        </w:rPr>
        <w:t>'</w:t>
      </w:r>
      <w:r>
        <w:rPr>
          <w:sz w:val="24"/>
          <w:szCs w:val="24"/>
        </w:rPr>
        <w:t xml:space="preserve"> living standards for the reasons it outlines.</w:t>
      </w:r>
      <w:r w:rsidR="00222234">
        <w:rPr>
          <w:sz w:val="24"/>
          <w:szCs w:val="24"/>
        </w:rPr>
        <w:t xml:space="preserve"> </w:t>
      </w:r>
      <w:r>
        <w:rPr>
          <w:sz w:val="24"/>
          <w:szCs w:val="24"/>
        </w:rPr>
        <w:t xml:space="preserve"> In addition to the ways the Commission identifies how productivity benefits living standards, higher productivity can release capital and resources from inefficient activities to activities of either greater scale or of innovative and higher value.  </w:t>
      </w:r>
    </w:p>
    <w:p w14:paraId="5A38F9A9" w14:textId="77777777" w:rsidR="0016124B" w:rsidRDefault="0016124B" w:rsidP="00A1506C">
      <w:pPr>
        <w:spacing w:after="0" w:line="240" w:lineRule="auto"/>
        <w:rPr>
          <w:sz w:val="24"/>
          <w:szCs w:val="24"/>
        </w:rPr>
      </w:pPr>
    </w:p>
    <w:p w14:paraId="56CEC0A7" w14:textId="35626971" w:rsidR="0016124B" w:rsidRDefault="007B7189" w:rsidP="00A1506C">
      <w:pPr>
        <w:spacing w:after="0" w:line="240" w:lineRule="auto"/>
        <w:rPr>
          <w:sz w:val="24"/>
          <w:szCs w:val="24"/>
        </w:rPr>
      </w:pPr>
      <w:r>
        <w:rPr>
          <w:sz w:val="24"/>
          <w:szCs w:val="24"/>
        </w:rPr>
        <w:t>The Commission rightly identifies several factors which likely point to this disparity between Australia</w:t>
      </w:r>
      <w:r w:rsidR="00C214F9">
        <w:rPr>
          <w:sz w:val="24"/>
          <w:szCs w:val="24"/>
        </w:rPr>
        <w:t>'</w:t>
      </w:r>
      <w:r>
        <w:rPr>
          <w:sz w:val="24"/>
          <w:szCs w:val="24"/>
        </w:rPr>
        <w:t>s productivity performance and other comparable economies, namely:</w:t>
      </w:r>
    </w:p>
    <w:p w14:paraId="54C1B4F6" w14:textId="77777777" w:rsidR="0016124B" w:rsidRDefault="0016124B" w:rsidP="00A1506C">
      <w:pPr>
        <w:spacing w:after="0" w:line="240" w:lineRule="auto"/>
        <w:rPr>
          <w:sz w:val="24"/>
          <w:szCs w:val="24"/>
        </w:rPr>
      </w:pPr>
    </w:p>
    <w:p w14:paraId="26482998" w14:textId="77777777" w:rsidR="0016124B" w:rsidRDefault="007B7189" w:rsidP="00A150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an openness and access to leading technologies, business innovation, and data use</w:t>
      </w:r>
    </w:p>
    <w:p w14:paraId="39707919" w14:textId="77777777" w:rsidR="0016124B" w:rsidRDefault="007B7189" w:rsidP="00A150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skills, capability, and culture to take up new technology and data</w:t>
      </w:r>
    </w:p>
    <w:p w14:paraId="2AE2757F" w14:textId="18C8C23F" w:rsidR="0016124B" w:rsidRDefault="007B7189" w:rsidP="00A150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 workforce and businesses that explore innovate and adapt</w:t>
      </w:r>
    </w:p>
    <w:p w14:paraId="4CC25291" w14:textId="42C2D3FE" w:rsidR="0016124B" w:rsidRDefault="007B7189" w:rsidP="00A150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markets that facilitate resources (labour and capital) moving in a timely way to </w:t>
      </w:r>
      <w:r w:rsidR="00C21981">
        <w:rPr>
          <w:color w:val="000000"/>
          <w:sz w:val="24"/>
          <w:szCs w:val="24"/>
        </w:rPr>
        <w:t>higher value</w:t>
      </w:r>
      <w:r>
        <w:rPr>
          <w:color w:val="000000"/>
          <w:sz w:val="24"/>
          <w:szCs w:val="24"/>
        </w:rPr>
        <w:t xml:space="preserve"> uses; and </w:t>
      </w:r>
    </w:p>
    <w:p w14:paraId="55E65ED0" w14:textId="473B2F5D" w:rsidR="0016124B" w:rsidRDefault="007B7189" w:rsidP="00A1506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institutions (public and private) and regulatory frameworks that support these features and are efficient and effective in their contribution to improving Australians</w:t>
      </w:r>
      <w:r w:rsidR="00C214F9">
        <w:rPr>
          <w:color w:val="000000"/>
          <w:sz w:val="24"/>
          <w:szCs w:val="24"/>
        </w:rPr>
        <w:t>'</w:t>
      </w:r>
      <w:r>
        <w:rPr>
          <w:color w:val="000000"/>
          <w:sz w:val="24"/>
          <w:szCs w:val="24"/>
        </w:rPr>
        <w:t xml:space="preserve"> wellbeing.</w:t>
      </w:r>
    </w:p>
    <w:p w14:paraId="01D03F1D" w14:textId="77777777" w:rsidR="0016124B" w:rsidRDefault="0016124B" w:rsidP="00A1506C">
      <w:pPr>
        <w:spacing w:after="0" w:line="240" w:lineRule="auto"/>
        <w:rPr>
          <w:sz w:val="24"/>
          <w:szCs w:val="24"/>
        </w:rPr>
      </w:pPr>
    </w:p>
    <w:p w14:paraId="218174FE" w14:textId="06AEB300" w:rsidR="0016124B" w:rsidRDefault="007B7189" w:rsidP="00A1506C">
      <w:pPr>
        <w:spacing w:after="0" w:line="240" w:lineRule="auto"/>
        <w:rPr>
          <w:sz w:val="24"/>
          <w:szCs w:val="24"/>
        </w:rPr>
      </w:pPr>
      <w:r>
        <w:rPr>
          <w:sz w:val="24"/>
          <w:szCs w:val="24"/>
        </w:rPr>
        <w:t xml:space="preserve">BEA agrees with these factors and sees opportunities for productivity improvement in broadly two areas. </w:t>
      </w:r>
    </w:p>
    <w:p w14:paraId="7E7208F0" w14:textId="78B74050" w:rsidR="0016124B" w:rsidRDefault="007B7189" w:rsidP="00A1506C">
      <w:pPr>
        <w:spacing w:after="0" w:line="240" w:lineRule="auto"/>
        <w:rPr>
          <w:sz w:val="24"/>
          <w:szCs w:val="24"/>
        </w:rPr>
      </w:pPr>
      <w:r>
        <w:rPr>
          <w:b/>
          <w:sz w:val="24"/>
          <w:szCs w:val="24"/>
        </w:rPr>
        <w:t>The first</w:t>
      </w:r>
      <w:r>
        <w:rPr>
          <w:sz w:val="24"/>
          <w:szCs w:val="24"/>
        </w:rPr>
        <w:t xml:space="preserve"> is in the purview of Government around public policy and support which can benefit all organisations and their activities.</w:t>
      </w:r>
      <w:r w:rsidR="00222234">
        <w:rPr>
          <w:sz w:val="24"/>
          <w:szCs w:val="24"/>
        </w:rPr>
        <w:t xml:space="preserve"> </w:t>
      </w:r>
      <w:r>
        <w:rPr>
          <w:sz w:val="24"/>
          <w:szCs w:val="24"/>
        </w:rPr>
        <w:t xml:space="preserve"> These would include</w:t>
      </w:r>
      <w:r w:rsidR="0094239A">
        <w:rPr>
          <w:sz w:val="24"/>
          <w:szCs w:val="24"/>
        </w:rPr>
        <w:t>,</w:t>
      </w:r>
      <w:r>
        <w:rPr>
          <w:sz w:val="24"/>
          <w:szCs w:val="24"/>
        </w:rPr>
        <w:t xml:space="preserve"> amongst others:</w:t>
      </w:r>
    </w:p>
    <w:p w14:paraId="77CDE921" w14:textId="77777777" w:rsidR="0016124B" w:rsidRDefault="0016124B" w:rsidP="00A1506C">
      <w:pPr>
        <w:spacing w:after="0" w:line="240" w:lineRule="auto"/>
        <w:rPr>
          <w:sz w:val="24"/>
          <w:szCs w:val="24"/>
        </w:rPr>
      </w:pPr>
    </w:p>
    <w:p w14:paraId="31758044" w14:textId="0528DBEC" w:rsidR="0016124B" w:rsidRDefault="006757FF" w:rsidP="00A1506C">
      <w:pPr>
        <w:numPr>
          <w:ilvl w:val="0"/>
          <w:numId w:val="4"/>
        </w:numPr>
        <w:spacing w:after="0" w:line="240" w:lineRule="auto"/>
        <w:rPr>
          <w:sz w:val="24"/>
          <w:szCs w:val="24"/>
        </w:rPr>
      </w:pPr>
      <w:r>
        <w:rPr>
          <w:sz w:val="24"/>
          <w:szCs w:val="24"/>
        </w:rPr>
        <w:t>i</w:t>
      </w:r>
      <w:r w:rsidR="007B7189">
        <w:rPr>
          <w:sz w:val="24"/>
          <w:szCs w:val="24"/>
        </w:rPr>
        <w:t>nvesting in cost/benefit infrastructure</w:t>
      </w:r>
    </w:p>
    <w:p w14:paraId="03C66C20" w14:textId="39586EDA" w:rsidR="0016124B" w:rsidRDefault="006757FF" w:rsidP="00A1506C">
      <w:pPr>
        <w:spacing w:after="0" w:line="240" w:lineRule="auto"/>
        <w:ind w:left="360"/>
        <w:rPr>
          <w:sz w:val="24"/>
          <w:szCs w:val="24"/>
        </w:rPr>
      </w:pPr>
      <w:r>
        <w:rPr>
          <w:sz w:val="24"/>
          <w:szCs w:val="24"/>
        </w:rPr>
        <w:t>e</w:t>
      </w:r>
      <w:r w:rsidR="007B7189">
        <w:rPr>
          <w:sz w:val="24"/>
          <w:szCs w:val="24"/>
        </w:rPr>
        <w:t>ducation and skills training</w:t>
      </w:r>
    </w:p>
    <w:p w14:paraId="6E2EBCAC" w14:textId="1BB813F0" w:rsidR="0016124B" w:rsidRDefault="006757FF" w:rsidP="00A1506C">
      <w:pPr>
        <w:numPr>
          <w:ilvl w:val="0"/>
          <w:numId w:val="4"/>
        </w:numPr>
        <w:spacing w:after="0" w:line="240" w:lineRule="auto"/>
        <w:rPr>
          <w:sz w:val="24"/>
          <w:szCs w:val="24"/>
        </w:rPr>
      </w:pPr>
      <w:r>
        <w:rPr>
          <w:sz w:val="24"/>
          <w:szCs w:val="24"/>
        </w:rPr>
        <w:t>f</w:t>
      </w:r>
      <w:r w:rsidR="007B7189">
        <w:rPr>
          <w:sz w:val="24"/>
          <w:szCs w:val="24"/>
        </w:rPr>
        <w:t>ostering support for entrepreneurial risk-taking</w:t>
      </w:r>
    </w:p>
    <w:p w14:paraId="12090368" w14:textId="0EF3B206" w:rsidR="0016124B" w:rsidRDefault="006757FF" w:rsidP="00A1506C">
      <w:pPr>
        <w:numPr>
          <w:ilvl w:val="0"/>
          <w:numId w:val="4"/>
        </w:numPr>
        <w:spacing w:after="0" w:line="240" w:lineRule="auto"/>
        <w:rPr>
          <w:sz w:val="24"/>
          <w:szCs w:val="24"/>
        </w:rPr>
      </w:pPr>
      <w:r>
        <w:rPr>
          <w:sz w:val="24"/>
          <w:szCs w:val="24"/>
        </w:rPr>
        <w:t>r</w:t>
      </w:r>
      <w:r w:rsidR="007B7189">
        <w:rPr>
          <w:sz w:val="24"/>
          <w:szCs w:val="24"/>
        </w:rPr>
        <w:t>egulatory reform, red-tape reduction, and simplification</w:t>
      </w:r>
    </w:p>
    <w:p w14:paraId="7ED45610" w14:textId="1741B783" w:rsidR="0016124B" w:rsidRDefault="006757FF" w:rsidP="00A1506C">
      <w:pPr>
        <w:numPr>
          <w:ilvl w:val="0"/>
          <w:numId w:val="4"/>
        </w:numPr>
        <w:spacing w:after="0" w:line="240" w:lineRule="auto"/>
        <w:rPr>
          <w:sz w:val="24"/>
          <w:szCs w:val="24"/>
        </w:rPr>
      </w:pPr>
      <w:r>
        <w:rPr>
          <w:sz w:val="24"/>
          <w:szCs w:val="24"/>
        </w:rPr>
        <w:t>t</w:t>
      </w:r>
      <w:r w:rsidR="007B7189">
        <w:rPr>
          <w:sz w:val="24"/>
          <w:szCs w:val="24"/>
        </w:rPr>
        <w:t xml:space="preserve">axation reform </w:t>
      </w:r>
    </w:p>
    <w:p w14:paraId="32F6A73D" w14:textId="1EFB79A0" w:rsidR="0016124B" w:rsidRDefault="003C36D1" w:rsidP="00A1506C">
      <w:pPr>
        <w:numPr>
          <w:ilvl w:val="0"/>
          <w:numId w:val="4"/>
        </w:numPr>
        <w:spacing w:after="0" w:line="240" w:lineRule="auto"/>
        <w:rPr>
          <w:sz w:val="24"/>
          <w:szCs w:val="24"/>
        </w:rPr>
      </w:pPr>
      <w:r>
        <w:rPr>
          <w:sz w:val="24"/>
          <w:szCs w:val="24"/>
        </w:rPr>
        <w:t>l</w:t>
      </w:r>
      <w:r w:rsidR="007B7189">
        <w:rPr>
          <w:sz w:val="24"/>
          <w:szCs w:val="24"/>
        </w:rPr>
        <w:t>abour market reform</w:t>
      </w:r>
    </w:p>
    <w:p w14:paraId="3B7A99B7" w14:textId="585C4267" w:rsidR="0016124B" w:rsidRDefault="003C36D1" w:rsidP="00A1506C">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p</w:t>
      </w:r>
      <w:r w:rsidR="007B7189">
        <w:rPr>
          <w:color w:val="000000"/>
          <w:sz w:val="24"/>
          <w:szCs w:val="24"/>
        </w:rPr>
        <w:t>romoting better business performance and excellence at the organisation level</w:t>
      </w:r>
      <w:r w:rsidR="00E445E4">
        <w:rPr>
          <w:color w:val="000000"/>
          <w:sz w:val="24"/>
          <w:szCs w:val="24"/>
        </w:rPr>
        <w:t>.</w:t>
      </w:r>
    </w:p>
    <w:p w14:paraId="6967D10D" w14:textId="77777777" w:rsidR="0016124B" w:rsidRDefault="0016124B" w:rsidP="00A1506C">
      <w:pPr>
        <w:spacing w:after="0" w:line="240" w:lineRule="auto"/>
        <w:jc w:val="both"/>
        <w:rPr>
          <w:sz w:val="24"/>
          <w:szCs w:val="24"/>
        </w:rPr>
      </w:pPr>
    </w:p>
    <w:p w14:paraId="4ECBDC2E" w14:textId="1D232B4B" w:rsidR="0016124B" w:rsidRDefault="007B7189" w:rsidP="00A1506C">
      <w:pPr>
        <w:spacing w:after="0" w:line="240" w:lineRule="auto"/>
        <w:jc w:val="both"/>
        <w:rPr>
          <w:sz w:val="24"/>
          <w:szCs w:val="24"/>
        </w:rPr>
      </w:pPr>
      <w:r>
        <w:rPr>
          <w:b/>
          <w:sz w:val="24"/>
          <w:szCs w:val="24"/>
        </w:rPr>
        <w:lastRenderedPageBreak/>
        <w:t>The second</w:t>
      </w:r>
      <w:r>
        <w:rPr>
          <w:sz w:val="24"/>
          <w:szCs w:val="24"/>
        </w:rPr>
        <w:t xml:space="preserve"> relates to assisting all organisations (large, </w:t>
      </w:r>
      <w:r w:rsidR="008D4CC3">
        <w:rPr>
          <w:sz w:val="24"/>
          <w:szCs w:val="24"/>
        </w:rPr>
        <w:t xml:space="preserve">medium, </w:t>
      </w:r>
      <w:r>
        <w:rPr>
          <w:sz w:val="24"/>
          <w:szCs w:val="24"/>
        </w:rPr>
        <w:t>small</w:t>
      </w:r>
      <w:r w:rsidR="00E31705">
        <w:rPr>
          <w:sz w:val="24"/>
          <w:szCs w:val="24"/>
        </w:rPr>
        <w:t xml:space="preserve"> (SME)</w:t>
      </w:r>
      <w:r>
        <w:rPr>
          <w:sz w:val="24"/>
          <w:szCs w:val="24"/>
        </w:rPr>
        <w:t>, for-profit, not-for-profit, public/government agencies, and departments) to achieve higher productivity by striving for excellence.</w:t>
      </w:r>
      <w:r w:rsidR="00222234">
        <w:rPr>
          <w:sz w:val="24"/>
          <w:szCs w:val="24"/>
        </w:rPr>
        <w:t xml:space="preserve"> </w:t>
      </w:r>
      <w:r>
        <w:rPr>
          <w:sz w:val="24"/>
          <w:szCs w:val="24"/>
        </w:rPr>
        <w:t xml:space="preserve"> This would cover such areas of organisational activity as production processes, people and culture, strategy, leadership and innovation to name a few.</w:t>
      </w:r>
    </w:p>
    <w:p w14:paraId="7DCA9F3B" w14:textId="77777777" w:rsidR="0016124B" w:rsidRDefault="0016124B" w:rsidP="00A1506C">
      <w:pPr>
        <w:spacing w:after="0" w:line="240" w:lineRule="auto"/>
        <w:jc w:val="both"/>
        <w:rPr>
          <w:sz w:val="24"/>
          <w:szCs w:val="24"/>
        </w:rPr>
      </w:pPr>
    </w:p>
    <w:p w14:paraId="614BA86C" w14:textId="3C8A1201" w:rsidR="0016124B" w:rsidRDefault="007B7189" w:rsidP="00A1506C">
      <w:pPr>
        <w:spacing w:after="0" w:line="240" w:lineRule="auto"/>
        <w:jc w:val="both"/>
        <w:rPr>
          <w:i/>
          <w:sz w:val="24"/>
          <w:szCs w:val="24"/>
        </w:rPr>
      </w:pPr>
      <w:r>
        <w:rPr>
          <w:sz w:val="24"/>
          <w:szCs w:val="24"/>
        </w:rPr>
        <w:t>BEA strongly believes that focusing on the public policy aspect without commensurate focus on the organisational excellence aspect would diminish and devalue Australia</w:t>
      </w:r>
      <w:r w:rsidR="00C214F9">
        <w:rPr>
          <w:sz w:val="24"/>
          <w:szCs w:val="24"/>
        </w:rPr>
        <w:t>'</w:t>
      </w:r>
      <w:r>
        <w:rPr>
          <w:sz w:val="24"/>
          <w:szCs w:val="24"/>
        </w:rPr>
        <w:t>s efforts to boost productivity to its optimal level.</w:t>
      </w:r>
      <w:r w:rsidR="00222234">
        <w:rPr>
          <w:sz w:val="24"/>
          <w:szCs w:val="24"/>
        </w:rPr>
        <w:t xml:space="preserve"> </w:t>
      </w:r>
      <w:r>
        <w:rPr>
          <w:sz w:val="24"/>
          <w:szCs w:val="24"/>
        </w:rPr>
        <w:t xml:space="preserve"> </w:t>
      </w:r>
      <w:r>
        <w:rPr>
          <w:i/>
          <w:sz w:val="24"/>
          <w:szCs w:val="24"/>
        </w:rPr>
        <w:t>BEA can be th</w:t>
      </w:r>
      <w:r w:rsidR="00997851">
        <w:rPr>
          <w:i/>
          <w:sz w:val="24"/>
          <w:szCs w:val="24"/>
        </w:rPr>
        <w:t>e</w:t>
      </w:r>
      <w:r>
        <w:rPr>
          <w:i/>
          <w:sz w:val="24"/>
          <w:szCs w:val="24"/>
        </w:rPr>
        <w:t xml:space="preserve"> catalyst to support organisational </w:t>
      </w:r>
      <w:r w:rsidR="00997851">
        <w:rPr>
          <w:i/>
          <w:sz w:val="24"/>
          <w:szCs w:val="24"/>
        </w:rPr>
        <w:t xml:space="preserve">change leading to </w:t>
      </w:r>
      <w:r>
        <w:rPr>
          <w:i/>
          <w:sz w:val="24"/>
          <w:szCs w:val="24"/>
        </w:rPr>
        <w:t>excellence.</w:t>
      </w:r>
    </w:p>
    <w:p w14:paraId="2E89192B" w14:textId="77777777" w:rsidR="0016124B" w:rsidRDefault="0016124B" w:rsidP="00A1506C">
      <w:pPr>
        <w:spacing w:after="0" w:line="240" w:lineRule="auto"/>
        <w:jc w:val="both"/>
        <w:rPr>
          <w:b/>
          <w:i/>
          <w:sz w:val="24"/>
          <w:szCs w:val="24"/>
        </w:rPr>
      </w:pPr>
    </w:p>
    <w:p w14:paraId="5C97499B" w14:textId="77777777" w:rsidR="0016124B" w:rsidRPr="003C25F8" w:rsidRDefault="007B7189" w:rsidP="00A1506C">
      <w:pPr>
        <w:pStyle w:val="Heading2"/>
        <w:jc w:val="both"/>
        <w:rPr>
          <w:b w:val="0"/>
          <w:bCs/>
        </w:rPr>
      </w:pPr>
      <w:r w:rsidRPr="003C25F8">
        <w:rPr>
          <w:b w:val="0"/>
          <w:bCs/>
        </w:rPr>
        <w:t>1.2 About BEA</w:t>
      </w:r>
    </w:p>
    <w:p w14:paraId="32EFA7FC" w14:textId="77777777" w:rsidR="0016124B" w:rsidRDefault="0016124B" w:rsidP="00A1506C">
      <w:pPr>
        <w:spacing w:after="0" w:line="240" w:lineRule="auto"/>
        <w:jc w:val="both"/>
        <w:rPr>
          <w:sz w:val="24"/>
          <w:szCs w:val="24"/>
        </w:rPr>
      </w:pPr>
    </w:p>
    <w:p w14:paraId="2F0C3EDF" w14:textId="02691F5E" w:rsidR="0016124B" w:rsidRDefault="007B7189" w:rsidP="00A1506C">
      <w:pPr>
        <w:spacing w:after="0" w:line="240" w:lineRule="auto"/>
        <w:jc w:val="both"/>
        <w:rPr>
          <w:sz w:val="24"/>
          <w:szCs w:val="24"/>
        </w:rPr>
      </w:pPr>
      <w:r>
        <w:rPr>
          <w:sz w:val="24"/>
          <w:szCs w:val="24"/>
        </w:rPr>
        <w:t xml:space="preserve">BEA is dedicated to promoting excellence and sustainable improvement.  BEA is a not-for-profit organisation that focuses on the development and recognition of organisations and individuals in the pursuit of excellence.  BEA supports </w:t>
      </w:r>
      <w:r w:rsidR="00997851">
        <w:rPr>
          <w:sz w:val="24"/>
          <w:szCs w:val="24"/>
        </w:rPr>
        <w:t xml:space="preserve">all kinds of </w:t>
      </w:r>
      <w:r>
        <w:rPr>
          <w:sz w:val="24"/>
          <w:szCs w:val="24"/>
        </w:rPr>
        <w:t xml:space="preserve">businesses, </w:t>
      </w:r>
      <w:r w:rsidR="00997851">
        <w:rPr>
          <w:sz w:val="24"/>
          <w:szCs w:val="24"/>
        </w:rPr>
        <w:t>g</w:t>
      </w:r>
      <w:r>
        <w:rPr>
          <w:sz w:val="24"/>
          <w:szCs w:val="24"/>
        </w:rPr>
        <w:t xml:space="preserve">overnment, and the community services sector to embed proven international excellence concepts into their organisations.  This strengthens business performance (see </w:t>
      </w:r>
      <w:r>
        <w:rPr>
          <w:b/>
          <w:sz w:val="24"/>
          <w:szCs w:val="24"/>
        </w:rPr>
        <w:t>Appendix</w:t>
      </w:r>
      <w:r>
        <w:rPr>
          <w:sz w:val="24"/>
          <w:szCs w:val="24"/>
        </w:rPr>
        <w:t>) through employee engagement, customer satisfaction, sustained continuous improvement, and productivity improvement increasing innovation, output, profits, and growth.</w:t>
      </w:r>
    </w:p>
    <w:p w14:paraId="03D4C011" w14:textId="77777777" w:rsidR="0016124B" w:rsidRDefault="0016124B" w:rsidP="00A1506C">
      <w:pPr>
        <w:spacing w:after="0" w:line="240" w:lineRule="auto"/>
        <w:jc w:val="both"/>
        <w:rPr>
          <w:sz w:val="24"/>
          <w:szCs w:val="24"/>
        </w:rPr>
      </w:pPr>
    </w:p>
    <w:p w14:paraId="13D8F17E" w14:textId="6F765BCB" w:rsidR="0016124B" w:rsidRDefault="007B7189" w:rsidP="00A1506C">
      <w:pPr>
        <w:spacing w:after="0" w:line="240" w:lineRule="auto"/>
        <w:jc w:val="both"/>
        <w:rPr>
          <w:sz w:val="24"/>
          <w:szCs w:val="24"/>
        </w:rPr>
      </w:pPr>
      <w:r w:rsidRPr="00407AB8">
        <w:rPr>
          <w:sz w:val="24"/>
          <w:szCs w:val="24"/>
        </w:rPr>
        <w:t>BEA was registered in September 2013.</w:t>
      </w:r>
      <w:r w:rsidR="00222234">
        <w:rPr>
          <w:sz w:val="24"/>
          <w:szCs w:val="24"/>
        </w:rPr>
        <w:t xml:space="preserve"> </w:t>
      </w:r>
      <w:r>
        <w:rPr>
          <w:sz w:val="24"/>
          <w:szCs w:val="24"/>
        </w:rPr>
        <w:t xml:space="preserve"> Our vision is to be recognised as making a substantial contribution to Australia</w:t>
      </w:r>
      <w:r w:rsidR="00C214F9">
        <w:rPr>
          <w:sz w:val="24"/>
          <w:szCs w:val="24"/>
        </w:rPr>
        <w:t>'</w:t>
      </w:r>
      <w:r>
        <w:rPr>
          <w:sz w:val="24"/>
          <w:szCs w:val="24"/>
        </w:rPr>
        <w:t>s productivity improvement and competitiveness through the promotion and recognition of organisational excellence.  To achieve this, we:</w:t>
      </w:r>
    </w:p>
    <w:p w14:paraId="04B533C9" w14:textId="77777777" w:rsidR="0016124B" w:rsidRDefault="0016124B" w:rsidP="00A1506C">
      <w:pPr>
        <w:spacing w:after="0" w:line="240" w:lineRule="auto"/>
        <w:jc w:val="both"/>
        <w:rPr>
          <w:sz w:val="24"/>
          <w:szCs w:val="24"/>
        </w:rPr>
      </w:pPr>
    </w:p>
    <w:p w14:paraId="369064A9" w14:textId="77777777" w:rsidR="0016124B" w:rsidRDefault="007B7189" w:rsidP="00A1506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manage the Australian Business Excellence Awards as the premier organisational Award program in Australia</w:t>
      </w:r>
    </w:p>
    <w:p w14:paraId="5C727B8A" w14:textId="289798FB" w:rsidR="0016124B" w:rsidRDefault="007B7189" w:rsidP="00A1506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maintain the Australian Business Excellence Framework as one of the leading global Excellence Models as recognised by the Global Excellence Council</w:t>
      </w:r>
      <w:r w:rsidR="00E31705">
        <w:rPr>
          <w:color w:val="000000"/>
          <w:sz w:val="24"/>
          <w:szCs w:val="24"/>
        </w:rPr>
        <w:t xml:space="preserve"> (GEM)</w:t>
      </w:r>
    </w:p>
    <w:p w14:paraId="2EFA364D" w14:textId="77777777" w:rsidR="0016124B" w:rsidRDefault="007B7189" w:rsidP="00A1506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use the Australian Business Excellence Framework and other globally recognised Excellence Models and evaluation processes to determine Award winners</w:t>
      </w:r>
    </w:p>
    <w:p w14:paraId="5001E14B" w14:textId="5AD4A50E" w:rsidR="0016124B" w:rsidRDefault="007B7189" w:rsidP="00A1506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promote knowledge-sharing and best practice to improve organisational productivity,</w:t>
      </w:r>
    </w:p>
    <w:p w14:paraId="732CD25C" w14:textId="1B23040E" w:rsidR="0016124B" w:rsidRDefault="007B7189" w:rsidP="00A1506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provide a vehicle to bring together many of the like-thinking organisations and approaches to gain leverage for the common goal of accelerating Australia</w:t>
      </w:r>
      <w:r w:rsidR="00C214F9">
        <w:rPr>
          <w:color w:val="000000"/>
          <w:sz w:val="24"/>
          <w:szCs w:val="24"/>
        </w:rPr>
        <w:t>'</w:t>
      </w:r>
      <w:r>
        <w:rPr>
          <w:color w:val="000000"/>
          <w:sz w:val="24"/>
          <w:szCs w:val="24"/>
        </w:rPr>
        <w:t>s rate of productivity growth</w:t>
      </w:r>
    </w:p>
    <w:p w14:paraId="198F04A4" w14:textId="5E1846A4" w:rsidR="0016124B" w:rsidRDefault="007B7189" w:rsidP="00A1506C">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provide a forum for continued research and development to ensure that organisational excellence, productivity, and associated concepts </w:t>
      </w:r>
      <w:r w:rsidR="00BD1C0D">
        <w:rPr>
          <w:color w:val="000000"/>
          <w:sz w:val="24"/>
          <w:szCs w:val="24"/>
        </w:rPr>
        <w:t>answer</w:t>
      </w:r>
      <w:r>
        <w:rPr>
          <w:color w:val="000000"/>
          <w:sz w:val="24"/>
          <w:szCs w:val="24"/>
        </w:rPr>
        <w:t xml:space="preserve"> current and emerging economic challenges.</w:t>
      </w:r>
    </w:p>
    <w:p w14:paraId="1EB1CCBD" w14:textId="77777777" w:rsidR="0016124B" w:rsidRDefault="0016124B" w:rsidP="00A1506C">
      <w:pPr>
        <w:spacing w:after="0" w:line="240" w:lineRule="auto"/>
        <w:jc w:val="both"/>
        <w:rPr>
          <w:b/>
          <w:sz w:val="24"/>
          <w:szCs w:val="24"/>
        </w:rPr>
      </w:pPr>
    </w:p>
    <w:p w14:paraId="26083B3D" w14:textId="7505380A" w:rsidR="0016124B" w:rsidRDefault="007B7189" w:rsidP="00A1506C">
      <w:pPr>
        <w:spacing w:after="0" w:line="240" w:lineRule="auto"/>
        <w:jc w:val="both"/>
        <w:rPr>
          <w:sz w:val="24"/>
          <w:szCs w:val="24"/>
        </w:rPr>
      </w:pPr>
      <w:r w:rsidRPr="00377949">
        <w:rPr>
          <w:sz w:val="24"/>
          <w:szCs w:val="24"/>
        </w:rPr>
        <w:t xml:space="preserve">Currently run by a team of professionals who have experience in organisational excellence and </w:t>
      </w:r>
      <w:r w:rsidR="00377949">
        <w:rPr>
          <w:sz w:val="24"/>
          <w:szCs w:val="24"/>
        </w:rPr>
        <w:t xml:space="preserve">is </w:t>
      </w:r>
      <w:r w:rsidRPr="00377949">
        <w:rPr>
          <w:sz w:val="24"/>
          <w:szCs w:val="24"/>
        </w:rPr>
        <w:t>supported by industry contributions</w:t>
      </w:r>
      <w:r w:rsidR="00377949" w:rsidRPr="00377949">
        <w:rPr>
          <w:sz w:val="24"/>
          <w:szCs w:val="24"/>
        </w:rPr>
        <w:t xml:space="preserve"> and membership</w:t>
      </w:r>
      <w:r w:rsidR="00771E73">
        <w:rPr>
          <w:sz w:val="24"/>
          <w:szCs w:val="24"/>
        </w:rPr>
        <w:t xml:space="preserve">. </w:t>
      </w:r>
      <w:r w:rsidRPr="00377949">
        <w:rPr>
          <w:sz w:val="24"/>
          <w:szCs w:val="24"/>
        </w:rPr>
        <w:t xml:space="preserve"> BEA is re-establishing</w:t>
      </w:r>
      <w:r>
        <w:rPr>
          <w:sz w:val="24"/>
          <w:szCs w:val="24"/>
        </w:rPr>
        <w:t xml:space="preserve"> the peak body status previously held by the Australian Quality Council from 1994-2002.  Initial priorities are </w:t>
      </w:r>
      <w:r w:rsidR="00771E73">
        <w:rPr>
          <w:sz w:val="24"/>
          <w:szCs w:val="24"/>
        </w:rPr>
        <w:t>promoting</w:t>
      </w:r>
      <w:r>
        <w:rPr>
          <w:sz w:val="24"/>
          <w:szCs w:val="24"/>
        </w:rPr>
        <w:t xml:space="preserve"> </w:t>
      </w:r>
      <w:r>
        <w:rPr>
          <w:color w:val="000000"/>
          <w:sz w:val="24"/>
          <w:szCs w:val="24"/>
        </w:rPr>
        <w:t xml:space="preserve">and hosting </w:t>
      </w:r>
      <w:r>
        <w:rPr>
          <w:sz w:val="24"/>
          <w:szCs w:val="24"/>
        </w:rPr>
        <w:t>the Australian Business Excellence Awards and enhancing education for organisational leaders through existing channels.  The Australian Awards and Framework are recognised internationally through BEA</w:t>
      </w:r>
      <w:r w:rsidR="00C214F9">
        <w:rPr>
          <w:sz w:val="24"/>
          <w:szCs w:val="24"/>
        </w:rPr>
        <w:t>'</w:t>
      </w:r>
      <w:r>
        <w:rPr>
          <w:sz w:val="24"/>
          <w:szCs w:val="24"/>
        </w:rPr>
        <w:t xml:space="preserve">s membership of the exclusive Global Excellence </w:t>
      </w:r>
      <w:r w:rsidR="00694DB0">
        <w:rPr>
          <w:sz w:val="24"/>
          <w:szCs w:val="24"/>
        </w:rPr>
        <w:t>M</w:t>
      </w:r>
      <w:r w:rsidR="002429D7">
        <w:rPr>
          <w:sz w:val="24"/>
          <w:szCs w:val="24"/>
        </w:rPr>
        <w:t>o</w:t>
      </w:r>
      <w:r w:rsidR="00694DB0">
        <w:rPr>
          <w:sz w:val="24"/>
          <w:szCs w:val="24"/>
        </w:rPr>
        <w:t>d</w:t>
      </w:r>
      <w:r w:rsidR="002429D7">
        <w:rPr>
          <w:sz w:val="24"/>
          <w:szCs w:val="24"/>
        </w:rPr>
        <w:t>e</w:t>
      </w:r>
      <w:r w:rsidR="00694DB0">
        <w:rPr>
          <w:sz w:val="24"/>
          <w:szCs w:val="24"/>
        </w:rPr>
        <w:t>l</w:t>
      </w:r>
      <w:r w:rsidR="006B4D45">
        <w:rPr>
          <w:sz w:val="24"/>
          <w:szCs w:val="24"/>
        </w:rPr>
        <w:t xml:space="preserve"> </w:t>
      </w:r>
      <w:r>
        <w:rPr>
          <w:sz w:val="24"/>
          <w:szCs w:val="24"/>
        </w:rPr>
        <w:t>Council (GE</w:t>
      </w:r>
      <w:r w:rsidR="006B4D45">
        <w:rPr>
          <w:sz w:val="24"/>
          <w:szCs w:val="24"/>
        </w:rPr>
        <w:t>M</w:t>
      </w:r>
      <w:r w:rsidR="00141C79">
        <w:rPr>
          <w:sz w:val="24"/>
          <w:szCs w:val="24"/>
        </w:rPr>
        <w:t xml:space="preserve"> Council</w:t>
      </w:r>
      <w:r>
        <w:rPr>
          <w:sz w:val="24"/>
          <w:szCs w:val="24"/>
        </w:rPr>
        <w:t>).</w:t>
      </w:r>
    </w:p>
    <w:p w14:paraId="24D55F11" w14:textId="77777777" w:rsidR="0016124B" w:rsidRDefault="0016124B">
      <w:pPr>
        <w:spacing w:after="0" w:line="240" w:lineRule="auto"/>
        <w:rPr>
          <w:sz w:val="24"/>
          <w:szCs w:val="24"/>
        </w:rPr>
      </w:pPr>
    </w:p>
    <w:p w14:paraId="28ACC2BA" w14:textId="77777777" w:rsidR="0016124B" w:rsidRDefault="0016124B">
      <w:pPr>
        <w:spacing w:after="0" w:line="240" w:lineRule="auto"/>
        <w:rPr>
          <w:sz w:val="24"/>
          <w:szCs w:val="24"/>
        </w:rPr>
      </w:pPr>
    </w:p>
    <w:p w14:paraId="3D0E16E3" w14:textId="77777777" w:rsidR="0016124B" w:rsidRDefault="007B7189" w:rsidP="00A1506C">
      <w:pPr>
        <w:pStyle w:val="Heading1"/>
        <w:numPr>
          <w:ilvl w:val="0"/>
          <w:numId w:val="3"/>
        </w:numPr>
        <w:jc w:val="both"/>
      </w:pPr>
      <w:r>
        <w:lastRenderedPageBreak/>
        <w:t>This submission</w:t>
      </w:r>
    </w:p>
    <w:p w14:paraId="6090D110" w14:textId="77777777" w:rsidR="0016124B" w:rsidRDefault="0016124B" w:rsidP="00A1506C">
      <w:pPr>
        <w:spacing w:after="0" w:line="240" w:lineRule="auto"/>
        <w:jc w:val="both"/>
        <w:rPr>
          <w:sz w:val="24"/>
          <w:szCs w:val="24"/>
        </w:rPr>
      </w:pPr>
    </w:p>
    <w:p w14:paraId="2EB14168" w14:textId="0D153139" w:rsidR="0016124B" w:rsidRDefault="007B7189" w:rsidP="00A1506C">
      <w:pPr>
        <w:spacing w:after="0" w:line="240" w:lineRule="auto"/>
        <w:jc w:val="both"/>
        <w:rPr>
          <w:sz w:val="24"/>
          <w:szCs w:val="24"/>
        </w:rPr>
      </w:pPr>
      <w:r>
        <w:rPr>
          <w:sz w:val="24"/>
          <w:szCs w:val="24"/>
        </w:rPr>
        <w:t>Australia</w:t>
      </w:r>
      <w:r w:rsidR="00C214F9">
        <w:rPr>
          <w:sz w:val="24"/>
          <w:szCs w:val="24"/>
        </w:rPr>
        <w:t>'</w:t>
      </w:r>
      <w:r>
        <w:rPr>
          <w:sz w:val="24"/>
          <w:szCs w:val="24"/>
        </w:rPr>
        <w:t>s productivity performance over the last few decades has been helped by both governmental macro and micro reforms.</w:t>
      </w:r>
      <w:r w:rsidR="00222234">
        <w:rPr>
          <w:sz w:val="24"/>
          <w:szCs w:val="24"/>
        </w:rPr>
        <w:t xml:space="preserve"> </w:t>
      </w:r>
      <w:r>
        <w:rPr>
          <w:sz w:val="24"/>
          <w:szCs w:val="24"/>
        </w:rPr>
        <w:t xml:space="preserve"> These include financial deregulation, consumer and competition reforms, labour market deregulation, taxation reforms, investments in productivity-enhancing infrastructure and trade, and anti-protection policy initiatives.</w:t>
      </w:r>
      <w:r w:rsidR="00222234">
        <w:rPr>
          <w:sz w:val="24"/>
          <w:szCs w:val="24"/>
        </w:rPr>
        <w:t xml:space="preserve"> </w:t>
      </w:r>
      <w:r>
        <w:rPr>
          <w:sz w:val="24"/>
          <w:szCs w:val="24"/>
        </w:rPr>
        <w:t xml:space="preserve"> However, further initiatives in these and other areas have dissipated over recent years leading in part to the productivity deficit we see with other comparable economies.</w:t>
      </w:r>
    </w:p>
    <w:p w14:paraId="61271084" w14:textId="77777777" w:rsidR="0016124B" w:rsidRDefault="0016124B" w:rsidP="00A1506C">
      <w:pPr>
        <w:spacing w:after="0" w:line="240" w:lineRule="auto"/>
        <w:jc w:val="both"/>
        <w:rPr>
          <w:sz w:val="24"/>
          <w:szCs w:val="24"/>
        </w:rPr>
      </w:pPr>
    </w:p>
    <w:p w14:paraId="32B17AB6" w14:textId="307D6CA2" w:rsidR="0016124B" w:rsidRDefault="007B7189" w:rsidP="00A1506C">
      <w:pPr>
        <w:spacing w:after="0" w:line="240" w:lineRule="auto"/>
        <w:jc w:val="both"/>
        <w:rPr>
          <w:sz w:val="24"/>
          <w:szCs w:val="24"/>
        </w:rPr>
      </w:pPr>
      <w:r>
        <w:rPr>
          <w:sz w:val="24"/>
          <w:szCs w:val="24"/>
        </w:rPr>
        <w:t xml:space="preserve">Governments can act to remedy this by reigniting further reforms to </w:t>
      </w:r>
      <w:r w:rsidR="00286B1A">
        <w:rPr>
          <w:sz w:val="24"/>
          <w:szCs w:val="24"/>
        </w:rPr>
        <w:t>boost productivity,</w:t>
      </w:r>
      <w:r>
        <w:rPr>
          <w:sz w:val="24"/>
          <w:szCs w:val="24"/>
        </w:rPr>
        <w:t xml:space="preserve"> but as intimated above, organisations can take stronger ownership of the productivity challenge.</w:t>
      </w:r>
      <w:r w:rsidR="00222234">
        <w:rPr>
          <w:sz w:val="24"/>
          <w:szCs w:val="24"/>
        </w:rPr>
        <w:t xml:space="preserve"> </w:t>
      </w:r>
      <w:r>
        <w:rPr>
          <w:sz w:val="24"/>
          <w:szCs w:val="24"/>
        </w:rPr>
        <w:t xml:space="preserve"> For organisations, especially in the SME sector, we see problems primarily in the areas of a lack of skills, knowledge, and funding (particularly risk capital) which holds back productivity improvements.  </w:t>
      </w:r>
    </w:p>
    <w:p w14:paraId="5DBD5B07" w14:textId="77777777" w:rsidR="0016124B" w:rsidRDefault="0016124B" w:rsidP="00A1506C">
      <w:pPr>
        <w:spacing w:after="0" w:line="240" w:lineRule="auto"/>
        <w:jc w:val="both"/>
        <w:rPr>
          <w:sz w:val="24"/>
          <w:szCs w:val="24"/>
        </w:rPr>
      </w:pPr>
    </w:p>
    <w:p w14:paraId="4459FD40" w14:textId="2F504247" w:rsidR="0016124B" w:rsidRDefault="007B7189" w:rsidP="00A1506C">
      <w:pPr>
        <w:spacing w:after="0" w:line="240" w:lineRule="auto"/>
        <w:jc w:val="both"/>
        <w:rPr>
          <w:sz w:val="24"/>
          <w:szCs w:val="24"/>
        </w:rPr>
      </w:pPr>
      <w:r>
        <w:rPr>
          <w:sz w:val="24"/>
          <w:szCs w:val="24"/>
        </w:rPr>
        <w:t xml:space="preserve">Another key aspect of productivity relates to the dynamism of organisations to improve their performance.  A productive organisation must constantly </w:t>
      </w:r>
      <w:r w:rsidR="00222234">
        <w:rPr>
          <w:sz w:val="24"/>
          <w:szCs w:val="24"/>
        </w:rPr>
        <w:t>seek</w:t>
      </w:r>
      <w:r>
        <w:rPr>
          <w:sz w:val="24"/>
          <w:szCs w:val="24"/>
        </w:rPr>
        <w:t xml:space="preserve"> efficiencies in existing operations and processes</w:t>
      </w:r>
      <w:r w:rsidR="00222234">
        <w:rPr>
          <w:sz w:val="24"/>
          <w:szCs w:val="24"/>
        </w:rPr>
        <w:t>,</w:t>
      </w:r>
      <w:r>
        <w:rPr>
          <w:sz w:val="24"/>
          <w:szCs w:val="24"/>
        </w:rPr>
        <w:t xml:space="preserve"> reviewing the suite of products and services offered</w:t>
      </w:r>
      <w:r w:rsidR="00C474E4">
        <w:rPr>
          <w:sz w:val="24"/>
          <w:szCs w:val="24"/>
        </w:rPr>
        <w:t>,</w:t>
      </w:r>
      <w:r>
        <w:rPr>
          <w:sz w:val="24"/>
          <w:szCs w:val="24"/>
        </w:rPr>
        <w:t xml:space="preserve"> and developing innovative and new products and services.</w:t>
      </w:r>
      <w:r w:rsidR="00222234">
        <w:rPr>
          <w:sz w:val="24"/>
          <w:szCs w:val="24"/>
        </w:rPr>
        <w:t xml:space="preserve"> </w:t>
      </w:r>
      <w:r>
        <w:rPr>
          <w:sz w:val="24"/>
          <w:szCs w:val="24"/>
        </w:rPr>
        <w:t xml:space="preserve"> To improve living standards, the ultimate beneficiary of productivity improvements, organisations need to focus on doing the existing better; being agile in their thinking and innovating for sustainability.</w:t>
      </w:r>
    </w:p>
    <w:p w14:paraId="4B5554B2" w14:textId="77777777" w:rsidR="0016124B" w:rsidRDefault="0016124B" w:rsidP="00A1506C">
      <w:pPr>
        <w:spacing w:after="0" w:line="240" w:lineRule="auto"/>
        <w:jc w:val="both"/>
        <w:rPr>
          <w:sz w:val="24"/>
          <w:szCs w:val="24"/>
        </w:rPr>
      </w:pPr>
    </w:p>
    <w:p w14:paraId="239EFF57" w14:textId="135CB56A" w:rsidR="0016124B" w:rsidRDefault="007B7189" w:rsidP="00A1506C">
      <w:pPr>
        <w:spacing w:after="0" w:line="240" w:lineRule="auto"/>
        <w:jc w:val="both"/>
        <w:rPr>
          <w:sz w:val="24"/>
          <w:szCs w:val="24"/>
        </w:rPr>
      </w:pPr>
      <w:r>
        <w:rPr>
          <w:sz w:val="24"/>
          <w:szCs w:val="24"/>
        </w:rPr>
        <w:t>Australia has a strong history of creating innovation.  However, Australia</w:t>
      </w:r>
      <w:r w:rsidR="00C214F9">
        <w:rPr>
          <w:sz w:val="24"/>
          <w:szCs w:val="24"/>
        </w:rPr>
        <w:t>'</w:t>
      </w:r>
      <w:r>
        <w:rPr>
          <w:sz w:val="24"/>
          <w:szCs w:val="24"/>
        </w:rPr>
        <w:t>s record in translating innovation into profitable business enterprises is much less impressive.  Whilst there are some excellent examples</w:t>
      </w:r>
      <w:r w:rsidR="005F384E">
        <w:rPr>
          <w:sz w:val="24"/>
          <w:szCs w:val="24"/>
        </w:rPr>
        <w:t>, Cochlear, ResMed, Computershare, Bishop Steering Technologies, a high percentage of Australian inventions languish unless picked up by foreign companies that have access to venture capital and the management expertise necessary to recognise</w:t>
      </w:r>
      <w:r>
        <w:rPr>
          <w:sz w:val="24"/>
          <w:szCs w:val="24"/>
        </w:rPr>
        <w:t xml:space="preserve"> translate invention into production.  In recent times we have seen Australian innovations in solar cells, CCD photography technology, Wi-Fi, and, even earlier, the aviation Black Box, all generating significant national wealth – for other countries.</w:t>
      </w:r>
    </w:p>
    <w:p w14:paraId="25B67BCE" w14:textId="77777777" w:rsidR="0016124B" w:rsidRDefault="0016124B" w:rsidP="00A1506C">
      <w:pPr>
        <w:spacing w:after="0" w:line="240" w:lineRule="auto"/>
        <w:jc w:val="both"/>
        <w:rPr>
          <w:sz w:val="24"/>
          <w:szCs w:val="24"/>
        </w:rPr>
      </w:pPr>
    </w:p>
    <w:p w14:paraId="64B86773" w14:textId="434EC5E7" w:rsidR="0016124B" w:rsidRDefault="007B7189" w:rsidP="00A1506C">
      <w:pPr>
        <w:spacing w:after="0" w:line="240" w:lineRule="auto"/>
        <w:jc w:val="both"/>
        <w:rPr>
          <w:sz w:val="24"/>
          <w:szCs w:val="24"/>
        </w:rPr>
      </w:pPr>
      <w:r>
        <w:rPr>
          <w:sz w:val="24"/>
          <w:szCs w:val="24"/>
        </w:rPr>
        <w:t xml:space="preserve">One of </w:t>
      </w:r>
      <w:r w:rsidR="005F384E">
        <w:rPr>
          <w:sz w:val="24"/>
          <w:szCs w:val="24"/>
        </w:rPr>
        <w:t>Australia's key challeng</w:t>
      </w:r>
      <w:r>
        <w:rPr>
          <w:sz w:val="24"/>
          <w:szCs w:val="24"/>
        </w:rPr>
        <w:t>es is a lack of organisational capability to take on new opportunities.  As international competitive pressure has increased significantly over the last 20 years, the typical Australian response has been to work harder and longer with an increased focus on the immediate challenges of daily operations.  Managers, CEOs, and business owners whose attention is absorbed by these needs have little capacity to explore new innovative directions.</w:t>
      </w:r>
      <w:r w:rsidR="006C603E">
        <w:rPr>
          <w:sz w:val="24"/>
          <w:szCs w:val="24"/>
        </w:rPr>
        <w:t xml:space="preserve"> </w:t>
      </w:r>
      <w:r>
        <w:rPr>
          <w:sz w:val="24"/>
          <w:szCs w:val="24"/>
        </w:rPr>
        <w:t xml:space="preserve"> </w:t>
      </w:r>
      <w:r w:rsidR="006C603E">
        <w:rPr>
          <w:sz w:val="24"/>
          <w:szCs w:val="24"/>
        </w:rPr>
        <w:t>As a result, o</w:t>
      </w:r>
      <w:r>
        <w:rPr>
          <w:sz w:val="24"/>
          <w:szCs w:val="24"/>
        </w:rPr>
        <w:t xml:space="preserve">rganisational structures evolve to deliver more with existing resources rather than </w:t>
      </w:r>
      <w:r w:rsidR="006C603E">
        <w:rPr>
          <w:sz w:val="24"/>
          <w:szCs w:val="24"/>
        </w:rPr>
        <w:t>create new product and service delivery paradigms</w:t>
      </w:r>
      <w:r>
        <w:rPr>
          <w:sz w:val="24"/>
          <w:szCs w:val="24"/>
        </w:rPr>
        <w:t>.</w:t>
      </w:r>
    </w:p>
    <w:p w14:paraId="116589E9" w14:textId="77777777" w:rsidR="0016124B" w:rsidRDefault="0016124B" w:rsidP="00A1506C">
      <w:pPr>
        <w:spacing w:after="0" w:line="240" w:lineRule="auto"/>
        <w:jc w:val="both"/>
        <w:rPr>
          <w:sz w:val="24"/>
          <w:szCs w:val="24"/>
        </w:rPr>
      </w:pPr>
    </w:p>
    <w:p w14:paraId="7F686F08" w14:textId="77777777" w:rsidR="0016124B" w:rsidRDefault="007B7189" w:rsidP="00A1506C">
      <w:pPr>
        <w:spacing w:after="0" w:line="240" w:lineRule="auto"/>
        <w:jc w:val="both"/>
        <w:rPr>
          <w:sz w:val="24"/>
          <w:szCs w:val="24"/>
        </w:rPr>
      </w:pPr>
      <w:r>
        <w:rPr>
          <w:sz w:val="24"/>
          <w:szCs w:val="24"/>
        </w:rPr>
        <w:t xml:space="preserve">Yet there is ample evidence that those businesses that understand and apply the established principles of high-performing organisations </w:t>
      </w:r>
      <w:r>
        <w:rPr>
          <w:sz w:val="24"/>
          <w:szCs w:val="24"/>
          <w:u w:val="single"/>
        </w:rPr>
        <w:t>can</w:t>
      </w:r>
      <w:r>
        <w:rPr>
          <w:sz w:val="24"/>
          <w:szCs w:val="24"/>
        </w:rPr>
        <w:t xml:space="preserve"> do both.  Their superior leadership capability enables them to manage their established business activities with efficiency (productivity) and robust predictability, creating the capacity to explore innovative ventures and market opportunities.</w:t>
      </w:r>
    </w:p>
    <w:p w14:paraId="6478795E" w14:textId="77777777" w:rsidR="0016124B" w:rsidRDefault="007B7189" w:rsidP="00A1506C">
      <w:pPr>
        <w:spacing w:after="0" w:line="240" w:lineRule="auto"/>
        <w:jc w:val="both"/>
        <w:rPr>
          <w:sz w:val="24"/>
          <w:szCs w:val="24"/>
        </w:rPr>
      </w:pPr>
      <w:r>
        <w:rPr>
          <w:sz w:val="24"/>
          <w:szCs w:val="24"/>
        </w:rPr>
        <w:t xml:space="preserve">One of the proven ways of stimulating better leadership capability across industry is to actively promote understanding and refinement of excellent leadership and management </w:t>
      </w:r>
      <w:r>
        <w:rPr>
          <w:sz w:val="24"/>
          <w:szCs w:val="24"/>
        </w:rPr>
        <w:lastRenderedPageBreak/>
        <w:t>practices through a peak body and a high-profile awards process.  Globally these practices are clearly defined in national excellence models.  This submission identiﬁes a proven strategy for improving organisational capability through a focus on productivity and innovation.</w:t>
      </w:r>
    </w:p>
    <w:p w14:paraId="7CD507E7" w14:textId="77777777" w:rsidR="0016124B" w:rsidRDefault="0016124B" w:rsidP="00A1506C">
      <w:pPr>
        <w:spacing w:after="0" w:line="240" w:lineRule="auto"/>
        <w:jc w:val="both"/>
        <w:rPr>
          <w:sz w:val="24"/>
          <w:szCs w:val="24"/>
        </w:rPr>
      </w:pPr>
    </w:p>
    <w:p w14:paraId="139D1352" w14:textId="1F0173D8" w:rsidR="0016124B" w:rsidRDefault="007B7189" w:rsidP="00A1506C">
      <w:pPr>
        <w:spacing w:after="0" w:line="240" w:lineRule="auto"/>
        <w:jc w:val="both"/>
        <w:rPr>
          <w:sz w:val="24"/>
          <w:szCs w:val="24"/>
        </w:rPr>
      </w:pPr>
      <w:r w:rsidRPr="00A850D5">
        <w:rPr>
          <w:sz w:val="24"/>
          <w:szCs w:val="24"/>
        </w:rPr>
        <w:t xml:space="preserve">BEA believes that the challenges identified in this submission can be addressed by applying the tools and education </w:t>
      </w:r>
      <w:r w:rsidR="003E3AE3" w:rsidRPr="00A850D5">
        <w:rPr>
          <w:sz w:val="24"/>
          <w:szCs w:val="24"/>
        </w:rPr>
        <w:t>described above</w:t>
      </w:r>
      <w:r w:rsidR="00357FD6" w:rsidRPr="00A850D5">
        <w:rPr>
          <w:sz w:val="24"/>
          <w:szCs w:val="24"/>
        </w:rPr>
        <w:t>.  BEA</w:t>
      </w:r>
      <w:r w:rsidRPr="00A850D5">
        <w:rPr>
          <w:sz w:val="24"/>
          <w:szCs w:val="24"/>
        </w:rPr>
        <w:t xml:space="preserve"> could provide </w:t>
      </w:r>
      <w:r w:rsidR="00DF41B4" w:rsidRPr="00A850D5">
        <w:rPr>
          <w:sz w:val="24"/>
          <w:szCs w:val="24"/>
        </w:rPr>
        <w:t xml:space="preserve">this more effectively </w:t>
      </w:r>
      <w:r w:rsidRPr="00A850D5">
        <w:rPr>
          <w:sz w:val="24"/>
          <w:szCs w:val="24"/>
        </w:rPr>
        <w:t xml:space="preserve">to organisations with the appropriate support of </w:t>
      </w:r>
      <w:r w:rsidR="0094239A" w:rsidRPr="00A850D5">
        <w:rPr>
          <w:sz w:val="24"/>
          <w:szCs w:val="24"/>
        </w:rPr>
        <w:t>G</w:t>
      </w:r>
      <w:r w:rsidRPr="00A850D5">
        <w:rPr>
          <w:sz w:val="24"/>
          <w:szCs w:val="24"/>
        </w:rPr>
        <w:t>overnment.</w:t>
      </w:r>
      <w:r w:rsidR="00222234" w:rsidRPr="00A850D5">
        <w:rPr>
          <w:sz w:val="24"/>
          <w:szCs w:val="24"/>
        </w:rPr>
        <w:t xml:space="preserve"> </w:t>
      </w:r>
      <w:r w:rsidRPr="00A850D5">
        <w:rPr>
          <w:sz w:val="24"/>
          <w:szCs w:val="24"/>
        </w:rPr>
        <w:t xml:space="preserve"> </w:t>
      </w:r>
      <w:r w:rsidR="00A850D5" w:rsidRPr="00A850D5">
        <w:rPr>
          <w:sz w:val="24"/>
          <w:szCs w:val="24"/>
        </w:rPr>
        <w:t>More detail on how this would work is described below,</w:t>
      </w:r>
    </w:p>
    <w:p w14:paraId="32AC5B08" w14:textId="77777777" w:rsidR="0016124B" w:rsidRDefault="007B7189" w:rsidP="00A1506C">
      <w:pPr>
        <w:spacing w:after="0" w:line="240" w:lineRule="auto"/>
        <w:jc w:val="both"/>
        <w:rPr>
          <w:b/>
          <w:color w:val="000080"/>
          <w:sz w:val="24"/>
          <w:szCs w:val="24"/>
        </w:rPr>
      </w:pPr>
      <w:r>
        <w:br w:type="page"/>
      </w:r>
    </w:p>
    <w:p w14:paraId="192D1634" w14:textId="77777777" w:rsidR="0016124B" w:rsidRDefault="007B7189" w:rsidP="00A1506C">
      <w:pPr>
        <w:pStyle w:val="Heading1"/>
        <w:numPr>
          <w:ilvl w:val="0"/>
          <w:numId w:val="3"/>
        </w:numPr>
        <w:jc w:val="both"/>
        <w:rPr>
          <w:rFonts w:ascii="Calibri" w:eastAsia="Calibri" w:hAnsi="Calibri" w:cs="Calibri"/>
        </w:rPr>
      </w:pPr>
      <w:r>
        <w:rPr>
          <w:rFonts w:ascii="Calibri" w:eastAsia="Calibri" w:hAnsi="Calibri" w:cs="Calibri"/>
        </w:rPr>
        <w:lastRenderedPageBreak/>
        <w:t>Organisational Excellence Produces Innovation</w:t>
      </w:r>
    </w:p>
    <w:p w14:paraId="71B989A0" w14:textId="77777777" w:rsidR="0016124B" w:rsidRDefault="0016124B" w:rsidP="00A1506C">
      <w:pPr>
        <w:spacing w:after="0" w:line="240" w:lineRule="auto"/>
        <w:jc w:val="both"/>
        <w:rPr>
          <w:sz w:val="32"/>
          <w:szCs w:val="32"/>
        </w:rPr>
      </w:pPr>
    </w:p>
    <w:p w14:paraId="75E1BCED" w14:textId="143E506C" w:rsidR="0016124B" w:rsidRDefault="007B7189" w:rsidP="00A1506C">
      <w:pPr>
        <w:spacing w:after="0" w:line="240" w:lineRule="auto"/>
        <w:jc w:val="both"/>
        <w:rPr>
          <w:sz w:val="24"/>
          <w:szCs w:val="24"/>
        </w:rPr>
      </w:pPr>
      <w:r>
        <w:rPr>
          <w:sz w:val="24"/>
          <w:szCs w:val="24"/>
        </w:rPr>
        <w:t xml:space="preserve">In the most innovative countries in the world, Governments actively encourage business and </w:t>
      </w:r>
      <w:r w:rsidR="0094239A">
        <w:rPr>
          <w:sz w:val="24"/>
          <w:szCs w:val="24"/>
        </w:rPr>
        <w:t>G</w:t>
      </w:r>
      <w:r>
        <w:rPr>
          <w:sz w:val="24"/>
          <w:szCs w:val="24"/>
        </w:rPr>
        <w:t>overnment to use excellence models to develop organisational efficiency and enhance the ability to be more productive and innovat</w:t>
      </w:r>
      <w:r w:rsidR="00C474E4">
        <w:rPr>
          <w:sz w:val="24"/>
          <w:szCs w:val="24"/>
        </w:rPr>
        <w:t>iv</w:t>
      </w:r>
      <w:r>
        <w:rPr>
          <w:sz w:val="24"/>
          <w:szCs w:val="24"/>
        </w:rPr>
        <w:t>e.  In the USA</w:t>
      </w:r>
      <w:r w:rsidR="009577A4">
        <w:rPr>
          <w:sz w:val="24"/>
          <w:szCs w:val="24"/>
        </w:rPr>
        <w:t xml:space="preserve">, for example, the Presidential Award for excellence, the Malcolm Baldrige Award, is presented by a senior </w:t>
      </w:r>
      <w:r w:rsidR="00551879">
        <w:rPr>
          <w:sz w:val="24"/>
          <w:szCs w:val="24"/>
        </w:rPr>
        <w:t>politician</w:t>
      </w:r>
      <w:r w:rsidR="009577A4">
        <w:rPr>
          <w:sz w:val="24"/>
          <w:szCs w:val="24"/>
        </w:rPr>
        <w:t xml:space="preserve"> at a special function that recognises the successful implementation of organisational excellence concepts</w:t>
      </w:r>
      <w:r>
        <w:rPr>
          <w:sz w:val="24"/>
          <w:szCs w:val="24"/>
        </w:rPr>
        <w:t xml:space="preserve">.  Other examples exist including the Japanese Quality Award and the Deming Prize, and the European Foundation for Quality Management (EFQM) Global Award. </w:t>
      </w:r>
    </w:p>
    <w:p w14:paraId="7019CF66" w14:textId="77777777" w:rsidR="0016124B" w:rsidRDefault="0016124B" w:rsidP="00A1506C">
      <w:pPr>
        <w:spacing w:after="0" w:line="240" w:lineRule="auto"/>
        <w:jc w:val="both"/>
        <w:rPr>
          <w:sz w:val="24"/>
          <w:szCs w:val="24"/>
        </w:rPr>
      </w:pPr>
    </w:p>
    <w:p w14:paraId="29366D46" w14:textId="51717A06" w:rsidR="0016124B" w:rsidRDefault="007B7189" w:rsidP="00A1506C">
      <w:pPr>
        <w:spacing w:after="0" w:line="240" w:lineRule="auto"/>
        <w:jc w:val="both"/>
        <w:rPr>
          <w:sz w:val="24"/>
          <w:szCs w:val="24"/>
        </w:rPr>
      </w:pPr>
      <w:r>
        <w:rPr>
          <w:sz w:val="24"/>
          <w:szCs w:val="24"/>
        </w:rPr>
        <w:t xml:space="preserve">Excellence models guide organisations to continuously improve performance and deliver improved outcomes to their diverse stakeholders.  Organisations that use the guidance of an Excellence Model develop the agility and organisational capability required to </w:t>
      </w:r>
      <w:r w:rsidR="00551879">
        <w:rPr>
          <w:sz w:val="24"/>
          <w:szCs w:val="24"/>
        </w:rPr>
        <w:t>innovate and adapt to changing market environments constantly</w:t>
      </w:r>
      <w:r>
        <w:rPr>
          <w:sz w:val="24"/>
          <w:szCs w:val="24"/>
        </w:rPr>
        <w:t>.  Organisational Excellence is recognised as an essential basis for innovation.</w:t>
      </w:r>
    </w:p>
    <w:p w14:paraId="280ADB97" w14:textId="77777777" w:rsidR="0016124B" w:rsidRDefault="0016124B" w:rsidP="00A1506C">
      <w:pPr>
        <w:spacing w:after="0" w:line="240" w:lineRule="auto"/>
        <w:jc w:val="both"/>
        <w:rPr>
          <w:sz w:val="24"/>
          <w:szCs w:val="24"/>
        </w:rPr>
      </w:pPr>
    </w:p>
    <w:p w14:paraId="4396FC6F" w14:textId="4F98534F" w:rsidR="0016124B" w:rsidRDefault="007B7189" w:rsidP="00A1506C">
      <w:pPr>
        <w:spacing w:after="0" w:line="240" w:lineRule="auto"/>
        <w:jc w:val="both"/>
        <w:rPr>
          <w:sz w:val="24"/>
          <w:szCs w:val="24"/>
        </w:rPr>
      </w:pPr>
      <w:r>
        <w:rPr>
          <w:sz w:val="24"/>
          <w:szCs w:val="24"/>
        </w:rPr>
        <w:t>BEA maintains The Australian Business Excellence Framework (ABEF) as Australia</w:t>
      </w:r>
      <w:r w:rsidR="00C214F9">
        <w:rPr>
          <w:sz w:val="24"/>
          <w:szCs w:val="24"/>
        </w:rPr>
        <w:t>'</w:t>
      </w:r>
      <w:r>
        <w:rPr>
          <w:sz w:val="24"/>
          <w:szCs w:val="24"/>
        </w:rPr>
        <w:t>s National Excellence Model that aims to create an organisational environment that leads to sustainable performance.</w:t>
      </w:r>
      <w:r w:rsidR="00222234">
        <w:rPr>
          <w:sz w:val="24"/>
          <w:szCs w:val="24"/>
        </w:rPr>
        <w:t xml:space="preserve"> </w:t>
      </w:r>
      <w:r>
        <w:rPr>
          <w:sz w:val="24"/>
          <w:szCs w:val="24"/>
        </w:rPr>
        <w:t xml:space="preserve"> The ABEF has been built on tested and proven leadership and management principles. </w:t>
      </w:r>
    </w:p>
    <w:p w14:paraId="125EFA3B" w14:textId="77777777" w:rsidR="0016124B" w:rsidRDefault="0016124B" w:rsidP="00A1506C">
      <w:pPr>
        <w:spacing w:after="0" w:line="240" w:lineRule="auto"/>
        <w:jc w:val="both"/>
        <w:rPr>
          <w:sz w:val="24"/>
          <w:szCs w:val="24"/>
        </w:rPr>
      </w:pPr>
    </w:p>
    <w:p w14:paraId="60B25CFC" w14:textId="19785432" w:rsidR="0016124B" w:rsidRDefault="007B7189" w:rsidP="00A1506C">
      <w:pPr>
        <w:spacing w:after="0" w:line="240" w:lineRule="auto"/>
        <w:jc w:val="both"/>
        <w:rPr>
          <w:sz w:val="24"/>
          <w:szCs w:val="24"/>
        </w:rPr>
      </w:pPr>
      <w:r>
        <w:rPr>
          <w:sz w:val="24"/>
          <w:szCs w:val="24"/>
        </w:rPr>
        <w:t xml:space="preserve">The ABEF is a collection of now proven, immutable performance concepts for business – it is how an organisation can achieve its </w:t>
      </w:r>
      <w:r w:rsidRPr="009E2E16">
        <w:rPr>
          <w:sz w:val="24"/>
          <w:szCs w:val="24"/>
        </w:rPr>
        <w:t>purpose.</w:t>
      </w:r>
      <w:r w:rsidR="00C1046C" w:rsidRPr="009E2E16">
        <w:rPr>
          <w:sz w:val="24"/>
          <w:szCs w:val="24"/>
        </w:rPr>
        <w:t xml:space="preserve">  The ABEF </w:t>
      </w:r>
      <w:r w:rsidR="00E65C4F" w:rsidRPr="009E2E16">
        <w:rPr>
          <w:sz w:val="24"/>
          <w:szCs w:val="24"/>
        </w:rPr>
        <w:t xml:space="preserve">provides an integrated leadership and management framework that </w:t>
      </w:r>
      <w:r w:rsidR="002046A1" w:rsidRPr="009E2E16">
        <w:rPr>
          <w:sz w:val="24"/>
          <w:szCs w:val="24"/>
        </w:rPr>
        <w:t>adapts to individual circumstances</w:t>
      </w:r>
      <w:r w:rsidR="00A54FD7" w:rsidRPr="009E2E16">
        <w:rPr>
          <w:sz w:val="24"/>
          <w:szCs w:val="24"/>
        </w:rPr>
        <w:t>, has proven relevance to all types and sizes of organisations</w:t>
      </w:r>
      <w:r w:rsidR="009E2E16">
        <w:rPr>
          <w:sz w:val="24"/>
          <w:szCs w:val="24"/>
        </w:rPr>
        <w:t>,</w:t>
      </w:r>
      <w:r w:rsidR="00A54FD7" w:rsidRPr="009E2E16">
        <w:rPr>
          <w:sz w:val="24"/>
          <w:szCs w:val="24"/>
        </w:rPr>
        <w:t xml:space="preserve"> </w:t>
      </w:r>
      <w:r w:rsidR="00C1046C" w:rsidRPr="009E2E16">
        <w:rPr>
          <w:sz w:val="24"/>
          <w:szCs w:val="24"/>
        </w:rPr>
        <w:t>and can be used across all sectors</w:t>
      </w:r>
      <w:r w:rsidR="00E65C4F" w:rsidRPr="009E2E16">
        <w:rPr>
          <w:sz w:val="24"/>
          <w:szCs w:val="24"/>
        </w:rPr>
        <w:t>.</w:t>
      </w:r>
      <w:r w:rsidR="00E65C4F">
        <w:rPr>
          <w:sz w:val="24"/>
          <w:szCs w:val="24"/>
        </w:rPr>
        <w:t xml:space="preserve">  </w:t>
      </w:r>
      <w:r w:rsidR="00C1046C">
        <w:rPr>
          <w:sz w:val="24"/>
          <w:szCs w:val="24"/>
        </w:rPr>
        <w:t xml:space="preserve"> </w:t>
      </w:r>
    </w:p>
    <w:p w14:paraId="35A60830" w14:textId="77777777" w:rsidR="0016124B" w:rsidRDefault="0016124B" w:rsidP="00A1506C">
      <w:pPr>
        <w:spacing w:after="0" w:line="240" w:lineRule="auto"/>
        <w:jc w:val="both"/>
        <w:rPr>
          <w:sz w:val="24"/>
          <w:szCs w:val="24"/>
        </w:rPr>
      </w:pPr>
    </w:p>
    <w:p w14:paraId="3D94EEB5" w14:textId="77777777" w:rsidR="0016124B" w:rsidRDefault="007B7189" w:rsidP="00A1506C">
      <w:pPr>
        <w:spacing w:after="0" w:line="240" w:lineRule="auto"/>
        <w:jc w:val="both"/>
        <w:rPr>
          <w:sz w:val="24"/>
          <w:szCs w:val="24"/>
        </w:rPr>
      </w:pPr>
      <w:r>
        <w:rPr>
          <w:sz w:val="24"/>
          <w:szCs w:val="24"/>
        </w:rPr>
        <w:t>The Nine Principles of Business Excellence incorporated in the ABEF, when understood and applied through the Categories and Items of the ABEF, can guide an organisation to improvement and sustainable performance, resulting in greater productivity and innovation.</w:t>
      </w:r>
    </w:p>
    <w:p w14:paraId="1596645B" w14:textId="77777777" w:rsidR="0016124B" w:rsidRDefault="0016124B" w:rsidP="00A1506C">
      <w:pPr>
        <w:pBdr>
          <w:top w:val="nil"/>
          <w:left w:val="nil"/>
          <w:bottom w:val="nil"/>
          <w:right w:val="nil"/>
          <w:between w:val="nil"/>
        </w:pBdr>
        <w:spacing w:after="0" w:line="240" w:lineRule="auto"/>
        <w:jc w:val="both"/>
        <w:rPr>
          <w:b/>
          <w:color w:val="000080"/>
          <w:sz w:val="24"/>
          <w:szCs w:val="24"/>
        </w:rPr>
      </w:pPr>
    </w:p>
    <w:p w14:paraId="4594BF4A" w14:textId="77777777" w:rsidR="0016124B" w:rsidRPr="003C25F8" w:rsidRDefault="007B7189" w:rsidP="00A1506C">
      <w:pPr>
        <w:pStyle w:val="Heading2"/>
        <w:jc w:val="both"/>
        <w:rPr>
          <w:b w:val="0"/>
          <w:bCs/>
        </w:rPr>
      </w:pPr>
      <w:r w:rsidRPr="003C25F8">
        <w:rPr>
          <w:b w:val="0"/>
          <w:bCs/>
        </w:rPr>
        <w:t>3.1 Why Awards?</w:t>
      </w:r>
    </w:p>
    <w:p w14:paraId="767B579D" w14:textId="77777777" w:rsidR="0016124B" w:rsidRDefault="0016124B" w:rsidP="00A1506C">
      <w:pPr>
        <w:spacing w:after="0" w:line="240" w:lineRule="auto"/>
        <w:jc w:val="both"/>
        <w:rPr>
          <w:b/>
          <w:sz w:val="24"/>
          <w:szCs w:val="24"/>
        </w:rPr>
      </w:pPr>
    </w:p>
    <w:p w14:paraId="74DD2B27" w14:textId="1CE78BEE" w:rsidR="0016124B" w:rsidRDefault="007B7189" w:rsidP="00A1506C">
      <w:pPr>
        <w:spacing w:after="0" w:line="240" w:lineRule="auto"/>
        <w:jc w:val="both"/>
        <w:rPr>
          <w:sz w:val="24"/>
          <w:szCs w:val="24"/>
        </w:rPr>
      </w:pPr>
      <w:r>
        <w:rPr>
          <w:sz w:val="24"/>
          <w:szCs w:val="24"/>
        </w:rPr>
        <w:t>To achieve an Excellence Award an organisation</w:t>
      </w:r>
      <w:r w:rsidR="00C214F9">
        <w:rPr>
          <w:sz w:val="24"/>
          <w:szCs w:val="24"/>
        </w:rPr>
        <w:t>'</w:t>
      </w:r>
      <w:r>
        <w:rPr>
          <w:sz w:val="24"/>
          <w:szCs w:val="24"/>
        </w:rPr>
        <w:t xml:space="preserve">s performance is evaluated against an Excellence Model based on proven and internationally recognised criteria.  These evaluations are carried out by specially trained and highly experienced teams from </w:t>
      </w:r>
      <w:r w:rsidR="00711DF5">
        <w:rPr>
          <w:sz w:val="24"/>
          <w:szCs w:val="24"/>
        </w:rPr>
        <w:t xml:space="preserve">carefully selected </w:t>
      </w:r>
      <w:r w:rsidR="00C94175">
        <w:rPr>
          <w:sz w:val="24"/>
          <w:szCs w:val="24"/>
        </w:rPr>
        <w:t>government and private-sector evalua</w:t>
      </w:r>
      <w:r>
        <w:rPr>
          <w:sz w:val="24"/>
          <w:szCs w:val="24"/>
        </w:rPr>
        <w:t>tors.</w:t>
      </w:r>
      <w:r w:rsidR="00C94175">
        <w:rPr>
          <w:sz w:val="24"/>
          <w:szCs w:val="24"/>
        </w:rPr>
        <w:t xml:space="preserve"> </w:t>
      </w:r>
      <w:r>
        <w:rPr>
          <w:sz w:val="24"/>
          <w:szCs w:val="24"/>
        </w:rPr>
        <w:t xml:space="preserve"> </w:t>
      </w:r>
      <w:r w:rsidR="00291763">
        <w:rPr>
          <w:sz w:val="24"/>
          <w:szCs w:val="24"/>
        </w:rPr>
        <w:t>In addition, m</w:t>
      </w:r>
      <w:r>
        <w:rPr>
          <w:sz w:val="24"/>
          <w:szCs w:val="24"/>
        </w:rPr>
        <w:t>any evaluators play an integral role in their own organisations</w:t>
      </w:r>
      <w:r w:rsidR="00C94175">
        <w:rPr>
          <w:sz w:val="24"/>
          <w:szCs w:val="24"/>
        </w:rPr>
        <w:t>'</w:t>
      </w:r>
      <w:r>
        <w:rPr>
          <w:sz w:val="24"/>
          <w:szCs w:val="24"/>
        </w:rPr>
        <w:t xml:space="preserve"> achievement of award-winning excellence.  </w:t>
      </w:r>
    </w:p>
    <w:p w14:paraId="63CD6097" w14:textId="77777777" w:rsidR="0016124B" w:rsidRDefault="0016124B" w:rsidP="00A1506C">
      <w:pPr>
        <w:spacing w:after="0" w:line="240" w:lineRule="auto"/>
        <w:jc w:val="both"/>
        <w:rPr>
          <w:sz w:val="24"/>
          <w:szCs w:val="24"/>
        </w:rPr>
      </w:pPr>
    </w:p>
    <w:p w14:paraId="58FF7093" w14:textId="6E37C463" w:rsidR="0016124B" w:rsidRDefault="007B7189" w:rsidP="00A1506C">
      <w:pPr>
        <w:spacing w:after="0" w:line="240" w:lineRule="auto"/>
        <w:jc w:val="both"/>
        <w:rPr>
          <w:sz w:val="24"/>
          <w:szCs w:val="24"/>
        </w:rPr>
      </w:pPr>
      <w:r>
        <w:rPr>
          <w:sz w:val="24"/>
          <w:szCs w:val="24"/>
        </w:rPr>
        <w:t xml:space="preserve">Some of the most valuable outcomes of the evaluations are the insights provided through the feedback report that goes to the applicant.  It tells them where their strengths lie and where consideration could be given </w:t>
      </w:r>
      <w:r w:rsidR="009E2E16">
        <w:rPr>
          <w:sz w:val="24"/>
          <w:szCs w:val="24"/>
        </w:rPr>
        <w:t>f</w:t>
      </w:r>
      <w:r>
        <w:rPr>
          <w:sz w:val="24"/>
          <w:szCs w:val="24"/>
        </w:rPr>
        <w:t>o</w:t>
      </w:r>
      <w:r w:rsidR="009E2E16">
        <w:rPr>
          <w:sz w:val="24"/>
          <w:szCs w:val="24"/>
        </w:rPr>
        <w:t>r</w:t>
      </w:r>
      <w:r>
        <w:rPr>
          <w:sz w:val="24"/>
          <w:szCs w:val="24"/>
        </w:rPr>
        <w:t xml:space="preserve"> </w:t>
      </w:r>
      <w:r w:rsidR="009E2E16">
        <w:rPr>
          <w:sz w:val="24"/>
          <w:szCs w:val="24"/>
        </w:rPr>
        <w:t>improvement</w:t>
      </w:r>
      <w:r>
        <w:rPr>
          <w:sz w:val="24"/>
          <w:szCs w:val="24"/>
        </w:rPr>
        <w:t xml:space="preserve">.  </w:t>
      </w:r>
    </w:p>
    <w:p w14:paraId="5A8E8A92" w14:textId="77777777" w:rsidR="0016124B" w:rsidRDefault="0016124B" w:rsidP="00A1506C">
      <w:pPr>
        <w:spacing w:after="0" w:line="240" w:lineRule="auto"/>
        <w:jc w:val="both"/>
        <w:rPr>
          <w:sz w:val="24"/>
          <w:szCs w:val="24"/>
        </w:rPr>
      </w:pPr>
    </w:p>
    <w:p w14:paraId="7A5181A0" w14:textId="77777777" w:rsidR="00E95804" w:rsidRDefault="00E95804" w:rsidP="00A1506C">
      <w:pPr>
        <w:spacing w:after="0" w:line="240" w:lineRule="auto"/>
        <w:jc w:val="both"/>
        <w:rPr>
          <w:sz w:val="24"/>
          <w:szCs w:val="24"/>
        </w:rPr>
      </w:pPr>
    </w:p>
    <w:p w14:paraId="6630ADAE" w14:textId="77777777" w:rsidR="00E95804" w:rsidRDefault="00E95804" w:rsidP="00A1506C">
      <w:pPr>
        <w:spacing w:after="0" w:line="240" w:lineRule="auto"/>
        <w:jc w:val="both"/>
        <w:rPr>
          <w:sz w:val="24"/>
          <w:szCs w:val="24"/>
        </w:rPr>
      </w:pPr>
    </w:p>
    <w:p w14:paraId="2966F4B5" w14:textId="26367B1E" w:rsidR="0016124B" w:rsidRPr="00147A9C" w:rsidRDefault="00147A9C" w:rsidP="00147A9C">
      <w:pPr>
        <w:pStyle w:val="Heading2"/>
        <w:rPr>
          <w:b w:val="0"/>
          <w:bCs/>
        </w:rPr>
      </w:pPr>
      <w:r w:rsidRPr="00147A9C">
        <w:rPr>
          <w:b w:val="0"/>
          <w:bCs/>
        </w:rPr>
        <w:lastRenderedPageBreak/>
        <w:t>3.2</w:t>
      </w:r>
      <w:r w:rsidRPr="00147A9C">
        <w:rPr>
          <w:b w:val="0"/>
          <w:bCs/>
        </w:rPr>
        <w:tab/>
      </w:r>
      <w:r w:rsidR="007B7189" w:rsidRPr="00147A9C">
        <w:rPr>
          <w:b w:val="0"/>
          <w:bCs/>
        </w:rPr>
        <w:t>About the Australian Business Excellence Awards</w:t>
      </w:r>
    </w:p>
    <w:p w14:paraId="6DC68C48" w14:textId="77777777" w:rsidR="0016124B" w:rsidRDefault="0016124B" w:rsidP="00A1506C">
      <w:pPr>
        <w:spacing w:after="0" w:line="240" w:lineRule="auto"/>
        <w:jc w:val="both"/>
        <w:rPr>
          <w:b/>
          <w:sz w:val="24"/>
          <w:szCs w:val="24"/>
        </w:rPr>
      </w:pPr>
    </w:p>
    <w:p w14:paraId="75009FC3" w14:textId="1E752A6B" w:rsidR="0016124B" w:rsidRDefault="007B7189" w:rsidP="00A1506C">
      <w:pPr>
        <w:spacing w:after="0" w:line="240" w:lineRule="auto"/>
        <w:jc w:val="both"/>
        <w:rPr>
          <w:sz w:val="24"/>
          <w:szCs w:val="24"/>
        </w:rPr>
      </w:pPr>
      <w:r>
        <w:rPr>
          <w:sz w:val="24"/>
          <w:szCs w:val="24"/>
        </w:rPr>
        <w:t>The Australian Business Excellence Awards (the Awards), which have a 25-year history, are now managed by BEA and recognise the achievements of outstanding Australian organisations that are effectively utilising business excellence principles</w:t>
      </w:r>
      <w:r w:rsidR="00D775B0">
        <w:rPr>
          <w:sz w:val="24"/>
          <w:szCs w:val="24"/>
        </w:rPr>
        <w:t>.</w:t>
      </w:r>
      <w:r>
        <w:rPr>
          <w:sz w:val="24"/>
          <w:szCs w:val="24"/>
        </w:rPr>
        <w:t xml:space="preserve"> </w:t>
      </w:r>
      <w:r w:rsidR="006205AC">
        <w:rPr>
          <w:sz w:val="24"/>
          <w:szCs w:val="24"/>
        </w:rPr>
        <w:t xml:space="preserve"> T</w:t>
      </w:r>
      <w:r>
        <w:rPr>
          <w:sz w:val="24"/>
          <w:szCs w:val="24"/>
        </w:rPr>
        <w:t>he</w:t>
      </w:r>
      <w:r w:rsidR="006205AC">
        <w:rPr>
          <w:sz w:val="24"/>
          <w:szCs w:val="24"/>
        </w:rPr>
        <w:t>y</w:t>
      </w:r>
      <w:r>
        <w:rPr>
          <w:sz w:val="24"/>
          <w:szCs w:val="24"/>
        </w:rPr>
        <w:t xml:space="preserve"> demonstrat</w:t>
      </w:r>
      <w:r w:rsidR="006205AC">
        <w:rPr>
          <w:sz w:val="24"/>
          <w:szCs w:val="24"/>
        </w:rPr>
        <w:t>e</w:t>
      </w:r>
      <w:r>
        <w:rPr>
          <w:sz w:val="24"/>
          <w:szCs w:val="24"/>
        </w:rPr>
        <w:t xml:space="preserve"> a commitment to sustainable performance, stakeholder value, quality and service, philanthropic ideals, ethical behaviour and environmental sustainability.</w:t>
      </w:r>
      <w:r w:rsidR="0089631B">
        <w:rPr>
          <w:sz w:val="24"/>
          <w:szCs w:val="24"/>
        </w:rPr>
        <w:t xml:space="preserve">  All these factors add significantly to productivity </w:t>
      </w:r>
      <w:r w:rsidR="00087556">
        <w:rPr>
          <w:sz w:val="24"/>
          <w:szCs w:val="24"/>
        </w:rPr>
        <w:t>improvement.</w:t>
      </w:r>
    </w:p>
    <w:p w14:paraId="33FDF48D" w14:textId="77777777" w:rsidR="0016124B" w:rsidRDefault="0016124B" w:rsidP="00A1506C">
      <w:pPr>
        <w:spacing w:after="0" w:line="240" w:lineRule="auto"/>
        <w:jc w:val="both"/>
        <w:rPr>
          <w:sz w:val="24"/>
          <w:szCs w:val="24"/>
        </w:rPr>
      </w:pPr>
    </w:p>
    <w:p w14:paraId="309B90AD" w14:textId="7810B266" w:rsidR="0016124B" w:rsidRDefault="007B7189" w:rsidP="00A1506C">
      <w:pPr>
        <w:spacing w:after="0" w:line="240" w:lineRule="auto"/>
        <w:jc w:val="both"/>
        <w:rPr>
          <w:sz w:val="24"/>
          <w:szCs w:val="24"/>
        </w:rPr>
      </w:pPr>
      <w:r>
        <w:rPr>
          <w:sz w:val="24"/>
          <w:szCs w:val="24"/>
        </w:rPr>
        <w:t xml:space="preserve">The Awards are bestowed to recognise organisations for demonstrated organisational excellence.  The Awards involve the most rigorous evaluation process in Australia.  The combination of the expertise of the Evaluators, the panel of review, the evaluation process and our leading-edge criteria make this a unique </w:t>
      </w:r>
      <w:r w:rsidR="00087556">
        <w:rPr>
          <w:sz w:val="24"/>
          <w:szCs w:val="24"/>
        </w:rPr>
        <w:t>approach</w:t>
      </w:r>
      <w:r>
        <w:rPr>
          <w:sz w:val="24"/>
          <w:szCs w:val="24"/>
        </w:rPr>
        <w:t>.</w:t>
      </w:r>
    </w:p>
    <w:p w14:paraId="5B0A1350" w14:textId="77777777" w:rsidR="0016124B" w:rsidRDefault="0016124B" w:rsidP="00A1506C">
      <w:pPr>
        <w:spacing w:after="0" w:line="240" w:lineRule="auto"/>
        <w:jc w:val="both"/>
        <w:rPr>
          <w:sz w:val="24"/>
          <w:szCs w:val="24"/>
        </w:rPr>
      </w:pPr>
    </w:p>
    <w:p w14:paraId="2C93D56E" w14:textId="77777777" w:rsidR="0016124B" w:rsidRDefault="007B7189" w:rsidP="00A1506C">
      <w:pPr>
        <w:spacing w:after="0" w:line="240" w:lineRule="auto"/>
        <w:jc w:val="both"/>
        <w:rPr>
          <w:sz w:val="24"/>
          <w:szCs w:val="24"/>
        </w:rPr>
      </w:pPr>
      <w:r>
        <w:rPr>
          <w:sz w:val="24"/>
          <w:szCs w:val="24"/>
        </w:rPr>
        <w:t>Recipients are expected to share information about their successful excellence strategies with other organisations.  This sharing takes the form of participation in customer forums and the documentation of case studies.</w:t>
      </w:r>
    </w:p>
    <w:p w14:paraId="3E6FAFFB" w14:textId="77777777" w:rsidR="0016124B" w:rsidRDefault="0016124B" w:rsidP="00A1506C">
      <w:pPr>
        <w:spacing w:after="0" w:line="240" w:lineRule="auto"/>
        <w:jc w:val="both"/>
        <w:rPr>
          <w:sz w:val="24"/>
          <w:szCs w:val="24"/>
        </w:rPr>
      </w:pPr>
    </w:p>
    <w:p w14:paraId="066BC8C9" w14:textId="4A1C8FB2" w:rsidR="0016124B" w:rsidRPr="003C25F8" w:rsidRDefault="007B7189" w:rsidP="00A1506C">
      <w:pPr>
        <w:pStyle w:val="Heading2"/>
        <w:jc w:val="both"/>
        <w:rPr>
          <w:b w:val="0"/>
          <w:bCs/>
        </w:rPr>
      </w:pPr>
      <w:r>
        <w:t xml:space="preserve"> </w:t>
      </w:r>
      <w:r w:rsidRPr="003C25F8">
        <w:rPr>
          <w:b w:val="0"/>
          <w:bCs/>
        </w:rPr>
        <w:t>3.</w:t>
      </w:r>
      <w:r w:rsidR="00147A9C">
        <w:rPr>
          <w:b w:val="0"/>
          <w:bCs/>
        </w:rPr>
        <w:t>3</w:t>
      </w:r>
      <w:r w:rsidRPr="003C25F8">
        <w:rPr>
          <w:b w:val="0"/>
          <w:bCs/>
        </w:rPr>
        <w:t xml:space="preserve"> A Rich History</w:t>
      </w:r>
    </w:p>
    <w:p w14:paraId="70027326" w14:textId="77777777" w:rsidR="0016124B" w:rsidRDefault="0016124B" w:rsidP="00A1506C">
      <w:pPr>
        <w:spacing w:after="0" w:line="240" w:lineRule="auto"/>
        <w:jc w:val="both"/>
        <w:rPr>
          <w:sz w:val="24"/>
          <w:szCs w:val="24"/>
        </w:rPr>
      </w:pPr>
    </w:p>
    <w:p w14:paraId="2908787C" w14:textId="6101A13A" w:rsidR="0016124B" w:rsidRDefault="007B7189" w:rsidP="00A1506C">
      <w:pPr>
        <w:spacing w:after="0" w:line="240" w:lineRule="auto"/>
        <w:jc w:val="both"/>
        <w:rPr>
          <w:sz w:val="24"/>
          <w:szCs w:val="24"/>
        </w:rPr>
      </w:pPr>
      <w:r>
        <w:rPr>
          <w:sz w:val="24"/>
          <w:szCs w:val="24"/>
        </w:rPr>
        <w:t xml:space="preserve">The rich history of Business Excellence Awards in Australia </w:t>
      </w:r>
      <w:r w:rsidR="004B4FB8">
        <w:rPr>
          <w:sz w:val="24"/>
          <w:szCs w:val="24"/>
        </w:rPr>
        <w:t>dates to</w:t>
      </w:r>
      <w:r>
        <w:rPr>
          <w:sz w:val="24"/>
          <w:szCs w:val="24"/>
        </w:rPr>
        <w:t xml:space="preserve"> the introduction of the Australian Quality Awards in 1988.   Over 1</w:t>
      </w:r>
      <w:r w:rsidR="00ED553E">
        <w:rPr>
          <w:sz w:val="24"/>
          <w:szCs w:val="24"/>
        </w:rPr>
        <w:t>,</w:t>
      </w:r>
      <w:r>
        <w:rPr>
          <w:sz w:val="24"/>
          <w:szCs w:val="24"/>
        </w:rPr>
        <w:t>000 Australian organisations have benefitted from being evaluated with over 400 being recognised at various Award levels.</w:t>
      </w:r>
    </w:p>
    <w:p w14:paraId="4502F44E" w14:textId="77777777" w:rsidR="0016124B" w:rsidRDefault="0016124B" w:rsidP="00A1506C">
      <w:pPr>
        <w:spacing w:after="0" w:line="240" w:lineRule="auto"/>
        <w:jc w:val="both"/>
        <w:rPr>
          <w:sz w:val="24"/>
          <w:szCs w:val="24"/>
        </w:rPr>
      </w:pPr>
    </w:p>
    <w:p w14:paraId="1D632436" w14:textId="4B56163E" w:rsidR="0016124B" w:rsidRDefault="007B7189" w:rsidP="00A1506C">
      <w:pPr>
        <w:spacing w:after="0" w:line="240" w:lineRule="auto"/>
        <w:jc w:val="both"/>
        <w:rPr>
          <w:sz w:val="24"/>
          <w:szCs w:val="24"/>
        </w:rPr>
      </w:pPr>
      <w:r>
        <w:rPr>
          <w:sz w:val="24"/>
          <w:szCs w:val="24"/>
        </w:rPr>
        <w:t xml:space="preserve">Previous winners of the Awards were of all </w:t>
      </w:r>
      <w:r w:rsidR="00A96CAD">
        <w:rPr>
          <w:sz w:val="24"/>
          <w:szCs w:val="24"/>
        </w:rPr>
        <w:t>types</w:t>
      </w:r>
      <w:r>
        <w:rPr>
          <w:sz w:val="24"/>
          <w:szCs w:val="24"/>
        </w:rPr>
        <w:t xml:space="preserve"> and sizes and from a wide range of industries.  Receiving recognition is a bonus, but the greatest value of entering the Awards is the comprehensive feedback report prepared by the volunteer excellence professionals who serve as Evaluators.  Hundreds of applicant organisations have benefited from having strengths and opportunities for improvement identified against each Item in the ABEF.</w:t>
      </w:r>
    </w:p>
    <w:p w14:paraId="7F70F737" w14:textId="77777777" w:rsidR="0016124B" w:rsidRDefault="0016124B" w:rsidP="00A1506C">
      <w:pPr>
        <w:spacing w:after="0" w:line="240" w:lineRule="auto"/>
        <w:jc w:val="both"/>
        <w:rPr>
          <w:sz w:val="24"/>
          <w:szCs w:val="24"/>
        </w:rPr>
      </w:pPr>
    </w:p>
    <w:p w14:paraId="2BC903C0" w14:textId="500C8894" w:rsidR="0016124B" w:rsidRDefault="007B7189" w:rsidP="00A1506C">
      <w:pPr>
        <w:spacing w:after="0" w:line="240" w:lineRule="auto"/>
        <w:jc w:val="both"/>
        <w:rPr>
          <w:sz w:val="24"/>
          <w:szCs w:val="24"/>
        </w:rPr>
      </w:pPr>
      <w:r>
        <w:rPr>
          <w:sz w:val="24"/>
          <w:szCs w:val="24"/>
        </w:rPr>
        <w:t xml:space="preserve">The Awards have the most rigorous evaluation process in Australia and are considered among the most </w:t>
      </w:r>
      <w:r w:rsidR="00DC240A">
        <w:rPr>
          <w:sz w:val="24"/>
          <w:szCs w:val="24"/>
        </w:rPr>
        <w:t>stringent</w:t>
      </w:r>
      <w:r>
        <w:rPr>
          <w:sz w:val="24"/>
          <w:szCs w:val="24"/>
        </w:rPr>
        <w:t xml:space="preserve"> in the world.  The combination of the expertise of independent Evaluators and the Panel of Review – business and government leaders as well as international Excellence specialists – the evaluation process itself, and the use of leading</w:t>
      </w:r>
      <w:r w:rsidR="00D41FB9">
        <w:rPr>
          <w:sz w:val="24"/>
          <w:szCs w:val="24"/>
        </w:rPr>
        <w:t>-</w:t>
      </w:r>
      <w:r>
        <w:rPr>
          <w:sz w:val="24"/>
          <w:szCs w:val="24"/>
        </w:rPr>
        <w:t>edge criteria make this a unique process.</w:t>
      </w:r>
    </w:p>
    <w:p w14:paraId="59A19F83" w14:textId="77777777" w:rsidR="0016124B" w:rsidRDefault="0016124B" w:rsidP="00A1506C">
      <w:pPr>
        <w:spacing w:after="0" w:line="240" w:lineRule="auto"/>
        <w:jc w:val="both"/>
        <w:rPr>
          <w:sz w:val="24"/>
          <w:szCs w:val="24"/>
        </w:rPr>
      </w:pPr>
    </w:p>
    <w:p w14:paraId="2871385D" w14:textId="5ACCCE72" w:rsidR="0016124B" w:rsidRDefault="007B7189" w:rsidP="00A1506C">
      <w:pPr>
        <w:spacing w:after="0" w:line="240" w:lineRule="auto"/>
        <w:jc w:val="both"/>
        <w:rPr>
          <w:sz w:val="24"/>
          <w:szCs w:val="24"/>
        </w:rPr>
      </w:pPr>
      <w:r>
        <w:rPr>
          <w:sz w:val="24"/>
          <w:szCs w:val="24"/>
        </w:rPr>
        <w:t>At the 2017 Australian Awards event held in Perth, Finance Minister Mathias Cormann and Governor of Western Australia Kerry Sanderson were present to support the event.  This high</w:t>
      </w:r>
      <w:r w:rsidR="0078095D">
        <w:rPr>
          <w:sz w:val="24"/>
          <w:szCs w:val="24"/>
        </w:rPr>
        <w:t>-</w:t>
      </w:r>
      <w:r>
        <w:rPr>
          <w:sz w:val="24"/>
          <w:szCs w:val="24"/>
        </w:rPr>
        <w:t>level Government representation is essential for the credibility of the Awards and the speed of uptake of organisational excellence as a way of conducting business.</w:t>
      </w:r>
      <w:r w:rsidR="00222234">
        <w:rPr>
          <w:sz w:val="24"/>
          <w:szCs w:val="24"/>
        </w:rPr>
        <w:t xml:space="preserve"> </w:t>
      </w:r>
      <w:r>
        <w:rPr>
          <w:sz w:val="24"/>
          <w:szCs w:val="24"/>
        </w:rPr>
        <w:t xml:space="preserve"> In the 2021 Awards event, BEA </w:t>
      </w:r>
      <w:r w:rsidR="00221158">
        <w:rPr>
          <w:sz w:val="24"/>
          <w:szCs w:val="24"/>
        </w:rPr>
        <w:t>was</w:t>
      </w:r>
      <w:r>
        <w:rPr>
          <w:sz w:val="24"/>
          <w:szCs w:val="24"/>
        </w:rPr>
        <w:t xml:space="preserve"> honoured to have David Thodey AO, one of Australia</w:t>
      </w:r>
      <w:r w:rsidR="00C214F9">
        <w:rPr>
          <w:sz w:val="24"/>
          <w:szCs w:val="24"/>
        </w:rPr>
        <w:t>'</w:t>
      </w:r>
      <w:r>
        <w:rPr>
          <w:sz w:val="24"/>
          <w:szCs w:val="24"/>
        </w:rPr>
        <w:t xml:space="preserve">s most respected </w:t>
      </w:r>
      <w:r w:rsidR="00221158">
        <w:rPr>
          <w:sz w:val="24"/>
          <w:szCs w:val="24"/>
        </w:rPr>
        <w:t xml:space="preserve">business </w:t>
      </w:r>
      <w:r>
        <w:rPr>
          <w:sz w:val="24"/>
          <w:szCs w:val="24"/>
        </w:rPr>
        <w:t xml:space="preserve">and thought leaders, </w:t>
      </w:r>
      <w:r w:rsidR="00221158">
        <w:rPr>
          <w:sz w:val="24"/>
          <w:szCs w:val="24"/>
        </w:rPr>
        <w:t xml:space="preserve">to </w:t>
      </w:r>
      <w:r>
        <w:rPr>
          <w:sz w:val="24"/>
          <w:szCs w:val="24"/>
        </w:rPr>
        <w:t>present</w:t>
      </w:r>
      <w:r w:rsidR="00221158">
        <w:rPr>
          <w:sz w:val="24"/>
          <w:szCs w:val="24"/>
        </w:rPr>
        <w:t xml:space="preserve"> the</w:t>
      </w:r>
      <w:r>
        <w:rPr>
          <w:sz w:val="24"/>
          <w:szCs w:val="24"/>
        </w:rPr>
        <w:t xml:space="preserve"> </w:t>
      </w:r>
      <w:r w:rsidR="004A5F46">
        <w:rPr>
          <w:sz w:val="24"/>
          <w:szCs w:val="24"/>
        </w:rPr>
        <w:t>A</w:t>
      </w:r>
      <w:r>
        <w:rPr>
          <w:sz w:val="24"/>
          <w:szCs w:val="24"/>
        </w:rPr>
        <w:t>wards.</w:t>
      </w:r>
    </w:p>
    <w:p w14:paraId="1A8BFE1C" w14:textId="77777777" w:rsidR="0016124B" w:rsidRDefault="0016124B" w:rsidP="00A1506C">
      <w:pPr>
        <w:pBdr>
          <w:top w:val="nil"/>
          <w:left w:val="nil"/>
          <w:bottom w:val="nil"/>
          <w:right w:val="nil"/>
          <w:between w:val="nil"/>
        </w:pBdr>
        <w:spacing w:after="0" w:line="240" w:lineRule="auto"/>
        <w:jc w:val="both"/>
        <w:rPr>
          <w:b/>
          <w:color w:val="000000"/>
          <w:sz w:val="24"/>
          <w:szCs w:val="24"/>
        </w:rPr>
      </w:pPr>
    </w:p>
    <w:p w14:paraId="426A9C55" w14:textId="77777777" w:rsidR="004F28EC" w:rsidRDefault="004F28EC" w:rsidP="00A1506C">
      <w:pPr>
        <w:pBdr>
          <w:top w:val="nil"/>
          <w:left w:val="nil"/>
          <w:bottom w:val="nil"/>
          <w:right w:val="nil"/>
          <w:between w:val="nil"/>
        </w:pBdr>
        <w:spacing w:after="0" w:line="240" w:lineRule="auto"/>
        <w:jc w:val="both"/>
        <w:rPr>
          <w:b/>
          <w:color w:val="000000"/>
          <w:sz w:val="24"/>
          <w:szCs w:val="24"/>
        </w:rPr>
      </w:pPr>
    </w:p>
    <w:p w14:paraId="7DA129A2" w14:textId="77777777" w:rsidR="004F28EC" w:rsidRDefault="004F28EC" w:rsidP="00A1506C">
      <w:pPr>
        <w:pBdr>
          <w:top w:val="nil"/>
          <w:left w:val="nil"/>
          <w:bottom w:val="nil"/>
          <w:right w:val="nil"/>
          <w:between w:val="nil"/>
        </w:pBdr>
        <w:spacing w:after="0" w:line="240" w:lineRule="auto"/>
        <w:jc w:val="both"/>
        <w:rPr>
          <w:b/>
          <w:color w:val="000000"/>
          <w:sz w:val="24"/>
          <w:szCs w:val="24"/>
        </w:rPr>
      </w:pPr>
    </w:p>
    <w:p w14:paraId="07A0461A" w14:textId="4EFA290A" w:rsidR="0016124B" w:rsidRPr="003C25F8" w:rsidRDefault="007B7189" w:rsidP="00A1506C">
      <w:pPr>
        <w:pStyle w:val="Heading2"/>
        <w:jc w:val="both"/>
        <w:rPr>
          <w:b w:val="0"/>
          <w:bCs/>
        </w:rPr>
      </w:pPr>
      <w:r w:rsidRPr="003C25F8">
        <w:rPr>
          <w:b w:val="0"/>
          <w:bCs/>
        </w:rPr>
        <w:lastRenderedPageBreak/>
        <w:t>3.</w:t>
      </w:r>
      <w:r w:rsidR="00147A9C">
        <w:rPr>
          <w:b w:val="0"/>
          <w:bCs/>
        </w:rPr>
        <w:t>4</w:t>
      </w:r>
      <w:r w:rsidRPr="003C25F8">
        <w:rPr>
          <w:b w:val="0"/>
          <w:bCs/>
        </w:rPr>
        <w:t xml:space="preserve"> International Recognition</w:t>
      </w:r>
    </w:p>
    <w:p w14:paraId="2AAE0353" w14:textId="77777777" w:rsidR="0016124B" w:rsidRDefault="0016124B" w:rsidP="00A1506C">
      <w:pPr>
        <w:jc w:val="both"/>
        <w:rPr>
          <w:color w:val="000000"/>
          <w:sz w:val="24"/>
          <w:szCs w:val="24"/>
        </w:rPr>
      </w:pPr>
    </w:p>
    <w:p w14:paraId="70C2639C" w14:textId="15A25B86" w:rsidR="00D7687A" w:rsidRDefault="007B7189" w:rsidP="00A1506C">
      <w:pPr>
        <w:jc w:val="both"/>
        <w:rPr>
          <w:color w:val="000000"/>
          <w:sz w:val="24"/>
          <w:szCs w:val="24"/>
        </w:rPr>
      </w:pPr>
      <w:r>
        <w:rPr>
          <w:color w:val="000000"/>
          <w:sz w:val="24"/>
          <w:szCs w:val="24"/>
        </w:rPr>
        <w:t xml:space="preserve">BEA and the Awards are recognised internationally through the membership of the exclusive Global Excellence </w:t>
      </w:r>
      <w:r w:rsidR="0078095D">
        <w:rPr>
          <w:color w:val="000000"/>
          <w:sz w:val="24"/>
          <w:szCs w:val="24"/>
        </w:rPr>
        <w:t xml:space="preserve">Model </w:t>
      </w:r>
      <w:r>
        <w:rPr>
          <w:color w:val="000000"/>
          <w:sz w:val="24"/>
          <w:szCs w:val="24"/>
        </w:rPr>
        <w:t>Council (GE</w:t>
      </w:r>
      <w:r w:rsidR="0078095D">
        <w:rPr>
          <w:color w:val="000000"/>
          <w:sz w:val="24"/>
          <w:szCs w:val="24"/>
        </w:rPr>
        <w:t>M Council</w:t>
      </w:r>
      <w:r>
        <w:rPr>
          <w:color w:val="000000"/>
          <w:sz w:val="24"/>
          <w:szCs w:val="24"/>
        </w:rPr>
        <w:t xml:space="preserve">).  </w:t>
      </w:r>
      <w:r w:rsidR="00AB16EE">
        <w:rPr>
          <w:color w:val="000000"/>
          <w:sz w:val="24"/>
          <w:szCs w:val="24"/>
        </w:rPr>
        <w:t>It</w:t>
      </w:r>
      <w:r>
        <w:rPr>
          <w:color w:val="000000"/>
          <w:sz w:val="24"/>
          <w:szCs w:val="24"/>
        </w:rPr>
        <w:t xml:space="preserve"> consists of organisations that are the guardians of premier Excellence Models and Award processes in their specific geographical region or trading block.  These not-for-profit organisations provide mutual learning and sharing of good practices and initiatives and maintain direct access to the private and public sectors. </w:t>
      </w:r>
    </w:p>
    <w:p w14:paraId="109DEACA" w14:textId="77777777" w:rsidR="00D7687A" w:rsidRDefault="00D7687A" w:rsidP="00A1506C">
      <w:pPr>
        <w:jc w:val="both"/>
        <w:rPr>
          <w:color w:val="000000"/>
          <w:sz w:val="24"/>
          <w:szCs w:val="24"/>
        </w:rPr>
      </w:pPr>
      <w:r>
        <w:rPr>
          <w:color w:val="000000"/>
          <w:sz w:val="24"/>
          <w:szCs w:val="24"/>
        </w:rPr>
        <w:br w:type="page"/>
      </w:r>
    </w:p>
    <w:p w14:paraId="6C745D6B" w14:textId="786565BE" w:rsidR="0016124B" w:rsidRDefault="007B7189" w:rsidP="00A1506C">
      <w:pPr>
        <w:ind w:left="-142"/>
        <w:jc w:val="both"/>
        <w:rPr>
          <w:rFonts w:ascii="Trebuchet MS" w:eastAsia="Trebuchet MS" w:hAnsi="Trebuchet MS" w:cs="Trebuchet MS"/>
          <w:b/>
          <w:smallCaps/>
          <w:sz w:val="28"/>
          <w:szCs w:val="28"/>
        </w:rPr>
      </w:pPr>
      <w:r>
        <w:rPr>
          <w:color w:val="000000"/>
          <w:sz w:val="24"/>
          <w:szCs w:val="24"/>
        </w:rPr>
        <w:lastRenderedPageBreak/>
        <w:t> </w:t>
      </w:r>
      <w:r w:rsidRPr="003C25F8">
        <w:rPr>
          <w:rFonts w:ascii="Trebuchet MS" w:eastAsia="Trebuchet MS" w:hAnsi="Trebuchet MS" w:cs="Trebuchet MS"/>
          <w:bCs/>
          <w:smallCaps/>
          <w:sz w:val="36"/>
          <w:szCs w:val="36"/>
        </w:rPr>
        <w:t>4.</w:t>
      </w:r>
      <w:r w:rsidR="00222234">
        <w:rPr>
          <w:rFonts w:ascii="Trebuchet MS" w:eastAsia="Trebuchet MS" w:hAnsi="Trebuchet MS" w:cs="Trebuchet MS"/>
          <w:smallCaps/>
          <w:sz w:val="36"/>
          <w:szCs w:val="36"/>
        </w:rPr>
        <w:t xml:space="preserve"> </w:t>
      </w:r>
      <w:r>
        <w:rPr>
          <w:rFonts w:ascii="Trebuchet MS" w:eastAsia="Trebuchet MS" w:hAnsi="Trebuchet MS" w:cs="Trebuchet MS"/>
          <w:smallCaps/>
          <w:sz w:val="36"/>
          <w:szCs w:val="36"/>
        </w:rPr>
        <w:t xml:space="preserve"> Indirect Benefits of Excellence and Innovation</w:t>
      </w:r>
    </w:p>
    <w:p w14:paraId="4730B48D" w14:textId="3B322DAA" w:rsidR="0016124B" w:rsidRDefault="007B7189" w:rsidP="00A1506C">
      <w:pPr>
        <w:jc w:val="both"/>
        <w:rPr>
          <w:color w:val="000000"/>
          <w:sz w:val="24"/>
          <w:szCs w:val="24"/>
        </w:rPr>
      </w:pPr>
      <w:r>
        <w:rPr>
          <w:color w:val="000000"/>
          <w:sz w:val="24"/>
          <w:szCs w:val="24"/>
        </w:rPr>
        <w:t>Innovation in this context is not just about bringing new products to market</w:t>
      </w:r>
      <w:r w:rsidR="008C03DB">
        <w:rPr>
          <w:color w:val="000000"/>
          <w:sz w:val="24"/>
          <w:szCs w:val="24"/>
        </w:rPr>
        <w:t>.  I</w:t>
      </w:r>
      <w:r>
        <w:rPr>
          <w:color w:val="000000"/>
          <w:sz w:val="24"/>
          <w:szCs w:val="24"/>
        </w:rPr>
        <w:t xml:space="preserve">t is innovation </w:t>
      </w:r>
      <w:r w:rsidR="008C03DB">
        <w:rPr>
          <w:color w:val="000000"/>
          <w:sz w:val="24"/>
          <w:szCs w:val="24"/>
        </w:rPr>
        <w:t xml:space="preserve">in all aspects of managing an organisation </w:t>
      </w:r>
      <w:r>
        <w:rPr>
          <w:color w:val="000000"/>
          <w:sz w:val="24"/>
          <w:szCs w:val="24"/>
        </w:rPr>
        <w:t>that improves productivity, organisational performance and outcomes.  Improvements in Australia</w:t>
      </w:r>
      <w:r w:rsidR="00C214F9">
        <w:rPr>
          <w:color w:val="000000"/>
          <w:sz w:val="24"/>
          <w:szCs w:val="24"/>
        </w:rPr>
        <w:t>'</w:t>
      </w:r>
      <w:r>
        <w:rPr>
          <w:color w:val="000000"/>
          <w:sz w:val="24"/>
          <w:szCs w:val="24"/>
        </w:rPr>
        <w:t>s international competitiveness will produce more jobs in the future and help create local capacity for the commercialisation of innovation.</w:t>
      </w:r>
      <w:r w:rsidR="00222234">
        <w:rPr>
          <w:color w:val="000000"/>
          <w:sz w:val="24"/>
          <w:szCs w:val="24"/>
        </w:rPr>
        <w:t xml:space="preserve"> </w:t>
      </w:r>
      <w:r>
        <w:rPr>
          <w:color w:val="000000"/>
          <w:sz w:val="24"/>
          <w:szCs w:val="24"/>
        </w:rPr>
        <w:t xml:space="preserve"> BEA can assist organisations to:</w:t>
      </w:r>
    </w:p>
    <w:p w14:paraId="328B679B" w14:textId="77777777" w:rsidR="0016124B" w:rsidRDefault="0016124B" w:rsidP="00A1506C">
      <w:pPr>
        <w:jc w:val="both"/>
        <w:rPr>
          <w:color w:val="000000"/>
          <w:sz w:val="24"/>
          <w:szCs w:val="24"/>
        </w:rPr>
      </w:pPr>
    </w:p>
    <w:p w14:paraId="29126BBE" w14:textId="416388AA" w:rsidR="0016124B" w:rsidRDefault="007B7189" w:rsidP="00A1506C">
      <w:pPr>
        <w:jc w:val="both"/>
        <w:rPr>
          <w:color w:val="000000"/>
          <w:sz w:val="24"/>
          <w:szCs w:val="24"/>
        </w:rPr>
      </w:pPr>
      <w:r>
        <w:rPr>
          <w:color w:val="000000"/>
          <w:sz w:val="24"/>
          <w:szCs w:val="24"/>
        </w:rPr>
        <w:t>•</w:t>
      </w:r>
      <w:r>
        <w:rPr>
          <w:color w:val="000000"/>
          <w:sz w:val="24"/>
          <w:szCs w:val="24"/>
        </w:rPr>
        <w:tab/>
      </w:r>
      <w:r w:rsidR="00B239D2">
        <w:rPr>
          <w:color w:val="000000"/>
          <w:sz w:val="24"/>
          <w:szCs w:val="24"/>
        </w:rPr>
        <w:t>a</w:t>
      </w:r>
      <w:r>
        <w:rPr>
          <w:color w:val="000000"/>
          <w:sz w:val="24"/>
          <w:szCs w:val="24"/>
        </w:rPr>
        <w:t xml:space="preserve">chieve </w:t>
      </w:r>
      <w:r w:rsidR="004F28EC">
        <w:rPr>
          <w:color w:val="000000"/>
          <w:sz w:val="24"/>
          <w:szCs w:val="24"/>
        </w:rPr>
        <w:t>more robust</w:t>
      </w:r>
      <w:r>
        <w:rPr>
          <w:color w:val="000000"/>
          <w:sz w:val="24"/>
          <w:szCs w:val="24"/>
        </w:rPr>
        <w:t xml:space="preserve"> financial performance</w:t>
      </w:r>
    </w:p>
    <w:p w14:paraId="42BC27F9" w14:textId="7237B687" w:rsidR="0016124B" w:rsidRDefault="007B7189" w:rsidP="00A1506C">
      <w:pPr>
        <w:jc w:val="both"/>
        <w:rPr>
          <w:color w:val="000000"/>
          <w:sz w:val="24"/>
          <w:szCs w:val="24"/>
        </w:rPr>
      </w:pPr>
      <w:r>
        <w:rPr>
          <w:color w:val="000000"/>
          <w:sz w:val="24"/>
          <w:szCs w:val="24"/>
        </w:rPr>
        <w:t>•</w:t>
      </w:r>
      <w:r>
        <w:rPr>
          <w:color w:val="000000"/>
          <w:sz w:val="24"/>
          <w:szCs w:val="24"/>
        </w:rPr>
        <w:tab/>
      </w:r>
      <w:r w:rsidR="00B239D2">
        <w:rPr>
          <w:color w:val="000000"/>
          <w:sz w:val="24"/>
          <w:szCs w:val="24"/>
        </w:rPr>
        <w:t>r</w:t>
      </w:r>
      <w:r>
        <w:rPr>
          <w:color w:val="000000"/>
          <w:sz w:val="24"/>
          <w:szCs w:val="24"/>
        </w:rPr>
        <w:t>aise productivity and reduce operating costs</w:t>
      </w:r>
    </w:p>
    <w:p w14:paraId="47564E07" w14:textId="7D3D60AF" w:rsidR="0016124B" w:rsidRDefault="007B7189" w:rsidP="00A1506C">
      <w:pPr>
        <w:jc w:val="both"/>
        <w:rPr>
          <w:color w:val="000000"/>
          <w:sz w:val="24"/>
          <w:szCs w:val="24"/>
        </w:rPr>
      </w:pPr>
      <w:r>
        <w:rPr>
          <w:color w:val="000000"/>
          <w:sz w:val="24"/>
          <w:szCs w:val="24"/>
        </w:rPr>
        <w:t>•</w:t>
      </w:r>
      <w:r>
        <w:rPr>
          <w:color w:val="000000"/>
          <w:sz w:val="24"/>
          <w:szCs w:val="24"/>
        </w:rPr>
        <w:tab/>
      </w:r>
      <w:r w:rsidR="00B239D2">
        <w:rPr>
          <w:color w:val="000000"/>
          <w:sz w:val="24"/>
          <w:szCs w:val="24"/>
        </w:rPr>
        <w:t>c</w:t>
      </w:r>
      <w:r>
        <w:rPr>
          <w:color w:val="000000"/>
          <w:sz w:val="24"/>
          <w:szCs w:val="24"/>
        </w:rPr>
        <w:t>reate visionary and inspirational leadership</w:t>
      </w:r>
    </w:p>
    <w:p w14:paraId="54FC42D3" w14:textId="0E27AD88" w:rsidR="0016124B" w:rsidRDefault="007B7189" w:rsidP="00A1506C">
      <w:pPr>
        <w:jc w:val="both"/>
        <w:rPr>
          <w:color w:val="000000"/>
          <w:sz w:val="24"/>
          <w:szCs w:val="24"/>
        </w:rPr>
      </w:pPr>
      <w:r>
        <w:rPr>
          <w:color w:val="000000"/>
          <w:sz w:val="24"/>
          <w:szCs w:val="24"/>
        </w:rPr>
        <w:t>•</w:t>
      </w:r>
      <w:r>
        <w:rPr>
          <w:color w:val="000000"/>
          <w:sz w:val="24"/>
          <w:szCs w:val="24"/>
        </w:rPr>
        <w:tab/>
      </w:r>
      <w:r w:rsidR="00B239D2">
        <w:rPr>
          <w:color w:val="000000"/>
          <w:sz w:val="24"/>
          <w:szCs w:val="24"/>
        </w:rPr>
        <w:t>d</w:t>
      </w:r>
      <w:r>
        <w:rPr>
          <w:color w:val="000000"/>
          <w:sz w:val="24"/>
          <w:szCs w:val="24"/>
        </w:rPr>
        <w:t>rive innovation in products and services</w:t>
      </w:r>
    </w:p>
    <w:p w14:paraId="6C9C8226" w14:textId="5A6F643F" w:rsidR="0016124B" w:rsidRDefault="007B7189" w:rsidP="00A1506C">
      <w:pPr>
        <w:jc w:val="both"/>
        <w:rPr>
          <w:color w:val="000000"/>
          <w:sz w:val="24"/>
          <w:szCs w:val="24"/>
        </w:rPr>
      </w:pPr>
      <w:r>
        <w:rPr>
          <w:color w:val="000000"/>
          <w:sz w:val="24"/>
          <w:szCs w:val="24"/>
        </w:rPr>
        <w:t>•</w:t>
      </w:r>
      <w:r>
        <w:rPr>
          <w:color w:val="000000"/>
          <w:sz w:val="24"/>
          <w:szCs w:val="24"/>
        </w:rPr>
        <w:tab/>
      </w:r>
      <w:r w:rsidR="00B239D2">
        <w:rPr>
          <w:color w:val="000000"/>
          <w:sz w:val="24"/>
          <w:szCs w:val="24"/>
        </w:rPr>
        <w:t>i</w:t>
      </w:r>
      <w:r>
        <w:rPr>
          <w:color w:val="000000"/>
          <w:sz w:val="24"/>
          <w:szCs w:val="24"/>
        </w:rPr>
        <w:t>mprove customer service and perception of value</w:t>
      </w:r>
    </w:p>
    <w:p w14:paraId="4B39E26A" w14:textId="1CD7681D" w:rsidR="0016124B" w:rsidRDefault="007B7189" w:rsidP="00A1506C">
      <w:pPr>
        <w:jc w:val="both"/>
        <w:rPr>
          <w:color w:val="000000"/>
          <w:sz w:val="24"/>
          <w:szCs w:val="24"/>
        </w:rPr>
      </w:pPr>
      <w:r>
        <w:rPr>
          <w:color w:val="000000"/>
          <w:sz w:val="24"/>
          <w:szCs w:val="24"/>
        </w:rPr>
        <w:t>•</w:t>
      </w:r>
      <w:r>
        <w:rPr>
          <w:color w:val="000000"/>
          <w:sz w:val="24"/>
          <w:szCs w:val="24"/>
        </w:rPr>
        <w:tab/>
      </w:r>
      <w:r w:rsidR="00B239D2">
        <w:rPr>
          <w:color w:val="000000"/>
          <w:sz w:val="24"/>
          <w:szCs w:val="24"/>
        </w:rPr>
        <w:t>i</w:t>
      </w:r>
      <w:r>
        <w:rPr>
          <w:color w:val="000000"/>
          <w:sz w:val="24"/>
          <w:szCs w:val="24"/>
        </w:rPr>
        <w:t>ncrease market penetration and revenue</w:t>
      </w:r>
    </w:p>
    <w:p w14:paraId="06AFEB08" w14:textId="3F5C2CD4" w:rsidR="0016124B" w:rsidRDefault="007B7189" w:rsidP="00A1506C">
      <w:pPr>
        <w:jc w:val="both"/>
        <w:rPr>
          <w:color w:val="000000"/>
          <w:sz w:val="24"/>
          <w:szCs w:val="24"/>
        </w:rPr>
      </w:pPr>
      <w:r>
        <w:rPr>
          <w:color w:val="000000"/>
          <w:sz w:val="24"/>
          <w:szCs w:val="24"/>
        </w:rPr>
        <w:t>•</w:t>
      </w:r>
      <w:r>
        <w:rPr>
          <w:color w:val="000000"/>
          <w:sz w:val="24"/>
          <w:szCs w:val="24"/>
        </w:rPr>
        <w:tab/>
      </w:r>
      <w:r w:rsidR="00B239D2">
        <w:rPr>
          <w:color w:val="000000"/>
          <w:sz w:val="24"/>
          <w:szCs w:val="24"/>
        </w:rPr>
        <w:t>c</w:t>
      </w:r>
      <w:r>
        <w:rPr>
          <w:color w:val="000000"/>
          <w:sz w:val="24"/>
          <w:szCs w:val="24"/>
        </w:rPr>
        <w:t>reate effective business planned processes</w:t>
      </w:r>
    </w:p>
    <w:p w14:paraId="25D84250" w14:textId="38756375" w:rsidR="0016124B" w:rsidRDefault="007B7189" w:rsidP="00A1506C">
      <w:pPr>
        <w:jc w:val="both"/>
        <w:rPr>
          <w:color w:val="000000"/>
          <w:sz w:val="24"/>
          <w:szCs w:val="24"/>
        </w:rPr>
      </w:pPr>
      <w:r>
        <w:rPr>
          <w:color w:val="000000"/>
          <w:sz w:val="24"/>
          <w:szCs w:val="24"/>
        </w:rPr>
        <w:t>•</w:t>
      </w:r>
      <w:r>
        <w:rPr>
          <w:color w:val="000000"/>
          <w:sz w:val="24"/>
          <w:szCs w:val="24"/>
        </w:rPr>
        <w:tab/>
      </w:r>
      <w:r w:rsidR="00B239D2">
        <w:rPr>
          <w:color w:val="000000"/>
          <w:sz w:val="24"/>
          <w:szCs w:val="24"/>
        </w:rPr>
        <w:t>e</w:t>
      </w:r>
      <w:r>
        <w:rPr>
          <w:color w:val="000000"/>
          <w:sz w:val="24"/>
          <w:szCs w:val="24"/>
        </w:rPr>
        <w:t>ngage teams in the process of improvement and increase staff satisfaction</w:t>
      </w:r>
    </w:p>
    <w:p w14:paraId="7474B793" w14:textId="51D1E393" w:rsidR="0016124B" w:rsidRDefault="007B7189" w:rsidP="00A1506C">
      <w:pPr>
        <w:ind w:left="720" w:hanging="720"/>
        <w:jc w:val="both"/>
        <w:rPr>
          <w:color w:val="000000"/>
          <w:sz w:val="24"/>
          <w:szCs w:val="24"/>
        </w:rPr>
      </w:pPr>
      <w:r>
        <w:rPr>
          <w:color w:val="000000"/>
          <w:sz w:val="24"/>
          <w:szCs w:val="24"/>
        </w:rPr>
        <w:t>•</w:t>
      </w:r>
      <w:r>
        <w:rPr>
          <w:color w:val="000000"/>
          <w:sz w:val="24"/>
          <w:szCs w:val="24"/>
        </w:rPr>
        <w:tab/>
      </w:r>
      <w:r w:rsidR="00B239D2">
        <w:rPr>
          <w:color w:val="000000"/>
          <w:sz w:val="24"/>
          <w:szCs w:val="24"/>
        </w:rPr>
        <w:t>i</w:t>
      </w:r>
      <w:r>
        <w:rPr>
          <w:color w:val="000000"/>
          <w:sz w:val="24"/>
          <w:szCs w:val="24"/>
        </w:rPr>
        <w:t>mprove their decision-making capabilities and increase their capacity to manage change.</w:t>
      </w:r>
    </w:p>
    <w:p w14:paraId="3CB36B4D" w14:textId="77777777" w:rsidR="0016124B" w:rsidRDefault="007B7189" w:rsidP="00A1506C">
      <w:pPr>
        <w:jc w:val="both"/>
        <w:rPr>
          <w:color w:val="000000"/>
          <w:sz w:val="24"/>
          <w:szCs w:val="24"/>
        </w:rPr>
      </w:pPr>
      <w:r>
        <w:rPr>
          <w:color w:val="000000"/>
          <w:sz w:val="24"/>
          <w:szCs w:val="24"/>
        </w:rPr>
        <w:t>There are strong connections between excellence, innovation, and both customer satisfaction and employee engagement which lead to other commercial and economic benefits, including:</w:t>
      </w:r>
    </w:p>
    <w:p w14:paraId="4A284E33" w14:textId="77777777" w:rsidR="0016124B" w:rsidRDefault="007B7189" w:rsidP="00A1506C">
      <w:pPr>
        <w:jc w:val="both"/>
        <w:rPr>
          <w:color w:val="000000"/>
          <w:sz w:val="24"/>
          <w:szCs w:val="24"/>
        </w:rPr>
      </w:pPr>
      <w:r>
        <w:rPr>
          <w:color w:val="000000"/>
          <w:sz w:val="24"/>
          <w:szCs w:val="24"/>
        </w:rPr>
        <w:t>•</w:t>
      </w:r>
      <w:r>
        <w:rPr>
          <w:color w:val="000000"/>
          <w:sz w:val="24"/>
          <w:szCs w:val="24"/>
        </w:rPr>
        <w:tab/>
        <w:t>international competitiveness</w:t>
      </w:r>
    </w:p>
    <w:p w14:paraId="074CE395" w14:textId="77777777" w:rsidR="0016124B" w:rsidRDefault="007B7189" w:rsidP="00A1506C">
      <w:pPr>
        <w:jc w:val="both"/>
        <w:rPr>
          <w:color w:val="000000"/>
          <w:sz w:val="24"/>
          <w:szCs w:val="24"/>
        </w:rPr>
      </w:pPr>
      <w:r>
        <w:rPr>
          <w:color w:val="000000"/>
          <w:sz w:val="24"/>
          <w:szCs w:val="24"/>
        </w:rPr>
        <w:t>•</w:t>
      </w:r>
      <w:r>
        <w:rPr>
          <w:color w:val="000000"/>
          <w:sz w:val="24"/>
          <w:szCs w:val="24"/>
        </w:rPr>
        <w:tab/>
        <w:t>higher productivity</w:t>
      </w:r>
    </w:p>
    <w:p w14:paraId="2BC37192" w14:textId="77777777" w:rsidR="0016124B" w:rsidRDefault="007B7189" w:rsidP="00A1506C">
      <w:pPr>
        <w:jc w:val="both"/>
        <w:rPr>
          <w:color w:val="000000"/>
          <w:sz w:val="24"/>
          <w:szCs w:val="24"/>
        </w:rPr>
      </w:pPr>
      <w:r>
        <w:rPr>
          <w:color w:val="000000"/>
          <w:sz w:val="24"/>
          <w:szCs w:val="24"/>
        </w:rPr>
        <w:t>•</w:t>
      </w:r>
      <w:r>
        <w:rPr>
          <w:color w:val="000000"/>
          <w:sz w:val="24"/>
          <w:szCs w:val="24"/>
        </w:rPr>
        <w:tab/>
        <w:t>reduced stress</w:t>
      </w:r>
    </w:p>
    <w:p w14:paraId="03E8A87D" w14:textId="77777777" w:rsidR="0016124B" w:rsidRDefault="007B7189" w:rsidP="00A1506C">
      <w:pPr>
        <w:jc w:val="both"/>
        <w:rPr>
          <w:color w:val="000000"/>
          <w:sz w:val="24"/>
          <w:szCs w:val="24"/>
        </w:rPr>
      </w:pPr>
      <w:r>
        <w:rPr>
          <w:color w:val="000000"/>
          <w:sz w:val="24"/>
          <w:szCs w:val="24"/>
        </w:rPr>
        <w:t>•</w:t>
      </w:r>
      <w:r>
        <w:rPr>
          <w:color w:val="000000"/>
          <w:sz w:val="24"/>
          <w:szCs w:val="24"/>
        </w:rPr>
        <w:tab/>
        <w:t>improved mental health</w:t>
      </w:r>
    </w:p>
    <w:p w14:paraId="0F946A9A" w14:textId="77777777" w:rsidR="0016124B" w:rsidRDefault="007B7189" w:rsidP="00A1506C">
      <w:pPr>
        <w:jc w:val="both"/>
        <w:rPr>
          <w:color w:val="000000"/>
          <w:sz w:val="24"/>
          <w:szCs w:val="24"/>
        </w:rPr>
      </w:pPr>
      <w:r>
        <w:rPr>
          <w:color w:val="000000"/>
          <w:sz w:val="24"/>
          <w:szCs w:val="24"/>
        </w:rPr>
        <w:t>•</w:t>
      </w:r>
      <w:r>
        <w:rPr>
          <w:color w:val="000000"/>
          <w:sz w:val="24"/>
          <w:szCs w:val="24"/>
        </w:rPr>
        <w:tab/>
        <w:t>lower absenteeism</w:t>
      </w:r>
    </w:p>
    <w:p w14:paraId="4BCA4959" w14:textId="77777777" w:rsidR="0016124B" w:rsidRDefault="007B7189" w:rsidP="00A1506C">
      <w:pPr>
        <w:jc w:val="both"/>
        <w:rPr>
          <w:color w:val="000000"/>
          <w:sz w:val="24"/>
          <w:szCs w:val="24"/>
        </w:rPr>
      </w:pPr>
      <w:r>
        <w:rPr>
          <w:color w:val="000000"/>
          <w:sz w:val="24"/>
          <w:szCs w:val="24"/>
        </w:rPr>
        <w:t>•</w:t>
      </w:r>
      <w:r>
        <w:rPr>
          <w:color w:val="000000"/>
          <w:sz w:val="24"/>
          <w:szCs w:val="24"/>
        </w:rPr>
        <w:tab/>
        <w:t>lower health care costs</w:t>
      </w:r>
    </w:p>
    <w:p w14:paraId="2A6CA60A" w14:textId="5DB5C49F" w:rsidR="0016124B" w:rsidRDefault="007B7189" w:rsidP="00A1506C">
      <w:pPr>
        <w:jc w:val="both"/>
        <w:rPr>
          <w:color w:val="000000"/>
          <w:sz w:val="24"/>
          <w:szCs w:val="24"/>
        </w:rPr>
      </w:pPr>
      <w:r>
        <w:rPr>
          <w:color w:val="000000"/>
          <w:sz w:val="24"/>
          <w:szCs w:val="24"/>
        </w:rPr>
        <w:t>•</w:t>
      </w:r>
      <w:r>
        <w:rPr>
          <w:color w:val="000000"/>
          <w:sz w:val="24"/>
          <w:szCs w:val="24"/>
        </w:rPr>
        <w:tab/>
        <w:t>improved social cohesion</w:t>
      </w:r>
      <w:r w:rsidR="004A33A4">
        <w:rPr>
          <w:color w:val="000000"/>
          <w:sz w:val="24"/>
          <w:szCs w:val="24"/>
        </w:rPr>
        <w:t>.</w:t>
      </w:r>
    </w:p>
    <w:p w14:paraId="252A84C8" w14:textId="1EB60AF9" w:rsidR="0016124B" w:rsidRDefault="007B7189" w:rsidP="00A1506C">
      <w:pPr>
        <w:jc w:val="both"/>
        <w:rPr>
          <w:color w:val="000000"/>
          <w:sz w:val="24"/>
          <w:szCs w:val="24"/>
        </w:rPr>
      </w:pPr>
      <w:r>
        <w:rPr>
          <w:color w:val="000000"/>
          <w:sz w:val="24"/>
          <w:szCs w:val="24"/>
        </w:rPr>
        <w:t>It is clearly in Australia</w:t>
      </w:r>
      <w:r w:rsidR="00C214F9">
        <w:rPr>
          <w:color w:val="000000"/>
          <w:sz w:val="24"/>
          <w:szCs w:val="24"/>
        </w:rPr>
        <w:t>'</w:t>
      </w:r>
      <w:r>
        <w:rPr>
          <w:color w:val="000000"/>
          <w:sz w:val="24"/>
          <w:szCs w:val="24"/>
        </w:rPr>
        <w:t xml:space="preserve">s economic interest </w:t>
      </w:r>
      <w:r w:rsidR="00946C23">
        <w:rPr>
          <w:color w:val="000000"/>
          <w:sz w:val="24"/>
          <w:szCs w:val="24"/>
        </w:rPr>
        <w:t xml:space="preserve">for all organisations </w:t>
      </w:r>
      <w:r>
        <w:rPr>
          <w:color w:val="000000"/>
          <w:sz w:val="24"/>
          <w:szCs w:val="24"/>
        </w:rPr>
        <w:t>to adopt and promote the principles of organisational excellence as extensively as possible.</w:t>
      </w:r>
    </w:p>
    <w:p w14:paraId="60E3DC80" w14:textId="1C98702B" w:rsidR="001301DD" w:rsidRDefault="001301DD" w:rsidP="00A1506C">
      <w:pPr>
        <w:jc w:val="both"/>
        <w:rPr>
          <w:b/>
          <w:sz w:val="24"/>
          <w:szCs w:val="24"/>
        </w:rPr>
      </w:pPr>
      <w:r>
        <w:rPr>
          <w:b/>
          <w:sz w:val="24"/>
          <w:szCs w:val="24"/>
        </w:rPr>
        <w:br w:type="page"/>
      </w:r>
    </w:p>
    <w:p w14:paraId="208EFB3C" w14:textId="77777777" w:rsidR="0016124B" w:rsidRDefault="007B7189">
      <w:pPr>
        <w:pStyle w:val="Heading1"/>
        <w:numPr>
          <w:ilvl w:val="0"/>
          <w:numId w:val="5"/>
        </w:numPr>
      </w:pPr>
      <w:r>
        <w:lastRenderedPageBreak/>
        <w:t>Recommendations</w:t>
      </w:r>
    </w:p>
    <w:p w14:paraId="2848F362" w14:textId="77777777" w:rsidR="0016124B" w:rsidRDefault="0016124B">
      <w:pPr>
        <w:spacing w:after="0" w:line="240" w:lineRule="auto"/>
        <w:jc w:val="both"/>
        <w:rPr>
          <w:sz w:val="24"/>
          <w:szCs w:val="24"/>
        </w:rPr>
      </w:pPr>
    </w:p>
    <w:p w14:paraId="7F07261D" w14:textId="31E8F6A5" w:rsidR="009D3026" w:rsidRDefault="007B7189">
      <w:pPr>
        <w:spacing w:after="0" w:line="240" w:lineRule="auto"/>
        <w:jc w:val="both"/>
        <w:rPr>
          <w:sz w:val="24"/>
          <w:szCs w:val="24"/>
        </w:rPr>
      </w:pPr>
      <w:r>
        <w:rPr>
          <w:sz w:val="24"/>
          <w:szCs w:val="24"/>
        </w:rPr>
        <w:t xml:space="preserve">The recommendations in the following table identify areas where Government investment and support </w:t>
      </w:r>
      <w:r w:rsidR="00B64CE6">
        <w:rPr>
          <w:sz w:val="24"/>
          <w:szCs w:val="24"/>
        </w:rPr>
        <w:t>are urgently required to improve organisational capability by focusing</w:t>
      </w:r>
      <w:r>
        <w:rPr>
          <w:sz w:val="24"/>
          <w:szCs w:val="24"/>
        </w:rPr>
        <w:t xml:space="preserve"> on productivity and innovation.  BEA welcome</w:t>
      </w:r>
      <w:r w:rsidR="00C25DFD">
        <w:rPr>
          <w:sz w:val="24"/>
          <w:szCs w:val="24"/>
        </w:rPr>
        <w:t>s</w:t>
      </w:r>
      <w:r>
        <w:rPr>
          <w:sz w:val="24"/>
          <w:szCs w:val="24"/>
        </w:rPr>
        <w:t xml:space="preserve"> the opportunity to consult with the Government on these recommendations</w:t>
      </w:r>
      <w:r w:rsidR="001546C0">
        <w:rPr>
          <w:sz w:val="24"/>
          <w:szCs w:val="24"/>
        </w:rPr>
        <w:t>:</w:t>
      </w:r>
    </w:p>
    <w:p w14:paraId="0F043E1F" w14:textId="77777777" w:rsidR="001546C0" w:rsidRDefault="001546C0">
      <w:pPr>
        <w:spacing w:after="0" w:line="240" w:lineRule="auto"/>
        <w:jc w:val="both"/>
        <w:rPr>
          <w:sz w:val="24"/>
          <w:szCs w:val="24"/>
        </w:rPr>
      </w:pPr>
    </w:p>
    <w:tbl>
      <w:tblPr>
        <w:tblStyle w:val="a1"/>
        <w:tblW w:w="9346" w:type="dxa"/>
        <w:tblBorders>
          <w:top w:val="nil"/>
          <w:left w:val="nil"/>
          <w:bottom w:val="nil"/>
          <w:right w:val="nil"/>
          <w:insideH w:val="nil"/>
          <w:insideV w:val="nil"/>
        </w:tblBorders>
        <w:tblLayout w:type="fixed"/>
        <w:tblLook w:val="0600" w:firstRow="0" w:lastRow="0" w:firstColumn="0" w:lastColumn="0" w:noHBand="1" w:noVBand="1"/>
      </w:tblPr>
      <w:tblGrid>
        <w:gridCol w:w="308"/>
        <w:gridCol w:w="2836"/>
        <w:gridCol w:w="6202"/>
      </w:tblGrid>
      <w:tr w:rsidR="0016124B" w14:paraId="00F7A31B" w14:textId="77777777" w:rsidTr="009D3026">
        <w:trPr>
          <w:trHeight w:val="315"/>
        </w:trPr>
        <w:tc>
          <w:tcPr>
            <w:tcW w:w="308" w:type="dxa"/>
            <w:tcBorders>
              <w:top w:val="single" w:sz="8" w:space="0" w:color="FFFFFF"/>
              <w:left w:val="single" w:sz="8" w:space="0" w:color="FFFFFF"/>
              <w:bottom w:val="single" w:sz="24" w:space="0" w:color="FFFFFF"/>
              <w:right w:val="single" w:sz="8" w:space="0" w:color="FFFFFF"/>
            </w:tcBorders>
            <w:shd w:val="clear" w:color="auto" w:fill="4472C4"/>
            <w:tcMar>
              <w:top w:w="80" w:type="dxa"/>
              <w:left w:w="140" w:type="dxa"/>
              <w:bottom w:w="80" w:type="dxa"/>
              <w:right w:w="140" w:type="dxa"/>
            </w:tcMar>
          </w:tcPr>
          <w:p w14:paraId="798630AB" w14:textId="77777777" w:rsidR="0016124B" w:rsidRPr="009D3026" w:rsidRDefault="0016124B">
            <w:pPr>
              <w:widowControl w:val="0"/>
              <w:pBdr>
                <w:top w:val="nil"/>
                <w:left w:val="nil"/>
                <w:bottom w:val="nil"/>
                <w:right w:val="nil"/>
                <w:between w:val="nil"/>
              </w:pBdr>
              <w:spacing w:after="0" w:line="276" w:lineRule="auto"/>
              <w:rPr>
                <w:sz w:val="28"/>
                <w:szCs w:val="28"/>
              </w:rPr>
            </w:pPr>
          </w:p>
        </w:tc>
        <w:tc>
          <w:tcPr>
            <w:tcW w:w="9038" w:type="dxa"/>
            <w:gridSpan w:val="2"/>
            <w:tcBorders>
              <w:top w:val="single" w:sz="8" w:space="0" w:color="FFFFFF"/>
              <w:left w:val="single" w:sz="8" w:space="0" w:color="FFFFFF"/>
              <w:bottom w:val="single" w:sz="24" w:space="0" w:color="FFFFFF"/>
              <w:right w:val="single" w:sz="8" w:space="0" w:color="FFFFFF"/>
            </w:tcBorders>
            <w:shd w:val="clear" w:color="auto" w:fill="4472C4"/>
            <w:tcMar>
              <w:top w:w="80" w:type="dxa"/>
              <w:left w:w="140" w:type="dxa"/>
              <w:bottom w:w="80" w:type="dxa"/>
              <w:right w:w="140" w:type="dxa"/>
            </w:tcMar>
          </w:tcPr>
          <w:p w14:paraId="2C0618F1" w14:textId="0D4C1249" w:rsidR="0016124B" w:rsidRPr="009D3026" w:rsidRDefault="007B7189">
            <w:pPr>
              <w:spacing w:after="0" w:line="240" w:lineRule="auto"/>
              <w:jc w:val="both"/>
              <w:rPr>
                <w:b/>
                <w:color w:val="FFFFFF"/>
                <w:sz w:val="28"/>
                <w:szCs w:val="28"/>
              </w:rPr>
            </w:pPr>
            <w:r w:rsidRPr="009D3026">
              <w:rPr>
                <w:b/>
                <w:color w:val="FFFFFF"/>
                <w:sz w:val="28"/>
                <w:szCs w:val="28"/>
              </w:rPr>
              <w:t xml:space="preserve">      Business Excellence Australia</w:t>
            </w:r>
            <w:r w:rsidR="00C214F9">
              <w:rPr>
                <w:b/>
                <w:color w:val="FFFFFF"/>
                <w:sz w:val="28"/>
                <w:szCs w:val="28"/>
              </w:rPr>
              <w:t>'</w:t>
            </w:r>
            <w:r w:rsidRPr="009D3026">
              <w:rPr>
                <w:b/>
                <w:color w:val="FFFFFF"/>
                <w:sz w:val="28"/>
                <w:szCs w:val="28"/>
              </w:rPr>
              <w:t>s Recommendations</w:t>
            </w:r>
          </w:p>
        </w:tc>
      </w:tr>
      <w:tr w:rsidR="0016124B" w14:paraId="780FC9C4" w14:textId="77777777" w:rsidTr="009D3026">
        <w:trPr>
          <w:trHeight w:val="3245"/>
        </w:trPr>
        <w:tc>
          <w:tcPr>
            <w:tcW w:w="308" w:type="dxa"/>
            <w:tcBorders>
              <w:top w:val="single" w:sz="24"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3738F636" w14:textId="77777777" w:rsidR="0016124B" w:rsidRDefault="007B7189">
            <w:pPr>
              <w:spacing w:after="0" w:line="240" w:lineRule="auto"/>
              <w:jc w:val="both"/>
              <w:rPr>
                <w:sz w:val="24"/>
                <w:szCs w:val="24"/>
              </w:rPr>
            </w:pPr>
            <w:r>
              <w:rPr>
                <w:sz w:val="24"/>
                <w:szCs w:val="24"/>
              </w:rPr>
              <w:t>1</w:t>
            </w:r>
          </w:p>
        </w:tc>
        <w:tc>
          <w:tcPr>
            <w:tcW w:w="2836" w:type="dxa"/>
            <w:tcBorders>
              <w:top w:val="single" w:sz="24"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1F4A4053" w14:textId="77777777" w:rsidR="0016124B" w:rsidRDefault="007B7189">
            <w:pPr>
              <w:spacing w:after="0" w:line="240" w:lineRule="auto"/>
              <w:jc w:val="both"/>
              <w:rPr>
                <w:sz w:val="24"/>
                <w:szCs w:val="24"/>
              </w:rPr>
            </w:pPr>
            <w:r>
              <w:rPr>
                <w:sz w:val="24"/>
                <w:szCs w:val="24"/>
              </w:rPr>
              <w:t xml:space="preserve">Support for the </w:t>
            </w:r>
          </w:p>
          <w:p w14:paraId="7E9272C3" w14:textId="77777777" w:rsidR="0016124B" w:rsidRDefault="007B7189">
            <w:pPr>
              <w:spacing w:after="0" w:line="240" w:lineRule="auto"/>
              <w:jc w:val="both"/>
              <w:rPr>
                <w:sz w:val="24"/>
                <w:szCs w:val="24"/>
              </w:rPr>
            </w:pPr>
            <w:r>
              <w:rPr>
                <w:sz w:val="24"/>
                <w:szCs w:val="24"/>
              </w:rPr>
              <w:t xml:space="preserve">continuation of BEA as the peak body to lead </w:t>
            </w:r>
          </w:p>
          <w:p w14:paraId="53498F09" w14:textId="7DA8F9AD" w:rsidR="0016124B" w:rsidRDefault="007B7189">
            <w:pPr>
              <w:spacing w:after="0" w:line="240" w:lineRule="auto"/>
              <w:jc w:val="both"/>
              <w:rPr>
                <w:sz w:val="24"/>
                <w:szCs w:val="24"/>
              </w:rPr>
            </w:pPr>
            <w:r>
              <w:rPr>
                <w:sz w:val="24"/>
                <w:szCs w:val="24"/>
              </w:rPr>
              <w:t>Australia</w:t>
            </w:r>
            <w:r w:rsidR="00C214F9">
              <w:rPr>
                <w:sz w:val="24"/>
                <w:szCs w:val="24"/>
              </w:rPr>
              <w:t>'</w:t>
            </w:r>
            <w:r>
              <w:rPr>
                <w:sz w:val="24"/>
                <w:szCs w:val="24"/>
              </w:rPr>
              <w:t xml:space="preserve">s efforts in </w:t>
            </w:r>
          </w:p>
          <w:p w14:paraId="48013133" w14:textId="77777777" w:rsidR="0016124B" w:rsidRDefault="007B7189">
            <w:pPr>
              <w:spacing w:after="0" w:line="240" w:lineRule="auto"/>
              <w:jc w:val="both"/>
              <w:rPr>
                <w:sz w:val="24"/>
                <w:szCs w:val="24"/>
              </w:rPr>
            </w:pPr>
            <w:r>
              <w:rPr>
                <w:sz w:val="24"/>
                <w:szCs w:val="24"/>
              </w:rPr>
              <w:t>developing organisational</w:t>
            </w:r>
          </w:p>
          <w:p w14:paraId="70C93EB3" w14:textId="77777777" w:rsidR="0016124B" w:rsidRDefault="007B7189">
            <w:pPr>
              <w:spacing w:after="0" w:line="240" w:lineRule="auto"/>
              <w:jc w:val="both"/>
              <w:rPr>
                <w:sz w:val="24"/>
                <w:szCs w:val="24"/>
              </w:rPr>
            </w:pPr>
            <w:r>
              <w:rPr>
                <w:sz w:val="24"/>
                <w:szCs w:val="24"/>
              </w:rPr>
              <w:t>excellence and capability</w:t>
            </w:r>
          </w:p>
          <w:p w14:paraId="73775CAC" w14:textId="77777777" w:rsidR="0016124B" w:rsidRDefault="007B7189">
            <w:pPr>
              <w:spacing w:after="0" w:line="240" w:lineRule="auto"/>
              <w:jc w:val="both"/>
              <w:rPr>
                <w:sz w:val="24"/>
                <w:szCs w:val="24"/>
              </w:rPr>
            </w:pPr>
            <w:r>
              <w:rPr>
                <w:sz w:val="24"/>
                <w:szCs w:val="24"/>
              </w:rPr>
              <w:t>to embrace innovation.</w:t>
            </w:r>
          </w:p>
        </w:tc>
        <w:tc>
          <w:tcPr>
            <w:tcW w:w="6202" w:type="dxa"/>
            <w:tcBorders>
              <w:top w:val="single" w:sz="24"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452B383B" w14:textId="77777777" w:rsidR="0016124B" w:rsidRDefault="007B7189">
            <w:pPr>
              <w:spacing w:after="0" w:line="240" w:lineRule="auto"/>
              <w:jc w:val="both"/>
              <w:rPr>
                <w:sz w:val="24"/>
                <w:szCs w:val="24"/>
              </w:rPr>
            </w:pPr>
            <w:r>
              <w:rPr>
                <w:rFonts w:ascii="Arial" w:eastAsia="Arial" w:hAnsi="Arial" w:cs="Arial"/>
                <w:sz w:val="24"/>
                <w:szCs w:val="24"/>
              </w:rPr>
              <w:t>•</w:t>
            </w:r>
            <w:r>
              <w:rPr>
                <w:sz w:val="24"/>
                <w:szCs w:val="24"/>
              </w:rPr>
              <w:t>Formally nominate BEA as the peak Australian body for organisational excellence.</w:t>
            </w:r>
          </w:p>
          <w:p w14:paraId="2619121E" w14:textId="77777777" w:rsidR="0016124B" w:rsidRDefault="0016124B">
            <w:pPr>
              <w:spacing w:after="0" w:line="240" w:lineRule="auto"/>
              <w:jc w:val="both"/>
              <w:rPr>
                <w:sz w:val="24"/>
                <w:szCs w:val="24"/>
              </w:rPr>
            </w:pPr>
          </w:p>
          <w:p w14:paraId="2AD8C4D8" w14:textId="77777777" w:rsidR="0016124B" w:rsidRDefault="007B7189">
            <w:pPr>
              <w:spacing w:after="0" w:line="240" w:lineRule="auto"/>
              <w:jc w:val="both"/>
              <w:rPr>
                <w:sz w:val="24"/>
                <w:szCs w:val="24"/>
              </w:rPr>
            </w:pPr>
            <w:r>
              <w:rPr>
                <w:rFonts w:ascii="Arial" w:eastAsia="Arial" w:hAnsi="Arial" w:cs="Arial"/>
                <w:sz w:val="24"/>
                <w:szCs w:val="24"/>
              </w:rPr>
              <w:t>•</w:t>
            </w:r>
            <w:r>
              <w:rPr>
                <w:sz w:val="24"/>
                <w:szCs w:val="24"/>
              </w:rPr>
              <w:t>Support the organisation to set up a structure that runs self-funding programs that enables it to educate, advocate, promote and recognise organisational excellence in Australia.</w:t>
            </w:r>
          </w:p>
          <w:p w14:paraId="590451EF" w14:textId="77777777" w:rsidR="0016124B" w:rsidRDefault="0016124B">
            <w:pPr>
              <w:spacing w:after="0" w:line="240" w:lineRule="auto"/>
              <w:jc w:val="both"/>
              <w:rPr>
                <w:sz w:val="24"/>
                <w:szCs w:val="24"/>
              </w:rPr>
            </w:pPr>
          </w:p>
          <w:p w14:paraId="15C811E6" w14:textId="77777777" w:rsidR="0016124B" w:rsidRDefault="007B7189">
            <w:pPr>
              <w:spacing w:after="0" w:line="240" w:lineRule="auto"/>
              <w:jc w:val="both"/>
              <w:rPr>
                <w:sz w:val="24"/>
                <w:szCs w:val="24"/>
              </w:rPr>
            </w:pPr>
            <w:r>
              <w:rPr>
                <w:rFonts w:ascii="Arial" w:eastAsia="Arial" w:hAnsi="Arial" w:cs="Arial"/>
                <w:sz w:val="24"/>
                <w:szCs w:val="24"/>
              </w:rPr>
              <w:t>•</w:t>
            </w:r>
            <w:r>
              <w:rPr>
                <w:sz w:val="24"/>
                <w:szCs w:val="24"/>
              </w:rPr>
              <w:t>Provide initial financial support during the further establishment of the organisational structure that will enable a self-funding long-term business model.</w:t>
            </w:r>
          </w:p>
          <w:p w14:paraId="37635063" w14:textId="77777777" w:rsidR="0016124B" w:rsidRDefault="0016124B">
            <w:pPr>
              <w:spacing w:after="0" w:line="240" w:lineRule="auto"/>
              <w:jc w:val="both"/>
              <w:rPr>
                <w:rFonts w:ascii="Arial" w:eastAsia="Arial" w:hAnsi="Arial" w:cs="Arial"/>
                <w:sz w:val="24"/>
                <w:szCs w:val="24"/>
              </w:rPr>
            </w:pPr>
          </w:p>
        </w:tc>
      </w:tr>
      <w:tr w:rsidR="0016124B" w14:paraId="5BB14FE0" w14:textId="77777777" w:rsidTr="009D3026">
        <w:trPr>
          <w:trHeight w:val="2736"/>
        </w:trPr>
        <w:tc>
          <w:tcPr>
            <w:tcW w:w="308"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10BC6250" w14:textId="77777777" w:rsidR="0016124B" w:rsidRDefault="007B7189">
            <w:pPr>
              <w:spacing w:after="0" w:line="240" w:lineRule="auto"/>
              <w:jc w:val="both"/>
              <w:rPr>
                <w:sz w:val="24"/>
                <w:szCs w:val="24"/>
              </w:rPr>
            </w:pPr>
            <w:r>
              <w:rPr>
                <w:sz w:val="24"/>
                <w:szCs w:val="24"/>
              </w:rPr>
              <w:t>2</w:t>
            </w:r>
          </w:p>
        </w:tc>
        <w:tc>
          <w:tcPr>
            <w:tcW w:w="2836"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26143F27" w14:textId="77777777" w:rsidR="0016124B" w:rsidRDefault="007B7189">
            <w:pPr>
              <w:spacing w:after="0" w:line="240" w:lineRule="auto"/>
              <w:jc w:val="both"/>
              <w:rPr>
                <w:sz w:val="24"/>
                <w:szCs w:val="24"/>
              </w:rPr>
            </w:pPr>
            <w:r>
              <w:rPr>
                <w:sz w:val="24"/>
                <w:szCs w:val="24"/>
              </w:rPr>
              <w:t xml:space="preserve">Support the Australian </w:t>
            </w:r>
          </w:p>
          <w:p w14:paraId="71C77576" w14:textId="77777777" w:rsidR="0016124B" w:rsidRDefault="007B7189">
            <w:pPr>
              <w:spacing w:after="0" w:line="240" w:lineRule="auto"/>
              <w:jc w:val="both"/>
              <w:rPr>
                <w:sz w:val="24"/>
                <w:szCs w:val="24"/>
              </w:rPr>
            </w:pPr>
            <w:r>
              <w:rPr>
                <w:sz w:val="24"/>
                <w:szCs w:val="24"/>
              </w:rPr>
              <w:t>Business Excellence</w:t>
            </w:r>
          </w:p>
          <w:p w14:paraId="0BF215D9" w14:textId="372805E9" w:rsidR="0016124B" w:rsidRDefault="007B7189">
            <w:pPr>
              <w:spacing w:after="0" w:line="240" w:lineRule="auto"/>
              <w:jc w:val="both"/>
              <w:rPr>
                <w:sz w:val="24"/>
                <w:szCs w:val="24"/>
              </w:rPr>
            </w:pPr>
            <w:r>
              <w:rPr>
                <w:sz w:val="24"/>
                <w:szCs w:val="24"/>
              </w:rPr>
              <w:t xml:space="preserve">Award </w:t>
            </w:r>
            <w:r w:rsidR="009D3026">
              <w:rPr>
                <w:sz w:val="24"/>
                <w:szCs w:val="24"/>
              </w:rPr>
              <w:t>that establishes</w:t>
            </w:r>
          </w:p>
          <w:p w14:paraId="613CE18C" w14:textId="77777777" w:rsidR="0016124B" w:rsidRDefault="007B7189">
            <w:pPr>
              <w:spacing w:after="0" w:line="240" w:lineRule="auto"/>
              <w:jc w:val="both"/>
              <w:rPr>
                <w:sz w:val="24"/>
                <w:szCs w:val="24"/>
              </w:rPr>
            </w:pPr>
            <w:r>
              <w:rPr>
                <w:sz w:val="24"/>
                <w:szCs w:val="24"/>
              </w:rPr>
              <w:t>clear criteria for</w:t>
            </w:r>
          </w:p>
          <w:p w14:paraId="77A5AF24" w14:textId="77777777" w:rsidR="0016124B" w:rsidRDefault="007B7189">
            <w:pPr>
              <w:spacing w:after="0" w:line="240" w:lineRule="auto"/>
              <w:jc w:val="both"/>
              <w:rPr>
                <w:sz w:val="24"/>
                <w:szCs w:val="24"/>
              </w:rPr>
            </w:pPr>
            <w:r>
              <w:rPr>
                <w:sz w:val="24"/>
                <w:szCs w:val="24"/>
              </w:rPr>
              <w:t>organisation excellence</w:t>
            </w:r>
          </w:p>
          <w:p w14:paraId="2A3CFEE0" w14:textId="77777777" w:rsidR="0016124B" w:rsidRDefault="007B7189">
            <w:pPr>
              <w:spacing w:after="0" w:line="240" w:lineRule="auto"/>
              <w:jc w:val="both"/>
              <w:rPr>
                <w:sz w:val="24"/>
                <w:szCs w:val="24"/>
              </w:rPr>
            </w:pPr>
            <w:r>
              <w:rPr>
                <w:sz w:val="24"/>
                <w:szCs w:val="24"/>
              </w:rPr>
              <w:t xml:space="preserve">and recognises </w:t>
            </w:r>
          </w:p>
          <w:p w14:paraId="010AA887" w14:textId="77777777" w:rsidR="0016124B" w:rsidRDefault="007B7189">
            <w:pPr>
              <w:spacing w:after="0" w:line="240" w:lineRule="auto"/>
              <w:jc w:val="both"/>
              <w:rPr>
                <w:sz w:val="24"/>
                <w:szCs w:val="24"/>
              </w:rPr>
            </w:pPr>
            <w:r>
              <w:rPr>
                <w:sz w:val="24"/>
                <w:szCs w:val="24"/>
              </w:rPr>
              <w:t>organisations for their</w:t>
            </w:r>
          </w:p>
          <w:p w14:paraId="10EFEBA8" w14:textId="77777777" w:rsidR="0016124B" w:rsidRDefault="007B7189">
            <w:pPr>
              <w:spacing w:after="0" w:line="240" w:lineRule="auto"/>
              <w:jc w:val="both"/>
              <w:rPr>
                <w:sz w:val="24"/>
                <w:szCs w:val="24"/>
              </w:rPr>
            </w:pPr>
            <w:r>
              <w:rPr>
                <w:sz w:val="24"/>
                <w:szCs w:val="24"/>
              </w:rPr>
              <w:t>achievements.</w:t>
            </w:r>
          </w:p>
        </w:tc>
        <w:tc>
          <w:tcPr>
            <w:tcW w:w="6202"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5F3050BD" w14:textId="77777777" w:rsidR="0016124B" w:rsidRDefault="007B7189">
            <w:pPr>
              <w:spacing w:after="0" w:line="240" w:lineRule="auto"/>
              <w:jc w:val="both"/>
              <w:rPr>
                <w:sz w:val="24"/>
                <w:szCs w:val="24"/>
              </w:rPr>
            </w:pPr>
            <w:r>
              <w:rPr>
                <w:rFonts w:ascii="Arial" w:eastAsia="Arial" w:hAnsi="Arial" w:cs="Arial"/>
                <w:sz w:val="24"/>
                <w:szCs w:val="24"/>
              </w:rPr>
              <w:t>•</w:t>
            </w:r>
            <w:r>
              <w:rPr>
                <w:sz w:val="24"/>
                <w:szCs w:val="24"/>
              </w:rPr>
              <w:t>Work collaboratively with industry groups and specialists to ensure the criteria for organisational excellence remains clear and relevant.</w:t>
            </w:r>
          </w:p>
          <w:p w14:paraId="5B965DA7" w14:textId="77777777" w:rsidR="0016124B" w:rsidRDefault="0016124B">
            <w:pPr>
              <w:spacing w:after="0" w:line="240" w:lineRule="auto"/>
              <w:jc w:val="both"/>
              <w:rPr>
                <w:sz w:val="24"/>
                <w:szCs w:val="24"/>
              </w:rPr>
            </w:pPr>
          </w:p>
          <w:p w14:paraId="3293C2E9" w14:textId="77777777" w:rsidR="0016124B" w:rsidRDefault="007B7189">
            <w:pPr>
              <w:spacing w:after="0" w:line="240" w:lineRule="auto"/>
              <w:jc w:val="both"/>
              <w:rPr>
                <w:sz w:val="24"/>
                <w:szCs w:val="24"/>
              </w:rPr>
            </w:pPr>
            <w:r>
              <w:rPr>
                <w:rFonts w:ascii="Arial" w:eastAsia="Arial" w:hAnsi="Arial" w:cs="Arial"/>
                <w:sz w:val="24"/>
                <w:szCs w:val="24"/>
              </w:rPr>
              <w:t>•</w:t>
            </w:r>
            <w:r>
              <w:rPr>
                <w:sz w:val="24"/>
                <w:szCs w:val="24"/>
              </w:rPr>
              <w:t>Provide ongoing financial support for the management of the Awards and the organisation of the Awards event as the premier organisational excellence Awards event in Australia.</w:t>
            </w:r>
          </w:p>
          <w:p w14:paraId="69A9260E" w14:textId="77777777" w:rsidR="0016124B" w:rsidRDefault="0016124B">
            <w:pPr>
              <w:spacing w:after="0" w:line="240" w:lineRule="auto"/>
              <w:jc w:val="both"/>
              <w:rPr>
                <w:sz w:val="24"/>
                <w:szCs w:val="24"/>
              </w:rPr>
            </w:pPr>
          </w:p>
          <w:p w14:paraId="1925D6E2" w14:textId="77777777" w:rsidR="0016124B" w:rsidRDefault="007B7189">
            <w:pPr>
              <w:spacing w:after="0" w:line="240" w:lineRule="auto"/>
              <w:jc w:val="both"/>
              <w:rPr>
                <w:sz w:val="24"/>
                <w:szCs w:val="24"/>
              </w:rPr>
            </w:pPr>
            <w:r>
              <w:rPr>
                <w:rFonts w:ascii="Arial" w:eastAsia="Arial" w:hAnsi="Arial" w:cs="Arial"/>
                <w:sz w:val="24"/>
                <w:szCs w:val="24"/>
              </w:rPr>
              <w:t>•</w:t>
            </w:r>
            <w:r>
              <w:rPr>
                <w:sz w:val="24"/>
                <w:szCs w:val="24"/>
              </w:rPr>
              <w:t>Support the event through the annual attendance of the Prime Minister or suitable senior Cabinet Minister at the Awards Event.</w:t>
            </w:r>
          </w:p>
        </w:tc>
      </w:tr>
      <w:tr w:rsidR="0016124B" w14:paraId="58BD41D8" w14:textId="77777777" w:rsidTr="009D3026">
        <w:trPr>
          <w:trHeight w:val="2092"/>
        </w:trPr>
        <w:tc>
          <w:tcPr>
            <w:tcW w:w="308"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3C5231EC" w14:textId="77777777" w:rsidR="0016124B" w:rsidRDefault="007B7189">
            <w:pPr>
              <w:spacing w:after="0" w:line="240" w:lineRule="auto"/>
              <w:jc w:val="both"/>
              <w:rPr>
                <w:sz w:val="24"/>
                <w:szCs w:val="24"/>
              </w:rPr>
            </w:pPr>
            <w:r>
              <w:rPr>
                <w:sz w:val="24"/>
                <w:szCs w:val="24"/>
              </w:rPr>
              <w:t>3</w:t>
            </w:r>
          </w:p>
        </w:tc>
        <w:tc>
          <w:tcPr>
            <w:tcW w:w="2836"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3851F3A4" w14:textId="77777777" w:rsidR="0016124B" w:rsidRDefault="007B7189">
            <w:pPr>
              <w:spacing w:after="0" w:line="240" w:lineRule="auto"/>
              <w:jc w:val="both"/>
              <w:rPr>
                <w:sz w:val="24"/>
                <w:szCs w:val="24"/>
              </w:rPr>
            </w:pPr>
            <w:r>
              <w:rPr>
                <w:sz w:val="24"/>
                <w:szCs w:val="24"/>
              </w:rPr>
              <w:t>Encourage improvement,</w:t>
            </w:r>
          </w:p>
          <w:p w14:paraId="3AFCAA4D" w14:textId="77777777" w:rsidR="0016124B" w:rsidRDefault="007B7189">
            <w:pPr>
              <w:spacing w:after="0" w:line="240" w:lineRule="auto"/>
              <w:jc w:val="both"/>
              <w:rPr>
                <w:sz w:val="24"/>
                <w:szCs w:val="24"/>
              </w:rPr>
            </w:pPr>
            <w:r>
              <w:rPr>
                <w:sz w:val="24"/>
                <w:szCs w:val="24"/>
              </w:rPr>
              <w:t>excellence and innovation</w:t>
            </w:r>
          </w:p>
          <w:p w14:paraId="0A1E3001" w14:textId="77777777" w:rsidR="0016124B" w:rsidRDefault="007B7189">
            <w:pPr>
              <w:spacing w:after="0" w:line="240" w:lineRule="auto"/>
              <w:jc w:val="both"/>
              <w:rPr>
                <w:sz w:val="24"/>
                <w:szCs w:val="24"/>
              </w:rPr>
            </w:pPr>
            <w:r>
              <w:rPr>
                <w:sz w:val="24"/>
                <w:szCs w:val="24"/>
              </w:rPr>
              <w:t>within organisations.</w:t>
            </w:r>
          </w:p>
          <w:p w14:paraId="43245CA5" w14:textId="77777777" w:rsidR="0016124B" w:rsidRDefault="0016124B">
            <w:pPr>
              <w:spacing w:after="0" w:line="240" w:lineRule="auto"/>
              <w:jc w:val="both"/>
              <w:rPr>
                <w:rFonts w:ascii="Arial" w:eastAsia="Arial" w:hAnsi="Arial" w:cs="Arial"/>
                <w:sz w:val="24"/>
                <w:szCs w:val="24"/>
              </w:rPr>
            </w:pPr>
          </w:p>
        </w:tc>
        <w:tc>
          <w:tcPr>
            <w:tcW w:w="6202" w:type="dxa"/>
            <w:tcBorders>
              <w:top w:val="single" w:sz="8" w:space="0" w:color="FFFFFF"/>
              <w:left w:val="single" w:sz="8" w:space="0" w:color="FFFFFF"/>
              <w:bottom w:val="single" w:sz="8" w:space="0" w:color="FFFFFF"/>
              <w:right w:val="single" w:sz="8" w:space="0" w:color="FFFFFF"/>
            </w:tcBorders>
            <w:shd w:val="clear" w:color="auto" w:fill="CFD5EA"/>
            <w:tcMar>
              <w:top w:w="80" w:type="dxa"/>
              <w:left w:w="140" w:type="dxa"/>
              <w:bottom w:w="80" w:type="dxa"/>
              <w:right w:w="140" w:type="dxa"/>
            </w:tcMar>
          </w:tcPr>
          <w:p w14:paraId="65030E51" w14:textId="4FAC189B" w:rsidR="0016124B" w:rsidRDefault="007B7189">
            <w:pPr>
              <w:spacing w:after="0" w:line="240" w:lineRule="auto"/>
              <w:jc w:val="both"/>
              <w:rPr>
                <w:sz w:val="24"/>
                <w:szCs w:val="24"/>
              </w:rPr>
            </w:pPr>
            <w:r>
              <w:rPr>
                <w:rFonts w:ascii="Arial" w:eastAsia="Arial" w:hAnsi="Arial" w:cs="Arial"/>
                <w:sz w:val="24"/>
                <w:szCs w:val="24"/>
              </w:rPr>
              <w:t>•</w:t>
            </w:r>
            <w:r>
              <w:rPr>
                <w:sz w:val="24"/>
                <w:szCs w:val="24"/>
              </w:rPr>
              <w:t xml:space="preserve">Provide financial support to organisations </w:t>
            </w:r>
            <w:r w:rsidR="00B64CE6">
              <w:rPr>
                <w:sz w:val="24"/>
                <w:szCs w:val="24"/>
              </w:rPr>
              <w:t>investing in developing their capability to innovate through funding</w:t>
            </w:r>
            <w:r>
              <w:rPr>
                <w:sz w:val="24"/>
                <w:szCs w:val="24"/>
              </w:rPr>
              <w:t xml:space="preserve"> structured improvement and excellence initiatives.</w:t>
            </w:r>
          </w:p>
          <w:p w14:paraId="4149143D" w14:textId="77777777" w:rsidR="0016124B" w:rsidRDefault="0016124B">
            <w:pPr>
              <w:spacing w:after="0" w:line="240" w:lineRule="auto"/>
              <w:jc w:val="both"/>
              <w:rPr>
                <w:sz w:val="24"/>
                <w:szCs w:val="24"/>
              </w:rPr>
            </w:pPr>
          </w:p>
          <w:p w14:paraId="2B9A47B2" w14:textId="77777777" w:rsidR="0016124B" w:rsidRDefault="007B7189">
            <w:pPr>
              <w:spacing w:after="0" w:line="240" w:lineRule="auto"/>
              <w:jc w:val="both"/>
              <w:rPr>
                <w:sz w:val="24"/>
                <w:szCs w:val="24"/>
              </w:rPr>
            </w:pPr>
            <w:r>
              <w:rPr>
                <w:rFonts w:ascii="Arial" w:eastAsia="Arial" w:hAnsi="Arial" w:cs="Arial"/>
                <w:sz w:val="24"/>
                <w:szCs w:val="24"/>
              </w:rPr>
              <w:t>•</w:t>
            </w:r>
            <w:r>
              <w:rPr>
                <w:sz w:val="24"/>
                <w:szCs w:val="24"/>
              </w:rPr>
              <w:t>Support innovation seed projects within organisations where new concepts can be discovered, trialled and supported to ensure success.</w:t>
            </w:r>
          </w:p>
        </w:tc>
      </w:tr>
      <w:tr w:rsidR="0016124B" w14:paraId="509CF906" w14:textId="77777777" w:rsidTr="009D3026">
        <w:trPr>
          <w:trHeight w:val="805"/>
        </w:trPr>
        <w:tc>
          <w:tcPr>
            <w:tcW w:w="308"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6F93CE90" w14:textId="77777777" w:rsidR="0016124B" w:rsidRDefault="007B7189">
            <w:pPr>
              <w:spacing w:after="0" w:line="240" w:lineRule="auto"/>
              <w:jc w:val="both"/>
              <w:rPr>
                <w:sz w:val="24"/>
                <w:szCs w:val="24"/>
              </w:rPr>
            </w:pPr>
            <w:r>
              <w:rPr>
                <w:sz w:val="24"/>
                <w:szCs w:val="24"/>
              </w:rPr>
              <w:t>4</w:t>
            </w:r>
          </w:p>
        </w:tc>
        <w:tc>
          <w:tcPr>
            <w:tcW w:w="2836"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14685503" w14:textId="77777777" w:rsidR="0016124B" w:rsidRDefault="007B7189">
            <w:pPr>
              <w:spacing w:after="0" w:line="240" w:lineRule="auto"/>
              <w:jc w:val="both"/>
              <w:rPr>
                <w:sz w:val="24"/>
                <w:szCs w:val="24"/>
              </w:rPr>
            </w:pPr>
            <w:r>
              <w:rPr>
                <w:sz w:val="24"/>
                <w:szCs w:val="24"/>
              </w:rPr>
              <w:t>Support Research and</w:t>
            </w:r>
          </w:p>
          <w:p w14:paraId="019220BF" w14:textId="77777777" w:rsidR="0016124B" w:rsidRDefault="007B7189">
            <w:pPr>
              <w:spacing w:after="0" w:line="240" w:lineRule="auto"/>
              <w:jc w:val="both"/>
              <w:rPr>
                <w:sz w:val="24"/>
                <w:szCs w:val="24"/>
              </w:rPr>
            </w:pPr>
            <w:r>
              <w:rPr>
                <w:sz w:val="24"/>
                <w:szCs w:val="24"/>
              </w:rPr>
              <w:t>Education in the area of</w:t>
            </w:r>
          </w:p>
          <w:p w14:paraId="5DFEEBE5" w14:textId="15779B2E" w:rsidR="0016124B" w:rsidRDefault="007B7189">
            <w:pPr>
              <w:spacing w:after="0" w:line="240" w:lineRule="auto"/>
              <w:jc w:val="both"/>
              <w:rPr>
                <w:sz w:val="24"/>
                <w:szCs w:val="24"/>
              </w:rPr>
            </w:pPr>
            <w:r>
              <w:rPr>
                <w:sz w:val="24"/>
                <w:szCs w:val="24"/>
              </w:rPr>
              <w:t>Organisational Excellence</w:t>
            </w:r>
            <w:r w:rsidR="009D3026">
              <w:rPr>
                <w:sz w:val="24"/>
                <w:szCs w:val="24"/>
              </w:rPr>
              <w:t>.</w:t>
            </w:r>
          </w:p>
        </w:tc>
        <w:tc>
          <w:tcPr>
            <w:tcW w:w="6202" w:type="dxa"/>
            <w:tcBorders>
              <w:top w:val="single" w:sz="8" w:space="0" w:color="FFFFFF"/>
              <w:left w:val="single" w:sz="8" w:space="0" w:color="FFFFFF"/>
              <w:bottom w:val="single" w:sz="8" w:space="0" w:color="FFFFFF"/>
              <w:right w:val="single" w:sz="8" w:space="0" w:color="FFFFFF"/>
            </w:tcBorders>
            <w:shd w:val="clear" w:color="auto" w:fill="E9EBF5"/>
            <w:tcMar>
              <w:top w:w="80" w:type="dxa"/>
              <w:left w:w="140" w:type="dxa"/>
              <w:bottom w:w="80" w:type="dxa"/>
              <w:right w:w="140" w:type="dxa"/>
            </w:tcMar>
          </w:tcPr>
          <w:p w14:paraId="17AC85FD" w14:textId="77777777" w:rsidR="0016124B" w:rsidRDefault="007B7189">
            <w:pPr>
              <w:spacing w:after="0" w:line="240" w:lineRule="auto"/>
              <w:jc w:val="both"/>
              <w:rPr>
                <w:sz w:val="24"/>
                <w:szCs w:val="24"/>
              </w:rPr>
            </w:pPr>
            <w:r>
              <w:rPr>
                <w:rFonts w:ascii="Arial" w:eastAsia="Arial" w:hAnsi="Arial" w:cs="Arial"/>
                <w:sz w:val="24"/>
                <w:szCs w:val="24"/>
              </w:rPr>
              <w:t>•</w:t>
            </w:r>
            <w:r>
              <w:rPr>
                <w:sz w:val="24"/>
                <w:szCs w:val="24"/>
              </w:rPr>
              <w:t>Provide additional incentives for Educational Institutions to invest in research and education programs into organisational excellence.</w:t>
            </w:r>
          </w:p>
        </w:tc>
      </w:tr>
    </w:tbl>
    <w:p w14:paraId="0F9543DC" w14:textId="77777777" w:rsidR="001546C0" w:rsidRDefault="001546C0">
      <w:pPr>
        <w:rPr>
          <w:rFonts w:ascii="Trebuchet MS" w:eastAsia="Times New Roman" w:hAnsi="Trebuchet MS" w:cs="Times New Roman"/>
          <w:smallCaps/>
          <w:kern w:val="32"/>
          <w:sz w:val="36"/>
          <w:szCs w:val="20"/>
          <w:lang w:val="en-US" w:eastAsia="en-AU"/>
        </w:rPr>
      </w:pPr>
      <w:r>
        <w:br w:type="page"/>
      </w:r>
    </w:p>
    <w:p w14:paraId="72F68C13" w14:textId="60F7701F" w:rsidR="0016124B" w:rsidRDefault="007B7189">
      <w:pPr>
        <w:pStyle w:val="Heading1"/>
        <w:numPr>
          <w:ilvl w:val="0"/>
          <w:numId w:val="5"/>
        </w:numPr>
      </w:pPr>
      <w:r>
        <w:lastRenderedPageBreak/>
        <w:t>Appendix</w:t>
      </w:r>
    </w:p>
    <w:p w14:paraId="7768B853" w14:textId="77777777" w:rsidR="0016124B" w:rsidRDefault="0016124B">
      <w:pPr>
        <w:pBdr>
          <w:top w:val="nil"/>
          <w:left w:val="nil"/>
          <w:bottom w:val="nil"/>
          <w:right w:val="nil"/>
          <w:between w:val="nil"/>
        </w:pBdr>
        <w:spacing w:after="0" w:line="240" w:lineRule="auto"/>
        <w:rPr>
          <w:b/>
          <w:color w:val="0000FF"/>
          <w:sz w:val="40"/>
          <w:szCs w:val="40"/>
        </w:rPr>
      </w:pPr>
    </w:p>
    <w:p w14:paraId="07743913" w14:textId="0A4D50DE" w:rsidR="0016124B" w:rsidRPr="001546C0" w:rsidRDefault="007B7189" w:rsidP="00A1506C">
      <w:pPr>
        <w:pStyle w:val="Heading1"/>
        <w:jc w:val="both"/>
      </w:pPr>
      <w:r w:rsidRPr="000061AA">
        <w:rPr>
          <w:bCs/>
          <w:color w:val="0000FF"/>
        </w:rPr>
        <w:t>Business Excellence</w:t>
      </w:r>
      <w:r w:rsidRPr="001546C0">
        <w:rPr>
          <w:b/>
          <w:color w:val="0000FF"/>
        </w:rPr>
        <w:t xml:space="preserve"> </w:t>
      </w:r>
      <w:r w:rsidRPr="001546C0">
        <w:t>and organisational performance</w:t>
      </w:r>
    </w:p>
    <w:p w14:paraId="10BE3731" w14:textId="77777777" w:rsidR="0016124B" w:rsidRPr="001546C0" w:rsidRDefault="0016124B" w:rsidP="00A1506C">
      <w:pPr>
        <w:pBdr>
          <w:top w:val="nil"/>
          <w:left w:val="nil"/>
          <w:bottom w:val="nil"/>
          <w:right w:val="nil"/>
          <w:between w:val="nil"/>
        </w:pBdr>
        <w:spacing w:after="0" w:line="240" w:lineRule="auto"/>
        <w:jc w:val="both"/>
        <w:rPr>
          <w:color w:val="000000"/>
        </w:rPr>
      </w:pPr>
    </w:p>
    <w:p w14:paraId="6C58097F" w14:textId="5324043B" w:rsidR="0016124B" w:rsidRPr="00670595" w:rsidRDefault="007B7189" w:rsidP="00A1506C">
      <w:pPr>
        <w:pBdr>
          <w:top w:val="nil"/>
          <w:left w:val="nil"/>
          <w:bottom w:val="nil"/>
          <w:right w:val="nil"/>
          <w:between w:val="nil"/>
        </w:pBdr>
        <w:spacing w:after="0" w:line="240" w:lineRule="auto"/>
        <w:jc w:val="both"/>
        <w:rPr>
          <w:rFonts w:eastAsia="Arial"/>
          <w:b/>
          <w:color w:val="000000"/>
          <w:sz w:val="24"/>
          <w:szCs w:val="24"/>
        </w:rPr>
      </w:pPr>
      <w:r w:rsidRPr="00670595">
        <w:rPr>
          <w:rFonts w:eastAsia="Arial"/>
          <w:b/>
          <w:color w:val="000000"/>
          <w:sz w:val="24"/>
          <w:szCs w:val="24"/>
        </w:rPr>
        <w:t xml:space="preserve">Extensive research carried out in Australia and overseas clearly demonstrates that significant business improvements </w:t>
      </w:r>
      <w:r w:rsidR="00670595">
        <w:rPr>
          <w:rFonts w:eastAsia="Arial"/>
          <w:b/>
          <w:color w:val="000000"/>
          <w:sz w:val="24"/>
          <w:szCs w:val="24"/>
        </w:rPr>
        <w:t xml:space="preserve">and increased productivity </w:t>
      </w:r>
      <w:r w:rsidRPr="00670595">
        <w:rPr>
          <w:rFonts w:eastAsia="Arial"/>
          <w:b/>
          <w:color w:val="000000"/>
          <w:sz w:val="24"/>
          <w:szCs w:val="24"/>
        </w:rPr>
        <w:t xml:space="preserve">will result from implementing business excellence through a model of excellence like the </w:t>
      </w:r>
      <w:r w:rsidRPr="00670595">
        <w:rPr>
          <w:rFonts w:eastAsia="Arial"/>
          <w:b/>
          <w:i/>
          <w:color w:val="000000"/>
          <w:sz w:val="24"/>
          <w:szCs w:val="24"/>
        </w:rPr>
        <w:t>Australian Business Excellence Framework</w:t>
      </w:r>
      <w:r w:rsidRPr="00670595">
        <w:rPr>
          <w:rFonts w:eastAsia="Arial"/>
          <w:b/>
          <w:color w:val="000000"/>
          <w:sz w:val="24"/>
          <w:szCs w:val="24"/>
        </w:rPr>
        <w:t>.</w:t>
      </w:r>
    </w:p>
    <w:p w14:paraId="08713DE8" w14:textId="77777777" w:rsidR="0016124B" w:rsidRPr="001546C0" w:rsidRDefault="0016124B" w:rsidP="00A1506C">
      <w:pPr>
        <w:pBdr>
          <w:top w:val="nil"/>
          <w:left w:val="nil"/>
          <w:bottom w:val="nil"/>
          <w:right w:val="nil"/>
          <w:between w:val="nil"/>
        </w:pBdr>
        <w:spacing w:after="0" w:line="240" w:lineRule="auto"/>
        <w:jc w:val="both"/>
        <w:rPr>
          <w:color w:val="000000"/>
        </w:rPr>
      </w:pPr>
    </w:p>
    <w:p w14:paraId="7B60AEFD" w14:textId="27C32304" w:rsidR="0016124B" w:rsidRPr="001546C0" w:rsidRDefault="007B7189" w:rsidP="00A1506C">
      <w:pPr>
        <w:pBdr>
          <w:top w:val="nil"/>
          <w:left w:val="nil"/>
          <w:bottom w:val="nil"/>
          <w:right w:val="nil"/>
          <w:between w:val="nil"/>
        </w:pBdr>
        <w:spacing w:after="0" w:line="240" w:lineRule="auto"/>
        <w:jc w:val="both"/>
        <w:rPr>
          <w:color w:val="000000"/>
        </w:rPr>
      </w:pPr>
      <w:r w:rsidRPr="001546C0">
        <w:rPr>
          <w:rFonts w:eastAsia="Arial"/>
          <w:color w:val="0000FF"/>
        </w:rPr>
        <w:t>THE BUSINESS EXCELLENCE INDEX</w:t>
      </w:r>
    </w:p>
    <w:p w14:paraId="47262B94" w14:textId="042327F9" w:rsidR="0016124B" w:rsidRPr="001546C0" w:rsidRDefault="007B7189" w:rsidP="00A1506C">
      <w:pPr>
        <w:pBdr>
          <w:top w:val="nil"/>
          <w:left w:val="nil"/>
          <w:bottom w:val="nil"/>
          <w:right w:val="nil"/>
          <w:between w:val="nil"/>
        </w:pBdr>
        <w:spacing w:after="0" w:line="240" w:lineRule="auto"/>
        <w:jc w:val="both"/>
        <w:rPr>
          <w:color w:val="000000"/>
        </w:rPr>
      </w:pPr>
      <w:r w:rsidRPr="001546C0">
        <w:rPr>
          <w:rFonts w:eastAsia="Arial"/>
          <w:color w:val="000000"/>
        </w:rPr>
        <w:t xml:space="preserve">SIRCA, a financial services research organisation, was commissioned to conduct a study of all Australian Stock Exchange (ASX) listed </w:t>
      </w:r>
      <w:r w:rsidRPr="001546C0">
        <w:rPr>
          <w:rFonts w:eastAsia="Arial"/>
          <w:i/>
          <w:color w:val="000000"/>
        </w:rPr>
        <w:t xml:space="preserve">Australian Business Excellence Award </w:t>
      </w:r>
      <w:r w:rsidRPr="001546C0">
        <w:rPr>
          <w:rFonts w:eastAsia="Arial"/>
          <w:color w:val="000000"/>
        </w:rPr>
        <w:t>winners.</w:t>
      </w:r>
      <w:r w:rsidR="00222234">
        <w:rPr>
          <w:rFonts w:eastAsia="Arial"/>
          <w:color w:val="000000"/>
        </w:rPr>
        <w:t xml:space="preserve"> </w:t>
      </w:r>
      <w:r w:rsidRPr="001546C0">
        <w:rPr>
          <w:rFonts w:eastAsia="Arial"/>
          <w:color w:val="000000"/>
        </w:rPr>
        <w:t xml:space="preserve"> The research produced the Business Excellence Index, which compares the performance, over 16 years, of the ASX listed </w:t>
      </w:r>
      <w:r w:rsidRPr="001546C0">
        <w:rPr>
          <w:rFonts w:eastAsia="Arial"/>
          <w:i/>
          <w:color w:val="000000"/>
        </w:rPr>
        <w:t xml:space="preserve">Australian Business Excellence Award </w:t>
      </w:r>
      <w:r w:rsidRPr="001546C0">
        <w:rPr>
          <w:rFonts w:eastAsia="Arial"/>
          <w:color w:val="000000"/>
        </w:rPr>
        <w:t>winners against the ASX All Ordinaries Index.</w:t>
      </w:r>
    </w:p>
    <w:p w14:paraId="1E62966C" w14:textId="53C134ED" w:rsidR="0016124B" w:rsidRPr="001546C0" w:rsidRDefault="007B7189" w:rsidP="00A1506C">
      <w:pPr>
        <w:pBdr>
          <w:top w:val="nil"/>
          <w:left w:val="nil"/>
          <w:bottom w:val="nil"/>
          <w:right w:val="nil"/>
          <w:between w:val="nil"/>
        </w:pBdr>
        <w:spacing w:after="0" w:line="240" w:lineRule="auto"/>
        <w:jc w:val="both"/>
        <w:rPr>
          <w:rFonts w:eastAsia="Arial"/>
          <w:color w:val="000000"/>
        </w:rPr>
      </w:pPr>
      <w:r w:rsidRPr="001546C0">
        <w:rPr>
          <w:rFonts w:eastAsia="Arial"/>
          <w:color w:val="000000"/>
        </w:rPr>
        <w:t xml:space="preserve">A hypothetical investment in all listed </w:t>
      </w:r>
      <w:r w:rsidRPr="001546C0">
        <w:rPr>
          <w:rFonts w:eastAsia="Arial"/>
          <w:i/>
          <w:color w:val="000000"/>
        </w:rPr>
        <w:t xml:space="preserve">Australian Business Excellence Award </w:t>
      </w:r>
      <w:r w:rsidRPr="001546C0">
        <w:rPr>
          <w:rFonts w:eastAsia="Arial"/>
          <w:color w:val="000000"/>
        </w:rPr>
        <w:t>recipients generated a significantly higher return than that of the market benchmark - Standard and Poor</w:t>
      </w:r>
      <w:r w:rsidR="00C214F9">
        <w:rPr>
          <w:rFonts w:eastAsia="Arial"/>
          <w:color w:val="000000"/>
        </w:rPr>
        <w:t>'</w:t>
      </w:r>
      <w:r w:rsidRPr="001546C0">
        <w:rPr>
          <w:rFonts w:eastAsia="Arial"/>
          <w:color w:val="000000"/>
        </w:rPr>
        <w:t>s Accumulated Index.</w:t>
      </w:r>
      <w:r w:rsidR="00222234">
        <w:rPr>
          <w:rFonts w:eastAsia="Arial"/>
          <w:color w:val="000000"/>
        </w:rPr>
        <w:t xml:space="preserve"> </w:t>
      </w:r>
      <w:r w:rsidRPr="001546C0">
        <w:rPr>
          <w:rFonts w:eastAsia="Arial"/>
          <w:color w:val="000000"/>
        </w:rPr>
        <w:t xml:space="preserve"> A portfolio of </w:t>
      </w:r>
      <w:r w:rsidRPr="001546C0">
        <w:rPr>
          <w:rFonts w:eastAsia="Arial"/>
          <w:i/>
          <w:color w:val="000000"/>
        </w:rPr>
        <w:t xml:space="preserve">Australian Business Excellence Award </w:t>
      </w:r>
      <w:r w:rsidRPr="001546C0">
        <w:rPr>
          <w:rFonts w:eastAsia="Arial"/>
          <w:color w:val="000000"/>
        </w:rPr>
        <w:t>recipients generated a 169 per cent return, outperforming the Standard and Poor</w:t>
      </w:r>
      <w:r w:rsidR="00C214F9">
        <w:rPr>
          <w:rFonts w:eastAsia="Arial"/>
          <w:color w:val="000000"/>
        </w:rPr>
        <w:t>'</w:t>
      </w:r>
      <w:r w:rsidRPr="001546C0">
        <w:rPr>
          <w:rFonts w:eastAsia="Arial"/>
          <w:color w:val="000000"/>
        </w:rPr>
        <w:t>s Accumulated Index benchmark of 113 per cent.</w:t>
      </w:r>
    </w:p>
    <w:p w14:paraId="473175EA" w14:textId="77777777" w:rsidR="0016124B" w:rsidRPr="001546C0" w:rsidRDefault="0016124B" w:rsidP="00A1506C">
      <w:pPr>
        <w:pBdr>
          <w:top w:val="nil"/>
          <w:left w:val="nil"/>
          <w:bottom w:val="nil"/>
          <w:right w:val="nil"/>
          <w:between w:val="nil"/>
        </w:pBdr>
        <w:spacing w:after="0" w:line="240" w:lineRule="auto"/>
        <w:jc w:val="both"/>
        <w:rPr>
          <w:color w:val="000000"/>
        </w:rPr>
      </w:pPr>
    </w:p>
    <w:p w14:paraId="4F857330" w14:textId="36184E27" w:rsidR="0016124B" w:rsidRPr="001546C0" w:rsidRDefault="007B7189" w:rsidP="00A1506C">
      <w:pPr>
        <w:pBdr>
          <w:top w:val="nil"/>
          <w:left w:val="nil"/>
          <w:bottom w:val="nil"/>
          <w:right w:val="nil"/>
          <w:between w:val="nil"/>
        </w:pBdr>
        <w:spacing w:after="0" w:line="240" w:lineRule="auto"/>
        <w:jc w:val="both"/>
        <w:rPr>
          <w:color w:val="000000"/>
        </w:rPr>
      </w:pPr>
      <w:r w:rsidRPr="001546C0">
        <w:rPr>
          <w:rFonts w:eastAsia="Arial"/>
          <w:color w:val="0000FF"/>
        </w:rPr>
        <w:t>RESEARCH BY MASSEY UNIVERSITY, NEW ZEALAND</w:t>
      </w:r>
    </w:p>
    <w:p w14:paraId="4DA0E8D4" w14:textId="5D7AF0C7" w:rsidR="0016124B" w:rsidRPr="001546C0" w:rsidRDefault="007B7189" w:rsidP="00A1506C">
      <w:pPr>
        <w:pBdr>
          <w:top w:val="nil"/>
          <w:left w:val="nil"/>
          <w:bottom w:val="nil"/>
          <w:right w:val="nil"/>
          <w:between w:val="nil"/>
        </w:pBdr>
        <w:spacing w:after="0" w:line="240" w:lineRule="auto"/>
        <w:jc w:val="both"/>
        <w:rPr>
          <w:rFonts w:eastAsia="Arial"/>
          <w:color w:val="000000"/>
        </w:rPr>
      </w:pPr>
      <w:r w:rsidRPr="001546C0">
        <w:rPr>
          <w:rFonts w:eastAsia="Arial"/>
          <w:color w:val="000000"/>
        </w:rPr>
        <w:t>Research conducted by Massey University, New Zealand, supports SIRCA</w:t>
      </w:r>
      <w:r w:rsidR="00C214F9">
        <w:rPr>
          <w:rFonts w:eastAsia="Arial"/>
          <w:color w:val="000000"/>
        </w:rPr>
        <w:t>'</w:t>
      </w:r>
      <w:r w:rsidRPr="001546C0">
        <w:rPr>
          <w:rFonts w:eastAsia="Arial"/>
          <w:color w:val="000000"/>
        </w:rPr>
        <w:t>s results.</w:t>
      </w:r>
      <w:r w:rsidR="00222234">
        <w:rPr>
          <w:rFonts w:eastAsia="Arial"/>
          <w:color w:val="000000"/>
        </w:rPr>
        <w:t xml:space="preserve"> </w:t>
      </w:r>
      <w:r w:rsidRPr="001546C0">
        <w:rPr>
          <w:rFonts w:eastAsia="Arial"/>
          <w:color w:val="000000"/>
        </w:rPr>
        <w:t xml:space="preserve"> A key component of the University</w:t>
      </w:r>
      <w:r w:rsidR="00C214F9">
        <w:rPr>
          <w:rFonts w:eastAsia="Arial"/>
          <w:color w:val="000000"/>
        </w:rPr>
        <w:t>'</w:t>
      </w:r>
      <w:r w:rsidRPr="001546C0">
        <w:rPr>
          <w:rFonts w:eastAsia="Arial"/>
          <w:color w:val="000000"/>
        </w:rPr>
        <w:t xml:space="preserve">s research was the benefits users derived from implementing the </w:t>
      </w:r>
      <w:r w:rsidRPr="001546C0">
        <w:rPr>
          <w:rFonts w:eastAsia="Arial"/>
          <w:i/>
          <w:color w:val="000000"/>
        </w:rPr>
        <w:t>ABEF</w:t>
      </w:r>
      <w:r w:rsidRPr="001546C0">
        <w:rPr>
          <w:rFonts w:eastAsia="Arial"/>
          <w:color w:val="000000"/>
        </w:rPr>
        <w:t>.</w:t>
      </w:r>
      <w:r w:rsidR="00222234">
        <w:rPr>
          <w:rFonts w:eastAsia="Arial"/>
          <w:color w:val="000000"/>
        </w:rPr>
        <w:t xml:space="preserve"> </w:t>
      </w:r>
      <w:r w:rsidRPr="001546C0">
        <w:rPr>
          <w:rFonts w:eastAsia="Arial"/>
          <w:color w:val="000000"/>
        </w:rPr>
        <w:t xml:space="preserve"> In brief, 62 percent of respondents believed that their performance was significantly better since implementing the </w:t>
      </w:r>
      <w:r w:rsidRPr="001546C0">
        <w:rPr>
          <w:rFonts w:eastAsia="Arial"/>
          <w:i/>
          <w:color w:val="000000"/>
        </w:rPr>
        <w:t>ABEF</w:t>
      </w:r>
      <w:r w:rsidRPr="001546C0">
        <w:rPr>
          <w:rFonts w:eastAsia="Arial"/>
          <w:color w:val="000000"/>
        </w:rPr>
        <w:t>.</w:t>
      </w:r>
      <w:r w:rsidR="00222234">
        <w:rPr>
          <w:rFonts w:eastAsia="Arial"/>
          <w:color w:val="000000"/>
        </w:rPr>
        <w:t xml:space="preserve"> </w:t>
      </w:r>
      <w:r w:rsidRPr="001546C0">
        <w:rPr>
          <w:rFonts w:eastAsia="Arial"/>
          <w:color w:val="000000"/>
        </w:rPr>
        <w:t xml:space="preserve"> </w:t>
      </w:r>
      <w:r w:rsidR="004B4FB8" w:rsidRPr="001546C0">
        <w:rPr>
          <w:rFonts w:eastAsia="Arial"/>
          <w:color w:val="000000"/>
        </w:rPr>
        <w:t>All</w:t>
      </w:r>
      <w:r w:rsidRPr="001546C0">
        <w:rPr>
          <w:rFonts w:eastAsia="Arial"/>
          <w:color w:val="000000"/>
        </w:rPr>
        <w:t xml:space="preserve"> these organisations had been using the </w:t>
      </w:r>
      <w:r w:rsidRPr="001546C0">
        <w:rPr>
          <w:rFonts w:eastAsia="Arial"/>
          <w:i/>
          <w:color w:val="000000"/>
        </w:rPr>
        <w:t xml:space="preserve">ABEF </w:t>
      </w:r>
      <w:r w:rsidRPr="001546C0">
        <w:rPr>
          <w:rFonts w:eastAsia="Arial"/>
          <w:color w:val="000000"/>
        </w:rPr>
        <w:t>for between four and 12 years and it was evident that the benefits increase as the length of use increases.</w:t>
      </w:r>
      <w:r w:rsidR="00222234">
        <w:rPr>
          <w:rFonts w:eastAsia="Arial"/>
          <w:color w:val="000000"/>
        </w:rPr>
        <w:t xml:space="preserve"> </w:t>
      </w:r>
      <w:r w:rsidRPr="001546C0">
        <w:rPr>
          <w:rFonts w:eastAsia="Arial"/>
          <w:color w:val="000000"/>
        </w:rPr>
        <w:t xml:space="preserve"> In fact, </w:t>
      </w:r>
      <w:r w:rsidR="004B4FB8" w:rsidRPr="001546C0">
        <w:rPr>
          <w:rFonts w:eastAsia="Arial"/>
          <w:color w:val="000000"/>
        </w:rPr>
        <w:t>all</w:t>
      </w:r>
      <w:r w:rsidRPr="001546C0">
        <w:rPr>
          <w:rFonts w:eastAsia="Arial"/>
          <w:color w:val="000000"/>
        </w:rPr>
        <w:t xml:space="preserve"> the organisations that have used the </w:t>
      </w:r>
      <w:r w:rsidRPr="001546C0">
        <w:rPr>
          <w:rFonts w:eastAsia="Arial"/>
          <w:i/>
          <w:color w:val="000000"/>
        </w:rPr>
        <w:t xml:space="preserve">ABEF </w:t>
      </w:r>
      <w:r w:rsidRPr="001546C0">
        <w:rPr>
          <w:rFonts w:eastAsia="Arial"/>
          <w:color w:val="000000"/>
        </w:rPr>
        <w:t>for more than 10 years believe it benefits them significantly.</w:t>
      </w:r>
    </w:p>
    <w:p w14:paraId="3110F88A" w14:textId="77777777" w:rsidR="0016124B" w:rsidRPr="001546C0" w:rsidRDefault="0016124B" w:rsidP="00A1506C">
      <w:pPr>
        <w:pBdr>
          <w:top w:val="nil"/>
          <w:left w:val="nil"/>
          <w:bottom w:val="nil"/>
          <w:right w:val="nil"/>
          <w:between w:val="nil"/>
        </w:pBdr>
        <w:spacing w:after="0" w:line="240" w:lineRule="auto"/>
        <w:jc w:val="both"/>
        <w:rPr>
          <w:color w:val="000000"/>
        </w:rPr>
      </w:pPr>
    </w:p>
    <w:p w14:paraId="731B92B5" w14:textId="5073EE7D" w:rsidR="0016124B" w:rsidRPr="001546C0" w:rsidRDefault="007B7189" w:rsidP="00A1506C">
      <w:pPr>
        <w:pBdr>
          <w:top w:val="nil"/>
          <w:left w:val="nil"/>
          <w:bottom w:val="nil"/>
          <w:right w:val="nil"/>
          <w:between w:val="nil"/>
        </w:pBdr>
        <w:spacing w:after="0" w:line="240" w:lineRule="auto"/>
        <w:jc w:val="both"/>
        <w:rPr>
          <w:rFonts w:eastAsia="Arial"/>
          <w:color w:val="0000FF"/>
        </w:rPr>
      </w:pPr>
      <w:r w:rsidRPr="001546C0">
        <w:rPr>
          <w:rFonts w:eastAsia="Arial"/>
          <w:color w:val="0000FF"/>
        </w:rPr>
        <w:t>DIFFERENT MODELS OF EXCELLENCE</w:t>
      </w:r>
    </w:p>
    <w:p w14:paraId="03D81C06" w14:textId="0A911658" w:rsidR="0016124B" w:rsidRPr="001546C0" w:rsidRDefault="007B7189" w:rsidP="00A1506C">
      <w:pPr>
        <w:pBdr>
          <w:top w:val="nil"/>
          <w:left w:val="nil"/>
          <w:bottom w:val="nil"/>
          <w:right w:val="nil"/>
          <w:between w:val="nil"/>
        </w:pBdr>
        <w:spacing w:after="0" w:line="240" w:lineRule="auto"/>
        <w:jc w:val="both"/>
        <w:rPr>
          <w:rFonts w:eastAsia="Arial"/>
          <w:b/>
          <w:i/>
          <w:color w:val="000000"/>
        </w:rPr>
      </w:pPr>
      <w:r w:rsidRPr="001546C0">
        <w:rPr>
          <w:rFonts w:eastAsia="Arial"/>
          <w:color w:val="000000"/>
        </w:rPr>
        <w:t xml:space="preserve">A Centre for Organisational Excellence Research report in September 2020 indicates that 73 countries are promoting business excellence based on a holistic BE framework and use similar assessment methods to internationally recognised frameworks such as the EFQM Excellence Model, the Baldrige and the </w:t>
      </w:r>
      <w:r w:rsidRPr="001546C0">
        <w:rPr>
          <w:rFonts w:eastAsia="Arial"/>
          <w:b/>
          <w:i/>
          <w:color w:val="000000"/>
        </w:rPr>
        <w:t>Australian Business Excellence Framework.</w:t>
      </w:r>
    </w:p>
    <w:p w14:paraId="14B7C5CF" w14:textId="77777777" w:rsidR="0016124B" w:rsidRPr="001546C0" w:rsidRDefault="0016124B" w:rsidP="00A1506C">
      <w:pPr>
        <w:pBdr>
          <w:top w:val="nil"/>
          <w:left w:val="nil"/>
          <w:bottom w:val="nil"/>
          <w:right w:val="nil"/>
          <w:between w:val="nil"/>
        </w:pBdr>
        <w:spacing w:after="0" w:line="240" w:lineRule="auto"/>
        <w:jc w:val="both"/>
        <w:rPr>
          <w:color w:val="000000"/>
        </w:rPr>
      </w:pPr>
    </w:p>
    <w:p w14:paraId="692C4F71" w14:textId="7B12D4C7" w:rsidR="0016124B" w:rsidRPr="001546C0" w:rsidRDefault="007B7189" w:rsidP="00A1506C">
      <w:pPr>
        <w:pBdr>
          <w:top w:val="nil"/>
          <w:left w:val="nil"/>
          <w:bottom w:val="nil"/>
          <w:right w:val="nil"/>
          <w:between w:val="nil"/>
        </w:pBdr>
        <w:spacing w:after="0" w:line="240" w:lineRule="auto"/>
        <w:jc w:val="both"/>
        <w:rPr>
          <w:rFonts w:eastAsia="Arial"/>
          <w:color w:val="0000FF"/>
        </w:rPr>
      </w:pPr>
      <w:r w:rsidRPr="001546C0">
        <w:rPr>
          <w:rFonts w:eastAsia="Arial"/>
          <w:color w:val="0000FF"/>
        </w:rPr>
        <w:t>SOME EXAMPLES OF EXCELLENCE</w:t>
      </w:r>
    </w:p>
    <w:p w14:paraId="63F0998F" w14:textId="1C79D9F2" w:rsidR="0016124B" w:rsidRPr="001546C0" w:rsidRDefault="007B7189" w:rsidP="00A1506C">
      <w:pPr>
        <w:pBdr>
          <w:top w:val="nil"/>
          <w:left w:val="nil"/>
          <w:bottom w:val="nil"/>
          <w:right w:val="nil"/>
          <w:between w:val="nil"/>
        </w:pBdr>
        <w:spacing w:after="0" w:line="240" w:lineRule="auto"/>
        <w:jc w:val="both"/>
        <w:rPr>
          <w:rFonts w:eastAsia="Arial"/>
          <w:color w:val="000000"/>
        </w:rPr>
      </w:pPr>
      <w:r w:rsidRPr="001546C0">
        <w:rPr>
          <w:rFonts w:eastAsia="Arial"/>
          <w:b/>
          <w:color w:val="000000"/>
        </w:rPr>
        <w:t xml:space="preserve">Singapore </w:t>
      </w:r>
      <w:r w:rsidRPr="001546C0">
        <w:rPr>
          <w:rFonts w:eastAsia="Arial"/>
          <w:color w:val="000000"/>
        </w:rPr>
        <w:t>has shown dramatic improvements over the last 50 years to become one of the world</w:t>
      </w:r>
      <w:r w:rsidR="00C214F9">
        <w:rPr>
          <w:rFonts w:eastAsia="Arial"/>
          <w:color w:val="000000"/>
        </w:rPr>
        <w:t>'</w:t>
      </w:r>
      <w:r w:rsidRPr="001546C0">
        <w:rPr>
          <w:rFonts w:eastAsia="Arial"/>
          <w:color w:val="000000"/>
        </w:rPr>
        <w:t>s leading economies and societies, as indicated in international measures.</w:t>
      </w:r>
      <w:r w:rsidR="00222234">
        <w:rPr>
          <w:rFonts w:eastAsia="Arial"/>
          <w:color w:val="000000"/>
        </w:rPr>
        <w:t xml:space="preserve"> </w:t>
      </w:r>
      <w:r w:rsidRPr="001546C0">
        <w:rPr>
          <w:rFonts w:eastAsia="Arial"/>
          <w:color w:val="000000"/>
        </w:rPr>
        <w:t xml:space="preserve"> </w:t>
      </w:r>
      <w:r w:rsidR="00311EB2">
        <w:rPr>
          <w:rFonts w:eastAsia="Arial"/>
          <w:color w:val="000000"/>
        </w:rPr>
        <w:t>Y</w:t>
      </w:r>
      <w:r w:rsidRPr="001546C0">
        <w:rPr>
          <w:rFonts w:eastAsia="Arial"/>
          <w:color w:val="000000"/>
        </w:rPr>
        <w:t>ou can</w:t>
      </w:r>
      <w:r w:rsidR="00C214F9">
        <w:rPr>
          <w:rFonts w:eastAsia="Arial"/>
          <w:color w:val="000000"/>
        </w:rPr>
        <w:t>'</w:t>
      </w:r>
      <w:r w:rsidRPr="001546C0">
        <w:rPr>
          <w:rFonts w:eastAsia="Arial"/>
          <w:color w:val="000000"/>
        </w:rPr>
        <w:t xml:space="preserve">t escape business excellence </w:t>
      </w:r>
      <w:r w:rsidR="00311EB2">
        <w:rPr>
          <w:rFonts w:eastAsia="Arial"/>
          <w:color w:val="000000"/>
        </w:rPr>
        <w:t xml:space="preserve">in Singapore </w:t>
      </w:r>
      <w:r w:rsidRPr="001546C0">
        <w:rPr>
          <w:rFonts w:eastAsia="Arial"/>
          <w:color w:val="000000"/>
        </w:rPr>
        <w:t>as you experience it from cradle to grave with hospitals, housing developments, schools, businesses, law enforcement (including jury service) and funeral services being recognised as Singapore Quality Class organisations.</w:t>
      </w:r>
      <w:r w:rsidR="00222234">
        <w:rPr>
          <w:rFonts w:eastAsia="Arial"/>
          <w:color w:val="000000"/>
        </w:rPr>
        <w:t xml:space="preserve"> </w:t>
      </w:r>
      <w:r w:rsidRPr="001546C0">
        <w:rPr>
          <w:rFonts w:eastAsia="Arial"/>
          <w:color w:val="000000"/>
        </w:rPr>
        <w:t xml:space="preserve"> These organisations understand and use business excellence models and principles and are continually searching for better practices.</w:t>
      </w:r>
    </w:p>
    <w:p w14:paraId="203FF84A" w14:textId="77777777" w:rsidR="0016124B" w:rsidRPr="001546C0" w:rsidRDefault="0016124B" w:rsidP="00A1506C">
      <w:pPr>
        <w:pBdr>
          <w:top w:val="nil"/>
          <w:left w:val="nil"/>
          <w:bottom w:val="nil"/>
          <w:right w:val="nil"/>
          <w:between w:val="nil"/>
        </w:pBdr>
        <w:spacing w:after="0" w:line="240" w:lineRule="auto"/>
        <w:jc w:val="both"/>
        <w:rPr>
          <w:color w:val="000000"/>
        </w:rPr>
      </w:pPr>
    </w:p>
    <w:p w14:paraId="5124F397" w14:textId="09AAD1F0" w:rsidR="0016124B" w:rsidRPr="001546C0" w:rsidRDefault="007B7189" w:rsidP="00A1506C">
      <w:pPr>
        <w:pBdr>
          <w:top w:val="nil"/>
          <w:left w:val="nil"/>
          <w:bottom w:val="nil"/>
          <w:right w:val="nil"/>
          <w:between w:val="nil"/>
        </w:pBdr>
        <w:spacing w:after="0" w:line="240" w:lineRule="auto"/>
        <w:jc w:val="both"/>
        <w:rPr>
          <w:rFonts w:eastAsia="Arial"/>
          <w:color w:val="000000"/>
        </w:rPr>
      </w:pPr>
      <w:r w:rsidRPr="001546C0">
        <w:rPr>
          <w:rFonts w:eastAsia="Arial"/>
          <w:color w:val="000000"/>
        </w:rPr>
        <w:t xml:space="preserve">The </w:t>
      </w:r>
      <w:r w:rsidRPr="001546C0">
        <w:rPr>
          <w:rFonts w:eastAsia="Arial"/>
          <w:b/>
          <w:color w:val="000000"/>
        </w:rPr>
        <w:t xml:space="preserve">Tata Group </w:t>
      </w:r>
      <w:r w:rsidRPr="001546C0">
        <w:rPr>
          <w:rFonts w:eastAsia="Arial"/>
          <w:color w:val="000000"/>
        </w:rPr>
        <w:t>(India based) comprises over 100 companies operating in seven business sectors, in over 80 countries, across six continents, with a workforce of over 425,000 and a combined revenue of $106 billion US in 2020.</w:t>
      </w:r>
      <w:r w:rsidR="00222234">
        <w:rPr>
          <w:rFonts w:eastAsia="Arial"/>
          <w:color w:val="000000"/>
        </w:rPr>
        <w:t xml:space="preserve"> </w:t>
      </w:r>
      <w:r w:rsidRPr="001546C0">
        <w:rPr>
          <w:rFonts w:eastAsia="Arial"/>
          <w:color w:val="000000"/>
        </w:rPr>
        <w:t xml:space="preserve"> The Tata Group has been using their Tata Business Excellence Model (TBEM) (based on Baldrige) for over 23 years. Each company is evaluated yearly against the TBEM.</w:t>
      </w:r>
    </w:p>
    <w:p w14:paraId="11A1D75A" w14:textId="77777777" w:rsidR="0016124B" w:rsidRPr="001546C0" w:rsidRDefault="0016124B" w:rsidP="00A1506C">
      <w:pPr>
        <w:pBdr>
          <w:top w:val="nil"/>
          <w:left w:val="nil"/>
          <w:bottom w:val="nil"/>
          <w:right w:val="nil"/>
          <w:between w:val="nil"/>
        </w:pBdr>
        <w:spacing w:after="0" w:line="240" w:lineRule="auto"/>
        <w:jc w:val="both"/>
        <w:rPr>
          <w:color w:val="000000"/>
        </w:rPr>
      </w:pPr>
    </w:p>
    <w:p w14:paraId="08CF55F7" w14:textId="77777777" w:rsidR="0016124B" w:rsidRPr="001546C0" w:rsidRDefault="007B7189" w:rsidP="00A1506C">
      <w:pPr>
        <w:pBdr>
          <w:top w:val="nil"/>
          <w:left w:val="nil"/>
          <w:bottom w:val="nil"/>
          <w:right w:val="nil"/>
          <w:between w:val="nil"/>
        </w:pBdr>
        <w:spacing w:after="0" w:line="240" w:lineRule="auto"/>
        <w:jc w:val="both"/>
        <w:rPr>
          <w:rFonts w:eastAsia="Arial"/>
          <w:color w:val="000000"/>
        </w:rPr>
      </w:pPr>
      <w:r w:rsidRPr="001546C0">
        <w:rPr>
          <w:rFonts w:eastAsia="Arial"/>
          <w:b/>
          <w:color w:val="000000"/>
        </w:rPr>
        <w:lastRenderedPageBreak/>
        <w:t xml:space="preserve">MPWiK, </w:t>
      </w:r>
      <w:r w:rsidRPr="001546C0">
        <w:rPr>
          <w:rFonts w:eastAsia="Arial"/>
          <w:color w:val="000000"/>
        </w:rPr>
        <w:t xml:space="preserve">a water utility in south-west Poland utilising the EFQM model to guide their management system, partnered with a software organisation to develop an innovative SmartFlow system for the reduction of water losses in the distribution network which has enabled MPWiK to reduce water losses by 1/3rd over three years. </w:t>
      </w:r>
    </w:p>
    <w:p w14:paraId="15219609" w14:textId="77777777" w:rsidR="0016124B" w:rsidRPr="001546C0" w:rsidRDefault="0016124B" w:rsidP="00A1506C">
      <w:pPr>
        <w:pBdr>
          <w:top w:val="nil"/>
          <w:left w:val="nil"/>
          <w:bottom w:val="nil"/>
          <w:right w:val="nil"/>
          <w:between w:val="nil"/>
        </w:pBdr>
        <w:spacing w:after="0" w:line="240" w:lineRule="auto"/>
        <w:jc w:val="both"/>
        <w:rPr>
          <w:color w:val="000000"/>
        </w:rPr>
      </w:pPr>
    </w:p>
    <w:p w14:paraId="44859EAD" w14:textId="77777777" w:rsidR="0016124B" w:rsidRPr="001546C0" w:rsidRDefault="007B7189" w:rsidP="00A1506C">
      <w:pPr>
        <w:pBdr>
          <w:top w:val="nil"/>
          <w:left w:val="nil"/>
          <w:bottom w:val="nil"/>
          <w:right w:val="nil"/>
          <w:between w:val="nil"/>
        </w:pBdr>
        <w:spacing w:after="0" w:line="240" w:lineRule="auto"/>
        <w:jc w:val="both"/>
        <w:rPr>
          <w:color w:val="000000"/>
        </w:rPr>
      </w:pPr>
      <w:r w:rsidRPr="001546C0">
        <w:rPr>
          <w:rFonts w:eastAsia="Arial"/>
          <w:b/>
          <w:color w:val="000000"/>
        </w:rPr>
        <w:t xml:space="preserve">International Education Services (IES) </w:t>
      </w:r>
      <w:r w:rsidRPr="001546C0">
        <w:rPr>
          <w:rFonts w:eastAsia="Arial"/>
          <w:color w:val="000000"/>
        </w:rPr>
        <w:t xml:space="preserve">is a directorate of the South Australian Department for </w:t>
      </w:r>
    </w:p>
    <w:p w14:paraId="552530A8" w14:textId="09ED6F42" w:rsidR="0016124B" w:rsidRPr="001546C0" w:rsidRDefault="007B7189" w:rsidP="00A1506C">
      <w:pPr>
        <w:pBdr>
          <w:top w:val="nil"/>
          <w:left w:val="nil"/>
          <w:bottom w:val="nil"/>
          <w:right w:val="nil"/>
          <w:between w:val="nil"/>
        </w:pBdr>
        <w:spacing w:after="0" w:line="240" w:lineRule="auto"/>
        <w:jc w:val="both"/>
        <w:rPr>
          <w:rFonts w:eastAsia="Arial"/>
          <w:color w:val="000000"/>
        </w:rPr>
      </w:pPr>
      <w:r w:rsidRPr="001546C0">
        <w:rPr>
          <w:rFonts w:eastAsia="Arial"/>
          <w:color w:val="000000"/>
        </w:rPr>
        <w:t>Education.</w:t>
      </w:r>
      <w:r w:rsidR="00222234">
        <w:rPr>
          <w:rFonts w:eastAsia="Arial"/>
          <w:color w:val="000000"/>
        </w:rPr>
        <w:t xml:space="preserve"> </w:t>
      </w:r>
      <w:r w:rsidRPr="001546C0">
        <w:rPr>
          <w:rFonts w:eastAsia="Arial"/>
          <w:color w:val="000000"/>
        </w:rPr>
        <w:t xml:space="preserve"> IES adopted the ABEF to assist them in improving their operations to the extent that they have achieved numbers such as: </w:t>
      </w:r>
    </w:p>
    <w:p w14:paraId="0EC886C2" w14:textId="514EF853" w:rsidR="0016124B" w:rsidRPr="001546C0" w:rsidRDefault="007B7189" w:rsidP="00A1506C">
      <w:pPr>
        <w:numPr>
          <w:ilvl w:val="0"/>
          <w:numId w:val="6"/>
        </w:numPr>
        <w:pBdr>
          <w:top w:val="nil"/>
          <w:left w:val="nil"/>
          <w:bottom w:val="nil"/>
          <w:right w:val="nil"/>
          <w:between w:val="nil"/>
        </w:pBdr>
        <w:spacing w:after="23" w:line="240" w:lineRule="auto"/>
        <w:jc w:val="both"/>
        <w:rPr>
          <w:color w:val="000000"/>
        </w:rPr>
      </w:pPr>
      <w:r w:rsidRPr="001546C0">
        <w:rPr>
          <w:rFonts w:eastAsia="Arial"/>
          <w:color w:val="000000"/>
        </w:rPr>
        <w:t>increased the government schools</w:t>
      </w:r>
      <w:r w:rsidR="00C214F9">
        <w:rPr>
          <w:rFonts w:eastAsia="Arial"/>
          <w:color w:val="000000"/>
        </w:rPr>
        <w:t>'</w:t>
      </w:r>
      <w:r w:rsidRPr="001546C0">
        <w:rPr>
          <w:rFonts w:eastAsia="Arial"/>
          <w:color w:val="000000"/>
        </w:rPr>
        <w:t xml:space="preserve"> market share in South Australia from 39% to over 60% and has maintained this advantage for six years. </w:t>
      </w:r>
    </w:p>
    <w:p w14:paraId="3DE67F44" w14:textId="77777777" w:rsidR="0016124B" w:rsidRPr="001546C0" w:rsidRDefault="007B7189" w:rsidP="00A1506C">
      <w:pPr>
        <w:numPr>
          <w:ilvl w:val="0"/>
          <w:numId w:val="6"/>
        </w:numPr>
        <w:pBdr>
          <w:top w:val="nil"/>
          <w:left w:val="nil"/>
          <w:bottom w:val="nil"/>
          <w:right w:val="nil"/>
          <w:between w:val="nil"/>
        </w:pBdr>
        <w:spacing w:after="23" w:line="240" w:lineRule="auto"/>
        <w:jc w:val="both"/>
        <w:rPr>
          <w:color w:val="000000"/>
        </w:rPr>
      </w:pPr>
      <w:r w:rsidRPr="001546C0">
        <w:rPr>
          <w:rFonts w:eastAsia="Arial"/>
          <w:color w:val="000000"/>
        </w:rPr>
        <w:t xml:space="preserve">enrolled the highest number of international students per capita in Australia. </w:t>
      </w:r>
    </w:p>
    <w:p w14:paraId="4EAD35C9" w14:textId="77777777" w:rsidR="0016124B" w:rsidRPr="001546C0" w:rsidRDefault="007B7189" w:rsidP="00A1506C">
      <w:pPr>
        <w:numPr>
          <w:ilvl w:val="0"/>
          <w:numId w:val="6"/>
        </w:numPr>
        <w:pBdr>
          <w:top w:val="nil"/>
          <w:left w:val="nil"/>
          <w:bottom w:val="nil"/>
          <w:right w:val="nil"/>
          <w:between w:val="nil"/>
        </w:pBdr>
        <w:spacing w:after="23" w:line="240" w:lineRule="auto"/>
        <w:jc w:val="both"/>
        <w:rPr>
          <w:color w:val="000000"/>
        </w:rPr>
      </w:pPr>
      <w:r w:rsidRPr="001546C0">
        <w:rPr>
          <w:rFonts w:eastAsia="Arial"/>
          <w:color w:val="000000"/>
        </w:rPr>
        <w:t xml:space="preserve">achieved record enrolment numbers despite a downturn in many markets during the period. </w:t>
      </w:r>
    </w:p>
    <w:p w14:paraId="65F530F1" w14:textId="77777777" w:rsidR="0016124B" w:rsidRPr="001546C0" w:rsidRDefault="007B7189" w:rsidP="00A1506C">
      <w:pPr>
        <w:numPr>
          <w:ilvl w:val="0"/>
          <w:numId w:val="6"/>
        </w:numPr>
        <w:pBdr>
          <w:top w:val="nil"/>
          <w:left w:val="nil"/>
          <w:bottom w:val="nil"/>
          <w:right w:val="nil"/>
          <w:between w:val="nil"/>
        </w:pBdr>
        <w:spacing w:after="0" w:line="240" w:lineRule="auto"/>
        <w:jc w:val="both"/>
        <w:rPr>
          <w:color w:val="000000"/>
        </w:rPr>
      </w:pPr>
      <w:r w:rsidRPr="001546C0">
        <w:rPr>
          <w:rFonts w:eastAsia="Arial"/>
          <w:color w:val="000000"/>
        </w:rPr>
        <w:t xml:space="preserve">continually increased the annual net return (profit) to the South Australian Government -it more than doubled between FY 2014/2015 and FY 2017/2018. </w:t>
      </w:r>
    </w:p>
    <w:p w14:paraId="0A636DFD" w14:textId="77777777" w:rsidR="0016124B" w:rsidRPr="001546C0" w:rsidRDefault="0016124B" w:rsidP="00A1506C">
      <w:pPr>
        <w:spacing w:after="0" w:line="240" w:lineRule="auto"/>
        <w:jc w:val="both"/>
      </w:pPr>
    </w:p>
    <w:p w14:paraId="237F2D9F" w14:textId="77777777" w:rsidR="0016124B" w:rsidRPr="001546C0" w:rsidRDefault="007B7189" w:rsidP="00A1506C">
      <w:pPr>
        <w:spacing w:after="0" w:line="240" w:lineRule="auto"/>
        <w:jc w:val="both"/>
        <w:rPr>
          <w:rFonts w:eastAsia="Arial"/>
          <w:color w:val="0000FF"/>
        </w:rPr>
      </w:pPr>
      <w:r w:rsidRPr="001546C0">
        <w:rPr>
          <w:rFonts w:eastAsia="Arial"/>
          <w:color w:val="0000FF"/>
        </w:rPr>
        <w:t xml:space="preserve">OTHER SNAPSHOTS OF SUCCESS </w:t>
      </w:r>
    </w:p>
    <w:p w14:paraId="6105F4C4" w14:textId="77777777" w:rsidR="0016124B" w:rsidRPr="001546C0" w:rsidRDefault="0016124B" w:rsidP="00A1506C">
      <w:pPr>
        <w:spacing w:after="0" w:line="240" w:lineRule="auto"/>
        <w:jc w:val="both"/>
        <w:rPr>
          <w:rFonts w:eastAsia="Arial"/>
          <w:b/>
          <w:color w:val="000000"/>
        </w:rPr>
      </w:pPr>
    </w:p>
    <w:p w14:paraId="3C8BF266" w14:textId="77777777" w:rsidR="0016124B" w:rsidRPr="001546C0" w:rsidRDefault="007B7189" w:rsidP="00A1506C">
      <w:pPr>
        <w:spacing w:after="0" w:line="240" w:lineRule="auto"/>
        <w:jc w:val="both"/>
        <w:rPr>
          <w:rFonts w:eastAsia="Arial"/>
          <w:b/>
          <w:color w:val="000000"/>
        </w:rPr>
      </w:pPr>
      <w:r w:rsidRPr="001546C0">
        <w:rPr>
          <w:rFonts w:eastAsia="Arial"/>
          <w:b/>
          <w:color w:val="000000"/>
        </w:rPr>
        <w:t xml:space="preserve">The following are extracts from organisational submissions for a business excellence award, from various countries that promote business excellence such as the Australian Business Excellence Awards. </w:t>
      </w:r>
    </w:p>
    <w:p w14:paraId="5FDEFBCF" w14:textId="77777777" w:rsidR="0016124B" w:rsidRPr="001546C0" w:rsidRDefault="0016124B" w:rsidP="00A1506C">
      <w:pPr>
        <w:spacing w:after="0" w:line="240" w:lineRule="auto"/>
        <w:jc w:val="both"/>
        <w:rPr>
          <w:rFonts w:eastAsia="Arial"/>
          <w:color w:val="000000"/>
        </w:rPr>
      </w:pPr>
    </w:p>
    <w:p w14:paraId="086F1C5A" w14:textId="77777777" w:rsidR="0016124B" w:rsidRPr="001546C0" w:rsidRDefault="007B7189" w:rsidP="00A1506C">
      <w:pPr>
        <w:spacing w:after="0" w:line="240" w:lineRule="auto"/>
        <w:jc w:val="both"/>
        <w:rPr>
          <w:rFonts w:eastAsia="Arial"/>
          <w:color w:val="C00000"/>
        </w:rPr>
      </w:pPr>
      <w:r w:rsidRPr="001546C0">
        <w:rPr>
          <w:rFonts w:eastAsia="Arial"/>
          <w:b/>
          <w:color w:val="C00000"/>
        </w:rPr>
        <w:t xml:space="preserve">Improved Revenue results: </w:t>
      </w:r>
    </w:p>
    <w:p w14:paraId="299F6E9B" w14:textId="290304A0" w:rsidR="0016124B" w:rsidRPr="001546C0" w:rsidRDefault="000061AA" w:rsidP="00A1506C">
      <w:pPr>
        <w:numPr>
          <w:ilvl w:val="0"/>
          <w:numId w:val="6"/>
        </w:numPr>
        <w:pBdr>
          <w:top w:val="nil"/>
          <w:left w:val="nil"/>
          <w:bottom w:val="nil"/>
          <w:right w:val="nil"/>
          <w:between w:val="nil"/>
        </w:pBdr>
        <w:spacing w:after="0" w:line="240" w:lineRule="auto"/>
        <w:jc w:val="both"/>
        <w:rPr>
          <w:rFonts w:eastAsia="Arial"/>
          <w:color w:val="000000"/>
        </w:rPr>
      </w:pPr>
      <w:r>
        <w:rPr>
          <w:rFonts w:eastAsia="Arial"/>
          <w:color w:val="000000"/>
        </w:rPr>
        <w:t>N</w:t>
      </w:r>
      <w:r w:rsidR="007B7189" w:rsidRPr="001546C0">
        <w:rPr>
          <w:rFonts w:eastAsia="Arial"/>
          <w:color w:val="000000"/>
        </w:rPr>
        <w:t xml:space="preserve">early 7% per year increase in market share on average in the core business segment over three years </w:t>
      </w:r>
    </w:p>
    <w:p w14:paraId="6462F5D7" w14:textId="77777777" w:rsidR="0016124B" w:rsidRPr="001546C0" w:rsidRDefault="007B7189" w:rsidP="00A1506C">
      <w:pPr>
        <w:numPr>
          <w:ilvl w:val="0"/>
          <w:numId w:val="6"/>
        </w:numPr>
        <w:pBdr>
          <w:top w:val="nil"/>
          <w:left w:val="nil"/>
          <w:bottom w:val="nil"/>
          <w:right w:val="nil"/>
          <w:between w:val="nil"/>
        </w:pBdr>
        <w:spacing w:after="0" w:line="240" w:lineRule="auto"/>
        <w:jc w:val="both"/>
        <w:rPr>
          <w:rFonts w:eastAsia="Arial"/>
          <w:color w:val="000000"/>
        </w:rPr>
      </w:pPr>
      <w:r w:rsidRPr="001546C0">
        <w:rPr>
          <w:rFonts w:eastAsia="Arial"/>
          <w:color w:val="000000"/>
        </w:rPr>
        <w:t xml:space="preserve">34% increase in assets and 54% increase in profit over five years, against industry declines of 21% and 35%, respectively </w:t>
      </w:r>
    </w:p>
    <w:p w14:paraId="437E2886" w14:textId="6BB193A1" w:rsidR="0016124B" w:rsidRPr="001546C0" w:rsidRDefault="007B7189" w:rsidP="00A1506C">
      <w:pPr>
        <w:numPr>
          <w:ilvl w:val="0"/>
          <w:numId w:val="6"/>
        </w:numPr>
        <w:pBdr>
          <w:top w:val="nil"/>
          <w:left w:val="nil"/>
          <w:bottom w:val="nil"/>
          <w:right w:val="nil"/>
          <w:between w:val="nil"/>
        </w:pBdr>
        <w:spacing w:after="0" w:line="240" w:lineRule="auto"/>
        <w:jc w:val="both"/>
        <w:rPr>
          <w:rFonts w:eastAsia="Arial"/>
          <w:color w:val="000000"/>
        </w:rPr>
      </w:pPr>
      <w:r w:rsidRPr="001546C0">
        <w:rPr>
          <w:rFonts w:eastAsia="Arial"/>
          <w:color w:val="000000"/>
        </w:rPr>
        <w:t xml:space="preserve">Nearly 20% average annual increase in consolidated </w:t>
      </w:r>
      <w:r w:rsidR="00C75182" w:rsidRPr="001546C0">
        <w:rPr>
          <w:rFonts w:eastAsia="Arial"/>
          <w:color w:val="000000"/>
        </w:rPr>
        <w:t>pre-tax</w:t>
      </w:r>
      <w:r w:rsidRPr="001546C0">
        <w:rPr>
          <w:rFonts w:eastAsia="Arial"/>
          <w:color w:val="000000"/>
        </w:rPr>
        <w:t xml:space="preserve"> operating income over four years </w:t>
      </w:r>
    </w:p>
    <w:p w14:paraId="59E57A57" w14:textId="77777777" w:rsidR="0016124B" w:rsidRPr="001546C0" w:rsidRDefault="0016124B" w:rsidP="00A1506C">
      <w:pPr>
        <w:spacing w:after="0" w:line="240" w:lineRule="auto"/>
        <w:jc w:val="both"/>
        <w:rPr>
          <w:rFonts w:eastAsia="Arial"/>
          <w:color w:val="000000"/>
        </w:rPr>
      </w:pPr>
    </w:p>
    <w:p w14:paraId="53933764" w14:textId="77777777" w:rsidR="0016124B" w:rsidRPr="001546C0" w:rsidRDefault="007B7189" w:rsidP="00A1506C">
      <w:pPr>
        <w:spacing w:after="0" w:line="240" w:lineRule="auto"/>
        <w:jc w:val="both"/>
        <w:rPr>
          <w:rFonts w:eastAsia="Arial"/>
          <w:color w:val="C00000"/>
        </w:rPr>
      </w:pPr>
      <w:r w:rsidRPr="001546C0">
        <w:rPr>
          <w:rFonts w:eastAsia="Arial"/>
          <w:b/>
          <w:color w:val="C00000"/>
        </w:rPr>
        <w:t xml:space="preserve">Customer Satisfaction: </w:t>
      </w:r>
    </w:p>
    <w:p w14:paraId="51C0E4B9" w14:textId="77777777" w:rsidR="0016124B" w:rsidRPr="001546C0" w:rsidRDefault="007B7189" w:rsidP="00A1506C">
      <w:pPr>
        <w:numPr>
          <w:ilvl w:val="0"/>
          <w:numId w:val="6"/>
        </w:numPr>
        <w:pBdr>
          <w:top w:val="nil"/>
          <w:left w:val="nil"/>
          <w:bottom w:val="nil"/>
          <w:right w:val="nil"/>
          <w:between w:val="nil"/>
        </w:pBdr>
        <w:spacing w:after="0" w:line="240" w:lineRule="auto"/>
        <w:jc w:val="both"/>
        <w:rPr>
          <w:rFonts w:eastAsia="Arial"/>
          <w:color w:val="000000"/>
        </w:rPr>
      </w:pPr>
      <w:r w:rsidRPr="001546C0">
        <w:rPr>
          <w:rFonts w:eastAsia="Arial"/>
          <w:color w:val="000000"/>
        </w:rPr>
        <w:t xml:space="preserve">95% of contracts renewed by its customers </w:t>
      </w:r>
    </w:p>
    <w:p w14:paraId="70136E89" w14:textId="77777777" w:rsidR="0016124B" w:rsidRPr="001546C0" w:rsidRDefault="007B7189" w:rsidP="00A1506C">
      <w:pPr>
        <w:numPr>
          <w:ilvl w:val="0"/>
          <w:numId w:val="6"/>
        </w:numPr>
        <w:pBdr>
          <w:top w:val="nil"/>
          <w:left w:val="nil"/>
          <w:bottom w:val="nil"/>
          <w:right w:val="nil"/>
          <w:between w:val="nil"/>
        </w:pBdr>
        <w:spacing w:after="0" w:line="240" w:lineRule="auto"/>
        <w:jc w:val="both"/>
        <w:rPr>
          <w:rFonts w:eastAsia="Arial"/>
          <w:color w:val="000000"/>
        </w:rPr>
      </w:pPr>
      <w:r w:rsidRPr="001546C0">
        <w:rPr>
          <w:rFonts w:eastAsia="Arial"/>
          <w:color w:val="000000"/>
        </w:rPr>
        <w:t xml:space="preserve">Highest average length of customer retention in the industry </w:t>
      </w:r>
    </w:p>
    <w:p w14:paraId="34847C1A" w14:textId="77777777" w:rsidR="0016124B" w:rsidRPr="001546C0" w:rsidRDefault="007B7189" w:rsidP="00A1506C">
      <w:pPr>
        <w:numPr>
          <w:ilvl w:val="0"/>
          <w:numId w:val="6"/>
        </w:numPr>
        <w:pBdr>
          <w:top w:val="nil"/>
          <w:left w:val="nil"/>
          <w:bottom w:val="nil"/>
          <w:right w:val="nil"/>
          <w:between w:val="nil"/>
        </w:pBdr>
        <w:spacing w:after="0" w:line="240" w:lineRule="auto"/>
        <w:jc w:val="both"/>
        <w:rPr>
          <w:rFonts w:eastAsia="Arial"/>
          <w:color w:val="000000"/>
        </w:rPr>
      </w:pPr>
      <w:r w:rsidRPr="001546C0">
        <w:rPr>
          <w:rFonts w:eastAsia="Arial"/>
          <w:color w:val="000000"/>
        </w:rPr>
        <w:t xml:space="preserve">95% customer loyalty and 97% customer retention in the year </w:t>
      </w:r>
    </w:p>
    <w:p w14:paraId="5999AE83" w14:textId="77777777" w:rsidR="0016124B" w:rsidRPr="001546C0" w:rsidRDefault="0016124B" w:rsidP="00A1506C">
      <w:pPr>
        <w:spacing w:after="0" w:line="240" w:lineRule="auto"/>
        <w:jc w:val="both"/>
        <w:rPr>
          <w:rFonts w:eastAsia="Arial"/>
          <w:color w:val="000000"/>
        </w:rPr>
      </w:pPr>
    </w:p>
    <w:p w14:paraId="77C8B2D9" w14:textId="77777777" w:rsidR="0016124B" w:rsidRPr="001546C0" w:rsidRDefault="007B7189" w:rsidP="00A1506C">
      <w:pPr>
        <w:spacing w:after="0" w:line="240" w:lineRule="auto"/>
        <w:jc w:val="both"/>
        <w:rPr>
          <w:rFonts w:eastAsia="Arial"/>
          <w:color w:val="C00000"/>
        </w:rPr>
      </w:pPr>
      <w:r w:rsidRPr="001546C0">
        <w:rPr>
          <w:rFonts w:eastAsia="Arial"/>
          <w:b/>
          <w:color w:val="C00000"/>
        </w:rPr>
        <w:t xml:space="preserve">Employee Satisfaction: </w:t>
      </w:r>
    </w:p>
    <w:p w14:paraId="6982382C" w14:textId="77777777" w:rsidR="0016124B" w:rsidRPr="001546C0" w:rsidRDefault="007B7189" w:rsidP="00A1506C">
      <w:pPr>
        <w:numPr>
          <w:ilvl w:val="0"/>
          <w:numId w:val="6"/>
        </w:numPr>
        <w:pBdr>
          <w:top w:val="nil"/>
          <w:left w:val="nil"/>
          <w:bottom w:val="nil"/>
          <w:right w:val="nil"/>
          <w:between w:val="nil"/>
        </w:pBdr>
        <w:spacing w:after="0" w:line="240" w:lineRule="auto"/>
        <w:jc w:val="both"/>
        <w:rPr>
          <w:rFonts w:eastAsia="Arial"/>
          <w:color w:val="000000"/>
        </w:rPr>
      </w:pPr>
      <w:r w:rsidRPr="001546C0">
        <w:rPr>
          <w:rFonts w:eastAsia="Arial"/>
          <w:color w:val="000000"/>
        </w:rPr>
        <w:t xml:space="preserve">39% decrease in employee turnover over five years, </w:t>
      </w:r>
    </w:p>
    <w:p w14:paraId="43B1EE3D" w14:textId="77777777" w:rsidR="0016124B" w:rsidRPr="001546C0" w:rsidRDefault="007B7189" w:rsidP="00A1506C">
      <w:pPr>
        <w:numPr>
          <w:ilvl w:val="0"/>
          <w:numId w:val="6"/>
        </w:numPr>
        <w:pBdr>
          <w:top w:val="nil"/>
          <w:left w:val="nil"/>
          <w:bottom w:val="nil"/>
          <w:right w:val="nil"/>
          <w:between w:val="nil"/>
        </w:pBdr>
        <w:spacing w:after="0" w:line="240" w:lineRule="auto"/>
        <w:jc w:val="both"/>
        <w:rPr>
          <w:color w:val="000000"/>
        </w:rPr>
      </w:pPr>
      <w:r w:rsidRPr="001546C0">
        <w:rPr>
          <w:color w:val="000000"/>
        </w:rPr>
        <w:t xml:space="preserve">80% of employees recommend the company as a good place to work against a national norm of 55% </w:t>
      </w:r>
    </w:p>
    <w:p w14:paraId="1C0D7679" w14:textId="77777777" w:rsidR="0016124B" w:rsidRPr="001546C0" w:rsidRDefault="007B7189" w:rsidP="00A1506C">
      <w:pPr>
        <w:numPr>
          <w:ilvl w:val="0"/>
          <w:numId w:val="6"/>
        </w:numPr>
        <w:pBdr>
          <w:top w:val="nil"/>
          <w:left w:val="nil"/>
          <w:bottom w:val="nil"/>
          <w:right w:val="nil"/>
          <w:between w:val="nil"/>
        </w:pBdr>
        <w:spacing w:after="0" w:line="240" w:lineRule="auto"/>
        <w:jc w:val="both"/>
        <w:rPr>
          <w:rFonts w:eastAsia="Arial"/>
          <w:color w:val="000000"/>
        </w:rPr>
      </w:pPr>
      <w:r w:rsidRPr="001546C0">
        <w:rPr>
          <w:rFonts w:eastAsia="Arial"/>
          <w:color w:val="000000"/>
        </w:rPr>
        <w:t xml:space="preserve">Employee satisfaction 50 percentage points higher than the industry benchmark </w:t>
      </w:r>
    </w:p>
    <w:p w14:paraId="4B86D167" w14:textId="77777777" w:rsidR="0016124B" w:rsidRPr="001546C0" w:rsidRDefault="0016124B" w:rsidP="00A1506C">
      <w:pPr>
        <w:spacing w:after="0" w:line="240" w:lineRule="auto"/>
        <w:jc w:val="both"/>
        <w:rPr>
          <w:rFonts w:eastAsia="Arial"/>
          <w:color w:val="000000"/>
        </w:rPr>
      </w:pPr>
    </w:p>
    <w:p w14:paraId="0E1C4745" w14:textId="77777777" w:rsidR="0016124B" w:rsidRPr="001546C0" w:rsidRDefault="007B7189" w:rsidP="00A1506C">
      <w:pPr>
        <w:spacing w:after="0" w:line="240" w:lineRule="auto"/>
        <w:jc w:val="both"/>
      </w:pPr>
      <w:r w:rsidRPr="001546C0">
        <w:rPr>
          <w:rFonts w:eastAsia="Arial"/>
          <w:b/>
          <w:color w:val="000000"/>
        </w:rPr>
        <w:t xml:space="preserve">These examples and studies highlight the positive correlation between performance measured against the models of excellence (such as the </w:t>
      </w:r>
      <w:r w:rsidRPr="001546C0">
        <w:rPr>
          <w:rFonts w:eastAsia="Arial"/>
          <w:b/>
          <w:i/>
          <w:color w:val="000000"/>
        </w:rPr>
        <w:t xml:space="preserve">ABEF) </w:t>
      </w:r>
      <w:r w:rsidRPr="001546C0">
        <w:rPr>
          <w:rFonts w:eastAsia="Arial"/>
          <w:b/>
          <w:color w:val="000000"/>
        </w:rPr>
        <w:t>and improvements in key results.</w:t>
      </w:r>
    </w:p>
    <w:sectPr w:rsidR="0016124B" w:rsidRPr="001546C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1163" w14:textId="77777777" w:rsidR="00E51093" w:rsidRDefault="00E51093">
      <w:pPr>
        <w:spacing w:after="0" w:line="240" w:lineRule="auto"/>
      </w:pPr>
      <w:r>
        <w:separator/>
      </w:r>
    </w:p>
  </w:endnote>
  <w:endnote w:type="continuationSeparator" w:id="0">
    <w:p w14:paraId="6F32B116" w14:textId="77777777" w:rsidR="00E51093" w:rsidRDefault="00E5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w:altName w:val="Calibri"/>
    <w:charset w:val="00"/>
    <w:family w:val="auto"/>
    <w:pitch w:val="default"/>
  </w:font>
  <w:font w:name="AGaramon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460F" w14:textId="07CB412A" w:rsidR="0016124B" w:rsidRDefault="007B7189">
    <w:pPr>
      <w:pBdr>
        <w:top w:val="single" w:sz="4" w:space="1" w:color="000000"/>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D3026">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D3026">
      <w:rPr>
        <w:b/>
        <w:noProof/>
        <w:color w:val="000000"/>
        <w:sz w:val="24"/>
        <w:szCs w:val="24"/>
      </w:rPr>
      <w:t>3</w:t>
    </w:r>
    <w:r>
      <w:rPr>
        <w:b/>
        <w:color w:val="000000"/>
        <w:sz w:val="24"/>
        <w:szCs w:val="24"/>
      </w:rPr>
      <w:fldChar w:fldCharType="end"/>
    </w:r>
  </w:p>
  <w:p w14:paraId="45676B91" w14:textId="77777777" w:rsidR="0016124B" w:rsidRDefault="0016124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4195" w14:textId="77777777" w:rsidR="0016124B" w:rsidRDefault="001612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5C7F" w14:textId="77777777" w:rsidR="00E51093" w:rsidRDefault="00E51093">
      <w:pPr>
        <w:spacing w:after="0" w:line="240" w:lineRule="auto"/>
      </w:pPr>
      <w:r>
        <w:separator/>
      </w:r>
    </w:p>
  </w:footnote>
  <w:footnote w:type="continuationSeparator" w:id="0">
    <w:p w14:paraId="5E941AFC" w14:textId="77777777" w:rsidR="00E51093" w:rsidRDefault="00E51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5C6E" w14:textId="77777777" w:rsidR="0016124B" w:rsidRDefault="001612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0FA"/>
    <w:multiLevelType w:val="multilevel"/>
    <w:tmpl w:val="92487EB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144B70"/>
    <w:multiLevelType w:val="multilevel"/>
    <w:tmpl w:val="984C48C2"/>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1DF6D58"/>
    <w:multiLevelType w:val="multilevel"/>
    <w:tmpl w:val="27DC81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ED509C6"/>
    <w:multiLevelType w:val="multilevel"/>
    <w:tmpl w:val="5992A8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657011F"/>
    <w:multiLevelType w:val="multilevel"/>
    <w:tmpl w:val="3D541D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9D15EE"/>
    <w:multiLevelType w:val="multilevel"/>
    <w:tmpl w:val="0254A854"/>
    <w:lvl w:ilvl="0">
      <w:start w:val="5"/>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63476850"/>
    <w:multiLevelType w:val="multilevel"/>
    <w:tmpl w:val="3698E564"/>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M7AwMLA0NbAwNzZQ0lEKTi0uzszPAykwrAUAvc6BICwAAAA="/>
  </w:docVars>
  <w:rsids>
    <w:rsidRoot w:val="0016124B"/>
    <w:rsid w:val="000061AA"/>
    <w:rsid w:val="000839D3"/>
    <w:rsid w:val="00087556"/>
    <w:rsid w:val="000919D4"/>
    <w:rsid w:val="000C4852"/>
    <w:rsid w:val="000C6B2B"/>
    <w:rsid w:val="001301DD"/>
    <w:rsid w:val="00130A24"/>
    <w:rsid w:val="00141C79"/>
    <w:rsid w:val="00147A9C"/>
    <w:rsid w:val="001546C0"/>
    <w:rsid w:val="0016124B"/>
    <w:rsid w:val="001835A7"/>
    <w:rsid w:val="002046A1"/>
    <w:rsid w:val="00221158"/>
    <w:rsid w:val="00222234"/>
    <w:rsid w:val="002429D7"/>
    <w:rsid w:val="00272EA9"/>
    <w:rsid w:val="00286B1A"/>
    <w:rsid w:val="00291763"/>
    <w:rsid w:val="002D4BCB"/>
    <w:rsid w:val="00311EB2"/>
    <w:rsid w:val="0032785E"/>
    <w:rsid w:val="003364C7"/>
    <w:rsid w:val="00357FD6"/>
    <w:rsid w:val="00377949"/>
    <w:rsid w:val="003862C5"/>
    <w:rsid w:val="00395693"/>
    <w:rsid w:val="003C25F8"/>
    <w:rsid w:val="003C36D1"/>
    <w:rsid w:val="003E3AE3"/>
    <w:rsid w:val="00407AB8"/>
    <w:rsid w:val="004617C0"/>
    <w:rsid w:val="004A33A4"/>
    <w:rsid w:val="004A5F46"/>
    <w:rsid w:val="004B4FB8"/>
    <w:rsid w:val="004D0BBA"/>
    <w:rsid w:val="004F28EC"/>
    <w:rsid w:val="00530CDB"/>
    <w:rsid w:val="005351D8"/>
    <w:rsid w:val="00551879"/>
    <w:rsid w:val="00566EBD"/>
    <w:rsid w:val="005D7EF5"/>
    <w:rsid w:val="005F384E"/>
    <w:rsid w:val="006205AC"/>
    <w:rsid w:val="00670595"/>
    <w:rsid w:val="006757FF"/>
    <w:rsid w:val="00693F0E"/>
    <w:rsid w:val="00694DB0"/>
    <w:rsid w:val="006B4D45"/>
    <w:rsid w:val="006C603E"/>
    <w:rsid w:val="00707543"/>
    <w:rsid w:val="00711DF5"/>
    <w:rsid w:val="00730398"/>
    <w:rsid w:val="00771E73"/>
    <w:rsid w:val="0078095D"/>
    <w:rsid w:val="007A7D0D"/>
    <w:rsid w:val="007B7189"/>
    <w:rsid w:val="00803F3B"/>
    <w:rsid w:val="008050DE"/>
    <w:rsid w:val="00807047"/>
    <w:rsid w:val="0089631B"/>
    <w:rsid w:val="008C03DB"/>
    <w:rsid w:val="008D4CC3"/>
    <w:rsid w:val="008D7ED7"/>
    <w:rsid w:val="008F4252"/>
    <w:rsid w:val="00907410"/>
    <w:rsid w:val="00913A9A"/>
    <w:rsid w:val="0093284D"/>
    <w:rsid w:val="0094239A"/>
    <w:rsid w:val="00946C23"/>
    <w:rsid w:val="009577A4"/>
    <w:rsid w:val="00997851"/>
    <w:rsid w:val="009D3026"/>
    <w:rsid w:val="009E2E16"/>
    <w:rsid w:val="009E59E7"/>
    <w:rsid w:val="009E78C6"/>
    <w:rsid w:val="00A1506C"/>
    <w:rsid w:val="00A54FD7"/>
    <w:rsid w:val="00A850D5"/>
    <w:rsid w:val="00A96CAD"/>
    <w:rsid w:val="00AB16EE"/>
    <w:rsid w:val="00B239D2"/>
    <w:rsid w:val="00B64CE6"/>
    <w:rsid w:val="00BB6BAB"/>
    <w:rsid w:val="00BD1C0D"/>
    <w:rsid w:val="00C1046C"/>
    <w:rsid w:val="00C214F9"/>
    <w:rsid w:val="00C21981"/>
    <w:rsid w:val="00C25DFD"/>
    <w:rsid w:val="00C474E4"/>
    <w:rsid w:val="00C62B37"/>
    <w:rsid w:val="00C75182"/>
    <w:rsid w:val="00C94175"/>
    <w:rsid w:val="00CB63D3"/>
    <w:rsid w:val="00CC49DD"/>
    <w:rsid w:val="00D41FB9"/>
    <w:rsid w:val="00D54648"/>
    <w:rsid w:val="00D7687A"/>
    <w:rsid w:val="00D775B0"/>
    <w:rsid w:val="00DA1A10"/>
    <w:rsid w:val="00DC240A"/>
    <w:rsid w:val="00DE0D77"/>
    <w:rsid w:val="00DF41B4"/>
    <w:rsid w:val="00E31705"/>
    <w:rsid w:val="00E445E4"/>
    <w:rsid w:val="00E51093"/>
    <w:rsid w:val="00E65C4F"/>
    <w:rsid w:val="00E95804"/>
    <w:rsid w:val="00ED553E"/>
    <w:rsid w:val="00F35F28"/>
    <w:rsid w:val="00FE3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28EB"/>
  <w15:docId w15:val="{E94CF643-3F3E-5749-9922-AC1D1E26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uiPriority w:val="9"/>
    <w:qFormat/>
    <w:rsid w:val="001A3AE1"/>
    <w:pPr>
      <w:keepNext/>
      <w:pBdr>
        <w:bottom w:val="single" w:sz="12" w:space="1" w:color="7F7F7F"/>
      </w:pBdr>
      <w:spacing w:before="120" w:after="60" w:line="240" w:lineRule="auto"/>
      <w:ind w:right="2880"/>
      <w:outlineLvl w:val="0"/>
    </w:pPr>
    <w:rPr>
      <w:rFonts w:ascii="Trebuchet MS" w:eastAsia="Times New Roman" w:hAnsi="Trebuchet MS" w:cs="Times New Roman"/>
      <w:smallCaps/>
      <w:kern w:val="32"/>
      <w:sz w:val="36"/>
      <w:szCs w:val="20"/>
      <w:lang w:val="en-US" w:eastAsia="en-AU"/>
    </w:rPr>
  </w:style>
  <w:style w:type="paragraph" w:styleId="Heading2">
    <w:name w:val="heading 2"/>
    <w:basedOn w:val="Normal"/>
    <w:next w:val="Normal"/>
    <w:link w:val="Heading2Char"/>
    <w:uiPriority w:val="9"/>
    <w:unhideWhenUsed/>
    <w:qFormat/>
    <w:rsid w:val="001A3AE1"/>
    <w:pPr>
      <w:keepNext/>
      <w:spacing w:before="60" w:after="60" w:line="240" w:lineRule="auto"/>
      <w:outlineLvl w:val="1"/>
    </w:pPr>
    <w:rPr>
      <w:rFonts w:ascii="Trebuchet MS" w:eastAsia="Times New Roman" w:hAnsi="Trebuchet MS" w:cs="Arial"/>
      <w:b/>
      <w:smallCaps/>
      <w:sz w:val="28"/>
      <w:szCs w:val="28"/>
      <w:lang w:val="en-US"/>
    </w:rPr>
  </w:style>
  <w:style w:type="paragraph" w:styleId="Heading3">
    <w:name w:val="heading 3"/>
    <w:basedOn w:val="Normal"/>
    <w:next w:val="Normal"/>
    <w:link w:val="Heading3Char"/>
    <w:uiPriority w:val="9"/>
    <w:semiHidden/>
    <w:unhideWhenUsed/>
    <w:qFormat/>
    <w:rsid w:val="00E80F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semiHidden/>
    <w:rsid w:val="00E80F94"/>
    <w:pPr>
      <w:tabs>
        <w:tab w:val="center" w:pos="4320"/>
        <w:tab w:val="right" w:pos="8640"/>
      </w:tabs>
      <w:spacing w:after="0" w:line="240" w:lineRule="auto"/>
    </w:pPr>
    <w:rPr>
      <w:rFonts w:ascii="Times New Roman" w:eastAsia="Times New Roman" w:hAnsi="Times New Roman" w:cs="Times New Roman"/>
      <w:sz w:val="20"/>
      <w:szCs w:val="20"/>
      <w:lang w:val="en-US" w:eastAsia="en-AU"/>
    </w:rPr>
  </w:style>
  <w:style w:type="character" w:customStyle="1" w:styleId="HeaderChar">
    <w:name w:val="Header Char"/>
    <w:basedOn w:val="DefaultParagraphFont"/>
    <w:link w:val="Header"/>
    <w:semiHidden/>
    <w:rsid w:val="00E80F94"/>
    <w:rPr>
      <w:rFonts w:ascii="Times New Roman" w:eastAsia="Times New Roman" w:hAnsi="Times New Roman" w:cs="Times New Roman"/>
      <w:sz w:val="20"/>
      <w:szCs w:val="20"/>
      <w:lang w:val="en-US" w:eastAsia="en-AU"/>
    </w:rPr>
  </w:style>
  <w:style w:type="paragraph" w:styleId="BodyText">
    <w:name w:val="Body Text"/>
    <w:basedOn w:val="Normal"/>
    <w:link w:val="BodyTextChar"/>
    <w:semiHidden/>
    <w:rsid w:val="00E80F94"/>
    <w:pPr>
      <w:spacing w:after="0" w:line="240" w:lineRule="auto"/>
      <w:jc w:val="center"/>
    </w:pPr>
    <w:rPr>
      <w:rFonts w:ascii="Eras" w:eastAsia="Times New Roman" w:hAnsi="Eras" w:cs="Times New Roman"/>
      <w:b/>
      <w:sz w:val="32"/>
      <w:szCs w:val="20"/>
      <w:lang w:val="en-US" w:eastAsia="en-AU"/>
    </w:rPr>
  </w:style>
  <w:style w:type="character" w:customStyle="1" w:styleId="BodyTextChar">
    <w:name w:val="Body Text Char"/>
    <w:basedOn w:val="DefaultParagraphFont"/>
    <w:link w:val="BodyText"/>
    <w:semiHidden/>
    <w:rsid w:val="00E80F94"/>
    <w:rPr>
      <w:rFonts w:ascii="Eras" w:eastAsia="Times New Roman" w:hAnsi="Eras" w:cs="Times New Roman"/>
      <w:b/>
      <w:sz w:val="32"/>
      <w:szCs w:val="20"/>
      <w:lang w:val="en-US" w:eastAsia="en-AU"/>
    </w:rPr>
  </w:style>
  <w:style w:type="paragraph" w:styleId="BodyText2">
    <w:name w:val="Body Text 2"/>
    <w:basedOn w:val="Normal"/>
    <w:link w:val="BodyText2Char"/>
    <w:semiHidden/>
    <w:rsid w:val="00E80F94"/>
    <w:pPr>
      <w:spacing w:after="0" w:line="240" w:lineRule="auto"/>
    </w:pPr>
    <w:rPr>
      <w:rFonts w:ascii="AGaramond" w:eastAsia="Times New Roman" w:hAnsi="AGaramond" w:cs="Times New Roman"/>
      <w:sz w:val="24"/>
      <w:szCs w:val="20"/>
      <w:lang w:val="en-US" w:eastAsia="en-AU"/>
    </w:rPr>
  </w:style>
  <w:style w:type="character" w:customStyle="1" w:styleId="BodyText2Char">
    <w:name w:val="Body Text 2 Char"/>
    <w:basedOn w:val="DefaultParagraphFont"/>
    <w:link w:val="BodyText2"/>
    <w:semiHidden/>
    <w:rsid w:val="00E80F94"/>
    <w:rPr>
      <w:rFonts w:ascii="AGaramond" w:eastAsia="Times New Roman" w:hAnsi="AGaramond" w:cs="Times New Roman"/>
      <w:sz w:val="24"/>
      <w:szCs w:val="20"/>
      <w:lang w:val="en-US" w:eastAsia="en-AU"/>
    </w:rPr>
  </w:style>
  <w:style w:type="paragraph" w:customStyle="1" w:styleId="Spon3">
    <w:name w:val="Spon3"/>
    <w:basedOn w:val="Heading3"/>
    <w:rsid w:val="00E80F94"/>
    <w:pPr>
      <w:keepLines w:val="0"/>
      <w:spacing w:before="0" w:line="240" w:lineRule="auto"/>
    </w:pPr>
    <w:rPr>
      <w:rFonts w:ascii="Arial" w:eastAsia="Times New Roman" w:hAnsi="Arial" w:cs="Times New Roman"/>
      <w:b/>
      <w:caps/>
      <w:color w:val="auto"/>
      <w:sz w:val="28"/>
      <w:szCs w:val="20"/>
      <w:lang w:val="en-US" w:eastAsia="en-AU"/>
    </w:rPr>
  </w:style>
  <w:style w:type="character" w:customStyle="1" w:styleId="Heading3Char">
    <w:name w:val="Heading 3 Char"/>
    <w:basedOn w:val="DefaultParagraphFont"/>
    <w:link w:val="Heading3"/>
    <w:uiPriority w:val="9"/>
    <w:rsid w:val="00E80F9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E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243"/>
    <w:pPr>
      <w:spacing w:after="30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56EFE"/>
    <w:rPr>
      <w:color w:val="0000FF"/>
      <w:u w:val="single"/>
    </w:rPr>
  </w:style>
  <w:style w:type="character" w:customStyle="1" w:styleId="skypec2ctextspan">
    <w:name w:val="skype_c2c_text_span"/>
    <w:basedOn w:val="DefaultParagraphFont"/>
    <w:rsid w:val="00844B66"/>
  </w:style>
  <w:style w:type="character" w:customStyle="1" w:styleId="Heading1Char">
    <w:name w:val="Heading 1 Char"/>
    <w:aliases w:val="h1 Char"/>
    <w:basedOn w:val="DefaultParagraphFont"/>
    <w:link w:val="Heading1"/>
    <w:rsid w:val="001A3AE1"/>
    <w:rPr>
      <w:rFonts w:ascii="Trebuchet MS" w:eastAsia="Times New Roman" w:hAnsi="Trebuchet MS" w:cs="Times New Roman"/>
      <w:smallCaps/>
      <w:kern w:val="32"/>
      <w:sz w:val="36"/>
      <w:szCs w:val="20"/>
      <w:lang w:val="en-US" w:eastAsia="en-AU"/>
    </w:rPr>
  </w:style>
  <w:style w:type="character" w:customStyle="1" w:styleId="Heading2Char">
    <w:name w:val="Heading 2 Char"/>
    <w:basedOn w:val="DefaultParagraphFont"/>
    <w:link w:val="Heading2"/>
    <w:rsid w:val="001A3AE1"/>
    <w:rPr>
      <w:rFonts w:ascii="Trebuchet MS" w:eastAsia="Times New Roman" w:hAnsi="Trebuchet MS" w:cs="Arial"/>
      <w:b/>
      <w:smallCaps/>
      <w:sz w:val="28"/>
      <w:szCs w:val="28"/>
      <w:lang w:val="en-US"/>
    </w:rPr>
  </w:style>
  <w:style w:type="paragraph" w:styleId="NoSpacing">
    <w:name w:val="No Spacing"/>
    <w:link w:val="NoSpacingChar"/>
    <w:uiPriority w:val="1"/>
    <w:qFormat/>
    <w:rsid w:val="000B029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296"/>
    <w:rPr>
      <w:rFonts w:eastAsiaTheme="minorEastAsia"/>
      <w:lang w:val="en-US"/>
    </w:rPr>
  </w:style>
  <w:style w:type="paragraph" w:styleId="ListParagraph">
    <w:name w:val="List Paragraph"/>
    <w:basedOn w:val="Normal"/>
    <w:uiPriority w:val="34"/>
    <w:qFormat/>
    <w:rsid w:val="005E485C"/>
    <w:pPr>
      <w:ind w:left="720"/>
      <w:contextualSpacing/>
    </w:pPr>
    <w:rPr>
      <w:sz w:val="28"/>
      <w:szCs w:val="28"/>
    </w:rPr>
  </w:style>
  <w:style w:type="paragraph" w:styleId="EndnoteText">
    <w:name w:val="endnote text"/>
    <w:basedOn w:val="Normal"/>
    <w:link w:val="EndnoteTextChar"/>
    <w:uiPriority w:val="99"/>
    <w:semiHidden/>
    <w:unhideWhenUsed/>
    <w:rsid w:val="003C2B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BAF"/>
    <w:rPr>
      <w:sz w:val="20"/>
      <w:szCs w:val="20"/>
    </w:rPr>
  </w:style>
  <w:style w:type="character" w:styleId="EndnoteReference">
    <w:name w:val="endnote reference"/>
    <w:basedOn w:val="DefaultParagraphFont"/>
    <w:uiPriority w:val="99"/>
    <w:semiHidden/>
    <w:unhideWhenUsed/>
    <w:rsid w:val="003C2BAF"/>
    <w:rPr>
      <w:vertAlign w:val="superscript"/>
    </w:rPr>
  </w:style>
  <w:style w:type="paragraph" w:styleId="BalloonText">
    <w:name w:val="Balloon Text"/>
    <w:basedOn w:val="Normal"/>
    <w:link w:val="BalloonTextChar"/>
    <w:uiPriority w:val="99"/>
    <w:semiHidden/>
    <w:unhideWhenUsed/>
    <w:rsid w:val="0005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7BB"/>
    <w:rPr>
      <w:rFonts w:ascii="Tahoma" w:hAnsi="Tahoma" w:cs="Tahoma"/>
      <w:sz w:val="16"/>
      <w:szCs w:val="16"/>
    </w:rPr>
  </w:style>
  <w:style w:type="paragraph" w:styleId="FootnoteText">
    <w:name w:val="footnote text"/>
    <w:basedOn w:val="Normal"/>
    <w:link w:val="FootnoteTextChar"/>
    <w:uiPriority w:val="99"/>
    <w:semiHidden/>
    <w:unhideWhenUsed/>
    <w:rsid w:val="00D239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93C"/>
    <w:rPr>
      <w:sz w:val="20"/>
      <w:szCs w:val="20"/>
    </w:rPr>
  </w:style>
  <w:style w:type="character" w:styleId="FootnoteReference">
    <w:name w:val="footnote reference"/>
    <w:basedOn w:val="DefaultParagraphFont"/>
    <w:uiPriority w:val="99"/>
    <w:semiHidden/>
    <w:unhideWhenUsed/>
    <w:rsid w:val="00D2393C"/>
    <w:rPr>
      <w:vertAlign w:val="superscript"/>
    </w:rPr>
  </w:style>
  <w:style w:type="paragraph" w:customStyle="1" w:styleId="Bullets">
    <w:name w:val="Bullets"/>
    <w:basedOn w:val="Normal"/>
    <w:link w:val="BulletsChar"/>
    <w:rsid w:val="00D2393C"/>
    <w:pPr>
      <w:numPr>
        <w:numId w:val="7"/>
      </w:numPr>
      <w:spacing w:before="120" w:after="60" w:line="240" w:lineRule="auto"/>
    </w:pPr>
    <w:rPr>
      <w:rFonts w:ascii="Verdana" w:eastAsia="Times New Roman" w:hAnsi="Verdana" w:cs="Arial"/>
      <w:sz w:val="18"/>
    </w:rPr>
  </w:style>
  <w:style w:type="character" w:customStyle="1" w:styleId="BulletsChar">
    <w:name w:val="Bullets Char"/>
    <w:basedOn w:val="DefaultParagraphFont"/>
    <w:link w:val="Bullets"/>
    <w:rsid w:val="00D2393C"/>
    <w:rPr>
      <w:rFonts w:ascii="Verdana" w:eastAsia="Times New Roman" w:hAnsi="Verdana" w:cs="Arial"/>
      <w:sz w:val="18"/>
    </w:rPr>
  </w:style>
  <w:style w:type="paragraph" w:customStyle="1" w:styleId="Default">
    <w:name w:val="Default"/>
    <w:rsid w:val="00756C38"/>
    <w:pPr>
      <w:autoSpaceDE w:val="0"/>
      <w:autoSpaceDN w:val="0"/>
      <w:adjustRightInd w:val="0"/>
      <w:spacing w:after="0" w:line="240" w:lineRule="auto"/>
    </w:pPr>
    <w:rPr>
      <w:color w:val="000000"/>
      <w:sz w:val="24"/>
      <w:szCs w:val="24"/>
    </w:rPr>
  </w:style>
  <w:style w:type="paragraph" w:styleId="Revision">
    <w:name w:val="Revision"/>
    <w:hidden/>
    <w:uiPriority w:val="99"/>
    <w:semiHidden/>
    <w:rsid w:val="000E4D57"/>
    <w:pPr>
      <w:spacing w:after="0" w:line="240" w:lineRule="auto"/>
    </w:pPr>
  </w:style>
  <w:style w:type="character" w:styleId="CommentReference">
    <w:name w:val="annotation reference"/>
    <w:basedOn w:val="DefaultParagraphFont"/>
    <w:uiPriority w:val="99"/>
    <w:semiHidden/>
    <w:unhideWhenUsed/>
    <w:rsid w:val="00A351FA"/>
    <w:rPr>
      <w:sz w:val="16"/>
      <w:szCs w:val="16"/>
    </w:rPr>
  </w:style>
  <w:style w:type="paragraph" w:styleId="CommentText">
    <w:name w:val="annotation text"/>
    <w:basedOn w:val="Normal"/>
    <w:link w:val="CommentTextChar"/>
    <w:uiPriority w:val="99"/>
    <w:unhideWhenUsed/>
    <w:rsid w:val="00A351FA"/>
    <w:pPr>
      <w:spacing w:line="240" w:lineRule="auto"/>
    </w:pPr>
    <w:rPr>
      <w:sz w:val="20"/>
      <w:szCs w:val="20"/>
    </w:rPr>
  </w:style>
  <w:style w:type="character" w:customStyle="1" w:styleId="CommentTextChar">
    <w:name w:val="Comment Text Char"/>
    <w:basedOn w:val="DefaultParagraphFont"/>
    <w:link w:val="CommentText"/>
    <w:uiPriority w:val="99"/>
    <w:rsid w:val="00A351FA"/>
    <w:rPr>
      <w:sz w:val="20"/>
      <w:szCs w:val="20"/>
    </w:rPr>
  </w:style>
  <w:style w:type="paragraph" w:styleId="CommentSubject">
    <w:name w:val="annotation subject"/>
    <w:basedOn w:val="CommentText"/>
    <w:next w:val="CommentText"/>
    <w:link w:val="CommentSubjectChar"/>
    <w:uiPriority w:val="99"/>
    <w:semiHidden/>
    <w:unhideWhenUsed/>
    <w:rsid w:val="00A351FA"/>
    <w:rPr>
      <w:b/>
      <w:bCs/>
    </w:rPr>
  </w:style>
  <w:style w:type="character" w:customStyle="1" w:styleId="CommentSubjectChar">
    <w:name w:val="Comment Subject Char"/>
    <w:basedOn w:val="CommentTextChar"/>
    <w:link w:val="CommentSubject"/>
    <w:uiPriority w:val="99"/>
    <w:semiHidden/>
    <w:rsid w:val="00A351FA"/>
    <w:rPr>
      <w:b/>
      <w:bCs/>
      <w:sz w:val="20"/>
      <w:szCs w:val="20"/>
    </w:rPr>
  </w:style>
  <w:style w:type="paragraph" w:styleId="Footer">
    <w:name w:val="footer"/>
    <w:basedOn w:val="Normal"/>
    <w:link w:val="FooterChar"/>
    <w:uiPriority w:val="99"/>
    <w:unhideWhenUsed/>
    <w:rsid w:val="008F3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61F"/>
  </w:style>
  <w:style w:type="character" w:styleId="UnresolvedMention">
    <w:name w:val="Unresolved Mention"/>
    <w:basedOn w:val="DefaultParagraphFont"/>
    <w:uiPriority w:val="99"/>
    <w:semiHidden/>
    <w:unhideWhenUsed/>
    <w:rsid w:val="0051013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excellenceaustralia.org.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KFz2CH5uYzFxAkzA1zYgHq8jQ==">AMUW2mWuZE9nyfu36w6PfQUZbwjE+MtccIF91CU8RGx/lFZ7n1Ghm4i+U9f2YMaeNVpCGmR2ef4/qkpxSJAO5dG8Ntv3jAczL6lh+mal1l+jHjYiB0u+apc=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E0DD57-FD99-4DD1-B45F-673BC678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Submission 32 - Business Excellence Australia (BEA) - Productivity - Public inquiry</vt:lpstr>
    </vt:vector>
  </TitlesOfParts>
  <Company>Business Excellence Australia (BEA)</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Business Excellence Australia (BEA) - Productivity - Public inquiry</dc:title>
  <dc:creator>Business Excellence Australia (BEA)</dc:creator>
  <cp:lastModifiedBy>Dobson, Bianca</cp:lastModifiedBy>
  <cp:revision>7</cp:revision>
  <cp:lastPrinted>2022-03-25T01:59:00Z</cp:lastPrinted>
  <dcterms:created xsi:type="dcterms:W3CDTF">2022-03-23T04:40:00Z</dcterms:created>
  <dcterms:modified xsi:type="dcterms:W3CDTF">2022-03-25T01:59:00Z</dcterms:modified>
</cp:coreProperties>
</file>