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75F4" w14:textId="77777777" w:rsidR="004B65CC" w:rsidRPr="006D661B" w:rsidRDefault="004B65CC" w:rsidP="004A0251">
      <w:pPr>
        <w:rPr>
          <w:rFonts w:cstheme="minorHAnsi"/>
        </w:rPr>
      </w:pPr>
    </w:p>
    <w:p w14:paraId="66BCC232" w14:textId="4E144365" w:rsidR="004B65CC" w:rsidRPr="006D661B" w:rsidRDefault="00C21383" w:rsidP="00B713C1">
      <w:pPr>
        <w:spacing w:before="0" w:line="240" w:lineRule="auto"/>
        <w:rPr>
          <w:rFonts w:cstheme="minorHAnsi"/>
        </w:rPr>
      </w:pPr>
      <w:r w:rsidRPr="006D661B">
        <w:rPr>
          <w:rFonts w:cstheme="minorHAnsi"/>
          <w:noProof/>
          <w:lang w:eastAsia="en-AU"/>
        </w:rPr>
        <mc:AlternateContent>
          <mc:Choice Requires="wps">
            <w:drawing>
              <wp:anchor distT="0" distB="0" distL="114300" distR="114300" simplePos="0" relativeHeight="251661312" behindDoc="0" locked="0" layoutInCell="1" allowOverlap="1" wp14:anchorId="440B9F9C" wp14:editId="0CF6ECE1">
                <wp:simplePos x="0" y="0"/>
                <wp:positionH relativeFrom="margin">
                  <wp:posOffset>-89906</wp:posOffset>
                </wp:positionH>
                <wp:positionV relativeFrom="paragraph">
                  <wp:posOffset>4008755</wp:posOffset>
                </wp:positionV>
                <wp:extent cx="1610360" cy="1139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1610360" cy="1139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C434B" w14:textId="03E7BF8D" w:rsidR="00203F8C" w:rsidRPr="00F14CDB" w:rsidRDefault="00B352DA" w:rsidP="00C21383">
                            <w:pPr>
                              <w:spacing w:before="0" w:after="0"/>
                              <w:rPr>
                                <w:rFonts w:ascii="Calibri" w:hAnsi="Calibri"/>
                                <w:color w:val="FFFFFF" w:themeColor="background1"/>
                                <w:sz w:val="28"/>
                                <w:szCs w:val="28"/>
                              </w:rPr>
                            </w:pPr>
                            <w:r>
                              <w:rPr>
                                <w:rFonts w:ascii="Calibri" w:hAnsi="Calibri"/>
                                <w:color w:val="FFFFFF" w:themeColor="background1"/>
                                <w:sz w:val="28"/>
                                <w:szCs w:val="28"/>
                              </w:rPr>
                              <w:t>October</w:t>
                            </w:r>
                            <w:r w:rsidR="00203F8C" w:rsidRPr="00F14CDB">
                              <w:rPr>
                                <w:rFonts w:ascii="Calibri" w:hAnsi="Calibri"/>
                                <w:color w:val="FFFFFF" w:themeColor="background1"/>
                                <w:sz w:val="28"/>
                                <w:szCs w:val="28"/>
                              </w:rPr>
                              <w:t xml:space="preserve"> 202</w:t>
                            </w:r>
                            <w:r>
                              <w:rPr>
                                <w:rFonts w:ascii="Calibri" w:hAnsi="Calibri"/>
                                <w:color w:val="FFFFFF" w:themeColor="background1"/>
                                <w:sz w:val="28"/>
                                <w:szCs w:val="28"/>
                              </w:rPr>
                              <w:t>2</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9F9C" id="_x0000_t202" coordsize="21600,21600" o:spt="202" path="m,l,21600r21600,l21600,xe">
                <v:stroke joinstyle="miter"/>
                <v:path gradientshapeok="t" o:connecttype="rect"/>
              </v:shapetype>
              <v:shape id="Text Box 7" o:spid="_x0000_s1026" type="#_x0000_t202" style="position:absolute;margin-left:-7.1pt;margin-top:315.65pt;width:126.8pt;height: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" filled="f" stroked="f">
                <v:textbox inset=",1mm,,0">
                  <w:txbxContent>
                    <w:p w14:paraId="529C434B" w14:textId="03E7BF8D" w:rsidR="00203F8C" w:rsidRPr="00F14CDB" w:rsidRDefault="00B352DA" w:rsidP="00C21383">
                      <w:pPr>
                        <w:spacing w:before="0" w:after="0"/>
                        <w:rPr>
                          <w:rFonts w:ascii="Calibri" w:hAnsi="Calibri"/>
                          <w:color w:val="FFFFFF" w:themeColor="background1"/>
                          <w:sz w:val="28"/>
                          <w:szCs w:val="28"/>
                        </w:rPr>
                      </w:pPr>
                      <w:r>
                        <w:rPr>
                          <w:rFonts w:ascii="Calibri" w:hAnsi="Calibri"/>
                          <w:color w:val="FFFFFF" w:themeColor="background1"/>
                          <w:sz w:val="28"/>
                          <w:szCs w:val="28"/>
                        </w:rPr>
                        <w:t>October</w:t>
                      </w:r>
                      <w:r w:rsidR="00203F8C" w:rsidRPr="00F14CDB">
                        <w:rPr>
                          <w:rFonts w:ascii="Calibri" w:hAnsi="Calibri"/>
                          <w:color w:val="FFFFFF" w:themeColor="background1"/>
                          <w:sz w:val="28"/>
                          <w:szCs w:val="28"/>
                        </w:rPr>
                        <w:t xml:space="preserve"> 202</w:t>
                      </w:r>
                      <w:r>
                        <w:rPr>
                          <w:rFonts w:ascii="Calibri" w:hAnsi="Calibri"/>
                          <w:color w:val="FFFFFF" w:themeColor="background1"/>
                          <w:sz w:val="28"/>
                          <w:szCs w:val="28"/>
                        </w:rPr>
                        <w:t>2</w:t>
                      </w:r>
                    </w:p>
                  </w:txbxContent>
                </v:textbox>
                <w10:wrap type="square" anchorx="margin"/>
              </v:shape>
            </w:pict>
          </mc:Fallback>
        </mc:AlternateContent>
      </w:r>
      <w:r w:rsidRPr="006D661B">
        <w:rPr>
          <w:rFonts w:cstheme="minorHAnsi"/>
          <w:noProof/>
          <w:lang w:eastAsia="en-AU"/>
        </w:rPr>
        <mc:AlternateContent>
          <mc:Choice Requires="wps">
            <w:drawing>
              <wp:anchor distT="0" distB="0" distL="114300" distR="114300" simplePos="0" relativeHeight="251659264" behindDoc="0" locked="0" layoutInCell="1" allowOverlap="1" wp14:anchorId="77EA38F8" wp14:editId="6F987C00">
                <wp:simplePos x="0" y="0"/>
                <wp:positionH relativeFrom="margin">
                  <wp:posOffset>-107950</wp:posOffset>
                </wp:positionH>
                <wp:positionV relativeFrom="paragraph">
                  <wp:posOffset>1850390</wp:posOffset>
                </wp:positionV>
                <wp:extent cx="6335395" cy="190436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335395" cy="1904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C9E607" w14:textId="0FD7A8E5" w:rsidR="00203F8C" w:rsidRPr="00F14CDB" w:rsidRDefault="00203F8C" w:rsidP="00325622">
                            <w:pPr>
                              <w:pStyle w:val="Title"/>
                              <w:rPr>
                                <w:rFonts w:ascii="Calibri" w:hAnsi="Calibri"/>
                              </w:rPr>
                            </w:pPr>
                            <w:r w:rsidRPr="00F14CDB">
                              <w:rPr>
                                <w:rFonts w:ascii="Calibri" w:hAnsi="Calibri"/>
                              </w:rPr>
                              <w:t>Education Services Australia</w:t>
                            </w:r>
                          </w:p>
                          <w:p w14:paraId="4B8A7DAC" w14:textId="19639610" w:rsidR="00203F8C" w:rsidRPr="00F14CDB" w:rsidRDefault="00203F8C" w:rsidP="00325622">
                            <w:pPr>
                              <w:pStyle w:val="Title"/>
                              <w:rPr>
                                <w:rFonts w:ascii="Calibri" w:hAnsi="Calibri"/>
                              </w:rPr>
                            </w:pPr>
                            <w:r w:rsidRPr="00F14CDB">
                              <w:rPr>
                                <w:rFonts w:ascii="Calibri" w:hAnsi="Calibri"/>
                              </w:rPr>
                              <w:t xml:space="preserve">Response to the </w:t>
                            </w:r>
                            <w:r w:rsidR="00B352DA">
                              <w:rPr>
                                <w:rFonts w:ascii="Calibri" w:hAnsi="Calibri"/>
                              </w:rPr>
                              <w:t xml:space="preserve">Productivity Commission  </w:t>
                            </w:r>
                            <w:r w:rsidR="00D967A9">
                              <w:rPr>
                                <w:rFonts w:ascii="Calibri" w:hAnsi="Calibri"/>
                              </w:rPr>
                              <w:t xml:space="preserve">Review of the </w:t>
                            </w:r>
                            <w:r w:rsidR="00B352DA">
                              <w:rPr>
                                <w:rFonts w:ascii="Calibri" w:hAnsi="Calibri"/>
                              </w:rPr>
                              <w:t>National School Reform Agreement</w:t>
                            </w:r>
                            <w:r w:rsidR="00D71D46">
                              <w:rPr>
                                <w:rFonts w:ascii="Calibri" w:hAnsi="Calibri"/>
                              </w:rPr>
                              <w:t xml:space="preserve"> – Interim Report</w:t>
                            </w:r>
                            <w:r w:rsidR="00B352DA">
                              <w:rPr>
                                <w:rFonts w:ascii="Calibri" w:hAnsi="Calibri"/>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A38F8" id="Text Box 6" o:spid="_x0000_s1027" type="#_x0000_t202" style="position:absolute;margin-left:-8.5pt;margin-top:145.7pt;width:498.85pt;height:14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" filled="f" stroked="f">
                <v:textbox>
                  <w:txbxContent>
                    <w:p w14:paraId="3BC9E607" w14:textId="0FD7A8E5" w:rsidR="00203F8C" w:rsidRPr="00F14CDB" w:rsidRDefault="00203F8C" w:rsidP="00325622">
                      <w:pPr>
                        <w:pStyle w:val="Title"/>
                        <w:rPr>
                          <w:rFonts w:ascii="Calibri" w:hAnsi="Calibri"/>
                        </w:rPr>
                      </w:pPr>
                      <w:r w:rsidRPr="00F14CDB">
                        <w:rPr>
                          <w:rFonts w:ascii="Calibri" w:hAnsi="Calibri"/>
                        </w:rPr>
                        <w:t>Education Services Australia</w:t>
                      </w:r>
                    </w:p>
                    <w:p w14:paraId="4B8A7DAC" w14:textId="19639610" w:rsidR="00203F8C" w:rsidRPr="00F14CDB" w:rsidRDefault="00203F8C" w:rsidP="00325622">
                      <w:pPr>
                        <w:pStyle w:val="Title"/>
                        <w:rPr>
                          <w:rFonts w:ascii="Calibri" w:hAnsi="Calibri"/>
                        </w:rPr>
                      </w:pPr>
                      <w:r w:rsidRPr="00F14CDB">
                        <w:rPr>
                          <w:rFonts w:ascii="Calibri" w:hAnsi="Calibri"/>
                        </w:rPr>
                        <w:t xml:space="preserve">Response to the </w:t>
                      </w:r>
                      <w:r w:rsidR="00B352DA">
                        <w:rPr>
                          <w:rFonts w:ascii="Calibri" w:hAnsi="Calibri"/>
                        </w:rPr>
                        <w:t xml:space="preserve">Productivity Commission  </w:t>
                      </w:r>
                      <w:r w:rsidR="00D967A9">
                        <w:rPr>
                          <w:rFonts w:ascii="Calibri" w:hAnsi="Calibri"/>
                        </w:rPr>
                        <w:t xml:space="preserve">Review of the </w:t>
                      </w:r>
                      <w:r w:rsidR="00B352DA">
                        <w:rPr>
                          <w:rFonts w:ascii="Calibri" w:hAnsi="Calibri"/>
                        </w:rPr>
                        <w:t>National School Reform Agreement</w:t>
                      </w:r>
                      <w:r w:rsidR="00D71D46">
                        <w:rPr>
                          <w:rFonts w:ascii="Calibri" w:hAnsi="Calibri"/>
                        </w:rPr>
                        <w:t xml:space="preserve"> – Interim Report</w:t>
                      </w:r>
                      <w:r w:rsidR="00B352DA">
                        <w:rPr>
                          <w:rFonts w:ascii="Calibri" w:hAnsi="Calibri"/>
                        </w:rPr>
                        <w:t>.</w:t>
                      </w:r>
                    </w:p>
                  </w:txbxContent>
                </v:textbox>
                <w10:wrap type="square" anchorx="margin"/>
              </v:shape>
            </w:pict>
          </mc:Fallback>
        </mc:AlternateContent>
      </w:r>
      <w:r w:rsidR="004B65CC" w:rsidRPr="006D661B">
        <w:rPr>
          <w:rFonts w:cstheme="minorHAnsi"/>
        </w:rPr>
        <w:br w:type="page"/>
      </w:r>
    </w:p>
    <w:p w14:paraId="2C594088" w14:textId="5DC2AF1B" w:rsidR="000F7BF1" w:rsidRPr="002401CA" w:rsidRDefault="000F7BF1" w:rsidP="00B713C1">
      <w:pPr>
        <w:spacing w:before="0" w:line="240" w:lineRule="auto"/>
        <w:rPr>
          <w:rFonts w:asciiTheme="majorHAnsi" w:hAnsiTheme="majorHAnsi" w:cstheme="majorHAnsi"/>
        </w:rPr>
      </w:pPr>
      <w:r w:rsidRPr="002401CA">
        <w:rPr>
          <w:rFonts w:asciiTheme="majorHAnsi" w:hAnsiTheme="majorHAnsi" w:cstheme="majorHAnsi"/>
          <w:b/>
          <w:bCs/>
          <w:color w:val="241773" w:themeColor="accent1"/>
          <w:sz w:val="24"/>
          <w:szCs w:val="24"/>
        </w:rPr>
        <w:lastRenderedPageBreak/>
        <w:t>Contents</w:t>
      </w:r>
    </w:p>
    <w:p w14:paraId="33B393B2" w14:textId="77777777" w:rsidR="000F7BF1" w:rsidRDefault="000F7BF1" w:rsidP="00B713C1">
      <w:pPr>
        <w:spacing w:before="0" w:line="240" w:lineRule="auto"/>
        <w:rPr>
          <w:rFonts w:cstheme="minorHAnsi"/>
        </w:rPr>
      </w:pPr>
    </w:p>
    <w:tbl>
      <w:tblPr>
        <w:tblStyle w:val="TableGrid"/>
        <w:tblW w:w="0" w:type="auto"/>
        <w:tblInd w:w="846" w:type="dxa"/>
        <w:tblLook w:val="04A0" w:firstRow="1" w:lastRow="0" w:firstColumn="1" w:lastColumn="0" w:noHBand="0" w:noVBand="1"/>
      </w:tblPr>
      <w:tblGrid>
        <w:gridCol w:w="6072"/>
        <w:gridCol w:w="1281"/>
      </w:tblGrid>
      <w:tr w:rsidR="002D12A7" w14:paraId="30CF7F74" w14:textId="77777777" w:rsidTr="00532FF5">
        <w:tc>
          <w:tcPr>
            <w:tcW w:w="5953" w:type="dxa"/>
            <w:tcBorders>
              <w:top w:val="nil"/>
              <w:left w:val="nil"/>
              <w:bottom w:val="nil"/>
              <w:right w:val="nil"/>
            </w:tcBorders>
          </w:tcPr>
          <w:p w14:paraId="050FD7DF" w14:textId="2C17FF63" w:rsidR="002D12A7" w:rsidRDefault="002D12A7" w:rsidP="00B713C1">
            <w:pPr>
              <w:spacing w:before="0" w:line="240" w:lineRule="auto"/>
              <w:rPr>
                <w:rFonts w:cstheme="minorHAnsi"/>
                <w:b/>
                <w:bCs/>
                <w:color w:val="241773" w:themeColor="accent1"/>
              </w:rPr>
            </w:pPr>
            <w:r w:rsidRPr="002401CA">
              <w:rPr>
                <w:rFonts w:cstheme="minorHAnsi"/>
                <w:b/>
                <w:bCs/>
                <w:color w:val="241773" w:themeColor="accent1"/>
              </w:rPr>
              <w:t>Introductio</w:t>
            </w:r>
            <w:r>
              <w:rPr>
                <w:rFonts w:cstheme="minorHAnsi"/>
                <w:b/>
                <w:bCs/>
                <w:color w:val="241773" w:themeColor="accent1"/>
              </w:rPr>
              <w:t>n</w:t>
            </w:r>
            <w:r w:rsidR="00365A7A">
              <w:rPr>
                <w:rFonts w:cstheme="minorHAnsi"/>
                <w:b/>
                <w:bCs/>
                <w:color w:val="241773" w:themeColor="accent1"/>
              </w:rPr>
              <w:t>.</w:t>
            </w:r>
            <w:r w:rsidR="00532FF5">
              <w:rPr>
                <w:rFonts w:cstheme="minorHAnsi"/>
                <w:b/>
                <w:bCs/>
                <w:color w:val="241773" w:themeColor="accent1"/>
              </w:rPr>
              <w:t>……………………………………………………………</w:t>
            </w:r>
          </w:p>
          <w:p w14:paraId="2D99C47D" w14:textId="3081F7E5" w:rsidR="002D12A7" w:rsidRDefault="002D12A7" w:rsidP="00B713C1">
            <w:pPr>
              <w:spacing w:before="0" w:line="240" w:lineRule="auto"/>
              <w:rPr>
                <w:rFonts w:cstheme="minorHAnsi"/>
              </w:rPr>
            </w:pPr>
          </w:p>
        </w:tc>
        <w:tc>
          <w:tcPr>
            <w:tcW w:w="1281" w:type="dxa"/>
            <w:tcBorders>
              <w:top w:val="nil"/>
              <w:left w:val="nil"/>
              <w:bottom w:val="nil"/>
              <w:right w:val="nil"/>
            </w:tcBorders>
          </w:tcPr>
          <w:p w14:paraId="7F13AC8C" w14:textId="78C3548A" w:rsidR="002D12A7" w:rsidRDefault="002D12A7" w:rsidP="00532FF5">
            <w:pPr>
              <w:spacing w:before="0" w:line="240" w:lineRule="auto"/>
              <w:rPr>
                <w:rFonts w:cstheme="minorHAnsi"/>
              </w:rPr>
            </w:pPr>
            <w:r>
              <w:rPr>
                <w:rFonts w:cstheme="minorHAnsi"/>
                <w:b/>
                <w:bCs/>
                <w:color w:val="241773" w:themeColor="accent1"/>
              </w:rPr>
              <w:t>Page 3</w:t>
            </w:r>
          </w:p>
        </w:tc>
      </w:tr>
      <w:tr w:rsidR="002D12A7" w14:paraId="21188F84" w14:textId="77777777" w:rsidTr="00532FF5">
        <w:tc>
          <w:tcPr>
            <w:tcW w:w="5953" w:type="dxa"/>
            <w:tcBorders>
              <w:top w:val="nil"/>
              <w:left w:val="nil"/>
              <w:bottom w:val="nil"/>
              <w:right w:val="nil"/>
            </w:tcBorders>
          </w:tcPr>
          <w:p w14:paraId="6A1FE3D1" w14:textId="0AB1E474" w:rsidR="002D12A7" w:rsidRDefault="002D12A7" w:rsidP="00B713C1">
            <w:pPr>
              <w:spacing w:before="0" w:line="240" w:lineRule="auto"/>
              <w:rPr>
                <w:rFonts w:cstheme="minorHAnsi"/>
                <w:b/>
                <w:bCs/>
                <w:color w:val="241773" w:themeColor="accent1"/>
              </w:rPr>
            </w:pPr>
            <w:r w:rsidRPr="002401CA">
              <w:rPr>
                <w:rFonts w:cstheme="minorHAnsi"/>
                <w:b/>
                <w:bCs/>
                <w:color w:val="241773" w:themeColor="accent1"/>
              </w:rPr>
              <w:t>Response to Specific Chapter</w:t>
            </w:r>
            <w:r>
              <w:rPr>
                <w:rFonts w:cstheme="minorHAnsi"/>
                <w:b/>
                <w:bCs/>
                <w:color w:val="241773" w:themeColor="accent1"/>
              </w:rPr>
              <w:t>s</w:t>
            </w:r>
            <w:r w:rsidR="00365A7A">
              <w:rPr>
                <w:rFonts w:cstheme="minorHAnsi"/>
                <w:b/>
                <w:bCs/>
                <w:color w:val="241773" w:themeColor="accent1"/>
              </w:rPr>
              <w:t>…………………………………….</w:t>
            </w:r>
          </w:p>
          <w:p w14:paraId="23596414" w14:textId="4BD94B05" w:rsidR="002D12A7" w:rsidRDefault="002D12A7" w:rsidP="00B713C1">
            <w:pPr>
              <w:spacing w:before="0" w:line="240" w:lineRule="auto"/>
              <w:rPr>
                <w:rFonts w:cstheme="minorHAnsi"/>
              </w:rPr>
            </w:pPr>
          </w:p>
        </w:tc>
        <w:tc>
          <w:tcPr>
            <w:tcW w:w="1281" w:type="dxa"/>
            <w:tcBorders>
              <w:top w:val="nil"/>
              <w:left w:val="nil"/>
              <w:bottom w:val="nil"/>
              <w:right w:val="nil"/>
            </w:tcBorders>
          </w:tcPr>
          <w:p w14:paraId="37610C10" w14:textId="4797E155" w:rsidR="002D12A7" w:rsidRDefault="002D12A7" w:rsidP="00532FF5">
            <w:pPr>
              <w:spacing w:before="0" w:line="240" w:lineRule="auto"/>
              <w:rPr>
                <w:rFonts w:cstheme="minorHAnsi"/>
              </w:rPr>
            </w:pPr>
            <w:r>
              <w:rPr>
                <w:rFonts w:cstheme="minorHAnsi"/>
                <w:b/>
                <w:bCs/>
                <w:color w:val="241773" w:themeColor="accent1"/>
              </w:rPr>
              <w:t>Page 3</w:t>
            </w:r>
          </w:p>
        </w:tc>
      </w:tr>
      <w:tr w:rsidR="002D12A7" w14:paraId="3D9CFD04" w14:textId="77777777" w:rsidTr="00532FF5">
        <w:tc>
          <w:tcPr>
            <w:tcW w:w="5953" w:type="dxa"/>
            <w:tcBorders>
              <w:top w:val="nil"/>
              <w:left w:val="nil"/>
              <w:bottom w:val="nil"/>
              <w:right w:val="nil"/>
            </w:tcBorders>
          </w:tcPr>
          <w:p w14:paraId="2AE0B223" w14:textId="77B2434D" w:rsidR="002D12A7" w:rsidRPr="002D12A7" w:rsidRDefault="002D12A7" w:rsidP="002D12A7">
            <w:pPr>
              <w:spacing w:before="0" w:line="240" w:lineRule="auto"/>
              <w:rPr>
                <w:rFonts w:cstheme="minorHAnsi"/>
                <w:b/>
                <w:bCs/>
                <w:color w:val="241773" w:themeColor="accent1"/>
              </w:rPr>
            </w:pPr>
            <w:r w:rsidRPr="002D12A7">
              <w:rPr>
                <w:rFonts w:cstheme="minorHAnsi"/>
                <w:b/>
                <w:bCs/>
                <w:color w:val="241773" w:themeColor="accent1"/>
              </w:rPr>
              <w:t>High Level Assessment of the National Policy Initiatives</w:t>
            </w:r>
            <w:r w:rsidR="00365A7A">
              <w:rPr>
                <w:rFonts w:cstheme="minorHAnsi"/>
                <w:b/>
                <w:bCs/>
                <w:color w:val="241773" w:themeColor="accent1"/>
              </w:rPr>
              <w:t>…….</w:t>
            </w:r>
          </w:p>
          <w:p w14:paraId="46467C4A" w14:textId="77777777" w:rsidR="002D12A7" w:rsidRDefault="002D12A7" w:rsidP="00B713C1">
            <w:pPr>
              <w:spacing w:before="0" w:line="240" w:lineRule="auto"/>
              <w:rPr>
                <w:rFonts w:cstheme="minorHAnsi"/>
              </w:rPr>
            </w:pPr>
          </w:p>
        </w:tc>
        <w:tc>
          <w:tcPr>
            <w:tcW w:w="1281" w:type="dxa"/>
            <w:tcBorders>
              <w:top w:val="nil"/>
              <w:left w:val="nil"/>
              <w:bottom w:val="nil"/>
              <w:right w:val="nil"/>
            </w:tcBorders>
          </w:tcPr>
          <w:p w14:paraId="191B0BB6" w14:textId="639D66AD" w:rsidR="002D12A7" w:rsidRDefault="002F5DFF" w:rsidP="00532FF5">
            <w:pPr>
              <w:spacing w:before="0" w:line="240" w:lineRule="auto"/>
              <w:rPr>
                <w:rFonts w:cstheme="minorHAnsi"/>
              </w:rPr>
            </w:pPr>
            <w:r>
              <w:rPr>
                <w:rFonts w:cstheme="minorHAnsi"/>
                <w:b/>
                <w:bCs/>
                <w:color w:val="241773" w:themeColor="accent1"/>
              </w:rPr>
              <w:t xml:space="preserve">Page </w:t>
            </w:r>
            <w:r w:rsidR="00057727">
              <w:rPr>
                <w:rFonts w:cstheme="minorHAnsi"/>
                <w:b/>
                <w:bCs/>
                <w:color w:val="241773" w:themeColor="accent1"/>
              </w:rPr>
              <w:t>4</w:t>
            </w:r>
          </w:p>
        </w:tc>
      </w:tr>
      <w:tr w:rsidR="002D12A7" w14:paraId="74535287" w14:textId="77777777" w:rsidTr="00532FF5">
        <w:tc>
          <w:tcPr>
            <w:tcW w:w="5953" w:type="dxa"/>
            <w:tcBorders>
              <w:top w:val="nil"/>
              <w:left w:val="nil"/>
              <w:bottom w:val="nil"/>
              <w:right w:val="nil"/>
            </w:tcBorders>
          </w:tcPr>
          <w:p w14:paraId="0237991A" w14:textId="0E9DF3AE" w:rsidR="002D12A7" w:rsidRPr="002D12A7" w:rsidRDefault="002D12A7" w:rsidP="002D12A7">
            <w:pPr>
              <w:spacing w:before="0" w:line="240" w:lineRule="auto"/>
              <w:rPr>
                <w:rFonts w:cstheme="minorHAnsi"/>
                <w:b/>
                <w:bCs/>
                <w:color w:val="241773" w:themeColor="accent1"/>
              </w:rPr>
            </w:pPr>
            <w:r w:rsidRPr="002D12A7">
              <w:rPr>
                <w:rFonts w:cstheme="minorHAnsi"/>
                <w:b/>
                <w:bCs/>
                <w:color w:val="241773" w:themeColor="accent1"/>
              </w:rPr>
              <w:t>Student Wellbeing</w:t>
            </w:r>
            <w:r w:rsidR="00365A7A">
              <w:rPr>
                <w:rFonts w:cstheme="minorHAnsi"/>
                <w:b/>
                <w:bCs/>
                <w:color w:val="241773" w:themeColor="accent1"/>
              </w:rPr>
              <w:t>…………………………………………………….</w:t>
            </w:r>
          </w:p>
          <w:p w14:paraId="4AA34943" w14:textId="77777777" w:rsidR="002D12A7" w:rsidRDefault="002D12A7" w:rsidP="00B713C1">
            <w:pPr>
              <w:spacing w:before="0" w:line="240" w:lineRule="auto"/>
              <w:rPr>
                <w:rFonts w:cstheme="minorHAnsi"/>
              </w:rPr>
            </w:pPr>
          </w:p>
        </w:tc>
        <w:tc>
          <w:tcPr>
            <w:tcW w:w="1281" w:type="dxa"/>
            <w:tcBorders>
              <w:top w:val="nil"/>
              <w:left w:val="nil"/>
              <w:bottom w:val="nil"/>
              <w:right w:val="nil"/>
            </w:tcBorders>
          </w:tcPr>
          <w:p w14:paraId="753E5BC4" w14:textId="359D104F" w:rsidR="002D12A7" w:rsidRDefault="00C3737C" w:rsidP="00532FF5">
            <w:pPr>
              <w:spacing w:before="0" w:line="240" w:lineRule="auto"/>
              <w:rPr>
                <w:rFonts w:cstheme="minorHAnsi"/>
              </w:rPr>
            </w:pPr>
            <w:r>
              <w:rPr>
                <w:rFonts w:cstheme="minorHAnsi"/>
                <w:b/>
                <w:bCs/>
                <w:color w:val="241773" w:themeColor="accent1"/>
              </w:rPr>
              <w:t xml:space="preserve">Page </w:t>
            </w:r>
            <w:r w:rsidR="00952EB9">
              <w:rPr>
                <w:rFonts w:cstheme="minorHAnsi"/>
                <w:b/>
                <w:bCs/>
                <w:color w:val="241773" w:themeColor="accent1"/>
              </w:rPr>
              <w:t>7</w:t>
            </w:r>
          </w:p>
        </w:tc>
      </w:tr>
      <w:tr w:rsidR="002D12A7" w14:paraId="4D2C61F7" w14:textId="77777777" w:rsidTr="00532FF5">
        <w:tc>
          <w:tcPr>
            <w:tcW w:w="5953" w:type="dxa"/>
            <w:tcBorders>
              <w:top w:val="nil"/>
              <w:left w:val="nil"/>
              <w:bottom w:val="nil"/>
              <w:right w:val="nil"/>
            </w:tcBorders>
          </w:tcPr>
          <w:p w14:paraId="2B4D67A9" w14:textId="03149A64" w:rsidR="002D12A7" w:rsidRPr="002D12A7" w:rsidRDefault="002D12A7" w:rsidP="002D12A7">
            <w:pPr>
              <w:spacing w:before="0" w:line="240" w:lineRule="auto"/>
              <w:rPr>
                <w:rFonts w:cstheme="minorHAnsi"/>
                <w:b/>
                <w:bCs/>
                <w:color w:val="241773" w:themeColor="accent1"/>
              </w:rPr>
            </w:pPr>
            <w:r w:rsidRPr="002D12A7">
              <w:rPr>
                <w:rFonts w:cstheme="minorHAnsi"/>
                <w:b/>
                <w:bCs/>
                <w:color w:val="241773" w:themeColor="accent1"/>
              </w:rPr>
              <w:t>Supporting Teachers</w:t>
            </w:r>
            <w:r w:rsidR="00365A7A">
              <w:rPr>
                <w:rFonts w:cstheme="minorHAnsi"/>
                <w:b/>
                <w:bCs/>
                <w:color w:val="241773" w:themeColor="accent1"/>
              </w:rPr>
              <w:t>…………………………………………………</w:t>
            </w:r>
          </w:p>
          <w:p w14:paraId="3B920DA3" w14:textId="77777777" w:rsidR="002D12A7" w:rsidRDefault="002D12A7" w:rsidP="00B713C1">
            <w:pPr>
              <w:spacing w:before="0" w:line="240" w:lineRule="auto"/>
              <w:rPr>
                <w:rFonts w:cstheme="minorHAnsi"/>
              </w:rPr>
            </w:pPr>
          </w:p>
        </w:tc>
        <w:tc>
          <w:tcPr>
            <w:tcW w:w="1281" w:type="dxa"/>
            <w:tcBorders>
              <w:top w:val="nil"/>
              <w:left w:val="nil"/>
              <w:bottom w:val="nil"/>
              <w:right w:val="nil"/>
            </w:tcBorders>
          </w:tcPr>
          <w:p w14:paraId="6D220526" w14:textId="532D74B5" w:rsidR="002D12A7" w:rsidRPr="00C3737C" w:rsidRDefault="00C3737C" w:rsidP="00532FF5">
            <w:pPr>
              <w:spacing w:before="0" w:line="240" w:lineRule="auto"/>
              <w:rPr>
                <w:rFonts w:cstheme="minorHAnsi"/>
                <w:b/>
                <w:bCs/>
              </w:rPr>
            </w:pPr>
            <w:r>
              <w:rPr>
                <w:rFonts w:cstheme="minorHAnsi"/>
                <w:b/>
                <w:bCs/>
                <w:color w:val="241773" w:themeColor="accent1"/>
              </w:rPr>
              <w:t xml:space="preserve">Page </w:t>
            </w:r>
            <w:r w:rsidR="00F4170E">
              <w:rPr>
                <w:rFonts w:cstheme="minorHAnsi"/>
                <w:b/>
                <w:bCs/>
                <w:color w:val="241773" w:themeColor="accent1"/>
              </w:rPr>
              <w:t>8</w:t>
            </w:r>
          </w:p>
        </w:tc>
      </w:tr>
      <w:tr w:rsidR="002D12A7" w14:paraId="5F220500" w14:textId="77777777" w:rsidTr="00532FF5">
        <w:tc>
          <w:tcPr>
            <w:tcW w:w="5953" w:type="dxa"/>
            <w:tcBorders>
              <w:top w:val="nil"/>
              <w:left w:val="nil"/>
              <w:bottom w:val="nil"/>
              <w:right w:val="nil"/>
            </w:tcBorders>
          </w:tcPr>
          <w:p w14:paraId="7EC64D86" w14:textId="11B0B1F1" w:rsidR="002D12A7" w:rsidRPr="002D12A7" w:rsidRDefault="002D12A7" w:rsidP="002D12A7">
            <w:pPr>
              <w:spacing w:before="0" w:line="240" w:lineRule="auto"/>
              <w:rPr>
                <w:rFonts w:cstheme="minorHAnsi"/>
                <w:b/>
                <w:bCs/>
                <w:color w:val="241773" w:themeColor="accent1"/>
              </w:rPr>
            </w:pPr>
            <w:r w:rsidRPr="002D12A7">
              <w:rPr>
                <w:rFonts w:cstheme="minorHAnsi"/>
                <w:b/>
                <w:bCs/>
                <w:color w:val="241773" w:themeColor="accent1"/>
              </w:rPr>
              <w:t>Conclusio</w:t>
            </w:r>
            <w:r w:rsidR="00581117">
              <w:rPr>
                <w:rFonts w:cstheme="minorHAnsi"/>
                <w:b/>
                <w:bCs/>
                <w:color w:val="241773" w:themeColor="accent1"/>
              </w:rPr>
              <w:t>n……………………………………………………………...</w:t>
            </w:r>
          </w:p>
          <w:p w14:paraId="3AB70E95" w14:textId="77777777" w:rsidR="002D12A7" w:rsidRDefault="002D12A7" w:rsidP="00B713C1">
            <w:pPr>
              <w:spacing w:before="0" w:line="240" w:lineRule="auto"/>
              <w:rPr>
                <w:rFonts w:cstheme="minorHAnsi"/>
              </w:rPr>
            </w:pPr>
          </w:p>
        </w:tc>
        <w:tc>
          <w:tcPr>
            <w:tcW w:w="1281" w:type="dxa"/>
            <w:tcBorders>
              <w:top w:val="nil"/>
              <w:left w:val="nil"/>
              <w:bottom w:val="nil"/>
              <w:right w:val="nil"/>
            </w:tcBorders>
          </w:tcPr>
          <w:p w14:paraId="1BB73968" w14:textId="54EDF8B0" w:rsidR="002D12A7" w:rsidRDefault="00C3737C" w:rsidP="00532FF5">
            <w:pPr>
              <w:spacing w:before="0" w:line="240" w:lineRule="auto"/>
              <w:rPr>
                <w:rFonts w:cstheme="minorHAnsi"/>
              </w:rPr>
            </w:pPr>
            <w:r>
              <w:rPr>
                <w:rFonts w:cstheme="minorHAnsi"/>
                <w:b/>
                <w:bCs/>
                <w:color w:val="241773" w:themeColor="accent1"/>
              </w:rPr>
              <w:t xml:space="preserve">Page </w:t>
            </w:r>
            <w:r w:rsidR="007E7BF4">
              <w:rPr>
                <w:rFonts w:cstheme="minorHAnsi"/>
                <w:b/>
                <w:bCs/>
                <w:color w:val="241773" w:themeColor="accent1"/>
              </w:rPr>
              <w:t>11</w:t>
            </w:r>
          </w:p>
        </w:tc>
      </w:tr>
      <w:tr w:rsidR="002D12A7" w14:paraId="11B4F524" w14:textId="77777777" w:rsidTr="00532FF5">
        <w:tc>
          <w:tcPr>
            <w:tcW w:w="5953" w:type="dxa"/>
            <w:tcBorders>
              <w:top w:val="nil"/>
              <w:left w:val="nil"/>
              <w:bottom w:val="nil"/>
              <w:right w:val="nil"/>
            </w:tcBorders>
          </w:tcPr>
          <w:p w14:paraId="2C8A1BE1" w14:textId="1FAD9A73" w:rsidR="002D12A7" w:rsidRDefault="002D12A7" w:rsidP="00B713C1">
            <w:pPr>
              <w:spacing w:before="0" w:line="240" w:lineRule="auto"/>
              <w:rPr>
                <w:rFonts w:cstheme="minorHAnsi"/>
                <w:b/>
                <w:bCs/>
                <w:color w:val="241773" w:themeColor="accent1"/>
              </w:rPr>
            </w:pPr>
            <w:r w:rsidRPr="002401CA">
              <w:rPr>
                <w:rFonts w:cstheme="minorHAnsi"/>
                <w:b/>
                <w:bCs/>
                <w:color w:val="241773" w:themeColor="accent1"/>
              </w:rPr>
              <w:t>References</w:t>
            </w:r>
            <w:r w:rsidR="00581117">
              <w:rPr>
                <w:rFonts w:cstheme="minorHAnsi"/>
                <w:b/>
                <w:bCs/>
                <w:color w:val="241773" w:themeColor="accent1"/>
              </w:rPr>
              <w:t>……………………………………………………………...</w:t>
            </w:r>
          </w:p>
          <w:p w14:paraId="3726B003" w14:textId="4F2DD67B" w:rsidR="00C3737C" w:rsidRDefault="00C3737C" w:rsidP="00B713C1">
            <w:pPr>
              <w:spacing w:before="0" w:line="240" w:lineRule="auto"/>
              <w:rPr>
                <w:rFonts w:cstheme="minorHAnsi"/>
              </w:rPr>
            </w:pPr>
          </w:p>
        </w:tc>
        <w:tc>
          <w:tcPr>
            <w:tcW w:w="1281" w:type="dxa"/>
            <w:tcBorders>
              <w:top w:val="nil"/>
              <w:left w:val="nil"/>
              <w:bottom w:val="nil"/>
              <w:right w:val="nil"/>
            </w:tcBorders>
          </w:tcPr>
          <w:p w14:paraId="623B22DA" w14:textId="1EFBBBB0" w:rsidR="002D12A7" w:rsidRDefault="00C3737C" w:rsidP="00532FF5">
            <w:pPr>
              <w:spacing w:before="0" w:line="240" w:lineRule="auto"/>
              <w:rPr>
                <w:rFonts w:cstheme="minorHAnsi"/>
              </w:rPr>
            </w:pPr>
            <w:r>
              <w:rPr>
                <w:rFonts w:cstheme="minorHAnsi"/>
                <w:b/>
                <w:bCs/>
                <w:color w:val="241773" w:themeColor="accent1"/>
              </w:rPr>
              <w:t xml:space="preserve">Page </w:t>
            </w:r>
            <w:r w:rsidR="007E7BF4">
              <w:rPr>
                <w:rFonts w:cstheme="minorHAnsi"/>
                <w:b/>
                <w:bCs/>
                <w:color w:val="241773" w:themeColor="accent1"/>
              </w:rPr>
              <w:t>12</w:t>
            </w:r>
          </w:p>
        </w:tc>
      </w:tr>
    </w:tbl>
    <w:p w14:paraId="31F20F49" w14:textId="77777777" w:rsidR="002D12A7" w:rsidRDefault="002D12A7" w:rsidP="00B713C1">
      <w:pPr>
        <w:spacing w:before="0" w:line="240" w:lineRule="auto"/>
        <w:rPr>
          <w:rFonts w:cstheme="minorHAnsi"/>
        </w:rPr>
      </w:pPr>
    </w:p>
    <w:p w14:paraId="700768E0" w14:textId="77777777" w:rsidR="00C65997" w:rsidRPr="002401CA" w:rsidRDefault="00C65997" w:rsidP="00B713C1">
      <w:pPr>
        <w:spacing w:before="0" w:line="240" w:lineRule="auto"/>
        <w:rPr>
          <w:rFonts w:cstheme="minorHAnsi"/>
          <w:b/>
          <w:bCs/>
          <w:color w:val="241773" w:themeColor="accent1"/>
        </w:rPr>
      </w:pPr>
    </w:p>
    <w:p w14:paraId="1065B9B6" w14:textId="77777777" w:rsidR="009870E5" w:rsidRPr="002401CA" w:rsidRDefault="009870E5" w:rsidP="00B713C1">
      <w:pPr>
        <w:spacing w:before="0" w:line="240" w:lineRule="auto"/>
        <w:rPr>
          <w:rFonts w:cstheme="minorHAnsi"/>
          <w:b/>
          <w:bCs/>
          <w:color w:val="241773" w:themeColor="accent1"/>
        </w:rPr>
      </w:pPr>
    </w:p>
    <w:p w14:paraId="44595E4D" w14:textId="77777777" w:rsidR="00C65997" w:rsidRPr="002401CA" w:rsidRDefault="00C65997" w:rsidP="00B713C1">
      <w:pPr>
        <w:spacing w:before="0" w:line="240" w:lineRule="auto"/>
        <w:rPr>
          <w:rFonts w:cstheme="minorHAnsi"/>
          <w:b/>
          <w:bCs/>
          <w:color w:val="241773" w:themeColor="accent1"/>
        </w:rPr>
      </w:pPr>
    </w:p>
    <w:p w14:paraId="30D6164C" w14:textId="77777777" w:rsidR="00111ED8" w:rsidRPr="002401CA" w:rsidRDefault="00111ED8" w:rsidP="00B713C1">
      <w:pPr>
        <w:spacing w:before="0" w:line="240" w:lineRule="auto"/>
        <w:rPr>
          <w:rFonts w:cstheme="minorHAnsi"/>
          <w:b/>
          <w:bCs/>
          <w:color w:val="241773" w:themeColor="accent1"/>
        </w:rPr>
      </w:pPr>
    </w:p>
    <w:p w14:paraId="52B1EF21" w14:textId="2BCC86D1" w:rsidR="004B65CC" w:rsidRPr="002401CA" w:rsidRDefault="004B65CC" w:rsidP="002401CA">
      <w:pPr>
        <w:pStyle w:val="ListParagraph"/>
        <w:numPr>
          <w:ilvl w:val="0"/>
          <w:numId w:val="55"/>
        </w:numPr>
        <w:spacing w:before="0" w:line="240" w:lineRule="auto"/>
        <w:rPr>
          <w:rFonts w:cstheme="minorHAnsi"/>
          <w:b/>
          <w:bCs/>
        </w:rPr>
      </w:pPr>
      <w:r w:rsidRPr="002401CA">
        <w:rPr>
          <w:rFonts w:cstheme="minorHAnsi"/>
          <w:b/>
          <w:bCs/>
        </w:rPr>
        <w:br w:type="page"/>
      </w:r>
    </w:p>
    <w:p w14:paraId="0F2FB6A8" w14:textId="49CDE259" w:rsidR="006945A5" w:rsidRPr="00B13EBE" w:rsidRDefault="00180373" w:rsidP="00B713C1">
      <w:pPr>
        <w:pStyle w:val="Heading1"/>
        <w:spacing w:after="120"/>
        <w:rPr>
          <w:rFonts w:cstheme="majorHAnsi"/>
          <w:b/>
          <w:bCs/>
          <w:sz w:val="24"/>
          <w:szCs w:val="24"/>
        </w:rPr>
      </w:pPr>
      <w:bookmarkStart w:id="0" w:name="_Toc77868629"/>
      <w:r w:rsidRPr="00B13EBE">
        <w:rPr>
          <w:rFonts w:cstheme="majorHAnsi"/>
          <w:b/>
          <w:bCs/>
          <w:sz w:val="24"/>
          <w:szCs w:val="24"/>
        </w:rPr>
        <w:t>Introduction</w:t>
      </w:r>
      <w:bookmarkEnd w:id="0"/>
    </w:p>
    <w:p w14:paraId="465B15A1" w14:textId="77777777" w:rsidR="00EA2DCC" w:rsidRPr="00B13EBE" w:rsidRDefault="00180373" w:rsidP="004A0251">
      <w:pPr>
        <w:rPr>
          <w:rFonts w:cstheme="minorHAnsi"/>
          <w:color w:val="374149" w:themeColor="accent5"/>
          <w:lang w:val="en-US"/>
        </w:rPr>
      </w:pPr>
      <w:bookmarkStart w:id="1" w:name="_Hlk51748715"/>
      <w:r w:rsidRPr="00B13EBE">
        <w:rPr>
          <w:rFonts w:cstheme="minorHAnsi"/>
          <w:color w:val="374149" w:themeColor="accent5"/>
          <w:lang w:val="en-US"/>
        </w:rPr>
        <w:t xml:space="preserve">Education Services Australia (ESA) is a not-for-profit company owned by all Australian education ministers. </w:t>
      </w:r>
    </w:p>
    <w:p w14:paraId="625554CC" w14:textId="77777777" w:rsidR="00D35D57" w:rsidRDefault="00D702FB" w:rsidP="004A0251">
      <w:pPr>
        <w:rPr>
          <w:rFonts w:cstheme="minorHAnsi"/>
        </w:rPr>
      </w:pPr>
      <w:r w:rsidRPr="006D661B">
        <w:rPr>
          <w:rFonts w:cstheme="minorHAnsi"/>
        </w:rPr>
        <w:t xml:space="preserve">Formed in 2010, ESA works in collaboration with all Australian education jurisdictions to provide technology-enabled education resources, tools and services, with a focus on advancing nationally agreed education initiatives, programs and projects. </w:t>
      </w:r>
    </w:p>
    <w:p w14:paraId="181A45E8" w14:textId="289474E6" w:rsidR="00D702FB" w:rsidRPr="00B13EBE" w:rsidRDefault="00D702FB" w:rsidP="004A0251">
      <w:pPr>
        <w:rPr>
          <w:rFonts w:cstheme="minorHAnsi"/>
          <w:b/>
          <w:bCs/>
        </w:rPr>
      </w:pPr>
      <w:r w:rsidRPr="00B13EBE">
        <w:rPr>
          <w:rFonts w:cstheme="minorHAnsi"/>
          <w:b/>
          <w:bCs/>
        </w:rPr>
        <w:t xml:space="preserve">ESA’s strategic objective is to support improved student outcomes, enhanced teacher impact and stronger school communities. </w:t>
      </w:r>
    </w:p>
    <w:p w14:paraId="1990F11E" w14:textId="022630CC" w:rsidR="00A70AA9" w:rsidRPr="00B13EBE" w:rsidRDefault="00A70AA9" w:rsidP="00A70AA9">
      <w:pPr>
        <w:rPr>
          <w:rFonts w:cstheme="minorHAnsi"/>
        </w:rPr>
      </w:pPr>
      <w:r>
        <w:rPr>
          <w:rFonts w:cstheme="minorHAnsi"/>
        </w:rPr>
        <w:t>With a focus on equity and quality, o</w:t>
      </w:r>
      <w:r w:rsidR="00ED0CE2">
        <w:rPr>
          <w:rFonts w:cstheme="minorHAnsi"/>
        </w:rPr>
        <w:t>ur</w:t>
      </w:r>
      <w:r w:rsidR="009F1003" w:rsidRPr="006D661B">
        <w:rPr>
          <w:rFonts w:cstheme="minorHAnsi"/>
        </w:rPr>
        <w:t xml:space="preserve"> experience includes the development, delivery and</w:t>
      </w:r>
      <w:r w:rsidR="00A1272A">
        <w:rPr>
          <w:rFonts w:cstheme="minorHAnsi"/>
        </w:rPr>
        <w:t>/or</w:t>
      </w:r>
      <w:r w:rsidR="009F1003" w:rsidRPr="006D661B">
        <w:rPr>
          <w:rFonts w:cstheme="minorHAnsi"/>
        </w:rPr>
        <w:t xml:space="preserve"> ongoing management of </w:t>
      </w:r>
      <w:r>
        <w:rPr>
          <w:rFonts w:cstheme="minorHAnsi"/>
        </w:rPr>
        <w:t xml:space="preserve">projects and services that support teachers, students and parents. Our current projects include </w:t>
      </w:r>
      <w:r w:rsidRPr="006D661B">
        <w:rPr>
          <w:rFonts w:cstheme="minorHAnsi"/>
        </w:rPr>
        <w:t>the Student Wellbeing Hub</w:t>
      </w:r>
      <w:r>
        <w:rPr>
          <w:rFonts w:cstheme="minorHAnsi"/>
        </w:rPr>
        <w:t>, Phonics Check and Literacy Hub, Mathematics Hub</w:t>
      </w:r>
      <w:r w:rsidR="00A929F2">
        <w:rPr>
          <w:rFonts w:cstheme="minorHAnsi"/>
        </w:rPr>
        <w:t xml:space="preserve">, </w:t>
      </w:r>
      <w:r w:rsidR="009F1003" w:rsidRPr="006D661B">
        <w:rPr>
          <w:rFonts w:cstheme="minorHAnsi"/>
        </w:rPr>
        <w:t xml:space="preserve">the </w:t>
      </w:r>
      <w:r>
        <w:rPr>
          <w:rFonts w:cstheme="minorHAnsi"/>
        </w:rPr>
        <w:t xml:space="preserve">national career information service, </w:t>
      </w:r>
      <w:r w:rsidR="009F1003" w:rsidRPr="006D661B">
        <w:rPr>
          <w:rFonts w:cstheme="minorHAnsi"/>
        </w:rPr>
        <w:t>myfuture</w:t>
      </w:r>
      <w:r>
        <w:rPr>
          <w:rFonts w:cstheme="minorHAnsi"/>
        </w:rPr>
        <w:t xml:space="preserve"> and the Online National Assessment Platform.  </w:t>
      </w:r>
    </w:p>
    <w:p w14:paraId="47B97AF8" w14:textId="6F9B0494" w:rsidR="008B57C3" w:rsidRDefault="0043579E" w:rsidP="004A0251">
      <w:pPr>
        <w:rPr>
          <w:rFonts w:cstheme="minorHAnsi"/>
          <w:color w:val="374149" w:themeColor="accent5"/>
          <w:lang w:val="en-US"/>
        </w:rPr>
      </w:pPr>
      <w:r w:rsidRPr="00B13EBE">
        <w:rPr>
          <w:rFonts w:cstheme="minorHAnsi"/>
          <w:color w:val="374149" w:themeColor="accent5"/>
          <w:lang w:val="en-US"/>
        </w:rPr>
        <w:t>ESA welcomes the opportunity to contribute to this important discussion</w:t>
      </w:r>
      <w:r w:rsidR="002A51C7">
        <w:rPr>
          <w:rFonts w:cstheme="minorHAnsi"/>
          <w:color w:val="374149" w:themeColor="accent5"/>
          <w:lang w:val="en-US"/>
        </w:rPr>
        <w:t xml:space="preserve"> and </w:t>
      </w:r>
      <w:r w:rsidR="008B57C3">
        <w:rPr>
          <w:rFonts w:cstheme="minorHAnsi"/>
          <w:color w:val="374149" w:themeColor="accent5"/>
          <w:lang w:val="en-US"/>
        </w:rPr>
        <w:t xml:space="preserve">endorses the </w:t>
      </w:r>
      <w:r w:rsidR="002A51C7">
        <w:rPr>
          <w:rFonts w:cstheme="minorHAnsi"/>
          <w:color w:val="374149" w:themeColor="accent5"/>
          <w:lang w:val="en-US"/>
        </w:rPr>
        <w:t xml:space="preserve">Interim Review’s </w:t>
      </w:r>
      <w:r w:rsidR="00A1272A">
        <w:rPr>
          <w:rFonts w:cstheme="minorHAnsi"/>
          <w:color w:val="374149" w:themeColor="accent5"/>
          <w:lang w:val="en-US"/>
        </w:rPr>
        <w:t>position</w:t>
      </w:r>
      <w:r w:rsidR="002A51C7">
        <w:rPr>
          <w:rFonts w:cstheme="minorHAnsi"/>
          <w:color w:val="374149" w:themeColor="accent5"/>
          <w:lang w:val="en-US"/>
        </w:rPr>
        <w:t xml:space="preserve"> that </w:t>
      </w:r>
      <w:r w:rsidR="008B57C3" w:rsidRPr="006270C0">
        <w:rPr>
          <w:rFonts w:cstheme="minorHAnsi"/>
        </w:rPr>
        <w:t xml:space="preserve">the next </w:t>
      </w:r>
      <w:r w:rsidR="00A1272A">
        <w:rPr>
          <w:rFonts w:cstheme="minorHAnsi"/>
        </w:rPr>
        <w:t>National School Reform Agreement (</w:t>
      </w:r>
      <w:r w:rsidR="00F64D57">
        <w:rPr>
          <w:rFonts w:cstheme="minorHAnsi"/>
        </w:rPr>
        <w:t>the Agreement</w:t>
      </w:r>
      <w:r w:rsidR="00A1272A">
        <w:rPr>
          <w:rFonts w:cstheme="minorHAnsi"/>
        </w:rPr>
        <w:t>)</w:t>
      </w:r>
      <w:r w:rsidR="008B57C3" w:rsidRPr="006270C0">
        <w:rPr>
          <w:rFonts w:cstheme="minorHAnsi"/>
        </w:rPr>
        <w:t xml:space="preserve"> </w:t>
      </w:r>
      <w:r w:rsidR="00391107">
        <w:rPr>
          <w:rFonts w:cstheme="minorHAnsi"/>
        </w:rPr>
        <w:t>needs “</w:t>
      </w:r>
      <w:r w:rsidR="008B57C3" w:rsidRPr="006270C0">
        <w:rPr>
          <w:rFonts w:cstheme="minorHAnsi"/>
        </w:rPr>
        <w:t>to move beyond system architecture and drive real improvements on the ground</w:t>
      </w:r>
      <w:r w:rsidR="006817C4">
        <w:rPr>
          <w:rFonts w:cstheme="minorHAnsi"/>
        </w:rPr>
        <w:t>.</w:t>
      </w:r>
      <w:r w:rsidR="00471465">
        <w:rPr>
          <w:rFonts w:cstheme="minorHAnsi"/>
        </w:rPr>
        <w:t>”</w:t>
      </w:r>
      <w:r w:rsidR="00CA6A8A">
        <w:rPr>
          <w:rStyle w:val="FootnoteReference"/>
          <w:rFonts w:cstheme="minorHAnsi"/>
        </w:rPr>
        <w:footnoteReference w:id="1"/>
      </w:r>
    </w:p>
    <w:p w14:paraId="7EC7FB18" w14:textId="251F1746" w:rsidR="00456AF5" w:rsidRDefault="00A52A88" w:rsidP="004A0251">
      <w:pPr>
        <w:rPr>
          <w:rFonts w:cstheme="minorHAnsi"/>
          <w:color w:val="374149" w:themeColor="accent5"/>
          <w:lang w:val="en-US"/>
        </w:rPr>
      </w:pPr>
      <w:r>
        <w:rPr>
          <w:rFonts w:cstheme="minorHAnsi"/>
          <w:color w:val="374149" w:themeColor="accent5"/>
          <w:lang w:val="en-US"/>
        </w:rPr>
        <w:t xml:space="preserve">As </w:t>
      </w:r>
      <w:r w:rsidR="00391107">
        <w:rPr>
          <w:rFonts w:cstheme="minorHAnsi"/>
          <w:color w:val="374149" w:themeColor="accent5"/>
          <w:lang w:val="en-US"/>
        </w:rPr>
        <w:t>outlined</w:t>
      </w:r>
      <w:r>
        <w:rPr>
          <w:rFonts w:cstheme="minorHAnsi"/>
          <w:color w:val="374149" w:themeColor="accent5"/>
          <w:lang w:val="en-US"/>
        </w:rPr>
        <w:t xml:space="preserve"> in the Interim Report, much has been achieved through the first A</w:t>
      </w:r>
      <w:r w:rsidR="003956A4">
        <w:rPr>
          <w:rFonts w:cstheme="minorHAnsi"/>
          <w:color w:val="374149" w:themeColor="accent5"/>
          <w:lang w:val="en-US"/>
        </w:rPr>
        <w:t>greement</w:t>
      </w:r>
      <w:r w:rsidR="00D10AC8">
        <w:rPr>
          <w:rFonts w:cstheme="minorHAnsi"/>
          <w:color w:val="374149" w:themeColor="accent5"/>
          <w:lang w:val="en-US"/>
        </w:rPr>
        <w:t>.</w:t>
      </w:r>
      <w:r w:rsidR="00B928D0">
        <w:rPr>
          <w:rFonts w:cstheme="minorHAnsi"/>
          <w:color w:val="374149" w:themeColor="accent5"/>
          <w:lang w:val="en-US"/>
        </w:rPr>
        <w:t xml:space="preserve"> </w:t>
      </w:r>
      <w:r w:rsidR="006C3D49">
        <w:rPr>
          <w:rFonts w:cstheme="minorHAnsi"/>
          <w:color w:val="374149" w:themeColor="accent5"/>
          <w:lang w:val="en-US"/>
        </w:rPr>
        <w:t>Th</w:t>
      </w:r>
      <w:r w:rsidR="002F29C8">
        <w:rPr>
          <w:rFonts w:cstheme="minorHAnsi"/>
          <w:color w:val="374149" w:themeColor="accent5"/>
          <w:lang w:val="en-US"/>
        </w:rPr>
        <w:t xml:space="preserve">is sets in place the systems and </w:t>
      </w:r>
      <w:r w:rsidR="006C3D49">
        <w:rPr>
          <w:rFonts w:cstheme="minorHAnsi"/>
          <w:color w:val="374149" w:themeColor="accent5"/>
          <w:lang w:val="en-US"/>
        </w:rPr>
        <w:t>lay</w:t>
      </w:r>
      <w:r w:rsidR="002F29C8">
        <w:rPr>
          <w:rFonts w:cstheme="minorHAnsi"/>
          <w:color w:val="374149" w:themeColor="accent5"/>
          <w:lang w:val="en-US"/>
        </w:rPr>
        <w:t>s</w:t>
      </w:r>
      <w:r w:rsidR="006C3D49">
        <w:rPr>
          <w:rFonts w:cstheme="minorHAnsi"/>
          <w:color w:val="374149" w:themeColor="accent5"/>
          <w:lang w:val="en-US"/>
        </w:rPr>
        <w:t xml:space="preserve"> the groundwork </w:t>
      </w:r>
      <w:r w:rsidR="002F29C8">
        <w:rPr>
          <w:rFonts w:cstheme="minorHAnsi"/>
          <w:color w:val="374149" w:themeColor="accent5"/>
          <w:lang w:val="en-US"/>
        </w:rPr>
        <w:t xml:space="preserve">for the </w:t>
      </w:r>
      <w:r w:rsidR="006C3D49">
        <w:rPr>
          <w:rFonts w:cstheme="minorHAnsi"/>
          <w:color w:val="374149" w:themeColor="accent5"/>
          <w:lang w:val="en-US"/>
        </w:rPr>
        <w:t xml:space="preserve">urgent </w:t>
      </w:r>
      <w:r w:rsidR="00AC3F33">
        <w:rPr>
          <w:rFonts w:cstheme="minorHAnsi"/>
          <w:color w:val="374149" w:themeColor="accent5"/>
          <w:lang w:val="en-US"/>
        </w:rPr>
        <w:t xml:space="preserve">task of improving </w:t>
      </w:r>
      <w:r w:rsidR="006C3D49">
        <w:rPr>
          <w:rFonts w:cstheme="minorHAnsi"/>
          <w:color w:val="374149" w:themeColor="accent5"/>
          <w:lang w:val="en-US"/>
        </w:rPr>
        <w:t>student outcomes</w:t>
      </w:r>
      <w:r w:rsidR="009A761C">
        <w:rPr>
          <w:rFonts w:cstheme="minorHAnsi"/>
          <w:color w:val="374149" w:themeColor="accent5"/>
          <w:lang w:val="en-US"/>
        </w:rPr>
        <w:t xml:space="preserve">, </w:t>
      </w:r>
      <w:r w:rsidR="00326579">
        <w:rPr>
          <w:rFonts w:cstheme="minorHAnsi"/>
          <w:color w:val="374149" w:themeColor="accent5"/>
          <w:lang w:val="en-US"/>
        </w:rPr>
        <w:t>particularly amongst the most disadvantaged cohorts.</w:t>
      </w:r>
      <w:r w:rsidR="00A16B4F">
        <w:rPr>
          <w:rFonts w:cstheme="minorHAnsi"/>
          <w:color w:val="374149" w:themeColor="accent5"/>
          <w:lang w:val="en-US"/>
        </w:rPr>
        <w:t xml:space="preserve"> </w:t>
      </w:r>
    </w:p>
    <w:p w14:paraId="06BFED46" w14:textId="54ADA18E" w:rsidR="00456AF5" w:rsidRDefault="00FB7E73" w:rsidP="004A0251">
      <w:pPr>
        <w:rPr>
          <w:rFonts w:cstheme="minorHAnsi"/>
          <w:color w:val="374149" w:themeColor="accent5"/>
          <w:lang w:val="en-US"/>
        </w:rPr>
      </w:pPr>
      <w:r>
        <w:rPr>
          <w:rFonts w:cstheme="minorHAnsi"/>
          <w:color w:val="374149" w:themeColor="accent5"/>
          <w:lang w:val="en-US"/>
        </w:rPr>
        <w:t xml:space="preserve">The </w:t>
      </w:r>
      <w:r w:rsidR="002E1A71">
        <w:rPr>
          <w:rFonts w:cstheme="minorHAnsi"/>
          <w:color w:val="374149" w:themeColor="accent5"/>
          <w:lang w:val="en-US"/>
        </w:rPr>
        <w:t>current Agreement</w:t>
      </w:r>
      <w:r w:rsidR="001A03EC">
        <w:rPr>
          <w:rFonts w:cstheme="minorHAnsi"/>
          <w:color w:val="374149" w:themeColor="accent5"/>
          <w:lang w:val="en-US"/>
        </w:rPr>
        <w:t xml:space="preserve"> has been</w:t>
      </w:r>
      <w:r>
        <w:rPr>
          <w:rFonts w:cstheme="minorHAnsi"/>
          <w:color w:val="374149" w:themeColor="accent5"/>
          <w:lang w:val="en-US"/>
        </w:rPr>
        <w:t xml:space="preserve"> </w:t>
      </w:r>
      <w:r w:rsidR="00927748">
        <w:rPr>
          <w:rFonts w:cstheme="minorHAnsi"/>
          <w:color w:val="374149" w:themeColor="accent5"/>
          <w:lang w:val="en-US"/>
        </w:rPr>
        <w:t>implemented</w:t>
      </w:r>
      <w:r>
        <w:rPr>
          <w:rFonts w:cstheme="minorHAnsi"/>
          <w:color w:val="374149" w:themeColor="accent5"/>
          <w:lang w:val="en-US"/>
        </w:rPr>
        <w:t xml:space="preserve"> during a time of significant disruption and adaption</w:t>
      </w:r>
      <w:r w:rsidR="003678FC">
        <w:rPr>
          <w:rFonts w:cstheme="minorHAnsi"/>
          <w:color w:val="374149" w:themeColor="accent5"/>
          <w:lang w:val="en-US"/>
        </w:rPr>
        <w:t xml:space="preserve">. COVID-19 required </w:t>
      </w:r>
      <w:r w:rsidR="00456AF5">
        <w:rPr>
          <w:rFonts w:cstheme="minorHAnsi"/>
          <w:color w:val="374149" w:themeColor="accent5"/>
          <w:lang w:val="en-US"/>
        </w:rPr>
        <w:t xml:space="preserve">teachers and students to rapidly respond and adjust to new learning environments and systems. </w:t>
      </w:r>
      <w:r w:rsidR="00AF55DF">
        <w:rPr>
          <w:rFonts w:cstheme="minorHAnsi"/>
          <w:color w:val="374149" w:themeColor="accent5"/>
          <w:lang w:val="en-US"/>
        </w:rPr>
        <w:t>During</w:t>
      </w:r>
      <w:r w:rsidR="003678FC">
        <w:rPr>
          <w:rFonts w:cstheme="minorHAnsi"/>
          <w:color w:val="374149" w:themeColor="accent5"/>
          <w:lang w:val="en-US"/>
        </w:rPr>
        <w:t xml:space="preserve"> that intense period of change and uncertainty, we have seen a new appreciation for the teaching </w:t>
      </w:r>
      <w:r w:rsidR="00F30393">
        <w:rPr>
          <w:rFonts w:cstheme="minorHAnsi"/>
          <w:color w:val="374149" w:themeColor="accent5"/>
          <w:lang w:val="en-US"/>
        </w:rPr>
        <w:t>profession</w:t>
      </w:r>
      <w:r w:rsidR="00ED4B7A">
        <w:rPr>
          <w:rFonts w:cstheme="minorHAnsi"/>
          <w:color w:val="374149" w:themeColor="accent5"/>
          <w:lang w:val="en-US"/>
        </w:rPr>
        <w:t xml:space="preserve"> and witnessed</w:t>
      </w:r>
      <w:r w:rsidR="003678FC">
        <w:rPr>
          <w:rFonts w:cstheme="minorHAnsi"/>
          <w:color w:val="374149" w:themeColor="accent5"/>
          <w:lang w:val="en-US"/>
        </w:rPr>
        <w:t xml:space="preserve"> the </w:t>
      </w:r>
      <w:r w:rsidR="00ED4B7A">
        <w:rPr>
          <w:rFonts w:cstheme="minorHAnsi"/>
          <w:color w:val="374149" w:themeColor="accent5"/>
          <w:lang w:val="en-US"/>
        </w:rPr>
        <w:t>significant role that digital technology can play in supporting quality teaching and student outcomes.</w:t>
      </w:r>
      <w:r w:rsidR="00B72E58">
        <w:rPr>
          <w:rFonts w:cstheme="minorHAnsi"/>
          <w:color w:val="374149" w:themeColor="accent5"/>
          <w:lang w:val="en-US"/>
        </w:rPr>
        <w:t xml:space="preserve"> </w:t>
      </w:r>
    </w:p>
    <w:p w14:paraId="30451D31" w14:textId="7113FA0D" w:rsidR="004638F8" w:rsidRDefault="004638F8" w:rsidP="004A0251">
      <w:pPr>
        <w:rPr>
          <w:rFonts w:cstheme="minorHAnsi"/>
          <w:color w:val="374149" w:themeColor="accent5"/>
          <w:lang w:val="en-US"/>
        </w:rPr>
      </w:pPr>
      <w:r w:rsidRPr="001F39A9">
        <w:rPr>
          <w:rFonts w:cstheme="minorHAnsi"/>
          <w:color w:val="374149" w:themeColor="accent5"/>
          <w:lang w:val="en-US"/>
        </w:rPr>
        <w:t>Against the backdrop of an evolving education landscape and increasing reliance on digital technologies to complement teaching and student support services, ESA provides products and services that are valued for their practical and effective contribution to the student learning experience.</w:t>
      </w:r>
    </w:p>
    <w:p w14:paraId="51B44F45" w14:textId="4E8FBA8E" w:rsidR="001F39A9" w:rsidRPr="001F39A9" w:rsidRDefault="00326579" w:rsidP="004A0251">
      <w:pPr>
        <w:rPr>
          <w:rFonts w:cstheme="minorHAnsi"/>
          <w:color w:val="374149" w:themeColor="accent5"/>
          <w:lang w:val="en-US"/>
        </w:rPr>
      </w:pPr>
      <w:r>
        <w:rPr>
          <w:rFonts w:cstheme="minorHAnsi"/>
          <w:color w:val="374149" w:themeColor="accent5"/>
          <w:lang w:val="en-US"/>
        </w:rPr>
        <w:t>ESA looks forward to continuing its work with all Ministers and with the myriad of stakeholders who make up our dynamic education sector. Together, we can</w:t>
      </w:r>
      <w:r w:rsidR="00775C2D">
        <w:rPr>
          <w:rFonts w:cstheme="minorHAnsi"/>
          <w:color w:val="374149" w:themeColor="accent5"/>
          <w:lang w:val="en-US"/>
        </w:rPr>
        <w:t xml:space="preserve"> close out some of the outstanding items from the </w:t>
      </w:r>
      <w:r w:rsidR="00D10AC8">
        <w:rPr>
          <w:rFonts w:cstheme="minorHAnsi"/>
          <w:color w:val="374149" w:themeColor="accent5"/>
          <w:lang w:val="en-US"/>
        </w:rPr>
        <w:t xml:space="preserve">current </w:t>
      </w:r>
      <w:r w:rsidR="00775C2D">
        <w:rPr>
          <w:rFonts w:cstheme="minorHAnsi"/>
          <w:color w:val="374149" w:themeColor="accent5"/>
          <w:lang w:val="en-US"/>
        </w:rPr>
        <w:t xml:space="preserve">agreement, </w:t>
      </w:r>
      <w:r w:rsidR="009501BB">
        <w:rPr>
          <w:rFonts w:cstheme="minorHAnsi"/>
          <w:color w:val="374149" w:themeColor="accent5"/>
          <w:lang w:val="en-US"/>
        </w:rPr>
        <w:t>as well as construct</w:t>
      </w:r>
      <w:r w:rsidR="006C3B74">
        <w:rPr>
          <w:rFonts w:cstheme="minorHAnsi"/>
          <w:color w:val="374149" w:themeColor="accent5"/>
          <w:lang w:val="en-US"/>
        </w:rPr>
        <w:t xml:space="preserve"> a</w:t>
      </w:r>
      <w:r w:rsidR="00775C2D">
        <w:rPr>
          <w:rFonts w:cstheme="minorHAnsi"/>
          <w:color w:val="374149" w:themeColor="accent5"/>
          <w:lang w:val="en-US"/>
        </w:rPr>
        <w:t xml:space="preserve"> </w:t>
      </w:r>
      <w:r w:rsidR="006C3B74">
        <w:rPr>
          <w:rFonts w:cstheme="minorHAnsi"/>
          <w:color w:val="374149" w:themeColor="accent5"/>
          <w:lang w:val="en-US"/>
        </w:rPr>
        <w:t>n</w:t>
      </w:r>
      <w:r w:rsidR="00775C2D">
        <w:rPr>
          <w:rFonts w:cstheme="minorHAnsi"/>
          <w:color w:val="374149" w:themeColor="accent5"/>
          <w:lang w:val="en-US"/>
        </w:rPr>
        <w:t>ew</w:t>
      </w:r>
      <w:r w:rsidR="006C3B74">
        <w:rPr>
          <w:rFonts w:cstheme="minorHAnsi"/>
          <w:color w:val="374149" w:themeColor="accent5"/>
          <w:lang w:val="en-US"/>
        </w:rPr>
        <w:t xml:space="preserve"> agreement that </w:t>
      </w:r>
      <w:r w:rsidR="00E209D9">
        <w:rPr>
          <w:rFonts w:cstheme="minorHAnsi"/>
          <w:color w:val="374149" w:themeColor="accent5"/>
          <w:lang w:val="en-US"/>
        </w:rPr>
        <w:t xml:space="preserve">captures the lived experience of education leaders, teachers and governments. Together, we can </w:t>
      </w:r>
      <w:r w:rsidR="003E6DBE">
        <w:rPr>
          <w:rFonts w:cstheme="minorHAnsi"/>
          <w:color w:val="374149" w:themeColor="accent5"/>
          <w:lang w:val="en-US"/>
        </w:rPr>
        <w:t xml:space="preserve">apply a new Agreement in a way that moves </w:t>
      </w:r>
      <w:r w:rsidR="006C3B74">
        <w:rPr>
          <w:rFonts w:cstheme="minorHAnsi"/>
          <w:color w:val="374149" w:themeColor="accent5"/>
          <w:lang w:val="en-US"/>
        </w:rPr>
        <w:t>Australian education forward and lift</w:t>
      </w:r>
      <w:r w:rsidR="003E6DBE">
        <w:rPr>
          <w:rFonts w:cstheme="minorHAnsi"/>
          <w:color w:val="374149" w:themeColor="accent5"/>
          <w:lang w:val="en-US"/>
        </w:rPr>
        <w:t>s</w:t>
      </w:r>
      <w:r w:rsidR="006C3B74">
        <w:rPr>
          <w:rFonts w:cstheme="minorHAnsi"/>
          <w:color w:val="374149" w:themeColor="accent5"/>
          <w:lang w:val="en-US"/>
        </w:rPr>
        <w:t xml:space="preserve"> student outcomes.</w:t>
      </w:r>
    </w:p>
    <w:p w14:paraId="7B764FC6" w14:textId="4DF92C9E" w:rsidR="003172E0" w:rsidRPr="00562F8D" w:rsidRDefault="001B01A8" w:rsidP="00B713C1">
      <w:pPr>
        <w:pStyle w:val="Heading1"/>
        <w:spacing w:after="120"/>
        <w:rPr>
          <w:rFonts w:cstheme="majorHAnsi"/>
          <w:b/>
          <w:bCs/>
          <w:sz w:val="24"/>
          <w:szCs w:val="24"/>
        </w:rPr>
      </w:pPr>
      <w:bookmarkStart w:id="2" w:name="_Toc77868630"/>
      <w:bookmarkEnd w:id="1"/>
      <w:r w:rsidRPr="00562F8D">
        <w:rPr>
          <w:rFonts w:cstheme="majorHAnsi"/>
          <w:b/>
          <w:bCs/>
          <w:sz w:val="24"/>
          <w:szCs w:val="24"/>
        </w:rPr>
        <w:t>Respon</w:t>
      </w:r>
      <w:r w:rsidR="0090552E" w:rsidRPr="00562F8D">
        <w:rPr>
          <w:rFonts w:cstheme="majorHAnsi"/>
          <w:b/>
          <w:bCs/>
          <w:sz w:val="24"/>
          <w:szCs w:val="24"/>
        </w:rPr>
        <w:t>se to s</w:t>
      </w:r>
      <w:r w:rsidR="0075127F" w:rsidRPr="00562F8D">
        <w:rPr>
          <w:rFonts w:cstheme="majorHAnsi"/>
          <w:b/>
          <w:bCs/>
          <w:sz w:val="24"/>
          <w:szCs w:val="24"/>
        </w:rPr>
        <w:t>pecific</w:t>
      </w:r>
      <w:r w:rsidR="0090552E" w:rsidRPr="00562F8D">
        <w:rPr>
          <w:rFonts w:cstheme="majorHAnsi"/>
          <w:b/>
          <w:bCs/>
          <w:sz w:val="24"/>
          <w:szCs w:val="24"/>
        </w:rPr>
        <w:t xml:space="preserve"> </w:t>
      </w:r>
      <w:bookmarkEnd w:id="2"/>
      <w:r w:rsidR="00544B61" w:rsidRPr="00562F8D">
        <w:rPr>
          <w:rFonts w:cstheme="majorHAnsi"/>
          <w:b/>
          <w:bCs/>
          <w:sz w:val="24"/>
          <w:szCs w:val="24"/>
        </w:rPr>
        <w:t>chapters</w:t>
      </w:r>
    </w:p>
    <w:p w14:paraId="2EF38F29" w14:textId="41CE0460" w:rsidR="00D6161F" w:rsidRPr="00B13EBE" w:rsidRDefault="005F61D7" w:rsidP="004A0251">
      <w:pPr>
        <w:rPr>
          <w:rFonts w:cstheme="minorHAnsi"/>
        </w:rPr>
      </w:pPr>
      <w:bookmarkStart w:id="3" w:name="_Toc38350421"/>
      <w:r w:rsidRPr="00B13EBE">
        <w:rPr>
          <w:rFonts w:cstheme="minorHAnsi"/>
        </w:rPr>
        <w:t xml:space="preserve">This response </w:t>
      </w:r>
      <w:r w:rsidR="00D6161F" w:rsidRPr="00B13EBE">
        <w:rPr>
          <w:rFonts w:cstheme="minorHAnsi"/>
        </w:rPr>
        <w:t xml:space="preserve">specifically </w:t>
      </w:r>
      <w:r w:rsidR="00882E0B" w:rsidRPr="00B13EBE">
        <w:rPr>
          <w:rFonts w:cstheme="minorHAnsi"/>
        </w:rPr>
        <w:t xml:space="preserve">focusses on </w:t>
      </w:r>
      <w:r w:rsidR="00F33AF9" w:rsidRPr="00B13EBE">
        <w:rPr>
          <w:rFonts w:cstheme="minorHAnsi"/>
        </w:rPr>
        <w:t xml:space="preserve">the </w:t>
      </w:r>
      <w:r w:rsidR="00FE532E" w:rsidRPr="00B13EBE">
        <w:rPr>
          <w:rFonts w:cstheme="minorHAnsi"/>
        </w:rPr>
        <w:t>information requests, draft findings and draft recommendations</w:t>
      </w:r>
      <w:r w:rsidR="006B7058" w:rsidRPr="00B13EBE">
        <w:rPr>
          <w:rFonts w:cstheme="minorHAnsi"/>
        </w:rPr>
        <w:t xml:space="preserve"> where ESA is best equipped to provide meaningful insights.</w:t>
      </w:r>
    </w:p>
    <w:p w14:paraId="00A9B213" w14:textId="1FF5F9DA" w:rsidR="00491B9B" w:rsidRPr="00B713C1" w:rsidRDefault="004638F8" w:rsidP="004A0251">
      <w:pPr>
        <w:rPr>
          <w:rFonts w:cstheme="minorHAnsi"/>
          <w:b/>
          <w:bCs/>
        </w:rPr>
      </w:pPr>
      <w:r w:rsidRPr="00B713C1">
        <w:rPr>
          <w:rFonts w:cstheme="minorHAnsi"/>
          <w:b/>
          <w:bCs/>
        </w:rPr>
        <w:t xml:space="preserve">The following submission responds to </w:t>
      </w:r>
      <w:r w:rsidR="005C73F5">
        <w:rPr>
          <w:rFonts w:cstheme="minorHAnsi"/>
          <w:b/>
          <w:bCs/>
        </w:rPr>
        <w:t xml:space="preserve">three </w:t>
      </w:r>
      <w:r w:rsidR="00901901">
        <w:rPr>
          <w:rFonts w:cstheme="minorHAnsi"/>
          <w:b/>
          <w:bCs/>
        </w:rPr>
        <w:t>specific s</w:t>
      </w:r>
      <w:r w:rsidR="00F46CA2">
        <w:rPr>
          <w:rFonts w:cstheme="minorHAnsi"/>
          <w:b/>
          <w:bCs/>
        </w:rPr>
        <w:t>ections of the Interim Report – the</w:t>
      </w:r>
      <w:r w:rsidR="003C61C8">
        <w:rPr>
          <w:rFonts w:cstheme="minorHAnsi"/>
          <w:b/>
          <w:bCs/>
        </w:rPr>
        <w:t xml:space="preserve"> </w:t>
      </w:r>
      <w:r w:rsidR="005D68E2">
        <w:rPr>
          <w:rFonts w:cstheme="minorHAnsi"/>
          <w:b/>
          <w:bCs/>
        </w:rPr>
        <w:t>high-level</w:t>
      </w:r>
      <w:r w:rsidR="003C61C8">
        <w:rPr>
          <w:rFonts w:cstheme="minorHAnsi"/>
          <w:b/>
          <w:bCs/>
        </w:rPr>
        <w:t xml:space="preserve"> assessment of National Policy Initiatives (</w:t>
      </w:r>
      <w:r w:rsidR="001538FB">
        <w:rPr>
          <w:rFonts w:cstheme="minorHAnsi"/>
          <w:b/>
          <w:bCs/>
        </w:rPr>
        <w:t>chapter</w:t>
      </w:r>
      <w:r w:rsidR="003C61C8">
        <w:rPr>
          <w:rFonts w:cstheme="minorHAnsi"/>
          <w:b/>
          <w:bCs/>
        </w:rPr>
        <w:t xml:space="preserve"> 2)</w:t>
      </w:r>
      <w:r w:rsidR="005C73F5">
        <w:rPr>
          <w:rFonts w:cstheme="minorHAnsi"/>
          <w:b/>
          <w:bCs/>
        </w:rPr>
        <w:t>, Student wellbeing (chapter 4)</w:t>
      </w:r>
      <w:r w:rsidR="003C61C8">
        <w:rPr>
          <w:rFonts w:cstheme="minorHAnsi"/>
          <w:b/>
          <w:bCs/>
        </w:rPr>
        <w:t xml:space="preserve"> and supporting teachers (</w:t>
      </w:r>
      <w:r w:rsidR="001538FB">
        <w:rPr>
          <w:rFonts w:cstheme="minorHAnsi"/>
          <w:b/>
          <w:bCs/>
        </w:rPr>
        <w:t>chapter</w:t>
      </w:r>
      <w:r w:rsidR="003C61C8">
        <w:rPr>
          <w:rFonts w:cstheme="minorHAnsi"/>
          <w:b/>
          <w:bCs/>
        </w:rPr>
        <w:t xml:space="preserve"> 5).</w:t>
      </w:r>
      <w:r w:rsidR="00837454">
        <w:rPr>
          <w:rFonts w:cstheme="minorHAnsi"/>
          <w:b/>
          <w:bCs/>
        </w:rPr>
        <w:t xml:space="preserve"> It does so with </w:t>
      </w:r>
      <w:r w:rsidR="003B1995">
        <w:rPr>
          <w:rFonts w:cstheme="minorHAnsi"/>
          <w:b/>
          <w:bCs/>
        </w:rPr>
        <w:t>a lens to improving student outcomes.</w:t>
      </w:r>
    </w:p>
    <w:p w14:paraId="56A4C9A3" w14:textId="04A0C82D" w:rsidR="003B1995" w:rsidRDefault="003760D0" w:rsidP="003B1995">
      <w:pPr>
        <w:rPr>
          <w:rFonts w:cstheme="minorHAnsi"/>
        </w:rPr>
      </w:pPr>
      <w:r>
        <w:rPr>
          <w:rFonts w:cstheme="minorHAnsi"/>
        </w:rPr>
        <w:t>Our submission taps into the vast opportunit</w:t>
      </w:r>
      <w:r w:rsidR="00837454">
        <w:rPr>
          <w:rFonts w:cstheme="minorHAnsi"/>
        </w:rPr>
        <w:t>ies</w:t>
      </w:r>
      <w:r w:rsidR="003B1995">
        <w:rPr>
          <w:rFonts w:cstheme="minorHAnsi"/>
        </w:rPr>
        <w:t xml:space="preserve"> </w:t>
      </w:r>
      <w:r>
        <w:rPr>
          <w:rFonts w:cstheme="minorHAnsi"/>
        </w:rPr>
        <w:t>presented through digital transformations and solutions</w:t>
      </w:r>
      <w:r w:rsidR="00CA3510">
        <w:rPr>
          <w:rFonts w:cstheme="minorHAnsi"/>
        </w:rPr>
        <w:t xml:space="preserve">, including the ways that </w:t>
      </w:r>
      <w:r w:rsidR="00AA4704">
        <w:rPr>
          <w:rFonts w:cstheme="minorHAnsi"/>
        </w:rPr>
        <w:t xml:space="preserve">digital </w:t>
      </w:r>
      <w:r w:rsidR="00CA3510">
        <w:rPr>
          <w:rFonts w:cstheme="minorHAnsi"/>
        </w:rPr>
        <w:t>tools</w:t>
      </w:r>
      <w:r w:rsidR="00AA4704">
        <w:rPr>
          <w:rFonts w:cstheme="minorHAnsi"/>
        </w:rPr>
        <w:t xml:space="preserve"> can help alleviate the pressures of over-worked teachers</w:t>
      </w:r>
      <w:r w:rsidR="00986D5E">
        <w:rPr>
          <w:rFonts w:cstheme="minorHAnsi"/>
        </w:rPr>
        <w:t xml:space="preserve"> to</w:t>
      </w:r>
      <w:r w:rsidR="00AA4704">
        <w:rPr>
          <w:rFonts w:cstheme="minorHAnsi"/>
        </w:rPr>
        <w:t xml:space="preserve"> </w:t>
      </w:r>
      <w:r w:rsidR="00707035">
        <w:rPr>
          <w:rFonts w:cstheme="minorHAnsi"/>
        </w:rPr>
        <w:t>support quality teaching</w:t>
      </w:r>
      <w:r w:rsidR="00AA4704">
        <w:rPr>
          <w:rFonts w:cstheme="minorHAnsi"/>
        </w:rPr>
        <w:t>. In doing so, this</w:t>
      </w:r>
      <w:r>
        <w:rPr>
          <w:rFonts w:cstheme="minorHAnsi"/>
        </w:rPr>
        <w:t xml:space="preserve"> submission </w:t>
      </w:r>
      <w:r w:rsidR="005F61D7" w:rsidRPr="00B13EBE">
        <w:rPr>
          <w:rFonts w:cstheme="minorHAnsi"/>
        </w:rPr>
        <w:t>draws on ESA's expertise in developing digital teaching and learning resources for teachers and students and systems more broadly.</w:t>
      </w:r>
    </w:p>
    <w:p w14:paraId="483F87D0" w14:textId="77777777" w:rsidR="003B1995" w:rsidRPr="00B13EBE" w:rsidRDefault="003B1995" w:rsidP="003B1995">
      <w:pPr>
        <w:rPr>
          <w:rFonts w:cstheme="minorHAnsi"/>
        </w:rPr>
      </w:pPr>
    </w:p>
    <w:p w14:paraId="06FF9685" w14:textId="4832DCEB" w:rsidR="0090552E" w:rsidRPr="00562F8D" w:rsidRDefault="00D752BD" w:rsidP="00B713C1">
      <w:pPr>
        <w:rPr>
          <w:rFonts w:asciiTheme="majorHAnsi" w:hAnsiTheme="majorHAnsi" w:cstheme="majorHAnsi"/>
          <w:b/>
          <w:bCs/>
          <w:color w:val="241773" w:themeColor="accent1"/>
          <w:sz w:val="24"/>
          <w:szCs w:val="24"/>
        </w:rPr>
      </w:pPr>
      <w:r w:rsidRPr="00562F8D">
        <w:rPr>
          <w:rFonts w:asciiTheme="majorHAnsi" w:hAnsiTheme="majorHAnsi" w:cstheme="majorHAnsi"/>
          <w:b/>
          <w:bCs/>
          <w:color w:val="241773" w:themeColor="accent1"/>
          <w:sz w:val="24"/>
          <w:szCs w:val="24"/>
        </w:rPr>
        <w:t>High level assessment of the National Policy Initiatives</w:t>
      </w:r>
      <w:bookmarkEnd w:id="3"/>
    </w:p>
    <w:p w14:paraId="423936F1" w14:textId="401AA310" w:rsidR="00F931EC" w:rsidRDefault="00F931EC" w:rsidP="00F931EC">
      <w:pPr>
        <w:rPr>
          <w:rFonts w:cstheme="minorHAnsi"/>
        </w:rPr>
      </w:pPr>
      <w:bookmarkStart w:id="4" w:name="_Hlk116772109"/>
      <w:r>
        <w:rPr>
          <w:rFonts w:cstheme="minorHAnsi"/>
        </w:rPr>
        <w:t xml:space="preserve">The </w:t>
      </w:r>
      <w:r w:rsidR="00EC7416">
        <w:rPr>
          <w:rFonts w:cstheme="minorHAnsi"/>
        </w:rPr>
        <w:t xml:space="preserve">vast majority of National Policy Initiatives (NPIs) set out in the </w:t>
      </w:r>
      <w:r>
        <w:rPr>
          <w:rFonts w:cstheme="minorHAnsi"/>
        </w:rPr>
        <w:t>first agreement</w:t>
      </w:r>
      <w:r w:rsidR="00964E7D">
        <w:rPr>
          <w:rFonts w:cstheme="minorHAnsi"/>
        </w:rPr>
        <w:t xml:space="preserve"> are </w:t>
      </w:r>
      <w:r w:rsidR="00FF6DC9">
        <w:rPr>
          <w:rFonts w:cstheme="minorHAnsi"/>
        </w:rPr>
        <w:t>underway or</w:t>
      </w:r>
      <w:r>
        <w:rPr>
          <w:rFonts w:cstheme="minorHAnsi"/>
        </w:rPr>
        <w:t xml:space="preserve"> ha</w:t>
      </w:r>
      <w:r w:rsidR="00EC7416">
        <w:rPr>
          <w:rFonts w:cstheme="minorHAnsi"/>
        </w:rPr>
        <w:t>ve been completed</w:t>
      </w:r>
      <w:r w:rsidR="00964E7D">
        <w:rPr>
          <w:rFonts w:cstheme="minorHAnsi"/>
        </w:rPr>
        <w:t>.</w:t>
      </w:r>
      <w:r w:rsidR="00EC7416">
        <w:rPr>
          <w:rFonts w:cstheme="minorHAnsi"/>
        </w:rPr>
        <w:t xml:space="preserve"> </w:t>
      </w:r>
      <w:r w:rsidR="000C0878">
        <w:rPr>
          <w:rFonts w:cstheme="minorHAnsi"/>
        </w:rPr>
        <w:t>If we are to continue to build on our policy base,</w:t>
      </w:r>
      <w:r w:rsidR="00964E7D">
        <w:rPr>
          <w:rFonts w:cstheme="minorHAnsi"/>
        </w:rPr>
        <w:t xml:space="preserve"> then</w:t>
      </w:r>
      <w:r w:rsidR="000C0878">
        <w:rPr>
          <w:rFonts w:cstheme="minorHAnsi"/>
        </w:rPr>
        <w:t xml:space="preserve"> the next agreement </w:t>
      </w:r>
      <w:r w:rsidR="000325F7">
        <w:rPr>
          <w:rFonts w:cstheme="minorHAnsi"/>
        </w:rPr>
        <w:t>must leverage the</w:t>
      </w:r>
      <w:r w:rsidR="000C0878">
        <w:rPr>
          <w:rFonts w:cstheme="minorHAnsi"/>
        </w:rPr>
        <w:t xml:space="preserve"> work</w:t>
      </w:r>
      <w:r w:rsidR="000325F7">
        <w:rPr>
          <w:rFonts w:cstheme="minorHAnsi"/>
        </w:rPr>
        <w:t xml:space="preserve"> of the first</w:t>
      </w:r>
      <w:r w:rsidR="000C0878">
        <w:rPr>
          <w:rFonts w:cstheme="minorHAnsi"/>
        </w:rPr>
        <w:t xml:space="preserve">, including the </w:t>
      </w:r>
      <w:r w:rsidR="00344E2F">
        <w:rPr>
          <w:rFonts w:cstheme="minorHAnsi"/>
        </w:rPr>
        <w:t xml:space="preserve">initiatives that </w:t>
      </w:r>
      <w:r w:rsidR="000C0878">
        <w:rPr>
          <w:rFonts w:cstheme="minorHAnsi"/>
        </w:rPr>
        <w:t>have not yet been completed.</w:t>
      </w:r>
      <w:r w:rsidR="007E2DE5">
        <w:rPr>
          <w:rFonts w:cstheme="minorHAnsi"/>
        </w:rPr>
        <w:t xml:space="preserve"> This applies equally to the </w:t>
      </w:r>
      <w:r w:rsidR="00133887">
        <w:rPr>
          <w:rFonts w:cstheme="minorHAnsi"/>
        </w:rPr>
        <w:t>Unique Student Identifier (</w:t>
      </w:r>
      <w:r w:rsidR="007E2DE5">
        <w:rPr>
          <w:rFonts w:cstheme="minorHAnsi"/>
        </w:rPr>
        <w:t>USI</w:t>
      </w:r>
      <w:r w:rsidR="00133887">
        <w:rPr>
          <w:rFonts w:cstheme="minorHAnsi"/>
        </w:rPr>
        <w:t>)</w:t>
      </w:r>
      <w:r w:rsidR="007E2DE5">
        <w:rPr>
          <w:rFonts w:cstheme="minorHAnsi"/>
        </w:rPr>
        <w:t xml:space="preserve">, </w:t>
      </w:r>
      <w:r w:rsidR="00133887">
        <w:rPr>
          <w:rFonts w:cstheme="minorHAnsi"/>
        </w:rPr>
        <w:t>the Online Formative Assessment Initiative (</w:t>
      </w:r>
      <w:r w:rsidR="007E2DE5">
        <w:rPr>
          <w:rFonts w:cstheme="minorHAnsi"/>
        </w:rPr>
        <w:t>OFAI</w:t>
      </w:r>
      <w:r w:rsidR="00133887">
        <w:rPr>
          <w:rFonts w:cstheme="minorHAnsi"/>
        </w:rPr>
        <w:t>)</w:t>
      </w:r>
      <w:r w:rsidR="007E2DE5">
        <w:rPr>
          <w:rFonts w:cstheme="minorHAnsi"/>
        </w:rPr>
        <w:t xml:space="preserve"> and </w:t>
      </w:r>
      <w:r w:rsidR="00CF58F4">
        <w:rPr>
          <w:rFonts w:cstheme="minorHAnsi"/>
        </w:rPr>
        <w:t xml:space="preserve">responses to </w:t>
      </w:r>
      <w:r w:rsidR="007E2DE5">
        <w:rPr>
          <w:rFonts w:cstheme="minorHAnsi"/>
        </w:rPr>
        <w:t>the Senior Secondary Pathways work. Each of these ambitious items were initiated because the</w:t>
      </w:r>
      <w:r w:rsidR="00D43B6A">
        <w:rPr>
          <w:rFonts w:cstheme="minorHAnsi"/>
        </w:rPr>
        <w:t xml:space="preserve">y hold significant </w:t>
      </w:r>
      <w:r w:rsidR="00AE68F7">
        <w:rPr>
          <w:rFonts w:cstheme="minorHAnsi"/>
        </w:rPr>
        <w:t>potential to improve student outcomes, and each must be continued for that same reason.</w:t>
      </w:r>
      <w:r w:rsidR="00F91B4B">
        <w:rPr>
          <w:rFonts w:cstheme="minorHAnsi"/>
        </w:rPr>
        <w:t xml:space="preserve"> The following provides some ideas and solutions on how these matters can be progressed more efficiently.</w:t>
      </w:r>
    </w:p>
    <w:p w14:paraId="6C3181CA" w14:textId="23BFB0B9" w:rsidR="00BC1570" w:rsidRPr="00562F8D" w:rsidRDefault="00462BDB" w:rsidP="00B713C1">
      <w:pPr>
        <w:pStyle w:val="Heading2"/>
        <w:spacing w:after="120"/>
        <w:rPr>
          <w:rFonts w:cstheme="majorHAnsi"/>
          <w:b/>
          <w:bCs/>
          <w:sz w:val="20"/>
          <w:szCs w:val="20"/>
        </w:rPr>
      </w:pPr>
      <w:r w:rsidRPr="00562F8D">
        <w:rPr>
          <w:rFonts w:cstheme="majorHAnsi"/>
          <w:b/>
          <w:bCs/>
          <w:sz w:val="20"/>
          <w:szCs w:val="20"/>
        </w:rPr>
        <w:t xml:space="preserve">The principle of national cooperation </w:t>
      </w:r>
      <w:r w:rsidR="00857565" w:rsidRPr="00562F8D">
        <w:rPr>
          <w:rFonts w:cstheme="majorHAnsi"/>
          <w:b/>
          <w:bCs/>
          <w:sz w:val="20"/>
          <w:szCs w:val="20"/>
        </w:rPr>
        <w:t>is</w:t>
      </w:r>
      <w:r w:rsidRPr="00562F8D">
        <w:rPr>
          <w:rFonts w:cstheme="majorHAnsi"/>
          <w:b/>
          <w:bCs/>
          <w:sz w:val="20"/>
          <w:szCs w:val="20"/>
        </w:rPr>
        <w:t xml:space="preserve"> sound</w:t>
      </w:r>
      <w:r w:rsidR="00B43FAE" w:rsidRPr="00562F8D">
        <w:rPr>
          <w:rFonts w:cstheme="majorHAnsi"/>
          <w:b/>
          <w:bCs/>
          <w:sz w:val="20"/>
          <w:szCs w:val="20"/>
        </w:rPr>
        <w:t xml:space="preserve"> and should </w:t>
      </w:r>
      <w:r w:rsidR="00F0229B" w:rsidRPr="00562F8D">
        <w:rPr>
          <w:rFonts w:cstheme="majorHAnsi"/>
          <w:b/>
          <w:bCs/>
          <w:sz w:val="20"/>
          <w:szCs w:val="20"/>
        </w:rPr>
        <w:t>remain</w:t>
      </w:r>
    </w:p>
    <w:bookmarkEnd w:id="4"/>
    <w:p w14:paraId="02F13B7A" w14:textId="023A6BF6" w:rsidR="00D53837" w:rsidRDefault="00632C4B" w:rsidP="006B3619">
      <w:pPr>
        <w:rPr>
          <w:rFonts w:cstheme="minorHAnsi"/>
        </w:rPr>
      </w:pPr>
      <w:r>
        <w:rPr>
          <w:rFonts w:cstheme="minorHAnsi"/>
        </w:rPr>
        <w:t>It is a reality of our federated model that education policy is agreed by all governments.</w:t>
      </w:r>
      <w:r w:rsidR="0074056A">
        <w:rPr>
          <w:rFonts w:cstheme="minorHAnsi"/>
        </w:rPr>
        <w:t xml:space="preserve"> </w:t>
      </w:r>
      <w:r w:rsidR="003B69D2">
        <w:rPr>
          <w:rFonts w:cstheme="minorHAnsi"/>
        </w:rPr>
        <w:t>ESA</w:t>
      </w:r>
      <w:r w:rsidR="00750C92">
        <w:rPr>
          <w:rFonts w:cstheme="minorHAnsi"/>
        </w:rPr>
        <w:t xml:space="preserve"> </w:t>
      </w:r>
      <w:r w:rsidR="00524356">
        <w:rPr>
          <w:rFonts w:cstheme="minorHAnsi"/>
        </w:rPr>
        <w:t xml:space="preserve">recognises frustrations </w:t>
      </w:r>
      <w:r w:rsidR="0074056A">
        <w:rPr>
          <w:rFonts w:cstheme="minorHAnsi"/>
        </w:rPr>
        <w:t xml:space="preserve">around </w:t>
      </w:r>
      <w:r w:rsidR="00750C92">
        <w:rPr>
          <w:rFonts w:cstheme="minorHAnsi"/>
        </w:rPr>
        <w:t xml:space="preserve">the </w:t>
      </w:r>
      <w:r w:rsidR="00324AB6">
        <w:rPr>
          <w:rFonts w:cstheme="minorHAnsi"/>
        </w:rPr>
        <w:t>challenges and costs associated with join</w:t>
      </w:r>
      <w:r w:rsidR="0027629E">
        <w:rPr>
          <w:rFonts w:cstheme="minorHAnsi"/>
        </w:rPr>
        <w:t>t</w:t>
      </w:r>
      <w:r w:rsidR="00324AB6">
        <w:rPr>
          <w:rFonts w:cstheme="minorHAnsi"/>
        </w:rPr>
        <w:t xml:space="preserve"> national projects</w:t>
      </w:r>
      <w:r w:rsidR="001F5B8C">
        <w:rPr>
          <w:rStyle w:val="FootnoteReference"/>
          <w:rFonts w:cstheme="minorHAnsi"/>
        </w:rPr>
        <w:footnoteReference w:id="2"/>
      </w:r>
      <w:r w:rsidR="00446B2C">
        <w:rPr>
          <w:rFonts w:cstheme="minorHAnsi"/>
        </w:rPr>
        <w:t xml:space="preserve"> but</w:t>
      </w:r>
      <w:r w:rsidR="006B3619">
        <w:rPr>
          <w:rFonts w:cstheme="minorHAnsi"/>
        </w:rPr>
        <w:t xml:space="preserve"> </w:t>
      </w:r>
      <w:r w:rsidR="002F4A5E">
        <w:rPr>
          <w:rFonts w:cstheme="minorHAnsi"/>
        </w:rPr>
        <w:t xml:space="preserve">notes </w:t>
      </w:r>
      <w:r w:rsidR="006B3619">
        <w:rPr>
          <w:rFonts w:cstheme="minorHAnsi"/>
        </w:rPr>
        <w:t xml:space="preserve">that these frustrations would be </w:t>
      </w:r>
      <w:r w:rsidR="00DE55A0">
        <w:rPr>
          <w:rFonts w:cstheme="minorHAnsi"/>
        </w:rPr>
        <w:t>far exceeded by the longer</w:t>
      </w:r>
      <w:r w:rsidR="00730D84">
        <w:rPr>
          <w:rFonts w:cstheme="minorHAnsi"/>
        </w:rPr>
        <w:t>-</w:t>
      </w:r>
      <w:r w:rsidR="00A04AF5">
        <w:rPr>
          <w:rFonts w:cstheme="minorHAnsi"/>
        </w:rPr>
        <w:t xml:space="preserve">term </w:t>
      </w:r>
      <w:r w:rsidR="00E66ED5">
        <w:rPr>
          <w:rFonts w:cstheme="minorHAnsi"/>
        </w:rPr>
        <w:t xml:space="preserve">inefficiencies </w:t>
      </w:r>
      <w:r w:rsidR="005E4B40">
        <w:rPr>
          <w:rFonts w:cstheme="minorHAnsi"/>
        </w:rPr>
        <w:t>that arise from duplication of effort</w:t>
      </w:r>
      <w:r w:rsidR="00B437BA">
        <w:rPr>
          <w:rFonts w:cstheme="minorHAnsi"/>
        </w:rPr>
        <w:t>. I</w:t>
      </w:r>
      <w:r w:rsidR="005E4B40">
        <w:rPr>
          <w:rFonts w:cstheme="minorHAnsi"/>
        </w:rPr>
        <w:t xml:space="preserve">nvestment in areas where national collaboration can achieve the desired outcomes for all students </w:t>
      </w:r>
      <w:r w:rsidR="00914FC5">
        <w:rPr>
          <w:rFonts w:cstheme="minorHAnsi"/>
        </w:rPr>
        <w:t>across the country</w:t>
      </w:r>
      <w:r w:rsidR="00B437BA">
        <w:rPr>
          <w:rFonts w:cstheme="minorHAnsi"/>
        </w:rPr>
        <w:t xml:space="preserve"> should be encouraged</w:t>
      </w:r>
      <w:r w:rsidR="00914FC5">
        <w:rPr>
          <w:rFonts w:cstheme="minorHAnsi"/>
        </w:rPr>
        <w:t>.</w:t>
      </w:r>
    </w:p>
    <w:p w14:paraId="40E2538F" w14:textId="1B2AE2FA" w:rsidR="005C4EF0" w:rsidRDefault="00296394" w:rsidP="004A0251">
      <w:pPr>
        <w:rPr>
          <w:rFonts w:cstheme="minorHAnsi"/>
        </w:rPr>
      </w:pPr>
      <w:r>
        <w:rPr>
          <w:rFonts w:cstheme="minorHAnsi"/>
        </w:rPr>
        <w:t>The i</w:t>
      </w:r>
      <w:r w:rsidR="0064797C" w:rsidRPr="0064797C">
        <w:rPr>
          <w:rFonts w:cstheme="minorHAnsi"/>
        </w:rPr>
        <w:t xml:space="preserve">nability to </w:t>
      </w:r>
      <w:r w:rsidR="005835AE">
        <w:rPr>
          <w:rFonts w:cstheme="minorHAnsi"/>
        </w:rPr>
        <w:t>finalise</w:t>
      </w:r>
      <w:r w:rsidR="0064797C" w:rsidRPr="0064797C">
        <w:rPr>
          <w:rFonts w:cstheme="minorHAnsi"/>
        </w:rPr>
        <w:t xml:space="preserve"> </w:t>
      </w:r>
      <w:r w:rsidR="00367AF7">
        <w:rPr>
          <w:rFonts w:cstheme="minorHAnsi"/>
        </w:rPr>
        <w:t xml:space="preserve">the </w:t>
      </w:r>
      <w:r w:rsidR="0064797C" w:rsidRPr="0064797C">
        <w:rPr>
          <w:rFonts w:cstheme="minorHAnsi"/>
        </w:rPr>
        <w:t xml:space="preserve">USI </w:t>
      </w:r>
      <w:r w:rsidR="005835AE">
        <w:rPr>
          <w:rFonts w:cstheme="minorHAnsi"/>
        </w:rPr>
        <w:t>and the</w:t>
      </w:r>
      <w:r w:rsidR="005835AE" w:rsidRPr="0064797C">
        <w:rPr>
          <w:rFonts w:cstheme="minorHAnsi"/>
        </w:rPr>
        <w:t xml:space="preserve"> </w:t>
      </w:r>
      <w:r w:rsidR="0064797C" w:rsidRPr="0064797C">
        <w:rPr>
          <w:rFonts w:cstheme="minorHAnsi"/>
        </w:rPr>
        <w:t xml:space="preserve">OFAI </w:t>
      </w:r>
      <w:r w:rsidR="005A1181">
        <w:rPr>
          <w:rFonts w:cstheme="minorHAnsi"/>
        </w:rPr>
        <w:t xml:space="preserve">are disappointing, but </w:t>
      </w:r>
      <w:r w:rsidR="00F95AD7">
        <w:rPr>
          <w:rFonts w:cstheme="minorHAnsi"/>
        </w:rPr>
        <w:t>indicate a</w:t>
      </w:r>
      <w:r w:rsidR="00AF4AFD">
        <w:rPr>
          <w:rFonts w:cstheme="minorHAnsi"/>
        </w:rPr>
        <w:t xml:space="preserve">n opportunity </w:t>
      </w:r>
      <w:r w:rsidR="00F95AD7">
        <w:rPr>
          <w:rFonts w:cstheme="minorHAnsi"/>
        </w:rPr>
        <w:t xml:space="preserve">to </w:t>
      </w:r>
      <w:r w:rsidR="00674871">
        <w:rPr>
          <w:rFonts w:cstheme="minorHAnsi"/>
        </w:rPr>
        <w:t xml:space="preserve">collectively improve the </w:t>
      </w:r>
      <w:r w:rsidR="00F95AD7">
        <w:rPr>
          <w:rFonts w:cstheme="minorHAnsi"/>
        </w:rPr>
        <w:t xml:space="preserve">governance, </w:t>
      </w:r>
      <w:r w:rsidR="0064797C" w:rsidRPr="0064797C">
        <w:rPr>
          <w:rFonts w:cstheme="minorHAnsi"/>
        </w:rPr>
        <w:t>process</w:t>
      </w:r>
      <w:r w:rsidR="00674871">
        <w:rPr>
          <w:rFonts w:cstheme="minorHAnsi"/>
        </w:rPr>
        <w:t>es</w:t>
      </w:r>
      <w:r w:rsidR="0064797C" w:rsidRPr="0064797C">
        <w:rPr>
          <w:rFonts w:cstheme="minorHAnsi"/>
        </w:rPr>
        <w:t xml:space="preserve"> and systems </w:t>
      </w:r>
      <w:r w:rsidR="00F95AD7">
        <w:rPr>
          <w:rFonts w:cstheme="minorHAnsi"/>
        </w:rPr>
        <w:t xml:space="preserve">behind the Agreement. </w:t>
      </w:r>
    </w:p>
    <w:p w14:paraId="289AFF90" w14:textId="2EF904C3" w:rsidR="00124963" w:rsidRDefault="001E4816" w:rsidP="004A0251">
      <w:pPr>
        <w:rPr>
          <w:rFonts w:cstheme="minorHAnsi"/>
        </w:rPr>
      </w:pPr>
      <w:r>
        <w:rPr>
          <w:rFonts w:cstheme="minorHAnsi"/>
        </w:rPr>
        <w:t>Rather than eliminate the “one in</w:t>
      </w:r>
      <w:r w:rsidR="00596830">
        <w:rPr>
          <w:rFonts w:cstheme="minorHAnsi"/>
        </w:rPr>
        <w:t>,</w:t>
      </w:r>
      <w:r>
        <w:rPr>
          <w:rFonts w:cstheme="minorHAnsi"/>
        </w:rPr>
        <w:t xml:space="preserve"> all in approach”</w:t>
      </w:r>
      <w:r w:rsidR="00225E83">
        <w:rPr>
          <w:rStyle w:val="FootnoteReference"/>
          <w:rFonts w:cstheme="minorHAnsi"/>
        </w:rPr>
        <w:footnoteReference w:id="3"/>
      </w:r>
      <w:r w:rsidR="00FF0FD2">
        <w:rPr>
          <w:rFonts w:cstheme="minorHAnsi"/>
        </w:rPr>
        <w:t xml:space="preserve"> </w:t>
      </w:r>
      <w:r w:rsidR="00A072B6">
        <w:rPr>
          <w:rFonts w:cstheme="minorHAnsi"/>
        </w:rPr>
        <w:t xml:space="preserve">for </w:t>
      </w:r>
      <w:r w:rsidR="001279B2">
        <w:rPr>
          <w:rFonts w:cstheme="minorHAnsi"/>
        </w:rPr>
        <w:t>the next Agreement</w:t>
      </w:r>
      <w:r w:rsidR="003544D2">
        <w:rPr>
          <w:rFonts w:cstheme="minorHAnsi"/>
        </w:rPr>
        <w:t>,</w:t>
      </w:r>
      <w:r w:rsidR="00124963" w:rsidRPr="00124963">
        <w:rPr>
          <w:rFonts w:cstheme="minorHAnsi"/>
        </w:rPr>
        <w:t xml:space="preserve"> local differences </w:t>
      </w:r>
      <w:r w:rsidR="003544D2">
        <w:rPr>
          <w:rFonts w:cstheme="minorHAnsi"/>
        </w:rPr>
        <w:t xml:space="preserve">should be identified, recognised and incorporated into </w:t>
      </w:r>
      <w:r w:rsidR="00124963" w:rsidRPr="00124963">
        <w:rPr>
          <w:rFonts w:cstheme="minorHAnsi"/>
        </w:rPr>
        <w:t>solution design</w:t>
      </w:r>
      <w:r w:rsidR="003544D2">
        <w:rPr>
          <w:rFonts w:cstheme="minorHAnsi"/>
        </w:rPr>
        <w:t xml:space="preserve">. </w:t>
      </w:r>
      <w:r w:rsidR="00B6744C">
        <w:rPr>
          <w:rFonts w:cstheme="minorHAnsi"/>
        </w:rPr>
        <w:t xml:space="preserve">Flexible system design </w:t>
      </w:r>
      <w:r w:rsidR="00C230DE">
        <w:rPr>
          <w:rFonts w:cstheme="minorHAnsi"/>
        </w:rPr>
        <w:t>should enable consisten</w:t>
      </w:r>
      <w:r w:rsidR="00AF4AFD">
        <w:rPr>
          <w:rFonts w:cstheme="minorHAnsi"/>
        </w:rPr>
        <w:t xml:space="preserve">cy across </w:t>
      </w:r>
      <w:r w:rsidR="00C230DE">
        <w:rPr>
          <w:rFonts w:cstheme="minorHAnsi"/>
        </w:rPr>
        <w:t xml:space="preserve">school systems </w:t>
      </w:r>
      <w:r w:rsidR="00AF4AFD">
        <w:rPr>
          <w:rFonts w:cstheme="minorHAnsi"/>
        </w:rPr>
        <w:t xml:space="preserve">and sectors </w:t>
      </w:r>
      <w:r w:rsidR="00C230DE">
        <w:rPr>
          <w:rFonts w:cstheme="minorHAnsi"/>
        </w:rPr>
        <w:t>across the country</w:t>
      </w:r>
      <w:r w:rsidR="00D70683">
        <w:rPr>
          <w:rFonts w:cstheme="minorHAnsi"/>
        </w:rPr>
        <w:t>, with local adaptions where needed</w:t>
      </w:r>
      <w:r w:rsidR="00C230DE">
        <w:rPr>
          <w:rFonts w:cstheme="minorHAnsi"/>
        </w:rPr>
        <w:t xml:space="preserve">. </w:t>
      </w:r>
      <w:r w:rsidR="003544D2">
        <w:rPr>
          <w:rFonts w:cstheme="minorHAnsi"/>
        </w:rPr>
        <w:t xml:space="preserve">Differences </w:t>
      </w:r>
      <w:r w:rsidR="00C230DE">
        <w:rPr>
          <w:rFonts w:cstheme="minorHAnsi"/>
        </w:rPr>
        <w:t>between</w:t>
      </w:r>
      <w:r w:rsidR="003544D2">
        <w:rPr>
          <w:rFonts w:cstheme="minorHAnsi"/>
        </w:rPr>
        <w:t xml:space="preserve"> jurisdictions should not be a reason to abandon, or restrict, </w:t>
      </w:r>
      <w:r w:rsidR="00180FFD">
        <w:rPr>
          <w:rFonts w:cstheme="minorHAnsi"/>
        </w:rPr>
        <w:t>our</w:t>
      </w:r>
      <w:r w:rsidR="003544D2">
        <w:rPr>
          <w:rFonts w:cstheme="minorHAnsi"/>
        </w:rPr>
        <w:t xml:space="preserve"> </w:t>
      </w:r>
      <w:r w:rsidR="00BC2C56">
        <w:rPr>
          <w:rFonts w:cstheme="minorHAnsi"/>
        </w:rPr>
        <w:t xml:space="preserve">ambitious </w:t>
      </w:r>
      <w:r w:rsidR="00124963" w:rsidRPr="00124963">
        <w:rPr>
          <w:rFonts w:cstheme="minorHAnsi"/>
        </w:rPr>
        <w:t>national effort</w:t>
      </w:r>
      <w:r w:rsidR="00180FFD">
        <w:rPr>
          <w:rFonts w:cstheme="minorHAnsi"/>
        </w:rPr>
        <w:t xml:space="preserve">. </w:t>
      </w:r>
    </w:p>
    <w:p w14:paraId="2AEDF765" w14:textId="726BC6D3" w:rsidR="00263B36" w:rsidRDefault="00856147" w:rsidP="004A0251">
      <w:pPr>
        <w:rPr>
          <w:rFonts w:cstheme="minorHAnsi"/>
        </w:rPr>
      </w:pPr>
      <w:r>
        <w:rPr>
          <w:rFonts w:cstheme="minorHAnsi"/>
        </w:rPr>
        <w:t>In order to be consistently and effectively implemented, n</w:t>
      </w:r>
      <w:r w:rsidR="00263B36">
        <w:rPr>
          <w:rFonts w:cstheme="minorHAnsi"/>
        </w:rPr>
        <w:t xml:space="preserve">ational reform </w:t>
      </w:r>
      <w:r w:rsidR="00684316">
        <w:rPr>
          <w:rFonts w:cstheme="minorHAnsi"/>
        </w:rPr>
        <w:t xml:space="preserve">requires strong and effective governance and process. Ministers </w:t>
      </w:r>
      <w:r w:rsidR="00C24314">
        <w:rPr>
          <w:rFonts w:cstheme="minorHAnsi"/>
        </w:rPr>
        <w:t>work under enormous pressure, across multiple areas of policy</w:t>
      </w:r>
      <w:r w:rsidR="00DB0EA3">
        <w:rPr>
          <w:rFonts w:cstheme="minorHAnsi"/>
        </w:rPr>
        <w:t xml:space="preserve"> and</w:t>
      </w:r>
      <w:r w:rsidR="00C24314">
        <w:rPr>
          <w:rFonts w:cstheme="minorHAnsi"/>
        </w:rPr>
        <w:t xml:space="preserve"> on tight deadlines</w:t>
      </w:r>
      <w:r w:rsidR="00DB0EA3">
        <w:rPr>
          <w:rFonts w:cstheme="minorHAnsi"/>
        </w:rPr>
        <w:t xml:space="preserve">. It is not fair or reasonable to expect that Ministers can address the myriad of </w:t>
      </w:r>
      <w:r w:rsidR="00FC53AB">
        <w:rPr>
          <w:rFonts w:cstheme="minorHAnsi"/>
        </w:rPr>
        <w:t xml:space="preserve">local needs </w:t>
      </w:r>
      <w:r w:rsidR="001226C7">
        <w:rPr>
          <w:rFonts w:cstheme="minorHAnsi"/>
        </w:rPr>
        <w:t>across</w:t>
      </w:r>
      <w:r w:rsidR="00DB0EA3">
        <w:rPr>
          <w:rFonts w:cstheme="minorHAnsi"/>
        </w:rPr>
        <w:t xml:space="preserve"> eight jurisdictions when they come together to work through a crowded agenda </w:t>
      </w:r>
      <w:r w:rsidR="00DF1364">
        <w:rPr>
          <w:rFonts w:cstheme="minorHAnsi"/>
        </w:rPr>
        <w:t xml:space="preserve">at </w:t>
      </w:r>
      <w:r w:rsidR="00DB0EA3">
        <w:rPr>
          <w:rFonts w:cstheme="minorHAnsi"/>
        </w:rPr>
        <w:t xml:space="preserve">Education Ministers Meetings. </w:t>
      </w:r>
      <w:r w:rsidR="00C4598C">
        <w:rPr>
          <w:rFonts w:cstheme="minorHAnsi"/>
        </w:rPr>
        <w:t>While t</w:t>
      </w:r>
      <w:r w:rsidR="00F941EF">
        <w:rPr>
          <w:rFonts w:cstheme="minorHAnsi"/>
        </w:rPr>
        <w:t xml:space="preserve">his </w:t>
      </w:r>
      <w:r w:rsidR="001226C7">
        <w:rPr>
          <w:rFonts w:cstheme="minorHAnsi"/>
        </w:rPr>
        <w:t>can</w:t>
      </w:r>
      <w:r w:rsidR="00F941EF">
        <w:rPr>
          <w:rFonts w:cstheme="minorHAnsi"/>
        </w:rPr>
        <w:t xml:space="preserve"> sometimes </w:t>
      </w:r>
      <w:r w:rsidR="001226C7">
        <w:rPr>
          <w:rFonts w:cstheme="minorHAnsi"/>
        </w:rPr>
        <w:t xml:space="preserve">be </w:t>
      </w:r>
      <w:r w:rsidR="00F941EF">
        <w:rPr>
          <w:rFonts w:cstheme="minorHAnsi"/>
        </w:rPr>
        <w:t xml:space="preserve">addressed </w:t>
      </w:r>
      <w:r w:rsidR="001226C7">
        <w:rPr>
          <w:rFonts w:cstheme="minorHAnsi"/>
        </w:rPr>
        <w:t>through</w:t>
      </w:r>
      <w:r w:rsidR="00F941EF">
        <w:rPr>
          <w:rFonts w:cstheme="minorHAnsi"/>
        </w:rPr>
        <w:t xml:space="preserve"> </w:t>
      </w:r>
      <w:r w:rsidR="00C4598C">
        <w:rPr>
          <w:rFonts w:cstheme="minorHAnsi"/>
        </w:rPr>
        <w:t>additional special-purpose meetings, more can</w:t>
      </w:r>
      <w:r w:rsidR="00DF1364">
        <w:rPr>
          <w:rFonts w:cstheme="minorHAnsi"/>
        </w:rPr>
        <w:t xml:space="preserve"> </w:t>
      </w:r>
      <w:r w:rsidR="00C4598C">
        <w:rPr>
          <w:rFonts w:cstheme="minorHAnsi"/>
        </w:rPr>
        <w:t xml:space="preserve">be achieved at </w:t>
      </w:r>
      <w:r w:rsidR="00381C88">
        <w:rPr>
          <w:rFonts w:cstheme="minorHAnsi"/>
        </w:rPr>
        <w:t xml:space="preserve">and below </w:t>
      </w:r>
      <w:r w:rsidR="00C4598C">
        <w:rPr>
          <w:rFonts w:cstheme="minorHAnsi"/>
        </w:rPr>
        <w:t>the Australian Education Senior Officials Committee (AESOC).</w:t>
      </w:r>
    </w:p>
    <w:p w14:paraId="07437648" w14:textId="1487ED4B" w:rsidR="00602D36" w:rsidRDefault="00602D36" w:rsidP="004A0251">
      <w:pPr>
        <w:rPr>
          <w:rFonts w:cstheme="minorHAnsi"/>
        </w:rPr>
      </w:pPr>
      <w:r>
        <w:rPr>
          <w:rFonts w:cstheme="minorHAnsi"/>
        </w:rPr>
        <w:t xml:space="preserve">Officials need to have the authority </w:t>
      </w:r>
      <w:r w:rsidR="00FC53AB">
        <w:rPr>
          <w:rFonts w:cstheme="minorHAnsi"/>
        </w:rPr>
        <w:t xml:space="preserve">and incentive </w:t>
      </w:r>
      <w:r>
        <w:rPr>
          <w:rFonts w:cstheme="minorHAnsi"/>
        </w:rPr>
        <w:t>to work pragmatically together to identify areas of common agreement</w:t>
      </w:r>
      <w:r w:rsidR="004A59B0">
        <w:rPr>
          <w:rFonts w:cstheme="minorHAnsi"/>
        </w:rPr>
        <w:t>, and to design dynamic responses to key differences</w:t>
      </w:r>
      <w:r w:rsidR="007725D7">
        <w:rPr>
          <w:rFonts w:cstheme="minorHAnsi"/>
        </w:rPr>
        <w:t>, in close coordination with Ministers and their offices.</w:t>
      </w:r>
    </w:p>
    <w:p w14:paraId="57660328" w14:textId="02E6B67A" w:rsidR="007725D7" w:rsidRDefault="00893F61" w:rsidP="004A0251">
      <w:pPr>
        <w:rPr>
          <w:rFonts w:cstheme="minorHAnsi"/>
        </w:rPr>
      </w:pPr>
      <w:r>
        <w:rPr>
          <w:rFonts w:cstheme="minorHAnsi"/>
        </w:rPr>
        <w:t>This could include targeted working groups at the levels below AESOC</w:t>
      </w:r>
      <w:r w:rsidR="00CE79C7">
        <w:rPr>
          <w:rFonts w:cstheme="minorHAnsi"/>
        </w:rPr>
        <w:t>, with a clear expectation of</w:t>
      </w:r>
      <w:r w:rsidR="00B31260">
        <w:rPr>
          <w:rFonts w:cstheme="minorHAnsi"/>
        </w:rPr>
        <w:t xml:space="preserve"> delivering a flexible range of options to Ministers, rather than a once-size-fits-all approach that cannot be agreed by all.</w:t>
      </w:r>
      <w:r w:rsidR="00845BFF">
        <w:rPr>
          <w:rFonts w:cstheme="minorHAnsi"/>
        </w:rPr>
        <w:t xml:space="preserve"> </w:t>
      </w:r>
    </w:p>
    <w:p w14:paraId="51F138F2" w14:textId="2D119E7D" w:rsidR="00B67DC8" w:rsidRPr="00AB7068" w:rsidRDefault="001626E8" w:rsidP="001626E8">
      <w:pPr>
        <w:rPr>
          <w:rFonts w:cstheme="minorHAnsi"/>
        </w:rPr>
      </w:pPr>
      <w:r>
        <w:rPr>
          <w:rFonts w:cstheme="minorHAnsi"/>
        </w:rPr>
        <w:t xml:space="preserve">In response to </w:t>
      </w:r>
      <w:r w:rsidR="00B67DC8" w:rsidRPr="00B67DC8">
        <w:rPr>
          <w:rFonts w:cstheme="minorHAnsi"/>
        </w:rPr>
        <w:t xml:space="preserve">Information </w:t>
      </w:r>
      <w:r>
        <w:rPr>
          <w:rFonts w:cstheme="minorHAnsi"/>
        </w:rPr>
        <w:t>R</w:t>
      </w:r>
      <w:r w:rsidR="00B67DC8" w:rsidRPr="00B67DC8">
        <w:rPr>
          <w:rFonts w:cstheme="minorHAnsi"/>
        </w:rPr>
        <w:t>equest 2.2</w:t>
      </w:r>
      <w:r>
        <w:rPr>
          <w:rFonts w:cstheme="minorHAnsi"/>
        </w:rPr>
        <w:t xml:space="preserve">, ESA would argue that </w:t>
      </w:r>
      <w:r w:rsidR="000E4BAA">
        <w:rPr>
          <w:rFonts w:cstheme="minorHAnsi"/>
        </w:rPr>
        <w:t>a</w:t>
      </w:r>
      <w:r w:rsidRPr="00AB7068">
        <w:rPr>
          <w:rFonts w:cstheme="minorHAnsi"/>
        </w:rPr>
        <w:t>djustments to governance, process and an increased focus on consultation would go a long way to addressing the concerns</w:t>
      </w:r>
      <w:r w:rsidR="000E4BAA">
        <w:rPr>
          <w:rFonts w:cstheme="minorHAnsi"/>
        </w:rPr>
        <w:t xml:space="preserve"> expressed </w:t>
      </w:r>
      <w:r w:rsidRPr="00AB7068">
        <w:rPr>
          <w:rFonts w:cstheme="minorHAnsi"/>
        </w:rPr>
        <w:t>that “Relying too much on NPIs that are a single solution to common issues has delayed reform outcomes.”</w:t>
      </w:r>
      <w:r w:rsidR="00B52E58">
        <w:rPr>
          <w:rStyle w:val="FootnoteReference"/>
          <w:rFonts w:cstheme="minorHAnsi"/>
        </w:rPr>
        <w:footnoteReference w:id="4"/>
      </w:r>
    </w:p>
    <w:p w14:paraId="1F2F4675" w14:textId="461B8FB3" w:rsidR="00AB7068" w:rsidRPr="00AB7068" w:rsidRDefault="0077209B" w:rsidP="00AB7068">
      <w:pPr>
        <w:rPr>
          <w:rFonts w:cstheme="minorHAnsi"/>
        </w:rPr>
      </w:pPr>
      <w:r>
        <w:rPr>
          <w:rFonts w:cstheme="minorHAnsi"/>
        </w:rPr>
        <w:t>ESA acknowledges (as per Draft Finding 2.2) that t</w:t>
      </w:r>
      <w:r w:rsidR="00AB7068" w:rsidRPr="00AB7068">
        <w:rPr>
          <w:rFonts w:cstheme="minorHAnsi"/>
        </w:rPr>
        <w:t>he A</w:t>
      </w:r>
      <w:r w:rsidR="002E03FB">
        <w:rPr>
          <w:rFonts w:cstheme="minorHAnsi"/>
        </w:rPr>
        <w:t>greement</w:t>
      </w:r>
      <w:r w:rsidR="00AB7068" w:rsidRPr="00AB7068">
        <w:rPr>
          <w:rFonts w:cstheme="minorHAnsi"/>
        </w:rPr>
        <w:t xml:space="preserve"> has </w:t>
      </w:r>
      <w:r w:rsidR="00FF6DC9" w:rsidRPr="00AB7068">
        <w:rPr>
          <w:rFonts w:cstheme="minorHAnsi"/>
        </w:rPr>
        <w:t>weaknesses but</w:t>
      </w:r>
      <w:r w:rsidR="00AB7068" w:rsidRPr="00AB7068">
        <w:rPr>
          <w:rFonts w:cstheme="minorHAnsi"/>
        </w:rPr>
        <w:t xml:space="preserve"> would submit that its objective to achieve NPI’s as </w:t>
      </w:r>
      <w:r w:rsidR="00407C96">
        <w:rPr>
          <w:rFonts w:cstheme="minorHAnsi"/>
        </w:rPr>
        <w:t xml:space="preserve">“a </w:t>
      </w:r>
      <w:r w:rsidR="00AB7068" w:rsidRPr="00AB7068">
        <w:rPr>
          <w:rFonts w:cstheme="minorHAnsi"/>
        </w:rPr>
        <w:t>single solution to common problems</w:t>
      </w:r>
      <w:r w:rsidR="00407C96">
        <w:rPr>
          <w:rFonts w:cstheme="minorHAnsi"/>
        </w:rPr>
        <w:t>”</w:t>
      </w:r>
      <w:r w:rsidR="00AB7068" w:rsidRPr="00AB7068">
        <w:rPr>
          <w:rFonts w:cstheme="minorHAnsi"/>
        </w:rPr>
        <w:t xml:space="preserve"> is not one of them. While not all objectives have been met and delivered as planned, there are some successes that lay the groundwork for further achievement in the next agreements. For example, the establishment of the Australian Education Research Organisation, while admittedly in its early days, lays the basis for addressing common issues with responses informed by the evidence, and by best practice.</w:t>
      </w:r>
    </w:p>
    <w:p w14:paraId="73AECACC" w14:textId="3CDC17E8" w:rsidR="00AB7068" w:rsidRPr="00AB7068" w:rsidRDefault="00AB7068" w:rsidP="00AB7068">
      <w:pPr>
        <w:rPr>
          <w:rFonts w:cstheme="minorHAnsi"/>
        </w:rPr>
      </w:pPr>
      <w:r w:rsidRPr="00AB7068">
        <w:rPr>
          <w:rFonts w:cstheme="minorHAnsi"/>
        </w:rPr>
        <w:t xml:space="preserve">The </w:t>
      </w:r>
      <w:r w:rsidR="007C10B9">
        <w:rPr>
          <w:rFonts w:cstheme="minorHAnsi"/>
        </w:rPr>
        <w:t xml:space="preserve">Agreement </w:t>
      </w:r>
      <w:r w:rsidRPr="00AB7068">
        <w:rPr>
          <w:rFonts w:cstheme="minorHAnsi"/>
        </w:rPr>
        <w:t>also rightly sought to</w:t>
      </w:r>
      <w:r w:rsidR="0016480B">
        <w:rPr>
          <w:rFonts w:cstheme="minorHAnsi"/>
        </w:rPr>
        <w:t xml:space="preserve"> support student learning and</w:t>
      </w:r>
      <w:r w:rsidRPr="00AB7068">
        <w:rPr>
          <w:rFonts w:cstheme="minorHAnsi"/>
        </w:rPr>
        <w:t xml:space="preserve"> improve national and local data sets through the </w:t>
      </w:r>
      <w:r w:rsidR="00CF79F1">
        <w:rPr>
          <w:rFonts w:cstheme="minorHAnsi"/>
        </w:rPr>
        <w:t xml:space="preserve">development of a </w:t>
      </w:r>
      <w:r w:rsidRPr="00AB7068">
        <w:rPr>
          <w:rFonts w:cstheme="minorHAnsi"/>
        </w:rPr>
        <w:t>USI. The fact this has not yet been achieved does not mean it cannot be achieved, particularly if governance and process</w:t>
      </w:r>
      <w:r w:rsidR="00CF79F1">
        <w:rPr>
          <w:rFonts w:cstheme="minorHAnsi"/>
        </w:rPr>
        <w:t xml:space="preserve"> issues </w:t>
      </w:r>
      <w:r w:rsidRPr="00AB7068">
        <w:rPr>
          <w:rFonts w:cstheme="minorHAnsi"/>
        </w:rPr>
        <w:t xml:space="preserve">are addressed. The fact that USIs are already in place </w:t>
      </w:r>
      <w:r w:rsidR="00CF79F1">
        <w:rPr>
          <w:rFonts w:cstheme="minorHAnsi"/>
        </w:rPr>
        <w:t xml:space="preserve">in many jurisdictions and </w:t>
      </w:r>
      <w:r w:rsidRPr="00AB7068">
        <w:rPr>
          <w:rFonts w:cstheme="minorHAnsi"/>
        </w:rPr>
        <w:t xml:space="preserve">for higher and tertiary education indicates that </w:t>
      </w:r>
      <w:r w:rsidR="00CF79F1">
        <w:rPr>
          <w:rFonts w:cstheme="minorHAnsi"/>
        </w:rPr>
        <w:t>the case for a national</w:t>
      </w:r>
      <w:r w:rsidRPr="00AB7068">
        <w:rPr>
          <w:rFonts w:cstheme="minorHAnsi"/>
        </w:rPr>
        <w:t xml:space="preserve"> USI is </w:t>
      </w:r>
      <w:r w:rsidR="00CF79F1">
        <w:rPr>
          <w:rFonts w:cstheme="minorHAnsi"/>
        </w:rPr>
        <w:t xml:space="preserve">strong and that the objective is </w:t>
      </w:r>
      <w:r w:rsidRPr="00AB7068">
        <w:rPr>
          <w:rFonts w:cstheme="minorHAnsi"/>
        </w:rPr>
        <w:t>achievable.</w:t>
      </w:r>
    </w:p>
    <w:p w14:paraId="2E93FB4D" w14:textId="4EF01891" w:rsidR="002A6C21" w:rsidRDefault="00AB7068" w:rsidP="00AB7068">
      <w:pPr>
        <w:rPr>
          <w:rFonts w:cstheme="minorHAnsi"/>
        </w:rPr>
      </w:pPr>
      <w:r w:rsidRPr="00AB7068">
        <w:rPr>
          <w:rFonts w:cstheme="minorHAnsi"/>
        </w:rPr>
        <w:t>Process design for the next agreement must include a strategy for addressing roadblocks, such as the data and privacy elements of the USI. While correctly described in the Interim Report as a “thorny issue,”</w:t>
      </w:r>
      <w:r w:rsidR="0047173A">
        <w:rPr>
          <w:rStyle w:val="FootnoteReference"/>
          <w:rFonts w:cstheme="minorHAnsi"/>
        </w:rPr>
        <w:footnoteReference w:id="5"/>
      </w:r>
      <w:r w:rsidRPr="00AB7068">
        <w:rPr>
          <w:rFonts w:cstheme="minorHAnsi"/>
        </w:rPr>
        <w:t xml:space="preserve"> the next Agreement must revisit the original reasons for this collective commitment, </w:t>
      </w:r>
      <w:r w:rsidR="0021319D">
        <w:rPr>
          <w:rFonts w:cstheme="minorHAnsi"/>
        </w:rPr>
        <w:t xml:space="preserve">as well as </w:t>
      </w:r>
      <w:r w:rsidRPr="00AB7068">
        <w:rPr>
          <w:rFonts w:cstheme="minorHAnsi"/>
        </w:rPr>
        <w:t xml:space="preserve">address the design and privacy concerns in a way that moves this important national tool forward. </w:t>
      </w:r>
      <w:r w:rsidR="002A6C21">
        <w:rPr>
          <w:rFonts w:cstheme="minorHAnsi"/>
        </w:rPr>
        <w:t xml:space="preserve">Looking to other areas where these issues have been addressed will assist progress, including the National Data Sharing Agreement that underpins the NAPLAN Online project and the bilateral agreements proposed to support utilisation of the Longitudinal Data Store. </w:t>
      </w:r>
    </w:p>
    <w:p w14:paraId="426FBC61" w14:textId="0A27A93B" w:rsidR="00AB7068" w:rsidRDefault="00AB7068" w:rsidP="00AB7068">
      <w:pPr>
        <w:rPr>
          <w:rFonts w:cstheme="minorHAnsi"/>
        </w:rPr>
      </w:pPr>
      <w:r w:rsidRPr="005C6F13">
        <w:rPr>
          <w:rFonts w:cstheme="minorHAnsi"/>
        </w:rPr>
        <w:t>Along with the OFAI, a renewed focus and determination would help deliver necessary tools to track and understand student performance. These were both initially agreed because of the valuable data they would provide to inform teaching practice and to instruct policy design going forward. These tools remain key to building the evidence needed to maximise learning growth and improve student outcomes</w:t>
      </w:r>
      <w:r w:rsidR="0089450B" w:rsidRPr="005C6F13">
        <w:rPr>
          <w:rFonts w:cstheme="minorHAnsi"/>
        </w:rPr>
        <w:t xml:space="preserve"> in the next Agreement</w:t>
      </w:r>
      <w:r w:rsidRPr="005C6F13">
        <w:rPr>
          <w:rFonts w:cstheme="minorHAnsi"/>
        </w:rPr>
        <w:t>.</w:t>
      </w:r>
    </w:p>
    <w:p w14:paraId="1C70807C" w14:textId="4DFE4E49" w:rsidR="001C2519" w:rsidRPr="001C2519" w:rsidRDefault="001C2519" w:rsidP="00AB7068">
      <w:pPr>
        <w:rPr>
          <w:rFonts w:cstheme="minorHAnsi"/>
          <w:b/>
          <w:bCs/>
        </w:rPr>
      </w:pPr>
      <w:r w:rsidRPr="00B13EBE">
        <w:rPr>
          <w:rFonts w:cstheme="minorHAnsi"/>
          <w:b/>
          <w:bCs/>
        </w:rPr>
        <w:t>Recommendation</w:t>
      </w:r>
      <w:r w:rsidR="005A689F">
        <w:rPr>
          <w:rFonts w:cstheme="minorHAnsi"/>
          <w:b/>
          <w:bCs/>
        </w:rPr>
        <w:t xml:space="preserve"> 1</w:t>
      </w:r>
      <w:r w:rsidRPr="00B13EBE">
        <w:rPr>
          <w:rFonts w:cstheme="minorHAnsi"/>
          <w:b/>
          <w:bCs/>
        </w:rPr>
        <w:t>: That the Productivity Commission further explores governance opportunities to drive consistency</w:t>
      </w:r>
      <w:r w:rsidR="00016F4F">
        <w:rPr>
          <w:rFonts w:cstheme="minorHAnsi"/>
          <w:b/>
          <w:bCs/>
        </w:rPr>
        <w:t xml:space="preserve">, </w:t>
      </w:r>
      <w:r w:rsidRPr="00B13EBE">
        <w:rPr>
          <w:rFonts w:cstheme="minorHAnsi"/>
          <w:b/>
          <w:bCs/>
        </w:rPr>
        <w:t>flexibility</w:t>
      </w:r>
      <w:r w:rsidR="00016F4F">
        <w:rPr>
          <w:rFonts w:cstheme="minorHAnsi"/>
          <w:b/>
          <w:bCs/>
        </w:rPr>
        <w:t xml:space="preserve"> and specifically address roadblocks</w:t>
      </w:r>
      <w:r w:rsidRPr="00B13EBE">
        <w:rPr>
          <w:rFonts w:cstheme="minorHAnsi"/>
          <w:b/>
          <w:bCs/>
        </w:rPr>
        <w:t>. The</w:t>
      </w:r>
      <w:r w:rsidR="00CA5FA6">
        <w:rPr>
          <w:rFonts w:cstheme="minorHAnsi"/>
          <w:b/>
          <w:bCs/>
        </w:rPr>
        <w:t>re is an</w:t>
      </w:r>
      <w:r w:rsidRPr="00B13EBE">
        <w:rPr>
          <w:rFonts w:cstheme="minorHAnsi"/>
          <w:b/>
          <w:bCs/>
        </w:rPr>
        <w:t xml:space="preserve"> </w:t>
      </w:r>
      <w:r w:rsidR="004818F7">
        <w:rPr>
          <w:rFonts w:cstheme="minorHAnsi"/>
          <w:b/>
          <w:bCs/>
        </w:rPr>
        <w:t xml:space="preserve">opportunity to review and revise </w:t>
      </w:r>
      <w:r>
        <w:rPr>
          <w:rFonts w:cstheme="minorHAnsi"/>
          <w:b/>
          <w:bCs/>
        </w:rPr>
        <w:t>processes behind</w:t>
      </w:r>
      <w:r w:rsidRPr="00B13EBE">
        <w:rPr>
          <w:rFonts w:cstheme="minorHAnsi"/>
          <w:b/>
          <w:bCs/>
        </w:rPr>
        <w:t xml:space="preserve"> Education Ministers Meeting</w:t>
      </w:r>
      <w:r>
        <w:rPr>
          <w:rFonts w:cstheme="minorHAnsi"/>
          <w:b/>
          <w:bCs/>
        </w:rPr>
        <w:t>s</w:t>
      </w:r>
      <w:r w:rsidRPr="00B13EBE">
        <w:rPr>
          <w:rFonts w:cstheme="minorHAnsi"/>
          <w:b/>
          <w:bCs/>
        </w:rPr>
        <w:t xml:space="preserve"> </w:t>
      </w:r>
      <w:r w:rsidR="00CA5FA6">
        <w:rPr>
          <w:rFonts w:cstheme="minorHAnsi"/>
          <w:b/>
          <w:bCs/>
        </w:rPr>
        <w:t>in ways that foster progress and accountability</w:t>
      </w:r>
      <w:r w:rsidR="008415B3">
        <w:rPr>
          <w:rFonts w:cstheme="minorHAnsi"/>
          <w:b/>
          <w:bCs/>
        </w:rPr>
        <w:t>,</w:t>
      </w:r>
      <w:r w:rsidR="00CA5FA6">
        <w:rPr>
          <w:rFonts w:cstheme="minorHAnsi"/>
          <w:b/>
          <w:bCs/>
        </w:rPr>
        <w:t xml:space="preserve"> </w:t>
      </w:r>
      <w:r>
        <w:rPr>
          <w:rFonts w:cstheme="minorHAnsi"/>
          <w:b/>
          <w:bCs/>
        </w:rPr>
        <w:t xml:space="preserve">with </w:t>
      </w:r>
      <w:r w:rsidRPr="00B13EBE">
        <w:rPr>
          <w:rFonts w:cstheme="minorHAnsi"/>
          <w:b/>
          <w:bCs/>
        </w:rPr>
        <w:t xml:space="preserve">the objective of providing Ministers </w:t>
      </w:r>
      <w:r w:rsidR="0070367A">
        <w:rPr>
          <w:rFonts w:cstheme="minorHAnsi"/>
          <w:b/>
          <w:bCs/>
        </w:rPr>
        <w:t xml:space="preserve">a range of flexible </w:t>
      </w:r>
      <w:r w:rsidRPr="00B13EBE">
        <w:rPr>
          <w:rFonts w:cstheme="minorHAnsi"/>
          <w:b/>
          <w:bCs/>
        </w:rPr>
        <w:t xml:space="preserve">solutions for discussion at their meetings. </w:t>
      </w:r>
    </w:p>
    <w:p w14:paraId="450268BC" w14:textId="1F85F3BC" w:rsidR="00067659" w:rsidRPr="00562F8D" w:rsidRDefault="00B3558D" w:rsidP="00067659">
      <w:pPr>
        <w:pStyle w:val="Heading2"/>
        <w:spacing w:after="120"/>
        <w:rPr>
          <w:rFonts w:cstheme="majorHAnsi"/>
          <w:b/>
          <w:bCs/>
          <w:sz w:val="20"/>
          <w:szCs w:val="20"/>
        </w:rPr>
      </w:pPr>
      <w:r w:rsidRPr="00562F8D">
        <w:rPr>
          <w:rFonts w:cstheme="majorHAnsi"/>
          <w:b/>
          <w:bCs/>
          <w:sz w:val="20"/>
          <w:szCs w:val="20"/>
        </w:rPr>
        <w:t xml:space="preserve">Outstanding initiatives from </w:t>
      </w:r>
      <w:r w:rsidR="00067659" w:rsidRPr="00562F8D">
        <w:rPr>
          <w:rFonts w:cstheme="majorHAnsi"/>
          <w:b/>
          <w:bCs/>
          <w:sz w:val="20"/>
          <w:szCs w:val="20"/>
        </w:rPr>
        <w:t xml:space="preserve">the first Agreement need to be resolved </w:t>
      </w:r>
    </w:p>
    <w:p w14:paraId="378EAC6E" w14:textId="76C88E6E" w:rsidR="00016F4F" w:rsidRPr="00B713C1" w:rsidRDefault="00016F4F" w:rsidP="004A0251">
      <w:pPr>
        <w:rPr>
          <w:rFonts w:cstheme="minorHAnsi"/>
        </w:rPr>
      </w:pPr>
      <w:r w:rsidRPr="00B713C1">
        <w:rPr>
          <w:rFonts w:cstheme="minorHAnsi"/>
        </w:rPr>
        <w:t xml:space="preserve">ESA supports </w:t>
      </w:r>
      <w:r w:rsidR="00D9310A">
        <w:rPr>
          <w:rFonts w:cstheme="minorHAnsi"/>
        </w:rPr>
        <w:t>the Commission’s view</w:t>
      </w:r>
      <w:r w:rsidRPr="00B713C1">
        <w:rPr>
          <w:rFonts w:cstheme="minorHAnsi"/>
        </w:rPr>
        <w:t xml:space="preserve"> that </w:t>
      </w:r>
      <w:r w:rsidR="00641F89" w:rsidRPr="00B713C1">
        <w:rPr>
          <w:rFonts w:cstheme="minorHAnsi"/>
        </w:rPr>
        <w:t>governments need to address the design of the USI o</w:t>
      </w:r>
      <w:r w:rsidR="003D3594" w:rsidRPr="00B713C1">
        <w:rPr>
          <w:rFonts w:cstheme="minorHAnsi"/>
        </w:rPr>
        <w:t xml:space="preserve">r explain </w:t>
      </w:r>
      <w:r w:rsidR="008154C8">
        <w:rPr>
          <w:rFonts w:cstheme="minorHAnsi"/>
        </w:rPr>
        <w:t>“</w:t>
      </w:r>
      <w:r w:rsidR="003D3594" w:rsidRPr="00B713C1">
        <w:rPr>
          <w:rFonts w:cstheme="minorHAnsi"/>
        </w:rPr>
        <w:t>why the project has failed</w:t>
      </w:r>
      <w:r w:rsidR="008154C8">
        <w:rPr>
          <w:rFonts w:cstheme="minorHAnsi"/>
        </w:rPr>
        <w:t>.”</w:t>
      </w:r>
      <w:r w:rsidR="00D9310A">
        <w:rPr>
          <w:rStyle w:val="FootnoteReference"/>
          <w:rFonts w:cstheme="minorHAnsi"/>
        </w:rPr>
        <w:footnoteReference w:id="6"/>
      </w:r>
      <w:r w:rsidR="00480858">
        <w:rPr>
          <w:rFonts w:cstheme="minorHAnsi"/>
        </w:rPr>
        <w:t xml:space="preserve"> The case for collaboration remains strong on the USI and the OFAI.</w:t>
      </w:r>
    </w:p>
    <w:p w14:paraId="2015BF38" w14:textId="26A8A514" w:rsidR="00697209" w:rsidRDefault="003D3594" w:rsidP="004A0251">
      <w:r>
        <w:t xml:space="preserve">Similarly, </w:t>
      </w:r>
      <w:r w:rsidR="00674219">
        <w:t xml:space="preserve">there remain opportunities to be realised </w:t>
      </w:r>
      <w:r w:rsidR="00AA6D45">
        <w:t>through the implementation of recommendations put forward by</w:t>
      </w:r>
      <w:r w:rsidR="009317D7">
        <w:rPr>
          <w:rFonts w:cstheme="minorHAnsi"/>
        </w:rPr>
        <w:t xml:space="preserve"> Peter Shergold’s Review into Senior Secondary Pathways</w:t>
      </w:r>
      <w:r w:rsidR="007F022E">
        <w:rPr>
          <w:rFonts w:cstheme="minorHAnsi"/>
        </w:rPr>
        <w:t xml:space="preserve">. </w:t>
      </w:r>
      <w:r w:rsidR="00771009">
        <w:t>The Report</w:t>
      </w:r>
      <w:r w:rsidR="008A5DFD">
        <w:t xml:space="preserve">, </w:t>
      </w:r>
      <w:r w:rsidR="00AE0318" w:rsidRPr="00B713C1">
        <w:rPr>
          <w:i/>
          <w:iCs/>
        </w:rPr>
        <w:t>Looking to the Future</w:t>
      </w:r>
      <w:r w:rsidR="001438D1">
        <w:rPr>
          <w:i/>
          <w:iCs/>
        </w:rPr>
        <w:t>,</w:t>
      </w:r>
      <w:r w:rsidR="001438D1" w:rsidRPr="00B713C1">
        <w:t xml:space="preserve"> rightly</w:t>
      </w:r>
      <w:r w:rsidR="002737AD">
        <w:t xml:space="preserve"> drew on the experience of online learning during COVID to </w:t>
      </w:r>
      <w:r w:rsidR="00CC2965">
        <w:t xml:space="preserve">inform its </w:t>
      </w:r>
      <w:r w:rsidR="00A15908">
        <w:t xml:space="preserve">findings and </w:t>
      </w:r>
      <w:r w:rsidR="00CC2965">
        <w:t xml:space="preserve">recommendations on accessible career advice and work experience. </w:t>
      </w:r>
      <w:r w:rsidR="008A5DFD">
        <w:t xml:space="preserve">It recognised that </w:t>
      </w:r>
      <w:r w:rsidR="00CE74E0">
        <w:t>up</w:t>
      </w:r>
      <w:r w:rsidR="008A5DFD">
        <w:t>-</w:t>
      </w:r>
      <w:r w:rsidR="00CE74E0">
        <w:t>to</w:t>
      </w:r>
      <w:r w:rsidR="008A5DFD">
        <w:t>-</w:t>
      </w:r>
      <w:r w:rsidR="00CE74E0">
        <w:t>date</w:t>
      </w:r>
      <w:r w:rsidR="00173BB7">
        <w:t xml:space="preserve"> online information</w:t>
      </w:r>
      <w:r w:rsidR="00485AFD">
        <w:t>, from a trusted source,</w:t>
      </w:r>
      <w:r w:rsidR="00173BB7">
        <w:t xml:space="preserve"> c</w:t>
      </w:r>
      <w:r w:rsidR="00485AFD">
        <w:t xml:space="preserve">an help </w:t>
      </w:r>
      <w:r w:rsidR="00173BB7">
        <w:t xml:space="preserve">inform </w:t>
      </w:r>
      <w:r w:rsidR="00A41CE5">
        <w:t xml:space="preserve">student career deliberations and </w:t>
      </w:r>
      <w:r w:rsidR="00173BB7">
        <w:t>decision making</w:t>
      </w:r>
      <w:r w:rsidR="0092080B">
        <w:rPr>
          <w:rStyle w:val="FootnoteReference"/>
        </w:rPr>
        <w:footnoteReference w:id="7"/>
      </w:r>
      <w:r w:rsidR="00485AFD">
        <w:t>.</w:t>
      </w:r>
    </w:p>
    <w:p w14:paraId="01D05FC3" w14:textId="20BC1C5B" w:rsidR="0097032F" w:rsidRDefault="005E0386" w:rsidP="004A0251">
      <w:pPr>
        <w:rPr>
          <w:rFonts w:cstheme="minorHAnsi"/>
        </w:rPr>
      </w:pPr>
      <w:r w:rsidRPr="0093147B">
        <w:t xml:space="preserve">The ambition to </w:t>
      </w:r>
      <w:r w:rsidR="004A0E36" w:rsidRPr="0093147B">
        <w:t>help address gaps in career advice, exploration and experience through digital technologies is achievable.</w:t>
      </w:r>
      <w:r w:rsidR="00E4626F" w:rsidRPr="0093147B">
        <w:t xml:space="preserve"> </w:t>
      </w:r>
      <w:r w:rsidR="0097032F" w:rsidRPr="0093147B">
        <w:rPr>
          <w:rFonts w:cstheme="minorHAnsi"/>
        </w:rPr>
        <w:t xml:space="preserve">ESA can support governments </w:t>
      </w:r>
      <w:r w:rsidR="00FD3547" w:rsidRPr="0093147B">
        <w:rPr>
          <w:rFonts w:cstheme="minorHAnsi"/>
        </w:rPr>
        <w:t>to</w:t>
      </w:r>
      <w:r w:rsidR="0097032F" w:rsidRPr="0093147B">
        <w:rPr>
          <w:rFonts w:cstheme="minorHAnsi"/>
        </w:rPr>
        <w:t xml:space="preserve"> </w:t>
      </w:r>
      <w:r w:rsidR="00E9138C">
        <w:rPr>
          <w:rFonts w:cstheme="minorHAnsi"/>
        </w:rPr>
        <w:t>implement this</w:t>
      </w:r>
      <w:r w:rsidR="0097032F" w:rsidRPr="0093147B">
        <w:rPr>
          <w:rFonts w:cstheme="minorHAnsi"/>
        </w:rPr>
        <w:t xml:space="preserve"> by expanding the purpose,</w:t>
      </w:r>
      <w:r w:rsidR="0097032F">
        <w:rPr>
          <w:rFonts w:cstheme="minorHAnsi"/>
        </w:rPr>
        <w:t xml:space="preserve"> reach and utilisation of </w:t>
      </w:r>
      <w:r w:rsidR="0097032F" w:rsidRPr="00464EEB">
        <w:rPr>
          <w:rFonts w:cstheme="minorHAnsi"/>
        </w:rPr>
        <w:t>myfuture.edu.au</w:t>
      </w:r>
      <w:r w:rsidR="00F721C0">
        <w:rPr>
          <w:rFonts w:cstheme="minorHAnsi"/>
        </w:rPr>
        <w:t>, which</w:t>
      </w:r>
      <w:r w:rsidR="00253699">
        <w:rPr>
          <w:rFonts w:cstheme="minorHAnsi"/>
        </w:rPr>
        <w:t xml:space="preserve"> is an important part of the </w:t>
      </w:r>
      <w:r w:rsidR="006141C9">
        <w:rPr>
          <w:rFonts w:cstheme="minorHAnsi"/>
        </w:rPr>
        <w:t xml:space="preserve">existing </w:t>
      </w:r>
      <w:r w:rsidR="0097032F" w:rsidRPr="00464EEB">
        <w:rPr>
          <w:rFonts w:cstheme="minorHAnsi"/>
        </w:rPr>
        <w:t>national career guidance ecosystem</w:t>
      </w:r>
      <w:r w:rsidR="00253699">
        <w:rPr>
          <w:rFonts w:cstheme="minorHAnsi"/>
        </w:rPr>
        <w:t xml:space="preserve"> and </w:t>
      </w:r>
      <w:r w:rsidR="00613F89">
        <w:rPr>
          <w:rFonts w:cstheme="minorHAnsi"/>
        </w:rPr>
        <w:t xml:space="preserve">plays a significant role in assisting </w:t>
      </w:r>
      <w:r w:rsidR="0097032F" w:rsidRPr="00464EEB">
        <w:rPr>
          <w:rFonts w:cstheme="minorHAnsi"/>
        </w:rPr>
        <w:t>career practitioners, students and their parents</w:t>
      </w:r>
      <w:r w:rsidR="00253699">
        <w:rPr>
          <w:rFonts w:cstheme="minorHAnsi"/>
        </w:rPr>
        <w:t>.</w:t>
      </w:r>
    </w:p>
    <w:p w14:paraId="31F67204" w14:textId="09CD75C3" w:rsidR="0097032F" w:rsidRPr="003D68F9" w:rsidRDefault="00E839E1" w:rsidP="004A0251">
      <w:pPr>
        <w:rPr>
          <w:rFonts w:cstheme="minorHAnsi"/>
        </w:rPr>
      </w:pPr>
      <w:r>
        <w:rPr>
          <w:rFonts w:cstheme="minorHAnsi"/>
        </w:rPr>
        <w:t>E</w:t>
      </w:r>
      <w:r w:rsidRPr="00CB6E85">
        <w:rPr>
          <w:rFonts w:cstheme="minorHAnsi"/>
        </w:rPr>
        <w:t xml:space="preserve">SA has </w:t>
      </w:r>
      <w:r>
        <w:rPr>
          <w:rFonts w:cstheme="minorHAnsi"/>
        </w:rPr>
        <w:t xml:space="preserve">also </w:t>
      </w:r>
      <w:r w:rsidRPr="00CB6E85">
        <w:rPr>
          <w:rFonts w:cstheme="minorHAnsi"/>
        </w:rPr>
        <w:t xml:space="preserve">explored the requirements and options for advancing the use of the virtual work exposure in Australian secondary classrooms. </w:t>
      </w:r>
      <w:r>
        <w:rPr>
          <w:rFonts w:cstheme="minorHAnsi"/>
        </w:rPr>
        <w:t>A</w:t>
      </w:r>
      <w:r w:rsidRPr="00CB6E85">
        <w:rPr>
          <w:rFonts w:cstheme="minorHAnsi"/>
        </w:rPr>
        <w:t>fter gathering a deep understanding of the requirements and needs of policy makers, department coordinators career practitioners, students and parents in a discovery phase</w:t>
      </w:r>
      <w:r w:rsidR="00653A88">
        <w:rPr>
          <w:rFonts w:cstheme="minorHAnsi"/>
        </w:rPr>
        <w:t>,</w:t>
      </w:r>
      <w:r w:rsidRPr="00CB6E85">
        <w:rPr>
          <w:rFonts w:cstheme="minorHAnsi"/>
        </w:rPr>
        <w:t xml:space="preserve"> </w:t>
      </w:r>
      <w:r w:rsidR="00674A78">
        <w:rPr>
          <w:rFonts w:cstheme="minorHAnsi"/>
        </w:rPr>
        <w:t xml:space="preserve">ESA is also </w:t>
      </w:r>
      <w:r w:rsidR="00820B05">
        <w:rPr>
          <w:rFonts w:cstheme="minorHAnsi"/>
        </w:rPr>
        <w:t>exploring the opportunity to undertake</w:t>
      </w:r>
      <w:r w:rsidR="00820B05" w:rsidRPr="00820B05">
        <w:t xml:space="preserve"> </w:t>
      </w:r>
      <w:r w:rsidR="00820B05">
        <w:t>a pilot of WorkXP</w:t>
      </w:r>
      <w:r w:rsidR="00653A88">
        <w:t>. This would provide</w:t>
      </w:r>
      <w:r w:rsidR="00695C2B">
        <w:t xml:space="preserve"> </w:t>
      </w:r>
      <w:r w:rsidR="00820B05">
        <w:t>a virtual work exposure platform to connect Australian school students with selected virtual work experiences</w:t>
      </w:r>
      <w:r w:rsidR="00695C2B">
        <w:t xml:space="preserve">. The program would be designed to </w:t>
      </w:r>
      <w:r w:rsidR="00820B05">
        <w:t xml:space="preserve">cater for </w:t>
      </w:r>
      <w:r w:rsidR="00A51A0C">
        <w:t xml:space="preserve">individual </w:t>
      </w:r>
      <w:r w:rsidR="00820B05">
        <w:t>student aspiration</w:t>
      </w:r>
      <w:r w:rsidR="00A51A0C">
        <w:t>s</w:t>
      </w:r>
      <w:r w:rsidR="003E5A4D">
        <w:t>,</w:t>
      </w:r>
      <w:r w:rsidR="00820B05">
        <w:t xml:space="preserve"> regardless of location or </w:t>
      </w:r>
      <w:r w:rsidR="000F46FE">
        <w:t>socio-economic</w:t>
      </w:r>
      <w:r w:rsidR="00820B05">
        <w:t xml:space="preserve"> status.</w:t>
      </w:r>
      <w:r>
        <w:t xml:space="preserve"> </w:t>
      </w:r>
      <w:r w:rsidR="0097032F" w:rsidRPr="00CB6E85">
        <w:rPr>
          <w:rFonts w:cstheme="minorHAnsi"/>
        </w:rPr>
        <w:t>ESA has explored the potential options for implementation in an Alpha (Prototyping) phase and tested a potential solution with Career practitioners and students.</w:t>
      </w:r>
    </w:p>
    <w:p w14:paraId="13B6F5B2" w14:textId="497AD4CA" w:rsidR="00660025" w:rsidRDefault="00587D2B" w:rsidP="004A0251">
      <w:pPr>
        <w:rPr>
          <w:rFonts w:cstheme="minorHAnsi"/>
        </w:rPr>
      </w:pPr>
      <w:r>
        <w:rPr>
          <w:rFonts w:cstheme="minorHAnsi"/>
        </w:rPr>
        <w:t>The Report’s ambition to provide accessible career advice</w:t>
      </w:r>
      <w:r w:rsidR="00EA7BC5">
        <w:rPr>
          <w:rFonts w:cstheme="minorHAnsi"/>
        </w:rPr>
        <w:t xml:space="preserve"> and work experience</w:t>
      </w:r>
      <w:r w:rsidR="00C94F4B">
        <w:rPr>
          <w:rFonts w:cstheme="minorHAnsi"/>
        </w:rPr>
        <w:t xml:space="preserve"> can be achieved through </w:t>
      </w:r>
      <w:r w:rsidR="002E6688">
        <w:rPr>
          <w:rFonts w:cstheme="minorHAnsi"/>
        </w:rPr>
        <w:t xml:space="preserve">an expansion of existing </w:t>
      </w:r>
      <w:r w:rsidR="00C94F4B">
        <w:rPr>
          <w:rFonts w:cstheme="minorHAnsi"/>
        </w:rPr>
        <w:t>ESA infrastructure</w:t>
      </w:r>
      <w:r w:rsidR="00EA7BC5">
        <w:rPr>
          <w:rFonts w:cstheme="minorHAnsi"/>
        </w:rPr>
        <w:t>.</w:t>
      </w:r>
      <w:r w:rsidR="00C66804">
        <w:rPr>
          <w:rFonts w:cstheme="minorHAnsi"/>
        </w:rPr>
        <w:t xml:space="preserve"> </w:t>
      </w:r>
    </w:p>
    <w:p w14:paraId="10BC6822" w14:textId="3EB0CA2A" w:rsidR="006738E6" w:rsidRPr="00B713C1" w:rsidRDefault="006738E6" w:rsidP="004A0251">
      <w:pPr>
        <w:rPr>
          <w:rFonts w:cstheme="minorHAnsi"/>
          <w:b/>
          <w:bCs/>
        </w:rPr>
      </w:pPr>
      <w:r w:rsidRPr="00B13EBE">
        <w:rPr>
          <w:rFonts w:cstheme="minorHAnsi"/>
          <w:b/>
          <w:bCs/>
        </w:rPr>
        <w:t>Recommendation</w:t>
      </w:r>
      <w:r w:rsidR="00065971">
        <w:rPr>
          <w:rFonts w:cstheme="minorHAnsi"/>
          <w:b/>
          <w:bCs/>
        </w:rPr>
        <w:t xml:space="preserve"> 2</w:t>
      </w:r>
      <w:r w:rsidRPr="00B13EBE">
        <w:rPr>
          <w:rFonts w:cstheme="minorHAnsi"/>
          <w:b/>
          <w:bCs/>
        </w:rPr>
        <w:t xml:space="preserve">: That </w:t>
      </w:r>
      <w:r w:rsidR="00E95B58">
        <w:rPr>
          <w:rFonts w:cstheme="minorHAnsi"/>
          <w:b/>
          <w:bCs/>
        </w:rPr>
        <w:t xml:space="preserve">Governments address the Senior Secondary </w:t>
      </w:r>
      <w:r w:rsidR="00B41B52">
        <w:rPr>
          <w:rFonts w:cstheme="minorHAnsi"/>
          <w:b/>
          <w:bCs/>
        </w:rPr>
        <w:t>w</w:t>
      </w:r>
      <w:r w:rsidR="00E95B58">
        <w:rPr>
          <w:rFonts w:cstheme="minorHAnsi"/>
          <w:b/>
          <w:bCs/>
        </w:rPr>
        <w:t xml:space="preserve">ork and revisit practical steps to realise its recommendations, </w:t>
      </w:r>
      <w:r w:rsidR="00E95B58" w:rsidRPr="00065971">
        <w:rPr>
          <w:rFonts w:cstheme="minorHAnsi"/>
          <w:b/>
          <w:bCs/>
        </w:rPr>
        <w:t xml:space="preserve">particularly around </w:t>
      </w:r>
      <w:r w:rsidR="00322790" w:rsidRPr="00065971">
        <w:rPr>
          <w:rFonts w:cstheme="minorHAnsi"/>
          <w:b/>
          <w:bCs/>
        </w:rPr>
        <w:t xml:space="preserve">delivering </w:t>
      </w:r>
      <w:r w:rsidR="0042455C" w:rsidRPr="00065971">
        <w:rPr>
          <w:rFonts w:cstheme="minorHAnsi"/>
          <w:b/>
          <w:bCs/>
        </w:rPr>
        <w:t xml:space="preserve">digital </w:t>
      </w:r>
      <w:r w:rsidR="00322790" w:rsidRPr="00065971">
        <w:rPr>
          <w:rFonts w:cstheme="minorHAnsi"/>
          <w:b/>
          <w:bCs/>
        </w:rPr>
        <w:t>career advice and experience</w:t>
      </w:r>
      <w:r w:rsidR="00492B93" w:rsidRPr="00065971">
        <w:rPr>
          <w:rFonts w:cstheme="minorHAnsi"/>
          <w:b/>
          <w:bCs/>
        </w:rPr>
        <w:t xml:space="preserve">s to increase </w:t>
      </w:r>
      <w:r w:rsidR="00C50E0D" w:rsidRPr="00065971">
        <w:rPr>
          <w:rFonts w:cstheme="minorHAnsi"/>
          <w:b/>
          <w:bCs/>
        </w:rPr>
        <w:t xml:space="preserve">equity and </w:t>
      </w:r>
      <w:r w:rsidR="00492B93" w:rsidRPr="00065971">
        <w:rPr>
          <w:rFonts w:cstheme="minorHAnsi"/>
          <w:b/>
          <w:bCs/>
        </w:rPr>
        <w:t>accessibility</w:t>
      </w:r>
      <w:r w:rsidR="00322790" w:rsidRPr="00065971">
        <w:rPr>
          <w:rFonts w:cstheme="minorHAnsi"/>
          <w:b/>
          <w:bCs/>
        </w:rPr>
        <w:t>.</w:t>
      </w:r>
    </w:p>
    <w:p w14:paraId="6B91E369" w14:textId="27881204" w:rsidR="007A1E57" w:rsidRPr="00562F8D" w:rsidRDefault="00C37329" w:rsidP="00B713C1">
      <w:pPr>
        <w:pStyle w:val="Heading2"/>
        <w:spacing w:after="120"/>
        <w:rPr>
          <w:rFonts w:cstheme="majorHAnsi"/>
          <w:b/>
          <w:bCs/>
          <w:sz w:val="20"/>
          <w:szCs w:val="20"/>
        </w:rPr>
      </w:pPr>
      <w:r w:rsidRPr="00562F8D">
        <w:rPr>
          <w:rFonts w:cstheme="majorHAnsi"/>
          <w:b/>
          <w:bCs/>
          <w:sz w:val="20"/>
          <w:szCs w:val="20"/>
        </w:rPr>
        <w:t>C</w:t>
      </w:r>
      <w:r w:rsidR="009A2C31" w:rsidRPr="00562F8D">
        <w:rPr>
          <w:rFonts w:cstheme="majorHAnsi"/>
          <w:b/>
          <w:bCs/>
          <w:sz w:val="20"/>
          <w:szCs w:val="20"/>
        </w:rPr>
        <w:t xml:space="preserve">o-design </w:t>
      </w:r>
      <w:r w:rsidRPr="00562F8D">
        <w:rPr>
          <w:rFonts w:cstheme="majorHAnsi"/>
          <w:b/>
          <w:bCs/>
          <w:sz w:val="20"/>
          <w:szCs w:val="20"/>
        </w:rPr>
        <w:t>can</w:t>
      </w:r>
      <w:r w:rsidR="009A2C31" w:rsidRPr="00562F8D">
        <w:rPr>
          <w:rFonts w:cstheme="majorHAnsi"/>
          <w:b/>
          <w:bCs/>
          <w:sz w:val="20"/>
          <w:szCs w:val="20"/>
        </w:rPr>
        <w:t xml:space="preserve"> align</w:t>
      </w:r>
      <w:r w:rsidR="00986FFE" w:rsidRPr="00562F8D">
        <w:rPr>
          <w:rFonts w:cstheme="majorHAnsi"/>
          <w:b/>
          <w:bCs/>
          <w:sz w:val="20"/>
          <w:szCs w:val="20"/>
        </w:rPr>
        <w:t xml:space="preserve"> policy intentions </w:t>
      </w:r>
      <w:r w:rsidR="009A2C31" w:rsidRPr="00562F8D">
        <w:rPr>
          <w:rFonts w:cstheme="majorHAnsi"/>
          <w:b/>
          <w:bCs/>
          <w:sz w:val="20"/>
          <w:szCs w:val="20"/>
        </w:rPr>
        <w:t xml:space="preserve">with practical </w:t>
      </w:r>
      <w:r w:rsidR="00986FFE" w:rsidRPr="00562F8D">
        <w:rPr>
          <w:rFonts w:cstheme="majorHAnsi"/>
          <w:b/>
          <w:bCs/>
          <w:sz w:val="20"/>
          <w:szCs w:val="20"/>
        </w:rPr>
        <w:t>implementation</w:t>
      </w:r>
    </w:p>
    <w:p w14:paraId="6BFD9964" w14:textId="24BC6C42" w:rsidR="00262087" w:rsidRDefault="007D083A" w:rsidP="004A0251">
      <w:pPr>
        <w:rPr>
          <w:rFonts w:cstheme="minorHAnsi"/>
        </w:rPr>
      </w:pPr>
      <w:r>
        <w:rPr>
          <w:rFonts w:cstheme="minorHAnsi"/>
        </w:rPr>
        <w:t xml:space="preserve">The reform priorities in the next agreement must be drawn from the lived experience of education leaders, teachers and the broader school sector and communities. </w:t>
      </w:r>
    </w:p>
    <w:p w14:paraId="761652DB" w14:textId="7B511ED1" w:rsidR="00427E50" w:rsidRDefault="007D083A" w:rsidP="004A0251">
      <w:pPr>
        <w:rPr>
          <w:rFonts w:cstheme="minorHAnsi"/>
        </w:rPr>
      </w:pPr>
      <w:r>
        <w:rPr>
          <w:rFonts w:cstheme="minorHAnsi"/>
        </w:rPr>
        <w:t>Th</w:t>
      </w:r>
      <w:r w:rsidR="00262087">
        <w:rPr>
          <w:rFonts w:cstheme="minorHAnsi"/>
        </w:rPr>
        <w:t>e Terms of Reference for this R</w:t>
      </w:r>
      <w:r>
        <w:rPr>
          <w:rFonts w:cstheme="minorHAnsi"/>
        </w:rPr>
        <w:t xml:space="preserve">eview </w:t>
      </w:r>
      <w:r w:rsidR="00262087">
        <w:rPr>
          <w:rFonts w:cstheme="minorHAnsi"/>
        </w:rPr>
        <w:t>rightly set high expectations for consultation</w:t>
      </w:r>
      <w:r w:rsidR="00606782">
        <w:rPr>
          <w:rFonts w:cstheme="minorHAnsi"/>
        </w:rPr>
        <w:t xml:space="preserve">, which have yielded valuable insights throughout the </w:t>
      </w:r>
      <w:r w:rsidR="00924AAA">
        <w:rPr>
          <w:rFonts w:cstheme="minorHAnsi"/>
        </w:rPr>
        <w:t>I</w:t>
      </w:r>
      <w:r w:rsidR="00606782">
        <w:rPr>
          <w:rFonts w:cstheme="minorHAnsi"/>
        </w:rPr>
        <w:t xml:space="preserve">nterim </w:t>
      </w:r>
      <w:r w:rsidR="00924AAA">
        <w:rPr>
          <w:rFonts w:cstheme="minorHAnsi"/>
        </w:rPr>
        <w:t>R</w:t>
      </w:r>
      <w:r w:rsidR="00606782">
        <w:rPr>
          <w:rFonts w:cstheme="minorHAnsi"/>
        </w:rPr>
        <w:t>eport</w:t>
      </w:r>
      <w:r w:rsidR="00743ABA">
        <w:rPr>
          <w:rFonts w:cstheme="minorHAnsi"/>
        </w:rPr>
        <w:t xml:space="preserve"> (</w:t>
      </w:r>
      <w:r w:rsidR="00A2488C">
        <w:rPr>
          <w:rFonts w:cstheme="minorHAnsi"/>
        </w:rPr>
        <w:t xml:space="preserve">particularly with regard to </w:t>
      </w:r>
      <w:r w:rsidR="00112C57">
        <w:rPr>
          <w:rFonts w:cstheme="minorHAnsi"/>
        </w:rPr>
        <w:t>Aboriginal</w:t>
      </w:r>
      <w:r w:rsidR="00427E50">
        <w:rPr>
          <w:rFonts w:cstheme="minorHAnsi"/>
        </w:rPr>
        <w:t xml:space="preserve"> and Torres Strait Islander communitie</w:t>
      </w:r>
      <w:r w:rsidR="00B3558D">
        <w:rPr>
          <w:rFonts w:cstheme="minorHAnsi"/>
        </w:rPr>
        <w:t>s</w:t>
      </w:r>
      <w:r w:rsidR="00427E50">
        <w:rPr>
          <w:rFonts w:cstheme="minorHAnsi"/>
        </w:rPr>
        <w:t xml:space="preserve"> and students with a disability)</w:t>
      </w:r>
      <w:r w:rsidR="00606782">
        <w:rPr>
          <w:rFonts w:cstheme="minorHAnsi"/>
        </w:rPr>
        <w:t xml:space="preserve">. </w:t>
      </w:r>
    </w:p>
    <w:p w14:paraId="7A406B4B" w14:textId="708F1B69" w:rsidR="00E932F7" w:rsidRDefault="00B36B0B" w:rsidP="004A0251">
      <w:pPr>
        <w:rPr>
          <w:rFonts w:cstheme="minorHAnsi"/>
        </w:rPr>
      </w:pPr>
      <w:r>
        <w:rPr>
          <w:rFonts w:cstheme="minorHAnsi"/>
        </w:rPr>
        <w:t>This focus on consultation needs to continue as the Agreement, and its reform priorities, are progressed</w:t>
      </w:r>
      <w:r w:rsidR="00A44156">
        <w:rPr>
          <w:rFonts w:cstheme="minorHAnsi"/>
        </w:rPr>
        <w:t xml:space="preserve">, </w:t>
      </w:r>
      <w:r>
        <w:rPr>
          <w:rFonts w:cstheme="minorHAnsi"/>
        </w:rPr>
        <w:t>refined</w:t>
      </w:r>
      <w:r w:rsidR="00A44156">
        <w:rPr>
          <w:rFonts w:cstheme="minorHAnsi"/>
        </w:rPr>
        <w:t xml:space="preserve"> and defined</w:t>
      </w:r>
      <w:r>
        <w:rPr>
          <w:rFonts w:cstheme="minorHAnsi"/>
        </w:rPr>
        <w:t xml:space="preserve">. </w:t>
      </w:r>
      <w:r w:rsidR="00B22563" w:rsidRPr="005E018E">
        <w:rPr>
          <w:rFonts w:cstheme="minorHAnsi"/>
        </w:rPr>
        <w:t>Reflecting the</w:t>
      </w:r>
      <w:r w:rsidR="00EA0DEB" w:rsidRPr="005E018E">
        <w:rPr>
          <w:rFonts w:cstheme="minorHAnsi"/>
        </w:rPr>
        <w:t xml:space="preserve"> increas</w:t>
      </w:r>
      <w:r w:rsidR="004A4468" w:rsidRPr="005E018E">
        <w:rPr>
          <w:rFonts w:cstheme="minorHAnsi"/>
        </w:rPr>
        <w:t>ed</w:t>
      </w:r>
      <w:r w:rsidR="00EA0DEB" w:rsidRPr="005E018E">
        <w:rPr>
          <w:rFonts w:cstheme="minorHAnsi"/>
        </w:rPr>
        <w:t xml:space="preserve"> emphasis on</w:t>
      </w:r>
      <w:r w:rsidR="00B22563" w:rsidRPr="005E018E">
        <w:rPr>
          <w:rFonts w:cstheme="minorHAnsi"/>
        </w:rPr>
        <w:t xml:space="preserve"> co-design that has </w:t>
      </w:r>
      <w:r w:rsidR="004A4468" w:rsidRPr="005E018E">
        <w:rPr>
          <w:rFonts w:cstheme="minorHAnsi"/>
        </w:rPr>
        <w:t>occurred</w:t>
      </w:r>
      <w:r w:rsidR="00B22563" w:rsidRPr="005E018E">
        <w:rPr>
          <w:rFonts w:cstheme="minorHAnsi"/>
        </w:rPr>
        <w:t xml:space="preserve"> since the last agreement in 2018,</w:t>
      </w:r>
      <w:r w:rsidR="00B22563">
        <w:rPr>
          <w:rFonts w:cstheme="minorHAnsi"/>
        </w:rPr>
        <w:t xml:space="preserve"> consultati</w:t>
      </w:r>
      <w:r w:rsidR="00E932F7">
        <w:rPr>
          <w:rFonts w:cstheme="minorHAnsi"/>
        </w:rPr>
        <w:t>on s</w:t>
      </w:r>
      <w:r w:rsidR="00B22563">
        <w:rPr>
          <w:rFonts w:cstheme="minorHAnsi"/>
        </w:rPr>
        <w:t xml:space="preserve">hould continue throughout </w:t>
      </w:r>
      <w:r w:rsidR="0052498B">
        <w:rPr>
          <w:rFonts w:cstheme="minorHAnsi"/>
        </w:rPr>
        <w:t>policy design.</w:t>
      </w:r>
      <w:r w:rsidR="00606782">
        <w:rPr>
          <w:rFonts w:cstheme="minorHAnsi"/>
        </w:rPr>
        <w:t xml:space="preserve"> </w:t>
      </w:r>
      <w:r w:rsidR="00CD2353">
        <w:rPr>
          <w:rFonts w:cstheme="minorHAnsi"/>
        </w:rPr>
        <w:t>The next agreement should include opportunities for co-design, along with place-based policies, particularly amongst targeted cohorts.</w:t>
      </w:r>
    </w:p>
    <w:p w14:paraId="0FD8EE8D" w14:textId="63FFE7FD" w:rsidR="00F447A3" w:rsidRDefault="00E87F5D" w:rsidP="004A0251">
      <w:pPr>
        <w:rPr>
          <w:rFonts w:cstheme="minorHAnsi"/>
          <w:color w:val="505050"/>
        </w:rPr>
      </w:pPr>
      <w:r>
        <w:rPr>
          <w:rFonts w:cstheme="minorHAnsi"/>
          <w:color w:val="505050"/>
        </w:rPr>
        <w:t xml:space="preserve">In </w:t>
      </w:r>
      <w:r w:rsidR="00F447A3" w:rsidRPr="006270C0">
        <w:rPr>
          <w:rFonts w:cstheme="minorHAnsi"/>
          <w:color w:val="505050"/>
        </w:rPr>
        <w:t xml:space="preserve">ESA's experience, </w:t>
      </w:r>
      <w:r w:rsidR="00536515">
        <w:rPr>
          <w:rFonts w:cstheme="minorHAnsi"/>
          <w:color w:val="505050"/>
        </w:rPr>
        <w:t>working alongside</w:t>
      </w:r>
      <w:r w:rsidR="00F447A3" w:rsidRPr="006270C0">
        <w:rPr>
          <w:rFonts w:cstheme="minorHAnsi"/>
          <w:color w:val="505050"/>
        </w:rPr>
        <w:t xml:space="preserve"> First Nations communities is essential</w:t>
      </w:r>
      <w:r w:rsidR="00572821">
        <w:rPr>
          <w:rFonts w:cstheme="minorHAnsi"/>
          <w:color w:val="505050"/>
        </w:rPr>
        <w:t xml:space="preserve">. ESA </w:t>
      </w:r>
      <w:r w:rsidR="00F447A3" w:rsidRPr="006270C0">
        <w:rPr>
          <w:rFonts w:cstheme="minorHAnsi"/>
          <w:color w:val="505050"/>
        </w:rPr>
        <w:t>has partnered with the Stronger Smarter Institute to deliver the Australian Government's English Language Learning for Indigenous Children (ELLIC) trial to improve outcomes for Aboriginal and Torres Strait Islander preschool children for whom English is an additional language or dialect. The project involves developing a series of play-based apps for children in the year before full-time school, together with resources for educators, families and communities that are co-designed and aligned to the Early Years Learning Framework and the Australian Curriculum: Foundation.</w:t>
      </w:r>
      <w:r>
        <w:rPr>
          <w:rFonts w:cstheme="minorHAnsi"/>
          <w:color w:val="505050"/>
        </w:rPr>
        <w:t xml:space="preserve"> </w:t>
      </w:r>
      <w:r w:rsidR="00F447A3" w:rsidRPr="006270C0">
        <w:rPr>
          <w:rFonts w:cstheme="minorHAnsi"/>
          <w:color w:val="505050"/>
        </w:rPr>
        <w:t>Integral to the project is building cultural awareness and safety, examining bias, co-design and shared responsibility for change, privileging Indigenous research methodologies and Indigenous ways of being, doing and knowing.</w:t>
      </w:r>
      <w:r>
        <w:rPr>
          <w:rFonts w:cstheme="minorHAnsi"/>
          <w:color w:val="505050"/>
        </w:rPr>
        <w:t xml:space="preserve"> </w:t>
      </w:r>
    </w:p>
    <w:p w14:paraId="41472583" w14:textId="5FFFCAFB" w:rsidR="000D07D6" w:rsidRPr="006270C0" w:rsidRDefault="000D07D6" w:rsidP="004A0251">
      <w:pPr>
        <w:rPr>
          <w:rFonts w:cstheme="minorHAnsi"/>
          <w:color w:val="505050"/>
        </w:rPr>
      </w:pPr>
      <w:r>
        <w:rPr>
          <w:rFonts w:cstheme="minorHAnsi"/>
          <w:color w:val="505050"/>
        </w:rPr>
        <w:t xml:space="preserve">Another strong example of co-design </w:t>
      </w:r>
      <w:r w:rsidR="0052785B">
        <w:rPr>
          <w:rFonts w:cstheme="minorHAnsi"/>
          <w:color w:val="505050"/>
        </w:rPr>
        <w:t xml:space="preserve">can be </w:t>
      </w:r>
      <w:r w:rsidR="00650B20">
        <w:rPr>
          <w:rFonts w:cstheme="minorHAnsi"/>
          <w:color w:val="505050"/>
        </w:rPr>
        <w:t xml:space="preserve">seen with the development of the Nationally Consistent Collection of Data on School Students with Disability (NCCD). </w:t>
      </w:r>
      <w:r w:rsidR="000706C4">
        <w:rPr>
          <w:rFonts w:cstheme="minorHAnsi"/>
          <w:color w:val="505050"/>
        </w:rPr>
        <w:t xml:space="preserve">The challenge was a data collection that did not </w:t>
      </w:r>
      <w:r w:rsidR="005D4056">
        <w:rPr>
          <w:rFonts w:cstheme="minorHAnsi"/>
          <w:color w:val="505050"/>
        </w:rPr>
        <w:t>enable comparisons between sectors, or even between states and territories.</w:t>
      </w:r>
      <w:r w:rsidR="002F7FBF">
        <w:rPr>
          <w:rFonts w:cstheme="minorHAnsi"/>
          <w:color w:val="505050"/>
        </w:rPr>
        <w:t xml:space="preserve"> </w:t>
      </w:r>
      <w:r w:rsidR="005D4056">
        <w:rPr>
          <w:rFonts w:cstheme="minorHAnsi"/>
          <w:color w:val="505050"/>
        </w:rPr>
        <w:t>Sponsored by the Australian Government, ESA undertook co-design with teachers, princip</w:t>
      </w:r>
      <w:r w:rsidR="00A20CF0">
        <w:rPr>
          <w:rFonts w:cstheme="minorHAnsi"/>
          <w:color w:val="505050"/>
        </w:rPr>
        <w:t>al</w:t>
      </w:r>
      <w:r w:rsidR="005D4056">
        <w:rPr>
          <w:rFonts w:cstheme="minorHAnsi"/>
          <w:color w:val="505050"/>
        </w:rPr>
        <w:t xml:space="preserve">s and data managers to </w:t>
      </w:r>
      <w:r w:rsidR="00AE5162">
        <w:rPr>
          <w:rFonts w:cstheme="minorHAnsi"/>
          <w:color w:val="505050"/>
        </w:rPr>
        <w:t>bring consistency to valuable and informative data a</w:t>
      </w:r>
      <w:r w:rsidR="00983654">
        <w:rPr>
          <w:rFonts w:cstheme="minorHAnsi"/>
          <w:color w:val="505050"/>
        </w:rPr>
        <w:t>bout</w:t>
      </w:r>
      <w:r w:rsidR="00AE5162">
        <w:rPr>
          <w:rFonts w:cstheme="minorHAnsi"/>
          <w:color w:val="505050"/>
        </w:rPr>
        <w:t xml:space="preserve"> the adjustments needed to support disability in the class</w:t>
      </w:r>
      <w:r w:rsidR="00EC7EE9">
        <w:rPr>
          <w:rFonts w:cstheme="minorHAnsi"/>
          <w:color w:val="505050"/>
        </w:rPr>
        <w:t>room. ESA worked through case studies, developed e-learning courses and created simple tools to ensure the data collection is now consistent.</w:t>
      </w:r>
      <w:r w:rsidR="00650B20">
        <w:rPr>
          <w:rFonts w:cstheme="minorHAnsi"/>
          <w:color w:val="505050"/>
        </w:rPr>
        <w:t xml:space="preserve"> </w:t>
      </w:r>
    </w:p>
    <w:p w14:paraId="166F442F" w14:textId="5A589033" w:rsidR="009D0458" w:rsidRDefault="00AB5B00" w:rsidP="004A0251">
      <w:pPr>
        <w:rPr>
          <w:rFonts w:cstheme="minorHAnsi"/>
        </w:rPr>
      </w:pPr>
      <w:r>
        <w:rPr>
          <w:rFonts w:cstheme="minorHAnsi"/>
        </w:rPr>
        <w:t>I</w:t>
      </w:r>
      <w:r w:rsidR="00D47559">
        <w:rPr>
          <w:rFonts w:cstheme="minorHAnsi"/>
        </w:rPr>
        <w:t xml:space="preserve">n addition to the reviewed governance arrangements proposed above, the next agreement must include processes by which </w:t>
      </w:r>
      <w:r w:rsidR="005A022A">
        <w:rPr>
          <w:rFonts w:cstheme="minorHAnsi"/>
        </w:rPr>
        <w:t xml:space="preserve">governments can capture the views and experiences of practitioners. </w:t>
      </w:r>
      <w:r w:rsidR="00CC78CE">
        <w:rPr>
          <w:rFonts w:cstheme="minorHAnsi"/>
        </w:rPr>
        <w:t xml:space="preserve">Participation in the process leads to a sense of ownership, </w:t>
      </w:r>
      <w:r w:rsidR="0083631B">
        <w:rPr>
          <w:rFonts w:cstheme="minorHAnsi"/>
        </w:rPr>
        <w:t xml:space="preserve">which benefits implementation. </w:t>
      </w:r>
      <w:r w:rsidR="009342D9">
        <w:rPr>
          <w:rFonts w:cstheme="minorHAnsi"/>
        </w:rPr>
        <w:t xml:space="preserve">Implementation will be significantly more achievable if the approach has been informed by </w:t>
      </w:r>
      <w:r w:rsidR="00A12EDD">
        <w:rPr>
          <w:rFonts w:cstheme="minorHAnsi"/>
        </w:rPr>
        <w:t xml:space="preserve">practical insights throughout the </w:t>
      </w:r>
      <w:r w:rsidR="009D0458">
        <w:rPr>
          <w:rFonts w:cstheme="minorHAnsi"/>
        </w:rPr>
        <w:t xml:space="preserve">design </w:t>
      </w:r>
      <w:r w:rsidR="00A12EDD">
        <w:rPr>
          <w:rFonts w:cstheme="minorHAnsi"/>
        </w:rPr>
        <w:t>process</w:t>
      </w:r>
      <w:r w:rsidR="00216FEF">
        <w:rPr>
          <w:rFonts w:cstheme="minorHAnsi"/>
        </w:rPr>
        <w:t>.</w:t>
      </w:r>
    </w:p>
    <w:p w14:paraId="0835CF35" w14:textId="3444F497" w:rsidR="009C765E" w:rsidRPr="00B713C1" w:rsidRDefault="009C765E" w:rsidP="004A0251">
      <w:pPr>
        <w:rPr>
          <w:rFonts w:cstheme="minorHAnsi"/>
          <w:b/>
          <w:bCs/>
        </w:rPr>
      </w:pPr>
      <w:r w:rsidRPr="00B713C1">
        <w:rPr>
          <w:rFonts w:cstheme="minorHAnsi"/>
          <w:b/>
          <w:bCs/>
        </w:rPr>
        <w:t xml:space="preserve">Recommendation </w:t>
      </w:r>
      <w:r w:rsidR="00952EB9">
        <w:rPr>
          <w:rFonts w:cstheme="minorHAnsi"/>
          <w:b/>
          <w:bCs/>
        </w:rPr>
        <w:t xml:space="preserve">3 </w:t>
      </w:r>
      <w:r w:rsidRPr="00B713C1">
        <w:rPr>
          <w:rFonts w:cstheme="minorHAnsi"/>
          <w:b/>
          <w:bCs/>
        </w:rPr>
        <w:t xml:space="preserve">– Incorporate co-design into the </w:t>
      </w:r>
      <w:r w:rsidR="007E34DE">
        <w:rPr>
          <w:rFonts w:cstheme="minorHAnsi"/>
          <w:b/>
          <w:bCs/>
        </w:rPr>
        <w:t xml:space="preserve">exploration and </w:t>
      </w:r>
      <w:r w:rsidR="0026164F" w:rsidRPr="00B713C1">
        <w:rPr>
          <w:rFonts w:cstheme="minorHAnsi"/>
          <w:b/>
          <w:bCs/>
        </w:rPr>
        <w:t>development of new reform initiatives.</w:t>
      </w:r>
    </w:p>
    <w:p w14:paraId="7B27F19B" w14:textId="77777777" w:rsidR="005D1049" w:rsidRDefault="005D1049">
      <w:pPr>
        <w:spacing w:before="0" w:after="0" w:line="240" w:lineRule="auto"/>
        <w:rPr>
          <w:rFonts w:cstheme="minorHAnsi"/>
          <w:b/>
          <w:bCs/>
          <w:sz w:val="24"/>
          <w:szCs w:val="24"/>
        </w:rPr>
      </w:pPr>
      <w:r>
        <w:rPr>
          <w:rFonts w:cstheme="minorHAnsi"/>
          <w:b/>
          <w:bCs/>
          <w:sz w:val="24"/>
          <w:szCs w:val="24"/>
        </w:rPr>
        <w:br w:type="page"/>
      </w:r>
    </w:p>
    <w:p w14:paraId="466CBA40" w14:textId="0E604C9C" w:rsidR="005D1049" w:rsidRPr="00797059" w:rsidRDefault="005D1049" w:rsidP="005D1049">
      <w:pPr>
        <w:pStyle w:val="Heading1"/>
        <w:spacing w:after="120"/>
        <w:rPr>
          <w:rFonts w:cstheme="majorHAnsi"/>
          <w:b/>
          <w:bCs/>
          <w:sz w:val="24"/>
          <w:szCs w:val="24"/>
        </w:rPr>
      </w:pPr>
      <w:r w:rsidRPr="00797059">
        <w:rPr>
          <w:rFonts w:cstheme="majorHAnsi"/>
          <w:b/>
          <w:bCs/>
          <w:sz w:val="24"/>
          <w:szCs w:val="24"/>
        </w:rPr>
        <w:t>Student wellbeing</w:t>
      </w:r>
    </w:p>
    <w:p w14:paraId="60C2EDE3" w14:textId="0E31C3F2" w:rsidR="00556FCC" w:rsidRDefault="004909E4" w:rsidP="00797059">
      <w:pPr>
        <w:rPr>
          <w:rFonts w:cstheme="minorHAnsi"/>
        </w:rPr>
      </w:pPr>
      <w:r w:rsidRPr="00797059">
        <w:rPr>
          <w:rFonts w:cstheme="minorHAnsi"/>
        </w:rPr>
        <w:t xml:space="preserve">ESA wholeheartedly supports a new </w:t>
      </w:r>
      <w:r w:rsidR="0072436F">
        <w:rPr>
          <w:rFonts w:cstheme="minorHAnsi"/>
        </w:rPr>
        <w:t xml:space="preserve">and explicit </w:t>
      </w:r>
      <w:r w:rsidRPr="00797059">
        <w:rPr>
          <w:rFonts w:cstheme="minorHAnsi"/>
        </w:rPr>
        <w:t>focus on student wellbeing in the next Agreement.</w:t>
      </w:r>
      <w:r w:rsidR="00CF2288">
        <w:rPr>
          <w:rFonts w:cstheme="minorHAnsi"/>
        </w:rPr>
        <w:t xml:space="preserve"> </w:t>
      </w:r>
    </w:p>
    <w:p w14:paraId="5450FCD5" w14:textId="58A45104" w:rsidR="002E4CE4" w:rsidRDefault="00556FCC" w:rsidP="00797059">
      <w:r>
        <w:rPr>
          <w:rFonts w:cstheme="minorHAnsi"/>
        </w:rPr>
        <w:t xml:space="preserve">Doing so builds on the current </w:t>
      </w:r>
      <w:r w:rsidR="00E13879">
        <w:rPr>
          <w:rFonts w:cstheme="minorHAnsi"/>
        </w:rPr>
        <w:t>A</w:t>
      </w:r>
      <w:r>
        <w:rPr>
          <w:rFonts w:cstheme="minorHAnsi"/>
        </w:rPr>
        <w:t xml:space="preserve">greement’s acknowledgement that </w:t>
      </w:r>
      <w:r>
        <w:t>wellbeing “is fundamental to successful education outcomes”</w:t>
      </w:r>
      <w:r w:rsidR="001573F5">
        <w:rPr>
          <w:rStyle w:val="FootnoteReference"/>
        </w:rPr>
        <w:footnoteReference w:id="8"/>
      </w:r>
      <w:r>
        <w:t xml:space="preserve"> and recognises the enormous impact that COVID has had on </w:t>
      </w:r>
      <w:r w:rsidR="001573F5">
        <w:t>student wellbeing.</w:t>
      </w:r>
      <w:r w:rsidR="00737FF3">
        <w:t xml:space="preserve"> </w:t>
      </w:r>
      <w:r w:rsidR="002E4CE4">
        <w:t>The connection between wellbeing and outcomes is of significant interest in priority groups, such as low socio-economic status students, students with disabilities and Aboriginal and Torres Strait Islander students.</w:t>
      </w:r>
    </w:p>
    <w:p w14:paraId="15B6D958" w14:textId="5213953C" w:rsidR="00556FCC" w:rsidRDefault="00CF2288" w:rsidP="00797059">
      <w:r>
        <w:t xml:space="preserve">This initiative is also in step with the new </w:t>
      </w:r>
      <w:r w:rsidR="00E13879">
        <w:t>n</w:t>
      </w:r>
      <w:r>
        <w:t>ational focus on wellbeing in the forthcoming Federal Budget.</w:t>
      </w:r>
    </w:p>
    <w:p w14:paraId="6E0B59EA" w14:textId="7189C3F6" w:rsidR="00BE2FE3" w:rsidRDefault="002F4F51" w:rsidP="007C3D91">
      <w:r>
        <w:t>There are opportunities for meaningful policy reform and intervention</w:t>
      </w:r>
      <w:r w:rsidR="009E26D0">
        <w:t xml:space="preserve"> in this policy area</w:t>
      </w:r>
      <w:r>
        <w:t>. The impact of these interventions is amplified where digital technologies are designed and deployed effectively.</w:t>
      </w:r>
      <w:r w:rsidR="007C3D91">
        <w:t xml:space="preserve"> For example, th</w:t>
      </w:r>
      <w:r w:rsidR="00B06012">
        <w:t xml:space="preserve">e </w:t>
      </w:r>
      <w:r w:rsidR="00BE5FBD">
        <w:t>Student Wellbeing Hub (</w:t>
      </w:r>
      <w:hyperlink r:id="rId11" w:history="1">
        <w:r w:rsidR="00B06012">
          <w:rPr>
            <w:rStyle w:val="Hyperlink"/>
          </w:rPr>
          <w:t>Student Wellbeing Hub | Home</w:t>
        </w:r>
      </w:hyperlink>
      <w:r w:rsidR="00BE5FBD">
        <w:t>)</w:t>
      </w:r>
      <w:r w:rsidR="007C3D91">
        <w:t xml:space="preserve"> </w:t>
      </w:r>
      <w:r w:rsidR="00BE2FE3">
        <w:t>provides quality assured materials on a f</w:t>
      </w:r>
      <w:r w:rsidR="007C3D91">
        <w:t>reely available</w:t>
      </w:r>
      <w:r w:rsidR="00BE2FE3">
        <w:t xml:space="preserve"> website</w:t>
      </w:r>
      <w:r w:rsidR="00BE5FBD">
        <w:t>. G</w:t>
      </w:r>
      <w:r w:rsidR="007C3D91">
        <w:t xml:space="preserve">reater investment </w:t>
      </w:r>
      <w:r w:rsidR="00BE2FE3">
        <w:t>would allow a more significant c</w:t>
      </w:r>
      <w:r w:rsidR="007C3D91">
        <w:t>uration of quality resources from a range of experts</w:t>
      </w:r>
      <w:r w:rsidR="00BE2FE3">
        <w:t>.</w:t>
      </w:r>
    </w:p>
    <w:p w14:paraId="42727E39" w14:textId="59029579" w:rsidR="00032B00" w:rsidRDefault="00E6778E" w:rsidP="0009057A">
      <w:r>
        <w:rPr>
          <w:rFonts w:cstheme="minorHAnsi"/>
        </w:rPr>
        <w:t xml:space="preserve">Draft recommendation 4.1 to </w:t>
      </w:r>
      <w:r>
        <w:t xml:space="preserve">“incorporate wellbeing in the next intergovernmental agreement” </w:t>
      </w:r>
      <w:r w:rsidR="000A0622">
        <w:t xml:space="preserve">as an outcome, backed by actions and data collection is a significant step forward in acknowledging the increasing </w:t>
      </w:r>
      <w:r w:rsidR="005443D5">
        <w:t xml:space="preserve">challenges to student wellbeing, </w:t>
      </w:r>
      <w:r w:rsidR="00AF3A68">
        <w:t>in response to COVID and in response to the rise and rise of social media.</w:t>
      </w:r>
      <w:r w:rsidR="00BA2968">
        <w:t xml:space="preserve"> </w:t>
      </w:r>
    </w:p>
    <w:p w14:paraId="274F9819" w14:textId="5EF1F8BF" w:rsidR="005E07CB" w:rsidRDefault="003133C7" w:rsidP="00797059">
      <w:r>
        <w:t>As outlined in the Interim Report, t</w:t>
      </w:r>
      <w:r w:rsidR="00A765D5">
        <w:t>he</w:t>
      </w:r>
      <w:r w:rsidR="00BD6773">
        <w:t>re</w:t>
      </w:r>
      <w:r w:rsidR="00A765D5">
        <w:t xml:space="preserve"> is strong in-principle support for the benefits of a </w:t>
      </w:r>
      <w:r w:rsidR="005E07CB">
        <w:t>National Wellbeing Indicator</w:t>
      </w:r>
      <w:r w:rsidR="00B50900">
        <w:t xml:space="preserve">, noting that the indicator need not (and should not) be reported publicly at school level. Doing so would create </w:t>
      </w:r>
      <w:r w:rsidR="002E4F96">
        <w:t>distracting league tables that would not serve individual schools, their students or their broader school communities</w:t>
      </w:r>
      <w:r w:rsidR="00A765D5">
        <w:t>.</w:t>
      </w:r>
    </w:p>
    <w:p w14:paraId="7115202C" w14:textId="5DD94F38" w:rsidR="005024C5" w:rsidRDefault="00073974" w:rsidP="00797059">
      <w:r>
        <w:t>S</w:t>
      </w:r>
      <w:r w:rsidR="00666C0D">
        <w:t>tudent wellbeing is also an important place for greater collaboration between governments, school sectors and portfolios.</w:t>
      </w:r>
      <w:r w:rsidR="00B257C8">
        <w:rPr>
          <w:rStyle w:val="FootnoteReference"/>
        </w:rPr>
        <w:footnoteReference w:id="9"/>
      </w:r>
      <w:r w:rsidR="00666C0D">
        <w:t xml:space="preserve"> </w:t>
      </w:r>
      <w:r w:rsidR="00257892">
        <w:t xml:space="preserve">In response to Information Request 4.1, </w:t>
      </w:r>
      <w:r w:rsidR="00D01526">
        <w:t>there are two</w:t>
      </w:r>
      <w:r w:rsidR="00684978">
        <w:t xml:space="preserve"> “common step</w:t>
      </w:r>
      <w:r w:rsidR="00D01526">
        <w:t>s</w:t>
      </w:r>
      <w:r w:rsidR="00684978">
        <w:t>” that governments can take</w:t>
      </w:r>
      <w:r w:rsidR="00F557A2">
        <w:t>. One is</w:t>
      </w:r>
      <w:r w:rsidR="00684978">
        <w:t xml:space="preserve"> to finalise the work underway to establish a nationally consistent definition of student wellbeing</w:t>
      </w:r>
      <w:r w:rsidR="00F557A2">
        <w:t xml:space="preserve"> and the second i</w:t>
      </w:r>
      <w:r w:rsidR="00DE2C61">
        <w:t>s to establish</w:t>
      </w:r>
      <w:r w:rsidR="003071DE">
        <w:t xml:space="preserve"> a nationally consistent infrastructure </w:t>
      </w:r>
      <w:r w:rsidR="00DE2C61">
        <w:t xml:space="preserve">that </w:t>
      </w:r>
      <w:r w:rsidR="003071DE">
        <w:t>allow</w:t>
      </w:r>
      <w:r w:rsidR="00DE2C61">
        <w:t>s</w:t>
      </w:r>
      <w:r w:rsidR="003071DE">
        <w:t xml:space="preserve"> schools to collect data for reporting purposes</w:t>
      </w:r>
      <w:r w:rsidR="005C30C9">
        <w:t>. This needs to be carefully considered and designed to ensure data collection does not a</w:t>
      </w:r>
      <w:r w:rsidR="00D01526">
        <w:t>dd</w:t>
      </w:r>
      <w:r w:rsidR="00DE2C61">
        <w:t xml:space="preserve"> to</w:t>
      </w:r>
      <w:r w:rsidR="00D01526">
        <w:t xml:space="preserve"> their administrative burden.</w:t>
      </w:r>
    </w:p>
    <w:p w14:paraId="457D12F0" w14:textId="4DD8CF8A" w:rsidR="0095730E" w:rsidRPr="0062158F" w:rsidRDefault="00666A00" w:rsidP="00797059">
      <w:r>
        <w:t xml:space="preserve">In the context of the next Agreement, </w:t>
      </w:r>
      <w:r w:rsidR="00B96ED7">
        <w:t xml:space="preserve">a commonly accepted definition would help </w:t>
      </w:r>
      <w:r w:rsidR="00130503">
        <w:t>link</w:t>
      </w:r>
      <w:r w:rsidR="00B96ED7">
        <w:t xml:space="preserve"> the work around student wellbeing to student outcomes. </w:t>
      </w:r>
      <w:r w:rsidR="0062158F">
        <w:t xml:space="preserve">Social and emotional skills have been found to be good predictors of educational outcomes and educational outcomes have been shown to impact social and emotional wellbeing. </w:t>
      </w:r>
      <w:r w:rsidR="000222A6">
        <w:t>For example</w:t>
      </w:r>
      <w:r w:rsidR="00F5266A">
        <w:t>:</w:t>
      </w:r>
      <w:r w:rsidR="000222A6">
        <w:t xml:space="preserve"> resilience and optimism are traits that make it easier to cope with difficulties such as social isolation or feelings of insecurity</w:t>
      </w:r>
      <w:r w:rsidR="003235DC">
        <w:t>; i</w:t>
      </w:r>
      <w:r w:rsidR="000023E6">
        <w:t>ntellectual curiosity and creativity lies at the heart of a young person’s motivation to learn and explore new ideas</w:t>
      </w:r>
      <w:r w:rsidR="003235DC">
        <w:t>; t</w:t>
      </w:r>
      <w:r w:rsidR="001C7F6F">
        <w:t>he willingness to cooperate, trust and accept others is crucial for children and young adults to be able to fully and meaningfully participate in their education</w:t>
      </w:r>
      <w:r w:rsidR="003235DC">
        <w:t xml:space="preserve">; and </w:t>
      </w:r>
      <w:r w:rsidR="00AB7355">
        <w:t xml:space="preserve">our students </w:t>
      </w:r>
      <w:r w:rsidR="003235DC">
        <w:t xml:space="preserve">need </w:t>
      </w:r>
      <w:r w:rsidR="00AB7355">
        <w:t xml:space="preserve">to </w:t>
      </w:r>
      <w:r w:rsidR="00C275A2">
        <w:t>be able to think independently and take responsibility</w:t>
      </w:r>
      <w:r w:rsidR="00AB7355">
        <w:t xml:space="preserve">. </w:t>
      </w:r>
      <w:r w:rsidR="003375EE">
        <w:t>Individual wellbeing is the foundation from which we develop the</w:t>
      </w:r>
      <w:r w:rsidR="00C275A2">
        <w:t>se</w:t>
      </w:r>
      <w:r w:rsidR="003375EE">
        <w:t xml:space="preserve"> important</w:t>
      </w:r>
      <w:r w:rsidR="00C275A2">
        <w:t xml:space="preserve"> traits and capabilities</w:t>
      </w:r>
      <w:r w:rsidR="00C5124E">
        <w:t xml:space="preserve">. If we accept that social and emotional wellbeing is aligned </w:t>
      </w:r>
      <w:r w:rsidR="00496563">
        <w:t>with</w:t>
      </w:r>
      <w:r w:rsidR="00C5124E">
        <w:t xml:space="preserve"> resilience, optimism, trust, motivation and self-confidence</w:t>
      </w:r>
      <w:r w:rsidR="00D13723">
        <w:t xml:space="preserve">, we can </w:t>
      </w:r>
      <w:r w:rsidR="00802B6C">
        <w:t>lift</w:t>
      </w:r>
      <w:r w:rsidR="00D13723">
        <w:t xml:space="preserve"> wellbeing to identifiable skillsets that </w:t>
      </w:r>
      <w:r w:rsidR="00891E55">
        <w:t>we want to develop in Australian students.</w:t>
      </w:r>
      <w:r w:rsidR="00D13723">
        <w:t xml:space="preserve"> </w:t>
      </w:r>
    </w:p>
    <w:p w14:paraId="0B649523" w14:textId="4C36795B" w:rsidR="00C86C69" w:rsidRDefault="000473C4" w:rsidP="00C86C69">
      <w:r>
        <w:t xml:space="preserve">The use of digital technologies can assist the integration of data collection for a national </w:t>
      </w:r>
      <w:r w:rsidR="00A5717A">
        <w:t>purpose</w:t>
      </w:r>
      <w:r w:rsidR="004C3323">
        <w:t>, with the measures already deployed by many schools.</w:t>
      </w:r>
      <w:r w:rsidR="004100E0">
        <w:t xml:space="preserve"> It would also support the nuanced reporting that serves the dual purpose of informing policy development and intervention design at system level, while providing meaningful and consistent data at school level.</w:t>
      </w:r>
      <w:r>
        <w:t xml:space="preserve"> </w:t>
      </w:r>
      <w:r w:rsidR="00DD30B0">
        <w:t>There is an opportunity to model this collection on the work already undertaken on the NCCD collection referred to earlier.</w:t>
      </w:r>
      <w:r w:rsidR="00C86C69">
        <w:t xml:space="preserve"> That model, and its associated support resources have improved the quality of NCCD data and improved teacher understanding of the adjustments available to support students with a disabili</w:t>
      </w:r>
      <w:r w:rsidR="003E6982">
        <w:t>ty.</w:t>
      </w:r>
      <w:r w:rsidR="000676DF">
        <w:t xml:space="preserve"> </w:t>
      </w:r>
      <w:r w:rsidR="00F664E4">
        <w:t xml:space="preserve">It has done so through an equitable and accessible format that </w:t>
      </w:r>
      <w:r w:rsidR="00144F34">
        <w:t>resulted from a detailed co-design process that can be replicated</w:t>
      </w:r>
      <w:r w:rsidR="00CE7252">
        <w:t xml:space="preserve"> to support the achievement of agreed goals for student wellbeing. </w:t>
      </w:r>
    </w:p>
    <w:p w14:paraId="2AC81CAA" w14:textId="3F191C5A" w:rsidR="004909E4" w:rsidRPr="006538A5" w:rsidRDefault="00ED1A0C" w:rsidP="00C04CDF">
      <w:r>
        <w:t>Robust wellbeing</w:t>
      </w:r>
      <w:r w:rsidR="007A740D">
        <w:t xml:space="preserve"> data</w:t>
      </w:r>
      <w:r>
        <w:t xml:space="preserve"> at local, state and national levels</w:t>
      </w:r>
      <w:r w:rsidR="007A740D">
        <w:t xml:space="preserve"> could also </w:t>
      </w:r>
      <w:r>
        <w:t>produce</w:t>
      </w:r>
      <w:r w:rsidR="00295601">
        <w:t xml:space="preserve"> a</w:t>
      </w:r>
      <w:r w:rsidR="007A740D">
        <w:t xml:space="preserve"> really important early warning system.</w:t>
      </w:r>
      <w:r w:rsidR="00295601">
        <w:t xml:space="preserve"> Quality early warning systems collect data directly from a school or groups of schools, including enrolment demographic information, </w:t>
      </w:r>
      <w:r w:rsidR="009572FD">
        <w:t>assessment results, records of disciplinary events, library activity, attendance, participation in extracurricular activities, and wellbeing surveys, among other sources.</w:t>
      </w:r>
      <w:r w:rsidR="006A2D52">
        <w:t xml:space="preserve"> These systems can communicate findings and data </w:t>
      </w:r>
      <w:r w:rsidR="004B2FA8">
        <w:t>in ways that identify which students are at risk, and which factors contribute to that appraisal</w:t>
      </w:r>
      <w:r w:rsidR="00AF6499">
        <w:t>. A well</w:t>
      </w:r>
      <w:r w:rsidR="00F010F3">
        <w:t>-</w:t>
      </w:r>
      <w:r w:rsidR="00AF6499">
        <w:t>designed system will recommend specific actions and provide resources to ensure intervention</w:t>
      </w:r>
      <w:r w:rsidR="00957151">
        <w:t>s are appropriately targeted.</w:t>
      </w:r>
    </w:p>
    <w:p w14:paraId="58C01513" w14:textId="77777777" w:rsidR="00116764" w:rsidRDefault="00C04CDF" w:rsidP="00C04CDF">
      <w:pPr>
        <w:rPr>
          <w:b/>
          <w:bCs/>
        </w:rPr>
      </w:pPr>
      <w:r w:rsidRPr="00CA7136">
        <w:rPr>
          <w:rFonts w:cstheme="minorHAnsi"/>
          <w:b/>
          <w:bCs/>
        </w:rPr>
        <w:t xml:space="preserve">ESA supports Draft Recommendation 4.1 to </w:t>
      </w:r>
      <w:r w:rsidRPr="00CA7136">
        <w:rPr>
          <w:b/>
          <w:bCs/>
        </w:rPr>
        <w:t>incorporate wellbeing in the next intergovernmental agreement</w:t>
      </w:r>
      <w:r w:rsidR="00CA7136" w:rsidRPr="00CA7136">
        <w:rPr>
          <w:b/>
          <w:bCs/>
        </w:rPr>
        <w:t xml:space="preserve"> </w:t>
      </w:r>
      <w:r w:rsidRPr="00CA7136">
        <w:rPr>
          <w:b/>
          <w:bCs/>
        </w:rPr>
        <w:t>as an outcome, backed by actions and data collection</w:t>
      </w:r>
      <w:r w:rsidR="00CA7136" w:rsidRPr="00CA7136">
        <w:rPr>
          <w:b/>
          <w:bCs/>
        </w:rPr>
        <w:t>.</w:t>
      </w:r>
      <w:r w:rsidR="00E36700">
        <w:rPr>
          <w:b/>
          <w:bCs/>
        </w:rPr>
        <w:t xml:space="preserve"> </w:t>
      </w:r>
      <w:r w:rsidR="006538A5">
        <w:rPr>
          <w:b/>
          <w:bCs/>
        </w:rPr>
        <w:t>ESA stands ready to support this work</w:t>
      </w:r>
      <w:r w:rsidR="00116764">
        <w:rPr>
          <w:b/>
          <w:bCs/>
        </w:rPr>
        <w:t xml:space="preserve"> through </w:t>
      </w:r>
      <w:r w:rsidR="00B827B7">
        <w:rPr>
          <w:b/>
          <w:bCs/>
        </w:rPr>
        <w:t>digital platforms and data collection</w:t>
      </w:r>
      <w:r w:rsidR="00116764">
        <w:rPr>
          <w:b/>
          <w:bCs/>
        </w:rPr>
        <w:t xml:space="preserve">. </w:t>
      </w:r>
    </w:p>
    <w:p w14:paraId="09D774C2" w14:textId="77777777" w:rsidR="006538A5" w:rsidRDefault="006538A5" w:rsidP="006538A5">
      <w:pPr>
        <w:spacing w:before="0" w:after="0" w:line="240" w:lineRule="auto"/>
        <w:rPr>
          <w:rFonts w:cstheme="minorHAnsi"/>
          <w:b/>
          <w:bCs/>
          <w:sz w:val="24"/>
          <w:szCs w:val="24"/>
        </w:rPr>
      </w:pPr>
    </w:p>
    <w:p w14:paraId="43B82C07" w14:textId="24D7E777" w:rsidR="009F5FBD" w:rsidRPr="006538A5" w:rsidRDefault="00606CFE" w:rsidP="006538A5">
      <w:pPr>
        <w:spacing w:before="0" w:after="0" w:line="240" w:lineRule="auto"/>
        <w:rPr>
          <w:rFonts w:asciiTheme="majorHAnsi" w:eastAsiaTheme="majorEastAsia" w:hAnsiTheme="majorHAnsi" w:cstheme="majorHAnsi"/>
          <w:b/>
          <w:bCs/>
          <w:color w:val="241773" w:themeColor="accent1"/>
          <w:sz w:val="24"/>
          <w:szCs w:val="24"/>
        </w:rPr>
      </w:pPr>
      <w:r w:rsidRPr="006538A5">
        <w:rPr>
          <w:rFonts w:asciiTheme="majorHAnsi" w:hAnsiTheme="majorHAnsi" w:cstheme="majorHAnsi"/>
          <w:b/>
          <w:bCs/>
          <w:color w:val="241773" w:themeColor="accent1"/>
          <w:sz w:val="24"/>
          <w:szCs w:val="24"/>
        </w:rPr>
        <w:t>Supporting teachers</w:t>
      </w:r>
    </w:p>
    <w:p w14:paraId="239DC8C6" w14:textId="12C94ADC" w:rsidR="00932CE7" w:rsidRDefault="0065622D" w:rsidP="004A0251">
      <w:pPr>
        <w:rPr>
          <w:rFonts w:cstheme="minorHAnsi"/>
        </w:rPr>
      </w:pPr>
      <w:r w:rsidRPr="0065622D">
        <w:rPr>
          <w:rFonts w:cstheme="minorHAnsi"/>
        </w:rPr>
        <w:t>Addressing the issue of teacher shortages is a shared responsibility. ESA’s goal is to draw on its experience and knowledge to support efforts to attract, develop and retain quality teachers for Australian schools now and for the future.</w:t>
      </w:r>
      <w:r w:rsidR="00891037">
        <w:rPr>
          <w:rFonts w:cstheme="minorHAnsi"/>
        </w:rPr>
        <w:t xml:space="preserve"> </w:t>
      </w:r>
    </w:p>
    <w:p w14:paraId="30BE94BE" w14:textId="6B5841AF" w:rsidR="0064695C" w:rsidRDefault="0064695C" w:rsidP="004A0251">
      <w:pPr>
        <w:rPr>
          <w:rFonts w:cstheme="minorHAnsi"/>
          <w:color w:val="374149" w:themeColor="accent5"/>
          <w:lang w:val="en-US"/>
        </w:rPr>
      </w:pPr>
      <w:r>
        <w:rPr>
          <w:rFonts w:cstheme="minorHAnsi"/>
          <w:color w:val="374149" w:themeColor="accent5"/>
          <w:lang w:val="en-US"/>
        </w:rPr>
        <w:t xml:space="preserve">The Interim Report rightly emphasizes the negative impact resulting from high teacher workload – it </w:t>
      </w:r>
      <w:r w:rsidR="00FA09CF">
        <w:rPr>
          <w:rFonts w:cstheme="minorHAnsi"/>
          <w:color w:val="374149" w:themeColor="accent5"/>
          <w:lang w:val="en-US"/>
        </w:rPr>
        <w:t xml:space="preserve">undermines </w:t>
      </w:r>
      <w:r w:rsidR="00C6781C">
        <w:rPr>
          <w:rFonts w:cstheme="minorHAnsi"/>
          <w:color w:val="374149" w:themeColor="accent5"/>
          <w:lang w:val="en-US"/>
        </w:rPr>
        <w:t>attraction</w:t>
      </w:r>
      <w:r w:rsidR="00FA09CF">
        <w:rPr>
          <w:rFonts w:cstheme="minorHAnsi"/>
          <w:color w:val="374149" w:themeColor="accent5"/>
          <w:lang w:val="en-US"/>
        </w:rPr>
        <w:t xml:space="preserve"> strategies, </w:t>
      </w:r>
      <w:r w:rsidR="002827CB">
        <w:rPr>
          <w:rFonts w:cstheme="minorHAnsi"/>
          <w:color w:val="374149" w:themeColor="accent5"/>
          <w:lang w:val="en-US"/>
        </w:rPr>
        <w:t>increases attrition rates for teachers</w:t>
      </w:r>
      <w:r w:rsidR="00C6781C">
        <w:rPr>
          <w:rFonts w:cstheme="minorHAnsi"/>
          <w:color w:val="374149" w:themeColor="accent5"/>
          <w:lang w:val="en-US"/>
        </w:rPr>
        <w:t>, reduces the impact of teachers in the classroom and places student outcomes at risk.</w:t>
      </w:r>
    </w:p>
    <w:p w14:paraId="17BF7FAF" w14:textId="24F8C3DC" w:rsidR="006027ED" w:rsidRDefault="00857F44" w:rsidP="004A0251">
      <w:pPr>
        <w:rPr>
          <w:rFonts w:cstheme="minorHAnsi"/>
          <w:color w:val="374149" w:themeColor="accent5"/>
          <w:lang w:val="en-US"/>
        </w:rPr>
      </w:pPr>
      <w:r>
        <w:rPr>
          <w:rFonts w:cstheme="minorHAnsi"/>
          <w:color w:val="374149" w:themeColor="accent5"/>
          <w:lang w:val="en-US"/>
        </w:rPr>
        <w:t>Re</w:t>
      </w:r>
      <w:r w:rsidR="00813593">
        <w:rPr>
          <w:rFonts w:cstheme="minorHAnsi"/>
          <w:color w:val="374149" w:themeColor="accent5"/>
          <w:lang w:val="en-US"/>
        </w:rPr>
        <w:t>cent re</w:t>
      </w:r>
      <w:r>
        <w:rPr>
          <w:rFonts w:cstheme="minorHAnsi"/>
          <w:color w:val="374149" w:themeColor="accent5"/>
          <w:lang w:val="en-US"/>
        </w:rPr>
        <w:t>search undertaken by the Grattan Institute highlight</w:t>
      </w:r>
      <w:r w:rsidR="0083691E">
        <w:rPr>
          <w:rFonts w:cstheme="minorHAnsi"/>
          <w:color w:val="374149" w:themeColor="accent5"/>
          <w:lang w:val="en-US"/>
        </w:rPr>
        <w:t>s</w:t>
      </w:r>
      <w:r>
        <w:rPr>
          <w:rFonts w:cstheme="minorHAnsi"/>
          <w:color w:val="374149" w:themeColor="accent5"/>
          <w:lang w:val="en-US"/>
        </w:rPr>
        <w:t xml:space="preserve"> the urgency for p</w:t>
      </w:r>
      <w:r w:rsidR="006027ED" w:rsidRPr="006027ED">
        <w:rPr>
          <w:rFonts w:cstheme="minorHAnsi"/>
          <w:color w:val="374149" w:themeColor="accent5"/>
          <w:lang w:val="en-US"/>
        </w:rPr>
        <w:t xml:space="preserve">olicies, </w:t>
      </w:r>
      <w:r w:rsidR="004542DB" w:rsidRPr="006027ED">
        <w:rPr>
          <w:rFonts w:cstheme="minorHAnsi"/>
          <w:color w:val="374149" w:themeColor="accent5"/>
          <w:lang w:val="en-US"/>
        </w:rPr>
        <w:t>practices,</w:t>
      </w:r>
      <w:r w:rsidR="006027ED" w:rsidRPr="006027ED">
        <w:rPr>
          <w:rFonts w:cstheme="minorHAnsi"/>
          <w:color w:val="374149" w:themeColor="accent5"/>
          <w:lang w:val="en-US"/>
        </w:rPr>
        <w:t xml:space="preserve"> and actions to address teacher workload</w:t>
      </w:r>
      <w:r w:rsidR="00805ED5">
        <w:rPr>
          <w:rFonts w:cstheme="minorHAnsi"/>
          <w:color w:val="374149" w:themeColor="accent5"/>
          <w:lang w:val="en-US"/>
        </w:rPr>
        <w:t xml:space="preserve">, as well as </w:t>
      </w:r>
      <w:r w:rsidR="008E4063">
        <w:rPr>
          <w:rFonts w:cstheme="minorHAnsi"/>
          <w:color w:val="374149" w:themeColor="accent5"/>
          <w:lang w:val="en-US"/>
        </w:rPr>
        <w:t>the opportunity for national collaboration to support these actions</w:t>
      </w:r>
      <w:r>
        <w:rPr>
          <w:rFonts w:cstheme="minorHAnsi"/>
          <w:color w:val="374149" w:themeColor="accent5"/>
          <w:lang w:val="en-US"/>
        </w:rPr>
        <w:t xml:space="preserve">. </w:t>
      </w:r>
    </w:p>
    <w:p w14:paraId="2190C69F" w14:textId="4DAACE16" w:rsidR="001F2FE4" w:rsidRDefault="00C6781C" w:rsidP="004A0251">
      <w:pPr>
        <w:rPr>
          <w:rFonts w:cstheme="minorHAnsi"/>
          <w:color w:val="374149" w:themeColor="accent5"/>
          <w:lang w:val="en-US"/>
        </w:rPr>
      </w:pPr>
      <w:r>
        <w:rPr>
          <w:rFonts w:cstheme="minorHAnsi"/>
          <w:color w:val="374149" w:themeColor="accent5"/>
          <w:lang w:val="en-US"/>
        </w:rPr>
        <w:t xml:space="preserve">According to research undertaken by </w:t>
      </w:r>
      <w:r w:rsidR="005E268B">
        <w:rPr>
          <w:rFonts w:cstheme="minorHAnsi"/>
          <w:color w:val="374149" w:themeColor="accent5"/>
          <w:lang w:val="en-US"/>
        </w:rPr>
        <w:t xml:space="preserve">the </w:t>
      </w:r>
      <w:r>
        <w:rPr>
          <w:rFonts w:cstheme="minorHAnsi"/>
          <w:color w:val="374149" w:themeColor="accent5"/>
          <w:lang w:val="en-US"/>
        </w:rPr>
        <w:t>Grattan</w:t>
      </w:r>
      <w:r w:rsidR="005E268B">
        <w:rPr>
          <w:rFonts w:cstheme="minorHAnsi"/>
          <w:color w:val="374149" w:themeColor="accent5"/>
          <w:lang w:val="en-US"/>
        </w:rPr>
        <w:t xml:space="preserve"> Institute</w:t>
      </w:r>
      <w:r w:rsidR="001F2FE4">
        <w:rPr>
          <w:rFonts w:cstheme="minorHAnsi"/>
          <w:color w:val="374149" w:themeColor="accent5"/>
          <w:lang w:val="en-US"/>
        </w:rPr>
        <w:t>:</w:t>
      </w:r>
    </w:p>
    <w:p w14:paraId="0F3C238F" w14:textId="3D18F0E3" w:rsidR="004237C2" w:rsidRPr="004237C2" w:rsidRDefault="00F018B4" w:rsidP="004A0251">
      <w:pPr>
        <w:pStyle w:val="ListParagraph"/>
        <w:numPr>
          <w:ilvl w:val="0"/>
          <w:numId w:val="47"/>
        </w:numPr>
        <w:rPr>
          <w:rFonts w:cstheme="minorHAnsi"/>
          <w:color w:val="374149" w:themeColor="accent5"/>
          <w:lang w:val="en-US"/>
        </w:rPr>
      </w:pPr>
      <w:r>
        <w:rPr>
          <w:rFonts w:cstheme="minorHAnsi"/>
          <w:color w:val="374149" w:themeColor="accent5"/>
          <w:lang w:val="en-US"/>
        </w:rPr>
        <w:t>A</w:t>
      </w:r>
      <w:r w:rsidR="004237C2" w:rsidRPr="004237C2">
        <w:rPr>
          <w:rFonts w:cstheme="minorHAnsi"/>
          <w:color w:val="374149" w:themeColor="accent5"/>
          <w:lang w:val="en-US"/>
        </w:rPr>
        <w:t xml:space="preserve"> majority </w:t>
      </w:r>
      <w:r w:rsidR="00F72A5F">
        <w:rPr>
          <w:rFonts w:cstheme="minorHAnsi"/>
          <w:color w:val="374149" w:themeColor="accent5"/>
          <w:lang w:val="en-US"/>
        </w:rPr>
        <w:t xml:space="preserve">of </w:t>
      </w:r>
      <w:r w:rsidR="004237C2" w:rsidRPr="004237C2">
        <w:rPr>
          <w:rFonts w:cstheme="minorHAnsi"/>
          <w:color w:val="374149" w:themeColor="accent5"/>
          <w:lang w:val="en-US"/>
        </w:rPr>
        <w:t>teachers (86</w:t>
      </w:r>
      <w:r w:rsidR="00AD0CCA">
        <w:rPr>
          <w:rFonts w:cstheme="minorHAnsi"/>
          <w:color w:val="374149" w:themeColor="accent5"/>
          <w:lang w:val="en-US"/>
        </w:rPr>
        <w:t xml:space="preserve"> per cent</w:t>
      </w:r>
      <w:r w:rsidR="004237C2" w:rsidRPr="004237C2">
        <w:rPr>
          <w:rFonts w:cstheme="minorHAnsi"/>
          <w:color w:val="374149" w:themeColor="accent5"/>
          <w:lang w:val="en-US"/>
        </w:rPr>
        <w:t xml:space="preserve">) do not get enough time </w:t>
      </w:r>
      <w:r>
        <w:rPr>
          <w:rFonts w:cstheme="minorHAnsi"/>
          <w:color w:val="374149" w:themeColor="accent5"/>
          <w:lang w:val="en-US"/>
        </w:rPr>
        <w:t xml:space="preserve">for </w:t>
      </w:r>
      <w:r w:rsidR="004237C2" w:rsidRPr="004237C2">
        <w:rPr>
          <w:rFonts w:cstheme="minorHAnsi"/>
          <w:color w:val="374149" w:themeColor="accent5"/>
          <w:lang w:val="en-US"/>
        </w:rPr>
        <w:t>high-quality lesson planning</w:t>
      </w:r>
      <w:r w:rsidR="00412945">
        <w:rPr>
          <w:rFonts w:cstheme="minorHAnsi"/>
          <w:color w:val="374149" w:themeColor="accent5"/>
          <w:lang w:val="en-US"/>
        </w:rPr>
        <w:t>.</w:t>
      </w:r>
      <w:r w:rsidR="00CD4785">
        <w:rPr>
          <w:rStyle w:val="FootnoteReference"/>
          <w:rFonts w:cstheme="minorHAnsi"/>
          <w:color w:val="374149" w:themeColor="accent5"/>
          <w:lang w:val="en-US"/>
        </w:rPr>
        <w:footnoteReference w:id="10"/>
      </w:r>
    </w:p>
    <w:p w14:paraId="466078A0" w14:textId="6B7749D5" w:rsidR="001F2FE4" w:rsidRDefault="00F819AC" w:rsidP="004A0251">
      <w:pPr>
        <w:pStyle w:val="ListParagraph"/>
        <w:numPr>
          <w:ilvl w:val="0"/>
          <w:numId w:val="47"/>
        </w:numPr>
        <w:rPr>
          <w:rFonts w:cstheme="minorHAnsi"/>
          <w:color w:val="374149" w:themeColor="accent5"/>
          <w:lang w:val="en-US"/>
        </w:rPr>
      </w:pPr>
      <w:r>
        <w:rPr>
          <w:rFonts w:cstheme="minorHAnsi"/>
          <w:color w:val="374149" w:themeColor="accent5"/>
          <w:lang w:val="en-US"/>
        </w:rPr>
        <w:t>H</w:t>
      </w:r>
      <w:r w:rsidR="00F018B4">
        <w:rPr>
          <w:rFonts w:cstheme="minorHAnsi"/>
          <w:color w:val="374149" w:themeColor="accent5"/>
          <w:lang w:val="en-US"/>
        </w:rPr>
        <w:t>alf (</w:t>
      </w:r>
      <w:r w:rsidR="008805FC" w:rsidRPr="008805FC">
        <w:rPr>
          <w:rFonts w:cstheme="minorHAnsi"/>
          <w:color w:val="374149" w:themeColor="accent5"/>
          <w:lang w:val="en-US"/>
        </w:rPr>
        <w:t>53</w:t>
      </w:r>
      <w:r w:rsidR="00A75642">
        <w:rPr>
          <w:rFonts w:cstheme="minorHAnsi"/>
          <w:color w:val="374149" w:themeColor="accent5"/>
          <w:lang w:val="en-US"/>
        </w:rPr>
        <w:t xml:space="preserve"> per cent)</w:t>
      </w:r>
      <w:r w:rsidR="008805FC" w:rsidRPr="008805FC">
        <w:rPr>
          <w:rFonts w:cstheme="minorHAnsi"/>
          <w:color w:val="374149" w:themeColor="accent5"/>
          <w:lang w:val="en-US"/>
        </w:rPr>
        <w:t xml:space="preserve"> report</w:t>
      </w:r>
      <w:r w:rsidR="00AB4FB1">
        <w:rPr>
          <w:rFonts w:cstheme="minorHAnsi"/>
          <w:color w:val="374149" w:themeColor="accent5"/>
          <w:lang w:val="en-US"/>
        </w:rPr>
        <w:t xml:space="preserve">ed that teachers </w:t>
      </w:r>
      <w:r>
        <w:rPr>
          <w:rFonts w:cstheme="minorHAnsi"/>
          <w:color w:val="374149" w:themeColor="accent5"/>
          <w:lang w:val="en-US"/>
        </w:rPr>
        <w:t>“</w:t>
      </w:r>
      <w:r w:rsidR="008805FC" w:rsidRPr="00B13EBE">
        <w:rPr>
          <w:rFonts w:cstheme="minorHAnsi"/>
          <w:color w:val="374149" w:themeColor="accent5"/>
          <w:lang w:val="en-US"/>
        </w:rPr>
        <w:t xml:space="preserve">spend a great deal of </w:t>
      </w:r>
      <w:r w:rsidR="008805FC" w:rsidRPr="008805FC">
        <w:rPr>
          <w:rFonts w:cstheme="minorHAnsi"/>
          <w:color w:val="374149" w:themeColor="accent5"/>
          <w:lang w:val="en-US"/>
        </w:rPr>
        <w:t>time reinventing the wheel</w:t>
      </w:r>
      <w:r w:rsidR="00412945">
        <w:rPr>
          <w:rFonts w:cstheme="minorHAnsi"/>
          <w:color w:val="374149" w:themeColor="accent5"/>
          <w:lang w:val="en-US"/>
        </w:rPr>
        <w:t>.</w:t>
      </w:r>
      <w:r w:rsidR="008805FC">
        <w:rPr>
          <w:rFonts w:cstheme="minorHAnsi"/>
          <w:color w:val="374149" w:themeColor="accent5"/>
          <w:lang w:val="en-US"/>
        </w:rPr>
        <w:t>”</w:t>
      </w:r>
      <w:r w:rsidR="000E44C6">
        <w:rPr>
          <w:rStyle w:val="FootnoteReference"/>
          <w:rFonts w:cstheme="minorHAnsi"/>
          <w:color w:val="374149" w:themeColor="accent5"/>
          <w:lang w:val="en-US"/>
        </w:rPr>
        <w:footnoteReference w:id="11"/>
      </w:r>
    </w:p>
    <w:p w14:paraId="2C766503" w14:textId="5A5853A8" w:rsidR="00882314" w:rsidRDefault="00A75642" w:rsidP="004A0251">
      <w:pPr>
        <w:pStyle w:val="ListParagraph"/>
        <w:numPr>
          <w:ilvl w:val="0"/>
          <w:numId w:val="47"/>
        </w:numPr>
        <w:rPr>
          <w:rFonts w:cstheme="minorHAnsi"/>
          <w:color w:val="374149" w:themeColor="accent5"/>
          <w:lang w:val="en-US"/>
        </w:rPr>
      </w:pPr>
      <w:r>
        <w:rPr>
          <w:rFonts w:cstheme="minorHAnsi"/>
          <w:color w:val="374149" w:themeColor="accent5"/>
          <w:lang w:val="en-US"/>
        </w:rPr>
        <w:t>Nearly half (</w:t>
      </w:r>
      <w:r w:rsidR="00882314" w:rsidRPr="00882314">
        <w:rPr>
          <w:rFonts w:cstheme="minorHAnsi"/>
          <w:color w:val="374149" w:themeColor="accent5"/>
          <w:lang w:val="en-US"/>
        </w:rPr>
        <w:t>49</w:t>
      </w:r>
      <w:r>
        <w:rPr>
          <w:rFonts w:cstheme="minorHAnsi"/>
          <w:color w:val="374149" w:themeColor="accent5"/>
          <w:lang w:val="en-US"/>
        </w:rPr>
        <w:t xml:space="preserve"> per cent)</w:t>
      </w:r>
      <w:r w:rsidR="00882314" w:rsidRPr="00882314">
        <w:rPr>
          <w:rFonts w:cstheme="minorHAnsi"/>
          <w:color w:val="374149" w:themeColor="accent5"/>
          <w:lang w:val="en-US"/>
        </w:rPr>
        <w:t xml:space="preserve"> are planning </w:t>
      </w:r>
      <w:r w:rsidR="00BD5860">
        <w:rPr>
          <w:rFonts w:cstheme="minorHAnsi"/>
          <w:color w:val="374149" w:themeColor="accent5"/>
          <w:lang w:val="en-US"/>
        </w:rPr>
        <w:t xml:space="preserve">for classes </w:t>
      </w:r>
      <w:r w:rsidR="00882314" w:rsidRPr="00882314">
        <w:rPr>
          <w:rFonts w:cstheme="minorHAnsi"/>
          <w:color w:val="374149" w:themeColor="accent5"/>
          <w:lang w:val="en-US"/>
        </w:rPr>
        <w:t>mostly on their own</w:t>
      </w:r>
      <w:r w:rsidR="00412945">
        <w:rPr>
          <w:rFonts w:cstheme="minorHAnsi"/>
          <w:color w:val="374149" w:themeColor="accent5"/>
          <w:lang w:val="en-US"/>
        </w:rPr>
        <w:t>.</w:t>
      </w:r>
      <w:r w:rsidR="00BD5860">
        <w:rPr>
          <w:rStyle w:val="FootnoteReference"/>
          <w:rFonts w:cstheme="minorHAnsi"/>
          <w:color w:val="374149" w:themeColor="accent5"/>
          <w:lang w:val="en-US"/>
        </w:rPr>
        <w:footnoteReference w:id="12"/>
      </w:r>
    </w:p>
    <w:p w14:paraId="302FAB09" w14:textId="3E201376" w:rsidR="00882314" w:rsidRDefault="003B7CA2" w:rsidP="004A0251">
      <w:pPr>
        <w:pStyle w:val="ListParagraph"/>
        <w:numPr>
          <w:ilvl w:val="0"/>
          <w:numId w:val="47"/>
        </w:numPr>
        <w:rPr>
          <w:rFonts w:cstheme="minorHAnsi"/>
          <w:color w:val="374149" w:themeColor="accent5"/>
          <w:lang w:val="en-US"/>
        </w:rPr>
      </w:pPr>
      <w:r>
        <w:rPr>
          <w:rFonts w:cstheme="minorHAnsi"/>
          <w:color w:val="374149" w:themeColor="accent5"/>
          <w:lang w:val="en-US"/>
        </w:rPr>
        <w:t>Over half (</w:t>
      </w:r>
      <w:r w:rsidR="001551A8" w:rsidRPr="001551A8">
        <w:rPr>
          <w:rFonts w:cstheme="minorHAnsi"/>
          <w:color w:val="374149" w:themeColor="accent5"/>
          <w:lang w:val="en-US"/>
        </w:rPr>
        <w:t>55</w:t>
      </w:r>
      <w:r>
        <w:rPr>
          <w:rFonts w:cstheme="minorHAnsi"/>
          <w:color w:val="374149" w:themeColor="accent5"/>
          <w:lang w:val="en-US"/>
        </w:rPr>
        <w:t xml:space="preserve"> per cent)</w:t>
      </w:r>
      <w:r w:rsidR="001551A8" w:rsidRPr="001551A8">
        <w:rPr>
          <w:rFonts w:cstheme="minorHAnsi"/>
          <w:color w:val="374149" w:themeColor="accent5"/>
          <w:lang w:val="en-US"/>
        </w:rPr>
        <w:t xml:space="preserve"> are not satisfied with their school’s approach to curriculum planning</w:t>
      </w:r>
      <w:r w:rsidR="00000385">
        <w:rPr>
          <w:rFonts w:cstheme="minorHAnsi"/>
          <w:color w:val="374149" w:themeColor="accent5"/>
          <w:lang w:val="en-US"/>
        </w:rPr>
        <w:t xml:space="preserve"> and this increases to 61 per cent for teachers at disadvantaged schools.</w:t>
      </w:r>
      <w:r w:rsidR="001551A8">
        <w:rPr>
          <w:rFonts w:cstheme="minorHAnsi"/>
          <w:color w:val="374149" w:themeColor="accent5"/>
          <w:lang w:val="en-US"/>
        </w:rPr>
        <w:t>”</w:t>
      </w:r>
      <w:r w:rsidR="00A13022">
        <w:rPr>
          <w:rStyle w:val="FootnoteReference"/>
          <w:rFonts w:cstheme="minorHAnsi"/>
          <w:color w:val="374149" w:themeColor="accent5"/>
          <w:lang w:val="en-US"/>
        </w:rPr>
        <w:footnoteReference w:id="13"/>
      </w:r>
    </w:p>
    <w:p w14:paraId="06CB7785" w14:textId="1433F487" w:rsidR="001F2FE4" w:rsidRDefault="00D958F3" w:rsidP="004A0251">
      <w:pPr>
        <w:rPr>
          <w:rFonts w:cstheme="minorHAnsi"/>
          <w:color w:val="374149" w:themeColor="accent5"/>
          <w:lang w:val="en-US"/>
        </w:rPr>
      </w:pPr>
      <w:r>
        <w:rPr>
          <w:rFonts w:cstheme="minorHAnsi"/>
          <w:color w:val="374149" w:themeColor="accent5"/>
          <w:lang w:val="en-US"/>
        </w:rPr>
        <w:t xml:space="preserve">The </w:t>
      </w:r>
      <w:r w:rsidR="00410261">
        <w:rPr>
          <w:rFonts w:cstheme="minorHAnsi"/>
          <w:color w:val="374149" w:themeColor="accent5"/>
          <w:lang w:val="en-US"/>
        </w:rPr>
        <w:t>Grattan</w:t>
      </w:r>
      <w:r>
        <w:rPr>
          <w:rFonts w:cstheme="minorHAnsi"/>
          <w:color w:val="374149" w:themeColor="accent5"/>
          <w:lang w:val="en-US"/>
        </w:rPr>
        <w:t xml:space="preserve"> Institute</w:t>
      </w:r>
      <w:r w:rsidR="00410261">
        <w:rPr>
          <w:rFonts w:cstheme="minorHAnsi"/>
          <w:color w:val="374149" w:themeColor="accent5"/>
          <w:lang w:val="en-US"/>
        </w:rPr>
        <w:t xml:space="preserve"> also </w:t>
      </w:r>
      <w:r w:rsidR="00D105BA">
        <w:rPr>
          <w:rFonts w:cstheme="minorHAnsi"/>
          <w:color w:val="374149" w:themeColor="accent5"/>
          <w:lang w:val="en-US"/>
        </w:rPr>
        <w:t>finds</w:t>
      </w:r>
      <w:r w:rsidR="00410261">
        <w:rPr>
          <w:rFonts w:cstheme="minorHAnsi"/>
          <w:color w:val="374149" w:themeColor="accent5"/>
          <w:lang w:val="en-US"/>
        </w:rPr>
        <w:t xml:space="preserve"> that </w:t>
      </w:r>
      <w:r w:rsidR="0004494C">
        <w:rPr>
          <w:rFonts w:cstheme="minorHAnsi"/>
          <w:color w:val="374149" w:themeColor="accent5"/>
          <w:lang w:val="en-US"/>
        </w:rPr>
        <w:t xml:space="preserve">an overwhelming majority of teachers believe that </w:t>
      </w:r>
      <w:r w:rsidR="00DC6140">
        <w:rPr>
          <w:rFonts w:cstheme="minorHAnsi"/>
          <w:color w:val="374149" w:themeColor="accent5"/>
          <w:lang w:val="en-US"/>
        </w:rPr>
        <w:t xml:space="preserve">“shared </w:t>
      </w:r>
      <w:r w:rsidR="00A20411">
        <w:rPr>
          <w:rFonts w:cstheme="minorHAnsi"/>
          <w:color w:val="374149" w:themeColor="accent5"/>
          <w:lang w:val="en-US"/>
        </w:rPr>
        <w:t>high</w:t>
      </w:r>
      <w:r w:rsidR="00DC6140">
        <w:rPr>
          <w:rFonts w:cstheme="minorHAnsi"/>
          <w:color w:val="374149" w:themeColor="accent5"/>
          <w:lang w:val="en-US"/>
        </w:rPr>
        <w:t>-</w:t>
      </w:r>
      <w:r w:rsidR="00A20411">
        <w:rPr>
          <w:rFonts w:cstheme="minorHAnsi"/>
          <w:color w:val="374149" w:themeColor="accent5"/>
          <w:lang w:val="en-US"/>
        </w:rPr>
        <w:t>quality</w:t>
      </w:r>
      <w:r w:rsidR="00DC6140">
        <w:rPr>
          <w:rFonts w:cstheme="minorHAnsi"/>
          <w:color w:val="374149" w:themeColor="accent5"/>
          <w:lang w:val="en-US"/>
        </w:rPr>
        <w:t xml:space="preserve"> instructional</w:t>
      </w:r>
      <w:r w:rsidR="00A20411">
        <w:rPr>
          <w:rFonts w:cstheme="minorHAnsi"/>
          <w:color w:val="374149" w:themeColor="accent5"/>
          <w:lang w:val="en-US"/>
        </w:rPr>
        <w:t xml:space="preserve"> materials</w:t>
      </w:r>
      <w:r w:rsidR="00B12B74">
        <w:rPr>
          <w:rFonts w:cstheme="minorHAnsi"/>
          <w:color w:val="374149" w:themeColor="accent5"/>
          <w:lang w:val="en-US"/>
        </w:rPr>
        <w:t>”</w:t>
      </w:r>
      <w:r w:rsidR="00E44242">
        <w:rPr>
          <w:rStyle w:val="FootnoteReference"/>
          <w:rFonts w:cstheme="minorHAnsi"/>
          <w:color w:val="374149" w:themeColor="accent5"/>
          <w:lang w:val="en-US"/>
        </w:rPr>
        <w:footnoteReference w:id="14"/>
      </w:r>
      <w:r w:rsidR="00A20411">
        <w:rPr>
          <w:rFonts w:cstheme="minorHAnsi"/>
          <w:color w:val="374149" w:themeColor="accent5"/>
          <w:lang w:val="en-US"/>
        </w:rPr>
        <w:t xml:space="preserve"> would support </w:t>
      </w:r>
      <w:r w:rsidR="0004494C">
        <w:rPr>
          <w:rFonts w:cstheme="minorHAnsi"/>
          <w:color w:val="374149" w:themeColor="accent5"/>
          <w:lang w:val="en-US"/>
        </w:rPr>
        <w:t xml:space="preserve">them </w:t>
      </w:r>
      <w:r w:rsidR="00A20411">
        <w:rPr>
          <w:rFonts w:cstheme="minorHAnsi"/>
          <w:color w:val="374149" w:themeColor="accent5"/>
          <w:lang w:val="en-US"/>
        </w:rPr>
        <w:t>with their workloa</w:t>
      </w:r>
      <w:r w:rsidR="00EF47F8">
        <w:rPr>
          <w:rFonts w:cstheme="minorHAnsi"/>
          <w:color w:val="374149" w:themeColor="accent5"/>
          <w:lang w:val="en-US"/>
        </w:rPr>
        <w:t>d</w:t>
      </w:r>
      <w:r w:rsidR="00A20411">
        <w:rPr>
          <w:rFonts w:cstheme="minorHAnsi"/>
          <w:color w:val="374149" w:themeColor="accent5"/>
          <w:lang w:val="en-US"/>
        </w:rPr>
        <w:t xml:space="preserve"> and help them deliver stronger benefits in the classroom</w:t>
      </w:r>
      <w:r w:rsidR="001440A0">
        <w:rPr>
          <w:rFonts w:cstheme="minorHAnsi"/>
          <w:color w:val="374149" w:themeColor="accent5"/>
          <w:lang w:val="en-US"/>
        </w:rPr>
        <w:t>.</w:t>
      </w:r>
    </w:p>
    <w:p w14:paraId="5882CB4D" w14:textId="37FECFD9" w:rsidR="00A20411" w:rsidRDefault="00A20411" w:rsidP="004A0251">
      <w:pPr>
        <w:pStyle w:val="ListParagraph"/>
        <w:numPr>
          <w:ilvl w:val="0"/>
          <w:numId w:val="48"/>
        </w:numPr>
        <w:rPr>
          <w:rFonts w:cstheme="minorHAnsi"/>
          <w:color w:val="374149" w:themeColor="accent5"/>
          <w:lang w:val="en-US"/>
        </w:rPr>
      </w:pPr>
      <w:r>
        <w:rPr>
          <w:rFonts w:cstheme="minorHAnsi"/>
          <w:color w:val="374149" w:themeColor="accent5"/>
          <w:lang w:val="en-US"/>
        </w:rPr>
        <w:t>90</w:t>
      </w:r>
      <w:r w:rsidR="00B12B74">
        <w:rPr>
          <w:rFonts w:cstheme="minorHAnsi"/>
          <w:color w:val="374149" w:themeColor="accent5"/>
          <w:lang w:val="en-US"/>
        </w:rPr>
        <w:t xml:space="preserve"> per cent </w:t>
      </w:r>
      <w:r w:rsidRPr="00A20411">
        <w:rPr>
          <w:rFonts w:cstheme="minorHAnsi"/>
          <w:color w:val="374149" w:themeColor="accent5"/>
          <w:lang w:val="en-US"/>
        </w:rPr>
        <w:t>sa</w:t>
      </w:r>
      <w:r w:rsidR="007F7809">
        <w:rPr>
          <w:rFonts w:cstheme="minorHAnsi"/>
          <w:color w:val="374149" w:themeColor="accent5"/>
          <w:lang w:val="en-US"/>
        </w:rPr>
        <w:t>id</w:t>
      </w:r>
      <w:r w:rsidRPr="00A20411">
        <w:rPr>
          <w:rFonts w:cstheme="minorHAnsi"/>
          <w:color w:val="374149" w:themeColor="accent5"/>
          <w:lang w:val="en-US"/>
        </w:rPr>
        <w:t xml:space="preserve"> it would give them </w:t>
      </w:r>
      <w:r w:rsidR="00767A39">
        <w:rPr>
          <w:rFonts w:cstheme="minorHAnsi"/>
          <w:color w:val="374149" w:themeColor="accent5"/>
          <w:lang w:val="en-US"/>
        </w:rPr>
        <w:t>“</w:t>
      </w:r>
      <w:r w:rsidRPr="00A20411">
        <w:rPr>
          <w:rFonts w:cstheme="minorHAnsi"/>
          <w:color w:val="374149" w:themeColor="accent5"/>
          <w:lang w:val="en-US"/>
        </w:rPr>
        <w:t xml:space="preserve">more time to focus on </w:t>
      </w:r>
      <w:r w:rsidR="007F7809">
        <w:rPr>
          <w:rFonts w:cstheme="minorHAnsi"/>
          <w:color w:val="374149" w:themeColor="accent5"/>
          <w:lang w:val="en-US"/>
        </w:rPr>
        <w:t xml:space="preserve">improving </w:t>
      </w:r>
      <w:r w:rsidRPr="00A20411">
        <w:rPr>
          <w:rFonts w:cstheme="minorHAnsi"/>
          <w:color w:val="374149" w:themeColor="accent5"/>
          <w:lang w:val="en-US"/>
        </w:rPr>
        <w:t>their classroom practice</w:t>
      </w:r>
      <w:r w:rsidR="00B950CB">
        <w:rPr>
          <w:rFonts w:cstheme="minorHAnsi"/>
          <w:color w:val="374149" w:themeColor="accent5"/>
          <w:lang w:val="en-US"/>
        </w:rPr>
        <w:t>.</w:t>
      </w:r>
      <w:r w:rsidR="00767A39">
        <w:rPr>
          <w:rFonts w:cstheme="minorHAnsi"/>
          <w:color w:val="374149" w:themeColor="accent5"/>
          <w:lang w:val="en-US"/>
        </w:rPr>
        <w:t>”</w:t>
      </w:r>
      <w:r w:rsidR="004C003D">
        <w:rPr>
          <w:rStyle w:val="FootnoteReference"/>
          <w:rFonts w:cstheme="minorHAnsi"/>
          <w:color w:val="374149" w:themeColor="accent5"/>
          <w:lang w:val="en-US"/>
        </w:rPr>
        <w:footnoteReference w:id="15"/>
      </w:r>
    </w:p>
    <w:p w14:paraId="0F233FF6" w14:textId="45789412" w:rsidR="00A20411" w:rsidRDefault="008958EE" w:rsidP="004A0251">
      <w:pPr>
        <w:pStyle w:val="ListParagraph"/>
        <w:numPr>
          <w:ilvl w:val="0"/>
          <w:numId w:val="48"/>
        </w:numPr>
        <w:rPr>
          <w:rFonts w:cstheme="minorHAnsi"/>
          <w:color w:val="374149" w:themeColor="accent5"/>
          <w:lang w:val="en-US"/>
        </w:rPr>
      </w:pPr>
      <w:r w:rsidRPr="008958EE">
        <w:rPr>
          <w:rFonts w:cstheme="minorHAnsi"/>
          <w:color w:val="374149" w:themeColor="accent5"/>
          <w:lang w:val="en-US"/>
        </w:rPr>
        <w:t>88</w:t>
      </w:r>
      <w:r w:rsidR="00767A39">
        <w:rPr>
          <w:rFonts w:cstheme="minorHAnsi"/>
          <w:color w:val="374149" w:themeColor="accent5"/>
          <w:lang w:val="en-US"/>
        </w:rPr>
        <w:t xml:space="preserve"> per cent </w:t>
      </w:r>
      <w:r w:rsidR="008D6693">
        <w:rPr>
          <w:rFonts w:cstheme="minorHAnsi"/>
          <w:color w:val="374149" w:themeColor="accent5"/>
          <w:lang w:val="en-US"/>
        </w:rPr>
        <w:t>s</w:t>
      </w:r>
      <w:r w:rsidR="00333DE5">
        <w:rPr>
          <w:rFonts w:cstheme="minorHAnsi"/>
          <w:color w:val="374149" w:themeColor="accent5"/>
          <w:lang w:val="en-US"/>
        </w:rPr>
        <w:t xml:space="preserve">aid </w:t>
      </w:r>
      <w:r w:rsidRPr="008958EE">
        <w:rPr>
          <w:rFonts w:cstheme="minorHAnsi"/>
          <w:color w:val="374149" w:themeColor="accent5"/>
          <w:lang w:val="en-US"/>
        </w:rPr>
        <w:t>it would give t</w:t>
      </w:r>
      <w:r w:rsidR="00333DE5">
        <w:rPr>
          <w:rFonts w:cstheme="minorHAnsi"/>
          <w:color w:val="374149" w:themeColor="accent5"/>
          <w:lang w:val="en-US"/>
        </w:rPr>
        <w:t>hem</w:t>
      </w:r>
      <w:r w:rsidRPr="008958EE">
        <w:rPr>
          <w:rFonts w:cstheme="minorHAnsi"/>
          <w:color w:val="374149" w:themeColor="accent5"/>
          <w:lang w:val="en-US"/>
        </w:rPr>
        <w:t xml:space="preserve"> </w:t>
      </w:r>
      <w:r w:rsidR="00333DE5">
        <w:rPr>
          <w:rFonts w:cstheme="minorHAnsi"/>
          <w:color w:val="374149" w:themeColor="accent5"/>
          <w:lang w:val="en-US"/>
        </w:rPr>
        <w:t>“</w:t>
      </w:r>
      <w:r w:rsidRPr="008958EE">
        <w:rPr>
          <w:rFonts w:cstheme="minorHAnsi"/>
          <w:color w:val="374149" w:themeColor="accent5"/>
          <w:lang w:val="en-US"/>
        </w:rPr>
        <w:t>more time to evaluate and respond to individual student learning needs</w:t>
      </w:r>
      <w:r w:rsidR="00B950CB">
        <w:rPr>
          <w:rFonts w:cstheme="minorHAnsi"/>
          <w:color w:val="374149" w:themeColor="accent5"/>
          <w:lang w:val="en-US"/>
        </w:rPr>
        <w:t>.</w:t>
      </w:r>
      <w:r>
        <w:rPr>
          <w:rFonts w:cstheme="minorHAnsi"/>
          <w:color w:val="374149" w:themeColor="accent5"/>
          <w:lang w:val="en-US"/>
        </w:rPr>
        <w:t>”</w:t>
      </w:r>
      <w:r w:rsidR="004C003D">
        <w:rPr>
          <w:rStyle w:val="FootnoteReference"/>
          <w:rFonts w:cstheme="minorHAnsi"/>
          <w:color w:val="374149" w:themeColor="accent5"/>
          <w:lang w:val="en-US"/>
        </w:rPr>
        <w:footnoteReference w:id="16"/>
      </w:r>
    </w:p>
    <w:p w14:paraId="5E5FD557" w14:textId="392C256C" w:rsidR="008958EE" w:rsidRDefault="004C0AFF" w:rsidP="004A0251">
      <w:pPr>
        <w:pStyle w:val="ListParagraph"/>
        <w:numPr>
          <w:ilvl w:val="0"/>
          <w:numId w:val="48"/>
        </w:numPr>
        <w:rPr>
          <w:rFonts w:cstheme="minorHAnsi"/>
          <w:color w:val="374149" w:themeColor="accent5"/>
          <w:lang w:val="en-US"/>
        </w:rPr>
      </w:pPr>
      <w:r w:rsidRPr="004C0AFF">
        <w:rPr>
          <w:rFonts w:cstheme="minorHAnsi"/>
          <w:color w:val="374149" w:themeColor="accent5"/>
          <w:lang w:val="en-US"/>
        </w:rPr>
        <w:t>93</w:t>
      </w:r>
      <w:r w:rsidR="00595BC6">
        <w:rPr>
          <w:rFonts w:cstheme="minorHAnsi"/>
          <w:color w:val="374149" w:themeColor="accent5"/>
          <w:lang w:val="en-US"/>
        </w:rPr>
        <w:t xml:space="preserve"> per cent </w:t>
      </w:r>
      <w:r w:rsidR="008D6693">
        <w:rPr>
          <w:rFonts w:cstheme="minorHAnsi"/>
          <w:color w:val="374149" w:themeColor="accent5"/>
          <w:lang w:val="en-US"/>
        </w:rPr>
        <w:t xml:space="preserve">said </w:t>
      </w:r>
      <w:r w:rsidRPr="004C0AFF">
        <w:rPr>
          <w:rFonts w:cstheme="minorHAnsi"/>
          <w:color w:val="374149" w:themeColor="accent5"/>
          <w:lang w:val="en-US"/>
        </w:rPr>
        <w:t xml:space="preserve">beginning teachers should be </w:t>
      </w:r>
      <w:r w:rsidR="00E44242">
        <w:rPr>
          <w:rFonts w:cstheme="minorHAnsi"/>
          <w:color w:val="374149" w:themeColor="accent5"/>
          <w:lang w:val="en-US"/>
        </w:rPr>
        <w:t>“</w:t>
      </w:r>
      <w:r w:rsidRPr="004C0AFF">
        <w:rPr>
          <w:rFonts w:cstheme="minorHAnsi"/>
          <w:color w:val="374149" w:themeColor="accent5"/>
          <w:lang w:val="en-US"/>
        </w:rPr>
        <w:t>provided with shared high-quality instructional materials</w:t>
      </w:r>
      <w:r w:rsidR="00E44242">
        <w:rPr>
          <w:rFonts w:cstheme="minorHAnsi"/>
          <w:color w:val="374149" w:themeColor="accent5"/>
          <w:lang w:val="en-US"/>
        </w:rPr>
        <w:t xml:space="preserve"> that they can </w:t>
      </w:r>
      <w:r w:rsidRPr="004C0AFF">
        <w:rPr>
          <w:rFonts w:cstheme="minorHAnsi"/>
          <w:color w:val="374149" w:themeColor="accent5"/>
          <w:lang w:val="en-US"/>
        </w:rPr>
        <w:t>use in their classes</w:t>
      </w:r>
      <w:r w:rsidR="00B950CB">
        <w:rPr>
          <w:rFonts w:cstheme="minorHAnsi"/>
          <w:color w:val="374149" w:themeColor="accent5"/>
          <w:lang w:val="en-US"/>
        </w:rPr>
        <w:t>.</w:t>
      </w:r>
      <w:r>
        <w:rPr>
          <w:rFonts w:cstheme="minorHAnsi"/>
          <w:color w:val="374149" w:themeColor="accent5"/>
          <w:lang w:val="en-US"/>
        </w:rPr>
        <w:t>”</w:t>
      </w:r>
      <w:r w:rsidR="004C003D">
        <w:rPr>
          <w:rStyle w:val="FootnoteReference"/>
          <w:rFonts w:cstheme="minorHAnsi"/>
          <w:color w:val="374149" w:themeColor="accent5"/>
          <w:lang w:val="en-US"/>
        </w:rPr>
        <w:footnoteReference w:id="17"/>
      </w:r>
    </w:p>
    <w:p w14:paraId="48371FC4" w14:textId="4BE8C69C" w:rsidR="00DC0728" w:rsidRDefault="00B6334B" w:rsidP="004A0251">
      <w:pPr>
        <w:rPr>
          <w:rFonts w:cstheme="minorHAnsi"/>
          <w:color w:val="374149" w:themeColor="accent5"/>
          <w:lang w:val="en-US"/>
        </w:rPr>
      </w:pPr>
      <w:r>
        <w:rPr>
          <w:rFonts w:cstheme="minorHAnsi"/>
          <w:color w:val="374149" w:themeColor="accent5"/>
          <w:lang w:val="en-US"/>
        </w:rPr>
        <w:t xml:space="preserve">Teachers also believed that </w:t>
      </w:r>
      <w:r w:rsidR="0029194F">
        <w:rPr>
          <w:rFonts w:cstheme="minorHAnsi"/>
          <w:color w:val="374149" w:themeColor="accent5"/>
          <w:lang w:val="en-US"/>
        </w:rPr>
        <w:t>high</w:t>
      </w:r>
      <w:r w:rsidR="002032FD">
        <w:rPr>
          <w:rFonts w:cstheme="minorHAnsi"/>
          <w:color w:val="374149" w:themeColor="accent5"/>
          <w:lang w:val="en-US"/>
        </w:rPr>
        <w:t>-</w:t>
      </w:r>
      <w:r w:rsidR="0029194F">
        <w:rPr>
          <w:rFonts w:cstheme="minorHAnsi"/>
          <w:color w:val="374149" w:themeColor="accent5"/>
          <w:lang w:val="en-US"/>
        </w:rPr>
        <w:t xml:space="preserve">quality teaching tools result in </w:t>
      </w:r>
      <w:r w:rsidRPr="00B6334B">
        <w:rPr>
          <w:rFonts w:cstheme="minorHAnsi"/>
          <w:color w:val="374149" w:themeColor="accent5"/>
          <w:lang w:val="en-US"/>
        </w:rPr>
        <w:t>more consistent</w:t>
      </w:r>
      <w:r w:rsidR="006B2963">
        <w:rPr>
          <w:rFonts w:cstheme="minorHAnsi"/>
          <w:color w:val="374149" w:themeColor="accent5"/>
          <w:lang w:val="en-US"/>
        </w:rPr>
        <w:t xml:space="preserve"> learning and </w:t>
      </w:r>
      <w:r w:rsidRPr="00B6334B">
        <w:rPr>
          <w:rFonts w:cstheme="minorHAnsi"/>
          <w:color w:val="374149" w:themeColor="accent5"/>
          <w:lang w:val="en-US"/>
        </w:rPr>
        <w:t>greater teacher satisfaction</w:t>
      </w:r>
      <w:r w:rsidR="004A2470">
        <w:rPr>
          <w:rFonts w:cstheme="minorHAnsi"/>
          <w:color w:val="374149" w:themeColor="accent5"/>
          <w:lang w:val="en-US"/>
        </w:rPr>
        <w:t>.</w:t>
      </w:r>
      <w:r w:rsidR="006B2963">
        <w:rPr>
          <w:rStyle w:val="FootnoteReference"/>
          <w:rFonts w:cstheme="minorHAnsi"/>
          <w:color w:val="374149" w:themeColor="accent5"/>
          <w:lang w:val="en-US"/>
        </w:rPr>
        <w:footnoteReference w:id="18"/>
      </w:r>
      <w:r w:rsidR="00715623">
        <w:rPr>
          <w:rFonts w:cstheme="minorHAnsi"/>
          <w:color w:val="374149" w:themeColor="accent5"/>
          <w:lang w:val="en-US"/>
        </w:rPr>
        <w:t xml:space="preserve"> A comprehensive bank of high</w:t>
      </w:r>
      <w:r w:rsidR="004A2470">
        <w:rPr>
          <w:rFonts w:cstheme="minorHAnsi"/>
          <w:color w:val="374149" w:themeColor="accent5"/>
          <w:lang w:val="en-US"/>
        </w:rPr>
        <w:t>-</w:t>
      </w:r>
      <w:r w:rsidR="00715623">
        <w:rPr>
          <w:rFonts w:cstheme="minorHAnsi"/>
          <w:color w:val="374149" w:themeColor="accent5"/>
          <w:lang w:val="en-US"/>
        </w:rPr>
        <w:t xml:space="preserve">quality materials would save </w:t>
      </w:r>
      <w:r w:rsidR="00784CC0">
        <w:rPr>
          <w:rFonts w:cstheme="minorHAnsi"/>
          <w:color w:val="374149" w:themeColor="accent5"/>
          <w:lang w:val="en-US"/>
        </w:rPr>
        <w:t>individual</w:t>
      </w:r>
      <w:r w:rsidR="00D1634B">
        <w:rPr>
          <w:rFonts w:cstheme="minorHAnsi"/>
          <w:color w:val="374149" w:themeColor="accent5"/>
          <w:lang w:val="en-US"/>
        </w:rPr>
        <w:t xml:space="preserve"> </w:t>
      </w:r>
      <w:r w:rsidR="00715623">
        <w:rPr>
          <w:rFonts w:cstheme="minorHAnsi"/>
          <w:color w:val="374149" w:themeColor="accent5"/>
          <w:lang w:val="en-US"/>
        </w:rPr>
        <w:t>teacher</w:t>
      </w:r>
      <w:r w:rsidR="00784CC0">
        <w:rPr>
          <w:rFonts w:cstheme="minorHAnsi"/>
          <w:color w:val="374149" w:themeColor="accent5"/>
          <w:lang w:val="en-US"/>
        </w:rPr>
        <w:t>s</w:t>
      </w:r>
      <w:r w:rsidR="00715623">
        <w:rPr>
          <w:rFonts w:cstheme="minorHAnsi"/>
          <w:color w:val="374149" w:themeColor="accent5"/>
          <w:lang w:val="en-US"/>
        </w:rPr>
        <w:t xml:space="preserve"> 3 hours a </w:t>
      </w:r>
      <w:r w:rsidR="00A50022">
        <w:rPr>
          <w:rFonts w:cstheme="minorHAnsi"/>
          <w:color w:val="374149" w:themeColor="accent5"/>
          <w:lang w:val="en-US"/>
        </w:rPr>
        <w:t>week</w:t>
      </w:r>
      <w:r w:rsidR="00715623">
        <w:rPr>
          <w:rFonts w:cstheme="minorHAnsi"/>
          <w:color w:val="374149" w:themeColor="accent5"/>
          <w:lang w:val="en-US"/>
        </w:rPr>
        <w:t xml:space="preserve">, </w:t>
      </w:r>
      <w:r w:rsidR="00784CC0">
        <w:rPr>
          <w:rFonts w:cstheme="minorHAnsi"/>
          <w:color w:val="374149" w:themeColor="accent5"/>
          <w:lang w:val="en-US"/>
        </w:rPr>
        <w:t xml:space="preserve">and Australian teachers collectively </w:t>
      </w:r>
      <w:r w:rsidR="00A50022">
        <w:rPr>
          <w:rFonts w:cstheme="minorHAnsi"/>
          <w:color w:val="374149" w:themeColor="accent5"/>
          <w:lang w:val="en-US"/>
        </w:rPr>
        <w:t>20 million hours a year.</w:t>
      </w:r>
      <w:r w:rsidR="00FA6F9B">
        <w:rPr>
          <w:rStyle w:val="FootnoteReference"/>
          <w:rFonts w:cstheme="minorHAnsi"/>
          <w:color w:val="374149" w:themeColor="accent5"/>
          <w:lang w:val="en-US"/>
        </w:rPr>
        <w:footnoteReference w:id="19"/>
      </w:r>
    </w:p>
    <w:p w14:paraId="43F8AB01" w14:textId="4005E22C" w:rsidR="00F00D23" w:rsidRDefault="00F00D23" w:rsidP="004A0251">
      <w:pPr>
        <w:rPr>
          <w:rFonts w:cstheme="minorHAnsi"/>
          <w:color w:val="374149" w:themeColor="accent5"/>
          <w:lang w:val="en-US"/>
        </w:rPr>
      </w:pPr>
      <w:r>
        <w:rPr>
          <w:rFonts w:cstheme="minorHAnsi"/>
          <w:color w:val="374149" w:themeColor="accent5"/>
          <w:lang w:val="en-US"/>
        </w:rPr>
        <w:t>The good news is that Australia has a strong track record in developing shared national assets in the form of quality assured, curriculum-linked digital teaching and learning resources that are fr</w:t>
      </w:r>
      <w:r w:rsidRPr="00F25753">
        <w:rPr>
          <w:rFonts w:cstheme="minorHAnsi"/>
          <w:color w:val="374149" w:themeColor="accent5"/>
          <w:lang w:val="en-US"/>
        </w:rPr>
        <w:t xml:space="preserve">eely available to all teachers in all Australian schools. </w:t>
      </w:r>
      <w:r w:rsidR="004E049D">
        <w:rPr>
          <w:rFonts w:cstheme="minorHAnsi"/>
          <w:color w:val="374149" w:themeColor="accent5"/>
          <w:lang w:val="en-US"/>
        </w:rPr>
        <w:t>As outlined in the following sections, the</w:t>
      </w:r>
      <w:r w:rsidRPr="00F25753">
        <w:rPr>
          <w:rFonts w:cstheme="minorHAnsi"/>
          <w:color w:val="374149" w:themeColor="accent5"/>
          <w:lang w:val="en-US"/>
        </w:rPr>
        <w:t xml:space="preserve"> policy and technical infrastructure that enables this sharing to occur is in place and can be leveraged to quickly and cost effectively achieve this objective.</w:t>
      </w:r>
      <w:r>
        <w:rPr>
          <w:rFonts w:cstheme="minorHAnsi"/>
          <w:color w:val="374149" w:themeColor="accent5"/>
          <w:lang w:val="en-US"/>
        </w:rPr>
        <w:t xml:space="preserve"> </w:t>
      </w:r>
    </w:p>
    <w:p w14:paraId="74CA6BC5" w14:textId="41C4A57C" w:rsidR="00156DEB" w:rsidRPr="00562F8D" w:rsidRDefault="00156DEB" w:rsidP="00B713C1">
      <w:pPr>
        <w:pStyle w:val="Heading2"/>
        <w:spacing w:after="120"/>
        <w:rPr>
          <w:rFonts w:cstheme="majorHAnsi"/>
          <w:b/>
          <w:bCs/>
          <w:sz w:val="20"/>
          <w:szCs w:val="20"/>
        </w:rPr>
      </w:pPr>
      <w:r w:rsidRPr="00562F8D">
        <w:rPr>
          <w:rFonts w:cstheme="majorHAnsi"/>
          <w:b/>
          <w:bCs/>
          <w:sz w:val="20"/>
          <w:szCs w:val="20"/>
        </w:rPr>
        <w:t xml:space="preserve">An important, and timely, role </w:t>
      </w:r>
      <w:r w:rsidR="003C630B" w:rsidRPr="00562F8D">
        <w:rPr>
          <w:rFonts w:cstheme="majorHAnsi"/>
          <w:b/>
          <w:bCs/>
          <w:sz w:val="20"/>
          <w:szCs w:val="20"/>
        </w:rPr>
        <w:t>for</w:t>
      </w:r>
      <w:r w:rsidRPr="00562F8D">
        <w:rPr>
          <w:rFonts w:cstheme="majorHAnsi"/>
          <w:b/>
          <w:bCs/>
          <w:sz w:val="20"/>
          <w:szCs w:val="20"/>
        </w:rPr>
        <w:t xml:space="preserve"> digital technologies</w:t>
      </w:r>
    </w:p>
    <w:p w14:paraId="497185C8" w14:textId="671DFD02" w:rsidR="00C15F82" w:rsidRPr="00C15F82" w:rsidRDefault="00C15F82" w:rsidP="004A0251">
      <w:pPr>
        <w:rPr>
          <w:rFonts w:cstheme="minorHAnsi"/>
          <w:color w:val="374149" w:themeColor="accent5"/>
          <w:lang w:val="en-US"/>
        </w:rPr>
      </w:pPr>
      <w:r w:rsidRPr="00C15F82">
        <w:rPr>
          <w:rFonts w:cstheme="minorHAnsi"/>
          <w:color w:val="374149" w:themeColor="accent5"/>
          <w:lang w:val="en-US"/>
        </w:rPr>
        <w:t>Education technology is not new to Australia’s teachers. Since the early 2000s, the education sector has been willing to explore ways in which technology can help students to learn better, help teachers to teach better and reduce the administrative burden in schools. Not all our efforts on this front have been successful</w:t>
      </w:r>
      <w:r w:rsidR="00946441">
        <w:rPr>
          <w:rFonts w:cstheme="minorHAnsi"/>
          <w:color w:val="374149" w:themeColor="accent5"/>
          <w:lang w:val="en-US"/>
        </w:rPr>
        <w:t>,</w:t>
      </w:r>
      <w:r w:rsidRPr="00C15F82">
        <w:rPr>
          <w:rFonts w:cstheme="minorHAnsi"/>
          <w:color w:val="374149" w:themeColor="accent5"/>
          <w:lang w:val="en-US"/>
        </w:rPr>
        <w:t xml:space="preserve"> but there is no doubt that the role and impact of technology in education has grown exponentially. </w:t>
      </w:r>
    </w:p>
    <w:p w14:paraId="0849DFF7" w14:textId="28C394C3" w:rsidR="0091578F" w:rsidRDefault="00C15F82" w:rsidP="004A0251">
      <w:pPr>
        <w:rPr>
          <w:rFonts w:cstheme="minorHAnsi"/>
          <w:color w:val="374149" w:themeColor="accent5"/>
          <w:lang w:val="en-US"/>
        </w:rPr>
      </w:pPr>
      <w:r w:rsidRPr="00C15F82">
        <w:rPr>
          <w:rFonts w:cstheme="minorHAnsi"/>
          <w:color w:val="374149" w:themeColor="accent5"/>
          <w:lang w:val="en-US"/>
        </w:rPr>
        <w:t>These education technologies</w:t>
      </w:r>
      <w:r w:rsidR="00946441">
        <w:rPr>
          <w:rFonts w:cstheme="minorHAnsi"/>
          <w:color w:val="374149" w:themeColor="accent5"/>
          <w:lang w:val="en-US"/>
        </w:rPr>
        <w:t xml:space="preserve"> – new </w:t>
      </w:r>
      <w:r w:rsidRPr="00C15F82">
        <w:rPr>
          <w:rFonts w:cstheme="minorHAnsi"/>
          <w:color w:val="374149" w:themeColor="accent5"/>
          <w:lang w:val="en-US"/>
        </w:rPr>
        <w:t>and emerging</w:t>
      </w:r>
      <w:r w:rsidR="00946441">
        <w:rPr>
          <w:rFonts w:cstheme="minorHAnsi"/>
          <w:color w:val="374149" w:themeColor="accent5"/>
          <w:lang w:val="en-US"/>
        </w:rPr>
        <w:t xml:space="preserve"> – are </w:t>
      </w:r>
      <w:r w:rsidRPr="00C15F82">
        <w:rPr>
          <w:rFonts w:cstheme="minorHAnsi"/>
          <w:color w:val="374149" w:themeColor="accent5"/>
          <w:lang w:val="en-US"/>
        </w:rPr>
        <w:t xml:space="preserve">important assets in our efforts to support teachers and allow them to focus on what they do best, shaping the learning of young Australians. </w:t>
      </w:r>
      <w:r w:rsidR="0028771A">
        <w:rPr>
          <w:rFonts w:cstheme="minorHAnsi"/>
          <w:color w:val="374149" w:themeColor="accent5"/>
          <w:lang w:val="en-US"/>
        </w:rPr>
        <w:t>It is also worth noting that providing</w:t>
      </w:r>
      <w:r w:rsidR="0028771A" w:rsidRPr="00BF5D10">
        <w:rPr>
          <w:rFonts w:cstheme="minorHAnsi"/>
          <w:color w:val="374149" w:themeColor="accent5"/>
          <w:lang w:val="en-US"/>
        </w:rPr>
        <w:t xml:space="preserve"> consistent, safe, high</w:t>
      </w:r>
      <w:r w:rsidR="0028771A">
        <w:rPr>
          <w:rFonts w:cstheme="minorHAnsi"/>
          <w:color w:val="374149" w:themeColor="accent5"/>
          <w:lang w:val="en-US"/>
        </w:rPr>
        <w:t>-</w:t>
      </w:r>
      <w:r w:rsidR="0028771A" w:rsidRPr="00BF5D10">
        <w:rPr>
          <w:rFonts w:cstheme="minorHAnsi"/>
          <w:color w:val="374149" w:themeColor="accent5"/>
          <w:lang w:val="en-US"/>
        </w:rPr>
        <w:t xml:space="preserve">quality resources and tools </w:t>
      </w:r>
      <w:r w:rsidR="0028771A">
        <w:rPr>
          <w:rFonts w:cstheme="minorHAnsi"/>
          <w:color w:val="374149" w:themeColor="accent5"/>
          <w:lang w:val="en-US"/>
        </w:rPr>
        <w:t>online,</w:t>
      </w:r>
      <w:r w:rsidR="0028771A" w:rsidRPr="00BF5D10">
        <w:rPr>
          <w:rFonts w:cstheme="minorHAnsi"/>
          <w:color w:val="374149" w:themeColor="accent5"/>
          <w:lang w:val="en-US"/>
        </w:rPr>
        <w:t xml:space="preserve"> without the difficulty of procurement </w:t>
      </w:r>
      <w:r w:rsidR="0028771A">
        <w:rPr>
          <w:rFonts w:cstheme="minorHAnsi"/>
          <w:color w:val="374149" w:themeColor="accent5"/>
          <w:lang w:val="en-US"/>
        </w:rPr>
        <w:t xml:space="preserve">enhances equity and accessibility, particularly </w:t>
      </w:r>
      <w:r w:rsidR="0028771A" w:rsidRPr="00BF5D10">
        <w:rPr>
          <w:rFonts w:cstheme="minorHAnsi"/>
          <w:color w:val="374149" w:themeColor="accent5"/>
          <w:lang w:val="en-US"/>
        </w:rPr>
        <w:t>for our most disadvantaged schools.</w:t>
      </w:r>
    </w:p>
    <w:p w14:paraId="28D9C25A" w14:textId="5F8A1C0E" w:rsidR="0091578F" w:rsidRDefault="00AE23E3" w:rsidP="004A0251">
      <w:pPr>
        <w:rPr>
          <w:rFonts w:cstheme="minorHAnsi"/>
          <w:color w:val="374149" w:themeColor="accent5"/>
          <w:lang w:val="en-US"/>
        </w:rPr>
      </w:pPr>
      <w:r>
        <w:rPr>
          <w:rFonts w:ascii="Arial" w:hAnsi="Arial" w:cs="Arial"/>
          <w:szCs w:val="24"/>
        </w:rPr>
        <w:t>Education</w:t>
      </w:r>
      <w:r w:rsidRPr="00A2127C">
        <w:rPr>
          <w:rFonts w:ascii="Arial" w:hAnsi="Arial" w:cs="Arial"/>
          <w:szCs w:val="24"/>
        </w:rPr>
        <w:t xml:space="preserve"> technologies </w:t>
      </w:r>
      <w:r>
        <w:rPr>
          <w:rFonts w:ascii="Arial" w:hAnsi="Arial" w:cs="Arial"/>
          <w:szCs w:val="24"/>
        </w:rPr>
        <w:t>can never</w:t>
      </w:r>
      <w:r w:rsidRPr="00A2127C">
        <w:rPr>
          <w:rFonts w:ascii="Arial" w:hAnsi="Arial" w:cs="Arial"/>
          <w:szCs w:val="24"/>
        </w:rPr>
        <w:t xml:space="preserve"> replace the expertise </w:t>
      </w:r>
      <w:r w:rsidR="001541AD">
        <w:rPr>
          <w:rFonts w:ascii="Arial" w:hAnsi="Arial" w:cs="Arial"/>
          <w:szCs w:val="24"/>
        </w:rPr>
        <w:t xml:space="preserve">of teachers and the </w:t>
      </w:r>
      <w:r w:rsidRPr="00A2127C">
        <w:rPr>
          <w:rFonts w:ascii="Arial" w:hAnsi="Arial" w:cs="Arial"/>
          <w:szCs w:val="24"/>
        </w:rPr>
        <w:t xml:space="preserve">personal connections </w:t>
      </w:r>
      <w:r w:rsidR="001541AD">
        <w:rPr>
          <w:rFonts w:ascii="Arial" w:hAnsi="Arial" w:cs="Arial"/>
          <w:szCs w:val="24"/>
        </w:rPr>
        <w:t>they develop with t</w:t>
      </w:r>
      <w:r w:rsidRPr="00A2127C">
        <w:rPr>
          <w:rFonts w:ascii="Arial" w:hAnsi="Arial" w:cs="Arial"/>
          <w:szCs w:val="24"/>
        </w:rPr>
        <w:t>heir students</w:t>
      </w:r>
      <w:r>
        <w:rPr>
          <w:rFonts w:ascii="Arial" w:hAnsi="Arial" w:cs="Arial"/>
          <w:szCs w:val="24"/>
        </w:rPr>
        <w:t xml:space="preserve">, but they can help inform, complement and supplement good teaching practice. </w:t>
      </w:r>
      <w:r w:rsidR="0091578F" w:rsidRPr="00C15F82">
        <w:rPr>
          <w:rFonts w:cstheme="minorHAnsi"/>
          <w:color w:val="374149" w:themeColor="accent5"/>
          <w:lang w:val="en-US"/>
        </w:rPr>
        <w:t xml:space="preserve">A combination of mature and emerging technologies can </w:t>
      </w:r>
      <w:r w:rsidR="005331AC" w:rsidRPr="00C15F82">
        <w:rPr>
          <w:rFonts w:cstheme="minorHAnsi"/>
          <w:color w:val="374149" w:themeColor="accent5"/>
          <w:lang w:val="en-US"/>
        </w:rPr>
        <w:t>improve the social status and relative attractiveness of the teaching profession</w:t>
      </w:r>
      <w:r w:rsidR="005331AC">
        <w:rPr>
          <w:rFonts w:cstheme="minorHAnsi"/>
          <w:color w:val="374149" w:themeColor="accent5"/>
          <w:lang w:val="en-US"/>
        </w:rPr>
        <w:t xml:space="preserve">, </w:t>
      </w:r>
      <w:r w:rsidR="0091578F" w:rsidRPr="00C15F82">
        <w:rPr>
          <w:rFonts w:cstheme="minorHAnsi"/>
          <w:color w:val="374149" w:themeColor="accent5"/>
          <w:lang w:val="en-US"/>
        </w:rPr>
        <w:t xml:space="preserve">play a valuable role to </w:t>
      </w:r>
      <w:r w:rsidR="0091578F">
        <w:rPr>
          <w:rFonts w:cstheme="minorHAnsi"/>
          <w:color w:val="374149" w:themeColor="accent5"/>
          <w:lang w:val="en-US"/>
        </w:rPr>
        <w:t>reduce the administrative burden on teachers</w:t>
      </w:r>
      <w:r w:rsidR="005331AC">
        <w:rPr>
          <w:rFonts w:cstheme="minorHAnsi"/>
          <w:color w:val="374149" w:themeColor="accent5"/>
          <w:lang w:val="en-US"/>
        </w:rPr>
        <w:t xml:space="preserve"> and</w:t>
      </w:r>
      <w:r w:rsidR="0091578F">
        <w:rPr>
          <w:rFonts w:cstheme="minorHAnsi"/>
          <w:color w:val="374149" w:themeColor="accent5"/>
          <w:lang w:val="en-US"/>
        </w:rPr>
        <w:t xml:space="preserve"> </w:t>
      </w:r>
      <w:r w:rsidR="00A40C54" w:rsidRPr="00C15F82">
        <w:rPr>
          <w:rFonts w:cstheme="minorHAnsi"/>
          <w:color w:val="374149" w:themeColor="accent5"/>
          <w:lang w:val="en-US"/>
        </w:rPr>
        <w:t>support them to develop and hone their expertise as practitioners</w:t>
      </w:r>
      <w:r w:rsidR="005331AC">
        <w:rPr>
          <w:rFonts w:cstheme="minorHAnsi"/>
          <w:color w:val="374149" w:themeColor="accent5"/>
          <w:lang w:val="en-US"/>
        </w:rPr>
        <w:t>.</w:t>
      </w:r>
    </w:p>
    <w:p w14:paraId="3D61EB69" w14:textId="77777777" w:rsidR="002C5C11" w:rsidRPr="00B13EBE" w:rsidRDefault="002C5C11" w:rsidP="004A0251">
      <w:pPr>
        <w:rPr>
          <w:rFonts w:cstheme="minorHAnsi"/>
          <w:i/>
          <w:iCs/>
          <w:color w:val="374149" w:themeColor="accent5"/>
          <w:lang w:val="en-US"/>
        </w:rPr>
      </w:pPr>
      <w:r w:rsidRPr="00B13EBE">
        <w:rPr>
          <w:rFonts w:cstheme="minorHAnsi"/>
          <w:i/>
          <w:iCs/>
          <w:color w:val="241773" w:themeColor="accent1"/>
        </w:rPr>
        <w:t>The attractiveness of a technology-rich teaching career</w:t>
      </w:r>
    </w:p>
    <w:p w14:paraId="7090F01C" w14:textId="4E75802A" w:rsidR="002C5C11" w:rsidRDefault="002C5C11" w:rsidP="004A0251">
      <w:pPr>
        <w:rPr>
          <w:rFonts w:cstheme="minorHAnsi"/>
          <w:color w:val="374149" w:themeColor="accent5"/>
          <w:lang w:val="en-US"/>
        </w:rPr>
      </w:pPr>
      <w:r>
        <w:rPr>
          <w:rFonts w:ascii="Arial" w:hAnsi="Arial" w:cs="Arial"/>
          <w:szCs w:val="24"/>
        </w:rPr>
        <w:t xml:space="preserve">Education technologies can help unlock </w:t>
      </w:r>
      <w:r>
        <w:rPr>
          <w:rFonts w:cstheme="minorHAnsi"/>
          <w:color w:val="374149" w:themeColor="accent5"/>
          <w:lang w:val="en-US"/>
        </w:rPr>
        <w:t xml:space="preserve">dynamic solutions to the challenges of attracting and retaining a </w:t>
      </w:r>
      <w:r w:rsidR="00FF6DC9">
        <w:rPr>
          <w:rFonts w:cstheme="minorHAnsi"/>
          <w:color w:val="374149" w:themeColor="accent5"/>
          <w:lang w:val="en-US"/>
        </w:rPr>
        <w:t>high-quality</w:t>
      </w:r>
      <w:r>
        <w:rPr>
          <w:rFonts w:cstheme="minorHAnsi"/>
          <w:color w:val="374149" w:themeColor="accent5"/>
          <w:lang w:val="en-US"/>
        </w:rPr>
        <w:t xml:space="preserve"> teaching workforce.</w:t>
      </w:r>
    </w:p>
    <w:p w14:paraId="035861A1" w14:textId="6CB6BAFA" w:rsidR="002C5C11" w:rsidRDefault="002C5C11" w:rsidP="004A0251">
      <w:pPr>
        <w:rPr>
          <w:rFonts w:cstheme="minorHAnsi"/>
          <w:color w:val="374149" w:themeColor="accent5"/>
          <w:lang w:val="en-US"/>
        </w:rPr>
      </w:pPr>
      <w:r>
        <w:rPr>
          <w:rFonts w:cstheme="minorHAnsi"/>
          <w:color w:val="374149" w:themeColor="accent5"/>
          <w:lang w:val="en-US"/>
        </w:rPr>
        <w:t>A technology</w:t>
      </w:r>
      <w:r w:rsidR="007D02D2">
        <w:rPr>
          <w:rFonts w:cstheme="minorHAnsi"/>
          <w:color w:val="374149" w:themeColor="accent5"/>
          <w:lang w:val="en-US"/>
        </w:rPr>
        <w:t>-</w:t>
      </w:r>
      <w:r>
        <w:rPr>
          <w:rFonts w:cstheme="minorHAnsi"/>
          <w:color w:val="374149" w:themeColor="accent5"/>
          <w:lang w:val="en-US"/>
        </w:rPr>
        <w:t>rich teaching career totally changes the perceptions (and misperceptions) many prospective teachers hold of the profession. T</w:t>
      </w:r>
      <w:r w:rsidRPr="00680BA5">
        <w:rPr>
          <w:rFonts w:cstheme="minorHAnsi"/>
          <w:color w:val="374149" w:themeColor="accent5"/>
          <w:lang w:val="en-US"/>
        </w:rPr>
        <w:t xml:space="preserve">he opportunity to integrate mature and emerging technologies </w:t>
      </w:r>
      <w:r>
        <w:rPr>
          <w:rFonts w:cstheme="minorHAnsi"/>
          <w:color w:val="374149" w:themeColor="accent5"/>
          <w:lang w:val="en-US"/>
        </w:rPr>
        <w:t xml:space="preserve">as part of a highly rewarding teaching career would give pause to </w:t>
      </w:r>
      <w:r w:rsidR="005331AC">
        <w:rPr>
          <w:rFonts w:cstheme="minorHAnsi"/>
          <w:color w:val="374149" w:themeColor="accent5"/>
          <w:lang w:val="en-US"/>
        </w:rPr>
        <w:t>pre-existing notions on the st</w:t>
      </w:r>
      <w:r w:rsidRPr="00680BA5">
        <w:rPr>
          <w:rFonts w:cstheme="minorHAnsi"/>
          <w:color w:val="374149" w:themeColor="accent5"/>
          <w:lang w:val="en-US"/>
        </w:rPr>
        <w:t>a</w:t>
      </w:r>
      <w:r w:rsidR="005331AC">
        <w:rPr>
          <w:rFonts w:cstheme="minorHAnsi"/>
          <w:color w:val="374149" w:themeColor="accent5"/>
          <w:lang w:val="en-US"/>
        </w:rPr>
        <w:t>t</w:t>
      </w:r>
      <w:r w:rsidRPr="00680BA5">
        <w:rPr>
          <w:rFonts w:cstheme="minorHAnsi"/>
          <w:color w:val="374149" w:themeColor="accent5"/>
          <w:lang w:val="en-US"/>
        </w:rPr>
        <w:t>us and relative attractiveness of the profession</w:t>
      </w:r>
      <w:r>
        <w:rPr>
          <w:rFonts w:cstheme="minorHAnsi"/>
          <w:color w:val="374149" w:themeColor="accent5"/>
          <w:lang w:val="en-US"/>
        </w:rPr>
        <w:t>. Technology can help elicit curiosity on how the contemporary classroom has changed and continues to evolve.</w:t>
      </w:r>
    </w:p>
    <w:p w14:paraId="2080226C" w14:textId="77777777" w:rsidR="00E62907" w:rsidRDefault="00E62907" w:rsidP="00E62907">
      <w:pPr>
        <w:rPr>
          <w:rFonts w:cstheme="minorHAnsi"/>
          <w:color w:val="374249"/>
        </w:rPr>
      </w:pPr>
      <w:r>
        <w:rPr>
          <w:rFonts w:cstheme="minorHAnsi"/>
          <w:color w:val="374249"/>
        </w:rPr>
        <w:t xml:space="preserve">Digital tools could also provide a valuable support for early career teachers and lead to a lower attrition rate. </w:t>
      </w:r>
    </w:p>
    <w:p w14:paraId="2282CB57" w14:textId="27EF5751" w:rsidR="00590180" w:rsidRDefault="00E62907" w:rsidP="00590180">
      <w:pPr>
        <w:rPr>
          <w:rFonts w:cstheme="minorHAnsi"/>
          <w:color w:val="374149" w:themeColor="accent5"/>
        </w:rPr>
      </w:pPr>
      <w:r w:rsidRPr="006270C0">
        <w:rPr>
          <w:rFonts w:cstheme="minorHAnsi"/>
          <w:color w:val="374149" w:themeColor="accent5"/>
        </w:rPr>
        <w:t xml:space="preserve">Building on existing resources designed specifically for this purpose, these programs could supplement program content </w:t>
      </w:r>
      <w:r w:rsidR="00FB0C55">
        <w:rPr>
          <w:rFonts w:cstheme="minorHAnsi"/>
          <w:color w:val="374149" w:themeColor="accent5"/>
        </w:rPr>
        <w:t xml:space="preserve">to </w:t>
      </w:r>
      <w:r w:rsidRPr="006270C0">
        <w:rPr>
          <w:rFonts w:cstheme="minorHAnsi"/>
          <w:color w:val="374149" w:themeColor="accent5"/>
        </w:rPr>
        <w:t>increase confidence, effectiveness, impact and consistency</w:t>
      </w:r>
      <w:r>
        <w:rPr>
          <w:rFonts w:cstheme="minorHAnsi"/>
          <w:color w:val="374149" w:themeColor="accent5"/>
        </w:rPr>
        <w:t xml:space="preserve">. This could include </w:t>
      </w:r>
      <w:r>
        <w:rPr>
          <w:rFonts w:cstheme="minorHAnsi"/>
          <w:color w:val="374149" w:themeColor="accent5"/>
          <w:lang w:val="en-US"/>
        </w:rPr>
        <w:t>t</w:t>
      </w:r>
      <w:r w:rsidRPr="006270C0">
        <w:rPr>
          <w:rFonts w:cstheme="minorHAnsi"/>
          <w:color w:val="374149" w:themeColor="accent5"/>
          <w:lang w:val="en-US"/>
        </w:rPr>
        <w:t>eaching and learning practice support in numeracy (</w:t>
      </w:r>
      <w:hyperlink r:id="rId12" w:history="1">
        <w:r w:rsidR="00B24184">
          <w:rPr>
            <w:rStyle w:val="Hyperlink"/>
          </w:rPr>
          <w:t>Mathematics Hub</w:t>
        </w:r>
      </w:hyperlink>
      <w:r w:rsidRPr="006270C0">
        <w:rPr>
          <w:rFonts w:cstheme="minorHAnsi"/>
          <w:color w:val="374149" w:themeColor="accent5"/>
          <w:lang w:val="en-US"/>
        </w:rPr>
        <w:t>), literacy</w:t>
      </w:r>
      <w:r w:rsidR="009B4881">
        <w:rPr>
          <w:rFonts w:cstheme="minorHAnsi"/>
          <w:color w:val="374149" w:themeColor="accent5"/>
          <w:lang w:val="en-US"/>
        </w:rPr>
        <w:t xml:space="preserve"> (</w:t>
      </w:r>
      <w:hyperlink r:id="rId13" w:history="1">
        <w:r w:rsidR="009B4881">
          <w:rPr>
            <w:rStyle w:val="Hyperlink"/>
          </w:rPr>
          <w:t>Literacy Hub</w:t>
        </w:r>
      </w:hyperlink>
      <w:r w:rsidR="003F073D">
        <w:t>), S</w:t>
      </w:r>
      <w:r>
        <w:rPr>
          <w:rFonts w:cstheme="minorHAnsi"/>
          <w:color w:val="374149" w:themeColor="accent5"/>
          <w:lang w:val="en-US"/>
        </w:rPr>
        <w:t xml:space="preserve">TEM teaching </w:t>
      </w:r>
      <w:r w:rsidRPr="006270C0">
        <w:rPr>
          <w:rFonts w:cstheme="minorHAnsi"/>
          <w:color w:val="374149" w:themeColor="accent5"/>
          <w:lang w:val="en-US"/>
        </w:rPr>
        <w:t>(</w:t>
      </w:r>
      <w:hyperlink r:id="rId14" w:history="1">
        <w:r w:rsidR="00881A13">
          <w:rPr>
            <w:rStyle w:val="Hyperlink"/>
          </w:rPr>
          <w:t>The GiST - Home</w:t>
        </w:r>
      </w:hyperlink>
      <w:r w:rsidR="003F073D">
        <w:t>)</w:t>
      </w:r>
      <w:r w:rsidRPr="006270C0">
        <w:rPr>
          <w:rFonts w:cstheme="minorHAnsi"/>
          <w:color w:val="374149" w:themeColor="accent5"/>
          <w:lang w:val="en-US"/>
        </w:rPr>
        <w:t xml:space="preserve">, </w:t>
      </w:r>
      <w:r w:rsidR="003A5483">
        <w:rPr>
          <w:rFonts w:cstheme="minorHAnsi"/>
          <w:color w:val="374149" w:themeColor="accent5"/>
          <w:lang w:val="en-US"/>
        </w:rPr>
        <w:t>d</w:t>
      </w:r>
      <w:r w:rsidRPr="006270C0">
        <w:rPr>
          <w:rFonts w:cstheme="minorHAnsi"/>
          <w:color w:val="374149" w:themeColor="accent5"/>
          <w:lang w:val="en-US"/>
        </w:rPr>
        <w:t>igital pedagogy</w:t>
      </w:r>
      <w:r w:rsidR="003F2194">
        <w:rPr>
          <w:rFonts w:cstheme="minorHAnsi"/>
          <w:color w:val="374149" w:themeColor="accent5"/>
          <w:lang w:val="en-US"/>
        </w:rPr>
        <w:t xml:space="preserve"> (</w:t>
      </w:r>
      <w:hyperlink r:id="rId15" w:history="1">
        <w:r w:rsidR="00C560E0">
          <w:rPr>
            <w:rStyle w:val="Hyperlink"/>
          </w:rPr>
          <w:t>Digital Technologies Hub Homepage</w:t>
        </w:r>
      </w:hyperlink>
      <w:r w:rsidR="00C560E0">
        <w:t>)</w:t>
      </w:r>
      <w:r>
        <w:rPr>
          <w:rFonts w:cstheme="minorHAnsi"/>
          <w:color w:val="374149" w:themeColor="accent5"/>
          <w:lang w:val="en-US"/>
        </w:rPr>
        <w:t xml:space="preserve">, </w:t>
      </w:r>
      <w:r w:rsidR="003A5483">
        <w:rPr>
          <w:rFonts w:cstheme="minorHAnsi"/>
          <w:color w:val="374149" w:themeColor="accent5"/>
          <w:lang w:val="en-US"/>
        </w:rPr>
        <w:t>d</w:t>
      </w:r>
      <w:r>
        <w:rPr>
          <w:rFonts w:cstheme="minorHAnsi"/>
          <w:color w:val="374149" w:themeColor="accent5"/>
          <w:lang w:val="en-US"/>
        </w:rPr>
        <w:t xml:space="preserve">igital safety </w:t>
      </w:r>
      <w:r w:rsidR="00FC331D">
        <w:rPr>
          <w:rFonts w:cstheme="minorHAnsi"/>
          <w:color w:val="374149" w:themeColor="accent5"/>
          <w:lang w:val="en-US"/>
        </w:rPr>
        <w:t>(</w:t>
      </w:r>
      <w:hyperlink r:id="rId16" w:history="1">
        <w:r w:rsidR="00FC331D">
          <w:rPr>
            <w:rStyle w:val="Hyperlink"/>
          </w:rPr>
          <w:t>Safer Technologies 4 Schools – Supporting Schools, Teachers and Parents (st4s.edu.au)</w:t>
        </w:r>
      </w:hyperlink>
      <w:r w:rsidR="00FC331D">
        <w:rPr>
          <w:rFonts w:cstheme="minorHAnsi"/>
          <w:color w:val="374149" w:themeColor="accent5"/>
          <w:lang w:val="en-US"/>
        </w:rPr>
        <w:t xml:space="preserve"> </w:t>
      </w:r>
      <w:r>
        <w:rPr>
          <w:rFonts w:cstheme="minorHAnsi"/>
          <w:color w:val="374149" w:themeColor="accent5"/>
          <w:lang w:val="en-US"/>
        </w:rPr>
        <w:t>and s</w:t>
      </w:r>
      <w:r w:rsidRPr="006270C0">
        <w:rPr>
          <w:rFonts w:cstheme="minorHAnsi"/>
          <w:color w:val="374149" w:themeColor="accent5"/>
          <w:lang w:val="en-US"/>
        </w:rPr>
        <w:t>upport student wellbeing and diverse cohorts (</w:t>
      </w:r>
      <w:hyperlink r:id="rId17" w:history="1">
        <w:r w:rsidR="00EF0D11">
          <w:rPr>
            <w:rStyle w:val="Hyperlink"/>
          </w:rPr>
          <w:t>Student Wellbeing Hub | Home</w:t>
        </w:r>
      </w:hyperlink>
      <w:r w:rsidR="00947B01">
        <w:t>)</w:t>
      </w:r>
      <w:r w:rsidR="0013090B">
        <w:t>.</w:t>
      </w:r>
      <w:r w:rsidR="00017BDE">
        <w:t xml:space="preserve"> </w:t>
      </w:r>
      <w:r w:rsidR="004B1409">
        <w:t xml:space="preserve">New materials and tools could also be developed to address the </w:t>
      </w:r>
      <w:r w:rsidR="00DB7512">
        <w:rPr>
          <w:rFonts w:cstheme="minorHAnsi"/>
          <w:color w:val="374149" w:themeColor="accent5"/>
        </w:rPr>
        <w:t>range of topics that graduates traditionally find challenging or wish they had known</w:t>
      </w:r>
      <w:r w:rsidR="00543CC8">
        <w:rPr>
          <w:rFonts w:cstheme="minorHAnsi"/>
          <w:color w:val="374149" w:themeColor="accent5"/>
        </w:rPr>
        <w:t>.</w:t>
      </w:r>
    </w:p>
    <w:p w14:paraId="77A94658" w14:textId="0B18D83B" w:rsidR="00DA1B98" w:rsidRDefault="008642B2" w:rsidP="004A0251">
      <w:pPr>
        <w:rPr>
          <w:rFonts w:cstheme="minorHAnsi"/>
          <w:color w:val="374249"/>
        </w:rPr>
      </w:pPr>
      <w:r>
        <w:rPr>
          <w:rFonts w:cstheme="minorHAnsi"/>
          <w:color w:val="374149" w:themeColor="accent5"/>
          <w:lang w:val="en-US"/>
        </w:rPr>
        <w:t xml:space="preserve">Digital tools could also </w:t>
      </w:r>
      <w:r w:rsidR="00E62907">
        <w:rPr>
          <w:rFonts w:cstheme="minorHAnsi"/>
          <w:color w:val="374149" w:themeColor="accent5"/>
          <w:lang w:val="en-US"/>
        </w:rPr>
        <w:t xml:space="preserve">play a vital role in reducing the </w:t>
      </w:r>
      <w:r>
        <w:rPr>
          <w:rFonts w:cstheme="minorHAnsi"/>
          <w:color w:val="374149" w:themeColor="accent5"/>
          <w:lang w:val="en-US"/>
        </w:rPr>
        <w:t xml:space="preserve">obstacles that prevent too many mid-career professionals from </w:t>
      </w:r>
      <w:r w:rsidR="0023071D">
        <w:rPr>
          <w:rFonts w:cstheme="minorHAnsi"/>
          <w:color w:val="374149" w:themeColor="accent5"/>
          <w:lang w:val="en-US"/>
        </w:rPr>
        <w:t>transitioning</w:t>
      </w:r>
      <w:r>
        <w:rPr>
          <w:rFonts w:cstheme="minorHAnsi"/>
          <w:color w:val="374149" w:themeColor="accent5"/>
          <w:lang w:val="en-US"/>
        </w:rPr>
        <w:t xml:space="preserve"> to teaching.</w:t>
      </w:r>
      <w:r w:rsidR="009A1642">
        <w:rPr>
          <w:rFonts w:cstheme="minorHAnsi"/>
          <w:color w:val="374149" w:themeColor="accent5"/>
          <w:lang w:val="en-US"/>
        </w:rPr>
        <w:t xml:space="preserve"> </w:t>
      </w:r>
      <w:r w:rsidRPr="006270C0">
        <w:rPr>
          <w:rFonts w:cstheme="minorHAnsi"/>
          <w:color w:val="374249"/>
        </w:rPr>
        <w:t>I</w:t>
      </w:r>
      <w:r w:rsidR="00775273">
        <w:rPr>
          <w:rFonts w:cstheme="minorHAnsi"/>
          <w:color w:val="374249"/>
        </w:rPr>
        <w:t>nitial Teacher Education (I</w:t>
      </w:r>
      <w:r w:rsidRPr="006270C0">
        <w:rPr>
          <w:rFonts w:cstheme="minorHAnsi"/>
          <w:color w:val="374249"/>
        </w:rPr>
        <w:t>TE</w:t>
      </w:r>
      <w:r w:rsidR="00775273">
        <w:rPr>
          <w:rFonts w:cstheme="minorHAnsi"/>
          <w:color w:val="374249"/>
        </w:rPr>
        <w:t>)</w:t>
      </w:r>
      <w:r w:rsidRPr="006270C0">
        <w:rPr>
          <w:rFonts w:cstheme="minorHAnsi"/>
          <w:color w:val="374249"/>
        </w:rPr>
        <w:t xml:space="preserve"> institutions </w:t>
      </w:r>
      <w:r w:rsidR="00BE6C18">
        <w:rPr>
          <w:rFonts w:cstheme="minorHAnsi"/>
          <w:color w:val="374249"/>
        </w:rPr>
        <w:t xml:space="preserve">are often </w:t>
      </w:r>
      <w:r w:rsidRPr="006270C0">
        <w:rPr>
          <w:rFonts w:cstheme="minorHAnsi"/>
          <w:color w:val="374249"/>
        </w:rPr>
        <w:t>inflexible in responding to the</w:t>
      </w:r>
      <w:r w:rsidR="00BE6C18">
        <w:rPr>
          <w:rFonts w:cstheme="minorHAnsi"/>
          <w:color w:val="374249"/>
        </w:rPr>
        <w:t xml:space="preserve"> </w:t>
      </w:r>
      <w:r w:rsidRPr="006270C0">
        <w:rPr>
          <w:rFonts w:cstheme="minorHAnsi"/>
          <w:color w:val="374249"/>
        </w:rPr>
        <w:t>needs</w:t>
      </w:r>
      <w:r w:rsidR="00BE6C18">
        <w:rPr>
          <w:rFonts w:cstheme="minorHAnsi"/>
          <w:color w:val="374249"/>
        </w:rPr>
        <w:t xml:space="preserve"> of mid-career-changers</w:t>
      </w:r>
      <w:r w:rsidRPr="006270C0">
        <w:rPr>
          <w:rFonts w:cstheme="minorHAnsi"/>
          <w:color w:val="374249"/>
        </w:rPr>
        <w:t xml:space="preserve">, including juggling family and work commitments. </w:t>
      </w:r>
      <w:r w:rsidR="00BE6C18">
        <w:rPr>
          <w:rFonts w:cstheme="minorHAnsi"/>
          <w:color w:val="374249"/>
        </w:rPr>
        <w:t xml:space="preserve">There is also </w:t>
      </w:r>
      <w:r w:rsidRPr="006270C0">
        <w:rPr>
          <w:rFonts w:cstheme="minorHAnsi"/>
          <w:color w:val="374249"/>
        </w:rPr>
        <w:t>inconsistency in how institutions recognise career changer's prior experiences and related knowledge and skills.</w:t>
      </w:r>
      <w:r w:rsidR="008021E9">
        <w:rPr>
          <w:rStyle w:val="FootnoteReference"/>
          <w:rFonts w:cstheme="minorHAnsi"/>
          <w:color w:val="374249"/>
        </w:rPr>
        <w:footnoteReference w:id="20"/>
      </w:r>
      <w:r w:rsidR="00BA2CAD">
        <w:rPr>
          <w:rFonts w:cstheme="minorHAnsi"/>
          <w:color w:val="374249"/>
        </w:rPr>
        <w:t xml:space="preserve"> </w:t>
      </w:r>
    </w:p>
    <w:p w14:paraId="6EEB551B" w14:textId="4E370E26" w:rsidR="00506523" w:rsidRDefault="00721808" w:rsidP="004A0251">
      <w:pPr>
        <w:rPr>
          <w:rFonts w:cstheme="minorHAnsi"/>
          <w:color w:val="374249"/>
        </w:rPr>
      </w:pPr>
      <w:r>
        <w:rPr>
          <w:rFonts w:cstheme="minorHAnsi"/>
          <w:color w:val="374249"/>
        </w:rPr>
        <w:t xml:space="preserve">ESA welcomes the Interim Report’s </w:t>
      </w:r>
      <w:r w:rsidR="00451B54">
        <w:rPr>
          <w:rFonts w:cstheme="minorHAnsi"/>
          <w:color w:val="374249"/>
        </w:rPr>
        <w:t xml:space="preserve">Information Request (5.5) </w:t>
      </w:r>
      <w:r w:rsidR="00EC5AE0">
        <w:rPr>
          <w:rFonts w:cstheme="minorHAnsi"/>
          <w:color w:val="374249"/>
        </w:rPr>
        <w:t>regarding the costs and benefits of moving from a two</w:t>
      </w:r>
      <w:r w:rsidR="009A4B6D">
        <w:rPr>
          <w:rFonts w:cstheme="minorHAnsi"/>
          <w:color w:val="374249"/>
        </w:rPr>
        <w:t>-</w:t>
      </w:r>
      <w:r w:rsidR="00EC5AE0">
        <w:rPr>
          <w:rFonts w:cstheme="minorHAnsi"/>
          <w:color w:val="374249"/>
        </w:rPr>
        <w:t>year Masters to a Diploma of Education</w:t>
      </w:r>
      <w:r w:rsidR="00451B54">
        <w:rPr>
          <w:rFonts w:cstheme="minorHAnsi"/>
          <w:color w:val="374249"/>
        </w:rPr>
        <w:t xml:space="preserve">, </w:t>
      </w:r>
      <w:r>
        <w:rPr>
          <w:rFonts w:cstheme="minorHAnsi"/>
          <w:color w:val="374249"/>
        </w:rPr>
        <w:t xml:space="preserve">as </w:t>
      </w:r>
      <w:r w:rsidR="004234E0">
        <w:rPr>
          <w:rFonts w:cstheme="minorHAnsi"/>
          <w:color w:val="374249"/>
        </w:rPr>
        <w:t xml:space="preserve">previously </w:t>
      </w:r>
      <w:r>
        <w:rPr>
          <w:rFonts w:cstheme="minorHAnsi"/>
          <w:color w:val="374249"/>
        </w:rPr>
        <w:t xml:space="preserve">proposed by </w:t>
      </w:r>
      <w:r w:rsidR="007C707A" w:rsidRPr="00B713C1">
        <w:rPr>
          <w:rFonts w:cstheme="minorHAnsi"/>
          <w:i/>
          <w:iCs/>
          <w:color w:val="374249"/>
        </w:rPr>
        <w:t>The Next Steps: Report of the Quality Initial Teacher Education Review</w:t>
      </w:r>
      <w:r w:rsidR="007C707A" w:rsidRPr="007C707A">
        <w:rPr>
          <w:rFonts w:cstheme="minorHAnsi"/>
          <w:color w:val="374249"/>
        </w:rPr>
        <w:t>, chaired by Ms Lisa Paul AO PSM</w:t>
      </w:r>
      <w:r w:rsidR="00A67258">
        <w:rPr>
          <w:rFonts w:cstheme="minorHAnsi"/>
          <w:color w:val="374249"/>
        </w:rPr>
        <w:t xml:space="preserve">. </w:t>
      </w:r>
      <w:r w:rsidR="004234E0">
        <w:rPr>
          <w:rFonts w:cstheme="minorHAnsi"/>
          <w:color w:val="374249"/>
        </w:rPr>
        <w:t>T</w:t>
      </w:r>
      <w:r w:rsidR="00765C95">
        <w:rPr>
          <w:rFonts w:cstheme="minorHAnsi"/>
          <w:color w:val="374249"/>
        </w:rPr>
        <w:t xml:space="preserve">he move from a Masters to a </w:t>
      </w:r>
      <w:r w:rsidR="00D256D9">
        <w:rPr>
          <w:rFonts w:cstheme="minorHAnsi"/>
          <w:color w:val="374249"/>
        </w:rPr>
        <w:t xml:space="preserve">Diploma of Education could be managed carefully through </w:t>
      </w:r>
      <w:r w:rsidR="00B90070">
        <w:rPr>
          <w:rFonts w:cstheme="minorHAnsi"/>
          <w:color w:val="374249"/>
        </w:rPr>
        <w:t xml:space="preserve">accelerated digital innovation in teaching and learning. </w:t>
      </w:r>
      <w:r w:rsidR="00DA1B98" w:rsidRPr="006270C0">
        <w:rPr>
          <w:rFonts w:cstheme="minorHAnsi"/>
          <w:color w:val="374249"/>
        </w:rPr>
        <w:t>Th</w:t>
      </w:r>
      <w:r w:rsidR="00B90070">
        <w:rPr>
          <w:rFonts w:cstheme="minorHAnsi"/>
          <w:color w:val="374249"/>
        </w:rPr>
        <w:t xml:space="preserve">is presents a valuable opportunity to </w:t>
      </w:r>
      <w:r w:rsidR="00DA1B98" w:rsidRPr="006270C0">
        <w:rPr>
          <w:rFonts w:cstheme="minorHAnsi"/>
          <w:color w:val="374249"/>
        </w:rPr>
        <w:t>reframe the value of the teaching profession for transitioning career professionals</w:t>
      </w:r>
      <w:r w:rsidR="00943564">
        <w:rPr>
          <w:rFonts w:cstheme="minorHAnsi"/>
          <w:color w:val="374249"/>
        </w:rPr>
        <w:t xml:space="preserve">. </w:t>
      </w:r>
      <w:r w:rsidR="00DA1B98">
        <w:rPr>
          <w:rFonts w:cstheme="minorHAnsi"/>
          <w:color w:val="374249"/>
        </w:rPr>
        <w:t>Doing so will not only help</w:t>
      </w:r>
      <w:r w:rsidR="00DA1B98" w:rsidRPr="006270C0">
        <w:rPr>
          <w:rFonts w:cstheme="minorHAnsi"/>
          <w:color w:val="374249"/>
        </w:rPr>
        <w:t xml:space="preserve"> attract professionals</w:t>
      </w:r>
      <w:r w:rsidR="00DA1B98">
        <w:rPr>
          <w:rFonts w:cstheme="minorHAnsi"/>
          <w:color w:val="374249"/>
        </w:rPr>
        <w:t xml:space="preserve">, but it would </w:t>
      </w:r>
      <w:r w:rsidR="00DA1B98" w:rsidRPr="006270C0">
        <w:rPr>
          <w:rFonts w:cstheme="minorHAnsi"/>
          <w:color w:val="374249"/>
        </w:rPr>
        <w:t xml:space="preserve">support </w:t>
      </w:r>
      <w:r w:rsidR="005E395D">
        <w:rPr>
          <w:rFonts w:cstheme="minorHAnsi"/>
          <w:color w:val="374249"/>
        </w:rPr>
        <w:t xml:space="preserve">and streamline </w:t>
      </w:r>
      <w:r w:rsidR="00DA1B98" w:rsidRPr="006270C0">
        <w:rPr>
          <w:rFonts w:cstheme="minorHAnsi"/>
          <w:color w:val="374249"/>
        </w:rPr>
        <w:t xml:space="preserve">their transition into the profession in ways that better </w:t>
      </w:r>
      <w:r w:rsidR="00DA1B98">
        <w:rPr>
          <w:rFonts w:cstheme="minorHAnsi"/>
          <w:color w:val="374249"/>
        </w:rPr>
        <w:t>acknowledge</w:t>
      </w:r>
      <w:r w:rsidR="00DA1B98" w:rsidRPr="006270C0">
        <w:rPr>
          <w:rFonts w:cstheme="minorHAnsi"/>
          <w:color w:val="374249"/>
        </w:rPr>
        <w:t xml:space="preserve"> and accommodate their stage of life. </w:t>
      </w:r>
    </w:p>
    <w:p w14:paraId="3659F324" w14:textId="4E72888E" w:rsidR="00977A32" w:rsidRPr="00B13EBE" w:rsidRDefault="00F747F8" w:rsidP="004A0251">
      <w:pPr>
        <w:rPr>
          <w:rFonts w:cstheme="minorHAnsi"/>
          <w:i/>
          <w:iCs/>
          <w:color w:val="241773" w:themeColor="accent1"/>
          <w:lang w:val="en-US"/>
        </w:rPr>
      </w:pPr>
      <w:r w:rsidRPr="00B13EBE">
        <w:rPr>
          <w:rFonts w:cstheme="minorHAnsi"/>
          <w:i/>
          <w:iCs/>
          <w:color w:val="241773" w:themeColor="accent1"/>
        </w:rPr>
        <w:t>Digital tools to address the workload pressures on teachers</w:t>
      </w:r>
      <w:r w:rsidR="00A70B25" w:rsidRPr="00B13EBE">
        <w:rPr>
          <w:rFonts w:cstheme="minorHAnsi"/>
          <w:i/>
          <w:iCs/>
          <w:color w:val="241773" w:themeColor="accent1"/>
        </w:rPr>
        <w:t xml:space="preserve"> and school leaders</w:t>
      </w:r>
    </w:p>
    <w:p w14:paraId="75E3B79A" w14:textId="1605B7C0" w:rsidR="00A9729A" w:rsidRDefault="007738CE" w:rsidP="004A0251">
      <w:pPr>
        <w:rPr>
          <w:rFonts w:cstheme="minorHAnsi"/>
          <w:color w:val="374149" w:themeColor="accent5"/>
          <w:lang w:val="en-US"/>
        </w:rPr>
      </w:pPr>
      <w:r>
        <w:rPr>
          <w:rFonts w:cstheme="minorHAnsi"/>
          <w:color w:val="374149" w:themeColor="accent5"/>
          <w:lang w:val="en-US"/>
        </w:rPr>
        <w:t>In light of the</w:t>
      </w:r>
      <w:r w:rsidR="007733FD">
        <w:rPr>
          <w:rFonts w:cstheme="minorHAnsi"/>
          <w:color w:val="374149" w:themeColor="accent5"/>
          <w:lang w:val="en-US"/>
        </w:rPr>
        <w:t>ir</w:t>
      </w:r>
      <w:r>
        <w:rPr>
          <w:rFonts w:cstheme="minorHAnsi"/>
          <w:color w:val="374149" w:themeColor="accent5"/>
          <w:lang w:val="en-US"/>
        </w:rPr>
        <w:t xml:space="preserve"> findings,</w:t>
      </w:r>
      <w:r w:rsidR="002A0153">
        <w:rPr>
          <w:rFonts w:cstheme="minorHAnsi"/>
          <w:color w:val="374149" w:themeColor="accent5"/>
          <w:lang w:val="en-US"/>
        </w:rPr>
        <w:t xml:space="preserve"> </w:t>
      </w:r>
      <w:r w:rsidR="007733FD">
        <w:rPr>
          <w:rFonts w:cstheme="minorHAnsi"/>
          <w:color w:val="374149" w:themeColor="accent5"/>
          <w:lang w:val="en-US"/>
        </w:rPr>
        <w:t xml:space="preserve">the Grattan institute recommends that </w:t>
      </w:r>
      <w:r w:rsidR="002A0153">
        <w:rPr>
          <w:rFonts w:cstheme="minorHAnsi"/>
          <w:color w:val="374149" w:themeColor="accent5"/>
          <w:lang w:val="en-US"/>
        </w:rPr>
        <w:t>Governments and sector leaders should e</w:t>
      </w:r>
      <w:r w:rsidR="000D5B7F" w:rsidRPr="00690895">
        <w:rPr>
          <w:rFonts w:cstheme="minorHAnsi"/>
          <w:color w:val="374149" w:themeColor="accent5"/>
          <w:lang w:val="en-US"/>
        </w:rPr>
        <w:t>n</w:t>
      </w:r>
      <w:r w:rsidR="002A0153" w:rsidRPr="00690895">
        <w:rPr>
          <w:rFonts w:cstheme="minorHAnsi"/>
          <w:color w:val="374149" w:themeColor="accent5"/>
          <w:lang w:val="en-US"/>
        </w:rPr>
        <w:t>sure that</w:t>
      </w:r>
      <w:r w:rsidR="00294C71" w:rsidRPr="00690895">
        <w:rPr>
          <w:rFonts w:cstheme="minorHAnsi"/>
          <w:color w:val="374149" w:themeColor="accent5"/>
          <w:lang w:val="en-US"/>
        </w:rPr>
        <w:t xml:space="preserve"> </w:t>
      </w:r>
      <w:r w:rsidR="006A1825" w:rsidRPr="00690895">
        <w:rPr>
          <w:rFonts w:cstheme="minorHAnsi"/>
          <w:color w:val="374149" w:themeColor="accent5"/>
          <w:lang w:val="en-US"/>
        </w:rPr>
        <w:t>“</w:t>
      </w:r>
      <w:r w:rsidR="006A1825" w:rsidRPr="00690895">
        <w:t>all teachers have access to a suite of high quality, comprehensive curriculum materials</w:t>
      </w:r>
      <w:r w:rsidR="00102409" w:rsidRPr="00690895">
        <w:t>.</w:t>
      </w:r>
      <w:r w:rsidR="006A1825" w:rsidRPr="00690895">
        <w:t>”</w:t>
      </w:r>
      <w:r w:rsidR="006A1825" w:rsidRPr="00690895">
        <w:rPr>
          <w:rStyle w:val="FootnoteReference"/>
        </w:rPr>
        <w:footnoteReference w:id="21"/>
      </w:r>
      <w:r w:rsidR="005D2F2D" w:rsidRPr="00690895">
        <w:t xml:space="preserve"> ESA would </w:t>
      </w:r>
      <w:r w:rsidR="00B36E09" w:rsidRPr="00690895">
        <w:t xml:space="preserve">go further and </w:t>
      </w:r>
      <w:r w:rsidR="005D2F2D" w:rsidRPr="00690895">
        <w:t>argue that th</w:t>
      </w:r>
      <w:r w:rsidR="00B36E09" w:rsidRPr="00690895">
        <w:t xml:space="preserve">ere is a timely opportunity to </w:t>
      </w:r>
      <w:r w:rsidR="00AE4A87" w:rsidRPr="00690895">
        <w:t xml:space="preserve">include this objective in the next </w:t>
      </w:r>
      <w:r w:rsidR="005D2F2D" w:rsidRPr="00690895">
        <w:t>Agreement.</w:t>
      </w:r>
    </w:p>
    <w:p w14:paraId="4C37EAFB" w14:textId="76A1C59E" w:rsidR="007738CE" w:rsidRDefault="007738CE" w:rsidP="004A0251">
      <w:pPr>
        <w:rPr>
          <w:rFonts w:cstheme="minorHAnsi"/>
          <w:color w:val="374149" w:themeColor="accent5"/>
          <w:lang w:val="en-US"/>
        </w:rPr>
      </w:pPr>
      <w:r>
        <w:rPr>
          <w:rFonts w:cstheme="minorHAnsi"/>
          <w:color w:val="374149" w:themeColor="accent5"/>
          <w:lang w:val="en-US"/>
        </w:rPr>
        <w:t xml:space="preserve">Delivering these tools via specifically designed web portals would ensure equity and accessibility for all teachers, as well as consistency across all jurisdictions and sectors. </w:t>
      </w:r>
      <w:r w:rsidR="00762432">
        <w:rPr>
          <w:rFonts w:cstheme="minorHAnsi"/>
          <w:color w:val="374149" w:themeColor="accent5"/>
          <w:lang w:val="en-US"/>
        </w:rPr>
        <w:t>An audit of existing m</w:t>
      </w:r>
      <w:r>
        <w:rPr>
          <w:rFonts w:cstheme="minorHAnsi"/>
          <w:color w:val="374149" w:themeColor="accent5"/>
          <w:lang w:val="en-US"/>
        </w:rPr>
        <w:t xml:space="preserve">aterials </w:t>
      </w:r>
      <w:r w:rsidR="00762432">
        <w:rPr>
          <w:rFonts w:cstheme="minorHAnsi"/>
          <w:color w:val="374149" w:themeColor="accent5"/>
          <w:lang w:val="en-US"/>
        </w:rPr>
        <w:t>against the newly agreed Australian Curriculum has identified</w:t>
      </w:r>
      <w:r>
        <w:rPr>
          <w:rFonts w:cstheme="minorHAnsi"/>
          <w:color w:val="374149" w:themeColor="accent5"/>
          <w:lang w:val="en-US"/>
        </w:rPr>
        <w:t xml:space="preserve"> gaps</w:t>
      </w:r>
      <w:r w:rsidR="00762432">
        <w:rPr>
          <w:rFonts w:cstheme="minorHAnsi"/>
          <w:color w:val="374149" w:themeColor="accent5"/>
          <w:lang w:val="en-US"/>
        </w:rPr>
        <w:t>. A</w:t>
      </w:r>
      <w:r>
        <w:rPr>
          <w:rFonts w:cstheme="minorHAnsi"/>
          <w:color w:val="374149" w:themeColor="accent5"/>
          <w:lang w:val="en-US"/>
        </w:rPr>
        <w:t xml:space="preserve">n investment to address those gaps and a “rigorous, independent, quality-assurance mechanism to continually </w:t>
      </w:r>
      <w:r w:rsidR="00A87884">
        <w:rPr>
          <w:rFonts w:cstheme="minorHAnsi"/>
          <w:color w:val="374149" w:themeColor="accent5"/>
          <w:lang w:val="en-US"/>
        </w:rPr>
        <w:t>evaluate</w:t>
      </w:r>
      <w:r>
        <w:rPr>
          <w:rFonts w:cstheme="minorHAnsi"/>
          <w:color w:val="374149" w:themeColor="accent5"/>
          <w:lang w:val="en-US"/>
        </w:rPr>
        <w:t xml:space="preserve"> and report</w:t>
      </w:r>
      <w:r w:rsidR="005B15E4">
        <w:rPr>
          <w:rFonts w:cstheme="minorHAnsi"/>
          <w:color w:val="374149" w:themeColor="accent5"/>
          <w:lang w:val="en-US"/>
        </w:rPr>
        <w:t>”</w:t>
      </w:r>
      <w:r w:rsidR="006E55A9">
        <w:rPr>
          <w:rStyle w:val="FootnoteReference"/>
          <w:rFonts w:cstheme="minorHAnsi"/>
          <w:color w:val="374149" w:themeColor="accent5"/>
          <w:lang w:val="en-US"/>
        </w:rPr>
        <w:footnoteReference w:id="22"/>
      </w:r>
      <w:r w:rsidR="00762432">
        <w:rPr>
          <w:rFonts w:cstheme="minorHAnsi"/>
          <w:color w:val="374149" w:themeColor="accent5"/>
          <w:lang w:val="en-US"/>
        </w:rPr>
        <w:t xml:space="preserve"> is required.</w:t>
      </w:r>
    </w:p>
    <w:p w14:paraId="4778329A" w14:textId="1CD98C0C" w:rsidR="000F6EC5" w:rsidRDefault="00FA7B11" w:rsidP="004A0251">
      <w:pPr>
        <w:rPr>
          <w:rFonts w:cstheme="minorHAnsi"/>
          <w:color w:val="374149" w:themeColor="accent5"/>
          <w:lang w:val="en-US"/>
        </w:rPr>
      </w:pPr>
      <w:r>
        <w:rPr>
          <w:rFonts w:cstheme="minorHAnsi"/>
          <w:color w:val="374149" w:themeColor="accent5"/>
          <w:lang w:val="en-US"/>
        </w:rPr>
        <w:t xml:space="preserve">Education </w:t>
      </w:r>
      <w:r w:rsidR="00A87884">
        <w:rPr>
          <w:rFonts w:cstheme="minorHAnsi"/>
          <w:color w:val="374149" w:themeColor="accent5"/>
          <w:lang w:val="en-US"/>
        </w:rPr>
        <w:t>technologies</w:t>
      </w:r>
      <w:r>
        <w:rPr>
          <w:rFonts w:cstheme="minorHAnsi"/>
          <w:color w:val="374149" w:themeColor="accent5"/>
          <w:lang w:val="en-US"/>
        </w:rPr>
        <w:t xml:space="preserve"> can also </w:t>
      </w:r>
      <w:r w:rsidR="00CF06CE">
        <w:rPr>
          <w:rFonts w:cstheme="minorHAnsi"/>
          <w:color w:val="374149" w:themeColor="accent5"/>
          <w:lang w:val="en-US"/>
        </w:rPr>
        <w:t>help plug the gap in hard-to-teach subject areas. With</w:t>
      </w:r>
      <w:r w:rsidR="00685440">
        <w:rPr>
          <w:rFonts w:cstheme="minorHAnsi"/>
          <w:color w:val="374149" w:themeColor="accent5"/>
          <w:lang w:val="en-US"/>
        </w:rPr>
        <w:t xml:space="preserve"> available</w:t>
      </w:r>
      <w:r w:rsidR="00CF06CE">
        <w:rPr>
          <w:rFonts w:cstheme="minorHAnsi"/>
          <w:color w:val="374149" w:themeColor="accent5"/>
          <w:lang w:val="en-US"/>
        </w:rPr>
        <w:t xml:space="preserve"> </w:t>
      </w:r>
      <w:r w:rsidR="0081328F">
        <w:rPr>
          <w:rFonts w:cstheme="minorHAnsi"/>
          <w:color w:val="374149" w:themeColor="accent5"/>
          <w:lang w:val="en-US"/>
        </w:rPr>
        <w:t>data show</w:t>
      </w:r>
      <w:r w:rsidR="00CF06CE">
        <w:rPr>
          <w:rFonts w:cstheme="minorHAnsi"/>
          <w:color w:val="374149" w:themeColor="accent5"/>
          <w:lang w:val="en-US"/>
        </w:rPr>
        <w:t>ing that</w:t>
      </w:r>
      <w:r w:rsidR="0081328F">
        <w:rPr>
          <w:rFonts w:cstheme="minorHAnsi"/>
          <w:color w:val="374149" w:themeColor="accent5"/>
          <w:lang w:val="en-US"/>
        </w:rPr>
        <w:t xml:space="preserve"> up to 40 per cent of teachers are teaching in out</w:t>
      </w:r>
      <w:r w:rsidR="000F6EC5">
        <w:rPr>
          <w:rFonts w:cstheme="minorHAnsi"/>
          <w:color w:val="374149" w:themeColor="accent5"/>
          <w:lang w:val="en-US"/>
        </w:rPr>
        <w:t>-</w:t>
      </w:r>
      <w:r w:rsidR="0081328F">
        <w:rPr>
          <w:rFonts w:cstheme="minorHAnsi"/>
          <w:color w:val="374149" w:themeColor="accent5"/>
          <w:lang w:val="en-US"/>
        </w:rPr>
        <w:t>of</w:t>
      </w:r>
      <w:r w:rsidR="000F6EC5">
        <w:rPr>
          <w:rFonts w:cstheme="minorHAnsi"/>
          <w:color w:val="374149" w:themeColor="accent5"/>
          <w:lang w:val="en-US"/>
        </w:rPr>
        <w:t>-</w:t>
      </w:r>
      <w:r w:rsidR="0081328F">
        <w:rPr>
          <w:rFonts w:cstheme="minorHAnsi"/>
          <w:color w:val="374149" w:themeColor="accent5"/>
          <w:lang w:val="en-US"/>
        </w:rPr>
        <w:t>field subjects</w:t>
      </w:r>
      <w:r w:rsidR="00AD0D47">
        <w:rPr>
          <w:rFonts w:cstheme="minorHAnsi"/>
          <w:color w:val="374149" w:themeColor="accent5"/>
          <w:lang w:val="en-US"/>
        </w:rPr>
        <w:t>,</w:t>
      </w:r>
      <w:r w:rsidR="00685440">
        <w:rPr>
          <w:rStyle w:val="FootnoteReference"/>
          <w:rFonts w:cstheme="minorHAnsi"/>
          <w:color w:val="374149" w:themeColor="accent5"/>
          <w:lang w:val="en-US"/>
        </w:rPr>
        <w:footnoteReference w:id="23"/>
      </w:r>
      <w:r w:rsidR="00AD0D47">
        <w:rPr>
          <w:rFonts w:cstheme="minorHAnsi"/>
          <w:color w:val="374149" w:themeColor="accent5"/>
          <w:lang w:val="en-US"/>
        </w:rPr>
        <w:t xml:space="preserve"> it is time to consider how </w:t>
      </w:r>
      <w:r w:rsidR="009D51A7">
        <w:rPr>
          <w:rFonts w:cstheme="minorHAnsi"/>
          <w:color w:val="374149" w:themeColor="accent5"/>
          <w:lang w:val="en-US"/>
        </w:rPr>
        <w:t>e</w:t>
      </w:r>
      <w:r w:rsidR="00AD0D47">
        <w:rPr>
          <w:rFonts w:cstheme="minorHAnsi"/>
          <w:color w:val="374149" w:themeColor="accent5"/>
          <w:lang w:val="en-US"/>
        </w:rPr>
        <w:t>d</w:t>
      </w:r>
      <w:r w:rsidR="00464B0C">
        <w:rPr>
          <w:rFonts w:cstheme="minorHAnsi"/>
          <w:color w:val="374149" w:themeColor="accent5"/>
          <w:lang w:val="en-US"/>
        </w:rPr>
        <w:t xml:space="preserve">ucation </w:t>
      </w:r>
      <w:r w:rsidR="009D51A7">
        <w:rPr>
          <w:rFonts w:cstheme="minorHAnsi"/>
          <w:color w:val="374149" w:themeColor="accent5"/>
          <w:lang w:val="en-US"/>
        </w:rPr>
        <w:t>t</w:t>
      </w:r>
      <w:r w:rsidR="00AD0D47">
        <w:rPr>
          <w:rFonts w:cstheme="minorHAnsi"/>
          <w:color w:val="374149" w:themeColor="accent5"/>
          <w:lang w:val="en-US"/>
        </w:rPr>
        <w:t>ech</w:t>
      </w:r>
      <w:r w:rsidR="00464B0C">
        <w:rPr>
          <w:rFonts w:cstheme="minorHAnsi"/>
          <w:color w:val="374149" w:themeColor="accent5"/>
          <w:lang w:val="en-US"/>
        </w:rPr>
        <w:t>nology</w:t>
      </w:r>
      <w:r w:rsidR="00AD0D47">
        <w:rPr>
          <w:rFonts w:cstheme="minorHAnsi"/>
          <w:color w:val="374149" w:themeColor="accent5"/>
          <w:lang w:val="en-US"/>
        </w:rPr>
        <w:t xml:space="preserve"> can </w:t>
      </w:r>
      <w:r w:rsidR="008B62A8">
        <w:rPr>
          <w:rFonts w:cstheme="minorHAnsi"/>
          <w:color w:val="374149" w:themeColor="accent5"/>
          <w:lang w:val="en-US"/>
        </w:rPr>
        <w:t>help fill this void</w:t>
      </w:r>
      <w:r w:rsidR="00EB5974">
        <w:rPr>
          <w:rFonts w:cstheme="minorHAnsi"/>
          <w:color w:val="374149" w:themeColor="accent5"/>
          <w:lang w:val="en-US"/>
        </w:rPr>
        <w:t>, particularly in STEM</w:t>
      </w:r>
      <w:r w:rsidR="008B62A8">
        <w:rPr>
          <w:rFonts w:cstheme="minorHAnsi"/>
          <w:color w:val="374149" w:themeColor="accent5"/>
          <w:lang w:val="en-US"/>
        </w:rPr>
        <w:t xml:space="preserve">. </w:t>
      </w:r>
    </w:p>
    <w:p w14:paraId="5EBB40FB" w14:textId="7656B38C" w:rsidR="006163BB" w:rsidRDefault="00C64CB6" w:rsidP="004A0251">
      <w:pPr>
        <w:rPr>
          <w:rFonts w:cstheme="minorHAnsi"/>
          <w:color w:val="374149" w:themeColor="accent5"/>
          <w:lang w:val="en-US"/>
        </w:rPr>
      </w:pPr>
      <w:r>
        <w:rPr>
          <w:rFonts w:cstheme="minorHAnsi"/>
          <w:color w:val="374149" w:themeColor="accent5"/>
          <w:lang w:val="en-US"/>
        </w:rPr>
        <w:t xml:space="preserve">For example, </w:t>
      </w:r>
      <w:r w:rsidR="006163BB" w:rsidRPr="006163BB">
        <w:rPr>
          <w:rFonts w:cstheme="minorHAnsi"/>
          <w:color w:val="374149" w:themeColor="accent5"/>
          <w:lang w:val="en-US"/>
        </w:rPr>
        <w:t xml:space="preserve">ESA recently partnered with the University of Adelaide to deliver the Australian Government funded </w:t>
      </w:r>
      <w:r w:rsidR="006163BB" w:rsidRPr="00B713C1">
        <w:rPr>
          <w:rFonts w:cstheme="minorHAnsi"/>
          <w:i/>
          <w:iCs/>
          <w:color w:val="374149" w:themeColor="accent5"/>
          <w:lang w:val="en-US"/>
        </w:rPr>
        <w:t>Maths in Schools: Teaching and Learning Resources to Support Mathematics (Maths in Schools) project</w:t>
      </w:r>
      <w:r w:rsidR="006163BB" w:rsidRPr="006163BB">
        <w:rPr>
          <w:rFonts w:cstheme="minorHAnsi"/>
          <w:color w:val="374149" w:themeColor="accent5"/>
          <w:lang w:val="en-US"/>
        </w:rPr>
        <w:t xml:space="preserve">. This project </w:t>
      </w:r>
      <w:r w:rsidR="009D51A7">
        <w:rPr>
          <w:rFonts w:cstheme="minorHAnsi"/>
          <w:color w:val="374149" w:themeColor="accent5"/>
          <w:lang w:val="en-US"/>
        </w:rPr>
        <w:t xml:space="preserve">includes </w:t>
      </w:r>
      <w:r w:rsidR="006163BB" w:rsidRPr="006163BB">
        <w:rPr>
          <w:rFonts w:cstheme="minorHAnsi"/>
          <w:color w:val="374149" w:themeColor="accent5"/>
          <w:lang w:val="en-US"/>
        </w:rPr>
        <w:t>a series of mathematics Massive Open Online Courses (MOOCs) for teachers supporting face-to-face professional learning and providing a repository of teaching and learning resources through an online Mathematics Hub and a Year 1 online numeracy check. The Mathematics Hub bring</w:t>
      </w:r>
      <w:r w:rsidR="009D51A7">
        <w:rPr>
          <w:rFonts w:cstheme="minorHAnsi"/>
          <w:color w:val="374149" w:themeColor="accent5"/>
          <w:lang w:val="en-US"/>
        </w:rPr>
        <w:t>s</w:t>
      </w:r>
      <w:r w:rsidR="006163BB" w:rsidRPr="006163BB">
        <w:rPr>
          <w:rFonts w:cstheme="minorHAnsi"/>
          <w:color w:val="374149" w:themeColor="accent5"/>
          <w:lang w:val="en-US"/>
        </w:rPr>
        <w:t xml:space="preserve"> together existing quality, evidence-based resources and provide quality assured learning resources aligned to the Australian Curriculum to support teachers, school leaders, students, parents and carers. The Hub provide</w:t>
      </w:r>
      <w:r w:rsidR="009D51A7">
        <w:rPr>
          <w:rFonts w:cstheme="minorHAnsi"/>
          <w:color w:val="374149" w:themeColor="accent5"/>
          <w:lang w:val="en-US"/>
        </w:rPr>
        <w:t>s</w:t>
      </w:r>
      <w:r w:rsidR="006163BB" w:rsidRPr="006163BB">
        <w:rPr>
          <w:rFonts w:cstheme="minorHAnsi"/>
          <w:color w:val="374149" w:themeColor="accent5"/>
          <w:lang w:val="en-US"/>
        </w:rPr>
        <w:t xml:space="preserve"> high-quality resources to teachers and students from all backgrounds, including underrepresented cohorts in STEM fields (girls and women, those living in rural and remote locations, and Aboriginal and Torres Strait Islander people).</w:t>
      </w:r>
    </w:p>
    <w:p w14:paraId="56EFA2E7" w14:textId="719771DC" w:rsidR="00F757FF" w:rsidRDefault="00EF0869" w:rsidP="004A0251">
      <w:pPr>
        <w:rPr>
          <w:rFonts w:cstheme="minorHAnsi"/>
          <w:color w:val="374149" w:themeColor="accent5"/>
          <w:lang w:val="en-US"/>
        </w:rPr>
      </w:pPr>
      <w:r>
        <w:rPr>
          <w:rFonts w:cstheme="minorHAnsi"/>
          <w:color w:val="374149" w:themeColor="accent5"/>
          <w:lang w:val="en-US"/>
        </w:rPr>
        <w:t>Innovative tools such as th</w:t>
      </w:r>
      <w:r w:rsidR="001E4D95">
        <w:rPr>
          <w:rFonts w:cstheme="minorHAnsi"/>
          <w:color w:val="374149" w:themeColor="accent5"/>
          <w:lang w:val="en-US"/>
        </w:rPr>
        <w:t>e</w:t>
      </w:r>
      <w:r>
        <w:rPr>
          <w:rFonts w:cstheme="minorHAnsi"/>
          <w:color w:val="374149" w:themeColor="accent5"/>
          <w:lang w:val="en-US"/>
        </w:rPr>
        <w:t>s</w:t>
      </w:r>
      <w:r w:rsidR="001E4D95">
        <w:rPr>
          <w:rFonts w:cstheme="minorHAnsi"/>
          <w:color w:val="374149" w:themeColor="accent5"/>
          <w:lang w:val="en-US"/>
        </w:rPr>
        <w:t>e</w:t>
      </w:r>
      <w:r>
        <w:rPr>
          <w:rFonts w:cstheme="minorHAnsi"/>
          <w:color w:val="374149" w:themeColor="accent5"/>
          <w:lang w:val="en-US"/>
        </w:rPr>
        <w:t xml:space="preserve"> need to be considered as supplements for relief teachers, </w:t>
      </w:r>
      <w:r w:rsidR="006E0518">
        <w:rPr>
          <w:rFonts w:cstheme="minorHAnsi"/>
          <w:color w:val="374149" w:themeColor="accent5"/>
          <w:lang w:val="en-US"/>
        </w:rPr>
        <w:t xml:space="preserve">especially </w:t>
      </w:r>
      <w:r>
        <w:rPr>
          <w:rFonts w:cstheme="minorHAnsi"/>
          <w:color w:val="374149" w:themeColor="accent5"/>
          <w:lang w:val="en-US"/>
        </w:rPr>
        <w:t xml:space="preserve">while </w:t>
      </w:r>
      <w:r w:rsidR="006E0518">
        <w:rPr>
          <w:rFonts w:cstheme="minorHAnsi"/>
          <w:color w:val="374149" w:themeColor="accent5"/>
          <w:lang w:val="en-US"/>
        </w:rPr>
        <w:t xml:space="preserve">the sector </w:t>
      </w:r>
      <w:r>
        <w:rPr>
          <w:rFonts w:cstheme="minorHAnsi"/>
          <w:color w:val="374149" w:themeColor="accent5"/>
          <w:lang w:val="en-US"/>
        </w:rPr>
        <w:t>undertake</w:t>
      </w:r>
      <w:r w:rsidR="006E0518">
        <w:rPr>
          <w:rFonts w:cstheme="minorHAnsi"/>
          <w:color w:val="374149" w:themeColor="accent5"/>
          <w:lang w:val="en-US"/>
        </w:rPr>
        <w:t>s</w:t>
      </w:r>
      <w:r>
        <w:rPr>
          <w:rFonts w:cstheme="minorHAnsi"/>
          <w:color w:val="374149" w:themeColor="accent5"/>
          <w:lang w:val="en-US"/>
        </w:rPr>
        <w:t xml:space="preserve"> the </w:t>
      </w:r>
      <w:r w:rsidR="00672618">
        <w:rPr>
          <w:rFonts w:cstheme="minorHAnsi"/>
          <w:color w:val="374149" w:themeColor="accent5"/>
          <w:lang w:val="en-US"/>
        </w:rPr>
        <w:t>longer-term</w:t>
      </w:r>
      <w:r>
        <w:rPr>
          <w:rFonts w:cstheme="minorHAnsi"/>
          <w:color w:val="374149" w:themeColor="accent5"/>
          <w:lang w:val="en-US"/>
        </w:rPr>
        <w:t xml:space="preserve"> task of attracting and training teachers in these traditionally difficult-to-staff subject areas.</w:t>
      </w:r>
    </w:p>
    <w:p w14:paraId="3ABB3562" w14:textId="43560DB0" w:rsidR="007F2D16" w:rsidRDefault="007F2D16" w:rsidP="007F2D16">
      <w:pPr>
        <w:rPr>
          <w:rFonts w:cstheme="minorHAnsi"/>
          <w:color w:val="374149" w:themeColor="accent5"/>
          <w:lang w:val="en-US"/>
        </w:rPr>
      </w:pPr>
      <w:r>
        <w:rPr>
          <w:rFonts w:cstheme="minorHAnsi"/>
          <w:color w:val="374149" w:themeColor="accent5"/>
          <w:lang w:val="en-US"/>
        </w:rPr>
        <w:t xml:space="preserve">One early step forward in this direction would be to create a single portal where teachers can access the range of existing online resources, which are currently hosted on their own individual websites. The current arrangements make it difficult to profile the tools amongst teachers, and difficult for teachers to locate when they are preparing lesson plans. The simple step of creating a single portal would mean that teachers can visit the portal and discover what is </w:t>
      </w:r>
      <w:r w:rsidR="006D4F6D">
        <w:rPr>
          <w:rFonts w:cstheme="minorHAnsi"/>
          <w:color w:val="374149" w:themeColor="accent5"/>
          <w:lang w:val="en-US"/>
        </w:rPr>
        <w:t xml:space="preserve">already </w:t>
      </w:r>
      <w:r>
        <w:rPr>
          <w:rFonts w:cstheme="minorHAnsi"/>
          <w:color w:val="374149" w:themeColor="accent5"/>
          <w:lang w:val="en-US"/>
        </w:rPr>
        <w:t>there to support them.</w:t>
      </w:r>
    </w:p>
    <w:p w14:paraId="68BB66FE" w14:textId="328E8ABE" w:rsidR="003F55B9" w:rsidRDefault="00590637" w:rsidP="00CC6252">
      <w:r>
        <w:rPr>
          <w:rFonts w:cstheme="minorHAnsi"/>
          <w:color w:val="374149" w:themeColor="accent5"/>
          <w:lang w:val="en-US"/>
        </w:rPr>
        <w:t xml:space="preserve">Now that </w:t>
      </w:r>
      <w:r w:rsidR="00C44D99">
        <w:rPr>
          <w:rFonts w:cstheme="minorHAnsi"/>
          <w:color w:val="374149" w:themeColor="accent5"/>
          <w:lang w:val="en-US"/>
        </w:rPr>
        <w:t xml:space="preserve">version nine of the Australian Curriculum has been agreed, </w:t>
      </w:r>
      <w:r w:rsidR="0019675F">
        <w:rPr>
          <w:rFonts w:cstheme="minorHAnsi"/>
          <w:color w:val="374149" w:themeColor="accent5"/>
          <w:lang w:val="en-US"/>
        </w:rPr>
        <w:t xml:space="preserve">another timely step forward would be a fresh </w:t>
      </w:r>
      <w:r w:rsidR="00105C97">
        <w:rPr>
          <w:rFonts w:cstheme="minorHAnsi"/>
          <w:color w:val="374149" w:themeColor="accent5"/>
          <w:lang w:val="en-US"/>
        </w:rPr>
        <w:t>invest</w:t>
      </w:r>
      <w:r w:rsidR="0019675F">
        <w:rPr>
          <w:rFonts w:cstheme="minorHAnsi"/>
          <w:color w:val="374149" w:themeColor="accent5"/>
          <w:lang w:val="en-US"/>
        </w:rPr>
        <w:t>ment</w:t>
      </w:r>
      <w:r w:rsidR="00105C97">
        <w:rPr>
          <w:rFonts w:cstheme="minorHAnsi"/>
          <w:color w:val="374149" w:themeColor="accent5"/>
          <w:lang w:val="en-US"/>
        </w:rPr>
        <w:t xml:space="preserve"> in the national collection </w:t>
      </w:r>
      <w:r w:rsidR="00052643">
        <w:rPr>
          <w:rFonts w:cstheme="minorHAnsi"/>
          <w:color w:val="374149" w:themeColor="accent5"/>
          <w:lang w:val="en-US"/>
        </w:rPr>
        <w:t xml:space="preserve">currently </w:t>
      </w:r>
      <w:r w:rsidR="00105C97">
        <w:rPr>
          <w:rFonts w:cstheme="minorHAnsi"/>
          <w:color w:val="374149" w:themeColor="accent5"/>
          <w:lang w:val="en-US"/>
        </w:rPr>
        <w:t>available via</w:t>
      </w:r>
      <w:r w:rsidR="00052643">
        <w:rPr>
          <w:rFonts w:cstheme="minorHAnsi"/>
          <w:color w:val="374149" w:themeColor="accent5"/>
          <w:lang w:val="en-US"/>
        </w:rPr>
        <w:t xml:space="preserve"> </w:t>
      </w:r>
      <w:hyperlink r:id="rId18" w:history="1">
        <w:r w:rsidR="00052643">
          <w:rPr>
            <w:rStyle w:val="Hyperlink"/>
          </w:rPr>
          <w:t>Home - Scootle</w:t>
        </w:r>
      </w:hyperlink>
      <w:r w:rsidR="00052643">
        <w:t xml:space="preserve">. </w:t>
      </w:r>
      <w:r w:rsidR="00292CBF">
        <w:t xml:space="preserve">Updating the national collection of free, quality assured and curriculum-aligned digital learning resources for teachers, parents and students would be an invaluable step to addressing the concerns </w:t>
      </w:r>
      <w:r w:rsidR="00B30690">
        <w:t xml:space="preserve">highlighted </w:t>
      </w:r>
      <w:r w:rsidR="00CC6252">
        <w:t xml:space="preserve">by the </w:t>
      </w:r>
      <w:r w:rsidR="00292CBF">
        <w:t xml:space="preserve">Grattan Institute. </w:t>
      </w:r>
      <w:r w:rsidR="001B3E7D">
        <w:t xml:space="preserve">Updating, tagging and linking existing and new resources </w:t>
      </w:r>
      <w:r w:rsidR="00A517D3">
        <w:t xml:space="preserve">would ensure this can be achieved as efficiently as possible. </w:t>
      </w:r>
      <w:r w:rsidR="00CC6252">
        <w:t>This would improve the discoverability of existing publicly funded, quality-assured, curriculum-linked</w:t>
      </w:r>
      <w:r w:rsidR="003F55B9">
        <w:t xml:space="preserve"> digital learning resources to save teachers’ time.</w:t>
      </w:r>
    </w:p>
    <w:p w14:paraId="30ADCDC5" w14:textId="6316EE71" w:rsidR="007F2D16" w:rsidRDefault="00EC364C" w:rsidP="004A0251">
      <w:r>
        <w:t xml:space="preserve">These two steps would work to support teachers as quickly as possible, </w:t>
      </w:r>
      <w:r w:rsidR="003E7FB9">
        <w:t xml:space="preserve">while also enabling governments and the </w:t>
      </w:r>
      <w:r w:rsidR="00A77B97">
        <w:t>sector to get a clear picture of what is already there</w:t>
      </w:r>
      <w:r w:rsidR="003E7FB9">
        <w:t xml:space="preserve"> and what still needs to be developed.</w:t>
      </w:r>
    </w:p>
    <w:p w14:paraId="336A170A" w14:textId="61ACC1D0" w:rsidR="006B7927" w:rsidRDefault="006B7927" w:rsidP="004A0251">
      <w:pPr>
        <w:rPr>
          <w:rFonts w:cstheme="minorHAnsi"/>
          <w:b/>
          <w:bCs/>
          <w:color w:val="374149" w:themeColor="accent5"/>
          <w:lang w:val="en-US"/>
        </w:rPr>
      </w:pPr>
      <w:r w:rsidRPr="006270C0">
        <w:rPr>
          <w:rFonts w:cstheme="minorHAnsi"/>
          <w:color w:val="374149" w:themeColor="accent5"/>
          <w:lang w:val="en-US"/>
        </w:rPr>
        <w:t xml:space="preserve">ESA fully supports Draft Recommendation 5.2. Addressing the workload issues will help address challenges around attraction and retention of teachers, as well as ensure that more time </w:t>
      </w:r>
      <w:r w:rsidR="00FA661C">
        <w:rPr>
          <w:rFonts w:cstheme="minorHAnsi"/>
          <w:color w:val="374149" w:themeColor="accent5"/>
          <w:lang w:val="en-US"/>
        </w:rPr>
        <w:t xml:space="preserve">can be </w:t>
      </w:r>
      <w:r w:rsidRPr="006270C0">
        <w:rPr>
          <w:rFonts w:cstheme="minorHAnsi"/>
          <w:color w:val="374149" w:themeColor="accent5"/>
          <w:lang w:val="en-US"/>
        </w:rPr>
        <w:t>devoted to student outcomes.</w:t>
      </w:r>
      <w:r>
        <w:rPr>
          <w:rFonts w:cstheme="minorHAnsi"/>
          <w:color w:val="374149" w:themeColor="accent5"/>
          <w:lang w:val="en-US"/>
        </w:rPr>
        <w:t xml:space="preserve"> </w:t>
      </w:r>
      <w:r w:rsidR="00D419EC">
        <w:rPr>
          <w:rFonts w:cstheme="minorHAnsi"/>
          <w:color w:val="374149" w:themeColor="accent5"/>
          <w:lang w:val="en-US"/>
        </w:rPr>
        <w:t xml:space="preserve">Draft Recommendation 5.2 </w:t>
      </w:r>
      <w:r>
        <w:rPr>
          <w:rFonts w:cstheme="minorHAnsi"/>
          <w:color w:val="374149" w:themeColor="accent5"/>
          <w:lang w:val="en-US"/>
        </w:rPr>
        <w:t xml:space="preserve">outlines a number of steps that can be taken </w:t>
      </w:r>
      <w:r w:rsidR="001E5739">
        <w:rPr>
          <w:rFonts w:cstheme="minorHAnsi"/>
          <w:color w:val="374149" w:themeColor="accent5"/>
          <w:lang w:val="en-US"/>
        </w:rPr>
        <w:t>to</w:t>
      </w:r>
      <w:r>
        <w:rPr>
          <w:rFonts w:cstheme="minorHAnsi"/>
          <w:color w:val="374149" w:themeColor="accent5"/>
          <w:lang w:val="en-US"/>
        </w:rPr>
        <w:t xml:space="preserve"> achiev</w:t>
      </w:r>
      <w:r w:rsidR="001E5739">
        <w:rPr>
          <w:rFonts w:cstheme="minorHAnsi"/>
          <w:color w:val="374149" w:themeColor="accent5"/>
          <w:lang w:val="en-US"/>
        </w:rPr>
        <w:t>e</w:t>
      </w:r>
      <w:r>
        <w:rPr>
          <w:rFonts w:cstheme="minorHAnsi"/>
          <w:color w:val="374149" w:themeColor="accent5"/>
          <w:lang w:val="en-US"/>
        </w:rPr>
        <w:t xml:space="preserve"> this outcome</w:t>
      </w:r>
      <w:r w:rsidR="001E5739">
        <w:rPr>
          <w:rFonts w:cstheme="minorHAnsi"/>
          <w:color w:val="374149" w:themeColor="accent5"/>
          <w:lang w:val="en-US"/>
        </w:rPr>
        <w:t>,</w:t>
      </w:r>
      <w:r>
        <w:rPr>
          <w:rFonts w:cstheme="minorHAnsi"/>
          <w:color w:val="374149" w:themeColor="accent5"/>
          <w:lang w:val="en-US"/>
        </w:rPr>
        <w:t xml:space="preserve"> </w:t>
      </w:r>
      <w:r w:rsidR="002F38A5">
        <w:rPr>
          <w:rFonts w:cstheme="minorHAnsi"/>
          <w:color w:val="374149" w:themeColor="accent5"/>
          <w:lang w:val="en-US"/>
        </w:rPr>
        <w:t xml:space="preserve">but </w:t>
      </w:r>
      <w:r w:rsidR="005D7E98">
        <w:rPr>
          <w:rFonts w:cstheme="minorHAnsi"/>
          <w:color w:val="374149" w:themeColor="accent5"/>
          <w:lang w:val="en-US"/>
        </w:rPr>
        <w:t xml:space="preserve">does not </w:t>
      </w:r>
      <w:r w:rsidR="00F72A5F">
        <w:rPr>
          <w:rFonts w:cstheme="minorHAnsi"/>
          <w:color w:val="374149" w:themeColor="accent5"/>
          <w:lang w:val="en-US"/>
        </w:rPr>
        <w:t>consider</w:t>
      </w:r>
      <w:r w:rsidR="005D7E98">
        <w:rPr>
          <w:rFonts w:cstheme="minorHAnsi"/>
          <w:color w:val="374149" w:themeColor="accent5"/>
          <w:lang w:val="en-US"/>
        </w:rPr>
        <w:t xml:space="preserve"> </w:t>
      </w:r>
      <w:r>
        <w:rPr>
          <w:rFonts w:cstheme="minorHAnsi"/>
          <w:color w:val="374149" w:themeColor="accent5"/>
          <w:lang w:val="en-US"/>
        </w:rPr>
        <w:t>the key role that education technology can play</w:t>
      </w:r>
      <w:r w:rsidR="005C13F8">
        <w:rPr>
          <w:rFonts w:cstheme="minorHAnsi"/>
          <w:color w:val="374149" w:themeColor="accent5"/>
          <w:lang w:val="en-US"/>
        </w:rPr>
        <w:t xml:space="preserve"> (as outlined above)</w:t>
      </w:r>
      <w:r>
        <w:rPr>
          <w:rFonts w:cstheme="minorHAnsi"/>
          <w:color w:val="374149" w:themeColor="accent5"/>
          <w:lang w:val="en-US"/>
        </w:rPr>
        <w:t>. On that basis, ESA proposes an additional point to the Draft Recommendation.</w:t>
      </w:r>
    </w:p>
    <w:p w14:paraId="13D19C30" w14:textId="77777777" w:rsidR="00520E6D" w:rsidRDefault="006B7927" w:rsidP="00520E6D">
      <w:pPr>
        <w:rPr>
          <w:rFonts w:cstheme="minorHAnsi"/>
          <w:b/>
          <w:bCs/>
          <w:color w:val="374149" w:themeColor="accent5"/>
          <w:lang w:val="en-US"/>
        </w:rPr>
      </w:pPr>
      <w:r>
        <w:rPr>
          <w:rFonts w:cstheme="minorHAnsi"/>
          <w:b/>
          <w:bCs/>
          <w:color w:val="374149" w:themeColor="accent5"/>
          <w:lang w:val="en-US"/>
        </w:rPr>
        <w:t xml:space="preserve">Recommendation </w:t>
      </w:r>
      <w:r w:rsidR="00FE32F6">
        <w:rPr>
          <w:rFonts w:cstheme="minorHAnsi"/>
          <w:b/>
          <w:bCs/>
          <w:color w:val="374149" w:themeColor="accent5"/>
          <w:lang w:val="en-US"/>
        </w:rPr>
        <w:t xml:space="preserve">4 </w:t>
      </w:r>
      <w:r>
        <w:rPr>
          <w:rFonts w:cstheme="minorHAnsi"/>
          <w:b/>
          <w:bCs/>
          <w:color w:val="374149" w:themeColor="accent5"/>
          <w:lang w:val="en-US"/>
        </w:rPr>
        <w:t xml:space="preserve">– </w:t>
      </w:r>
      <w:r w:rsidR="00272531">
        <w:rPr>
          <w:rFonts w:cstheme="minorHAnsi"/>
          <w:b/>
          <w:bCs/>
          <w:color w:val="374149" w:themeColor="accent5"/>
          <w:lang w:val="en-US"/>
        </w:rPr>
        <w:t>incorporate</w:t>
      </w:r>
      <w:r w:rsidR="00912BC4">
        <w:rPr>
          <w:rFonts w:cstheme="minorHAnsi"/>
          <w:b/>
          <w:bCs/>
          <w:color w:val="374149" w:themeColor="accent5"/>
          <w:lang w:val="en-US"/>
        </w:rPr>
        <w:t xml:space="preserve"> a fifth step to </w:t>
      </w:r>
      <w:r>
        <w:rPr>
          <w:rFonts w:cstheme="minorHAnsi"/>
          <w:b/>
          <w:bCs/>
          <w:color w:val="374149" w:themeColor="accent5"/>
          <w:lang w:val="en-US"/>
        </w:rPr>
        <w:t>Draft Recommendation 5.2</w:t>
      </w:r>
      <w:r w:rsidR="0026411F">
        <w:rPr>
          <w:rFonts w:cstheme="minorHAnsi"/>
          <w:b/>
          <w:bCs/>
          <w:color w:val="374149" w:themeColor="accent5"/>
          <w:lang w:val="en-US"/>
        </w:rPr>
        <w:t xml:space="preserve"> to incorporate </w:t>
      </w:r>
      <w:r>
        <w:rPr>
          <w:rFonts w:cstheme="minorHAnsi"/>
          <w:b/>
          <w:bCs/>
          <w:color w:val="374149" w:themeColor="accent5"/>
          <w:lang w:val="en-US"/>
        </w:rPr>
        <w:t>the way</w:t>
      </w:r>
      <w:r w:rsidR="0026411F">
        <w:rPr>
          <w:rFonts w:cstheme="minorHAnsi"/>
          <w:b/>
          <w:bCs/>
          <w:color w:val="374149" w:themeColor="accent5"/>
          <w:lang w:val="en-US"/>
        </w:rPr>
        <w:t>s</w:t>
      </w:r>
      <w:r>
        <w:rPr>
          <w:rFonts w:cstheme="minorHAnsi"/>
          <w:b/>
          <w:bCs/>
          <w:color w:val="374149" w:themeColor="accent5"/>
          <w:lang w:val="en-US"/>
        </w:rPr>
        <w:t xml:space="preserve"> that digital </w:t>
      </w:r>
      <w:r w:rsidR="009D51A7">
        <w:rPr>
          <w:rFonts w:cstheme="minorHAnsi"/>
          <w:b/>
          <w:bCs/>
          <w:color w:val="374149" w:themeColor="accent5"/>
          <w:lang w:val="en-US"/>
        </w:rPr>
        <w:t xml:space="preserve">resources and </w:t>
      </w:r>
      <w:r>
        <w:rPr>
          <w:rFonts w:cstheme="minorHAnsi"/>
          <w:b/>
          <w:bCs/>
          <w:color w:val="374149" w:themeColor="accent5"/>
          <w:lang w:val="en-US"/>
        </w:rPr>
        <w:t xml:space="preserve">technologies can help reduce teacher workload during the life of the next agreement. Digital tools </w:t>
      </w:r>
      <w:r w:rsidR="0026411F">
        <w:rPr>
          <w:rFonts w:cstheme="minorHAnsi"/>
          <w:b/>
          <w:bCs/>
          <w:color w:val="374149" w:themeColor="accent5"/>
          <w:lang w:val="en-US"/>
        </w:rPr>
        <w:t>would</w:t>
      </w:r>
      <w:r>
        <w:rPr>
          <w:rFonts w:cstheme="minorHAnsi"/>
          <w:b/>
          <w:bCs/>
          <w:color w:val="374149" w:themeColor="accent5"/>
          <w:lang w:val="en-US"/>
        </w:rPr>
        <w:t xml:space="preserve"> complement the other </w:t>
      </w:r>
      <w:r w:rsidR="0026411F">
        <w:rPr>
          <w:rFonts w:cstheme="minorHAnsi"/>
          <w:b/>
          <w:bCs/>
          <w:color w:val="374149" w:themeColor="accent5"/>
          <w:lang w:val="en-US"/>
        </w:rPr>
        <w:t>steps already captured</w:t>
      </w:r>
      <w:r>
        <w:rPr>
          <w:rFonts w:cstheme="minorHAnsi"/>
          <w:b/>
          <w:bCs/>
          <w:color w:val="374149" w:themeColor="accent5"/>
          <w:lang w:val="en-US"/>
        </w:rPr>
        <w:t xml:space="preserve"> in this draft recommendation, </w:t>
      </w:r>
      <w:r w:rsidR="00CD5814">
        <w:rPr>
          <w:rFonts w:cstheme="minorHAnsi"/>
          <w:b/>
          <w:bCs/>
          <w:color w:val="374149" w:themeColor="accent5"/>
          <w:lang w:val="en-US"/>
        </w:rPr>
        <w:t>as well as</w:t>
      </w:r>
      <w:r>
        <w:rPr>
          <w:rFonts w:cstheme="minorHAnsi"/>
          <w:b/>
          <w:bCs/>
          <w:color w:val="374149" w:themeColor="accent5"/>
          <w:lang w:val="en-US"/>
        </w:rPr>
        <w:t xml:space="preserve"> ensure equity and accessibility amongst teachers in all jurisdictions and sectors.</w:t>
      </w:r>
    </w:p>
    <w:p w14:paraId="1BB5F384" w14:textId="77777777" w:rsidR="00520E6D" w:rsidRDefault="00520E6D" w:rsidP="00520E6D">
      <w:pPr>
        <w:rPr>
          <w:rFonts w:cstheme="minorHAnsi"/>
          <w:b/>
          <w:bCs/>
          <w:color w:val="374149" w:themeColor="accent5"/>
          <w:lang w:val="en-US"/>
        </w:rPr>
      </w:pPr>
    </w:p>
    <w:p w14:paraId="4C506665" w14:textId="6B61A2F8" w:rsidR="001A628E" w:rsidRPr="00520E6D" w:rsidRDefault="001A628E" w:rsidP="00520E6D">
      <w:pPr>
        <w:rPr>
          <w:rFonts w:cstheme="minorHAnsi"/>
          <w:b/>
          <w:bCs/>
          <w:color w:val="241773" w:themeColor="accent1"/>
          <w:lang w:val="en-US"/>
        </w:rPr>
      </w:pPr>
      <w:r w:rsidRPr="00520E6D">
        <w:rPr>
          <w:rFonts w:asciiTheme="majorHAnsi" w:hAnsiTheme="majorHAnsi" w:cstheme="majorHAnsi"/>
          <w:b/>
          <w:bCs/>
          <w:color w:val="241773" w:themeColor="accent1"/>
          <w:sz w:val="24"/>
          <w:szCs w:val="24"/>
        </w:rPr>
        <w:t>Conclusion</w:t>
      </w:r>
    </w:p>
    <w:p w14:paraId="444F01D2" w14:textId="77777777" w:rsidR="00520E6D" w:rsidRDefault="00863839" w:rsidP="003F55B9">
      <w:pPr>
        <w:rPr>
          <w:rFonts w:cstheme="minorHAnsi"/>
          <w:color w:val="374149" w:themeColor="accent5"/>
        </w:rPr>
      </w:pPr>
      <w:r w:rsidRPr="00107242">
        <w:rPr>
          <w:rFonts w:cstheme="minorHAnsi"/>
        </w:rPr>
        <w:t xml:space="preserve">ESA’s strategic objective is to support improved student outcomes, enhanced teacher impact and stronger school communities. </w:t>
      </w:r>
      <w:r w:rsidR="00BF0FCF">
        <w:rPr>
          <w:rFonts w:cstheme="minorHAnsi"/>
          <w:color w:val="374149" w:themeColor="accent5"/>
        </w:rPr>
        <w:t>It is through this lens that ESA has responded to specific chapters</w:t>
      </w:r>
      <w:r w:rsidR="008D35D4">
        <w:rPr>
          <w:rFonts w:cstheme="minorHAnsi"/>
          <w:color w:val="374149" w:themeColor="accent5"/>
        </w:rPr>
        <w:t xml:space="preserve"> of the Interim Report</w:t>
      </w:r>
      <w:r w:rsidR="00BF0FCF">
        <w:rPr>
          <w:rFonts w:cstheme="minorHAnsi"/>
          <w:color w:val="374149" w:themeColor="accent5"/>
        </w:rPr>
        <w:t xml:space="preserve">. </w:t>
      </w:r>
    </w:p>
    <w:p w14:paraId="041B9F32" w14:textId="486CF52D" w:rsidR="00BF0FCF" w:rsidRDefault="00BF0FCF" w:rsidP="003F55B9">
      <w:pPr>
        <w:rPr>
          <w:rFonts w:cstheme="minorHAnsi"/>
          <w:color w:val="374149" w:themeColor="accent5"/>
        </w:rPr>
      </w:pPr>
      <w:r>
        <w:rPr>
          <w:rFonts w:cstheme="minorHAnsi"/>
          <w:color w:val="374149" w:themeColor="accent5"/>
        </w:rPr>
        <w:t>Improving student outcomes should be central to all that we do in t</w:t>
      </w:r>
      <w:r w:rsidR="00B713F7">
        <w:rPr>
          <w:rFonts w:cstheme="minorHAnsi"/>
          <w:color w:val="374149" w:themeColor="accent5"/>
        </w:rPr>
        <w:t>he next A</w:t>
      </w:r>
      <w:r>
        <w:rPr>
          <w:rFonts w:cstheme="minorHAnsi"/>
          <w:color w:val="374149" w:themeColor="accent5"/>
        </w:rPr>
        <w:t xml:space="preserve">greement. To improve student outcomes, we need to address student wellbeing and we need to </w:t>
      </w:r>
      <w:r w:rsidR="00202E4E">
        <w:rPr>
          <w:rFonts w:cstheme="minorHAnsi"/>
          <w:color w:val="374149" w:themeColor="accent5"/>
        </w:rPr>
        <w:t>support teachers</w:t>
      </w:r>
      <w:r>
        <w:rPr>
          <w:rFonts w:cstheme="minorHAnsi"/>
          <w:color w:val="374149" w:themeColor="accent5"/>
        </w:rPr>
        <w:t>.</w:t>
      </w:r>
      <w:r w:rsidR="00BD7593">
        <w:rPr>
          <w:rFonts w:cstheme="minorHAnsi"/>
          <w:color w:val="374149" w:themeColor="accent5"/>
        </w:rPr>
        <w:t xml:space="preserve"> We also need to close out the USI, OFAI and the Senior Secondary Pathways work commenced in the current agreement. </w:t>
      </w:r>
      <w:r w:rsidR="00D44A59">
        <w:rPr>
          <w:rFonts w:cstheme="minorHAnsi"/>
          <w:color w:val="374149" w:themeColor="accent5"/>
        </w:rPr>
        <w:t xml:space="preserve">The USI and OFAI were initially agreed </w:t>
      </w:r>
      <w:r w:rsidR="00D44A59" w:rsidRPr="005C6F13">
        <w:rPr>
          <w:rFonts w:cstheme="minorHAnsi"/>
        </w:rPr>
        <w:t>because of the valuable data they would provide to inform teaching practice and to instruct policy design going forward. These tools remain key to building the evidence needed to maximise learning growth and improve student outcomes in the next Agreement.</w:t>
      </w:r>
      <w:r w:rsidR="009E44E8">
        <w:rPr>
          <w:rFonts w:cstheme="minorHAnsi"/>
        </w:rPr>
        <w:t xml:space="preserve"> </w:t>
      </w:r>
      <w:r w:rsidR="00CF631F">
        <w:rPr>
          <w:rFonts w:cstheme="minorHAnsi"/>
        </w:rPr>
        <w:t>ESA’s first r</w:t>
      </w:r>
      <w:r w:rsidR="009E44E8">
        <w:rPr>
          <w:rFonts w:cstheme="minorHAnsi"/>
        </w:rPr>
        <w:t xml:space="preserve">ecommendation </w:t>
      </w:r>
      <w:r w:rsidR="00A51606">
        <w:rPr>
          <w:rFonts w:cstheme="minorHAnsi"/>
        </w:rPr>
        <w:t xml:space="preserve">strongly encourages the Productivity Commission to consider how </w:t>
      </w:r>
      <w:r w:rsidR="002A5D34">
        <w:rPr>
          <w:rFonts w:cstheme="minorHAnsi"/>
        </w:rPr>
        <w:t xml:space="preserve">processes and </w:t>
      </w:r>
      <w:r w:rsidR="00A51606">
        <w:rPr>
          <w:rFonts w:cstheme="minorHAnsi"/>
        </w:rPr>
        <w:t>governance models can help address this.</w:t>
      </w:r>
      <w:r w:rsidR="009E44E8">
        <w:rPr>
          <w:rFonts w:cstheme="minorHAnsi"/>
        </w:rPr>
        <w:t xml:space="preserve"> </w:t>
      </w:r>
    </w:p>
    <w:p w14:paraId="535B0454" w14:textId="1A576CB0" w:rsidR="00057727" w:rsidRDefault="00A73024" w:rsidP="008B1DDB">
      <w:pPr>
        <w:rPr>
          <w:rFonts w:cstheme="minorHAnsi"/>
        </w:rPr>
      </w:pPr>
      <w:r>
        <w:t xml:space="preserve">Our </w:t>
      </w:r>
      <w:r w:rsidR="00F430B1">
        <w:t xml:space="preserve">second recommendation highlights that the </w:t>
      </w:r>
      <w:r w:rsidR="00057727" w:rsidRPr="0093147B">
        <w:t xml:space="preserve">ambition to help address gaps in career advice, exploration and experience through digital technologies is achievable. </w:t>
      </w:r>
      <w:r w:rsidR="00057727" w:rsidRPr="0093147B">
        <w:rPr>
          <w:rFonts w:cstheme="minorHAnsi"/>
        </w:rPr>
        <w:t xml:space="preserve">ESA can support governments </w:t>
      </w:r>
      <w:r w:rsidR="00391166">
        <w:rPr>
          <w:rFonts w:cstheme="minorHAnsi"/>
        </w:rPr>
        <w:t>in this work</w:t>
      </w:r>
      <w:r w:rsidR="001E5878">
        <w:rPr>
          <w:rFonts w:cstheme="minorHAnsi"/>
        </w:rPr>
        <w:t xml:space="preserve">, which is </w:t>
      </w:r>
      <w:r w:rsidR="00CF631F">
        <w:rPr>
          <w:rFonts w:cstheme="minorHAnsi"/>
        </w:rPr>
        <w:t>vital if we are to help students translate their school education into a fulfilling career path.</w:t>
      </w:r>
    </w:p>
    <w:p w14:paraId="67833679" w14:textId="2EC63E34" w:rsidR="00952EB9" w:rsidRDefault="002F490D" w:rsidP="006243AE">
      <w:pPr>
        <w:rPr>
          <w:rFonts w:cstheme="minorHAnsi"/>
        </w:rPr>
      </w:pPr>
      <w:r>
        <w:rPr>
          <w:rFonts w:cstheme="minorHAnsi"/>
        </w:rPr>
        <w:t xml:space="preserve">Based on our experience </w:t>
      </w:r>
      <w:r w:rsidR="00977B1B">
        <w:rPr>
          <w:rFonts w:cstheme="minorHAnsi"/>
        </w:rPr>
        <w:t xml:space="preserve">working with </w:t>
      </w:r>
      <w:r>
        <w:rPr>
          <w:rFonts w:cstheme="minorHAnsi"/>
        </w:rPr>
        <w:t xml:space="preserve">the </w:t>
      </w:r>
      <w:r w:rsidR="00977B1B" w:rsidRPr="006270C0">
        <w:rPr>
          <w:rFonts w:cstheme="minorHAnsi"/>
          <w:color w:val="505050"/>
        </w:rPr>
        <w:t xml:space="preserve">Stronger Smarter Institute </w:t>
      </w:r>
      <w:r w:rsidR="001E5878">
        <w:rPr>
          <w:rFonts w:cstheme="minorHAnsi"/>
          <w:color w:val="505050"/>
        </w:rPr>
        <w:t>on the</w:t>
      </w:r>
      <w:r w:rsidR="00977B1B" w:rsidRPr="006270C0">
        <w:rPr>
          <w:rFonts w:cstheme="minorHAnsi"/>
          <w:color w:val="505050"/>
        </w:rPr>
        <w:t xml:space="preserve"> </w:t>
      </w:r>
      <w:r w:rsidR="00977B1B">
        <w:rPr>
          <w:rFonts w:cstheme="minorHAnsi"/>
          <w:color w:val="505050"/>
        </w:rPr>
        <w:t>E</w:t>
      </w:r>
      <w:r w:rsidR="00977B1B" w:rsidRPr="006270C0">
        <w:rPr>
          <w:rFonts w:cstheme="minorHAnsi"/>
          <w:color w:val="505050"/>
        </w:rPr>
        <w:t>LLIC</w:t>
      </w:r>
      <w:r w:rsidR="00977B1B">
        <w:rPr>
          <w:rFonts w:cstheme="minorHAnsi"/>
          <w:color w:val="505050"/>
        </w:rPr>
        <w:t xml:space="preserve"> program,</w:t>
      </w:r>
      <w:r w:rsidR="00977B1B" w:rsidRPr="006270C0">
        <w:rPr>
          <w:rFonts w:cstheme="minorHAnsi"/>
          <w:color w:val="505050"/>
        </w:rPr>
        <w:t xml:space="preserve"> </w:t>
      </w:r>
      <w:r w:rsidR="00977B1B">
        <w:rPr>
          <w:rFonts w:cstheme="minorHAnsi"/>
          <w:color w:val="505050"/>
        </w:rPr>
        <w:t xml:space="preserve">and </w:t>
      </w:r>
      <w:r w:rsidR="002F1530">
        <w:rPr>
          <w:rFonts w:cstheme="minorHAnsi"/>
          <w:color w:val="505050"/>
        </w:rPr>
        <w:t xml:space="preserve">in </w:t>
      </w:r>
      <w:r w:rsidR="00977B1B">
        <w:rPr>
          <w:rFonts w:cstheme="minorHAnsi"/>
          <w:color w:val="505050"/>
        </w:rPr>
        <w:t xml:space="preserve">developing the NCCD alongside teachers and school leaders, </w:t>
      </w:r>
      <w:r w:rsidR="00107242">
        <w:rPr>
          <w:rFonts w:cstheme="minorHAnsi"/>
          <w:color w:val="505050"/>
        </w:rPr>
        <w:t>our third recommendation</w:t>
      </w:r>
      <w:r w:rsidR="006243AE">
        <w:rPr>
          <w:rFonts w:cstheme="minorHAnsi"/>
          <w:color w:val="505050"/>
        </w:rPr>
        <w:t xml:space="preserve"> places an emphasis on co-design. </w:t>
      </w:r>
      <w:r w:rsidR="006243AE">
        <w:rPr>
          <w:rFonts w:cstheme="minorHAnsi"/>
        </w:rPr>
        <w:t>T</w:t>
      </w:r>
      <w:r w:rsidR="00952EB9">
        <w:rPr>
          <w:rFonts w:cstheme="minorHAnsi"/>
        </w:rPr>
        <w:t xml:space="preserve">he next agreement must include processes </w:t>
      </w:r>
      <w:r w:rsidR="00544FD0">
        <w:rPr>
          <w:rFonts w:cstheme="minorHAnsi"/>
        </w:rPr>
        <w:t>to</w:t>
      </w:r>
      <w:r w:rsidR="00952EB9">
        <w:rPr>
          <w:rFonts w:cstheme="minorHAnsi"/>
        </w:rPr>
        <w:t xml:space="preserve"> capture the views and experiences of practitioners. Participation in </w:t>
      </w:r>
      <w:r w:rsidR="00544FD0">
        <w:rPr>
          <w:rFonts w:cstheme="minorHAnsi"/>
        </w:rPr>
        <w:t>policy design</w:t>
      </w:r>
      <w:r w:rsidR="00952EB9">
        <w:rPr>
          <w:rFonts w:cstheme="minorHAnsi"/>
        </w:rPr>
        <w:t xml:space="preserve"> leads to a sense of ownership, which benefits implementation. </w:t>
      </w:r>
    </w:p>
    <w:p w14:paraId="6BC303F2" w14:textId="05C7DCED" w:rsidR="00A36EA1" w:rsidRPr="00A36EA1" w:rsidRDefault="00D8204D" w:rsidP="00A36EA1">
      <w:pPr>
        <w:rPr>
          <w:rFonts w:cstheme="minorHAnsi"/>
        </w:rPr>
      </w:pPr>
      <w:r>
        <w:rPr>
          <w:rFonts w:cstheme="minorHAnsi"/>
        </w:rPr>
        <w:t>ESA fully supports the Interim Repor</w:t>
      </w:r>
      <w:r w:rsidRPr="00D8204D">
        <w:rPr>
          <w:rFonts w:cstheme="minorHAnsi"/>
        </w:rPr>
        <w:t>t’s Draft Recommendation 4.1</w:t>
      </w:r>
      <w:r w:rsidR="009B30E9">
        <w:rPr>
          <w:rFonts w:cstheme="minorHAnsi"/>
        </w:rPr>
        <w:t xml:space="preserve"> </w:t>
      </w:r>
      <w:r w:rsidR="008518B1">
        <w:rPr>
          <w:rFonts w:cstheme="minorHAnsi"/>
        </w:rPr>
        <w:t xml:space="preserve">to include student wellbeing </w:t>
      </w:r>
      <w:r w:rsidR="009B30E9">
        <w:rPr>
          <w:rFonts w:cstheme="minorHAnsi"/>
        </w:rPr>
        <w:t xml:space="preserve">as an outcome, backed by actions and data collection. </w:t>
      </w:r>
      <w:r w:rsidR="00A36EA1" w:rsidRPr="00A36EA1">
        <w:t>Student wellbeing is fundamental to improving student outcomes and setting Australia’s young people on a path to fulfilling and happy lives.</w:t>
      </w:r>
    </w:p>
    <w:p w14:paraId="19C90488" w14:textId="1A1D287F" w:rsidR="00E832EC" w:rsidRDefault="00DE6277" w:rsidP="00DF69BF">
      <w:pPr>
        <w:rPr>
          <w:rFonts w:cstheme="minorHAnsi"/>
          <w:color w:val="374149" w:themeColor="accent5"/>
          <w:lang w:val="en-US"/>
        </w:rPr>
      </w:pPr>
      <w:r w:rsidRPr="00DE6277">
        <w:rPr>
          <w:rFonts w:cstheme="minorHAnsi"/>
        </w:rPr>
        <w:t xml:space="preserve">Recent research </w:t>
      </w:r>
      <w:r>
        <w:rPr>
          <w:rFonts w:cstheme="minorHAnsi"/>
        </w:rPr>
        <w:t>released by the Grattan Institute demonstrates the urgent and compelling case to address teacher workload. ESA full</w:t>
      </w:r>
      <w:r w:rsidR="00E832EC" w:rsidRPr="006270C0">
        <w:rPr>
          <w:rFonts w:cstheme="minorHAnsi"/>
          <w:color w:val="374149" w:themeColor="accent5"/>
          <w:lang w:val="en-US"/>
        </w:rPr>
        <w:t xml:space="preserve">y supports </w:t>
      </w:r>
      <w:r w:rsidR="00B773B1">
        <w:rPr>
          <w:rFonts w:cstheme="minorHAnsi"/>
          <w:color w:val="374149" w:themeColor="accent5"/>
          <w:lang w:val="en-US"/>
        </w:rPr>
        <w:t xml:space="preserve">the Productivity Commission’s </w:t>
      </w:r>
      <w:r w:rsidR="00E832EC" w:rsidRPr="006270C0">
        <w:rPr>
          <w:rFonts w:cstheme="minorHAnsi"/>
          <w:color w:val="374149" w:themeColor="accent5"/>
          <w:lang w:val="en-US"/>
        </w:rPr>
        <w:t>Draft Recommendation 5.2</w:t>
      </w:r>
      <w:r w:rsidR="00975EFE">
        <w:rPr>
          <w:rFonts w:cstheme="minorHAnsi"/>
          <w:color w:val="374149" w:themeColor="accent5"/>
          <w:lang w:val="en-US"/>
        </w:rPr>
        <w:t xml:space="preserve"> and proposes an important additional point to capture the ways that digital resources and technologies</w:t>
      </w:r>
      <w:r w:rsidR="00D87E48">
        <w:rPr>
          <w:rFonts w:cstheme="minorHAnsi"/>
          <w:color w:val="374149" w:themeColor="accent5"/>
          <w:lang w:val="en-US"/>
        </w:rPr>
        <w:t>, such as a single portal,</w:t>
      </w:r>
      <w:r w:rsidR="00975EFE">
        <w:rPr>
          <w:rFonts w:cstheme="minorHAnsi"/>
          <w:color w:val="374149" w:themeColor="accent5"/>
          <w:lang w:val="en-US"/>
        </w:rPr>
        <w:t xml:space="preserve"> can help reduce teacher workload in the next Agreement</w:t>
      </w:r>
      <w:r w:rsidR="004D26B9">
        <w:rPr>
          <w:rFonts w:cstheme="minorHAnsi"/>
          <w:color w:val="374149" w:themeColor="accent5"/>
          <w:lang w:val="en-US"/>
        </w:rPr>
        <w:t>, as well as bolster attraction and retention strategies</w:t>
      </w:r>
      <w:r w:rsidR="00975EFE">
        <w:rPr>
          <w:rFonts w:cstheme="minorHAnsi"/>
          <w:color w:val="374149" w:themeColor="accent5"/>
          <w:lang w:val="en-US"/>
        </w:rPr>
        <w:t>.</w:t>
      </w:r>
      <w:r w:rsidR="00DF69BF">
        <w:rPr>
          <w:rFonts w:cstheme="minorHAnsi"/>
          <w:color w:val="374149" w:themeColor="accent5"/>
          <w:lang w:val="en-US"/>
        </w:rPr>
        <w:t xml:space="preserve"> </w:t>
      </w:r>
    </w:p>
    <w:p w14:paraId="067974A4" w14:textId="6AF9F92B" w:rsidR="00D87E48" w:rsidRPr="00DF69BF" w:rsidRDefault="00D87E48" w:rsidP="00DF69BF">
      <w:pPr>
        <w:rPr>
          <w:rFonts w:cstheme="minorHAnsi"/>
          <w:color w:val="374149" w:themeColor="accent5"/>
          <w:lang w:val="en-US"/>
        </w:rPr>
      </w:pPr>
      <w:r>
        <w:rPr>
          <w:rFonts w:cstheme="minorHAnsi"/>
          <w:color w:val="374149" w:themeColor="accent5"/>
          <w:lang w:val="en-US"/>
        </w:rPr>
        <w:t>ESA congratulates the Productivity Commission on a thorough</w:t>
      </w:r>
      <w:r w:rsidR="0015019C">
        <w:rPr>
          <w:rFonts w:cstheme="minorHAnsi"/>
          <w:color w:val="374149" w:themeColor="accent5"/>
          <w:lang w:val="en-US"/>
        </w:rPr>
        <w:t>,</w:t>
      </w:r>
      <w:r>
        <w:rPr>
          <w:rFonts w:cstheme="minorHAnsi"/>
          <w:color w:val="374149" w:themeColor="accent5"/>
          <w:lang w:val="en-US"/>
        </w:rPr>
        <w:t xml:space="preserve"> thought</w:t>
      </w:r>
      <w:r w:rsidR="001F3E69">
        <w:rPr>
          <w:rFonts w:cstheme="minorHAnsi"/>
          <w:color w:val="374149" w:themeColor="accent5"/>
          <w:lang w:val="en-US"/>
        </w:rPr>
        <w:t>-</w:t>
      </w:r>
      <w:r>
        <w:rPr>
          <w:rFonts w:cstheme="minorHAnsi"/>
          <w:color w:val="374149" w:themeColor="accent5"/>
          <w:lang w:val="en-US"/>
        </w:rPr>
        <w:t xml:space="preserve">provoking </w:t>
      </w:r>
      <w:r w:rsidR="00924AAA">
        <w:rPr>
          <w:rFonts w:cstheme="minorHAnsi"/>
          <w:color w:val="374149" w:themeColor="accent5"/>
          <w:lang w:val="en-US"/>
        </w:rPr>
        <w:t>I</w:t>
      </w:r>
      <w:r>
        <w:rPr>
          <w:rFonts w:cstheme="minorHAnsi"/>
          <w:color w:val="374149" w:themeColor="accent5"/>
          <w:lang w:val="en-US"/>
        </w:rPr>
        <w:t xml:space="preserve">nterim </w:t>
      </w:r>
      <w:r w:rsidR="00924AAA">
        <w:rPr>
          <w:rFonts w:cstheme="minorHAnsi"/>
          <w:color w:val="374149" w:themeColor="accent5"/>
          <w:lang w:val="en-US"/>
        </w:rPr>
        <w:t>R</w:t>
      </w:r>
      <w:r>
        <w:rPr>
          <w:rFonts w:cstheme="minorHAnsi"/>
          <w:color w:val="374149" w:themeColor="accent5"/>
          <w:lang w:val="en-US"/>
        </w:rPr>
        <w:t xml:space="preserve">eport and welcomes any further opportunities </w:t>
      </w:r>
      <w:r w:rsidR="001F3E69">
        <w:rPr>
          <w:rFonts w:cstheme="minorHAnsi"/>
          <w:color w:val="374149" w:themeColor="accent5"/>
          <w:lang w:val="en-US"/>
        </w:rPr>
        <w:t>to provide input</w:t>
      </w:r>
      <w:r>
        <w:rPr>
          <w:rFonts w:cstheme="minorHAnsi"/>
          <w:color w:val="374149" w:themeColor="accent5"/>
          <w:lang w:val="en-US"/>
        </w:rPr>
        <w:t>.</w:t>
      </w:r>
    </w:p>
    <w:p w14:paraId="6DCD3F22" w14:textId="77777777" w:rsidR="00050792" w:rsidRPr="006270C0" w:rsidRDefault="00050792" w:rsidP="004A0251">
      <w:pPr>
        <w:rPr>
          <w:rFonts w:cstheme="minorHAnsi"/>
          <w:color w:val="374149" w:themeColor="accent5"/>
        </w:rPr>
      </w:pPr>
    </w:p>
    <w:p w14:paraId="51A3BE5A" w14:textId="55531838" w:rsidR="00DB66E9" w:rsidRPr="007122FE" w:rsidRDefault="007122FE" w:rsidP="004A0251">
      <w:pPr>
        <w:rPr>
          <w:rFonts w:cstheme="minorHAnsi"/>
          <w:color w:val="241773" w:themeColor="accent1"/>
        </w:rPr>
      </w:pPr>
      <w:bookmarkStart w:id="5" w:name="_bookmark15"/>
      <w:bookmarkStart w:id="6" w:name="_bookmark23"/>
      <w:bookmarkStart w:id="7" w:name="_bookmark25"/>
      <w:bookmarkEnd w:id="5"/>
      <w:bookmarkEnd w:id="6"/>
      <w:bookmarkEnd w:id="7"/>
      <w:r>
        <w:rPr>
          <w:rFonts w:cstheme="minorHAnsi"/>
          <w:b/>
          <w:bCs/>
          <w:color w:val="241773" w:themeColor="accent1"/>
          <w:sz w:val="24"/>
          <w:szCs w:val="24"/>
        </w:rPr>
        <w:t xml:space="preserve">References </w:t>
      </w:r>
    </w:p>
    <w:p w14:paraId="13C9B3B0" w14:textId="3BFF10DC" w:rsidR="008571D7" w:rsidRDefault="008571D7" w:rsidP="004A0251">
      <w:r>
        <w:t xml:space="preserve">Council of Australian Governments, </w:t>
      </w:r>
      <w:r w:rsidRPr="00230355">
        <w:rPr>
          <w:i/>
          <w:iCs/>
        </w:rPr>
        <w:t>National School Reform Agreement</w:t>
      </w:r>
      <w:r>
        <w:t>, 2018</w:t>
      </w:r>
    </w:p>
    <w:p w14:paraId="28FC4716" w14:textId="24B6CC56" w:rsidR="00322A2B" w:rsidRDefault="00D45524" w:rsidP="004A0251">
      <w:r>
        <w:t xml:space="preserve">Hunter, Jordana, Haywood, Amy and Parkinson, Nick, </w:t>
      </w:r>
      <w:r w:rsidRPr="004719D6">
        <w:rPr>
          <w:i/>
          <w:iCs/>
        </w:rPr>
        <w:t xml:space="preserve">Ending the </w:t>
      </w:r>
      <w:r>
        <w:rPr>
          <w:i/>
          <w:iCs/>
        </w:rPr>
        <w:t>L</w:t>
      </w:r>
      <w:r w:rsidRPr="004719D6">
        <w:rPr>
          <w:i/>
          <w:iCs/>
        </w:rPr>
        <w:t xml:space="preserve">esson </w:t>
      </w:r>
      <w:r>
        <w:rPr>
          <w:i/>
          <w:iCs/>
        </w:rPr>
        <w:t>L</w:t>
      </w:r>
      <w:r w:rsidRPr="004719D6">
        <w:rPr>
          <w:i/>
          <w:iCs/>
        </w:rPr>
        <w:t xml:space="preserve">ottery – How to </w:t>
      </w:r>
      <w:r>
        <w:rPr>
          <w:i/>
          <w:iCs/>
        </w:rPr>
        <w:t>I</w:t>
      </w:r>
      <w:r w:rsidRPr="004719D6">
        <w:rPr>
          <w:i/>
          <w:iCs/>
        </w:rPr>
        <w:t xml:space="preserve">mprove </w:t>
      </w:r>
      <w:r>
        <w:rPr>
          <w:i/>
          <w:iCs/>
        </w:rPr>
        <w:t>C</w:t>
      </w:r>
      <w:r w:rsidRPr="004719D6">
        <w:rPr>
          <w:i/>
          <w:iCs/>
        </w:rPr>
        <w:t xml:space="preserve">urriculum </w:t>
      </w:r>
      <w:r>
        <w:rPr>
          <w:i/>
          <w:iCs/>
        </w:rPr>
        <w:t>P</w:t>
      </w:r>
      <w:r w:rsidRPr="004719D6">
        <w:rPr>
          <w:i/>
          <w:iCs/>
        </w:rPr>
        <w:t xml:space="preserve">lanning in </w:t>
      </w:r>
      <w:r>
        <w:rPr>
          <w:i/>
          <w:iCs/>
        </w:rPr>
        <w:t>S</w:t>
      </w:r>
      <w:r w:rsidRPr="004719D6">
        <w:rPr>
          <w:i/>
          <w:iCs/>
        </w:rPr>
        <w:t>chools</w:t>
      </w:r>
      <w:r>
        <w:t>, Grattan Institute, October 2022</w:t>
      </w:r>
    </w:p>
    <w:p w14:paraId="3D12EA8D" w14:textId="336D6DD8" w:rsidR="00322A2B" w:rsidRPr="00226959" w:rsidRDefault="00322A2B" w:rsidP="00322A2B">
      <w:pPr>
        <w:rPr>
          <w:rFonts w:asciiTheme="majorHAnsi" w:eastAsiaTheme="majorEastAsia" w:hAnsiTheme="majorHAnsi" w:cstheme="majorBidi"/>
          <w:color w:val="4F458F" w:themeColor="text2"/>
          <w:sz w:val="36"/>
          <w:szCs w:val="36"/>
        </w:rPr>
      </w:pPr>
      <w:r>
        <w:t xml:space="preserve">Paul, Lisa, </w:t>
      </w:r>
      <w:r w:rsidRPr="00226959">
        <w:rPr>
          <w:i/>
          <w:iCs/>
        </w:rPr>
        <w:t>Next Steps: Report of the Quality Initial Teacher Education Review</w:t>
      </w:r>
      <w:r>
        <w:t xml:space="preserve">, </w:t>
      </w:r>
      <w:r w:rsidR="00226959">
        <w:t>29 October 2021</w:t>
      </w:r>
    </w:p>
    <w:p w14:paraId="79D74C74" w14:textId="4EEC810F" w:rsidR="00D45524" w:rsidRDefault="00D45524" w:rsidP="004A0251">
      <w:pPr>
        <w:rPr>
          <w:rFonts w:cstheme="minorHAnsi"/>
          <w:color w:val="374149" w:themeColor="accent5"/>
        </w:rPr>
      </w:pPr>
      <w:r>
        <w:t xml:space="preserve">Parkinson, Nick, “I forever feel guilty for not being good enough,” </w:t>
      </w:r>
      <w:r w:rsidRPr="00D45524">
        <w:rPr>
          <w:i/>
          <w:iCs/>
        </w:rPr>
        <w:t>The Conversation</w:t>
      </w:r>
      <w:r>
        <w:t>, 17 October 2022</w:t>
      </w:r>
    </w:p>
    <w:p w14:paraId="74A8E951" w14:textId="28984A6D" w:rsidR="004126BB" w:rsidRDefault="004126BB" w:rsidP="004A0251">
      <w:pPr>
        <w:rPr>
          <w:rFonts w:cstheme="minorHAnsi"/>
          <w:color w:val="374149" w:themeColor="accent5"/>
        </w:rPr>
      </w:pPr>
      <w:r>
        <w:rPr>
          <w:rFonts w:cstheme="minorHAnsi"/>
          <w:color w:val="374149" w:themeColor="accent5"/>
        </w:rPr>
        <w:t xml:space="preserve">Productivity Commission, </w:t>
      </w:r>
      <w:r w:rsidR="00155BB7" w:rsidRPr="00155BB7">
        <w:rPr>
          <w:i/>
          <w:iCs/>
        </w:rPr>
        <w:t>Review of the National School Reform Agreement Interim report</w:t>
      </w:r>
      <w:r w:rsidR="00155BB7">
        <w:t>, September 2022</w:t>
      </w:r>
    </w:p>
    <w:p w14:paraId="0AC92C00" w14:textId="078E2EE0" w:rsidR="004E3163" w:rsidRDefault="00A85A0A" w:rsidP="004A0251">
      <w:r>
        <w:rPr>
          <w:rFonts w:cstheme="minorHAnsi"/>
          <w:color w:val="374149" w:themeColor="accent5"/>
        </w:rPr>
        <w:t>Shergold,</w:t>
      </w:r>
      <w:r w:rsidR="00D45524">
        <w:rPr>
          <w:rFonts w:cstheme="minorHAnsi"/>
          <w:color w:val="374149" w:themeColor="accent5"/>
        </w:rPr>
        <w:t xml:space="preserve"> Peter,</w:t>
      </w:r>
      <w:r w:rsidR="00681051">
        <w:rPr>
          <w:rFonts w:cstheme="minorHAnsi"/>
          <w:color w:val="374149" w:themeColor="accent5"/>
        </w:rPr>
        <w:t xml:space="preserve"> </w:t>
      </w:r>
      <w:r w:rsidR="00681051" w:rsidRPr="00681051">
        <w:rPr>
          <w:rFonts w:cstheme="minorHAnsi"/>
          <w:i/>
          <w:iCs/>
          <w:color w:val="374149" w:themeColor="accent5"/>
        </w:rPr>
        <w:t>Looking to the Future – Report of the Review of Senior Secondary Pathways into Work, Further Education and Training</w:t>
      </w:r>
      <w:r w:rsidR="00681051">
        <w:rPr>
          <w:rFonts w:cstheme="minorHAnsi"/>
          <w:color w:val="374149" w:themeColor="accent5"/>
        </w:rPr>
        <w:t xml:space="preserve">, </w:t>
      </w:r>
      <w:r w:rsidR="00681051">
        <w:t>June 2020</w:t>
      </w:r>
      <w:r w:rsidR="00C10403">
        <w:t xml:space="preserve"> </w:t>
      </w:r>
    </w:p>
    <w:p w14:paraId="237822D7" w14:textId="254C1B18" w:rsidR="004A7735" w:rsidRDefault="004A7735" w:rsidP="004A7735">
      <w:r>
        <w:t>Varadharajan, M</w:t>
      </w:r>
      <w:r w:rsidR="00B423D7">
        <w:t>eera,</w:t>
      </w:r>
      <w:r>
        <w:t xml:space="preserve"> Buchanan, J</w:t>
      </w:r>
      <w:r w:rsidR="002946E4">
        <w:t>ohn</w:t>
      </w:r>
      <w:r>
        <w:t xml:space="preserve"> </w:t>
      </w:r>
      <w:r w:rsidR="00FD5BBA">
        <w:t xml:space="preserve">and </w:t>
      </w:r>
      <w:r>
        <w:t>Schuck, S</w:t>
      </w:r>
      <w:r w:rsidR="002946E4">
        <w:t>andy,</w:t>
      </w:r>
      <w:r>
        <w:t xml:space="preserve"> </w:t>
      </w:r>
      <w:r w:rsidR="002946E4">
        <w:t>“</w:t>
      </w:r>
      <w:r>
        <w:t>Changing course: the paradox of the career change student-teacher</w:t>
      </w:r>
      <w:r w:rsidR="00BA2D8E">
        <w:t>,</w:t>
      </w:r>
      <w:r w:rsidR="002946E4">
        <w:t>”</w:t>
      </w:r>
      <w:r>
        <w:t xml:space="preserve"> </w:t>
      </w:r>
      <w:r w:rsidRPr="002946E4">
        <w:rPr>
          <w:i/>
          <w:iCs/>
        </w:rPr>
        <w:t>Professional Development in Education</w:t>
      </w:r>
      <w:r>
        <w:t>,</w:t>
      </w:r>
      <w:r w:rsidR="002946E4">
        <w:t xml:space="preserve"> </w:t>
      </w:r>
      <w:r w:rsidR="00225DD1">
        <w:t xml:space="preserve">15 January </w:t>
      </w:r>
      <w:r w:rsidR="002946E4">
        <w:t>2018</w:t>
      </w:r>
      <w:r>
        <w:t xml:space="preserve"> </w:t>
      </w:r>
      <w:hyperlink r:id="rId19" w:history="1">
        <w:r w:rsidRPr="009F61DA">
          <w:rPr>
            <w:rStyle w:val="Hyperlink"/>
          </w:rPr>
          <w:t>https://www.tandfonline.com/doi/full/10.1080/19415257.2017.1423369</w:t>
        </w:r>
      </w:hyperlink>
      <w:r>
        <w:t xml:space="preserve"> </w:t>
      </w:r>
    </w:p>
    <w:p w14:paraId="2D045EFA" w14:textId="77777777" w:rsidR="00D45524" w:rsidRPr="00B13EBE" w:rsidRDefault="00D45524">
      <w:pPr>
        <w:rPr>
          <w:rFonts w:cstheme="minorHAnsi"/>
          <w:color w:val="374149" w:themeColor="accent5"/>
        </w:rPr>
      </w:pPr>
    </w:p>
    <w:sectPr w:rsidR="00D45524" w:rsidRPr="00B13EBE" w:rsidSect="00EB63A8">
      <w:footerReference w:type="default" r:id="rId20"/>
      <w:headerReference w:type="first" r:id="rId21"/>
      <w:footerReference w:type="first" r:id="rId22"/>
      <w:type w:val="continuous"/>
      <w:pgSz w:w="11900" w:h="16820"/>
      <w:pgMar w:top="1134" w:right="1134" w:bottom="1701" w:left="1134" w:header="709"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96E3" w14:textId="77777777" w:rsidR="00780481" w:rsidRDefault="00780481" w:rsidP="00E95312">
      <w:pPr>
        <w:spacing w:before="0" w:after="0" w:line="240" w:lineRule="auto"/>
      </w:pPr>
      <w:r>
        <w:separator/>
      </w:r>
    </w:p>
  </w:endnote>
  <w:endnote w:type="continuationSeparator" w:id="0">
    <w:p w14:paraId="5E7C6756" w14:textId="77777777" w:rsidR="00780481" w:rsidRDefault="00780481"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FA38" w14:textId="5F5B2963" w:rsidR="00203F8C" w:rsidRPr="00D30072" w:rsidRDefault="00203F8C" w:rsidP="00DE1638">
    <w:pPr>
      <w:pStyle w:val="Footer"/>
      <w:rPr>
        <w:b/>
        <w:bCs/>
        <w:sz w:val="17"/>
        <w:szCs w:val="17"/>
      </w:rPr>
    </w:pPr>
    <w:r w:rsidRPr="00D30072">
      <w:rPr>
        <w:noProof/>
        <w:sz w:val="17"/>
        <w:szCs w:val="17"/>
        <w:lang w:eastAsia="en-AU"/>
      </w:rPr>
      <w:drawing>
        <wp:anchor distT="0" distB="0" distL="114300" distR="114300" simplePos="0" relativeHeight="251656704" behindDoc="1" locked="0" layoutInCell="1" allowOverlap="1" wp14:anchorId="09B8D9C9" wp14:editId="1387B06A">
          <wp:simplePos x="0" y="0"/>
          <wp:positionH relativeFrom="page">
            <wp:align>center</wp:align>
          </wp:positionH>
          <wp:positionV relativeFrom="page">
            <wp:align>bottom</wp:align>
          </wp:positionV>
          <wp:extent cx="7560000" cy="720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r>
      <w:rPr>
        <w:noProof/>
        <w:sz w:val="17"/>
        <w:szCs w:val="17"/>
        <w:lang w:eastAsia="en-AU"/>
      </w:rPr>
      <w:t>Response to</w:t>
    </w:r>
    <w:r w:rsidR="008F1D9E">
      <w:rPr>
        <w:noProof/>
        <w:sz w:val="17"/>
        <w:szCs w:val="17"/>
        <w:lang w:eastAsia="en-AU"/>
      </w:rPr>
      <w:t xml:space="preserve"> the </w:t>
    </w:r>
    <w:r w:rsidR="00CA0DD9">
      <w:rPr>
        <w:noProof/>
        <w:sz w:val="17"/>
        <w:szCs w:val="17"/>
        <w:lang w:eastAsia="en-AU"/>
      </w:rPr>
      <w:t>P</w:t>
    </w:r>
    <w:r w:rsidR="00201DFC">
      <w:rPr>
        <w:noProof/>
        <w:sz w:val="17"/>
        <w:szCs w:val="17"/>
        <w:lang w:eastAsia="en-AU"/>
      </w:rPr>
      <w:t>C</w:t>
    </w:r>
    <w:r w:rsidR="00187A7B">
      <w:rPr>
        <w:noProof/>
        <w:sz w:val="17"/>
        <w:szCs w:val="17"/>
        <w:lang w:eastAsia="en-AU"/>
      </w:rPr>
      <w:t xml:space="preserve">’s Interim Report into the NSRA </w:t>
    </w:r>
    <w:r w:rsidR="009A5E77">
      <w:rPr>
        <w:noProof/>
        <w:sz w:val="17"/>
        <w:szCs w:val="17"/>
        <w:lang w:eastAsia="en-AU"/>
      </w:rPr>
      <w:t>– October 2022</w:t>
    </w:r>
    <w:r>
      <w:rPr>
        <w:noProof/>
        <w:sz w:val="17"/>
        <w:szCs w:val="17"/>
        <w:lang w:eastAsia="en-AU"/>
      </w:rPr>
      <w:t xml:space="preserve"> </w:t>
    </w:r>
    <w:r w:rsidR="005F61D7">
      <w:rPr>
        <w:noProof/>
        <w:sz w:val="17"/>
        <w:szCs w:val="17"/>
        <w:lang w:eastAsia="en-AU"/>
      </w:rPr>
      <w:tab/>
    </w:r>
    <w:r w:rsidRPr="00D30072">
      <w:rPr>
        <w:sz w:val="17"/>
        <w:szCs w:val="17"/>
      </w:rPr>
      <w:t>©Education Services Australia Limited</w:t>
    </w:r>
    <w:r w:rsidRPr="00D30072">
      <w:rPr>
        <w:b/>
        <w:bCs/>
        <w:color w:val="1E9D8B" w:themeColor="accent3"/>
        <w:sz w:val="17"/>
        <w:szCs w:val="17"/>
      </w:rPr>
      <w:t>|</w:t>
    </w:r>
    <w:r w:rsidRPr="00D30072">
      <w:rPr>
        <w:b/>
        <w:bCs/>
        <w:sz w:val="17"/>
        <w:szCs w:val="17"/>
      </w:rPr>
      <w:t xml:space="preserve"> </w:t>
    </w:r>
    <w:r w:rsidRPr="00D30072">
      <w:rPr>
        <w:b/>
        <w:bCs/>
        <w:sz w:val="17"/>
        <w:szCs w:val="17"/>
      </w:rPr>
      <w:fldChar w:fldCharType="begin"/>
    </w:r>
    <w:r w:rsidRPr="00D30072">
      <w:rPr>
        <w:b/>
        <w:bCs/>
        <w:sz w:val="17"/>
        <w:szCs w:val="17"/>
      </w:rPr>
      <w:instrText xml:space="preserve"> PAGE  \* MERGEFORMAT </w:instrText>
    </w:r>
    <w:r w:rsidRPr="00D30072">
      <w:rPr>
        <w:b/>
        <w:bCs/>
        <w:sz w:val="17"/>
        <w:szCs w:val="17"/>
      </w:rPr>
      <w:fldChar w:fldCharType="separate"/>
    </w:r>
    <w:r>
      <w:rPr>
        <w:b/>
        <w:bCs/>
        <w:noProof/>
        <w:sz w:val="17"/>
        <w:szCs w:val="17"/>
      </w:rPr>
      <w:t>10</w:t>
    </w:r>
    <w:r w:rsidRPr="00D30072">
      <w:rPr>
        <w:b/>
        <w:bCs/>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CC8F" w14:textId="32F1F55B" w:rsidR="00203F8C" w:rsidRPr="00F14CDB" w:rsidRDefault="00F14CDB" w:rsidP="00F14CDB">
    <w:pPr>
      <w:pStyle w:val="Footer"/>
      <w:rPr>
        <w:color w:val="0070C0"/>
      </w:rPr>
    </w:pPr>
    <w:r w:rsidRPr="00F14CDB">
      <w:rPr>
        <w:b/>
        <w:bCs/>
        <w:color w:val="0070C0"/>
      </w:rPr>
      <w:t>© Education Services Australia Limited</w:t>
    </w:r>
    <w:r w:rsidRPr="00F14CDB">
      <w:rPr>
        <w:color w:val="0070C0"/>
      </w:rPr>
      <w:t xml:space="preserve">  |  ABN 18 007 342 421</w:t>
    </w:r>
    <w:r w:rsidRPr="00F14CDB">
      <w:rPr>
        <w:color w:val="0070C0"/>
      </w:rPr>
      <w:br/>
      <w:t>Level 5 440 Collins Street Melbourne Victoria 3000  |  PO Box 177 Carlton South Victoria 3053</w:t>
    </w:r>
    <w:r w:rsidRPr="00F14CDB">
      <w:rPr>
        <w:color w:val="0070C0"/>
      </w:rPr>
      <w:br/>
      <w:t xml:space="preserve">T +61 3 9207 9600  |  E info@esa.edu.au  |  </w:t>
    </w:r>
    <w:r w:rsidRPr="00F14CDB">
      <w:rPr>
        <w:b/>
        <w:bCs/>
        <w:color w:val="0070C0"/>
      </w:rPr>
      <w:t>www.esa.edu.au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3300" w14:textId="77777777" w:rsidR="00780481" w:rsidRDefault="00780481" w:rsidP="00E95312">
      <w:pPr>
        <w:spacing w:before="0" w:after="0" w:line="240" w:lineRule="auto"/>
      </w:pPr>
      <w:r>
        <w:separator/>
      </w:r>
    </w:p>
  </w:footnote>
  <w:footnote w:type="continuationSeparator" w:id="0">
    <w:p w14:paraId="06A05F1B" w14:textId="77777777" w:rsidR="00780481" w:rsidRDefault="00780481" w:rsidP="00E95312">
      <w:pPr>
        <w:spacing w:before="0" w:after="0" w:line="240" w:lineRule="auto"/>
      </w:pPr>
      <w:r>
        <w:continuationSeparator/>
      </w:r>
    </w:p>
  </w:footnote>
  <w:footnote w:id="1">
    <w:p w14:paraId="41A9334F" w14:textId="6B131DEC" w:rsidR="00CA6A8A" w:rsidRDefault="00CA6A8A">
      <w:pPr>
        <w:pStyle w:val="FootnoteText"/>
      </w:pPr>
      <w:r>
        <w:rPr>
          <w:rStyle w:val="FootnoteReference"/>
        </w:rPr>
        <w:footnoteRef/>
      </w:r>
      <w:r>
        <w:t xml:space="preserve"> P</w:t>
      </w:r>
      <w:r w:rsidR="000A7CA5">
        <w:t xml:space="preserve">roductivity Commission, </w:t>
      </w:r>
      <w:r w:rsidR="00C35386" w:rsidRPr="00C35386">
        <w:rPr>
          <w:i/>
          <w:iCs/>
        </w:rPr>
        <w:t>Review of the National School Reform Agreement Interim report</w:t>
      </w:r>
      <w:r w:rsidR="00C35386" w:rsidRPr="00C35386">
        <w:t>, September 2022</w:t>
      </w:r>
      <w:r>
        <w:t xml:space="preserve"> p</w:t>
      </w:r>
      <w:r w:rsidR="000A7CA5">
        <w:t>22</w:t>
      </w:r>
    </w:p>
  </w:footnote>
  <w:footnote w:id="2">
    <w:p w14:paraId="678377BC" w14:textId="61088751" w:rsidR="001F5B8C" w:rsidRDefault="001F5B8C">
      <w:pPr>
        <w:pStyle w:val="FootnoteText"/>
      </w:pPr>
      <w:r>
        <w:rPr>
          <w:rStyle w:val="FootnoteReference"/>
        </w:rPr>
        <w:footnoteRef/>
      </w:r>
      <w:r>
        <w:t xml:space="preserve"> </w:t>
      </w:r>
      <w:r w:rsidR="00E63547">
        <w:t xml:space="preserve">Ibid, </w:t>
      </w:r>
      <w:r>
        <w:t>p71</w:t>
      </w:r>
    </w:p>
  </w:footnote>
  <w:footnote w:id="3">
    <w:p w14:paraId="2238682F" w14:textId="1289E12E" w:rsidR="00225E83" w:rsidRDefault="00225E83">
      <w:pPr>
        <w:pStyle w:val="FootnoteText"/>
      </w:pPr>
      <w:r>
        <w:rPr>
          <w:rStyle w:val="FootnoteReference"/>
        </w:rPr>
        <w:footnoteRef/>
      </w:r>
      <w:r>
        <w:t xml:space="preserve"> </w:t>
      </w:r>
      <w:r w:rsidR="00E63547">
        <w:t xml:space="preserve">Ibid, </w:t>
      </w:r>
      <w:r>
        <w:t>p</w:t>
      </w:r>
      <w:r w:rsidR="00E63547">
        <w:t>p</w:t>
      </w:r>
      <w:r>
        <w:rPr>
          <w:rFonts w:cstheme="minorHAnsi"/>
        </w:rPr>
        <w:t>22 and 71</w:t>
      </w:r>
    </w:p>
  </w:footnote>
  <w:footnote w:id="4">
    <w:p w14:paraId="17F9F8A1" w14:textId="459F7CF7" w:rsidR="00B52E58" w:rsidRDefault="00B52E58">
      <w:pPr>
        <w:pStyle w:val="FootnoteText"/>
      </w:pPr>
      <w:r>
        <w:rPr>
          <w:rStyle w:val="FootnoteReference"/>
        </w:rPr>
        <w:footnoteRef/>
      </w:r>
      <w:r>
        <w:t xml:space="preserve"> </w:t>
      </w:r>
      <w:r w:rsidR="00E63547">
        <w:t xml:space="preserve">Ibid, </w:t>
      </w:r>
      <w:r w:rsidR="00086ED6">
        <w:t>p</w:t>
      </w:r>
      <w:r w:rsidR="00C913C0">
        <w:t>28</w:t>
      </w:r>
    </w:p>
  </w:footnote>
  <w:footnote w:id="5">
    <w:p w14:paraId="07E9C856" w14:textId="142C7108" w:rsidR="0047173A" w:rsidRDefault="0047173A">
      <w:pPr>
        <w:pStyle w:val="FootnoteText"/>
      </w:pPr>
      <w:r>
        <w:rPr>
          <w:rStyle w:val="FootnoteReference"/>
        </w:rPr>
        <w:footnoteRef/>
      </w:r>
      <w:r>
        <w:t xml:space="preserve"> </w:t>
      </w:r>
      <w:r w:rsidR="00756C4A">
        <w:t>Ibid</w:t>
      </w:r>
      <w:r>
        <w:t xml:space="preserve">, </w:t>
      </w:r>
      <w:r w:rsidR="00B41387">
        <w:t>p2</w:t>
      </w:r>
    </w:p>
  </w:footnote>
  <w:footnote w:id="6">
    <w:p w14:paraId="45AD31CB" w14:textId="4E981E93" w:rsidR="00D9310A" w:rsidRDefault="00D9310A">
      <w:pPr>
        <w:pStyle w:val="FootnoteText"/>
      </w:pPr>
      <w:r>
        <w:rPr>
          <w:rStyle w:val="FootnoteReference"/>
        </w:rPr>
        <w:footnoteRef/>
      </w:r>
      <w:r>
        <w:t xml:space="preserve"> </w:t>
      </w:r>
      <w:r w:rsidR="00735D25">
        <w:t>Ibid</w:t>
      </w:r>
      <w:r>
        <w:t>, p7</w:t>
      </w:r>
    </w:p>
  </w:footnote>
  <w:footnote w:id="7">
    <w:p w14:paraId="308C8433" w14:textId="7ECB7065" w:rsidR="0092080B" w:rsidRDefault="0092080B" w:rsidP="0092080B">
      <w:pPr>
        <w:pStyle w:val="FootnoteText"/>
      </w:pPr>
      <w:r>
        <w:rPr>
          <w:rStyle w:val="FootnoteReference"/>
        </w:rPr>
        <w:footnoteRef/>
      </w:r>
      <w:r>
        <w:t xml:space="preserve"> </w:t>
      </w:r>
      <w:r w:rsidR="00735D25">
        <w:t xml:space="preserve">Peter </w:t>
      </w:r>
      <w:r>
        <w:t xml:space="preserve">Shergold, </w:t>
      </w:r>
      <w:r w:rsidR="00735D25" w:rsidRPr="00735D25">
        <w:rPr>
          <w:i/>
          <w:iCs/>
        </w:rPr>
        <w:t>Looking to the Future – Report of the Review of Senior Secondary Pathways into Work, Further Education and Training</w:t>
      </w:r>
      <w:r w:rsidR="00735D25" w:rsidRPr="00735D25">
        <w:t xml:space="preserve">, June 2020 </w:t>
      </w:r>
      <w:r>
        <w:t>p18</w:t>
      </w:r>
    </w:p>
  </w:footnote>
  <w:footnote w:id="8">
    <w:p w14:paraId="62D00B19" w14:textId="05D97401" w:rsidR="001573F5" w:rsidRDefault="001573F5">
      <w:pPr>
        <w:pStyle w:val="FootnoteText"/>
      </w:pPr>
      <w:r>
        <w:rPr>
          <w:rStyle w:val="FootnoteReference"/>
        </w:rPr>
        <w:footnoteRef/>
      </w:r>
      <w:r>
        <w:t xml:space="preserve"> </w:t>
      </w:r>
      <w:r w:rsidR="00295D23">
        <w:t xml:space="preserve">Council of Australian Governments, </w:t>
      </w:r>
      <w:r w:rsidR="00295D23" w:rsidRPr="00230355">
        <w:rPr>
          <w:i/>
          <w:iCs/>
        </w:rPr>
        <w:t>National School Reform Agreement</w:t>
      </w:r>
      <w:r w:rsidR="00295D23">
        <w:t xml:space="preserve">, </w:t>
      </w:r>
      <w:r w:rsidR="008571D7">
        <w:t xml:space="preserve">2018, </w:t>
      </w:r>
      <w:r w:rsidR="00295D23">
        <w:t>p</w:t>
      </w:r>
      <w:r w:rsidR="009A3BD7">
        <w:t>4</w:t>
      </w:r>
    </w:p>
  </w:footnote>
  <w:footnote w:id="9">
    <w:p w14:paraId="73D4F6CF" w14:textId="77C3AF3B" w:rsidR="00B257C8" w:rsidRDefault="00B257C8">
      <w:pPr>
        <w:pStyle w:val="FootnoteText"/>
      </w:pPr>
      <w:r>
        <w:rPr>
          <w:rStyle w:val="FootnoteReference"/>
        </w:rPr>
        <w:footnoteRef/>
      </w:r>
      <w:r>
        <w:t xml:space="preserve"> </w:t>
      </w:r>
      <w:r w:rsidR="00572685">
        <w:t>P</w:t>
      </w:r>
      <w:r w:rsidR="00924AAA">
        <w:t>roductivity Commission</w:t>
      </w:r>
      <w:r w:rsidR="00572685">
        <w:t>, p21</w:t>
      </w:r>
    </w:p>
  </w:footnote>
  <w:footnote w:id="10">
    <w:p w14:paraId="7A73DAA0" w14:textId="4A61B5E7" w:rsidR="00CD4785" w:rsidRDefault="00CD4785">
      <w:pPr>
        <w:pStyle w:val="FootnoteText"/>
      </w:pPr>
      <w:r>
        <w:rPr>
          <w:rStyle w:val="FootnoteReference"/>
        </w:rPr>
        <w:footnoteRef/>
      </w:r>
      <w:r>
        <w:t xml:space="preserve"> </w:t>
      </w:r>
      <w:r w:rsidR="005E268B">
        <w:t xml:space="preserve">Jordana </w:t>
      </w:r>
      <w:r w:rsidR="005E268B" w:rsidRPr="005E268B">
        <w:t xml:space="preserve">Hunter, </w:t>
      </w:r>
      <w:r w:rsidR="005A297A">
        <w:t xml:space="preserve">Amy </w:t>
      </w:r>
      <w:r w:rsidR="005E268B" w:rsidRPr="005E268B">
        <w:t xml:space="preserve">Haywood and </w:t>
      </w:r>
      <w:r w:rsidR="005A297A">
        <w:t xml:space="preserve">Nick </w:t>
      </w:r>
      <w:r w:rsidR="005E268B" w:rsidRPr="005E268B">
        <w:t xml:space="preserve">Parkinson, </w:t>
      </w:r>
      <w:r w:rsidR="005E268B" w:rsidRPr="005A297A">
        <w:rPr>
          <w:i/>
          <w:iCs/>
        </w:rPr>
        <w:t>Ending the Lesson Lottery – How to Improve Curriculum Planning in Schools</w:t>
      </w:r>
      <w:r w:rsidR="005E268B" w:rsidRPr="005E268B">
        <w:t>, Grattan Institute, October 2022</w:t>
      </w:r>
      <w:r w:rsidR="005A297A">
        <w:t xml:space="preserve">, </w:t>
      </w:r>
      <w:r>
        <w:t>p11</w:t>
      </w:r>
    </w:p>
  </w:footnote>
  <w:footnote w:id="11">
    <w:p w14:paraId="3DB42ABD" w14:textId="2B32200F" w:rsidR="000E44C6" w:rsidRDefault="000E44C6">
      <w:pPr>
        <w:pStyle w:val="FootnoteText"/>
      </w:pPr>
      <w:r>
        <w:rPr>
          <w:rStyle w:val="FootnoteReference"/>
        </w:rPr>
        <w:footnoteRef/>
      </w:r>
      <w:r>
        <w:t xml:space="preserve"> </w:t>
      </w:r>
      <w:r w:rsidR="005A297A">
        <w:t>Ibid</w:t>
      </w:r>
    </w:p>
  </w:footnote>
  <w:footnote w:id="12">
    <w:p w14:paraId="07DBD4B8" w14:textId="1417756C" w:rsidR="00BD5860" w:rsidRDefault="00BD5860">
      <w:pPr>
        <w:pStyle w:val="FootnoteText"/>
      </w:pPr>
      <w:r>
        <w:rPr>
          <w:rStyle w:val="FootnoteReference"/>
        </w:rPr>
        <w:footnoteRef/>
      </w:r>
      <w:r>
        <w:t xml:space="preserve"> </w:t>
      </w:r>
      <w:r w:rsidR="005A297A">
        <w:t>Ibid</w:t>
      </w:r>
      <w:r w:rsidR="00ED750F">
        <w:t>, p28</w:t>
      </w:r>
    </w:p>
  </w:footnote>
  <w:footnote w:id="13">
    <w:p w14:paraId="6F9772A0" w14:textId="1AF8E88E" w:rsidR="00A13022" w:rsidRDefault="00A13022">
      <w:pPr>
        <w:pStyle w:val="FootnoteText"/>
      </w:pPr>
      <w:r>
        <w:rPr>
          <w:rStyle w:val="FootnoteReference"/>
        </w:rPr>
        <w:footnoteRef/>
      </w:r>
      <w:r>
        <w:t xml:space="preserve"> </w:t>
      </w:r>
      <w:r w:rsidR="005A297A">
        <w:t>Ibid</w:t>
      </w:r>
      <w:r>
        <w:t>, p32</w:t>
      </w:r>
    </w:p>
  </w:footnote>
  <w:footnote w:id="14">
    <w:p w14:paraId="47919AA8" w14:textId="322B7A57" w:rsidR="00E44242" w:rsidRDefault="00E44242">
      <w:pPr>
        <w:pStyle w:val="FootnoteText"/>
      </w:pPr>
      <w:r>
        <w:rPr>
          <w:rStyle w:val="FootnoteReference"/>
        </w:rPr>
        <w:footnoteRef/>
      </w:r>
      <w:r>
        <w:t xml:space="preserve"> </w:t>
      </w:r>
      <w:r w:rsidR="005A297A">
        <w:t>Ibid</w:t>
      </w:r>
    </w:p>
  </w:footnote>
  <w:footnote w:id="15">
    <w:p w14:paraId="3DB349EA" w14:textId="7265282F" w:rsidR="004C003D" w:rsidRDefault="004C003D">
      <w:pPr>
        <w:pStyle w:val="FootnoteText"/>
      </w:pPr>
      <w:r>
        <w:rPr>
          <w:rStyle w:val="FootnoteReference"/>
        </w:rPr>
        <w:footnoteRef/>
      </w:r>
      <w:r>
        <w:t xml:space="preserve"> Ibid</w:t>
      </w:r>
    </w:p>
  </w:footnote>
  <w:footnote w:id="16">
    <w:p w14:paraId="407D78FE" w14:textId="66F89236" w:rsidR="004C003D" w:rsidRDefault="004C003D">
      <w:pPr>
        <w:pStyle w:val="FootnoteText"/>
      </w:pPr>
      <w:r>
        <w:rPr>
          <w:rStyle w:val="FootnoteReference"/>
        </w:rPr>
        <w:footnoteRef/>
      </w:r>
      <w:r>
        <w:t xml:space="preserve"> Ibid</w:t>
      </w:r>
    </w:p>
  </w:footnote>
  <w:footnote w:id="17">
    <w:p w14:paraId="5C06A00C" w14:textId="241EEA51" w:rsidR="004C003D" w:rsidRDefault="004C003D">
      <w:pPr>
        <w:pStyle w:val="FootnoteText"/>
      </w:pPr>
      <w:r>
        <w:rPr>
          <w:rStyle w:val="FootnoteReference"/>
        </w:rPr>
        <w:footnoteRef/>
      </w:r>
      <w:r>
        <w:t xml:space="preserve"> Ibid</w:t>
      </w:r>
    </w:p>
  </w:footnote>
  <w:footnote w:id="18">
    <w:p w14:paraId="361B741E" w14:textId="4FDA5F00" w:rsidR="006B2963" w:rsidRDefault="006B2963">
      <w:pPr>
        <w:pStyle w:val="FootnoteText"/>
      </w:pPr>
      <w:r>
        <w:rPr>
          <w:rStyle w:val="FootnoteReference"/>
        </w:rPr>
        <w:footnoteRef/>
      </w:r>
      <w:r>
        <w:t xml:space="preserve"> </w:t>
      </w:r>
      <w:r w:rsidR="00D765EE">
        <w:t xml:space="preserve">Nick Parkinson, </w:t>
      </w:r>
      <w:r w:rsidR="007E3D95">
        <w:t xml:space="preserve">“I forever feel guilty for not being good enough,” </w:t>
      </w:r>
      <w:r w:rsidR="007E3D95" w:rsidRPr="00D45524">
        <w:rPr>
          <w:i/>
          <w:iCs/>
        </w:rPr>
        <w:t>The Conversation</w:t>
      </w:r>
      <w:r w:rsidR="007E3D95">
        <w:t xml:space="preserve">, </w:t>
      </w:r>
      <w:r w:rsidR="00D45524">
        <w:t>17 October 2022</w:t>
      </w:r>
    </w:p>
  </w:footnote>
  <w:footnote w:id="19">
    <w:p w14:paraId="5C13F739" w14:textId="109541DD" w:rsidR="00FA6F9B" w:rsidRDefault="00FA6F9B">
      <w:pPr>
        <w:pStyle w:val="FootnoteText"/>
      </w:pPr>
      <w:r>
        <w:rPr>
          <w:rStyle w:val="FootnoteReference"/>
        </w:rPr>
        <w:footnoteRef/>
      </w:r>
      <w:r>
        <w:t xml:space="preserve"> </w:t>
      </w:r>
      <w:r w:rsidR="00391A60">
        <w:t>Hunter, Haywood and Parkinson</w:t>
      </w:r>
      <w:r>
        <w:t>, p3</w:t>
      </w:r>
      <w:r w:rsidR="00E91350">
        <w:t>4</w:t>
      </w:r>
    </w:p>
  </w:footnote>
  <w:footnote w:id="20">
    <w:p w14:paraId="791BDD60" w14:textId="7A5C8ECC" w:rsidR="008021E9" w:rsidRDefault="008021E9">
      <w:pPr>
        <w:pStyle w:val="FootnoteText"/>
      </w:pPr>
      <w:r>
        <w:rPr>
          <w:rStyle w:val="FootnoteReference"/>
        </w:rPr>
        <w:footnoteRef/>
      </w:r>
      <w:r>
        <w:t xml:space="preserve"> Meera Varadharajan, John Buchanan, Sandy Schuck, “Changing course: the paradox of the career change student-teacher</w:t>
      </w:r>
      <w:r w:rsidR="00BA2D8E">
        <w:t>,</w:t>
      </w:r>
      <w:r>
        <w:t xml:space="preserve">” </w:t>
      </w:r>
      <w:r w:rsidRPr="002946E4">
        <w:rPr>
          <w:i/>
          <w:iCs/>
        </w:rPr>
        <w:t>Professional Development in Education</w:t>
      </w:r>
      <w:r>
        <w:t xml:space="preserve">, </w:t>
      </w:r>
      <w:r w:rsidR="00225DD1">
        <w:t xml:space="preserve">15 January </w:t>
      </w:r>
      <w:r>
        <w:t>2018</w:t>
      </w:r>
    </w:p>
  </w:footnote>
  <w:footnote w:id="21">
    <w:p w14:paraId="430F2ECA" w14:textId="71D12E1D" w:rsidR="006A1825" w:rsidRDefault="006A1825">
      <w:pPr>
        <w:pStyle w:val="FootnoteText"/>
      </w:pPr>
      <w:r>
        <w:rPr>
          <w:rStyle w:val="FootnoteReference"/>
        </w:rPr>
        <w:footnoteRef/>
      </w:r>
      <w:r>
        <w:t xml:space="preserve"> </w:t>
      </w:r>
      <w:r w:rsidR="00391A60">
        <w:t>Hunter, Haywood and Parkinson</w:t>
      </w:r>
      <w:r>
        <w:t>, p</w:t>
      </w:r>
      <w:r w:rsidR="00102409">
        <w:t>44</w:t>
      </w:r>
    </w:p>
  </w:footnote>
  <w:footnote w:id="22">
    <w:p w14:paraId="61B4EC6F" w14:textId="587D75AF" w:rsidR="006E55A9" w:rsidRDefault="006E55A9">
      <w:pPr>
        <w:pStyle w:val="FootnoteText"/>
      </w:pPr>
      <w:r>
        <w:rPr>
          <w:rStyle w:val="FootnoteReference"/>
        </w:rPr>
        <w:footnoteRef/>
      </w:r>
      <w:r>
        <w:t xml:space="preserve"> Ibid.</w:t>
      </w:r>
    </w:p>
  </w:footnote>
  <w:footnote w:id="23">
    <w:p w14:paraId="60DE7B9A" w14:textId="10572816" w:rsidR="00685440" w:rsidRDefault="00685440">
      <w:pPr>
        <w:pStyle w:val="FootnoteText"/>
      </w:pPr>
      <w:r>
        <w:rPr>
          <w:rStyle w:val="FootnoteReference"/>
        </w:rPr>
        <w:footnoteRef/>
      </w:r>
      <w:r>
        <w:t xml:space="preserve"> P</w:t>
      </w:r>
      <w:r w:rsidR="004C7F32">
        <w:t>roductivity Commission</w:t>
      </w:r>
      <w:r>
        <w:t xml:space="preserve">, </w:t>
      </w:r>
      <w:r w:rsidR="00925D9F">
        <w:t>Footnote 6, p133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5071" w14:textId="6039109B" w:rsidR="00203F8C" w:rsidRDefault="00203F8C">
    <w:pPr>
      <w:pStyle w:val="Header"/>
    </w:pPr>
    <w:r>
      <w:rPr>
        <w:noProof/>
        <w:lang w:eastAsia="en-AU"/>
      </w:rPr>
      <w:drawing>
        <wp:anchor distT="0" distB="0" distL="114300" distR="114300" simplePos="0" relativeHeight="251657728" behindDoc="1" locked="0" layoutInCell="1" allowOverlap="1" wp14:anchorId="077C0B95" wp14:editId="3CD50136">
          <wp:simplePos x="0" y="0"/>
          <wp:positionH relativeFrom="page">
            <wp:align>center</wp:align>
          </wp:positionH>
          <wp:positionV relativeFrom="page">
            <wp:align>top</wp:align>
          </wp:positionV>
          <wp:extent cx="7560000" cy="10710000"/>
          <wp:effectExtent l="0" t="0" r="9525"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Gradien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4D5"/>
    <w:multiLevelType w:val="hybridMultilevel"/>
    <w:tmpl w:val="34B0A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142B9E"/>
    <w:multiLevelType w:val="hybridMultilevel"/>
    <w:tmpl w:val="353801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455F9A"/>
    <w:multiLevelType w:val="hybridMultilevel"/>
    <w:tmpl w:val="A41E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41B6B"/>
    <w:multiLevelType w:val="hybridMultilevel"/>
    <w:tmpl w:val="ADCCFA00"/>
    <w:lvl w:ilvl="0" w:tplc="083A193E">
      <w:start w:val="2"/>
      <w:numFmt w:val="bullet"/>
      <w:lvlText w:val=""/>
      <w:lvlJc w:val="left"/>
      <w:pPr>
        <w:ind w:left="720" w:hanging="360"/>
      </w:pPr>
      <w:rPr>
        <w:rFonts w:ascii="Symbol" w:eastAsiaTheme="majorEastAsia" w:hAnsi="Symbol"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9A6247"/>
    <w:multiLevelType w:val="hybridMultilevel"/>
    <w:tmpl w:val="31D0454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120161E7"/>
    <w:multiLevelType w:val="hybridMultilevel"/>
    <w:tmpl w:val="A19C74F2"/>
    <w:lvl w:ilvl="0" w:tplc="B5D8A646">
      <w:start w:val="1"/>
      <w:numFmt w:val="decimal"/>
      <w:pStyle w:val="BoardNumberedNor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796186D"/>
    <w:multiLevelType w:val="hybridMultilevel"/>
    <w:tmpl w:val="6FA8E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22017"/>
    <w:multiLevelType w:val="hybridMultilevel"/>
    <w:tmpl w:val="C0D66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B0560"/>
    <w:multiLevelType w:val="hybridMultilevel"/>
    <w:tmpl w:val="BDA25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95470"/>
    <w:multiLevelType w:val="multilevel"/>
    <w:tmpl w:val="4312906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22E5567F"/>
    <w:multiLevelType w:val="hybridMultilevel"/>
    <w:tmpl w:val="2C4A8B3E"/>
    <w:lvl w:ilvl="0" w:tplc="5552933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3" w15:restartNumberingAfterBreak="0">
    <w:nsid w:val="268B5113"/>
    <w:multiLevelType w:val="hybridMultilevel"/>
    <w:tmpl w:val="4F4C9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A9D05C2"/>
    <w:multiLevelType w:val="hybridMultilevel"/>
    <w:tmpl w:val="357AF546"/>
    <w:lvl w:ilvl="0" w:tplc="0C090001">
      <w:start w:val="1"/>
      <w:numFmt w:val="bullet"/>
      <w:lvlText w:val=""/>
      <w:lvlJc w:val="left"/>
      <w:pPr>
        <w:ind w:left="1851" w:hanging="360"/>
      </w:pPr>
      <w:rPr>
        <w:rFonts w:ascii="Symbol" w:hAnsi="Symbol" w:hint="default"/>
      </w:rPr>
    </w:lvl>
    <w:lvl w:ilvl="1" w:tplc="0C090003" w:tentative="1">
      <w:start w:val="1"/>
      <w:numFmt w:val="bullet"/>
      <w:lvlText w:val="o"/>
      <w:lvlJc w:val="left"/>
      <w:pPr>
        <w:ind w:left="2571" w:hanging="360"/>
      </w:pPr>
      <w:rPr>
        <w:rFonts w:ascii="Courier New" w:hAnsi="Courier New" w:cs="Courier New" w:hint="default"/>
      </w:rPr>
    </w:lvl>
    <w:lvl w:ilvl="2" w:tplc="0C090005" w:tentative="1">
      <w:start w:val="1"/>
      <w:numFmt w:val="bullet"/>
      <w:lvlText w:val=""/>
      <w:lvlJc w:val="left"/>
      <w:pPr>
        <w:ind w:left="3291" w:hanging="360"/>
      </w:pPr>
      <w:rPr>
        <w:rFonts w:ascii="Wingdings" w:hAnsi="Wingdings" w:hint="default"/>
      </w:rPr>
    </w:lvl>
    <w:lvl w:ilvl="3" w:tplc="0C090001" w:tentative="1">
      <w:start w:val="1"/>
      <w:numFmt w:val="bullet"/>
      <w:lvlText w:val=""/>
      <w:lvlJc w:val="left"/>
      <w:pPr>
        <w:ind w:left="4011" w:hanging="360"/>
      </w:pPr>
      <w:rPr>
        <w:rFonts w:ascii="Symbol" w:hAnsi="Symbol" w:hint="default"/>
      </w:rPr>
    </w:lvl>
    <w:lvl w:ilvl="4" w:tplc="0C090003" w:tentative="1">
      <w:start w:val="1"/>
      <w:numFmt w:val="bullet"/>
      <w:lvlText w:val="o"/>
      <w:lvlJc w:val="left"/>
      <w:pPr>
        <w:ind w:left="4731" w:hanging="360"/>
      </w:pPr>
      <w:rPr>
        <w:rFonts w:ascii="Courier New" w:hAnsi="Courier New" w:cs="Courier New" w:hint="default"/>
      </w:rPr>
    </w:lvl>
    <w:lvl w:ilvl="5" w:tplc="0C090005" w:tentative="1">
      <w:start w:val="1"/>
      <w:numFmt w:val="bullet"/>
      <w:lvlText w:val=""/>
      <w:lvlJc w:val="left"/>
      <w:pPr>
        <w:ind w:left="5451" w:hanging="360"/>
      </w:pPr>
      <w:rPr>
        <w:rFonts w:ascii="Wingdings" w:hAnsi="Wingdings" w:hint="default"/>
      </w:rPr>
    </w:lvl>
    <w:lvl w:ilvl="6" w:tplc="0C090001" w:tentative="1">
      <w:start w:val="1"/>
      <w:numFmt w:val="bullet"/>
      <w:lvlText w:val=""/>
      <w:lvlJc w:val="left"/>
      <w:pPr>
        <w:ind w:left="6171" w:hanging="360"/>
      </w:pPr>
      <w:rPr>
        <w:rFonts w:ascii="Symbol" w:hAnsi="Symbol" w:hint="default"/>
      </w:rPr>
    </w:lvl>
    <w:lvl w:ilvl="7" w:tplc="0C090003" w:tentative="1">
      <w:start w:val="1"/>
      <w:numFmt w:val="bullet"/>
      <w:lvlText w:val="o"/>
      <w:lvlJc w:val="left"/>
      <w:pPr>
        <w:ind w:left="6891" w:hanging="360"/>
      </w:pPr>
      <w:rPr>
        <w:rFonts w:ascii="Courier New" w:hAnsi="Courier New" w:cs="Courier New" w:hint="default"/>
      </w:rPr>
    </w:lvl>
    <w:lvl w:ilvl="8" w:tplc="0C090005" w:tentative="1">
      <w:start w:val="1"/>
      <w:numFmt w:val="bullet"/>
      <w:lvlText w:val=""/>
      <w:lvlJc w:val="left"/>
      <w:pPr>
        <w:ind w:left="7611" w:hanging="360"/>
      </w:pPr>
      <w:rPr>
        <w:rFonts w:ascii="Wingdings" w:hAnsi="Wingdings" w:hint="default"/>
      </w:rPr>
    </w:lvl>
  </w:abstractNum>
  <w:abstractNum w:abstractNumId="15" w15:restartNumberingAfterBreak="0">
    <w:nsid w:val="2B843198"/>
    <w:multiLevelType w:val="hybridMultilevel"/>
    <w:tmpl w:val="C3448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B1305B"/>
    <w:multiLevelType w:val="hybridMultilevel"/>
    <w:tmpl w:val="64D6F002"/>
    <w:lvl w:ilvl="0" w:tplc="CAA479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D5F17"/>
    <w:multiLevelType w:val="hybridMultilevel"/>
    <w:tmpl w:val="4A7E5998"/>
    <w:lvl w:ilvl="0" w:tplc="08889E66">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9" w15:restartNumberingAfterBreak="0">
    <w:nsid w:val="313F08E6"/>
    <w:multiLevelType w:val="hybridMultilevel"/>
    <w:tmpl w:val="0AF844DC"/>
    <w:lvl w:ilvl="0" w:tplc="0C090001">
      <w:start w:val="1"/>
      <w:numFmt w:val="bullet"/>
      <w:lvlText w:val=""/>
      <w:lvlJc w:val="left"/>
      <w:pPr>
        <w:ind w:left="1851" w:hanging="360"/>
      </w:pPr>
      <w:rPr>
        <w:rFonts w:ascii="Symbol" w:hAnsi="Symbol" w:hint="default"/>
      </w:rPr>
    </w:lvl>
    <w:lvl w:ilvl="1" w:tplc="0C090003" w:tentative="1">
      <w:start w:val="1"/>
      <w:numFmt w:val="bullet"/>
      <w:lvlText w:val="o"/>
      <w:lvlJc w:val="left"/>
      <w:pPr>
        <w:ind w:left="2571" w:hanging="360"/>
      </w:pPr>
      <w:rPr>
        <w:rFonts w:ascii="Courier New" w:hAnsi="Courier New" w:cs="Courier New" w:hint="default"/>
      </w:rPr>
    </w:lvl>
    <w:lvl w:ilvl="2" w:tplc="0C090005" w:tentative="1">
      <w:start w:val="1"/>
      <w:numFmt w:val="bullet"/>
      <w:lvlText w:val=""/>
      <w:lvlJc w:val="left"/>
      <w:pPr>
        <w:ind w:left="3291" w:hanging="360"/>
      </w:pPr>
      <w:rPr>
        <w:rFonts w:ascii="Wingdings" w:hAnsi="Wingdings" w:hint="default"/>
      </w:rPr>
    </w:lvl>
    <w:lvl w:ilvl="3" w:tplc="0C090001" w:tentative="1">
      <w:start w:val="1"/>
      <w:numFmt w:val="bullet"/>
      <w:lvlText w:val=""/>
      <w:lvlJc w:val="left"/>
      <w:pPr>
        <w:ind w:left="4011" w:hanging="360"/>
      </w:pPr>
      <w:rPr>
        <w:rFonts w:ascii="Symbol" w:hAnsi="Symbol" w:hint="default"/>
      </w:rPr>
    </w:lvl>
    <w:lvl w:ilvl="4" w:tplc="0C090003" w:tentative="1">
      <w:start w:val="1"/>
      <w:numFmt w:val="bullet"/>
      <w:lvlText w:val="o"/>
      <w:lvlJc w:val="left"/>
      <w:pPr>
        <w:ind w:left="4731" w:hanging="360"/>
      </w:pPr>
      <w:rPr>
        <w:rFonts w:ascii="Courier New" w:hAnsi="Courier New" w:cs="Courier New" w:hint="default"/>
      </w:rPr>
    </w:lvl>
    <w:lvl w:ilvl="5" w:tplc="0C090005" w:tentative="1">
      <w:start w:val="1"/>
      <w:numFmt w:val="bullet"/>
      <w:lvlText w:val=""/>
      <w:lvlJc w:val="left"/>
      <w:pPr>
        <w:ind w:left="5451" w:hanging="360"/>
      </w:pPr>
      <w:rPr>
        <w:rFonts w:ascii="Wingdings" w:hAnsi="Wingdings" w:hint="default"/>
      </w:rPr>
    </w:lvl>
    <w:lvl w:ilvl="6" w:tplc="0C090001" w:tentative="1">
      <w:start w:val="1"/>
      <w:numFmt w:val="bullet"/>
      <w:lvlText w:val=""/>
      <w:lvlJc w:val="left"/>
      <w:pPr>
        <w:ind w:left="6171" w:hanging="360"/>
      </w:pPr>
      <w:rPr>
        <w:rFonts w:ascii="Symbol" w:hAnsi="Symbol" w:hint="default"/>
      </w:rPr>
    </w:lvl>
    <w:lvl w:ilvl="7" w:tplc="0C090003" w:tentative="1">
      <w:start w:val="1"/>
      <w:numFmt w:val="bullet"/>
      <w:lvlText w:val="o"/>
      <w:lvlJc w:val="left"/>
      <w:pPr>
        <w:ind w:left="6891" w:hanging="360"/>
      </w:pPr>
      <w:rPr>
        <w:rFonts w:ascii="Courier New" w:hAnsi="Courier New" w:cs="Courier New" w:hint="default"/>
      </w:rPr>
    </w:lvl>
    <w:lvl w:ilvl="8" w:tplc="0C090005" w:tentative="1">
      <w:start w:val="1"/>
      <w:numFmt w:val="bullet"/>
      <w:lvlText w:val=""/>
      <w:lvlJc w:val="left"/>
      <w:pPr>
        <w:ind w:left="7611" w:hanging="360"/>
      </w:pPr>
      <w:rPr>
        <w:rFonts w:ascii="Wingdings" w:hAnsi="Wingdings" w:hint="default"/>
      </w:rPr>
    </w:lvl>
  </w:abstractNum>
  <w:abstractNum w:abstractNumId="20" w15:restartNumberingAfterBreak="0">
    <w:nsid w:val="346255AA"/>
    <w:multiLevelType w:val="multilevel"/>
    <w:tmpl w:val="BE901A26"/>
    <w:styleLink w:val="Numbered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7783911"/>
    <w:multiLevelType w:val="hybridMultilevel"/>
    <w:tmpl w:val="E96C61E8"/>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cs="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cs="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cs="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22" w15:restartNumberingAfterBreak="0">
    <w:nsid w:val="38456421"/>
    <w:multiLevelType w:val="multilevel"/>
    <w:tmpl w:val="F9C233A0"/>
    <w:numStyleLink w:val="ListBullets"/>
  </w:abstractNum>
  <w:abstractNum w:abstractNumId="23" w15:restartNumberingAfterBreak="0">
    <w:nsid w:val="386252E0"/>
    <w:multiLevelType w:val="hybridMultilevel"/>
    <w:tmpl w:val="32CAB8D8"/>
    <w:lvl w:ilvl="0" w:tplc="0C090001">
      <w:start w:val="1"/>
      <w:numFmt w:val="bullet"/>
      <w:lvlText w:val=""/>
      <w:lvlJc w:val="left"/>
      <w:pPr>
        <w:ind w:left="773" w:hanging="360"/>
      </w:pPr>
      <w:rPr>
        <w:rFonts w:ascii="Symbol" w:hAnsi="Symbol"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4" w15:restartNumberingAfterBreak="0">
    <w:nsid w:val="387D4D87"/>
    <w:multiLevelType w:val="hybridMultilevel"/>
    <w:tmpl w:val="F8CA2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835F25"/>
    <w:multiLevelType w:val="hybridMultilevel"/>
    <w:tmpl w:val="D2D8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0822C3"/>
    <w:multiLevelType w:val="hybridMultilevel"/>
    <w:tmpl w:val="7566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1FD9ED"/>
    <w:multiLevelType w:val="hybridMultilevel"/>
    <w:tmpl w:val="9CF409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2D2380"/>
    <w:multiLevelType w:val="hybridMultilevel"/>
    <w:tmpl w:val="37C619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7426839"/>
    <w:multiLevelType w:val="hybridMultilevel"/>
    <w:tmpl w:val="362493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C9A024E"/>
    <w:multiLevelType w:val="hybridMultilevel"/>
    <w:tmpl w:val="1E96AD90"/>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1" w15:restartNumberingAfterBreak="0">
    <w:nsid w:val="507D2487"/>
    <w:multiLevelType w:val="hybridMultilevel"/>
    <w:tmpl w:val="C2D016CC"/>
    <w:lvl w:ilvl="0" w:tplc="0D584F4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1003EED"/>
    <w:multiLevelType w:val="multilevel"/>
    <w:tmpl w:val="1112365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none"/>
      <w:pStyle w:val="ListNumber3"/>
      <w:lvlText w:val=""/>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880E16"/>
    <w:multiLevelType w:val="hybridMultilevel"/>
    <w:tmpl w:val="03BE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8E3BC5"/>
    <w:multiLevelType w:val="hybridMultilevel"/>
    <w:tmpl w:val="59F4730E"/>
    <w:lvl w:ilvl="0" w:tplc="7B4A2190">
      <w:start w:val="1"/>
      <w:numFmt w:val="lowerRoman"/>
      <w:lvlText w:val="%1."/>
      <w:lvlJc w:val="left"/>
      <w:pPr>
        <w:ind w:left="2213" w:hanging="447"/>
        <w:jc w:val="right"/>
      </w:pPr>
      <w:rPr>
        <w:rFonts w:ascii="Segoe UI" w:eastAsia="Segoe UI" w:hAnsi="Segoe UI" w:cs="Segoe UI" w:hint="default"/>
        <w:b w:val="0"/>
        <w:bCs w:val="0"/>
        <w:i w:val="0"/>
        <w:iCs w:val="0"/>
        <w:spacing w:val="-1"/>
        <w:w w:val="99"/>
        <w:sz w:val="19"/>
        <w:szCs w:val="19"/>
        <w:lang w:val="en-AU" w:eastAsia="en-US" w:bidi="ar-SA"/>
      </w:rPr>
    </w:lvl>
    <w:lvl w:ilvl="1" w:tplc="FA342424">
      <w:numFmt w:val="bullet"/>
      <w:lvlText w:val="•"/>
      <w:lvlJc w:val="left"/>
      <w:pPr>
        <w:ind w:left="3188" w:hanging="447"/>
      </w:pPr>
      <w:rPr>
        <w:rFonts w:hint="default"/>
        <w:lang w:val="en-AU" w:eastAsia="en-US" w:bidi="ar-SA"/>
      </w:rPr>
    </w:lvl>
    <w:lvl w:ilvl="2" w:tplc="EFC04B46">
      <w:numFmt w:val="bullet"/>
      <w:lvlText w:val="•"/>
      <w:lvlJc w:val="left"/>
      <w:pPr>
        <w:ind w:left="4157" w:hanging="447"/>
      </w:pPr>
      <w:rPr>
        <w:rFonts w:hint="default"/>
        <w:lang w:val="en-AU" w:eastAsia="en-US" w:bidi="ar-SA"/>
      </w:rPr>
    </w:lvl>
    <w:lvl w:ilvl="3" w:tplc="3C60A82A">
      <w:numFmt w:val="bullet"/>
      <w:lvlText w:val="•"/>
      <w:lvlJc w:val="left"/>
      <w:pPr>
        <w:ind w:left="5125" w:hanging="447"/>
      </w:pPr>
      <w:rPr>
        <w:rFonts w:hint="default"/>
        <w:lang w:val="en-AU" w:eastAsia="en-US" w:bidi="ar-SA"/>
      </w:rPr>
    </w:lvl>
    <w:lvl w:ilvl="4" w:tplc="D5965B7E">
      <w:numFmt w:val="bullet"/>
      <w:lvlText w:val="•"/>
      <w:lvlJc w:val="left"/>
      <w:pPr>
        <w:ind w:left="6094" w:hanging="447"/>
      </w:pPr>
      <w:rPr>
        <w:rFonts w:hint="default"/>
        <w:lang w:val="en-AU" w:eastAsia="en-US" w:bidi="ar-SA"/>
      </w:rPr>
    </w:lvl>
    <w:lvl w:ilvl="5" w:tplc="802ED75A">
      <w:numFmt w:val="bullet"/>
      <w:lvlText w:val="•"/>
      <w:lvlJc w:val="left"/>
      <w:pPr>
        <w:ind w:left="7063" w:hanging="447"/>
      </w:pPr>
      <w:rPr>
        <w:rFonts w:hint="default"/>
        <w:lang w:val="en-AU" w:eastAsia="en-US" w:bidi="ar-SA"/>
      </w:rPr>
    </w:lvl>
    <w:lvl w:ilvl="6" w:tplc="12BAC226">
      <w:numFmt w:val="bullet"/>
      <w:lvlText w:val="•"/>
      <w:lvlJc w:val="left"/>
      <w:pPr>
        <w:ind w:left="8031" w:hanging="447"/>
      </w:pPr>
      <w:rPr>
        <w:rFonts w:hint="default"/>
        <w:lang w:val="en-AU" w:eastAsia="en-US" w:bidi="ar-SA"/>
      </w:rPr>
    </w:lvl>
    <w:lvl w:ilvl="7" w:tplc="DF020AA4">
      <w:numFmt w:val="bullet"/>
      <w:lvlText w:val="•"/>
      <w:lvlJc w:val="left"/>
      <w:pPr>
        <w:ind w:left="9000" w:hanging="447"/>
      </w:pPr>
      <w:rPr>
        <w:rFonts w:hint="default"/>
        <w:lang w:val="en-AU" w:eastAsia="en-US" w:bidi="ar-SA"/>
      </w:rPr>
    </w:lvl>
    <w:lvl w:ilvl="8" w:tplc="9C8E7D8E">
      <w:numFmt w:val="bullet"/>
      <w:lvlText w:val="•"/>
      <w:lvlJc w:val="left"/>
      <w:pPr>
        <w:ind w:left="9969" w:hanging="447"/>
      </w:pPr>
      <w:rPr>
        <w:rFonts w:hint="default"/>
        <w:lang w:val="en-AU" w:eastAsia="en-US" w:bidi="ar-SA"/>
      </w:rPr>
    </w:lvl>
  </w:abstractNum>
  <w:abstractNum w:abstractNumId="36" w15:restartNumberingAfterBreak="0">
    <w:nsid w:val="67586910"/>
    <w:multiLevelType w:val="hybridMultilevel"/>
    <w:tmpl w:val="DCB81062"/>
    <w:lvl w:ilvl="0" w:tplc="25604A6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87B15"/>
    <w:multiLevelType w:val="hybridMultilevel"/>
    <w:tmpl w:val="45D43BD2"/>
    <w:lvl w:ilvl="0" w:tplc="6150C8F4">
      <w:start w:val="1"/>
      <w:numFmt w:val="bullet"/>
      <w:lvlText w:val="•"/>
      <w:lvlJc w:val="left"/>
      <w:pPr>
        <w:tabs>
          <w:tab w:val="num" w:pos="720"/>
        </w:tabs>
        <w:ind w:left="720" w:hanging="360"/>
      </w:pPr>
      <w:rPr>
        <w:rFonts w:ascii="Arial" w:hAnsi="Arial" w:hint="default"/>
      </w:rPr>
    </w:lvl>
    <w:lvl w:ilvl="1" w:tplc="DCFE7AF0">
      <w:start w:val="1"/>
      <w:numFmt w:val="bullet"/>
      <w:lvlText w:val="•"/>
      <w:lvlJc w:val="left"/>
      <w:pPr>
        <w:tabs>
          <w:tab w:val="num" w:pos="1440"/>
        </w:tabs>
        <w:ind w:left="1440" w:hanging="360"/>
      </w:pPr>
      <w:rPr>
        <w:rFonts w:ascii="Arial" w:hAnsi="Arial" w:hint="default"/>
      </w:rPr>
    </w:lvl>
    <w:lvl w:ilvl="2" w:tplc="D4682866" w:tentative="1">
      <w:start w:val="1"/>
      <w:numFmt w:val="bullet"/>
      <w:lvlText w:val="•"/>
      <w:lvlJc w:val="left"/>
      <w:pPr>
        <w:tabs>
          <w:tab w:val="num" w:pos="2160"/>
        </w:tabs>
        <w:ind w:left="2160" w:hanging="360"/>
      </w:pPr>
      <w:rPr>
        <w:rFonts w:ascii="Arial" w:hAnsi="Arial" w:hint="default"/>
      </w:rPr>
    </w:lvl>
    <w:lvl w:ilvl="3" w:tplc="4C6673A0" w:tentative="1">
      <w:start w:val="1"/>
      <w:numFmt w:val="bullet"/>
      <w:lvlText w:val="•"/>
      <w:lvlJc w:val="left"/>
      <w:pPr>
        <w:tabs>
          <w:tab w:val="num" w:pos="2880"/>
        </w:tabs>
        <w:ind w:left="2880" w:hanging="360"/>
      </w:pPr>
      <w:rPr>
        <w:rFonts w:ascii="Arial" w:hAnsi="Arial" w:hint="default"/>
      </w:rPr>
    </w:lvl>
    <w:lvl w:ilvl="4" w:tplc="3A7274E4" w:tentative="1">
      <w:start w:val="1"/>
      <w:numFmt w:val="bullet"/>
      <w:lvlText w:val="•"/>
      <w:lvlJc w:val="left"/>
      <w:pPr>
        <w:tabs>
          <w:tab w:val="num" w:pos="3600"/>
        </w:tabs>
        <w:ind w:left="3600" w:hanging="360"/>
      </w:pPr>
      <w:rPr>
        <w:rFonts w:ascii="Arial" w:hAnsi="Arial" w:hint="default"/>
      </w:rPr>
    </w:lvl>
    <w:lvl w:ilvl="5" w:tplc="DB18DA36" w:tentative="1">
      <w:start w:val="1"/>
      <w:numFmt w:val="bullet"/>
      <w:lvlText w:val="•"/>
      <w:lvlJc w:val="left"/>
      <w:pPr>
        <w:tabs>
          <w:tab w:val="num" w:pos="4320"/>
        </w:tabs>
        <w:ind w:left="4320" w:hanging="360"/>
      </w:pPr>
      <w:rPr>
        <w:rFonts w:ascii="Arial" w:hAnsi="Arial" w:hint="default"/>
      </w:rPr>
    </w:lvl>
    <w:lvl w:ilvl="6" w:tplc="D134561E" w:tentative="1">
      <w:start w:val="1"/>
      <w:numFmt w:val="bullet"/>
      <w:lvlText w:val="•"/>
      <w:lvlJc w:val="left"/>
      <w:pPr>
        <w:tabs>
          <w:tab w:val="num" w:pos="5040"/>
        </w:tabs>
        <w:ind w:left="5040" w:hanging="360"/>
      </w:pPr>
      <w:rPr>
        <w:rFonts w:ascii="Arial" w:hAnsi="Arial" w:hint="default"/>
      </w:rPr>
    </w:lvl>
    <w:lvl w:ilvl="7" w:tplc="4A6C9A3C" w:tentative="1">
      <w:start w:val="1"/>
      <w:numFmt w:val="bullet"/>
      <w:lvlText w:val="•"/>
      <w:lvlJc w:val="left"/>
      <w:pPr>
        <w:tabs>
          <w:tab w:val="num" w:pos="5760"/>
        </w:tabs>
        <w:ind w:left="5760" w:hanging="360"/>
      </w:pPr>
      <w:rPr>
        <w:rFonts w:ascii="Arial" w:hAnsi="Arial" w:hint="default"/>
      </w:rPr>
    </w:lvl>
    <w:lvl w:ilvl="8" w:tplc="717E54E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4F5594"/>
    <w:multiLevelType w:val="hybridMultilevel"/>
    <w:tmpl w:val="A4CA6830"/>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cs="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cs="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cs="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39" w15:restartNumberingAfterBreak="0">
    <w:nsid w:val="71285584"/>
    <w:multiLevelType w:val="hybridMultilevel"/>
    <w:tmpl w:val="EB0CA8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355897"/>
    <w:multiLevelType w:val="hybridMultilevel"/>
    <w:tmpl w:val="B6DC9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8833EE"/>
    <w:multiLevelType w:val="hybridMultilevel"/>
    <w:tmpl w:val="DB587AB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2" w15:restartNumberingAfterBreak="0">
    <w:nsid w:val="761A09D7"/>
    <w:multiLevelType w:val="hybridMultilevel"/>
    <w:tmpl w:val="5074DE90"/>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FBC8C7CA">
      <w:numFmt w:val="bullet"/>
      <w:lvlText w:val="-"/>
      <w:lvlJc w:val="left"/>
      <w:pPr>
        <w:ind w:left="2934" w:hanging="360"/>
      </w:pPr>
      <w:rPr>
        <w:rFonts w:ascii="Calibri" w:eastAsia="Times New Roman" w:hAnsi="Calibri" w:cs="Calibri"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43" w15:restartNumberingAfterBreak="0">
    <w:nsid w:val="782D188E"/>
    <w:multiLevelType w:val="hybridMultilevel"/>
    <w:tmpl w:val="70920C5A"/>
    <w:lvl w:ilvl="0" w:tplc="221612AC">
      <w:numFmt w:val="bullet"/>
      <w:lvlText w:val=""/>
      <w:lvlJc w:val="left"/>
      <w:pPr>
        <w:ind w:left="1036" w:hanging="341"/>
      </w:pPr>
      <w:rPr>
        <w:rFonts w:ascii="Symbol" w:eastAsia="Symbol" w:hAnsi="Symbol" w:cs="Symbol" w:hint="default"/>
        <w:b w:val="0"/>
        <w:bCs w:val="0"/>
        <w:i w:val="0"/>
        <w:iCs w:val="0"/>
        <w:w w:val="100"/>
        <w:sz w:val="16"/>
        <w:szCs w:val="16"/>
        <w:lang w:val="en-AU" w:eastAsia="en-US" w:bidi="ar-SA"/>
      </w:rPr>
    </w:lvl>
    <w:lvl w:ilvl="1" w:tplc="924AC402">
      <w:numFmt w:val="bullet"/>
      <w:lvlText w:val=""/>
      <w:lvlJc w:val="left"/>
      <w:pPr>
        <w:ind w:left="1474" w:hanging="342"/>
      </w:pPr>
      <w:rPr>
        <w:rFonts w:ascii="Symbol" w:eastAsia="Symbol" w:hAnsi="Symbol" w:cs="Symbol" w:hint="default"/>
        <w:b w:val="0"/>
        <w:bCs w:val="0"/>
        <w:i w:val="0"/>
        <w:iCs w:val="0"/>
        <w:w w:val="100"/>
        <w:sz w:val="16"/>
        <w:szCs w:val="16"/>
        <w:lang w:val="en-AU" w:eastAsia="en-US" w:bidi="ar-SA"/>
      </w:rPr>
    </w:lvl>
    <w:lvl w:ilvl="2" w:tplc="330CE3E4">
      <w:numFmt w:val="bullet"/>
      <w:lvlText w:val=""/>
      <w:lvlJc w:val="left"/>
      <w:pPr>
        <w:ind w:left="1812" w:hanging="339"/>
      </w:pPr>
      <w:rPr>
        <w:rFonts w:ascii="Symbol" w:eastAsia="Symbol" w:hAnsi="Symbol" w:cs="Symbol" w:hint="default"/>
        <w:b w:val="0"/>
        <w:bCs w:val="0"/>
        <w:i w:val="0"/>
        <w:iCs w:val="0"/>
        <w:w w:val="100"/>
        <w:sz w:val="16"/>
        <w:szCs w:val="16"/>
        <w:lang w:val="en-AU" w:eastAsia="en-US" w:bidi="ar-SA"/>
      </w:rPr>
    </w:lvl>
    <w:lvl w:ilvl="3" w:tplc="24E01D8A">
      <w:numFmt w:val="bullet"/>
      <w:lvlText w:val=""/>
      <w:lvlJc w:val="left"/>
      <w:pPr>
        <w:ind w:left="1985" w:hanging="341"/>
      </w:pPr>
      <w:rPr>
        <w:rFonts w:ascii="Symbol" w:eastAsia="Symbol" w:hAnsi="Symbol" w:cs="Symbol" w:hint="default"/>
        <w:b w:val="0"/>
        <w:bCs w:val="0"/>
        <w:i w:val="0"/>
        <w:iCs w:val="0"/>
        <w:w w:val="100"/>
        <w:sz w:val="16"/>
        <w:szCs w:val="16"/>
        <w:lang w:val="en-AU" w:eastAsia="en-US" w:bidi="ar-SA"/>
      </w:rPr>
    </w:lvl>
    <w:lvl w:ilvl="4" w:tplc="842E61AE">
      <w:numFmt w:val="bullet"/>
      <w:lvlText w:val="•"/>
      <w:lvlJc w:val="left"/>
      <w:pPr>
        <w:ind w:left="2348" w:hanging="341"/>
      </w:pPr>
      <w:rPr>
        <w:rFonts w:hint="default"/>
        <w:lang w:val="en-AU" w:eastAsia="en-US" w:bidi="ar-SA"/>
      </w:rPr>
    </w:lvl>
    <w:lvl w:ilvl="5" w:tplc="DCA43EE2">
      <w:numFmt w:val="bullet"/>
      <w:lvlText w:val="•"/>
      <w:lvlJc w:val="left"/>
      <w:pPr>
        <w:ind w:left="2717" w:hanging="341"/>
      </w:pPr>
      <w:rPr>
        <w:rFonts w:hint="default"/>
        <w:lang w:val="en-AU" w:eastAsia="en-US" w:bidi="ar-SA"/>
      </w:rPr>
    </w:lvl>
    <w:lvl w:ilvl="6" w:tplc="CC4E5378">
      <w:numFmt w:val="bullet"/>
      <w:lvlText w:val="•"/>
      <w:lvlJc w:val="left"/>
      <w:pPr>
        <w:ind w:left="3085" w:hanging="341"/>
      </w:pPr>
      <w:rPr>
        <w:rFonts w:hint="default"/>
        <w:lang w:val="en-AU" w:eastAsia="en-US" w:bidi="ar-SA"/>
      </w:rPr>
    </w:lvl>
    <w:lvl w:ilvl="7" w:tplc="A40624E0">
      <w:numFmt w:val="bullet"/>
      <w:lvlText w:val="•"/>
      <w:lvlJc w:val="left"/>
      <w:pPr>
        <w:ind w:left="3454" w:hanging="341"/>
      </w:pPr>
      <w:rPr>
        <w:rFonts w:hint="default"/>
        <w:lang w:val="en-AU" w:eastAsia="en-US" w:bidi="ar-SA"/>
      </w:rPr>
    </w:lvl>
    <w:lvl w:ilvl="8" w:tplc="10A63600">
      <w:numFmt w:val="bullet"/>
      <w:lvlText w:val="•"/>
      <w:lvlJc w:val="left"/>
      <w:pPr>
        <w:ind w:left="3823" w:hanging="341"/>
      </w:pPr>
      <w:rPr>
        <w:rFonts w:hint="default"/>
        <w:lang w:val="en-AU" w:eastAsia="en-US" w:bidi="ar-SA"/>
      </w:rPr>
    </w:lvl>
  </w:abstractNum>
  <w:abstractNum w:abstractNumId="44" w15:restartNumberingAfterBreak="0">
    <w:nsid w:val="7A706614"/>
    <w:multiLevelType w:val="hybridMultilevel"/>
    <w:tmpl w:val="3F6A4C2E"/>
    <w:lvl w:ilvl="0" w:tplc="EE2A64E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C66356"/>
    <w:multiLevelType w:val="hybridMultilevel"/>
    <w:tmpl w:val="3610545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6" w15:restartNumberingAfterBreak="0">
    <w:nsid w:val="7BE42F2B"/>
    <w:multiLevelType w:val="hybridMultilevel"/>
    <w:tmpl w:val="6978B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8634740">
    <w:abstractNumId w:val="33"/>
  </w:num>
  <w:num w:numId="2" w16cid:durableId="830877714">
    <w:abstractNumId w:val="18"/>
  </w:num>
  <w:num w:numId="3" w16cid:durableId="198713241">
    <w:abstractNumId w:val="20"/>
  </w:num>
  <w:num w:numId="4" w16cid:durableId="1789204442">
    <w:abstractNumId w:val="4"/>
  </w:num>
  <w:num w:numId="5" w16cid:durableId="638923833">
    <w:abstractNumId w:val="32"/>
  </w:num>
  <w:num w:numId="6" w16cid:durableId="1802183590">
    <w:abstractNumId w:val="44"/>
  </w:num>
  <w:num w:numId="7" w16cid:durableId="1433552949">
    <w:abstractNumId w:val="8"/>
  </w:num>
  <w:num w:numId="8" w16cid:durableId="1868323918">
    <w:abstractNumId w:val="12"/>
  </w:num>
  <w:num w:numId="9" w16cid:durableId="1142309207">
    <w:abstractNumId w:val="22"/>
  </w:num>
  <w:num w:numId="10" w16cid:durableId="97993621">
    <w:abstractNumId w:val="46"/>
  </w:num>
  <w:num w:numId="11" w16cid:durableId="1324047703">
    <w:abstractNumId w:val="25"/>
  </w:num>
  <w:num w:numId="12" w16cid:durableId="421415084">
    <w:abstractNumId w:val="38"/>
  </w:num>
  <w:num w:numId="13" w16cid:durableId="2064594790">
    <w:abstractNumId w:val="14"/>
  </w:num>
  <w:num w:numId="14" w16cid:durableId="1548909879">
    <w:abstractNumId w:val="21"/>
  </w:num>
  <w:num w:numId="15" w16cid:durableId="1089081034">
    <w:abstractNumId w:val="19"/>
  </w:num>
  <w:num w:numId="16" w16cid:durableId="829760274">
    <w:abstractNumId w:val="35"/>
  </w:num>
  <w:num w:numId="17" w16cid:durableId="1704211385">
    <w:abstractNumId w:val="22"/>
  </w:num>
  <w:num w:numId="18" w16cid:durableId="274026259">
    <w:abstractNumId w:val="22"/>
  </w:num>
  <w:num w:numId="19" w16cid:durableId="1878085492">
    <w:abstractNumId w:val="43"/>
  </w:num>
  <w:num w:numId="20" w16cid:durableId="654530090">
    <w:abstractNumId w:val="22"/>
  </w:num>
  <w:num w:numId="21" w16cid:durableId="1098604338">
    <w:abstractNumId w:val="22"/>
  </w:num>
  <w:num w:numId="22" w16cid:durableId="1889534162">
    <w:abstractNumId w:val="41"/>
  </w:num>
  <w:num w:numId="23" w16cid:durableId="2008362919">
    <w:abstractNumId w:val="45"/>
  </w:num>
  <w:num w:numId="24" w16cid:durableId="901714588">
    <w:abstractNumId w:val="5"/>
  </w:num>
  <w:num w:numId="25" w16cid:durableId="109207261">
    <w:abstractNumId w:val="30"/>
  </w:num>
  <w:num w:numId="26" w16cid:durableId="695273354">
    <w:abstractNumId w:val="29"/>
  </w:num>
  <w:num w:numId="27" w16cid:durableId="2045671483">
    <w:abstractNumId w:val="20"/>
  </w:num>
  <w:num w:numId="28" w16cid:durableId="1972664691">
    <w:abstractNumId w:val="20"/>
  </w:num>
  <w:num w:numId="29" w16cid:durableId="906185156">
    <w:abstractNumId w:val="31"/>
  </w:num>
  <w:num w:numId="30" w16cid:durableId="257836513">
    <w:abstractNumId w:val="20"/>
  </w:num>
  <w:num w:numId="31" w16cid:durableId="41751394">
    <w:abstractNumId w:val="23"/>
  </w:num>
  <w:num w:numId="32" w16cid:durableId="1309894660">
    <w:abstractNumId w:val="39"/>
  </w:num>
  <w:num w:numId="33" w16cid:durableId="1808350469">
    <w:abstractNumId w:val="34"/>
  </w:num>
  <w:num w:numId="34" w16cid:durableId="931399263">
    <w:abstractNumId w:val="9"/>
  </w:num>
  <w:num w:numId="35" w16cid:durableId="338507924">
    <w:abstractNumId w:val="24"/>
  </w:num>
  <w:num w:numId="36" w16cid:durableId="2106876180">
    <w:abstractNumId w:val="2"/>
  </w:num>
  <w:num w:numId="37" w16cid:durableId="1342708432">
    <w:abstractNumId w:val="16"/>
  </w:num>
  <w:num w:numId="38" w16cid:durableId="1165247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6550765">
    <w:abstractNumId w:val="42"/>
  </w:num>
  <w:num w:numId="40" w16cid:durableId="436797754">
    <w:abstractNumId w:val="27"/>
  </w:num>
  <w:num w:numId="41" w16cid:durableId="2112703868">
    <w:abstractNumId w:val="28"/>
  </w:num>
  <w:num w:numId="42" w16cid:durableId="1917133184">
    <w:abstractNumId w:val="13"/>
  </w:num>
  <w:num w:numId="43" w16cid:durableId="1765568477">
    <w:abstractNumId w:val="10"/>
  </w:num>
  <w:num w:numId="44" w16cid:durableId="1865054841">
    <w:abstractNumId w:val="17"/>
  </w:num>
  <w:num w:numId="45" w16cid:durableId="503518678">
    <w:abstractNumId w:val="6"/>
  </w:num>
  <w:num w:numId="46" w16cid:durableId="925575091">
    <w:abstractNumId w:val="37"/>
  </w:num>
  <w:num w:numId="47" w16cid:durableId="1501193262">
    <w:abstractNumId w:val="0"/>
  </w:num>
  <w:num w:numId="48" w16cid:durableId="1676415050">
    <w:abstractNumId w:val="15"/>
  </w:num>
  <w:num w:numId="49" w16cid:durableId="543642101">
    <w:abstractNumId w:val="40"/>
  </w:num>
  <w:num w:numId="50" w16cid:durableId="1514614065">
    <w:abstractNumId w:val="26"/>
  </w:num>
  <w:num w:numId="51" w16cid:durableId="178350957">
    <w:abstractNumId w:val="3"/>
  </w:num>
  <w:num w:numId="52" w16cid:durableId="751119489">
    <w:abstractNumId w:val="36"/>
  </w:num>
  <w:num w:numId="53" w16cid:durableId="601689215">
    <w:abstractNumId w:val="1"/>
  </w:num>
  <w:num w:numId="54" w16cid:durableId="262959736">
    <w:abstractNumId w:val="11"/>
  </w:num>
  <w:num w:numId="55" w16cid:durableId="126283588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3NDQ3MbG0NDc1NTJV0lEKTi0uzszPAykwMqsFAPBAcvEtAAAA"/>
  </w:docVars>
  <w:rsids>
    <w:rsidRoot w:val="007E6DB7"/>
    <w:rsid w:val="00000385"/>
    <w:rsid w:val="0000038E"/>
    <w:rsid w:val="000023E6"/>
    <w:rsid w:val="000024C4"/>
    <w:rsid w:val="0000427C"/>
    <w:rsid w:val="000049B8"/>
    <w:rsid w:val="0000585E"/>
    <w:rsid w:val="000060DC"/>
    <w:rsid w:val="0000726A"/>
    <w:rsid w:val="00007763"/>
    <w:rsid w:val="00012417"/>
    <w:rsid w:val="00012D66"/>
    <w:rsid w:val="00012EF1"/>
    <w:rsid w:val="0001512C"/>
    <w:rsid w:val="00015E5C"/>
    <w:rsid w:val="0001677C"/>
    <w:rsid w:val="00016F4F"/>
    <w:rsid w:val="000171E0"/>
    <w:rsid w:val="00017BDE"/>
    <w:rsid w:val="0002085B"/>
    <w:rsid w:val="0002151D"/>
    <w:rsid w:val="000222A6"/>
    <w:rsid w:val="00025656"/>
    <w:rsid w:val="00025A26"/>
    <w:rsid w:val="0003121E"/>
    <w:rsid w:val="00032199"/>
    <w:rsid w:val="000325F7"/>
    <w:rsid w:val="00032B00"/>
    <w:rsid w:val="00033AE9"/>
    <w:rsid w:val="0003417B"/>
    <w:rsid w:val="00034702"/>
    <w:rsid w:val="0003509C"/>
    <w:rsid w:val="00035DA5"/>
    <w:rsid w:val="00042E16"/>
    <w:rsid w:val="0004494C"/>
    <w:rsid w:val="00045CEB"/>
    <w:rsid w:val="00045CF1"/>
    <w:rsid w:val="000468C5"/>
    <w:rsid w:val="00046F02"/>
    <w:rsid w:val="000473C4"/>
    <w:rsid w:val="00050792"/>
    <w:rsid w:val="0005085F"/>
    <w:rsid w:val="00050D2D"/>
    <w:rsid w:val="00052217"/>
    <w:rsid w:val="00052643"/>
    <w:rsid w:val="000527AE"/>
    <w:rsid w:val="00052DDA"/>
    <w:rsid w:val="000530AF"/>
    <w:rsid w:val="000530DC"/>
    <w:rsid w:val="000551C0"/>
    <w:rsid w:val="00057727"/>
    <w:rsid w:val="00057FAB"/>
    <w:rsid w:val="000610B9"/>
    <w:rsid w:val="00061D82"/>
    <w:rsid w:val="000657FB"/>
    <w:rsid w:val="00065971"/>
    <w:rsid w:val="00065FF7"/>
    <w:rsid w:val="00067659"/>
    <w:rsid w:val="000676DF"/>
    <w:rsid w:val="00067F14"/>
    <w:rsid w:val="000703E1"/>
    <w:rsid w:val="000706C1"/>
    <w:rsid w:val="000706C4"/>
    <w:rsid w:val="00070F2F"/>
    <w:rsid w:val="00072768"/>
    <w:rsid w:val="00073974"/>
    <w:rsid w:val="00073C90"/>
    <w:rsid w:val="0007489A"/>
    <w:rsid w:val="00074FB5"/>
    <w:rsid w:val="0008028D"/>
    <w:rsid w:val="00083046"/>
    <w:rsid w:val="000837D7"/>
    <w:rsid w:val="0008433A"/>
    <w:rsid w:val="00085E9E"/>
    <w:rsid w:val="00086035"/>
    <w:rsid w:val="00086795"/>
    <w:rsid w:val="00086CBE"/>
    <w:rsid w:val="00086ED6"/>
    <w:rsid w:val="000873B4"/>
    <w:rsid w:val="0009057A"/>
    <w:rsid w:val="0009080A"/>
    <w:rsid w:val="00093D42"/>
    <w:rsid w:val="000947A7"/>
    <w:rsid w:val="00095222"/>
    <w:rsid w:val="00096D01"/>
    <w:rsid w:val="000976FF"/>
    <w:rsid w:val="00097CF2"/>
    <w:rsid w:val="000A0622"/>
    <w:rsid w:val="000A13E8"/>
    <w:rsid w:val="000A2DCE"/>
    <w:rsid w:val="000A31CE"/>
    <w:rsid w:val="000A3C9E"/>
    <w:rsid w:val="000A4DB4"/>
    <w:rsid w:val="000A7CA5"/>
    <w:rsid w:val="000B0C30"/>
    <w:rsid w:val="000B0FD9"/>
    <w:rsid w:val="000B1428"/>
    <w:rsid w:val="000B1EA0"/>
    <w:rsid w:val="000B633B"/>
    <w:rsid w:val="000B6BFF"/>
    <w:rsid w:val="000C0878"/>
    <w:rsid w:val="000C0F2B"/>
    <w:rsid w:val="000C2544"/>
    <w:rsid w:val="000C28EC"/>
    <w:rsid w:val="000C396A"/>
    <w:rsid w:val="000C4344"/>
    <w:rsid w:val="000C63DC"/>
    <w:rsid w:val="000C77A3"/>
    <w:rsid w:val="000C7B9E"/>
    <w:rsid w:val="000D07D6"/>
    <w:rsid w:val="000D1B6C"/>
    <w:rsid w:val="000D217D"/>
    <w:rsid w:val="000D2ADB"/>
    <w:rsid w:val="000D42DD"/>
    <w:rsid w:val="000D5B7F"/>
    <w:rsid w:val="000D6007"/>
    <w:rsid w:val="000D6959"/>
    <w:rsid w:val="000D6988"/>
    <w:rsid w:val="000E3CDC"/>
    <w:rsid w:val="000E44C6"/>
    <w:rsid w:val="000E4701"/>
    <w:rsid w:val="000E4BAA"/>
    <w:rsid w:val="000E5035"/>
    <w:rsid w:val="000E58F9"/>
    <w:rsid w:val="000E7850"/>
    <w:rsid w:val="000E7E7F"/>
    <w:rsid w:val="000E7FD4"/>
    <w:rsid w:val="000F0067"/>
    <w:rsid w:val="000F435D"/>
    <w:rsid w:val="000F46FE"/>
    <w:rsid w:val="000F48D2"/>
    <w:rsid w:val="000F5083"/>
    <w:rsid w:val="000F525B"/>
    <w:rsid w:val="000F64B1"/>
    <w:rsid w:val="000F6C7A"/>
    <w:rsid w:val="000F6EC5"/>
    <w:rsid w:val="000F7BF1"/>
    <w:rsid w:val="0010099E"/>
    <w:rsid w:val="00100A08"/>
    <w:rsid w:val="0010108B"/>
    <w:rsid w:val="00102409"/>
    <w:rsid w:val="00102B79"/>
    <w:rsid w:val="001053A7"/>
    <w:rsid w:val="00105C97"/>
    <w:rsid w:val="00107242"/>
    <w:rsid w:val="0010778A"/>
    <w:rsid w:val="00110D0D"/>
    <w:rsid w:val="00111ED8"/>
    <w:rsid w:val="00112242"/>
    <w:rsid w:val="00112669"/>
    <w:rsid w:val="00112C57"/>
    <w:rsid w:val="00112CDE"/>
    <w:rsid w:val="00113389"/>
    <w:rsid w:val="00113D5C"/>
    <w:rsid w:val="00116764"/>
    <w:rsid w:val="001226C7"/>
    <w:rsid w:val="001234E6"/>
    <w:rsid w:val="00124963"/>
    <w:rsid w:val="00124D71"/>
    <w:rsid w:val="00126062"/>
    <w:rsid w:val="00126D88"/>
    <w:rsid w:val="001274EE"/>
    <w:rsid w:val="001279B2"/>
    <w:rsid w:val="00130503"/>
    <w:rsid w:val="0013090B"/>
    <w:rsid w:val="00131FAA"/>
    <w:rsid w:val="00133026"/>
    <w:rsid w:val="0013306C"/>
    <w:rsid w:val="001337E4"/>
    <w:rsid w:val="00133887"/>
    <w:rsid w:val="001355FA"/>
    <w:rsid w:val="00135666"/>
    <w:rsid w:val="00136E05"/>
    <w:rsid w:val="001374C8"/>
    <w:rsid w:val="001374FF"/>
    <w:rsid w:val="001406E7"/>
    <w:rsid w:val="00140EAC"/>
    <w:rsid w:val="00141CD6"/>
    <w:rsid w:val="00142FC5"/>
    <w:rsid w:val="001438D1"/>
    <w:rsid w:val="001440A0"/>
    <w:rsid w:val="00144F34"/>
    <w:rsid w:val="00145020"/>
    <w:rsid w:val="00146284"/>
    <w:rsid w:val="00150121"/>
    <w:rsid w:val="0015019C"/>
    <w:rsid w:val="001518E9"/>
    <w:rsid w:val="00152AE8"/>
    <w:rsid w:val="00152B1A"/>
    <w:rsid w:val="001538FB"/>
    <w:rsid w:val="001541AD"/>
    <w:rsid w:val="00154B98"/>
    <w:rsid w:val="001551A8"/>
    <w:rsid w:val="001557B7"/>
    <w:rsid w:val="00155BB7"/>
    <w:rsid w:val="00156814"/>
    <w:rsid w:val="00156DEB"/>
    <w:rsid w:val="001573F5"/>
    <w:rsid w:val="00160D7E"/>
    <w:rsid w:val="0016103C"/>
    <w:rsid w:val="001626E8"/>
    <w:rsid w:val="0016390D"/>
    <w:rsid w:val="00163CF8"/>
    <w:rsid w:val="0016480B"/>
    <w:rsid w:val="00165239"/>
    <w:rsid w:val="00166E51"/>
    <w:rsid w:val="00167178"/>
    <w:rsid w:val="00167F0A"/>
    <w:rsid w:val="00170FB6"/>
    <w:rsid w:val="0017156F"/>
    <w:rsid w:val="00173BB7"/>
    <w:rsid w:val="0017757C"/>
    <w:rsid w:val="00177866"/>
    <w:rsid w:val="00180373"/>
    <w:rsid w:val="00180FFD"/>
    <w:rsid w:val="00182210"/>
    <w:rsid w:val="0018236B"/>
    <w:rsid w:val="00183D8F"/>
    <w:rsid w:val="00184BEB"/>
    <w:rsid w:val="001872C9"/>
    <w:rsid w:val="00187A7B"/>
    <w:rsid w:val="00187CBD"/>
    <w:rsid w:val="00190A9E"/>
    <w:rsid w:val="00192752"/>
    <w:rsid w:val="00192EE7"/>
    <w:rsid w:val="001942F9"/>
    <w:rsid w:val="00194534"/>
    <w:rsid w:val="001947E4"/>
    <w:rsid w:val="0019675F"/>
    <w:rsid w:val="001A03EC"/>
    <w:rsid w:val="001A31E9"/>
    <w:rsid w:val="001A325A"/>
    <w:rsid w:val="001A3478"/>
    <w:rsid w:val="001A3843"/>
    <w:rsid w:val="001A4DFF"/>
    <w:rsid w:val="001A56C5"/>
    <w:rsid w:val="001A628E"/>
    <w:rsid w:val="001B01A8"/>
    <w:rsid w:val="001B06D4"/>
    <w:rsid w:val="001B07DB"/>
    <w:rsid w:val="001B221F"/>
    <w:rsid w:val="001B2E29"/>
    <w:rsid w:val="001B3E7D"/>
    <w:rsid w:val="001C2519"/>
    <w:rsid w:val="001C6B38"/>
    <w:rsid w:val="001C7F6F"/>
    <w:rsid w:val="001D1ED0"/>
    <w:rsid w:val="001D3BC3"/>
    <w:rsid w:val="001D4F0E"/>
    <w:rsid w:val="001D4FF1"/>
    <w:rsid w:val="001D6E17"/>
    <w:rsid w:val="001E3502"/>
    <w:rsid w:val="001E3962"/>
    <w:rsid w:val="001E4816"/>
    <w:rsid w:val="001E4D95"/>
    <w:rsid w:val="001E5090"/>
    <w:rsid w:val="001E5739"/>
    <w:rsid w:val="001E5878"/>
    <w:rsid w:val="001E634D"/>
    <w:rsid w:val="001E75FC"/>
    <w:rsid w:val="001F2FE4"/>
    <w:rsid w:val="001F3929"/>
    <w:rsid w:val="001F3998"/>
    <w:rsid w:val="001F39A9"/>
    <w:rsid w:val="001F3BB0"/>
    <w:rsid w:val="001F3E69"/>
    <w:rsid w:val="001F5B8C"/>
    <w:rsid w:val="001F676F"/>
    <w:rsid w:val="001F6CB8"/>
    <w:rsid w:val="001F7DF2"/>
    <w:rsid w:val="00200663"/>
    <w:rsid w:val="00201DFC"/>
    <w:rsid w:val="00202598"/>
    <w:rsid w:val="00202E4E"/>
    <w:rsid w:val="002032FD"/>
    <w:rsid w:val="00203D96"/>
    <w:rsid w:val="00203F8C"/>
    <w:rsid w:val="00204498"/>
    <w:rsid w:val="00207CC3"/>
    <w:rsid w:val="00211BA6"/>
    <w:rsid w:val="0021294F"/>
    <w:rsid w:val="0021319D"/>
    <w:rsid w:val="00215549"/>
    <w:rsid w:val="002165E9"/>
    <w:rsid w:val="00216FEF"/>
    <w:rsid w:val="0021763F"/>
    <w:rsid w:val="00217C51"/>
    <w:rsid w:val="002220BF"/>
    <w:rsid w:val="00222B18"/>
    <w:rsid w:val="00223371"/>
    <w:rsid w:val="00224D35"/>
    <w:rsid w:val="002251B3"/>
    <w:rsid w:val="00225384"/>
    <w:rsid w:val="00225475"/>
    <w:rsid w:val="00225DD1"/>
    <w:rsid w:val="00225E83"/>
    <w:rsid w:val="00226959"/>
    <w:rsid w:val="00226C2B"/>
    <w:rsid w:val="00227C96"/>
    <w:rsid w:val="00230355"/>
    <w:rsid w:val="0023071D"/>
    <w:rsid w:val="00231BB8"/>
    <w:rsid w:val="002322B2"/>
    <w:rsid w:val="0023278F"/>
    <w:rsid w:val="00235E78"/>
    <w:rsid w:val="002361BB"/>
    <w:rsid w:val="002401CA"/>
    <w:rsid w:val="00240977"/>
    <w:rsid w:val="00241A22"/>
    <w:rsid w:val="00241B24"/>
    <w:rsid w:val="00242AA4"/>
    <w:rsid w:val="00243ECB"/>
    <w:rsid w:val="002479BF"/>
    <w:rsid w:val="00247B93"/>
    <w:rsid w:val="002501A3"/>
    <w:rsid w:val="00251C9C"/>
    <w:rsid w:val="002520DF"/>
    <w:rsid w:val="00252689"/>
    <w:rsid w:val="00253699"/>
    <w:rsid w:val="0025550C"/>
    <w:rsid w:val="00257033"/>
    <w:rsid w:val="002570FA"/>
    <w:rsid w:val="00257892"/>
    <w:rsid w:val="00261377"/>
    <w:rsid w:val="0026164F"/>
    <w:rsid w:val="00261EC3"/>
    <w:rsid w:val="00262087"/>
    <w:rsid w:val="00263B36"/>
    <w:rsid w:val="0026411F"/>
    <w:rsid w:val="00265330"/>
    <w:rsid w:val="00266A75"/>
    <w:rsid w:val="00266ED1"/>
    <w:rsid w:val="002700EF"/>
    <w:rsid w:val="00271B2A"/>
    <w:rsid w:val="00272531"/>
    <w:rsid w:val="002737AD"/>
    <w:rsid w:val="002744D5"/>
    <w:rsid w:val="00274602"/>
    <w:rsid w:val="0027629E"/>
    <w:rsid w:val="00277450"/>
    <w:rsid w:val="00277D03"/>
    <w:rsid w:val="00280852"/>
    <w:rsid w:val="00282281"/>
    <w:rsid w:val="00282542"/>
    <w:rsid w:val="002827CB"/>
    <w:rsid w:val="00282D9B"/>
    <w:rsid w:val="00287705"/>
    <w:rsid w:val="0028771A"/>
    <w:rsid w:val="00287892"/>
    <w:rsid w:val="00287B75"/>
    <w:rsid w:val="00290348"/>
    <w:rsid w:val="0029038D"/>
    <w:rsid w:val="0029157E"/>
    <w:rsid w:val="0029194F"/>
    <w:rsid w:val="00292025"/>
    <w:rsid w:val="00292CBF"/>
    <w:rsid w:val="002946B5"/>
    <w:rsid w:val="002946E4"/>
    <w:rsid w:val="00294C71"/>
    <w:rsid w:val="00295601"/>
    <w:rsid w:val="00295D23"/>
    <w:rsid w:val="00296394"/>
    <w:rsid w:val="00296B24"/>
    <w:rsid w:val="002A0153"/>
    <w:rsid w:val="002A0448"/>
    <w:rsid w:val="002A2E6A"/>
    <w:rsid w:val="002A4572"/>
    <w:rsid w:val="002A45D4"/>
    <w:rsid w:val="002A51C7"/>
    <w:rsid w:val="002A5A3B"/>
    <w:rsid w:val="002A5D34"/>
    <w:rsid w:val="002A6C21"/>
    <w:rsid w:val="002A7D9F"/>
    <w:rsid w:val="002B0FD6"/>
    <w:rsid w:val="002B3BC1"/>
    <w:rsid w:val="002B3C0B"/>
    <w:rsid w:val="002B55AA"/>
    <w:rsid w:val="002B6ED2"/>
    <w:rsid w:val="002B6F62"/>
    <w:rsid w:val="002B79E4"/>
    <w:rsid w:val="002B7D27"/>
    <w:rsid w:val="002C0255"/>
    <w:rsid w:val="002C181D"/>
    <w:rsid w:val="002C18DA"/>
    <w:rsid w:val="002C1C0F"/>
    <w:rsid w:val="002C55DF"/>
    <w:rsid w:val="002C5C11"/>
    <w:rsid w:val="002C6700"/>
    <w:rsid w:val="002C6D5E"/>
    <w:rsid w:val="002C7098"/>
    <w:rsid w:val="002D125F"/>
    <w:rsid w:val="002D12A7"/>
    <w:rsid w:val="002D2457"/>
    <w:rsid w:val="002D2C96"/>
    <w:rsid w:val="002D2E63"/>
    <w:rsid w:val="002D4746"/>
    <w:rsid w:val="002D49A3"/>
    <w:rsid w:val="002D5AF8"/>
    <w:rsid w:val="002D64B6"/>
    <w:rsid w:val="002E03FB"/>
    <w:rsid w:val="002E0854"/>
    <w:rsid w:val="002E1A71"/>
    <w:rsid w:val="002E3C78"/>
    <w:rsid w:val="002E496D"/>
    <w:rsid w:val="002E4CE4"/>
    <w:rsid w:val="002E4F96"/>
    <w:rsid w:val="002E6688"/>
    <w:rsid w:val="002E6CE8"/>
    <w:rsid w:val="002E72A2"/>
    <w:rsid w:val="002E7435"/>
    <w:rsid w:val="002F0496"/>
    <w:rsid w:val="002F0551"/>
    <w:rsid w:val="002F1530"/>
    <w:rsid w:val="002F29C8"/>
    <w:rsid w:val="002F38A5"/>
    <w:rsid w:val="002F490D"/>
    <w:rsid w:val="002F4A5E"/>
    <w:rsid w:val="002F4F51"/>
    <w:rsid w:val="002F5767"/>
    <w:rsid w:val="002F5DFF"/>
    <w:rsid w:val="002F6326"/>
    <w:rsid w:val="002F63B4"/>
    <w:rsid w:val="002F7FBF"/>
    <w:rsid w:val="00300B29"/>
    <w:rsid w:val="00300C24"/>
    <w:rsid w:val="003049E6"/>
    <w:rsid w:val="00304AFE"/>
    <w:rsid w:val="0030649B"/>
    <w:rsid w:val="0030702A"/>
    <w:rsid w:val="003071DE"/>
    <w:rsid w:val="0031013A"/>
    <w:rsid w:val="0031190C"/>
    <w:rsid w:val="003131F0"/>
    <w:rsid w:val="003133C7"/>
    <w:rsid w:val="003144F6"/>
    <w:rsid w:val="003172E0"/>
    <w:rsid w:val="00320110"/>
    <w:rsid w:val="00322790"/>
    <w:rsid w:val="00322A2B"/>
    <w:rsid w:val="003232F7"/>
    <w:rsid w:val="003235DC"/>
    <w:rsid w:val="00323CF7"/>
    <w:rsid w:val="0032414D"/>
    <w:rsid w:val="0032447B"/>
    <w:rsid w:val="00324AB6"/>
    <w:rsid w:val="00325622"/>
    <w:rsid w:val="00326579"/>
    <w:rsid w:val="003317FA"/>
    <w:rsid w:val="00332094"/>
    <w:rsid w:val="00333DE5"/>
    <w:rsid w:val="003375EE"/>
    <w:rsid w:val="00340C1E"/>
    <w:rsid w:val="00341023"/>
    <w:rsid w:val="00343F27"/>
    <w:rsid w:val="00343FFE"/>
    <w:rsid w:val="003441DF"/>
    <w:rsid w:val="00344E2F"/>
    <w:rsid w:val="00345015"/>
    <w:rsid w:val="0034537C"/>
    <w:rsid w:val="003456AC"/>
    <w:rsid w:val="00345C57"/>
    <w:rsid w:val="00351951"/>
    <w:rsid w:val="00351CAF"/>
    <w:rsid w:val="003520B0"/>
    <w:rsid w:val="00354149"/>
    <w:rsid w:val="003544D2"/>
    <w:rsid w:val="003550DF"/>
    <w:rsid w:val="00355D10"/>
    <w:rsid w:val="00357584"/>
    <w:rsid w:val="0036140A"/>
    <w:rsid w:val="00361ABE"/>
    <w:rsid w:val="00362351"/>
    <w:rsid w:val="003625C8"/>
    <w:rsid w:val="003639F8"/>
    <w:rsid w:val="0036464A"/>
    <w:rsid w:val="00365A7A"/>
    <w:rsid w:val="00366FC5"/>
    <w:rsid w:val="0036700D"/>
    <w:rsid w:val="003678FC"/>
    <w:rsid w:val="00367AF7"/>
    <w:rsid w:val="00371429"/>
    <w:rsid w:val="003723ED"/>
    <w:rsid w:val="00373AC2"/>
    <w:rsid w:val="00373C3C"/>
    <w:rsid w:val="003757A2"/>
    <w:rsid w:val="003760D0"/>
    <w:rsid w:val="00376AD0"/>
    <w:rsid w:val="003771DE"/>
    <w:rsid w:val="00377B7C"/>
    <w:rsid w:val="0038085E"/>
    <w:rsid w:val="00380BB9"/>
    <w:rsid w:val="00380C7B"/>
    <w:rsid w:val="0038120E"/>
    <w:rsid w:val="003819A8"/>
    <w:rsid w:val="003819E0"/>
    <w:rsid w:val="00381C88"/>
    <w:rsid w:val="003820B4"/>
    <w:rsid w:val="003824B3"/>
    <w:rsid w:val="003825AB"/>
    <w:rsid w:val="00382609"/>
    <w:rsid w:val="00382AB0"/>
    <w:rsid w:val="003836A8"/>
    <w:rsid w:val="003837EE"/>
    <w:rsid w:val="00385E5D"/>
    <w:rsid w:val="003900EE"/>
    <w:rsid w:val="0039047C"/>
    <w:rsid w:val="00391107"/>
    <w:rsid w:val="00391166"/>
    <w:rsid w:val="00391A60"/>
    <w:rsid w:val="00391B5D"/>
    <w:rsid w:val="0039291D"/>
    <w:rsid w:val="00392F53"/>
    <w:rsid w:val="00394058"/>
    <w:rsid w:val="003956A4"/>
    <w:rsid w:val="00395B9F"/>
    <w:rsid w:val="003A04D2"/>
    <w:rsid w:val="003A2874"/>
    <w:rsid w:val="003A3629"/>
    <w:rsid w:val="003A36E4"/>
    <w:rsid w:val="003A3E39"/>
    <w:rsid w:val="003A4A10"/>
    <w:rsid w:val="003A4C17"/>
    <w:rsid w:val="003A5483"/>
    <w:rsid w:val="003A60CD"/>
    <w:rsid w:val="003B0697"/>
    <w:rsid w:val="003B1445"/>
    <w:rsid w:val="003B1690"/>
    <w:rsid w:val="003B1995"/>
    <w:rsid w:val="003B42DC"/>
    <w:rsid w:val="003B69D2"/>
    <w:rsid w:val="003B7CA2"/>
    <w:rsid w:val="003C0ABF"/>
    <w:rsid w:val="003C32D8"/>
    <w:rsid w:val="003C4395"/>
    <w:rsid w:val="003C61C8"/>
    <w:rsid w:val="003C630B"/>
    <w:rsid w:val="003D144B"/>
    <w:rsid w:val="003D3594"/>
    <w:rsid w:val="003D367B"/>
    <w:rsid w:val="003D478D"/>
    <w:rsid w:val="003D4D17"/>
    <w:rsid w:val="003D51C9"/>
    <w:rsid w:val="003D5897"/>
    <w:rsid w:val="003D79DF"/>
    <w:rsid w:val="003E0760"/>
    <w:rsid w:val="003E0821"/>
    <w:rsid w:val="003E08C1"/>
    <w:rsid w:val="003E1F80"/>
    <w:rsid w:val="003E3641"/>
    <w:rsid w:val="003E43B2"/>
    <w:rsid w:val="003E5A4D"/>
    <w:rsid w:val="003E6982"/>
    <w:rsid w:val="003E6DBE"/>
    <w:rsid w:val="003E6E07"/>
    <w:rsid w:val="003E726D"/>
    <w:rsid w:val="003E7FB9"/>
    <w:rsid w:val="003F073D"/>
    <w:rsid w:val="003F2194"/>
    <w:rsid w:val="003F3230"/>
    <w:rsid w:val="003F337E"/>
    <w:rsid w:val="003F35ED"/>
    <w:rsid w:val="003F4305"/>
    <w:rsid w:val="003F5395"/>
    <w:rsid w:val="003F55B9"/>
    <w:rsid w:val="003F7B05"/>
    <w:rsid w:val="00400135"/>
    <w:rsid w:val="00401A6A"/>
    <w:rsid w:val="004030C4"/>
    <w:rsid w:val="00403B37"/>
    <w:rsid w:val="00404689"/>
    <w:rsid w:val="00404AB6"/>
    <w:rsid w:val="00404FC1"/>
    <w:rsid w:val="00406A48"/>
    <w:rsid w:val="00407979"/>
    <w:rsid w:val="00407C96"/>
    <w:rsid w:val="004100E0"/>
    <w:rsid w:val="00410261"/>
    <w:rsid w:val="00411655"/>
    <w:rsid w:val="00411699"/>
    <w:rsid w:val="00411A64"/>
    <w:rsid w:val="00412405"/>
    <w:rsid w:val="004126BB"/>
    <w:rsid w:val="00412945"/>
    <w:rsid w:val="00414DA7"/>
    <w:rsid w:val="00415B8E"/>
    <w:rsid w:val="00420C48"/>
    <w:rsid w:val="00423350"/>
    <w:rsid w:val="004234E0"/>
    <w:rsid w:val="004237C2"/>
    <w:rsid w:val="0042455C"/>
    <w:rsid w:val="00424756"/>
    <w:rsid w:val="004264EC"/>
    <w:rsid w:val="00427E50"/>
    <w:rsid w:val="00431CBB"/>
    <w:rsid w:val="0043579E"/>
    <w:rsid w:val="00436A84"/>
    <w:rsid w:val="00440696"/>
    <w:rsid w:val="0044190C"/>
    <w:rsid w:val="00441FE7"/>
    <w:rsid w:val="00444078"/>
    <w:rsid w:val="00445777"/>
    <w:rsid w:val="00446178"/>
    <w:rsid w:val="00446B2C"/>
    <w:rsid w:val="00447814"/>
    <w:rsid w:val="004479F7"/>
    <w:rsid w:val="00450427"/>
    <w:rsid w:val="004508AE"/>
    <w:rsid w:val="0045132F"/>
    <w:rsid w:val="00451851"/>
    <w:rsid w:val="00451B54"/>
    <w:rsid w:val="00452020"/>
    <w:rsid w:val="00453238"/>
    <w:rsid w:val="00454063"/>
    <w:rsid w:val="004542DB"/>
    <w:rsid w:val="00455865"/>
    <w:rsid w:val="00456AF5"/>
    <w:rsid w:val="00456BFD"/>
    <w:rsid w:val="004606CC"/>
    <w:rsid w:val="00460BB9"/>
    <w:rsid w:val="00460D80"/>
    <w:rsid w:val="00462BDB"/>
    <w:rsid w:val="004638F8"/>
    <w:rsid w:val="00464B0C"/>
    <w:rsid w:val="00464EEB"/>
    <w:rsid w:val="004655DA"/>
    <w:rsid w:val="0047103C"/>
    <w:rsid w:val="00471465"/>
    <w:rsid w:val="0047173A"/>
    <w:rsid w:val="004719D6"/>
    <w:rsid w:val="004723A8"/>
    <w:rsid w:val="004729EC"/>
    <w:rsid w:val="00474C1B"/>
    <w:rsid w:val="00475E80"/>
    <w:rsid w:val="00480171"/>
    <w:rsid w:val="00480858"/>
    <w:rsid w:val="004818F7"/>
    <w:rsid w:val="00482FEC"/>
    <w:rsid w:val="004837A9"/>
    <w:rsid w:val="00484DF1"/>
    <w:rsid w:val="00484F2A"/>
    <w:rsid w:val="00485AFD"/>
    <w:rsid w:val="00486DF1"/>
    <w:rsid w:val="004909E4"/>
    <w:rsid w:val="004916B8"/>
    <w:rsid w:val="00491B9B"/>
    <w:rsid w:val="004922DA"/>
    <w:rsid w:val="004923DD"/>
    <w:rsid w:val="00492B93"/>
    <w:rsid w:val="00493D1E"/>
    <w:rsid w:val="00493F81"/>
    <w:rsid w:val="00495B2F"/>
    <w:rsid w:val="0049616E"/>
    <w:rsid w:val="00496563"/>
    <w:rsid w:val="004966F9"/>
    <w:rsid w:val="00497234"/>
    <w:rsid w:val="00497B26"/>
    <w:rsid w:val="004A0251"/>
    <w:rsid w:val="004A082E"/>
    <w:rsid w:val="004A0DC1"/>
    <w:rsid w:val="004A0E00"/>
    <w:rsid w:val="004A0E36"/>
    <w:rsid w:val="004A2362"/>
    <w:rsid w:val="004A2395"/>
    <w:rsid w:val="004A2470"/>
    <w:rsid w:val="004A351A"/>
    <w:rsid w:val="004A4468"/>
    <w:rsid w:val="004A4669"/>
    <w:rsid w:val="004A4CDA"/>
    <w:rsid w:val="004A4F41"/>
    <w:rsid w:val="004A59B0"/>
    <w:rsid w:val="004A693B"/>
    <w:rsid w:val="004A7735"/>
    <w:rsid w:val="004A7A3F"/>
    <w:rsid w:val="004B0A46"/>
    <w:rsid w:val="004B1409"/>
    <w:rsid w:val="004B1E71"/>
    <w:rsid w:val="004B2FA8"/>
    <w:rsid w:val="004B469D"/>
    <w:rsid w:val="004B65CC"/>
    <w:rsid w:val="004C003D"/>
    <w:rsid w:val="004C0AFF"/>
    <w:rsid w:val="004C115B"/>
    <w:rsid w:val="004C3323"/>
    <w:rsid w:val="004C3DD5"/>
    <w:rsid w:val="004C419C"/>
    <w:rsid w:val="004C56AF"/>
    <w:rsid w:val="004C62EA"/>
    <w:rsid w:val="004C7034"/>
    <w:rsid w:val="004C7F32"/>
    <w:rsid w:val="004D2450"/>
    <w:rsid w:val="004D26B9"/>
    <w:rsid w:val="004D3D37"/>
    <w:rsid w:val="004D50D6"/>
    <w:rsid w:val="004D53F6"/>
    <w:rsid w:val="004D7633"/>
    <w:rsid w:val="004E049D"/>
    <w:rsid w:val="004E0927"/>
    <w:rsid w:val="004E28B6"/>
    <w:rsid w:val="004E3163"/>
    <w:rsid w:val="004E7182"/>
    <w:rsid w:val="004E78AF"/>
    <w:rsid w:val="004F0CDF"/>
    <w:rsid w:val="004F4400"/>
    <w:rsid w:val="004F6658"/>
    <w:rsid w:val="005024C5"/>
    <w:rsid w:val="00505383"/>
    <w:rsid w:val="00505677"/>
    <w:rsid w:val="00506523"/>
    <w:rsid w:val="00507189"/>
    <w:rsid w:val="0051090B"/>
    <w:rsid w:val="00510ED5"/>
    <w:rsid w:val="005131B2"/>
    <w:rsid w:val="0051490F"/>
    <w:rsid w:val="0051502E"/>
    <w:rsid w:val="00515427"/>
    <w:rsid w:val="00517618"/>
    <w:rsid w:val="00517776"/>
    <w:rsid w:val="00520E6D"/>
    <w:rsid w:val="0052226D"/>
    <w:rsid w:val="0052302F"/>
    <w:rsid w:val="005234DD"/>
    <w:rsid w:val="00524356"/>
    <w:rsid w:val="00524768"/>
    <w:rsid w:val="0052498B"/>
    <w:rsid w:val="005271C3"/>
    <w:rsid w:val="00527774"/>
    <w:rsid w:val="0052785B"/>
    <w:rsid w:val="00527E2B"/>
    <w:rsid w:val="005302BC"/>
    <w:rsid w:val="00530477"/>
    <w:rsid w:val="00532451"/>
    <w:rsid w:val="005324DB"/>
    <w:rsid w:val="0053281F"/>
    <w:rsid w:val="00532FF5"/>
    <w:rsid w:val="005331AC"/>
    <w:rsid w:val="005344D9"/>
    <w:rsid w:val="005353DE"/>
    <w:rsid w:val="00535760"/>
    <w:rsid w:val="00536021"/>
    <w:rsid w:val="00536515"/>
    <w:rsid w:val="005368A0"/>
    <w:rsid w:val="0054096C"/>
    <w:rsid w:val="00540A35"/>
    <w:rsid w:val="00540CD3"/>
    <w:rsid w:val="00541FA8"/>
    <w:rsid w:val="00542F73"/>
    <w:rsid w:val="00543CC8"/>
    <w:rsid w:val="005443D5"/>
    <w:rsid w:val="00544B61"/>
    <w:rsid w:val="00544FD0"/>
    <w:rsid w:val="0054661B"/>
    <w:rsid w:val="00547497"/>
    <w:rsid w:val="00547B3C"/>
    <w:rsid w:val="0055385F"/>
    <w:rsid w:val="0055518F"/>
    <w:rsid w:val="00556FCC"/>
    <w:rsid w:val="005570C3"/>
    <w:rsid w:val="005576F0"/>
    <w:rsid w:val="0056015E"/>
    <w:rsid w:val="00561127"/>
    <w:rsid w:val="005615F0"/>
    <w:rsid w:val="00562B87"/>
    <w:rsid w:val="00562F8D"/>
    <w:rsid w:val="0056408B"/>
    <w:rsid w:val="00565860"/>
    <w:rsid w:val="00571124"/>
    <w:rsid w:val="0057143B"/>
    <w:rsid w:val="00571C11"/>
    <w:rsid w:val="00571CE0"/>
    <w:rsid w:val="00572685"/>
    <w:rsid w:val="00572821"/>
    <w:rsid w:val="00572D38"/>
    <w:rsid w:val="00572DB5"/>
    <w:rsid w:val="00573BD3"/>
    <w:rsid w:val="00575AAB"/>
    <w:rsid w:val="00575E43"/>
    <w:rsid w:val="0058078A"/>
    <w:rsid w:val="00581117"/>
    <w:rsid w:val="00581BD0"/>
    <w:rsid w:val="00581F22"/>
    <w:rsid w:val="0058268F"/>
    <w:rsid w:val="00582BE0"/>
    <w:rsid w:val="00582C10"/>
    <w:rsid w:val="00582EF4"/>
    <w:rsid w:val="005835AE"/>
    <w:rsid w:val="0058441A"/>
    <w:rsid w:val="00585BAD"/>
    <w:rsid w:val="00587D2B"/>
    <w:rsid w:val="00590180"/>
    <w:rsid w:val="0059042C"/>
    <w:rsid w:val="00590637"/>
    <w:rsid w:val="00591D23"/>
    <w:rsid w:val="00595BC6"/>
    <w:rsid w:val="00596091"/>
    <w:rsid w:val="00596830"/>
    <w:rsid w:val="00596834"/>
    <w:rsid w:val="005A022A"/>
    <w:rsid w:val="005A0891"/>
    <w:rsid w:val="005A0FDB"/>
    <w:rsid w:val="005A1181"/>
    <w:rsid w:val="005A1FC3"/>
    <w:rsid w:val="005A2028"/>
    <w:rsid w:val="005A297A"/>
    <w:rsid w:val="005A3A69"/>
    <w:rsid w:val="005A4480"/>
    <w:rsid w:val="005A63A4"/>
    <w:rsid w:val="005A689F"/>
    <w:rsid w:val="005B15E4"/>
    <w:rsid w:val="005B253F"/>
    <w:rsid w:val="005B3F3B"/>
    <w:rsid w:val="005B40F0"/>
    <w:rsid w:val="005B5333"/>
    <w:rsid w:val="005B5E2E"/>
    <w:rsid w:val="005B65ED"/>
    <w:rsid w:val="005C024E"/>
    <w:rsid w:val="005C13F8"/>
    <w:rsid w:val="005C30C9"/>
    <w:rsid w:val="005C32FB"/>
    <w:rsid w:val="005C47B3"/>
    <w:rsid w:val="005C4EF0"/>
    <w:rsid w:val="005C5ADE"/>
    <w:rsid w:val="005C5F1C"/>
    <w:rsid w:val="005C6F13"/>
    <w:rsid w:val="005C7298"/>
    <w:rsid w:val="005C73F5"/>
    <w:rsid w:val="005C7660"/>
    <w:rsid w:val="005C7DCD"/>
    <w:rsid w:val="005D08E7"/>
    <w:rsid w:val="005D1049"/>
    <w:rsid w:val="005D19F5"/>
    <w:rsid w:val="005D2109"/>
    <w:rsid w:val="005D2F2D"/>
    <w:rsid w:val="005D3C48"/>
    <w:rsid w:val="005D4056"/>
    <w:rsid w:val="005D405F"/>
    <w:rsid w:val="005D4A91"/>
    <w:rsid w:val="005D50EC"/>
    <w:rsid w:val="005D5DD7"/>
    <w:rsid w:val="005D68E2"/>
    <w:rsid w:val="005D7E98"/>
    <w:rsid w:val="005E018E"/>
    <w:rsid w:val="005E0386"/>
    <w:rsid w:val="005E04D2"/>
    <w:rsid w:val="005E07CB"/>
    <w:rsid w:val="005E1E70"/>
    <w:rsid w:val="005E268B"/>
    <w:rsid w:val="005E395D"/>
    <w:rsid w:val="005E4B40"/>
    <w:rsid w:val="005E5168"/>
    <w:rsid w:val="005E65C9"/>
    <w:rsid w:val="005F194F"/>
    <w:rsid w:val="005F2568"/>
    <w:rsid w:val="005F330D"/>
    <w:rsid w:val="005F4BA9"/>
    <w:rsid w:val="005F4D35"/>
    <w:rsid w:val="005F61D7"/>
    <w:rsid w:val="005F7FEE"/>
    <w:rsid w:val="006000CD"/>
    <w:rsid w:val="006002BC"/>
    <w:rsid w:val="00602170"/>
    <w:rsid w:val="006027ED"/>
    <w:rsid w:val="00602D36"/>
    <w:rsid w:val="00604D8A"/>
    <w:rsid w:val="00605A9A"/>
    <w:rsid w:val="006065A8"/>
    <w:rsid w:val="00606782"/>
    <w:rsid w:val="00606CFE"/>
    <w:rsid w:val="006134B6"/>
    <w:rsid w:val="00613F89"/>
    <w:rsid w:val="006141C9"/>
    <w:rsid w:val="006163BB"/>
    <w:rsid w:val="00617406"/>
    <w:rsid w:val="00617D81"/>
    <w:rsid w:val="00621004"/>
    <w:rsid w:val="0062158F"/>
    <w:rsid w:val="006215E6"/>
    <w:rsid w:val="00621D2C"/>
    <w:rsid w:val="006222B7"/>
    <w:rsid w:val="006235D8"/>
    <w:rsid w:val="006243AE"/>
    <w:rsid w:val="0062524A"/>
    <w:rsid w:val="00625CC9"/>
    <w:rsid w:val="0063054B"/>
    <w:rsid w:val="00630CD3"/>
    <w:rsid w:val="006311C1"/>
    <w:rsid w:val="00632505"/>
    <w:rsid w:val="00632C4B"/>
    <w:rsid w:val="00636B50"/>
    <w:rsid w:val="00641490"/>
    <w:rsid w:val="00641D3C"/>
    <w:rsid w:val="00641F89"/>
    <w:rsid w:val="00642E06"/>
    <w:rsid w:val="00643476"/>
    <w:rsid w:val="00643F1F"/>
    <w:rsid w:val="0064591C"/>
    <w:rsid w:val="0064695C"/>
    <w:rsid w:val="00646A96"/>
    <w:rsid w:val="0064797C"/>
    <w:rsid w:val="00647DFE"/>
    <w:rsid w:val="00650A8C"/>
    <w:rsid w:val="00650B20"/>
    <w:rsid w:val="006511F6"/>
    <w:rsid w:val="00651768"/>
    <w:rsid w:val="00651E3E"/>
    <w:rsid w:val="0065315F"/>
    <w:rsid w:val="0065341A"/>
    <w:rsid w:val="006538A5"/>
    <w:rsid w:val="00653A88"/>
    <w:rsid w:val="00654C68"/>
    <w:rsid w:val="00655839"/>
    <w:rsid w:val="00655C16"/>
    <w:rsid w:val="0065622D"/>
    <w:rsid w:val="00657519"/>
    <w:rsid w:val="00657DCF"/>
    <w:rsid w:val="00660025"/>
    <w:rsid w:val="006608AF"/>
    <w:rsid w:val="006616F5"/>
    <w:rsid w:val="00661F27"/>
    <w:rsid w:val="00662122"/>
    <w:rsid w:val="00662467"/>
    <w:rsid w:val="006625C5"/>
    <w:rsid w:val="00663112"/>
    <w:rsid w:val="00666A00"/>
    <w:rsid w:val="00666C0D"/>
    <w:rsid w:val="00671723"/>
    <w:rsid w:val="00672618"/>
    <w:rsid w:val="006735AB"/>
    <w:rsid w:val="006738E6"/>
    <w:rsid w:val="00674219"/>
    <w:rsid w:val="00674871"/>
    <w:rsid w:val="00674A78"/>
    <w:rsid w:val="00676189"/>
    <w:rsid w:val="00676322"/>
    <w:rsid w:val="00680BA5"/>
    <w:rsid w:val="00681051"/>
    <w:rsid w:val="006817C4"/>
    <w:rsid w:val="0068252D"/>
    <w:rsid w:val="00684316"/>
    <w:rsid w:val="00684978"/>
    <w:rsid w:val="00685286"/>
    <w:rsid w:val="00685440"/>
    <w:rsid w:val="006870D3"/>
    <w:rsid w:val="00690895"/>
    <w:rsid w:val="006910F9"/>
    <w:rsid w:val="006945A5"/>
    <w:rsid w:val="00694F0B"/>
    <w:rsid w:val="00695203"/>
    <w:rsid w:val="00695BE0"/>
    <w:rsid w:val="00695C2B"/>
    <w:rsid w:val="00695C2D"/>
    <w:rsid w:val="00695FD7"/>
    <w:rsid w:val="00696832"/>
    <w:rsid w:val="00697209"/>
    <w:rsid w:val="00697555"/>
    <w:rsid w:val="00697F5A"/>
    <w:rsid w:val="006A14B8"/>
    <w:rsid w:val="006A1825"/>
    <w:rsid w:val="006A2D52"/>
    <w:rsid w:val="006A334F"/>
    <w:rsid w:val="006A4166"/>
    <w:rsid w:val="006A4F05"/>
    <w:rsid w:val="006A6398"/>
    <w:rsid w:val="006A7547"/>
    <w:rsid w:val="006B0FAC"/>
    <w:rsid w:val="006B155C"/>
    <w:rsid w:val="006B2005"/>
    <w:rsid w:val="006B2907"/>
    <w:rsid w:val="006B2963"/>
    <w:rsid w:val="006B3619"/>
    <w:rsid w:val="006B7058"/>
    <w:rsid w:val="006B7927"/>
    <w:rsid w:val="006C3B74"/>
    <w:rsid w:val="006C3D49"/>
    <w:rsid w:val="006C4004"/>
    <w:rsid w:val="006C5809"/>
    <w:rsid w:val="006C6705"/>
    <w:rsid w:val="006C7A92"/>
    <w:rsid w:val="006D0506"/>
    <w:rsid w:val="006D0BEE"/>
    <w:rsid w:val="006D3FAF"/>
    <w:rsid w:val="006D4F6D"/>
    <w:rsid w:val="006D54AE"/>
    <w:rsid w:val="006D661B"/>
    <w:rsid w:val="006D68F6"/>
    <w:rsid w:val="006E01D4"/>
    <w:rsid w:val="006E0518"/>
    <w:rsid w:val="006E55A9"/>
    <w:rsid w:val="006E6A56"/>
    <w:rsid w:val="006F0273"/>
    <w:rsid w:val="006F22CA"/>
    <w:rsid w:val="006F318B"/>
    <w:rsid w:val="00700309"/>
    <w:rsid w:val="007014EB"/>
    <w:rsid w:val="00701C5E"/>
    <w:rsid w:val="0070216F"/>
    <w:rsid w:val="00702E18"/>
    <w:rsid w:val="0070367A"/>
    <w:rsid w:val="007037A6"/>
    <w:rsid w:val="00704444"/>
    <w:rsid w:val="00704FC8"/>
    <w:rsid w:val="007056F3"/>
    <w:rsid w:val="00707035"/>
    <w:rsid w:val="00710A36"/>
    <w:rsid w:val="00712108"/>
    <w:rsid w:val="007122FE"/>
    <w:rsid w:val="00712978"/>
    <w:rsid w:val="0071309B"/>
    <w:rsid w:val="007147EE"/>
    <w:rsid w:val="00715623"/>
    <w:rsid w:val="00716A92"/>
    <w:rsid w:val="00716CF1"/>
    <w:rsid w:val="007174F7"/>
    <w:rsid w:val="0072018B"/>
    <w:rsid w:val="007205DC"/>
    <w:rsid w:val="00721808"/>
    <w:rsid w:val="00722936"/>
    <w:rsid w:val="00722E23"/>
    <w:rsid w:val="00723D86"/>
    <w:rsid w:val="00723E49"/>
    <w:rsid w:val="007240FA"/>
    <w:rsid w:val="0072436F"/>
    <w:rsid w:val="00724C27"/>
    <w:rsid w:val="00726C50"/>
    <w:rsid w:val="00730D84"/>
    <w:rsid w:val="007321EF"/>
    <w:rsid w:val="0073241A"/>
    <w:rsid w:val="00735737"/>
    <w:rsid w:val="00735D25"/>
    <w:rsid w:val="007372C2"/>
    <w:rsid w:val="00737FF3"/>
    <w:rsid w:val="0074056A"/>
    <w:rsid w:val="007438ED"/>
    <w:rsid w:val="00743A38"/>
    <w:rsid w:val="00743ABA"/>
    <w:rsid w:val="00744234"/>
    <w:rsid w:val="007464D8"/>
    <w:rsid w:val="00747DC4"/>
    <w:rsid w:val="00747FD2"/>
    <w:rsid w:val="00750C92"/>
    <w:rsid w:val="00751164"/>
    <w:rsid w:val="0075127F"/>
    <w:rsid w:val="00752146"/>
    <w:rsid w:val="007524D6"/>
    <w:rsid w:val="00755A12"/>
    <w:rsid w:val="00756C4A"/>
    <w:rsid w:val="00761836"/>
    <w:rsid w:val="0076214D"/>
    <w:rsid w:val="00762432"/>
    <w:rsid w:val="00762A59"/>
    <w:rsid w:val="00762C16"/>
    <w:rsid w:val="00763135"/>
    <w:rsid w:val="00763A53"/>
    <w:rsid w:val="00763B16"/>
    <w:rsid w:val="00763BE6"/>
    <w:rsid w:val="00765C95"/>
    <w:rsid w:val="00767A39"/>
    <w:rsid w:val="0077049F"/>
    <w:rsid w:val="00771009"/>
    <w:rsid w:val="00771723"/>
    <w:rsid w:val="0077183F"/>
    <w:rsid w:val="0077209B"/>
    <w:rsid w:val="007725D7"/>
    <w:rsid w:val="007727D9"/>
    <w:rsid w:val="00773301"/>
    <w:rsid w:val="007733FD"/>
    <w:rsid w:val="00773660"/>
    <w:rsid w:val="00773811"/>
    <w:rsid w:val="007738CE"/>
    <w:rsid w:val="00773999"/>
    <w:rsid w:val="007747D1"/>
    <w:rsid w:val="00775273"/>
    <w:rsid w:val="00775C2D"/>
    <w:rsid w:val="00776D96"/>
    <w:rsid w:val="00776E74"/>
    <w:rsid w:val="00776F7F"/>
    <w:rsid w:val="0077715F"/>
    <w:rsid w:val="00777793"/>
    <w:rsid w:val="00777CC1"/>
    <w:rsid w:val="00780481"/>
    <w:rsid w:val="007808D1"/>
    <w:rsid w:val="0078091F"/>
    <w:rsid w:val="0078298B"/>
    <w:rsid w:val="007831C2"/>
    <w:rsid w:val="0078357E"/>
    <w:rsid w:val="00784B85"/>
    <w:rsid w:val="00784CC0"/>
    <w:rsid w:val="00790BD9"/>
    <w:rsid w:val="007932C3"/>
    <w:rsid w:val="00796F9F"/>
    <w:rsid w:val="00797059"/>
    <w:rsid w:val="007A00DB"/>
    <w:rsid w:val="007A08BB"/>
    <w:rsid w:val="007A1937"/>
    <w:rsid w:val="007A1E57"/>
    <w:rsid w:val="007A2C71"/>
    <w:rsid w:val="007A42E4"/>
    <w:rsid w:val="007A4694"/>
    <w:rsid w:val="007A5E38"/>
    <w:rsid w:val="007A6BDC"/>
    <w:rsid w:val="007A740D"/>
    <w:rsid w:val="007B137B"/>
    <w:rsid w:val="007B235A"/>
    <w:rsid w:val="007B2604"/>
    <w:rsid w:val="007B26F0"/>
    <w:rsid w:val="007B4A12"/>
    <w:rsid w:val="007B5716"/>
    <w:rsid w:val="007B7116"/>
    <w:rsid w:val="007B7461"/>
    <w:rsid w:val="007C10B9"/>
    <w:rsid w:val="007C198B"/>
    <w:rsid w:val="007C3D91"/>
    <w:rsid w:val="007C499A"/>
    <w:rsid w:val="007C600E"/>
    <w:rsid w:val="007C6284"/>
    <w:rsid w:val="007C707A"/>
    <w:rsid w:val="007C718C"/>
    <w:rsid w:val="007C7E6F"/>
    <w:rsid w:val="007D02D2"/>
    <w:rsid w:val="007D083A"/>
    <w:rsid w:val="007D1310"/>
    <w:rsid w:val="007D201A"/>
    <w:rsid w:val="007D3206"/>
    <w:rsid w:val="007D37D3"/>
    <w:rsid w:val="007D4DDA"/>
    <w:rsid w:val="007D4E93"/>
    <w:rsid w:val="007D63C1"/>
    <w:rsid w:val="007D6538"/>
    <w:rsid w:val="007E16E1"/>
    <w:rsid w:val="007E21A7"/>
    <w:rsid w:val="007E245C"/>
    <w:rsid w:val="007E2922"/>
    <w:rsid w:val="007E2DE5"/>
    <w:rsid w:val="007E329D"/>
    <w:rsid w:val="007E34DE"/>
    <w:rsid w:val="007E368A"/>
    <w:rsid w:val="007E3D95"/>
    <w:rsid w:val="007E55E0"/>
    <w:rsid w:val="007E6DB7"/>
    <w:rsid w:val="007E7BF4"/>
    <w:rsid w:val="007F022E"/>
    <w:rsid w:val="007F0620"/>
    <w:rsid w:val="007F1D2B"/>
    <w:rsid w:val="007F2D16"/>
    <w:rsid w:val="007F38D4"/>
    <w:rsid w:val="007F41D5"/>
    <w:rsid w:val="007F5041"/>
    <w:rsid w:val="007F67DA"/>
    <w:rsid w:val="007F6E23"/>
    <w:rsid w:val="007F73DA"/>
    <w:rsid w:val="007F7809"/>
    <w:rsid w:val="00800CFD"/>
    <w:rsid w:val="00801D8D"/>
    <w:rsid w:val="00801F83"/>
    <w:rsid w:val="008021E9"/>
    <w:rsid w:val="00802B6C"/>
    <w:rsid w:val="00805ED5"/>
    <w:rsid w:val="008071DA"/>
    <w:rsid w:val="0080723F"/>
    <w:rsid w:val="008119F6"/>
    <w:rsid w:val="00811F74"/>
    <w:rsid w:val="00812E46"/>
    <w:rsid w:val="0081328F"/>
    <w:rsid w:val="00813593"/>
    <w:rsid w:val="0081363C"/>
    <w:rsid w:val="008154C8"/>
    <w:rsid w:val="00820B05"/>
    <w:rsid w:val="008212C6"/>
    <w:rsid w:val="00823C44"/>
    <w:rsid w:val="00824845"/>
    <w:rsid w:val="0082519F"/>
    <w:rsid w:val="00826215"/>
    <w:rsid w:val="00827268"/>
    <w:rsid w:val="00827933"/>
    <w:rsid w:val="00831921"/>
    <w:rsid w:val="00831D2D"/>
    <w:rsid w:val="0083631B"/>
    <w:rsid w:val="0083691E"/>
    <w:rsid w:val="00836F6D"/>
    <w:rsid w:val="00837454"/>
    <w:rsid w:val="00837D9C"/>
    <w:rsid w:val="008415B3"/>
    <w:rsid w:val="00843D46"/>
    <w:rsid w:val="008449EA"/>
    <w:rsid w:val="008459B1"/>
    <w:rsid w:val="00845BFF"/>
    <w:rsid w:val="00846B96"/>
    <w:rsid w:val="00847958"/>
    <w:rsid w:val="00850B12"/>
    <w:rsid w:val="008518B1"/>
    <w:rsid w:val="00852D4C"/>
    <w:rsid w:val="008548BA"/>
    <w:rsid w:val="008556BE"/>
    <w:rsid w:val="00856147"/>
    <w:rsid w:val="0085668F"/>
    <w:rsid w:val="00856A7C"/>
    <w:rsid w:val="008571D7"/>
    <w:rsid w:val="00857565"/>
    <w:rsid w:val="00857F44"/>
    <w:rsid w:val="00862205"/>
    <w:rsid w:val="00862944"/>
    <w:rsid w:val="00863008"/>
    <w:rsid w:val="00863839"/>
    <w:rsid w:val="008642B2"/>
    <w:rsid w:val="008672F6"/>
    <w:rsid w:val="00871D12"/>
    <w:rsid w:val="00872224"/>
    <w:rsid w:val="008732F6"/>
    <w:rsid w:val="0087579F"/>
    <w:rsid w:val="00877780"/>
    <w:rsid w:val="008805FC"/>
    <w:rsid w:val="008812A3"/>
    <w:rsid w:val="00881A13"/>
    <w:rsid w:val="00882314"/>
    <w:rsid w:val="00882DA4"/>
    <w:rsid w:val="00882E0B"/>
    <w:rsid w:val="00883297"/>
    <w:rsid w:val="00883C2A"/>
    <w:rsid w:val="00886A4C"/>
    <w:rsid w:val="00886FE1"/>
    <w:rsid w:val="008904C1"/>
    <w:rsid w:val="00890798"/>
    <w:rsid w:val="00891037"/>
    <w:rsid w:val="00891E55"/>
    <w:rsid w:val="00891EEB"/>
    <w:rsid w:val="00892883"/>
    <w:rsid w:val="00893A62"/>
    <w:rsid w:val="00893CFA"/>
    <w:rsid w:val="00893F61"/>
    <w:rsid w:val="0089417F"/>
    <w:rsid w:val="0089450B"/>
    <w:rsid w:val="008950DC"/>
    <w:rsid w:val="008958EE"/>
    <w:rsid w:val="00896D93"/>
    <w:rsid w:val="00896DCC"/>
    <w:rsid w:val="00897B1E"/>
    <w:rsid w:val="008A2393"/>
    <w:rsid w:val="008A256F"/>
    <w:rsid w:val="008A3EEB"/>
    <w:rsid w:val="008A4256"/>
    <w:rsid w:val="008A46FE"/>
    <w:rsid w:val="008A5DFD"/>
    <w:rsid w:val="008A71F1"/>
    <w:rsid w:val="008A7254"/>
    <w:rsid w:val="008A7F69"/>
    <w:rsid w:val="008B1C70"/>
    <w:rsid w:val="008B1DDB"/>
    <w:rsid w:val="008B2CEF"/>
    <w:rsid w:val="008B4D4A"/>
    <w:rsid w:val="008B508E"/>
    <w:rsid w:val="008B57C3"/>
    <w:rsid w:val="008B5F90"/>
    <w:rsid w:val="008B62A8"/>
    <w:rsid w:val="008C02E9"/>
    <w:rsid w:val="008C039E"/>
    <w:rsid w:val="008C0D88"/>
    <w:rsid w:val="008C17FB"/>
    <w:rsid w:val="008C1C81"/>
    <w:rsid w:val="008C1EFF"/>
    <w:rsid w:val="008C290A"/>
    <w:rsid w:val="008C4E23"/>
    <w:rsid w:val="008C5F42"/>
    <w:rsid w:val="008C7820"/>
    <w:rsid w:val="008D0133"/>
    <w:rsid w:val="008D0371"/>
    <w:rsid w:val="008D27D9"/>
    <w:rsid w:val="008D35D4"/>
    <w:rsid w:val="008D63F5"/>
    <w:rsid w:val="008D6693"/>
    <w:rsid w:val="008D70ED"/>
    <w:rsid w:val="008D7207"/>
    <w:rsid w:val="008E01DB"/>
    <w:rsid w:val="008E1AA8"/>
    <w:rsid w:val="008E1FF0"/>
    <w:rsid w:val="008E2674"/>
    <w:rsid w:val="008E4063"/>
    <w:rsid w:val="008E5FEF"/>
    <w:rsid w:val="008E66A3"/>
    <w:rsid w:val="008E7541"/>
    <w:rsid w:val="008F03CF"/>
    <w:rsid w:val="008F07D6"/>
    <w:rsid w:val="008F14B4"/>
    <w:rsid w:val="008F1D9E"/>
    <w:rsid w:val="008F21E3"/>
    <w:rsid w:val="008F289E"/>
    <w:rsid w:val="008F4447"/>
    <w:rsid w:val="00901901"/>
    <w:rsid w:val="00904A8A"/>
    <w:rsid w:val="0090552E"/>
    <w:rsid w:val="00905E66"/>
    <w:rsid w:val="00912BC4"/>
    <w:rsid w:val="00914FC5"/>
    <w:rsid w:val="0091578F"/>
    <w:rsid w:val="00915B3E"/>
    <w:rsid w:val="00916D8D"/>
    <w:rsid w:val="00917F01"/>
    <w:rsid w:val="0092080B"/>
    <w:rsid w:val="00923508"/>
    <w:rsid w:val="00924AAA"/>
    <w:rsid w:val="00925D9F"/>
    <w:rsid w:val="00926274"/>
    <w:rsid w:val="0092678D"/>
    <w:rsid w:val="009269C2"/>
    <w:rsid w:val="009269F6"/>
    <w:rsid w:val="00927748"/>
    <w:rsid w:val="00927F5F"/>
    <w:rsid w:val="00927FF0"/>
    <w:rsid w:val="0093147B"/>
    <w:rsid w:val="00931765"/>
    <w:rsid w:val="009317D7"/>
    <w:rsid w:val="00932CE7"/>
    <w:rsid w:val="00933F9D"/>
    <w:rsid w:val="009342D9"/>
    <w:rsid w:val="0093560E"/>
    <w:rsid w:val="00940479"/>
    <w:rsid w:val="00943564"/>
    <w:rsid w:val="009444AA"/>
    <w:rsid w:val="00945092"/>
    <w:rsid w:val="00946441"/>
    <w:rsid w:val="00947110"/>
    <w:rsid w:val="00947607"/>
    <w:rsid w:val="00947B01"/>
    <w:rsid w:val="00947E27"/>
    <w:rsid w:val="009501BB"/>
    <w:rsid w:val="00952EB9"/>
    <w:rsid w:val="00955554"/>
    <w:rsid w:val="00956361"/>
    <w:rsid w:val="00957151"/>
    <w:rsid w:val="009572FD"/>
    <w:rsid w:val="0095730E"/>
    <w:rsid w:val="0096052B"/>
    <w:rsid w:val="00962FC8"/>
    <w:rsid w:val="00963A2F"/>
    <w:rsid w:val="00964C57"/>
    <w:rsid w:val="00964E7D"/>
    <w:rsid w:val="00965000"/>
    <w:rsid w:val="009652FC"/>
    <w:rsid w:val="00966711"/>
    <w:rsid w:val="0097032F"/>
    <w:rsid w:val="00970548"/>
    <w:rsid w:val="00971BD3"/>
    <w:rsid w:val="00971F1D"/>
    <w:rsid w:val="00974971"/>
    <w:rsid w:val="00974B85"/>
    <w:rsid w:val="00975765"/>
    <w:rsid w:val="00975DB0"/>
    <w:rsid w:val="00975EFE"/>
    <w:rsid w:val="00977A32"/>
    <w:rsid w:val="00977B1B"/>
    <w:rsid w:val="00980975"/>
    <w:rsid w:val="009815AA"/>
    <w:rsid w:val="009826FC"/>
    <w:rsid w:val="00983654"/>
    <w:rsid w:val="00984C72"/>
    <w:rsid w:val="009859C3"/>
    <w:rsid w:val="00986338"/>
    <w:rsid w:val="00986D5E"/>
    <w:rsid w:val="00986FFE"/>
    <w:rsid w:val="009870E5"/>
    <w:rsid w:val="00987239"/>
    <w:rsid w:val="009910F1"/>
    <w:rsid w:val="0099162D"/>
    <w:rsid w:val="00991931"/>
    <w:rsid w:val="00991C2E"/>
    <w:rsid w:val="009922D3"/>
    <w:rsid w:val="009926DD"/>
    <w:rsid w:val="009927E1"/>
    <w:rsid w:val="00994D40"/>
    <w:rsid w:val="0099708D"/>
    <w:rsid w:val="00997C9C"/>
    <w:rsid w:val="009A0164"/>
    <w:rsid w:val="009A01A8"/>
    <w:rsid w:val="009A10C4"/>
    <w:rsid w:val="009A1642"/>
    <w:rsid w:val="009A2C31"/>
    <w:rsid w:val="009A2FD4"/>
    <w:rsid w:val="009A3BD7"/>
    <w:rsid w:val="009A40EC"/>
    <w:rsid w:val="009A4928"/>
    <w:rsid w:val="009A4B6D"/>
    <w:rsid w:val="009A5133"/>
    <w:rsid w:val="009A5415"/>
    <w:rsid w:val="009A5E77"/>
    <w:rsid w:val="009A6353"/>
    <w:rsid w:val="009A761C"/>
    <w:rsid w:val="009B144E"/>
    <w:rsid w:val="009B2ADD"/>
    <w:rsid w:val="009B2CEE"/>
    <w:rsid w:val="009B30E9"/>
    <w:rsid w:val="009B4881"/>
    <w:rsid w:val="009B6735"/>
    <w:rsid w:val="009B74F0"/>
    <w:rsid w:val="009C0B83"/>
    <w:rsid w:val="009C3E0A"/>
    <w:rsid w:val="009C720C"/>
    <w:rsid w:val="009C765E"/>
    <w:rsid w:val="009C7AF2"/>
    <w:rsid w:val="009D0458"/>
    <w:rsid w:val="009D1307"/>
    <w:rsid w:val="009D1673"/>
    <w:rsid w:val="009D2253"/>
    <w:rsid w:val="009D36DE"/>
    <w:rsid w:val="009D3B4A"/>
    <w:rsid w:val="009D51A7"/>
    <w:rsid w:val="009D5422"/>
    <w:rsid w:val="009D5A9E"/>
    <w:rsid w:val="009D7497"/>
    <w:rsid w:val="009D76B3"/>
    <w:rsid w:val="009E02D5"/>
    <w:rsid w:val="009E1BDF"/>
    <w:rsid w:val="009E26D0"/>
    <w:rsid w:val="009E2BCA"/>
    <w:rsid w:val="009E3AF1"/>
    <w:rsid w:val="009E3F4C"/>
    <w:rsid w:val="009E44E8"/>
    <w:rsid w:val="009F0613"/>
    <w:rsid w:val="009F0FFA"/>
    <w:rsid w:val="009F1003"/>
    <w:rsid w:val="009F273E"/>
    <w:rsid w:val="009F481D"/>
    <w:rsid w:val="009F5FBD"/>
    <w:rsid w:val="00A0278B"/>
    <w:rsid w:val="00A030DC"/>
    <w:rsid w:val="00A04AF5"/>
    <w:rsid w:val="00A05C10"/>
    <w:rsid w:val="00A072B6"/>
    <w:rsid w:val="00A07801"/>
    <w:rsid w:val="00A07C78"/>
    <w:rsid w:val="00A112FA"/>
    <w:rsid w:val="00A113A9"/>
    <w:rsid w:val="00A1153A"/>
    <w:rsid w:val="00A115E5"/>
    <w:rsid w:val="00A12632"/>
    <w:rsid w:val="00A1272A"/>
    <w:rsid w:val="00A128A7"/>
    <w:rsid w:val="00A12EDD"/>
    <w:rsid w:val="00A13022"/>
    <w:rsid w:val="00A13468"/>
    <w:rsid w:val="00A13CC6"/>
    <w:rsid w:val="00A15908"/>
    <w:rsid w:val="00A16B4F"/>
    <w:rsid w:val="00A20411"/>
    <w:rsid w:val="00A20CF0"/>
    <w:rsid w:val="00A22DD0"/>
    <w:rsid w:val="00A2488C"/>
    <w:rsid w:val="00A2520C"/>
    <w:rsid w:val="00A2592B"/>
    <w:rsid w:val="00A264E4"/>
    <w:rsid w:val="00A27526"/>
    <w:rsid w:val="00A278AD"/>
    <w:rsid w:val="00A27D58"/>
    <w:rsid w:val="00A31C56"/>
    <w:rsid w:val="00A32494"/>
    <w:rsid w:val="00A331E8"/>
    <w:rsid w:val="00A34006"/>
    <w:rsid w:val="00A3604A"/>
    <w:rsid w:val="00A36B93"/>
    <w:rsid w:val="00A36EA1"/>
    <w:rsid w:val="00A37FDF"/>
    <w:rsid w:val="00A405E4"/>
    <w:rsid w:val="00A407FA"/>
    <w:rsid w:val="00A4089F"/>
    <w:rsid w:val="00A40C54"/>
    <w:rsid w:val="00A40FA3"/>
    <w:rsid w:val="00A410F6"/>
    <w:rsid w:val="00A41342"/>
    <w:rsid w:val="00A41CE5"/>
    <w:rsid w:val="00A41E0A"/>
    <w:rsid w:val="00A42796"/>
    <w:rsid w:val="00A430E8"/>
    <w:rsid w:val="00A4313A"/>
    <w:rsid w:val="00A44156"/>
    <w:rsid w:val="00A44652"/>
    <w:rsid w:val="00A44F85"/>
    <w:rsid w:val="00A45BED"/>
    <w:rsid w:val="00A50022"/>
    <w:rsid w:val="00A500A5"/>
    <w:rsid w:val="00A51606"/>
    <w:rsid w:val="00A517D3"/>
    <w:rsid w:val="00A51A0C"/>
    <w:rsid w:val="00A52A88"/>
    <w:rsid w:val="00A53151"/>
    <w:rsid w:val="00A54EB1"/>
    <w:rsid w:val="00A5551E"/>
    <w:rsid w:val="00A5717A"/>
    <w:rsid w:val="00A57F3A"/>
    <w:rsid w:val="00A61DFC"/>
    <w:rsid w:val="00A62197"/>
    <w:rsid w:val="00A628A3"/>
    <w:rsid w:val="00A635FC"/>
    <w:rsid w:val="00A644C1"/>
    <w:rsid w:val="00A64B2C"/>
    <w:rsid w:val="00A67258"/>
    <w:rsid w:val="00A67803"/>
    <w:rsid w:val="00A67FB1"/>
    <w:rsid w:val="00A70AA9"/>
    <w:rsid w:val="00A70B25"/>
    <w:rsid w:val="00A7114B"/>
    <w:rsid w:val="00A71A4B"/>
    <w:rsid w:val="00A71C42"/>
    <w:rsid w:val="00A71E3C"/>
    <w:rsid w:val="00A71EDA"/>
    <w:rsid w:val="00A7256A"/>
    <w:rsid w:val="00A73024"/>
    <w:rsid w:val="00A7547E"/>
    <w:rsid w:val="00A75642"/>
    <w:rsid w:val="00A75F33"/>
    <w:rsid w:val="00A765D5"/>
    <w:rsid w:val="00A7699A"/>
    <w:rsid w:val="00A7721C"/>
    <w:rsid w:val="00A77B97"/>
    <w:rsid w:val="00A77E84"/>
    <w:rsid w:val="00A81082"/>
    <w:rsid w:val="00A828CB"/>
    <w:rsid w:val="00A82B72"/>
    <w:rsid w:val="00A82C89"/>
    <w:rsid w:val="00A849C4"/>
    <w:rsid w:val="00A85A0A"/>
    <w:rsid w:val="00A8688E"/>
    <w:rsid w:val="00A87806"/>
    <w:rsid w:val="00A87884"/>
    <w:rsid w:val="00A878C0"/>
    <w:rsid w:val="00A87AD3"/>
    <w:rsid w:val="00A9026F"/>
    <w:rsid w:val="00A906FA"/>
    <w:rsid w:val="00A915DE"/>
    <w:rsid w:val="00A929F2"/>
    <w:rsid w:val="00A92C00"/>
    <w:rsid w:val="00A93FCA"/>
    <w:rsid w:val="00A94EE0"/>
    <w:rsid w:val="00A964CD"/>
    <w:rsid w:val="00A9729A"/>
    <w:rsid w:val="00A97D3F"/>
    <w:rsid w:val="00A97EFD"/>
    <w:rsid w:val="00AA0E6A"/>
    <w:rsid w:val="00AA1708"/>
    <w:rsid w:val="00AA1A87"/>
    <w:rsid w:val="00AA2524"/>
    <w:rsid w:val="00AA3683"/>
    <w:rsid w:val="00AA4704"/>
    <w:rsid w:val="00AA679E"/>
    <w:rsid w:val="00AA6876"/>
    <w:rsid w:val="00AA6D45"/>
    <w:rsid w:val="00AA6E22"/>
    <w:rsid w:val="00AA782F"/>
    <w:rsid w:val="00AB1662"/>
    <w:rsid w:val="00AB1B09"/>
    <w:rsid w:val="00AB2AB9"/>
    <w:rsid w:val="00AB331D"/>
    <w:rsid w:val="00AB4ADC"/>
    <w:rsid w:val="00AB4FB1"/>
    <w:rsid w:val="00AB5B00"/>
    <w:rsid w:val="00AB6B53"/>
    <w:rsid w:val="00AB7068"/>
    <w:rsid w:val="00AB7208"/>
    <w:rsid w:val="00AB7355"/>
    <w:rsid w:val="00AB7C86"/>
    <w:rsid w:val="00AC0941"/>
    <w:rsid w:val="00AC10C8"/>
    <w:rsid w:val="00AC173A"/>
    <w:rsid w:val="00AC3F33"/>
    <w:rsid w:val="00AC4132"/>
    <w:rsid w:val="00AC4AAE"/>
    <w:rsid w:val="00AC5998"/>
    <w:rsid w:val="00AC5E64"/>
    <w:rsid w:val="00AD0CCA"/>
    <w:rsid w:val="00AD0D47"/>
    <w:rsid w:val="00AD4C62"/>
    <w:rsid w:val="00AD545E"/>
    <w:rsid w:val="00AD69CF"/>
    <w:rsid w:val="00AD7CA1"/>
    <w:rsid w:val="00AE0318"/>
    <w:rsid w:val="00AE0B9A"/>
    <w:rsid w:val="00AE194E"/>
    <w:rsid w:val="00AE23E3"/>
    <w:rsid w:val="00AE269D"/>
    <w:rsid w:val="00AE2B39"/>
    <w:rsid w:val="00AE3841"/>
    <w:rsid w:val="00AE3FBD"/>
    <w:rsid w:val="00AE4A87"/>
    <w:rsid w:val="00AE4E78"/>
    <w:rsid w:val="00AE5162"/>
    <w:rsid w:val="00AE68F7"/>
    <w:rsid w:val="00AE7D96"/>
    <w:rsid w:val="00AF0341"/>
    <w:rsid w:val="00AF0E62"/>
    <w:rsid w:val="00AF16A2"/>
    <w:rsid w:val="00AF374B"/>
    <w:rsid w:val="00AF3A68"/>
    <w:rsid w:val="00AF3F6F"/>
    <w:rsid w:val="00AF44A1"/>
    <w:rsid w:val="00AF4AFD"/>
    <w:rsid w:val="00AF55DF"/>
    <w:rsid w:val="00AF5689"/>
    <w:rsid w:val="00AF6499"/>
    <w:rsid w:val="00AF6CA8"/>
    <w:rsid w:val="00B00EDB"/>
    <w:rsid w:val="00B01CF5"/>
    <w:rsid w:val="00B04ACF"/>
    <w:rsid w:val="00B06012"/>
    <w:rsid w:val="00B07D5A"/>
    <w:rsid w:val="00B10A26"/>
    <w:rsid w:val="00B10BA3"/>
    <w:rsid w:val="00B1102D"/>
    <w:rsid w:val="00B1109F"/>
    <w:rsid w:val="00B12B74"/>
    <w:rsid w:val="00B12E39"/>
    <w:rsid w:val="00B13EBE"/>
    <w:rsid w:val="00B14A58"/>
    <w:rsid w:val="00B161B0"/>
    <w:rsid w:val="00B16B16"/>
    <w:rsid w:val="00B22563"/>
    <w:rsid w:val="00B23730"/>
    <w:rsid w:val="00B24184"/>
    <w:rsid w:val="00B249B7"/>
    <w:rsid w:val="00B257C8"/>
    <w:rsid w:val="00B25D0F"/>
    <w:rsid w:val="00B30435"/>
    <w:rsid w:val="00B30690"/>
    <w:rsid w:val="00B31260"/>
    <w:rsid w:val="00B31C92"/>
    <w:rsid w:val="00B32A46"/>
    <w:rsid w:val="00B32C8A"/>
    <w:rsid w:val="00B32D0F"/>
    <w:rsid w:val="00B33757"/>
    <w:rsid w:val="00B33BEA"/>
    <w:rsid w:val="00B340CF"/>
    <w:rsid w:val="00B352DA"/>
    <w:rsid w:val="00B3558D"/>
    <w:rsid w:val="00B35950"/>
    <w:rsid w:val="00B36B0B"/>
    <w:rsid w:val="00B36E09"/>
    <w:rsid w:val="00B37050"/>
    <w:rsid w:val="00B40022"/>
    <w:rsid w:val="00B41387"/>
    <w:rsid w:val="00B41B52"/>
    <w:rsid w:val="00B42381"/>
    <w:rsid w:val="00B423D7"/>
    <w:rsid w:val="00B437BA"/>
    <w:rsid w:val="00B43FAE"/>
    <w:rsid w:val="00B441D3"/>
    <w:rsid w:val="00B44277"/>
    <w:rsid w:val="00B454B1"/>
    <w:rsid w:val="00B47401"/>
    <w:rsid w:val="00B50900"/>
    <w:rsid w:val="00B51368"/>
    <w:rsid w:val="00B51609"/>
    <w:rsid w:val="00B518B5"/>
    <w:rsid w:val="00B52E58"/>
    <w:rsid w:val="00B5390B"/>
    <w:rsid w:val="00B53A3E"/>
    <w:rsid w:val="00B53F83"/>
    <w:rsid w:val="00B5454F"/>
    <w:rsid w:val="00B55825"/>
    <w:rsid w:val="00B55DCB"/>
    <w:rsid w:val="00B566F9"/>
    <w:rsid w:val="00B56AC6"/>
    <w:rsid w:val="00B60253"/>
    <w:rsid w:val="00B609FB"/>
    <w:rsid w:val="00B6334B"/>
    <w:rsid w:val="00B670A7"/>
    <w:rsid w:val="00B6744C"/>
    <w:rsid w:val="00B67DC8"/>
    <w:rsid w:val="00B713C1"/>
    <w:rsid w:val="00B713F7"/>
    <w:rsid w:val="00B7141F"/>
    <w:rsid w:val="00B71C02"/>
    <w:rsid w:val="00B71E08"/>
    <w:rsid w:val="00B71F82"/>
    <w:rsid w:val="00B72196"/>
    <w:rsid w:val="00B72641"/>
    <w:rsid w:val="00B72E58"/>
    <w:rsid w:val="00B733F8"/>
    <w:rsid w:val="00B73427"/>
    <w:rsid w:val="00B73DA6"/>
    <w:rsid w:val="00B74C71"/>
    <w:rsid w:val="00B74D58"/>
    <w:rsid w:val="00B773B1"/>
    <w:rsid w:val="00B7772E"/>
    <w:rsid w:val="00B8129A"/>
    <w:rsid w:val="00B827B7"/>
    <w:rsid w:val="00B82A39"/>
    <w:rsid w:val="00B83DB1"/>
    <w:rsid w:val="00B84BD2"/>
    <w:rsid w:val="00B856E8"/>
    <w:rsid w:val="00B85722"/>
    <w:rsid w:val="00B85A6A"/>
    <w:rsid w:val="00B87C0A"/>
    <w:rsid w:val="00B90070"/>
    <w:rsid w:val="00B92847"/>
    <w:rsid w:val="00B928D0"/>
    <w:rsid w:val="00B93273"/>
    <w:rsid w:val="00B9458A"/>
    <w:rsid w:val="00B950CB"/>
    <w:rsid w:val="00B95966"/>
    <w:rsid w:val="00B96ED7"/>
    <w:rsid w:val="00B97184"/>
    <w:rsid w:val="00B97DEC"/>
    <w:rsid w:val="00BA09E0"/>
    <w:rsid w:val="00BA2968"/>
    <w:rsid w:val="00BA2CAD"/>
    <w:rsid w:val="00BA2D8E"/>
    <w:rsid w:val="00BA31CD"/>
    <w:rsid w:val="00BA3F04"/>
    <w:rsid w:val="00BA5091"/>
    <w:rsid w:val="00BA55A5"/>
    <w:rsid w:val="00BA5C3C"/>
    <w:rsid w:val="00BA6667"/>
    <w:rsid w:val="00BA7567"/>
    <w:rsid w:val="00BA7F54"/>
    <w:rsid w:val="00BB04D5"/>
    <w:rsid w:val="00BB0E4B"/>
    <w:rsid w:val="00BB40E6"/>
    <w:rsid w:val="00BB50EC"/>
    <w:rsid w:val="00BB6A8C"/>
    <w:rsid w:val="00BC030F"/>
    <w:rsid w:val="00BC1570"/>
    <w:rsid w:val="00BC242A"/>
    <w:rsid w:val="00BC2C56"/>
    <w:rsid w:val="00BC3167"/>
    <w:rsid w:val="00BC3F91"/>
    <w:rsid w:val="00BC43D6"/>
    <w:rsid w:val="00BC5080"/>
    <w:rsid w:val="00BC6E17"/>
    <w:rsid w:val="00BC784D"/>
    <w:rsid w:val="00BD0BB5"/>
    <w:rsid w:val="00BD15A2"/>
    <w:rsid w:val="00BD1C13"/>
    <w:rsid w:val="00BD1FDD"/>
    <w:rsid w:val="00BD5860"/>
    <w:rsid w:val="00BD6773"/>
    <w:rsid w:val="00BD7151"/>
    <w:rsid w:val="00BD7593"/>
    <w:rsid w:val="00BE0503"/>
    <w:rsid w:val="00BE0DD9"/>
    <w:rsid w:val="00BE2FE3"/>
    <w:rsid w:val="00BE469D"/>
    <w:rsid w:val="00BE5FBD"/>
    <w:rsid w:val="00BE6C18"/>
    <w:rsid w:val="00BF0FCF"/>
    <w:rsid w:val="00BF3190"/>
    <w:rsid w:val="00BF45AC"/>
    <w:rsid w:val="00BF5D10"/>
    <w:rsid w:val="00BF75C8"/>
    <w:rsid w:val="00C01510"/>
    <w:rsid w:val="00C02F59"/>
    <w:rsid w:val="00C0310A"/>
    <w:rsid w:val="00C04CDF"/>
    <w:rsid w:val="00C0607D"/>
    <w:rsid w:val="00C0783B"/>
    <w:rsid w:val="00C10403"/>
    <w:rsid w:val="00C10699"/>
    <w:rsid w:val="00C1122B"/>
    <w:rsid w:val="00C11D12"/>
    <w:rsid w:val="00C12B84"/>
    <w:rsid w:val="00C147CA"/>
    <w:rsid w:val="00C157C2"/>
    <w:rsid w:val="00C15F82"/>
    <w:rsid w:val="00C2124D"/>
    <w:rsid w:val="00C21383"/>
    <w:rsid w:val="00C22DD5"/>
    <w:rsid w:val="00C230DE"/>
    <w:rsid w:val="00C24314"/>
    <w:rsid w:val="00C2457E"/>
    <w:rsid w:val="00C275A2"/>
    <w:rsid w:val="00C30F21"/>
    <w:rsid w:val="00C310EF"/>
    <w:rsid w:val="00C31DE0"/>
    <w:rsid w:val="00C34003"/>
    <w:rsid w:val="00C34428"/>
    <w:rsid w:val="00C35386"/>
    <w:rsid w:val="00C35C82"/>
    <w:rsid w:val="00C361C9"/>
    <w:rsid w:val="00C36DDC"/>
    <w:rsid w:val="00C37329"/>
    <w:rsid w:val="00C3737C"/>
    <w:rsid w:val="00C37611"/>
    <w:rsid w:val="00C414FC"/>
    <w:rsid w:val="00C44D99"/>
    <w:rsid w:val="00C455B2"/>
    <w:rsid w:val="00C4598C"/>
    <w:rsid w:val="00C459B1"/>
    <w:rsid w:val="00C45C4D"/>
    <w:rsid w:val="00C4609A"/>
    <w:rsid w:val="00C50085"/>
    <w:rsid w:val="00C50E0D"/>
    <w:rsid w:val="00C50FF2"/>
    <w:rsid w:val="00C5124E"/>
    <w:rsid w:val="00C517C0"/>
    <w:rsid w:val="00C52739"/>
    <w:rsid w:val="00C55207"/>
    <w:rsid w:val="00C55A92"/>
    <w:rsid w:val="00C560E0"/>
    <w:rsid w:val="00C563F9"/>
    <w:rsid w:val="00C568FB"/>
    <w:rsid w:val="00C574C9"/>
    <w:rsid w:val="00C6075F"/>
    <w:rsid w:val="00C635EE"/>
    <w:rsid w:val="00C64CB6"/>
    <w:rsid w:val="00C65997"/>
    <w:rsid w:val="00C66266"/>
    <w:rsid w:val="00C66804"/>
    <w:rsid w:val="00C66FDA"/>
    <w:rsid w:val="00C6781C"/>
    <w:rsid w:val="00C739CA"/>
    <w:rsid w:val="00C7620D"/>
    <w:rsid w:val="00C77613"/>
    <w:rsid w:val="00C80CBE"/>
    <w:rsid w:val="00C81A14"/>
    <w:rsid w:val="00C8302F"/>
    <w:rsid w:val="00C83C1E"/>
    <w:rsid w:val="00C85398"/>
    <w:rsid w:val="00C86295"/>
    <w:rsid w:val="00C86C69"/>
    <w:rsid w:val="00C87A78"/>
    <w:rsid w:val="00C91113"/>
    <w:rsid w:val="00C913C0"/>
    <w:rsid w:val="00C9322C"/>
    <w:rsid w:val="00C946D3"/>
    <w:rsid w:val="00C94F4B"/>
    <w:rsid w:val="00C95ED6"/>
    <w:rsid w:val="00C95F9A"/>
    <w:rsid w:val="00CA001A"/>
    <w:rsid w:val="00CA08C1"/>
    <w:rsid w:val="00CA0DD9"/>
    <w:rsid w:val="00CA3510"/>
    <w:rsid w:val="00CA5FA6"/>
    <w:rsid w:val="00CA6A8A"/>
    <w:rsid w:val="00CA7136"/>
    <w:rsid w:val="00CB0FCF"/>
    <w:rsid w:val="00CB3B0D"/>
    <w:rsid w:val="00CB58B6"/>
    <w:rsid w:val="00CB599E"/>
    <w:rsid w:val="00CB6C0D"/>
    <w:rsid w:val="00CB6E85"/>
    <w:rsid w:val="00CC089C"/>
    <w:rsid w:val="00CC1C0D"/>
    <w:rsid w:val="00CC2965"/>
    <w:rsid w:val="00CC2C1E"/>
    <w:rsid w:val="00CC3220"/>
    <w:rsid w:val="00CC37C7"/>
    <w:rsid w:val="00CC3E7B"/>
    <w:rsid w:val="00CC41A4"/>
    <w:rsid w:val="00CC5AA9"/>
    <w:rsid w:val="00CC6252"/>
    <w:rsid w:val="00CC6A51"/>
    <w:rsid w:val="00CC6FA1"/>
    <w:rsid w:val="00CC78CE"/>
    <w:rsid w:val="00CD0385"/>
    <w:rsid w:val="00CD082E"/>
    <w:rsid w:val="00CD1386"/>
    <w:rsid w:val="00CD2353"/>
    <w:rsid w:val="00CD282D"/>
    <w:rsid w:val="00CD33B9"/>
    <w:rsid w:val="00CD3DC7"/>
    <w:rsid w:val="00CD46DB"/>
    <w:rsid w:val="00CD4785"/>
    <w:rsid w:val="00CD48DA"/>
    <w:rsid w:val="00CD48F8"/>
    <w:rsid w:val="00CD4B9A"/>
    <w:rsid w:val="00CD5359"/>
    <w:rsid w:val="00CD54D6"/>
    <w:rsid w:val="00CD5814"/>
    <w:rsid w:val="00CD66A9"/>
    <w:rsid w:val="00CE0AE8"/>
    <w:rsid w:val="00CE1DE4"/>
    <w:rsid w:val="00CE2170"/>
    <w:rsid w:val="00CE412F"/>
    <w:rsid w:val="00CE6CFD"/>
    <w:rsid w:val="00CE7252"/>
    <w:rsid w:val="00CE74E0"/>
    <w:rsid w:val="00CE7939"/>
    <w:rsid w:val="00CE79C7"/>
    <w:rsid w:val="00CF06CE"/>
    <w:rsid w:val="00CF079C"/>
    <w:rsid w:val="00CF0990"/>
    <w:rsid w:val="00CF1A4E"/>
    <w:rsid w:val="00CF2288"/>
    <w:rsid w:val="00CF348E"/>
    <w:rsid w:val="00CF58F4"/>
    <w:rsid w:val="00CF631F"/>
    <w:rsid w:val="00CF6AE3"/>
    <w:rsid w:val="00CF79F1"/>
    <w:rsid w:val="00D00DDA"/>
    <w:rsid w:val="00D01526"/>
    <w:rsid w:val="00D01C77"/>
    <w:rsid w:val="00D02170"/>
    <w:rsid w:val="00D0318A"/>
    <w:rsid w:val="00D036C3"/>
    <w:rsid w:val="00D04045"/>
    <w:rsid w:val="00D04B91"/>
    <w:rsid w:val="00D07009"/>
    <w:rsid w:val="00D07A43"/>
    <w:rsid w:val="00D07BE5"/>
    <w:rsid w:val="00D105BA"/>
    <w:rsid w:val="00D10AC8"/>
    <w:rsid w:val="00D10FCF"/>
    <w:rsid w:val="00D11426"/>
    <w:rsid w:val="00D11777"/>
    <w:rsid w:val="00D12BB7"/>
    <w:rsid w:val="00D12C59"/>
    <w:rsid w:val="00D13723"/>
    <w:rsid w:val="00D14286"/>
    <w:rsid w:val="00D1634B"/>
    <w:rsid w:val="00D223D3"/>
    <w:rsid w:val="00D22C3E"/>
    <w:rsid w:val="00D23835"/>
    <w:rsid w:val="00D24733"/>
    <w:rsid w:val="00D24B80"/>
    <w:rsid w:val="00D25231"/>
    <w:rsid w:val="00D256D9"/>
    <w:rsid w:val="00D25E25"/>
    <w:rsid w:val="00D26740"/>
    <w:rsid w:val="00D268DA"/>
    <w:rsid w:val="00D30072"/>
    <w:rsid w:val="00D30C4A"/>
    <w:rsid w:val="00D315CF"/>
    <w:rsid w:val="00D337C6"/>
    <w:rsid w:val="00D33EA9"/>
    <w:rsid w:val="00D34924"/>
    <w:rsid w:val="00D34EFF"/>
    <w:rsid w:val="00D351BE"/>
    <w:rsid w:val="00D35578"/>
    <w:rsid w:val="00D35CD7"/>
    <w:rsid w:val="00D35D57"/>
    <w:rsid w:val="00D3628E"/>
    <w:rsid w:val="00D36B2C"/>
    <w:rsid w:val="00D36BC6"/>
    <w:rsid w:val="00D3703A"/>
    <w:rsid w:val="00D372BF"/>
    <w:rsid w:val="00D410CF"/>
    <w:rsid w:val="00D416F5"/>
    <w:rsid w:val="00D419EC"/>
    <w:rsid w:val="00D41E32"/>
    <w:rsid w:val="00D42EE6"/>
    <w:rsid w:val="00D43B6A"/>
    <w:rsid w:val="00D4470C"/>
    <w:rsid w:val="00D44A59"/>
    <w:rsid w:val="00D45524"/>
    <w:rsid w:val="00D4641B"/>
    <w:rsid w:val="00D46C81"/>
    <w:rsid w:val="00D47559"/>
    <w:rsid w:val="00D52923"/>
    <w:rsid w:val="00D53837"/>
    <w:rsid w:val="00D544BB"/>
    <w:rsid w:val="00D544D7"/>
    <w:rsid w:val="00D55343"/>
    <w:rsid w:val="00D5688A"/>
    <w:rsid w:val="00D57392"/>
    <w:rsid w:val="00D600D4"/>
    <w:rsid w:val="00D6021F"/>
    <w:rsid w:val="00D60501"/>
    <w:rsid w:val="00D60C2D"/>
    <w:rsid w:val="00D6161F"/>
    <w:rsid w:val="00D61A4C"/>
    <w:rsid w:val="00D62A2E"/>
    <w:rsid w:val="00D64800"/>
    <w:rsid w:val="00D64E56"/>
    <w:rsid w:val="00D65CC3"/>
    <w:rsid w:val="00D66C1E"/>
    <w:rsid w:val="00D677E5"/>
    <w:rsid w:val="00D67D31"/>
    <w:rsid w:val="00D702FB"/>
    <w:rsid w:val="00D70683"/>
    <w:rsid w:val="00D7127A"/>
    <w:rsid w:val="00D71D46"/>
    <w:rsid w:val="00D72480"/>
    <w:rsid w:val="00D726C8"/>
    <w:rsid w:val="00D752BD"/>
    <w:rsid w:val="00D764A1"/>
    <w:rsid w:val="00D765EE"/>
    <w:rsid w:val="00D768C1"/>
    <w:rsid w:val="00D77A16"/>
    <w:rsid w:val="00D80BC3"/>
    <w:rsid w:val="00D816F2"/>
    <w:rsid w:val="00D8204D"/>
    <w:rsid w:val="00D827DB"/>
    <w:rsid w:val="00D85168"/>
    <w:rsid w:val="00D85D38"/>
    <w:rsid w:val="00D8602A"/>
    <w:rsid w:val="00D86783"/>
    <w:rsid w:val="00D86D5A"/>
    <w:rsid w:val="00D8777A"/>
    <w:rsid w:val="00D87E48"/>
    <w:rsid w:val="00D91056"/>
    <w:rsid w:val="00D91720"/>
    <w:rsid w:val="00D92BEA"/>
    <w:rsid w:val="00D9310A"/>
    <w:rsid w:val="00D94E83"/>
    <w:rsid w:val="00D953BD"/>
    <w:rsid w:val="00D958F3"/>
    <w:rsid w:val="00D95E23"/>
    <w:rsid w:val="00D967A9"/>
    <w:rsid w:val="00D97B43"/>
    <w:rsid w:val="00D97F63"/>
    <w:rsid w:val="00DA01F2"/>
    <w:rsid w:val="00DA0771"/>
    <w:rsid w:val="00DA1B98"/>
    <w:rsid w:val="00DA2EF4"/>
    <w:rsid w:val="00DA300E"/>
    <w:rsid w:val="00DA34CA"/>
    <w:rsid w:val="00DA3E1D"/>
    <w:rsid w:val="00DA53AC"/>
    <w:rsid w:val="00DA55A7"/>
    <w:rsid w:val="00DA6B81"/>
    <w:rsid w:val="00DA6FC5"/>
    <w:rsid w:val="00DA71B5"/>
    <w:rsid w:val="00DB0A07"/>
    <w:rsid w:val="00DB0EA3"/>
    <w:rsid w:val="00DB25C0"/>
    <w:rsid w:val="00DB2935"/>
    <w:rsid w:val="00DB3EAA"/>
    <w:rsid w:val="00DB66E9"/>
    <w:rsid w:val="00DB680D"/>
    <w:rsid w:val="00DB7483"/>
    <w:rsid w:val="00DB7512"/>
    <w:rsid w:val="00DB7BC5"/>
    <w:rsid w:val="00DC0728"/>
    <w:rsid w:val="00DC23FB"/>
    <w:rsid w:val="00DC3953"/>
    <w:rsid w:val="00DC4283"/>
    <w:rsid w:val="00DC6140"/>
    <w:rsid w:val="00DD0803"/>
    <w:rsid w:val="00DD30B0"/>
    <w:rsid w:val="00DD337F"/>
    <w:rsid w:val="00DD4012"/>
    <w:rsid w:val="00DD44BF"/>
    <w:rsid w:val="00DD5176"/>
    <w:rsid w:val="00DD577D"/>
    <w:rsid w:val="00DD5ABA"/>
    <w:rsid w:val="00DD6E33"/>
    <w:rsid w:val="00DE05CC"/>
    <w:rsid w:val="00DE0E6E"/>
    <w:rsid w:val="00DE1638"/>
    <w:rsid w:val="00DE2C61"/>
    <w:rsid w:val="00DE3777"/>
    <w:rsid w:val="00DE44BC"/>
    <w:rsid w:val="00DE55A0"/>
    <w:rsid w:val="00DE5865"/>
    <w:rsid w:val="00DE6277"/>
    <w:rsid w:val="00DF1364"/>
    <w:rsid w:val="00DF1D05"/>
    <w:rsid w:val="00DF1D14"/>
    <w:rsid w:val="00DF22C9"/>
    <w:rsid w:val="00DF333B"/>
    <w:rsid w:val="00DF38D1"/>
    <w:rsid w:val="00DF4EF8"/>
    <w:rsid w:val="00DF59DE"/>
    <w:rsid w:val="00DF5EA6"/>
    <w:rsid w:val="00DF69BF"/>
    <w:rsid w:val="00E01A77"/>
    <w:rsid w:val="00E026FD"/>
    <w:rsid w:val="00E04296"/>
    <w:rsid w:val="00E04979"/>
    <w:rsid w:val="00E056B4"/>
    <w:rsid w:val="00E05BD9"/>
    <w:rsid w:val="00E05DF9"/>
    <w:rsid w:val="00E07231"/>
    <w:rsid w:val="00E074C6"/>
    <w:rsid w:val="00E1356F"/>
    <w:rsid w:val="00E13879"/>
    <w:rsid w:val="00E138F3"/>
    <w:rsid w:val="00E13DAD"/>
    <w:rsid w:val="00E14763"/>
    <w:rsid w:val="00E1770E"/>
    <w:rsid w:val="00E17AA8"/>
    <w:rsid w:val="00E204CE"/>
    <w:rsid w:val="00E20655"/>
    <w:rsid w:val="00E209D9"/>
    <w:rsid w:val="00E20B2C"/>
    <w:rsid w:val="00E21DED"/>
    <w:rsid w:val="00E24B70"/>
    <w:rsid w:val="00E24B8C"/>
    <w:rsid w:val="00E26894"/>
    <w:rsid w:val="00E2724E"/>
    <w:rsid w:val="00E31199"/>
    <w:rsid w:val="00E31A67"/>
    <w:rsid w:val="00E31A78"/>
    <w:rsid w:val="00E31E50"/>
    <w:rsid w:val="00E32949"/>
    <w:rsid w:val="00E3306E"/>
    <w:rsid w:val="00E335F8"/>
    <w:rsid w:val="00E3545D"/>
    <w:rsid w:val="00E36700"/>
    <w:rsid w:val="00E4305E"/>
    <w:rsid w:val="00E4415B"/>
    <w:rsid w:val="00E44242"/>
    <w:rsid w:val="00E44BE4"/>
    <w:rsid w:val="00E460F6"/>
    <w:rsid w:val="00E4626F"/>
    <w:rsid w:val="00E47618"/>
    <w:rsid w:val="00E47792"/>
    <w:rsid w:val="00E50632"/>
    <w:rsid w:val="00E5270C"/>
    <w:rsid w:val="00E55C67"/>
    <w:rsid w:val="00E56F51"/>
    <w:rsid w:val="00E6013A"/>
    <w:rsid w:val="00E62907"/>
    <w:rsid w:val="00E63547"/>
    <w:rsid w:val="00E63C1D"/>
    <w:rsid w:val="00E66ED5"/>
    <w:rsid w:val="00E67488"/>
    <w:rsid w:val="00E6778E"/>
    <w:rsid w:val="00E700DB"/>
    <w:rsid w:val="00E70DD6"/>
    <w:rsid w:val="00E72536"/>
    <w:rsid w:val="00E74D3C"/>
    <w:rsid w:val="00E757F3"/>
    <w:rsid w:val="00E7586E"/>
    <w:rsid w:val="00E777E6"/>
    <w:rsid w:val="00E8122C"/>
    <w:rsid w:val="00E81CF4"/>
    <w:rsid w:val="00E832EC"/>
    <w:rsid w:val="00E839E1"/>
    <w:rsid w:val="00E83CB8"/>
    <w:rsid w:val="00E840C0"/>
    <w:rsid w:val="00E85416"/>
    <w:rsid w:val="00E87F5D"/>
    <w:rsid w:val="00E9045F"/>
    <w:rsid w:val="00E91350"/>
    <w:rsid w:val="00E9138C"/>
    <w:rsid w:val="00E917BA"/>
    <w:rsid w:val="00E92C21"/>
    <w:rsid w:val="00E92D50"/>
    <w:rsid w:val="00E93001"/>
    <w:rsid w:val="00E932F7"/>
    <w:rsid w:val="00E933CB"/>
    <w:rsid w:val="00E94D55"/>
    <w:rsid w:val="00E95312"/>
    <w:rsid w:val="00E95971"/>
    <w:rsid w:val="00E95B58"/>
    <w:rsid w:val="00E97454"/>
    <w:rsid w:val="00EA0DEB"/>
    <w:rsid w:val="00EA1B61"/>
    <w:rsid w:val="00EA1BD0"/>
    <w:rsid w:val="00EA27BE"/>
    <w:rsid w:val="00EA290A"/>
    <w:rsid w:val="00EA2DCC"/>
    <w:rsid w:val="00EA312E"/>
    <w:rsid w:val="00EA35E0"/>
    <w:rsid w:val="00EA41CA"/>
    <w:rsid w:val="00EA4CA4"/>
    <w:rsid w:val="00EA4F2D"/>
    <w:rsid w:val="00EA4F69"/>
    <w:rsid w:val="00EA5B89"/>
    <w:rsid w:val="00EA6F05"/>
    <w:rsid w:val="00EA73C0"/>
    <w:rsid w:val="00EA7577"/>
    <w:rsid w:val="00EA7AB2"/>
    <w:rsid w:val="00EA7BC5"/>
    <w:rsid w:val="00EB1218"/>
    <w:rsid w:val="00EB174F"/>
    <w:rsid w:val="00EB1F7A"/>
    <w:rsid w:val="00EB2160"/>
    <w:rsid w:val="00EB2494"/>
    <w:rsid w:val="00EB265F"/>
    <w:rsid w:val="00EB50C3"/>
    <w:rsid w:val="00EB5809"/>
    <w:rsid w:val="00EB5974"/>
    <w:rsid w:val="00EB63A8"/>
    <w:rsid w:val="00EC12CC"/>
    <w:rsid w:val="00EC364C"/>
    <w:rsid w:val="00EC5AE0"/>
    <w:rsid w:val="00EC64E0"/>
    <w:rsid w:val="00EC7416"/>
    <w:rsid w:val="00EC7EE9"/>
    <w:rsid w:val="00ED0CE2"/>
    <w:rsid w:val="00ED0E24"/>
    <w:rsid w:val="00ED1674"/>
    <w:rsid w:val="00ED1A0C"/>
    <w:rsid w:val="00ED2001"/>
    <w:rsid w:val="00ED2817"/>
    <w:rsid w:val="00ED2D42"/>
    <w:rsid w:val="00ED4B7A"/>
    <w:rsid w:val="00ED51E5"/>
    <w:rsid w:val="00ED5A53"/>
    <w:rsid w:val="00ED708E"/>
    <w:rsid w:val="00ED750F"/>
    <w:rsid w:val="00EE07CC"/>
    <w:rsid w:val="00EE0956"/>
    <w:rsid w:val="00EE1196"/>
    <w:rsid w:val="00EE1CA3"/>
    <w:rsid w:val="00EE2E3F"/>
    <w:rsid w:val="00EE5D20"/>
    <w:rsid w:val="00EE7D8F"/>
    <w:rsid w:val="00EE7D95"/>
    <w:rsid w:val="00EE7E29"/>
    <w:rsid w:val="00EF0869"/>
    <w:rsid w:val="00EF0C66"/>
    <w:rsid w:val="00EF0D11"/>
    <w:rsid w:val="00EF12E9"/>
    <w:rsid w:val="00EF3B40"/>
    <w:rsid w:val="00EF3E9A"/>
    <w:rsid w:val="00EF47F8"/>
    <w:rsid w:val="00EF5F18"/>
    <w:rsid w:val="00F00729"/>
    <w:rsid w:val="00F00D23"/>
    <w:rsid w:val="00F010F3"/>
    <w:rsid w:val="00F018B4"/>
    <w:rsid w:val="00F0229B"/>
    <w:rsid w:val="00F0288C"/>
    <w:rsid w:val="00F043CD"/>
    <w:rsid w:val="00F04788"/>
    <w:rsid w:val="00F04E4A"/>
    <w:rsid w:val="00F05062"/>
    <w:rsid w:val="00F05AB0"/>
    <w:rsid w:val="00F063AB"/>
    <w:rsid w:val="00F06EA3"/>
    <w:rsid w:val="00F10B74"/>
    <w:rsid w:val="00F138CD"/>
    <w:rsid w:val="00F14CDB"/>
    <w:rsid w:val="00F15AD1"/>
    <w:rsid w:val="00F16D47"/>
    <w:rsid w:val="00F21862"/>
    <w:rsid w:val="00F22635"/>
    <w:rsid w:val="00F23C78"/>
    <w:rsid w:val="00F23FED"/>
    <w:rsid w:val="00F25753"/>
    <w:rsid w:val="00F270EC"/>
    <w:rsid w:val="00F27A35"/>
    <w:rsid w:val="00F30393"/>
    <w:rsid w:val="00F30E00"/>
    <w:rsid w:val="00F331B0"/>
    <w:rsid w:val="00F33AF9"/>
    <w:rsid w:val="00F33FB1"/>
    <w:rsid w:val="00F37304"/>
    <w:rsid w:val="00F40295"/>
    <w:rsid w:val="00F40A8B"/>
    <w:rsid w:val="00F411C3"/>
    <w:rsid w:val="00F4170E"/>
    <w:rsid w:val="00F41AA3"/>
    <w:rsid w:val="00F430B1"/>
    <w:rsid w:val="00F447A3"/>
    <w:rsid w:val="00F44A30"/>
    <w:rsid w:val="00F45C77"/>
    <w:rsid w:val="00F46CA2"/>
    <w:rsid w:val="00F477E5"/>
    <w:rsid w:val="00F50782"/>
    <w:rsid w:val="00F509F0"/>
    <w:rsid w:val="00F51ADE"/>
    <w:rsid w:val="00F5266A"/>
    <w:rsid w:val="00F5274E"/>
    <w:rsid w:val="00F5276B"/>
    <w:rsid w:val="00F54651"/>
    <w:rsid w:val="00F557A2"/>
    <w:rsid w:val="00F557CF"/>
    <w:rsid w:val="00F57224"/>
    <w:rsid w:val="00F576EE"/>
    <w:rsid w:val="00F61239"/>
    <w:rsid w:val="00F636B0"/>
    <w:rsid w:val="00F6433C"/>
    <w:rsid w:val="00F64D57"/>
    <w:rsid w:val="00F662BC"/>
    <w:rsid w:val="00F66331"/>
    <w:rsid w:val="00F6635E"/>
    <w:rsid w:val="00F664E4"/>
    <w:rsid w:val="00F673C6"/>
    <w:rsid w:val="00F70D0C"/>
    <w:rsid w:val="00F71C61"/>
    <w:rsid w:val="00F71E88"/>
    <w:rsid w:val="00F721C0"/>
    <w:rsid w:val="00F72A5F"/>
    <w:rsid w:val="00F7304C"/>
    <w:rsid w:val="00F7464F"/>
    <w:rsid w:val="00F747F8"/>
    <w:rsid w:val="00F757FF"/>
    <w:rsid w:val="00F75C32"/>
    <w:rsid w:val="00F76DE6"/>
    <w:rsid w:val="00F77109"/>
    <w:rsid w:val="00F77A51"/>
    <w:rsid w:val="00F77FE0"/>
    <w:rsid w:val="00F80782"/>
    <w:rsid w:val="00F819AC"/>
    <w:rsid w:val="00F81F13"/>
    <w:rsid w:val="00F81F85"/>
    <w:rsid w:val="00F857FB"/>
    <w:rsid w:val="00F860CB"/>
    <w:rsid w:val="00F866A8"/>
    <w:rsid w:val="00F872EC"/>
    <w:rsid w:val="00F91B4B"/>
    <w:rsid w:val="00F931EC"/>
    <w:rsid w:val="00F93306"/>
    <w:rsid w:val="00F941EF"/>
    <w:rsid w:val="00F95AD7"/>
    <w:rsid w:val="00F97007"/>
    <w:rsid w:val="00F97525"/>
    <w:rsid w:val="00F97A9D"/>
    <w:rsid w:val="00FA04D2"/>
    <w:rsid w:val="00FA09CF"/>
    <w:rsid w:val="00FA4796"/>
    <w:rsid w:val="00FA6569"/>
    <w:rsid w:val="00FA661C"/>
    <w:rsid w:val="00FA6DF6"/>
    <w:rsid w:val="00FA6F9B"/>
    <w:rsid w:val="00FA735C"/>
    <w:rsid w:val="00FA7B11"/>
    <w:rsid w:val="00FA7B88"/>
    <w:rsid w:val="00FB0BA3"/>
    <w:rsid w:val="00FB0C55"/>
    <w:rsid w:val="00FB12A5"/>
    <w:rsid w:val="00FB1D4A"/>
    <w:rsid w:val="00FB1E9D"/>
    <w:rsid w:val="00FB24A5"/>
    <w:rsid w:val="00FB2F58"/>
    <w:rsid w:val="00FB4B2B"/>
    <w:rsid w:val="00FB6469"/>
    <w:rsid w:val="00FB69E4"/>
    <w:rsid w:val="00FB7056"/>
    <w:rsid w:val="00FB7E73"/>
    <w:rsid w:val="00FC1D60"/>
    <w:rsid w:val="00FC331D"/>
    <w:rsid w:val="00FC43BB"/>
    <w:rsid w:val="00FC4433"/>
    <w:rsid w:val="00FC53AB"/>
    <w:rsid w:val="00FC67EE"/>
    <w:rsid w:val="00FC7BDE"/>
    <w:rsid w:val="00FD002B"/>
    <w:rsid w:val="00FD0621"/>
    <w:rsid w:val="00FD246A"/>
    <w:rsid w:val="00FD3547"/>
    <w:rsid w:val="00FD42CB"/>
    <w:rsid w:val="00FD4E6C"/>
    <w:rsid w:val="00FD5BBA"/>
    <w:rsid w:val="00FD6A51"/>
    <w:rsid w:val="00FD6EE6"/>
    <w:rsid w:val="00FD732E"/>
    <w:rsid w:val="00FD7F42"/>
    <w:rsid w:val="00FE0D9E"/>
    <w:rsid w:val="00FE1080"/>
    <w:rsid w:val="00FE1235"/>
    <w:rsid w:val="00FE22BA"/>
    <w:rsid w:val="00FE32F6"/>
    <w:rsid w:val="00FE3AFF"/>
    <w:rsid w:val="00FE532E"/>
    <w:rsid w:val="00FE60EC"/>
    <w:rsid w:val="00FE7314"/>
    <w:rsid w:val="00FF0FD2"/>
    <w:rsid w:val="00FF2A4B"/>
    <w:rsid w:val="00FF6DC9"/>
    <w:rsid w:val="00FF72E6"/>
    <w:rsid w:val="00FF7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29CB"/>
  <w14:defaultImageDpi w14:val="32767"/>
  <w15:chartTrackingRefBased/>
  <w15:docId w15:val="{6710381A-CEC5-42B4-B000-4CAC168E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E84"/>
    <w:pPr>
      <w:spacing w:before="120" w:after="120" w:line="288" w:lineRule="auto"/>
    </w:pPr>
    <w:rPr>
      <w:lang w:val="en-AU"/>
    </w:rPr>
  </w:style>
  <w:style w:type="paragraph" w:styleId="Heading1">
    <w:name w:val="heading 1"/>
    <w:basedOn w:val="Normal"/>
    <w:next w:val="Normal"/>
    <w:link w:val="Heading1Char"/>
    <w:uiPriority w:val="9"/>
    <w:qFormat/>
    <w:rsid w:val="008A256F"/>
    <w:pPr>
      <w:keepNext/>
      <w:keepLines/>
      <w:spacing w:before="720" w:after="0"/>
      <w:outlineLvl w:val="0"/>
    </w:pPr>
    <w:rPr>
      <w:rFonts w:asciiTheme="majorHAnsi" w:eastAsiaTheme="majorEastAsia" w:hAnsiTheme="majorHAnsi" w:cstheme="majorBidi"/>
      <w:color w:val="4F458F" w:themeColor="text2"/>
      <w:sz w:val="36"/>
      <w:szCs w:val="36"/>
    </w:rPr>
  </w:style>
  <w:style w:type="paragraph" w:styleId="Heading2">
    <w:name w:val="heading 2"/>
    <w:basedOn w:val="Heading3"/>
    <w:next w:val="Normal"/>
    <w:link w:val="Heading2Char"/>
    <w:uiPriority w:val="9"/>
    <w:unhideWhenUsed/>
    <w:qFormat/>
    <w:rsid w:val="00B249B7"/>
    <w:pPr>
      <w:ind w:left="709" w:hanging="709"/>
      <w:outlineLvl w:val="1"/>
    </w:pPr>
    <w:rPr>
      <w:b w:val="0"/>
      <w:bCs w:val="0"/>
      <w:color w:val="241773" w:themeColor="accent1"/>
      <w:sz w:val="28"/>
      <w:szCs w:val="28"/>
    </w:rPr>
  </w:style>
  <w:style w:type="paragraph" w:styleId="Heading3">
    <w:name w:val="heading 3"/>
    <w:basedOn w:val="Normal"/>
    <w:next w:val="Normal"/>
    <w:link w:val="Heading3Char"/>
    <w:uiPriority w:val="9"/>
    <w:unhideWhenUsed/>
    <w:qFormat/>
    <w:rsid w:val="008A256F"/>
    <w:pPr>
      <w:keepNext/>
      <w:keepLines/>
      <w:spacing w:before="360" w:after="0"/>
      <w:outlineLvl w:val="2"/>
    </w:pPr>
    <w:rPr>
      <w:rFonts w:asciiTheme="majorHAnsi" w:eastAsiaTheme="majorEastAsia" w:hAnsiTheme="majorHAnsi" w:cstheme="majorBidi"/>
      <w:b/>
      <w:bCs/>
      <w:color w:val="374149" w:themeColor="accent5"/>
      <w:sz w:val="22"/>
      <w:szCs w:val="22"/>
    </w:rPr>
  </w:style>
  <w:style w:type="paragraph" w:styleId="Heading4">
    <w:name w:val="heading 4"/>
    <w:basedOn w:val="Normal"/>
    <w:next w:val="Normal"/>
    <w:link w:val="Heading4Char"/>
    <w:uiPriority w:val="9"/>
    <w:unhideWhenUsed/>
    <w:qFormat/>
    <w:rsid w:val="009D1307"/>
    <w:pPr>
      <w:keepNext/>
      <w:keepLines/>
      <w:spacing w:before="240" w:after="0"/>
      <w:outlineLvl w:val="3"/>
    </w:pPr>
    <w:rPr>
      <w:rFonts w:asciiTheme="majorHAnsi" w:eastAsiaTheme="majorEastAsia" w:hAnsiTheme="majorHAnsi" w:cstheme="majorBidi"/>
      <w:color w:val="241773" w:themeColor="accent1"/>
      <w:sz w:val="21"/>
      <w:szCs w:val="28"/>
    </w:rPr>
  </w:style>
  <w:style w:type="paragraph" w:styleId="Heading5">
    <w:name w:val="heading 5"/>
    <w:basedOn w:val="Normal"/>
    <w:next w:val="Normal"/>
    <w:link w:val="Heading5Char"/>
    <w:uiPriority w:val="9"/>
    <w:unhideWhenUsed/>
    <w:qFormat/>
    <w:rsid w:val="00547497"/>
    <w:pPr>
      <w:keepNext/>
      <w:keepLines/>
      <w:spacing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rsid w:val="009D1307"/>
    <w:pPr>
      <w:keepNext/>
      <w:keepLines/>
      <w:spacing w:after="0"/>
      <w:outlineLvl w:val="5"/>
    </w:pPr>
    <w:rPr>
      <w:rFonts w:asciiTheme="majorHAnsi" w:eastAsiaTheme="majorEastAsia" w:hAnsiTheme="majorHAnsi" w:cstheme="majorBidi"/>
      <w:color w:val="374149" w:themeColor="accent5"/>
      <w:u w:val="single"/>
    </w:rPr>
  </w:style>
  <w:style w:type="paragraph" w:styleId="Heading7">
    <w:name w:val="heading 7"/>
    <w:basedOn w:val="Normal"/>
    <w:next w:val="Normal"/>
    <w:link w:val="Heading7Char"/>
    <w:uiPriority w:val="9"/>
    <w:unhideWhenUsed/>
    <w:rsid w:val="009D1307"/>
    <w:pPr>
      <w:keepNext/>
      <w:keepLines/>
      <w:spacing w:after="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unhideWhenUsed/>
    <w:rsid w:val="009D1307"/>
    <w:pPr>
      <w:keepNext/>
      <w:keepLines/>
      <w:spacing w:after="0"/>
      <w:outlineLvl w:val="7"/>
    </w:pPr>
    <w:rPr>
      <w:rFonts w:asciiTheme="majorHAnsi" w:eastAsiaTheme="majorEastAsia" w:hAnsiTheme="majorHAnsi" w:cstheme="majorBidi"/>
      <w:i/>
      <w:iCs/>
      <w:color w:val="000000" w:themeColor="text1"/>
    </w:rPr>
  </w:style>
  <w:style w:type="paragraph" w:styleId="Heading9">
    <w:name w:val="heading 9"/>
    <w:basedOn w:val="Normal"/>
    <w:next w:val="Normal"/>
    <w:link w:val="Heading9Char"/>
    <w:uiPriority w:val="9"/>
    <w:unhideWhenUsed/>
    <w:rsid w:val="009D1307"/>
    <w:pPr>
      <w:keepNext/>
      <w:keepLines/>
      <w:spacing w:after="0"/>
      <w:outlineLvl w:val="8"/>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E3E4E4" w:themeColor="accent6" w:themeTint="99"/>
        <w:left w:val="single" w:sz="4" w:space="0" w:color="E3E4E4" w:themeColor="accent6" w:themeTint="99"/>
        <w:bottom w:val="single" w:sz="4" w:space="0" w:color="E3E4E4" w:themeColor="accent6" w:themeTint="99"/>
        <w:right w:val="single" w:sz="4" w:space="0" w:color="E3E4E4" w:themeColor="accent6" w:themeTint="99"/>
        <w:insideH w:val="single" w:sz="4" w:space="0" w:color="E3E4E4" w:themeColor="accent6" w:themeTint="99"/>
        <w:insideV w:val="single" w:sz="4" w:space="0" w:color="E3E4E4" w:themeColor="accent6" w:themeTint="99"/>
      </w:tblBorders>
    </w:tblPr>
    <w:tblStylePr w:type="firstRow">
      <w:rPr>
        <w:b/>
        <w:bCs/>
        <w:color w:val="241773"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1D3D3" w:themeFill="accent6"/>
      </w:tcPr>
    </w:tblStylePr>
    <w:tblStylePr w:type="lastRow">
      <w:rPr>
        <w:b/>
        <w:bCs/>
      </w:rPr>
      <w:tblPr/>
      <w:tcPr>
        <w:tcBorders>
          <w:top w:val="double" w:sz="4" w:space="0" w:color="D1D3D3" w:themeColor="accent6"/>
        </w:tcBorders>
      </w:tcPr>
    </w:tblStylePr>
    <w:tblStylePr w:type="firstCol">
      <w:rPr>
        <w:b/>
        <w:bCs/>
      </w:rPr>
    </w:tblStylePr>
    <w:tblStylePr w:type="lastCol">
      <w:rPr>
        <w:b/>
        <w:bCs/>
      </w:rPr>
    </w:tblStylePr>
    <w:tblStylePr w:type="band1Vert">
      <w:tblPr/>
      <w:tcPr>
        <w:shd w:val="clear" w:color="auto" w:fill="F5F6F6" w:themeFill="accent6" w:themeFillTint="33"/>
      </w:tcPr>
    </w:tblStylePr>
    <w:tblStylePr w:type="band1Horz">
      <w:tblPr/>
      <w:tcPr>
        <w:shd w:val="clear" w:color="auto" w:fill="F5F6F6" w:themeFill="accent6" w:themeFillTint="33"/>
      </w:tcPr>
    </w:tblStylePr>
  </w:style>
  <w:style w:type="table" w:styleId="GridTable6Colorful-Accent1">
    <w:name w:val="Grid Table 6 Colorful Accent 1"/>
    <w:basedOn w:val="TableNormal"/>
    <w:uiPriority w:val="51"/>
    <w:rsid w:val="00E95312"/>
    <w:rPr>
      <w:color w:val="1B1156" w:themeColor="accent1" w:themeShade="BF"/>
    </w:rPr>
    <w:tblPr>
      <w:tblStyleRowBandSize w:val="1"/>
      <w:tblStyleColBandSize w:val="1"/>
      <w:tblBorders>
        <w:top w:val="single" w:sz="4" w:space="0" w:color="5944D9" w:themeColor="accent1" w:themeTint="99"/>
        <w:left w:val="single" w:sz="4" w:space="0" w:color="5944D9" w:themeColor="accent1" w:themeTint="99"/>
        <w:bottom w:val="single" w:sz="4" w:space="0" w:color="5944D9" w:themeColor="accent1" w:themeTint="99"/>
        <w:right w:val="single" w:sz="4" w:space="0" w:color="5944D9" w:themeColor="accent1" w:themeTint="99"/>
        <w:insideH w:val="single" w:sz="4" w:space="0" w:color="5944D9" w:themeColor="accent1" w:themeTint="99"/>
        <w:insideV w:val="single" w:sz="4" w:space="0" w:color="5944D9" w:themeColor="accent1" w:themeTint="99"/>
      </w:tblBorders>
    </w:tblPr>
    <w:tblStylePr w:type="firstRow">
      <w:rPr>
        <w:b/>
        <w:bCs/>
      </w:rPr>
      <w:tblPr/>
      <w:tcPr>
        <w:tcBorders>
          <w:bottom w:val="single" w:sz="12" w:space="0" w:color="5944D9" w:themeColor="accent1" w:themeTint="99"/>
        </w:tcBorders>
      </w:tcPr>
    </w:tblStylePr>
    <w:tblStylePr w:type="lastRow">
      <w:rPr>
        <w:b/>
        <w:bCs/>
      </w:rPr>
      <w:tblPr/>
      <w:tcPr>
        <w:tcBorders>
          <w:top w:val="double" w:sz="4" w:space="0" w:color="5944D9" w:themeColor="accent1" w:themeTint="99"/>
        </w:tcBorders>
      </w:tcPr>
    </w:tblStylePr>
    <w:tblStylePr w:type="firstCol">
      <w:rPr>
        <w:b/>
        <w:bCs/>
      </w:rPr>
    </w:tblStylePr>
    <w:tblStylePr w:type="lastCol">
      <w:rPr>
        <w:b/>
        <w:bCs/>
      </w:rPr>
    </w:tblStylePr>
    <w:tblStylePr w:type="band1Vert">
      <w:tblPr/>
      <w:tcPr>
        <w:shd w:val="clear" w:color="auto" w:fill="C7C0F2" w:themeFill="accent1" w:themeFillTint="33"/>
      </w:tcPr>
    </w:tblStylePr>
    <w:tblStylePr w:type="band1Horz">
      <w:tblPr/>
      <w:tcPr>
        <w:shd w:val="clear" w:color="auto" w:fill="C7C0F2"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1D3D3" w:themeColor="accent6"/>
        <w:left w:val="single" w:sz="4" w:space="0" w:color="D1D3D3" w:themeColor="accent6"/>
        <w:bottom w:val="single" w:sz="4" w:space="0" w:color="D1D3D3" w:themeColor="accent6"/>
        <w:right w:val="single" w:sz="4" w:space="0" w:color="D1D3D3" w:themeColor="accent6"/>
      </w:tblBorders>
    </w:tblPr>
    <w:tblStylePr w:type="firstRow">
      <w:rPr>
        <w:b/>
        <w:bCs/>
        <w:color w:val="FFFFFF" w:themeColor="background1"/>
      </w:rPr>
      <w:tblPr/>
      <w:tcPr>
        <w:shd w:val="clear" w:color="auto" w:fill="D1D3D3" w:themeFill="accent6"/>
      </w:tcPr>
    </w:tblStylePr>
    <w:tblStylePr w:type="lastRow">
      <w:rPr>
        <w:b/>
        <w:bCs/>
      </w:rPr>
      <w:tblPr/>
      <w:tcPr>
        <w:tcBorders>
          <w:top w:val="double" w:sz="4" w:space="0" w:color="D1D3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D3D3" w:themeColor="accent6"/>
          <w:right w:val="single" w:sz="4" w:space="0" w:color="D1D3D3" w:themeColor="accent6"/>
        </w:tcBorders>
      </w:tcPr>
    </w:tblStylePr>
    <w:tblStylePr w:type="band1Horz">
      <w:tblPr/>
      <w:tcPr>
        <w:tcBorders>
          <w:top w:val="single" w:sz="4" w:space="0" w:color="D1D3D3" w:themeColor="accent6"/>
          <w:bottom w:val="single" w:sz="4" w:space="0" w:color="D1D3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D3D3" w:themeColor="accent6"/>
          <w:left w:val="nil"/>
        </w:tcBorders>
      </w:tcPr>
    </w:tblStylePr>
    <w:tblStylePr w:type="swCell">
      <w:tblPr/>
      <w:tcPr>
        <w:tcBorders>
          <w:top w:val="double" w:sz="4" w:space="0" w:color="D1D3D3"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9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414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414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414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4149" w:themeFill="accent5"/>
      </w:tcPr>
    </w:tblStylePr>
    <w:tblStylePr w:type="band1Vert">
      <w:tblPr/>
      <w:tcPr>
        <w:shd w:val="clear" w:color="auto" w:fill="A7B3BD" w:themeFill="accent5" w:themeFillTint="66"/>
      </w:tcPr>
    </w:tblStylePr>
    <w:tblStylePr w:type="band1Horz">
      <w:tblPr/>
      <w:tcPr>
        <w:shd w:val="clear" w:color="auto" w:fill="A7B3BD"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B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95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95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95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95B3" w:themeFill="accent4"/>
      </w:tcPr>
    </w:tblStylePr>
    <w:tblStylePr w:type="band1Vert">
      <w:tblPr/>
      <w:tcPr>
        <w:shd w:val="clear" w:color="auto" w:fill="A5D7E7" w:themeFill="accent4" w:themeFillTint="66"/>
      </w:tcPr>
    </w:tblStylePr>
    <w:tblStylePr w:type="band1Horz">
      <w:tblPr/>
      <w:tcPr>
        <w:shd w:val="clear" w:color="auto" w:fill="A5D7E7"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4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9D8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9D8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9D8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9D8B" w:themeFill="accent3"/>
      </w:tcPr>
    </w:tblStylePr>
    <w:tblStylePr w:type="band1Vert">
      <w:tblPr/>
      <w:tcPr>
        <w:shd w:val="clear" w:color="auto" w:fill="92EADD" w:themeFill="accent3" w:themeFillTint="66"/>
      </w:tcPr>
    </w:tblStylePr>
    <w:tblStylePr w:type="band1Horz">
      <w:tblPr/>
      <w:tcPr>
        <w:shd w:val="clear" w:color="auto" w:fill="92EADD"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82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82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82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82AB" w:themeFill="accent2"/>
      </w:tcPr>
    </w:tblStylePr>
    <w:tblStylePr w:type="band1Vert">
      <w:tblPr/>
      <w:tcPr>
        <w:shd w:val="clear" w:color="auto" w:fill="BACCDD" w:themeFill="accent2" w:themeFillTint="66"/>
      </w:tcPr>
    </w:tblStylePr>
    <w:tblStylePr w:type="band1Horz">
      <w:tblPr/>
      <w:tcPr>
        <w:shd w:val="clear" w:color="auto" w:fill="BACCDD"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C0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17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17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17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1773" w:themeFill="accent1"/>
      </w:tcPr>
    </w:tblStylePr>
    <w:tblStylePr w:type="band1Vert">
      <w:tblPr/>
      <w:tcPr>
        <w:shd w:val="clear" w:color="auto" w:fill="9082E6" w:themeFill="accent1" w:themeFillTint="66"/>
      </w:tcPr>
    </w:tblStylePr>
    <w:tblStylePr w:type="band1Horz">
      <w:tblPr/>
      <w:tcPr>
        <w:shd w:val="clear" w:color="auto" w:fill="9082E6"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A7B3BD" w:themeColor="accent5" w:themeTint="66"/>
        <w:left w:val="single" w:sz="4" w:space="0" w:color="A7B3BD" w:themeColor="accent5" w:themeTint="66"/>
        <w:bottom w:val="single" w:sz="4" w:space="0" w:color="A7B3BD" w:themeColor="accent5" w:themeTint="66"/>
        <w:right w:val="single" w:sz="4" w:space="0" w:color="A7B3BD" w:themeColor="accent5" w:themeTint="66"/>
        <w:insideH w:val="single" w:sz="4" w:space="0" w:color="A7B3BD" w:themeColor="accent5" w:themeTint="66"/>
        <w:insideV w:val="single" w:sz="4" w:space="0" w:color="A7B3BD" w:themeColor="accent5" w:themeTint="66"/>
      </w:tblBorders>
    </w:tblPr>
    <w:tblStylePr w:type="firstRow">
      <w:rPr>
        <w:b/>
        <w:bCs/>
      </w:rPr>
      <w:tblPr/>
      <w:tcPr>
        <w:tcBorders>
          <w:bottom w:val="single" w:sz="12" w:space="0" w:color="7C8E9C" w:themeColor="accent5" w:themeTint="99"/>
        </w:tcBorders>
      </w:tcPr>
    </w:tblStylePr>
    <w:tblStylePr w:type="lastRow">
      <w:rPr>
        <w:b/>
        <w:bCs/>
      </w:rPr>
      <w:tblPr/>
      <w:tcPr>
        <w:tcBorders>
          <w:top w:val="double" w:sz="2" w:space="0" w:color="7C8E9C"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B50C3"/>
    <w:rPr>
      <w:color w:val="FFFFFF"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241773" w:themeColor="accent1"/>
        <w:left w:val="single" w:sz="4" w:space="0" w:color="241773" w:themeColor="accent1"/>
        <w:bottom w:val="single" w:sz="4" w:space="0" w:color="241773" w:themeColor="accent1"/>
        <w:right w:val="single" w:sz="4" w:space="0" w:color="241773" w:themeColor="accent1"/>
      </w:tblBorders>
    </w:tblPr>
    <w:tblStylePr w:type="firstRow">
      <w:rPr>
        <w:b/>
        <w:bCs/>
        <w:color w:val="FFFFFF" w:themeColor="background1"/>
      </w:rPr>
      <w:tblPr/>
      <w:tcPr>
        <w:shd w:val="clear" w:color="auto" w:fill="241773" w:themeFill="accent1"/>
      </w:tcPr>
    </w:tblStylePr>
    <w:tblStylePr w:type="lastRow">
      <w:rPr>
        <w:b/>
        <w:bCs/>
      </w:rPr>
      <w:tblPr/>
      <w:tcPr>
        <w:tcBorders>
          <w:top w:val="double" w:sz="4" w:space="0" w:color="2417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1773" w:themeColor="accent1"/>
          <w:right w:val="single" w:sz="4" w:space="0" w:color="241773" w:themeColor="accent1"/>
        </w:tcBorders>
      </w:tcPr>
    </w:tblStylePr>
    <w:tblStylePr w:type="band1Horz">
      <w:tblPr/>
      <w:tcPr>
        <w:tcBorders>
          <w:top w:val="single" w:sz="4" w:space="0" w:color="241773" w:themeColor="accent1"/>
          <w:bottom w:val="single" w:sz="4" w:space="0" w:color="2417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1773" w:themeColor="accent1"/>
          <w:left w:val="nil"/>
        </w:tcBorders>
      </w:tcPr>
    </w:tblStylePr>
    <w:tblStylePr w:type="swCell">
      <w:tblPr/>
      <w:tcPr>
        <w:tcBorders>
          <w:top w:val="double" w:sz="4" w:space="0" w:color="241773"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D3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D3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D3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D3D3" w:themeFill="accent6"/>
      </w:tcPr>
    </w:tblStylePr>
    <w:tblStylePr w:type="band1Vert">
      <w:tblPr/>
      <w:tcPr>
        <w:shd w:val="clear" w:color="auto" w:fill="ECEDED" w:themeFill="accent6" w:themeFillTint="66"/>
      </w:tcPr>
    </w:tblStylePr>
    <w:tblStylePr w:type="band1Horz">
      <w:tblPr/>
      <w:tcPr>
        <w:shd w:val="clear" w:color="auto" w:fill="ECEDED"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355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ECEDED" w:themeColor="accent6" w:themeTint="66"/>
        <w:left w:val="single" w:sz="4" w:space="0" w:color="ECEDED" w:themeColor="accent6" w:themeTint="66"/>
        <w:bottom w:val="single" w:sz="4" w:space="0" w:color="ECEDED" w:themeColor="accent6" w:themeTint="66"/>
        <w:right w:val="single" w:sz="4" w:space="0" w:color="ECEDED" w:themeColor="accent6" w:themeTint="66"/>
        <w:insideH w:val="single" w:sz="4" w:space="0" w:color="ECEDED" w:themeColor="accent6" w:themeTint="66"/>
        <w:insideV w:val="single" w:sz="4" w:space="0" w:color="ECEDED" w:themeColor="accent6" w:themeTint="66"/>
      </w:tblBorders>
    </w:tblPr>
    <w:tblStylePr w:type="firstRow">
      <w:rPr>
        <w:b/>
        <w:bCs/>
      </w:rPr>
      <w:tblPr/>
      <w:tcPr>
        <w:tcBorders>
          <w:bottom w:val="single" w:sz="12" w:space="0" w:color="E3E4E4" w:themeColor="accent6" w:themeTint="99"/>
        </w:tcBorders>
      </w:tcPr>
    </w:tblStylePr>
    <w:tblStylePr w:type="lastRow">
      <w:rPr>
        <w:b/>
        <w:bCs/>
      </w:rPr>
      <w:tblPr/>
      <w:tcPr>
        <w:tcBorders>
          <w:top w:val="double" w:sz="2" w:space="0" w:color="E3E4E4"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1D3D3" w:themeColor="accent6"/>
        <w:insideH w:val="single" w:sz="4" w:space="0" w:color="D1D3D3" w:themeColor="accent6"/>
      </w:tblBorders>
    </w:tblPr>
    <w:tblStylePr w:type="firstRow">
      <w:rPr>
        <w:b/>
        <w:bCs/>
      </w:rPr>
      <w:tblPr/>
      <w:tcPr>
        <w:tcBorders>
          <w:bottom w:val="single" w:sz="24" w:space="0" w:color="241773" w:themeColor="accent1"/>
        </w:tcBorders>
        <w:shd w:val="clear" w:color="auto" w:fill="D3D9DE" w:themeFill="accent5" w:themeFillTint="33"/>
      </w:tcPr>
    </w:tblStylePr>
    <w:tblStylePr w:type="lastRow">
      <w:rPr>
        <w:b/>
        <w:bCs/>
      </w:rPr>
      <w:tblPr/>
      <w:tcPr>
        <w:tcBorders>
          <w:top w:val="single" w:sz="4" w:space="0" w:color="E3E4E4" w:themeColor="accent6" w:themeTint="99"/>
        </w:tcBorders>
      </w:tcPr>
    </w:tblStylePr>
    <w:tblStylePr w:type="firstCol">
      <w:rPr>
        <w:b w:val="0"/>
        <w:bCs/>
      </w:rPr>
    </w:tblStylePr>
    <w:tblStylePr w:type="lastCol">
      <w:rPr>
        <w:b/>
        <w:bCs/>
      </w:rPr>
    </w:tblStylePr>
    <w:tblStylePr w:type="band1Vert">
      <w:tblPr/>
      <w:tcPr>
        <w:shd w:val="clear" w:color="auto" w:fill="F5F6F6" w:themeFill="accent6" w:themeFillTint="33"/>
      </w:tcPr>
    </w:tblStylePr>
    <w:tblStylePr w:type="band1Horz">
      <w:tblPr/>
      <w:tcPr>
        <w:shd w:val="clear" w:color="auto" w:fill="F5F6F6"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4F458F" w:themeColor="text2"/>
      <w:sz w:val="36"/>
      <w:szCs w:val="36"/>
      <w:lang w:val="en-AU"/>
    </w:rPr>
  </w:style>
  <w:style w:type="character" w:customStyle="1" w:styleId="Heading2Char">
    <w:name w:val="Heading 2 Char"/>
    <w:basedOn w:val="DefaultParagraphFont"/>
    <w:link w:val="Heading2"/>
    <w:uiPriority w:val="9"/>
    <w:rsid w:val="00B249B7"/>
    <w:rPr>
      <w:rFonts w:asciiTheme="majorHAnsi" w:eastAsiaTheme="majorEastAsia" w:hAnsiTheme="majorHAnsi" w:cstheme="majorBidi"/>
      <w:color w:val="241773" w:themeColor="accent1"/>
      <w:sz w:val="28"/>
      <w:szCs w:val="28"/>
      <w:lang w:val="en-AU"/>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374149" w:themeColor="accent5"/>
      <w:sz w:val="22"/>
      <w:szCs w:val="22"/>
      <w:lang w:val="en-AU"/>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241773" w:themeColor="accent1"/>
      <w:sz w:val="21"/>
      <w:szCs w:val="28"/>
      <w:lang w:val="en-AU"/>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000000" w:themeColor="text1"/>
      <w:lang w:val="en-AU"/>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374149" w:themeColor="accent5"/>
      <w:u w:val="single"/>
      <w:lang w:val="en-AU"/>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000000" w:themeColor="text1"/>
      <w:lang w:val="en-AU"/>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000000" w:themeColor="text1"/>
      <w:lang w:val="en-AU"/>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595959" w:themeColor="text1" w:themeTint="A6"/>
      <w:lang w:val="en-AU"/>
    </w:rPr>
  </w:style>
  <w:style w:type="character" w:styleId="Hyperlink">
    <w:name w:val="Hyperlink"/>
    <w:basedOn w:val="DefaultParagraphFont"/>
    <w:uiPriority w:val="99"/>
    <w:unhideWhenUsed/>
    <w:rsid w:val="00A75F33"/>
    <w:rPr>
      <w:color w:val="241773"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374149" w:themeColor="followedHyperlink"/>
      <w:u w:val="single"/>
    </w:rPr>
  </w:style>
  <w:style w:type="paragraph" w:styleId="ListBullet">
    <w:name w:val="List Bullet"/>
    <w:basedOn w:val="Normal"/>
    <w:uiPriority w:val="99"/>
    <w:unhideWhenUsed/>
    <w:qFormat/>
    <w:rsid w:val="00C9322C"/>
    <w:pPr>
      <w:numPr>
        <w:numId w:val="9"/>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9"/>
      </w:numPr>
      <w:spacing w:before="0" w:after="0"/>
      <w:contextualSpacing/>
    </w:pPr>
  </w:style>
  <w:style w:type="paragraph" w:styleId="ListBullet3">
    <w:name w:val="List Bullet 3"/>
    <w:basedOn w:val="Normal"/>
    <w:uiPriority w:val="99"/>
    <w:unhideWhenUsed/>
    <w:qFormat/>
    <w:rsid w:val="00C9322C"/>
    <w:pPr>
      <w:numPr>
        <w:ilvl w:val="2"/>
        <w:numId w:val="9"/>
      </w:numPr>
      <w:spacing w:before="0" w:after="0"/>
      <w:contextualSpacing/>
    </w:pPr>
  </w:style>
  <w:style w:type="paragraph" w:styleId="ListBullet4">
    <w:name w:val="List Bullet 4"/>
    <w:basedOn w:val="Normal"/>
    <w:uiPriority w:val="99"/>
    <w:unhideWhenUsed/>
    <w:rsid w:val="00C9322C"/>
    <w:pPr>
      <w:numPr>
        <w:ilvl w:val="3"/>
        <w:numId w:val="9"/>
      </w:numPr>
      <w:spacing w:before="0" w:after="0"/>
      <w:contextualSpacing/>
    </w:pPr>
  </w:style>
  <w:style w:type="paragraph" w:styleId="ListBullet5">
    <w:name w:val="List Bullet 5"/>
    <w:basedOn w:val="Normal"/>
    <w:uiPriority w:val="99"/>
    <w:unhideWhenUsed/>
    <w:rsid w:val="00C9322C"/>
    <w:pPr>
      <w:numPr>
        <w:ilvl w:val="4"/>
        <w:numId w:val="9"/>
      </w:numPr>
      <w:spacing w:before="0" w:after="0"/>
      <w:contextualSpacing/>
    </w:p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1"/>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1E9D8B" w:themeColor="accent3"/>
        <w:bottom w:val="single" w:sz="12" w:space="6" w:color="1E9D8B"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1E9D8B"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374149" w:themeColor="accent5"/>
      <w:sz w:val="15"/>
      <w:szCs w:val="18"/>
    </w:rPr>
  </w:style>
  <w:style w:type="paragraph" w:styleId="TOCHeading">
    <w:name w:val="TOC Heading"/>
    <w:basedOn w:val="Heading1"/>
    <w:next w:val="Normal"/>
    <w:uiPriority w:val="39"/>
    <w:unhideWhenUsed/>
    <w:qFormat/>
    <w:rsid w:val="00266ED1"/>
    <w:pPr>
      <w:spacing w:before="480" w:line="276" w:lineRule="auto"/>
      <w:outlineLvl w:val="9"/>
    </w:pPr>
    <w:rPr>
      <w:bCs/>
      <w:szCs w:val="28"/>
      <w:lang w:eastAsia="en-US"/>
    </w:rPr>
  </w:style>
  <w:style w:type="paragraph" w:styleId="TOC1">
    <w:name w:val="toc 1"/>
    <w:basedOn w:val="Normal"/>
    <w:next w:val="Normal"/>
    <w:autoRedefine/>
    <w:uiPriority w:val="39"/>
    <w:unhideWhenUsed/>
    <w:rsid w:val="0075127F"/>
    <w:pPr>
      <w:tabs>
        <w:tab w:val="left" w:pos="400"/>
        <w:tab w:val="right" w:leader="middleDot" w:pos="9632"/>
      </w:tabs>
      <w:spacing w:before="240" w:after="0"/>
      <w:ind w:left="425" w:hanging="425"/>
    </w:pPr>
    <w:rPr>
      <w:rFonts w:cstheme="minorHAnsi"/>
      <w:bCs/>
      <w:noProof/>
      <w:color w:val="241773" w:themeColor="accent1"/>
      <w:sz w:val="24"/>
    </w:rPr>
  </w:style>
  <w:style w:type="paragraph" w:styleId="TOC2">
    <w:name w:val="toc 2"/>
    <w:basedOn w:val="TOC3"/>
    <w:next w:val="Normal"/>
    <w:autoRedefine/>
    <w:uiPriority w:val="39"/>
    <w:unhideWhenUsed/>
    <w:rsid w:val="004C3DD5"/>
    <w:pPr>
      <w:tabs>
        <w:tab w:val="clear" w:pos="426"/>
        <w:tab w:val="clear" w:pos="9498"/>
        <w:tab w:val="right" w:leader="middleDot" w:pos="9632"/>
      </w:tabs>
      <w:ind w:left="993" w:hanging="568"/>
    </w:pPr>
    <w:rPr>
      <w:rFonts w:ascii="Calibri Light" w:hAnsi="Calibri Light" w:cs="Calibri Light"/>
      <w:color w:val="auto"/>
    </w:rPr>
  </w:style>
  <w:style w:type="paragraph" w:styleId="TOC3">
    <w:name w:val="toc 3"/>
    <w:basedOn w:val="Normal"/>
    <w:next w:val="Normal"/>
    <w:autoRedefine/>
    <w:uiPriority w:val="39"/>
    <w:unhideWhenUsed/>
    <w:rsid w:val="003D51C9"/>
    <w:pPr>
      <w:tabs>
        <w:tab w:val="left" w:pos="426"/>
        <w:tab w:val="left" w:pos="993"/>
        <w:tab w:val="right" w:leader="middleDot" w:pos="9498"/>
      </w:tabs>
      <w:spacing w:before="60"/>
      <w:ind w:left="425"/>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374149" w:themeColor="accent5"/>
      <w:spacing w:val="15"/>
      <w:sz w:val="22"/>
      <w:szCs w:val="22"/>
    </w:rPr>
  </w:style>
  <w:style w:type="character" w:customStyle="1" w:styleId="SubtitleChar">
    <w:name w:val="Subtitle Char"/>
    <w:basedOn w:val="DefaultParagraphFont"/>
    <w:link w:val="Subtitle"/>
    <w:uiPriority w:val="11"/>
    <w:rsid w:val="00862205"/>
    <w:rPr>
      <w:color w:val="374149"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5"/>
      </w:numPr>
      <w:spacing w:before="0" w:after="0"/>
      <w:contextualSpacing/>
    </w:pPr>
  </w:style>
  <w:style w:type="paragraph" w:styleId="ListNumber2">
    <w:name w:val="List Number 2"/>
    <w:basedOn w:val="Normal"/>
    <w:uiPriority w:val="99"/>
    <w:unhideWhenUsed/>
    <w:qFormat/>
    <w:rsid w:val="00515427"/>
    <w:pPr>
      <w:numPr>
        <w:ilvl w:val="1"/>
        <w:numId w:val="5"/>
      </w:numPr>
      <w:spacing w:before="0" w:after="0"/>
      <w:contextualSpacing/>
    </w:pPr>
  </w:style>
  <w:style w:type="paragraph" w:styleId="ListNumber3">
    <w:name w:val="List Number 3"/>
    <w:basedOn w:val="Normal"/>
    <w:uiPriority w:val="99"/>
    <w:unhideWhenUsed/>
    <w:rsid w:val="00515427"/>
    <w:pPr>
      <w:numPr>
        <w:ilvl w:val="2"/>
        <w:numId w:val="5"/>
      </w:numPr>
      <w:spacing w:before="0" w:after="0"/>
      <w:contextualSpacing/>
    </w:pPr>
  </w:style>
  <w:style w:type="paragraph" w:styleId="ListNumber4">
    <w:name w:val="List Number 4"/>
    <w:basedOn w:val="Normal"/>
    <w:uiPriority w:val="99"/>
    <w:unhideWhenUsed/>
    <w:rsid w:val="00515427"/>
    <w:pPr>
      <w:numPr>
        <w:ilvl w:val="3"/>
        <w:numId w:val="5"/>
      </w:numPr>
      <w:spacing w:before="0" w:after="0"/>
      <w:contextualSpacing/>
    </w:pPr>
  </w:style>
  <w:style w:type="paragraph" w:styleId="ListNumber5">
    <w:name w:val="List Number 5"/>
    <w:basedOn w:val="Normal"/>
    <w:uiPriority w:val="99"/>
    <w:unhideWhenUsed/>
    <w:rsid w:val="00515427"/>
    <w:pPr>
      <w:numPr>
        <w:ilvl w:val="4"/>
        <w:numId w:val="5"/>
      </w:numPr>
      <w:spacing w:before="0" w:after="0"/>
      <w:contextualSpacing/>
    </w:pPr>
  </w:style>
  <w:style w:type="paragraph" w:customStyle="1" w:styleId="Default">
    <w:name w:val="Default"/>
    <w:rsid w:val="003819A8"/>
    <w:pPr>
      <w:autoSpaceDE w:val="0"/>
      <w:autoSpaceDN w:val="0"/>
      <w:adjustRightInd w:val="0"/>
    </w:pPr>
    <w:rPr>
      <w:rFonts w:ascii="Calibri" w:eastAsiaTheme="minorHAnsi" w:hAnsi="Calibri" w:cs="Calibri"/>
      <w:color w:val="000000"/>
      <w:sz w:val="24"/>
      <w:szCs w:val="24"/>
      <w:lang w:val="en-AU" w:eastAsia="en-US"/>
    </w:rPr>
  </w:style>
  <w:style w:type="paragraph" w:styleId="NormalWeb">
    <w:name w:val="Normal (Web)"/>
    <w:basedOn w:val="Normal"/>
    <w:uiPriority w:val="99"/>
    <w:unhideWhenUsed/>
    <w:rsid w:val="00712978"/>
    <w:pPr>
      <w:spacing w:before="100" w:beforeAutospacing="1" w:after="100" w:afterAutospacing="1" w:line="240" w:lineRule="auto"/>
    </w:pPr>
    <w:rPr>
      <w:rFonts w:ascii="Times New Roman" w:eastAsiaTheme="minorHAnsi" w:hAnsi="Times New Roman" w:cs="Times New Roman"/>
      <w:color w:val="auto"/>
      <w:sz w:val="24"/>
      <w:szCs w:val="24"/>
      <w:lang w:eastAsia="en-AU"/>
    </w:rPr>
  </w:style>
  <w:style w:type="character" w:customStyle="1" w:styleId="selectable">
    <w:name w:val="selectable"/>
    <w:basedOn w:val="DefaultParagraphFont"/>
    <w:rsid w:val="00CD082E"/>
  </w:style>
  <w:style w:type="character" w:styleId="Strong">
    <w:name w:val="Strong"/>
    <w:basedOn w:val="DefaultParagraphFont"/>
    <w:uiPriority w:val="22"/>
    <w:qFormat/>
    <w:rsid w:val="00CD082E"/>
    <w:rPr>
      <w:b/>
      <w:bCs/>
    </w:rPr>
  </w:style>
  <w:style w:type="paragraph" w:customStyle="1" w:styleId="StyleLinespacingMultiple115li">
    <w:name w:val="Style Line spacing:  Multiple 1.15 li"/>
    <w:basedOn w:val="Normal"/>
    <w:rsid w:val="0057143B"/>
    <w:pPr>
      <w:spacing w:line="276" w:lineRule="auto"/>
    </w:pPr>
    <w:rPr>
      <w:rFonts w:eastAsia="Times New Roman" w:cs="Times New Roman"/>
      <w:color w:val="151515" w:themeColor="accent6" w:themeShade="1A"/>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E24B70"/>
  </w:style>
  <w:style w:type="table" w:styleId="GridTable4-Accent5">
    <w:name w:val="Grid Table 4 Accent 5"/>
    <w:basedOn w:val="TableNormal"/>
    <w:uiPriority w:val="49"/>
    <w:rsid w:val="001E634D"/>
    <w:rPr>
      <w:rFonts w:eastAsiaTheme="minorHAnsi"/>
      <w:color w:val="auto"/>
      <w:sz w:val="22"/>
      <w:szCs w:val="22"/>
      <w:lang w:eastAsia="en-US"/>
    </w:rPr>
    <w:tblPr>
      <w:tblStyleRowBandSize w:val="1"/>
      <w:tblStyleColBandSize w:val="1"/>
      <w:tblBorders>
        <w:top w:val="single" w:sz="4" w:space="0" w:color="7C8E9C" w:themeColor="accent5" w:themeTint="99"/>
        <w:left w:val="single" w:sz="4" w:space="0" w:color="7C8E9C" w:themeColor="accent5" w:themeTint="99"/>
        <w:bottom w:val="single" w:sz="4" w:space="0" w:color="7C8E9C" w:themeColor="accent5" w:themeTint="99"/>
        <w:right w:val="single" w:sz="4" w:space="0" w:color="7C8E9C" w:themeColor="accent5" w:themeTint="99"/>
        <w:insideH w:val="single" w:sz="4" w:space="0" w:color="7C8E9C" w:themeColor="accent5" w:themeTint="99"/>
        <w:insideV w:val="single" w:sz="4" w:space="0" w:color="7C8E9C" w:themeColor="accent5" w:themeTint="99"/>
      </w:tblBorders>
    </w:tblPr>
    <w:tblStylePr w:type="firstRow">
      <w:rPr>
        <w:b/>
        <w:bCs/>
        <w:color w:val="FFFFFF" w:themeColor="background1"/>
      </w:rPr>
      <w:tblPr/>
      <w:tcPr>
        <w:tcBorders>
          <w:top w:val="single" w:sz="4" w:space="0" w:color="374149" w:themeColor="accent5"/>
          <w:left w:val="single" w:sz="4" w:space="0" w:color="374149" w:themeColor="accent5"/>
          <w:bottom w:val="single" w:sz="4" w:space="0" w:color="374149" w:themeColor="accent5"/>
          <w:right w:val="single" w:sz="4" w:space="0" w:color="374149" w:themeColor="accent5"/>
          <w:insideH w:val="nil"/>
          <w:insideV w:val="nil"/>
        </w:tcBorders>
        <w:shd w:val="clear" w:color="auto" w:fill="374149" w:themeFill="accent5"/>
      </w:tcPr>
    </w:tblStylePr>
    <w:tblStylePr w:type="lastRow">
      <w:rPr>
        <w:b/>
        <w:bCs/>
      </w:rPr>
      <w:tblPr/>
      <w:tcPr>
        <w:tcBorders>
          <w:top w:val="double" w:sz="4" w:space="0" w:color="374149" w:themeColor="accent5"/>
        </w:tcBorders>
      </w:tcPr>
    </w:tblStylePr>
    <w:tblStylePr w:type="firstCol">
      <w:rPr>
        <w:b/>
        <w:bCs/>
      </w:rPr>
    </w:tblStylePr>
    <w:tblStylePr w:type="lastCol">
      <w:rPr>
        <w:b/>
        <w:bCs/>
      </w:rPr>
    </w:tblStylePr>
    <w:tblStylePr w:type="band1Vert">
      <w:tblPr/>
      <w:tcPr>
        <w:shd w:val="clear" w:color="auto" w:fill="D3D9DE" w:themeFill="accent5" w:themeFillTint="33"/>
      </w:tcPr>
    </w:tblStylePr>
    <w:tblStylePr w:type="band1Horz">
      <w:tblPr/>
      <w:tcPr>
        <w:shd w:val="clear" w:color="auto" w:fill="D3D9DE" w:themeFill="accent5" w:themeFillTint="33"/>
      </w:tcPr>
    </w:tblStylePr>
  </w:style>
  <w:style w:type="character" w:customStyle="1" w:styleId="A11">
    <w:name w:val="A11"/>
    <w:uiPriority w:val="99"/>
    <w:rsid w:val="008F289E"/>
    <w:rPr>
      <w:rFonts w:cs="Montserrat Light"/>
      <w:color w:val="000000"/>
      <w:sz w:val="9"/>
      <w:szCs w:val="9"/>
    </w:rPr>
  </w:style>
  <w:style w:type="table" w:styleId="GridTable1Light-Accent1">
    <w:name w:val="Grid Table 1 Light Accent 1"/>
    <w:basedOn w:val="TableNormal"/>
    <w:uiPriority w:val="46"/>
    <w:rsid w:val="00DA34CA"/>
    <w:tblPr>
      <w:tblStyleRowBandSize w:val="1"/>
      <w:tblStyleColBandSize w:val="1"/>
      <w:tblBorders>
        <w:top w:val="single" w:sz="4" w:space="0" w:color="9082E6" w:themeColor="accent1" w:themeTint="66"/>
        <w:left w:val="single" w:sz="4" w:space="0" w:color="9082E6" w:themeColor="accent1" w:themeTint="66"/>
        <w:bottom w:val="single" w:sz="4" w:space="0" w:color="9082E6" w:themeColor="accent1" w:themeTint="66"/>
        <w:right w:val="single" w:sz="4" w:space="0" w:color="9082E6" w:themeColor="accent1" w:themeTint="66"/>
        <w:insideH w:val="single" w:sz="4" w:space="0" w:color="9082E6" w:themeColor="accent1" w:themeTint="66"/>
        <w:insideV w:val="single" w:sz="4" w:space="0" w:color="9082E6" w:themeColor="accent1" w:themeTint="66"/>
      </w:tblBorders>
    </w:tblPr>
    <w:tblStylePr w:type="firstRow">
      <w:rPr>
        <w:b/>
        <w:bCs/>
      </w:rPr>
      <w:tblPr/>
      <w:tcPr>
        <w:tcBorders>
          <w:bottom w:val="single" w:sz="12" w:space="0" w:color="5944D9" w:themeColor="accent1" w:themeTint="99"/>
        </w:tcBorders>
      </w:tcPr>
    </w:tblStylePr>
    <w:tblStylePr w:type="lastRow">
      <w:rPr>
        <w:b/>
        <w:bCs/>
      </w:rPr>
      <w:tblPr/>
      <w:tcPr>
        <w:tcBorders>
          <w:top w:val="double" w:sz="2" w:space="0" w:color="5944D9"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304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7049F"/>
    <w:rPr>
      <w:sz w:val="16"/>
      <w:szCs w:val="16"/>
    </w:rPr>
  </w:style>
  <w:style w:type="paragraph" w:styleId="CommentText">
    <w:name w:val="annotation text"/>
    <w:basedOn w:val="Normal"/>
    <w:link w:val="CommentTextChar"/>
    <w:uiPriority w:val="99"/>
    <w:unhideWhenUsed/>
    <w:rsid w:val="0077049F"/>
    <w:pPr>
      <w:spacing w:line="240" w:lineRule="auto"/>
    </w:pPr>
  </w:style>
  <w:style w:type="character" w:customStyle="1" w:styleId="CommentTextChar">
    <w:name w:val="Comment Text Char"/>
    <w:basedOn w:val="DefaultParagraphFont"/>
    <w:link w:val="CommentText"/>
    <w:uiPriority w:val="99"/>
    <w:rsid w:val="0077049F"/>
    <w:rPr>
      <w:lang w:val="en-AU"/>
    </w:rPr>
  </w:style>
  <w:style w:type="paragraph" w:styleId="CommentSubject">
    <w:name w:val="annotation subject"/>
    <w:basedOn w:val="CommentText"/>
    <w:next w:val="CommentText"/>
    <w:link w:val="CommentSubjectChar"/>
    <w:uiPriority w:val="99"/>
    <w:semiHidden/>
    <w:unhideWhenUsed/>
    <w:rsid w:val="0077049F"/>
    <w:rPr>
      <w:b/>
      <w:bCs/>
    </w:rPr>
  </w:style>
  <w:style w:type="character" w:customStyle="1" w:styleId="CommentSubjectChar">
    <w:name w:val="Comment Subject Char"/>
    <w:basedOn w:val="CommentTextChar"/>
    <w:link w:val="CommentSubject"/>
    <w:uiPriority w:val="99"/>
    <w:semiHidden/>
    <w:rsid w:val="0077049F"/>
    <w:rPr>
      <w:b/>
      <w:bCs/>
      <w:lang w:val="en-AU"/>
    </w:rPr>
  </w:style>
  <w:style w:type="paragraph" w:customStyle="1" w:styleId="GNText">
    <w:name w:val="GN Text"/>
    <w:basedOn w:val="Normal"/>
    <w:next w:val="Normal"/>
    <w:rsid w:val="0055518F"/>
    <w:pPr>
      <w:shd w:val="clear" w:color="auto" w:fill="FFFFFF"/>
      <w:spacing w:before="0" w:after="240" w:line="240" w:lineRule="auto"/>
    </w:pPr>
    <w:rPr>
      <w:rFonts w:ascii="Times New Roman" w:eastAsia="Times New Roman" w:hAnsi="Times New Roman" w:cs="Times New Roman"/>
      <w:color w:val="auto"/>
      <w:sz w:val="22"/>
      <w:szCs w:val="22"/>
      <w:lang w:val="en-US" w:eastAsia="en-US"/>
    </w:rPr>
  </w:style>
  <w:style w:type="paragraph" w:customStyle="1" w:styleId="ARH1">
    <w:name w:val="AR H1"/>
    <w:basedOn w:val="Normal"/>
    <w:qFormat/>
    <w:rsid w:val="00061D82"/>
    <w:pPr>
      <w:spacing w:before="0" w:after="200" w:line="276" w:lineRule="auto"/>
    </w:pPr>
    <w:rPr>
      <w:rFonts w:ascii="Arial" w:eastAsia="Arial" w:hAnsi="Arial" w:cs="Arial"/>
      <w:b/>
      <w:caps/>
      <w:color w:val="233443"/>
      <w:spacing w:val="-1"/>
      <w:sz w:val="32"/>
      <w:szCs w:val="32"/>
      <w:lang w:eastAsia="en-US"/>
    </w:rPr>
  </w:style>
  <w:style w:type="paragraph" w:customStyle="1" w:styleId="GNdotpoints">
    <w:name w:val="GN dotpoints"/>
    <w:basedOn w:val="Normal"/>
    <w:rsid w:val="00D91720"/>
    <w:pPr>
      <w:numPr>
        <w:numId w:val="8"/>
      </w:numPr>
      <w:shd w:val="clear" w:color="auto" w:fill="FFFFFF"/>
      <w:tabs>
        <w:tab w:val="left" w:pos="360"/>
      </w:tabs>
      <w:spacing w:before="0" w:after="240" w:line="240" w:lineRule="auto"/>
    </w:pPr>
    <w:rPr>
      <w:rFonts w:ascii="Times New Roman" w:eastAsia="Times New Roman" w:hAnsi="Times New Roman" w:cs="Times New Roman"/>
      <w:color w:val="auto"/>
      <w:sz w:val="22"/>
      <w:szCs w:val="22"/>
      <w:lang w:val="en-US" w:eastAsia="en-US"/>
    </w:rPr>
  </w:style>
  <w:style w:type="paragraph" w:customStyle="1" w:styleId="xmsonormal">
    <w:name w:val="x_msonormal"/>
    <w:basedOn w:val="Normal"/>
    <w:uiPriority w:val="99"/>
    <w:rsid w:val="008E2674"/>
    <w:pPr>
      <w:spacing w:before="0" w:after="0" w:line="240" w:lineRule="auto"/>
    </w:pPr>
    <w:rPr>
      <w:rFonts w:ascii="Calibri" w:eastAsiaTheme="minorHAnsi" w:hAnsi="Calibri" w:cs="Calibri"/>
      <w:color w:val="auto"/>
      <w:sz w:val="22"/>
      <w:szCs w:val="22"/>
      <w:lang w:eastAsia="en-AU"/>
    </w:rPr>
  </w:style>
  <w:style w:type="paragraph" w:customStyle="1" w:styleId="ESHead3">
    <w:name w:val="ES Head 3"/>
    <w:basedOn w:val="Heading3"/>
    <w:next w:val="Normal"/>
    <w:link w:val="ESHead3Char"/>
    <w:autoRedefine/>
    <w:qFormat/>
    <w:rsid w:val="007321EF"/>
    <w:pPr>
      <w:spacing w:line="259" w:lineRule="auto"/>
      <w:ind w:left="720" w:hanging="720"/>
    </w:pPr>
    <w:rPr>
      <w:color w:val="000000" w:themeColor="text1"/>
      <w:sz w:val="24"/>
      <w:lang w:eastAsia="en-US"/>
    </w:rPr>
  </w:style>
  <w:style w:type="character" w:customStyle="1" w:styleId="ESHead3Char">
    <w:name w:val="ES Head 3 Char"/>
    <w:basedOn w:val="DefaultParagraphFont"/>
    <w:link w:val="ESHead3"/>
    <w:rsid w:val="007321EF"/>
    <w:rPr>
      <w:rFonts w:asciiTheme="majorHAnsi" w:eastAsiaTheme="majorEastAsia" w:hAnsiTheme="majorHAnsi" w:cstheme="majorBidi"/>
      <w:b/>
      <w:bCs/>
      <w:color w:val="000000" w:themeColor="text1"/>
      <w:sz w:val="24"/>
      <w:szCs w:val="22"/>
      <w:lang w:val="en-AU" w:eastAsia="en-US"/>
    </w:rPr>
  </w:style>
  <w:style w:type="character" w:styleId="UnresolvedMention">
    <w:name w:val="Unresolved Mention"/>
    <w:basedOn w:val="DefaultParagraphFont"/>
    <w:uiPriority w:val="99"/>
    <w:semiHidden/>
    <w:unhideWhenUsed/>
    <w:rsid w:val="00241A22"/>
    <w:rPr>
      <w:color w:val="605E5C"/>
      <w:shd w:val="clear" w:color="auto" w:fill="E1DFDD"/>
    </w:rPr>
  </w:style>
  <w:style w:type="paragraph" w:customStyle="1" w:styleId="DAfootnotetext">
    <w:name w:val="DA footnote text"/>
    <w:basedOn w:val="FootnoteText"/>
    <w:qFormat/>
    <w:rsid w:val="00D23835"/>
    <w:pPr>
      <w:tabs>
        <w:tab w:val="left" w:pos="227"/>
      </w:tabs>
      <w:spacing w:before="60" w:after="40"/>
      <w:ind w:left="227" w:hanging="227"/>
    </w:pPr>
    <w:rPr>
      <w:rFonts w:eastAsiaTheme="majorEastAsia" w:cs="Times New Roman"/>
      <w:color w:val="auto"/>
      <w:sz w:val="18"/>
      <w:szCs w:val="24"/>
      <w:lang w:eastAsia="en-AU"/>
    </w:rPr>
  </w:style>
  <w:style w:type="paragraph" w:styleId="PlainText">
    <w:name w:val="Plain Text"/>
    <w:basedOn w:val="Normal"/>
    <w:link w:val="PlainTextChar"/>
    <w:uiPriority w:val="99"/>
    <w:unhideWhenUsed/>
    <w:rsid w:val="00E700DB"/>
    <w:pPr>
      <w:spacing w:before="0" w:after="0" w:line="240" w:lineRule="auto"/>
    </w:pPr>
    <w:rPr>
      <w:rFonts w:ascii="Calibri" w:eastAsiaTheme="minorHAnsi" w:hAnsi="Calibri"/>
      <w:color w:val="auto"/>
      <w:sz w:val="22"/>
      <w:szCs w:val="21"/>
      <w:lang w:val="en-TT" w:eastAsia="en-US"/>
    </w:rPr>
  </w:style>
  <w:style w:type="character" w:customStyle="1" w:styleId="PlainTextChar">
    <w:name w:val="Plain Text Char"/>
    <w:basedOn w:val="DefaultParagraphFont"/>
    <w:link w:val="PlainText"/>
    <w:uiPriority w:val="99"/>
    <w:rsid w:val="00E700DB"/>
    <w:rPr>
      <w:rFonts w:ascii="Calibri" w:eastAsiaTheme="minorHAnsi" w:hAnsi="Calibri"/>
      <w:color w:val="auto"/>
      <w:sz w:val="22"/>
      <w:szCs w:val="21"/>
      <w:lang w:val="en-TT" w:eastAsia="en-US"/>
    </w:rPr>
  </w:style>
  <w:style w:type="paragraph" w:styleId="Revision">
    <w:name w:val="Revision"/>
    <w:hidden/>
    <w:uiPriority w:val="99"/>
    <w:semiHidden/>
    <w:rsid w:val="002F63B4"/>
    <w:rPr>
      <w:lang w:val="en-AU"/>
    </w:rPr>
  </w:style>
  <w:style w:type="paragraph" w:styleId="BodyText">
    <w:name w:val="Body Text"/>
    <w:basedOn w:val="Normal"/>
    <w:link w:val="BodyTextChar"/>
    <w:uiPriority w:val="1"/>
    <w:qFormat/>
    <w:rsid w:val="00A97EFD"/>
    <w:pPr>
      <w:widowControl w:val="0"/>
      <w:autoSpaceDE w:val="0"/>
      <w:autoSpaceDN w:val="0"/>
      <w:spacing w:before="0" w:after="0" w:line="240" w:lineRule="auto"/>
    </w:pPr>
    <w:rPr>
      <w:rFonts w:ascii="Segoe UI" w:eastAsia="Segoe UI" w:hAnsi="Segoe UI" w:cs="Segoe UI"/>
      <w:color w:val="auto"/>
      <w:sz w:val="19"/>
      <w:szCs w:val="19"/>
      <w:lang w:eastAsia="en-US"/>
    </w:rPr>
  </w:style>
  <w:style w:type="character" w:customStyle="1" w:styleId="BodyTextChar">
    <w:name w:val="Body Text Char"/>
    <w:basedOn w:val="DefaultParagraphFont"/>
    <w:link w:val="BodyText"/>
    <w:uiPriority w:val="1"/>
    <w:rsid w:val="00A97EFD"/>
    <w:rPr>
      <w:rFonts w:ascii="Segoe UI" w:eastAsia="Segoe UI" w:hAnsi="Segoe UI" w:cs="Segoe UI"/>
      <w:color w:val="auto"/>
      <w:sz w:val="19"/>
      <w:szCs w:val="19"/>
      <w:lang w:val="en-AU" w:eastAsia="en-US"/>
    </w:rPr>
  </w:style>
  <w:style w:type="paragraph" w:customStyle="1" w:styleId="TableParagraph">
    <w:name w:val="Table Paragraph"/>
    <w:basedOn w:val="Normal"/>
    <w:uiPriority w:val="1"/>
    <w:qFormat/>
    <w:rsid w:val="00361ABE"/>
    <w:pPr>
      <w:widowControl w:val="0"/>
      <w:autoSpaceDE w:val="0"/>
      <w:autoSpaceDN w:val="0"/>
      <w:spacing w:before="116" w:after="0" w:line="240" w:lineRule="auto"/>
      <w:ind w:left="115"/>
    </w:pPr>
    <w:rPr>
      <w:rFonts w:ascii="Segoe UI" w:eastAsia="Segoe UI" w:hAnsi="Segoe UI" w:cs="Segoe UI"/>
      <w:color w:val="auto"/>
      <w:sz w:val="22"/>
      <w:szCs w:val="22"/>
      <w:lang w:eastAsia="en-US"/>
    </w:rPr>
  </w:style>
  <w:style w:type="character" w:customStyle="1" w:styleId="normaltextrun">
    <w:name w:val="normaltextrun"/>
    <w:basedOn w:val="DefaultParagraphFont"/>
    <w:rsid w:val="0096052B"/>
  </w:style>
  <w:style w:type="character" w:customStyle="1" w:styleId="eop">
    <w:name w:val="eop"/>
    <w:basedOn w:val="DefaultParagraphFont"/>
    <w:rsid w:val="0096052B"/>
  </w:style>
  <w:style w:type="character" w:customStyle="1" w:styleId="citation">
    <w:name w:val="citation"/>
    <w:basedOn w:val="DefaultParagraphFont"/>
    <w:rsid w:val="00D35CD7"/>
  </w:style>
  <w:style w:type="character" w:styleId="HTMLCite">
    <w:name w:val="HTML Cite"/>
    <w:basedOn w:val="DefaultParagraphFont"/>
    <w:uiPriority w:val="99"/>
    <w:semiHidden/>
    <w:unhideWhenUsed/>
    <w:rsid w:val="00D35CD7"/>
    <w:rPr>
      <w:i/>
      <w:iCs/>
    </w:rPr>
  </w:style>
  <w:style w:type="character" w:customStyle="1" w:styleId="retrieval">
    <w:name w:val="retrieval"/>
    <w:basedOn w:val="DefaultParagraphFont"/>
    <w:rsid w:val="00D35CD7"/>
  </w:style>
  <w:style w:type="character" w:customStyle="1" w:styleId="BoardNumberedNormalChar">
    <w:name w:val="Board Numbered Normal Char"/>
    <w:basedOn w:val="DefaultParagraphFont"/>
    <w:link w:val="BoardNumberedNormal"/>
    <w:locked/>
    <w:rsid w:val="008071DA"/>
    <w:rPr>
      <w:rFonts w:ascii="Arial" w:eastAsia="Times New Roman" w:hAnsi="Arial" w:cs="Times New Roman"/>
      <w:szCs w:val="24"/>
      <w:lang w:val="en-AU"/>
    </w:rPr>
  </w:style>
  <w:style w:type="paragraph" w:customStyle="1" w:styleId="BoardNumberedNormal">
    <w:name w:val="Board Numbered Normal"/>
    <w:basedOn w:val="Normal"/>
    <w:link w:val="BoardNumberedNormalChar"/>
    <w:qFormat/>
    <w:rsid w:val="008071DA"/>
    <w:pPr>
      <w:numPr>
        <w:numId w:val="38"/>
      </w:numPr>
      <w:tabs>
        <w:tab w:val="left" w:pos="7938"/>
      </w:tabs>
      <w:spacing w:before="160" w:after="160" w:line="240" w:lineRule="auto"/>
      <w:ind w:right="1410"/>
      <w:jc w:val="both"/>
    </w:pPr>
    <w:rPr>
      <w:rFonts w:ascii="Arial" w:eastAsia="Times New Roman" w:hAnsi="Arial" w:cs="Times New Roman"/>
      <w:szCs w:val="24"/>
    </w:rPr>
  </w:style>
  <w:style w:type="paragraph" w:customStyle="1" w:styleId="ScheduleLevel3">
    <w:name w:val="Schedule Level 3"/>
    <w:aliases w:val="S3"/>
    <w:uiPriority w:val="99"/>
    <w:qFormat/>
    <w:rsid w:val="008071DA"/>
    <w:pPr>
      <w:tabs>
        <w:tab w:val="num" w:pos="1134"/>
      </w:tabs>
      <w:spacing w:before="140" w:after="140" w:line="280" w:lineRule="atLeast"/>
      <w:ind w:left="1134" w:hanging="1134"/>
    </w:pPr>
    <w:rPr>
      <w:rFonts w:ascii="Arial" w:eastAsia="Times New Roman" w:hAnsi="Arial" w:cs="Arial"/>
      <w:color w:val="auto"/>
      <w:sz w:val="22"/>
      <w:szCs w:val="22"/>
      <w:lang w:eastAsia="en-AU"/>
    </w:rPr>
  </w:style>
  <w:style w:type="character" w:styleId="Emphasis">
    <w:name w:val="Emphasis"/>
    <w:basedOn w:val="DefaultParagraphFont"/>
    <w:uiPriority w:val="20"/>
    <w:qFormat/>
    <w:rsid w:val="008F4447"/>
    <w:rPr>
      <w:i/>
      <w:iCs/>
    </w:rPr>
  </w:style>
  <w:style w:type="character" w:customStyle="1" w:styleId="A2">
    <w:name w:val="A2"/>
    <w:uiPriority w:val="99"/>
    <w:rsid w:val="00827268"/>
    <w:rPr>
      <w:rFonts w:cs="Roboto Light"/>
      <w:color w:val="2C237C"/>
      <w:sz w:val="18"/>
      <w:szCs w:val="18"/>
    </w:rPr>
  </w:style>
  <w:style w:type="paragraph" w:customStyle="1" w:styleId="pf0">
    <w:name w:val="pf0"/>
    <w:basedOn w:val="Normal"/>
    <w:rsid w:val="0013306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13306C"/>
    <w:rPr>
      <w:rFonts w:ascii="Segoe UI" w:hAnsi="Segoe UI" w:cs="Segoe UI" w:hint="default"/>
      <w:sz w:val="18"/>
      <w:szCs w:val="18"/>
    </w:rPr>
  </w:style>
  <w:style w:type="character" w:customStyle="1" w:styleId="cf11">
    <w:name w:val="cf11"/>
    <w:basedOn w:val="DefaultParagraphFont"/>
    <w:rsid w:val="000D07D6"/>
    <w:rPr>
      <w:rFonts w:ascii="Segoe UI" w:hAnsi="Segoe UI" w:cs="Segoe UI" w:hint="default"/>
      <w:sz w:val="18"/>
      <w:szCs w:val="18"/>
    </w:rPr>
  </w:style>
  <w:style w:type="character" w:customStyle="1" w:styleId="field">
    <w:name w:val="field"/>
    <w:basedOn w:val="DefaultParagraphFont"/>
    <w:rsid w:val="0032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583">
      <w:bodyDiv w:val="1"/>
      <w:marLeft w:val="0"/>
      <w:marRight w:val="0"/>
      <w:marTop w:val="0"/>
      <w:marBottom w:val="0"/>
      <w:divBdr>
        <w:top w:val="none" w:sz="0" w:space="0" w:color="auto"/>
        <w:left w:val="none" w:sz="0" w:space="0" w:color="auto"/>
        <w:bottom w:val="none" w:sz="0" w:space="0" w:color="auto"/>
        <w:right w:val="none" w:sz="0" w:space="0" w:color="auto"/>
      </w:divBdr>
    </w:div>
    <w:div w:id="27142490">
      <w:bodyDiv w:val="1"/>
      <w:marLeft w:val="0"/>
      <w:marRight w:val="0"/>
      <w:marTop w:val="0"/>
      <w:marBottom w:val="0"/>
      <w:divBdr>
        <w:top w:val="none" w:sz="0" w:space="0" w:color="auto"/>
        <w:left w:val="none" w:sz="0" w:space="0" w:color="auto"/>
        <w:bottom w:val="none" w:sz="0" w:space="0" w:color="auto"/>
        <w:right w:val="none" w:sz="0" w:space="0" w:color="auto"/>
      </w:divBdr>
    </w:div>
    <w:div w:id="29965572">
      <w:bodyDiv w:val="1"/>
      <w:marLeft w:val="0"/>
      <w:marRight w:val="0"/>
      <w:marTop w:val="0"/>
      <w:marBottom w:val="0"/>
      <w:divBdr>
        <w:top w:val="none" w:sz="0" w:space="0" w:color="auto"/>
        <w:left w:val="none" w:sz="0" w:space="0" w:color="auto"/>
        <w:bottom w:val="none" w:sz="0" w:space="0" w:color="auto"/>
        <w:right w:val="none" w:sz="0" w:space="0" w:color="auto"/>
      </w:divBdr>
    </w:div>
    <w:div w:id="89859843">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48519747">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83636881">
      <w:bodyDiv w:val="1"/>
      <w:marLeft w:val="0"/>
      <w:marRight w:val="0"/>
      <w:marTop w:val="0"/>
      <w:marBottom w:val="0"/>
      <w:divBdr>
        <w:top w:val="none" w:sz="0" w:space="0" w:color="auto"/>
        <w:left w:val="none" w:sz="0" w:space="0" w:color="auto"/>
        <w:bottom w:val="none" w:sz="0" w:space="0" w:color="auto"/>
        <w:right w:val="none" w:sz="0" w:space="0" w:color="auto"/>
      </w:divBdr>
    </w:div>
    <w:div w:id="229270070">
      <w:bodyDiv w:val="1"/>
      <w:marLeft w:val="0"/>
      <w:marRight w:val="0"/>
      <w:marTop w:val="0"/>
      <w:marBottom w:val="0"/>
      <w:divBdr>
        <w:top w:val="none" w:sz="0" w:space="0" w:color="auto"/>
        <w:left w:val="none" w:sz="0" w:space="0" w:color="auto"/>
        <w:bottom w:val="none" w:sz="0" w:space="0" w:color="auto"/>
        <w:right w:val="none" w:sz="0" w:space="0" w:color="auto"/>
      </w:divBdr>
    </w:div>
    <w:div w:id="295450345">
      <w:bodyDiv w:val="1"/>
      <w:marLeft w:val="0"/>
      <w:marRight w:val="0"/>
      <w:marTop w:val="0"/>
      <w:marBottom w:val="0"/>
      <w:divBdr>
        <w:top w:val="none" w:sz="0" w:space="0" w:color="auto"/>
        <w:left w:val="none" w:sz="0" w:space="0" w:color="auto"/>
        <w:bottom w:val="none" w:sz="0" w:space="0" w:color="auto"/>
        <w:right w:val="none" w:sz="0" w:space="0" w:color="auto"/>
      </w:divBdr>
    </w:div>
    <w:div w:id="303462579">
      <w:bodyDiv w:val="1"/>
      <w:marLeft w:val="0"/>
      <w:marRight w:val="0"/>
      <w:marTop w:val="0"/>
      <w:marBottom w:val="0"/>
      <w:divBdr>
        <w:top w:val="none" w:sz="0" w:space="0" w:color="auto"/>
        <w:left w:val="none" w:sz="0" w:space="0" w:color="auto"/>
        <w:bottom w:val="none" w:sz="0" w:space="0" w:color="auto"/>
        <w:right w:val="none" w:sz="0" w:space="0" w:color="auto"/>
      </w:divBdr>
    </w:div>
    <w:div w:id="334647811">
      <w:bodyDiv w:val="1"/>
      <w:marLeft w:val="0"/>
      <w:marRight w:val="0"/>
      <w:marTop w:val="0"/>
      <w:marBottom w:val="0"/>
      <w:divBdr>
        <w:top w:val="none" w:sz="0" w:space="0" w:color="auto"/>
        <w:left w:val="none" w:sz="0" w:space="0" w:color="auto"/>
        <w:bottom w:val="none" w:sz="0" w:space="0" w:color="auto"/>
        <w:right w:val="none" w:sz="0" w:space="0" w:color="auto"/>
      </w:divBdr>
    </w:div>
    <w:div w:id="382023755">
      <w:bodyDiv w:val="1"/>
      <w:marLeft w:val="0"/>
      <w:marRight w:val="0"/>
      <w:marTop w:val="0"/>
      <w:marBottom w:val="0"/>
      <w:divBdr>
        <w:top w:val="none" w:sz="0" w:space="0" w:color="auto"/>
        <w:left w:val="none" w:sz="0" w:space="0" w:color="auto"/>
        <w:bottom w:val="none" w:sz="0" w:space="0" w:color="auto"/>
        <w:right w:val="none" w:sz="0" w:space="0" w:color="auto"/>
      </w:divBdr>
    </w:div>
    <w:div w:id="386102479">
      <w:bodyDiv w:val="1"/>
      <w:marLeft w:val="0"/>
      <w:marRight w:val="0"/>
      <w:marTop w:val="0"/>
      <w:marBottom w:val="0"/>
      <w:divBdr>
        <w:top w:val="none" w:sz="0" w:space="0" w:color="auto"/>
        <w:left w:val="none" w:sz="0" w:space="0" w:color="auto"/>
        <w:bottom w:val="none" w:sz="0" w:space="0" w:color="auto"/>
        <w:right w:val="none" w:sz="0" w:space="0" w:color="auto"/>
      </w:divBdr>
    </w:div>
    <w:div w:id="393744952">
      <w:bodyDiv w:val="1"/>
      <w:marLeft w:val="0"/>
      <w:marRight w:val="0"/>
      <w:marTop w:val="0"/>
      <w:marBottom w:val="0"/>
      <w:divBdr>
        <w:top w:val="none" w:sz="0" w:space="0" w:color="auto"/>
        <w:left w:val="none" w:sz="0" w:space="0" w:color="auto"/>
        <w:bottom w:val="none" w:sz="0" w:space="0" w:color="auto"/>
        <w:right w:val="none" w:sz="0" w:space="0" w:color="auto"/>
      </w:divBdr>
    </w:div>
    <w:div w:id="415247902">
      <w:bodyDiv w:val="1"/>
      <w:marLeft w:val="0"/>
      <w:marRight w:val="0"/>
      <w:marTop w:val="0"/>
      <w:marBottom w:val="0"/>
      <w:divBdr>
        <w:top w:val="none" w:sz="0" w:space="0" w:color="auto"/>
        <w:left w:val="none" w:sz="0" w:space="0" w:color="auto"/>
        <w:bottom w:val="none" w:sz="0" w:space="0" w:color="auto"/>
        <w:right w:val="none" w:sz="0" w:space="0" w:color="auto"/>
      </w:divBdr>
    </w:div>
    <w:div w:id="427964095">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49507897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96057729">
      <w:bodyDiv w:val="1"/>
      <w:marLeft w:val="0"/>
      <w:marRight w:val="0"/>
      <w:marTop w:val="0"/>
      <w:marBottom w:val="0"/>
      <w:divBdr>
        <w:top w:val="none" w:sz="0" w:space="0" w:color="auto"/>
        <w:left w:val="none" w:sz="0" w:space="0" w:color="auto"/>
        <w:bottom w:val="none" w:sz="0" w:space="0" w:color="auto"/>
        <w:right w:val="none" w:sz="0" w:space="0" w:color="auto"/>
      </w:divBdr>
    </w:div>
    <w:div w:id="641618455">
      <w:bodyDiv w:val="1"/>
      <w:marLeft w:val="0"/>
      <w:marRight w:val="0"/>
      <w:marTop w:val="0"/>
      <w:marBottom w:val="0"/>
      <w:divBdr>
        <w:top w:val="none" w:sz="0" w:space="0" w:color="auto"/>
        <w:left w:val="none" w:sz="0" w:space="0" w:color="auto"/>
        <w:bottom w:val="none" w:sz="0" w:space="0" w:color="auto"/>
        <w:right w:val="none" w:sz="0" w:space="0" w:color="auto"/>
      </w:divBdr>
    </w:div>
    <w:div w:id="677855676">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55176385">
      <w:bodyDiv w:val="1"/>
      <w:marLeft w:val="0"/>
      <w:marRight w:val="0"/>
      <w:marTop w:val="0"/>
      <w:marBottom w:val="0"/>
      <w:divBdr>
        <w:top w:val="none" w:sz="0" w:space="0" w:color="auto"/>
        <w:left w:val="none" w:sz="0" w:space="0" w:color="auto"/>
        <w:bottom w:val="none" w:sz="0" w:space="0" w:color="auto"/>
        <w:right w:val="none" w:sz="0" w:space="0" w:color="auto"/>
      </w:divBdr>
    </w:div>
    <w:div w:id="766123541">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46096125">
      <w:bodyDiv w:val="1"/>
      <w:marLeft w:val="0"/>
      <w:marRight w:val="0"/>
      <w:marTop w:val="0"/>
      <w:marBottom w:val="0"/>
      <w:divBdr>
        <w:top w:val="none" w:sz="0" w:space="0" w:color="auto"/>
        <w:left w:val="none" w:sz="0" w:space="0" w:color="auto"/>
        <w:bottom w:val="none" w:sz="0" w:space="0" w:color="auto"/>
        <w:right w:val="none" w:sz="0" w:space="0" w:color="auto"/>
      </w:divBdr>
      <w:divsChild>
        <w:div w:id="1521046458">
          <w:marLeft w:val="994"/>
          <w:marRight w:val="0"/>
          <w:marTop w:val="0"/>
          <w:marBottom w:val="0"/>
          <w:divBdr>
            <w:top w:val="none" w:sz="0" w:space="0" w:color="auto"/>
            <w:left w:val="none" w:sz="0" w:space="0" w:color="auto"/>
            <w:bottom w:val="none" w:sz="0" w:space="0" w:color="auto"/>
            <w:right w:val="none" w:sz="0" w:space="0" w:color="auto"/>
          </w:divBdr>
        </w:div>
      </w:divsChild>
    </w:div>
    <w:div w:id="858735842">
      <w:bodyDiv w:val="1"/>
      <w:marLeft w:val="0"/>
      <w:marRight w:val="0"/>
      <w:marTop w:val="0"/>
      <w:marBottom w:val="0"/>
      <w:divBdr>
        <w:top w:val="none" w:sz="0" w:space="0" w:color="auto"/>
        <w:left w:val="none" w:sz="0" w:space="0" w:color="auto"/>
        <w:bottom w:val="none" w:sz="0" w:space="0" w:color="auto"/>
        <w:right w:val="none" w:sz="0" w:space="0" w:color="auto"/>
      </w:divBdr>
    </w:div>
    <w:div w:id="918712483">
      <w:bodyDiv w:val="1"/>
      <w:marLeft w:val="0"/>
      <w:marRight w:val="0"/>
      <w:marTop w:val="0"/>
      <w:marBottom w:val="0"/>
      <w:divBdr>
        <w:top w:val="none" w:sz="0" w:space="0" w:color="auto"/>
        <w:left w:val="none" w:sz="0" w:space="0" w:color="auto"/>
        <w:bottom w:val="none" w:sz="0" w:space="0" w:color="auto"/>
        <w:right w:val="none" w:sz="0" w:space="0" w:color="auto"/>
      </w:divBdr>
    </w:div>
    <w:div w:id="965814928">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71661311">
      <w:bodyDiv w:val="1"/>
      <w:marLeft w:val="0"/>
      <w:marRight w:val="0"/>
      <w:marTop w:val="0"/>
      <w:marBottom w:val="0"/>
      <w:divBdr>
        <w:top w:val="none" w:sz="0" w:space="0" w:color="auto"/>
        <w:left w:val="none" w:sz="0" w:space="0" w:color="auto"/>
        <w:bottom w:val="none" w:sz="0" w:space="0" w:color="auto"/>
        <w:right w:val="none" w:sz="0" w:space="0" w:color="auto"/>
      </w:divBdr>
    </w:div>
    <w:div w:id="1080131022">
      <w:bodyDiv w:val="1"/>
      <w:marLeft w:val="0"/>
      <w:marRight w:val="0"/>
      <w:marTop w:val="0"/>
      <w:marBottom w:val="0"/>
      <w:divBdr>
        <w:top w:val="none" w:sz="0" w:space="0" w:color="auto"/>
        <w:left w:val="none" w:sz="0" w:space="0" w:color="auto"/>
        <w:bottom w:val="none" w:sz="0" w:space="0" w:color="auto"/>
        <w:right w:val="none" w:sz="0" w:space="0" w:color="auto"/>
      </w:divBdr>
    </w:div>
    <w:div w:id="1102802478">
      <w:bodyDiv w:val="1"/>
      <w:marLeft w:val="0"/>
      <w:marRight w:val="0"/>
      <w:marTop w:val="0"/>
      <w:marBottom w:val="0"/>
      <w:divBdr>
        <w:top w:val="none" w:sz="0" w:space="0" w:color="auto"/>
        <w:left w:val="none" w:sz="0" w:space="0" w:color="auto"/>
        <w:bottom w:val="none" w:sz="0" w:space="0" w:color="auto"/>
        <w:right w:val="none" w:sz="0" w:space="0" w:color="auto"/>
      </w:divBdr>
    </w:div>
    <w:div w:id="1124428028">
      <w:bodyDiv w:val="1"/>
      <w:marLeft w:val="0"/>
      <w:marRight w:val="0"/>
      <w:marTop w:val="0"/>
      <w:marBottom w:val="0"/>
      <w:divBdr>
        <w:top w:val="none" w:sz="0" w:space="0" w:color="auto"/>
        <w:left w:val="none" w:sz="0" w:space="0" w:color="auto"/>
        <w:bottom w:val="none" w:sz="0" w:space="0" w:color="auto"/>
        <w:right w:val="none" w:sz="0" w:space="0" w:color="auto"/>
      </w:divBdr>
    </w:div>
    <w:div w:id="1147017465">
      <w:bodyDiv w:val="1"/>
      <w:marLeft w:val="0"/>
      <w:marRight w:val="0"/>
      <w:marTop w:val="0"/>
      <w:marBottom w:val="0"/>
      <w:divBdr>
        <w:top w:val="none" w:sz="0" w:space="0" w:color="auto"/>
        <w:left w:val="none" w:sz="0" w:space="0" w:color="auto"/>
        <w:bottom w:val="none" w:sz="0" w:space="0" w:color="auto"/>
        <w:right w:val="none" w:sz="0" w:space="0" w:color="auto"/>
      </w:divBdr>
    </w:div>
    <w:div w:id="1244030250">
      <w:bodyDiv w:val="1"/>
      <w:marLeft w:val="0"/>
      <w:marRight w:val="0"/>
      <w:marTop w:val="0"/>
      <w:marBottom w:val="0"/>
      <w:divBdr>
        <w:top w:val="none" w:sz="0" w:space="0" w:color="auto"/>
        <w:left w:val="none" w:sz="0" w:space="0" w:color="auto"/>
        <w:bottom w:val="none" w:sz="0" w:space="0" w:color="auto"/>
        <w:right w:val="none" w:sz="0" w:space="0" w:color="auto"/>
      </w:divBdr>
    </w:div>
    <w:div w:id="1244803650">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309869144">
      <w:bodyDiv w:val="1"/>
      <w:marLeft w:val="0"/>
      <w:marRight w:val="0"/>
      <w:marTop w:val="0"/>
      <w:marBottom w:val="0"/>
      <w:divBdr>
        <w:top w:val="none" w:sz="0" w:space="0" w:color="auto"/>
        <w:left w:val="none" w:sz="0" w:space="0" w:color="auto"/>
        <w:bottom w:val="none" w:sz="0" w:space="0" w:color="auto"/>
        <w:right w:val="none" w:sz="0" w:space="0" w:color="auto"/>
      </w:divBdr>
    </w:div>
    <w:div w:id="1338078544">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18284726">
      <w:bodyDiv w:val="1"/>
      <w:marLeft w:val="0"/>
      <w:marRight w:val="0"/>
      <w:marTop w:val="0"/>
      <w:marBottom w:val="0"/>
      <w:divBdr>
        <w:top w:val="none" w:sz="0" w:space="0" w:color="auto"/>
        <w:left w:val="none" w:sz="0" w:space="0" w:color="auto"/>
        <w:bottom w:val="none" w:sz="0" w:space="0" w:color="auto"/>
        <w:right w:val="none" w:sz="0" w:space="0" w:color="auto"/>
      </w:divBdr>
    </w:div>
    <w:div w:id="1523129912">
      <w:bodyDiv w:val="1"/>
      <w:marLeft w:val="0"/>
      <w:marRight w:val="0"/>
      <w:marTop w:val="0"/>
      <w:marBottom w:val="0"/>
      <w:divBdr>
        <w:top w:val="none" w:sz="0" w:space="0" w:color="auto"/>
        <w:left w:val="none" w:sz="0" w:space="0" w:color="auto"/>
        <w:bottom w:val="none" w:sz="0" w:space="0" w:color="auto"/>
        <w:right w:val="none" w:sz="0" w:space="0" w:color="auto"/>
      </w:divBdr>
    </w:div>
    <w:div w:id="160992370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04672247">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61484312">
      <w:bodyDiv w:val="1"/>
      <w:marLeft w:val="0"/>
      <w:marRight w:val="0"/>
      <w:marTop w:val="0"/>
      <w:marBottom w:val="0"/>
      <w:divBdr>
        <w:top w:val="none" w:sz="0" w:space="0" w:color="auto"/>
        <w:left w:val="none" w:sz="0" w:space="0" w:color="auto"/>
        <w:bottom w:val="none" w:sz="0" w:space="0" w:color="auto"/>
        <w:right w:val="none" w:sz="0" w:space="0" w:color="auto"/>
      </w:divBdr>
    </w:div>
    <w:div w:id="1800878243">
      <w:bodyDiv w:val="1"/>
      <w:marLeft w:val="0"/>
      <w:marRight w:val="0"/>
      <w:marTop w:val="0"/>
      <w:marBottom w:val="0"/>
      <w:divBdr>
        <w:top w:val="none" w:sz="0" w:space="0" w:color="auto"/>
        <w:left w:val="none" w:sz="0" w:space="0" w:color="auto"/>
        <w:bottom w:val="none" w:sz="0" w:space="0" w:color="auto"/>
        <w:right w:val="none" w:sz="0" w:space="0" w:color="auto"/>
      </w:divBdr>
    </w:div>
    <w:div w:id="1811054329">
      <w:bodyDiv w:val="1"/>
      <w:marLeft w:val="0"/>
      <w:marRight w:val="0"/>
      <w:marTop w:val="0"/>
      <w:marBottom w:val="0"/>
      <w:divBdr>
        <w:top w:val="none" w:sz="0" w:space="0" w:color="auto"/>
        <w:left w:val="none" w:sz="0" w:space="0" w:color="auto"/>
        <w:bottom w:val="none" w:sz="0" w:space="0" w:color="auto"/>
        <w:right w:val="none" w:sz="0" w:space="0" w:color="auto"/>
      </w:divBdr>
    </w:div>
    <w:div w:id="1823811230">
      <w:bodyDiv w:val="1"/>
      <w:marLeft w:val="0"/>
      <w:marRight w:val="0"/>
      <w:marTop w:val="0"/>
      <w:marBottom w:val="0"/>
      <w:divBdr>
        <w:top w:val="none" w:sz="0" w:space="0" w:color="auto"/>
        <w:left w:val="none" w:sz="0" w:space="0" w:color="auto"/>
        <w:bottom w:val="none" w:sz="0" w:space="0" w:color="auto"/>
        <w:right w:val="none" w:sz="0" w:space="0" w:color="auto"/>
      </w:divBdr>
    </w:div>
    <w:div w:id="1829899291">
      <w:bodyDiv w:val="1"/>
      <w:marLeft w:val="0"/>
      <w:marRight w:val="0"/>
      <w:marTop w:val="0"/>
      <w:marBottom w:val="0"/>
      <w:divBdr>
        <w:top w:val="none" w:sz="0" w:space="0" w:color="auto"/>
        <w:left w:val="none" w:sz="0" w:space="0" w:color="auto"/>
        <w:bottom w:val="none" w:sz="0" w:space="0" w:color="auto"/>
        <w:right w:val="none" w:sz="0" w:space="0" w:color="auto"/>
      </w:divBdr>
    </w:div>
    <w:div w:id="1831557041">
      <w:bodyDiv w:val="1"/>
      <w:marLeft w:val="0"/>
      <w:marRight w:val="0"/>
      <w:marTop w:val="0"/>
      <w:marBottom w:val="0"/>
      <w:divBdr>
        <w:top w:val="none" w:sz="0" w:space="0" w:color="auto"/>
        <w:left w:val="none" w:sz="0" w:space="0" w:color="auto"/>
        <w:bottom w:val="none" w:sz="0" w:space="0" w:color="auto"/>
        <w:right w:val="none" w:sz="0" w:space="0" w:color="auto"/>
      </w:divBdr>
    </w:div>
    <w:div w:id="1831866062">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23369830">
      <w:bodyDiv w:val="1"/>
      <w:marLeft w:val="0"/>
      <w:marRight w:val="0"/>
      <w:marTop w:val="0"/>
      <w:marBottom w:val="0"/>
      <w:divBdr>
        <w:top w:val="none" w:sz="0" w:space="0" w:color="auto"/>
        <w:left w:val="none" w:sz="0" w:space="0" w:color="auto"/>
        <w:bottom w:val="none" w:sz="0" w:space="0" w:color="auto"/>
        <w:right w:val="none" w:sz="0" w:space="0" w:color="auto"/>
      </w:divBdr>
    </w:div>
    <w:div w:id="2036300123">
      <w:bodyDiv w:val="1"/>
      <w:marLeft w:val="0"/>
      <w:marRight w:val="0"/>
      <w:marTop w:val="0"/>
      <w:marBottom w:val="0"/>
      <w:divBdr>
        <w:top w:val="none" w:sz="0" w:space="0" w:color="auto"/>
        <w:left w:val="none" w:sz="0" w:space="0" w:color="auto"/>
        <w:bottom w:val="none" w:sz="0" w:space="0" w:color="auto"/>
        <w:right w:val="none" w:sz="0" w:space="0" w:color="auto"/>
      </w:divBdr>
    </w:div>
    <w:div w:id="2063362875">
      <w:bodyDiv w:val="1"/>
      <w:marLeft w:val="0"/>
      <w:marRight w:val="0"/>
      <w:marTop w:val="0"/>
      <w:marBottom w:val="0"/>
      <w:divBdr>
        <w:top w:val="none" w:sz="0" w:space="0" w:color="auto"/>
        <w:left w:val="none" w:sz="0" w:space="0" w:color="auto"/>
        <w:bottom w:val="none" w:sz="0" w:space="0" w:color="auto"/>
        <w:right w:val="none" w:sz="0" w:space="0" w:color="auto"/>
      </w:divBdr>
    </w:div>
    <w:div w:id="2077048499">
      <w:bodyDiv w:val="1"/>
      <w:marLeft w:val="0"/>
      <w:marRight w:val="0"/>
      <w:marTop w:val="0"/>
      <w:marBottom w:val="0"/>
      <w:divBdr>
        <w:top w:val="none" w:sz="0" w:space="0" w:color="auto"/>
        <w:left w:val="none" w:sz="0" w:space="0" w:color="auto"/>
        <w:bottom w:val="none" w:sz="0" w:space="0" w:color="auto"/>
        <w:right w:val="none" w:sz="0" w:space="0" w:color="auto"/>
      </w:divBdr>
    </w:div>
    <w:div w:id="211269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cyhub.edu.au/" TargetMode="External"/><Relationship Id="rId18" Type="http://schemas.openxmlformats.org/officeDocument/2006/relationships/hyperlink" Target="https://www.scootle.edu.au/ec/p/ho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athematicshub.edu.au/" TargetMode="External"/><Relationship Id="rId17" Type="http://schemas.openxmlformats.org/officeDocument/2006/relationships/hyperlink" Target="https://studentwellbeinghub.edu.au/" TargetMode="External"/><Relationship Id="rId2" Type="http://schemas.openxmlformats.org/officeDocument/2006/relationships/customXml" Target="../customXml/item2.xml"/><Relationship Id="rId16" Type="http://schemas.openxmlformats.org/officeDocument/2006/relationships/hyperlink" Target="https://st4s.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wellbeinghub.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igitaltechnologieshub.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ndfonline.com/doi/full/10.1080/19415257.2017.14233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gist.edu.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SA Office">
  <a:themeElements>
    <a:clrScheme name="ESA">
      <a:dk1>
        <a:srgbClr val="000000"/>
      </a:dk1>
      <a:lt1>
        <a:srgbClr val="FFFFFF"/>
      </a:lt1>
      <a:dk2>
        <a:srgbClr val="4F458F"/>
      </a:dk2>
      <a:lt2>
        <a:srgbClr val="CCCCCC"/>
      </a:lt2>
      <a:accent1>
        <a:srgbClr val="241773"/>
      </a:accent1>
      <a:accent2>
        <a:srgbClr val="5482AB"/>
      </a:accent2>
      <a:accent3>
        <a:srgbClr val="1E9D8B"/>
      </a:accent3>
      <a:accent4>
        <a:srgbClr val="3095B3"/>
      </a:accent4>
      <a:accent5>
        <a:srgbClr val="374149"/>
      </a:accent5>
      <a:accent6>
        <a:srgbClr val="D1D3D3"/>
      </a:accent6>
      <a:hlink>
        <a:srgbClr val="241773"/>
      </a:hlink>
      <a:folHlink>
        <a:srgbClr val="3741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489d69cc509ea8ff6335c2e3ed8b77e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ca7857444555ed9b65516082750063d"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A9E03-9074-469D-8367-10038685C3BC}">
  <ds:schemaRefs>
    <ds:schemaRef ds:uri="http://schemas.openxmlformats.org/officeDocument/2006/bibliography"/>
  </ds:schemaRefs>
</ds:datastoreItem>
</file>

<file path=customXml/itemProps2.xml><?xml version="1.0" encoding="utf-8"?>
<ds:datastoreItem xmlns:ds="http://schemas.openxmlformats.org/officeDocument/2006/customXml" ds:itemID="{AF8873F5-37D8-4386-B1B3-22855C17E592}">
  <ds:schemaRefs>
    <ds:schemaRef ds:uri="http://purl.org/dc/elements/1.1/"/>
    <ds:schemaRef ds:uri="http://schemas.microsoft.com/office/2006/metadata/properties"/>
    <ds:schemaRef ds:uri="8863fef4-a928-4b42-80f7-22702e616c5c"/>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167780-d458-4e20-a521-cd369a511d6e"/>
  </ds:schemaRefs>
</ds:datastoreItem>
</file>

<file path=customXml/itemProps3.xml><?xml version="1.0" encoding="utf-8"?>
<ds:datastoreItem xmlns:ds="http://schemas.openxmlformats.org/officeDocument/2006/customXml" ds:itemID="{03854423-0BCD-4332-ABEE-40FB80F3F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340E2-9DA0-46F9-963C-E09D46C65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5101</Words>
  <Characters>30354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Submission DR76 - Education Services Australia (ESA) - National School Reform Agreement - Commissioned study</vt:lpstr>
    </vt:vector>
  </TitlesOfParts>
  <Company>Education Services Australia (ESA)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DR76 - Education Services Australia (ESA) - National School Reform Agreement - Commissioned study</dc:title>
  <dc:subject/>
  <dc:creator>Education Services Australia (ESA) </dc:creator>
  <cp:keywords/>
  <dc:description/>
  <cp:lastModifiedBy>Chris Alston</cp:lastModifiedBy>
  <cp:revision>4</cp:revision>
  <cp:lastPrinted>2021-07-22T07:53:00Z</cp:lastPrinted>
  <dcterms:created xsi:type="dcterms:W3CDTF">2022-10-20T22:56:00Z</dcterms:created>
  <dcterms:modified xsi:type="dcterms:W3CDTF">2022-10-24T00:25:00Z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