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D38B" w14:textId="41637CBB" w:rsidR="00EA6496" w:rsidRDefault="00EA6496" w:rsidP="00ED2D76">
      <w:r>
        <w:rPr>
          <w:noProof/>
          <w:lang w:eastAsia="en-AU"/>
        </w:rPr>
        <w:drawing>
          <wp:inline distT="0" distB="0" distL="0" distR="0" wp14:anchorId="23E8ACBC" wp14:editId="03CEB467">
            <wp:extent cx="1935008" cy="869004"/>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694" cy="876498"/>
                    </a:xfrm>
                    <a:prstGeom prst="rect">
                      <a:avLst/>
                    </a:prstGeom>
                    <a:noFill/>
                  </pic:spPr>
                </pic:pic>
              </a:graphicData>
            </a:graphic>
          </wp:inline>
        </w:drawing>
      </w:r>
    </w:p>
    <w:p w14:paraId="5904EE3F" w14:textId="5C4E9F59" w:rsidR="00D52C0C" w:rsidRDefault="00ED405A" w:rsidP="00625D8F">
      <w:pPr>
        <w:ind w:firstLine="0"/>
        <w:rPr>
          <w:b/>
          <w:bCs/>
          <w:caps/>
        </w:rPr>
      </w:pPr>
      <w:r w:rsidRPr="005B44F7">
        <w:rPr>
          <w:b/>
          <w:bCs/>
          <w:caps/>
        </w:rPr>
        <w:t xml:space="preserve"> </w:t>
      </w:r>
      <w:r w:rsidR="00E67BBF" w:rsidRPr="005B44F7">
        <w:rPr>
          <w:b/>
          <w:bCs/>
          <w:caps/>
        </w:rPr>
        <w:t>Productivity Commission</w:t>
      </w:r>
      <w:r w:rsidR="00A66D8D" w:rsidRPr="005B44F7">
        <w:rPr>
          <w:b/>
          <w:bCs/>
          <w:caps/>
        </w:rPr>
        <w:t>: 5</w:t>
      </w:r>
      <w:r w:rsidR="00247E90" w:rsidRPr="005B44F7">
        <w:rPr>
          <w:b/>
          <w:bCs/>
          <w:caps/>
        </w:rPr>
        <w:t>-</w:t>
      </w:r>
      <w:r w:rsidR="00A66D8D" w:rsidRPr="005B44F7">
        <w:rPr>
          <w:b/>
          <w:bCs/>
          <w:caps/>
        </w:rPr>
        <w:t>year Productivity Inquiry: The Key to Prosperity.</w:t>
      </w:r>
      <w:r w:rsidR="00E67BBF" w:rsidRPr="005B44F7">
        <w:rPr>
          <w:b/>
          <w:bCs/>
          <w:caps/>
        </w:rPr>
        <w:t xml:space="preserve"> </w:t>
      </w:r>
    </w:p>
    <w:p w14:paraId="5E8D6DA8" w14:textId="427FD81B" w:rsidR="00CD510A" w:rsidRDefault="001223D6" w:rsidP="00625D8F">
      <w:pPr>
        <w:ind w:firstLine="0"/>
      </w:pPr>
      <w:hyperlink r:id="rId9" w:anchor="draft" w:history="1">
        <w:r w:rsidR="00CD510A" w:rsidRPr="00B31718">
          <w:rPr>
            <w:rStyle w:val="Hyperlink"/>
          </w:rPr>
          <w:t>https://www.pc.gov.au/inquiries/current/productivity#draft</w:t>
        </w:r>
      </w:hyperlink>
    </w:p>
    <w:p w14:paraId="77FB5BE2" w14:textId="0AE862C1" w:rsidR="00A66D8D" w:rsidRPr="00A05592" w:rsidRDefault="00D52C0C" w:rsidP="00473467">
      <w:pPr>
        <w:pStyle w:val="ListParagraph"/>
        <w:numPr>
          <w:ilvl w:val="0"/>
          <w:numId w:val="13"/>
        </w:numPr>
        <w:ind w:left="351" w:hanging="357"/>
        <w:contextualSpacing w:val="0"/>
        <w:rPr>
          <w:rStyle w:val="Hyperlink"/>
          <w:color w:val="auto"/>
          <w:u w:val="none"/>
        </w:rPr>
      </w:pPr>
      <w:r>
        <w:t xml:space="preserve">The </w:t>
      </w:r>
      <w:r w:rsidRPr="002A51C4">
        <w:rPr>
          <w:b/>
          <w:bCs/>
        </w:rPr>
        <w:t>Australian Council of Deans of Health Sciences (ACDHS)</w:t>
      </w:r>
      <w:r>
        <w:t xml:space="preserve"> welcomes the opportunity to provide </w:t>
      </w:r>
      <w:r w:rsidR="00BF6DC8">
        <w:t>a high</w:t>
      </w:r>
      <w:r w:rsidR="006C40A5">
        <w:t>-</w:t>
      </w:r>
      <w:r w:rsidR="00BF6DC8">
        <w:t xml:space="preserve">level response to </w:t>
      </w:r>
      <w:r>
        <w:t xml:space="preserve">the </w:t>
      </w:r>
      <w:r w:rsidR="00746824">
        <w:t>Interim Reports</w:t>
      </w:r>
      <w:r>
        <w:t xml:space="preserve"> released by the Productivity Commission.   </w:t>
      </w:r>
      <w:r w:rsidR="00FB2EC9">
        <w:t xml:space="preserve">ACDHS is the peak representative organisation for Australian universities engaged in education and research </w:t>
      </w:r>
      <w:r w:rsidR="00422441">
        <w:t>in health sciences</w:t>
      </w:r>
      <w:r w:rsidR="00806CFD">
        <w:t xml:space="preserve">.  </w:t>
      </w:r>
      <w:r w:rsidR="00A66D8D">
        <w:t>As the educators of allied health professionals, ACDHS sits at the nexus between health care and education sectors. Members are well placed to provide insights on the demands our future health workforce will face, and opportunities to improve the productivity of their practice and sustainability of systems they will work i</w:t>
      </w:r>
      <w:r w:rsidR="00625D8F">
        <w:t xml:space="preserve">n. </w:t>
      </w:r>
      <w:r w:rsidR="00A66D8D">
        <w:t xml:space="preserve">   More information is available at </w:t>
      </w:r>
      <w:hyperlink r:id="rId10" w:history="1">
        <w:r w:rsidR="00A66D8D" w:rsidRPr="009D2BEC">
          <w:rPr>
            <w:rStyle w:val="Hyperlink"/>
          </w:rPr>
          <w:t>https://acdhs.edu.au/</w:t>
        </w:r>
      </w:hyperlink>
    </w:p>
    <w:p w14:paraId="54B5F670" w14:textId="010079DA" w:rsidR="00B824E5" w:rsidRDefault="00C75FB8" w:rsidP="00473467">
      <w:pPr>
        <w:pStyle w:val="ListParagraph"/>
        <w:numPr>
          <w:ilvl w:val="0"/>
          <w:numId w:val="13"/>
        </w:numPr>
        <w:ind w:left="351" w:hanging="357"/>
        <w:contextualSpacing w:val="0"/>
      </w:pPr>
      <w:r>
        <w:t xml:space="preserve">It is from this unique perspective that ACDHS provides </w:t>
      </w:r>
      <w:r w:rsidR="00635265">
        <w:t xml:space="preserve">the following comments against </w:t>
      </w:r>
      <w:r w:rsidR="006C40A5">
        <w:t>three</w:t>
      </w:r>
      <w:r w:rsidR="00635265">
        <w:t xml:space="preserve"> key areas</w:t>
      </w:r>
      <w:r w:rsidR="00070B9B">
        <w:t xml:space="preserve"> aligned to Interim Reports as follows</w:t>
      </w:r>
      <w:r w:rsidR="00B824E5">
        <w:t>:</w:t>
      </w:r>
    </w:p>
    <w:tbl>
      <w:tblPr>
        <w:tblStyle w:val="TableGrid"/>
        <w:tblW w:w="8923" w:type="dxa"/>
        <w:tblInd w:w="279"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4722"/>
        <w:gridCol w:w="4201"/>
      </w:tblGrid>
      <w:tr w:rsidR="007859F1" w14:paraId="56EB6FDC" w14:textId="77777777" w:rsidTr="007859F1">
        <w:tc>
          <w:tcPr>
            <w:tcW w:w="4722" w:type="dxa"/>
          </w:tcPr>
          <w:p w14:paraId="0A70021C" w14:textId="68C15C32" w:rsidR="007859F1" w:rsidRDefault="007859F1" w:rsidP="007859F1">
            <w:pPr>
              <w:pStyle w:val="ListParagraph"/>
              <w:spacing w:after="120"/>
              <w:ind w:left="57" w:firstLine="0"/>
              <w:contextualSpacing w:val="0"/>
            </w:pPr>
            <w:r w:rsidRPr="00024C8A">
              <w:t>Health system reforms and national workforce planning</w:t>
            </w:r>
          </w:p>
        </w:tc>
        <w:tc>
          <w:tcPr>
            <w:tcW w:w="4201" w:type="dxa"/>
          </w:tcPr>
          <w:p w14:paraId="060DB528" w14:textId="20DCA42A" w:rsidR="007859F1" w:rsidRDefault="007859F1" w:rsidP="007859F1">
            <w:pPr>
              <w:spacing w:after="120"/>
              <w:ind w:firstLine="0"/>
            </w:pPr>
            <w:r>
              <w:t>Interim Report 3: Innovation for the 98%</w:t>
            </w:r>
          </w:p>
        </w:tc>
      </w:tr>
      <w:tr w:rsidR="007859F1" w14:paraId="52C0E21F" w14:textId="77777777" w:rsidTr="007859F1">
        <w:tc>
          <w:tcPr>
            <w:tcW w:w="4722" w:type="dxa"/>
          </w:tcPr>
          <w:p w14:paraId="212F2AD5" w14:textId="5CFAD3F6" w:rsidR="007859F1" w:rsidRDefault="007859F1" w:rsidP="007859F1">
            <w:pPr>
              <w:pStyle w:val="ListParagraph"/>
              <w:spacing w:after="120"/>
              <w:ind w:left="57" w:firstLine="0"/>
              <w:contextualSpacing w:val="0"/>
            </w:pPr>
            <w:r w:rsidRPr="00024C8A">
              <w:t>Research and dissemination of innovation</w:t>
            </w:r>
          </w:p>
        </w:tc>
        <w:tc>
          <w:tcPr>
            <w:tcW w:w="4201" w:type="dxa"/>
          </w:tcPr>
          <w:p w14:paraId="298AF40A" w14:textId="119518E3" w:rsidR="007859F1" w:rsidRDefault="007859F1" w:rsidP="00070B9B">
            <w:pPr>
              <w:ind w:firstLine="0"/>
            </w:pPr>
            <w:r>
              <w:t>Interim Report 3: Innovation for the 98%</w:t>
            </w:r>
          </w:p>
        </w:tc>
      </w:tr>
      <w:tr w:rsidR="007859F1" w14:paraId="1CE55CF5" w14:textId="77777777" w:rsidTr="007859F1">
        <w:tc>
          <w:tcPr>
            <w:tcW w:w="4722" w:type="dxa"/>
          </w:tcPr>
          <w:p w14:paraId="4CAFABD5" w14:textId="1DA27E5A" w:rsidR="007859F1" w:rsidRDefault="007859F1" w:rsidP="007859F1">
            <w:pPr>
              <w:pStyle w:val="ListParagraph"/>
              <w:spacing w:after="120"/>
              <w:ind w:left="57" w:firstLine="0"/>
              <w:contextualSpacing w:val="0"/>
            </w:pPr>
            <w:r w:rsidRPr="00024C8A">
              <w:t>Skills and education</w:t>
            </w:r>
          </w:p>
        </w:tc>
        <w:tc>
          <w:tcPr>
            <w:tcW w:w="4201" w:type="dxa"/>
          </w:tcPr>
          <w:p w14:paraId="0A5FEBCA" w14:textId="55F53DE8" w:rsidR="007859F1" w:rsidRDefault="007859F1" w:rsidP="00070B9B">
            <w:pPr>
              <w:ind w:firstLine="0"/>
            </w:pPr>
            <w:r>
              <w:t>Interim Report 5:  From Learning to Growth</w:t>
            </w:r>
          </w:p>
        </w:tc>
      </w:tr>
    </w:tbl>
    <w:p w14:paraId="15BE2DC8" w14:textId="546E43F6" w:rsidR="00CB6F55" w:rsidRPr="00CB6F55" w:rsidRDefault="00CB6F55" w:rsidP="007859F1">
      <w:pPr>
        <w:spacing w:before="120"/>
        <w:ind w:firstLine="0"/>
        <w:rPr>
          <w:b/>
          <w:bCs/>
        </w:rPr>
      </w:pPr>
      <w:r w:rsidRPr="00CB6F55">
        <w:rPr>
          <w:b/>
          <w:bCs/>
        </w:rPr>
        <w:t xml:space="preserve">Health System </w:t>
      </w:r>
      <w:r>
        <w:rPr>
          <w:b/>
          <w:bCs/>
        </w:rPr>
        <w:t>R</w:t>
      </w:r>
      <w:r w:rsidRPr="00CB6F55">
        <w:rPr>
          <w:b/>
          <w:bCs/>
        </w:rPr>
        <w:t>eforms</w:t>
      </w:r>
    </w:p>
    <w:p w14:paraId="371EDCC3" w14:textId="2891B715" w:rsidR="00016543" w:rsidRDefault="001B40C9" w:rsidP="003F2881">
      <w:pPr>
        <w:pStyle w:val="ListParagraph"/>
        <w:numPr>
          <w:ilvl w:val="0"/>
          <w:numId w:val="13"/>
        </w:numPr>
        <w:ind w:left="351" w:hanging="357"/>
        <w:contextualSpacing w:val="0"/>
      </w:pPr>
      <w:r>
        <w:t>Australia’s health and care systems are under acute pressure</w:t>
      </w:r>
      <w:r w:rsidR="006A7F9B">
        <w:t>:</w:t>
      </w:r>
      <w:r w:rsidR="002A744B">
        <w:t xml:space="preserve"> </w:t>
      </w:r>
      <w:r w:rsidR="00E13B29">
        <w:t xml:space="preserve">sustainability and reforms are high on the current agenda for Governments and stakeholder groups such as primary care and general practice, aged care, disability services, and emergency services.  </w:t>
      </w:r>
      <w:r w:rsidR="00340BFC">
        <w:t xml:space="preserve">The COVID-19 pandemic has </w:t>
      </w:r>
      <w:r w:rsidR="005D3A06">
        <w:t>severely disrupted the health and care systems</w:t>
      </w:r>
      <w:r w:rsidR="000F2BBD">
        <w:t>, with workforce shortages reaching a critical level</w:t>
      </w:r>
      <w:r w:rsidR="00E546F3">
        <w:t xml:space="preserve"> as</w:t>
      </w:r>
      <w:r w:rsidR="00EA353D">
        <w:t xml:space="preserve"> </w:t>
      </w:r>
      <w:r w:rsidR="00F27BB1">
        <w:t xml:space="preserve">confirmed in the latest </w:t>
      </w:r>
      <w:r w:rsidR="0034326D">
        <w:t>Skills Priority List</w:t>
      </w:r>
      <w:r w:rsidR="000F159D">
        <w:rPr>
          <w:rStyle w:val="FootnoteReference"/>
        </w:rPr>
        <w:footnoteReference w:id="2"/>
      </w:r>
      <w:r w:rsidR="00E011A3">
        <w:t xml:space="preserve">. </w:t>
      </w:r>
      <w:r w:rsidR="008C6C46">
        <w:t xml:space="preserve"> </w:t>
      </w:r>
      <w:r w:rsidR="00EA6CF5">
        <w:t xml:space="preserve"> </w:t>
      </w:r>
      <w:r w:rsidR="003A6603">
        <w:t>T</w:t>
      </w:r>
      <w:r w:rsidR="00020B6D">
        <w:t xml:space="preserve">he health sector forms a substantive </w:t>
      </w:r>
      <w:r w:rsidR="003A6603">
        <w:t>component</w:t>
      </w:r>
      <w:r w:rsidR="00C4748F">
        <w:t xml:space="preserve"> of the economy</w:t>
      </w:r>
      <w:r w:rsidR="003A6603">
        <w:t>,</w:t>
      </w:r>
      <w:r w:rsidR="00C4748F">
        <w:t xml:space="preserve"> with total spending in </w:t>
      </w:r>
      <w:r w:rsidR="00D44620">
        <w:t xml:space="preserve">2022-23 </w:t>
      </w:r>
      <w:r w:rsidR="00894B99">
        <w:t>estimated</w:t>
      </w:r>
      <w:r w:rsidR="00D44620">
        <w:t xml:space="preserve"> to be $105.8 billion, representing 16.8% of the Australian Government’s total expenditure</w:t>
      </w:r>
      <w:r w:rsidR="000D7BC5">
        <w:rPr>
          <w:rStyle w:val="FootnoteReference"/>
        </w:rPr>
        <w:footnoteReference w:id="3"/>
      </w:r>
      <w:r w:rsidR="00C4748F">
        <w:t xml:space="preserve"> </w:t>
      </w:r>
      <w:r w:rsidR="009E4BBE">
        <w:t>and</w:t>
      </w:r>
      <w:r w:rsidR="00AB15D3">
        <w:t xml:space="preserve"> </w:t>
      </w:r>
      <w:r w:rsidR="009E4BBE">
        <w:t>around 10% of GDP</w:t>
      </w:r>
      <w:r w:rsidR="00AB15D3">
        <w:rPr>
          <w:rStyle w:val="FootnoteReference"/>
        </w:rPr>
        <w:footnoteReference w:id="4"/>
      </w:r>
      <w:r w:rsidR="0008602D">
        <w:t>. T</w:t>
      </w:r>
      <w:r w:rsidR="00FA4CF0">
        <w:t xml:space="preserve">he potential for productivity gains in this sector </w:t>
      </w:r>
      <w:r w:rsidR="001B5431">
        <w:t xml:space="preserve">is </w:t>
      </w:r>
      <w:r w:rsidR="00907C40">
        <w:t>worthy of consideration in its own right</w:t>
      </w:r>
      <w:r w:rsidR="00FA4CF0">
        <w:t>.</w:t>
      </w:r>
    </w:p>
    <w:p w14:paraId="74FF7BBA" w14:textId="508437E6" w:rsidR="00A74713" w:rsidRDefault="00016543" w:rsidP="003F2881">
      <w:pPr>
        <w:pStyle w:val="ListParagraph"/>
        <w:numPr>
          <w:ilvl w:val="0"/>
          <w:numId w:val="13"/>
        </w:numPr>
        <w:ind w:left="351" w:hanging="357"/>
        <w:contextualSpacing w:val="0"/>
      </w:pPr>
      <w:r>
        <w:t xml:space="preserve">ACDHS supports the fundamental role of primary health care </w:t>
      </w:r>
      <w:r w:rsidR="00ED6EAF">
        <w:t>as the foundation of</w:t>
      </w:r>
      <w:r>
        <w:t xml:space="preserve"> Australia’s health and care</w:t>
      </w:r>
      <w:r w:rsidR="00ED6EAF">
        <w:t xml:space="preserve"> sectors</w:t>
      </w:r>
      <w:r w:rsidR="00D74E5B">
        <w:t xml:space="preserve"> and encourages the Productivity Commission to consider </w:t>
      </w:r>
      <w:r w:rsidR="001B5431">
        <w:t>more explicitly</w:t>
      </w:r>
      <w:r w:rsidR="00D74E5B">
        <w:t xml:space="preserve"> </w:t>
      </w:r>
      <w:r w:rsidR="001B5431">
        <w:t xml:space="preserve">the importance of </w:t>
      </w:r>
      <w:r w:rsidR="00D74E5B">
        <w:t xml:space="preserve">strengthening primary health care </w:t>
      </w:r>
      <w:r w:rsidR="00882199">
        <w:t>as a driver of health system productivity</w:t>
      </w:r>
      <w:r w:rsidR="00C3767D">
        <w:t>.</w:t>
      </w:r>
      <w:r w:rsidR="00ED6EAF">
        <w:t xml:space="preserve"> </w:t>
      </w:r>
      <w:r w:rsidR="00C93780">
        <w:t xml:space="preserve">There is </w:t>
      </w:r>
      <w:r w:rsidR="001513B4">
        <w:t>a large body</w:t>
      </w:r>
      <w:r w:rsidR="00C93780">
        <w:t xml:space="preserve"> of evidence to demonstrat</w:t>
      </w:r>
      <w:r w:rsidR="00487148">
        <w:t xml:space="preserve">e </w:t>
      </w:r>
      <w:r w:rsidR="00C93780">
        <w:t xml:space="preserve">that </w:t>
      </w:r>
      <w:r w:rsidR="001819BF">
        <w:t>a health system based on e</w:t>
      </w:r>
      <w:r w:rsidR="003B1E39">
        <w:t>ffective primary health care services deliver better health outcomes at a lower cost than</w:t>
      </w:r>
      <w:r w:rsidR="009E2967">
        <w:t xml:space="preserve"> hospital and specialist orientated health delivery</w:t>
      </w:r>
      <w:r w:rsidR="00350C1D">
        <w:rPr>
          <w:rStyle w:val="FootnoteReference"/>
        </w:rPr>
        <w:footnoteReference w:id="5"/>
      </w:r>
      <w:r w:rsidR="009E2967">
        <w:t>.</w:t>
      </w:r>
      <w:r w:rsidR="00E011A3">
        <w:t xml:space="preserve"> </w:t>
      </w:r>
      <w:r w:rsidR="00EA353D">
        <w:t>A well-functioning primary health care sector can deliver a focus on preventive health</w:t>
      </w:r>
      <w:r w:rsidR="001D7900">
        <w:t xml:space="preserve">, </w:t>
      </w:r>
      <w:r w:rsidR="00EA353D">
        <w:t>help avoid unnecessary hospitalisations</w:t>
      </w:r>
      <w:r w:rsidR="006A7F9B">
        <w:t>,</w:t>
      </w:r>
      <w:r w:rsidR="001D7900">
        <w:t xml:space="preserve"> and deliver a productivity dividend to </w:t>
      </w:r>
      <w:r w:rsidR="00AA0631">
        <w:t>Australia</w:t>
      </w:r>
      <w:r w:rsidR="00D01AC2">
        <w:t>. T</w:t>
      </w:r>
      <w:r w:rsidR="008E3C48">
        <w:t>his</w:t>
      </w:r>
      <w:r w:rsidR="00244362">
        <w:t xml:space="preserve"> has been recognised by the Productivity Commission in previous reporting</w:t>
      </w:r>
      <w:r w:rsidR="00F61BC8">
        <w:rPr>
          <w:rStyle w:val="FootnoteReference"/>
        </w:rPr>
        <w:footnoteReference w:id="6"/>
      </w:r>
      <w:r w:rsidR="006A7F9B">
        <w:t>.</w:t>
      </w:r>
    </w:p>
    <w:p w14:paraId="661AE966" w14:textId="18D5C121" w:rsidR="00E41D54" w:rsidRDefault="00E41D54" w:rsidP="006814B6">
      <w:pPr>
        <w:pStyle w:val="ListParagraph"/>
        <w:numPr>
          <w:ilvl w:val="0"/>
          <w:numId w:val="13"/>
        </w:numPr>
        <w:ind w:left="351" w:hanging="357"/>
        <w:contextualSpacing w:val="0"/>
      </w:pPr>
      <w:r>
        <w:lastRenderedPageBreak/>
        <w:t>Australia’s Primary Health Care 10-year Plan 2022-2032</w:t>
      </w:r>
      <w:r>
        <w:rPr>
          <w:rStyle w:val="FootnoteReference"/>
        </w:rPr>
        <w:footnoteReference w:id="7"/>
      </w:r>
      <w:r>
        <w:t xml:space="preserve"> (</w:t>
      </w:r>
      <w:r w:rsidR="00AA0631">
        <w:t xml:space="preserve">Australia’s </w:t>
      </w:r>
      <w:r>
        <w:t>PHC Plan) identifies multidisciplinary team-based care arrangements as a key plank of primary health care services</w:t>
      </w:r>
      <w:r w:rsidR="00EF62C7">
        <w:t>,</w:t>
      </w:r>
      <w:r>
        <w:t xml:space="preserve"> and </w:t>
      </w:r>
      <w:r w:rsidRPr="00863B4F">
        <w:rPr>
          <w:rFonts w:ascii="Calibri" w:eastAsia="Calibri" w:hAnsi="Calibri" w:cs="Calibri"/>
        </w:rPr>
        <w:t>notes that funding models for allied health</w:t>
      </w:r>
      <w:r w:rsidR="00E12FEA">
        <w:rPr>
          <w:rFonts w:ascii="Calibri" w:eastAsia="Calibri" w:hAnsi="Calibri" w:cs="Calibri"/>
        </w:rPr>
        <w:t xml:space="preserve"> professionals</w:t>
      </w:r>
      <w:r w:rsidRPr="00863B4F">
        <w:rPr>
          <w:rFonts w:ascii="Calibri" w:eastAsia="Calibri" w:hAnsi="Calibri" w:cs="Calibri"/>
        </w:rPr>
        <w:t>, nurse practitioners, nurses, midwives and others need to be better developed to promote access and support the delivery of effective, appropriate care in viable business models.</w:t>
      </w:r>
      <w:r w:rsidR="000F4AE8" w:rsidRPr="000F4AE8">
        <w:t xml:space="preserve"> </w:t>
      </w:r>
      <w:r w:rsidR="000F4AE8">
        <w:t>In this 2023 report, the Productivity Commission has the opportunity to lever off Australia’s PHC Plan to provide clear directions for future health system reforms to deliver health sector productivity gains.</w:t>
      </w:r>
    </w:p>
    <w:p w14:paraId="3234FC69" w14:textId="42F258D5" w:rsidR="00975B61" w:rsidRPr="00DE23DB" w:rsidRDefault="00AC3195" w:rsidP="00DE23DB">
      <w:pPr>
        <w:pStyle w:val="ListParagraph"/>
        <w:numPr>
          <w:ilvl w:val="0"/>
          <w:numId w:val="13"/>
        </w:numPr>
        <w:ind w:left="351" w:hanging="357"/>
        <w:contextualSpacing w:val="0"/>
        <w:rPr>
          <w:rFonts w:ascii="Segoe UI" w:hAnsi="Segoe UI" w:cs="Segoe UI"/>
          <w:sz w:val="20"/>
          <w:szCs w:val="20"/>
        </w:rPr>
      </w:pPr>
      <w:r>
        <w:t>Allied health professional</w:t>
      </w:r>
      <w:r w:rsidR="00C90F35">
        <w:t>s provide</w:t>
      </w:r>
      <w:r w:rsidR="0085201F">
        <w:t xml:space="preserve"> services</w:t>
      </w:r>
      <w:r w:rsidR="00B35F92">
        <w:t xml:space="preserve"> </w:t>
      </w:r>
      <w:r w:rsidR="00C90F35">
        <w:t xml:space="preserve">across the </w:t>
      </w:r>
      <w:r w:rsidR="00575CCA">
        <w:t>lifecycle and</w:t>
      </w:r>
      <w:r w:rsidR="00D41FFD">
        <w:t xml:space="preserve"> </w:t>
      </w:r>
      <w:r w:rsidR="0085201F">
        <w:t xml:space="preserve">are core to prevention and </w:t>
      </w:r>
      <w:r w:rsidR="00F15F83">
        <w:t xml:space="preserve">multidisciplinary </w:t>
      </w:r>
      <w:r w:rsidR="0085201F">
        <w:t>management of chronic and complex conditions</w:t>
      </w:r>
      <w:r w:rsidR="00D41FFD">
        <w:t xml:space="preserve">. </w:t>
      </w:r>
      <w:r w:rsidR="00DE23DB">
        <w:t>A</w:t>
      </w:r>
      <w:r w:rsidRPr="00D425A1">
        <w:t>llied health professional</w:t>
      </w:r>
      <w:r w:rsidR="00DE23DB">
        <w:t xml:space="preserve"> services </w:t>
      </w:r>
      <w:r w:rsidRPr="00D425A1">
        <w:t>can</w:t>
      </w:r>
      <w:r>
        <w:t xml:space="preserve"> </w:t>
      </w:r>
      <w:r w:rsidR="0019030E">
        <w:t>reduce the need for medical interventions and</w:t>
      </w:r>
      <w:r w:rsidR="00481346">
        <w:t xml:space="preserve"> </w:t>
      </w:r>
      <w:r w:rsidRPr="00D425A1">
        <w:t>extend independent living</w:t>
      </w:r>
      <w:r w:rsidR="00481346">
        <w:t xml:space="preserve"> and </w:t>
      </w:r>
      <w:r w:rsidRPr="00D425A1">
        <w:t>reduce premature</w:t>
      </w:r>
      <w:r>
        <w:t>, costly</w:t>
      </w:r>
      <w:r w:rsidRPr="00D425A1">
        <w:t xml:space="preserve"> institutionalisation</w:t>
      </w:r>
      <w:r w:rsidR="0019030E">
        <w:t xml:space="preserve"> for older </w:t>
      </w:r>
      <w:r w:rsidR="004551A4">
        <w:t>Australians</w:t>
      </w:r>
      <w:r>
        <w:t>.</w:t>
      </w:r>
      <w:r w:rsidRPr="00D425A1">
        <w:t xml:space="preserve"> </w:t>
      </w:r>
      <w:r w:rsidR="00456E4C">
        <w:t xml:space="preserve"> </w:t>
      </w:r>
      <w:r w:rsidR="00A74713">
        <w:t xml:space="preserve">Allied </w:t>
      </w:r>
      <w:r w:rsidR="00E12FEA">
        <w:t>h</w:t>
      </w:r>
      <w:r w:rsidR="00A74713">
        <w:t xml:space="preserve">ealth </w:t>
      </w:r>
      <w:r w:rsidR="00E12FEA">
        <w:t>p</w:t>
      </w:r>
      <w:r w:rsidR="00A74713">
        <w:t>rofessionals</w:t>
      </w:r>
      <w:r w:rsidR="003F3DC9">
        <w:t xml:space="preserve"> also</w:t>
      </w:r>
      <w:r w:rsidR="00A74713">
        <w:t xml:space="preserve"> partner with people with disabilities to</w:t>
      </w:r>
      <w:r w:rsidR="003F3DC9">
        <w:t xml:space="preserve"> </w:t>
      </w:r>
      <w:r w:rsidR="00A74713">
        <w:t>support and intervene to ensure they can access school, vocational training or higher education and can function with as much independence as possible</w:t>
      </w:r>
      <w:r w:rsidR="00456E4C">
        <w:t xml:space="preserve">. </w:t>
      </w:r>
      <w:r w:rsidR="00A74713">
        <w:t xml:space="preserve"> </w:t>
      </w:r>
      <w:r w:rsidR="00DE23DB">
        <w:t>Timely and easy access to allied health can prevent avoidable hospitalisation and maintain independence , physical, social and cognitive function,</w:t>
      </w:r>
      <w:r w:rsidR="006A7F9B">
        <w:t xml:space="preserve"> and</w:t>
      </w:r>
      <w:r w:rsidR="00DE23DB">
        <w:t xml:space="preserve"> reduc</w:t>
      </w:r>
      <w:r w:rsidR="006A7F9B">
        <w:t>e</w:t>
      </w:r>
      <w:r w:rsidR="00DE23DB">
        <w:t xml:space="preserve"> the costs associated with deteriorating function. Allied health professionals deliver specialised skills to allow Australians to lead healthy, long and productive lives. </w:t>
      </w:r>
    </w:p>
    <w:p w14:paraId="78443748" w14:textId="4E6A101C" w:rsidR="00D64326" w:rsidRDefault="00D20248" w:rsidP="00456E4C">
      <w:pPr>
        <w:pStyle w:val="ListParagraph"/>
        <w:numPr>
          <w:ilvl w:val="0"/>
          <w:numId w:val="13"/>
        </w:numPr>
        <w:contextualSpacing w:val="0"/>
      </w:pPr>
      <w:r>
        <w:t>While the full extent of the impact of Long COVID in Australia is yet to be determined, estimates ind</w:t>
      </w:r>
      <w:r w:rsidR="00D75ED1">
        <w:t xml:space="preserve">icate that there will be a </w:t>
      </w:r>
      <w:r w:rsidR="006A7F9B">
        <w:t xml:space="preserve">significant </w:t>
      </w:r>
      <w:r w:rsidR="00D75ED1">
        <w:t>number of p</w:t>
      </w:r>
      <w:r w:rsidR="00835306">
        <w:t>eople</w:t>
      </w:r>
      <w:r w:rsidR="00DD3E32">
        <w:t xml:space="preserve"> in the community</w:t>
      </w:r>
      <w:r w:rsidR="00881CBF">
        <w:t xml:space="preserve"> affect</w:t>
      </w:r>
      <w:r w:rsidR="000F4AE8">
        <w:t>e</w:t>
      </w:r>
      <w:r w:rsidR="00881CBF">
        <w:t>d</w:t>
      </w:r>
      <w:r w:rsidR="00DF4DA3">
        <w:t xml:space="preserve">.  </w:t>
      </w:r>
      <w:r w:rsidR="00523B95">
        <w:t xml:space="preserve">Those </w:t>
      </w:r>
      <w:r w:rsidR="00835306">
        <w:t>who are not permanently impaired</w:t>
      </w:r>
      <w:r w:rsidR="00C22413">
        <w:t xml:space="preserve"> and </w:t>
      </w:r>
      <w:r w:rsidR="00834403">
        <w:t>do not qualify for aged or disability services</w:t>
      </w:r>
      <w:r w:rsidR="00523B95">
        <w:t xml:space="preserve"> </w:t>
      </w:r>
      <w:r w:rsidR="00D75ED1">
        <w:t>will</w:t>
      </w:r>
      <w:r w:rsidR="00C22413">
        <w:t xml:space="preserve"> require </w:t>
      </w:r>
      <w:r w:rsidR="006F342B">
        <w:t xml:space="preserve">ongoing access to </w:t>
      </w:r>
      <w:r w:rsidR="002F44F0">
        <w:t xml:space="preserve">person – centred </w:t>
      </w:r>
      <w:r w:rsidR="00212CA3">
        <w:t xml:space="preserve">multidisciplinary </w:t>
      </w:r>
      <w:r w:rsidR="006F342B">
        <w:t>rehabilitation services</w:t>
      </w:r>
      <w:r w:rsidR="00C3673B">
        <w:t xml:space="preserve">.  </w:t>
      </w:r>
      <w:r w:rsidR="004D10D8">
        <w:t xml:space="preserve">This will put further strain on rehabilitation services, particularly in rural and remote areas where </w:t>
      </w:r>
      <w:r w:rsidR="003B1A5A">
        <w:t xml:space="preserve">such </w:t>
      </w:r>
      <w:r w:rsidR="004D10D8">
        <w:t>services are limited</w:t>
      </w:r>
      <w:r w:rsidR="0020716D">
        <w:rPr>
          <w:rStyle w:val="FootnoteReference"/>
        </w:rPr>
        <w:footnoteReference w:id="8"/>
      </w:r>
      <w:r w:rsidR="006F342B">
        <w:t xml:space="preserve"> </w:t>
      </w:r>
      <w:r w:rsidR="00881CBF">
        <w:t xml:space="preserve"> </w:t>
      </w:r>
      <w:r w:rsidR="000F4AE8">
        <w:t xml:space="preserve">Without </w:t>
      </w:r>
      <w:r w:rsidR="00881CBF">
        <w:t xml:space="preserve">access to services, these people will </w:t>
      </w:r>
      <w:r w:rsidR="006D4F3C">
        <w:t>miss</w:t>
      </w:r>
      <w:r w:rsidR="00881CBF">
        <w:t xml:space="preserve"> the opportunity to return to full functionality and</w:t>
      </w:r>
      <w:r w:rsidR="006D4F3C">
        <w:t xml:space="preserve"> to</w:t>
      </w:r>
      <w:r w:rsidR="00881CBF">
        <w:t xml:space="preserve"> </w:t>
      </w:r>
      <w:r w:rsidR="00012982">
        <w:t>contribute</w:t>
      </w:r>
      <w:r w:rsidR="00881CBF">
        <w:t xml:space="preserve"> to family, society and the economy. </w:t>
      </w:r>
      <w:r w:rsidR="006A7F9B">
        <w:t xml:space="preserve">This is an important productivity consideration. </w:t>
      </w:r>
      <w:r w:rsidR="00881CBF">
        <w:t xml:space="preserve"> </w:t>
      </w:r>
    </w:p>
    <w:p w14:paraId="65B21607" w14:textId="49CB9D1A" w:rsidR="00E517C7" w:rsidRPr="00E517C7" w:rsidRDefault="00DE6AC4" w:rsidP="00E517C7">
      <w:pPr>
        <w:ind w:firstLine="0"/>
      </w:pPr>
      <w:r w:rsidRPr="00DE6AC4">
        <w:rPr>
          <w:b/>
          <w:bCs/>
          <w:i/>
          <w:iCs/>
        </w:rPr>
        <w:t>National Health Care Workforce Planning</w:t>
      </w:r>
    </w:p>
    <w:p w14:paraId="5B3197C0" w14:textId="497035FE" w:rsidR="006E3334" w:rsidRPr="006E3334" w:rsidRDefault="0068268C" w:rsidP="00473467">
      <w:pPr>
        <w:pStyle w:val="ListParagraph"/>
        <w:numPr>
          <w:ilvl w:val="0"/>
          <w:numId w:val="13"/>
        </w:numPr>
        <w:ind w:left="351" w:hanging="357"/>
        <w:contextualSpacing w:val="0"/>
      </w:pPr>
      <w:r>
        <w:t xml:space="preserve">Dealing with </w:t>
      </w:r>
      <w:r w:rsidR="00D040F4">
        <w:t xml:space="preserve">productivity </w:t>
      </w:r>
      <w:r>
        <w:t xml:space="preserve">issues and </w:t>
      </w:r>
      <w:r w:rsidR="00012982">
        <w:t>outdated</w:t>
      </w:r>
      <w:r>
        <w:t xml:space="preserve"> models of care </w:t>
      </w:r>
      <w:r w:rsidR="00674B3C">
        <w:t xml:space="preserve">in the health system </w:t>
      </w:r>
      <w:r>
        <w:t xml:space="preserve">could improve retention of the existing health workforce and appeal to new graduates. </w:t>
      </w:r>
      <w:r w:rsidR="00FD3A97">
        <w:t xml:space="preserve">Unfortunately, </w:t>
      </w:r>
      <w:r w:rsidR="00DE6AC4" w:rsidRPr="006E3334">
        <w:rPr>
          <w:rFonts w:cstheme="minorHAnsi"/>
          <w:lang w:val="en-AU"/>
        </w:rPr>
        <w:t xml:space="preserve">Australia has lost ground in planning for the future health and care workforce and </w:t>
      </w:r>
      <w:r w:rsidR="00DE6AC4" w:rsidRPr="006E3334">
        <w:rPr>
          <w:rFonts w:cstheme="minorHAnsi"/>
        </w:rPr>
        <w:t xml:space="preserve">urgently </w:t>
      </w:r>
      <w:r w:rsidR="00DE6AC4" w:rsidRPr="006178BD">
        <w:t>needs</w:t>
      </w:r>
      <w:r w:rsidR="00DE6AC4" w:rsidRPr="006E3334">
        <w:rPr>
          <w:rFonts w:cstheme="minorHAnsi"/>
        </w:rPr>
        <w:t xml:space="preserve"> an evidence based, state-of-the-art </w:t>
      </w:r>
      <w:r w:rsidR="00674B3C">
        <w:rPr>
          <w:rFonts w:cstheme="minorHAnsi"/>
        </w:rPr>
        <w:t>n</w:t>
      </w:r>
      <w:r w:rsidR="00DE6AC4" w:rsidRPr="006E3334">
        <w:rPr>
          <w:rFonts w:cstheme="minorHAnsi"/>
        </w:rPr>
        <w:t xml:space="preserve">ational </w:t>
      </w:r>
      <w:r w:rsidR="00674B3C">
        <w:rPr>
          <w:rFonts w:cstheme="minorHAnsi"/>
        </w:rPr>
        <w:t>h</w:t>
      </w:r>
      <w:r w:rsidR="00DE6AC4" w:rsidRPr="006E3334">
        <w:rPr>
          <w:rFonts w:cstheme="minorHAnsi"/>
        </w:rPr>
        <w:t xml:space="preserve">ealth </w:t>
      </w:r>
      <w:r w:rsidR="00674B3C">
        <w:rPr>
          <w:rFonts w:cstheme="minorHAnsi"/>
        </w:rPr>
        <w:t>w</w:t>
      </w:r>
      <w:r w:rsidR="00DE6AC4" w:rsidRPr="006E3334">
        <w:rPr>
          <w:rFonts w:cstheme="minorHAnsi"/>
        </w:rPr>
        <w:t xml:space="preserve">orkforce </w:t>
      </w:r>
      <w:r w:rsidR="00674B3C">
        <w:rPr>
          <w:rFonts w:cstheme="minorHAnsi"/>
        </w:rPr>
        <w:t>s</w:t>
      </w:r>
      <w:r w:rsidR="00DE6AC4" w:rsidRPr="006E3334">
        <w:rPr>
          <w:rFonts w:cstheme="minorHAnsi"/>
        </w:rPr>
        <w:t>trategy that is supported with adequate funding</w:t>
      </w:r>
      <w:r w:rsidR="00DE6AC4" w:rsidRPr="006E3334">
        <w:rPr>
          <w:rFonts w:cstheme="minorHAnsi"/>
          <w:lang w:val="en-AU"/>
        </w:rPr>
        <w:t>.</w:t>
      </w:r>
    </w:p>
    <w:p w14:paraId="62AAB2D5" w14:textId="3CB4A73F" w:rsidR="00DE6AC4" w:rsidRPr="0048442C" w:rsidRDefault="006E3334" w:rsidP="00473467">
      <w:pPr>
        <w:pStyle w:val="ListParagraph"/>
        <w:numPr>
          <w:ilvl w:val="0"/>
          <w:numId w:val="13"/>
        </w:numPr>
        <w:ind w:left="351" w:hanging="357"/>
        <w:contextualSpacing w:val="0"/>
      </w:pPr>
      <w:r w:rsidRPr="002D4197">
        <w:t xml:space="preserve">The COVID-19 pandemic </w:t>
      </w:r>
      <w:r>
        <w:t xml:space="preserve">has </w:t>
      </w:r>
      <w:r w:rsidR="005A0DC8">
        <w:t>highlighted</w:t>
      </w:r>
      <w:r w:rsidRPr="002D4197">
        <w:t xml:space="preserve"> the health and care workforce and its fragility. There is a need to act on the lessons learnt and plan for a resilient and sustainable workforce</w:t>
      </w:r>
      <w:r>
        <w:rPr>
          <w:rStyle w:val="FootnoteReference"/>
        </w:rPr>
        <w:footnoteReference w:id="9"/>
      </w:r>
      <w:r>
        <w:t>.</w:t>
      </w:r>
      <w:r w:rsidRPr="002D4197">
        <w:t xml:space="preserve">  </w:t>
      </w:r>
      <w:r w:rsidR="00DE6AC4" w:rsidRPr="006E3334">
        <w:rPr>
          <w:rFonts w:cstheme="minorHAnsi"/>
          <w:lang w:val="en-AU"/>
        </w:rPr>
        <w:t xml:space="preserve"> </w:t>
      </w:r>
      <w:r w:rsidR="00DE6AC4" w:rsidRPr="0048442C">
        <w:rPr>
          <w:rFonts w:ascii="Segoe UI" w:hAnsi="Segoe UI" w:cs="Segoe UI"/>
          <w:sz w:val="20"/>
          <w:szCs w:val="20"/>
        </w:rPr>
        <w:t xml:space="preserve">A national effort to deliver an integrated approach is required across health, disability and aged care to avoid competition between sectors and jurisdictions for workers. </w:t>
      </w:r>
      <w:r w:rsidR="00DE6AC4" w:rsidRPr="0048442C">
        <w:rPr>
          <w:rFonts w:ascii="Segoe UI" w:hAnsi="Segoe UI" w:cs="Segoe UI"/>
          <w:sz w:val="20"/>
          <w:szCs w:val="20"/>
          <w:shd w:val="clear" w:color="auto" w:fill="FFFFFF"/>
        </w:rPr>
        <w:t>There is also limited data to assist in workforce planning in Australia with respect to:</w:t>
      </w:r>
    </w:p>
    <w:p w14:paraId="499B8CE4" w14:textId="70D42198" w:rsidR="00DE6AC4" w:rsidRPr="0048442C" w:rsidRDefault="00DE6AC4" w:rsidP="00473467">
      <w:pPr>
        <w:pStyle w:val="ListParagraph"/>
        <w:numPr>
          <w:ilvl w:val="2"/>
          <w:numId w:val="4"/>
        </w:numPr>
        <w:ind w:left="1080"/>
        <w:rPr>
          <w:rFonts w:ascii="Segoe UI" w:hAnsi="Segoe UI" w:cs="Segoe UI"/>
          <w:sz w:val="20"/>
          <w:szCs w:val="20"/>
        </w:rPr>
      </w:pPr>
      <w:r w:rsidRPr="0048442C">
        <w:rPr>
          <w:rFonts w:ascii="Segoe UI" w:hAnsi="Segoe UI" w:cs="Segoe UI"/>
          <w:sz w:val="20"/>
          <w:szCs w:val="20"/>
        </w:rPr>
        <w:t>supply side factors (entry, exit, demographics, skill mix, areas of shortfall)</w:t>
      </w:r>
    </w:p>
    <w:p w14:paraId="6F78D5CD" w14:textId="77777777" w:rsidR="00DE6AC4" w:rsidRPr="0048442C" w:rsidRDefault="00DE6AC4" w:rsidP="00473467">
      <w:pPr>
        <w:pStyle w:val="ListParagraph"/>
        <w:numPr>
          <w:ilvl w:val="2"/>
          <w:numId w:val="4"/>
        </w:numPr>
        <w:ind w:left="1080"/>
        <w:rPr>
          <w:rFonts w:ascii="Segoe UI" w:hAnsi="Segoe UI" w:cs="Segoe UI"/>
          <w:sz w:val="20"/>
          <w:szCs w:val="20"/>
        </w:rPr>
      </w:pPr>
      <w:r w:rsidRPr="0048442C">
        <w:rPr>
          <w:rFonts w:ascii="Segoe UI" w:hAnsi="Segoe UI" w:cs="Segoe UI"/>
          <w:sz w:val="20"/>
          <w:szCs w:val="20"/>
        </w:rPr>
        <w:t>demand side factors (demographics, disease epidemiology, service utilisation, unmet need)</w:t>
      </w:r>
    </w:p>
    <w:p w14:paraId="1FCA48F5" w14:textId="1260977E" w:rsidR="0048442C" w:rsidRPr="00BA3E7D" w:rsidRDefault="00DE6AC4" w:rsidP="00473467">
      <w:pPr>
        <w:pStyle w:val="ListParagraph"/>
        <w:numPr>
          <w:ilvl w:val="2"/>
          <w:numId w:val="4"/>
        </w:numPr>
        <w:ind w:left="1080"/>
        <w:contextualSpacing w:val="0"/>
        <w:rPr>
          <w:rFonts w:ascii="Segoe UI" w:hAnsi="Segoe UI" w:cs="Segoe UI"/>
          <w:sz w:val="20"/>
          <w:szCs w:val="20"/>
          <w:shd w:val="clear" w:color="auto" w:fill="FFFFFF"/>
        </w:rPr>
      </w:pPr>
      <w:r w:rsidRPr="0048442C">
        <w:rPr>
          <w:rFonts w:ascii="Segoe UI" w:hAnsi="Segoe UI" w:cs="Segoe UI"/>
          <w:sz w:val="20"/>
          <w:szCs w:val="20"/>
        </w:rPr>
        <w:t>alternative scenarios (e</w:t>
      </w:r>
      <w:r w:rsidRPr="001E6315">
        <w:rPr>
          <w:rFonts w:ascii="Segoe UI" w:hAnsi="Segoe UI" w:cs="Segoe UI"/>
          <w:sz w:val="20"/>
          <w:szCs w:val="20"/>
        </w:rPr>
        <w:t xml:space="preserve">.g. changing skill mix, novel models of care, emerging technological </w:t>
      </w:r>
      <w:r w:rsidRPr="00BA3E7D">
        <w:rPr>
          <w:rFonts w:ascii="Segoe UI" w:hAnsi="Segoe UI" w:cs="Segoe UI"/>
          <w:sz w:val="20"/>
          <w:szCs w:val="20"/>
        </w:rPr>
        <w:t>advancements</w:t>
      </w:r>
      <w:r w:rsidRPr="00BA3E7D">
        <w:rPr>
          <w:rFonts w:ascii="Segoe UI" w:hAnsi="Segoe UI" w:cs="Segoe UI"/>
          <w:sz w:val="20"/>
          <w:szCs w:val="20"/>
          <w:shd w:val="clear" w:color="auto" w:fill="FFFFFF"/>
        </w:rPr>
        <w:t>)</w:t>
      </w:r>
      <w:r w:rsidR="00CE3EE0" w:rsidRPr="00CE3EE0">
        <w:rPr>
          <w:rStyle w:val="FootnoteReference"/>
          <w:rFonts w:ascii="Segoe UI" w:hAnsi="Segoe UI" w:cs="Segoe UI"/>
          <w:sz w:val="20"/>
          <w:szCs w:val="20"/>
          <w:shd w:val="clear" w:color="auto" w:fill="FFFFFF"/>
        </w:rPr>
        <w:t xml:space="preserve"> </w:t>
      </w:r>
      <w:r w:rsidR="00CE3EE0" w:rsidRPr="001E6315">
        <w:rPr>
          <w:rStyle w:val="FootnoteReference"/>
          <w:rFonts w:ascii="Segoe UI" w:hAnsi="Segoe UI" w:cs="Segoe UI"/>
          <w:sz w:val="20"/>
          <w:szCs w:val="20"/>
          <w:shd w:val="clear" w:color="auto" w:fill="FFFFFF"/>
        </w:rPr>
        <w:footnoteReference w:id="10"/>
      </w:r>
      <w:r w:rsidRPr="00BA3E7D">
        <w:rPr>
          <w:rFonts w:ascii="Segoe UI" w:hAnsi="Segoe UI" w:cs="Segoe UI"/>
          <w:sz w:val="20"/>
          <w:szCs w:val="20"/>
          <w:shd w:val="clear" w:color="auto" w:fill="FFFFFF"/>
        </w:rPr>
        <w:t>.</w:t>
      </w:r>
    </w:p>
    <w:p w14:paraId="4934B190" w14:textId="4D61045C" w:rsidR="00DE6AC4" w:rsidRPr="0068268C" w:rsidRDefault="00DE6AC4" w:rsidP="00473467">
      <w:pPr>
        <w:pStyle w:val="ListParagraph"/>
        <w:numPr>
          <w:ilvl w:val="0"/>
          <w:numId w:val="13"/>
        </w:numPr>
        <w:ind w:left="357" w:hanging="357"/>
        <w:contextualSpacing w:val="0"/>
        <w:rPr>
          <w:rFonts w:ascii="Segoe UI" w:hAnsi="Segoe UI" w:cs="Segoe UI"/>
          <w:b/>
          <w:bCs/>
          <w:sz w:val="20"/>
          <w:szCs w:val="20"/>
          <w:shd w:val="clear" w:color="auto" w:fill="FFFFFF"/>
        </w:rPr>
      </w:pPr>
      <w:r w:rsidRPr="0048442C">
        <w:rPr>
          <w:rFonts w:cstheme="minorHAnsi"/>
        </w:rPr>
        <w:t xml:space="preserve">The current trend towards sector and profession specific workforce plans </w:t>
      </w:r>
      <w:r w:rsidR="00707721">
        <w:rPr>
          <w:rFonts w:cstheme="minorHAnsi"/>
        </w:rPr>
        <w:t>may well serve to</w:t>
      </w:r>
      <w:r w:rsidR="001B5311">
        <w:rPr>
          <w:rFonts w:cstheme="minorHAnsi"/>
        </w:rPr>
        <w:t xml:space="preserve"> </w:t>
      </w:r>
      <w:r w:rsidRPr="0048442C">
        <w:rPr>
          <w:rFonts w:cstheme="minorHAnsi"/>
        </w:rPr>
        <w:t xml:space="preserve">work against </w:t>
      </w:r>
      <w:r w:rsidR="00981A84">
        <w:rPr>
          <w:rFonts w:cstheme="minorHAnsi"/>
        </w:rPr>
        <w:t xml:space="preserve">more robust </w:t>
      </w:r>
      <w:r w:rsidR="001B5311">
        <w:rPr>
          <w:rFonts w:cstheme="minorHAnsi"/>
        </w:rPr>
        <w:t xml:space="preserve">multidisciplinary models of care and </w:t>
      </w:r>
      <w:r w:rsidRPr="0048442C">
        <w:rPr>
          <w:rFonts w:cstheme="minorHAnsi"/>
        </w:rPr>
        <w:t xml:space="preserve">productivity gains. </w:t>
      </w:r>
      <w:r>
        <w:t>As noted in Australia’s P</w:t>
      </w:r>
      <w:r w:rsidR="001B5311">
        <w:t>HC Plan</w:t>
      </w:r>
      <w:r>
        <w:t xml:space="preserve">: </w:t>
      </w:r>
    </w:p>
    <w:p w14:paraId="2F17856A" w14:textId="103F32DC" w:rsidR="00374A43" w:rsidRPr="00D96ABE" w:rsidRDefault="00DE6AC4" w:rsidP="00EE400A">
      <w:pPr>
        <w:ind w:left="284" w:right="567" w:firstLine="0"/>
        <w:jc w:val="both"/>
        <w:rPr>
          <w:rFonts w:ascii="Calibri" w:eastAsia="Calibri" w:hAnsi="Calibri" w:cs="Calibri"/>
        </w:rPr>
      </w:pPr>
      <w:r w:rsidRPr="001C2670">
        <w:rPr>
          <w:rFonts w:ascii="Calibri" w:eastAsia="Calibri" w:hAnsi="Calibri" w:cs="Calibri"/>
          <w:i/>
          <w:iCs/>
        </w:rPr>
        <w:t>Better use could be made of the primary health care workforce, including nurses and nurse practitioners, allied health professionals and pharmacists, in working to full scope of practice and as part of multidisciplinary teams</w:t>
      </w:r>
      <w:r w:rsidRPr="000F38D5">
        <w:rPr>
          <w:rFonts w:ascii="Calibri" w:eastAsia="Calibri" w:hAnsi="Calibri" w:cs="Calibri"/>
        </w:rPr>
        <w:t>.</w:t>
      </w:r>
    </w:p>
    <w:p w14:paraId="0773C679" w14:textId="5B1C3B16" w:rsidR="00025624" w:rsidRPr="006E5C4E" w:rsidRDefault="006E5C4E" w:rsidP="00D96ABE">
      <w:pPr>
        <w:ind w:firstLine="0"/>
        <w:rPr>
          <w:b/>
          <w:bCs/>
        </w:rPr>
      </w:pPr>
      <w:r w:rsidRPr="006E5C4E">
        <w:rPr>
          <w:b/>
          <w:bCs/>
        </w:rPr>
        <w:t>Research and</w:t>
      </w:r>
      <w:r w:rsidR="00150665">
        <w:rPr>
          <w:b/>
          <w:bCs/>
        </w:rPr>
        <w:t xml:space="preserve"> Dissemination of </w:t>
      </w:r>
      <w:r w:rsidRPr="006E5C4E">
        <w:rPr>
          <w:b/>
          <w:bCs/>
        </w:rPr>
        <w:t>Innovation</w:t>
      </w:r>
    </w:p>
    <w:p w14:paraId="4D7AD570" w14:textId="78AA824E" w:rsidR="006C788A" w:rsidRPr="003F2881" w:rsidRDefault="00374A43" w:rsidP="006C788A">
      <w:pPr>
        <w:pStyle w:val="ListParagraph"/>
        <w:numPr>
          <w:ilvl w:val="0"/>
          <w:numId w:val="13"/>
        </w:numPr>
        <w:ind w:left="351" w:hanging="357"/>
        <w:contextualSpacing w:val="0"/>
      </w:pPr>
      <w:r w:rsidRPr="003F2881">
        <w:t>The COVID-19 pandemic demonstrated the health systems’ capacity to rapidly innovate and adopt new ways of working, particularly through the use of telehealth in primary care and the virtual hospital</w:t>
      </w:r>
      <w:r w:rsidR="00D96ABE" w:rsidRPr="003F2881">
        <w:t>, as noted in the Interim Report</w:t>
      </w:r>
      <w:r w:rsidR="004A14CD">
        <w:t xml:space="preserve"> (</w:t>
      </w:r>
      <w:r w:rsidR="00CC495C">
        <w:t>3)</w:t>
      </w:r>
      <w:r w:rsidR="00D96ABE" w:rsidRPr="003F2881">
        <w:t>.</w:t>
      </w:r>
      <w:r w:rsidR="006C788A">
        <w:t xml:space="preserve"> </w:t>
      </w:r>
    </w:p>
    <w:p w14:paraId="34A54998" w14:textId="6B06AF8B" w:rsidR="00BD6E59" w:rsidRPr="0067463E" w:rsidRDefault="00B40B12" w:rsidP="00AD4D3B">
      <w:pPr>
        <w:pStyle w:val="ListParagraph"/>
        <w:numPr>
          <w:ilvl w:val="0"/>
          <w:numId w:val="13"/>
        </w:numPr>
        <w:ind w:left="351" w:hanging="357"/>
        <w:contextualSpacing w:val="0"/>
      </w:pPr>
      <w:r w:rsidRPr="003F2881">
        <w:t xml:space="preserve"> </w:t>
      </w:r>
      <w:r w:rsidR="00374A43" w:rsidRPr="003F2881">
        <w:t>Allied health practitioners bec</w:t>
      </w:r>
      <w:r w:rsidR="00B47342" w:rsidRPr="003F2881">
        <w:t>a</w:t>
      </w:r>
      <w:r w:rsidR="00374A43" w:rsidRPr="003F2881">
        <w:t>me engaged in COVID-19 vaccine delivery in some locations. This demonstrates that expanding the scope of practice of allied health practitioners can be safely achieved with appropriate training and credentialing.</w:t>
      </w:r>
      <w:r w:rsidR="00AD4D3B">
        <w:t xml:space="preserve">  </w:t>
      </w:r>
      <w:r w:rsidR="00BD6E59" w:rsidRPr="00AD4D3B">
        <w:rPr>
          <w:rFonts w:cstheme="minorHAnsi"/>
        </w:rPr>
        <w:t xml:space="preserve">COVID-19 </w:t>
      </w:r>
      <w:r w:rsidR="003A22A6" w:rsidRPr="00AD4D3B">
        <w:rPr>
          <w:rFonts w:cstheme="minorHAnsi"/>
        </w:rPr>
        <w:t xml:space="preserve">also </w:t>
      </w:r>
      <w:r w:rsidR="00BD6E59" w:rsidRPr="00AD4D3B">
        <w:rPr>
          <w:rFonts w:cstheme="minorHAnsi"/>
        </w:rPr>
        <w:t>provided the impetus</w:t>
      </w:r>
      <w:r w:rsidR="001E6C26">
        <w:rPr>
          <w:rFonts w:cstheme="minorHAnsi"/>
        </w:rPr>
        <w:t xml:space="preserve"> for universities</w:t>
      </w:r>
      <w:r w:rsidR="00BD6E59" w:rsidRPr="00AD4D3B">
        <w:rPr>
          <w:rFonts w:cstheme="minorHAnsi"/>
        </w:rPr>
        <w:t xml:space="preserve"> to develop new approaches to education and support</w:t>
      </w:r>
      <w:r w:rsidR="003A22A6" w:rsidRPr="00AD4D3B">
        <w:rPr>
          <w:rFonts w:cstheme="minorHAnsi"/>
        </w:rPr>
        <w:t xml:space="preserve"> for </w:t>
      </w:r>
      <w:r w:rsidR="00BD6E59" w:rsidRPr="00AD4D3B">
        <w:rPr>
          <w:rFonts w:cstheme="minorHAnsi"/>
        </w:rPr>
        <w:t>clinical placements for students (e.g. simulations to provide students with skills related to telehealth)</w:t>
      </w:r>
      <w:r w:rsidR="00CF429C" w:rsidRPr="00AD4D3B">
        <w:rPr>
          <w:rFonts w:cstheme="minorHAnsi"/>
        </w:rPr>
        <w:t xml:space="preserve">. </w:t>
      </w:r>
      <w:r w:rsidR="009B0549" w:rsidRPr="00AD4D3B">
        <w:rPr>
          <w:rFonts w:cstheme="minorHAnsi"/>
        </w:rPr>
        <w:t xml:space="preserve">While this innovation is promising, there is </w:t>
      </w:r>
      <w:r w:rsidR="003A082D">
        <w:rPr>
          <w:rFonts w:cstheme="minorHAnsi"/>
        </w:rPr>
        <w:t>in</w:t>
      </w:r>
      <w:r w:rsidR="009B0549" w:rsidRPr="00AD4D3B">
        <w:rPr>
          <w:rFonts w:cstheme="minorHAnsi"/>
        </w:rPr>
        <w:t xml:space="preserve">sufficient experience or technological advancement to develop virtual training models that would replace </w:t>
      </w:r>
      <w:r w:rsidR="00ED743E" w:rsidRPr="00AD4D3B">
        <w:rPr>
          <w:rFonts w:cstheme="minorHAnsi"/>
        </w:rPr>
        <w:t xml:space="preserve">students’ </w:t>
      </w:r>
      <w:r w:rsidR="009B0549" w:rsidRPr="00AD4D3B">
        <w:rPr>
          <w:rFonts w:cstheme="minorHAnsi"/>
        </w:rPr>
        <w:t xml:space="preserve">clinical practicum. </w:t>
      </w:r>
    </w:p>
    <w:p w14:paraId="73642335" w14:textId="4DE89733" w:rsidR="0067463E" w:rsidRPr="00AD4D3B" w:rsidRDefault="0067463E" w:rsidP="005D5F09">
      <w:pPr>
        <w:pStyle w:val="ListParagraph"/>
        <w:numPr>
          <w:ilvl w:val="0"/>
          <w:numId w:val="13"/>
        </w:numPr>
        <w:ind w:left="351" w:hanging="357"/>
        <w:contextualSpacing w:val="0"/>
      </w:pPr>
      <w:r>
        <w:t>These new</w:t>
      </w:r>
      <w:r w:rsidRPr="003F2881">
        <w:t xml:space="preserve"> care models </w:t>
      </w:r>
      <w:r>
        <w:t xml:space="preserve">were (understandably at the time) introduced </w:t>
      </w:r>
      <w:r w:rsidRPr="003F2881">
        <w:t>ahead of appropriately designed</w:t>
      </w:r>
      <w:r>
        <w:t xml:space="preserve"> research</w:t>
      </w:r>
      <w:r w:rsidRPr="003F2881">
        <w:t xml:space="preserve"> trials or economic modelling about benefits</w:t>
      </w:r>
      <w:r>
        <w:t xml:space="preserve">. </w:t>
      </w:r>
      <w:r w:rsidR="00DF091B">
        <w:t xml:space="preserve"> A rapid review of evidence</w:t>
      </w:r>
      <w:r w:rsidR="001034E2">
        <w:t xml:space="preserve"> reported prior to </w:t>
      </w:r>
      <w:r w:rsidR="005F3295">
        <w:t xml:space="preserve">the COVID 19 pandemic has </w:t>
      </w:r>
      <w:r w:rsidR="00867E43">
        <w:t xml:space="preserve">found </w:t>
      </w:r>
      <w:r w:rsidR="00720495">
        <w:t xml:space="preserve">the use of telehealth has broadly </w:t>
      </w:r>
      <w:r w:rsidR="00857835">
        <w:t xml:space="preserve">equivalent </w:t>
      </w:r>
      <w:r w:rsidR="004A1B28">
        <w:t xml:space="preserve">patient outcomes </w:t>
      </w:r>
      <w:r w:rsidR="00857835">
        <w:t xml:space="preserve">to in-person </w:t>
      </w:r>
      <w:r w:rsidR="00012982">
        <w:t>care but</w:t>
      </w:r>
      <w:r w:rsidR="00857835">
        <w:t xml:space="preserve"> </w:t>
      </w:r>
      <w:r w:rsidR="00731E91">
        <w:t>notes</w:t>
      </w:r>
      <w:r w:rsidR="00857835">
        <w:t xml:space="preserve"> that </w:t>
      </w:r>
      <w:r w:rsidR="00935190">
        <w:t>there a</w:t>
      </w:r>
      <w:r w:rsidR="00012982">
        <w:t>re</w:t>
      </w:r>
      <w:r w:rsidR="00935190">
        <w:t xml:space="preserve"> many factors that need to be </w:t>
      </w:r>
      <w:r w:rsidR="00012982">
        <w:t>considered</w:t>
      </w:r>
      <w:r w:rsidR="00935190">
        <w:t xml:space="preserve"> when considering telehealth efficacy.</w:t>
      </w:r>
      <w:r w:rsidR="001D7709">
        <w:rPr>
          <w:rStyle w:val="FootnoteReference"/>
        </w:rPr>
        <w:footnoteReference w:id="11"/>
      </w:r>
      <w:r w:rsidR="00935190">
        <w:t xml:space="preserve"> </w:t>
      </w:r>
    </w:p>
    <w:p w14:paraId="6BE88043" w14:textId="5FDBF0E3" w:rsidR="000D036F" w:rsidRPr="003F2881" w:rsidRDefault="006E5C4E" w:rsidP="00CE3EE0">
      <w:pPr>
        <w:pStyle w:val="ListParagraph"/>
        <w:numPr>
          <w:ilvl w:val="0"/>
          <w:numId w:val="13"/>
        </w:numPr>
        <w:ind w:left="351" w:hanging="357"/>
        <w:contextualSpacing w:val="0"/>
        <w:rPr>
          <w:rFonts w:ascii="Calibri" w:eastAsia="Calibri" w:hAnsi="Calibri" w:cs="Calibri"/>
        </w:rPr>
      </w:pPr>
      <w:r w:rsidRPr="003F2881">
        <w:t>ACDHS support</w:t>
      </w:r>
      <w:r w:rsidR="00EE400A">
        <w:t>s</w:t>
      </w:r>
      <w:r w:rsidR="00CE04BC" w:rsidRPr="003F2881">
        <w:t xml:space="preserve"> </w:t>
      </w:r>
      <w:r w:rsidR="00754955" w:rsidRPr="003F2881">
        <w:t xml:space="preserve">better diffusion of </w:t>
      </w:r>
      <w:r w:rsidR="00AE45BA" w:rsidRPr="003F2881">
        <w:t xml:space="preserve">research and innovation.  </w:t>
      </w:r>
      <w:r w:rsidR="00FD327E" w:rsidRPr="003F2881">
        <w:t xml:space="preserve">However, given the size and complexity of the health and care sectors, </w:t>
      </w:r>
      <w:r w:rsidR="007F5A8D" w:rsidRPr="003F2881">
        <w:t>ACDHS would caution against vesting responsibility in a</w:t>
      </w:r>
      <w:r w:rsidR="000E1C74" w:rsidRPr="003F2881">
        <w:t xml:space="preserve"> single</w:t>
      </w:r>
      <w:r w:rsidR="007F5A8D" w:rsidRPr="003F2881">
        <w:t xml:space="preserve"> existing </w:t>
      </w:r>
      <w:r w:rsidR="003423E5" w:rsidRPr="003F2881">
        <w:t xml:space="preserve">institution </w:t>
      </w:r>
      <w:r w:rsidR="000E1C74" w:rsidRPr="003F2881">
        <w:t xml:space="preserve">as it would require </w:t>
      </w:r>
      <w:r w:rsidR="008E14CF" w:rsidRPr="003F2881">
        <w:t>substantive</w:t>
      </w:r>
      <w:r w:rsidR="00164A34" w:rsidRPr="003F2881">
        <w:t xml:space="preserve"> broadening </w:t>
      </w:r>
      <w:r w:rsidR="008E14CF" w:rsidRPr="003F2881">
        <w:t xml:space="preserve">of </w:t>
      </w:r>
      <w:r w:rsidR="00164A34" w:rsidRPr="003F2881">
        <w:t>their mandate</w:t>
      </w:r>
      <w:r w:rsidR="008E14CF" w:rsidRPr="003F2881">
        <w:t xml:space="preserve">.  </w:t>
      </w:r>
      <w:r w:rsidR="00B643DA" w:rsidRPr="003F2881">
        <w:t xml:space="preserve">The Australian </w:t>
      </w:r>
      <w:r w:rsidR="00A61A08" w:rsidRPr="003F2881">
        <w:t>Commission on Quality and Safety</w:t>
      </w:r>
      <w:r w:rsidR="00F7438F" w:rsidRPr="003F2881">
        <w:t xml:space="preserve"> as proposed in the Interim Report</w:t>
      </w:r>
      <w:r w:rsidR="00ED743E">
        <w:t xml:space="preserve"> (3)</w:t>
      </w:r>
      <w:r w:rsidR="005D06DD" w:rsidRPr="003F2881">
        <w:t xml:space="preserve"> </w:t>
      </w:r>
      <w:r w:rsidR="00F7438F" w:rsidRPr="003F2881">
        <w:t xml:space="preserve">has longevity on its </w:t>
      </w:r>
      <w:r w:rsidR="00731E91" w:rsidRPr="003F2881">
        <w:t>side</w:t>
      </w:r>
      <w:r w:rsidR="00731E91">
        <w:t xml:space="preserve"> but</w:t>
      </w:r>
      <w:r w:rsidR="0074697D" w:rsidRPr="003F2881">
        <w:rPr>
          <w:rFonts w:cstheme="minorHAnsi"/>
        </w:rPr>
        <w:t xml:space="preserve"> may not have the broad outlook across health and care </w:t>
      </w:r>
      <w:r w:rsidR="00DA24F5" w:rsidRPr="003F2881">
        <w:rPr>
          <w:rFonts w:cstheme="minorHAnsi"/>
        </w:rPr>
        <w:t xml:space="preserve">sectors </w:t>
      </w:r>
      <w:r w:rsidR="00143C1B" w:rsidRPr="003F2881">
        <w:rPr>
          <w:rFonts w:cstheme="minorHAnsi"/>
        </w:rPr>
        <w:t>to effectively carry out the</w:t>
      </w:r>
      <w:r w:rsidR="00DA24F5" w:rsidRPr="003F2881">
        <w:rPr>
          <w:rFonts w:cstheme="minorHAnsi"/>
        </w:rPr>
        <w:t xml:space="preserve"> proposed</w:t>
      </w:r>
      <w:r w:rsidR="00143C1B" w:rsidRPr="003F2881">
        <w:rPr>
          <w:rFonts w:cstheme="minorHAnsi"/>
        </w:rPr>
        <w:t xml:space="preserve"> role</w:t>
      </w:r>
      <w:r w:rsidR="00CE01AF" w:rsidRPr="003F2881">
        <w:rPr>
          <w:rFonts w:cstheme="minorHAnsi"/>
        </w:rPr>
        <w:t>.</w:t>
      </w:r>
    </w:p>
    <w:p w14:paraId="374BDA6A" w14:textId="069E5D0F" w:rsidR="00DE6AC4" w:rsidRDefault="00DA24F5" w:rsidP="00CE3EE0">
      <w:pPr>
        <w:pStyle w:val="ListParagraph"/>
        <w:numPr>
          <w:ilvl w:val="0"/>
          <w:numId w:val="13"/>
        </w:numPr>
      </w:pPr>
      <w:r w:rsidRPr="003E13FD">
        <w:rPr>
          <w:rFonts w:cstheme="minorHAnsi"/>
        </w:rPr>
        <w:t>T</w:t>
      </w:r>
      <w:r w:rsidR="00DE6AC4">
        <w:t>he early implementation of the ‘</w:t>
      </w:r>
      <w:r w:rsidR="00DE6AC4" w:rsidRPr="003E13FD">
        <w:rPr>
          <w:i/>
          <w:iCs/>
        </w:rPr>
        <w:t xml:space="preserve">centralised repository of research and evaluation findings on primary health care system innovation, including lessons from Australian and relevant international experience’ </w:t>
      </w:r>
      <w:r w:rsidR="00DE6AC4">
        <w:t>as identified in Australia’s Primary Health Care 10-year Plan 2022-2032</w:t>
      </w:r>
      <w:r w:rsidR="00DE6AC4">
        <w:rPr>
          <w:rStyle w:val="FootnoteReference"/>
        </w:rPr>
        <w:footnoteReference w:id="12"/>
      </w:r>
      <w:r w:rsidR="00DE6AC4">
        <w:t xml:space="preserve">  could help </w:t>
      </w:r>
      <w:r>
        <w:t>advance this issue.</w:t>
      </w:r>
    </w:p>
    <w:p w14:paraId="0BC83042" w14:textId="77777777" w:rsidR="00DA3741" w:rsidRDefault="00150665" w:rsidP="00AA7AD8">
      <w:pPr>
        <w:ind w:firstLine="0"/>
        <w:rPr>
          <w:b/>
          <w:bCs/>
        </w:rPr>
      </w:pPr>
      <w:r>
        <w:rPr>
          <w:b/>
          <w:bCs/>
          <w:caps/>
        </w:rPr>
        <w:t>S</w:t>
      </w:r>
      <w:r>
        <w:rPr>
          <w:b/>
          <w:bCs/>
        </w:rPr>
        <w:t>kills and Education</w:t>
      </w:r>
    </w:p>
    <w:p w14:paraId="05CE1840" w14:textId="6AFE171F" w:rsidR="00636897" w:rsidRDefault="00DE6B4A" w:rsidP="006338E5">
      <w:pPr>
        <w:pStyle w:val="ListParagraph"/>
        <w:numPr>
          <w:ilvl w:val="0"/>
          <w:numId w:val="13"/>
        </w:numPr>
        <w:ind w:left="351" w:hanging="357"/>
        <w:contextualSpacing w:val="0"/>
      </w:pPr>
      <w:r>
        <w:t xml:space="preserve">In </w:t>
      </w:r>
      <w:r w:rsidR="006A7F9B">
        <w:t>its report</w:t>
      </w:r>
      <w:r>
        <w:t xml:space="preserve"> </w:t>
      </w:r>
      <w:r w:rsidR="00BE723D" w:rsidRPr="006338E5">
        <w:rPr>
          <w:i/>
          <w:iCs/>
        </w:rPr>
        <w:t>Investment</w:t>
      </w:r>
      <w:r w:rsidRPr="006338E5">
        <w:rPr>
          <w:i/>
          <w:iCs/>
        </w:rPr>
        <w:t xml:space="preserve"> in Australia</w:t>
      </w:r>
      <w:r w:rsidR="00BE723D" w:rsidRPr="006338E5">
        <w:rPr>
          <w:i/>
          <w:iCs/>
        </w:rPr>
        <w:t>’s universities equals investment in a more productive future</w:t>
      </w:r>
      <w:r w:rsidR="00395474">
        <w:t>,</w:t>
      </w:r>
      <w:r w:rsidR="00FB5415">
        <w:t xml:space="preserve"> Universities Australia </w:t>
      </w:r>
      <w:r w:rsidR="0070272B">
        <w:rPr>
          <w:rStyle w:val="FootnoteReference"/>
        </w:rPr>
        <w:footnoteReference w:id="13"/>
      </w:r>
      <w:r w:rsidR="0070272B">
        <w:t xml:space="preserve"> </w:t>
      </w:r>
      <w:r w:rsidR="009A2B93">
        <w:t>quantifies</w:t>
      </w:r>
      <w:r w:rsidR="00FB5415">
        <w:t xml:space="preserve"> the</w:t>
      </w:r>
      <w:r w:rsidR="00374013">
        <w:t xml:space="preserve"> contributions that </w:t>
      </w:r>
      <w:r w:rsidR="00395474">
        <w:t>u</w:t>
      </w:r>
      <w:r w:rsidR="00FB5415">
        <w:t xml:space="preserve">niversities </w:t>
      </w:r>
      <w:r w:rsidR="00374013">
        <w:t xml:space="preserve">make to </w:t>
      </w:r>
      <w:r w:rsidR="00036736">
        <w:t xml:space="preserve">driving </w:t>
      </w:r>
      <w:r w:rsidR="00DC56CC">
        <w:t>Australia</w:t>
      </w:r>
      <w:r w:rsidR="00FB5415">
        <w:t xml:space="preserve">’s </w:t>
      </w:r>
      <w:r w:rsidR="003977C9">
        <w:t xml:space="preserve">productivity, through </w:t>
      </w:r>
      <w:r w:rsidR="00636897">
        <w:t xml:space="preserve">both </w:t>
      </w:r>
      <w:r w:rsidR="003977C9">
        <w:t xml:space="preserve">teaching and research. </w:t>
      </w:r>
      <w:r w:rsidR="00F91030">
        <w:t xml:space="preserve"> </w:t>
      </w:r>
    </w:p>
    <w:p w14:paraId="377FB3D2" w14:textId="20712AF4" w:rsidR="004C3064" w:rsidRPr="00450171" w:rsidRDefault="001B2F6B" w:rsidP="00473467">
      <w:pPr>
        <w:pStyle w:val="ListParagraph"/>
        <w:numPr>
          <w:ilvl w:val="0"/>
          <w:numId w:val="13"/>
        </w:numPr>
        <w:ind w:left="351" w:hanging="357"/>
        <w:contextualSpacing w:val="0"/>
      </w:pPr>
      <w:r>
        <w:t>ACDHS supports the Pro</w:t>
      </w:r>
      <w:r w:rsidR="00CB4684">
        <w:t xml:space="preserve">ductivity Commission </w:t>
      </w:r>
      <w:r w:rsidR="009A3FDC">
        <w:t>ke</w:t>
      </w:r>
      <w:r w:rsidR="00CB4684">
        <w:t xml:space="preserve">y finding that </w:t>
      </w:r>
      <w:r w:rsidR="00CB4684" w:rsidRPr="00370825">
        <w:rPr>
          <w:i/>
          <w:iCs/>
        </w:rPr>
        <w:t xml:space="preserve">specific skills in </w:t>
      </w:r>
      <w:r w:rsidR="009D3140" w:rsidRPr="00370825">
        <w:rPr>
          <w:i/>
          <w:iCs/>
        </w:rPr>
        <w:t xml:space="preserve">allied health </w:t>
      </w:r>
      <w:r w:rsidR="00012269" w:rsidRPr="00370825">
        <w:rPr>
          <w:i/>
          <w:iCs/>
        </w:rPr>
        <w:t xml:space="preserve">will be increasingly needed </w:t>
      </w:r>
      <w:r w:rsidR="008F1BA6" w:rsidRPr="00370825">
        <w:rPr>
          <w:i/>
          <w:iCs/>
        </w:rPr>
        <w:t xml:space="preserve">due </w:t>
      </w:r>
      <w:r w:rsidR="00012269" w:rsidRPr="00370825">
        <w:rPr>
          <w:i/>
          <w:iCs/>
        </w:rPr>
        <w:t xml:space="preserve">to a changing composition </w:t>
      </w:r>
      <w:r w:rsidR="008F1BA6" w:rsidRPr="00370825">
        <w:rPr>
          <w:i/>
          <w:iCs/>
        </w:rPr>
        <w:t xml:space="preserve">of </w:t>
      </w:r>
      <w:r w:rsidR="00012269" w:rsidRPr="00370825">
        <w:rPr>
          <w:i/>
          <w:iCs/>
        </w:rPr>
        <w:t>the economy and an ageing population</w:t>
      </w:r>
      <w:r w:rsidR="00CE3EE0">
        <w:t xml:space="preserve"> (Interim Report 5)</w:t>
      </w:r>
      <w:r w:rsidR="00012269">
        <w:t xml:space="preserve">. </w:t>
      </w:r>
      <w:r w:rsidR="00EF1643">
        <w:t xml:space="preserve">The recently released </w:t>
      </w:r>
      <w:r w:rsidR="00EF1643" w:rsidRPr="003E13FD">
        <w:rPr>
          <w:rFonts w:ascii="Segoe UI" w:hAnsi="Segoe UI" w:cs="Segoe UI"/>
          <w:sz w:val="20"/>
          <w:szCs w:val="20"/>
        </w:rPr>
        <w:t>National Skills Commission 2022 Skills Priority List</w:t>
      </w:r>
      <w:r w:rsidR="00AD5BD0">
        <w:rPr>
          <w:rStyle w:val="FootnoteReference"/>
          <w:rFonts w:ascii="Segoe UI" w:hAnsi="Segoe UI" w:cs="Segoe UI"/>
          <w:sz w:val="20"/>
          <w:szCs w:val="20"/>
        </w:rPr>
        <w:footnoteReference w:id="14"/>
      </w:r>
      <w:r w:rsidR="00C4442E" w:rsidRPr="003E13FD">
        <w:rPr>
          <w:rFonts w:ascii="Segoe UI" w:hAnsi="Segoe UI" w:cs="Segoe UI"/>
          <w:sz w:val="20"/>
          <w:szCs w:val="20"/>
        </w:rPr>
        <w:t xml:space="preserve"> </w:t>
      </w:r>
      <w:r w:rsidR="00C95D69">
        <w:t>confirms</w:t>
      </w:r>
      <w:r w:rsidR="00EF1643">
        <w:t xml:space="preserve"> the central role of universities in addressing the current and increasing skills shortage</w:t>
      </w:r>
      <w:r w:rsidR="00C95D69">
        <w:t xml:space="preserve">s, with health professionals driving the rapid increase </w:t>
      </w:r>
      <w:r w:rsidR="00450171">
        <w:t>in professional occupation</w:t>
      </w:r>
      <w:r w:rsidR="005602C1">
        <w:t xml:space="preserve"> shortages</w:t>
      </w:r>
      <w:r w:rsidR="005B29FE">
        <w:t>.</w:t>
      </w:r>
      <w:r w:rsidR="00450171">
        <w:t xml:space="preserve"> </w:t>
      </w:r>
      <w:r w:rsidR="00806B0D">
        <w:t xml:space="preserve"> These are particularly apparent in services for vulnerable groups such as aged care, disability and rural and remote locations. </w:t>
      </w:r>
    </w:p>
    <w:p w14:paraId="68D3BEC3" w14:textId="43755297" w:rsidR="005E220E" w:rsidRPr="005E220E" w:rsidRDefault="00F4224A" w:rsidP="005E220E">
      <w:pPr>
        <w:pStyle w:val="ListParagraph"/>
        <w:numPr>
          <w:ilvl w:val="0"/>
          <w:numId w:val="13"/>
        </w:numPr>
        <w:ind w:left="351" w:hanging="357"/>
        <w:contextualSpacing w:val="0"/>
        <w:rPr>
          <w:rFonts w:ascii="Segoe UI" w:hAnsi="Segoe UI" w:cs="Segoe UI"/>
          <w:sz w:val="20"/>
          <w:szCs w:val="20"/>
        </w:rPr>
      </w:pPr>
      <w:r>
        <w:rPr>
          <w:rFonts w:ascii="Segoe UI" w:hAnsi="Segoe UI" w:cs="Segoe UI"/>
          <w:sz w:val="20"/>
          <w:szCs w:val="20"/>
        </w:rPr>
        <w:t xml:space="preserve">Although </w:t>
      </w:r>
      <w:r w:rsidR="005E220E">
        <w:rPr>
          <w:rFonts w:ascii="Segoe UI" w:hAnsi="Segoe UI" w:cs="Segoe UI"/>
          <w:sz w:val="20"/>
          <w:szCs w:val="20"/>
        </w:rPr>
        <w:t>there can be significant variation</w:t>
      </w:r>
      <w:r w:rsidR="00731E91">
        <w:rPr>
          <w:rFonts w:ascii="Segoe UI" w:hAnsi="Segoe UI" w:cs="Segoe UI"/>
          <w:sz w:val="20"/>
          <w:szCs w:val="20"/>
        </w:rPr>
        <w:t xml:space="preserve"> acr</w:t>
      </w:r>
      <w:r w:rsidR="005E220E">
        <w:rPr>
          <w:rFonts w:ascii="Segoe UI" w:hAnsi="Segoe UI" w:cs="Segoe UI"/>
          <w:sz w:val="20"/>
          <w:szCs w:val="20"/>
        </w:rPr>
        <w:t>oss allied health disciplines, addressing matters</w:t>
      </w:r>
      <w:r w:rsidR="005E220E" w:rsidRPr="005E220E">
        <w:rPr>
          <w:rFonts w:ascii="Segoe UI" w:hAnsi="Segoe UI" w:cs="Segoe UI"/>
          <w:sz w:val="20"/>
          <w:szCs w:val="20"/>
        </w:rPr>
        <w:t xml:space="preserve"> such as</w:t>
      </w:r>
      <w:r w:rsidR="005E220E">
        <w:rPr>
          <w:rFonts w:ascii="Segoe UI" w:hAnsi="Segoe UI" w:cs="Segoe UI"/>
          <w:sz w:val="20"/>
          <w:szCs w:val="20"/>
        </w:rPr>
        <w:t xml:space="preserve"> t</w:t>
      </w:r>
      <w:r w:rsidR="00D56AC3">
        <w:rPr>
          <w:rFonts w:ascii="Segoe UI" w:hAnsi="Segoe UI" w:cs="Segoe UI"/>
          <w:sz w:val="20"/>
          <w:szCs w:val="20"/>
        </w:rPr>
        <w:t>he</w:t>
      </w:r>
      <w:r w:rsidR="002A3BF3">
        <w:rPr>
          <w:rFonts w:ascii="Segoe UI" w:hAnsi="Segoe UI" w:cs="Segoe UI"/>
          <w:sz w:val="20"/>
          <w:szCs w:val="20"/>
        </w:rPr>
        <w:t xml:space="preserve"> </w:t>
      </w:r>
      <w:r w:rsidR="005E220E" w:rsidRPr="005E220E">
        <w:rPr>
          <w:rFonts w:ascii="Segoe UI" w:hAnsi="Segoe UI" w:cs="Segoe UI"/>
          <w:sz w:val="20"/>
          <w:szCs w:val="20"/>
        </w:rPr>
        <w:t>cost of delivering health courses</w:t>
      </w:r>
      <w:r w:rsidR="002A3BF3">
        <w:rPr>
          <w:rFonts w:ascii="Segoe UI" w:hAnsi="Segoe UI" w:cs="Segoe UI"/>
          <w:sz w:val="20"/>
          <w:szCs w:val="20"/>
        </w:rPr>
        <w:t>,</w:t>
      </w:r>
      <w:r w:rsidR="005E220E">
        <w:t xml:space="preserve"> </w:t>
      </w:r>
      <w:r w:rsidR="005E220E" w:rsidRPr="005E220E">
        <w:rPr>
          <w:rFonts w:ascii="Segoe UI" w:hAnsi="Segoe UI" w:cs="Segoe UI"/>
          <w:sz w:val="20"/>
          <w:szCs w:val="20"/>
        </w:rPr>
        <w:t xml:space="preserve">caps on allied health student numbers imposed by </w:t>
      </w:r>
      <w:r w:rsidR="005E220E">
        <w:rPr>
          <w:rFonts w:ascii="Segoe UI" w:hAnsi="Segoe UI" w:cs="Segoe UI"/>
          <w:sz w:val="20"/>
          <w:szCs w:val="20"/>
        </w:rPr>
        <w:t xml:space="preserve">some </w:t>
      </w:r>
      <w:r w:rsidR="005E220E" w:rsidRPr="005E220E">
        <w:rPr>
          <w:rFonts w:ascii="Segoe UI" w:hAnsi="Segoe UI" w:cs="Segoe UI"/>
          <w:sz w:val="20"/>
          <w:szCs w:val="20"/>
        </w:rPr>
        <w:t xml:space="preserve">course accrediting bodies, </w:t>
      </w:r>
      <w:r w:rsidR="00D56AC3">
        <w:rPr>
          <w:rFonts w:ascii="Segoe UI" w:hAnsi="Segoe UI" w:cs="Segoe UI"/>
          <w:sz w:val="20"/>
          <w:szCs w:val="20"/>
        </w:rPr>
        <w:t xml:space="preserve">and </w:t>
      </w:r>
      <w:r w:rsidR="005E220E" w:rsidRPr="005E220E">
        <w:rPr>
          <w:rFonts w:ascii="Segoe UI" w:hAnsi="Segoe UI" w:cs="Segoe UI"/>
          <w:sz w:val="20"/>
          <w:szCs w:val="20"/>
        </w:rPr>
        <w:t xml:space="preserve">limits on access to required clinical places (both in terms of volume and practice areas) </w:t>
      </w:r>
      <w:r w:rsidR="005E220E">
        <w:t xml:space="preserve">could streamline the delivery of the allied health workforce pipeline. </w:t>
      </w:r>
      <w:r w:rsidR="005E220E" w:rsidRPr="005E220E">
        <w:rPr>
          <w:rFonts w:ascii="Segoe UI" w:hAnsi="Segoe UI" w:cs="Segoe UI"/>
          <w:sz w:val="20"/>
          <w:szCs w:val="20"/>
        </w:rPr>
        <w:t>Some potential solutions include:</w:t>
      </w:r>
      <w:r w:rsidR="0076496A">
        <w:rPr>
          <w:rFonts w:ascii="Segoe UI" w:hAnsi="Segoe UI" w:cs="Segoe UI"/>
          <w:sz w:val="20"/>
          <w:szCs w:val="20"/>
        </w:rPr>
        <w:t xml:space="preserve"> </w:t>
      </w:r>
      <w:r w:rsidR="005F1B6A" w:rsidRPr="005E220E">
        <w:rPr>
          <w:rFonts w:ascii="Segoe UI" w:hAnsi="Segoe UI" w:cs="Segoe UI"/>
          <w:sz w:val="20"/>
          <w:szCs w:val="20"/>
        </w:rPr>
        <w:t>prevent</w:t>
      </w:r>
      <w:r w:rsidR="0076496A">
        <w:rPr>
          <w:rFonts w:ascii="Segoe UI" w:hAnsi="Segoe UI" w:cs="Segoe UI"/>
          <w:sz w:val="20"/>
          <w:szCs w:val="20"/>
        </w:rPr>
        <w:t>ing</w:t>
      </w:r>
      <w:r w:rsidR="005F1B6A" w:rsidRPr="005E220E">
        <w:rPr>
          <w:rFonts w:ascii="Segoe UI" w:hAnsi="Segoe UI" w:cs="Segoe UI"/>
          <w:sz w:val="20"/>
          <w:szCs w:val="20"/>
        </w:rPr>
        <w:t xml:space="preserve"> accrediting bodies from imposing caps on student </w:t>
      </w:r>
      <w:r w:rsidR="0076496A">
        <w:rPr>
          <w:rFonts w:ascii="Segoe UI" w:hAnsi="Segoe UI" w:cs="Segoe UI"/>
          <w:sz w:val="20"/>
          <w:szCs w:val="20"/>
        </w:rPr>
        <w:t xml:space="preserve">numbers by </w:t>
      </w:r>
      <w:r w:rsidR="009E181B">
        <w:rPr>
          <w:rFonts w:ascii="Segoe UI" w:hAnsi="Segoe UI" w:cs="Segoe UI"/>
          <w:sz w:val="20"/>
          <w:szCs w:val="20"/>
        </w:rPr>
        <w:t xml:space="preserve">involving </w:t>
      </w:r>
      <w:r w:rsidR="00EE24B4">
        <w:rPr>
          <w:rFonts w:ascii="Segoe UI" w:hAnsi="Segoe UI" w:cs="Segoe UI"/>
          <w:sz w:val="20"/>
          <w:szCs w:val="20"/>
        </w:rPr>
        <w:t>th</w:t>
      </w:r>
      <w:r w:rsidR="005E220E" w:rsidRPr="005E220E">
        <w:rPr>
          <w:rFonts w:ascii="Segoe UI" w:hAnsi="Segoe UI" w:cs="Segoe UI"/>
          <w:sz w:val="20"/>
          <w:szCs w:val="20"/>
        </w:rPr>
        <w:t xml:space="preserve">e Australian Health Practitioner Regulation Agency; streamlining university course accreditation processes for new courses or delivery of existing courses at new location; increasing Commonwealth Supported Places funding for ‘expensive’ health courses that historically have lower numbers of students; and incentivising post graduate professional entry study in health courses to support people to change career paths and enter the health workforce. </w:t>
      </w:r>
    </w:p>
    <w:p w14:paraId="165332EF" w14:textId="5784A2B6" w:rsidR="00AB5570" w:rsidRPr="001D383B" w:rsidRDefault="002A3BF3" w:rsidP="001D383B">
      <w:pPr>
        <w:pStyle w:val="ListParagraph"/>
        <w:numPr>
          <w:ilvl w:val="0"/>
          <w:numId w:val="13"/>
        </w:numPr>
        <w:ind w:left="351" w:hanging="357"/>
        <w:contextualSpacing w:val="0"/>
        <w:rPr>
          <w:rFonts w:ascii="Segoe UI" w:hAnsi="Segoe UI" w:cs="Segoe UI"/>
          <w:sz w:val="20"/>
          <w:szCs w:val="20"/>
        </w:rPr>
      </w:pPr>
      <w:r>
        <w:rPr>
          <w:rFonts w:ascii="Segoe UI" w:hAnsi="Segoe UI" w:cs="Segoe UI"/>
          <w:sz w:val="20"/>
          <w:szCs w:val="20"/>
        </w:rPr>
        <w:t>S</w:t>
      </w:r>
      <w:r w:rsidR="00641BB9" w:rsidRPr="001D383B">
        <w:rPr>
          <w:rFonts w:ascii="Segoe UI" w:hAnsi="Segoe UI" w:cs="Segoe UI"/>
          <w:sz w:val="20"/>
          <w:szCs w:val="20"/>
        </w:rPr>
        <w:t xml:space="preserve">cholarships </w:t>
      </w:r>
      <w:r w:rsidR="009A7D30" w:rsidRPr="001D383B">
        <w:rPr>
          <w:rFonts w:ascii="Segoe UI" w:hAnsi="Segoe UI" w:cs="Segoe UI"/>
          <w:sz w:val="20"/>
          <w:szCs w:val="20"/>
        </w:rPr>
        <w:t xml:space="preserve">and HELP subsidies </w:t>
      </w:r>
      <w:r w:rsidR="000B2C85" w:rsidRPr="001D383B">
        <w:rPr>
          <w:rFonts w:ascii="Segoe UI" w:hAnsi="Segoe UI" w:cs="Segoe UI"/>
          <w:sz w:val="20"/>
          <w:szCs w:val="20"/>
        </w:rPr>
        <w:t>are established mechanism</w:t>
      </w:r>
      <w:r w:rsidR="009A7D30" w:rsidRPr="001D383B">
        <w:rPr>
          <w:rFonts w:ascii="Segoe UI" w:hAnsi="Segoe UI" w:cs="Segoe UI"/>
          <w:sz w:val="20"/>
          <w:szCs w:val="20"/>
        </w:rPr>
        <w:t>s</w:t>
      </w:r>
      <w:r w:rsidR="000B2C85" w:rsidRPr="001D383B">
        <w:rPr>
          <w:rFonts w:ascii="Segoe UI" w:hAnsi="Segoe UI" w:cs="Segoe UI"/>
          <w:sz w:val="20"/>
          <w:szCs w:val="20"/>
        </w:rPr>
        <w:t xml:space="preserve"> to incentivise students to work in areas of workforce shortage, yet </w:t>
      </w:r>
      <w:r w:rsidR="00413F41" w:rsidRPr="001D383B">
        <w:rPr>
          <w:rFonts w:ascii="Segoe UI" w:hAnsi="Segoe UI" w:cs="Segoe UI"/>
          <w:sz w:val="20"/>
          <w:szCs w:val="20"/>
        </w:rPr>
        <w:t xml:space="preserve">allied health </w:t>
      </w:r>
      <w:r w:rsidR="00735237" w:rsidRPr="001D383B">
        <w:rPr>
          <w:rFonts w:ascii="Segoe UI" w:hAnsi="Segoe UI" w:cs="Segoe UI"/>
          <w:sz w:val="20"/>
          <w:szCs w:val="20"/>
        </w:rPr>
        <w:t>professionals</w:t>
      </w:r>
      <w:r w:rsidR="00413F41" w:rsidRPr="001D383B">
        <w:rPr>
          <w:rFonts w:ascii="Segoe UI" w:hAnsi="Segoe UI" w:cs="Segoe UI"/>
          <w:sz w:val="20"/>
          <w:szCs w:val="20"/>
        </w:rPr>
        <w:t xml:space="preserve"> are </w:t>
      </w:r>
      <w:r w:rsidR="00735237" w:rsidRPr="001D383B">
        <w:rPr>
          <w:rFonts w:ascii="Segoe UI" w:hAnsi="Segoe UI" w:cs="Segoe UI"/>
          <w:sz w:val="20"/>
          <w:szCs w:val="20"/>
        </w:rPr>
        <w:t xml:space="preserve">frequently </w:t>
      </w:r>
      <w:r w:rsidR="00DE71DA" w:rsidRPr="001D383B">
        <w:rPr>
          <w:rFonts w:ascii="Segoe UI" w:hAnsi="Segoe UI" w:cs="Segoe UI"/>
          <w:sz w:val="20"/>
          <w:szCs w:val="20"/>
        </w:rPr>
        <w:t>overlooked as</w:t>
      </w:r>
      <w:r w:rsidR="007F14AB" w:rsidRPr="001D383B">
        <w:rPr>
          <w:rFonts w:cstheme="minorHAnsi"/>
        </w:rPr>
        <w:t xml:space="preserve"> demonstrated by the 7 December 2021 Higher Education Loan Program (HELP) debt reduction announcement </w:t>
      </w:r>
      <w:r w:rsidR="003A082D" w:rsidRPr="001D383B">
        <w:rPr>
          <w:rFonts w:cstheme="minorHAnsi"/>
        </w:rPr>
        <w:t>by</w:t>
      </w:r>
      <w:r w:rsidR="007F14AB" w:rsidRPr="001D383B">
        <w:rPr>
          <w:rFonts w:cstheme="minorHAnsi"/>
        </w:rPr>
        <w:t xml:space="preserve"> the then Minister for Regional Health that failed to include allied health professionals</w:t>
      </w:r>
      <w:r w:rsidR="00375B95">
        <w:rPr>
          <w:rStyle w:val="FootnoteReference"/>
          <w:rFonts w:cstheme="minorHAnsi"/>
        </w:rPr>
        <w:footnoteReference w:id="15"/>
      </w:r>
      <w:r w:rsidR="007F14AB" w:rsidRPr="001D383B">
        <w:rPr>
          <w:rFonts w:cstheme="minorHAnsi"/>
        </w:rPr>
        <w:t>.</w:t>
      </w:r>
    </w:p>
    <w:p w14:paraId="23BDE006" w14:textId="69A18850" w:rsidR="005D5F09" w:rsidRPr="005D5F09" w:rsidRDefault="003A14E8" w:rsidP="00473467">
      <w:pPr>
        <w:pStyle w:val="ListParagraph"/>
        <w:numPr>
          <w:ilvl w:val="0"/>
          <w:numId w:val="13"/>
        </w:numPr>
        <w:ind w:left="351" w:hanging="357"/>
        <w:contextualSpacing w:val="0"/>
        <w:rPr>
          <w:rFonts w:ascii="Segoe UI" w:hAnsi="Segoe UI" w:cs="Segoe UI"/>
          <w:sz w:val="20"/>
          <w:szCs w:val="20"/>
        </w:rPr>
      </w:pPr>
      <w:r>
        <w:t xml:space="preserve">Almost all allied health disciplines require a clinical practicum component as part of the </w:t>
      </w:r>
      <w:r w:rsidR="005F5A7C">
        <w:t>entry-level</w:t>
      </w:r>
      <w:r>
        <w:t xml:space="preserve"> education </w:t>
      </w:r>
      <w:r w:rsidR="003F2881">
        <w:t>to</w:t>
      </w:r>
      <w:r>
        <w:t xml:space="preserve"> achieve registration to practice</w:t>
      </w:r>
      <w:r w:rsidR="00F4224A">
        <w:t xml:space="preserve"> </w:t>
      </w:r>
      <w:r w:rsidR="00A76FA5">
        <w:t xml:space="preserve"> </w:t>
      </w:r>
      <w:r w:rsidR="00F4224A">
        <w:t>T</w:t>
      </w:r>
      <w:r w:rsidR="0057142A">
        <w:t xml:space="preserve">here are several obstacles to </w:t>
      </w:r>
      <w:r w:rsidR="00710BEE">
        <w:t>universities securing placements for students.</w:t>
      </w:r>
      <w:r w:rsidR="0073046A">
        <w:t xml:space="preserve"> </w:t>
      </w:r>
      <w:r w:rsidR="009E567B">
        <w:t xml:space="preserve">While there is </w:t>
      </w:r>
      <w:r w:rsidR="006F576A">
        <w:t>considerable variability</w:t>
      </w:r>
      <w:r w:rsidR="009E567B">
        <w:t xml:space="preserve"> between </w:t>
      </w:r>
      <w:r w:rsidR="006F576A">
        <w:t>universities</w:t>
      </w:r>
      <w:r w:rsidR="00AC6160">
        <w:t xml:space="preserve"> </w:t>
      </w:r>
      <w:r w:rsidR="00CD21E9">
        <w:t>in</w:t>
      </w:r>
      <w:r w:rsidR="00AC6160">
        <w:t xml:space="preserve"> the way clinical placements are organised</w:t>
      </w:r>
      <w:r w:rsidR="009E567B">
        <w:t xml:space="preserve">, </w:t>
      </w:r>
      <w:r w:rsidR="006A7F9B">
        <w:t xml:space="preserve">administrative requirements are increasing and becoming more </w:t>
      </w:r>
      <w:r w:rsidR="009A0553">
        <w:t>costly an</w:t>
      </w:r>
      <w:r w:rsidR="006A7F9B">
        <w:t>d onerous</w:t>
      </w:r>
      <w:r w:rsidR="0073046A">
        <w:t xml:space="preserve"> (exacerbated by COVID-19 requirements)</w:t>
      </w:r>
      <w:r w:rsidR="009E567B">
        <w:t xml:space="preserve">. Universities </w:t>
      </w:r>
      <w:r w:rsidR="00D408DE">
        <w:t xml:space="preserve">are also up against negative attitudes </w:t>
      </w:r>
      <w:r w:rsidR="006117BB">
        <w:t>towards</w:t>
      </w:r>
      <w:r w:rsidR="00C11E42">
        <w:t xml:space="preserve"> student </w:t>
      </w:r>
      <w:r w:rsidR="00E61EA1">
        <w:t>placements</w:t>
      </w:r>
      <w:r w:rsidR="005B2155">
        <w:t xml:space="preserve"> even though </w:t>
      </w:r>
      <w:r w:rsidR="00E61EA1">
        <w:t>t</w:t>
      </w:r>
      <w:r w:rsidR="004C356A">
        <w:t xml:space="preserve">here is a considerable body of research to support the value of clinical placements to the workplace and </w:t>
      </w:r>
      <w:r w:rsidR="0051106B">
        <w:t xml:space="preserve">in influencing </w:t>
      </w:r>
      <w:r w:rsidR="00395474">
        <w:t xml:space="preserve">graduates’ </w:t>
      </w:r>
      <w:r w:rsidR="0051106B">
        <w:t>careers of choice.</w:t>
      </w:r>
      <w:r w:rsidR="005B2155">
        <w:t xml:space="preserve"> </w:t>
      </w:r>
      <w:r w:rsidR="004C356A">
        <w:t xml:space="preserve">A systematic review of the </w:t>
      </w:r>
      <w:r w:rsidR="00710BEE">
        <w:t>evidence</w:t>
      </w:r>
      <w:r w:rsidR="00437FCC">
        <w:t xml:space="preserve"> </w:t>
      </w:r>
      <w:r w:rsidR="00D2746B">
        <w:t>quantifying student impact on allied health patient activity, clinician time and pro</w:t>
      </w:r>
      <w:r w:rsidR="000D0256">
        <w:t>ductivity</w:t>
      </w:r>
      <w:r w:rsidR="00976301">
        <w:t xml:space="preserve"> </w:t>
      </w:r>
      <w:r w:rsidR="00710BEE">
        <w:t>support</w:t>
      </w:r>
      <w:r w:rsidR="00F57E51">
        <w:t>s</w:t>
      </w:r>
      <w:r w:rsidR="00710BEE">
        <w:t xml:space="preserve"> the </w:t>
      </w:r>
      <w:r w:rsidR="005B76CF">
        <w:t>productive value of students in the workplace</w:t>
      </w:r>
      <w:r w:rsidR="00130623">
        <w:rPr>
          <w:rStyle w:val="FootnoteReference"/>
        </w:rPr>
        <w:footnoteReference w:id="16"/>
      </w:r>
      <w:r w:rsidR="00A431D5">
        <w:t xml:space="preserve">. </w:t>
      </w:r>
    </w:p>
    <w:p w14:paraId="6C75D2C6" w14:textId="64084A30" w:rsidR="00AB5570" w:rsidRDefault="00470844" w:rsidP="00473467">
      <w:pPr>
        <w:pStyle w:val="ListParagraph"/>
        <w:numPr>
          <w:ilvl w:val="0"/>
          <w:numId w:val="13"/>
        </w:numPr>
        <w:ind w:left="351" w:hanging="357"/>
        <w:contextualSpacing w:val="0"/>
        <w:rPr>
          <w:rFonts w:ascii="Segoe UI" w:hAnsi="Segoe UI" w:cs="Segoe UI"/>
          <w:sz w:val="20"/>
          <w:szCs w:val="20"/>
        </w:rPr>
      </w:pPr>
      <w:r>
        <w:t>T</w:t>
      </w:r>
      <w:r w:rsidR="0039263A">
        <w:t xml:space="preserve">he availability of </w:t>
      </w:r>
      <w:r w:rsidR="008B4A46">
        <w:t xml:space="preserve">suitably qualified </w:t>
      </w:r>
      <w:r w:rsidR="0039263A">
        <w:t>supervisors</w:t>
      </w:r>
      <w:r w:rsidR="00287A08">
        <w:t xml:space="preserve"> and</w:t>
      </w:r>
      <w:r w:rsidR="0039263A">
        <w:t xml:space="preserve"> </w:t>
      </w:r>
      <w:r w:rsidR="008B4A46">
        <w:t>financial impediments</w:t>
      </w:r>
      <w:r w:rsidR="00287A08">
        <w:t xml:space="preserve"> can </w:t>
      </w:r>
      <w:r>
        <w:t>prevent</w:t>
      </w:r>
      <w:r w:rsidR="00287A08">
        <w:t xml:space="preserve"> </w:t>
      </w:r>
      <w:r w:rsidR="0002413F">
        <w:t xml:space="preserve">services </w:t>
      </w:r>
      <w:r w:rsidR="00CE5C56">
        <w:t>from</w:t>
      </w:r>
      <w:r w:rsidR="00F4224A">
        <w:t xml:space="preserve"> </w:t>
      </w:r>
      <w:r w:rsidR="007B1546">
        <w:t>offering</w:t>
      </w:r>
      <w:r w:rsidR="0002413F">
        <w:t xml:space="preserve"> </w:t>
      </w:r>
      <w:r w:rsidR="00AF0AE9">
        <w:t>clinical</w:t>
      </w:r>
      <w:r w:rsidR="00D13530">
        <w:t xml:space="preserve"> training</w:t>
      </w:r>
      <w:r w:rsidR="0002413F">
        <w:t xml:space="preserve"> places</w:t>
      </w:r>
      <w:r w:rsidR="00AF0AE9">
        <w:t>.</w:t>
      </w:r>
      <w:r w:rsidR="00711393">
        <w:t xml:space="preserve"> </w:t>
      </w:r>
      <w:r w:rsidR="00B91401">
        <w:rPr>
          <w:rFonts w:ascii="Segoe UI" w:hAnsi="Segoe UI" w:cs="Segoe UI"/>
          <w:sz w:val="20"/>
          <w:szCs w:val="20"/>
        </w:rPr>
        <w:t>Initiatives such as a</w:t>
      </w:r>
      <w:r w:rsidR="0045490D" w:rsidRPr="00AB5570">
        <w:rPr>
          <w:rFonts w:ascii="Segoe UI" w:hAnsi="Segoe UI" w:cs="Segoe UI"/>
          <w:sz w:val="20"/>
          <w:szCs w:val="20"/>
        </w:rPr>
        <w:t>llow</w:t>
      </w:r>
      <w:r w:rsidR="007B1546">
        <w:rPr>
          <w:rFonts w:ascii="Segoe UI" w:hAnsi="Segoe UI" w:cs="Segoe UI"/>
          <w:sz w:val="20"/>
          <w:szCs w:val="20"/>
        </w:rPr>
        <w:t>ing</w:t>
      </w:r>
      <w:r w:rsidR="0045490D" w:rsidRPr="00AB5570">
        <w:rPr>
          <w:rFonts w:ascii="Segoe UI" w:hAnsi="Segoe UI" w:cs="Segoe UI"/>
          <w:sz w:val="20"/>
          <w:szCs w:val="20"/>
        </w:rPr>
        <w:t xml:space="preserve"> student delivered health services</w:t>
      </w:r>
      <w:r w:rsidR="001A4AF3">
        <w:rPr>
          <w:rFonts w:ascii="Segoe UI" w:hAnsi="Segoe UI" w:cs="Segoe UI"/>
          <w:sz w:val="20"/>
          <w:szCs w:val="20"/>
        </w:rPr>
        <w:t xml:space="preserve"> (</w:t>
      </w:r>
      <w:r w:rsidR="0045490D" w:rsidRPr="00AB5570">
        <w:rPr>
          <w:rFonts w:ascii="Segoe UI" w:hAnsi="Segoe UI" w:cs="Segoe UI"/>
          <w:sz w:val="20"/>
          <w:szCs w:val="20"/>
        </w:rPr>
        <w:t>under supervision</w:t>
      </w:r>
      <w:r w:rsidR="001A4AF3">
        <w:rPr>
          <w:rFonts w:ascii="Segoe UI" w:hAnsi="Segoe UI" w:cs="Segoe UI"/>
          <w:sz w:val="20"/>
          <w:szCs w:val="20"/>
        </w:rPr>
        <w:t>)</w:t>
      </w:r>
      <w:r w:rsidR="0045490D" w:rsidRPr="00AB5570">
        <w:rPr>
          <w:rFonts w:ascii="Segoe UI" w:hAnsi="Segoe UI" w:cs="Segoe UI"/>
          <w:sz w:val="20"/>
          <w:szCs w:val="20"/>
        </w:rPr>
        <w:t xml:space="preserve"> to be claimed on Medicare, private health funds and the NDIS</w:t>
      </w:r>
      <w:r w:rsidR="00BA7AAA">
        <w:rPr>
          <w:rFonts w:ascii="Segoe UI" w:hAnsi="Segoe UI" w:cs="Segoe UI"/>
          <w:sz w:val="20"/>
          <w:szCs w:val="20"/>
        </w:rPr>
        <w:t>,</w:t>
      </w:r>
      <w:r w:rsidR="00B91401">
        <w:rPr>
          <w:rFonts w:ascii="Segoe UI" w:hAnsi="Segoe UI" w:cs="Segoe UI"/>
          <w:sz w:val="20"/>
          <w:szCs w:val="20"/>
        </w:rPr>
        <w:t xml:space="preserve"> and </w:t>
      </w:r>
      <w:r w:rsidR="00E02248" w:rsidRPr="00AB5570">
        <w:rPr>
          <w:rFonts w:ascii="Segoe UI" w:hAnsi="Segoe UI" w:cs="Segoe UI"/>
          <w:sz w:val="20"/>
          <w:szCs w:val="20"/>
        </w:rPr>
        <w:t>i</w:t>
      </w:r>
      <w:r w:rsidR="0045490D" w:rsidRPr="00AB5570">
        <w:rPr>
          <w:rFonts w:ascii="Segoe UI" w:hAnsi="Segoe UI" w:cs="Segoe UI"/>
          <w:sz w:val="20"/>
          <w:szCs w:val="20"/>
        </w:rPr>
        <w:t>ntroduc</w:t>
      </w:r>
      <w:r w:rsidR="00E02248" w:rsidRPr="00AB5570">
        <w:rPr>
          <w:rFonts w:ascii="Segoe UI" w:hAnsi="Segoe UI" w:cs="Segoe UI"/>
          <w:sz w:val="20"/>
          <w:szCs w:val="20"/>
        </w:rPr>
        <w:t xml:space="preserve">ing </w:t>
      </w:r>
      <w:r w:rsidR="0045490D" w:rsidRPr="00AB5570">
        <w:rPr>
          <w:rFonts w:ascii="Segoe UI" w:hAnsi="Segoe UI" w:cs="Segoe UI"/>
          <w:sz w:val="20"/>
          <w:szCs w:val="20"/>
        </w:rPr>
        <w:t xml:space="preserve"> incentives for allied health practitioners in private practice to have students on placement </w:t>
      </w:r>
      <w:r w:rsidR="00BA7AAA">
        <w:rPr>
          <w:rFonts w:ascii="Segoe UI" w:hAnsi="Segoe UI" w:cs="Segoe UI"/>
          <w:sz w:val="20"/>
          <w:szCs w:val="20"/>
        </w:rPr>
        <w:t>(</w:t>
      </w:r>
      <w:r w:rsidR="0045490D" w:rsidRPr="00AB5570">
        <w:rPr>
          <w:rFonts w:ascii="Segoe UI" w:hAnsi="Segoe UI" w:cs="Segoe UI"/>
          <w:sz w:val="20"/>
          <w:szCs w:val="20"/>
        </w:rPr>
        <w:t>similar to those provided to GPs to have medical students on placement</w:t>
      </w:r>
      <w:r w:rsidR="00BA7AAA">
        <w:rPr>
          <w:rFonts w:ascii="Segoe UI" w:hAnsi="Segoe UI" w:cs="Segoe UI"/>
          <w:sz w:val="20"/>
          <w:szCs w:val="20"/>
        </w:rPr>
        <w:t xml:space="preserve">) could help overcome some </w:t>
      </w:r>
      <w:r w:rsidR="00304E65">
        <w:rPr>
          <w:rFonts w:ascii="Segoe UI" w:hAnsi="Segoe UI" w:cs="Segoe UI"/>
          <w:sz w:val="20"/>
          <w:szCs w:val="20"/>
        </w:rPr>
        <w:t>of these barriers</w:t>
      </w:r>
      <w:r w:rsidR="0045490D" w:rsidRPr="00AB5570">
        <w:rPr>
          <w:rFonts w:ascii="Segoe UI" w:hAnsi="Segoe UI" w:cs="Segoe UI"/>
          <w:sz w:val="20"/>
          <w:szCs w:val="20"/>
        </w:rPr>
        <w:t>.</w:t>
      </w:r>
      <w:r w:rsidR="00BF6042">
        <w:rPr>
          <w:rFonts w:ascii="Segoe UI" w:hAnsi="Segoe UI" w:cs="Segoe UI"/>
          <w:sz w:val="20"/>
          <w:szCs w:val="20"/>
        </w:rPr>
        <w:t xml:space="preserve"> </w:t>
      </w:r>
      <w:r w:rsidR="00711393">
        <w:rPr>
          <w:rFonts w:ascii="Segoe UI" w:hAnsi="Segoe UI" w:cs="Segoe UI"/>
          <w:sz w:val="20"/>
          <w:szCs w:val="20"/>
        </w:rPr>
        <w:t xml:space="preserve">In some cases </w:t>
      </w:r>
      <w:r w:rsidR="00F136CC">
        <w:t xml:space="preserve">a </w:t>
      </w:r>
      <w:r w:rsidR="00BF6042">
        <w:t xml:space="preserve">shift in </w:t>
      </w:r>
      <w:r w:rsidR="00B8313A">
        <w:t xml:space="preserve">the attitude of </w:t>
      </w:r>
      <w:r w:rsidR="006338E5">
        <w:t>employers</w:t>
      </w:r>
      <w:r w:rsidR="00BF6042">
        <w:t xml:space="preserve"> </w:t>
      </w:r>
      <w:r w:rsidR="00C63588">
        <w:t xml:space="preserve">to recognise </w:t>
      </w:r>
      <w:r w:rsidR="00F136CC">
        <w:t xml:space="preserve">the benefits </w:t>
      </w:r>
      <w:r w:rsidR="00A83D49">
        <w:t xml:space="preserve">of providing student clinical training placements </w:t>
      </w:r>
      <w:r w:rsidR="00F136CC">
        <w:t>to</w:t>
      </w:r>
      <w:r w:rsidR="00872C59">
        <w:t xml:space="preserve"> </w:t>
      </w:r>
      <w:r w:rsidR="00F136CC">
        <w:t>the health system</w:t>
      </w:r>
      <w:r w:rsidR="00872C59">
        <w:t>,</w:t>
      </w:r>
      <w:r w:rsidR="00556EEB">
        <w:t xml:space="preserve"> the </w:t>
      </w:r>
      <w:r w:rsidR="00F136CC">
        <w:t>workplace</w:t>
      </w:r>
      <w:r w:rsidR="00872C59">
        <w:t xml:space="preserve">, </w:t>
      </w:r>
      <w:r w:rsidR="00F136CC">
        <w:t xml:space="preserve">and </w:t>
      </w:r>
      <w:r w:rsidR="00556EEB">
        <w:t xml:space="preserve">to </w:t>
      </w:r>
      <w:r w:rsidR="00F136CC">
        <w:t>patients</w:t>
      </w:r>
      <w:r w:rsidR="001F76DC">
        <w:t xml:space="preserve"> is also required. </w:t>
      </w:r>
    </w:p>
    <w:p w14:paraId="78FB32AD" w14:textId="22CE55D5" w:rsidR="00387018" w:rsidRDefault="00244D97" w:rsidP="00387018">
      <w:pPr>
        <w:pStyle w:val="ListParagraph"/>
        <w:numPr>
          <w:ilvl w:val="0"/>
          <w:numId w:val="13"/>
        </w:numPr>
      </w:pPr>
      <w:r>
        <w:t xml:space="preserve">Universities have </w:t>
      </w:r>
      <w:r w:rsidR="005011DE">
        <w:t xml:space="preserve">developed </w:t>
      </w:r>
      <w:r w:rsidR="00387018">
        <w:t xml:space="preserve">a range of </w:t>
      </w:r>
      <w:r>
        <w:t>industry partnerships to</w:t>
      </w:r>
      <w:r w:rsidR="00387018">
        <w:t xml:space="preserve"> deliver suitable clinical practicums, including in the aged care setting. In addition to the financial barriers above, experience to date indicates clinical placement models in aged care need to include:</w:t>
      </w:r>
    </w:p>
    <w:p w14:paraId="57D3FDF3" w14:textId="580D9583" w:rsidR="00387018" w:rsidRDefault="00BB11B0" w:rsidP="00387018">
      <w:pPr>
        <w:pStyle w:val="ListParagraph"/>
        <w:numPr>
          <w:ilvl w:val="0"/>
          <w:numId w:val="20"/>
        </w:numPr>
      </w:pPr>
      <w:r>
        <w:t xml:space="preserve">a </w:t>
      </w:r>
      <w:r w:rsidR="00387018">
        <w:t xml:space="preserve">well-structured learning program that includes funding for skilled clinical facilitation and </w:t>
      </w:r>
      <w:r>
        <w:t>supervision</w:t>
      </w:r>
    </w:p>
    <w:p w14:paraId="7AC22AB7" w14:textId="54028D32" w:rsidR="00387018" w:rsidRDefault="00BB11B0" w:rsidP="00387018">
      <w:pPr>
        <w:pStyle w:val="ListParagraph"/>
        <w:numPr>
          <w:ilvl w:val="0"/>
          <w:numId w:val="20"/>
        </w:numPr>
      </w:pPr>
      <w:r>
        <w:t>p</w:t>
      </w:r>
      <w:r w:rsidR="00387018">
        <w:t xml:space="preserve">artnerships between aged care and education </w:t>
      </w:r>
      <w:r w:rsidR="00D600AC">
        <w:t>providers</w:t>
      </w:r>
    </w:p>
    <w:p w14:paraId="05EDADB6" w14:textId="02050041" w:rsidR="00387018" w:rsidRDefault="00BB11B0" w:rsidP="00387018">
      <w:pPr>
        <w:pStyle w:val="ListParagraph"/>
        <w:numPr>
          <w:ilvl w:val="0"/>
          <w:numId w:val="20"/>
        </w:numPr>
      </w:pPr>
      <w:r>
        <w:t>d</w:t>
      </w:r>
      <w:r w:rsidR="00387018">
        <w:t>edicated teaching and learning spaces and equipment in aged care facilities</w:t>
      </w:r>
      <w:r>
        <w:t>; and</w:t>
      </w:r>
    </w:p>
    <w:p w14:paraId="0A2DE315" w14:textId="0DFE7BA0" w:rsidR="00387018" w:rsidRDefault="00BB11B0" w:rsidP="00395474">
      <w:pPr>
        <w:pStyle w:val="ListParagraph"/>
        <w:numPr>
          <w:ilvl w:val="0"/>
          <w:numId w:val="20"/>
        </w:numPr>
        <w:contextualSpacing w:val="0"/>
      </w:pPr>
      <w:r>
        <w:t>t</w:t>
      </w:r>
      <w:r w:rsidR="00387018">
        <w:t>he presence of a core workforce that includes allied health and other disciplines to support interdisciplinary learning</w:t>
      </w:r>
      <w:r w:rsidR="00387018">
        <w:rPr>
          <w:rStyle w:val="FootnoteReference"/>
        </w:rPr>
        <w:footnoteReference w:id="17"/>
      </w:r>
      <w:r w:rsidR="00387018">
        <w:t xml:space="preserve">.  </w:t>
      </w:r>
    </w:p>
    <w:p w14:paraId="2F3018EB" w14:textId="4ACF26D6" w:rsidR="000A343A" w:rsidRPr="000A343A" w:rsidRDefault="003F039B" w:rsidP="004551A4">
      <w:pPr>
        <w:pStyle w:val="ListParagraph"/>
        <w:numPr>
          <w:ilvl w:val="0"/>
          <w:numId w:val="13"/>
        </w:numPr>
        <w:ind w:left="351" w:hanging="357"/>
        <w:contextualSpacing w:val="0"/>
        <w:rPr>
          <w:rFonts w:ascii="Segoe UI" w:hAnsi="Segoe UI" w:cs="Segoe UI"/>
          <w:sz w:val="20"/>
          <w:szCs w:val="20"/>
        </w:rPr>
      </w:pPr>
      <w:r w:rsidRPr="00AB5570">
        <w:rPr>
          <w:rFonts w:cstheme="minorHAnsi"/>
        </w:rPr>
        <w:t xml:space="preserve">The intersection between </w:t>
      </w:r>
      <w:r w:rsidR="00304E65">
        <w:rPr>
          <w:rFonts w:cstheme="minorHAnsi"/>
        </w:rPr>
        <w:t>a</w:t>
      </w:r>
      <w:r w:rsidRPr="00AB5570">
        <w:rPr>
          <w:rFonts w:cstheme="minorHAnsi"/>
        </w:rPr>
        <w:t xml:space="preserve">llied </w:t>
      </w:r>
      <w:r w:rsidR="00304E65">
        <w:rPr>
          <w:rFonts w:cstheme="minorHAnsi"/>
        </w:rPr>
        <w:t>h</w:t>
      </w:r>
      <w:r w:rsidRPr="00AB5570">
        <w:rPr>
          <w:rFonts w:cstheme="minorHAnsi"/>
        </w:rPr>
        <w:t xml:space="preserve">ealth </w:t>
      </w:r>
      <w:r w:rsidR="00304E65">
        <w:rPr>
          <w:rFonts w:cstheme="minorHAnsi"/>
        </w:rPr>
        <w:t>p</w:t>
      </w:r>
      <w:r w:rsidRPr="00AB5570">
        <w:rPr>
          <w:rFonts w:cstheme="minorHAnsi"/>
        </w:rPr>
        <w:t xml:space="preserve">rofessionals and the allied health/personal care </w:t>
      </w:r>
      <w:r w:rsidR="00FB6EC3" w:rsidRPr="00AB5570">
        <w:rPr>
          <w:rFonts w:cstheme="minorHAnsi"/>
        </w:rPr>
        <w:t>a</w:t>
      </w:r>
      <w:r w:rsidRPr="00AB5570">
        <w:rPr>
          <w:rFonts w:cstheme="minorHAnsi"/>
        </w:rPr>
        <w:t>ssistant workforce is gaining importance</w:t>
      </w:r>
      <w:r w:rsidR="00473467">
        <w:rPr>
          <w:rFonts w:cstheme="minorHAnsi"/>
        </w:rPr>
        <w:t>. C</w:t>
      </w:r>
      <w:r w:rsidR="00830A83" w:rsidRPr="00AB5570">
        <w:rPr>
          <w:rFonts w:cstheme="minorHAnsi"/>
        </w:rPr>
        <w:t xml:space="preserve">ost constraints </w:t>
      </w:r>
      <w:r w:rsidR="00FB6EC3" w:rsidRPr="00AB5570">
        <w:rPr>
          <w:rFonts w:cstheme="minorHAnsi"/>
        </w:rPr>
        <w:t>and workforce shortages</w:t>
      </w:r>
      <w:r w:rsidR="003D5D5B">
        <w:rPr>
          <w:rFonts w:cstheme="minorHAnsi"/>
        </w:rPr>
        <w:t xml:space="preserve"> are</w:t>
      </w:r>
      <w:r w:rsidR="00FB6EC3" w:rsidRPr="00AB5570">
        <w:rPr>
          <w:rFonts w:cstheme="minorHAnsi"/>
        </w:rPr>
        <w:t xml:space="preserve"> </w:t>
      </w:r>
      <w:r w:rsidR="00830A83" w:rsidRPr="00AB5570">
        <w:rPr>
          <w:rFonts w:cstheme="minorHAnsi"/>
        </w:rPr>
        <w:t xml:space="preserve">driving substitution of allied health assistants or </w:t>
      </w:r>
      <w:r w:rsidR="00A93037" w:rsidRPr="00AB5570">
        <w:rPr>
          <w:rFonts w:cstheme="minorHAnsi"/>
        </w:rPr>
        <w:t xml:space="preserve">other lifestyle </w:t>
      </w:r>
      <w:r w:rsidR="00A4035C" w:rsidRPr="00AB5570">
        <w:rPr>
          <w:rFonts w:cstheme="minorHAnsi"/>
        </w:rPr>
        <w:t>coordinators</w:t>
      </w:r>
      <w:r w:rsidR="00A93037" w:rsidRPr="00AB5570">
        <w:rPr>
          <w:rFonts w:cstheme="minorHAnsi"/>
        </w:rPr>
        <w:t xml:space="preserve"> to provide services that are </w:t>
      </w:r>
      <w:r w:rsidR="003D5D5B">
        <w:rPr>
          <w:rFonts w:cstheme="minorHAnsi"/>
        </w:rPr>
        <w:t xml:space="preserve">within the </w:t>
      </w:r>
      <w:r w:rsidR="00A93037" w:rsidRPr="00AB5570">
        <w:rPr>
          <w:rFonts w:cstheme="minorHAnsi"/>
        </w:rPr>
        <w:t>scope of practice for</w:t>
      </w:r>
      <w:r w:rsidR="004667B2" w:rsidRPr="00AB5570">
        <w:rPr>
          <w:rFonts w:cstheme="minorHAnsi"/>
        </w:rPr>
        <w:t xml:space="preserve"> an</w:t>
      </w:r>
      <w:r w:rsidR="00A93037" w:rsidRPr="00AB5570">
        <w:rPr>
          <w:rFonts w:cstheme="minorHAnsi"/>
        </w:rPr>
        <w:t xml:space="preserve"> allied health professional</w:t>
      </w:r>
      <w:r w:rsidR="00C94568">
        <w:rPr>
          <w:rStyle w:val="FootnoteReference"/>
          <w:rFonts w:cstheme="minorHAnsi"/>
        </w:rPr>
        <w:footnoteReference w:id="18"/>
      </w:r>
      <w:r w:rsidR="00C94568" w:rsidRPr="00AB5570">
        <w:rPr>
          <w:rFonts w:cstheme="minorHAnsi"/>
        </w:rPr>
        <w:t>.</w:t>
      </w:r>
      <w:r w:rsidR="00E73D76">
        <w:rPr>
          <w:rFonts w:cstheme="minorHAnsi"/>
        </w:rPr>
        <w:t xml:space="preserve"> This presents significant risk to patient safety</w:t>
      </w:r>
      <w:r w:rsidR="00B37C2B">
        <w:rPr>
          <w:rFonts w:cstheme="minorHAnsi"/>
        </w:rPr>
        <w:t xml:space="preserve">. </w:t>
      </w:r>
      <w:r w:rsidR="00A93037" w:rsidRPr="00AB5570">
        <w:rPr>
          <w:rFonts w:cstheme="minorHAnsi"/>
        </w:rPr>
        <w:t xml:space="preserve"> </w:t>
      </w:r>
      <w:r w:rsidR="008C17D3" w:rsidRPr="00AB5570">
        <w:rPr>
          <w:rFonts w:cstheme="minorHAnsi"/>
        </w:rPr>
        <w:t xml:space="preserve">Allied health assistants are </w:t>
      </w:r>
      <w:r w:rsidR="00B37C2B">
        <w:rPr>
          <w:rFonts w:cstheme="minorHAnsi"/>
        </w:rPr>
        <w:t xml:space="preserve">not qualified to make decisions regarding patient </w:t>
      </w:r>
      <w:r w:rsidR="00FD155E">
        <w:rPr>
          <w:rFonts w:cstheme="minorHAnsi"/>
        </w:rPr>
        <w:t>care and</w:t>
      </w:r>
      <w:r w:rsidR="00B74AC8">
        <w:rPr>
          <w:rFonts w:cstheme="minorHAnsi"/>
        </w:rPr>
        <w:t xml:space="preserve"> require supervision </w:t>
      </w:r>
      <w:r w:rsidR="00616BE4">
        <w:rPr>
          <w:rFonts w:cstheme="minorHAnsi"/>
        </w:rPr>
        <w:t xml:space="preserve">by </w:t>
      </w:r>
      <w:r w:rsidR="008C17D3" w:rsidRPr="00AB5570">
        <w:rPr>
          <w:rFonts w:cstheme="minorHAnsi"/>
        </w:rPr>
        <w:t>allied health professionals</w:t>
      </w:r>
      <w:r w:rsidR="00B74AC8">
        <w:rPr>
          <w:rFonts w:cstheme="minorHAnsi"/>
        </w:rPr>
        <w:t xml:space="preserve">. </w:t>
      </w:r>
      <w:r w:rsidR="00277463">
        <w:rPr>
          <w:rFonts w:cstheme="minorHAnsi"/>
        </w:rPr>
        <w:t>E</w:t>
      </w:r>
      <w:r w:rsidR="00DF5179" w:rsidRPr="00AB5570">
        <w:rPr>
          <w:rFonts w:cstheme="minorHAnsi"/>
        </w:rPr>
        <w:t>mbedding</w:t>
      </w:r>
      <w:r w:rsidR="002F01E6" w:rsidRPr="00AB5570">
        <w:rPr>
          <w:rFonts w:cstheme="minorHAnsi"/>
        </w:rPr>
        <w:t xml:space="preserve"> </w:t>
      </w:r>
      <w:r w:rsidR="00277463">
        <w:rPr>
          <w:rFonts w:cstheme="minorHAnsi"/>
        </w:rPr>
        <w:t>training</w:t>
      </w:r>
      <w:r w:rsidR="00C637DC">
        <w:rPr>
          <w:rFonts w:cstheme="minorHAnsi"/>
        </w:rPr>
        <w:t xml:space="preserve"> competencies and </w:t>
      </w:r>
      <w:r w:rsidR="002F01E6" w:rsidRPr="00AB5570">
        <w:rPr>
          <w:rFonts w:cstheme="minorHAnsi"/>
        </w:rPr>
        <w:t>best practice</w:t>
      </w:r>
      <w:r w:rsidR="004D3D31" w:rsidRPr="00AB5570">
        <w:rPr>
          <w:rFonts w:cstheme="minorHAnsi"/>
        </w:rPr>
        <w:t xml:space="preserve"> arrangements for</w:t>
      </w:r>
      <w:r w:rsidRPr="00AB5570">
        <w:rPr>
          <w:rFonts w:cstheme="minorHAnsi"/>
        </w:rPr>
        <w:t xml:space="preserve"> </w:t>
      </w:r>
      <w:r w:rsidR="00EE1EE1" w:rsidRPr="00AB5570">
        <w:rPr>
          <w:rFonts w:cstheme="minorHAnsi"/>
        </w:rPr>
        <w:t xml:space="preserve">delegation and </w:t>
      </w:r>
      <w:r w:rsidR="00A4035C" w:rsidRPr="00AB5570">
        <w:rPr>
          <w:rFonts w:cstheme="minorHAnsi"/>
        </w:rPr>
        <w:t>supervision</w:t>
      </w:r>
      <w:r w:rsidR="002F01E6" w:rsidRPr="00AB5570">
        <w:rPr>
          <w:rFonts w:cstheme="minorHAnsi"/>
        </w:rPr>
        <w:t xml:space="preserve"> </w:t>
      </w:r>
      <w:r w:rsidR="004D3D31" w:rsidRPr="00AB5570">
        <w:rPr>
          <w:rFonts w:cstheme="minorHAnsi"/>
        </w:rPr>
        <w:t xml:space="preserve">by </w:t>
      </w:r>
      <w:r w:rsidR="00D94FCB">
        <w:rPr>
          <w:rFonts w:cstheme="minorHAnsi"/>
        </w:rPr>
        <w:t>a</w:t>
      </w:r>
      <w:r w:rsidRPr="00AB5570">
        <w:rPr>
          <w:rFonts w:cstheme="minorHAnsi"/>
        </w:rPr>
        <w:t xml:space="preserve">llied </w:t>
      </w:r>
      <w:r w:rsidR="00D94FCB">
        <w:rPr>
          <w:rFonts w:cstheme="minorHAnsi"/>
        </w:rPr>
        <w:t>h</w:t>
      </w:r>
      <w:r w:rsidRPr="00AB5570">
        <w:rPr>
          <w:rFonts w:cstheme="minorHAnsi"/>
        </w:rPr>
        <w:t xml:space="preserve">ealth </w:t>
      </w:r>
      <w:r w:rsidR="00D94FCB">
        <w:rPr>
          <w:rFonts w:cstheme="minorHAnsi"/>
        </w:rPr>
        <w:t>p</w:t>
      </w:r>
      <w:r w:rsidRPr="00AB5570">
        <w:rPr>
          <w:rFonts w:cstheme="minorHAnsi"/>
        </w:rPr>
        <w:t xml:space="preserve">rofessionals </w:t>
      </w:r>
      <w:r w:rsidR="00D94FCB">
        <w:rPr>
          <w:rFonts w:cstheme="minorHAnsi"/>
        </w:rPr>
        <w:t xml:space="preserve">into systems </w:t>
      </w:r>
      <w:r w:rsidRPr="00AB5570">
        <w:rPr>
          <w:rFonts w:cstheme="minorHAnsi"/>
        </w:rPr>
        <w:t>is required.</w:t>
      </w:r>
      <w:r w:rsidR="004D3D31">
        <w:rPr>
          <w:rStyle w:val="FootnoteReference"/>
          <w:rFonts w:cstheme="minorHAnsi"/>
        </w:rPr>
        <w:footnoteReference w:id="19"/>
      </w:r>
      <w:r w:rsidR="00FB462C">
        <w:rPr>
          <w:rFonts w:cstheme="minorHAnsi"/>
        </w:rPr>
        <w:t xml:space="preserve"> </w:t>
      </w:r>
    </w:p>
    <w:p w14:paraId="3DFFF3B6" w14:textId="40B70344" w:rsidR="00304E65" w:rsidRPr="000A343A" w:rsidRDefault="003735FA" w:rsidP="000A343A">
      <w:pPr>
        <w:ind w:firstLine="0"/>
        <w:rPr>
          <w:rFonts w:ascii="Segoe UI" w:hAnsi="Segoe UI" w:cs="Segoe UI"/>
          <w:sz w:val="20"/>
          <w:szCs w:val="20"/>
        </w:rPr>
      </w:pPr>
      <w:r>
        <w:t xml:space="preserve">Thank you for the opportunity to respond to the Inquiry.  If you have any questions on the ACDHS </w:t>
      </w:r>
      <w:r w:rsidR="006338E5">
        <w:t>response,</w:t>
      </w:r>
      <w:r>
        <w:t xml:space="preserve"> then please do not hesitate to contact ACDHS at </w:t>
      </w:r>
      <w:hyperlink r:id="rId11" w:history="1">
        <w:r w:rsidR="00F43B71" w:rsidRPr="00B31718">
          <w:rPr>
            <w:rStyle w:val="Hyperlink"/>
          </w:rPr>
          <w:t>secretariat@acdhs.edu.au</w:t>
        </w:r>
      </w:hyperlink>
      <w:r w:rsidR="00F43B71" w:rsidRPr="000A343A">
        <w:rPr>
          <w:color w:val="0563C1"/>
          <w:u w:val="single" w:color="0563C1"/>
        </w:rPr>
        <w:t xml:space="preserve">. </w:t>
      </w:r>
      <w:r>
        <w:t xml:space="preserve"> </w:t>
      </w:r>
    </w:p>
    <w:sectPr w:rsidR="00304E65" w:rsidRPr="000A343A" w:rsidSect="00DA3741">
      <w:footerReference w:type="default" r:id="rId12"/>
      <w:pgSz w:w="11906" w:h="16838"/>
      <w:pgMar w:top="1134" w:right="1440" w:bottom="1134" w:left="144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B0EA" w14:textId="77777777" w:rsidR="003412FA" w:rsidRDefault="003412FA">
      <w:pPr>
        <w:spacing w:after="0" w:line="240" w:lineRule="auto"/>
      </w:pPr>
      <w:r>
        <w:separator/>
      </w:r>
    </w:p>
  </w:endnote>
  <w:endnote w:type="continuationSeparator" w:id="0">
    <w:p w14:paraId="61B54008" w14:textId="77777777" w:rsidR="003412FA" w:rsidRDefault="0034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li">
    <w:charset w:val="00"/>
    <w:family w:val="auto"/>
    <w:pitch w:val="variable"/>
    <w:sig w:usb0="A00000EF" w:usb1="4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0296700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2995BC8" w14:textId="5E5D20B1" w:rsidR="008278B1" w:rsidRPr="008278B1" w:rsidRDefault="008278B1">
            <w:pPr>
              <w:pStyle w:val="Footer"/>
              <w:jc w:val="center"/>
              <w:rPr>
                <w:sz w:val="18"/>
                <w:szCs w:val="18"/>
              </w:rPr>
            </w:pPr>
            <w:r w:rsidRPr="008278B1">
              <w:rPr>
                <w:sz w:val="18"/>
                <w:szCs w:val="18"/>
              </w:rPr>
              <w:t xml:space="preserve">Page </w:t>
            </w:r>
            <w:r w:rsidRPr="008278B1">
              <w:rPr>
                <w:b/>
                <w:bCs/>
                <w:sz w:val="18"/>
                <w:szCs w:val="18"/>
              </w:rPr>
              <w:fldChar w:fldCharType="begin"/>
            </w:r>
            <w:r w:rsidRPr="008278B1">
              <w:rPr>
                <w:b/>
                <w:bCs/>
                <w:sz w:val="18"/>
                <w:szCs w:val="18"/>
              </w:rPr>
              <w:instrText xml:space="preserve"> PAGE </w:instrText>
            </w:r>
            <w:r w:rsidRPr="008278B1">
              <w:rPr>
                <w:b/>
                <w:bCs/>
                <w:sz w:val="18"/>
                <w:szCs w:val="18"/>
              </w:rPr>
              <w:fldChar w:fldCharType="separate"/>
            </w:r>
            <w:r w:rsidRPr="008278B1">
              <w:rPr>
                <w:b/>
                <w:bCs/>
                <w:noProof/>
                <w:sz w:val="18"/>
                <w:szCs w:val="18"/>
              </w:rPr>
              <w:t>2</w:t>
            </w:r>
            <w:r w:rsidRPr="008278B1">
              <w:rPr>
                <w:b/>
                <w:bCs/>
                <w:sz w:val="18"/>
                <w:szCs w:val="18"/>
              </w:rPr>
              <w:fldChar w:fldCharType="end"/>
            </w:r>
            <w:r w:rsidRPr="008278B1">
              <w:rPr>
                <w:sz w:val="18"/>
                <w:szCs w:val="18"/>
              </w:rPr>
              <w:t xml:space="preserve"> of </w:t>
            </w:r>
            <w:r w:rsidRPr="008278B1">
              <w:rPr>
                <w:b/>
                <w:bCs/>
                <w:sz w:val="18"/>
                <w:szCs w:val="18"/>
              </w:rPr>
              <w:fldChar w:fldCharType="begin"/>
            </w:r>
            <w:r w:rsidRPr="008278B1">
              <w:rPr>
                <w:b/>
                <w:bCs/>
                <w:sz w:val="18"/>
                <w:szCs w:val="18"/>
              </w:rPr>
              <w:instrText xml:space="preserve"> NUMPAGES  </w:instrText>
            </w:r>
            <w:r w:rsidRPr="008278B1">
              <w:rPr>
                <w:b/>
                <w:bCs/>
                <w:sz w:val="18"/>
                <w:szCs w:val="18"/>
              </w:rPr>
              <w:fldChar w:fldCharType="separate"/>
            </w:r>
            <w:r w:rsidRPr="008278B1">
              <w:rPr>
                <w:b/>
                <w:bCs/>
                <w:noProof/>
                <w:sz w:val="18"/>
                <w:szCs w:val="18"/>
              </w:rPr>
              <w:t>2</w:t>
            </w:r>
            <w:r w:rsidRPr="008278B1">
              <w:rPr>
                <w:b/>
                <w:bCs/>
                <w:sz w:val="18"/>
                <w:szCs w:val="18"/>
              </w:rPr>
              <w:fldChar w:fldCharType="end"/>
            </w:r>
          </w:p>
        </w:sdtContent>
      </w:sdt>
    </w:sdtContent>
  </w:sdt>
  <w:p w14:paraId="1BA2C38E" w14:textId="77777777" w:rsidR="0000309B" w:rsidRDefault="001223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7A39" w14:textId="77777777" w:rsidR="003412FA" w:rsidRDefault="003412FA">
      <w:pPr>
        <w:spacing w:after="0" w:line="240" w:lineRule="auto"/>
      </w:pPr>
      <w:r>
        <w:separator/>
      </w:r>
    </w:p>
  </w:footnote>
  <w:footnote w:type="continuationSeparator" w:id="0">
    <w:p w14:paraId="443C2ABC" w14:textId="77777777" w:rsidR="003412FA" w:rsidRDefault="003412FA">
      <w:pPr>
        <w:spacing w:after="0" w:line="240" w:lineRule="auto"/>
      </w:pPr>
      <w:r>
        <w:continuationSeparator/>
      </w:r>
    </w:p>
  </w:footnote>
  <w:footnote w:type="continuationNotice" w:id="1">
    <w:p w14:paraId="629829D8" w14:textId="77777777" w:rsidR="003412FA" w:rsidRPr="00006FAF" w:rsidRDefault="003412FA" w:rsidP="00006FAF">
      <w:pPr>
        <w:pStyle w:val="Footer"/>
      </w:pPr>
    </w:p>
  </w:footnote>
  <w:footnote w:id="2">
    <w:p w14:paraId="27C92427" w14:textId="652F4F2C" w:rsidR="000F159D" w:rsidRPr="00C637DC" w:rsidRDefault="000F159D" w:rsidP="002A01CA">
      <w:pPr>
        <w:pStyle w:val="FootnoteText"/>
        <w:ind w:left="-57" w:firstLine="0"/>
        <w:rPr>
          <w:sz w:val="16"/>
          <w:szCs w:val="16"/>
          <w:lang w:val="en-AU"/>
        </w:rPr>
      </w:pPr>
      <w:r w:rsidRPr="00C637DC">
        <w:rPr>
          <w:rStyle w:val="FootnoteReference"/>
          <w:sz w:val="16"/>
          <w:szCs w:val="16"/>
        </w:rPr>
        <w:footnoteRef/>
      </w:r>
      <w:r w:rsidRPr="00C637DC">
        <w:rPr>
          <w:sz w:val="16"/>
          <w:szCs w:val="16"/>
        </w:rPr>
        <w:t xml:space="preserve"> </w:t>
      </w:r>
      <w:r w:rsidR="0034326D" w:rsidRPr="00C637DC">
        <w:rPr>
          <w:sz w:val="16"/>
          <w:szCs w:val="16"/>
          <w:lang w:val="en-AU"/>
        </w:rPr>
        <w:t xml:space="preserve">2022 Skills </w:t>
      </w:r>
      <w:r w:rsidR="00487627" w:rsidRPr="00C637DC">
        <w:rPr>
          <w:sz w:val="16"/>
          <w:szCs w:val="16"/>
          <w:lang w:val="en-AU"/>
        </w:rPr>
        <w:t>P</w:t>
      </w:r>
      <w:r w:rsidR="0034326D" w:rsidRPr="00C637DC">
        <w:rPr>
          <w:sz w:val="16"/>
          <w:szCs w:val="16"/>
          <w:lang w:val="en-AU"/>
        </w:rPr>
        <w:t xml:space="preserve">riority </w:t>
      </w:r>
      <w:r w:rsidR="00487627" w:rsidRPr="00C637DC">
        <w:rPr>
          <w:sz w:val="16"/>
          <w:szCs w:val="16"/>
          <w:lang w:val="en-AU"/>
        </w:rPr>
        <w:t>List- Key Findings Report 6 October 2022</w:t>
      </w:r>
      <w:r w:rsidR="00487148" w:rsidRPr="00C637DC">
        <w:rPr>
          <w:sz w:val="16"/>
          <w:szCs w:val="16"/>
          <w:lang w:val="en-AU"/>
        </w:rPr>
        <w:t>. National Skills Commission</w:t>
      </w:r>
      <w:r w:rsidR="00473467" w:rsidRPr="00C637DC">
        <w:rPr>
          <w:sz w:val="16"/>
          <w:szCs w:val="16"/>
          <w:lang w:val="en-AU"/>
        </w:rPr>
        <w:t xml:space="preserve">.  </w:t>
      </w:r>
    </w:p>
  </w:footnote>
  <w:footnote w:id="3">
    <w:p w14:paraId="43CF4EAE" w14:textId="65A37DDA" w:rsidR="000D7BC5" w:rsidRPr="00894B99" w:rsidRDefault="000D7BC5" w:rsidP="002A01CA">
      <w:pPr>
        <w:pStyle w:val="FootnoteText"/>
        <w:ind w:left="-57" w:firstLine="0"/>
        <w:rPr>
          <w:sz w:val="16"/>
          <w:szCs w:val="16"/>
          <w:lang w:val="en-AU"/>
        </w:rPr>
      </w:pPr>
      <w:r w:rsidRPr="00894B99">
        <w:rPr>
          <w:rStyle w:val="FootnoteReference"/>
          <w:sz w:val="16"/>
          <w:szCs w:val="16"/>
        </w:rPr>
        <w:footnoteRef/>
      </w:r>
      <w:r w:rsidRPr="00894B99">
        <w:rPr>
          <w:sz w:val="16"/>
          <w:szCs w:val="16"/>
        </w:rPr>
        <w:t xml:space="preserve"> </w:t>
      </w:r>
      <w:r w:rsidR="00E927E0" w:rsidRPr="00894B99">
        <w:rPr>
          <w:sz w:val="16"/>
          <w:szCs w:val="16"/>
        </w:rPr>
        <w:t>The Commonwealth of Australia</w:t>
      </w:r>
      <w:r w:rsidR="00AB679F" w:rsidRPr="00894B99">
        <w:rPr>
          <w:sz w:val="16"/>
          <w:szCs w:val="16"/>
        </w:rPr>
        <w:t xml:space="preserve">. </w:t>
      </w:r>
      <w:r w:rsidRPr="00894B99">
        <w:rPr>
          <w:sz w:val="16"/>
          <w:szCs w:val="16"/>
        </w:rPr>
        <w:t>Budget Strategy</w:t>
      </w:r>
      <w:r w:rsidR="008D0A89" w:rsidRPr="00894B99">
        <w:rPr>
          <w:sz w:val="16"/>
          <w:szCs w:val="16"/>
        </w:rPr>
        <w:t xml:space="preserve"> and Outlook, Budget Paper no.1: 2022-23, </w:t>
      </w:r>
      <w:r w:rsidR="00A5617C" w:rsidRPr="00894B99">
        <w:rPr>
          <w:sz w:val="16"/>
          <w:szCs w:val="16"/>
        </w:rPr>
        <w:t>pp 141</w:t>
      </w:r>
    </w:p>
  </w:footnote>
  <w:footnote w:id="4">
    <w:p w14:paraId="60F473BD" w14:textId="210C4F65" w:rsidR="00AB15D3" w:rsidRPr="00AB15D3" w:rsidRDefault="00AB15D3" w:rsidP="002A01CA">
      <w:pPr>
        <w:pStyle w:val="FootnoteText"/>
        <w:ind w:left="-57" w:firstLine="0"/>
        <w:rPr>
          <w:lang w:val="en-AU"/>
        </w:rPr>
      </w:pPr>
      <w:r>
        <w:rPr>
          <w:rStyle w:val="FootnoteReference"/>
        </w:rPr>
        <w:footnoteRef/>
      </w:r>
      <w:r>
        <w:t xml:space="preserve"> </w:t>
      </w:r>
      <w:r w:rsidR="00DB377D" w:rsidRPr="00FA4CF0">
        <w:rPr>
          <w:sz w:val="16"/>
          <w:szCs w:val="16"/>
        </w:rPr>
        <w:t>Australian Institute of Health and Welfare</w:t>
      </w:r>
      <w:r w:rsidR="00FA4CF0" w:rsidRPr="00FA4CF0">
        <w:rPr>
          <w:sz w:val="16"/>
          <w:szCs w:val="16"/>
        </w:rPr>
        <w:t xml:space="preserve"> (2021)Health expenditure Australia 2019-20, Australian Government</w:t>
      </w:r>
      <w:r w:rsidR="00FA4CF0">
        <w:t>.</w:t>
      </w:r>
    </w:p>
  </w:footnote>
  <w:footnote w:id="5">
    <w:p w14:paraId="4A9689D2" w14:textId="39BA236A" w:rsidR="00350C1D" w:rsidRPr="00C637DC" w:rsidRDefault="00350C1D" w:rsidP="002A01CA">
      <w:pPr>
        <w:pStyle w:val="FootnoteText"/>
        <w:ind w:left="-57" w:firstLine="0"/>
        <w:rPr>
          <w:sz w:val="16"/>
          <w:szCs w:val="16"/>
          <w:lang w:val="en-AU"/>
        </w:rPr>
      </w:pPr>
      <w:r w:rsidRPr="00C637DC">
        <w:rPr>
          <w:rStyle w:val="FootnoteReference"/>
          <w:sz w:val="16"/>
          <w:szCs w:val="16"/>
        </w:rPr>
        <w:footnoteRef/>
      </w:r>
      <w:r w:rsidRPr="00C637DC">
        <w:rPr>
          <w:sz w:val="16"/>
          <w:szCs w:val="16"/>
        </w:rPr>
        <w:t xml:space="preserve"> </w:t>
      </w:r>
      <w:r w:rsidR="007A18FD" w:rsidRPr="00C637DC">
        <w:rPr>
          <w:sz w:val="16"/>
          <w:szCs w:val="16"/>
          <w:lang w:val="en-AU"/>
        </w:rPr>
        <w:t xml:space="preserve">Rao, M Pilot, E. </w:t>
      </w:r>
      <w:r w:rsidR="00091E15" w:rsidRPr="00C637DC">
        <w:rPr>
          <w:sz w:val="16"/>
          <w:szCs w:val="16"/>
          <w:lang w:val="en-AU"/>
        </w:rPr>
        <w:t xml:space="preserve">(2014) </w:t>
      </w:r>
      <w:r w:rsidR="007A18FD" w:rsidRPr="00C637DC">
        <w:rPr>
          <w:sz w:val="16"/>
          <w:szCs w:val="16"/>
          <w:lang w:val="en-AU"/>
        </w:rPr>
        <w:t>The missing link – the rol</w:t>
      </w:r>
      <w:r w:rsidR="00091E15" w:rsidRPr="00C637DC">
        <w:rPr>
          <w:sz w:val="16"/>
          <w:szCs w:val="16"/>
          <w:lang w:val="en-AU"/>
        </w:rPr>
        <w:t>e</w:t>
      </w:r>
      <w:r w:rsidR="007A18FD" w:rsidRPr="00C637DC">
        <w:rPr>
          <w:sz w:val="16"/>
          <w:szCs w:val="16"/>
          <w:lang w:val="en-AU"/>
        </w:rPr>
        <w:t xml:space="preserve"> of primary care in global health</w:t>
      </w:r>
      <w:r w:rsidR="00091E15" w:rsidRPr="00C637DC">
        <w:rPr>
          <w:sz w:val="16"/>
          <w:szCs w:val="16"/>
          <w:lang w:val="en-AU"/>
        </w:rPr>
        <w:t>. Glob Health Action 2014, 7:</w:t>
      </w:r>
      <w:r w:rsidR="004A0D5B" w:rsidRPr="00C637DC">
        <w:rPr>
          <w:sz w:val="16"/>
          <w:szCs w:val="16"/>
          <w:lang w:val="en-AU"/>
        </w:rPr>
        <w:t>236</w:t>
      </w:r>
      <w:r w:rsidR="00CF55BF" w:rsidRPr="00C637DC">
        <w:rPr>
          <w:sz w:val="16"/>
          <w:szCs w:val="16"/>
          <w:lang w:val="en-AU"/>
        </w:rPr>
        <w:t>3</w:t>
      </w:r>
      <w:r w:rsidR="00091E15" w:rsidRPr="00C637DC">
        <w:rPr>
          <w:sz w:val="16"/>
          <w:szCs w:val="16"/>
          <w:lang w:val="en-AU"/>
        </w:rPr>
        <w:t xml:space="preserve"> </w:t>
      </w:r>
    </w:p>
  </w:footnote>
  <w:footnote w:id="6">
    <w:p w14:paraId="41002303" w14:textId="714CC050" w:rsidR="00F61BC8" w:rsidRPr="00C637DC" w:rsidRDefault="00F61BC8" w:rsidP="003F2881">
      <w:pPr>
        <w:pStyle w:val="FootnoteText"/>
        <w:ind w:left="-57" w:firstLine="0"/>
        <w:rPr>
          <w:sz w:val="16"/>
          <w:szCs w:val="16"/>
          <w:lang w:val="en-AU"/>
        </w:rPr>
      </w:pPr>
      <w:r w:rsidRPr="00C637DC">
        <w:rPr>
          <w:rStyle w:val="FootnoteReference"/>
          <w:sz w:val="16"/>
          <w:szCs w:val="16"/>
        </w:rPr>
        <w:footnoteRef/>
      </w:r>
      <w:r w:rsidRPr="00C637DC">
        <w:rPr>
          <w:sz w:val="16"/>
          <w:szCs w:val="16"/>
        </w:rPr>
        <w:t xml:space="preserve"> </w:t>
      </w:r>
      <w:r w:rsidR="00CB4344" w:rsidRPr="00C637DC">
        <w:rPr>
          <w:sz w:val="16"/>
          <w:szCs w:val="16"/>
          <w:lang w:val="en-AU"/>
        </w:rPr>
        <w:t>Shifting the Dial: 5 Year Productivity Review</w:t>
      </w:r>
      <w:r w:rsidR="00526720" w:rsidRPr="00C637DC">
        <w:rPr>
          <w:sz w:val="16"/>
          <w:szCs w:val="16"/>
          <w:lang w:val="en-AU"/>
        </w:rPr>
        <w:t xml:space="preserve">. Productivity Commission </w:t>
      </w:r>
      <w:r w:rsidR="00863B4F" w:rsidRPr="00C637DC">
        <w:rPr>
          <w:sz w:val="16"/>
          <w:szCs w:val="16"/>
          <w:lang w:val="en-AU"/>
        </w:rPr>
        <w:t xml:space="preserve"> 2017. Accessed on 10 October 2022 https://www.pc.gov.au/inquiries/completed/productivity-review/report/2-healthieraustralians#c29</w:t>
      </w:r>
    </w:p>
  </w:footnote>
  <w:footnote w:id="7">
    <w:p w14:paraId="061A1A02" w14:textId="0CDD3A89" w:rsidR="00E41D54" w:rsidRPr="00C22B7A" w:rsidRDefault="00E41D54" w:rsidP="003F2881">
      <w:pPr>
        <w:pStyle w:val="FootnoteText"/>
        <w:ind w:left="-57" w:firstLine="0"/>
        <w:rPr>
          <w:lang w:val="en-AU"/>
        </w:rPr>
      </w:pPr>
      <w:r w:rsidRPr="00C637DC">
        <w:rPr>
          <w:rStyle w:val="FootnoteReference"/>
          <w:sz w:val="16"/>
          <w:szCs w:val="16"/>
        </w:rPr>
        <w:footnoteRef/>
      </w:r>
      <w:r w:rsidRPr="00C637DC">
        <w:rPr>
          <w:sz w:val="16"/>
          <w:szCs w:val="16"/>
        </w:rPr>
        <w:t xml:space="preserve"> </w:t>
      </w:r>
      <w:r w:rsidRPr="00C637DC">
        <w:rPr>
          <w:sz w:val="16"/>
          <w:szCs w:val="16"/>
          <w:lang w:val="en-AU"/>
        </w:rPr>
        <w:t>Future focussed primary health care: Australia’s Primary Health Care 10 Year Plan 2022-3</w:t>
      </w:r>
      <w:r w:rsidR="007F258A">
        <w:rPr>
          <w:sz w:val="16"/>
          <w:szCs w:val="16"/>
          <w:lang w:val="en-AU"/>
        </w:rPr>
        <w:t>2</w:t>
      </w:r>
      <w:r w:rsidRPr="00C637DC">
        <w:rPr>
          <w:sz w:val="16"/>
          <w:szCs w:val="16"/>
          <w:lang w:val="en-AU"/>
        </w:rPr>
        <w:t>. Commonwealth Department of Health 2022.</w:t>
      </w:r>
      <w:r>
        <w:rPr>
          <w:lang w:val="en-AU"/>
        </w:rPr>
        <w:t xml:space="preserve"> </w:t>
      </w:r>
    </w:p>
  </w:footnote>
  <w:footnote w:id="8">
    <w:p w14:paraId="29024CB1" w14:textId="6A1D2C0E" w:rsidR="0020716D" w:rsidRPr="00705CD7" w:rsidRDefault="0020716D" w:rsidP="00705CD7">
      <w:pPr>
        <w:pStyle w:val="FootnoteText"/>
        <w:ind w:firstLine="0"/>
        <w:rPr>
          <w:sz w:val="16"/>
          <w:szCs w:val="16"/>
          <w:lang w:val="en-AU"/>
        </w:rPr>
      </w:pPr>
      <w:r w:rsidRPr="00705CD7">
        <w:rPr>
          <w:rStyle w:val="FootnoteReference"/>
          <w:sz w:val="16"/>
          <w:szCs w:val="16"/>
        </w:rPr>
        <w:footnoteRef/>
      </w:r>
      <w:r w:rsidRPr="00705CD7">
        <w:rPr>
          <w:sz w:val="16"/>
          <w:szCs w:val="16"/>
        </w:rPr>
        <w:t xml:space="preserve"> </w:t>
      </w:r>
      <w:r w:rsidRPr="00705CD7">
        <w:rPr>
          <w:sz w:val="16"/>
          <w:szCs w:val="16"/>
          <w:lang w:val="en-AU"/>
        </w:rPr>
        <w:t>Cairns</w:t>
      </w:r>
      <w:r w:rsidR="00085868" w:rsidRPr="00705CD7">
        <w:rPr>
          <w:sz w:val="16"/>
          <w:szCs w:val="16"/>
          <w:lang w:val="en-AU"/>
        </w:rPr>
        <w:t xml:space="preserve"> A, Geia L, Kris S, Armstrong E, </w:t>
      </w:r>
      <w:r w:rsidR="00104AA1" w:rsidRPr="00705CD7">
        <w:rPr>
          <w:sz w:val="16"/>
          <w:szCs w:val="16"/>
          <w:lang w:val="en-AU"/>
        </w:rPr>
        <w:t>O’Hara A, Rodda D, McDermott R, Barker R</w:t>
      </w:r>
      <w:r w:rsidR="004276C2" w:rsidRPr="00705CD7">
        <w:rPr>
          <w:sz w:val="16"/>
          <w:szCs w:val="16"/>
          <w:lang w:val="en-AU"/>
        </w:rPr>
        <w:t>. (2022) Developing a community rehabilitation and lifestyle service for a remote indigenous community, Disability and Rehabilitation, 44:16,</w:t>
      </w:r>
      <w:r w:rsidR="00705CD7" w:rsidRPr="00705CD7">
        <w:rPr>
          <w:sz w:val="16"/>
          <w:szCs w:val="16"/>
          <w:lang w:val="en-AU"/>
        </w:rPr>
        <w:t xml:space="preserve"> 4266-4274.</w:t>
      </w:r>
    </w:p>
  </w:footnote>
  <w:footnote w:id="9">
    <w:p w14:paraId="0840ADC5" w14:textId="77777777" w:rsidR="006E3334" w:rsidRPr="00C637DC" w:rsidRDefault="006E3334" w:rsidP="006F2B01">
      <w:pPr>
        <w:pStyle w:val="FootnoteText"/>
        <w:spacing w:after="120"/>
        <w:ind w:firstLine="0"/>
        <w:contextualSpacing/>
        <w:rPr>
          <w:sz w:val="16"/>
          <w:szCs w:val="16"/>
          <w:lang w:val="en-AU"/>
        </w:rPr>
      </w:pPr>
      <w:r w:rsidRPr="00C637DC">
        <w:rPr>
          <w:rStyle w:val="FootnoteReference"/>
          <w:sz w:val="16"/>
          <w:szCs w:val="16"/>
        </w:rPr>
        <w:footnoteRef/>
      </w:r>
      <w:r w:rsidRPr="00C637DC">
        <w:rPr>
          <w:sz w:val="16"/>
          <w:szCs w:val="16"/>
          <w:lang w:val="en-AU"/>
        </w:rPr>
        <w:t>Ranmuthugala G. (2022). Australian Health Review 46 (3), 383-384. Doi 10.1071/AH22125</w:t>
      </w:r>
    </w:p>
  </w:footnote>
  <w:footnote w:id="10">
    <w:p w14:paraId="39E146A9" w14:textId="7502AEF6" w:rsidR="00CE3EE0" w:rsidRPr="00265102" w:rsidRDefault="00CE3EE0" w:rsidP="00DD08EA">
      <w:pPr>
        <w:pStyle w:val="FootnoteText"/>
        <w:spacing w:after="120"/>
        <w:ind w:firstLine="0"/>
        <w:contextualSpacing/>
        <w:rPr>
          <w:rFonts w:cstheme="minorHAnsi"/>
          <w:sz w:val="16"/>
          <w:szCs w:val="16"/>
        </w:rPr>
      </w:pPr>
      <w:r w:rsidRPr="00265102">
        <w:rPr>
          <w:rStyle w:val="FootnoteReference"/>
          <w:rFonts w:cstheme="minorHAnsi"/>
          <w:sz w:val="16"/>
          <w:szCs w:val="16"/>
        </w:rPr>
        <w:footnoteRef/>
      </w:r>
      <w:r w:rsidRPr="00265102">
        <w:rPr>
          <w:rFonts w:cstheme="minorHAnsi"/>
          <w:sz w:val="16"/>
          <w:szCs w:val="16"/>
        </w:rPr>
        <w:t xml:space="preserve"> Anderson M, O’Neill C, Macleod Clark J etal. Lancet 2021;397:1992-2011</w:t>
      </w:r>
    </w:p>
  </w:footnote>
  <w:footnote w:id="11">
    <w:p w14:paraId="57D108C4" w14:textId="6CE9F989" w:rsidR="001D7709" w:rsidRPr="00265102" w:rsidRDefault="001D7709" w:rsidP="004B3A2F">
      <w:pPr>
        <w:pStyle w:val="FootnoteText"/>
        <w:ind w:firstLine="0"/>
        <w:rPr>
          <w:rFonts w:cstheme="minorHAnsi"/>
          <w:sz w:val="16"/>
          <w:szCs w:val="16"/>
          <w:lang w:val="en-AU"/>
        </w:rPr>
      </w:pPr>
      <w:r w:rsidRPr="00265102">
        <w:rPr>
          <w:rStyle w:val="FootnoteReference"/>
          <w:rFonts w:cstheme="minorHAnsi"/>
          <w:sz w:val="16"/>
          <w:szCs w:val="16"/>
        </w:rPr>
        <w:footnoteRef/>
      </w:r>
      <w:r w:rsidRPr="00265102">
        <w:rPr>
          <w:rFonts w:cstheme="minorHAnsi"/>
          <w:sz w:val="16"/>
          <w:szCs w:val="16"/>
        </w:rPr>
        <w:t xml:space="preserve"> </w:t>
      </w:r>
      <w:r w:rsidR="00104238" w:rsidRPr="00265102">
        <w:rPr>
          <w:rFonts w:cstheme="minorHAnsi"/>
          <w:sz w:val="16"/>
          <w:szCs w:val="16"/>
          <w:lang w:val="en-AU"/>
        </w:rPr>
        <w:t>Shigek</w:t>
      </w:r>
      <w:r w:rsidR="00DF091B" w:rsidRPr="00265102">
        <w:rPr>
          <w:rFonts w:cstheme="minorHAnsi"/>
          <w:sz w:val="16"/>
          <w:szCs w:val="16"/>
          <w:lang w:val="en-AU"/>
        </w:rPr>
        <w:t>a</w:t>
      </w:r>
      <w:r w:rsidR="00104238" w:rsidRPr="00265102">
        <w:rPr>
          <w:rFonts w:cstheme="minorHAnsi"/>
          <w:sz w:val="16"/>
          <w:szCs w:val="16"/>
          <w:lang w:val="en-AU"/>
        </w:rPr>
        <w:t>wa E, Fix M, Corbett G, Roby DH</w:t>
      </w:r>
      <w:r w:rsidR="00B236D0" w:rsidRPr="00265102">
        <w:rPr>
          <w:rFonts w:cstheme="minorHAnsi"/>
          <w:sz w:val="16"/>
          <w:szCs w:val="16"/>
          <w:lang w:val="en-AU"/>
        </w:rPr>
        <w:t>, Coffman</w:t>
      </w:r>
      <w:r w:rsidR="00623070" w:rsidRPr="00265102">
        <w:rPr>
          <w:rFonts w:cstheme="minorHAnsi"/>
          <w:sz w:val="16"/>
          <w:szCs w:val="16"/>
          <w:lang w:val="en-AU"/>
        </w:rPr>
        <w:t xml:space="preserve"> J. The Current State of Telehealth Evidence: A Rapid </w:t>
      </w:r>
      <w:r w:rsidR="00AA1B9E" w:rsidRPr="00265102">
        <w:rPr>
          <w:rFonts w:cstheme="minorHAnsi"/>
          <w:sz w:val="16"/>
          <w:szCs w:val="16"/>
          <w:lang w:val="en-AU"/>
        </w:rPr>
        <w:t>Review. Health</w:t>
      </w:r>
      <w:r w:rsidR="00F113FE" w:rsidRPr="00265102">
        <w:rPr>
          <w:rFonts w:cstheme="minorHAnsi"/>
          <w:sz w:val="16"/>
          <w:szCs w:val="16"/>
          <w:lang w:val="en-AU"/>
        </w:rPr>
        <w:t xml:space="preserve"> Affairs</w:t>
      </w:r>
      <w:r w:rsidR="004B3A2F" w:rsidRPr="00265102">
        <w:rPr>
          <w:rFonts w:cstheme="minorHAnsi"/>
          <w:sz w:val="16"/>
          <w:szCs w:val="16"/>
          <w:lang w:val="en-AU"/>
        </w:rPr>
        <w:t>.</w:t>
      </w:r>
      <w:r w:rsidR="00FE0008" w:rsidRPr="00265102">
        <w:rPr>
          <w:rFonts w:cstheme="minorHAnsi"/>
          <w:sz w:val="16"/>
          <w:szCs w:val="16"/>
          <w:lang w:val="en-AU"/>
        </w:rPr>
        <w:t xml:space="preserve"> December 2018</w:t>
      </w:r>
      <w:r w:rsidR="004B3A2F" w:rsidRPr="00265102">
        <w:rPr>
          <w:rFonts w:cstheme="minorHAnsi"/>
          <w:sz w:val="16"/>
          <w:szCs w:val="16"/>
          <w:lang w:val="en-AU"/>
        </w:rPr>
        <w:t>;</w:t>
      </w:r>
      <w:r w:rsidR="00FE0008" w:rsidRPr="00265102">
        <w:rPr>
          <w:rFonts w:cstheme="minorHAnsi"/>
          <w:sz w:val="16"/>
          <w:szCs w:val="16"/>
          <w:lang w:val="en-AU"/>
        </w:rPr>
        <w:t xml:space="preserve"> 37:12</w:t>
      </w:r>
    </w:p>
  </w:footnote>
  <w:footnote w:id="12">
    <w:p w14:paraId="7406EFFE" w14:textId="45428446" w:rsidR="00DE6AC4" w:rsidRPr="00265102" w:rsidRDefault="00DE6AC4" w:rsidP="003F2881">
      <w:pPr>
        <w:spacing w:after="0" w:line="240" w:lineRule="auto"/>
        <w:ind w:firstLine="0"/>
        <w:rPr>
          <w:rFonts w:cstheme="minorHAnsi"/>
          <w:sz w:val="16"/>
          <w:szCs w:val="16"/>
        </w:rPr>
      </w:pPr>
      <w:r w:rsidRPr="00375C39">
        <w:rPr>
          <w:rFonts w:cstheme="minorHAnsi"/>
          <w:sz w:val="16"/>
          <w:szCs w:val="16"/>
          <w:vertAlign w:val="superscript"/>
        </w:rPr>
        <w:footnoteRef/>
      </w:r>
      <w:r w:rsidRPr="00375C39">
        <w:rPr>
          <w:rFonts w:cstheme="minorHAnsi"/>
          <w:sz w:val="16"/>
          <w:szCs w:val="16"/>
          <w:vertAlign w:val="superscript"/>
        </w:rPr>
        <w:t xml:space="preserve"> </w:t>
      </w:r>
      <w:r w:rsidRPr="00265102">
        <w:rPr>
          <w:rFonts w:cstheme="minorHAnsi"/>
          <w:sz w:val="16"/>
          <w:szCs w:val="16"/>
        </w:rPr>
        <w:t xml:space="preserve"> Future focussed primary health care: Australia’s Primary Health Care 10 Year Plan 2022-3</w:t>
      </w:r>
      <w:r w:rsidR="008C3208" w:rsidRPr="00265102">
        <w:rPr>
          <w:rFonts w:cstheme="minorHAnsi"/>
          <w:sz w:val="16"/>
          <w:szCs w:val="16"/>
        </w:rPr>
        <w:t>2</w:t>
      </w:r>
      <w:r w:rsidRPr="00265102">
        <w:rPr>
          <w:rFonts w:cstheme="minorHAnsi"/>
          <w:sz w:val="16"/>
          <w:szCs w:val="16"/>
        </w:rPr>
        <w:t xml:space="preserve">. Commonwealth Department of Health 2022. </w:t>
      </w:r>
    </w:p>
  </w:footnote>
  <w:footnote w:id="13">
    <w:p w14:paraId="51E6EC71" w14:textId="235F62A7" w:rsidR="0070272B" w:rsidRPr="00265102" w:rsidRDefault="0070272B" w:rsidP="00DC56CC">
      <w:pPr>
        <w:pStyle w:val="FootnoteText"/>
        <w:ind w:firstLine="0"/>
        <w:rPr>
          <w:sz w:val="16"/>
          <w:szCs w:val="16"/>
          <w:lang w:val="en-AU"/>
        </w:rPr>
      </w:pPr>
      <w:r w:rsidRPr="00265102">
        <w:rPr>
          <w:rStyle w:val="FootnoteReference"/>
          <w:sz w:val="16"/>
          <w:szCs w:val="16"/>
        </w:rPr>
        <w:footnoteRef/>
      </w:r>
      <w:r w:rsidRPr="00265102">
        <w:rPr>
          <w:sz w:val="16"/>
          <w:szCs w:val="16"/>
        </w:rPr>
        <w:t xml:space="preserve"> </w:t>
      </w:r>
      <w:r w:rsidRPr="00265102">
        <w:rPr>
          <w:sz w:val="16"/>
          <w:szCs w:val="16"/>
          <w:lang w:val="en-AU"/>
        </w:rPr>
        <w:t xml:space="preserve">Universities Australia </w:t>
      </w:r>
      <w:hyperlink r:id="rId1" w:history="1">
        <w:r w:rsidR="00DC56CC" w:rsidRPr="00265102">
          <w:rPr>
            <w:rStyle w:val="Hyperlink"/>
            <w:sz w:val="16"/>
            <w:szCs w:val="16"/>
            <w:lang w:val="en-AU"/>
          </w:rPr>
          <w:t>https://www.universitiesaustralia.edu.au/wp-content/uploads/2022/04/220426-UAs-productivity-plan.pdf</w:t>
        </w:r>
      </w:hyperlink>
      <w:r w:rsidR="00DC56CC" w:rsidRPr="00265102">
        <w:rPr>
          <w:sz w:val="16"/>
          <w:szCs w:val="16"/>
          <w:lang w:val="en-AU"/>
        </w:rPr>
        <w:t xml:space="preserve"> accessed on 12 October 2022. </w:t>
      </w:r>
    </w:p>
  </w:footnote>
  <w:footnote w:id="14">
    <w:p w14:paraId="21061639" w14:textId="0C496F27" w:rsidR="00AD5BD0" w:rsidRPr="00265102" w:rsidRDefault="00AD5BD0" w:rsidP="003F2881">
      <w:pPr>
        <w:spacing w:after="0" w:line="240" w:lineRule="auto"/>
        <w:ind w:firstLine="0"/>
        <w:rPr>
          <w:sz w:val="16"/>
          <w:szCs w:val="16"/>
        </w:rPr>
      </w:pPr>
      <w:r w:rsidRPr="00375C39">
        <w:rPr>
          <w:sz w:val="16"/>
          <w:szCs w:val="16"/>
          <w:vertAlign w:val="superscript"/>
        </w:rPr>
        <w:footnoteRef/>
      </w:r>
      <w:r w:rsidRPr="00265102">
        <w:rPr>
          <w:sz w:val="16"/>
          <w:szCs w:val="16"/>
        </w:rPr>
        <w:t xml:space="preserve"> </w:t>
      </w:r>
      <w:r w:rsidR="00343874" w:rsidRPr="00265102">
        <w:rPr>
          <w:sz w:val="16"/>
          <w:szCs w:val="16"/>
        </w:rPr>
        <w:t xml:space="preserve">2022 Skills Priority List Key Findings Report 6 October 2022.  Accessed on 7 October 2022 at:   </w:t>
      </w:r>
      <w:hyperlink r:id="rId2" w:history="1">
        <w:r w:rsidR="00343874" w:rsidRPr="00265102">
          <w:rPr>
            <w:sz w:val="16"/>
            <w:szCs w:val="16"/>
          </w:rPr>
          <w:t>https://www.nationalskillscommission.gov.au/sites/default/files/2022-10/2022%20SPL%20Key%20Findings%20Report%20-%206%20October%202022_0.pdf</w:t>
        </w:r>
      </w:hyperlink>
    </w:p>
  </w:footnote>
  <w:footnote w:id="15">
    <w:p w14:paraId="553F22E0" w14:textId="64FBB5B6" w:rsidR="00375B95" w:rsidRPr="00265102" w:rsidRDefault="00375B95" w:rsidP="003F2881">
      <w:pPr>
        <w:pStyle w:val="FootnoteText"/>
        <w:ind w:firstLine="0"/>
        <w:rPr>
          <w:sz w:val="16"/>
          <w:szCs w:val="16"/>
          <w:lang w:val="en-AU"/>
        </w:rPr>
      </w:pPr>
      <w:r w:rsidRPr="00265102">
        <w:rPr>
          <w:rStyle w:val="FootnoteReference"/>
          <w:sz w:val="16"/>
          <w:szCs w:val="16"/>
        </w:rPr>
        <w:footnoteRef/>
      </w:r>
      <w:r w:rsidRPr="00265102">
        <w:rPr>
          <w:sz w:val="16"/>
          <w:szCs w:val="16"/>
        </w:rPr>
        <w:t xml:space="preserve"> https://www.abc.net.au/news/2021-12-08/government-to-slash-university-debt-for-remote-health-workers/100681094</w:t>
      </w:r>
    </w:p>
  </w:footnote>
  <w:footnote w:id="16">
    <w:p w14:paraId="613270E9" w14:textId="5E7BDA27" w:rsidR="00130623" w:rsidRPr="004551A4" w:rsidRDefault="00130623" w:rsidP="003F2881">
      <w:pPr>
        <w:pStyle w:val="FootnoteText"/>
        <w:ind w:firstLine="0"/>
        <w:rPr>
          <w:sz w:val="16"/>
          <w:szCs w:val="16"/>
          <w:lang w:val="en-AU"/>
        </w:rPr>
      </w:pPr>
      <w:r w:rsidRPr="00265102">
        <w:rPr>
          <w:rStyle w:val="FootnoteReference"/>
          <w:sz w:val="16"/>
          <w:szCs w:val="16"/>
        </w:rPr>
        <w:footnoteRef/>
      </w:r>
      <w:r w:rsidRPr="00265102">
        <w:rPr>
          <w:sz w:val="16"/>
          <w:szCs w:val="16"/>
        </w:rPr>
        <w:t xml:space="preserve"> </w:t>
      </w:r>
      <w:r w:rsidRPr="00265102">
        <w:rPr>
          <w:sz w:val="16"/>
          <w:szCs w:val="16"/>
          <w:lang w:val="en-AU"/>
        </w:rPr>
        <w:t>Bourne E.</w:t>
      </w:r>
      <w:r w:rsidR="00513B6E" w:rsidRPr="00265102">
        <w:rPr>
          <w:sz w:val="16"/>
          <w:szCs w:val="16"/>
          <w:lang w:val="en-AU"/>
        </w:rPr>
        <w:t xml:space="preserve"> Short K, McAllister L. and Nagarajan S (2019) The quantitative impact of placement on allied health time use</w:t>
      </w:r>
      <w:r w:rsidR="00891BF7" w:rsidRPr="00265102">
        <w:rPr>
          <w:sz w:val="16"/>
          <w:szCs w:val="16"/>
          <w:lang w:val="en-AU"/>
        </w:rPr>
        <w:t xml:space="preserve"> and productivity in health</w:t>
      </w:r>
      <w:r w:rsidR="00891BF7" w:rsidRPr="00C637DC">
        <w:rPr>
          <w:sz w:val="16"/>
          <w:szCs w:val="16"/>
          <w:lang w:val="en-AU"/>
        </w:rPr>
        <w:t xml:space="preserve"> </w:t>
      </w:r>
      <w:r w:rsidR="00891BF7" w:rsidRPr="004551A4">
        <w:rPr>
          <w:sz w:val="16"/>
          <w:szCs w:val="16"/>
          <w:lang w:val="en-AU"/>
        </w:rPr>
        <w:t xml:space="preserve">care facilities: a systematic review with meta-analysis. </w:t>
      </w:r>
      <w:r w:rsidR="00D9493E" w:rsidRPr="004551A4">
        <w:rPr>
          <w:sz w:val="16"/>
          <w:szCs w:val="16"/>
          <w:lang w:val="en-AU"/>
        </w:rPr>
        <w:t xml:space="preserve">Focus on Health Professional Education Vol 20, No 2. </w:t>
      </w:r>
    </w:p>
  </w:footnote>
  <w:footnote w:id="17">
    <w:p w14:paraId="1842F574" w14:textId="005F7FDB" w:rsidR="00387018" w:rsidRPr="00AA1B9E" w:rsidRDefault="00387018" w:rsidP="00AA1B9E">
      <w:pPr>
        <w:pStyle w:val="FootnoteText"/>
        <w:ind w:firstLine="0"/>
        <w:rPr>
          <w:sz w:val="16"/>
          <w:szCs w:val="16"/>
          <w:lang w:val="en-AU"/>
        </w:rPr>
      </w:pPr>
      <w:r w:rsidRPr="00AA1B9E">
        <w:rPr>
          <w:rStyle w:val="FootnoteReference"/>
          <w:sz w:val="16"/>
          <w:szCs w:val="16"/>
        </w:rPr>
        <w:footnoteRef/>
      </w:r>
      <w:r w:rsidRPr="00AA1B9E">
        <w:rPr>
          <w:rStyle w:val="FootnoteReference"/>
          <w:sz w:val="16"/>
          <w:szCs w:val="16"/>
          <w:vertAlign w:val="baseline"/>
        </w:rPr>
        <w:t xml:space="preserve"> </w:t>
      </w:r>
      <w:r w:rsidR="005011DE" w:rsidRPr="00AA1B9E">
        <w:rPr>
          <w:rStyle w:val="FootnoteReference"/>
          <w:sz w:val="16"/>
          <w:szCs w:val="16"/>
          <w:vertAlign w:val="baseline"/>
        </w:rPr>
        <w:t>Loffler, H etal (2018) Student participation at Helping Hand Aged Care: taking clinical placement to the next level. Journal of Nursing Research. 2018; 239(2-3) 290-305.</w:t>
      </w:r>
    </w:p>
  </w:footnote>
  <w:footnote w:id="18">
    <w:p w14:paraId="301785A3" w14:textId="36311797" w:rsidR="00C94568" w:rsidRPr="004551A4" w:rsidRDefault="00C94568" w:rsidP="00F43B71">
      <w:pPr>
        <w:pStyle w:val="FootnoteText"/>
        <w:ind w:firstLine="0"/>
        <w:rPr>
          <w:sz w:val="16"/>
          <w:szCs w:val="16"/>
          <w:lang w:val="en-AU"/>
        </w:rPr>
      </w:pPr>
      <w:r w:rsidRPr="004551A4">
        <w:rPr>
          <w:rStyle w:val="FootnoteReference"/>
          <w:sz w:val="16"/>
          <w:szCs w:val="16"/>
        </w:rPr>
        <w:footnoteRef/>
      </w:r>
      <w:r w:rsidRPr="004551A4">
        <w:rPr>
          <w:sz w:val="16"/>
          <w:szCs w:val="16"/>
        </w:rPr>
        <w:t xml:space="preserve"> </w:t>
      </w:r>
      <w:r w:rsidR="0050576E" w:rsidRPr="004551A4">
        <w:rPr>
          <w:sz w:val="16"/>
          <w:szCs w:val="16"/>
        </w:rPr>
        <w:t>Proposed Allied health Aged Care solutions for Jobs Summit</w:t>
      </w:r>
      <w:r w:rsidR="00F43B71" w:rsidRPr="004551A4">
        <w:rPr>
          <w:sz w:val="16"/>
          <w:szCs w:val="16"/>
        </w:rPr>
        <w:t xml:space="preserve">. </w:t>
      </w:r>
      <w:r w:rsidR="00023D57" w:rsidRPr="004551A4">
        <w:rPr>
          <w:sz w:val="16"/>
          <w:szCs w:val="16"/>
        </w:rPr>
        <w:t>Allied Health Professions Australia August 2022.</w:t>
      </w:r>
      <w:r w:rsidR="00023D57" w:rsidRPr="004551A4">
        <w:rPr>
          <w:sz w:val="16"/>
          <w:szCs w:val="16"/>
          <w:lang w:val="en-AU"/>
        </w:rPr>
        <w:t xml:space="preserve">accessed at </w:t>
      </w:r>
      <w:r w:rsidRPr="004551A4">
        <w:rPr>
          <w:sz w:val="16"/>
          <w:szCs w:val="16"/>
          <w:lang w:val="en-AU"/>
        </w:rPr>
        <w:t xml:space="preserve"> </w:t>
      </w:r>
      <w:r w:rsidR="0050576E" w:rsidRPr="004551A4">
        <w:rPr>
          <w:sz w:val="16"/>
          <w:szCs w:val="16"/>
          <w:lang w:val="en-AU"/>
        </w:rPr>
        <w:t>https://ahpa.com.au/wp-content/uploads/2022/08/AHPA-Proposed-Allied-Health-Aged-Care-Solutions-for-Jobs-Summit-300822.pdf</w:t>
      </w:r>
    </w:p>
  </w:footnote>
  <w:footnote w:id="19">
    <w:p w14:paraId="33F757AE" w14:textId="64F7C727" w:rsidR="004D3D31" w:rsidRPr="004551A4" w:rsidRDefault="004D3D31" w:rsidP="00F43B71">
      <w:pPr>
        <w:pStyle w:val="FootnoteText"/>
        <w:ind w:firstLine="0"/>
        <w:rPr>
          <w:sz w:val="16"/>
          <w:szCs w:val="16"/>
          <w:lang w:val="en-AU"/>
        </w:rPr>
      </w:pPr>
      <w:r w:rsidRPr="004551A4">
        <w:rPr>
          <w:rStyle w:val="FootnoteReference"/>
          <w:sz w:val="16"/>
          <w:szCs w:val="16"/>
        </w:rPr>
        <w:footnoteRef/>
      </w:r>
      <w:r w:rsidRPr="004551A4">
        <w:rPr>
          <w:sz w:val="16"/>
          <w:szCs w:val="16"/>
        </w:rPr>
        <w:t xml:space="preserve"> </w:t>
      </w:r>
      <w:r w:rsidRPr="004551A4">
        <w:rPr>
          <w:sz w:val="16"/>
          <w:szCs w:val="16"/>
          <w:lang w:val="en-AU"/>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342"/>
    <w:multiLevelType w:val="hybridMultilevel"/>
    <w:tmpl w:val="36C8FD1A"/>
    <w:lvl w:ilvl="0" w:tplc="0C090001">
      <w:start w:val="1"/>
      <w:numFmt w:val="bullet"/>
      <w:lvlText w:val=""/>
      <w:lvlJc w:val="left"/>
      <w:pPr>
        <w:ind w:left="716" w:hanging="360"/>
      </w:pPr>
      <w:rPr>
        <w:rFonts w:ascii="Symbol" w:hAnsi="Symbo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8C7D9C"/>
    <w:multiLevelType w:val="hybridMultilevel"/>
    <w:tmpl w:val="B76675CA"/>
    <w:lvl w:ilvl="0" w:tplc="7DD82386">
      <w:start w:val="1"/>
      <w:numFmt w:val="decimal"/>
      <w:lvlText w:val="%1."/>
      <w:lvlJc w:val="left"/>
      <w:pPr>
        <w:ind w:left="6379" w:hanging="425"/>
      </w:pPr>
      <w:rPr>
        <w:rFonts w:ascii="Muli" w:eastAsia="Century Gothic" w:hAnsi="Muli" w:hint="default"/>
        <w:w w:val="100"/>
        <w:sz w:val="20"/>
        <w:szCs w:val="20"/>
      </w:rPr>
    </w:lvl>
    <w:lvl w:ilvl="1" w:tplc="2E34E670">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41258C"/>
    <w:multiLevelType w:val="hybridMultilevel"/>
    <w:tmpl w:val="5986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3" w15:restartNumberingAfterBreak="0">
    <w:nsid w:val="0A4F1E4C"/>
    <w:multiLevelType w:val="hybridMultilevel"/>
    <w:tmpl w:val="130E8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3E6C9D"/>
    <w:multiLevelType w:val="multilevel"/>
    <w:tmpl w:val="FF8069A4"/>
    <w:numStyleLink w:val="Bullets"/>
  </w:abstractNum>
  <w:abstractNum w:abstractNumId="5" w15:restartNumberingAfterBreak="0">
    <w:nsid w:val="16E91830"/>
    <w:multiLevelType w:val="hybridMultilevel"/>
    <w:tmpl w:val="2318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64C7E"/>
    <w:multiLevelType w:val="hybridMultilevel"/>
    <w:tmpl w:val="9060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10F28"/>
    <w:multiLevelType w:val="hybridMultilevel"/>
    <w:tmpl w:val="500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46CF5"/>
    <w:multiLevelType w:val="hybridMultilevel"/>
    <w:tmpl w:val="5E600EB4"/>
    <w:lvl w:ilvl="0" w:tplc="3EBC2E1C">
      <w:start w:val="1"/>
      <w:numFmt w:val="decimal"/>
      <w:lvlText w:val="%1."/>
      <w:lvlJc w:val="left"/>
      <w:pPr>
        <w:ind w:left="35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C3632A"/>
    <w:multiLevelType w:val="hybridMultilevel"/>
    <w:tmpl w:val="72B03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2F668D4"/>
    <w:multiLevelType w:val="hybridMultilevel"/>
    <w:tmpl w:val="80640DDA"/>
    <w:lvl w:ilvl="0" w:tplc="A9245AD4">
      <w:start w:val="1"/>
      <w:numFmt w:val="decimal"/>
      <w:lvlText w:val="%1."/>
      <w:lvlJc w:val="left"/>
      <w:pPr>
        <w:ind w:left="720" w:hanging="360"/>
      </w:pPr>
      <w:rPr>
        <w:rFonts w:asciiTheme="minorHAnsi" w:hAnsiTheme="minorHAnsi" w:cstheme="minorHAnsi" w:hint="default"/>
        <w:color w:val="22222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6594D"/>
    <w:multiLevelType w:val="hybridMultilevel"/>
    <w:tmpl w:val="989C31F6"/>
    <w:lvl w:ilvl="0" w:tplc="B28045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67C93"/>
    <w:multiLevelType w:val="hybridMultilevel"/>
    <w:tmpl w:val="E3E0C2AC"/>
    <w:lvl w:ilvl="0" w:tplc="7A1E5D52">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A10C69"/>
    <w:multiLevelType w:val="hybridMultilevel"/>
    <w:tmpl w:val="D70EEDDC"/>
    <w:lvl w:ilvl="0" w:tplc="D1E00FC0">
      <w:start w:val="1"/>
      <w:numFmt w:val="decimal"/>
      <w:lvlText w:val="%1."/>
      <w:lvlJc w:val="left"/>
      <w:pPr>
        <w:ind w:left="356"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D075C8"/>
    <w:multiLevelType w:val="hybridMultilevel"/>
    <w:tmpl w:val="DDD279EA"/>
    <w:lvl w:ilvl="0" w:tplc="0A0CD130">
      <w:start w:val="1"/>
      <w:numFmt w:val="bullet"/>
      <w:lvlText w:val=""/>
      <w:lvlJc w:val="left"/>
      <w:pPr>
        <w:tabs>
          <w:tab w:val="num" w:pos="720"/>
        </w:tabs>
        <w:ind w:left="720" w:hanging="360"/>
      </w:pPr>
      <w:rPr>
        <w:rFonts w:ascii="Symbol" w:hAnsi="Symbol" w:hint="default"/>
        <w:sz w:val="20"/>
      </w:rPr>
    </w:lvl>
    <w:lvl w:ilvl="1" w:tplc="C016A616">
      <w:start w:val="1"/>
      <w:numFmt w:val="bullet"/>
      <w:lvlText w:val="o"/>
      <w:lvlJc w:val="left"/>
      <w:pPr>
        <w:tabs>
          <w:tab w:val="num" w:pos="1440"/>
        </w:tabs>
        <w:ind w:left="1440" w:hanging="360"/>
      </w:pPr>
      <w:rPr>
        <w:rFonts w:ascii="Courier New" w:hAnsi="Courier New" w:cs="Times New Roman" w:hint="default"/>
        <w:sz w:val="20"/>
      </w:rPr>
    </w:lvl>
    <w:lvl w:ilvl="2" w:tplc="3364DF04">
      <w:start w:val="1"/>
      <w:numFmt w:val="bullet"/>
      <w:lvlText w:val=""/>
      <w:lvlJc w:val="left"/>
      <w:pPr>
        <w:tabs>
          <w:tab w:val="num" w:pos="2160"/>
        </w:tabs>
        <w:ind w:left="2160" w:hanging="360"/>
      </w:pPr>
      <w:rPr>
        <w:rFonts w:ascii="Wingdings" w:hAnsi="Wingdings" w:hint="default"/>
        <w:sz w:val="20"/>
      </w:rPr>
    </w:lvl>
    <w:lvl w:ilvl="3" w:tplc="4E964E42">
      <w:start w:val="1"/>
      <w:numFmt w:val="bullet"/>
      <w:lvlText w:val=""/>
      <w:lvlJc w:val="left"/>
      <w:pPr>
        <w:tabs>
          <w:tab w:val="num" w:pos="2880"/>
        </w:tabs>
        <w:ind w:left="2880" w:hanging="360"/>
      </w:pPr>
      <w:rPr>
        <w:rFonts w:ascii="Wingdings" w:hAnsi="Wingdings" w:hint="default"/>
        <w:sz w:val="20"/>
      </w:rPr>
    </w:lvl>
    <w:lvl w:ilvl="4" w:tplc="C4687F48">
      <w:start w:val="1"/>
      <w:numFmt w:val="bullet"/>
      <w:lvlText w:val=""/>
      <w:lvlJc w:val="left"/>
      <w:pPr>
        <w:tabs>
          <w:tab w:val="num" w:pos="3600"/>
        </w:tabs>
        <w:ind w:left="3600" w:hanging="360"/>
      </w:pPr>
      <w:rPr>
        <w:rFonts w:ascii="Wingdings" w:hAnsi="Wingdings" w:hint="default"/>
        <w:sz w:val="20"/>
      </w:rPr>
    </w:lvl>
    <w:lvl w:ilvl="5" w:tplc="94AC341C">
      <w:start w:val="1"/>
      <w:numFmt w:val="bullet"/>
      <w:lvlText w:val=""/>
      <w:lvlJc w:val="left"/>
      <w:pPr>
        <w:tabs>
          <w:tab w:val="num" w:pos="4320"/>
        </w:tabs>
        <w:ind w:left="4320" w:hanging="360"/>
      </w:pPr>
      <w:rPr>
        <w:rFonts w:ascii="Wingdings" w:hAnsi="Wingdings" w:hint="default"/>
        <w:sz w:val="20"/>
      </w:rPr>
    </w:lvl>
    <w:lvl w:ilvl="6" w:tplc="7B74A7CE">
      <w:start w:val="1"/>
      <w:numFmt w:val="bullet"/>
      <w:lvlText w:val=""/>
      <w:lvlJc w:val="left"/>
      <w:pPr>
        <w:tabs>
          <w:tab w:val="num" w:pos="5040"/>
        </w:tabs>
        <w:ind w:left="5040" w:hanging="360"/>
      </w:pPr>
      <w:rPr>
        <w:rFonts w:ascii="Wingdings" w:hAnsi="Wingdings" w:hint="default"/>
        <w:sz w:val="20"/>
      </w:rPr>
    </w:lvl>
    <w:lvl w:ilvl="7" w:tplc="FBC2FB24">
      <w:start w:val="1"/>
      <w:numFmt w:val="bullet"/>
      <w:lvlText w:val=""/>
      <w:lvlJc w:val="left"/>
      <w:pPr>
        <w:tabs>
          <w:tab w:val="num" w:pos="5760"/>
        </w:tabs>
        <w:ind w:left="5760" w:hanging="360"/>
      </w:pPr>
      <w:rPr>
        <w:rFonts w:ascii="Wingdings" w:hAnsi="Wingdings" w:hint="default"/>
        <w:sz w:val="20"/>
      </w:rPr>
    </w:lvl>
    <w:lvl w:ilvl="8" w:tplc="1D32626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B7873"/>
    <w:multiLevelType w:val="hybridMultilevel"/>
    <w:tmpl w:val="95B82C18"/>
    <w:lvl w:ilvl="0" w:tplc="7A1E5D52">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2C1BA6"/>
    <w:multiLevelType w:val="hybridMultilevel"/>
    <w:tmpl w:val="E514B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A5330E"/>
    <w:multiLevelType w:val="hybridMultilevel"/>
    <w:tmpl w:val="A9A22F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A63C48"/>
    <w:multiLevelType w:val="hybridMultilevel"/>
    <w:tmpl w:val="A11E86D8"/>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E3F2621"/>
    <w:multiLevelType w:val="hybridMultilevel"/>
    <w:tmpl w:val="EA1CD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515A6"/>
    <w:multiLevelType w:val="hybridMultilevel"/>
    <w:tmpl w:val="526C928A"/>
    <w:lvl w:ilvl="0" w:tplc="4D62167E">
      <w:numFmt w:val="bullet"/>
      <w:lvlText w:val="-"/>
      <w:lvlJc w:val="left"/>
      <w:pPr>
        <w:ind w:left="720" w:hanging="360"/>
      </w:pPr>
      <w:rPr>
        <w:rFonts w:ascii="Segoe UI" w:eastAsiaTheme="minorHAns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AC0806"/>
    <w:multiLevelType w:val="hybridMultilevel"/>
    <w:tmpl w:val="EF5EB1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D03C89"/>
    <w:multiLevelType w:val="singleLevel"/>
    <w:tmpl w:val="FED2800A"/>
    <w:lvl w:ilvl="0">
      <w:start w:val="1"/>
      <w:numFmt w:val="bullet"/>
      <w:lvlText w:val=""/>
      <w:lvlJc w:val="left"/>
      <w:pPr>
        <w:tabs>
          <w:tab w:val="num" w:pos="567"/>
        </w:tabs>
        <w:ind w:left="567" w:hanging="425"/>
      </w:pPr>
      <w:rPr>
        <w:rFonts w:ascii="Symbol" w:hAnsi="Symbol" w:hint="default"/>
      </w:rPr>
    </w:lvl>
  </w:abstractNum>
  <w:abstractNum w:abstractNumId="23" w15:restartNumberingAfterBreak="0">
    <w:nsid w:val="4B9D1185"/>
    <w:multiLevelType w:val="hybridMultilevel"/>
    <w:tmpl w:val="4364C3E0"/>
    <w:lvl w:ilvl="0" w:tplc="F54C2268">
      <w:start w:val="1"/>
      <w:numFmt w:val="decimal"/>
      <w:lvlText w:val="%1."/>
      <w:lvlJc w:val="left"/>
      <w:pPr>
        <w:ind w:left="356" w:hanging="360"/>
      </w:pPr>
      <w:rPr>
        <w:rFonts w:hint="default"/>
      </w:rPr>
    </w:lvl>
    <w:lvl w:ilvl="1" w:tplc="0C090019" w:tentative="1">
      <w:start w:val="1"/>
      <w:numFmt w:val="lowerLetter"/>
      <w:lvlText w:val="%2."/>
      <w:lvlJc w:val="left"/>
      <w:pPr>
        <w:ind w:left="1076" w:hanging="360"/>
      </w:pPr>
    </w:lvl>
    <w:lvl w:ilvl="2" w:tplc="0C09001B" w:tentative="1">
      <w:start w:val="1"/>
      <w:numFmt w:val="lowerRoman"/>
      <w:lvlText w:val="%3."/>
      <w:lvlJc w:val="right"/>
      <w:pPr>
        <w:ind w:left="1796" w:hanging="180"/>
      </w:pPr>
    </w:lvl>
    <w:lvl w:ilvl="3" w:tplc="0C09000F" w:tentative="1">
      <w:start w:val="1"/>
      <w:numFmt w:val="decimal"/>
      <w:lvlText w:val="%4."/>
      <w:lvlJc w:val="left"/>
      <w:pPr>
        <w:ind w:left="2516" w:hanging="360"/>
      </w:pPr>
    </w:lvl>
    <w:lvl w:ilvl="4" w:tplc="0C090019" w:tentative="1">
      <w:start w:val="1"/>
      <w:numFmt w:val="lowerLetter"/>
      <w:lvlText w:val="%5."/>
      <w:lvlJc w:val="left"/>
      <w:pPr>
        <w:ind w:left="3236" w:hanging="360"/>
      </w:pPr>
    </w:lvl>
    <w:lvl w:ilvl="5" w:tplc="0C09001B" w:tentative="1">
      <w:start w:val="1"/>
      <w:numFmt w:val="lowerRoman"/>
      <w:lvlText w:val="%6."/>
      <w:lvlJc w:val="right"/>
      <w:pPr>
        <w:ind w:left="3956" w:hanging="180"/>
      </w:pPr>
    </w:lvl>
    <w:lvl w:ilvl="6" w:tplc="0C09000F" w:tentative="1">
      <w:start w:val="1"/>
      <w:numFmt w:val="decimal"/>
      <w:lvlText w:val="%7."/>
      <w:lvlJc w:val="left"/>
      <w:pPr>
        <w:ind w:left="4676" w:hanging="360"/>
      </w:pPr>
    </w:lvl>
    <w:lvl w:ilvl="7" w:tplc="0C090019" w:tentative="1">
      <w:start w:val="1"/>
      <w:numFmt w:val="lowerLetter"/>
      <w:lvlText w:val="%8."/>
      <w:lvlJc w:val="left"/>
      <w:pPr>
        <w:ind w:left="5396" w:hanging="360"/>
      </w:pPr>
    </w:lvl>
    <w:lvl w:ilvl="8" w:tplc="0C09001B" w:tentative="1">
      <w:start w:val="1"/>
      <w:numFmt w:val="lowerRoman"/>
      <w:lvlText w:val="%9."/>
      <w:lvlJc w:val="right"/>
      <w:pPr>
        <w:ind w:left="6116" w:hanging="180"/>
      </w:pPr>
    </w:lvl>
  </w:abstractNum>
  <w:abstractNum w:abstractNumId="24" w15:restartNumberingAfterBreak="0">
    <w:nsid w:val="4C994BD1"/>
    <w:multiLevelType w:val="hybridMultilevel"/>
    <w:tmpl w:val="A9F25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0213B0"/>
    <w:multiLevelType w:val="hybridMultilevel"/>
    <w:tmpl w:val="F548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25589"/>
    <w:multiLevelType w:val="hybridMultilevel"/>
    <w:tmpl w:val="7F7066C4"/>
    <w:lvl w:ilvl="0" w:tplc="F54C2268">
      <w:start w:val="1"/>
      <w:numFmt w:val="decimal"/>
      <w:lvlText w:val="%1."/>
      <w:lvlJc w:val="left"/>
      <w:pPr>
        <w:ind w:left="360" w:hanging="360"/>
      </w:pPr>
      <w:rPr>
        <w:rFonts w:hint="default"/>
      </w:rPr>
    </w:lvl>
    <w:lvl w:ilvl="1" w:tplc="0C090019" w:tentative="1">
      <w:start w:val="1"/>
      <w:numFmt w:val="lowerLetter"/>
      <w:lvlText w:val="%2."/>
      <w:lvlJc w:val="left"/>
      <w:pPr>
        <w:ind w:left="1444" w:hanging="360"/>
      </w:pPr>
    </w:lvl>
    <w:lvl w:ilvl="2" w:tplc="0C09001B" w:tentative="1">
      <w:start w:val="1"/>
      <w:numFmt w:val="lowerRoman"/>
      <w:lvlText w:val="%3."/>
      <w:lvlJc w:val="right"/>
      <w:pPr>
        <w:ind w:left="2164" w:hanging="180"/>
      </w:pPr>
    </w:lvl>
    <w:lvl w:ilvl="3" w:tplc="0C09000F" w:tentative="1">
      <w:start w:val="1"/>
      <w:numFmt w:val="decimal"/>
      <w:lvlText w:val="%4."/>
      <w:lvlJc w:val="left"/>
      <w:pPr>
        <w:ind w:left="2884" w:hanging="360"/>
      </w:pPr>
    </w:lvl>
    <w:lvl w:ilvl="4" w:tplc="0C090019" w:tentative="1">
      <w:start w:val="1"/>
      <w:numFmt w:val="lowerLetter"/>
      <w:lvlText w:val="%5."/>
      <w:lvlJc w:val="left"/>
      <w:pPr>
        <w:ind w:left="3604" w:hanging="360"/>
      </w:pPr>
    </w:lvl>
    <w:lvl w:ilvl="5" w:tplc="0C09001B" w:tentative="1">
      <w:start w:val="1"/>
      <w:numFmt w:val="lowerRoman"/>
      <w:lvlText w:val="%6."/>
      <w:lvlJc w:val="right"/>
      <w:pPr>
        <w:ind w:left="4324" w:hanging="180"/>
      </w:pPr>
    </w:lvl>
    <w:lvl w:ilvl="6" w:tplc="0C09000F" w:tentative="1">
      <w:start w:val="1"/>
      <w:numFmt w:val="decimal"/>
      <w:lvlText w:val="%7."/>
      <w:lvlJc w:val="left"/>
      <w:pPr>
        <w:ind w:left="5044" w:hanging="360"/>
      </w:pPr>
    </w:lvl>
    <w:lvl w:ilvl="7" w:tplc="0C090019" w:tentative="1">
      <w:start w:val="1"/>
      <w:numFmt w:val="lowerLetter"/>
      <w:lvlText w:val="%8."/>
      <w:lvlJc w:val="left"/>
      <w:pPr>
        <w:ind w:left="5764" w:hanging="360"/>
      </w:pPr>
    </w:lvl>
    <w:lvl w:ilvl="8" w:tplc="0C09001B" w:tentative="1">
      <w:start w:val="1"/>
      <w:numFmt w:val="lowerRoman"/>
      <w:lvlText w:val="%9."/>
      <w:lvlJc w:val="right"/>
      <w:pPr>
        <w:ind w:left="6484" w:hanging="180"/>
      </w:pPr>
    </w:lvl>
  </w:abstractNum>
  <w:abstractNum w:abstractNumId="27"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8" w15:restartNumberingAfterBreak="0">
    <w:nsid w:val="616C49A3"/>
    <w:multiLevelType w:val="hybridMultilevel"/>
    <w:tmpl w:val="4BEAA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C3202A"/>
    <w:multiLevelType w:val="hybridMultilevel"/>
    <w:tmpl w:val="E4CE6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3861A6"/>
    <w:multiLevelType w:val="hybridMultilevel"/>
    <w:tmpl w:val="C960009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0401B22"/>
    <w:multiLevelType w:val="hybridMultilevel"/>
    <w:tmpl w:val="79C04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BD4DC8"/>
    <w:multiLevelType w:val="hybridMultilevel"/>
    <w:tmpl w:val="5CF81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48240D"/>
    <w:multiLevelType w:val="hybridMultilevel"/>
    <w:tmpl w:val="5AA02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945F1A"/>
    <w:multiLevelType w:val="multilevel"/>
    <w:tmpl w:val="679AF4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4B51C1"/>
    <w:multiLevelType w:val="hybridMultilevel"/>
    <w:tmpl w:val="688AF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A6109B"/>
    <w:multiLevelType w:val="hybridMultilevel"/>
    <w:tmpl w:val="458C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062647">
    <w:abstractNumId w:val="27"/>
  </w:num>
  <w:num w:numId="2" w16cid:durableId="907808235">
    <w:abstractNumId w:val="4"/>
  </w:num>
  <w:num w:numId="3" w16cid:durableId="761726809">
    <w:abstractNumId w:val="21"/>
  </w:num>
  <w:num w:numId="4" w16cid:durableId="1249002720">
    <w:abstractNumId w:val="20"/>
  </w:num>
  <w:num w:numId="5" w16cid:durableId="1642225976">
    <w:abstractNumId w:val="14"/>
  </w:num>
  <w:num w:numId="6" w16cid:durableId="1499031081">
    <w:abstractNumId w:val="9"/>
  </w:num>
  <w:num w:numId="7" w16cid:durableId="2054576774">
    <w:abstractNumId w:val="34"/>
  </w:num>
  <w:num w:numId="8" w16cid:durableId="910191336">
    <w:abstractNumId w:val="1"/>
  </w:num>
  <w:num w:numId="9" w16cid:durableId="783306445">
    <w:abstractNumId w:val="11"/>
  </w:num>
  <w:num w:numId="10" w16cid:durableId="1353148694">
    <w:abstractNumId w:val="2"/>
  </w:num>
  <w:num w:numId="11" w16cid:durableId="479618230">
    <w:abstractNumId w:val="18"/>
  </w:num>
  <w:num w:numId="12" w16cid:durableId="340814576">
    <w:abstractNumId w:val="23"/>
  </w:num>
  <w:num w:numId="13" w16cid:durableId="1969047076">
    <w:abstractNumId w:val="13"/>
  </w:num>
  <w:num w:numId="14" w16cid:durableId="1861897258">
    <w:abstractNumId w:val="30"/>
  </w:num>
  <w:num w:numId="15" w16cid:durableId="451754451">
    <w:abstractNumId w:val="26"/>
  </w:num>
  <w:num w:numId="16" w16cid:durableId="1989237101">
    <w:abstractNumId w:val="8"/>
  </w:num>
  <w:num w:numId="17" w16cid:durableId="96171256">
    <w:abstractNumId w:val="17"/>
  </w:num>
  <w:num w:numId="18" w16cid:durableId="1093546635">
    <w:abstractNumId w:val="6"/>
  </w:num>
  <w:num w:numId="19" w16cid:durableId="658120629">
    <w:abstractNumId w:val="3"/>
  </w:num>
  <w:num w:numId="20" w16cid:durableId="1693140751">
    <w:abstractNumId w:val="0"/>
  </w:num>
  <w:num w:numId="21" w16cid:durableId="20918029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96"/>
    <w:rsid w:val="00006FAF"/>
    <w:rsid w:val="00007A96"/>
    <w:rsid w:val="00012269"/>
    <w:rsid w:val="00012982"/>
    <w:rsid w:val="00016543"/>
    <w:rsid w:val="00020B6D"/>
    <w:rsid w:val="000235CB"/>
    <w:rsid w:val="00023D57"/>
    <w:rsid w:val="0002413F"/>
    <w:rsid w:val="00025624"/>
    <w:rsid w:val="00036736"/>
    <w:rsid w:val="00042D8B"/>
    <w:rsid w:val="000505C2"/>
    <w:rsid w:val="00051665"/>
    <w:rsid w:val="00052A73"/>
    <w:rsid w:val="000603FB"/>
    <w:rsid w:val="00062D47"/>
    <w:rsid w:val="000645B4"/>
    <w:rsid w:val="00064DCE"/>
    <w:rsid w:val="00066097"/>
    <w:rsid w:val="00070B9B"/>
    <w:rsid w:val="00076AFB"/>
    <w:rsid w:val="00085868"/>
    <w:rsid w:val="0008602D"/>
    <w:rsid w:val="00091E15"/>
    <w:rsid w:val="00092AA6"/>
    <w:rsid w:val="0009340B"/>
    <w:rsid w:val="000A2A42"/>
    <w:rsid w:val="000A343A"/>
    <w:rsid w:val="000A4FCC"/>
    <w:rsid w:val="000A6B93"/>
    <w:rsid w:val="000B2C85"/>
    <w:rsid w:val="000B5C8F"/>
    <w:rsid w:val="000C5798"/>
    <w:rsid w:val="000C750B"/>
    <w:rsid w:val="000D0256"/>
    <w:rsid w:val="000D036F"/>
    <w:rsid w:val="000D4320"/>
    <w:rsid w:val="000D7BC5"/>
    <w:rsid w:val="000E1283"/>
    <w:rsid w:val="000E1C74"/>
    <w:rsid w:val="000E39ED"/>
    <w:rsid w:val="000F05C8"/>
    <w:rsid w:val="000F159D"/>
    <w:rsid w:val="000F16F4"/>
    <w:rsid w:val="000F2BBD"/>
    <w:rsid w:val="000F4AE8"/>
    <w:rsid w:val="000F6F31"/>
    <w:rsid w:val="00101FC0"/>
    <w:rsid w:val="001034E2"/>
    <w:rsid w:val="00104238"/>
    <w:rsid w:val="00104AA1"/>
    <w:rsid w:val="00120B73"/>
    <w:rsid w:val="00127425"/>
    <w:rsid w:val="00127F6E"/>
    <w:rsid w:val="00130623"/>
    <w:rsid w:val="00135696"/>
    <w:rsid w:val="001438F3"/>
    <w:rsid w:val="00143C1B"/>
    <w:rsid w:val="00150665"/>
    <w:rsid w:val="001513B4"/>
    <w:rsid w:val="001537A6"/>
    <w:rsid w:val="00155957"/>
    <w:rsid w:val="001600A5"/>
    <w:rsid w:val="00160763"/>
    <w:rsid w:val="001635AD"/>
    <w:rsid w:val="00164A34"/>
    <w:rsid w:val="00166ACF"/>
    <w:rsid w:val="00173F15"/>
    <w:rsid w:val="00174B69"/>
    <w:rsid w:val="00177317"/>
    <w:rsid w:val="00177413"/>
    <w:rsid w:val="001819BF"/>
    <w:rsid w:val="001823F0"/>
    <w:rsid w:val="0019030E"/>
    <w:rsid w:val="00192E96"/>
    <w:rsid w:val="00196F19"/>
    <w:rsid w:val="00197A21"/>
    <w:rsid w:val="001A123B"/>
    <w:rsid w:val="001A4AF3"/>
    <w:rsid w:val="001B2F6B"/>
    <w:rsid w:val="001B3F2E"/>
    <w:rsid w:val="001B40C9"/>
    <w:rsid w:val="001B5311"/>
    <w:rsid w:val="001B5353"/>
    <w:rsid w:val="001B5431"/>
    <w:rsid w:val="001B6B68"/>
    <w:rsid w:val="001C2670"/>
    <w:rsid w:val="001D18DC"/>
    <w:rsid w:val="001D36E9"/>
    <w:rsid w:val="001D383B"/>
    <w:rsid w:val="001D667D"/>
    <w:rsid w:val="001D6CBA"/>
    <w:rsid w:val="001D7709"/>
    <w:rsid w:val="001D7900"/>
    <w:rsid w:val="001D7B0C"/>
    <w:rsid w:val="001E4D70"/>
    <w:rsid w:val="001E6C26"/>
    <w:rsid w:val="001F05A8"/>
    <w:rsid w:val="001F1DB2"/>
    <w:rsid w:val="001F76DC"/>
    <w:rsid w:val="0020716D"/>
    <w:rsid w:val="0021041A"/>
    <w:rsid w:val="002112DE"/>
    <w:rsid w:val="00212838"/>
    <w:rsid w:val="00212CA3"/>
    <w:rsid w:val="00214260"/>
    <w:rsid w:val="00215AB1"/>
    <w:rsid w:val="0021790B"/>
    <w:rsid w:val="00231F8E"/>
    <w:rsid w:val="002372B2"/>
    <w:rsid w:val="00237F88"/>
    <w:rsid w:val="002408BA"/>
    <w:rsid w:val="00241860"/>
    <w:rsid w:val="00244362"/>
    <w:rsid w:val="00244D97"/>
    <w:rsid w:val="002470FA"/>
    <w:rsid w:val="00247E90"/>
    <w:rsid w:val="00252ED8"/>
    <w:rsid w:val="0025325C"/>
    <w:rsid w:val="0025357E"/>
    <w:rsid w:val="00262C18"/>
    <w:rsid w:val="00263057"/>
    <w:rsid w:val="00265102"/>
    <w:rsid w:val="0027132F"/>
    <w:rsid w:val="00273E91"/>
    <w:rsid w:val="00275C24"/>
    <w:rsid w:val="00277463"/>
    <w:rsid w:val="00283DA7"/>
    <w:rsid w:val="00287A08"/>
    <w:rsid w:val="002934DF"/>
    <w:rsid w:val="002948CB"/>
    <w:rsid w:val="00295F03"/>
    <w:rsid w:val="00297FD9"/>
    <w:rsid w:val="002A01CA"/>
    <w:rsid w:val="002A313B"/>
    <w:rsid w:val="002A3BF3"/>
    <w:rsid w:val="002A51C4"/>
    <w:rsid w:val="002A744B"/>
    <w:rsid w:val="002A76FD"/>
    <w:rsid w:val="002B2356"/>
    <w:rsid w:val="002C1261"/>
    <w:rsid w:val="002C32B8"/>
    <w:rsid w:val="002C7513"/>
    <w:rsid w:val="002D093C"/>
    <w:rsid w:val="002D3EF7"/>
    <w:rsid w:val="002D4197"/>
    <w:rsid w:val="002D4B35"/>
    <w:rsid w:val="002E26BA"/>
    <w:rsid w:val="002E5195"/>
    <w:rsid w:val="002E5C9A"/>
    <w:rsid w:val="002F01E6"/>
    <w:rsid w:val="002F1CEE"/>
    <w:rsid w:val="002F44F0"/>
    <w:rsid w:val="00304785"/>
    <w:rsid w:val="00304E65"/>
    <w:rsid w:val="00317C26"/>
    <w:rsid w:val="00323760"/>
    <w:rsid w:val="00335A42"/>
    <w:rsid w:val="003374CA"/>
    <w:rsid w:val="003403AD"/>
    <w:rsid w:val="00340BFC"/>
    <w:rsid w:val="003412FA"/>
    <w:rsid w:val="003423E5"/>
    <w:rsid w:val="0034326D"/>
    <w:rsid w:val="00343874"/>
    <w:rsid w:val="00343CD4"/>
    <w:rsid w:val="00350C1D"/>
    <w:rsid w:val="00351117"/>
    <w:rsid w:val="00352C75"/>
    <w:rsid w:val="00370825"/>
    <w:rsid w:val="00370D74"/>
    <w:rsid w:val="003735FA"/>
    <w:rsid w:val="00374013"/>
    <w:rsid w:val="00374A43"/>
    <w:rsid w:val="00375B95"/>
    <w:rsid w:val="00375C1F"/>
    <w:rsid w:val="00375C39"/>
    <w:rsid w:val="00382DE9"/>
    <w:rsid w:val="0038479B"/>
    <w:rsid w:val="003850E0"/>
    <w:rsid w:val="0038679C"/>
    <w:rsid w:val="00387018"/>
    <w:rsid w:val="0039263A"/>
    <w:rsid w:val="00395474"/>
    <w:rsid w:val="003977C9"/>
    <w:rsid w:val="003A082D"/>
    <w:rsid w:val="003A14E8"/>
    <w:rsid w:val="003A22A6"/>
    <w:rsid w:val="003A6603"/>
    <w:rsid w:val="003A73CC"/>
    <w:rsid w:val="003B1A5A"/>
    <w:rsid w:val="003B1E39"/>
    <w:rsid w:val="003B390D"/>
    <w:rsid w:val="003D457B"/>
    <w:rsid w:val="003D5D5B"/>
    <w:rsid w:val="003E13C6"/>
    <w:rsid w:val="003E13FD"/>
    <w:rsid w:val="003E1912"/>
    <w:rsid w:val="003E1CD5"/>
    <w:rsid w:val="003E5E2C"/>
    <w:rsid w:val="003E5F10"/>
    <w:rsid w:val="003F039B"/>
    <w:rsid w:val="003F0AC1"/>
    <w:rsid w:val="003F0DE4"/>
    <w:rsid w:val="003F2881"/>
    <w:rsid w:val="003F3DC9"/>
    <w:rsid w:val="00405CC9"/>
    <w:rsid w:val="00412891"/>
    <w:rsid w:val="00413F41"/>
    <w:rsid w:val="00415E09"/>
    <w:rsid w:val="00422441"/>
    <w:rsid w:val="00425AD1"/>
    <w:rsid w:val="00426DE8"/>
    <w:rsid w:val="004276C2"/>
    <w:rsid w:val="004313FA"/>
    <w:rsid w:val="00437FCC"/>
    <w:rsid w:val="00440AE9"/>
    <w:rsid w:val="00450171"/>
    <w:rsid w:val="0045490D"/>
    <w:rsid w:val="004551A4"/>
    <w:rsid w:val="00456B59"/>
    <w:rsid w:val="00456E4C"/>
    <w:rsid w:val="004572D5"/>
    <w:rsid w:val="0045788B"/>
    <w:rsid w:val="004634DC"/>
    <w:rsid w:val="00463A31"/>
    <w:rsid w:val="00465435"/>
    <w:rsid w:val="004667B2"/>
    <w:rsid w:val="00470844"/>
    <w:rsid w:val="00473467"/>
    <w:rsid w:val="00481346"/>
    <w:rsid w:val="0048442C"/>
    <w:rsid w:val="00485ECC"/>
    <w:rsid w:val="0048675C"/>
    <w:rsid w:val="00487148"/>
    <w:rsid w:val="00487627"/>
    <w:rsid w:val="00490001"/>
    <w:rsid w:val="00492CCE"/>
    <w:rsid w:val="004A0D5B"/>
    <w:rsid w:val="004A14CD"/>
    <w:rsid w:val="004A18E2"/>
    <w:rsid w:val="004A1B28"/>
    <w:rsid w:val="004A4C5C"/>
    <w:rsid w:val="004A5F6F"/>
    <w:rsid w:val="004B3A2F"/>
    <w:rsid w:val="004C3064"/>
    <w:rsid w:val="004C3223"/>
    <w:rsid w:val="004C356A"/>
    <w:rsid w:val="004C69D0"/>
    <w:rsid w:val="004D10D8"/>
    <w:rsid w:val="004D3D31"/>
    <w:rsid w:val="004E0A98"/>
    <w:rsid w:val="004E473A"/>
    <w:rsid w:val="004F1CC3"/>
    <w:rsid w:val="004F486F"/>
    <w:rsid w:val="005011DE"/>
    <w:rsid w:val="0050576E"/>
    <w:rsid w:val="005077D9"/>
    <w:rsid w:val="0051106B"/>
    <w:rsid w:val="00511CD1"/>
    <w:rsid w:val="00513B6E"/>
    <w:rsid w:val="00523B95"/>
    <w:rsid w:val="005244E7"/>
    <w:rsid w:val="00526720"/>
    <w:rsid w:val="00552AF3"/>
    <w:rsid w:val="0055321A"/>
    <w:rsid w:val="00553C64"/>
    <w:rsid w:val="0055622F"/>
    <w:rsid w:val="00556EEB"/>
    <w:rsid w:val="005602C1"/>
    <w:rsid w:val="00566895"/>
    <w:rsid w:val="0057142A"/>
    <w:rsid w:val="00575CCA"/>
    <w:rsid w:val="00581E66"/>
    <w:rsid w:val="0058342E"/>
    <w:rsid w:val="00585A80"/>
    <w:rsid w:val="0058661B"/>
    <w:rsid w:val="005965BE"/>
    <w:rsid w:val="00596A07"/>
    <w:rsid w:val="00596B0A"/>
    <w:rsid w:val="005A0DB1"/>
    <w:rsid w:val="005A0DC8"/>
    <w:rsid w:val="005A4283"/>
    <w:rsid w:val="005A6873"/>
    <w:rsid w:val="005B2155"/>
    <w:rsid w:val="005B29FE"/>
    <w:rsid w:val="005B44F7"/>
    <w:rsid w:val="005B76CF"/>
    <w:rsid w:val="005C7D4F"/>
    <w:rsid w:val="005D06DD"/>
    <w:rsid w:val="005D3A06"/>
    <w:rsid w:val="005D5F09"/>
    <w:rsid w:val="005D6BA0"/>
    <w:rsid w:val="005E220E"/>
    <w:rsid w:val="005E36BA"/>
    <w:rsid w:val="005E5346"/>
    <w:rsid w:val="005F1B6A"/>
    <w:rsid w:val="005F3295"/>
    <w:rsid w:val="005F37B1"/>
    <w:rsid w:val="005F39AE"/>
    <w:rsid w:val="005F5A7C"/>
    <w:rsid w:val="005F690D"/>
    <w:rsid w:val="005F6A47"/>
    <w:rsid w:val="00604351"/>
    <w:rsid w:val="00611561"/>
    <w:rsid w:val="006117BB"/>
    <w:rsid w:val="0061353A"/>
    <w:rsid w:val="00614BA3"/>
    <w:rsid w:val="00616BE4"/>
    <w:rsid w:val="006178BD"/>
    <w:rsid w:val="006223E6"/>
    <w:rsid w:val="00623070"/>
    <w:rsid w:val="006237A1"/>
    <w:rsid w:val="006252FF"/>
    <w:rsid w:val="00625D8F"/>
    <w:rsid w:val="00626290"/>
    <w:rsid w:val="00632E3E"/>
    <w:rsid w:val="00632EA1"/>
    <w:rsid w:val="006338E5"/>
    <w:rsid w:val="00633E19"/>
    <w:rsid w:val="00634167"/>
    <w:rsid w:val="0063458B"/>
    <w:rsid w:val="00635265"/>
    <w:rsid w:val="00636897"/>
    <w:rsid w:val="00641BB9"/>
    <w:rsid w:val="00642E88"/>
    <w:rsid w:val="00644456"/>
    <w:rsid w:val="00651282"/>
    <w:rsid w:val="00656A1E"/>
    <w:rsid w:val="006608FA"/>
    <w:rsid w:val="0066184A"/>
    <w:rsid w:val="00663687"/>
    <w:rsid w:val="0067463E"/>
    <w:rsid w:val="00674B3C"/>
    <w:rsid w:val="00677181"/>
    <w:rsid w:val="006814B6"/>
    <w:rsid w:val="0068252B"/>
    <w:rsid w:val="0068268C"/>
    <w:rsid w:val="00690812"/>
    <w:rsid w:val="006915E8"/>
    <w:rsid w:val="006A6A5A"/>
    <w:rsid w:val="006A7F9B"/>
    <w:rsid w:val="006B0A3F"/>
    <w:rsid w:val="006C40A5"/>
    <w:rsid w:val="006C64A9"/>
    <w:rsid w:val="006C788A"/>
    <w:rsid w:val="006D0100"/>
    <w:rsid w:val="006D2385"/>
    <w:rsid w:val="006D4F3C"/>
    <w:rsid w:val="006D53E1"/>
    <w:rsid w:val="006E292D"/>
    <w:rsid w:val="006E3124"/>
    <w:rsid w:val="006E3272"/>
    <w:rsid w:val="006E3334"/>
    <w:rsid w:val="006E49E5"/>
    <w:rsid w:val="006E5C4E"/>
    <w:rsid w:val="006F0811"/>
    <w:rsid w:val="006F29D2"/>
    <w:rsid w:val="006F2B01"/>
    <w:rsid w:val="006F342B"/>
    <w:rsid w:val="006F576A"/>
    <w:rsid w:val="006F74B3"/>
    <w:rsid w:val="0070272B"/>
    <w:rsid w:val="00705CD7"/>
    <w:rsid w:val="00707696"/>
    <w:rsid w:val="00707721"/>
    <w:rsid w:val="00710BEE"/>
    <w:rsid w:val="00711393"/>
    <w:rsid w:val="007119C6"/>
    <w:rsid w:val="00711C02"/>
    <w:rsid w:val="00712520"/>
    <w:rsid w:val="007136EF"/>
    <w:rsid w:val="00713768"/>
    <w:rsid w:val="007145EE"/>
    <w:rsid w:val="00720495"/>
    <w:rsid w:val="007211FF"/>
    <w:rsid w:val="00722889"/>
    <w:rsid w:val="0072757E"/>
    <w:rsid w:val="0073046A"/>
    <w:rsid w:val="007309F0"/>
    <w:rsid w:val="00731E91"/>
    <w:rsid w:val="00735237"/>
    <w:rsid w:val="00746824"/>
    <w:rsid w:val="0074697D"/>
    <w:rsid w:val="00747017"/>
    <w:rsid w:val="007515CC"/>
    <w:rsid w:val="00754955"/>
    <w:rsid w:val="00761BFE"/>
    <w:rsid w:val="0076496A"/>
    <w:rsid w:val="00772BAA"/>
    <w:rsid w:val="007736C9"/>
    <w:rsid w:val="007859F1"/>
    <w:rsid w:val="007865C1"/>
    <w:rsid w:val="007869CE"/>
    <w:rsid w:val="007937ED"/>
    <w:rsid w:val="007A18FD"/>
    <w:rsid w:val="007A37CE"/>
    <w:rsid w:val="007A57F5"/>
    <w:rsid w:val="007A6F4F"/>
    <w:rsid w:val="007B00B8"/>
    <w:rsid w:val="007B1546"/>
    <w:rsid w:val="007C5966"/>
    <w:rsid w:val="007D6263"/>
    <w:rsid w:val="007E1E94"/>
    <w:rsid w:val="007E2644"/>
    <w:rsid w:val="007E2C97"/>
    <w:rsid w:val="007E743C"/>
    <w:rsid w:val="007F14AB"/>
    <w:rsid w:val="007F258A"/>
    <w:rsid w:val="007F3AE9"/>
    <w:rsid w:val="007F5A8D"/>
    <w:rsid w:val="007F7923"/>
    <w:rsid w:val="00806A12"/>
    <w:rsid w:val="00806B0D"/>
    <w:rsid w:val="00806CFD"/>
    <w:rsid w:val="008114E6"/>
    <w:rsid w:val="00821830"/>
    <w:rsid w:val="0082229D"/>
    <w:rsid w:val="008278B1"/>
    <w:rsid w:val="0083021D"/>
    <w:rsid w:val="00830A83"/>
    <w:rsid w:val="00833B07"/>
    <w:rsid w:val="00834403"/>
    <w:rsid w:val="00835306"/>
    <w:rsid w:val="008362A8"/>
    <w:rsid w:val="00837ADD"/>
    <w:rsid w:val="00837CEF"/>
    <w:rsid w:val="008433BB"/>
    <w:rsid w:val="008445D8"/>
    <w:rsid w:val="00845D4F"/>
    <w:rsid w:val="008466F4"/>
    <w:rsid w:val="0085201F"/>
    <w:rsid w:val="00852DE4"/>
    <w:rsid w:val="00854E1D"/>
    <w:rsid w:val="00857835"/>
    <w:rsid w:val="00863B4F"/>
    <w:rsid w:val="00867E43"/>
    <w:rsid w:val="00872C59"/>
    <w:rsid w:val="00876437"/>
    <w:rsid w:val="00880EA1"/>
    <w:rsid w:val="00881CBF"/>
    <w:rsid w:val="00882199"/>
    <w:rsid w:val="00884A39"/>
    <w:rsid w:val="00886BA6"/>
    <w:rsid w:val="00891BF7"/>
    <w:rsid w:val="00894B99"/>
    <w:rsid w:val="00896317"/>
    <w:rsid w:val="008A2402"/>
    <w:rsid w:val="008A73CD"/>
    <w:rsid w:val="008B4A46"/>
    <w:rsid w:val="008B5F9C"/>
    <w:rsid w:val="008B7ABA"/>
    <w:rsid w:val="008C17D3"/>
    <w:rsid w:val="008C2D48"/>
    <w:rsid w:val="008C3208"/>
    <w:rsid w:val="008C5015"/>
    <w:rsid w:val="008C6C46"/>
    <w:rsid w:val="008D057C"/>
    <w:rsid w:val="008D0A89"/>
    <w:rsid w:val="008D77D7"/>
    <w:rsid w:val="008E14CF"/>
    <w:rsid w:val="008E3C48"/>
    <w:rsid w:val="008F1BA6"/>
    <w:rsid w:val="008F4FB1"/>
    <w:rsid w:val="00905193"/>
    <w:rsid w:val="00907C40"/>
    <w:rsid w:val="009130F2"/>
    <w:rsid w:val="0092597B"/>
    <w:rsid w:val="00935190"/>
    <w:rsid w:val="00935B6A"/>
    <w:rsid w:val="00935BE6"/>
    <w:rsid w:val="00936C84"/>
    <w:rsid w:val="009373B6"/>
    <w:rsid w:val="009452EC"/>
    <w:rsid w:val="00947742"/>
    <w:rsid w:val="00951163"/>
    <w:rsid w:val="00951F58"/>
    <w:rsid w:val="0095783D"/>
    <w:rsid w:val="00965454"/>
    <w:rsid w:val="009716B9"/>
    <w:rsid w:val="00975B61"/>
    <w:rsid w:val="00976301"/>
    <w:rsid w:val="00981A84"/>
    <w:rsid w:val="00983999"/>
    <w:rsid w:val="00985435"/>
    <w:rsid w:val="009948AF"/>
    <w:rsid w:val="00994D0A"/>
    <w:rsid w:val="009A0553"/>
    <w:rsid w:val="009A15C0"/>
    <w:rsid w:val="009A1CA5"/>
    <w:rsid w:val="009A2B93"/>
    <w:rsid w:val="009A3A50"/>
    <w:rsid w:val="009A3FDC"/>
    <w:rsid w:val="009A432F"/>
    <w:rsid w:val="009A5FB0"/>
    <w:rsid w:val="009A7D30"/>
    <w:rsid w:val="009B0549"/>
    <w:rsid w:val="009B1073"/>
    <w:rsid w:val="009B321B"/>
    <w:rsid w:val="009B78F3"/>
    <w:rsid w:val="009C31A6"/>
    <w:rsid w:val="009D3140"/>
    <w:rsid w:val="009D3749"/>
    <w:rsid w:val="009E13F6"/>
    <w:rsid w:val="009E181B"/>
    <w:rsid w:val="009E2967"/>
    <w:rsid w:val="009E428F"/>
    <w:rsid w:val="009E4BBE"/>
    <w:rsid w:val="009E567B"/>
    <w:rsid w:val="009E690C"/>
    <w:rsid w:val="009F60A6"/>
    <w:rsid w:val="00A0358A"/>
    <w:rsid w:val="00A03726"/>
    <w:rsid w:val="00A047CF"/>
    <w:rsid w:val="00A05592"/>
    <w:rsid w:val="00A21AD8"/>
    <w:rsid w:val="00A22B49"/>
    <w:rsid w:val="00A30DF1"/>
    <w:rsid w:val="00A4035C"/>
    <w:rsid w:val="00A431D5"/>
    <w:rsid w:val="00A44296"/>
    <w:rsid w:val="00A45221"/>
    <w:rsid w:val="00A4668E"/>
    <w:rsid w:val="00A46A3A"/>
    <w:rsid w:val="00A539C1"/>
    <w:rsid w:val="00A54952"/>
    <w:rsid w:val="00A5617C"/>
    <w:rsid w:val="00A61A08"/>
    <w:rsid w:val="00A61F3B"/>
    <w:rsid w:val="00A65CF2"/>
    <w:rsid w:val="00A66BBD"/>
    <w:rsid w:val="00A66D8D"/>
    <w:rsid w:val="00A71BC8"/>
    <w:rsid w:val="00A74713"/>
    <w:rsid w:val="00A76FA5"/>
    <w:rsid w:val="00A83C8C"/>
    <w:rsid w:val="00A83D49"/>
    <w:rsid w:val="00A93037"/>
    <w:rsid w:val="00A97444"/>
    <w:rsid w:val="00AA0631"/>
    <w:rsid w:val="00AA1B9E"/>
    <w:rsid w:val="00AA2EE9"/>
    <w:rsid w:val="00AA4817"/>
    <w:rsid w:val="00AA7AD8"/>
    <w:rsid w:val="00AB15D3"/>
    <w:rsid w:val="00AB5570"/>
    <w:rsid w:val="00AB679F"/>
    <w:rsid w:val="00AC2E74"/>
    <w:rsid w:val="00AC3195"/>
    <w:rsid w:val="00AC3721"/>
    <w:rsid w:val="00AC4FAE"/>
    <w:rsid w:val="00AC51C1"/>
    <w:rsid w:val="00AC6160"/>
    <w:rsid w:val="00AC632A"/>
    <w:rsid w:val="00AC715C"/>
    <w:rsid w:val="00AD38B2"/>
    <w:rsid w:val="00AD4D3B"/>
    <w:rsid w:val="00AD5BD0"/>
    <w:rsid w:val="00AD62BE"/>
    <w:rsid w:val="00AE17AD"/>
    <w:rsid w:val="00AE45BA"/>
    <w:rsid w:val="00AF0AE9"/>
    <w:rsid w:val="00AF23AF"/>
    <w:rsid w:val="00B01848"/>
    <w:rsid w:val="00B020FC"/>
    <w:rsid w:val="00B02413"/>
    <w:rsid w:val="00B12AA1"/>
    <w:rsid w:val="00B236D0"/>
    <w:rsid w:val="00B25CAD"/>
    <w:rsid w:val="00B25F7E"/>
    <w:rsid w:val="00B314A0"/>
    <w:rsid w:val="00B329C9"/>
    <w:rsid w:val="00B343BF"/>
    <w:rsid w:val="00B35592"/>
    <w:rsid w:val="00B35F92"/>
    <w:rsid w:val="00B37C2B"/>
    <w:rsid w:val="00B40B12"/>
    <w:rsid w:val="00B425A1"/>
    <w:rsid w:val="00B47342"/>
    <w:rsid w:val="00B514D2"/>
    <w:rsid w:val="00B5793B"/>
    <w:rsid w:val="00B57CD5"/>
    <w:rsid w:val="00B62956"/>
    <w:rsid w:val="00B643DA"/>
    <w:rsid w:val="00B67C70"/>
    <w:rsid w:val="00B7262F"/>
    <w:rsid w:val="00B746B1"/>
    <w:rsid w:val="00B74AC8"/>
    <w:rsid w:val="00B76180"/>
    <w:rsid w:val="00B824E5"/>
    <w:rsid w:val="00B8313A"/>
    <w:rsid w:val="00B83387"/>
    <w:rsid w:val="00B91401"/>
    <w:rsid w:val="00B93A2E"/>
    <w:rsid w:val="00B94917"/>
    <w:rsid w:val="00B962BD"/>
    <w:rsid w:val="00BA3E7D"/>
    <w:rsid w:val="00BA7AAA"/>
    <w:rsid w:val="00BB11B0"/>
    <w:rsid w:val="00BD1AC2"/>
    <w:rsid w:val="00BD1D51"/>
    <w:rsid w:val="00BD40A2"/>
    <w:rsid w:val="00BD6E59"/>
    <w:rsid w:val="00BD7C78"/>
    <w:rsid w:val="00BE16E4"/>
    <w:rsid w:val="00BE6D4D"/>
    <w:rsid w:val="00BE723D"/>
    <w:rsid w:val="00BF6042"/>
    <w:rsid w:val="00BF6DC8"/>
    <w:rsid w:val="00C03293"/>
    <w:rsid w:val="00C03E5A"/>
    <w:rsid w:val="00C11E42"/>
    <w:rsid w:val="00C22413"/>
    <w:rsid w:val="00C22B7A"/>
    <w:rsid w:val="00C23B55"/>
    <w:rsid w:val="00C30101"/>
    <w:rsid w:val="00C3673B"/>
    <w:rsid w:val="00C370D7"/>
    <w:rsid w:val="00C3767D"/>
    <w:rsid w:val="00C439A0"/>
    <w:rsid w:val="00C4442E"/>
    <w:rsid w:val="00C46D6D"/>
    <w:rsid w:val="00C4748F"/>
    <w:rsid w:val="00C50A08"/>
    <w:rsid w:val="00C557B8"/>
    <w:rsid w:val="00C56259"/>
    <w:rsid w:val="00C5674C"/>
    <w:rsid w:val="00C63588"/>
    <w:rsid w:val="00C637DC"/>
    <w:rsid w:val="00C70C60"/>
    <w:rsid w:val="00C72F2E"/>
    <w:rsid w:val="00C75FB8"/>
    <w:rsid w:val="00C84990"/>
    <w:rsid w:val="00C85700"/>
    <w:rsid w:val="00C90F35"/>
    <w:rsid w:val="00C93780"/>
    <w:rsid w:val="00C94568"/>
    <w:rsid w:val="00C954C2"/>
    <w:rsid w:val="00C95D69"/>
    <w:rsid w:val="00CA77C7"/>
    <w:rsid w:val="00CB4344"/>
    <w:rsid w:val="00CB4348"/>
    <w:rsid w:val="00CB4684"/>
    <w:rsid w:val="00CB6F55"/>
    <w:rsid w:val="00CC03E2"/>
    <w:rsid w:val="00CC0A63"/>
    <w:rsid w:val="00CC4947"/>
    <w:rsid w:val="00CC495C"/>
    <w:rsid w:val="00CD21E9"/>
    <w:rsid w:val="00CD316F"/>
    <w:rsid w:val="00CD403D"/>
    <w:rsid w:val="00CD510A"/>
    <w:rsid w:val="00CE01AF"/>
    <w:rsid w:val="00CE04BC"/>
    <w:rsid w:val="00CE118D"/>
    <w:rsid w:val="00CE1690"/>
    <w:rsid w:val="00CE3289"/>
    <w:rsid w:val="00CE3EE0"/>
    <w:rsid w:val="00CE5C56"/>
    <w:rsid w:val="00CE77E2"/>
    <w:rsid w:val="00CF0A4B"/>
    <w:rsid w:val="00CF429C"/>
    <w:rsid w:val="00CF55BF"/>
    <w:rsid w:val="00CF7A56"/>
    <w:rsid w:val="00D01AC2"/>
    <w:rsid w:val="00D01BE2"/>
    <w:rsid w:val="00D040F4"/>
    <w:rsid w:val="00D0465F"/>
    <w:rsid w:val="00D070D6"/>
    <w:rsid w:val="00D07820"/>
    <w:rsid w:val="00D13530"/>
    <w:rsid w:val="00D1746D"/>
    <w:rsid w:val="00D20248"/>
    <w:rsid w:val="00D2100C"/>
    <w:rsid w:val="00D2746B"/>
    <w:rsid w:val="00D30B51"/>
    <w:rsid w:val="00D34469"/>
    <w:rsid w:val="00D408DE"/>
    <w:rsid w:val="00D41FFD"/>
    <w:rsid w:val="00D44620"/>
    <w:rsid w:val="00D45014"/>
    <w:rsid w:val="00D5115D"/>
    <w:rsid w:val="00D52C0C"/>
    <w:rsid w:val="00D56AC3"/>
    <w:rsid w:val="00D56C14"/>
    <w:rsid w:val="00D600AC"/>
    <w:rsid w:val="00D60C7B"/>
    <w:rsid w:val="00D64326"/>
    <w:rsid w:val="00D66B13"/>
    <w:rsid w:val="00D6778C"/>
    <w:rsid w:val="00D74E5B"/>
    <w:rsid w:val="00D75ED1"/>
    <w:rsid w:val="00D82220"/>
    <w:rsid w:val="00D91066"/>
    <w:rsid w:val="00D9181A"/>
    <w:rsid w:val="00D927EF"/>
    <w:rsid w:val="00D9493E"/>
    <w:rsid w:val="00D94FCB"/>
    <w:rsid w:val="00D95A10"/>
    <w:rsid w:val="00D96ABE"/>
    <w:rsid w:val="00DA08D8"/>
    <w:rsid w:val="00DA1D37"/>
    <w:rsid w:val="00DA24F5"/>
    <w:rsid w:val="00DA3741"/>
    <w:rsid w:val="00DA61BD"/>
    <w:rsid w:val="00DB0079"/>
    <w:rsid w:val="00DB0237"/>
    <w:rsid w:val="00DB377D"/>
    <w:rsid w:val="00DB43EF"/>
    <w:rsid w:val="00DC2ABF"/>
    <w:rsid w:val="00DC56CC"/>
    <w:rsid w:val="00DD085C"/>
    <w:rsid w:val="00DD08EA"/>
    <w:rsid w:val="00DD3E32"/>
    <w:rsid w:val="00DE23DB"/>
    <w:rsid w:val="00DE2FFE"/>
    <w:rsid w:val="00DE6AC4"/>
    <w:rsid w:val="00DE6B4A"/>
    <w:rsid w:val="00DE71DA"/>
    <w:rsid w:val="00DE7338"/>
    <w:rsid w:val="00DF091B"/>
    <w:rsid w:val="00DF4DA3"/>
    <w:rsid w:val="00DF5179"/>
    <w:rsid w:val="00DF79AB"/>
    <w:rsid w:val="00E011A3"/>
    <w:rsid w:val="00E02248"/>
    <w:rsid w:val="00E051A6"/>
    <w:rsid w:val="00E05A5F"/>
    <w:rsid w:val="00E12FEA"/>
    <w:rsid w:val="00E13B29"/>
    <w:rsid w:val="00E152A9"/>
    <w:rsid w:val="00E15BD3"/>
    <w:rsid w:val="00E24A77"/>
    <w:rsid w:val="00E259D4"/>
    <w:rsid w:val="00E30CAA"/>
    <w:rsid w:val="00E32B78"/>
    <w:rsid w:val="00E33D82"/>
    <w:rsid w:val="00E41D54"/>
    <w:rsid w:val="00E517C7"/>
    <w:rsid w:val="00E529EC"/>
    <w:rsid w:val="00E546F3"/>
    <w:rsid w:val="00E60352"/>
    <w:rsid w:val="00E61EA1"/>
    <w:rsid w:val="00E64B96"/>
    <w:rsid w:val="00E67BBF"/>
    <w:rsid w:val="00E70FB8"/>
    <w:rsid w:val="00E73D76"/>
    <w:rsid w:val="00E802F7"/>
    <w:rsid w:val="00E81CC9"/>
    <w:rsid w:val="00E927E0"/>
    <w:rsid w:val="00EA353D"/>
    <w:rsid w:val="00EA3D87"/>
    <w:rsid w:val="00EA6496"/>
    <w:rsid w:val="00EA6CF5"/>
    <w:rsid w:val="00EB483C"/>
    <w:rsid w:val="00EB756C"/>
    <w:rsid w:val="00EC307C"/>
    <w:rsid w:val="00EC5F1F"/>
    <w:rsid w:val="00ED2D76"/>
    <w:rsid w:val="00ED405A"/>
    <w:rsid w:val="00ED4C6F"/>
    <w:rsid w:val="00ED6EAF"/>
    <w:rsid w:val="00ED6F9C"/>
    <w:rsid w:val="00ED743E"/>
    <w:rsid w:val="00EE1715"/>
    <w:rsid w:val="00EE1EE1"/>
    <w:rsid w:val="00EE24B4"/>
    <w:rsid w:val="00EE400A"/>
    <w:rsid w:val="00EE5144"/>
    <w:rsid w:val="00EE7C42"/>
    <w:rsid w:val="00EF070D"/>
    <w:rsid w:val="00EF1643"/>
    <w:rsid w:val="00EF4C33"/>
    <w:rsid w:val="00EF62C7"/>
    <w:rsid w:val="00F01D99"/>
    <w:rsid w:val="00F02950"/>
    <w:rsid w:val="00F054CF"/>
    <w:rsid w:val="00F106B6"/>
    <w:rsid w:val="00F113FE"/>
    <w:rsid w:val="00F136CC"/>
    <w:rsid w:val="00F157A9"/>
    <w:rsid w:val="00F15F83"/>
    <w:rsid w:val="00F2331F"/>
    <w:rsid w:val="00F23692"/>
    <w:rsid w:val="00F27BB1"/>
    <w:rsid w:val="00F31C49"/>
    <w:rsid w:val="00F35EBA"/>
    <w:rsid w:val="00F4224A"/>
    <w:rsid w:val="00F43A0F"/>
    <w:rsid w:val="00F43B71"/>
    <w:rsid w:val="00F445A9"/>
    <w:rsid w:val="00F4659B"/>
    <w:rsid w:val="00F518A5"/>
    <w:rsid w:val="00F55268"/>
    <w:rsid w:val="00F566E7"/>
    <w:rsid w:val="00F57E51"/>
    <w:rsid w:val="00F61BC8"/>
    <w:rsid w:val="00F61CFF"/>
    <w:rsid w:val="00F64A74"/>
    <w:rsid w:val="00F6670E"/>
    <w:rsid w:val="00F674B1"/>
    <w:rsid w:val="00F7438F"/>
    <w:rsid w:val="00F869F8"/>
    <w:rsid w:val="00F91030"/>
    <w:rsid w:val="00F9644E"/>
    <w:rsid w:val="00F97911"/>
    <w:rsid w:val="00FA4CF0"/>
    <w:rsid w:val="00FB01CC"/>
    <w:rsid w:val="00FB2CCC"/>
    <w:rsid w:val="00FB2EC9"/>
    <w:rsid w:val="00FB3C82"/>
    <w:rsid w:val="00FB462C"/>
    <w:rsid w:val="00FB5415"/>
    <w:rsid w:val="00FB6311"/>
    <w:rsid w:val="00FB6EC3"/>
    <w:rsid w:val="00FC65CD"/>
    <w:rsid w:val="00FD155E"/>
    <w:rsid w:val="00FD327E"/>
    <w:rsid w:val="00FD3A97"/>
    <w:rsid w:val="00FD3C29"/>
    <w:rsid w:val="00FE0008"/>
    <w:rsid w:val="00FE3261"/>
    <w:rsid w:val="00FE59EF"/>
    <w:rsid w:val="00FF0391"/>
    <w:rsid w:val="00FF466E"/>
    <w:rsid w:val="00FF7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00219"/>
  <w15:chartTrackingRefBased/>
  <w15:docId w15:val="{10FB54F5-EA70-4BBB-9812-DEA7AC4E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59"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96"/>
    <w:rPr>
      <w:color w:val="0563C1" w:themeColor="hyperlink"/>
      <w:u w:val="single"/>
    </w:rPr>
  </w:style>
  <w:style w:type="paragraph" w:styleId="Footer">
    <w:name w:val="footer"/>
    <w:basedOn w:val="Normal"/>
    <w:link w:val="FooterChar"/>
    <w:uiPriority w:val="99"/>
    <w:unhideWhenUsed/>
    <w:rsid w:val="00EA6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496"/>
  </w:style>
  <w:style w:type="paragraph" w:styleId="BalloonText">
    <w:name w:val="Balloon Text"/>
    <w:basedOn w:val="Normal"/>
    <w:link w:val="BalloonTextChar"/>
    <w:uiPriority w:val="99"/>
    <w:semiHidden/>
    <w:unhideWhenUsed/>
    <w:rsid w:val="0066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84A"/>
    <w:rPr>
      <w:rFonts w:ascii="Segoe UI" w:hAnsi="Segoe UI" w:cs="Segoe UI"/>
      <w:sz w:val="18"/>
      <w:szCs w:val="18"/>
    </w:rPr>
  </w:style>
  <w:style w:type="paragraph" w:styleId="Header">
    <w:name w:val="header"/>
    <w:basedOn w:val="Normal"/>
    <w:link w:val="HeaderChar"/>
    <w:uiPriority w:val="99"/>
    <w:unhideWhenUsed/>
    <w:rsid w:val="00C55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7B8"/>
  </w:style>
  <w:style w:type="character" w:styleId="UnresolvedMention">
    <w:name w:val="Unresolved Mention"/>
    <w:basedOn w:val="DefaultParagraphFont"/>
    <w:uiPriority w:val="99"/>
    <w:semiHidden/>
    <w:unhideWhenUsed/>
    <w:rsid w:val="00C557B8"/>
    <w:rPr>
      <w:color w:val="605E5C"/>
      <w:shd w:val="clear" w:color="auto" w:fill="E1DFDD"/>
    </w:rPr>
  </w:style>
  <w:style w:type="paragraph" w:styleId="NormalWeb">
    <w:name w:val="Normal (Web)"/>
    <w:basedOn w:val="Normal"/>
    <w:uiPriority w:val="99"/>
    <w:unhideWhenUsed/>
    <w:rsid w:val="00511C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11CD1"/>
    <w:rPr>
      <w:i/>
      <w:iCs/>
    </w:rPr>
  </w:style>
  <w:style w:type="paragraph" w:styleId="ListParagraph">
    <w:name w:val="List Paragraph"/>
    <w:aliases w:val="NFP GP Bulleted List,List Paragraph1,Recommendation,List Paragraph11,List Paragraph2,L,AR bullet 1,List Paragraph Number,Bullet point,Content descriptions,Bullet Point,dot point List Paragraph,Number Paragraph,Bullet points,Bullet Points"/>
    <w:basedOn w:val="Normal"/>
    <w:link w:val="ListParagraphChar"/>
    <w:uiPriority w:val="34"/>
    <w:qFormat/>
    <w:rsid w:val="00511CD1"/>
    <w:pPr>
      <w:ind w:left="720"/>
      <w:contextualSpacing/>
    </w:pPr>
    <w:rPr>
      <w:lang w:val="en-US"/>
    </w:rPr>
  </w:style>
  <w:style w:type="paragraph" w:customStyle="1" w:styleId="Bullet1">
    <w:name w:val="Bullet 1"/>
    <w:basedOn w:val="Normal"/>
    <w:link w:val="Bullet1Char"/>
    <w:uiPriority w:val="1"/>
    <w:qFormat/>
    <w:rsid w:val="00511CD1"/>
    <w:pPr>
      <w:spacing w:before="120" w:after="0" w:line="240" w:lineRule="auto"/>
      <w:ind w:left="227" w:hanging="227"/>
    </w:pPr>
    <w:rPr>
      <w:rFonts w:ascii="Arial" w:eastAsia="Calibri" w:hAnsi="Arial" w:cs="Times New Roman"/>
      <w:lang w:eastAsia="en-AU"/>
    </w:rPr>
  </w:style>
  <w:style w:type="character" w:customStyle="1" w:styleId="Bullet1Char">
    <w:name w:val="Bullet 1 Char"/>
    <w:basedOn w:val="DefaultParagraphFont"/>
    <w:link w:val="Bullet1"/>
    <w:uiPriority w:val="1"/>
    <w:rsid w:val="00511CD1"/>
    <w:rPr>
      <w:rFonts w:ascii="Arial" w:eastAsia="Calibri" w:hAnsi="Arial" w:cs="Times New Roman"/>
      <w:lang w:eastAsia="en-AU"/>
    </w:rPr>
  </w:style>
  <w:style w:type="paragraph" w:styleId="CommentText">
    <w:name w:val="annotation text"/>
    <w:basedOn w:val="Normal"/>
    <w:link w:val="CommentTextChar"/>
    <w:uiPriority w:val="99"/>
    <w:semiHidden/>
    <w:unhideWhenUsed/>
    <w:rsid w:val="00511CD1"/>
    <w:pPr>
      <w:spacing w:line="240" w:lineRule="auto"/>
    </w:pPr>
    <w:rPr>
      <w:sz w:val="24"/>
      <w:szCs w:val="24"/>
      <w:lang w:val="en-US"/>
    </w:rPr>
  </w:style>
  <w:style w:type="character" w:customStyle="1" w:styleId="CommentTextChar">
    <w:name w:val="Comment Text Char"/>
    <w:basedOn w:val="DefaultParagraphFont"/>
    <w:link w:val="CommentText"/>
    <w:uiPriority w:val="99"/>
    <w:semiHidden/>
    <w:rsid w:val="00511CD1"/>
    <w:rPr>
      <w:sz w:val="24"/>
      <w:szCs w:val="24"/>
      <w:lang w:val="en-US"/>
    </w:rPr>
  </w:style>
  <w:style w:type="paragraph" w:styleId="FootnoteText">
    <w:name w:val="footnote text"/>
    <w:basedOn w:val="Normal"/>
    <w:link w:val="FootnoteTextChar"/>
    <w:uiPriority w:val="99"/>
    <w:unhideWhenUsed/>
    <w:rsid w:val="00511CD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511CD1"/>
    <w:rPr>
      <w:sz w:val="20"/>
      <w:szCs w:val="20"/>
      <w:lang w:val="en-US"/>
    </w:rPr>
  </w:style>
  <w:style w:type="character" w:styleId="FootnoteReference">
    <w:name w:val="footnote reference"/>
    <w:basedOn w:val="DefaultParagraphFont"/>
    <w:uiPriority w:val="99"/>
    <w:unhideWhenUsed/>
    <w:rsid w:val="00511CD1"/>
    <w:rPr>
      <w:vertAlign w:val="superscript"/>
    </w:rPr>
  </w:style>
  <w:style w:type="character" w:customStyle="1" w:styleId="ListParagraphChar">
    <w:name w:val="List Paragraph Char"/>
    <w:aliases w:val="NFP GP Bulleted List Char,List Paragraph1 Char,Recommendation Char,List Paragraph11 Char,List Paragraph2 Char,L Char,AR bullet 1 Char,List Paragraph Number Char,Bullet point Char,Content descriptions Char,Bullet Point Char"/>
    <w:basedOn w:val="DefaultParagraphFont"/>
    <w:link w:val="ListParagraph"/>
    <w:uiPriority w:val="34"/>
    <w:qFormat/>
    <w:locked/>
    <w:rsid w:val="00B314A0"/>
    <w:rPr>
      <w:lang w:val="en-US"/>
    </w:rPr>
  </w:style>
  <w:style w:type="paragraph" w:customStyle="1" w:styleId="Default">
    <w:name w:val="Default"/>
    <w:uiPriority w:val="99"/>
    <w:rsid w:val="00ED2D76"/>
    <w:pPr>
      <w:autoSpaceDE w:val="0"/>
      <w:autoSpaceDN w:val="0"/>
      <w:adjustRightInd w:val="0"/>
      <w:spacing w:after="0" w:line="240" w:lineRule="auto"/>
    </w:pPr>
    <w:rPr>
      <w:rFonts w:ascii="Calibri" w:eastAsia="Times" w:hAnsi="Calibri" w:cs="Calibri"/>
      <w:color w:val="000000"/>
      <w:sz w:val="24"/>
      <w:szCs w:val="24"/>
      <w:lang w:eastAsia="en-AU"/>
    </w:rPr>
  </w:style>
  <w:style w:type="paragraph" w:styleId="PlainText">
    <w:name w:val="Plain Text"/>
    <w:basedOn w:val="Normal"/>
    <w:link w:val="PlainTextChar"/>
    <w:uiPriority w:val="99"/>
    <w:unhideWhenUsed/>
    <w:rsid w:val="007937ED"/>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rsid w:val="007937ED"/>
    <w:rPr>
      <w:rFonts w:ascii="Calibri" w:hAnsi="Calibri" w:cs="Calibri"/>
      <w:lang w:val="en-US"/>
    </w:rPr>
  </w:style>
  <w:style w:type="paragraph" w:styleId="NoSpacing">
    <w:name w:val="No Spacing"/>
    <w:basedOn w:val="Normal"/>
    <w:link w:val="NoSpacingChar"/>
    <w:uiPriority w:val="10"/>
    <w:qFormat/>
    <w:rsid w:val="00F31C49"/>
    <w:pPr>
      <w:spacing w:after="0" w:line="280" w:lineRule="atLeast"/>
    </w:pPr>
    <w:rPr>
      <w:sz w:val="20"/>
      <w:szCs w:val="20"/>
    </w:rPr>
  </w:style>
  <w:style w:type="table" w:styleId="TableGrid">
    <w:name w:val="Table Grid"/>
    <w:basedOn w:val="TableNormal"/>
    <w:uiPriority w:val="39"/>
    <w:rsid w:val="00F3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0"/>
    <w:rsid w:val="00F31C49"/>
    <w:rPr>
      <w:sz w:val="20"/>
      <w:szCs w:val="20"/>
    </w:rPr>
  </w:style>
  <w:style w:type="paragraph" w:customStyle="1" w:styleId="TableHeading">
    <w:name w:val="Table Heading"/>
    <w:basedOn w:val="NoSpacing"/>
    <w:uiPriority w:val="4"/>
    <w:qFormat/>
    <w:rsid w:val="00F31C49"/>
    <w:pPr>
      <w:spacing w:after="20"/>
      <w:ind w:left="57"/>
    </w:pPr>
    <w:rPr>
      <w:b/>
      <w:color w:val="E7E6E6" w:themeColor="background2"/>
      <w:sz w:val="18"/>
    </w:rPr>
  </w:style>
  <w:style w:type="paragraph" w:styleId="BodyText">
    <w:name w:val="Body Text"/>
    <w:basedOn w:val="Normal"/>
    <w:link w:val="BodyTextChar"/>
    <w:qFormat/>
    <w:rsid w:val="00F31C49"/>
    <w:pPr>
      <w:spacing w:before="120" w:line="280" w:lineRule="atLeast"/>
    </w:pPr>
    <w:rPr>
      <w:sz w:val="20"/>
      <w:szCs w:val="20"/>
    </w:rPr>
  </w:style>
  <w:style w:type="character" w:customStyle="1" w:styleId="BodyTextChar">
    <w:name w:val="Body Text Char"/>
    <w:basedOn w:val="DefaultParagraphFont"/>
    <w:link w:val="BodyText"/>
    <w:rsid w:val="00F31C49"/>
    <w:rPr>
      <w:sz w:val="20"/>
      <w:szCs w:val="20"/>
    </w:rPr>
  </w:style>
  <w:style w:type="table" w:customStyle="1" w:styleId="TextTable-Grey">
    <w:name w:val="Text Table-Grey"/>
    <w:basedOn w:val="TableNormal"/>
    <w:uiPriority w:val="99"/>
    <w:rsid w:val="00485ECC"/>
    <w:pPr>
      <w:spacing w:after="0" w:line="240" w:lineRule="auto"/>
    </w:pPr>
    <w:rPr>
      <w:color w:val="E7E6E6" w:themeColor="background2"/>
    </w:rPr>
    <w:tblPr>
      <w:tblCellMar>
        <w:top w:w="113" w:type="dxa"/>
        <w:left w:w="113" w:type="dxa"/>
        <w:bottom w:w="113" w:type="dxa"/>
        <w:right w:w="113" w:type="dxa"/>
      </w:tblCellMar>
    </w:tblPr>
    <w:tcPr>
      <w:shd w:val="clear" w:color="auto" w:fill="F2F2F2"/>
    </w:tcPr>
  </w:style>
  <w:style w:type="paragraph" w:styleId="ListBullet">
    <w:name w:val="List Bullet"/>
    <w:basedOn w:val="Normal"/>
    <w:link w:val="ListBulletChar"/>
    <w:uiPriority w:val="1"/>
    <w:qFormat/>
    <w:rsid w:val="00CE3289"/>
    <w:pPr>
      <w:numPr>
        <w:numId w:val="2"/>
      </w:numPr>
      <w:spacing w:before="120" w:line="280" w:lineRule="atLeast"/>
      <w:contextualSpacing/>
    </w:pPr>
    <w:rPr>
      <w:sz w:val="20"/>
      <w:szCs w:val="20"/>
    </w:rPr>
  </w:style>
  <w:style w:type="paragraph" w:styleId="ListBullet2">
    <w:name w:val="List Bullet 2"/>
    <w:basedOn w:val="Normal"/>
    <w:uiPriority w:val="1"/>
    <w:qFormat/>
    <w:rsid w:val="00CE3289"/>
    <w:pPr>
      <w:numPr>
        <w:ilvl w:val="1"/>
        <w:numId w:val="2"/>
      </w:numPr>
      <w:spacing w:before="120" w:line="280" w:lineRule="atLeast"/>
      <w:contextualSpacing/>
    </w:pPr>
    <w:rPr>
      <w:sz w:val="20"/>
      <w:szCs w:val="20"/>
    </w:rPr>
  </w:style>
  <w:style w:type="numbering" w:customStyle="1" w:styleId="Bullets">
    <w:name w:val="Bullets"/>
    <w:uiPriority w:val="99"/>
    <w:rsid w:val="00CE3289"/>
    <w:pPr>
      <w:numPr>
        <w:numId w:val="1"/>
      </w:numPr>
    </w:pPr>
  </w:style>
  <w:style w:type="paragraph" w:styleId="ListBullet3">
    <w:name w:val="List Bullet 3"/>
    <w:basedOn w:val="Normal"/>
    <w:uiPriority w:val="1"/>
    <w:qFormat/>
    <w:rsid w:val="00CE3289"/>
    <w:pPr>
      <w:numPr>
        <w:ilvl w:val="2"/>
        <w:numId w:val="2"/>
      </w:numPr>
      <w:spacing w:before="120" w:line="280" w:lineRule="atLeast"/>
      <w:contextualSpacing/>
    </w:pPr>
    <w:rPr>
      <w:sz w:val="20"/>
      <w:szCs w:val="20"/>
    </w:rPr>
  </w:style>
  <w:style w:type="character" w:customStyle="1" w:styleId="ListBulletChar">
    <w:name w:val="List Bullet Char"/>
    <w:basedOn w:val="DefaultParagraphFont"/>
    <w:link w:val="ListBullet"/>
    <w:uiPriority w:val="1"/>
    <w:rsid w:val="00CE3289"/>
    <w:rPr>
      <w:sz w:val="20"/>
      <w:szCs w:val="20"/>
    </w:rPr>
  </w:style>
  <w:style w:type="character" w:styleId="CommentReference">
    <w:name w:val="annotation reference"/>
    <w:basedOn w:val="DefaultParagraphFont"/>
    <w:uiPriority w:val="99"/>
    <w:semiHidden/>
    <w:unhideWhenUsed/>
    <w:rsid w:val="00FC65CD"/>
    <w:rPr>
      <w:sz w:val="16"/>
      <w:szCs w:val="16"/>
    </w:rPr>
  </w:style>
  <w:style w:type="paragraph" w:customStyle="1" w:styleId="paragraph">
    <w:name w:val="paragraph"/>
    <w:basedOn w:val="Normal"/>
    <w:rsid w:val="00F566E7"/>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3062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E5F10"/>
    <w:rPr>
      <w:b/>
      <w:bCs/>
      <w:sz w:val="20"/>
      <w:szCs w:val="20"/>
      <w:lang w:val="en-AU"/>
    </w:rPr>
  </w:style>
  <w:style w:type="character" w:customStyle="1" w:styleId="CommentSubjectChar">
    <w:name w:val="Comment Subject Char"/>
    <w:basedOn w:val="CommentTextChar"/>
    <w:link w:val="CommentSubject"/>
    <w:uiPriority w:val="99"/>
    <w:semiHidden/>
    <w:rsid w:val="003E5F1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acdhs.edu.au" TargetMode="External"/><Relationship Id="rId5" Type="http://schemas.openxmlformats.org/officeDocument/2006/relationships/webSettings" Target="webSettings.xml"/><Relationship Id="rId10" Type="http://schemas.openxmlformats.org/officeDocument/2006/relationships/hyperlink" Target="https://acdhs.edu.au/" TargetMode="External"/><Relationship Id="rId4" Type="http://schemas.openxmlformats.org/officeDocument/2006/relationships/settings" Target="settings.xml"/><Relationship Id="rId9" Type="http://schemas.openxmlformats.org/officeDocument/2006/relationships/hyperlink" Target="https://www.pc.gov.au/inquiries/current/productivit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skillscommission.gov.au/sites/default/files/2022-10/2022%20SPL%20Key%20Findings%20Report%20-%206%20October%202022_0.pdf" TargetMode="External"/><Relationship Id="rId1" Type="http://schemas.openxmlformats.org/officeDocument/2006/relationships/hyperlink" Target="https://www.universitiesaustralia.edu.au/wp-content/uploads/2022/04/220426-UAs-productivity-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A2AC-B2CE-4BAC-907D-AB42AE8F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Submission 153 - Australian Council of Deans of Health Sciences (ACDHS) - Productivity - Public inquiry</vt:lpstr>
    </vt:vector>
  </TitlesOfParts>
  <Company>Australian Council of Deans of Health Sciences (ACDHS)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153 - Australian Council of Deans of Health Sciences (ACDHS) - Productivity - Public inquiry</dc:title>
  <dc:subject/>
  <dc:creator>Australian Council of Deans of Health Sciences (ACDHS) </dc:creator>
  <cp:keywords/>
  <dc:description/>
  <cp:lastModifiedBy>Chris Alston</cp:lastModifiedBy>
  <cp:revision>20</cp:revision>
  <cp:lastPrinted>2022-10-25T02:58:00Z</cp:lastPrinted>
  <dcterms:created xsi:type="dcterms:W3CDTF">2022-10-20T07:01:00Z</dcterms:created>
  <dcterms:modified xsi:type="dcterms:W3CDTF">2022-10-25T02:58:00Z</dcterms:modified>
</cp:coreProperties>
</file>