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86EC" w14:textId="125B021C" w:rsidR="00D17938" w:rsidRDefault="0019347B" w:rsidP="00D17938">
      <w:pPr>
        <w:pStyle w:val="Title"/>
        <w:spacing w:before="0" w:after="160" w:line="259" w:lineRule="auto"/>
        <w:ind w:left="249" w:right="272"/>
        <w:rPr>
          <w:sz w:val="28"/>
          <w:szCs w:val="28"/>
        </w:rPr>
      </w:pPr>
      <w:r w:rsidRPr="0019347B">
        <w:rPr>
          <w:sz w:val="28"/>
          <w:szCs w:val="28"/>
        </w:rPr>
        <w:t>Response to the Productivity Commission Review of the N</w:t>
      </w:r>
      <w:r>
        <w:rPr>
          <w:sz w:val="28"/>
          <w:szCs w:val="28"/>
        </w:rPr>
        <w:t xml:space="preserve">ational Agreement on Closing the Gap </w:t>
      </w:r>
      <w:r w:rsidR="00D17938">
        <w:rPr>
          <w:sz w:val="28"/>
          <w:szCs w:val="28"/>
        </w:rPr>
        <w:t>-</w:t>
      </w:r>
      <w:r>
        <w:rPr>
          <w:sz w:val="28"/>
          <w:szCs w:val="28"/>
        </w:rPr>
        <w:t xml:space="preserve"> Draft Report</w:t>
      </w:r>
    </w:p>
    <w:p w14:paraId="617E132F" w14:textId="77777777" w:rsidR="00D17938" w:rsidRPr="00A611FC" w:rsidRDefault="00D17938" w:rsidP="00D17938">
      <w:pPr>
        <w:pStyle w:val="Title"/>
        <w:spacing w:before="0" w:after="160" w:line="259" w:lineRule="auto"/>
        <w:ind w:left="249" w:right="272"/>
        <w:rPr>
          <w:sz w:val="24"/>
          <w:szCs w:val="24"/>
        </w:rPr>
      </w:pPr>
    </w:p>
    <w:p w14:paraId="1B8BCE2C" w14:textId="486CA33E" w:rsidR="00D17938" w:rsidRDefault="0019347B" w:rsidP="00D17938">
      <w:pPr>
        <w:pStyle w:val="Title"/>
        <w:spacing w:before="0" w:after="160" w:line="259" w:lineRule="auto"/>
        <w:ind w:left="249" w:right="272"/>
        <w:rPr>
          <w:color w:val="ED7D31" w:themeColor="accent2"/>
          <w:sz w:val="28"/>
          <w:szCs w:val="28"/>
        </w:rPr>
      </w:pPr>
      <w:r>
        <w:rPr>
          <w:color w:val="ED7D31" w:themeColor="accent2"/>
          <w:sz w:val="28"/>
          <w:szCs w:val="28"/>
        </w:rPr>
        <w:t>Submission from AbSec - NSW Child, Family and Community Peak Aboriginal Corporation</w:t>
      </w:r>
    </w:p>
    <w:p w14:paraId="345689E2" w14:textId="77777777" w:rsidR="00D17938" w:rsidRPr="00A611FC" w:rsidRDefault="00D17938" w:rsidP="0019347B">
      <w:pPr>
        <w:pStyle w:val="Title"/>
        <w:spacing w:before="0" w:after="160" w:line="259" w:lineRule="auto"/>
        <w:ind w:left="249" w:right="272"/>
        <w:rPr>
          <w:b w:val="0"/>
          <w:bCs w:val="0"/>
          <w:sz w:val="24"/>
          <w:szCs w:val="24"/>
        </w:rPr>
      </w:pPr>
    </w:p>
    <w:p w14:paraId="3D2A9A12" w14:textId="14038661" w:rsidR="00094E85" w:rsidRPr="00FB1648" w:rsidRDefault="00D17938" w:rsidP="00FB1648">
      <w:pPr>
        <w:pStyle w:val="Title"/>
        <w:spacing w:before="0" w:after="160" w:line="259" w:lineRule="auto"/>
        <w:ind w:left="249" w:right="272"/>
        <w:rPr>
          <w:b w:val="0"/>
          <w:bCs w:val="0"/>
          <w:sz w:val="28"/>
          <w:szCs w:val="28"/>
        </w:rPr>
      </w:pPr>
      <w:r w:rsidRPr="00D17938">
        <w:rPr>
          <w:b w:val="0"/>
          <w:bCs w:val="0"/>
          <w:sz w:val="28"/>
          <w:szCs w:val="28"/>
        </w:rPr>
        <w:t>October 2023</w:t>
      </w:r>
    </w:p>
    <w:p w14:paraId="32139CF4" w14:textId="6C4AD379" w:rsidR="00F86B29" w:rsidRPr="00324402" w:rsidRDefault="00254C2C" w:rsidP="004D549F">
      <w:pPr>
        <w:pStyle w:val="Heading1"/>
        <w:numPr>
          <w:ilvl w:val="0"/>
          <w:numId w:val="13"/>
        </w:numPr>
        <w:rPr>
          <w:rFonts w:asciiTheme="minorHAnsi" w:hAnsiTheme="minorHAnsi" w:cstheme="minorHAnsi"/>
          <w:b/>
          <w:bCs/>
          <w:color w:val="auto"/>
          <w:sz w:val="22"/>
          <w:szCs w:val="22"/>
        </w:rPr>
      </w:pPr>
      <w:r>
        <w:rPr>
          <w:rFonts w:asciiTheme="minorHAnsi" w:hAnsiTheme="minorHAnsi" w:cstheme="minorHAnsi"/>
          <w:b/>
          <w:bCs/>
          <w:color w:val="auto"/>
          <w:sz w:val="22"/>
          <w:szCs w:val="22"/>
        </w:rPr>
        <w:t>Introduction</w:t>
      </w:r>
    </w:p>
    <w:p w14:paraId="08BB2C7E" w14:textId="77777777" w:rsidR="004D549F" w:rsidRDefault="004D549F" w:rsidP="00254C2C">
      <w:pPr>
        <w:pStyle w:val="Heading1"/>
        <w:spacing w:before="0"/>
        <w:rPr>
          <w:rFonts w:asciiTheme="minorHAnsi" w:hAnsiTheme="minorHAnsi" w:cstheme="minorHAnsi"/>
          <w:color w:val="auto"/>
          <w:sz w:val="22"/>
          <w:szCs w:val="22"/>
        </w:rPr>
      </w:pPr>
    </w:p>
    <w:p w14:paraId="76BE499A" w14:textId="4A7AE99D" w:rsidR="00254C2C" w:rsidRPr="00D17938" w:rsidRDefault="00254C2C" w:rsidP="00254C2C">
      <w:pPr>
        <w:pStyle w:val="Heading1"/>
        <w:spacing w:before="0"/>
        <w:rPr>
          <w:rFonts w:asciiTheme="minorHAnsi" w:hAnsiTheme="minorHAnsi" w:cstheme="minorHAnsi"/>
          <w:b/>
          <w:bCs/>
          <w:color w:val="auto"/>
          <w:sz w:val="22"/>
          <w:szCs w:val="22"/>
        </w:rPr>
      </w:pPr>
      <w:r w:rsidRPr="00D17938">
        <w:rPr>
          <w:rFonts w:asciiTheme="minorHAnsi" w:hAnsiTheme="minorHAnsi" w:cstheme="minorHAnsi"/>
          <w:color w:val="auto"/>
          <w:sz w:val="22"/>
          <w:szCs w:val="22"/>
        </w:rPr>
        <w:t xml:space="preserve">AbSec welcomes the opportunity to respond to </w:t>
      </w:r>
      <w:r>
        <w:rPr>
          <w:rFonts w:asciiTheme="minorHAnsi" w:hAnsiTheme="minorHAnsi" w:cstheme="minorHAnsi"/>
          <w:color w:val="auto"/>
          <w:sz w:val="22"/>
          <w:szCs w:val="22"/>
        </w:rPr>
        <w:t xml:space="preserve">the </w:t>
      </w:r>
      <w:r w:rsidR="003D42FA">
        <w:rPr>
          <w:rFonts w:asciiTheme="minorHAnsi" w:hAnsiTheme="minorHAnsi" w:cstheme="minorHAnsi"/>
          <w:color w:val="auto"/>
          <w:sz w:val="22"/>
          <w:szCs w:val="22"/>
        </w:rPr>
        <w:t xml:space="preserve">Productivity Commission’s </w:t>
      </w:r>
      <w:r>
        <w:rPr>
          <w:rFonts w:asciiTheme="minorHAnsi" w:hAnsiTheme="minorHAnsi" w:cstheme="minorHAnsi"/>
          <w:color w:val="auto"/>
          <w:sz w:val="22"/>
          <w:szCs w:val="22"/>
        </w:rPr>
        <w:t xml:space="preserve">findings </w:t>
      </w:r>
      <w:r w:rsidR="00A143B9">
        <w:rPr>
          <w:rFonts w:asciiTheme="minorHAnsi" w:hAnsiTheme="minorHAnsi" w:cstheme="minorHAnsi"/>
          <w:color w:val="auto"/>
          <w:sz w:val="22"/>
          <w:szCs w:val="22"/>
        </w:rPr>
        <w:t>and</w:t>
      </w:r>
      <w:r>
        <w:rPr>
          <w:rFonts w:asciiTheme="minorHAnsi" w:hAnsiTheme="minorHAnsi" w:cstheme="minorHAnsi"/>
          <w:color w:val="auto"/>
          <w:sz w:val="22"/>
          <w:szCs w:val="22"/>
        </w:rPr>
        <w:t xml:space="preserve"> requests for information made</w:t>
      </w:r>
      <w:r w:rsidR="00A143B9">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in the Draft Report on their Review of the National Agreement on Closing the Gap. </w:t>
      </w:r>
    </w:p>
    <w:p w14:paraId="7D1A830A" w14:textId="5C6A8494" w:rsidR="00254C2C" w:rsidRDefault="00254C2C" w:rsidP="00254C2C">
      <w:pPr>
        <w:pStyle w:val="Heading1"/>
        <w:rPr>
          <w:rFonts w:asciiTheme="minorHAnsi" w:hAnsiTheme="minorHAnsi" w:cstheme="minorHAnsi"/>
          <w:color w:val="auto"/>
          <w:sz w:val="22"/>
          <w:szCs w:val="22"/>
        </w:rPr>
      </w:pPr>
      <w:r>
        <w:rPr>
          <w:rFonts w:asciiTheme="minorHAnsi" w:hAnsiTheme="minorHAnsi" w:cstheme="minorHAnsi"/>
          <w:color w:val="auto"/>
          <w:sz w:val="22"/>
          <w:szCs w:val="22"/>
        </w:rPr>
        <w:t>AbSec is the</w:t>
      </w:r>
      <w:r w:rsidRPr="005179D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New South Wales </w:t>
      </w:r>
      <w:r w:rsidRPr="005179DD">
        <w:rPr>
          <w:rFonts w:asciiTheme="minorHAnsi" w:hAnsiTheme="minorHAnsi" w:cstheme="minorHAnsi"/>
          <w:color w:val="auto"/>
          <w:sz w:val="22"/>
          <w:szCs w:val="22"/>
        </w:rPr>
        <w:t>peak organi</w:t>
      </w:r>
      <w:r>
        <w:rPr>
          <w:rFonts w:asciiTheme="minorHAnsi" w:hAnsiTheme="minorHAnsi" w:cstheme="minorHAnsi"/>
          <w:color w:val="auto"/>
          <w:sz w:val="22"/>
          <w:szCs w:val="22"/>
        </w:rPr>
        <w:t>sation</w:t>
      </w:r>
      <w:r w:rsidRPr="005179DD">
        <w:rPr>
          <w:rFonts w:asciiTheme="minorHAnsi" w:hAnsiTheme="minorHAnsi" w:cstheme="minorHAnsi"/>
          <w:color w:val="auto"/>
          <w:sz w:val="22"/>
          <w:szCs w:val="22"/>
        </w:rPr>
        <w:t xml:space="preserve"> for Aboriginal children, families and communities </w:t>
      </w:r>
      <w:r>
        <w:rPr>
          <w:rFonts w:asciiTheme="minorHAnsi" w:hAnsiTheme="minorHAnsi" w:cstheme="minorHAnsi"/>
          <w:color w:val="auto"/>
          <w:sz w:val="22"/>
          <w:szCs w:val="22"/>
        </w:rPr>
        <w:t xml:space="preserve">impacted by the child protection and care system. We work with Aboriginal community-controlled organisations (ACCOs) across NSW to lead service design, policy, research, and advocacy work required for system transformation. We acknowledge - in common with myriad reports, reviews, and inquiry findings - that Aboriginal families have been raising strong, healthy, and resilient children for millennia. Our first </w:t>
      </w:r>
      <w:r w:rsidRPr="00115060">
        <w:rPr>
          <w:rFonts w:asciiTheme="minorHAnsi" w:hAnsiTheme="minorHAnsi" w:cstheme="minorHAnsi"/>
          <w:color w:val="auto"/>
          <w:sz w:val="22"/>
          <w:szCs w:val="22"/>
        </w:rPr>
        <w:t>principle is to protect</w:t>
      </w:r>
      <w:r>
        <w:rPr>
          <w:rFonts w:asciiTheme="minorHAnsi" w:hAnsiTheme="minorHAnsi" w:cstheme="minorHAnsi"/>
          <w:color w:val="auto"/>
          <w:sz w:val="22"/>
          <w:szCs w:val="22"/>
        </w:rPr>
        <w:t xml:space="preserve"> the right of </w:t>
      </w:r>
      <w:r w:rsidRPr="00115060">
        <w:rPr>
          <w:rFonts w:asciiTheme="minorHAnsi" w:hAnsiTheme="minorHAnsi" w:cstheme="minorHAnsi"/>
          <w:color w:val="auto"/>
          <w:sz w:val="22"/>
          <w:szCs w:val="22"/>
        </w:rPr>
        <w:t xml:space="preserve">Aboriginal children and families to live in thriving communities, connected to culture and Country. </w:t>
      </w:r>
      <w:r>
        <w:rPr>
          <w:rFonts w:asciiTheme="minorHAnsi" w:hAnsiTheme="minorHAnsi" w:cstheme="minorHAnsi"/>
          <w:color w:val="auto"/>
          <w:sz w:val="22"/>
          <w:szCs w:val="22"/>
        </w:rPr>
        <w:t xml:space="preserve">We work to ensure </w:t>
      </w:r>
      <w:r w:rsidRPr="00115060">
        <w:rPr>
          <w:rFonts w:asciiTheme="minorHAnsi" w:hAnsiTheme="minorHAnsi" w:cstheme="minorHAnsi"/>
          <w:color w:val="auto"/>
          <w:sz w:val="22"/>
          <w:szCs w:val="22"/>
        </w:rPr>
        <w:t>that these human rights are upheld by government and other institutions</w:t>
      </w:r>
      <w:r>
        <w:rPr>
          <w:rFonts w:asciiTheme="minorHAnsi" w:hAnsiTheme="minorHAnsi" w:cstheme="minorHAnsi"/>
          <w:color w:val="auto"/>
          <w:sz w:val="22"/>
          <w:szCs w:val="22"/>
        </w:rPr>
        <w:t xml:space="preserve">. </w:t>
      </w:r>
    </w:p>
    <w:p w14:paraId="7D221EA0" w14:textId="77777777" w:rsidR="00254C2C" w:rsidRDefault="00254C2C" w:rsidP="00254C2C">
      <w:pPr>
        <w:pStyle w:val="Heading1"/>
        <w:rPr>
          <w:rFonts w:asciiTheme="minorHAnsi" w:hAnsiTheme="minorHAnsi" w:cstheme="minorHAnsi"/>
          <w:color w:val="auto"/>
          <w:sz w:val="22"/>
          <w:szCs w:val="22"/>
        </w:rPr>
      </w:pPr>
      <w:r>
        <w:rPr>
          <w:rFonts w:asciiTheme="minorHAnsi" w:hAnsiTheme="minorHAnsi" w:cstheme="minorHAnsi"/>
          <w:color w:val="auto"/>
          <w:sz w:val="22"/>
          <w:szCs w:val="22"/>
        </w:rPr>
        <w:t>Central to AbSec’s work is supporting the development and growth of a high quality, responsive Aboriginal community-controlled child and family sector. This is essential if we are to see meaningful, place-based responses which empower ACCOs to design and deliver the supports and services needed by their community.</w:t>
      </w:r>
    </w:p>
    <w:p w14:paraId="64615ADA" w14:textId="6B6A3FD7" w:rsidR="003A662B" w:rsidRPr="003A662B" w:rsidRDefault="00254C2C" w:rsidP="003A662B">
      <w:pPr>
        <w:pStyle w:val="Heading1"/>
        <w:spacing w:before="160"/>
        <w:rPr>
          <w:rFonts w:asciiTheme="minorHAnsi" w:hAnsiTheme="minorHAnsi" w:cstheme="minorHAnsi"/>
          <w:color w:val="auto"/>
          <w:sz w:val="22"/>
          <w:szCs w:val="22"/>
        </w:rPr>
      </w:pPr>
      <w:r>
        <w:rPr>
          <w:rFonts w:asciiTheme="minorHAnsi" w:hAnsiTheme="minorHAnsi" w:cstheme="minorHAnsi"/>
          <w:color w:val="auto"/>
          <w:sz w:val="22"/>
          <w:szCs w:val="22"/>
        </w:rPr>
        <w:t xml:space="preserve">Our </w:t>
      </w:r>
      <w:r w:rsidR="0094031A">
        <w:rPr>
          <w:rFonts w:asciiTheme="minorHAnsi" w:hAnsiTheme="minorHAnsi" w:cstheme="minorHAnsi"/>
          <w:color w:val="auto"/>
          <w:sz w:val="22"/>
          <w:szCs w:val="22"/>
        </w:rPr>
        <w:t>S</w:t>
      </w:r>
      <w:r>
        <w:rPr>
          <w:rFonts w:asciiTheme="minorHAnsi" w:hAnsiTheme="minorHAnsi" w:cstheme="minorHAnsi"/>
          <w:color w:val="auto"/>
          <w:sz w:val="22"/>
          <w:szCs w:val="22"/>
        </w:rPr>
        <w:t>ubmission first offer</w:t>
      </w:r>
      <w:r w:rsidR="0094031A">
        <w:rPr>
          <w:rFonts w:asciiTheme="minorHAnsi" w:hAnsiTheme="minorHAnsi" w:cstheme="minorHAnsi"/>
          <w:color w:val="auto"/>
          <w:sz w:val="22"/>
          <w:szCs w:val="22"/>
        </w:rPr>
        <w:t>s</w:t>
      </w:r>
      <w:r>
        <w:rPr>
          <w:rFonts w:asciiTheme="minorHAnsi" w:hAnsiTheme="minorHAnsi" w:cstheme="minorHAnsi"/>
          <w:color w:val="auto"/>
          <w:sz w:val="22"/>
          <w:szCs w:val="22"/>
        </w:rPr>
        <w:t xml:space="preserve"> some general comments on the Productivity Commission Draft Report</w:t>
      </w:r>
      <w:r w:rsidR="00907175">
        <w:rPr>
          <w:rFonts w:asciiTheme="minorHAnsi" w:hAnsiTheme="minorHAnsi" w:cstheme="minorHAnsi"/>
          <w:color w:val="auto"/>
          <w:sz w:val="22"/>
          <w:szCs w:val="22"/>
        </w:rPr>
        <w:t xml:space="preserve">. It then provides </w:t>
      </w:r>
      <w:r>
        <w:rPr>
          <w:rFonts w:asciiTheme="minorHAnsi" w:hAnsiTheme="minorHAnsi" w:cstheme="minorHAnsi"/>
          <w:color w:val="auto"/>
          <w:sz w:val="22"/>
          <w:szCs w:val="22"/>
        </w:rPr>
        <w:t xml:space="preserve">some more focused remarks on the Information Requests relating to the Priority Reforms, which are intended to provide the foundations for the National Agreement on Closing the Gap. </w:t>
      </w:r>
      <w:r w:rsidR="00CE7386">
        <w:rPr>
          <w:rFonts w:asciiTheme="minorHAnsi" w:hAnsiTheme="minorHAnsi" w:cstheme="minorHAnsi"/>
          <w:color w:val="auto"/>
          <w:sz w:val="22"/>
          <w:szCs w:val="22"/>
        </w:rPr>
        <w:t>Our</w:t>
      </w:r>
      <w:r>
        <w:rPr>
          <w:rFonts w:asciiTheme="minorHAnsi" w:hAnsiTheme="minorHAnsi" w:cstheme="minorHAnsi"/>
          <w:color w:val="auto"/>
          <w:sz w:val="22"/>
          <w:szCs w:val="22"/>
        </w:rPr>
        <w:t xml:space="preserve"> reflections and recommendations </w:t>
      </w:r>
      <w:r w:rsidR="00CE7386">
        <w:rPr>
          <w:rFonts w:asciiTheme="minorHAnsi" w:hAnsiTheme="minorHAnsi" w:cstheme="minorHAnsi"/>
          <w:color w:val="auto"/>
          <w:sz w:val="22"/>
          <w:szCs w:val="22"/>
        </w:rPr>
        <w:t>are grounded in</w:t>
      </w:r>
      <w:r>
        <w:rPr>
          <w:rFonts w:asciiTheme="minorHAnsi" w:hAnsiTheme="minorHAnsi" w:cstheme="minorHAnsi"/>
          <w:color w:val="auto"/>
          <w:sz w:val="22"/>
          <w:szCs w:val="22"/>
        </w:rPr>
        <w:t xml:space="preserve"> significant involvement in the NSW Coalition of Aboriginal Peak Organisations (NSW CAPO) and the range of Council, Working Group and Committee structures</w:t>
      </w:r>
      <w:r w:rsidR="00AD2EA5">
        <w:rPr>
          <w:rFonts w:asciiTheme="minorHAnsi" w:hAnsiTheme="minorHAnsi" w:cstheme="minorHAnsi"/>
          <w:color w:val="auto"/>
          <w:sz w:val="22"/>
          <w:szCs w:val="22"/>
        </w:rPr>
        <w:t xml:space="preserve"> that </w:t>
      </w:r>
      <w:r w:rsidR="00016CE7">
        <w:rPr>
          <w:rFonts w:asciiTheme="minorHAnsi" w:hAnsiTheme="minorHAnsi" w:cstheme="minorHAnsi"/>
          <w:color w:val="auto"/>
          <w:sz w:val="22"/>
          <w:szCs w:val="22"/>
        </w:rPr>
        <w:t>have developed Implementation Plans</w:t>
      </w:r>
      <w:r w:rsidR="00726972">
        <w:rPr>
          <w:rFonts w:asciiTheme="minorHAnsi" w:hAnsiTheme="minorHAnsi" w:cstheme="minorHAnsi"/>
          <w:color w:val="auto"/>
          <w:sz w:val="22"/>
          <w:szCs w:val="22"/>
        </w:rPr>
        <w:t>,</w:t>
      </w:r>
      <w:r w:rsidR="00016CE7">
        <w:rPr>
          <w:rFonts w:asciiTheme="minorHAnsi" w:hAnsiTheme="minorHAnsi" w:cstheme="minorHAnsi"/>
          <w:color w:val="auto"/>
          <w:sz w:val="22"/>
          <w:szCs w:val="22"/>
        </w:rPr>
        <w:t xml:space="preserve"> and </w:t>
      </w:r>
      <w:r w:rsidR="00C4551A">
        <w:rPr>
          <w:rFonts w:asciiTheme="minorHAnsi" w:hAnsiTheme="minorHAnsi" w:cstheme="minorHAnsi"/>
          <w:color w:val="auto"/>
          <w:sz w:val="22"/>
          <w:szCs w:val="22"/>
        </w:rPr>
        <w:t xml:space="preserve">which should now be instrumental and accountable </w:t>
      </w:r>
      <w:r w:rsidR="009E6136">
        <w:rPr>
          <w:rFonts w:asciiTheme="minorHAnsi" w:hAnsiTheme="minorHAnsi" w:cstheme="minorHAnsi"/>
          <w:color w:val="auto"/>
          <w:sz w:val="22"/>
          <w:szCs w:val="22"/>
        </w:rPr>
        <w:t xml:space="preserve">in driving progress and fulfilling commitments. </w:t>
      </w:r>
    </w:p>
    <w:p w14:paraId="1CB37C4E" w14:textId="0C4E5041" w:rsidR="004F7D19" w:rsidRDefault="006F4B39" w:rsidP="004F7D19">
      <w:pPr>
        <w:spacing w:before="160"/>
      </w:pPr>
      <w:r>
        <w:t>At an organisational level</w:t>
      </w:r>
      <w:r w:rsidR="00340B25">
        <w:t xml:space="preserve">, </w:t>
      </w:r>
      <w:r w:rsidR="00BD3206">
        <w:t>AbSec</w:t>
      </w:r>
      <w:r w:rsidR="00D54BD1">
        <w:t xml:space="preserve"> is focused</w:t>
      </w:r>
      <w:r w:rsidR="00D001EB">
        <w:t xml:space="preserve"> on </w:t>
      </w:r>
      <w:r w:rsidR="00A84C74">
        <w:t>Socio-Economic Outcome 12</w:t>
      </w:r>
      <w:r w:rsidR="004B7F8E">
        <w:t xml:space="preserve"> (SEO 12)</w:t>
      </w:r>
      <w:r w:rsidR="0086508D">
        <w:t xml:space="preserve">: </w:t>
      </w:r>
      <w:r w:rsidR="00D001EB" w:rsidRPr="0086508D">
        <w:rPr>
          <w:i/>
          <w:iCs/>
        </w:rPr>
        <w:t>Aboriginal and Torres Strait Islander children are not overrepresented in the child protection system</w:t>
      </w:r>
      <w:r w:rsidR="00D001EB" w:rsidRPr="00D001EB">
        <w:t>.</w:t>
      </w:r>
      <w:r w:rsidR="00D54BD1">
        <w:t xml:space="preserve"> </w:t>
      </w:r>
      <w:r w:rsidR="003E72E5">
        <w:t>We reflect</w:t>
      </w:r>
      <w:r w:rsidR="00697147">
        <w:t xml:space="preserve"> on the limited progress made to</w:t>
      </w:r>
      <w:r w:rsidR="00CB2F5B">
        <w:t xml:space="preserve">wards </w:t>
      </w:r>
      <w:r w:rsidR="00DB4F2B">
        <w:t xml:space="preserve">reducing </w:t>
      </w:r>
      <w:r w:rsidR="00D001EB" w:rsidRPr="00D001EB">
        <w:t xml:space="preserve">the rate of over-representation of Aboriginal and Torres Strait </w:t>
      </w:r>
      <w:r w:rsidR="00D001EB" w:rsidRPr="00D001EB">
        <w:lastRenderedPageBreak/>
        <w:t>Islander children in out-of-home care</w:t>
      </w:r>
      <w:r w:rsidR="00B15D4E">
        <w:t xml:space="preserve"> (OOHC)</w:t>
      </w:r>
      <w:r w:rsidR="00D001EB" w:rsidRPr="00D001EB">
        <w:t xml:space="preserve"> by 45 per cent</w:t>
      </w:r>
      <w:r w:rsidR="00D71DB9">
        <w:t xml:space="preserve"> by 2031</w:t>
      </w:r>
      <w:r w:rsidR="00D67710">
        <w:t xml:space="preserve"> </w:t>
      </w:r>
      <w:r w:rsidR="002377D9">
        <w:t>(the Target specified in the National Agreement</w:t>
      </w:r>
      <w:r w:rsidR="00DB58AF">
        <w:t>)</w:t>
      </w:r>
      <w:r w:rsidR="008321B5">
        <w:t xml:space="preserve">. Our analysis is informed by </w:t>
      </w:r>
      <w:r w:rsidR="00006883">
        <w:t xml:space="preserve">our </w:t>
      </w:r>
      <w:r>
        <w:t>experience</w:t>
      </w:r>
      <w:r w:rsidR="002C6415">
        <w:t>s</w:t>
      </w:r>
      <w:r>
        <w:t xml:space="preserve"> as </w:t>
      </w:r>
      <w:r w:rsidR="00DB58AF">
        <w:t xml:space="preserve">the Aboriginal child protection peak </w:t>
      </w:r>
      <w:r w:rsidR="0044493D">
        <w:t>body</w:t>
      </w:r>
      <w:r w:rsidR="00C604C6">
        <w:t xml:space="preserve"> </w:t>
      </w:r>
      <w:r w:rsidR="002C6415">
        <w:t>as we engaged with t</w:t>
      </w:r>
      <w:r w:rsidR="002107BE">
        <w:t xml:space="preserve">he </w:t>
      </w:r>
      <w:r w:rsidR="00241FBD">
        <w:t xml:space="preserve">NSW </w:t>
      </w:r>
      <w:r w:rsidR="002107BE">
        <w:t xml:space="preserve">Department of </w:t>
      </w:r>
      <w:r w:rsidR="00241FBD">
        <w:t xml:space="preserve">Communities and </w:t>
      </w:r>
      <w:r w:rsidR="002107BE">
        <w:t>Justice (DCJ) and government</w:t>
      </w:r>
      <w:r w:rsidR="0044493D">
        <w:t xml:space="preserve"> </w:t>
      </w:r>
      <w:r w:rsidR="0064648F">
        <w:t xml:space="preserve">on reforms needed to realise SEO12 </w:t>
      </w:r>
      <w:r w:rsidR="0098187A">
        <w:t>and to fully implement the 126 recommendations</w:t>
      </w:r>
      <w:r w:rsidR="001834F5">
        <w:t xml:space="preserve"> made in the </w:t>
      </w:r>
      <w:r w:rsidR="001834F5">
        <w:rPr>
          <w:i/>
          <w:iCs/>
        </w:rPr>
        <w:t>Family Is Culture Review Report</w:t>
      </w:r>
      <w:r w:rsidR="00C52506">
        <w:rPr>
          <w:i/>
          <w:iCs/>
        </w:rPr>
        <w:t xml:space="preserve"> (2019)</w:t>
      </w:r>
      <w:r w:rsidR="003803EE">
        <w:t xml:space="preserve">. </w:t>
      </w:r>
    </w:p>
    <w:p w14:paraId="10F805F4" w14:textId="4D3293C5" w:rsidR="00E671C3" w:rsidRDefault="00364A84" w:rsidP="004F7D19">
      <w:pPr>
        <w:spacing w:before="160" w:after="0"/>
      </w:pPr>
      <w:r>
        <w:t xml:space="preserve">The </w:t>
      </w:r>
      <w:r>
        <w:rPr>
          <w:i/>
          <w:iCs/>
        </w:rPr>
        <w:t>Family is Cultur</w:t>
      </w:r>
      <w:r w:rsidR="00F0338E">
        <w:rPr>
          <w:i/>
          <w:iCs/>
        </w:rPr>
        <w:t>e (FIC)</w:t>
      </w:r>
      <w:r>
        <w:rPr>
          <w:i/>
          <w:iCs/>
        </w:rPr>
        <w:t xml:space="preserve"> </w:t>
      </w:r>
      <w:r>
        <w:t>Revi</w:t>
      </w:r>
      <w:r w:rsidR="00315E0A">
        <w:t xml:space="preserve">ew, led by Professor Megan Davis, </w:t>
      </w:r>
      <w:r w:rsidR="001774EA">
        <w:t xml:space="preserve">will be a frequent reference in this </w:t>
      </w:r>
      <w:r w:rsidR="004F7D19">
        <w:t>S</w:t>
      </w:r>
      <w:r w:rsidR="001774EA">
        <w:t>ubmission. The Review was carried out over 3 years</w:t>
      </w:r>
      <w:r w:rsidR="003A62DE">
        <w:t xml:space="preserve"> and included analysis of the casefiles of over 1,100 Aboriginal children in the OOHC system in 2016-17</w:t>
      </w:r>
      <w:r w:rsidR="0025461F">
        <w:t xml:space="preserve">. It </w:t>
      </w:r>
      <w:r>
        <w:t xml:space="preserve">was the most comprehensive independent review of the NSW child protection system and its impact on Aboriginal children and families in recent history. </w:t>
      </w:r>
      <w:r w:rsidR="0010510B">
        <w:t xml:space="preserve">The recommendations made in </w:t>
      </w:r>
      <w:r w:rsidR="001E7219">
        <w:t xml:space="preserve">its final report </w:t>
      </w:r>
      <w:r w:rsidR="00D36820">
        <w:t xml:space="preserve">could </w:t>
      </w:r>
      <w:r w:rsidR="00FE4F61">
        <w:t>enable transformation of the care and protection system</w:t>
      </w:r>
      <w:r w:rsidR="00470951">
        <w:t xml:space="preserve"> </w:t>
      </w:r>
      <w:r w:rsidR="00DD492A">
        <w:t>of the kind</w:t>
      </w:r>
      <w:r w:rsidR="007A7C95">
        <w:t xml:space="preserve"> required to reduce the gross over-representation of Aboriginal children and young people in OOHC</w:t>
      </w:r>
      <w:r w:rsidR="00041532">
        <w:t>.</w:t>
      </w:r>
      <w:r w:rsidR="00DD492A">
        <w:t xml:space="preserve"> </w:t>
      </w:r>
      <w:r w:rsidR="00F0338E">
        <w:t xml:space="preserve">It is nearly four years since FIC was released. AbSec </w:t>
      </w:r>
      <w:r w:rsidR="00F04B4D">
        <w:t xml:space="preserve">continues to ask government </w:t>
      </w:r>
      <w:r w:rsidR="00D470A5">
        <w:t>what in the hell they are waiting for.</w:t>
      </w:r>
    </w:p>
    <w:p w14:paraId="4E10A8AF" w14:textId="77777777" w:rsidR="00C462AD" w:rsidRDefault="00C462AD" w:rsidP="002107BE"/>
    <w:p w14:paraId="044D08B9" w14:textId="49D00170" w:rsidR="009B4C69" w:rsidRPr="004D549F" w:rsidRDefault="004D549F" w:rsidP="009B4C69">
      <w:pPr>
        <w:pStyle w:val="ListParagraph"/>
        <w:numPr>
          <w:ilvl w:val="0"/>
          <w:numId w:val="14"/>
        </w:numPr>
        <w:rPr>
          <w:b/>
          <w:bCs/>
        </w:rPr>
      </w:pPr>
      <w:r w:rsidRPr="004D549F">
        <w:rPr>
          <w:b/>
          <w:bCs/>
        </w:rPr>
        <w:t>General c</w:t>
      </w:r>
      <w:r>
        <w:rPr>
          <w:b/>
          <w:bCs/>
        </w:rPr>
        <w:t>omments</w:t>
      </w:r>
    </w:p>
    <w:p w14:paraId="26195BF9" w14:textId="77777777" w:rsidR="00A832FA" w:rsidRDefault="00A832FA" w:rsidP="001B1B73">
      <w:pPr>
        <w:pStyle w:val="ListParagraph"/>
        <w:ind w:left="0"/>
      </w:pPr>
    </w:p>
    <w:p w14:paraId="372C7B8B" w14:textId="004ED59F" w:rsidR="002969AA" w:rsidRDefault="002F5793" w:rsidP="001B1B73">
      <w:pPr>
        <w:pStyle w:val="ListParagraph"/>
        <w:ind w:left="0"/>
        <w:contextualSpacing w:val="0"/>
      </w:pPr>
      <w:r>
        <w:t xml:space="preserve">In general terms, </w:t>
      </w:r>
      <w:r w:rsidR="00417489">
        <w:t xml:space="preserve">the </w:t>
      </w:r>
      <w:r>
        <w:t xml:space="preserve">AbSec experience of processes and partnerships </w:t>
      </w:r>
      <w:r w:rsidR="00E12D2B">
        <w:t xml:space="preserve">under the National Agreement align with the </w:t>
      </w:r>
      <w:r w:rsidR="00317E9C">
        <w:t xml:space="preserve">Productivity Commission’s </w:t>
      </w:r>
      <w:r w:rsidR="00E12D2B">
        <w:t xml:space="preserve">damning </w:t>
      </w:r>
      <w:r w:rsidR="001C427B">
        <w:t xml:space="preserve">summary of </w:t>
      </w:r>
      <w:r w:rsidR="0071471F">
        <w:t xml:space="preserve">the </w:t>
      </w:r>
      <w:r w:rsidR="0055010B">
        <w:t xml:space="preserve">progress </w:t>
      </w:r>
      <w:r w:rsidR="0071471F">
        <w:t xml:space="preserve">(or lack thereof) </w:t>
      </w:r>
      <w:r w:rsidR="0055010B">
        <w:t xml:space="preserve">made </w:t>
      </w:r>
      <w:r w:rsidR="0014454D">
        <w:t>on the Priority Reforms</w:t>
      </w:r>
      <w:r w:rsidR="00854BC6">
        <w:t>:</w:t>
      </w:r>
    </w:p>
    <w:p w14:paraId="0B659DCA" w14:textId="77777777" w:rsidR="00F27CCD" w:rsidRDefault="00854BC6" w:rsidP="00CD7250">
      <w:pPr>
        <w:pStyle w:val="ListParagraph"/>
        <w:numPr>
          <w:ilvl w:val="0"/>
          <w:numId w:val="15"/>
        </w:numPr>
        <w:spacing w:after="0"/>
        <w:ind w:left="714" w:hanging="357"/>
      </w:pPr>
      <w:r w:rsidRPr="00F27CCD">
        <w:rPr>
          <w:b/>
          <w:bCs/>
        </w:rPr>
        <w:t xml:space="preserve">Priority Reform 1 </w:t>
      </w:r>
      <w:r w:rsidR="00F27CCD" w:rsidRPr="00F27CCD">
        <w:rPr>
          <w:b/>
          <w:bCs/>
        </w:rPr>
        <w:t xml:space="preserve">- </w:t>
      </w:r>
      <w:r w:rsidRPr="00F27CCD">
        <w:rPr>
          <w:b/>
          <w:bCs/>
        </w:rPr>
        <w:t>Formal partnerships and shared decision making</w:t>
      </w:r>
    </w:p>
    <w:p w14:paraId="4358885D" w14:textId="6E609CA0" w:rsidR="00854BC6" w:rsidRDefault="00854BC6" w:rsidP="00CD7250">
      <w:pPr>
        <w:ind w:left="714"/>
      </w:pPr>
      <w:r w:rsidRPr="00854BC6">
        <w:t>The commitment to shared decision-making is rarely achieved in practice.</w:t>
      </w:r>
    </w:p>
    <w:p w14:paraId="7053BCC9" w14:textId="77777777" w:rsidR="00A410F0" w:rsidRDefault="001023C4" w:rsidP="00CD7250">
      <w:pPr>
        <w:pStyle w:val="ListParagraph"/>
        <w:numPr>
          <w:ilvl w:val="0"/>
          <w:numId w:val="15"/>
        </w:numPr>
        <w:spacing w:after="0"/>
        <w:ind w:left="714" w:hanging="357"/>
      </w:pPr>
      <w:r w:rsidRPr="001023C4">
        <w:rPr>
          <w:b/>
          <w:bCs/>
        </w:rPr>
        <w:t xml:space="preserve">Priority Reform 2 </w:t>
      </w:r>
      <w:r w:rsidRPr="00A410F0">
        <w:rPr>
          <w:b/>
          <w:bCs/>
        </w:rPr>
        <w:t xml:space="preserve">- </w:t>
      </w:r>
      <w:r w:rsidRPr="00854BC6">
        <w:rPr>
          <w:b/>
          <w:bCs/>
        </w:rPr>
        <w:t>Building the community-controlled sector</w:t>
      </w:r>
      <w:r w:rsidRPr="00A410F0">
        <w:rPr>
          <w:b/>
          <w:bCs/>
        </w:rPr>
        <w:t xml:space="preserve"> </w:t>
      </w:r>
    </w:p>
    <w:p w14:paraId="64ACA982" w14:textId="77777777" w:rsidR="00A410F0" w:rsidRPr="00854BC6" w:rsidRDefault="00A410F0" w:rsidP="00CD7250">
      <w:pPr>
        <w:ind w:left="714"/>
      </w:pPr>
      <w:r w:rsidRPr="00854BC6">
        <w:t>Government policy does not reflect the value of the community-controlled sector.</w:t>
      </w:r>
    </w:p>
    <w:p w14:paraId="540AC548" w14:textId="6284AB66" w:rsidR="001023C4" w:rsidRDefault="001023C4" w:rsidP="00CD7250">
      <w:pPr>
        <w:pStyle w:val="ListParagraph"/>
        <w:numPr>
          <w:ilvl w:val="0"/>
          <w:numId w:val="15"/>
        </w:numPr>
        <w:spacing w:after="0"/>
        <w:ind w:left="714" w:hanging="357"/>
      </w:pPr>
      <w:r w:rsidRPr="00F27CCD">
        <w:rPr>
          <w:b/>
          <w:bCs/>
        </w:rPr>
        <w:t xml:space="preserve">Priority Reform </w:t>
      </w:r>
      <w:r w:rsidR="00A410F0">
        <w:rPr>
          <w:b/>
          <w:bCs/>
        </w:rPr>
        <w:t>3</w:t>
      </w:r>
      <w:r w:rsidRPr="00F27CCD">
        <w:rPr>
          <w:b/>
          <w:bCs/>
        </w:rPr>
        <w:t xml:space="preserve"> </w:t>
      </w:r>
      <w:r w:rsidR="00A410F0">
        <w:rPr>
          <w:b/>
          <w:bCs/>
        </w:rPr>
        <w:t>–</w:t>
      </w:r>
      <w:r w:rsidRPr="00F27CCD">
        <w:rPr>
          <w:b/>
          <w:bCs/>
        </w:rPr>
        <w:t xml:space="preserve"> </w:t>
      </w:r>
      <w:r w:rsidR="00A410F0">
        <w:rPr>
          <w:b/>
          <w:bCs/>
        </w:rPr>
        <w:t>Transforming government organisations</w:t>
      </w:r>
    </w:p>
    <w:p w14:paraId="047FF045" w14:textId="77777777" w:rsidR="00CD7250" w:rsidRPr="00854BC6" w:rsidRDefault="00CD7250" w:rsidP="00CD7250">
      <w:pPr>
        <w:ind w:left="714"/>
      </w:pPr>
      <w:r w:rsidRPr="00854BC6">
        <w:t>The transformation of government organisations has barely begun.</w:t>
      </w:r>
    </w:p>
    <w:p w14:paraId="73BA393B" w14:textId="4752924E" w:rsidR="001023C4" w:rsidRDefault="001023C4" w:rsidP="00CD7250">
      <w:pPr>
        <w:pStyle w:val="ListParagraph"/>
        <w:numPr>
          <w:ilvl w:val="0"/>
          <w:numId w:val="15"/>
        </w:numPr>
        <w:spacing w:after="0"/>
        <w:ind w:left="714" w:hanging="357"/>
      </w:pPr>
      <w:r w:rsidRPr="00F27CCD">
        <w:rPr>
          <w:b/>
          <w:bCs/>
        </w:rPr>
        <w:t xml:space="preserve">Priority Reform </w:t>
      </w:r>
      <w:r w:rsidR="002969AA">
        <w:rPr>
          <w:b/>
          <w:bCs/>
        </w:rPr>
        <w:t>4</w:t>
      </w:r>
      <w:r w:rsidRPr="00F27CCD">
        <w:rPr>
          <w:b/>
          <w:bCs/>
        </w:rPr>
        <w:t xml:space="preserve"> </w:t>
      </w:r>
      <w:r w:rsidR="002969AA">
        <w:rPr>
          <w:b/>
          <w:bCs/>
        </w:rPr>
        <w:t>–</w:t>
      </w:r>
      <w:r w:rsidRPr="00F27CCD">
        <w:rPr>
          <w:b/>
          <w:bCs/>
        </w:rPr>
        <w:t xml:space="preserve"> </w:t>
      </w:r>
      <w:r w:rsidR="002969AA">
        <w:rPr>
          <w:b/>
          <w:bCs/>
        </w:rPr>
        <w:t>Shared access to data at a regional level</w:t>
      </w:r>
    </w:p>
    <w:p w14:paraId="52E8053D" w14:textId="77777777" w:rsidR="002969AA" w:rsidRPr="00854BC6" w:rsidRDefault="002969AA" w:rsidP="00CD7250">
      <w:pPr>
        <w:ind w:left="714"/>
      </w:pPr>
      <w:r w:rsidRPr="00854BC6">
        <w:t>Governments are not enabling Aboriginal and Torres Strait Islander-led data.</w:t>
      </w:r>
    </w:p>
    <w:p w14:paraId="0444257D" w14:textId="1B2DEACD" w:rsidR="00993351" w:rsidRDefault="00DD0EDA" w:rsidP="008B1BE6">
      <w:pPr>
        <w:pStyle w:val="ListParagraph"/>
        <w:ind w:left="0"/>
        <w:contextualSpacing w:val="0"/>
      </w:pPr>
      <w:r>
        <w:t xml:space="preserve">In </w:t>
      </w:r>
      <w:r w:rsidR="00DC5B57">
        <w:t xml:space="preserve">responding to the Information Requests for each of these four areas, we </w:t>
      </w:r>
      <w:r w:rsidR="00F713F2">
        <w:t xml:space="preserve">will diagnose key impediments </w:t>
      </w:r>
      <w:r w:rsidR="00152AFC">
        <w:t xml:space="preserve">and briefly outline some ways forward. However, </w:t>
      </w:r>
      <w:r w:rsidR="00BB6D84">
        <w:t xml:space="preserve">it is critical to focus on the lack of any meaningful </w:t>
      </w:r>
      <w:r w:rsidR="00B839AC">
        <w:t xml:space="preserve">consideration about </w:t>
      </w:r>
      <w:r w:rsidR="00190A4C">
        <w:t>applying</w:t>
      </w:r>
      <w:r w:rsidR="00B839AC">
        <w:t xml:space="preserve"> Priority Reform</w:t>
      </w:r>
      <w:r w:rsidR="00190A4C">
        <w:t>s</w:t>
      </w:r>
      <w:r w:rsidR="00B839AC">
        <w:t xml:space="preserve"> </w:t>
      </w:r>
      <w:r w:rsidR="00865776">
        <w:t>in ways that support</w:t>
      </w:r>
      <w:r w:rsidR="00190A4C">
        <w:t xml:space="preserve"> the attainment of </w:t>
      </w:r>
      <w:r w:rsidR="00627581">
        <w:t>socio-economic outcomes</w:t>
      </w:r>
      <w:r w:rsidR="00F429E4">
        <w:t xml:space="preserve"> (SEOs)</w:t>
      </w:r>
      <w:r w:rsidR="008176C7">
        <w:t xml:space="preserve">. The Priority Reforms were designed to be the platforms </w:t>
      </w:r>
      <w:r w:rsidR="00736931">
        <w:t>on which the National Agreement</w:t>
      </w:r>
      <w:r w:rsidR="00BC4187">
        <w:t xml:space="preserve"> -</w:t>
      </w:r>
      <w:r w:rsidR="00736931">
        <w:t xml:space="preserve"> and ways of working </w:t>
      </w:r>
      <w:r w:rsidR="00F429E4">
        <w:t xml:space="preserve">to </w:t>
      </w:r>
      <w:r w:rsidR="0095159B">
        <w:t xml:space="preserve">realise the </w:t>
      </w:r>
      <w:r w:rsidR="001F5CBB">
        <w:t xml:space="preserve">17 </w:t>
      </w:r>
      <w:r w:rsidR="004013F3">
        <w:t xml:space="preserve">SEOs that measure </w:t>
      </w:r>
      <w:r w:rsidR="002937AB">
        <w:t>progress on</w:t>
      </w:r>
      <w:r w:rsidR="000B4E3E">
        <w:t xml:space="preserve"> Closing the Gap</w:t>
      </w:r>
      <w:r w:rsidR="00BC4187">
        <w:t xml:space="preserve"> -</w:t>
      </w:r>
      <w:r w:rsidR="002937AB">
        <w:t xml:space="preserve"> </w:t>
      </w:r>
      <w:r w:rsidR="007333AB">
        <w:t>were</w:t>
      </w:r>
      <w:r w:rsidR="002937AB">
        <w:t xml:space="preserve"> built. In </w:t>
      </w:r>
      <w:r w:rsidR="007333AB">
        <w:t xml:space="preserve">practice, </w:t>
      </w:r>
      <w:r w:rsidR="00DD1244">
        <w:t xml:space="preserve">there </w:t>
      </w:r>
      <w:r w:rsidR="00CB2775">
        <w:t>is</w:t>
      </w:r>
      <w:r w:rsidR="00DD1244">
        <w:t xml:space="preserve"> little evidence at </w:t>
      </w:r>
      <w:r w:rsidR="00BC4187">
        <w:t xml:space="preserve">a </w:t>
      </w:r>
      <w:r w:rsidR="00DD1244">
        <w:t xml:space="preserve">whole-of-government level </w:t>
      </w:r>
      <w:r w:rsidR="00287616">
        <w:t xml:space="preserve">that Priority Reforms </w:t>
      </w:r>
      <w:r w:rsidR="00CB2775">
        <w:t xml:space="preserve">are </w:t>
      </w:r>
      <w:r w:rsidR="008417D6">
        <w:t xml:space="preserve">shifting </w:t>
      </w:r>
      <w:r w:rsidR="00D5235B">
        <w:t>the decision making and oper</w:t>
      </w:r>
      <w:r w:rsidR="001D394C">
        <w:t>ating cultures in government</w:t>
      </w:r>
      <w:r w:rsidR="006478F7">
        <w:t>. These</w:t>
      </w:r>
      <w:r w:rsidR="001D394C">
        <w:t xml:space="preserve"> remain</w:t>
      </w:r>
      <w:r w:rsidR="005C5F63">
        <w:t>,</w:t>
      </w:r>
      <w:r w:rsidR="001D394C">
        <w:t xml:space="preserve"> very much</w:t>
      </w:r>
      <w:r w:rsidR="005C5F63">
        <w:t>,</w:t>
      </w:r>
      <w:r w:rsidR="001D394C">
        <w:t xml:space="preserve"> ‘top down’. </w:t>
      </w:r>
      <w:r w:rsidR="00C27F5B">
        <w:t>The</w:t>
      </w:r>
      <w:r w:rsidR="00080381">
        <w:t xml:space="preserve">re is a failure to recognise that each Priority Reform requires </w:t>
      </w:r>
      <w:r w:rsidR="00D907BA">
        <w:t>a red</w:t>
      </w:r>
      <w:r w:rsidR="004E394B">
        <w:t xml:space="preserve">istribution of power. </w:t>
      </w:r>
      <w:r w:rsidR="00131E49">
        <w:t xml:space="preserve">Until </w:t>
      </w:r>
      <w:r w:rsidR="00131E49">
        <w:lastRenderedPageBreak/>
        <w:t>Implementation Plans flesh out how</w:t>
      </w:r>
      <w:r w:rsidR="00750AC8">
        <w:t xml:space="preserve"> changes to</w:t>
      </w:r>
      <w:r w:rsidR="00131E49">
        <w:t xml:space="preserve"> </w:t>
      </w:r>
      <w:r w:rsidR="000E1177">
        <w:t xml:space="preserve">roles and responsibilities </w:t>
      </w:r>
      <w:r w:rsidR="0009045B">
        <w:t xml:space="preserve">will be given effect, we will continue to see </w:t>
      </w:r>
      <w:r w:rsidR="00C260E4">
        <w:t xml:space="preserve">promising initiatives </w:t>
      </w:r>
      <w:r w:rsidR="006D474B">
        <w:t xml:space="preserve">drift </w:t>
      </w:r>
      <w:r w:rsidR="00400C86">
        <w:t>‘off track’</w:t>
      </w:r>
      <w:r w:rsidR="00B5675B">
        <w:t>.</w:t>
      </w:r>
    </w:p>
    <w:p w14:paraId="68B4D8F6" w14:textId="5E791B71" w:rsidR="004F300C" w:rsidRDefault="004F300C" w:rsidP="008B1BE6">
      <w:pPr>
        <w:pStyle w:val="ListParagraph"/>
        <w:ind w:left="0"/>
        <w:contextualSpacing w:val="0"/>
      </w:pPr>
      <w:r>
        <w:t xml:space="preserve">AbSec argues that </w:t>
      </w:r>
      <w:r w:rsidR="009A28F6">
        <w:t xml:space="preserve">when negotiating Implementation </w:t>
      </w:r>
      <w:r w:rsidR="00E608E5">
        <w:t xml:space="preserve">and Action Plans, </w:t>
      </w:r>
      <w:r w:rsidR="003F2708">
        <w:t>it would be valuable</w:t>
      </w:r>
      <w:r w:rsidR="0078408E">
        <w:t xml:space="preserve"> for NSW CAPO, the </w:t>
      </w:r>
      <w:r w:rsidR="00A318D6">
        <w:t>Government,</w:t>
      </w:r>
      <w:r w:rsidR="0078408E">
        <w:t xml:space="preserve"> and its </w:t>
      </w:r>
      <w:r w:rsidR="005B6E03">
        <w:t xml:space="preserve">Officer Level Working Groups to specify </w:t>
      </w:r>
      <w:r w:rsidR="009C4B5A">
        <w:t xml:space="preserve">discrete and measurable </w:t>
      </w:r>
      <w:r w:rsidR="0003209D">
        <w:t>changes in each</w:t>
      </w:r>
      <w:r w:rsidR="00332707">
        <w:t xml:space="preserve"> Priority Reform area </w:t>
      </w:r>
      <w:r w:rsidR="002156B6">
        <w:t xml:space="preserve">and stipulate </w:t>
      </w:r>
      <w:r w:rsidR="0081108E">
        <w:t>their logical links to socio-economic Targets.</w:t>
      </w:r>
    </w:p>
    <w:p w14:paraId="0E37563B" w14:textId="77777777" w:rsidR="00562005" w:rsidRDefault="00ED4F6A" w:rsidP="008B1BE6">
      <w:pPr>
        <w:pStyle w:val="ListParagraph"/>
        <w:ind w:left="0"/>
      </w:pPr>
      <w:r>
        <w:t>As a case study</w:t>
      </w:r>
      <w:r w:rsidR="00AF6EA0">
        <w:t>,</w:t>
      </w:r>
      <w:r>
        <w:t xml:space="preserve"> let’s consider </w:t>
      </w:r>
      <w:r w:rsidR="006C42A3">
        <w:t xml:space="preserve">the limited attention given to </w:t>
      </w:r>
      <w:r>
        <w:t xml:space="preserve">Priority Reform 2 </w:t>
      </w:r>
      <w:r w:rsidR="006C42A3">
        <w:t xml:space="preserve">in </w:t>
      </w:r>
      <w:r w:rsidR="00AA54F5">
        <w:t xml:space="preserve">plans to reduce </w:t>
      </w:r>
      <w:proofErr w:type="gramStart"/>
      <w:r w:rsidR="00AA54F5">
        <w:t>the  over</w:t>
      </w:r>
      <w:proofErr w:type="gramEnd"/>
      <w:r w:rsidR="00AA54F5">
        <w:t xml:space="preserve">-representation of Aboriginal children and young people in OOHC. </w:t>
      </w:r>
      <w:r w:rsidR="00932E00">
        <w:t>I</w:t>
      </w:r>
      <w:r w:rsidR="00065B85">
        <w:t>n building the community-controlled sector</w:t>
      </w:r>
      <w:r w:rsidR="001107AC">
        <w:t>,</w:t>
      </w:r>
      <w:r w:rsidR="00D50AF8">
        <w:t xml:space="preserve"> it is unclear how </w:t>
      </w:r>
      <w:r w:rsidR="00495425">
        <w:t xml:space="preserve">government </w:t>
      </w:r>
      <w:r w:rsidR="00FF5E09">
        <w:t xml:space="preserve">measures or </w:t>
      </w:r>
      <w:r w:rsidR="006C7F07">
        <w:t xml:space="preserve">is accountable </w:t>
      </w:r>
      <w:r w:rsidR="00F036C7">
        <w:t>for a greater ‘proportion of Aboriginal</w:t>
      </w:r>
      <w:r w:rsidR="00BF63F6">
        <w:t xml:space="preserve"> </w:t>
      </w:r>
      <w:r w:rsidR="00AC4695">
        <w:t xml:space="preserve">and Torres Strait Islander </w:t>
      </w:r>
      <w:r w:rsidR="00BF63F6">
        <w:t xml:space="preserve">people </w:t>
      </w:r>
      <w:r w:rsidR="00AC4695">
        <w:t xml:space="preserve">reporting </w:t>
      </w:r>
      <w:r w:rsidR="00DE3B79">
        <w:t xml:space="preserve">they are able to have a say in their community on issues that </w:t>
      </w:r>
      <w:r w:rsidR="00705C20">
        <w:t xml:space="preserve">are important to them’. </w:t>
      </w:r>
    </w:p>
    <w:p w14:paraId="52BFE0B2" w14:textId="77777777" w:rsidR="00562005" w:rsidRDefault="00562005" w:rsidP="008B1BE6">
      <w:pPr>
        <w:pStyle w:val="ListParagraph"/>
        <w:ind w:left="0"/>
      </w:pPr>
    </w:p>
    <w:p w14:paraId="3A033BBA" w14:textId="4EBE027F" w:rsidR="00254C2C" w:rsidRDefault="00562005" w:rsidP="008B1BE6">
      <w:pPr>
        <w:pStyle w:val="ListParagraph"/>
        <w:ind w:left="0"/>
      </w:pPr>
      <w:r>
        <w:t xml:space="preserve">Yet </w:t>
      </w:r>
      <w:r w:rsidR="003F5A19">
        <w:t xml:space="preserve">if we think about how </w:t>
      </w:r>
      <w:r w:rsidR="009A7877">
        <w:t>to build</w:t>
      </w:r>
      <w:r w:rsidR="0016725B">
        <w:t xml:space="preserve"> and fund</w:t>
      </w:r>
      <w:r w:rsidR="009A7877">
        <w:t xml:space="preserve"> </w:t>
      </w:r>
      <w:r w:rsidR="0016725B">
        <w:t>ACCOs t</w:t>
      </w:r>
      <w:r w:rsidR="005B0C55">
        <w:t xml:space="preserve">o design and deliver </w:t>
      </w:r>
      <w:r w:rsidR="004A674C">
        <w:t xml:space="preserve">place-based </w:t>
      </w:r>
      <w:r w:rsidR="0016725B">
        <w:t>early intervention, h</w:t>
      </w:r>
      <w:r w:rsidR="005B0C55">
        <w:t>olistic family support, family preservation and family restoration</w:t>
      </w:r>
      <w:r w:rsidR="004A674C">
        <w:t xml:space="preserve"> services then we create a line of sight to </w:t>
      </w:r>
      <w:r w:rsidR="002F5960">
        <w:t xml:space="preserve">reducing the number of Aboriginal children in OOHC. </w:t>
      </w:r>
      <w:r w:rsidR="00E84B54">
        <w:t xml:space="preserve">Simple metrics could capture whether the share of ACCO funding </w:t>
      </w:r>
      <w:r w:rsidR="00990CC4">
        <w:t>at community level reflects the share of Aboriginal children, young people and families</w:t>
      </w:r>
      <w:r w:rsidR="009A3273">
        <w:t xml:space="preserve"> participating in </w:t>
      </w:r>
      <w:r w:rsidR="00AF382C">
        <w:t>government-funded programs.</w:t>
      </w:r>
    </w:p>
    <w:p w14:paraId="46F0327B" w14:textId="77777777" w:rsidR="00554E6B" w:rsidRDefault="00554E6B" w:rsidP="008B1BE6">
      <w:pPr>
        <w:pStyle w:val="ListParagraph"/>
        <w:ind w:left="0"/>
      </w:pPr>
    </w:p>
    <w:p w14:paraId="6F02D81C" w14:textId="735D5FC8" w:rsidR="00554E6B" w:rsidRDefault="00554E6B" w:rsidP="008B1BE6">
      <w:pPr>
        <w:pStyle w:val="ListParagraph"/>
        <w:ind w:left="0"/>
      </w:pPr>
      <w:r>
        <w:t xml:space="preserve">AbSec has included a copy of </w:t>
      </w:r>
      <w:r w:rsidR="00AD315E">
        <w:t>our 2023 Family Is Culture</w:t>
      </w:r>
      <w:r w:rsidR="00BC6E73">
        <w:t xml:space="preserve"> (FIC)</w:t>
      </w:r>
      <w:r w:rsidR="00AD315E">
        <w:t xml:space="preserve"> Report Card which we </w:t>
      </w:r>
      <w:r w:rsidR="00AF0EB2">
        <w:t xml:space="preserve">produced with the Aboriginal Legal Services (ALS) NSW.ACT </w:t>
      </w:r>
      <w:r w:rsidR="002C2EFC">
        <w:t xml:space="preserve">as an Appendix to this submission. </w:t>
      </w:r>
      <w:r w:rsidR="00C82322">
        <w:t xml:space="preserve">Our monitoring and reporting framework was developed as a response to </w:t>
      </w:r>
      <w:r w:rsidR="002E79B1">
        <w:t>limited action by the NSW Government on implementing the FIC</w:t>
      </w:r>
      <w:r w:rsidR="00744780">
        <w:t xml:space="preserve"> </w:t>
      </w:r>
      <w:r w:rsidR="00BC6E73">
        <w:t>recommendations following the release of the Review Report in November 2019</w:t>
      </w:r>
      <w:r w:rsidR="007725AD">
        <w:t>.</w:t>
      </w:r>
      <w:r w:rsidR="00A268BB">
        <w:t xml:space="preserve"> For AbSec and ALS it </w:t>
      </w:r>
      <w:r w:rsidR="00AD3D99">
        <w:t>allows us to keep government accountable and documents</w:t>
      </w:r>
      <w:r w:rsidR="006F3AEC">
        <w:t xml:space="preserve"> how and why </w:t>
      </w:r>
      <w:r w:rsidR="00676FA4">
        <w:t>they have failed to make progress on both implementation processes and implementation priori</w:t>
      </w:r>
      <w:r w:rsidR="002709A1">
        <w:t>ties.</w:t>
      </w:r>
    </w:p>
    <w:p w14:paraId="0B73CAE0" w14:textId="77777777" w:rsidR="006F3AEC" w:rsidRDefault="006F3AEC" w:rsidP="008B1BE6">
      <w:pPr>
        <w:pStyle w:val="ListParagraph"/>
        <w:ind w:left="0"/>
      </w:pPr>
    </w:p>
    <w:p w14:paraId="5D723DC8" w14:textId="77777777" w:rsidR="00AF382C" w:rsidRDefault="00AF382C" w:rsidP="008B1BE6">
      <w:pPr>
        <w:pStyle w:val="ListParagraph"/>
        <w:ind w:left="0"/>
      </w:pPr>
    </w:p>
    <w:p w14:paraId="0D1F2E1D" w14:textId="6019EE13" w:rsidR="00AF382C" w:rsidRDefault="00993351" w:rsidP="00786303">
      <w:pPr>
        <w:pStyle w:val="ListParagraph"/>
        <w:numPr>
          <w:ilvl w:val="0"/>
          <w:numId w:val="16"/>
        </w:numPr>
        <w:rPr>
          <w:b/>
          <w:bCs/>
        </w:rPr>
      </w:pPr>
      <w:r>
        <w:rPr>
          <w:b/>
          <w:bCs/>
        </w:rPr>
        <w:t>Priority Reforms</w:t>
      </w:r>
    </w:p>
    <w:p w14:paraId="533B5885" w14:textId="77777777" w:rsidR="00C94FF1" w:rsidRDefault="00C94FF1" w:rsidP="00C94FF1">
      <w:pPr>
        <w:pStyle w:val="ListParagraph"/>
        <w:ind w:left="360"/>
        <w:rPr>
          <w:b/>
          <w:bCs/>
        </w:rPr>
      </w:pPr>
    </w:p>
    <w:p w14:paraId="119CA0B1" w14:textId="397A4100" w:rsidR="0081108E" w:rsidRDefault="00A24DF5" w:rsidP="00082A60">
      <w:pPr>
        <w:pStyle w:val="ListParagraph"/>
        <w:numPr>
          <w:ilvl w:val="1"/>
          <w:numId w:val="16"/>
        </w:numPr>
        <w:rPr>
          <w:b/>
          <w:bCs/>
        </w:rPr>
      </w:pPr>
      <w:r w:rsidRPr="00082A60">
        <w:rPr>
          <w:b/>
          <w:bCs/>
        </w:rPr>
        <w:t>Information Request 1: Effectiveness of Policy Partnerships</w:t>
      </w:r>
    </w:p>
    <w:p w14:paraId="2D4CBFFC" w14:textId="77777777" w:rsidR="0012571B" w:rsidRDefault="0012571B" w:rsidP="0016620D">
      <w:pPr>
        <w:pStyle w:val="ListParagraph"/>
        <w:ind w:left="0"/>
      </w:pPr>
    </w:p>
    <w:p w14:paraId="1E21B9F5" w14:textId="31BFB7FE" w:rsidR="004104B8" w:rsidRDefault="0012571B" w:rsidP="0016620D">
      <w:pPr>
        <w:pStyle w:val="ListParagraph"/>
        <w:ind w:left="0"/>
      </w:pPr>
      <w:r>
        <w:t>NSW CAPO</w:t>
      </w:r>
      <w:r w:rsidR="00A37E69">
        <w:t xml:space="preserve"> </w:t>
      </w:r>
      <w:r w:rsidR="008F0362">
        <w:t>has not formalised any Policy Partnerships with the NSW Government.</w:t>
      </w:r>
      <w:r w:rsidR="00463523">
        <w:t xml:space="preserve"> For AbSec </w:t>
      </w:r>
      <w:r w:rsidR="00263BF5">
        <w:t xml:space="preserve">we offer some observations </w:t>
      </w:r>
      <w:r w:rsidR="0020686A">
        <w:t xml:space="preserve">on recent efforts to work in </w:t>
      </w:r>
      <w:r w:rsidR="00D43D2A">
        <w:t>partnership with the new Minister</w:t>
      </w:r>
      <w:r w:rsidR="000137BD">
        <w:t xml:space="preserve"> for Families and C</w:t>
      </w:r>
      <w:r w:rsidR="00AF1A1D">
        <w:t>ommunities</w:t>
      </w:r>
      <w:r w:rsidR="00D43D2A">
        <w:t xml:space="preserve"> and her Department (DCJ) </w:t>
      </w:r>
      <w:r w:rsidR="001E5503">
        <w:t>to reform the child protection and care system for Aboriginal children and families.</w:t>
      </w:r>
    </w:p>
    <w:p w14:paraId="505C78E5" w14:textId="77777777" w:rsidR="0012571B" w:rsidRDefault="0012571B" w:rsidP="0016620D">
      <w:pPr>
        <w:pStyle w:val="ListParagraph"/>
        <w:ind w:left="0"/>
      </w:pPr>
    </w:p>
    <w:p w14:paraId="262FAEA8" w14:textId="77777777" w:rsidR="0084569E" w:rsidRPr="0084569E" w:rsidRDefault="00C33F60" w:rsidP="0084569E">
      <w:pPr>
        <w:pStyle w:val="ListParagraph"/>
        <w:ind w:left="0"/>
        <w:rPr>
          <w:i/>
          <w:iCs/>
        </w:rPr>
      </w:pPr>
      <w:r>
        <w:t>In August 2023</w:t>
      </w:r>
      <w:r w:rsidR="00635AB6">
        <w:t xml:space="preserve">, Minister Washington hosted a </w:t>
      </w:r>
      <w:proofErr w:type="gramStart"/>
      <w:r w:rsidR="00635AB6">
        <w:t>2 day</w:t>
      </w:r>
      <w:proofErr w:type="gramEnd"/>
      <w:r w:rsidR="00635AB6">
        <w:t xml:space="preserve"> forum to</w:t>
      </w:r>
      <w:r w:rsidR="0084569E">
        <w:t xml:space="preserve"> </w:t>
      </w:r>
      <w:r w:rsidR="0084569E" w:rsidRPr="0084569E">
        <w:rPr>
          <w:i/>
          <w:iCs/>
        </w:rPr>
        <w:t>develop a strong roadmap for reform to reduce the number of Aboriginal children in care, focus on the wellbeing of Aboriginal families and their children, and put Aboriginal families in control of their future.</w:t>
      </w:r>
    </w:p>
    <w:p w14:paraId="406170C6" w14:textId="0E4C201A" w:rsidR="00C33F60" w:rsidRDefault="00C33F60" w:rsidP="0016620D">
      <w:pPr>
        <w:pStyle w:val="ListParagraph"/>
        <w:ind w:left="0"/>
      </w:pPr>
    </w:p>
    <w:p w14:paraId="3774EEDD" w14:textId="683C7D7C" w:rsidR="0084569E" w:rsidRPr="00392F3B" w:rsidRDefault="0084569E" w:rsidP="0016620D">
      <w:pPr>
        <w:pStyle w:val="ListParagraph"/>
        <w:ind w:left="0"/>
      </w:pPr>
      <w:r>
        <w:t xml:space="preserve">The difficulty for </w:t>
      </w:r>
      <w:r w:rsidR="00C11DDE">
        <w:t>Aboriginal peaks, ACCOs</w:t>
      </w:r>
      <w:r w:rsidR="00225BB1">
        <w:t>, community leaders and researchers invited to be part of the forum</w:t>
      </w:r>
      <w:r w:rsidR="00CE2813">
        <w:t xml:space="preserve"> was the failure to recognise that </w:t>
      </w:r>
      <w:r w:rsidR="00392F3B">
        <w:rPr>
          <w:i/>
          <w:iCs/>
        </w:rPr>
        <w:t>Family Is Culture</w:t>
      </w:r>
      <w:r w:rsidR="00392F3B">
        <w:t xml:space="preserve"> is our roadmap and </w:t>
      </w:r>
      <w:r w:rsidR="003A4CEB">
        <w:t>we</w:t>
      </w:r>
      <w:r w:rsidR="009C6C06">
        <w:t xml:space="preserve"> are seeking the opportunity to work in shared and effective </w:t>
      </w:r>
      <w:proofErr w:type="gramStart"/>
      <w:r w:rsidR="009C6C06">
        <w:t>decision making</w:t>
      </w:r>
      <w:proofErr w:type="gramEnd"/>
      <w:r w:rsidR="009C6C06">
        <w:t xml:space="preserve"> partnerships with government to get</w:t>
      </w:r>
      <w:r w:rsidR="000061B6">
        <w:t xml:space="preserve"> (after nearly 4 years of waiting) its recommendations fully implemented.</w:t>
      </w:r>
    </w:p>
    <w:p w14:paraId="11521C54" w14:textId="541B2B08" w:rsidR="003F6563" w:rsidRDefault="000613AC" w:rsidP="00603D8A">
      <w:r>
        <w:t xml:space="preserve">Despite the stated intention of the forum to put ‘Aboriginal families in control’, AbSec and ALS were only informed two weeks prior to the forum and were presented with a fully drafted </w:t>
      </w:r>
      <w:r w:rsidR="002A07A9">
        <w:t xml:space="preserve">DCJ </w:t>
      </w:r>
      <w:r>
        <w:t>agenda</w:t>
      </w:r>
      <w:r w:rsidR="002A07A9">
        <w:t xml:space="preserve"> for comment</w:t>
      </w:r>
      <w:r w:rsidR="00174847">
        <w:t>. It was an agenda tha</w:t>
      </w:r>
      <w:r w:rsidR="00C85C06">
        <w:t>t made the wholly incorrect</w:t>
      </w:r>
      <w:r w:rsidR="00174847">
        <w:t xml:space="preserve"> assum</w:t>
      </w:r>
      <w:r w:rsidR="00C85C06">
        <w:t>ption that</w:t>
      </w:r>
      <w:r w:rsidR="00174847">
        <w:t xml:space="preserve"> a </w:t>
      </w:r>
      <w:r w:rsidR="003F6563">
        <w:t xml:space="preserve">‘roadmap for reform’ would only require tweaks to the current system. </w:t>
      </w:r>
      <w:r w:rsidR="00DD27CF">
        <w:t xml:space="preserve">We negotiated some changes to the agenda but </w:t>
      </w:r>
      <w:r w:rsidR="009C1267">
        <w:t xml:space="preserve">continue to wonder </w:t>
      </w:r>
      <w:r w:rsidR="0031021B">
        <w:t>why</w:t>
      </w:r>
      <w:r w:rsidR="00990991">
        <w:t xml:space="preserve"> </w:t>
      </w:r>
      <w:r w:rsidR="0031021B">
        <w:t>-</w:t>
      </w:r>
      <w:r w:rsidR="00990991">
        <w:t xml:space="preserve"> given </w:t>
      </w:r>
      <w:r w:rsidR="00376F8E">
        <w:t xml:space="preserve">the commitment to shared decision making implicit in Priority Reform 1 </w:t>
      </w:r>
      <w:r w:rsidR="00A36B0E">
        <w:t>–</w:t>
      </w:r>
      <w:r w:rsidR="00376F8E">
        <w:t xml:space="preserve"> </w:t>
      </w:r>
      <w:r w:rsidR="006E320A">
        <w:t>DCJ</w:t>
      </w:r>
      <w:r w:rsidR="00A36B0E">
        <w:t xml:space="preserve"> seems incapable of asking </w:t>
      </w:r>
      <w:r w:rsidR="00453BA9">
        <w:t xml:space="preserve">Aboriginal peak </w:t>
      </w:r>
      <w:r w:rsidR="00FB3928">
        <w:t xml:space="preserve">and community </w:t>
      </w:r>
      <w:r w:rsidR="00453BA9">
        <w:t>organisations</w:t>
      </w:r>
      <w:r w:rsidR="0022716A">
        <w:t xml:space="preserve"> about our priorities, </w:t>
      </w:r>
      <w:r w:rsidR="00A318D6">
        <w:t>ideas,</w:t>
      </w:r>
      <w:r w:rsidR="0022716A">
        <w:t xml:space="preserve"> and ways to </w:t>
      </w:r>
      <w:r w:rsidR="000A6EFB">
        <w:t>open up robust and useful policy dialogues</w:t>
      </w:r>
      <w:r w:rsidR="00612B71">
        <w:t>?</w:t>
      </w:r>
    </w:p>
    <w:p w14:paraId="6F345782" w14:textId="77777777" w:rsidR="00C227CD" w:rsidRDefault="00612B71" w:rsidP="00603D8A">
      <w:r>
        <w:t xml:space="preserve">At the conclusion of the Forum the Minister made a commitment to establish a </w:t>
      </w:r>
      <w:r w:rsidR="005C761F">
        <w:t xml:space="preserve">Ministerial Aboriginal Partnership Group (MAP Group) </w:t>
      </w:r>
      <w:r w:rsidR="005746A9">
        <w:t>to oversee the comprehensive reform and governance of the child protection system in NSW.</w:t>
      </w:r>
      <w:r w:rsidR="00CF0248">
        <w:t xml:space="preserve"> For AbSec and ALS </w:t>
      </w:r>
      <w:r w:rsidR="00F724EA">
        <w:t>the essence of our</w:t>
      </w:r>
      <w:r w:rsidR="00CF0248">
        <w:t xml:space="preserve"> response and feedback was </w:t>
      </w:r>
      <w:r w:rsidR="00980F87">
        <w:t xml:space="preserve">the need to determine how the MAP Group would </w:t>
      </w:r>
      <w:r w:rsidR="00CB0E8E">
        <w:t xml:space="preserve">be accountable to Closing the Gap structures and </w:t>
      </w:r>
      <w:r w:rsidR="00A24030">
        <w:t xml:space="preserve">to NSW CAPO. That will be </w:t>
      </w:r>
      <w:r w:rsidR="00B35443">
        <w:t xml:space="preserve">a first task of the Group when appointed. </w:t>
      </w:r>
    </w:p>
    <w:p w14:paraId="1037F59D" w14:textId="29D1C30B" w:rsidR="000613AC" w:rsidRDefault="00B35443" w:rsidP="00603D8A">
      <w:r>
        <w:t xml:space="preserve">It was positive to see the Minister responding to </w:t>
      </w:r>
      <w:r w:rsidR="00A56F95">
        <w:t xml:space="preserve">Forum </w:t>
      </w:r>
      <w:r>
        <w:t xml:space="preserve">Survey feedback on the need </w:t>
      </w:r>
      <w:r w:rsidR="00A56F95">
        <w:t xml:space="preserve">for </w:t>
      </w:r>
      <w:r w:rsidR="004D7C6F">
        <w:t xml:space="preserve">a genuine partnership </w:t>
      </w:r>
      <w:r w:rsidR="00A56F95">
        <w:t xml:space="preserve">with the MAP Group to be grounded </w:t>
      </w:r>
      <w:r w:rsidR="00B63701">
        <w:t>on</w:t>
      </w:r>
      <w:r w:rsidR="00A56F95">
        <w:t xml:space="preserve"> principles of self-determination</w:t>
      </w:r>
      <w:r w:rsidR="00B63701">
        <w:t>. SNAICC and AbSec have been given responsibility for d</w:t>
      </w:r>
      <w:r w:rsidR="0010108D">
        <w:t xml:space="preserve">esigning an EOI application and </w:t>
      </w:r>
      <w:r w:rsidR="00980767">
        <w:t xml:space="preserve">for selecting members. Then the important work of </w:t>
      </w:r>
      <w:r w:rsidR="001D6132">
        <w:t xml:space="preserve">co-designing </w:t>
      </w:r>
      <w:r w:rsidR="001A253A">
        <w:t xml:space="preserve">reform and governance structures that are responsive </w:t>
      </w:r>
      <w:r w:rsidR="006A7524">
        <w:t>and accountable to community begins.</w:t>
      </w:r>
    </w:p>
    <w:p w14:paraId="78FBD0D8" w14:textId="20ECA49D" w:rsidR="005C0387" w:rsidRDefault="005C0387" w:rsidP="00603D8A">
      <w:r>
        <w:t xml:space="preserve">The </w:t>
      </w:r>
      <w:r w:rsidR="00423F48">
        <w:t>effectiveness</w:t>
      </w:r>
      <w:r>
        <w:t xml:space="preserve"> of </w:t>
      </w:r>
      <w:r w:rsidR="00423F48">
        <w:t xml:space="preserve">any Policy Partnership </w:t>
      </w:r>
      <w:r w:rsidR="00B558BB">
        <w:t xml:space="preserve">to drive child protection reform will require </w:t>
      </w:r>
      <w:r w:rsidR="009B4D13">
        <w:t xml:space="preserve">major shifts in </w:t>
      </w:r>
      <w:r w:rsidR="007F21B0">
        <w:t>the accountability of DCJ</w:t>
      </w:r>
      <w:r w:rsidR="009F4CEA">
        <w:t xml:space="preserve"> structures that </w:t>
      </w:r>
      <w:r w:rsidR="004C475D">
        <w:t xml:space="preserve">have </w:t>
      </w:r>
      <w:r w:rsidR="009F4CEA">
        <w:t xml:space="preserve">had responsibility to drive reform including the FIC Executive Working Group </w:t>
      </w:r>
      <w:r w:rsidR="006F0525">
        <w:t xml:space="preserve">(for implementation of Family Is Culture) and the OLWG - Families </w:t>
      </w:r>
      <w:r w:rsidR="00553D47">
        <w:t xml:space="preserve">(reporting to CAPO and </w:t>
      </w:r>
      <w:r w:rsidR="00121E3D">
        <w:t>responsible for actions to realise SEO12)</w:t>
      </w:r>
      <w:r w:rsidR="00BF0665">
        <w:t xml:space="preserve">. In </w:t>
      </w:r>
      <w:r w:rsidR="00121E3D">
        <w:t>the first instance,</w:t>
      </w:r>
      <w:r w:rsidR="00BF0665">
        <w:t xml:space="preserve"> they need to</w:t>
      </w:r>
      <w:r w:rsidR="00121E3D">
        <w:t xml:space="preserve"> show up. </w:t>
      </w:r>
      <w:r w:rsidR="00B827FE">
        <w:t xml:space="preserve">The NSW Government has not released a Family is Culture Progress Report since August 2021 </w:t>
      </w:r>
      <w:r w:rsidR="00AA3390">
        <w:t xml:space="preserve">and FIC Executive Working Group meetings are frequently cancelled </w:t>
      </w:r>
      <w:r w:rsidR="00471851">
        <w:t xml:space="preserve">by DCJ </w:t>
      </w:r>
      <w:r w:rsidR="0023328D">
        <w:t>without explanation</w:t>
      </w:r>
      <w:r w:rsidR="00471851">
        <w:t xml:space="preserve">. In a period when DCJ has </w:t>
      </w:r>
      <w:r w:rsidR="00A27B8F">
        <w:t xml:space="preserve">been working </w:t>
      </w:r>
      <w:r w:rsidR="00C73E90">
        <w:t xml:space="preserve">toward proclamation of legislative amendments passed nearly a year ago, </w:t>
      </w:r>
      <w:r w:rsidR="00D81D85">
        <w:t xml:space="preserve">it </w:t>
      </w:r>
      <w:r w:rsidR="00F80078">
        <w:t>surpasses understanding</w:t>
      </w:r>
      <w:r w:rsidR="00D81D85">
        <w:t xml:space="preserve"> that </w:t>
      </w:r>
      <w:r w:rsidR="00F80078">
        <w:t>DCJ leadership</w:t>
      </w:r>
      <w:r w:rsidR="00B554EB">
        <w:t xml:space="preserve"> would let 10 months pass between m</w:t>
      </w:r>
      <w:r w:rsidR="005F0685">
        <w:t xml:space="preserve">eetings that </w:t>
      </w:r>
      <w:r w:rsidR="00E14A1C">
        <w:t xml:space="preserve">could have </w:t>
      </w:r>
      <w:r w:rsidR="005F0685">
        <w:t xml:space="preserve">provided </w:t>
      </w:r>
      <w:r w:rsidR="002D4A4D">
        <w:t xml:space="preserve">input on how best </w:t>
      </w:r>
      <w:r w:rsidR="004F7DA5">
        <w:t xml:space="preserve">to </w:t>
      </w:r>
      <w:r w:rsidR="003312F8">
        <w:t xml:space="preserve">work </w:t>
      </w:r>
      <w:r w:rsidR="002D4A4D">
        <w:t xml:space="preserve">and communicate </w:t>
      </w:r>
      <w:r w:rsidR="003312F8">
        <w:t xml:space="preserve">with ACCOs and the sector </w:t>
      </w:r>
      <w:r w:rsidR="00CC54B2">
        <w:t xml:space="preserve">to enable </w:t>
      </w:r>
      <w:r w:rsidR="006B434A">
        <w:t>meaningful change.</w:t>
      </w:r>
    </w:p>
    <w:p w14:paraId="0D050057" w14:textId="52C44ABB" w:rsidR="00603D8A" w:rsidRDefault="001900C4" w:rsidP="00603D8A">
      <w:pPr>
        <w:pStyle w:val="paragraph"/>
        <w:spacing w:before="0" w:beforeAutospacing="0" w:after="160" w:afterAutospacing="0"/>
        <w:textAlignment w:val="baseline"/>
        <w:rPr>
          <w:rStyle w:val="normaltextrun"/>
          <w:rFonts w:asciiTheme="minorHAnsi" w:hAnsiTheme="minorHAnsi" w:cstheme="minorBidi"/>
          <w:sz w:val="22"/>
          <w:szCs w:val="22"/>
        </w:rPr>
      </w:pPr>
      <w:r w:rsidRPr="4AFAE9FC">
        <w:rPr>
          <w:rStyle w:val="normaltextrun"/>
          <w:rFonts w:asciiTheme="minorHAnsi" w:hAnsiTheme="minorHAnsi" w:cstheme="minorBidi"/>
          <w:sz w:val="22"/>
          <w:szCs w:val="22"/>
        </w:rPr>
        <w:t>The Target 12 Officer Level Working Group (OLWG</w:t>
      </w:r>
      <w:r w:rsidR="006367FF">
        <w:rPr>
          <w:rStyle w:val="normaltextrun"/>
          <w:rFonts w:asciiTheme="minorHAnsi" w:hAnsiTheme="minorHAnsi" w:cstheme="minorBidi"/>
          <w:sz w:val="22"/>
          <w:szCs w:val="22"/>
        </w:rPr>
        <w:t xml:space="preserve"> - Families</w:t>
      </w:r>
      <w:r w:rsidRPr="4AFAE9FC">
        <w:rPr>
          <w:rStyle w:val="normaltextrun"/>
          <w:rFonts w:asciiTheme="minorHAnsi" w:hAnsiTheme="minorHAnsi" w:cstheme="minorBidi"/>
          <w:sz w:val="22"/>
          <w:szCs w:val="22"/>
        </w:rPr>
        <w:t>)</w:t>
      </w:r>
      <w:r w:rsidR="002461F8">
        <w:rPr>
          <w:rStyle w:val="normaltextrun"/>
          <w:rFonts w:asciiTheme="minorHAnsi" w:hAnsiTheme="minorHAnsi" w:cstheme="minorBidi"/>
          <w:sz w:val="22"/>
          <w:szCs w:val="22"/>
        </w:rPr>
        <w:t xml:space="preserve"> needs to be </w:t>
      </w:r>
      <w:r w:rsidR="0058294E">
        <w:rPr>
          <w:rStyle w:val="normaltextrun"/>
          <w:rFonts w:asciiTheme="minorHAnsi" w:hAnsiTheme="minorHAnsi" w:cstheme="minorBidi"/>
          <w:sz w:val="22"/>
          <w:szCs w:val="22"/>
        </w:rPr>
        <w:t xml:space="preserve">reconfigured and then revived. Beginning in </w:t>
      </w:r>
      <w:r w:rsidRPr="4AFAE9FC">
        <w:rPr>
          <w:rStyle w:val="normaltextrun"/>
          <w:rFonts w:asciiTheme="minorHAnsi" w:hAnsiTheme="minorHAnsi" w:cstheme="minorBidi"/>
          <w:sz w:val="22"/>
          <w:szCs w:val="22"/>
        </w:rPr>
        <w:t>June 2021, the OLWG</w:t>
      </w:r>
      <w:r w:rsidR="001B42A9">
        <w:rPr>
          <w:rStyle w:val="normaltextrun"/>
          <w:rFonts w:asciiTheme="minorHAnsi" w:hAnsiTheme="minorHAnsi" w:cstheme="minorBidi"/>
          <w:sz w:val="22"/>
          <w:szCs w:val="22"/>
        </w:rPr>
        <w:t xml:space="preserve"> - Families met monthly to </w:t>
      </w:r>
      <w:r w:rsidR="00CB4CF3">
        <w:rPr>
          <w:rStyle w:val="normaltextrun"/>
          <w:rFonts w:asciiTheme="minorHAnsi" w:hAnsiTheme="minorHAnsi" w:cstheme="minorBidi"/>
          <w:sz w:val="22"/>
          <w:szCs w:val="22"/>
        </w:rPr>
        <w:t>undertake joint work (including with AbSec, ACCO and community representatives</w:t>
      </w:r>
      <w:r w:rsidR="00F64252">
        <w:rPr>
          <w:rStyle w:val="normaltextrun"/>
          <w:rFonts w:asciiTheme="minorHAnsi" w:hAnsiTheme="minorHAnsi" w:cstheme="minorBidi"/>
          <w:sz w:val="22"/>
          <w:szCs w:val="22"/>
        </w:rPr>
        <w:t>) to drive reductions in the number of Aboriginal children in care</w:t>
      </w:r>
      <w:r w:rsidR="0038005B">
        <w:rPr>
          <w:rStyle w:val="normaltextrun"/>
          <w:rFonts w:asciiTheme="minorHAnsi" w:hAnsiTheme="minorHAnsi" w:cstheme="minorBidi"/>
          <w:sz w:val="22"/>
          <w:szCs w:val="22"/>
        </w:rPr>
        <w:t xml:space="preserve">. It quickly became clear that </w:t>
      </w:r>
      <w:r w:rsidRPr="4AFAE9FC">
        <w:rPr>
          <w:rStyle w:val="normaltextrun"/>
          <w:rFonts w:asciiTheme="minorHAnsi" w:hAnsiTheme="minorHAnsi" w:cstheme="minorBidi"/>
          <w:sz w:val="22"/>
          <w:szCs w:val="22"/>
        </w:rPr>
        <w:t xml:space="preserve">the membership </w:t>
      </w:r>
      <w:r w:rsidR="00694199">
        <w:rPr>
          <w:rStyle w:val="normaltextrun"/>
          <w:rFonts w:asciiTheme="minorHAnsi" w:hAnsiTheme="minorHAnsi" w:cstheme="minorBidi"/>
          <w:sz w:val="22"/>
          <w:szCs w:val="22"/>
        </w:rPr>
        <w:t xml:space="preserve">(across government departments) </w:t>
      </w:r>
      <w:r w:rsidRPr="4AFAE9FC">
        <w:rPr>
          <w:rStyle w:val="normaltextrun"/>
          <w:rFonts w:asciiTheme="minorHAnsi" w:hAnsiTheme="minorHAnsi" w:cstheme="minorBidi"/>
          <w:sz w:val="22"/>
          <w:szCs w:val="22"/>
        </w:rPr>
        <w:t xml:space="preserve">became too broad </w:t>
      </w:r>
      <w:r w:rsidR="00694199">
        <w:rPr>
          <w:rStyle w:val="normaltextrun"/>
          <w:rFonts w:asciiTheme="minorHAnsi" w:hAnsiTheme="minorHAnsi" w:cstheme="minorBidi"/>
          <w:sz w:val="22"/>
          <w:szCs w:val="22"/>
        </w:rPr>
        <w:t>and the formal bureaucratic</w:t>
      </w:r>
      <w:r w:rsidR="000C0571">
        <w:rPr>
          <w:rStyle w:val="normaltextrun"/>
          <w:rFonts w:asciiTheme="minorHAnsi" w:hAnsiTheme="minorHAnsi" w:cstheme="minorBidi"/>
          <w:sz w:val="22"/>
          <w:szCs w:val="22"/>
        </w:rPr>
        <w:t xml:space="preserve"> environment </w:t>
      </w:r>
      <w:r w:rsidRPr="4AFAE9FC">
        <w:rPr>
          <w:rStyle w:val="normaltextrun"/>
          <w:rFonts w:asciiTheme="minorHAnsi" w:hAnsiTheme="minorHAnsi" w:cstheme="minorBidi"/>
          <w:sz w:val="22"/>
          <w:szCs w:val="22"/>
        </w:rPr>
        <w:t xml:space="preserve">compromised meaningful discussions. The meetings largely focused on planning and processes rather than outcomes and progress. </w:t>
      </w:r>
    </w:p>
    <w:p w14:paraId="2BA832F7" w14:textId="6F676F94" w:rsidR="00B827FE" w:rsidRPr="00B827FE" w:rsidRDefault="001900C4" w:rsidP="00603D8A">
      <w:pPr>
        <w:pStyle w:val="paragraph"/>
        <w:spacing w:before="0" w:beforeAutospacing="0" w:after="160" w:afterAutospacing="0"/>
        <w:textAlignment w:val="baseline"/>
        <w:rPr>
          <w:rFonts w:asciiTheme="minorHAnsi" w:hAnsiTheme="minorHAnsi" w:cstheme="minorBidi"/>
          <w:sz w:val="22"/>
          <w:szCs w:val="22"/>
        </w:rPr>
      </w:pPr>
      <w:r w:rsidRPr="4AFAE9FC">
        <w:rPr>
          <w:rStyle w:val="normaltextrun"/>
          <w:rFonts w:asciiTheme="minorHAnsi" w:hAnsiTheme="minorHAnsi" w:cstheme="minorBidi"/>
          <w:sz w:val="22"/>
          <w:szCs w:val="22"/>
        </w:rPr>
        <w:t xml:space="preserve">Compounding these barriers to meaningful partnership was </w:t>
      </w:r>
      <w:r w:rsidR="000845BE">
        <w:rPr>
          <w:rStyle w:val="normaltextrun"/>
          <w:rFonts w:asciiTheme="minorHAnsi" w:hAnsiTheme="minorHAnsi" w:cstheme="minorBidi"/>
          <w:sz w:val="22"/>
          <w:szCs w:val="22"/>
        </w:rPr>
        <w:t xml:space="preserve">a </w:t>
      </w:r>
      <w:r w:rsidRPr="4AFAE9FC">
        <w:rPr>
          <w:rStyle w:val="normaltextrun"/>
          <w:rFonts w:asciiTheme="minorHAnsi" w:hAnsiTheme="minorHAnsi" w:cstheme="minorBidi"/>
          <w:sz w:val="22"/>
          <w:szCs w:val="22"/>
        </w:rPr>
        <w:t>lack of specific data sharing processes and reporting systems from both government and DCJ as well as a lack of agreed-upon accountability mechanisms for lack of or delayed implementation of actions</w:t>
      </w:r>
      <w:r w:rsidR="00302BD1">
        <w:rPr>
          <w:rStyle w:val="normaltextrun"/>
          <w:rFonts w:asciiTheme="minorHAnsi" w:hAnsiTheme="minorHAnsi" w:cstheme="minorBidi"/>
          <w:sz w:val="22"/>
          <w:szCs w:val="22"/>
        </w:rPr>
        <w:t xml:space="preserve">. While disruptions to OLWG processes </w:t>
      </w:r>
      <w:r w:rsidR="0052081B">
        <w:rPr>
          <w:rStyle w:val="normaltextrun"/>
          <w:rFonts w:asciiTheme="minorHAnsi" w:hAnsiTheme="minorHAnsi" w:cstheme="minorBidi"/>
          <w:sz w:val="22"/>
          <w:szCs w:val="22"/>
        </w:rPr>
        <w:t xml:space="preserve">during the state election campaign and </w:t>
      </w:r>
      <w:r w:rsidR="005948B6">
        <w:rPr>
          <w:rStyle w:val="normaltextrun"/>
          <w:rFonts w:asciiTheme="minorHAnsi" w:hAnsiTheme="minorHAnsi" w:cstheme="minorBidi"/>
          <w:sz w:val="22"/>
          <w:szCs w:val="22"/>
        </w:rPr>
        <w:t xml:space="preserve">in the transition to the new </w:t>
      </w:r>
      <w:r w:rsidR="00AD6DF9">
        <w:rPr>
          <w:rStyle w:val="normaltextrun"/>
          <w:rFonts w:asciiTheme="minorHAnsi" w:hAnsiTheme="minorHAnsi" w:cstheme="minorBidi"/>
          <w:sz w:val="22"/>
          <w:szCs w:val="22"/>
        </w:rPr>
        <w:t xml:space="preserve">government were expected and understandable, </w:t>
      </w:r>
      <w:r w:rsidR="000143C5">
        <w:rPr>
          <w:rStyle w:val="normaltextrun"/>
          <w:rFonts w:asciiTheme="minorHAnsi" w:hAnsiTheme="minorHAnsi" w:cstheme="minorBidi"/>
          <w:sz w:val="22"/>
          <w:szCs w:val="22"/>
        </w:rPr>
        <w:t xml:space="preserve">the </w:t>
      </w:r>
      <w:r w:rsidRPr="00C32312">
        <w:rPr>
          <w:rStyle w:val="eop"/>
          <w:rFonts w:asciiTheme="minorHAnsi" w:hAnsiTheme="minorHAnsi" w:cstheme="minorHAnsi"/>
          <w:sz w:val="22"/>
          <w:szCs w:val="22"/>
        </w:rPr>
        <w:t>OLWG</w:t>
      </w:r>
      <w:r w:rsidR="003B3AF7">
        <w:rPr>
          <w:rStyle w:val="eop"/>
          <w:rFonts w:asciiTheme="minorHAnsi" w:hAnsiTheme="minorHAnsi" w:cstheme="minorHAnsi"/>
          <w:sz w:val="22"/>
          <w:szCs w:val="22"/>
        </w:rPr>
        <w:t xml:space="preserve"> - Families</w:t>
      </w:r>
      <w:r w:rsidRPr="00C32312">
        <w:rPr>
          <w:rStyle w:val="eop"/>
          <w:rFonts w:asciiTheme="minorHAnsi" w:hAnsiTheme="minorHAnsi" w:cstheme="minorHAnsi"/>
          <w:sz w:val="22"/>
          <w:szCs w:val="22"/>
        </w:rPr>
        <w:t xml:space="preserve"> </w:t>
      </w:r>
      <w:r w:rsidRPr="00C32312">
        <w:rPr>
          <w:rStyle w:val="normaltextrun"/>
          <w:rFonts w:asciiTheme="minorHAnsi" w:hAnsiTheme="minorHAnsi" w:cstheme="minorHAnsi"/>
          <w:sz w:val="22"/>
          <w:szCs w:val="22"/>
        </w:rPr>
        <w:t xml:space="preserve">met only once in 2023. </w:t>
      </w:r>
    </w:p>
    <w:p w14:paraId="2E59E667" w14:textId="77777777" w:rsidR="000613AC" w:rsidRPr="00C94FF1" w:rsidRDefault="000613AC" w:rsidP="0016620D">
      <w:pPr>
        <w:pStyle w:val="ListParagraph"/>
        <w:ind w:left="0"/>
      </w:pPr>
    </w:p>
    <w:p w14:paraId="67F7B6AE" w14:textId="2AF9485A" w:rsidR="004104B8" w:rsidRDefault="00082A60" w:rsidP="00C94FF1">
      <w:pPr>
        <w:pStyle w:val="ListParagraph"/>
        <w:numPr>
          <w:ilvl w:val="1"/>
          <w:numId w:val="16"/>
        </w:numPr>
        <w:rPr>
          <w:b/>
          <w:bCs/>
        </w:rPr>
      </w:pPr>
      <w:r>
        <w:rPr>
          <w:b/>
          <w:bCs/>
        </w:rPr>
        <w:t>Information Request 2: Shifting service delivery to ACCOs</w:t>
      </w:r>
    </w:p>
    <w:p w14:paraId="4C924CDD" w14:textId="77777777" w:rsidR="001825E3" w:rsidRDefault="001825E3" w:rsidP="00227CC3">
      <w:pPr>
        <w:pStyle w:val="ListParagraph"/>
        <w:ind w:left="0"/>
      </w:pPr>
    </w:p>
    <w:p w14:paraId="1AE971EE" w14:textId="5BC95DD1" w:rsidR="00C94FF1" w:rsidRDefault="000E34DE" w:rsidP="00227CC3">
      <w:pPr>
        <w:pStyle w:val="ListParagraph"/>
        <w:ind w:left="0"/>
      </w:pPr>
      <w:r>
        <w:t xml:space="preserve">As discussed in Section 2, it is critical that </w:t>
      </w:r>
      <w:r w:rsidR="001825E3">
        <w:t xml:space="preserve">government </w:t>
      </w:r>
      <w:r w:rsidR="00D87058">
        <w:t xml:space="preserve">sets clear targets and timelines to increase the share of funding </w:t>
      </w:r>
      <w:r w:rsidR="00F41B69">
        <w:t xml:space="preserve">that ACCOs receive </w:t>
      </w:r>
      <w:r w:rsidR="00405B74">
        <w:t xml:space="preserve">until it achieves parity with the share of Aboriginal children, young people and families </w:t>
      </w:r>
      <w:r w:rsidR="00487022">
        <w:t xml:space="preserve">using Government funded services. Targets </w:t>
      </w:r>
      <w:r w:rsidR="00334538">
        <w:t xml:space="preserve">need to be defined at both State and community level </w:t>
      </w:r>
      <w:r w:rsidR="005A2E74">
        <w:t xml:space="preserve">and </w:t>
      </w:r>
      <w:r w:rsidR="00AD1741">
        <w:t xml:space="preserve">reporting on Closing the Gap, </w:t>
      </w:r>
      <w:r w:rsidR="00131E0C">
        <w:t xml:space="preserve">in budget papers and Indigenous Expenditure Review reports </w:t>
      </w:r>
      <w:r w:rsidR="00CA4BB0">
        <w:t>m</w:t>
      </w:r>
      <w:r w:rsidR="006D645B">
        <w:t xml:space="preserve">ust </w:t>
      </w:r>
      <w:r w:rsidR="0037138F">
        <w:t>highlight funding shifts as key measures of accountability.</w:t>
      </w:r>
    </w:p>
    <w:p w14:paraId="2AF27FFB" w14:textId="77777777" w:rsidR="0037138F" w:rsidRDefault="0037138F" w:rsidP="00227CC3">
      <w:pPr>
        <w:pStyle w:val="ListParagraph"/>
        <w:ind w:left="0"/>
      </w:pPr>
    </w:p>
    <w:p w14:paraId="08FDB2C9" w14:textId="6B56085E" w:rsidR="00A96059" w:rsidRDefault="00B1585F" w:rsidP="00A96059">
      <w:pPr>
        <w:pStyle w:val="ListParagraph"/>
        <w:ind w:left="0"/>
      </w:pPr>
      <w:r>
        <w:t xml:space="preserve">NSW Treasury </w:t>
      </w:r>
      <w:r w:rsidR="00037F65">
        <w:t xml:space="preserve">published their </w:t>
      </w:r>
      <w:r w:rsidRPr="00037F65">
        <w:rPr>
          <w:i/>
          <w:iCs/>
        </w:rPr>
        <w:t>Comprehensive Indigenous Expenditure Report 2021–22</w:t>
      </w:r>
      <w:r>
        <w:t xml:space="preserve"> </w:t>
      </w:r>
      <w:r w:rsidR="00037F65">
        <w:t xml:space="preserve">in </w:t>
      </w:r>
      <w:r>
        <w:t>September 2022</w:t>
      </w:r>
      <w:r w:rsidR="00037F65">
        <w:t>.</w:t>
      </w:r>
      <w:r w:rsidR="007E469B">
        <w:t xml:space="preserve"> </w:t>
      </w:r>
      <w:r w:rsidR="00843DA8">
        <w:t>AbSec is positive about the work NSW Treasury has done</w:t>
      </w:r>
      <w:r w:rsidR="00953102">
        <w:t xml:space="preserve"> to develop a First Nations Outcome Budgeting </w:t>
      </w:r>
      <w:r w:rsidR="008C4A14">
        <w:t>approach which it states will</w:t>
      </w:r>
      <w:r w:rsidR="002870E6">
        <w:t xml:space="preserve">: </w:t>
      </w:r>
    </w:p>
    <w:p w14:paraId="3AB53F83" w14:textId="77777777" w:rsidR="00A96059" w:rsidRDefault="00A96059" w:rsidP="00A96059">
      <w:pPr>
        <w:pStyle w:val="ListParagraph"/>
        <w:spacing w:after="0"/>
        <w:ind w:left="0"/>
      </w:pPr>
    </w:p>
    <w:p w14:paraId="5F6E70E9" w14:textId="7643669E" w:rsidR="00843DA8" w:rsidRPr="00843DA8" w:rsidRDefault="002870E6" w:rsidP="002870E6">
      <w:pPr>
        <w:pStyle w:val="ListParagraph"/>
        <w:ind w:left="360"/>
      </w:pPr>
      <w:r w:rsidRPr="00A96059">
        <w:rPr>
          <w:i/>
          <w:iCs/>
        </w:rPr>
        <w:t>…</w:t>
      </w:r>
      <w:r w:rsidR="008C4A14" w:rsidRPr="00A96059">
        <w:rPr>
          <w:i/>
          <w:iCs/>
        </w:rPr>
        <w:t xml:space="preserve">support </w:t>
      </w:r>
      <w:r w:rsidR="00843DA8" w:rsidRPr="00A96059">
        <w:rPr>
          <w:i/>
          <w:iCs/>
        </w:rPr>
        <w:t>the government to make investment decisions that are outcome focused, aligned with communities’ aspirations and well informed by regular performance updates through outcome and business planning processes</w:t>
      </w:r>
      <w:r w:rsidR="00843DA8" w:rsidRPr="00843DA8">
        <w:t>.</w:t>
      </w:r>
    </w:p>
    <w:p w14:paraId="57B269A0" w14:textId="77777777" w:rsidR="00A96059" w:rsidRDefault="00A96059" w:rsidP="00227CC3">
      <w:pPr>
        <w:pStyle w:val="ListParagraph"/>
        <w:ind w:left="0"/>
      </w:pPr>
    </w:p>
    <w:p w14:paraId="60A0E256" w14:textId="33F422E1" w:rsidR="00FB56AB" w:rsidRDefault="00B725EF" w:rsidP="00227CC3">
      <w:pPr>
        <w:pStyle w:val="ListParagraph"/>
        <w:ind w:left="0"/>
      </w:pPr>
      <w:r>
        <w:t xml:space="preserve">It had previously been stated that </w:t>
      </w:r>
      <w:r w:rsidR="00615A8F">
        <w:t xml:space="preserve">ACCOs would be able to develop budget proposals that would be considered </w:t>
      </w:r>
      <w:r w:rsidR="00F2426F">
        <w:t xml:space="preserve">for funding </w:t>
      </w:r>
      <w:r w:rsidR="00615A8F">
        <w:t xml:space="preserve">by Treasury </w:t>
      </w:r>
      <w:r w:rsidR="00F2426F">
        <w:t xml:space="preserve">as part of the annual budget cycle. </w:t>
      </w:r>
      <w:r w:rsidR="00783DF1">
        <w:t xml:space="preserve">AbSec sees the value of </w:t>
      </w:r>
      <w:r w:rsidR="00DA1DDC">
        <w:t xml:space="preserve">an outcome budgeting approach as a means by which ACCOs can have greater freedom to </w:t>
      </w:r>
      <w:r w:rsidR="002808F2">
        <w:t xml:space="preserve">use funding in a way that responds to community needs and </w:t>
      </w:r>
      <w:r w:rsidR="00494ED0">
        <w:t>serves to break</w:t>
      </w:r>
      <w:r w:rsidR="002808F2">
        <w:t xml:space="preserve"> down </w:t>
      </w:r>
      <w:r w:rsidR="00F80E9C">
        <w:t>funding silos.</w:t>
      </w:r>
      <w:r w:rsidR="008F5C65">
        <w:t xml:space="preserve"> It is also compatible with the Aboriginal Led Commissioning framework we are developing </w:t>
      </w:r>
      <w:r w:rsidR="0020125F">
        <w:t xml:space="preserve">under a Closing the Gap grant. A shift of this nature </w:t>
      </w:r>
      <w:r w:rsidR="00406CCC">
        <w:t xml:space="preserve">requires partnership work </w:t>
      </w:r>
      <w:r w:rsidR="003E6197">
        <w:t xml:space="preserve">so that outcomes chosen are meaningful for Aboriginal children, </w:t>
      </w:r>
      <w:r w:rsidR="00A318D6">
        <w:t>families,</w:t>
      </w:r>
      <w:r w:rsidR="003E6197">
        <w:t xml:space="preserve"> and communities and to build capacity </w:t>
      </w:r>
      <w:r w:rsidR="000961D3">
        <w:t>for ACCOs to manage</w:t>
      </w:r>
      <w:r w:rsidR="00992948">
        <w:t xml:space="preserve"> outcome budgeting </w:t>
      </w:r>
      <w:r w:rsidR="00FB56AB">
        <w:t xml:space="preserve">and to develop budget proposals. </w:t>
      </w:r>
    </w:p>
    <w:p w14:paraId="0B0476E3" w14:textId="77777777" w:rsidR="00FB56AB" w:rsidRDefault="00FB56AB" w:rsidP="00227CC3">
      <w:pPr>
        <w:pStyle w:val="ListParagraph"/>
        <w:ind w:left="0"/>
      </w:pPr>
    </w:p>
    <w:p w14:paraId="2F93F4A2" w14:textId="66C3345B" w:rsidR="00227CC3" w:rsidRDefault="00645A22" w:rsidP="00227CC3">
      <w:pPr>
        <w:pStyle w:val="ListParagraph"/>
        <w:ind w:left="0"/>
        <w:rPr>
          <w:rFonts w:ascii="Calibri" w:eastAsia="MS Mincho" w:hAnsi="Calibri" w:cs="Calibri"/>
          <w:szCs w:val="24"/>
        </w:rPr>
      </w:pPr>
      <w:r>
        <w:t xml:space="preserve">A damning independent evaluation of the </w:t>
      </w:r>
      <w:r w:rsidR="000038F1">
        <w:t xml:space="preserve">NSW Permanency Support Program (PSP) </w:t>
      </w:r>
      <w:r w:rsidR="00F370CE">
        <w:t>-</w:t>
      </w:r>
      <w:r w:rsidR="00772B43">
        <w:t xml:space="preserve"> that is at the centre of the NSW </w:t>
      </w:r>
      <w:r w:rsidR="004E16C2">
        <w:t>child protection and care system -</w:t>
      </w:r>
      <w:r w:rsidR="00CD0705">
        <w:t xml:space="preserve"> </w:t>
      </w:r>
      <w:r w:rsidR="004E16C2">
        <w:rPr>
          <w:rFonts w:ascii="Calibri" w:eastAsia="MS Mincho" w:hAnsi="Calibri" w:cs="Calibri"/>
          <w:lang w:val="en-GB"/>
        </w:rPr>
        <w:t>has</w:t>
      </w:r>
      <w:r w:rsidR="0002316F" w:rsidRPr="0002316F">
        <w:rPr>
          <w:rFonts w:ascii="Calibri" w:eastAsia="MS Mincho" w:hAnsi="Calibri" w:cs="Calibri"/>
          <w:lang w:val="en-GB"/>
        </w:rPr>
        <w:t xml:space="preserve"> recommend</w:t>
      </w:r>
      <w:r w:rsidR="004E16C2">
        <w:rPr>
          <w:rFonts w:ascii="Calibri" w:eastAsia="MS Mincho" w:hAnsi="Calibri" w:cs="Calibri"/>
          <w:lang w:val="en-GB"/>
        </w:rPr>
        <w:t>ed</w:t>
      </w:r>
      <w:r w:rsidR="0002316F" w:rsidRPr="0002316F">
        <w:rPr>
          <w:rFonts w:ascii="Calibri" w:eastAsia="MS Mincho" w:hAnsi="Calibri" w:cs="Calibri"/>
          <w:lang w:val="en-GB"/>
        </w:rPr>
        <w:t xml:space="preserve"> a complete redesign of the system so it can ensure safety, wellbeing and effective care and protection for Aboriginal children and families. </w:t>
      </w:r>
      <w:r w:rsidR="00B723F4">
        <w:rPr>
          <w:rFonts w:ascii="Calibri" w:eastAsia="MS Mincho" w:hAnsi="Calibri" w:cs="Calibri"/>
          <w:lang w:val="en-GB"/>
        </w:rPr>
        <w:t xml:space="preserve">AbSec and its members </w:t>
      </w:r>
      <w:r w:rsidR="004E20FC">
        <w:rPr>
          <w:rFonts w:ascii="Calibri" w:eastAsia="MS Mincho" w:hAnsi="Calibri" w:cs="Calibri"/>
          <w:lang w:val="en-GB"/>
        </w:rPr>
        <w:t>welcome the importance the evaluation attaches to</w:t>
      </w:r>
      <w:r w:rsidR="00A40DF1">
        <w:t xml:space="preserve"> shifting</w:t>
      </w:r>
      <w:r w:rsidR="009A65B3" w:rsidRPr="009A65B3">
        <w:t xml:space="preserve"> </w:t>
      </w:r>
      <w:r w:rsidR="009A65B3" w:rsidRPr="009A65B3">
        <w:rPr>
          <w:rFonts w:ascii="Calibri" w:eastAsia="MS Mincho" w:hAnsi="Calibri" w:cs="Calibri"/>
          <w:szCs w:val="24"/>
        </w:rPr>
        <w:t xml:space="preserve">service system </w:t>
      </w:r>
      <w:proofErr w:type="gramStart"/>
      <w:r w:rsidR="009A65B3" w:rsidRPr="009A65B3">
        <w:rPr>
          <w:rFonts w:ascii="Calibri" w:eastAsia="MS Mincho" w:hAnsi="Calibri" w:cs="Calibri"/>
          <w:szCs w:val="24"/>
        </w:rPr>
        <w:t>resourcing</w:t>
      </w:r>
      <w:proofErr w:type="gramEnd"/>
      <w:r w:rsidR="00795445">
        <w:rPr>
          <w:rFonts w:ascii="Calibri" w:eastAsia="MS Mincho" w:hAnsi="Calibri" w:cs="Calibri"/>
          <w:szCs w:val="24"/>
        </w:rPr>
        <w:t xml:space="preserve"> which is heavily </w:t>
      </w:r>
      <w:r w:rsidR="009A65B3" w:rsidRPr="009A65B3">
        <w:rPr>
          <w:rFonts w:ascii="Calibri" w:eastAsia="MS Mincho" w:hAnsi="Calibri" w:cs="Calibri"/>
          <w:szCs w:val="24"/>
        </w:rPr>
        <w:t xml:space="preserve">weighted toward acute, intensive, and expensive </w:t>
      </w:r>
      <w:r w:rsidR="00B02813">
        <w:rPr>
          <w:rFonts w:ascii="Calibri" w:eastAsia="MS Mincho" w:hAnsi="Calibri" w:cs="Calibri"/>
          <w:szCs w:val="24"/>
        </w:rPr>
        <w:t xml:space="preserve">(OOHC) </w:t>
      </w:r>
      <w:r w:rsidR="009A65B3" w:rsidRPr="009A65B3">
        <w:rPr>
          <w:rFonts w:ascii="Calibri" w:eastAsia="MS Mincho" w:hAnsi="Calibri" w:cs="Calibri"/>
          <w:szCs w:val="24"/>
        </w:rPr>
        <w:t>services</w:t>
      </w:r>
      <w:r w:rsidR="00795445">
        <w:rPr>
          <w:rFonts w:ascii="Calibri" w:eastAsia="MS Mincho" w:hAnsi="Calibri" w:cs="Calibri"/>
          <w:szCs w:val="24"/>
        </w:rPr>
        <w:t xml:space="preserve"> to more effective </w:t>
      </w:r>
      <w:r w:rsidR="000E4B4A">
        <w:rPr>
          <w:rFonts w:ascii="Calibri" w:eastAsia="MS Mincho" w:hAnsi="Calibri" w:cs="Calibri"/>
          <w:szCs w:val="24"/>
        </w:rPr>
        <w:t xml:space="preserve">early intervention work. It also stresses the need to shift from </w:t>
      </w:r>
      <w:r w:rsidR="00ED6DD3">
        <w:rPr>
          <w:rFonts w:ascii="Calibri" w:eastAsia="MS Mincho" w:hAnsi="Calibri" w:cs="Calibri"/>
          <w:szCs w:val="24"/>
        </w:rPr>
        <w:t xml:space="preserve">reporting that focuses on administrative compliance to reporting focused on </w:t>
      </w:r>
      <w:r w:rsidR="00AA438E">
        <w:rPr>
          <w:rFonts w:ascii="Calibri" w:eastAsia="MS Mincho" w:hAnsi="Calibri" w:cs="Calibri"/>
          <w:szCs w:val="24"/>
        </w:rPr>
        <w:t>children’s wellbeing and development.</w:t>
      </w:r>
      <w:r w:rsidR="00CB4364">
        <w:rPr>
          <w:rFonts w:ascii="Calibri" w:eastAsia="MS Mincho" w:hAnsi="Calibri" w:cs="Calibri"/>
          <w:szCs w:val="24"/>
        </w:rPr>
        <w:t xml:space="preserve"> </w:t>
      </w:r>
      <w:r w:rsidR="00CA1894">
        <w:rPr>
          <w:rFonts w:ascii="Calibri" w:eastAsia="MS Mincho" w:hAnsi="Calibri" w:cs="Calibri"/>
          <w:szCs w:val="24"/>
        </w:rPr>
        <w:t xml:space="preserve">The government is </w:t>
      </w:r>
      <w:r w:rsidR="006D44D5">
        <w:rPr>
          <w:rFonts w:ascii="Calibri" w:eastAsia="MS Mincho" w:hAnsi="Calibri" w:cs="Calibri"/>
          <w:szCs w:val="24"/>
        </w:rPr>
        <w:t xml:space="preserve">yet to formally respond to the </w:t>
      </w:r>
      <w:r w:rsidR="009A4AFE">
        <w:rPr>
          <w:rFonts w:ascii="Calibri" w:eastAsia="MS Mincho" w:hAnsi="Calibri" w:cs="Calibri"/>
          <w:szCs w:val="24"/>
        </w:rPr>
        <w:t>r</w:t>
      </w:r>
      <w:r w:rsidR="00BC7C45">
        <w:rPr>
          <w:rFonts w:ascii="Calibri" w:eastAsia="MS Mincho" w:hAnsi="Calibri" w:cs="Calibri"/>
          <w:szCs w:val="24"/>
        </w:rPr>
        <w:t>ecommendations</w:t>
      </w:r>
      <w:r w:rsidR="009A4AFE">
        <w:rPr>
          <w:rFonts w:ascii="Calibri" w:eastAsia="MS Mincho" w:hAnsi="Calibri" w:cs="Calibri"/>
          <w:szCs w:val="24"/>
        </w:rPr>
        <w:t xml:space="preserve"> made in the PSP Evaluation</w:t>
      </w:r>
      <w:r w:rsidR="00BC7C45">
        <w:rPr>
          <w:rFonts w:ascii="Calibri" w:eastAsia="MS Mincho" w:hAnsi="Calibri" w:cs="Calibri"/>
          <w:szCs w:val="24"/>
        </w:rPr>
        <w:t xml:space="preserve"> bu</w:t>
      </w:r>
      <w:r w:rsidR="008140C0">
        <w:rPr>
          <w:rFonts w:ascii="Calibri" w:eastAsia="MS Mincho" w:hAnsi="Calibri" w:cs="Calibri"/>
          <w:szCs w:val="24"/>
        </w:rPr>
        <w:t xml:space="preserve">t we will be </w:t>
      </w:r>
      <w:r w:rsidR="00636796">
        <w:rPr>
          <w:rFonts w:ascii="Calibri" w:eastAsia="MS Mincho" w:hAnsi="Calibri" w:cs="Calibri"/>
          <w:szCs w:val="24"/>
        </w:rPr>
        <w:t xml:space="preserve">seeking to collaborate and co-design responses that </w:t>
      </w:r>
      <w:r w:rsidR="00B11B39">
        <w:rPr>
          <w:rFonts w:ascii="Calibri" w:eastAsia="MS Mincho" w:hAnsi="Calibri" w:cs="Calibri"/>
          <w:szCs w:val="24"/>
        </w:rPr>
        <w:t xml:space="preserve">do not simply ‘shift services to ACCOs’ but ‘shift the type of services </w:t>
      </w:r>
      <w:r w:rsidR="0093507A">
        <w:rPr>
          <w:rFonts w:ascii="Calibri" w:eastAsia="MS Mincho" w:hAnsi="Calibri" w:cs="Calibri"/>
          <w:szCs w:val="24"/>
        </w:rPr>
        <w:t>and reporting structures</w:t>
      </w:r>
      <w:r w:rsidR="00361624">
        <w:rPr>
          <w:rFonts w:ascii="Calibri" w:eastAsia="MS Mincho" w:hAnsi="Calibri" w:cs="Calibri"/>
          <w:szCs w:val="24"/>
        </w:rPr>
        <w:t xml:space="preserve"> </w:t>
      </w:r>
      <w:r w:rsidR="0093507A">
        <w:rPr>
          <w:rFonts w:ascii="Calibri" w:eastAsia="MS Mincho" w:hAnsi="Calibri" w:cs="Calibri"/>
          <w:szCs w:val="24"/>
        </w:rPr>
        <w:t xml:space="preserve">that ACCOs </w:t>
      </w:r>
      <w:r w:rsidR="002F5204">
        <w:rPr>
          <w:rFonts w:ascii="Calibri" w:eastAsia="MS Mincho" w:hAnsi="Calibri" w:cs="Calibri"/>
          <w:szCs w:val="24"/>
        </w:rPr>
        <w:t>deem will best</w:t>
      </w:r>
      <w:r w:rsidR="00D361AB">
        <w:rPr>
          <w:rFonts w:ascii="Calibri" w:eastAsia="MS Mincho" w:hAnsi="Calibri" w:cs="Calibri"/>
          <w:szCs w:val="24"/>
        </w:rPr>
        <w:t xml:space="preserve"> meet the needs of t</w:t>
      </w:r>
      <w:r w:rsidR="002F5204">
        <w:rPr>
          <w:rFonts w:ascii="Calibri" w:eastAsia="MS Mincho" w:hAnsi="Calibri" w:cs="Calibri"/>
          <w:szCs w:val="24"/>
        </w:rPr>
        <w:t xml:space="preserve">heir community’. Then we want to monitor </w:t>
      </w:r>
      <w:r w:rsidR="005543AC">
        <w:rPr>
          <w:rFonts w:ascii="Calibri" w:eastAsia="MS Mincho" w:hAnsi="Calibri" w:cs="Calibri"/>
          <w:szCs w:val="24"/>
        </w:rPr>
        <w:t>shifts</w:t>
      </w:r>
      <w:r w:rsidR="00B11B39">
        <w:rPr>
          <w:rFonts w:ascii="Calibri" w:eastAsia="MS Mincho" w:hAnsi="Calibri" w:cs="Calibri"/>
          <w:szCs w:val="24"/>
        </w:rPr>
        <w:t xml:space="preserve"> </w:t>
      </w:r>
      <w:r w:rsidR="004027A1">
        <w:rPr>
          <w:rFonts w:ascii="Calibri" w:eastAsia="MS Mincho" w:hAnsi="Calibri" w:cs="Calibri"/>
          <w:szCs w:val="24"/>
        </w:rPr>
        <w:t xml:space="preserve">in how </w:t>
      </w:r>
      <w:r w:rsidR="00577561">
        <w:rPr>
          <w:rFonts w:ascii="Calibri" w:eastAsia="MS Mincho" w:hAnsi="Calibri" w:cs="Calibri"/>
          <w:szCs w:val="24"/>
        </w:rPr>
        <w:t>funds are distributed across the continuum of care.</w:t>
      </w:r>
    </w:p>
    <w:p w14:paraId="69C68185" w14:textId="6440E108" w:rsidR="007D5B33" w:rsidRPr="00C94FF1" w:rsidRDefault="007D5B33" w:rsidP="003B2DB3">
      <w:r>
        <w:rPr>
          <w:rStyle w:val="normaltextrun"/>
        </w:rPr>
        <w:t xml:space="preserve">A Closing the Gap project </w:t>
      </w:r>
      <w:r w:rsidRPr="4AFAE9FC">
        <w:rPr>
          <w:rStyle w:val="normaltextrun"/>
        </w:rPr>
        <w:t>commenced in 2022 in</w:t>
      </w:r>
      <w:r w:rsidR="00CE3867">
        <w:rPr>
          <w:rStyle w:val="normaltextrun"/>
        </w:rPr>
        <w:t xml:space="preserve">volving a </w:t>
      </w:r>
      <w:r w:rsidRPr="4AFAE9FC">
        <w:rPr>
          <w:rStyle w:val="normaltextrun"/>
        </w:rPr>
        <w:t xml:space="preserve">partnership with AbSec and </w:t>
      </w:r>
      <w:r w:rsidR="00CE3867">
        <w:rPr>
          <w:rStyle w:val="normaltextrun"/>
        </w:rPr>
        <w:t>the Association of Child Welfar</w:t>
      </w:r>
      <w:r w:rsidR="00DF6A61">
        <w:rPr>
          <w:rStyle w:val="normaltextrun"/>
        </w:rPr>
        <w:t>e</w:t>
      </w:r>
      <w:r w:rsidR="00CE3867">
        <w:rPr>
          <w:rStyle w:val="normaltextrun"/>
        </w:rPr>
        <w:t xml:space="preserve"> Agencies (ACWA</w:t>
      </w:r>
      <w:r w:rsidR="00DF6A61">
        <w:rPr>
          <w:rStyle w:val="normaltextrun"/>
        </w:rPr>
        <w:t xml:space="preserve"> – the peak for NGO OOHC providers) committed</w:t>
      </w:r>
      <w:r w:rsidRPr="4AFAE9FC">
        <w:rPr>
          <w:rStyle w:val="normaltextrun"/>
        </w:rPr>
        <w:t xml:space="preserve"> to </w:t>
      </w:r>
      <w:r w:rsidR="00987453" w:rsidRPr="4AFAE9FC">
        <w:rPr>
          <w:rStyle w:val="normaltextrun"/>
        </w:rPr>
        <w:t>transfer</w:t>
      </w:r>
      <w:r w:rsidR="00987453">
        <w:rPr>
          <w:rStyle w:val="normaltextrun"/>
        </w:rPr>
        <w:t>ring</w:t>
      </w:r>
      <w:r w:rsidRPr="4AFAE9FC">
        <w:rPr>
          <w:rStyle w:val="normaltextrun"/>
        </w:rPr>
        <w:t xml:space="preserve"> at least 300 Aboriginal children in the care of non-Aboriginal providers (from a total of 1,561 children </w:t>
      </w:r>
      <w:r w:rsidR="00987453">
        <w:rPr>
          <w:rStyle w:val="normaltextrun"/>
        </w:rPr>
        <w:t>on</w:t>
      </w:r>
      <w:r w:rsidRPr="4AFAE9FC">
        <w:rPr>
          <w:rStyle w:val="normaltextrun"/>
        </w:rPr>
        <w:t xml:space="preserve"> 31</w:t>
      </w:r>
      <w:r w:rsidR="00DA1D44">
        <w:rPr>
          <w:rStyle w:val="normaltextrun"/>
        </w:rPr>
        <w:t xml:space="preserve"> December 2022</w:t>
      </w:r>
      <w:r w:rsidRPr="4AFAE9FC">
        <w:rPr>
          <w:rStyle w:val="normaltextrun"/>
        </w:rPr>
        <w:t xml:space="preserve">) to ACCOs per year for 3 years. However, since its inception last year, only 19 case management transfers have been undertaken due to the lack of proper scoping and resourcing to underpin success. </w:t>
      </w:r>
      <w:r w:rsidR="00CD1D06">
        <w:rPr>
          <w:rStyle w:val="normaltextrun"/>
        </w:rPr>
        <w:t xml:space="preserve">As the Productivity Commission noted in your Draft Report, </w:t>
      </w:r>
      <w:r w:rsidRPr="4AFAE9FC">
        <w:rPr>
          <w:rStyle w:val="normaltextrun"/>
        </w:rPr>
        <w:t xml:space="preserve">when services are ‘lifted and shifted from </w:t>
      </w:r>
      <w:r w:rsidR="000E5D4F">
        <w:rPr>
          <w:rStyle w:val="normaltextrun"/>
        </w:rPr>
        <w:t xml:space="preserve">the </w:t>
      </w:r>
      <w:r w:rsidRPr="4AFAE9FC">
        <w:rPr>
          <w:rStyle w:val="normaltextrun"/>
        </w:rPr>
        <w:t>non-</w:t>
      </w:r>
      <w:r w:rsidR="000E5D4F">
        <w:rPr>
          <w:rStyle w:val="normaltextrun"/>
        </w:rPr>
        <w:t>I</w:t>
      </w:r>
      <w:r w:rsidRPr="4AFAE9FC">
        <w:rPr>
          <w:rStyle w:val="normaltextrun"/>
        </w:rPr>
        <w:t>ndigenous service sector into the ACCO sector, the approach has not always enabled ACC</w:t>
      </w:r>
      <w:r w:rsidR="000E5D4F">
        <w:rPr>
          <w:rStyle w:val="normaltextrun"/>
        </w:rPr>
        <w:t>O</w:t>
      </w:r>
      <w:r w:rsidRPr="4AFAE9FC">
        <w:rPr>
          <w:rStyle w:val="normaltextrun"/>
        </w:rPr>
        <w:t>s to design services that align with community needs and culture</w:t>
      </w:r>
      <w:r w:rsidR="00102683">
        <w:rPr>
          <w:rStyle w:val="normaltextrun"/>
        </w:rPr>
        <w:t>’</w:t>
      </w:r>
      <w:r w:rsidRPr="4AFAE9FC">
        <w:rPr>
          <w:rStyle w:val="normaltextrun"/>
        </w:rPr>
        <w:t xml:space="preserve">. </w:t>
      </w:r>
      <w:r w:rsidR="00EB58E2">
        <w:rPr>
          <w:rStyle w:val="normaltextrun"/>
        </w:rPr>
        <w:t>For our project, t</w:t>
      </w:r>
      <w:r w:rsidRPr="4AFAE9FC">
        <w:rPr>
          <w:rStyle w:val="normaltextrun"/>
        </w:rPr>
        <w:t xml:space="preserve">he current models for funding of established and emerging ACCOs have created </w:t>
      </w:r>
      <w:r w:rsidR="00EB58E2">
        <w:rPr>
          <w:rStyle w:val="normaltextrun"/>
        </w:rPr>
        <w:t xml:space="preserve">both </w:t>
      </w:r>
      <w:r w:rsidRPr="4AFAE9FC">
        <w:rPr>
          <w:rStyle w:val="normaltextrun"/>
        </w:rPr>
        <w:t xml:space="preserve">delays in establishment and barriers to service delivery. </w:t>
      </w:r>
      <w:r w:rsidR="00140B33">
        <w:rPr>
          <w:rStyle w:val="normaltextrun"/>
        </w:rPr>
        <w:t>Our member</w:t>
      </w:r>
      <w:r w:rsidRPr="4AFAE9FC">
        <w:rPr>
          <w:rStyle w:val="normaltextrun"/>
        </w:rPr>
        <w:t xml:space="preserve"> ACCOs </w:t>
      </w:r>
      <w:r w:rsidR="00140B33">
        <w:rPr>
          <w:rStyle w:val="normaltextrun"/>
        </w:rPr>
        <w:t>report</w:t>
      </w:r>
      <w:r w:rsidRPr="4AFAE9FC">
        <w:rPr>
          <w:rStyle w:val="normaltextrun"/>
        </w:rPr>
        <w:t xml:space="preserve"> persistent challenges and delays due to </w:t>
      </w:r>
      <w:r>
        <w:t xml:space="preserve">long and complicated commissioning process and </w:t>
      </w:r>
      <w:r w:rsidR="00022A3B">
        <w:t xml:space="preserve">a </w:t>
      </w:r>
      <w:r>
        <w:t xml:space="preserve">lack of resources to </w:t>
      </w:r>
      <w:r w:rsidR="008E0B41">
        <w:t>enable the timely completion of these processes</w:t>
      </w:r>
      <w:r>
        <w:t xml:space="preserve">, </w:t>
      </w:r>
      <w:r w:rsidR="00022A3B">
        <w:t xml:space="preserve">and to </w:t>
      </w:r>
      <w:r>
        <w:t xml:space="preserve">develop </w:t>
      </w:r>
      <w:r w:rsidR="00022A3B">
        <w:t>requisite</w:t>
      </w:r>
      <w:r>
        <w:t xml:space="preserve"> policies and procedures.</w:t>
      </w:r>
    </w:p>
    <w:p w14:paraId="58644CF7" w14:textId="77777777" w:rsidR="00C94FF1" w:rsidRPr="00C94FF1" w:rsidRDefault="00C94FF1" w:rsidP="00C94FF1">
      <w:pPr>
        <w:pStyle w:val="ListParagraph"/>
        <w:ind w:left="360"/>
      </w:pPr>
    </w:p>
    <w:p w14:paraId="4F224D53" w14:textId="1AC8D8E5" w:rsidR="00561B97" w:rsidRPr="00561B97" w:rsidRDefault="00441B30" w:rsidP="00561B97">
      <w:pPr>
        <w:pStyle w:val="ListParagraph"/>
        <w:numPr>
          <w:ilvl w:val="1"/>
          <w:numId w:val="16"/>
        </w:numPr>
        <w:rPr>
          <w:b/>
          <w:bCs/>
        </w:rPr>
      </w:pPr>
      <w:r>
        <w:rPr>
          <w:b/>
          <w:bCs/>
        </w:rPr>
        <w:t>Information Request 3: Transformation of government organisations</w:t>
      </w:r>
    </w:p>
    <w:p w14:paraId="6E442F0C" w14:textId="77777777" w:rsidR="00561B97" w:rsidRDefault="00561B97" w:rsidP="00561B97">
      <w:pPr>
        <w:pStyle w:val="ListParagraph"/>
        <w:ind w:left="0"/>
      </w:pPr>
    </w:p>
    <w:p w14:paraId="1FB95095" w14:textId="5130D192" w:rsidR="00561B97" w:rsidRDefault="00561B97" w:rsidP="0001764D">
      <w:pPr>
        <w:pStyle w:val="ListParagraph"/>
        <w:ind w:left="0"/>
      </w:pPr>
      <w:r>
        <w:t xml:space="preserve">AbSec finds it difficult </w:t>
      </w:r>
      <w:r w:rsidR="007B227A">
        <w:t xml:space="preserve">to cite any examples of </w:t>
      </w:r>
      <w:r w:rsidR="00655DDE">
        <w:t xml:space="preserve">the </w:t>
      </w:r>
      <w:r w:rsidR="007B227A">
        <w:t xml:space="preserve">transformation of government organisations </w:t>
      </w:r>
      <w:r w:rsidR="00285B43">
        <w:t xml:space="preserve">in our areas of work. One point we want to stress is that ‘transformation’ of the type required by the National Agreement on Closing the Gap </w:t>
      </w:r>
      <w:r w:rsidR="00655DDE">
        <w:t>cannot</w:t>
      </w:r>
      <w:r w:rsidR="00285B43">
        <w:t xml:space="preserve"> occur by creating public service silos of Aboriginal staff. </w:t>
      </w:r>
      <w:r w:rsidR="00546F7C">
        <w:t xml:space="preserve">We completely support the need to </w:t>
      </w:r>
      <w:r w:rsidR="00F748A2">
        <w:t xml:space="preserve">increase the number of Aboriginal people in the </w:t>
      </w:r>
      <w:r w:rsidR="00CD1F71">
        <w:t xml:space="preserve">NSW </w:t>
      </w:r>
      <w:r w:rsidR="00F748A2">
        <w:t>public service</w:t>
      </w:r>
      <w:r w:rsidR="00CD1F71">
        <w:t xml:space="preserve"> and in leadership positions within the public service</w:t>
      </w:r>
      <w:r w:rsidR="00921C73">
        <w:t xml:space="preserve">. However, Closing the Gap requires cultural change across Departmental and Agency structures and </w:t>
      </w:r>
      <w:r w:rsidR="00274C92">
        <w:t>at a whole-of-government level.</w:t>
      </w:r>
    </w:p>
    <w:p w14:paraId="7262B256" w14:textId="77777777" w:rsidR="007B227A" w:rsidRDefault="007B227A" w:rsidP="0001764D">
      <w:pPr>
        <w:pStyle w:val="ListParagraph"/>
        <w:ind w:left="0"/>
      </w:pPr>
    </w:p>
    <w:p w14:paraId="1CAC22E7" w14:textId="34E4B904" w:rsidR="00CB0689" w:rsidRPr="00CB0689" w:rsidRDefault="00CB0689" w:rsidP="0001764D">
      <w:pPr>
        <w:pStyle w:val="ListParagraph"/>
        <w:ind w:left="0"/>
      </w:pPr>
      <w:r w:rsidRPr="00CB0689">
        <w:t>In November 2021, the NSW Government created the</w:t>
      </w:r>
      <w:r w:rsidR="00274C92">
        <w:t xml:space="preserve"> </w:t>
      </w:r>
      <w:r w:rsidRPr="00CB0689">
        <w:t xml:space="preserve">Transforming Aboriginal Outcomes (TAO) division </w:t>
      </w:r>
      <w:r w:rsidR="00AE790E">
        <w:t xml:space="preserve">within </w:t>
      </w:r>
      <w:r w:rsidRPr="00CB0689">
        <w:t>DCJ.</w:t>
      </w:r>
      <w:r w:rsidR="00AE790E">
        <w:t xml:space="preserve"> </w:t>
      </w:r>
      <w:r w:rsidRPr="00CB0689">
        <w:t xml:space="preserve">In addition to driving DCJ to meet </w:t>
      </w:r>
      <w:r w:rsidR="00AE790E">
        <w:t xml:space="preserve">Closing the Gap </w:t>
      </w:r>
      <w:r w:rsidRPr="00CB0689">
        <w:t>targets for child</w:t>
      </w:r>
      <w:r w:rsidR="00AE790E">
        <w:t xml:space="preserve"> </w:t>
      </w:r>
      <w:r w:rsidRPr="00CB0689">
        <w:t xml:space="preserve">protection, </w:t>
      </w:r>
      <w:r w:rsidR="006924E5">
        <w:t>a</w:t>
      </w:r>
      <w:r w:rsidRPr="00CB0689">
        <w:t xml:space="preserve"> key aim of TAO was to improve the</w:t>
      </w:r>
      <w:r w:rsidR="006924E5">
        <w:t xml:space="preserve"> </w:t>
      </w:r>
      <w:r w:rsidRPr="00CB0689">
        <w:t>way DCJ engages with Aboriginal communities. Although</w:t>
      </w:r>
      <w:r w:rsidR="006924E5">
        <w:t xml:space="preserve"> the </w:t>
      </w:r>
      <w:r w:rsidRPr="00CB0689">
        <w:t xml:space="preserve">creation of TAO, was initially </w:t>
      </w:r>
      <w:r w:rsidR="00E76E61">
        <w:t xml:space="preserve">viewed </w:t>
      </w:r>
      <w:r w:rsidRPr="00CB0689">
        <w:t>as a positive step, TAO still demonstrates a government-led</w:t>
      </w:r>
      <w:r w:rsidR="00E76E61">
        <w:t xml:space="preserve"> </w:t>
      </w:r>
      <w:r w:rsidRPr="00CB0689">
        <w:t xml:space="preserve">approach to consultation with community. </w:t>
      </w:r>
      <w:r w:rsidR="00485537">
        <w:t>Often</w:t>
      </w:r>
      <w:r w:rsidR="00DE42B0">
        <w:t>,</w:t>
      </w:r>
      <w:r w:rsidR="00485537">
        <w:t xml:space="preserve"> we will </w:t>
      </w:r>
      <w:r w:rsidR="00E9495B">
        <w:t xml:space="preserve">ask about consultation </w:t>
      </w:r>
      <w:r w:rsidR="00FF2343">
        <w:t xml:space="preserve">undertaken </w:t>
      </w:r>
      <w:r w:rsidR="00E9495B">
        <w:t xml:space="preserve">and realise that </w:t>
      </w:r>
      <w:r w:rsidR="00300E12">
        <w:t xml:space="preserve">consulting </w:t>
      </w:r>
      <w:r w:rsidR="0008306C">
        <w:t xml:space="preserve">Aboriginal staff in the Department </w:t>
      </w:r>
      <w:r w:rsidR="001F54CA">
        <w:t xml:space="preserve">is being used as a proxy </w:t>
      </w:r>
      <w:r w:rsidR="00DE42B0">
        <w:t xml:space="preserve">for community consultation. </w:t>
      </w:r>
      <w:r w:rsidR="007B6AF0">
        <w:t>Government speaking</w:t>
      </w:r>
      <w:r w:rsidR="0062070B">
        <w:t xml:space="preserve"> about its agenda</w:t>
      </w:r>
      <w:r w:rsidR="007B6AF0">
        <w:t xml:space="preserve"> to </w:t>
      </w:r>
      <w:r w:rsidR="00FB20A8">
        <w:t>its employees</w:t>
      </w:r>
      <w:r w:rsidR="0062070B">
        <w:t xml:space="preserve"> </w:t>
      </w:r>
      <w:r w:rsidRPr="00CB0689">
        <w:t>cannot be</w:t>
      </w:r>
      <w:r w:rsidR="0062070B">
        <w:t xml:space="preserve"> </w:t>
      </w:r>
      <w:r w:rsidRPr="00CB0689">
        <w:t>a substitute for meaningful engagement</w:t>
      </w:r>
      <w:r w:rsidR="004929E9">
        <w:t xml:space="preserve"> </w:t>
      </w:r>
      <w:r w:rsidRPr="00CB0689">
        <w:t xml:space="preserve">with Aboriginal families and communities. </w:t>
      </w:r>
    </w:p>
    <w:p w14:paraId="45DAAA25" w14:textId="77777777" w:rsidR="00A30B3A" w:rsidRDefault="00A30B3A" w:rsidP="00514552">
      <w:pPr>
        <w:pStyle w:val="ListParagraph"/>
        <w:ind w:left="0"/>
      </w:pPr>
    </w:p>
    <w:p w14:paraId="46D86A75" w14:textId="0346E92A" w:rsidR="00514552" w:rsidRPr="00514552" w:rsidRDefault="005F3D7B" w:rsidP="00514552">
      <w:pPr>
        <w:pStyle w:val="ListParagraph"/>
        <w:ind w:left="0"/>
      </w:pPr>
      <w:r>
        <w:t xml:space="preserve">When we consider transformation of government organisations we must </w:t>
      </w:r>
      <w:r w:rsidR="00B65690">
        <w:t xml:space="preserve">simultaneously consider where independent oversight of government is required. The Family Is Culture report </w:t>
      </w:r>
      <w:r w:rsidR="00514552" w:rsidRPr="00514552">
        <w:t>made a number of</w:t>
      </w:r>
      <w:r w:rsidR="00035EA5">
        <w:t xml:space="preserve"> </w:t>
      </w:r>
      <w:r w:rsidR="00514552" w:rsidRPr="00514552">
        <w:t>recommendations to strengthen accountability and oversight of the child protection system. This included establishing a new Child Protection Commission (Recommendation 9) with at least one Aboriginal Commissioner and an Aboriginal Advisory Body appointed in consultation with the Aboriginal community.  </w:t>
      </w:r>
    </w:p>
    <w:p w14:paraId="3DD3E21E" w14:textId="77777777" w:rsidR="001903D7" w:rsidRDefault="001903D7" w:rsidP="00514552">
      <w:pPr>
        <w:pStyle w:val="ListParagraph"/>
        <w:ind w:left="0"/>
      </w:pPr>
    </w:p>
    <w:p w14:paraId="7778D7FA" w14:textId="7409FA4A" w:rsidR="00514552" w:rsidRPr="00514552" w:rsidRDefault="00514552" w:rsidP="00514552">
      <w:pPr>
        <w:pStyle w:val="ListParagraph"/>
        <w:ind w:left="0"/>
      </w:pPr>
      <w:r w:rsidRPr="00514552">
        <w:t>The functions of the Commission (Recommendations 9a to 9k) that FIC recommended include handling of complaints; management of the reviewable deaths scheme; reviewing the circumstances of an individual child or group of children in OOHC with the power to apply to the Children’s Court to rescind or vary an order; and monitoring the implementation of the Aboriginal Case Management Policy.   </w:t>
      </w:r>
    </w:p>
    <w:p w14:paraId="2EF24755" w14:textId="19FA3FBB" w:rsidR="00514552" w:rsidRDefault="00514552" w:rsidP="005B58A4">
      <w:pPr>
        <w:pStyle w:val="ListParagraph"/>
        <w:ind w:left="0"/>
      </w:pPr>
      <w:r w:rsidRPr="00514552">
        <w:t xml:space="preserve">The new Labor Government has yet to make any commitment to establishing a </w:t>
      </w:r>
      <w:r w:rsidR="00F1366F" w:rsidRPr="00514552">
        <w:t>Commission,</w:t>
      </w:r>
      <w:r w:rsidR="00957A96">
        <w:t xml:space="preserve"> but AbSec is working closely with SNAICC and looking at the Aboriginal Child Commissioner models operating in all other states and territories to design </w:t>
      </w:r>
      <w:r w:rsidR="00680923">
        <w:t>a</w:t>
      </w:r>
      <w:r w:rsidR="00A6400E">
        <w:t>nd advocate for a</w:t>
      </w:r>
      <w:r w:rsidR="00680923">
        <w:t xml:space="preserve"> model that </w:t>
      </w:r>
      <w:r w:rsidR="00325F9B">
        <w:t>meets needs in NSW.</w:t>
      </w:r>
    </w:p>
    <w:p w14:paraId="71B8F465" w14:textId="77777777" w:rsidR="00514552" w:rsidRPr="004104B8" w:rsidRDefault="00514552" w:rsidP="005B58A4">
      <w:pPr>
        <w:pStyle w:val="ListParagraph"/>
        <w:ind w:left="0"/>
      </w:pPr>
    </w:p>
    <w:p w14:paraId="3A700608" w14:textId="7024192A" w:rsidR="00441B30" w:rsidRPr="00082A60" w:rsidRDefault="001F4C2D" w:rsidP="00082A60">
      <w:pPr>
        <w:pStyle w:val="ListParagraph"/>
        <w:numPr>
          <w:ilvl w:val="1"/>
          <w:numId w:val="16"/>
        </w:numPr>
        <w:rPr>
          <w:b/>
          <w:bCs/>
        </w:rPr>
      </w:pPr>
      <w:r>
        <w:rPr>
          <w:b/>
          <w:bCs/>
        </w:rPr>
        <w:t xml:space="preserve">Information </w:t>
      </w:r>
      <w:r w:rsidR="004104B8">
        <w:rPr>
          <w:b/>
          <w:bCs/>
        </w:rPr>
        <w:t xml:space="preserve">Request 4: </w:t>
      </w:r>
      <w:r>
        <w:rPr>
          <w:b/>
          <w:bCs/>
        </w:rPr>
        <w:t>Indigenous data soverei</w:t>
      </w:r>
      <w:r w:rsidR="004104B8">
        <w:rPr>
          <w:b/>
          <w:bCs/>
        </w:rPr>
        <w:t>gnty and Priority Reform 4</w:t>
      </w:r>
    </w:p>
    <w:p w14:paraId="6EB0A1F4" w14:textId="2CB61970" w:rsidR="00B923E8" w:rsidRDefault="00B923E8" w:rsidP="00B923E8">
      <w:pPr>
        <w:spacing w:after="0"/>
        <w:rPr>
          <w:rFonts w:ascii="Calibri" w:eastAsia="Calibri" w:hAnsi="Calibri" w:cs="Calibri"/>
          <w:lang w:val="en-US"/>
        </w:rPr>
      </w:pPr>
      <w:r w:rsidRPr="4AFAE9FC">
        <w:rPr>
          <w:rFonts w:ascii="Calibri" w:eastAsia="Calibri" w:hAnsi="Calibri" w:cs="Calibri"/>
          <w:lang w:val="en-US"/>
        </w:rPr>
        <w:t xml:space="preserve">Although Priority Reform 4 is foundational to the National Agreement on Closing the Gap, </w:t>
      </w:r>
      <w:r w:rsidR="0039022F">
        <w:rPr>
          <w:rFonts w:ascii="Calibri" w:eastAsia="Calibri" w:hAnsi="Calibri" w:cs="Calibri"/>
          <w:lang w:val="en-US"/>
        </w:rPr>
        <w:t xml:space="preserve">the </w:t>
      </w:r>
      <w:r w:rsidRPr="4AFAE9FC">
        <w:rPr>
          <w:rFonts w:ascii="Calibri" w:eastAsia="Calibri" w:hAnsi="Calibri" w:cs="Calibri"/>
          <w:lang w:val="en-US"/>
        </w:rPr>
        <w:t xml:space="preserve">NSW Government and DCJ </w:t>
      </w:r>
      <w:r w:rsidR="0039022F">
        <w:rPr>
          <w:rFonts w:ascii="Calibri" w:eastAsia="Calibri" w:hAnsi="Calibri" w:cs="Calibri"/>
          <w:lang w:val="en-US"/>
        </w:rPr>
        <w:t>continue to demonstrate a</w:t>
      </w:r>
      <w:r w:rsidRPr="4AFAE9FC">
        <w:rPr>
          <w:rFonts w:ascii="Calibri" w:eastAsia="Calibri" w:hAnsi="Calibri" w:cs="Calibri"/>
          <w:lang w:val="en-US"/>
        </w:rPr>
        <w:t xml:space="preserve"> lack of commitment to the transformative change needed to achieve Indigenous Data Sovereignty (IDS) </w:t>
      </w:r>
      <w:r w:rsidR="002544F8">
        <w:rPr>
          <w:rFonts w:ascii="Calibri" w:eastAsia="Calibri" w:hAnsi="Calibri" w:cs="Calibri"/>
          <w:lang w:val="en-US"/>
        </w:rPr>
        <w:t>and</w:t>
      </w:r>
      <w:r w:rsidRPr="4AFAE9FC">
        <w:rPr>
          <w:rFonts w:ascii="Calibri" w:eastAsia="Calibri" w:hAnsi="Calibri" w:cs="Calibri"/>
          <w:lang w:val="en-US"/>
        </w:rPr>
        <w:t xml:space="preserve"> Indigenous Data Governance (IDG). </w:t>
      </w:r>
    </w:p>
    <w:p w14:paraId="09421138" w14:textId="77777777" w:rsidR="00B923E8" w:rsidRDefault="00B923E8" w:rsidP="00B923E8">
      <w:pPr>
        <w:spacing w:after="0"/>
        <w:rPr>
          <w:rFonts w:ascii="Calibri" w:eastAsia="Calibri" w:hAnsi="Calibri" w:cs="Calibri"/>
          <w:lang w:val="en-US"/>
        </w:rPr>
      </w:pPr>
    </w:p>
    <w:p w14:paraId="54195FA5" w14:textId="5C210847" w:rsidR="00B923E8" w:rsidRDefault="00390B9A" w:rsidP="00B45200">
      <w:pPr>
        <w:spacing w:after="0"/>
      </w:pPr>
      <w:r>
        <w:rPr>
          <w:rFonts w:ascii="Calibri" w:eastAsia="Calibri" w:hAnsi="Calibri" w:cs="Calibri"/>
          <w:lang w:val="en-US"/>
        </w:rPr>
        <w:t>AbSec witnesses</w:t>
      </w:r>
      <w:r w:rsidR="002544F8">
        <w:rPr>
          <w:rFonts w:ascii="Calibri" w:eastAsia="Calibri" w:hAnsi="Calibri" w:cs="Calibri"/>
          <w:lang w:val="en-US"/>
        </w:rPr>
        <w:t xml:space="preserve"> a</w:t>
      </w:r>
      <w:r w:rsidR="00B923E8" w:rsidRPr="4AFAE9FC">
        <w:rPr>
          <w:rFonts w:ascii="Calibri" w:eastAsia="Calibri" w:hAnsi="Calibri" w:cs="Calibri"/>
          <w:lang w:val="en-US"/>
        </w:rPr>
        <w:t xml:space="preserve"> lack of transparency and public accountability from </w:t>
      </w:r>
      <w:r>
        <w:rPr>
          <w:rFonts w:ascii="Calibri" w:eastAsia="Calibri" w:hAnsi="Calibri" w:cs="Calibri"/>
          <w:lang w:val="en-US"/>
        </w:rPr>
        <w:t xml:space="preserve">the </w:t>
      </w:r>
      <w:r w:rsidR="001E3673">
        <w:rPr>
          <w:rFonts w:ascii="Calibri" w:eastAsia="Calibri" w:hAnsi="Calibri" w:cs="Calibri"/>
          <w:lang w:val="en-US"/>
        </w:rPr>
        <w:t xml:space="preserve">government </w:t>
      </w:r>
      <w:r w:rsidR="009F2093">
        <w:rPr>
          <w:rFonts w:ascii="Calibri" w:eastAsia="Calibri" w:hAnsi="Calibri" w:cs="Calibri"/>
          <w:lang w:val="en-US"/>
        </w:rPr>
        <w:t>including</w:t>
      </w:r>
      <w:r w:rsidR="00B923E8" w:rsidRPr="4AFAE9FC">
        <w:rPr>
          <w:rFonts w:ascii="Calibri" w:eastAsia="Calibri" w:hAnsi="Calibri" w:cs="Calibri"/>
          <w:lang w:val="en-US"/>
        </w:rPr>
        <w:t xml:space="preserve"> gatekeeping</w:t>
      </w:r>
      <w:r w:rsidR="00AB04DC">
        <w:rPr>
          <w:rFonts w:ascii="Calibri" w:eastAsia="Calibri" w:hAnsi="Calibri" w:cs="Calibri"/>
          <w:lang w:val="en-US"/>
        </w:rPr>
        <w:t xml:space="preserve"> and/or delayed reporting</w:t>
      </w:r>
      <w:r w:rsidR="002B2AAB">
        <w:rPr>
          <w:rFonts w:ascii="Calibri" w:eastAsia="Calibri" w:hAnsi="Calibri" w:cs="Calibri"/>
          <w:lang w:val="en-US"/>
        </w:rPr>
        <w:t xml:space="preserve"> on</w:t>
      </w:r>
      <w:r w:rsidR="00B923E8">
        <w:t xml:space="preserve"> core data about the rate, nature</w:t>
      </w:r>
      <w:r w:rsidR="00F775FA">
        <w:t>,</w:t>
      </w:r>
      <w:r w:rsidR="00B923E8">
        <w:t xml:space="preserve"> and journey of Aboriginal children through the child protection and OOHC system. </w:t>
      </w:r>
      <w:r w:rsidR="00B45200">
        <w:t xml:space="preserve">For AbSec </w:t>
      </w:r>
      <w:r w:rsidR="00F8685A">
        <w:t xml:space="preserve">and our members, long lags </w:t>
      </w:r>
      <w:r w:rsidR="007F3608">
        <w:t xml:space="preserve">in data being made publicly available limits how capacity to engage in both systemic and individual advocacy </w:t>
      </w:r>
      <w:r w:rsidR="00DD4802">
        <w:t>at a time when</w:t>
      </w:r>
      <w:r w:rsidR="00716342">
        <w:t xml:space="preserve"> the</w:t>
      </w:r>
      <w:r w:rsidR="00AD2CEA">
        <w:t xml:space="preserve"> care system </w:t>
      </w:r>
      <w:r w:rsidR="00AC6830">
        <w:t xml:space="preserve">is under enormous strain and </w:t>
      </w:r>
      <w:r w:rsidR="00E529AA">
        <w:t xml:space="preserve">growing numbers of our most vulnerable children are being placed </w:t>
      </w:r>
      <w:r w:rsidR="00FF6433">
        <w:t>in inappropriate emergency care settings including hotels, motels and caravan parks.</w:t>
      </w:r>
    </w:p>
    <w:p w14:paraId="6C7728C3" w14:textId="77777777" w:rsidR="00B923E8" w:rsidRDefault="00B923E8" w:rsidP="00B923E8">
      <w:pPr>
        <w:spacing w:after="0"/>
      </w:pPr>
    </w:p>
    <w:p w14:paraId="25D23EAE" w14:textId="43D7640C" w:rsidR="00BA2F37" w:rsidRDefault="006D0832" w:rsidP="00B923E8">
      <w:pPr>
        <w:spacing w:after="0"/>
        <w:rPr>
          <w:rFonts w:ascii="Calibri" w:eastAsia="Calibri" w:hAnsi="Calibri" w:cs="Calibri"/>
          <w:lang w:val="en-US"/>
        </w:rPr>
      </w:pPr>
      <w:r>
        <w:rPr>
          <w:rFonts w:ascii="Calibri" w:eastAsia="Calibri" w:hAnsi="Calibri" w:cs="Calibri"/>
          <w:lang w:val="en-US"/>
        </w:rPr>
        <w:t xml:space="preserve">Priority Reform 4 </w:t>
      </w:r>
      <w:r w:rsidR="00635D39">
        <w:rPr>
          <w:rFonts w:ascii="Calibri" w:eastAsia="Calibri" w:hAnsi="Calibri" w:cs="Calibri"/>
          <w:lang w:val="en-US"/>
        </w:rPr>
        <w:t xml:space="preserve">requires </w:t>
      </w:r>
      <w:proofErr w:type="gramStart"/>
      <w:r w:rsidR="00635D39">
        <w:rPr>
          <w:rFonts w:ascii="Calibri" w:eastAsia="Calibri" w:hAnsi="Calibri" w:cs="Calibri"/>
          <w:lang w:val="en-US"/>
        </w:rPr>
        <w:t>government</w:t>
      </w:r>
      <w:proofErr w:type="gramEnd"/>
      <w:r w:rsidR="00635D39">
        <w:rPr>
          <w:rFonts w:ascii="Calibri" w:eastAsia="Calibri" w:hAnsi="Calibri" w:cs="Calibri"/>
          <w:lang w:val="en-US"/>
        </w:rPr>
        <w:t xml:space="preserve"> to</w:t>
      </w:r>
      <w:r>
        <w:rPr>
          <w:rFonts w:ascii="Calibri" w:eastAsia="Calibri" w:hAnsi="Calibri" w:cs="Calibri"/>
          <w:lang w:val="en-US"/>
        </w:rPr>
        <w:t xml:space="preserve"> </w:t>
      </w:r>
      <w:r w:rsidR="00635D39">
        <w:rPr>
          <w:rFonts w:ascii="Calibri" w:eastAsia="Calibri" w:hAnsi="Calibri" w:cs="Calibri"/>
          <w:lang w:val="en-US"/>
        </w:rPr>
        <w:t xml:space="preserve">understand and </w:t>
      </w:r>
      <w:r w:rsidR="00B923E8">
        <w:rPr>
          <w:rFonts w:ascii="Calibri" w:eastAsia="Calibri" w:hAnsi="Calibri" w:cs="Calibri"/>
          <w:lang w:val="en-US"/>
        </w:rPr>
        <w:t>embrace the value</w:t>
      </w:r>
      <w:r w:rsidR="002428C9">
        <w:rPr>
          <w:rFonts w:ascii="Calibri" w:eastAsia="Calibri" w:hAnsi="Calibri" w:cs="Calibri"/>
          <w:lang w:val="en-US"/>
        </w:rPr>
        <w:t>s implicit in</w:t>
      </w:r>
      <w:r w:rsidR="00B923E8" w:rsidRPr="006B2483">
        <w:rPr>
          <w:rFonts w:ascii="Calibri" w:eastAsia="Calibri" w:hAnsi="Calibri" w:cs="Calibri"/>
          <w:lang w:val="en-US"/>
        </w:rPr>
        <w:t xml:space="preserve"> Aboriginal and Torres Strait Islander ways of governing</w:t>
      </w:r>
      <w:r w:rsidR="006F37B9">
        <w:rPr>
          <w:rFonts w:ascii="Calibri" w:eastAsia="Calibri" w:hAnsi="Calibri" w:cs="Calibri"/>
          <w:lang w:val="en-US"/>
        </w:rPr>
        <w:t xml:space="preserve"> and sharing</w:t>
      </w:r>
      <w:r w:rsidR="00B923E8" w:rsidRPr="006B2483">
        <w:rPr>
          <w:rFonts w:ascii="Calibri" w:eastAsia="Calibri" w:hAnsi="Calibri" w:cs="Calibri"/>
          <w:lang w:val="en-US"/>
        </w:rPr>
        <w:t xml:space="preserve"> data</w:t>
      </w:r>
      <w:r w:rsidR="006F37B9">
        <w:rPr>
          <w:rFonts w:ascii="Calibri" w:eastAsia="Calibri" w:hAnsi="Calibri" w:cs="Calibri"/>
          <w:lang w:val="en-US"/>
        </w:rPr>
        <w:t xml:space="preserve">. </w:t>
      </w:r>
      <w:r w:rsidR="002C08C9">
        <w:rPr>
          <w:rFonts w:ascii="Calibri" w:eastAsia="Calibri" w:hAnsi="Calibri" w:cs="Calibri"/>
          <w:lang w:val="en-US"/>
        </w:rPr>
        <w:t>Decentralising data</w:t>
      </w:r>
      <w:r w:rsidR="00824CC3">
        <w:rPr>
          <w:rFonts w:ascii="Calibri" w:eastAsia="Calibri" w:hAnsi="Calibri" w:cs="Calibri"/>
          <w:lang w:val="en-US"/>
        </w:rPr>
        <w:t xml:space="preserve"> and providing </w:t>
      </w:r>
      <w:r w:rsidR="0036268B">
        <w:rPr>
          <w:rFonts w:ascii="Calibri" w:eastAsia="Calibri" w:hAnsi="Calibri" w:cs="Calibri"/>
          <w:lang w:val="en-US"/>
        </w:rPr>
        <w:t xml:space="preserve">ACCOs and </w:t>
      </w:r>
      <w:r w:rsidR="00824CC3">
        <w:rPr>
          <w:rFonts w:ascii="Calibri" w:eastAsia="Calibri" w:hAnsi="Calibri" w:cs="Calibri"/>
          <w:lang w:val="en-US"/>
        </w:rPr>
        <w:t xml:space="preserve">Aboriginal </w:t>
      </w:r>
      <w:r w:rsidR="0018441C">
        <w:rPr>
          <w:rFonts w:ascii="Calibri" w:eastAsia="Calibri" w:hAnsi="Calibri" w:cs="Calibri"/>
          <w:lang w:val="en-US"/>
        </w:rPr>
        <w:t>communities with the resources that enable them to collect, manage and own data that is meaningful to them</w:t>
      </w:r>
      <w:r w:rsidR="00F24524">
        <w:rPr>
          <w:rFonts w:ascii="Calibri" w:eastAsia="Calibri" w:hAnsi="Calibri" w:cs="Calibri"/>
          <w:lang w:val="en-US"/>
        </w:rPr>
        <w:t>,</w:t>
      </w:r>
      <w:r w:rsidR="0018441C">
        <w:rPr>
          <w:rFonts w:ascii="Calibri" w:eastAsia="Calibri" w:hAnsi="Calibri" w:cs="Calibri"/>
          <w:lang w:val="en-US"/>
        </w:rPr>
        <w:t xml:space="preserve"> and can best inform their </w:t>
      </w:r>
      <w:r w:rsidR="0036268B">
        <w:rPr>
          <w:rFonts w:ascii="Calibri" w:eastAsia="Calibri" w:hAnsi="Calibri" w:cs="Calibri"/>
          <w:lang w:val="en-US"/>
        </w:rPr>
        <w:t>practice</w:t>
      </w:r>
      <w:r w:rsidR="00F24524">
        <w:rPr>
          <w:rFonts w:ascii="Calibri" w:eastAsia="Calibri" w:hAnsi="Calibri" w:cs="Calibri"/>
          <w:lang w:val="en-US"/>
        </w:rPr>
        <w:t>,</w:t>
      </w:r>
      <w:r w:rsidR="007F106E">
        <w:rPr>
          <w:rFonts w:ascii="Calibri" w:eastAsia="Calibri" w:hAnsi="Calibri" w:cs="Calibri"/>
          <w:lang w:val="en-US"/>
        </w:rPr>
        <w:t xml:space="preserve"> is a large</w:t>
      </w:r>
      <w:r w:rsidR="001A5029">
        <w:rPr>
          <w:rFonts w:ascii="Calibri" w:eastAsia="Calibri" w:hAnsi="Calibri" w:cs="Calibri"/>
          <w:lang w:val="en-US"/>
        </w:rPr>
        <w:t xml:space="preserve"> and </w:t>
      </w:r>
      <w:r w:rsidR="007F106E">
        <w:rPr>
          <w:rFonts w:ascii="Calibri" w:eastAsia="Calibri" w:hAnsi="Calibri" w:cs="Calibri"/>
          <w:lang w:val="en-US"/>
        </w:rPr>
        <w:t>vital project</w:t>
      </w:r>
      <w:r w:rsidR="001A5029">
        <w:rPr>
          <w:rFonts w:ascii="Calibri" w:eastAsia="Calibri" w:hAnsi="Calibri" w:cs="Calibri"/>
          <w:lang w:val="en-US"/>
        </w:rPr>
        <w:t xml:space="preserve"> that needs to get underway.</w:t>
      </w:r>
    </w:p>
    <w:p w14:paraId="65EB5880" w14:textId="77777777" w:rsidR="00BA2F37" w:rsidRDefault="00BA2F37" w:rsidP="00B923E8">
      <w:pPr>
        <w:spacing w:after="0"/>
        <w:rPr>
          <w:rFonts w:ascii="Calibri" w:eastAsia="Calibri" w:hAnsi="Calibri" w:cs="Calibri"/>
          <w:lang w:val="en-US"/>
        </w:rPr>
      </w:pPr>
    </w:p>
    <w:p w14:paraId="0D91837A" w14:textId="77777777" w:rsidR="002E337D" w:rsidRDefault="00A00340" w:rsidP="00435FA7">
      <w:pPr>
        <w:spacing w:after="0"/>
        <w:rPr>
          <w:rFonts w:ascii="Calibri" w:eastAsia="Calibri" w:hAnsi="Calibri" w:cs="Calibri"/>
          <w:lang w:val="en-US"/>
        </w:rPr>
      </w:pPr>
      <w:r>
        <w:rPr>
          <w:rFonts w:ascii="Calibri" w:eastAsia="Calibri" w:hAnsi="Calibri" w:cs="Calibri"/>
          <w:lang w:val="en-US"/>
        </w:rPr>
        <w:t>But let’s finish on a good note.</w:t>
      </w:r>
      <w:r w:rsidR="002E337D">
        <w:rPr>
          <w:rFonts w:ascii="Calibri" w:eastAsia="Calibri" w:hAnsi="Calibri" w:cs="Calibri"/>
          <w:lang w:val="en-US"/>
        </w:rPr>
        <w:t xml:space="preserve"> </w:t>
      </w:r>
    </w:p>
    <w:p w14:paraId="6365AE18" w14:textId="77777777" w:rsidR="002E337D" w:rsidRDefault="002E337D" w:rsidP="00435FA7">
      <w:pPr>
        <w:spacing w:after="0"/>
        <w:rPr>
          <w:rFonts w:ascii="Calibri" w:eastAsia="Calibri" w:hAnsi="Calibri" w:cs="Calibri"/>
          <w:lang w:val="en-US"/>
        </w:rPr>
      </w:pPr>
    </w:p>
    <w:p w14:paraId="5F323347" w14:textId="226DA528" w:rsidR="00435FA7" w:rsidRPr="002E337D" w:rsidRDefault="00BA2F37" w:rsidP="00435FA7">
      <w:pPr>
        <w:spacing w:after="0"/>
        <w:rPr>
          <w:rFonts w:ascii="Calibri" w:eastAsia="Calibri" w:hAnsi="Calibri" w:cs="Calibri"/>
          <w:lang w:val="en-US"/>
        </w:rPr>
      </w:pPr>
      <w:r>
        <w:rPr>
          <w:rFonts w:ascii="Calibri" w:eastAsia="Calibri" w:hAnsi="Calibri" w:cs="Calibri"/>
          <w:lang w:val="en-US"/>
        </w:rPr>
        <w:t xml:space="preserve">To close, AbSec would like to share a </w:t>
      </w:r>
      <w:r w:rsidR="00DB5D08">
        <w:rPr>
          <w:rFonts w:ascii="Calibri" w:eastAsia="Calibri" w:hAnsi="Calibri" w:cs="Calibri"/>
          <w:lang w:val="en-US"/>
        </w:rPr>
        <w:t xml:space="preserve">positive </w:t>
      </w:r>
      <w:r w:rsidR="00DD26DC">
        <w:rPr>
          <w:rFonts w:ascii="Calibri" w:eastAsia="Calibri" w:hAnsi="Calibri" w:cs="Calibri"/>
          <w:lang w:val="en-US"/>
        </w:rPr>
        <w:t xml:space="preserve">case study in Indigenous Data Governance </w:t>
      </w:r>
      <w:r w:rsidR="00DB5D08">
        <w:rPr>
          <w:rFonts w:ascii="Calibri" w:eastAsia="Calibri" w:hAnsi="Calibri" w:cs="Calibri"/>
          <w:lang w:val="en-US"/>
        </w:rPr>
        <w:t xml:space="preserve">that we </w:t>
      </w:r>
      <w:r w:rsidR="00F1143D">
        <w:rPr>
          <w:rFonts w:ascii="Calibri" w:eastAsia="Calibri" w:hAnsi="Calibri" w:cs="Calibri"/>
          <w:lang w:val="en-US"/>
        </w:rPr>
        <w:t>developed</w:t>
      </w:r>
      <w:r w:rsidR="00DB5D08">
        <w:rPr>
          <w:rFonts w:ascii="Calibri" w:eastAsia="Calibri" w:hAnsi="Calibri" w:cs="Calibri"/>
          <w:lang w:val="en-US"/>
        </w:rPr>
        <w:t xml:space="preserve"> in partnership with the </w:t>
      </w:r>
      <w:r w:rsidR="00403E3E" w:rsidRPr="00403E3E">
        <w:rPr>
          <w:rFonts w:ascii="Calibri" w:eastAsia="Calibri" w:hAnsi="Calibri" w:cs="Calibri"/>
        </w:rPr>
        <w:t>Family and Community Services Insights Analysis and Research (</w:t>
      </w:r>
      <w:r w:rsidR="00403E3E" w:rsidRPr="00EE59AA">
        <w:rPr>
          <w:rFonts w:ascii="Calibri" w:eastAsia="Calibri" w:hAnsi="Calibri" w:cs="Calibri"/>
        </w:rPr>
        <w:t>FACSIAR</w:t>
      </w:r>
      <w:r w:rsidR="00403E3E" w:rsidRPr="00403E3E">
        <w:rPr>
          <w:rFonts w:ascii="Calibri" w:eastAsia="Calibri" w:hAnsi="Calibri" w:cs="Calibri"/>
        </w:rPr>
        <w:t>)</w:t>
      </w:r>
      <w:r w:rsidR="00EE59AA">
        <w:rPr>
          <w:rFonts w:ascii="Calibri" w:eastAsia="Calibri" w:hAnsi="Calibri" w:cs="Calibri"/>
        </w:rPr>
        <w:t xml:space="preserve"> Division within DCJ. FACSIAR </w:t>
      </w:r>
      <w:r w:rsidR="00435FA7" w:rsidRPr="00435FA7">
        <w:rPr>
          <w:rFonts w:ascii="Calibri" w:eastAsia="Calibri" w:hAnsi="Calibri" w:cs="Calibri"/>
        </w:rPr>
        <w:t>fund</w:t>
      </w:r>
      <w:r w:rsidR="00435FA7">
        <w:rPr>
          <w:rFonts w:ascii="Calibri" w:eastAsia="Calibri" w:hAnsi="Calibri" w:cs="Calibri"/>
        </w:rPr>
        <w:t>s</w:t>
      </w:r>
      <w:r w:rsidR="00435FA7" w:rsidRPr="00435FA7">
        <w:rPr>
          <w:rFonts w:ascii="Calibri" w:eastAsia="Calibri" w:hAnsi="Calibri" w:cs="Calibri"/>
        </w:rPr>
        <w:t xml:space="preserve"> and lead</w:t>
      </w:r>
      <w:r w:rsidR="00435FA7">
        <w:rPr>
          <w:rFonts w:ascii="Calibri" w:eastAsia="Calibri" w:hAnsi="Calibri" w:cs="Calibri"/>
        </w:rPr>
        <w:t>s</w:t>
      </w:r>
      <w:r w:rsidR="00435FA7" w:rsidRPr="00435FA7">
        <w:rPr>
          <w:rFonts w:ascii="Calibri" w:eastAsia="Calibri" w:hAnsi="Calibri" w:cs="Calibri"/>
        </w:rPr>
        <w:t xml:space="preserve"> the </w:t>
      </w:r>
      <w:r w:rsidR="00435FA7" w:rsidRPr="00435FA7">
        <w:rPr>
          <w:rFonts w:ascii="Calibri" w:eastAsia="Calibri" w:hAnsi="Calibri" w:cs="Calibri"/>
          <w:i/>
        </w:rPr>
        <w:t>Pathways of Care Longitudinal Study</w:t>
      </w:r>
      <w:r w:rsidR="00435FA7" w:rsidRPr="00435FA7">
        <w:rPr>
          <w:rFonts w:ascii="Calibri" w:eastAsia="Calibri" w:hAnsi="Calibri" w:cs="Calibri"/>
        </w:rPr>
        <w:t xml:space="preserve"> (POCLS)</w:t>
      </w:r>
      <w:r w:rsidR="00834749">
        <w:rPr>
          <w:rFonts w:ascii="Calibri" w:eastAsia="Calibri" w:hAnsi="Calibri" w:cs="Calibri"/>
        </w:rPr>
        <w:t xml:space="preserve"> which</w:t>
      </w:r>
      <w:r w:rsidR="007044AD">
        <w:rPr>
          <w:rFonts w:ascii="Calibri" w:eastAsia="Calibri" w:hAnsi="Calibri" w:cs="Calibri"/>
        </w:rPr>
        <w:t xml:space="preserve">, since 2010, has </w:t>
      </w:r>
      <w:r w:rsidR="00435FA7" w:rsidRPr="00435FA7">
        <w:rPr>
          <w:rFonts w:ascii="Calibri" w:eastAsia="Calibri" w:hAnsi="Calibri" w:cs="Calibri"/>
        </w:rPr>
        <w:t>collect</w:t>
      </w:r>
      <w:r w:rsidR="007044AD">
        <w:rPr>
          <w:rFonts w:ascii="Calibri" w:eastAsia="Calibri" w:hAnsi="Calibri" w:cs="Calibri"/>
        </w:rPr>
        <w:t>ed</w:t>
      </w:r>
      <w:r w:rsidR="00435FA7" w:rsidRPr="00435FA7">
        <w:rPr>
          <w:rFonts w:ascii="Calibri" w:eastAsia="Calibri" w:hAnsi="Calibri" w:cs="Calibri"/>
        </w:rPr>
        <w:t xml:space="preserve"> detailed information on the life-course development of children and young people in out-of-home care (OOHC) and the factors that influence their development. The POCLS provides a strong evidence base to inform policy, practice</w:t>
      </w:r>
      <w:r w:rsidR="00A611FC">
        <w:rPr>
          <w:rFonts w:ascii="Calibri" w:eastAsia="Calibri" w:hAnsi="Calibri" w:cs="Calibri"/>
        </w:rPr>
        <w:t>,</w:t>
      </w:r>
      <w:r w:rsidR="00435FA7" w:rsidRPr="00435FA7">
        <w:rPr>
          <w:rFonts w:ascii="Calibri" w:eastAsia="Calibri" w:hAnsi="Calibri" w:cs="Calibri"/>
        </w:rPr>
        <w:t xml:space="preserve"> and professional development, to improve decision making and support for children and young people who cannot live safely at home.</w:t>
      </w:r>
      <w:r w:rsidR="009F5061">
        <w:rPr>
          <w:rFonts w:ascii="Calibri" w:eastAsia="Calibri" w:hAnsi="Calibri" w:cs="Calibri"/>
        </w:rPr>
        <w:t xml:space="preserve"> It is one of the few datasets of its kind in the world and the only one in Australia.</w:t>
      </w:r>
    </w:p>
    <w:p w14:paraId="41A2C924" w14:textId="77777777" w:rsidR="009F5061" w:rsidRDefault="009F5061" w:rsidP="00435FA7">
      <w:pPr>
        <w:spacing w:after="0"/>
        <w:rPr>
          <w:rFonts w:ascii="Calibri" w:eastAsia="Calibri" w:hAnsi="Calibri" w:cs="Calibri"/>
        </w:rPr>
      </w:pPr>
    </w:p>
    <w:p w14:paraId="5627C9CC" w14:textId="4905EB99" w:rsidR="009F5061" w:rsidRDefault="009F5061" w:rsidP="00435FA7">
      <w:pPr>
        <w:spacing w:after="0"/>
        <w:rPr>
          <w:rFonts w:ascii="Calibri" w:eastAsia="Calibri" w:hAnsi="Calibri" w:cs="Calibri"/>
        </w:rPr>
      </w:pPr>
      <w:r>
        <w:rPr>
          <w:rFonts w:ascii="Calibri" w:eastAsia="Calibri" w:hAnsi="Calibri" w:cs="Calibri"/>
        </w:rPr>
        <w:t xml:space="preserve">Aboriginal children and young people </w:t>
      </w:r>
      <w:r w:rsidR="00622E62">
        <w:rPr>
          <w:rFonts w:ascii="Calibri" w:eastAsia="Calibri" w:hAnsi="Calibri" w:cs="Calibri"/>
        </w:rPr>
        <w:t>comprise 43 per cent of the POCLS sample. For this reason</w:t>
      </w:r>
      <w:r w:rsidR="00CF1181">
        <w:rPr>
          <w:rFonts w:ascii="Calibri" w:eastAsia="Calibri" w:hAnsi="Calibri" w:cs="Calibri"/>
        </w:rPr>
        <w:t xml:space="preserve">, AbSec was delighted to work with DCJ over the past 15 months to establish an Aboriginal </w:t>
      </w:r>
      <w:r w:rsidR="0069577A">
        <w:rPr>
          <w:rFonts w:ascii="Calibri" w:eastAsia="Calibri" w:hAnsi="Calibri" w:cs="Calibri"/>
        </w:rPr>
        <w:t>Governance Panel</w:t>
      </w:r>
      <w:r w:rsidR="00876FA8">
        <w:rPr>
          <w:rFonts w:ascii="Calibri" w:eastAsia="Calibri" w:hAnsi="Calibri" w:cs="Calibri"/>
        </w:rPr>
        <w:t xml:space="preserve"> (AGP)</w:t>
      </w:r>
      <w:r w:rsidR="0069577A">
        <w:rPr>
          <w:rFonts w:ascii="Calibri" w:eastAsia="Calibri" w:hAnsi="Calibri" w:cs="Calibri"/>
        </w:rPr>
        <w:t xml:space="preserve">. </w:t>
      </w:r>
      <w:r w:rsidR="006958D2">
        <w:rPr>
          <w:rFonts w:ascii="Calibri" w:eastAsia="Calibri" w:hAnsi="Calibri" w:cs="Calibri"/>
        </w:rPr>
        <w:t>AbSec</w:t>
      </w:r>
      <w:r w:rsidR="00876FA8">
        <w:rPr>
          <w:rFonts w:ascii="Calibri" w:eastAsia="Calibri" w:hAnsi="Calibri" w:cs="Calibri"/>
        </w:rPr>
        <w:t xml:space="preserve"> constructed nomination and selection procedures and recruited an Interim AGP</w:t>
      </w:r>
      <w:r w:rsidR="00327368">
        <w:rPr>
          <w:rFonts w:ascii="Calibri" w:eastAsia="Calibri" w:hAnsi="Calibri" w:cs="Calibri"/>
        </w:rPr>
        <w:t xml:space="preserve"> that included Aboriginal practitioners experienced in working with Aboriginal children and young people in care, an Aboriginal carer</w:t>
      </w:r>
      <w:r w:rsidR="00CF4A64">
        <w:rPr>
          <w:rFonts w:ascii="Calibri" w:eastAsia="Calibri" w:hAnsi="Calibri" w:cs="Calibri"/>
        </w:rPr>
        <w:t xml:space="preserve">, and Aboriginal researchers and data specialists. </w:t>
      </w:r>
      <w:r w:rsidR="005F6D26">
        <w:rPr>
          <w:rFonts w:ascii="Calibri" w:eastAsia="Calibri" w:hAnsi="Calibri" w:cs="Calibri"/>
        </w:rPr>
        <w:t xml:space="preserve">FACSIAR provided tailored orientation on </w:t>
      </w:r>
      <w:r w:rsidR="00FA1BD2">
        <w:rPr>
          <w:rFonts w:ascii="Calibri" w:eastAsia="Calibri" w:hAnsi="Calibri" w:cs="Calibri"/>
        </w:rPr>
        <w:t xml:space="preserve">the </w:t>
      </w:r>
      <w:r w:rsidR="005F6D26">
        <w:rPr>
          <w:rFonts w:ascii="Calibri" w:eastAsia="Calibri" w:hAnsi="Calibri" w:cs="Calibri"/>
        </w:rPr>
        <w:t>POCLS data</w:t>
      </w:r>
      <w:r w:rsidR="00FA1BD2">
        <w:rPr>
          <w:rFonts w:ascii="Calibri" w:eastAsia="Calibri" w:hAnsi="Calibri" w:cs="Calibri"/>
        </w:rPr>
        <w:t>set</w:t>
      </w:r>
      <w:r w:rsidR="005F6D26">
        <w:rPr>
          <w:rFonts w:ascii="Calibri" w:eastAsia="Calibri" w:hAnsi="Calibri" w:cs="Calibri"/>
        </w:rPr>
        <w:t xml:space="preserve">, how data was gathered and interview techniques. However, </w:t>
      </w:r>
      <w:r w:rsidR="00AA4FCC">
        <w:rPr>
          <w:rFonts w:ascii="Calibri" w:eastAsia="Calibri" w:hAnsi="Calibri" w:cs="Calibri"/>
        </w:rPr>
        <w:t>it was in the June to August period of 2023 when the positive influence of the AGP became most apparent</w:t>
      </w:r>
      <w:r w:rsidR="00AE4ABC">
        <w:rPr>
          <w:rFonts w:ascii="Calibri" w:eastAsia="Calibri" w:hAnsi="Calibri" w:cs="Calibri"/>
        </w:rPr>
        <w:t>.</w:t>
      </w:r>
    </w:p>
    <w:p w14:paraId="3662EF73" w14:textId="77777777" w:rsidR="00AE4ABC" w:rsidRDefault="00AE4ABC" w:rsidP="00435FA7">
      <w:pPr>
        <w:spacing w:after="0"/>
        <w:rPr>
          <w:rFonts w:ascii="Calibri" w:eastAsia="Calibri" w:hAnsi="Calibri" w:cs="Calibri"/>
        </w:rPr>
      </w:pPr>
    </w:p>
    <w:p w14:paraId="1C6F3582" w14:textId="6235EB47" w:rsidR="00AE4ABC" w:rsidRPr="00435FA7" w:rsidRDefault="00AE4ABC" w:rsidP="00435FA7">
      <w:pPr>
        <w:spacing w:after="0"/>
        <w:rPr>
          <w:rFonts w:ascii="Calibri" w:eastAsia="Calibri" w:hAnsi="Calibri" w:cs="Calibri"/>
        </w:rPr>
      </w:pPr>
      <w:r>
        <w:rPr>
          <w:rFonts w:ascii="Calibri" w:eastAsia="Calibri" w:hAnsi="Calibri" w:cs="Calibri"/>
        </w:rPr>
        <w:t xml:space="preserve">POCLS and its scientific research community were developing the first wave of </w:t>
      </w:r>
      <w:r w:rsidR="00C37896">
        <w:rPr>
          <w:rFonts w:ascii="Calibri" w:eastAsia="Calibri" w:hAnsi="Calibri" w:cs="Calibri"/>
        </w:rPr>
        <w:t>their Extended Care study. This</w:t>
      </w:r>
      <w:r>
        <w:rPr>
          <w:rFonts w:ascii="Calibri" w:eastAsia="Calibri" w:hAnsi="Calibri" w:cs="Calibri"/>
        </w:rPr>
        <w:t xml:space="preserve"> would collect data from Aboriginal young people </w:t>
      </w:r>
      <w:r w:rsidR="00A838F8">
        <w:rPr>
          <w:rFonts w:ascii="Calibri" w:eastAsia="Calibri" w:hAnsi="Calibri" w:cs="Calibri"/>
        </w:rPr>
        <w:t xml:space="preserve">as they left OOHC and transitioned to adulthood. AGP members came </w:t>
      </w:r>
      <w:r w:rsidR="004826F1">
        <w:rPr>
          <w:rFonts w:ascii="Calibri" w:eastAsia="Calibri" w:hAnsi="Calibri" w:cs="Calibri"/>
        </w:rPr>
        <w:t xml:space="preserve">met </w:t>
      </w:r>
      <w:r w:rsidR="008A3B18">
        <w:rPr>
          <w:rFonts w:ascii="Calibri" w:eastAsia="Calibri" w:hAnsi="Calibri" w:cs="Calibri"/>
        </w:rPr>
        <w:t xml:space="preserve">with </w:t>
      </w:r>
      <w:r w:rsidR="004826F1">
        <w:rPr>
          <w:rFonts w:ascii="Calibri" w:eastAsia="Calibri" w:hAnsi="Calibri" w:cs="Calibri"/>
        </w:rPr>
        <w:t xml:space="preserve">the researchers. Together, they worked through </w:t>
      </w:r>
      <w:r w:rsidR="008A3B18">
        <w:rPr>
          <w:rFonts w:ascii="Calibri" w:eastAsia="Calibri" w:hAnsi="Calibri" w:cs="Calibri"/>
        </w:rPr>
        <w:t xml:space="preserve">sets of spreadsheets containing detailed </w:t>
      </w:r>
      <w:r w:rsidR="00472081">
        <w:rPr>
          <w:rFonts w:ascii="Calibri" w:eastAsia="Calibri" w:hAnsi="Calibri" w:cs="Calibri"/>
        </w:rPr>
        <w:t xml:space="preserve">and often highly personal </w:t>
      </w:r>
      <w:r w:rsidR="007607D4">
        <w:rPr>
          <w:rFonts w:ascii="Calibri" w:eastAsia="Calibri" w:hAnsi="Calibri" w:cs="Calibri"/>
        </w:rPr>
        <w:t>(</w:t>
      </w:r>
      <w:r w:rsidR="00472081">
        <w:rPr>
          <w:rFonts w:ascii="Calibri" w:eastAsia="Calibri" w:hAnsi="Calibri" w:cs="Calibri"/>
        </w:rPr>
        <w:t>and potentially triggering</w:t>
      </w:r>
      <w:r w:rsidR="007607D4">
        <w:rPr>
          <w:rFonts w:ascii="Calibri" w:eastAsia="Calibri" w:hAnsi="Calibri" w:cs="Calibri"/>
        </w:rPr>
        <w:t>)</w:t>
      </w:r>
      <w:r w:rsidR="00472081">
        <w:rPr>
          <w:rFonts w:ascii="Calibri" w:eastAsia="Calibri" w:hAnsi="Calibri" w:cs="Calibri"/>
        </w:rPr>
        <w:t xml:space="preserve"> </w:t>
      </w:r>
      <w:r w:rsidR="000F5678">
        <w:rPr>
          <w:rFonts w:ascii="Calibri" w:eastAsia="Calibri" w:hAnsi="Calibri" w:cs="Calibri"/>
        </w:rPr>
        <w:t xml:space="preserve">potential </w:t>
      </w:r>
      <w:r w:rsidR="008A3B18">
        <w:rPr>
          <w:rFonts w:ascii="Calibri" w:eastAsia="Calibri" w:hAnsi="Calibri" w:cs="Calibri"/>
        </w:rPr>
        <w:t>questions</w:t>
      </w:r>
      <w:r w:rsidR="000F5678">
        <w:rPr>
          <w:rFonts w:ascii="Calibri" w:eastAsia="Calibri" w:hAnsi="Calibri" w:cs="Calibri"/>
        </w:rPr>
        <w:t xml:space="preserve">. </w:t>
      </w:r>
      <w:r w:rsidR="00D860A9">
        <w:rPr>
          <w:rFonts w:ascii="Calibri" w:eastAsia="Calibri" w:hAnsi="Calibri" w:cs="Calibri"/>
        </w:rPr>
        <w:t>Members of the AGP argued against an approa</w:t>
      </w:r>
      <w:r w:rsidR="001B6EFE">
        <w:rPr>
          <w:rFonts w:ascii="Calibri" w:eastAsia="Calibri" w:hAnsi="Calibri" w:cs="Calibri"/>
        </w:rPr>
        <w:t xml:space="preserve">ch that would see all meeting participants working through </w:t>
      </w:r>
      <w:r w:rsidR="000D25A1">
        <w:rPr>
          <w:rFonts w:ascii="Calibri" w:eastAsia="Calibri" w:hAnsi="Calibri" w:cs="Calibri"/>
        </w:rPr>
        <w:t xml:space="preserve">possible questions to determine a final (and lengthy) draft questionnaire that could be piloted. </w:t>
      </w:r>
      <w:r w:rsidR="00B53EC6">
        <w:rPr>
          <w:rFonts w:ascii="Calibri" w:eastAsia="Calibri" w:hAnsi="Calibri" w:cs="Calibri"/>
        </w:rPr>
        <w:t xml:space="preserve">Although POCLS had received ethics approval, AGP </w:t>
      </w:r>
      <w:r w:rsidR="000540EB">
        <w:rPr>
          <w:rFonts w:ascii="Calibri" w:eastAsia="Calibri" w:hAnsi="Calibri" w:cs="Calibri"/>
        </w:rPr>
        <w:t>members returned to first principles and asked whether young pe</w:t>
      </w:r>
      <w:r w:rsidR="00DE1735">
        <w:rPr>
          <w:rFonts w:ascii="Calibri" w:eastAsia="Calibri" w:hAnsi="Calibri" w:cs="Calibri"/>
        </w:rPr>
        <w:t>ople participating in the study would have the choice of a face-to-face rather than online interview</w:t>
      </w:r>
      <w:r w:rsidR="00093AE9">
        <w:rPr>
          <w:rFonts w:ascii="Calibri" w:eastAsia="Calibri" w:hAnsi="Calibri" w:cs="Calibri"/>
        </w:rPr>
        <w:t xml:space="preserve"> and whether they could have an Aboriginal person conduct their interview. </w:t>
      </w:r>
      <w:r w:rsidR="00746C44">
        <w:rPr>
          <w:rFonts w:ascii="Calibri" w:eastAsia="Calibri" w:hAnsi="Calibri" w:cs="Calibri"/>
        </w:rPr>
        <w:t xml:space="preserve">They provided thoughtful advice on </w:t>
      </w:r>
      <w:r w:rsidR="004B2968">
        <w:rPr>
          <w:rFonts w:ascii="Calibri" w:eastAsia="Calibri" w:hAnsi="Calibri" w:cs="Calibri"/>
        </w:rPr>
        <w:t xml:space="preserve">the need for interviewers to build </w:t>
      </w:r>
      <w:r w:rsidR="006E6EFB">
        <w:rPr>
          <w:rFonts w:ascii="Calibri" w:eastAsia="Calibri" w:hAnsi="Calibri" w:cs="Calibri"/>
        </w:rPr>
        <w:t xml:space="preserve">a connection and foundation of trust with the young person and the time that needed to be </w:t>
      </w:r>
      <w:r w:rsidR="00E839C4">
        <w:rPr>
          <w:rFonts w:ascii="Calibri" w:eastAsia="Calibri" w:hAnsi="Calibri" w:cs="Calibri"/>
        </w:rPr>
        <w:t xml:space="preserve">built in to enable this. </w:t>
      </w:r>
      <w:r w:rsidR="00546031">
        <w:rPr>
          <w:rFonts w:ascii="Calibri" w:eastAsia="Calibri" w:hAnsi="Calibri" w:cs="Calibri"/>
        </w:rPr>
        <w:t xml:space="preserve">AGP members </w:t>
      </w:r>
      <w:r w:rsidR="00830ECE">
        <w:rPr>
          <w:rFonts w:ascii="Calibri" w:eastAsia="Calibri" w:hAnsi="Calibri" w:cs="Calibri"/>
        </w:rPr>
        <w:t xml:space="preserve">understood why including difficult and intimate questions </w:t>
      </w:r>
      <w:r w:rsidR="00896EE5">
        <w:rPr>
          <w:rFonts w:ascii="Calibri" w:eastAsia="Calibri" w:hAnsi="Calibri" w:cs="Calibri"/>
        </w:rPr>
        <w:t xml:space="preserve">(including in areas such </w:t>
      </w:r>
      <w:r w:rsidR="00765F88">
        <w:rPr>
          <w:rFonts w:ascii="Calibri" w:eastAsia="Calibri" w:hAnsi="Calibri" w:cs="Calibri"/>
        </w:rPr>
        <w:t xml:space="preserve">as </w:t>
      </w:r>
      <w:r w:rsidR="001B74C6">
        <w:rPr>
          <w:rFonts w:ascii="Calibri" w:eastAsia="Calibri" w:hAnsi="Calibri" w:cs="Calibri"/>
        </w:rPr>
        <w:t xml:space="preserve">personal relationships, contact and connection with </w:t>
      </w:r>
      <w:r w:rsidR="00874BEA">
        <w:rPr>
          <w:rFonts w:ascii="Calibri" w:eastAsia="Calibri" w:hAnsi="Calibri" w:cs="Calibri"/>
        </w:rPr>
        <w:t xml:space="preserve">birth family, mental illness including </w:t>
      </w:r>
      <w:r w:rsidR="00765F88">
        <w:rPr>
          <w:rFonts w:ascii="Calibri" w:eastAsia="Calibri" w:hAnsi="Calibri" w:cs="Calibri"/>
        </w:rPr>
        <w:t>suicidal ideation and/or suicide attempts, pregnancies</w:t>
      </w:r>
      <w:r w:rsidR="00A04852">
        <w:rPr>
          <w:rFonts w:ascii="Calibri" w:eastAsia="Calibri" w:hAnsi="Calibri" w:cs="Calibri"/>
        </w:rPr>
        <w:t xml:space="preserve">, </w:t>
      </w:r>
      <w:r w:rsidR="00824150">
        <w:rPr>
          <w:rFonts w:ascii="Calibri" w:eastAsia="Calibri" w:hAnsi="Calibri" w:cs="Calibri"/>
        </w:rPr>
        <w:t>experiences of a</w:t>
      </w:r>
      <w:r w:rsidR="00116CA3">
        <w:rPr>
          <w:rFonts w:ascii="Calibri" w:eastAsia="Calibri" w:hAnsi="Calibri" w:cs="Calibri"/>
        </w:rPr>
        <w:t>buse</w:t>
      </w:r>
      <w:r w:rsidR="00DA51ED">
        <w:rPr>
          <w:rFonts w:ascii="Calibri" w:eastAsia="Calibri" w:hAnsi="Calibri" w:cs="Calibri"/>
        </w:rPr>
        <w:t>)</w:t>
      </w:r>
      <w:r w:rsidR="00116CA3">
        <w:rPr>
          <w:rFonts w:ascii="Calibri" w:eastAsia="Calibri" w:hAnsi="Calibri" w:cs="Calibri"/>
        </w:rPr>
        <w:t xml:space="preserve"> </w:t>
      </w:r>
      <w:r w:rsidR="00830ECE">
        <w:rPr>
          <w:rFonts w:ascii="Calibri" w:eastAsia="Calibri" w:hAnsi="Calibri" w:cs="Calibri"/>
        </w:rPr>
        <w:t xml:space="preserve">was important if </w:t>
      </w:r>
      <w:r w:rsidR="00896EE5">
        <w:rPr>
          <w:rFonts w:ascii="Calibri" w:eastAsia="Calibri" w:hAnsi="Calibri" w:cs="Calibri"/>
        </w:rPr>
        <w:t>the data collected was to</w:t>
      </w:r>
      <w:r w:rsidR="00DA51ED">
        <w:rPr>
          <w:rFonts w:ascii="Calibri" w:eastAsia="Calibri" w:hAnsi="Calibri" w:cs="Calibri"/>
        </w:rPr>
        <w:t xml:space="preserve"> </w:t>
      </w:r>
      <w:r w:rsidR="009E4AED">
        <w:rPr>
          <w:rFonts w:ascii="Calibri" w:eastAsia="Calibri" w:hAnsi="Calibri" w:cs="Calibri"/>
        </w:rPr>
        <w:t xml:space="preserve">genuinely capture </w:t>
      </w:r>
      <w:r w:rsidR="00376F0E">
        <w:rPr>
          <w:rFonts w:ascii="Calibri" w:eastAsia="Calibri" w:hAnsi="Calibri" w:cs="Calibri"/>
        </w:rPr>
        <w:t xml:space="preserve">the </w:t>
      </w:r>
      <w:r w:rsidR="009E4AED">
        <w:rPr>
          <w:rFonts w:ascii="Calibri" w:eastAsia="Calibri" w:hAnsi="Calibri" w:cs="Calibri"/>
        </w:rPr>
        <w:t>lived experience</w:t>
      </w:r>
      <w:r w:rsidR="00376F0E">
        <w:rPr>
          <w:rFonts w:ascii="Calibri" w:eastAsia="Calibri" w:hAnsi="Calibri" w:cs="Calibri"/>
        </w:rPr>
        <w:t xml:space="preserve"> of Aboriginal young people transitioning from care</w:t>
      </w:r>
      <w:r w:rsidR="00D57F44">
        <w:rPr>
          <w:rFonts w:ascii="Calibri" w:eastAsia="Calibri" w:hAnsi="Calibri" w:cs="Calibri"/>
        </w:rPr>
        <w:t>. They recommended a greater number of open questions</w:t>
      </w:r>
      <w:r w:rsidR="00502E51">
        <w:rPr>
          <w:rFonts w:ascii="Calibri" w:eastAsia="Calibri" w:hAnsi="Calibri" w:cs="Calibri"/>
        </w:rPr>
        <w:t xml:space="preserve">, </w:t>
      </w:r>
      <w:r w:rsidR="00C00C2E">
        <w:rPr>
          <w:rFonts w:ascii="Calibri" w:eastAsia="Calibri" w:hAnsi="Calibri" w:cs="Calibri"/>
        </w:rPr>
        <w:t>provided input on the phrasing and ordering of questions</w:t>
      </w:r>
      <w:r w:rsidR="00502E51">
        <w:rPr>
          <w:rFonts w:ascii="Calibri" w:eastAsia="Calibri" w:hAnsi="Calibri" w:cs="Calibri"/>
        </w:rPr>
        <w:t xml:space="preserve">, and piloted the questionnaire </w:t>
      </w:r>
      <w:r w:rsidR="00CA5F9D">
        <w:rPr>
          <w:rFonts w:ascii="Calibri" w:eastAsia="Calibri" w:hAnsi="Calibri" w:cs="Calibri"/>
        </w:rPr>
        <w:t>with young people.</w:t>
      </w:r>
      <w:r w:rsidR="00C00C2E">
        <w:rPr>
          <w:rFonts w:ascii="Calibri" w:eastAsia="Calibri" w:hAnsi="Calibri" w:cs="Calibri"/>
        </w:rPr>
        <w:t xml:space="preserve"> </w:t>
      </w:r>
    </w:p>
    <w:p w14:paraId="3263A94B" w14:textId="23E621EE" w:rsidR="00B923E8" w:rsidRDefault="00B923E8" w:rsidP="00B923E8">
      <w:pPr>
        <w:spacing w:after="0"/>
        <w:rPr>
          <w:rFonts w:ascii="Calibri" w:eastAsia="Calibri" w:hAnsi="Calibri" w:cs="Calibri"/>
          <w:lang w:val="en-US"/>
        </w:rPr>
      </w:pPr>
    </w:p>
    <w:p w14:paraId="1303A688" w14:textId="094758A7" w:rsidR="00A25602" w:rsidRPr="002E337D" w:rsidRDefault="00CA5F9D" w:rsidP="002E337D">
      <w:pPr>
        <w:spacing w:after="0"/>
        <w:rPr>
          <w:rFonts w:ascii="Calibri" w:eastAsia="Calibri" w:hAnsi="Calibri" w:cs="Calibri"/>
          <w:lang w:val="en-US"/>
        </w:rPr>
      </w:pPr>
      <w:r>
        <w:rPr>
          <w:rFonts w:ascii="Calibri" w:eastAsia="Calibri" w:hAnsi="Calibri" w:cs="Calibri"/>
          <w:lang w:val="en-US"/>
        </w:rPr>
        <w:t xml:space="preserve">The response of FACSIAR </w:t>
      </w:r>
      <w:r w:rsidR="00AE5E6B">
        <w:rPr>
          <w:rFonts w:ascii="Calibri" w:eastAsia="Calibri" w:hAnsi="Calibri" w:cs="Calibri"/>
          <w:lang w:val="en-US"/>
        </w:rPr>
        <w:t xml:space="preserve">and the Scientific Advisory Group </w:t>
      </w:r>
      <w:r w:rsidR="002205D4">
        <w:rPr>
          <w:rFonts w:ascii="Calibri" w:eastAsia="Calibri" w:hAnsi="Calibri" w:cs="Calibri"/>
          <w:lang w:val="en-US"/>
        </w:rPr>
        <w:t xml:space="preserve">was deeply respectful of the insights </w:t>
      </w:r>
      <w:r w:rsidR="001916A3">
        <w:rPr>
          <w:rFonts w:ascii="Calibri" w:eastAsia="Calibri" w:hAnsi="Calibri" w:cs="Calibri"/>
          <w:lang w:val="en-US"/>
        </w:rPr>
        <w:t xml:space="preserve">AGP members offered. </w:t>
      </w:r>
      <w:r w:rsidR="009A0863">
        <w:rPr>
          <w:rFonts w:ascii="Calibri" w:eastAsia="Calibri" w:hAnsi="Calibri" w:cs="Calibri"/>
          <w:lang w:val="en-US"/>
        </w:rPr>
        <w:t xml:space="preserve">Additional Aboriginal interviewers recruited from ACCOs were </w:t>
      </w:r>
      <w:r w:rsidR="00471B97">
        <w:rPr>
          <w:rFonts w:ascii="Calibri" w:eastAsia="Calibri" w:hAnsi="Calibri" w:cs="Calibri"/>
          <w:lang w:val="en-US"/>
        </w:rPr>
        <w:t xml:space="preserve">added to the Extended Care Survey team and </w:t>
      </w:r>
      <w:r w:rsidR="00722865">
        <w:rPr>
          <w:rFonts w:ascii="Calibri" w:eastAsia="Calibri" w:hAnsi="Calibri" w:cs="Calibri"/>
          <w:lang w:val="en-US"/>
        </w:rPr>
        <w:t xml:space="preserve">interviews with young people will soon commence. </w:t>
      </w:r>
      <w:r w:rsidR="008406F1">
        <w:rPr>
          <w:rFonts w:ascii="Calibri" w:eastAsia="Calibri" w:hAnsi="Calibri" w:cs="Calibri"/>
          <w:lang w:val="en-US"/>
        </w:rPr>
        <w:t xml:space="preserve">The POCLS Aboriginal Governance Panel </w:t>
      </w:r>
      <w:r w:rsidR="00FC4F65">
        <w:rPr>
          <w:rFonts w:ascii="Calibri" w:eastAsia="Calibri" w:hAnsi="Calibri" w:cs="Calibri"/>
          <w:lang w:val="en-US"/>
        </w:rPr>
        <w:t xml:space="preserve">was </w:t>
      </w:r>
      <w:proofErr w:type="spellStart"/>
      <w:r w:rsidR="00FC4F65">
        <w:rPr>
          <w:rFonts w:ascii="Calibri" w:eastAsia="Calibri" w:hAnsi="Calibri" w:cs="Calibri"/>
          <w:lang w:val="en-US"/>
        </w:rPr>
        <w:t>formali</w:t>
      </w:r>
      <w:r w:rsidR="00ED106D">
        <w:rPr>
          <w:rFonts w:ascii="Calibri" w:eastAsia="Calibri" w:hAnsi="Calibri" w:cs="Calibri"/>
          <w:lang w:val="en-US"/>
        </w:rPr>
        <w:t>sed</w:t>
      </w:r>
      <w:proofErr w:type="spellEnd"/>
      <w:r w:rsidR="00ED106D">
        <w:rPr>
          <w:rFonts w:ascii="Calibri" w:eastAsia="Calibri" w:hAnsi="Calibri" w:cs="Calibri"/>
          <w:lang w:val="en-US"/>
        </w:rPr>
        <w:t xml:space="preserve">, and </w:t>
      </w:r>
      <w:r w:rsidR="008406F1">
        <w:rPr>
          <w:rFonts w:ascii="Calibri" w:eastAsia="Calibri" w:hAnsi="Calibri" w:cs="Calibri"/>
          <w:lang w:val="en-US"/>
        </w:rPr>
        <w:t xml:space="preserve">is </w:t>
      </w:r>
      <w:r w:rsidR="00AE3CD0">
        <w:rPr>
          <w:rFonts w:ascii="Calibri" w:eastAsia="Calibri" w:hAnsi="Calibri" w:cs="Calibri"/>
          <w:lang w:val="en-US"/>
        </w:rPr>
        <w:t>now</w:t>
      </w:r>
      <w:r w:rsidR="007F585E">
        <w:rPr>
          <w:rFonts w:ascii="Calibri" w:eastAsia="Calibri" w:hAnsi="Calibri" w:cs="Calibri"/>
          <w:lang w:val="en-US"/>
        </w:rPr>
        <w:t xml:space="preserve"> part of </w:t>
      </w:r>
      <w:r w:rsidR="00B14EB3">
        <w:rPr>
          <w:rFonts w:ascii="Calibri" w:eastAsia="Calibri" w:hAnsi="Calibri" w:cs="Calibri"/>
          <w:lang w:val="en-US"/>
        </w:rPr>
        <w:t>a non-hierarchical shared governance structure</w:t>
      </w:r>
      <w:r w:rsidR="00A7006F">
        <w:rPr>
          <w:rFonts w:ascii="Calibri" w:eastAsia="Calibri" w:hAnsi="Calibri" w:cs="Calibri"/>
          <w:lang w:val="en-US"/>
        </w:rPr>
        <w:t>. The AGP</w:t>
      </w:r>
      <w:r w:rsidR="00ED106D">
        <w:rPr>
          <w:rFonts w:ascii="Calibri" w:eastAsia="Calibri" w:hAnsi="Calibri" w:cs="Calibri"/>
          <w:lang w:val="en-US"/>
        </w:rPr>
        <w:t xml:space="preserve"> </w:t>
      </w:r>
      <w:r w:rsidR="00A61E36" w:rsidRPr="00A61E36">
        <w:rPr>
          <w:rFonts w:ascii="Calibri" w:eastAsia="Calibri" w:hAnsi="Calibri" w:cs="Calibri"/>
        </w:rPr>
        <w:t>will be responsible for providing oversight and decision-making across all stages of DCJ research with respect to Aboriginal participation and data. This includes but is not limited to</w:t>
      </w:r>
      <w:r w:rsidR="004B6FDD">
        <w:rPr>
          <w:rFonts w:ascii="Calibri" w:eastAsia="Calibri" w:hAnsi="Calibri" w:cs="Calibri"/>
        </w:rPr>
        <w:t>:</w:t>
      </w:r>
      <w:r w:rsidR="00A61E36" w:rsidRPr="00A61E36">
        <w:rPr>
          <w:rFonts w:ascii="Calibri" w:eastAsia="Calibri" w:hAnsi="Calibri" w:cs="Calibri"/>
        </w:rPr>
        <w:t> </w:t>
      </w:r>
    </w:p>
    <w:p w14:paraId="62464450" w14:textId="47BF5A9A" w:rsidR="00A61E36" w:rsidRPr="00A61E36" w:rsidRDefault="00A61E36" w:rsidP="00A61E36">
      <w:pPr>
        <w:numPr>
          <w:ilvl w:val="0"/>
          <w:numId w:val="19"/>
        </w:numPr>
        <w:spacing w:after="0"/>
        <w:rPr>
          <w:rFonts w:ascii="Calibri" w:eastAsia="Calibri" w:hAnsi="Calibri" w:cs="Calibri"/>
        </w:rPr>
      </w:pPr>
      <w:r w:rsidRPr="00A61E36">
        <w:rPr>
          <w:rFonts w:ascii="Calibri" w:eastAsia="Calibri" w:hAnsi="Calibri" w:cs="Calibri"/>
        </w:rPr>
        <w:t>Key policy and research questions  </w:t>
      </w:r>
    </w:p>
    <w:p w14:paraId="3CB7ADF8" w14:textId="77777777" w:rsidR="00A61E36" w:rsidRPr="00A61E36" w:rsidRDefault="00A61E36" w:rsidP="00A61E36">
      <w:pPr>
        <w:numPr>
          <w:ilvl w:val="0"/>
          <w:numId w:val="19"/>
        </w:numPr>
        <w:spacing w:after="0"/>
        <w:rPr>
          <w:rFonts w:ascii="Calibri" w:eastAsia="Calibri" w:hAnsi="Calibri" w:cs="Calibri"/>
        </w:rPr>
      </w:pPr>
      <w:r w:rsidRPr="00A61E36">
        <w:rPr>
          <w:rFonts w:ascii="Calibri" w:eastAsia="Calibri" w:hAnsi="Calibri" w:cs="Calibri"/>
        </w:rPr>
        <w:t>Research design, including proposals for additional commissioned research or external research </w:t>
      </w:r>
    </w:p>
    <w:p w14:paraId="6D99D510" w14:textId="77777777" w:rsidR="00A61E36" w:rsidRPr="00A61E36" w:rsidRDefault="00A61E36" w:rsidP="00A61E36">
      <w:pPr>
        <w:numPr>
          <w:ilvl w:val="0"/>
          <w:numId w:val="19"/>
        </w:numPr>
        <w:spacing w:after="0"/>
        <w:rPr>
          <w:rFonts w:ascii="Calibri" w:eastAsia="Calibri" w:hAnsi="Calibri" w:cs="Calibri"/>
        </w:rPr>
      </w:pPr>
      <w:r w:rsidRPr="00A61E36">
        <w:rPr>
          <w:rFonts w:ascii="Calibri" w:eastAsia="Calibri" w:hAnsi="Calibri" w:cs="Calibri"/>
        </w:rPr>
        <w:t>Research methodology and approach </w:t>
      </w:r>
    </w:p>
    <w:p w14:paraId="418FBC13" w14:textId="77777777" w:rsidR="00A61E36" w:rsidRPr="00A61E36" w:rsidRDefault="00A61E36" w:rsidP="00A61E36">
      <w:pPr>
        <w:numPr>
          <w:ilvl w:val="0"/>
          <w:numId w:val="19"/>
        </w:numPr>
        <w:spacing w:after="0"/>
        <w:rPr>
          <w:rFonts w:ascii="Calibri" w:eastAsia="Calibri" w:hAnsi="Calibri" w:cs="Calibri"/>
        </w:rPr>
      </w:pPr>
      <w:r w:rsidRPr="00A61E36">
        <w:rPr>
          <w:rFonts w:ascii="Calibri" w:eastAsia="Calibri" w:hAnsi="Calibri" w:cs="Calibri"/>
        </w:rPr>
        <w:t>Data analysis </w:t>
      </w:r>
    </w:p>
    <w:p w14:paraId="422F0915" w14:textId="77777777" w:rsidR="00A61E36" w:rsidRPr="00A61E36" w:rsidRDefault="00A61E36" w:rsidP="00A61E36">
      <w:pPr>
        <w:numPr>
          <w:ilvl w:val="0"/>
          <w:numId w:val="19"/>
        </w:numPr>
        <w:spacing w:after="0"/>
        <w:rPr>
          <w:rFonts w:ascii="Calibri" w:eastAsia="Calibri" w:hAnsi="Calibri" w:cs="Calibri"/>
        </w:rPr>
      </w:pPr>
      <w:r w:rsidRPr="00A61E36">
        <w:rPr>
          <w:rFonts w:ascii="Calibri" w:eastAsia="Calibri" w:hAnsi="Calibri" w:cs="Calibri"/>
        </w:rPr>
        <w:t>Interpretation of results </w:t>
      </w:r>
    </w:p>
    <w:p w14:paraId="217C3EDA" w14:textId="77777777" w:rsidR="00A61E36" w:rsidRPr="00A61E36" w:rsidRDefault="00A61E36" w:rsidP="00A61E36">
      <w:pPr>
        <w:numPr>
          <w:ilvl w:val="0"/>
          <w:numId w:val="20"/>
        </w:numPr>
        <w:spacing w:after="0"/>
        <w:rPr>
          <w:rFonts w:ascii="Calibri" w:eastAsia="Calibri" w:hAnsi="Calibri" w:cs="Calibri"/>
        </w:rPr>
      </w:pPr>
      <w:r w:rsidRPr="00A61E36">
        <w:rPr>
          <w:rFonts w:ascii="Calibri" w:eastAsia="Calibri" w:hAnsi="Calibri" w:cs="Calibri"/>
        </w:rPr>
        <w:t>Draft reports </w:t>
      </w:r>
    </w:p>
    <w:p w14:paraId="3683EAF7" w14:textId="77777777" w:rsidR="00A61E36" w:rsidRPr="00A61E36" w:rsidRDefault="00A61E36" w:rsidP="00A61E36">
      <w:pPr>
        <w:numPr>
          <w:ilvl w:val="0"/>
          <w:numId w:val="20"/>
        </w:numPr>
        <w:spacing w:after="0"/>
        <w:rPr>
          <w:rFonts w:ascii="Calibri" w:eastAsia="Calibri" w:hAnsi="Calibri" w:cs="Calibri"/>
        </w:rPr>
      </w:pPr>
      <w:r w:rsidRPr="00A61E36">
        <w:rPr>
          <w:rFonts w:ascii="Calibri" w:eastAsia="Calibri" w:hAnsi="Calibri" w:cs="Calibri"/>
        </w:rPr>
        <w:t>Knowledge translation, and </w:t>
      </w:r>
    </w:p>
    <w:p w14:paraId="2AA4D2BD" w14:textId="76D0EA74" w:rsidR="00A61E36" w:rsidRPr="00A61E36" w:rsidRDefault="00A61E36" w:rsidP="00A61E36">
      <w:pPr>
        <w:numPr>
          <w:ilvl w:val="0"/>
          <w:numId w:val="20"/>
        </w:numPr>
        <w:spacing w:after="0"/>
        <w:rPr>
          <w:rFonts w:ascii="Calibri" w:eastAsia="Calibri" w:hAnsi="Calibri" w:cs="Calibri"/>
        </w:rPr>
      </w:pPr>
      <w:r w:rsidRPr="00A61E36">
        <w:rPr>
          <w:rFonts w:ascii="Calibri" w:eastAsia="Calibri" w:hAnsi="Calibri" w:cs="Calibri"/>
        </w:rPr>
        <w:t>Data dissemination and management. </w:t>
      </w:r>
    </w:p>
    <w:p w14:paraId="595CA0D9" w14:textId="77777777" w:rsidR="00A25602" w:rsidRDefault="00A25602" w:rsidP="00A61E36">
      <w:pPr>
        <w:spacing w:after="0"/>
        <w:rPr>
          <w:rFonts w:ascii="Calibri" w:eastAsia="Calibri" w:hAnsi="Calibri" w:cs="Calibri"/>
        </w:rPr>
      </w:pPr>
    </w:p>
    <w:p w14:paraId="10356412" w14:textId="0E18680E" w:rsidR="00A61E36" w:rsidRPr="00A61E36" w:rsidRDefault="00A61E36" w:rsidP="00A61E36">
      <w:pPr>
        <w:spacing w:after="0"/>
        <w:rPr>
          <w:rFonts w:ascii="Calibri" w:eastAsia="Calibri" w:hAnsi="Calibri" w:cs="Calibri"/>
        </w:rPr>
      </w:pPr>
      <w:r w:rsidRPr="00A61E36">
        <w:rPr>
          <w:rFonts w:ascii="Calibri" w:eastAsia="Calibri" w:hAnsi="Calibri" w:cs="Calibri"/>
        </w:rPr>
        <w:t xml:space="preserve">The Panel’s role will also include the review of external research applications to access the POCLS data, and review of external researcher’s analysis and reporting of that data. </w:t>
      </w:r>
    </w:p>
    <w:p w14:paraId="13F8DEF4" w14:textId="77777777" w:rsidR="00A61E36" w:rsidRPr="00B34C60" w:rsidRDefault="00A61E36" w:rsidP="00B923E8">
      <w:pPr>
        <w:spacing w:after="0"/>
        <w:rPr>
          <w:rFonts w:ascii="Calibri" w:eastAsia="Calibri" w:hAnsi="Calibri" w:cs="Calibri"/>
          <w:lang w:val="en-US"/>
        </w:rPr>
      </w:pPr>
    </w:p>
    <w:sectPr w:rsidR="00A61E36" w:rsidRPr="00B34C6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3E4A" w14:textId="77777777" w:rsidR="001F6BB1" w:rsidRDefault="001F6BB1" w:rsidP="00094E85">
      <w:pPr>
        <w:spacing w:after="0" w:line="240" w:lineRule="auto"/>
      </w:pPr>
      <w:r>
        <w:separator/>
      </w:r>
    </w:p>
  </w:endnote>
  <w:endnote w:type="continuationSeparator" w:id="0">
    <w:p w14:paraId="69C67A96" w14:textId="77777777" w:rsidR="001F6BB1" w:rsidRDefault="001F6BB1" w:rsidP="0009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96169"/>
      <w:docPartObj>
        <w:docPartGallery w:val="Page Numbers (Bottom of Page)"/>
        <w:docPartUnique/>
      </w:docPartObj>
    </w:sdtPr>
    <w:sdtEndPr>
      <w:rPr>
        <w:noProof/>
      </w:rPr>
    </w:sdtEndPr>
    <w:sdtContent>
      <w:p w14:paraId="7109D1E4" w14:textId="77777777" w:rsidR="008D58D0" w:rsidRDefault="00107A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C5FFAE" w14:textId="77777777" w:rsidR="008D58D0" w:rsidRDefault="00107A32">
    <w:pPr>
      <w:pStyle w:val="Footer"/>
    </w:pPr>
    <w:r>
      <w:rPr>
        <w:noProof/>
        <w:lang w:eastAsia="en-AU"/>
      </w:rPr>
      <w:drawing>
        <wp:anchor distT="0" distB="0" distL="114300" distR="114300" simplePos="0" relativeHeight="251659264" behindDoc="1" locked="1" layoutInCell="1" allowOverlap="1" wp14:anchorId="77205AB5" wp14:editId="2F44D28F">
          <wp:simplePos x="0" y="0"/>
          <wp:positionH relativeFrom="page">
            <wp:align>right</wp:align>
          </wp:positionH>
          <wp:positionV relativeFrom="page">
            <wp:posOffset>9505950</wp:posOffset>
          </wp:positionV>
          <wp:extent cx="7769225" cy="609600"/>
          <wp:effectExtent l="0" t="0" r="3175"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ec_Letterhead-footer.pdf"/>
                  <pic:cNvPicPr/>
                </pic:nvPicPr>
                <pic:blipFill>
                  <a:blip r:embed="rId1"/>
                  <a:stretch>
                    <a:fillRect/>
                  </a:stretch>
                </pic:blipFill>
                <pic:spPr>
                  <a:xfrm>
                    <a:off x="0" y="0"/>
                    <a:ext cx="7769225" cy="6096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0621" w14:textId="77777777" w:rsidR="001F6BB1" w:rsidRDefault="001F6BB1" w:rsidP="00094E85">
      <w:pPr>
        <w:spacing w:after="0" w:line="240" w:lineRule="auto"/>
      </w:pPr>
      <w:r>
        <w:separator/>
      </w:r>
    </w:p>
  </w:footnote>
  <w:footnote w:type="continuationSeparator" w:id="0">
    <w:p w14:paraId="3543B385" w14:textId="77777777" w:rsidR="001F6BB1" w:rsidRDefault="001F6BB1" w:rsidP="00094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2CE7" w14:textId="77777777" w:rsidR="008D58D0" w:rsidRDefault="00107A32" w:rsidP="00111DDD">
    <w:pPr>
      <w:rPr>
        <w:lang w:eastAsia="en-GB"/>
      </w:rPr>
    </w:pPr>
    <w:r>
      <w:rPr>
        <w:noProof/>
        <w:lang w:eastAsia="en-AU"/>
      </w:rPr>
      <w:drawing>
        <wp:inline distT="0" distB="0" distL="0" distR="0" wp14:anchorId="67B4A46E" wp14:editId="1814F5A4">
          <wp:extent cx="895350" cy="895350"/>
          <wp:effectExtent l="0" t="0" r="0" b="0"/>
          <wp:docPr id="1263792573" name="Picture 126379257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2B344AD9" w14:textId="77777777" w:rsidR="008D58D0" w:rsidRDefault="00107A32">
    <w:pPr>
      <w:pStyle w:val="Header"/>
    </w:pPr>
    <w:r>
      <w:rPr>
        <w:lang w:eastAsia="en-GB"/>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527"/>
    <w:multiLevelType w:val="hybridMultilevel"/>
    <w:tmpl w:val="99C49AF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E5EB1"/>
    <w:multiLevelType w:val="hybridMultilevel"/>
    <w:tmpl w:val="2146F592"/>
    <w:lvl w:ilvl="0" w:tplc="B65A1200">
      <w:start w:val="1"/>
      <w:numFmt w:val="decimal"/>
      <w:lvlText w:val="%1."/>
      <w:lvlJc w:val="left"/>
      <w:pPr>
        <w:ind w:left="360" w:hanging="360"/>
      </w:pPr>
      <w:rPr>
        <w:rFonts w:hint="default"/>
        <w:b/>
        <w:bCs/>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C8D00B2"/>
    <w:multiLevelType w:val="hybridMultilevel"/>
    <w:tmpl w:val="9BC2DD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FA24441"/>
    <w:multiLevelType w:val="hybridMultilevel"/>
    <w:tmpl w:val="29D681B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58357B1"/>
    <w:multiLevelType w:val="multilevel"/>
    <w:tmpl w:val="E5D4B79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E077ACE"/>
    <w:multiLevelType w:val="multilevel"/>
    <w:tmpl w:val="F580F65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5832539"/>
    <w:multiLevelType w:val="multilevel"/>
    <w:tmpl w:val="5C84CD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E7A14CD"/>
    <w:multiLevelType w:val="multilevel"/>
    <w:tmpl w:val="4C36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5F0DA1"/>
    <w:multiLevelType w:val="hybridMultilevel"/>
    <w:tmpl w:val="F792236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9" w15:restartNumberingAfterBreak="0">
    <w:nsid w:val="519806C2"/>
    <w:multiLevelType w:val="hybridMultilevel"/>
    <w:tmpl w:val="C85ACAD0"/>
    <w:lvl w:ilvl="0" w:tplc="7882B79A">
      <w:start w:val="2"/>
      <w:numFmt w:val="decimal"/>
      <w:lvlText w:val="%1."/>
      <w:lvlJc w:val="left"/>
      <w:pPr>
        <w:ind w:left="360" w:hanging="360"/>
      </w:pPr>
      <w:rPr>
        <w:rFonts w:hint="default"/>
        <w:b/>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666C58"/>
    <w:multiLevelType w:val="multilevel"/>
    <w:tmpl w:val="6ED43FE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5305365C"/>
    <w:multiLevelType w:val="hybridMultilevel"/>
    <w:tmpl w:val="3DC89D80"/>
    <w:lvl w:ilvl="0" w:tplc="E4BC9432">
      <w:numFmt w:val="bullet"/>
      <w:lvlText w:val=""/>
      <w:lvlJc w:val="left"/>
      <w:pPr>
        <w:ind w:left="1541" w:hanging="360"/>
      </w:pPr>
      <w:rPr>
        <w:rFonts w:ascii="Symbol" w:eastAsia="Symbol" w:hAnsi="Symbol" w:cs="Symbol" w:hint="default"/>
        <w:b w:val="0"/>
        <w:bCs w:val="0"/>
        <w:i w:val="0"/>
        <w:iCs w:val="0"/>
        <w:spacing w:val="0"/>
        <w:w w:val="100"/>
        <w:sz w:val="22"/>
        <w:szCs w:val="22"/>
        <w:lang w:val="en-US" w:eastAsia="en-US" w:bidi="ar-SA"/>
      </w:rPr>
    </w:lvl>
    <w:lvl w:ilvl="1" w:tplc="AC106FFE">
      <w:numFmt w:val="bullet"/>
      <w:lvlText w:val=""/>
      <w:lvlJc w:val="left"/>
      <w:pPr>
        <w:ind w:left="1541" w:hanging="360"/>
      </w:pPr>
      <w:rPr>
        <w:rFonts w:ascii="Symbol" w:eastAsia="Symbol" w:hAnsi="Symbol" w:cs="Symbol" w:hint="default"/>
        <w:b w:val="0"/>
        <w:bCs w:val="0"/>
        <w:i w:val="0"/>
        <w:iCs w:val="0"/>
        <w:spacing w:val="0"/>
        <w:w w:val="100"/>
        <w:sz w:val="22"/>
        <w:szCs w:val="22"/>
        <w:lang w:val="en-US" w:eastAsia="en-US" w:bidi="ar-SA"/>
      </w:rPr>
    </w:lvl>
    <w:lvl w:ilvl="2" w:tplc="D566547C">
      <w:numFmt w:val="bullet"/>
      <w:lvlText w:val="•"/>
      <w:lvlJc w:val="left"/>
      <w:pPr>
        <w:ind w:left="3077" w:hanging="360"/>
      </w:pPr>
      <w:rPr>
        <w:rFonts w:hint="default"/>
        <w:lang w:val="en-US" w:eastAsia="en-US" w:bidi="ar-SA"/>
      </w:rPr>
    </w:lvl>
    <w:lvl w:ilvl="3" w:tplc="6FAC8434">
      <w:numFmt w:val="bullet"/>
      <w:lvlText w:val="•"/>
      <w:lvlJc w:val="left"/>
      <w:pPr>
        <w:ind w:left="3845" w:hanging="360"/>
      </w:pPr>
      <w:rPr>
        <w:rFonts w:hint="default"/>
        <w:lang w:val="en-US" w:eastAsia="en-US" w:bidi="ar-SA"/>
      </w:rPr>
    </w:lvl>
    <w:lvl w:ilvl="4" w:tplc="4A32CF3C">
      <w:numFmt w:val="bullet"/>
      <w:lvlText w:val="•"/>
      <w:lvlJc w:val="left"/>
      <w:pPr>
        <w:ind w:left="4614" w:hanging="360"/>
      </w:pPr>
      <w:rPr>
        <w:rFonts w:hint="default"/>
        <w:lang w:val="en-US" w:eastAsia="en-US" w:bidi="ar-SA"/>
      </w:rPr>
    </w:lvl>
    <w:lvl w:ilvl="5" w:tplc="D07A8D60">
      <w:numFmt w:val="bullet"/>
      <w:lvlText w:val="•"/>
      <w:lvlJc w:val="left"/>
      <w:pPr>
        <w:ind w:left="5382" w:hanging="360"/>
      </w:pPr>
      <w:rPr>
        <w:rFonts w:hint="default"/>
        <w:lang w:val="en-US" w:eastAsia="en-US" w:bidi="ar-SA"/>
      </w:rPr>
    </w:lvl>
    <w:lvl w:ilvl="6" w:tplc="2AAEA3BE">
      <w:numFmt w:val="bullet"/>
      <w:lvlText w:val="•"/>
      <w:lvlJc w:val="left"/>
      <w:pPr>
        <w:ind w:left="6151" w:hanging="360"/>
      </w:pPr>
      <w:rPr>
        <w:rFonts w:hint="default"/>
        <w:lang w:val="en-US" w:eastAsia="en-US" w:bidi="ar-SA"/>
      </w:rPr>
    </w:lvl>
    <w:lvl w:ilvl="7" w:tplc="4EA46882">
      <w:numFmt w:val="bullet"/>
      <w:lvlText w:val="•"/>
      <w:lvlJc w:val="left"/>
      <w:pPr>
        <w:ind w:left="6919" w:hanging="360"/>
      </w:pPr>
      <w:rPr>
        <w:rFonts w:hint="default"/>
        <w:lang w:val="en-US" w:eastAsia="en-US" w:bidi="ar-SA"/>
      </w:rPr>
    </w:lvl>
    <w:lvl w:ilvl="8" w:tplc="A80EC70E">
      <w:numFmt w:val="bullet"/>
      <w:lvlText w:val="•"/>
      <w:lvlJc w:val="left"/>
      <w:pPr>
        <w:ind w:left="7688" w:hanging="360"/>
      </w:pPr>
      <w:rPr>
        <w:rFonts w:hint="default"/>
        <w:lang w:val="en-US" w:eastAsia="en-US" w:bidi="ar-SA"/>
      </w:rPr>
    </w:lvl>
  </w:abstractNum>
  <w:abstractNum w:abstractNumId="12" w15:restartNumberingAfterBreak="0">
    <w:nsid w:val="57384D05"/>
    <w:multiLevelType w:val="hybridMultilevel"/>
    <w:tmpl w:val="1C94B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204D55"/>
    <w:multiLevelType w:val="hybridMultilevel"/>
    <w:tmpl w:val="F34665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E25300"/>
    <w:multiLevelType w:val="multilevel"/>
    <w:tmpl w:val="FC9A3730"/>
    <w:lvl w:ilvl="0">
      <w:start w:val="5"/>
      <w:numFmt w:val="lowerLetter"/>
      <w:lvlText w:val="%1."/>
      <w:lvlJc w:val="left"/>
      <w:pPr>
        <w:tabs>
          <w:tab w:val="num" w:pos="2100"/>
        </w:tabs>
        <w:ind w:left="2100" w:hanging="360"/>
      </w:pPr>
    </w:lvl>
    <w:lvl w:ilvl="1">
      <w:start w:val="1"/>
      <w:numFmt w:val="lowerLetter"/>
      <w:lvlText w:val="%2."/>
      <w:lvlJc w:val="left"/>
      <w:pPr>
        <w:tabs>
          <w:tab w:val="num" w:pos="2820"/>
        </w:tabs>
        <w:ind w:left="2820" w:hanging="360"/>
      </w:pPr>
    </w:lvl>
    <w:lvl w:ilvl="2">
      <w:start w:val="1"/>
      <w:numFmt w:val="lowerLetter"/>
      <w:lvlText w:val="%3."/>
      <w:lvlJc w:val="left"/>
      <w:pPr>
        <w:tabs>
          <w:tab w:val="num" w:pos="3540"/>
        </w:tabs>
        <w:ind w:left="3540" w:hanging="360"/>
      </w:pPr>
    </w:lvl>
    <w:lvl w:ilvl="3">
      <w:start w:val="1"/>
      <w:numFmt w:val="lowerLetter"/>
      <w:lvlText w:val="%4."/>
      <w:lvlJc w:val="left"/>
      <w:pPr>
        <w:tabs>
          <w:tab w:val="num" w:pos="4260"/>
        </w:tabs>
        <w:ind w:left="4260" w:hanging="360"/>
      </w:pPr>
    </w:lvl>
    <w:lvl w:ilvl="4">
      <w:start w:val="1"/>
      <w:numFmt w:val="lowerLetter"/>
      <w:lvlText w:val="%5."/>
      <w:lvlJc w:val="left"/>
      <w:pPr>
        <w:tabs>
          <w:tab w:val="num" w:pos="4980"/>
        </w:tabs>
        <w:ind w:left="4980" w:hanging="360"/>
      </w:pPr>
    </w:lvl>
    <w:lvl w:ilvl="5">
      <w:start w:val="1"/>
      <w:numFmt w:val="lowerLetter"/>
      <w:lvlText w:val="%6."/>
      <w:lvlJc w:val="left"/>
      <w:pPr>
        <w:tabs>
          <w:tab w:val="num" w:pos="5700"/>
        </w:tabs>
        <w:ind w:left="5700" w:hanging="360"/>
      </w:pPr>
    </w:lvl>
    <w:lvl w:ilvl="6">
      <w:start w:val="1"/>
      <w:numFmt w:val="lowerLetter"/>
      <w:lvlText w:val="%7."/>
      <w:lvlJc w:val="left"/>
      <w:pPr>
        <w:tabs>
          <w:tab w:val="num" w:pos="6420"/>
        </w:tabs>
        <w:ind w:left="6420" w:hanging="360"/>
      </w:pPr>
    </w:lvl>
    <w:lvl w:ilvl="7">
      <w:start w:val="1"/>
      <w:numFmt w:val="lowerLetter"/>
      <w:lvlText w:val="%8."/>
      <w:lvlJc w:val="left"/>
      <w:pPr>
        <w:tabs>
          <w:tab w:val="num" w:pos="7140"/>
        </w:tabs>
        <w:ind w:left="7140" w:hanging="360"/>
      </w:pPr>
    </w:lvl>
    <w:lvl w:ilvl="8">
      <w:start w:val="1"/>
      <w:numFmt w:val="lowerLetter"/>
      <w:lvlText w:val="%9."/>
      <w:lvlJc w:val="left"/>
      <w:pPr>
        <w:tabs>
          <w:tab w:val="num" w:pos="7860"/>
        </w:tabs>
        <w:ind w:left="7860" w:hanging="360"/>
      </w:pPr>
    </w:lvl>
  </w:abstractNum>
  <w:abstractNum w:abstractNumId="15" w15:restartNumberingAfterBreak="0">
    <w:nsid w:val="5F260F4A"/>
    <w:multiLevelType w:val="multilevel"/>
    <w:tmpl w:val="74AE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AE6F47"/>
    <w:multiLevelType w:val="hybridMultilevel"/>
    <w:tmpl w:val="6820F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352CC5"/>
    <w:multiLevelType w:val="multilevel"/>
    <w:tmpl w:val="96C6C494"/>
    <w:lvl w:ilvl="0">
      <w:start w:val="1"/>
      <w:numFmt w:val="decimal"/>
      <w:pStyle w:val="ListBullet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150378"/>
    <w:multiLevelType w:val="multilevel"/>
    <w:tmpl w:val="829AB0F0"/>
    <w:lvl w:ilvl="0">
      <w:start w:val="3"/>
      <w:numFmt w:val="decimal"/>
      <w:lvlText w:val="%1."/>
      <w:lvlJc w:val="left"/>
      <w:pPr>
        <w:ind w:left="360" w:hanging="360"/>
      </w:pPr>
      <w:rPr>
        <w:rFonts w:hint="default"/>
        <w:b/>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F931C9B"/>
    <w:multiLevelType w:val="multilevel"/>
    <w:tmpl w:val="14FA419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58359278">
    <w:abstractNumId w:val="0"/>
  </w:num>
  <w:num w:numId="2" w16cid:durableId="1141843778">
    <w:abstractNumId w:val="16"/>
  </w:num>
  <w:num w:numId="3" w16cid:durableId="1758551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878402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941235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407328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210597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65262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6258645">
    <w:abstractNumId w:val="17"/>
  </w:num>
  <w:num w:numId="10" w16cid:durableId="1481920507">
    <w:abstractNumId w:val="3"/>
  </w:num>
  <w:num w:numId="11" w16cid:durableId="1593735226">
    <w:abstractNumId w:val="2"/>
  </w:num>
  <w:num w:numId="12" w16cid:durableId="69734569">
    <w:abstractNumId w:val="13"/>
  </w:num>
  <w:num w:numId="13" w16cid:durableId="1542589733">
    <w:abstractNumId w:val="1"/>
  </w:num>
  <w:num w:numId="14" w16cid:durableId="259875584">
    <w:abstractNumId w:val="9"/>
  </w:num>
  <w:num w:numId="15" w16cid:durableId="2113431781">
    <w:abstractNumId w:val="12"/>
  </w:num>
  <w:num w:numId="16" w16cid:durableId="1665474494">
    <w:abstractNumId w:val="18"/>
  </w:num>
  <w:num w:numId="17" w16cid:durableId="1444613693">
    <w:abstractNumId w:val="11"/>
  </w:num>
  <w:num w:numId="18" w16cid:durableId="1114178399">
    <w:abstractNumId w:val="8"/>
  </w:num>
  <w:num w:numId="19" w16cid:durableId="161746452">
    <w:abstractNumId w:val="7"/>
  </w:num>
  <w:num w:numId="20" w16cid:durableId="20146036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85"/>
    <w:rsid w:val="000038F1"/>
    <w:rsid w:val="000061B6"/>
    <w:rsid w:val="00006883"/>
    <w:rsid w:val="000137BD"/>
    <w:rsid w:val="000140A3"/>
    <w:rsid w:val="000143C5"/>
    <w:rsid w:val="00016CE7"/>
    <w:rsid w:val="0001764D"/>
    <w:rsid w:val="00022A3B"/>
    <w:rsid w:val="0002316F"/>
    <w:rsid w:val="0003209D"/>
    <w:rsid w:val="0003579E"/>
    <w:rsid w:val="00035EA5"/>
    <w:rsid w:val="00037F65"/>
    <w:rsid w:val="00041532"/>
    <w:rsid w:val="000540EB"/>
    <w:rsid w:val="000613AC"/>
    <w:rsid w:val="00065B85"/>
    <w:rsid w:val="000746A2"/>
    <w:rsid w:val="00080381"/>
    <w:rsid w:val="00082A60"/>
    <w:rsid w:val="0008306C"/>
    <w:rsid w:val="00083D8D"/>
    <w:rsid w:val="000845BE"/>
    <w:rsid w:val="0009045B"/>
    <w:rsid w:val="00092EA9"/>
    <w:rsid w:val="00093AE9"/>
    <w:rsid w:val="00094E85"/>
    <w:rsid w:val="000961D3"/>
    <w:rsid w:val="000A14C8"/>
    <w:rsid w:val="000A6A11"/>
    <w:rsid w:val="000A6EFB"/>
    <w:rsid w:val="000B4E3E"/>
    <w:rsid w:val="000C0571"/>
    <w:rsid w:val="000D25A1"/>
    <w:rsid w:val="000D34D1"/>
    <w:rsid w:val="000E1177"/>
    <w:rsid w:val="000E34DE"/>
    <w:rsid w:val="000E4B4A"/>
    <w:rsid w:val="000E5D4F"/>
    <w:rsid w:val="000F1C2E"/>
    <w:rsid w:val="000F5678"/>
    <w:rsid w:val="0010108D"/>
    <w:rsid w:val="001023C4"/>
    <w:rsid w:val="00102683"/>
    <w:rsid w:val="0010510B"/>
    <w:rsid w:val="00107A32"/>
    <w:rsid w:val="001107AC"/>
    <w:rsid w:val="00115060"/>
    <w:rsid w:val="00116CA3"/>
    <w:rsid w:val="00121E3D"/>
    <w:rsid w:val="0012571B"/>
    <w:rsid w:val="00131E0C"/>
    <w:rsid w:val="00131E49"/>
    <w:rsid w:val="00140B33"/>
    <w:rsid w:val="0014361F"/>
    <w:rsid w:val="0014454D"/>
    <w:rsid w:val="00152AFC"/>
    <w:rsid w:val="001531BC"/>
    <w:rsid w:val="0016560C"/>
    <w:rsid w:val="0016620D"/>
    <w:rsid w:val="001670CF"/>
    <w:rsid w:val="0016725B"/>
    <w:rsid w:val="00174847"/>
    <w:rsid w:val="001774EA"/>
    <w:rsid w:val="001825E3"/>
    <w:rsid w:val="001834F5"/>
    <w:rsid w:val="0018441C"/>
    <w:rsid w:val="001900C4"/>
    <w:rsid w:val="001903D7"/>
    <w:rsid w:val="00190A4C"/>
    <w:rsid w:val="001916A3"/>
    <w:rsid w:val="0019347B"/>
    <w:rsid w:val="001A253A"/>
    <w:rsid w:val="001A5029"/>
    <w:rsid w:val="001B1256"/>
    <w:rsid w:val="001B1B73"/>
    <w:rsid w:val="001B42A9"/>
    <w:rsid w:val="001B6EFE"/>
    <w:rsid w:val="001B74C6"/>
    <w:rsid w:val="001C427B"/>
    <w:rsid w:val="001D1CA5"/>
    <w:rsid w:val="001D394C"/>
    <w:rsid w:val="001D6132"/>
    <w:rsid w:val="001E3673"/>
    <w:rsid w:val="001E5503"/>
    <w:rsid w:val="001E7219"/>
    <w:rsid w:val="001F4C2D"/>
    <w:rsid w:val="001F54CA"/>
    <w:rsid w:val="001F5CBB"/>
    <w:rsid w:val="001F6BB1"/>
    <w:rsid w:val="0020125F"/>
    <w:rsid w:val="0020686A"/>
    <w:rsid w:val="002107BE"/>
    <w:rsid w:val="00214B3F"/>
    <w:rsid w:val="002156B6"/>
    <w:rsid w:val="002205D4"/>
    <w:rsid w:val="0022430C"/>
    <w:rsid w:val="00225BB1"/>
    <w:rsid w:val="0022716A"/>
    <w:rsid w:val="00227CC3"/>
    <w:rsid w:val="0023328D"/>
    <w:rsid w:val="002377D9"/>
    <w:rsid w:val="00241FBD"/>
    <w:rsid w:val="002428C9"/>
    <w:rsid w:val="002461F8"/>
    <w:rsid w:val="00247FBE"/>
    <w:rsid w:val="00251CA9"/>
    <w:rsid w:val="002544F8"/>
    <w:rsid w:val="0025461F"/>
    <w:rsid w:val="00254C2C"/>
    <w:rsid w:val="00263BF5"/>
    <w:rsid w:val="002705EE"/>
    <w:rsid w:val="002709A1"/>
    <w:rsid w:val="00274C92"/>
    <w:rsid w:val="002808F2"/>
    <w:rsid w:val="00285B43"/>
    <w:rsid w:val="002870E6"/>
    <w:rsid w:val="00287616"/>
    <w:rsid w:val="002937AB"/>
    <w:rsid w:val="002969AA"/>
    <w:rsid w:val="002A07A9"/>
    <w:rsid w:val="002A0FF3"/>
    <w:rsid w:val="002B2AAB"/>
    <w:rsid w:val="002B3C2A"/>
    <w:rsid w:val="002C08C9"/>
    <w:rsid w:val="002C2EFC"/>
    <w:rsid w:val="002C6415"/>
    <w:rsid w:val="002D4A4D"/>
    <w:rsid w:val="002E174B"/>
    <w:rsid w:val="002E337D"/>
    <w:rsid w:val="002E77DC"/>
    <w:rsid w:val="002E79B1"/>
    <w:rsid w:val="002F5204"/>
    <w:rsid w:val="002F5793"/>
    <w:rsid w:val="002F5960"/>
    <w:rsid w:val="00300E12"/>
    <w:rsid w:val="00302BD1"/>
    <w:rsid w:val="0031021B"/>
    <w:rsid w:val="00313705"/>
    <w:rsid w:val="00315E0A"/>
    <w:rsid w:val="00317E9C"/>
    <w:rsid w:val="00324402"/>
    <w:rsid w:val="00325F9B"/>
    <w:rsid w:val="00327368"/>
    <w:rsid w:val="003312F8"/>
    <w:rsid w:val="00332538"/>
    <w:rsid w:val="00332707"/>
    <w:rsid w:val="00334538"/>
    <w:rsid w:val="0033486E"/>
    <w:rsid w:val="00340B25"/>
    <w:rsid w:val="00361624"/>
    <w:rsid w:val="0036268B"/>
    <w:rsid w:val="0036487A"/>
    <w:rsid w:val="00364A84"/>
    <w:rsid w:val="0037138F"/>
    <w:rsid w:val="00373CF9"/>
    <w:rsid w:val="00376F0E"/>
    <w:rsid w:val="00376F8E"/>
    <w:rsid w:val="0038005B"/>
    <w:rsid w:val="003803EE"/>
    <w:rsid w:val="0039022F"/>
    <w:rsid w:val="00390B9A"/>
    <w:rsid w:val="00392F3B"/>
    <w:rsid w:val="003A4CEB"/>
    <w:rsid w:val="003A62DE"/>
    <w:rsid w:val="003A662B"/>
    <w:rsid w:val="003B2DB3"/>
    <w:rsid w:val="003B3AF7"/>
    <w:rsid w:val="003D42FA"/>
    <w:rsid w:val="003E01FF"/>
    <w:rsid w:val="003E6197"/>
    <w:rsid w:val="003E72E5"/>
    <w:rsid w:val="003F2708"/>
    <w:rsid w:val="003F5A19"/>
    <w:rsid w:val="003F6563"/>
    <w:rsid w:val="00400C86"/>
    <w:rsid w:val="004013F3"/>
    <w:rsid w:val="004027A1"/>
    <w:rsid w:val="00403E3E"/>
    <w:rsid w:val="00405B74"/>
    <w:rsid w:val="00406CCC"/>
    <w:rsid w:val="004104B8"/>
    <w:rsid w:val="00417489"/>
    <w:rsid w:val="00423F48"/>
    <w:rsid w:val="00435FA7"/>
    <w:rsid w:val="00437142"/>
    <w:rsid w:val="00441B30"/>
    <w:rsid w:val="0044493D"/>
    <w:rsid w:val="00453BA9"/>
    <w:rsid w:val="00463523"/>
    <w:rsid w:val="00470951"/>
    <w:rsid w:val="00471851"/>
    <w:rsid w:val="00471B97"/>
    <w:rsid w:val="00472081"/>
    <w:rsid w:val="004826F1"/>
    <w:rsid w:val="00485537"/>
    <w:rsid w:val="00487022"/>
    <w:rsid w:val="004929E9"/>
    <w:rsid w:val="00494ED0"/>
    <w:rsid w:val="00495425"/>
    <w:rsid w:val="004A2102"/>
    <w:rsid w:val="004A674C"/>
    <w:rsid w:val="004B2968"/>
    <w:rsid w:val="004B6FDD"/>
    <w:rsid w:val="004B7F8E"/>
    <w:rsid w:val="004C475D"/>
    <w:rsid w:val="004C494F"/>
    <w:rsid w:val="004D549F"/>
    <w:rsid w:val="004D7C6F"/>
    <w:rsid w:val="004E16C2"/>
    <w:rsid w:val="004E20FC"/>
    <w:rsid w:val="004E394B"/>
    <w:rsid w:val="004F300C"/>
    <w:rsid w:val="004F7D19"/>
    <w:rsid w:val="004F7DA5"/>
    <w:rsid w:val="00502E51"/>
    <w:rsid w:val="00514552"/>
    <w:rsid w:val="005179DD"/>
    <w:rsid w:val="0052081B"/>
    <w:rsid w:val="00525334"/>
    <w:rsid w:val="005337A4"/>
    <w:rsid w:val="00537B3D"/>
    <w:rsid w:val="0054071C"/>
    <w:rsid w:val="00546031"/>
    <w:rsid w:val="00546F7C"/>
    <w:rsid w:val="0055010B"/>
    <w:rsid w:val="00553D47"/>
    <w:rsid w:val="005543AC"/>
    <w:rsid w:val="0055490D"/>
    <w:rsid w:val="00554E6B"/>
    <w:rsid w:val="00561B97"/>
    <w:rsid w:val="00562005"/>
    <w:rsid w:val="005746A9"/>
    <w:rsid w:val="00577561"/>
    <w:rsid w:val="0058294E"/>
    <w:rsid w:val="005948B6"/>
    <w:rsid w:val="005A2E74"/>
    <w:rsid w:val="005B0C55"/>
    <w:rsid w:val="005B58A4"/>
    <w:rsid w:val="005B6E03"/>
    <w:rsid w:val="005C0387"/>
    <w:rsid w:val="005C5F63"/>
    <w:rsid w:val="005C761F"/>
    <w:rsid w:val="005D05AA"/>
    <w:rsid w:val="005F0685"/>
    <w:rsid w:val="005F3D7B"/>
    <w:rsid w:val="005F6D26"/>
    <w:rsid w:val="00603D8A"/>
    <w:rsid w:val="00612B71"/>
    <w:rsid w:val="00615A8F"/>
    <w:rsid w:val="0062070B"/>
    <w:rsid w:val="00622E62"/>
    <w:rsid w:val="00627581"/>
    <w:rsid w:val="00632066"/>
    <w:rsid w:val="00635AB6"/>
    <w:rsid w:val="00635D39"/>
    <w:rsid w:val="00636796"/>
    <w:rsid w:val="006367FF"/>
    <w:rsid w:val="00645A22"/>
    <w:rsid w:val="0064648F"/>
    <w:rsid w:val="006478F7"/>
    <w:rsid w:val="006558F0"/>
    <w:rsid w:val="00655DDE"/>
    <w:rsid w:val="00676FA4"/>
    <w:rsid w:val="00680923"/>
    <w:rsid w:val="006924E5"/>
    <w:rsid w:val="00694199"/>
    <w:rsid w:val="0069577A"/>
    <w:rsid w:val="006958D2"/>
    <w:rsid w:val="00697147"/>
    <w:rsid w:val="006A7524"/>
    <w:rsid w:val="006B434A"/>
    <w:rsid w:val="006C026A"/>
    <w:rsid w:val="006C42A3"/>
    <w:rsid w:val="006C7F07"/>
    <w:rsid w:val="006D0832"/>
    <w:rsid w:val="006D44D5"/>
    <w:rsid w:val="006D474B"/>
    <w:rsid w:val="006D645B"/>
    <w:rsid w:val="006E320A"/>
    <w:rsid w:val="006E6EFB"/>
    <w:rsid w:val="006F0525"/>
    <w:rsid w:val="006F37B9"/>
    <w:rsid w:val="006F3AEC"/>
    <w:rsid w:val="006F4B39"/>
    <w:rsid w:val="007044AD"/>
    <w:rsid w:val="00705C20"/>
    <w:rsid w:val="0071471F"/>
    <w:rsid w:val="00716342"/>
    <w:rsid w:val="00722865"/>
    <w:rsid w:val="00726972"/>
    <w:rsid w:val="007333AB"/>
    <w:rsid w:val="00736931"/>
    <w:rsid w:val="00744780"/>
    <w:rsid w:val="00746C44"/>
    <w:rsid w:val="00750AC8"/>
    <w:rsid w:val="007530A8"/>
    <w:rsid w:val="007607D4"/>
    <w:rsid w:val="00765F88"/>
    <w:rsid w:val="007725AD"/>
    <w:rsid w:val="00772B43"/>
    <w:rsid w:val="00783DF1"/>
    <w:rsid w:val="0078408E"/>
    <w:rsid w:val="00786303"/>
    <w:rsid w:val="00792C60"/>
    <w:rsid w:val="00795445"/>
    <w:rsid w:val="007A7C95"/>
    <w:rsid w:val="007B227A"/>
    <w:rsid w:val="007B6AF0"/>
    <w:rsid w:val="007D0D81"/>
    <w:rsid w:val="007D3C64"/>
    <w:rsid w:val="007D5B33"/>
    <w:rsid w:val="007E469B"/>
    <w:rsid w:val="007E7C43"/>
    <w:rsid w:val="007F106E"/>
    <w:rsid w:val="007F21B0"/>
    <w:rsid w:val="007F3608"/>
    <w:rsid w:val="007F585E"/>
    <w:rsid w:val="00807162"/>
    <w:rsid w:val="0081108E"/>
    <w:rsid w:val="008140C0"/>
    <w:rsid w:val="008176C7"/>
    <w:rsid w:val="00817D4C"/>
    <w:rsid w:val="00824150"/>
    <w:rsid w:val="00824CC3"/>
    <w:rsid w:val="00830ECE"/>
    <w:rsid w:val="008321B5"/>
    <w:rsid w:val="00834749"/>
    <w:rsid w:val="008406F1"/>
    <w:rsid w:val="008417D6"/>
    <w:rsid w:val="00843DA8"/>
    <w:rsid w:val="0084569E"/>
    <w:rsid w:val="00854BC6"/>
    <w:rsid w:val="0086508D"/>
    <w:rsid w:val="00865776"/>
    <w:rsid w:val="0087392B"/>
    <w:rsid w:val="00874BEA"/>
    <w:rsid w:val="00876FA8"/>
    <w:rsid w:val="00894E42"/>
    <w:rsid w:val="00896EE5"/>
    <w:rsid w:val="00897BAB"/>
    <w:rsid w:val="008A3B18"/>
    <w:rsid w:val="008B1BE6"/>
    <w:rsid w:val="008B3E29"/>
    <w:rsid w:val="008C4A14"/>
    <w:rsid w:val="008D58D0"/>
    <w:rsid w:val="008D6233"/>
    <w:rsid w:val="008E0B41"/>
    <w:rsid w:val="008E4CC1"/>
    <w:rsid w:val="008F0362"/>
    <w:rsid w:val="008F5C65"/>
    <w:rsid w:val="00907175"/>
    <w:rsid w:val="00907B0E"/>
    <w:rsid w:val="009142AD"/>
    <w:rsid w:val="00921C73"/>
    <w:rsid w:val="00932E00"/>
    <w:rsid w:val="0093507A"/>
    <w:rsid w:val="009365D2"/>
    <w:rsid w:val="0094031A"/>
    <w:rsid w:val="00946A9A"/>
    <w:rsid w:val="0095159B"/>
    <w:rsid w:val="00953102"/>
    <w:rsid w:val="00957A96"/>
    <w:rsid w:val="0097349B"/>
    <w:rsid w:val="00980767"/>
    <w:rsid w:val="00980F87"/>
    <w:rsid w:val="0098187A"/>
    <w:rsid w:val="00987453"/>
    <w:rsid w:val="00990991"/>
    <w:rsid w:val="00990CC4"/>
    <w:rsid w:val="00992948"/>
    <w:rsid w:val="00993351"/>
    <w:rsid w:val="009956DE"/>
    <w:rsid w:val="00996588"/>
    <w:rsid w:val="009A0863"/>
    <w:rsid w:val="009A28F6"/>
    <w:rsid w:val="009A3273"/>
    <w:rsid w:val="009A4AFE"/>
    <w:rsid w:val="009A65B3"/>
    <w:rsid w:val="009A7877"/>
    <w:rsid w:val="009B4C69"/>
    <w:rsid w:val="009B4D13"/>
    <w:rsid w:val="009C1267"/>
    <w:rsid w:val="009C2BA2"/>
    <w:rsid w:val="009C4B5A"/>
    <w:rsid w:val="009C6C06"/>
    <w:rsid w:val="009C6E68"/>
    <w:rsid w:val="009E4AED"/>
    <w:rsid w:val="009E6136"/>
    <w:rsid w:val="009F2093"/>
    <w:rsid w:val="009F4CEA"/>
    <w:rsid w:val="009F5061"/>
    <w:rsid w:val="00A00340"/>
    <w:rsid w:val="00A04852"/>
    <w:rsid w:val="00A07655"/>
    <w:rsid w:val="00A143B9"/>
    <w:rsid w:val="00A24030"/>
    <w:rsid w:val="00A24DF5"/>
    <w:rsid w:val="00A25602"/>
    <w:rsid w:val="00A268BB"/>
    <w:rsid w:val="00A27B8F"/>
    <w:rsid w:val="00A30B3A"/>
    <w:rsid w:val="00A318D6"/>
    <w:rsid w:val="00A35432"/>
    <w:rsid w:val="00A36B0E"/>
    <w:rsid w:val="00A37E69"/>
    <w:rsid w:val="00A40DF1"/>
    <w:rsid w:val="00A410F0"/>
    <w:rsid w:val="00A56F95"/>
    <w:rsid w:val="00A611FC"/>
    <w:rsid w:val="00A61E36"/>
    <w:rsid w:val="00A6400E"/>
    <w:rsid w:val="00A7006F"/>
    <w:rsid w:val="00A832FA"/>
    <w:rsid w:val="00A838F8"/>
    <w:rsid w:val="00A84C74"/>
    <w:rsid w:val="00A93A13"/>
    <w:rsid w:val="00A96059"/>
    <w:rsid w:val="00AA3390"/>
    <w:rsid w:val="00AA438E"/>
    <w:rsid w:val="00AA4FCC"/>
    <w:rsid w:val="00AA54F5"/>
    <w:rsid w:val="00AB04DC"/>
    <w:rsid w:val="00AB5B2E"/>
    <w:rsid w:val="00AC0AC1"/>
    <w:rsid w:val="00AC4695"/>
    <w:rsid w:val="00AC6830"/>
    <w:rsid w:val="00AD1741"/>
    <w:rsid w:val="00AD2CEA"/>
    <w:rsid w:val="00AD2EA5"/>
    <w:rsid w:val="00AD315E"/>
    <w:rsid w:val="00AD3D99"/>
    <w:rsid w:val="00AD6DF9"/>
    <w:rsid w:val="00AE3CD0"/>
    <w:rsid w:val="00AE4ABC"/>
    <w:rsid w:val="00AE5E6B"/>
    <w:rsid w:val="00AE790E"/>
    <w:rsid w:val="00AF0EB2"/>
    <w:rsid w:val="00AF1A1D"/>
    <w:rsid w:val="00AF382C"/>
    <w:rsid w:val="00AF6EA0"/>
    <w:rsid w:val="00B02813"/>
    <w:rsid w:val="00B076D1"/>
    <w:rsid w:val="00B11B39"/>
    <w:rsid w:val="00B14EB3"/>
    <w:rsid w:val="00B1585F"/>
    <w:rsid w:val="00B15D4E"/>
    <w:rsid w:val="00B17908"/>
    <w:rsid w:val="00B35443"/>
    <w:rsid w:val="00B419C2"/>
    <w:rsid w:val="00B45200"/>
    <w:rsid w:val="00B53EC6"/>
    <w:rsid w:val="00B554EB"/>
    <w:rsid w:val="00B558BB"/>
    <w:rsid w:val="00B5675B"/>
    <w:rsid w:val="00B56EB0"/>
    <w:rsid w:val="00B63701"/>
    <w:rsid w:val="00B63FC6"/>
    <w:rsid w:val="00B65690"/>
    <w:rsid w:val="00B723F4"/>
    <w:rsid w:val="00B725EF"/>
    <w:rsid w:val="00B827FE"/>
    <w:rsid w:val="00B839AC"/>
    <w:rsid w:val="00B923E8"/>
    <w:rsid w:val="00BA2F37"/>
    <w:rsid w:val="00BB6430"/>
    <w:rsid w:val="00BB6D84"/>
    <w:rsid w:val="00BC4187"/>
    <w:rsid w:val="00BC41EA"/>
    <w:rsid w:val="00BC6E73"/>
    <w:rsid w:val="00BC7C45"/>
    <w:rsid w:val="00BD3206"/>
    <w:rsid w:val="00BD607A"/>
    <w:rsid w:val="00BF0665"/>
    <w:rsid w:val="00BF63F6"/>
    <w:rsid w:val="00C00C2E"/>
    <w:rsid w:val="00C02EFF"/>
    <w:rsid w:val="00C11DDE"/>
    <w:rsid w:val="00C227CD"/>
    <w:rsid w:val="00C260E4"/>
    <w:rsid w:val="00C27F5B"/>
    <w:rsid w:val="00C33F60"/>
    <w:rsid w:val="00C37896"/>
    <w:rsid w:val="00C40E93"/>
    <w:rsid w:val="00C4551A"/>
    <w:rsid w:val="00C462AD"/>
    <w:rsid w:val="00C52506"/>
    <w:rsid w:val="00C53F0D"/>
    <w:rsid w:val="00C604C6"/>
    <w:rsid w:val="00C73E90"/>
    <w:rsid w:val="00C82322"/>
    <w:rsid w:val="00C85C06"/>
    <w:rsid w:val="00C9443D"/>
    <w:rsid w:val="00C94FF1"/>
    <w:rsid w:val="00CA1894"/>
    <w:rsid w:val="00CA4BB0"/>
    <w:rsid w:val="00CA5F9D"/>
    <w:rsid w:val="00CB0689"/>
    <w:rsid w:val="00CB0E8E"/>
    <w:rsid w:val="00CB2775"/>
    <w:rsid w:val="00CB2F5B"/>
    <w:rsid w:val="00CB3DB9"/>
    <w:rsid w:val="00CB4364"/>
    <w:rsid w:val="00CB4CF3"/>
    <w:rsid w:val="00CC54B2"/>
    <w:rsid w:val="00CD0705"/>
    <w:rsid w:val="00CD1D06"/>
    <w:rsid w:val="00CD1F71"/>
    <w:rsid w:val="00CD7250"/>
    <w:rsid w:val="00CE17B8"/>
    <w:rsid w:val="00CE1ADA"/>
    <w:rsid w:val="00CE2813"/>
    <w:rsid w:val="00CE32BA"/>
    <w:rsid w:val="00CE3867"/>
    <w:rsid w:val="00CE7386"/>
    <w:rsid w:val="00CF0248"/>
    <w:rsid w:val="00CF1181"/>
    <w:rsid w:val="00CF4A64"/>
    <w:rsid w:val="00D001EB"/>
    <w:rsid w:val="00D11D19"/>
    <w:rsid w:val="00D17938"/>
    <w:rsid w:val="00D361AB"/>
    <w:rsid w:val="00D36820"/>
    <w:rsid w:val="00D43D2A"/>
    <w:rsid w:val="00D470A5"/>
    <w:rsid w:val="00D50AF8"/>
    <w:rsid w:val="00D5235B"/>
    <w:rsid w:val="00D54BD1"/>
    <w:rsid w:val="00D57F44"/>
    <w:rsid w:val="00D67710"/>
    <w:rsid w:val="00D71DB9"/>
    <w:rsid w:val="00D81D85"/>
    <w:rsid w:val="00D860A9"/>
    <w:rsid w:val="00D87058"/>
    <w:rsid w:val="00D907BA"/>
    <w:rsid w:val="00DA1D44"/>
    <w:rsid w:val="00DA1DDC"/>
    <w:rsid w:val="00DA2E01"/>
    <w:rsid w:val="00DA51ED"/>
    <w:rsid w:val="00DA6181"/>
    <w:rsid w:val="00DB4F2B"/>
    <w:rsid w:val="00DB58AF"/>
    <w:rsid w:val="00DB5D08"/>
    <w:rsid w:val="00DC5B57"/>
    <w:rsid w:val="00DC69CF"/>
    <w:rsid w:val="00DC758A"/>
    <w:rsid w:val="00DD0054"/>
    <w:rsid w:val="00DD0EDA"/>
    <w:rsid w:val="00DD1244"/>
    <w:rsid w:val="00DD26DC"/>
    <w:rsid w:val="00DD27CF"/>
    <w:rsid w:val="00DD4802"/>
    <w:rsid w:val="00DD492A"/>
    <w:rsid w:val="00DE156C"/>
    <w:rsid w:val="00DE1735"/>
    <w:rsid w:val="00DE3B79"/>
    <w:rsid w:val="00DE42B0"/>
    <w:rsid w:val="00DF6A61"/>
    <w:rsid w:val="00E12D2B"/>
    <w:rsid w:val="00E1400B"/>
    <w:rsid w:val="00E14A1C"/>
    <w:rsid w:val="00E25470"/>
    <w:rsid w:val="00E529AA"/>
    <w:rsid w:val="00E608E5"/>
    <w:rsid w:val="00E671C3"/>
    <w:rsid w:val="00E76E61"/>
    <w:rsid w:val="00E772E0"/>
    <w:rsid w:val="00E839C4"/>
    <w:rsid w:val="00E84B54"/>
    <w:rsid w:val="00E9495B"/>
    <w:rsid w:val="00EA5EDC"/>
    <w:rsid w:val="00EB58E2"/>
    <w:rsid w:val="00ED106D"/>
    <w:rsid w:val="00ED3DC1"/>
    <w:rsid w:val="00ED4F6A"/>
    <w:rsid w:val="00ED6DD3"/>
    <w:rsid w:val="00EE59AA"/>
    <w:rsid w:val="00EF0B7A"/>
    <w:rsid w:val="00F0338E"/>
    <w:rsid w:val="00F036C7"/>
    <w:rsid w:val="00F04B4D"/>
    <w:rsid w:val="00F1143D"/>
    <w:rsid w:val="00F1366F"/>
    <w:rsid w:val="00F2426F"/>
    <w:rsid w:val="00F24524"/>
    <w:rsid w:val="00F27CCD"/>
    <w:rsid w:val="00F34F55"/>
    <w:rsid w:val="00F370CE"/>
    <w:rsid w:val="00F41B69"/>
    <w:rsid w:val="00F429E4"/>
    <w:rsid w:val="00F64252"/>
    <w:rsid w:val="00F713F2"/>
    <w:rsid w:val="00F724EA"/>
    <w:rsid w:val="00F748A2"/>
    <w:rsid w:val="00F775FA"/>
    <w:rsid w:val="00F80078"/>
    <w:rsid w:val="00F80E9C"/>
    <w:rsid w:val="00F8685A"/>
    <w:rsid w:val="00F86B29"/>
    <w:rsid w:val="00FA1BD2"/>
    <w:rsid w:val="00FA437A"/>
    <w:rsid w:val="00FB1648"/>
    <w:rsid w:val="00FB20A8"/>
    <w:rsid w:val="00FB3928"/>
    <w:rsid w:val="00FB4A82"/>
    <w:rsid w:val="00FB56AB"/>
    <w:rsid w:val="00FC4F65"/>
    <w:rsid w:val="00FE4F61"/>
    <w:rsid w:val="00FF2343"/>
    <w:rsid w:val="00FF5E09"/>
    <w:rsid w:val="00FF6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0077"/>
  <w15:chartTrackingRefBased/>
  <w15:docId w15:val="{8EB7157A-DC8A-4EB4-8E06-743507B3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85"/>
    <w:rPr>
      <w:kern w:val="0"/>
      <w14:ligatures w14:val="none"/>
    </w:rPr>
  </w:style>
  <w:style w:type="paragraph" w:styleId="Heading1">
    <w:name w:val="heading 1"/>
    <w:basedOn w:val="Normal"/>
    <w:next w:val="Normal"/>
    <w:link w:val="Heading1Char"/>
    <w:uiPriority w:val="9"/>
    <w:qFormat/>
    <w:rsid w:val="00094E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4E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4E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erscript">
    <w:name w:val="superscript"/>
    <w:basedOn w:val="DefaultParagraphFont"/>
    <w:rsid w:val="00094E85"/>
  </w:style>
  <w:style w:type="character" w:customStyle="1" w:styleId="normaltextrun">
    <w:name w:val="normaltextrun"/>
    <w:basedOn w:val="DefaultParagraphFont"/>
    <w:rsid w:val="00094E85"/>
  </w:style>
  <w:style w:type="character" w:customStyle="1" w:styleId="eop">
    <w:name w:val="eop"/>
    <w:basedOn w:val="DefaultParagraphFont"/>
    <w:rsid w:val="00094E85"/>
  </w:style>
  <w:style w:type="character" w:customStyle="1" w:styleId="Heading1Char">
    <w:name w:val="Heading 1 Char"/>
    <w:basedOn w:val="DefaultParagraphFont"/>
    <w:link w:val="Heading1"/>
    <w:uiPriority w:val="9"/>
    <w:rsid w:val="00094E8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94E8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94E85"/>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1"/>
    <w:qFormat/>
    <w:rsid w:val="00094E85"/>
    <w:pPr>
      <w:ind w:left="720"/>
      <w:contextualSpacing/>
    </w:pPr>
  </w:style>
  <w:style w:type="paragraph" w:styleId="CommentText">
    <w:name w:val="annotation text"/>
    <w:basedOn w:val="Normal"/>
    <w:link w:val="CommentTextChar"/>
    <w:uiPriority w:val="99"/>
    <w:unhideWhenUsed/>
    <w:rsid w:val="00094E85"/>
    <w:pPr>
      <w:spacing w:line="240" w:lineRule="auto"/>
    </w:pPr>
    <w:rPr>
      <w:sz w:val="20"/>
      <w:szCs w:val="20"/>
    </w:rPr>
  </w:style>
  <w:style w:type="character" w:customStyle="1" w:styleId="CommentTextChar">
    <w:name w:val="Comment Text Char"/>
    <w:basedOn w:val="DefaultParagraphFont"/>
    <w:link w:val="CommentText"/>
    <w:uiPriority w:val="99"/>
    <w:rsid w:val="00094E85"/>
    <w:rPr>
      <w:kern w:val="0"/>
      <w:sz w:val="20"/>
      <w:szCs w:val="20"/>
      <w14:ligatures w14:val="none"/>
    </w:rPr>
  </w:style>
  <w:style w:type="character" w:styleId="CommentReference">
    <w:name w:val="annotation reference"/>
    <w:basedOn w:val="DefaultParagraphFont"/>
    <w:uiPriority w:val="99"/>
    <w:semiHidden/>
    <w:unhideWhenUsed/>
    <w:rsid w:val="00094E85"/>
    <w:rPr>
      <w:sz w:val="16"/>
      <w:szCs w:val="16"/>
    </w:rPr>
  </w:style>
  <w:style w:type="paragraph" w:customStyle="1" w:styleId="paragraph">
    <w:name w:val="paragraph"/>
    <w:basedOn w:val="Normal"/>
    <w:rsid w:val="00094E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94E85"/>
    <w:rPr>
      <w:color w:val="0563C1" w:themeColor="hyperlink"/>
      <w:u w:val="single"/>
    </w:rPr>
  </w:style>
  <w:style w:type="paragraph" w:styleId="Header">
    <w:name w:val="header"/>
    <w:basedOn w:val="Normal"/>
    <w:link w:val="HeaderChar"/>
    <w:uiPriority w:val="99"/>
    <w:unhideWhenUsed/>
    <w:rsid w:val="00094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E85"/>
    <w:rPr>
      <w:kern w:val="0"/>
      <w14:ligatures w14:val="none"/>
    </w:rPr>
  </w:style>
  <w:style w:type="paragraph" w:styleId="Footer">
    <w:name w:val="footer"/>
    <w:basedOn w:val="Normal"/>
    <w:link w:val="FooterChar"/>
    <w:uiPriority w:val="99"/>
    <w:unhideWhenUsed/>
    <w:rsid w:val="00094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E85"/>
    <w:rPr>
      <w:kern w:val="0"/>
      <w14:ligatures w14:val="none"/>
    </w:rPr>
  </w:style>
  <w:style w:type="character" w:styleId="FootnoteReference">
    <w:name w:val="footnote reference"/>
    <w:unhideWhenUsed/>
    <w:rsid w:val="00094E85"/>
    <w:rPr>
      <w:vertAlign w:val="superscript"/>
    </w:rPr>
  </w:style>
  <w:style w:type="paragraph" w:styleId="ListBullet3">
    <w:name w:val="List Bullet 3"/>
    <w:basedOn w:val="Normal"/>
    <w:uiPriority w:val="99"/>
    <w:unhideWhenUsed/>
    <w:rsid w:val="00094E85"/>
    <w:pPr>
      <w:numPr>
        <w:numId w:val="9"/>
      </w:numPr>
      <w:tabs>
        <w:tab w:val="num" w:pos="360"/>
      </w:tabs>
      <w:spacing w:after="0" w:line="276" w:lineRule="auto"/>
      <w:contextualSpacing/>
    </w:pPr>
    <w:rPr>
      <w:rFonts w:ascii="Calibri" w:eastAsia="Times New Roman" w:hAnsi="Calibri" w:cs="Times New Roman"/>
      <w:szCs w:val="24"/>
      <w:lang w:eastAsia="en-GB"/>
    </w:rPr>
  </w:style>
  <w:style w:type="paragraph" w:styleId="Title">
    <w:name w:val="Title"/>
    <w:basedOn w:val="Normal"/>
    <w:link w:val="TitleChar"/>
    <w:uiPriority w:val="10"/>
    <w:qFormat/>
    <w:rsid w:val="0019347B"/>
    <w:pPr>
      <w:widowControl w:val="0"/>
      <w:autoSpaceDE w:val="0"/>
      <w:autoSpaceDN w:val="0"/>
      <w:spacing w:before="153" w:after="0" w:line="240" w:lineRule="auto"/>
      <w:ind w:left="251" w:right="270"/>
      <w:jc w:val="center"/>
    </w:pPr>
    <w:rPr>
      <w:rFonts w:ascii="Calibri" w:eastAsia="Calibri" w:hAnsi="Calibri" w:cs="Calibri"/>
      <w:b/>
      <w:bCs/>
      <w:sz w:val="56"/>
      <w:szCs w:val="56"/>
      <w:lang w:val="en-US"/>
    </w:rPr>
  </w:style>
  <w:style w:type="character" w:customStyle="1" w:styleId="TitleChar">
    <w:name w:val="Title Char"/>
    <w:basedOn w:val="DefaultParagraphFont"/>
    <w:link w:val="Title"/>
    <w:uiPriority w:val="10"/>
    <w:rsid w:val="0019347B"/>
    <w:rPr>
      <w:rFonts w:ascii="Calibri" w:eastAsia="Calibri" w:hAnsi="Calibri" w:cs="Calibri"/>
      <w:b/>
      <w:bCs/>
      <w:kern w:val="0"/>
      <w:sz w:val="56"/>
      <w:szCs w:val="56"/>
      <w:lang w:val="en-US"/>
      <w14:ligatures w14:val="none"/>
    </w:rPr>
  </w:style>
  <w:style w:type="paragraph" w:styleId="NormalWeb">
    <w:name w:val="Normal (Web)"/>
    <w:basedOn w:val="Normal"/>
    <w:uiPriority w:val="99"/>
    <w:semiHidden/>
    <w:unhideWhenUsed/>
    <w:rsid w:val="00D001EB"/>
    <w:rPr>
      <w:rFonts w:ascii="Times New Roman" w:hAnsi="Times New Roman" w:cs="Times New Roman"/>
      <w:sz w:val="24"/>
      <w:szCs w:val="24"/>
    </w:rPr>
  </w:style>
  <w:style w:type="paragraph" w:customStyle="1" w:styleId="Default">
    <w:name w:val="Default"/>
    <w:rsid w:val="00364A84"/>
    <w:pPr>
      <w:autoSpaceDE w:val="0"/>
      <w:autoSpaceDN w:val="0"/>
      <w:adjustRightInd w:val="0"/>
      <w:spacing w:after="0" w:line="240" w:lineRule="auto"/>
    </w:pPr>
    <w:rPr>
      <w:rFonts w:ascii="Calibri" w:hAnsi="Calibri" w:cs="Calibri"/>
      <w:color w:val="000000"/>
      <w:kern w:val="0"/>
      <w:sz w:val="24"/>
      <w:szCs w:val="24"/>
    </w:rPr>
  </w:style>
  <w:style w:type="paragraph" w:customStyle="1" w:styleId="IntroPara">
    <w:name w:val="Intro Para"/>
    <w:basedOn w:val="Normal"/>
    <w:uiPriority w:val="99"/>
    <w:qFormat/>
    <w:rsid w:val="002B3C2A"/>
    <w:pPr>
      <w:spacing w:after="200" w:line="276" w:lineRule="auto"/>
    </w:pPr>
    <w:rPr>
      <w:rFonts w:ascii="Helvetica" w:eastAsia="Segoe UI"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5362">
      <w:bodyDiv w:val="1"/>
      <w:marLeft w:val="0"/>
      <w:marRight w:val="0"/>
      <w:marTop w:val="0"/>
      <w:marBottom w:val="0"/>
      <w:divBdr>
        <w:top w:val="none" w:sz="0" w:space="0" w:color="auto"/>
        <w:left w:val="none" w:sz="0" w:space="0" w:color="auto"/>
        <w:bottom w:val="none" w:sz="0" w:space="0" w:color="auto"/>
        <w:right w:val="none" w:sz="0" w:space="0" w:color="auto"/>
      </w:divBdr>
      <w:divsChild>
        <w:div w:id="1536384537">
          <w:marLeft w:val="0"/>
          <w:marRight w:val="0"/>
          <w:marTop w:val="0"/>
          <w:marBottom w:val="0"/>
          <w:divBdr>
            <w:top w:val="none" w:sz="0" w:space="0" w:color="auto"/>
            <w:left w:val="none" w:sz="0" w:space="0" w:color="auto"/>
            <w:bottom w:val="none" w:sz="0" w:space="0" w:color="auto"/>
            <w:right w:val="none" w:sz="0" w:space="0" w:color="auto"/>
          </w:divBdr>
        </w:div>
        <w:div w:id="2023631094">
          <w:marLeft w:val="0"/>
          <w:marRight w:val="0"/>
          <w:marTop w:val="0"/>
          <w:marBottom w:val="0"/>
          <w:divBdr>
            <w:top w:val="none" w:sz="0" w:space="0" w:color="auto"/>
            <w:left w:val="none" w:sz="0" w:space="0" w:color="auto"/>
            <w:bottom w:val="none" w:sz="0" w:space="0" w:color="auto"/>
            <w:right w:val="none" w:sz="0" w:space="0" w:color="auto"/>
          </w:divBdr>
        </w:div>
        <w:div w:id="1939174922">
          <w:marLeft w:val="0"/>
          <w:marRight w:val="0"/>
          <w:marTop w:val="0"/>
          <w:marBottom w:val="0"/>
          <w:divBdr>
            <w:top w:val="none" w:sz="0" w:space="0" w:color="auto"/>
            <w:left w:val="none" w:sz="0" w:space="0" w:color="auto"/>
            <w:bottom w:val="none" w:sz="0" w:space="0" w:color="auto"/>
            <w:right w:val="none" w:sz="0" w:space="0" w:color="auto"/>
          </w:divBdr>
        </w:div>
      </w:divsChild>
    </w:div>
    <w:div w:id="134104053">
      <w:bodyDiv w:val="1"/>
      <w:marLeft w:val="0"/>
      <w:marRight w:val="0"/>
      <w:marTop w:val="0"/>
      <w:marBottom w:val="0"/>
      <w:divBdr>
        <w:top w:val="none" w:sz="0" w:space="0" w:color="auto"/>
        <w:left w:val="none" w:sz="0" w:space="0" w:color="auto"/>
        <w:bottom w:val="none" w:sz="0" w:space="0" w:color="auto"/>
        <w:right w:val="none" w:sz="0" w:space="0" w:color="auto"/>
      </w:divBdr>
    </w:div>
    <w:div w:id="229466037">
      <w:bodyDiv w:val="1"/>
      <w:marLeft w:val="0"/>
      <w:marRight w:val="0"/>
      <w:marTop w:val="0"/>
      <w:marBottom w:val="0"/>
      <w:divBdr>
        <w:top w:val="none" w:sz="0" w:space="0" w:color="auto"/>
        <w:left w:val="none" w:sz="0" w:space="0" w:color="auto"/>
        <w:bottom w:val="none" w:sz="0" w:space="0" w:color="auto"/>
        <w:right w:val="none" w:sz="0" w:space="0" w:color="auto"/>
      </w:divBdr>
    </w:div>
    <w:div w:id="344283380">
      <w:bodyDiv w:val="1"/>
      <w:marLeft w:val="0"/>
      <w:marRight w:val="0"/>
      <w:marTop w:val="0"/>
      <w:marBottom w:val="0"/>
      <w:divBdr>
        <w:top w:val="none" w:sz="0" w:space="0" w:color="auto"/>
        <w:left w:val="none" w:sz="0" w:space="0" w:color="auto"/>
        <w:bottom w:val="none" w:sz="0" w:space="0" w:color="auto"/>
        <w:right w:val="none" w:sz="0" w:space="0" w:color="auto"/>
      </w:divBdr>
    </w:div>
    <w:div w:id="403651426">
      <w:bodyDiv w:val="1"/>
      <w:marLeft w:val="0"/>
      <w:marRight w:val="0"/>
      <w:marTop w:val="0"/>
      <w:marBottom w:val="0"/>
      <w:divBdr>
        <w:top w:val="none" w:sz="0" w:space="0" w:color="auto"/>
        <w:left w:val="none" w:sz="0" w:space="0" w:color="auto"/>
        <w:bottom w:val="none" w:sz="0" w:space="0" w:color="auto"/>
        <w:right w:val="none" w:sz="0" w:space="0" w:color="auto"/>
      </w:divBdr>
      <w:divsChild>
        <w:div w:id="920794101">
          <w:marLeft w:val="0"/>
          <w:marRight w:val="0"/>
          <w:marTop w:val="0"/>
          <w:marBottom w:val="0"/>
          <w:divBdr>
            <w:top w:val="none" w:sz="0" w:space="0" w:color="auto"/>
            <w:left w:val="none" w:sz="0" w:space="0" w:color="auto"/>
            <w:bottom w:val="none" w:sz="0" w:space="0" w:color="auto"/>
            <w:right w:val="none" w:sz="0" w:space="0" w:color="auto"/>
          </w:divBdr>
        </w:div>
        <w:div w:id="1460803355">
          <w:marLeft w:val="0"/>
          <w:marRight w:val="0"/>
          <w:marTop w:val="0"/>
          <w:marBottom w:val="0"/>
          <w:divBdr>
            <w:top w:val="none" w:sz="0" w:space="0" w:color="auto"/>
            <w:left w:val="none" w:sz="0" w:space="0" w:color="auto"/>
            <w:bottom w:val="none" w:sz="0" w:space="0" w:color="auto"/>
            <w:right w:val="none" w:sz="0" w:space="0" w:color="auto"/>
          </w:divBdr>
        </w:div>
        <w:div w:id="2146923388">
          <w:marLeft w:val="0"/>
          <w:marRight w:val="0"/>
          <w:marTop w:val="0"/>
          <w:marBottom w:val="0"/>
          <w:divBdr>
            <w:top w:val="none" w:sz="0" w:space="0" w:color="auto"/>
            <w:left w:val="none" w:sz="0" w:space="0" w:color="auto"/>
            <w:bottom w:val="none" w:sz="0" w:space="0" w:color="auto"/>
            <w:right w:val="none" w:sz="0" w:space="0" w:color="auto"/>
          </w:divBdr>
        </w:div>
      </w:divsChild>
    </w:div>
    <w:div w:id="476532979">
      <w:bodyDiv w:val="1"/>
      <w:marLeft w:val="0"/>
      <w:marRight w:val="0"/>
      <w:marTop w:val="0"/>
      <w:marBottom w:val="0"/>
      <w:divBdr>
        <w:top w:val="none" w:sz="0" w:space="0" w:color="auto"/>
        <w:left w:val="none" w:sz="0" w:space="0" w:color="auto"/>
        <w:bottom w:val="none" w:sz="0" w:space="0" w:color="auto"/>
        <w:right w:val="none" w:sz="0" w:space="0" w:color="auto"/>
      </w:divBdr>
      <w:divsChild>
        <w:div w:id="1852379647">
          <w:marLeft w:val="0"/>
          <w:marRight w:val="0"/>
          <w:marTop w:val="0"/>
          <w:marBottom w:val="0"/>
          <w:divBdr>
            <w:top w:val="none" w:sz="0" w:space="0" w:color="auto"/>
            <w:left w:val="none" w:sz="0" w:space="0" w:color="auto"/>
            <w:bottom w:val="none" w:sz="0" w:space="0" w:color="auto"/>
            <w:right w:val="none" w:sz="0" w:space="0" w:color="auto"/>
          </w:divBdr>
        </w:div>
        <w:div w:id="1796217589">
          <w:marLeft w:val="0"/>
          <w:marRight w:val="0"/>
          <w:marTop w:val="0"/>
          <w:marBottom w:val="0"/>
          <w:divBdr>
            <w:top w:val="none" w:sz="0" w:space="0" w:color="auto"/>
            <w:left w:val="none" w:sz="0" w:space="0" w:color="auto"/>
            <w:bottom w:val="none" w:sz="0" w:space="0" w:color="auto"/>
            <w:right w:val="none" w:sz="0" w:space="0" w:color="auto"/>
          </w:divBdr>
        </w:div>
        <w:div w:id="59989908">
          <w:marLeft w:val="0"/>
          <w:marRight w:val="0"/>
          <w:marTop w:val="0"/>
          <w:marBottom w:val="0"/>
          <w:divBdr>
            <w:top w:val="none" w:sz="0" w:space="0" w:color="auto"/>
            <w:left w:val="none" w:sz="0" w:space="0" w:color="auto"/>
            <w:bottom w:val="none" w:sz="0" w:space="0" w:color="auto"/>
            <w:right w:val="none" w:sz="0" w:space="0" w:color="auto"/>
          </w:divBdr>
          <w:divsChild>
            <w:div w:id="1208566018">
              <w:marLeft w:val="0"/>
              <w:marRight w:val="0"/>
              <w:marTop w:val="0"/>
              <w:marBottom w:val="0"/>
              <w:divBdr>
                <w:top w:val="none" w:sz="0" w:space="0" w:color="auto"/>
                <w:left w:val="none" w:sz="0" w:space="0" w:color="auto"/>
                <w:bottom w:val="none" w:sz="0" w:space="0" w:color="auto"/>
                <w:right w:val="none" w:sz="0" w:space="0" w:color="auto"/>
              </w:divBdr>
            </w:div>
          </w:divsChild>
        </w:div>
        <w:div w:id="912932505">
          <w:marLeft w:val="0"/>
          <w:marRight w:val="0"/>
          <w:marTop w:val="0"/>
          <w:marBottom w:val="0"/>
          <w:divBdr>
            <w:top w:val="none" w:sz="0" w:space="0" w:color="auto"/>
            <w:left w:val="none" w:sz="0" w:space="0" w:color="auto"/>
            <w:bottom w:val="none" w:sz="0" w:space="0" w:color="auto"/>
            <w:right w:val="none" w:sz="0" w:space="0" w:color="auto"/>
          </w:divBdr>
          <w:divsChild>
            <w:div w:id="467169710">
              <w:marLeft w:val="0"/>
              <w:marRight w:val="0"/>
              <w:marTop w:val="0"/>
              <w:marBottom w:val="0"/>
              <w:divBdr>
                <w:top w:val="none" w:sz="0" w:space="0" w:color="auto"/>
                <w:left w:val="none" w:sz="0" w:space="0" w:color="auto"/>
                <w:bottom w:val="none" w:sz="0" w:space="0" w:color="auto"/>
                <w:right w:val="none" w:sz="0" w:space="0" w:color="auto"/>
              </w:divBdr>
            </w:div>
            <w:div w:id="1161429656">
              <w:marLeft w:val="0"/>
              <w:marRight w:val="0"/>
              <w:marTop w:val="0"/>
              <w:marBottom w:val="0"/>
              <w:divBdr>
                <w:top w:val="none" w:sz="0" w:space="0" w:color="auto"/>
                <w:left w:val="none" w:sz="0" w:space="0" w:color="auto"/>
                <w:bottom w:val="none" w:sz="0" w:space="0" w:color="auto"/>
                <w:right w:val="none" w:sz="0" w:space="0" w:color="auto"/>
              </w:divBdr>
            </w:div>
            <w:div w:id="257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5388">
      <w:bodyDiv w:val="1"/>
      <w:marLeft w:val="0"/>
      <w:marRight w:val="0"/>
      <w:marTop w:val="0"/>
      <w:marBottom w:val="0"/>
      <w:divBdr>
        <w:top w:val="none" w:sz="0" w:space="0" w:color="auto"/>
        <w:left w:val="none" w:sz="0" w:space="0" w:color="auto"/>
        <w:bottom w:val="none" w:sz="0" w:space="0" w:color="auto"/>
        <w:right w:val="none" w:sz="0" w:space="0" w:color="auto"/>
      </w:divBdr>
    </w:div>
    <w:div w:id="911505440">
      <w:bodyDiv w:val="1"/>
      <w:marLeft w:val="0"/>
      <w:marRight w:val="0"/>
      <w:marTop w:val="0"/>
      <w:marBottom w:val="0"/>
      <w:divBdr>
        <w:top w:val="none" w:sz="0" w:space="0" w:color="auto"/>
        <w:left w:val="none" w:sz="0" w:space="0" w:color="auto"/>
        <w:bottom w:val="none" w:sz="0" w:space="0" w:color="auto"/>
        <w:right w:val="none" w:sz="0" w:space="0" w:color="auto"/>
      </w:divBdr>
    </w:div>
    <w:div w:id="1678923861">
      <w:bodyDiv w:val="1"/>
      <w:marLeft w:val="0"/>
      <w:marRight w:val="0"/>
      <w:marTop w:val="0"/>
      <w:marBottom w:val="0"/>
      <w:divBdr>
        <w:top w:val="none" w:sz="0" w:space="0" w:color="auto"/>
        <w:left w:val="none" w:sz="0" w:space="0" w:color="auto"/>
        <w:bottom w:val="none" w:sz="0" w:space="0" w:color="auto"/>
        <w:right w:val="none" w:sz="0" w:space="0" w:color="auto"/>
      </w:divBdr>
      <w:divsChild>
        <w:div w:id="1415085742">
          <w:marLeft w:val="0"/>
          <w:marRight w:val="0"/>
          <w:marTop w:val="0"/>
          <w:marBottom w:val="300"/>
          <w:divBdr>
            <w:top w:val="none" w:sz="0" w:space="0" w:color="auto"/>
            <w:left w:val="none" w:sz="0" w:space="0" w:color="auto"/>
            <w:bottom w:val="single" w:sz="6" w:space="0" w:color="C85C27"/>
            <w:right w:val="none" w:sz="0" w:space="0" w:color="auto"/>
          </w:divBdr>
        </w:div>
        <w:div w:id="1969310077">
          <w:marLeft w:val="0"/>
          <w:marRight w:val="0"/>
          <w:marTop w:val="0"/>
          <w:marBottom w:val="300"/>
          <w:divBdr>
            <w:top w:val="none" w:sz="0" w:space="0" w:color="auto"/>
            <w:left w:val="none" w:sz="0" w:space="0" w:color="auto"/>
            <w:bottom w:val="single" w:sz="6" w:space="0" w:color="C85C27"/>
            <w:right w:val="none" w:sz="0" w:space="0" w:color="auto"/>
          </w:divBdr>
        </w:div>
      </w:divsChild>
    </w:div>
    <w:div w:id="1716200449">
      <w:bodyDiv w:val="1"/>
      <w:marLeft w:val="0"/>
      <w:marRight w:val="0"/>
      <w:marTop w:val="0"/>
      <w:marBottom w:val="0"/>
      <w:divBdr>
        <w:top w:val="none" w:sz="0" w:space="0" w:color="auto"/>
        <w:left w:val="none" w:sz="0" w:space="0" w:color="auto"/>
        <w:bottom w:val="none" w:sz="0" w:space="0" w:color="auto"/>
        <w:right w:val="none" w:sz="0" w:space="0" w:color="auto"/>
      </w:divBdr>
      <w:divsChild>
        <w:div w:id="973412682">
          <w:marLeft w:val="0"/>
          <w:marRight w:val="0"/>
          <w:marTop w:val="0"/>
          <w:marBottom w:val="0"/>
          <w:divBdr>
            <w:top w:val="none" w:sz="0" w:space="0" w:color="auto"/>
            <w:left w:val="none" w:sz="0" w:space="0" w:color="auto"/>
            <w:bottom w:val="none" w:sz="0" w:space="0" w:color="auto"/>
            <w:right w:val="none" w:sz="0" w:space="0" w:color="auto"/>
          </w:divBdr>
        </w:div>
        <w:div w:id="981931083">
          <w:marLeft w:val="0"/>
          <w:marRight w:val="0"/>
          <w:marTop w:val="0"/>
          <w:marBottom w:val="0"/>
          <w:divBdr>
            <w:top w:val="none" w:sz="0" w:space="0" w:color="auto"/>
            <w:left w:val="none" w:sz="0" w:space="0" w:color="auto"/>
            <w:bottom w:val="none" w:sz="0" w:space="0" w:color="auto"/>
            <w:right w:val="none" w:sz="0" w:space="0" w:color="auto"/>
          </w:divBdr>
        </w:div>
        <w:div w:id="1220283314">
          <w:marLeft w:val="0"/>
          <w:marRight w:val="0"/>
          <w:marTop w:val="0"/>
          <w:marBottom w:val="0"/>
          <w:divBdr>
            <w:top w:val="none" w:sz="0" w:space="0" w:color="auto"/>
            <w:left w:val="none" w:sz="0" w:space="0" w:color="auto"/>
            <w:bottom w:val="none" w:sz="0" w:space="0" w:color="auto"/>
            <w:right w:val="none" w:sz="0" w:space="0" w:color="auto"/>
          </w:divBdr>
          <w:divsChild>
            <w:div w:id="621960250">
              <w:marLeft w:val="0"/>
              <w:marRight w:val="0"/>
              <w:marTop w:val="0"/>
              <w:marBottom w:val="0"/>
              <w:divBdr>
                <w:top w:val="none" w:sz="0" w:space="0" w:color="auto"/>
                <w:left w:val="none" w:sz="0" w:space="0" w:color="auto"/>
                <w:bottom w:val="none" w:sz="0" w:space="0" w:color="auto"/>
                <w:right w:val="none" w:sz="0" w:space="0" w:color="auto"/>
              </w:divBdr>
            </w:div>
          </w:divsChild>
        </w:div>
        <w:div w:id="1091245380">
          <w:marLeft w:val="0"/>
          <w:marRight w:val="0"/>
          <w:marTop w:val="0"/>
          <w:marBottom w:val="0"/>
          <w:divBdr>
            <w:top w:val="none" w:sz="0" w:space="0" w:color="auto"/>
            <w:left w:val="none" w:sz="0" w:space="0" w:color="auto"/>
            <w:bottom w:val="none" w:sz="0" w:space="0" w:color="auto"/>
            <w:right w:val="none" w:sz="0" w:space="0" w:color="auto"/>
          </w:divBdr>
          <w:divsChild>
            <w:div w:id="1305038970">
              <w:marLeft w:val="0"/>
              <w:marRight w:val="0"/>
              <w:marTop w:val="0"/>
              <w:marBottom w:val="0"/>
              <w:divBdr>
                <w:top w:val="none" w:sz="0" w:space="0" w:color="auto"/>
                <w:left w:val="none" w:sz="0" w:space="0" w:color="auto"/>
                <w:bottom w:val="none" w:sz="0" w:space="0" w:color="auto"/>
                <w:right w:val="none" w:sz="0" w:space="0" w:color="auto"/>
              </w:divBdr>
            </w:div>
            <w:div w:id="107086053">
              <w:marLeft w:val="0"/>
              <w:marRight w:val="0"/>
              <w:marTop w:val="0"/>
              <w:marBottom w:val="0"/>
              <w:divBdr>
                <w:top w:val="none" w:sz="0" w:space="0" w:color="auto"/>
                <w:left w:val="none" w:sz="0" w:space="0" w:color="auto"/>
                <w:bottom w:val="none" w:sz="0" w:space="0" w:color="auto"/>
                <w:right w:val="none" w:sz="0" w:space="0" w:color="auto"/>
              </w:divBdr>
            </w:div>
            <w:div w:id="12997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4176">
      <w:bodyDiv w:val="1"/>
      <w:marLeft w:val="0"/>
      <w:marRight w:val="0"/>
      <w:marTop w:val="0"/>
      <w:marBottom w:val="0"/>
      <w:divBdr>
        <w:top w:val="none" w:sz="0" w:space="0" w:color="auto"/>
        <w:left w:val="none" w:sz="0" w:space="0" w:color="auto"/>
        <w:bottom w:val="none" w:sz="0" w:space="0" w:color="auto"/>
        <w:right w:val="none" w:sz="0" w:space="0" w:color="auto"/>
      </w:divBdr>
    </w:div>
    <w:div w:id="1908177411">
      <w:bodyDiv w:val="1"/>
      <w:marLeft w:val="0"/>
      <w:marRight w:val="0"/>
      <w:marTop w:val="0"/>
      <w:marBottom w:val="0"/>
      <w:divBdr>
        <w:top w:val="none" w:sz="0" w:space="0" w:color="auto"/>
        <w:left w:val="none" w:sz="0" w:space="0" w:color="auto"/>
        <w:bottom w:val="none" w:sz="0" w:space="0" w:color="auto"/>
        <w:right w:val="none" w:sz="0" w:space="0" w:color="auto"/>
      </w:divBdr>
      <w:divsChild>
        <w:div w:id="1570076477">
          <w:marLeft w:val="0"/>
          <w:marRight w:val="0"/>
          <w:marTop w:val="0"/>
          <w:marBottom w:val="300"/>
          <w:divBdr>
            <w:top w:val="none" w:sz="0" w:space="0" w:color="auto"/>
            <w:left w:val="none" w:sz="0" w:space="0" w:color="auto"/>
            <w:bottom w:val="single" w:sz="6" w:space="0" w:color="C85C27"/>
            <w:right w:val="none" w:sz="0" w:space="0" w:color="auto"/>
          </w:divBdr>
        </w:div>
        <w:div w:id="147983644">
          <w:marLeft w:val="0"/>
          <w:marRight w:val="0"/>
          <w:marTop w:val="0"/>
          <w:marBottom w:val="300"/>
          <w:divBdr>
            <w:top w:val="none" w:sz="0" w:space="0" w:color="auto"/>
            <w:left w:val="none" w:sz="0" w:space="0" w:color="auto"/>
            <w:bottom w:val="single" w:sz="6" w:space="0" w:color="C85C27"/>
            <w:right w:val="none" w:sz="0" w:space="0" w:color="auto"/>
          </w:divBdr>
        </w:div>
      </w:divsChild>
    </w:div>
    <w:div w:id="1969239630">
      <w:bodyDiv w:val="1"/>
      <w:marLeft w:val="0"/>
      <w:marRight w:val="0"/>
      <w:marTop w:val="0"/>
      <w:marBottom w:val="0"/>
      <w:divBdr>
        <w:top w:val="none" w:sz="0" w:space="0" w:color="auto"/>
        <w:left w:val="none" w:sz="0" w:space="0" w:color="auto"/>
        <w:bottom w:val="none" w:sz="0" w:space="0" w:color="auto"/>
        <w:right w:val="none" w:sz="0" w:space="0" w:color="auto"/>
      </w:divBdr>
    </w:div>
    <w:div w:id="19765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cid:image002.png@01D9E4A1.1D6FBCF0" TargetMode="External"/><Relationship Id="rId2" Type="http://schemas.openxmlformats.org/officeDocument/2006/relationships/image" Target="media/image1.png"/><Relationship Id="rId1" Type="http://schemas.openxmlformats.org/officeDocument/2006/relationships/hyperlink" Target="https://abse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9a207062478a35f16fd376ea9f4e9c47">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29809f6b5f172379d3c792789a75bf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F7E2D2-21DC-469B-B842-A798D6E3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611BD-4E93-421F-89CC-81A9D3949FF0}">
  <ds:schemaRefs>
    <ds:schemaRef ds:uri="http://schemas.microsoft.com/sharepoint/v3/contenttype/forms"/>
  </ds:schemaRefs>
</ds:datastoreItem>
</file>

<file path=customXml/itemProps3.xml><?xml version="1.0" encoding="utf-8"?>
<ds:datastoreItem xmlns:ds="http://schemas.openxmlformats.org/officeDocument/2006/customXml" ds:itemID="{B125F460-80FD-49EF-BB03-25ABC57668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Submission 88 - AbSec - Closing the Gap Review - Commissioned study</vt:lpstr>
    </vt:vector>
  </TitlesOfParts>
  <Company>AbSec</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88 - AbSec - Closing the Gap Review - Commissioned study</dc:title>
  <dc:subject/>
  <dc:creator>AbSec</dc:creator>
  <cp:keywords/>
  <dc:description/>
  <cp:lastModifiedBy>Chris Alston</cp:lastModifiedBy>
  <cp:revision>3</cp:revision>
  <dcterms:created xsi:type="dcterms:W3CDTF">2023-10-31T23:41:00Z</dcterms:created>
  <dcterms:modified xsi:type="dcterms:W3CDTF">2023-11-01T00:24:00Z</dcterms:modified>
</cp:coreProperties>
</file>