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2B520" w14:textId="69D25652" w:rsidR="00F06E14" w:rsidRPr="00A51D1A" w:rsidRDefault="00591A2C" w:rsidP="00A51D1A">
      <w:pPr>
        <w:pStyle w:val="ACMAReportTitle"/>
      </w:pPr>
      <w:r>
        <w:t xml:space="preserve">Australian Communications and Media Authority </w:t>
      </w:r>
      <w:r w:rsidR="00861944">
        <w:t>s</w:t>
      </w:r>
      <w:r>
        <w:t>ubmission</w:t>
      </w:r>
    </w:p>
    <w:p w14:paraId="680B688F" w14:textId="45467C74" w:rsidR="00F06E14" w:rsidRDefault="00591A2C" w:rsidP="00F06E14">
      <w:pPr>
        <w:pStyle w:val="ACMAReportSubTitle"/>
      </w:pPr>
      <w:r>
        <w:t>Response to the Produc</w:t>
      </w:r>
      <w:bookmarkStart w:id="0" w:name="_GoBack"/>
      <w:bookmarkEnd w:id="0"/>
      <w:r>
        <w:t>tivity Commission’s issues paper</w:t>
      </w:r>
      <w:r w:rsidR="00861944">
        <w:t>—</w:t>
      </w:r>
      <w:r>
        <w:t>Telecommunications Universal Service Obligation</w:t>
      </w:r>
    </w:p>
    <w:p w14:paraId="18B73149" w14:textId="3C2140DD" w:rsidR="00F06E14" w:rsidRDefault="00591A2C" w:rsidP="00D47AEB">
      <w:pPr>
        <w:pStyle w:val="ACMAReportDate"/>
        <w:spacing w:after="720"/>
      </w:pPr>
      <w:r>
        <w:t>JULY 2016</w:t>
      </w:r>
    </w:p>
    <w:p w14:paraId="46EA703F" w14:textId="77777777" w:rsidR="00C97736" w:rsidRPr="000D76E0" w:rsidRDefault="00C97736" w:rsidP="0041071D">
      <w:pPr>
        <w:rPr>
          <w:rFonts w:cs="Arial"/>
        </w:rPr>
      </w:pPr>
    </w:p>
    <w:p w14:paraId="2AE0F99A" w14:textId="77777777" w:rsidR="00C97736" w:rsidRPr="000D76E0" w:rsidRDefault="00C97736" w:rsidP="0041071D">
      <w:pPr>
        <w:rPr>
          <w:rFonts w:cs="Arial"/>
        </w:rPr>
        <w:sectPr w:rsidR="00C97736" w:rsidRPr="000D76E0" w:rsidSect="004F556E">
          <w:headerReference w:type="default" r:id="rId16"/>
          <w:headerReference w:type="first" r:id="rId17"/>
          <w:pgSz w:w="11906" w:h="16838" w:code="9"/>
          <w:pgMar w:top="3924" w:right="1797" w:bottom="1440" w:left="1134" w:header="709" w:footer="454" w:gutter="0"/>
          <w:cols w:space="708"/>
          <w:docGrid w:linePitch="360"/>
        </w:sectPr>
      </w:pPr>
    </w:p>
    <w:p w14:paraId="13D4652F" w14:textId="77777777" w:rsidR="0005011A" w:rsidRPr="00F44F3A" w:rsidRDefault="0005011A" w:rsidP="00FC07B9">
      <w:pPr>
        <w:pStyle w:val="ACMACorporateAddressHeader"/>
      </w:pPr>
      <w:r w:rsidRPr="00F44F3A">
        <w:lastRenderedPageBreak/>
        <w:t>Canberra</w:t>
      </w:r>
    </w:p>
    <w:p w14:paraId="563A868D"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1E48BE32" w14:textId="77777777" w:rsidR="0005011A" w:rsidRPr="00FC07B9" w:rsidRDefault="0005011A" w:rsidP="00FC07B9">
      <w:pPr>
        <w:pStyle w:val="ACMACorporateAddresses"/>
      </w:pPr>
      <w:r w:rsidRPr="00FC07B9">
        <w:t>PO Box 78</w:t>
      </w:r>
      <w:r w:rsidRPr="00FC07B9">
        <w:br/>
        <w:t>Belconnen ACT 2616</w:t>
      </w:r>
    </w:p>
    <w:p w14:paraId="67B53803"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2E32BF9B" w14:textId="77777777" w:rsidR="0005011A" w:rsidRPr="00F44F3A" w:rsidRDefault="0005011A" w:rsidP="00FC07B9">
      <w:pPr>
        <w:pStyle w:val="ACMACorporateAddressHeader"/>
      </w:pPr>
      <w:r w:rsidRPr="00F44F3A">
        <w:t>Melbourne</w:t>
      </w:r>
    </w:p>
    <w:p w14:paraId="6BED6217"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0CD902D2"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7C4DEC81"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5477163C" w14:textId="77777777" w:rsidR="0005011A" w:rsidRPr="00F44F3A" w:rsidRDefault="0005011A" w:rsidP="00FC07B9">
      <w:pPr>
        <w:pStyle w:val="ACMACorporateAddressHeader"/>
      </w:pPr>
      <w:r w:rsidRPr="00F44F3A">
        <w:t>Sydney</w:t>
      </w:r>
    </w:p>
    <w:p w14:paraId="779CE1EC" w14:textId="77777777" w:rsidR="0005011A" w:rsidRPr="00F44F3A" w:rsidRDefault="0005011A" w:rsidP="00FC07B9">
      <w:pPr>
        <w:pStyle w:val="ACMACorporateAddresses"/>
      </w:pPr>
      <w:r w:rsidRPr="00F44F3A">
        <w:t xml:space="preserve">Level 5 </w:t>
      </w:r>
      <w:r w:rsidRPr="00F44F3A">
        <w:br/>
        <w:t>The Bay Centre</w:t>
      </w:r>
      <w:r w:rsidRPr="00F44F3A">
        <w:br/>
        <w:t xml:space="preserve">65 </w:t>
      </w:r>
      <w:proofErr w:type="spellStart"/>
      <w:r w:rsidRPr="00F44F3A">
        <w:t>Pirrama</w:t>
      </w:r>
      <w:proofErr w:type="spellEnd"/>
      <w:r w:rsidRPr="00F44F3A">
        <w:t xml:space="preserve"> Road </w:t>
      </w:r>
      <w:r w:rsidRPr="00F44F3A">
        <w:br/>
        <w:t>Pyrmont NSW</w:t>
      </w:r>
    </w:p>
    <w:p w14:paraId="58940AAD"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426A7713"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0966E0C8" w14:textId="77777777" w:rsidR="00140318" w:rsidRPr="006D46E5" w:rsidRDefault="00140318" w:rsidP="00FC07B9">
      <w:pPr>
        <w:pStyle w:val="ACMACopyrightHeader"/>
      </w:pPr>
      <w:r w:rsidRPr="00140318">
        <w:t>Copyright notice</w:t>
      </w:r>
    </w:p>
    <w:p w14:paraId="4ACA1A11" w14:textId="77777777" w:rsidR="00140318" w:rsidRPr="006D46E5" w:rsidRDefault="00623FF9" w:rsidP="00623FF9">
      <w:pPr>
        <w:pStyle w:val="ACMACClogo"/>
      </w:pPr>
      <w:r w:rsidRPr="00623FF9">
        <w:rPr>
          <w:noProof/>
        </w:rPr>
        <w:drawing>
          <wp:inline distT="0" distB="0" distL="0" distR="0" wp14:anchorId="35967F0F" wp14:editId="6995341E">
            <wp:extent cx="838200" cy="295275"/>
            <wp:effectExtent l="0" t="0" r="0" b="0"/>
            <wp:docPr id="1" name="Picture 1" title="Creative Commons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8"/>
                    </pic:cNvPr>
                    <pic:cNvPicPr>
                      <a:picLocks noChangeAspect="1" noChangeArrowheads="1"/>
                    </pic:cNvPicPr>
                  </pic:nvPicPr>
                  <pic:blipFill>
                    <a:blip r:embed="rId19" cstate="print"/>
                    <a:srcRect/>
                    <a:stretch>
                      <a:fillRect/>
                    </a:stretch>
                  </pic:blipFill>
                  <pic:spPr bwMode="auto">
                    <a:xfrm>
                      <a:off x="0" y="0"/>
                      <a:ext cx="838200" cy="295275"/>
                    </a:xfrm>
                    <a:prstGeom prst="rect">
                      <a:avLst/>
                    </a:prstGeom>
                    <a:noFill/>
                  </pic:spPr>
                </pic:pic>
              </a:graphicData>
            </a:graphic>
          </wp:inline>
        </w:drawing>
      </w:r>
    </w:p>
    <w:p w14:paraId="4656EDF8" w14:textId="77777777" w:rsidR="00140318" w:rsidRPr="00431792" w:rsidRDefault="005F3BB4" w:rsidP="00FC07B9">
      <w:pPr>
        <w:pStyle w:val="ACMACorporateAddresses"/>
        <w:rPr>
          <w:rStyle w:val="Hyperlink"/>
        </w:rPr>
      </w:pPr>
      <w:hyperlink r:id="rId20" w:tooltip="Creative Commons Licenses" w:history="1">
        <w:r w:rsidR="00140318" w:rsidRPr="00431792">
          <w:rPr>
            <w:rStyle w:val="Hyperlink"/>
          </w:rPr>
          <w:t>http://creativecommons.org/licenses/by/3.0/au/</w:t>
        </w:r>
      </w:hyperlink>
    </w:p>
    <w:p w14:paraId="0FF41D3C" w14:textId="77777777" w:rsidR="00140318" w:rsidRPr="006D46E5" w:rsidRDefault="00140318" w:rsidP="00FC07B9">
      <w:pPr>
        <w:pStyle w:val="ACMACorporateAddresses"/>
      </w:pPr>
      <w:r w:rsidRPr="006D46E5">
        <w:t xml:space="preserve">With the exception of coats of arms, logos, emblems, images, other third-party material or devices protected by a trademark, this content is licensed under the Creative Commons Australia Attribution 3.0 Licence. </w:t>
      </w:r>
    </w:p>
    <w:p w14:paraId="23124DFB" w14:textId="77777777" w:rsidR="00140318" w:rsidRPr="006D46E5" w:rsidRDefault="00C34A05" w:rsidP="00FC07B9">
      <w:pPr>
        <w:pStyle w:val="ACMACorporateAddresses"/>
      </w:pPr>
      <w:r>
        <w:t>We request attribution as</w:t>
      </w:r>
      <w:r w:rsidR="00140318" w:rsidRPr="006D46E5">
        <w:t xml:space="preserve"> © Commonwealth of Australia (Australian Communic</w:t>
      </w:r>
      <w:r w:rsidR="00B6003C">
        <w:t>ations and Media Authority) 2016</w:t>
      </w:r>
      <w:r w:rsidR="00140318" w:rsidRPr="006D46E5">
        <w:t>.</w:t>
      </w:r>
    </w:p>
    <w:p w14:paraId="10465F18" w14:textId="77777777" w:rsidR="00140318" w:rsidRPr="006D46E5" w:rsidRDefault="00140318" w:rsidP="00FC07B9">
      <w:pPr>
        <w:pStyle w:val="ACMACorporateAddresses"/>
      </w:pPr>
      <w:r>
        <w:t>All other rights are reserved.</w:t>
      </w:r>
    </w:p>
    <w:p w14:paraId="76BAC513" w14:textId="77777777" w:rsidR="00140318" w:rsidRPr="006D46E5" w:rsidRDefault="00140318" w:rsidP="00FC07B9">
      <w:pPr>
        <w:pStyle w:val="ACMACorporateAddresses"/>
      </w:pPr>
      <w:r w:rsidRPr="006D46E5">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7627744B" w14:textId="77777777" w:rsidR="00140318" w:rsidRPr="006D46E5" w:rsidRDefault="00140318" w:rsidP="00FC07B9">
      <w:pPr>
        <w:pStyle w:val="ACMACorporateAddresses"/>
      </w:pPr>
      <w:r w:rsidRPr="006D46E5">
        <w:t>Written enquiries may be sent to:</w:t>
      </w:r>
    </w:p>
    <w:p w14:paraId="62A54DF7" w14:textId="77777777" w:rsidR="00D16FE3" w:rsidRDefault="00140318" w:rsidP="00D16FE3">
      <w:pPr>
        <w:pStyle w:val="ACMACorporateAddresses"/>
        <w:rPr>
          <w:rStyle w:val="Hyperlink"/>
        </w:rPr>
      </w:pPr>
      <w:r w:rsidRPr="006D46E5">
        <w:t>Manager, Editorial and Design</w:t>
      </w:r>
      <w:r w:rsidR="00623FF9">
        <w:br/>
      </w:r>
      <w:r w:rsidRPr="006D46E5">
        <w:t>PO Box 13112</w:t>
      </w:r>
      <w:r w:rsidR="00623FF9">
        <w:br/>
      </w:r>
      <w:r w:rsidRPr="006D46E5">
        <w:t>Law Courts</w:t>
      </w:r>
      <w:r w:rsidR="00623FF9">
        <w:br/>
      </w:r>
      <w:r w:rsidRPr="006D46E5">
        <w:t>Melbourne VIC 8010</w:t>
      </w:r>
      <w:r w:rsidR="00623FF9">
        <w:br/>
      </w:r>
      <w:r w:rsidRPr="006D46E5">
        <w:t xml:space="preserve">Email: </w:t>
      </w:r>
      <w:hyperlink r:id="rId21" w:history="1">
        <w:r w:rsidRPr="00431792">
          <w:rPr>
            <w:rStyle w:val="Hyperlink"/>
          </w:rPr>
          <w:t>candinfo@acma.gov.au</w:t>
        </w:r>
      </w:hyperlink>
    </w:p>
    <w:p w14:paraId="7AACEC25" w14:textId="77777777" w:rsidR="00D16FE3" w:rsidRDefault="00D16FE3" w:rsidP="00D16FE3">
      <w:pPr>
        <w:pStyle w:val="ACMACorporateAddresses"/>
        <w:rPr>
          <w:rStyle w:val="Hyperlink"/>
        </w:rPr>
      </w:pPr>
    </w:p>
    <w:p w14:paraId="56EC4B77" w14:textId="77777777" w:rsidR="00D16FE3" w:rsidRPr="00D16FE3" w:rsidRDefault="00D16FE3" w:rsidP="00D16FE3">
      <w:pPr>
        <w:pStyle w:val="ACMACorporateAddresses"/>
        <w:sectPr w:rsidR="00D16FE3" w:rsidRPr="00D16FE3">
          <w:headerReference w:type="even" r:id="rId22"/>
          <w:headerReference w:type="default" r:id="rId23"/>
          <w:footerReference w:type="even" r:id="rId24"/>
          <w:footerReference w:type="default" r:id="rId25"/>
          <w:pgSz w:w="11906" w:h="16838" w:code="9"/>
          <w:pgMar w:top="3924" w:right="1797" w:bottom="697" w:left="1134" w:header="709" w:footer="119" w:gutter="0"/>
          <w:cols w:space="708"/>
          <w:docGrid w:linePitch="360"/>
        </w:sectPr>
      </w:pPr>
    </w:p>
    <w:p w14:paraId="5617DCAC" w14:textId="77777777" w:rsidR="002411BA" w:rsidRDefault="00D67B39">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"1-3" \h \z \t "ACMA_ExecSummaryHeading,1" </w:instrText>
      </w:r>
      <w:r>
        <w:rPr>
          <w:rFonts w:cs="Arial"/>
        </w:rPr>
        <w:fldChar w:fldCharType="separate"/>
      </w:r>
      <w:hyperlink w:anchor="_Toc457562322" w:history="1">
        <w:r w:rsidR="002411BA" w:rsidRPr="00AF4781">
          <w:rPr>
            <w:rStyle w:val="Hyperlink"/>
          </w:rPr>
          <w:t>Introduction</w:t>
        </w:r>
        <w:r w:rsidR="002411BA">
          <w:rPr>
            <w:webHidden/>
          </w:rPr>
          <w:tab/>
        </w:r>
        <w:r w:rsidR="002411BA">
          <w:rPr>
            <w:webHidden/>
          </w:rPr>
          <w:fldChar w:fldCharType="begin"/>
        </w:r>
        <w:r w:rsidR="002411BA">
          <w:rPr>
            <w:webHidden/>
          </w:rPr>
          <w:instrText xml:space="preserve"> PAGEREF _Toc457562322 \h </w:instrText>
        </w:r>
        <w:r w:rsidR="002411BA">
          <w:rPr>
            <w:webHidden/>
          </w:rPr>
        </w:r>
        <w:r w:rsidR="002411BA">
          <w:rPr>
            <w:webHidden/>
          </w:rPr>
          <w:fldChar w:fldCharType="separate"/>
        </w:r>
        <w:r w:rsidR="00E27AC7">
          <w:rPr>
            <w:webHidden/>
          </w:rPr>
          <w:t>1</w:t>
        </w:r>
        <w:r w:rsidR="002411BA">
          <w:rPr>
            <w:webHidden/>
          </w:rPr>
          <w:fldChar w:fldCharType="end"/>
        </w:r>
      </w:hyperlink>
    </w:p>
    <w:p w14:paraId="6C798DF8" w14:textId="77777777" w:rsidR="002411BA" w:rsidRDefault="005F3BB4">
      <w:pPr>
        <w:pStyle w:val="TOC1"/>
        <w:rPr>
          <w:rFonts w:asciiTheme="minorHAnsi" w:eastAsiaTheme="minorEastAsia" w:hAnsiTheme="minorHAnsi" w:cstheme="minorBidi"/>
          <w:b w:val="0"/>
          <w:spacing w:val="0"/>
          <w:sz w:val="22"/>
          <w:szCs w:val="22"/>
        </w:rPr>
      </w:pPr>
      <w:hyperlink w:anchor="_Toc457562323" w:history="1">
        <w:r w:rsidR="002411BA" w:rsidRPr="00AF4781">
          <w:rPr>
            <w:rStyle w:val="Hyperlink"/>
          </w:rPr>
          <w:t>Background to the current USO regime</w:t>
        </w:r>
        <w:r w:rsidR="002411BA">
          <w:rPr>
            <w:webHidden/>
          </w:rPr>
          <w:tab/>
        </w:r>
        <w:r w:rsidR="002411BA">
          <w:rPr>
            <w:webHidden/>
          </w:rPr>
          <w:fldChar w:fldCharType="begin"/>
        </w:r>
        <w:r w:rsidR="002411BA">
          <w:rPr>
            <w:webHidden/>
          </w:rPr>
          <w:instrText xml:space="preserve"> PAGEREF _Toc457562323 \h </w:instrText>
        </w:r>
        <w:r w:rsidR="002411BA">
          <w:rPr>
            <w:webHidden/>
          </w:rPr>
        </w:r>
        <w:r w:rsidR="002411BA">
          <w:rPr>
            <w:webHidden/>
          </w:rPr>
          <w:fldChar w:fldCharType="separate"/>
        </w:r>
        <w:r w:rsidR="00E27AC7">
          <w:rPr>
            <w:webHidden/>
          </w:rPr>
          <w:t>2</w:t>
        </w:r>
        <w:r w:rsidR="002411BA">
          <w:rPr>
            <w:webHidden/>
          </w:rPr>
          <w:fldChar w:fldCharType="end"/>
        </w:r>
      </w:hyperlink>
    </w:p>
    <w:p w14:paraId="0E485AFB" w14:textId="77777777" w:rsidR="002411BA" w:rsidRDefault="005F3BB4">
      <w:pPr>
        <w:pStyle w:val="TOC2"/>
        <w:rPr>
          <w:rFonts w:asciiTheme="minorHAnsi" w:eastAsiaTheme="minorEastAsia" w:hAnsiTheme="minorHAnsi" w:cstheme="minorBidi"/>
          <w:spacing w:val="0"/>
          <w:sz w:val="22"/>
          <w:szCs w:val="22"/>
        </w:rPr>
      </w:pPr>
      <w:hyperlink w:anchor="_Toc457562324" w:history="1">
        <w:r w:rsidR="002411BA" w:rsidRPr="00AF4781">
          <w:rPr>
            <w:rStyle w:val="Hyperlink"/>
          </w:rPr>
          <w:t>The current USO and associated consumer protection regime</w:t>
        </w:r>
        <w:r w:rsidR="002411BA">
          <w:rPr>
            <w:webHidden/>
          </w:rPr>
          <w:tab/>
        </w:r>
        <w:r w:rsidR="002411BA">
          <w:rPr>
            <w:webHidden/>
          </w:rPr>
          <w:fldChar w:fldCharType="begin"/>
        </w:r>
        <w:r w:rsidR="002411BA">
          <w:rPr>
            <w:webHidden/>
          </w:rPr>
          <w:instrText xml:space="preserve"> PAGEREF _Toc457562324 \h </w:instrText>
        </w:r>
        <w:r w:rsidR="002411BA">
          <w:rPr>
            <w:webHidden/>
          </w:rPr>
        </w:r>
        <w:r w:rsidR="002411BA">
          <w:rPr>
            <w:webHidden/>
          </w:rPr>
          <w:fldChar w:fldCharType="separate"/>
        </w:r>
        <w:r w:rsidR="00E27AC7">
          <w:rPr>
            <w:webHidden/>
          </w:rPr>
          <w:t>2</w:t>
        </w:r>
        <w:r w:rsidR="002411BA">
          <w:rPr>
            <w:webHidden/>
          </w:rPr>
          <w:fldChar w:fldCharType="end"/>
        </w:r>
      </w:hyperlink>
    </w:p>
    <w:p w14:paraId="08D71AA4" w14:textId="77777777" w:rsidR="002411BA" w:rsidRDefault="005F3BB4">
      <w:pPr>
        <w:pStyle w:val="TOC1"/>
        <w:rPr>
          <w:rFonts w:asciiTheme="minorHAnsi" w:eastAsiaTheme="minorEastAsia" w:hAnsiTheme="minorHAnsi" w:cstheme="minorBidi"/>
          <w:b w:val="0"/>
          <w:spacing w:val="0"/>
          <w:sz w:val="22"/>
          <w:szCs w:val="22"/>
        </w:rPr>
      </w:pPr>
      <w:hyperlink w:anchor="_Toc457562325" w:history="1">
        <w:r w:rsidR="002411BA" w:rsidRPr="00AF4781">
          <w:rPr>
            <w:rStyle w:val="Hyperlink"/>
          </w:rPr>
          <w:t>Today’s communications environment</w:t>
        </w:r>
        <w:r w:rsidR="002411BA">
          <w:rPr>
            <w:webHidden/>
          </w:rPr>
          <w:tab/>
        </w:r>
        <w:r w:rsidR="002411BA">
          <w:rPr>
            <w:webHidden/>
          </w:rPr>
          <w:fldChar w:fldCharType="begin"/>
        </w:r>
        <w:r w:rsidR="002411BA">
          <w:rPr>
            <w:webHidden/>
          </w:rPr>
          <w:instrText xml:space="preserve"> PAGEREF _Toc457562325 \h </w:instrText>
        </w:r>
        <w:r w:rsidR="002411BA">
          <w:rPr>
            <w:webHidden/>
          </w:rPr>
        </w:r>
        <w:r w:rsidR="002411BA">
          <w:rPr>
            <w:webHidden/>
          </w:rPr>
          <w:fldChar w:fldCharType="separate"/>
        </w:r>
        <w:r w:rsidR="00E27AC7">
          <w:rPr>
            <w:webHidden/>
          </w:rPr>
          <w:t>5</w:t>
        </w:r>
        <w:r w:rsidR="002411BA">
          <w:rPr>
            <w:webHidden/>
          </w:rPr>
          <w:fldChar w:fldCharType="end"/>
        </w:r>
      </w:hyperlink>
    </w:p>
    <w:p w14:paraId="3F25B5AF" w14:textId="77777777" w:rsidR="002411BA" w:rsidRDefault="005F3BB4">
      <w:pPr>
        <w:pStyle w:val="TOC2"/>
        <w:rPr>
          <w:rFonts w:asciiTheme="minorHAnsi" w:eastAsiaTheme="minorEastAsia" w:hAnsiTheme="minorHAnsi" w:cstheme="minorBidi"/>
          <w:spacing w:val="0"/>
          <w:sz w:val="22"/>
          <w:szCs w:val="22"/>
        </w:rPr>
      </w:pPr>
      <w:hyperlink w:anchor="_Toc457562326" w:history="1">
        <w:r w:rsidR="002411BA" w:rsidRPr="00AF4781">
          <w:rPr>
            <w:rStyle w:val="Hyperlink"/>
          </w:rPr>
          <w:t>Changing consumer behaviour and expectations</w:t>
        </w:r>
        <w:r w:rsidR="002411BA">
          <w:rPr>
            <w:webHidden/>
          </w:rPr>
          <w:tab/>
        </w:r>
        <w:r w:rsidR="002411BA">
          <w:rPr>
            <w:webHidden/>
          </w:rPr>
          <w:fldChar w:fldCharType="begin"/>
        </w:r>
        <w:r w:rsidR="002411BA">
          <w:rPr>
            <w:webHidden/>
          </w:rPr>
          <w:instrText xml:space="preserve"> PAGEREF _Toc457562326 \h </w:instrText>
        </w:r>
        <w:r w:rsidR="002411BA">
          <w:rPr>
            <w:webHidden/>
          </w:rPr>
        </w:r>
        <w:r w:rsidR="002411BA">
          <w:rPr>
            <w:webHidden/>
          </w:rPr>
          <w:fldChar w:fldCharType="separate"/>
        </w:r>
        <w:r w:rsidR="00E27AC7">
          <w:rPr>
            <w:webHidden/>
          </w:rPr>
          <w:t>5</w:t>
        </w:r>
        <w:r w:rsidR="002411BA">
          <w:rPr>
            <w:webHidden/>
          </w:rPr>
          <w:fldChar w:fldCharType="end"/>
        </w:r>
      </w:hyperlink>
    </w:p>
    <w:p w14:paraId="24B7C594" w14:textId="77777777" w:rsidR="002411BA" w:rsidRDefault="005F3BB4">
      <w:pPr>
        <w:pStyle w:val="TOC2"/>
        <w:rPr>
          <w:rFonts w:asciiTheme="minorHAnsi" w:eastAsiaTheme="minorEastAsia" w:hAnsiTheme="minorHAnsi" w:cstheme="minorBidi"/>
          <w:spacing w:val="0"/>
          <w:sz w:val="22"/>
          <w:szCs w:val="22"/>
        </w:rPr>
      </w:pPr>
      <w:hyperlink w:anchor="_Toc457562327" w:history="1">
        <w:r w:rsidR="002411BA" w:rsidRPr="00AF4781">
          <w:rPr>
            <w:rStyle w:val="Hyperlink"/>
          </w:rPr>
          <w:t>Payphones</w:t>
        </w:r>
        <w:r w:rsidR="002411BA">
          <w:rPr>
            <w:webHidden/>
          </w:rPr>
          <w:tab/>
        </w:r>
        <w:r w:rsidR="002411BA">
          <w:rPr>
            <w:webHidden/>
          </w:rPr>
          <w:fldChar w:fldCharType="begin"/>
        </w:r>
        <w:r w:rsidR="002411BA">
          <w:rPr>
            <w:webHidden/>
          </w:rPr>
          <w:instrText xml:space="preserve"> PAGEREF _Toc457562327 \h </w:instrText>
        </w:r>
        <w:r w:rsidR="002411BA">
          <w:rPr>
            <w:webHidden/>
          </w:rPr>
        </w:r>
        <w:r w:rsidR="002411BA">
          <w:rPr>
            <w:webHidden/>
          </w:rPr>
          <w:fldChar w:fldCharType="separate"/>
        </w:r>
        <w:r w:rsidR="00E27AC7">
          <w:rPr>
            <w:webHidden/>
          </w:rPr>
          <w:t>8</w:t>
        </w:r>
        <w:r w:rsidR="002411BA">
          <w:rPr>
            <w:webHidden/>
          </w:rPr>
          <w:fldChar w:fldCharType="end"/>
        </w:r>
      </w:hyperlink>
    </w:p>
    <w:p w14:paraId="392391C9" w14:textId="77777777" w:rsidR="002411BA" w:rsidRDefault="005F3BB4">
      <w:pPr>
        <w:pStyle w:val="TOC2"/>
        <w:rPr>
          <w:rFonts w:asciiTheme="minorHAnsi" w:eastAsiaTheme="minorEastAsia" w:hAnsiTheme="minorHAnsi" w:cstheme="minorBidi"/>
          <w:spacing w:val="0"/>
          <w:sz w:val="22"/>
          <w:szCs w:val="22"/>
        </w:rPr>
      </w:pPr>
      <w:hyperlink w:anchor="_Toc457562328" w:history="1">
        <w:r w:rsidR="002411BA" w:rsidRPr="00AF4781">
          <w:rPr>
            <w:rStyle w:val="Hyperlink"/>
          </w:rPr>
          <w:t>Offline and ‘unconnected’ Australians</w:t>
        </w:r>
        <w:r w:rsidR="002411BA">
          <w:rPr>
            <w:webHidden/>
          </w:rPr>
          <w:tab/>
        </w:r>
        <w:r w:rsidR="002411BA">
          <w:rPr>
            <w:webHidden/>
          </w:rPr>
          <w:fldChar w:fldCharType="begin"/>
        </w:r>
        <w:r w:rsidR="002411BA">
          <w:rPr>
            <w:webHidden/>
          </w:rPr>
          <w:instrText xml:space="preserve"> PAGEREF _Toc457562328 \h </w:instrText>
        </w:r>
        <w:r w:rsidR="002411BA">
          <w:rPr>
            <w:webHidden/>
          </w:rPr>
        </w:r>
        <w:r w:rsidR="002411BA">
          <w:rPr>
            <w:webHidden/>
          </w:rPr>
          <w:fldChar w:fldCharType="separate"/>
        </w:r>
        <w:r w:rsidR="00E27AC7">
          <w:rPr>
            <w:webHidden/>
          </w:rPr>
          <w:t>8</w:t>
        </w:r>
        <w:r w:rsidR="002411BA">
          <w:rPr>
            <w:webHidden/>
          </w:rPr>
          <w:fldChar w:fldCharType="end"/>
        </w:r>
      </w:hyperlink>
    </w:p>
    <w:p w14:paraId="249CAFC0" w14:textId="77777777" w:rsidR="002411BA" w:rsidRDefault="005F3BB4">
      <w:pPr>
        <w:pStyle w:val="TOC2"/>
        <w:rPr>
          <w:rFonts w:asciiTheme="minorHAnsi" w:eastAsiaTheme="minorEastAsia" w:hAnsiTheme="minorHAnsi" w:cstheme="minorBidi"/>
          <w:spacing w:val="0"/>
          <w:sz w:val="22"/>
          <w:szCs w:val="22"/>
        </w:rPr>
      </w:pPr>
      <w:hyperlink w:anchor="_Toc457562329" w:history="1">
        <w:r w:rsidR="002411BA" w:rsidRPr="00AF4781">
          <w:rPr>
            <w:rStyle w:val="Hyperlink"/>
          </w:rPr>
          <w:t>Overall trends</w:t>
        </w:r>
        <w:r w:rsidR="002411BA">
          <w:rPr>
            <w:webHidden/>
          </w:rPr>
          <w:tab/>
        </w:r>
        <w:r w:rsidR="002411BA">
          <w:rPr>
            <w:webHidden/>
          </w:rPr>
          <w:fldChar w:fldCharType="begin"/>
        </w:r>
        <w:r w:rsidR="002411BA">
          <w:rPr>
            <w:webHidden/>
          </w:rPr>
          <w:instrText xml:space="preserve"> PAGEREF _Toc457562329 \h </w:instrText>
        </w:r>
        <w:r w:rsidR="002411BA">
          <w:rPr>
            <w:webHidden/>
          </w:rPr>
        </w:r>
        <w:r w:rsidR="002411BA">
          <w:rPr>
            <w:webHidden/>
          </w:rPr>
          <w:fldChar w:fldCharType="separate"/>
        </w:r>
        <w:r w:rsidR="00E27AC7">
          <w:rPr>
            <w:webHidden/>
          </w:rPr>
          <w:t>14</w:t>
        </w:r>
        <w:r w:rsidR="002411BA">
          <w:rPr>
            <w:webHidden/>
          </w:rPr>
          <w:fldChar w:fldCharType="end"/>
        </w:r>
      </w:hyperlink>
    </w:p>
    <w:p w14:paraId="2A0F2986" w14:textId="77777777" w:rsidR="002411BA" w:rsidRDefault="005F3BB4">
      <w:pPr>
        <w:pStyle w:val="TOC1"/>
        <w:rPr>
          <w:rFonts w:asciiTheme="minorHAnsi" w:eastAsiaTheme="minorEastAsia" w:hAnsiTheme="minorHAnsi" w:cstheme="minorBidi"/>
          <w:b w:val="0"/>
          <w:spacing w:val="0"/>
          <w:sz w:val="22"/>
          <w:szCs w:val="22"/>
        </w:rPr>
      </w:pPr>
      <w:hyperlink w:anchor="_Toc457562330" w:history="1">
        <w:r w:rsidR="002411BA" w:rsidRPr="00AF4781">
          <w:rPr>
            <w:rStyle w:val="Hyperlink"/>
          </w:rPr>
          <w:t>Considerations regarding potential changes to the USO regime</w:t>
        </w:r>
        <w:r w:rsidR="002411BA">
          <w:rPr>
            <w:webHidden/>
          </w:rPr>
          <w:tab/>
        </w:r>
        <w:r w:rsidR="002411BA">
          <w:rPr>
            <w:webHidden/>
          </w:rPr>
          <w:fldChar w:fldCharType="begin"/>
        </w:r>
        <w:r w:rsidR="002411BA">
          <w:rPr>
            <w:webHidden/>
          </w:rPr>
          <w:instrText xml:space="preserve"> PAGEREF _Toc457562330 \h </w:instrText>
        </w:r>
        <w:r w:rsidR="002411BA">
          <w:rPr>
            <w:webHidden/>
          </w:rPr>
        </w:r>
        <w:r w:rsidR="002411BA">
          <w:rPr>
            <w:webHidden/>
          </w:rPr>
          <w:fldChar w:fldCharType="separate"/>
        </w:r>
        <w:r w:rsidR="00E27AC7">
          <w:rPr>
            <w:webHidden/>
          </w:rPr>
          <w:t>15</w:t>
        </w:r>
        <w:r w:rsidR="002411BA">
          <w:rPr>
            <w:webHidden/>
          </w:rPr>
          <w:fldChar w:fldCharType="end"/>
        </w:r>
      </w:hyperlink>
    </w:p>
    <w:p w14:paraId="22B8CC2E" w14:textId="1FD7A238" w:rsidR="002411BA" w:rsidRDefault="005F3BB4" w:rsidP="002411BA">
      <w:pPr>
        <w:pStyle w:val="TOC2"/>
        <w:ind w:left="0" w:firstLine="0"/>
        <w:rPr>
          <w:rFonts w:asciiTheme="minorHAnsi" w:eastAsiaTheme="minorEastAsia" w:hAnsiTheme="minorHAnsi" w:cstheme="minorBidi"/>
          <w:spacing w:val="0"/>
          <w:sz w:val="22"/>
          <w:szCs w:val="22"/>
        </w:rPr>
      </w:pPr>
      <w:hyperlink w:anchor="_Toc457562331" w:history="1">
        <w:r w:rsidR="002411BA" w:rsidRPr="00AF4781">
          <w:rPr>
            <w:rStyle w:val="Hyperlink"/>
          </w:rPr>
          <w:t xml:space="preserve">Historical context and drivers for Australia’s current universal </w:t>
        </w:r>
        <w:r w:rsidR="002411BA">
          <w:rPr>
            <w:rStyle w:val="Hyperlink"/>
          </w:rPr>
          <w:br/>
        </w:r>
        <w:r w:rsidR="002411BA" w:rsidRPr="00AF4781">
          <w:rPr>
            <w:rStyle w:val="Hyperlink"/>
          </w:rPr>
          <w:t>services policy</w:t>
        </w:r>
        <w:r w:rsidR="002411BA">
          <w:rPr>
            <w:webHidden/>
          </w:rPr>
          <w:tab/>
        </w:r>
        <w:r w:rsidR="002411BA">
          <w:rPr>
            <w:webHidden/>
          </w:rPr>
          <w:fldChar w:fldCharType="begin"/>
        </w:r>
        <w:r w:rsidR="002411BA">
          <w:rPr>
            <w:webHidden/>
          </w:rPr>
          <w:instrText xml:space="preserve"> PAGEREF _Toc457562331 \h </w:instrText>
        </w:r>
        <w:r w:rsidR="002411BA">
          <w:rPr>
            <w:webHidden/>
          </w:rPr>
        </w:r>
        <w:r w:rsidR="002411BA">
          <w:rPr>
            <w:webHidden/>
          </w:rPr>
          <w:fldChar w:fldCharType="separate"/>
        </w:r>
        <w:r w:rsidR="00E27AC7">
          <w:rPr>
            <w:webHidden/>
          </w:rPr>
          <w:t>15</w:t>
        </w:r>
        <w:r w:rsidR="002411BA">
          <w:rPr>
            <w:webHidden/>
          </w:rPr>
          <w:fldChar w:fldCharType="end"/>
        </w:r>
      </w:hyperlink>
    </w:p>
    <w:p w14:paraId="267DB3AA" w14:textId="77777777" w:rsidR="002411BA" w:rsidRDefault="005F3BB4" w:rsidP="002411BA">
      <w:pPr>
        <w:pStyle w:val="TOC2"/>
        <w:ind w:left="0" w:firstLine="0"/>
        <w:rPr>
          <w:rFonts w:asciiTheme="minorHAnsi" w:eastAsiaTheme="minorEastAsia" w:hAnsiTheme="minorHAnsi" w:cstheme="minorBidi"/>
          <w:spacing w:val="0"/>
          <w:sz w:val="22"/>
          <w:szCs w:val="22"/>
        </w:rPr>
      </w:pPr>
      <w:hyperlink w:anchor="_Toc457562332" w:history="1">
        <w:r w:rsidR="002411BA" w:rsidRPr="00AF4781">
          <w:rPr>
            <w:rStyle w:val="Hyperlink"/>
          </w:rPr>
          <w:t>Challenges in developing a universal service policy, given the current dynamic communications sector</w:t>
        </w:r>
        <w:r w:rsidR="002411BA">
          <w:rPr>
            <w:webHidden/>
          </w:rPr>
          <w:tab/>
        </w:r>
        <w:r w:rsidR="002411BA">
          <w:rPr>
            <w:webHidden/>
          </w:rPr>
          <w:fldChar w:fldCharType="begin"/>
        </w:r>
        <w:r w:rsidR="002411BA">
          <w:rPr>
            <w:webHidden/>
          </w:rPr>
          <w:instrText xml:space="preserve"> PAGEREF _Toc457562332 \h </w:instrText>
        </w:r>
        <w:r w:rsidR="002411BA">
          <w:rPr>
            <w:webHidden/>
          </w:rPr>
        </w:r>
        <w:r w:rsidR="002411BA">
          <w:rPr>
            <w:webHidden/>
          </w:rPr>
          <w:fldChar w:fldCharType="separate"/>
        </w:r>
        <w:r w:rsidR="00E27AC7">
          <w:rPr>
            <w:webHidden/>
          </w:rPr>
          <w:t>17</w:t>
        </w:r>
        <w:r w:rsidR="002411BA">
          <w:rPr>
            <w:webHidden/>
          </w:rPr>
          <w:fldChar w:fldCharType="end"/>
        </w:r>
      </w:hyperlink>
    </w:p>
    <w:p w14:paraId="3F624804" w14:textId="77777777" w:rsidR="002411BA" w:rsidRDefault="005F3BB4">
      <w:pPr>
        <w:pStyle w:val="TOC3"/>
        <w:rPr>
          <w:rFonts w:asciiTheme="minorHAnsi" w:eastAsiaTheme="minorEastAsia" w:hAnsiTheme="minorHAnsi" w:cstheme="minorBidi"/>
        </w:rPr>
      </w:pPr>
      <w:hyperlink w:anchor="_Toc457562333" w:history="1">
        <w:r w:rsidR="002411BA" w:rsidRPr="00AF4781">
          <w:rPr>
            <w:rStyle w:val="Hyperlink"/>
          </w:rPr>
          <w:t>Consumer use and expectations</w:t>
        </w:r>
        <w:r w:rsidR="002411BA">
          <w:rPr>
            <w:webHidden/>
          </w:rPr>
          <w:tab/>
        </w:r>
        <w:r w:rsidR="002411BA">
          <w:rPr>
            <w:webHidden/>
          </w:rPr>
          <w:fldChar w:fldCharType="begin"/>
        </w:r>
        <w:r w:rsidR="002411BA">
          <w:rPr>
            <w:webHidden/>
          </w:rPr>
          <w:instrText xml:space="preserve"> PAGEREF _Toc457562333 \h </w:instrText>
        </w:r>
        <w:r w:rsidR="002411BA">
          <w:rPr>
            <w:webHidden/>
          </w:rPr>
        </w:r>
        <w:r w:rsidR="002411BA">
          <w:rPr>
            <w:webHidden/>
          </w:rPr>
          <w:fldChar w:fldCharType="separate"/>
        </w:r>
        <w:r w:rsidR="00E27AC7">
          <w:rPr>
            <w:webHidden/>
          </w:rPr>
          <w:t>17</w:t>
        </w:r>
        <w:r w:rsidR="002411BA">
          <w:rPr>
            <w:webHidden/>
          </w:rPr>
          <w:fldChar w:fldCharType="end"/>
        </w:r>
      </w:hyperlink>
    </w:p>
    <w:p w14:paraId="38719154" w14:textId="77777777" w:rsidR="002411BA" w:rsidRDefault="005F3BB4">
      <w:pPr>
        <w:pStyle w:val="TOC3"/>
        <w:rPr>
          <w:rFonts w:asciiTheme="minorHAnsi" w:eastAsiaTheme="minorEastAsia" w:hAnsiTheme="minorHAnsi" w:cstheme="minorBidi"/>
        </w:rPr>
      </w:pPr>
      <w:hyperlink w:anchor="_Toc457562334" w:history="1">
        <w:r w:rsidR="002411BA" w:rsidRPr="00AF4781">
          <w:rPr>
            <w:rStyle w:val="Hyperlink"/>
          </w:rPr>
          <w:t>New industry structures and technology</w:t>
        </w:r>
        <w:r w:rsidR="002411BA">
          <w:rPr>
            <w:webHidden/>
          </w:rPr>
          <w:tab/>
        </w:r>
        <w:r w:rsidR="002411BA">
          <w:rPr>
            <w:webHidden/>
          </w:rPr>
          <w:fldChar w:fldCharType="begin"/>
        </w:r>
        <w:r w:rsidR="002411BA">
          <w:rPr>
            <w:webHidden/>
          </w:rPr>
          <w:instrText xml:space="preserve"> PAGEREF _Toc457562334 \h </w:instrText>
        </w:r>
        <w:r w:rsidR="002411BA">
          <w:rPr>
            <w:webHidden/>
          </w:rPr>
        </w:r>
        <w:r w:rsidR="002411BA">
          <w:rPr>
            <w:webHidden/>
          </w:rPr>
          <w:fldChar w:fldCharType="separate"/>
        </w:r>
        <w:r w:rsidR="00E27AC7">
          <w:rPr>
            <w:webHidden/>
          </w:rPr>
          <w:t>17</w:t>
        </w:r>
        <w:r w:rsidR="002411BA">
          <w:rPr>
            <w:webHidden/>
          </w:rPr>
          <w:fldChar w:fldCharType="end"/>
        </w:r>
      </w:hyperlink>
    </w:p>
    <w:p w14:paraId="77E10F1D" w14:textId="77777777" w:rsidR="002411BA" w:rsidRDefault="005F3BB4">
      <w:pPr>
        <w:pStyle w:val="TOC3"/>
        <w:rPr>
          <w:rFonts w:asciiTheme="minorHAnsi" w:eastAsiaTheme="minorEastAsia" w:hAnsiTheme="minorHAnsi" w:cstheme="minorBidi"/>
        </w:rPr>
      </w:pPr>
      <w:hyperlink w:anchor="_Toc457562335" w:history="1">
        <w:r w:rsidR="002411BA" w:rsidRPr="00AF4781">
          <w:rPr>
            <w:rStyle w:val="Hyperlink"/>
          </w:rPr>
          <w:t>One constant is Australia’s geographic landscape</w:t>
        </w:r>
        <w:r w:rsidR="002411BA">
          <w:rPr>
            <w:webHidden/>
          </w:rPr>
          <w:tab/>
        </w:r>
        <w:r w:rsidR="002411BA">
          <w:rPr>
            <w:webHidden/>
          </w:rPr>
          <w:fldChar w:fldCharType="begin"/>
        </w:r>
        <w:r w:rsidR="002411BA">
          <w:rPr>
            <w:webHidden/>
          </w:rPr>
          <w:instrText xml:space="preserve"> PAGEREF _Toc457562335 \h </w:instrText>
        </w:r>
        <w:r w:rsidR="002411BA">
          <w:rPr>
            <w:webHidden/>
          </w:rPr>
        </w:r>
        <w:r w:rsidR="002411BA">
          <w:rPr>
            <w:webHidden/>
          </w:rPr>
          <w:fldChar w:fldCharType="separate"/>
        </w:r>
        <w:r w:rsidR="00E27AC7">
          <w:rPr>
            <w:webHidden/>
          </w:rPr>
          <w:t>18</w:t>
        </w:r>
        <w:r w:rsidR="002411BA">
          <w:rPr>
            <w:webHidden/>
          </w:rPr>
          <w:fldChar w:fldCharType="end"/>
        </w:r>
      </w:hyperlink>
    </w:p>
    <w:p w14:paraId="100DD64E" w14:textId="77777777" w:rsidR="002411BA" w:rsidRDefault="005F3BB4">
      <w:pPr>
        <w:pStyle w:val="TOC1"/>
        <w:rPr>
          <w:rFonts w:asciiTheme="minorHAnsi" w:eastAsiaTheme="minorEastAsia" w:hAnsiTheme="minorHAnsi" w:cstheme="minorBidi"/>
          <w:b w:val="0"/>
          <w:spacing w:val="0"/>
          <w:sz w:val="22"/>
          <w:szCs w:val="22"/>
        </w:rPr>
      </w:pPr>
      <w:hyperlink w:anchor="_Toc457562336" w:history="1">
        <w:r w:rsidR="002411BA" w:rsidRPr="00AF4781">
          <w:rPr>
            <w:rStyle w:val="Hyperlink"/>
          </w:rPr>
          <w:t>Considerations for a way forward</w:t>
        </w:r>
        <w:r w:rsidR="002411BA">
          <w:rPr>
            <w:webHidden/>
          </w:rPr>
          <w:tab/>
        </w:r>
        <w:r w:rsidR="002411BA">
          <w:rPr>
            <w:webHidden/>
          </w:rPr>
          <w:fldChar w:fldCharType="begin"/>
        </w:r>
        <w:r w:rsidR="002411BA">
          <w:rPr>
            <w:webHidden/>
          </w:rPr>
          <w:instrText xml:space="preserve"> PAGEREF _Toc457562336 \h </w:instrText>
        </w:r>
        <w:r w:rsidR="002411BA">
          <w:rPr>
            <w:webHidden/>
          </w:rPr>
        </w:r>
        <w:r w:rsidR="002411BA">
          <w:rPr>
            <w:webHidden/>
          </w:rPr>
          <w:fldChar w:fldCharType="separate"/>
        </w:r>
        <w:r w:rsidR="00E27AC7">
          <w:rPr>
            <w:webHidden/>
          </w:rPr>
          <w:t>19</w:t>
        </w:r>
        <w:r w:rsidR="002411BA">
          <w:rPr>
            <w:webHidden/>
          </w:rPr>
          <w:fldChar w:fldCharType="end"/>
        </w:r>
      </w:hyperlink>
    </w:p>
    <w:p w14:paraId="22641EF4" w14:textId="5D863964" w:rsidR="000A4A51" w:rsidRPr="000D76E0" w:rsidRDefault="00D67B39">
      <w:pPr>
        <w:rPr>
          <w:rFonts w:cs="Arial"/>
        </w:rPr>
      </w:pPr>
      <w:r>
        <w:rPr>
          <w:rFonts w:cs="Arial"/>
          <w:noProof/>
          <w:spacing w:val="-14"/>
          <w:sz w:val="28"/>
        </w:rPr>
        <w:fldChar w:fldCharType="end"/>
      </w:r>
    </w:p>
    <w:p w14:paraId="76044649" w14:textId="77777777" w:rsidR="004D56FF" w:rsidRPr="000D76E0" w:rsidRDefault="004D56FF">
      <w:pPr>
        <w:rPr>
          <w:rFonts w:cs="Arial"/>
        </w:rPr>
        <w:sectPr w:rsidR="004D56FF" w:rsidRPr="000D76E0" w:rsidSect="00C77380">
          <w:headerReference w:type="even" r:id="rId26"/>
          <w:headerReference w:type="default" r:id="rId27"/>
          <w:footerReference w:type="even" r:id="rId28"/>
          <w:footerReference w:type="default" r:id="rId29"/>
          <w:footerReference w:type="first" r:id="rId30"/>
          <w:pgSz w:w="11906" w:h="16838" w:code="9"/>
          <w:pgMar w:top="3646" w:right="3101" w:bottom="1134" w:left="1134" w:header="709" w:footer="119" w:gutter="0"/>
          <w:cols w:space="708"/>
          <w:titlePg/>
          <w:docGrid w:linePitch="360"/>
        </w:sectPr>
      </w:pPr>
    </w:p>
    <w:p w14:paraId="1D0961F2" w14:textId="77777777" w:rsidR="009D6C71" w:rsidRPr="009174F3" w:rsidRDefault="00591A2C" w:rsidP="00591A2C">
      <w:pPr>
        <w:pStyle w:val="Heading1"/>
      </w:pPr>
      <w:bookmarkStart w:id="1" w:name="_Toc457317545"/>
      <w:bookmarkStart w:id="2" w:name="_Toc457562322"/>
      <w:r>
        <w:lastRenderedPageBreak/>
        <w:t>Introduction</w:t>
      </w:r>
      <w:bookmarkEnd w:id="1"/>
      <w:bookmarkEnd w:id="2"/>
      <w:r>
        <w:t xml:space="preserve"> </w:t>
      </w:r>
    </w:p>
    <w:p w14:paraId="0BFF4B79" w14:textId="2C6F3EA4" w:rsidR="00591A2C" w:rsidRDefault="00591A2C" w:rsidP="00591A2C">
      <w:r>
        <w:t>The Australian Communications and Media Authority (</w:t>
      </w:r>
      <w:r w:rsidR="00861944">
        <w:t xml:space="preserve">the </w:t>
      </w:r>
      <w:r>
        <w:t xml:space="preserve">ACMA) welcomes the opportunity to provide a submission in response to the </w:t>
      </w:r>
      <w:r w:rsidRPr="009402EF">
        <w:t xml:space="preserve">Productivity Commission’s </w:t>
      </w:r>
      <w:r w:rsidR="00861944">
        <w:t>issues p</w:t>
      </w:r>
      <w:r>
        <w:t xml:space="preserve">aper on Australia’s Telecommunications Universal Service Obligation (USO). </w:t>
      </w:r>
    </w:p>
    <w:p w14:paraId="5BFF0A2B" w14:textId="4F69CE32" w:rsidR="00591A2C" w:rsidRPr="00D126E2" w:rsidRDefault="00591A2C" w:rsidP="00591A2C">
      <w:r w:rsidRPr="00D126E2">
        <w:t xml:space="preserve">Universal service is the principle that all citizens should have access to </w:t>
      </w:r>
      <w:r w:rsidR="00C57B30">
        <w:t xml:space="preserve">a given </w:t>
      </w:r>
      <w:r>
        <w:t xml:space="preserve">standard of </w:t>
      </w:r>
      <w:r w:rsidRPr="00D126E2">
        <w:t xml:space="preserve">communications services. Communications services have the ability to drive economic growth, prosperity and sustainability, and </w:t>
      </w:r>
      <w:r>
        <w:t xml:space="preserve">numerous other </w:t>
      </w:r>
      <w:r w:rsidR="00861944">
        <w:t>countries</w:t>
      </w:r>
      <w:r>
        <w:t xml:space="preserve"> </w:t>
      </w:r>
      <w:r w:rsidRPr="00D126E2">
        <w:t xml:space="preserve">have USO arrangements </w:t>
      </w:r>
      <w:r>
        <w:t xml:space="preserve">that are intended </w:t>
      </w:r>
      <w:r w:rsidRPr="00D126E2">
        <w:t>to contribute to these goals. Australia’s USO requires the Primary Universal Service Provider (PUSP) to ens</w:t>
      </w:r>
      <w:r>
        <w:t>ure that a standard telephone service (STS) and</w:t>
      </w:r>
      <w:r w:rsidRPr="00D126E2">
        <w:t xml:space="preserve"> payphones </w:t>
      </w:r>
      <w:r>
        <w:t xml:space="preserve">are </w:t>
      </w:r>
      <w:r w:rsidRPr="00D126E2">
        <w:t>reasonably accessible to all people in Australia on an equitable basis.</w:t>
      </w:r>
    </w:p>
    <w:p w14:paraId="6235E9B6" w14:textId="473B7882" w:rsidR="00591A2C" w:rsidRPr="0037784A" w:rsidRDefault="00591A2C" w:rsidP="00591A2C">
      <w:pPr>
        <w:rPr>
          <w:rFonts w:cs="Arial"/>
          <w:szCs w:val="20"/>
        </w:rPr>
      </w:pPr>
      <w:r w:rsidRPr="00D126E2">
        <w:t>The challenges associated with assessing the</w:t>
      </w:r>
      <w:r>
        <w:t xml:space="preserve"> future of the</w:t>
      </w:r>
      <w:r w:rsidRPr="00D126E2">
        <w:t xml:space="preserve"> USO share common threads with a number of regulatory challenges in the current communications environment.</w:t>
      </w:r>
      <w:r>
        <w:t xml:space="preserve"> R</w:t>
      </w:r>
      <w:r w:rsidRPr="00D126E2">
        <w:t xml:space="preserve">egulatory constructs prescribing particular service types and minimum service levels have remained </w:t>
      </w:r>
      <w:r>
        <w:t xml:space="preserve">relatively unchanged for decades. </w:t>
      </w:r>
      <w:r w:rsidR="00861944">
        <w:t>However,</w:t>
      </w:r>
      <w:r>
        <w:t xml:space="preserve"> the communications market, consumer expectations</w:t>
      </w:r>
      <w:r w:rsidR="00815790">
        <w:t>,</w:t>
      </w:r>
      <w:r>
        <w:t xml:space="preserve"> and the range of communications services have changed significantly in the past decade and continue to evolve.  </w:t>
      </w:r>
    </w:p>
    <w:p w14:paraId="4953E001" w14:textId="77777777" w:rsidR="00591A2C" w:rsidRPr="0037784A" w:rsidRDefault="00591A2C" w:rsidP="00761B9E">
      <w:pPr>
        <w:spacing w:after="80"/>
      </w:pPr>
      <w:r w:rsidRPr="0037784A">
        <w:t>A challenge for this inquiry is to assess whether the USO is still effective and relevant within this changing environment, taking into account:</w:t>
      </w:r>
    </w:p>
    <w:p w14:paraId="31C56DFE" w14:textId="11D12F91" w:rsidR="00591A2C" w:rsidRPr="0037784A" w:rsidRDefault="00861944" w:rsidP="00761B9E">
      <w:pPr>
        <w:pStyle w:val="ListBullet"/>
      </w:pPr>
      <w:r>
        <w:t>c</w:t>
      </w:r>
      <w:r w:rsidR="00591A2C" w:rsidRPr="0037784A">
        <w:t xml:space="preserve">urrent USO objectives and including an assessment of whether these objectives continue to be relevant in framing a future </w:t>
      </w:r>
      <w:r w:rsidR="00C57B30">
        <w:t>universal service framework</w:t>
      </w:r>
    </w:p>
    <w:p w14:paraId="7E1964C3" w14:textId="774616F3" w:rsidR="00591A2C" w:rsidRPr="0037784A" w:rsidRDefault="00861944" w:rsidP="00761B9E">
      <w:pPr>
        <w:pStyle w:val="ListBullet"/>
      </w:pPr>
      <w:r>
        <w:t>t</w:t>
      </w:r>
      <w:r w:rsidR="00591A2C" w:rsidRPr="0037784A">
        <w:t xml:space="preserve">he scope of services to be </w:t>
      </w:r>
      <w:r w:rsidR="00591A2C" w:rsidRPr="00815790">
        <w:t xml:space="preserve">covered </w:t>
      </w:r>
      <w:r w:rsidR="00407F1A">
        <w:t>i</w:t>
      </w:r>
      <w:r w:rsidR="000158CB">
        <w:t>n</w:t>
      </w:r>
      <w:r w:rsidR="00591A2C" w:rsidRPr="00815790">
        <w:t xml:space="preserve"> </w:t>
      </w:r>
      <w:r w:rsidR="000158CB">
        <w:t>any</w:t>
      </w:r>
      <w:r w:rsidR="00591A2C" w:rsidRPr="00815790">
        <w:t xml:space="preserve"> future</w:t>
      </w:r>
      <w:r w:rsidR="00591A2C">
        <w:t xml:space="preserve"> </w:t>
      </w:r>
      <w:r w:rsidR="00C57B30">
        <w:t>universal service framework</w:t>
      </w:r>
    </w:p>
    <w:p w14:paraId="2F3B9596" w14:textId="212BABA8" w:rsidR="00591A2C" w:rsidRPr="0037784A" w:rsidRDefault="00815790" w:rsidP="00761B9E">
      <w:pPr>
        <w:pStyle w:val="ListBullet"/>
      </w:pPr>
      <w:r>
        <w:rPr>
          <w:rFonts w:cs="Arial"/>
          <w:szCs w:val="20"/>
        </w:rPr>
        <w:t xml:space="preserve">the </w:t>
      </w:r>
      <w:r w:rsidR="00861944">
        <w:t>d</w:t>
      </w:r>
      <w:r w:rsidR="00591A2C" w:rsidRPr="0037784A">
        <w:t>ifferent needs of differen</w:t>
      </w:r>
      <w:r w:rsidR="00591A2C">
        <w:t xml:space="preserve">t Australian community segments and how to </w:t>
      </w:r>
      <w:r w:rsidR="00591A2C" w:rsidRPr="0037784A">
        <w:t>best to meet these needs</w:t>
      </w:r>
    </w:p>
    <w:p w14:paraId="1BE66201" w14:textId="23651025" w:rsidR="00591A2C" w:rsidRPr="0037784A" w:rsidRDefault="00861944" w:rsidP="00761B9E">
      <w:pPr>
        <w:pStyle w:val="ListBullet"/>
      </w:pPr>
      <w:r>
        <w:t>c</w:t>
      </w:r>
      <w:r w:rsidR="00591A2C" w:rsidRPr="0037784A">
        <w:t>osts and funding arrangeme</w:t>
      </w:r>
      <w:r w:rsidR="00591A2C">
        <w:t>nts associated with these needs</w:t>
      </w:r>
      <w:r w:rsidR="00591A2C" w:rsidRPr="0037784A">
        <w:t xml:space="preserve"> </w:t>
      </w:r>
    </w:p>
    <w:p w14:paraId="704A70EA" w14:textId="7DD1F7AB" w:rsidR="00591A2C" w:rsidRDefault="00861944" w:rsidP="00761B9E">
      <w:pPr>
        <w:pStyle w:val="ListBulletLast"/>
      </w:pPr>
      <w:r>
        <w:t>t</w:t>
      </w:r>
      <w:r w:rsidR="00591A2C" w:rsidRPr="000F3E7C">
        <w:t>ransitional issues</w:t>
      </w:r>
      <w:r w:rsidR="00591A2C">
        <w:t>.</w:t>
      </w:r>
    </w:p>
    <w:p w14:paraId="72DAB5D1" w14:textId="30C109B2" w:rsidR="00591A2C" w:rsidRPr="00D126E2" w:rsidRDefault="00591A2C" w:rsidP="00761B9E">
      <w:pPr>
        <w:spacing w:after="80"/>
      </w:pPr>
      <w:r>
        <w:t>In</w:t>
      </w:r>
      <w:r w:rsidRPr="00D126E2">
        <w:t xml:space="preserve"> this submission, the ACMA does not address </w:t>
      </w:r>
      <w:r>
        <w:t>every</w:t>
      </w:r>
      <w:r w:rsidRPr="00D126E2">
        <w:t xml:space="preserve"> question posed by the issues paper. </w:t>
      </w:r>
      <w:r w:rsidR="00861944" w:rsidRPr="00D126E2">
        <w:t>However,</w:t>
      </w:r>
      <w:r w:rsidRPr="00D126E2">
        <w:t xml:space="preserve"> </w:t>
      </w:r>
      <w:r>
        <w:t>it seeks</w:t>
      </w:r>
      <w:r>
        <w:rPr>
          <w:rFonts w:cs="Arial"/>
          <w:szCs w:val="20"/>
        </w:rPr>
        <w:t xml:space="preserve"> </w:t>
      </w:r>
      <w:r w:rsidRPr="00D126E2">
        <w:rPr>
          <w:rFonts w:cs="Arial"/>
          <w:szCs w:val="20"/>
        </w:rPr>
        <w:t xml:space="preserve">to assist the </w:t>
      </w:r>
      <w:r w:rsidRPr="00815790">
        <w:rPr>
          <w:rFonts w:cs="Arial"/>
          <w:szCs w:val="20"/>
        </w:rPr>
        <w:t>P</w:t>
      </w:r>
      <w:r w:rsidR="009402EF">
        <w:rPr>
          <w:rFonts w:cs="Arial"/>
          <w:szCs w:val="20"/>
        </w:rPr>
        <w:t xml:space="preserve">roductivity </w:t>
      </w:r>
      <w:r w:rsidRPr="00815790">
        <w:rPr>
          <w:rFonts w:cs="Arial"/>
          <w:szCs w:val="20"/>
        </w:rPr>
        <w:t>C</w:t>
      </w:r>
      <w:r w:rsidR="009402EF">
        <w:rPr>
          <w:rFonts w:cs="Arial"/>
          <w:szCs w:val="20"/>
        </w:rPr>
        <w:t>ommission (PC)</w:t>
      </w:r>
      <w:r w:rsidR="00861944">
        <w:rPr>
          <w:rFonts w:cs="Arial"/>
          <w:szCs w:val="20"/>
        </w:rPr>
        <w:t>,</w:t>
      </w:r>
      <w:r w:rsidRPr="00D126E2">
        <w:rPr>
          <w:rFonts w:cs="Arial"/>
          <w:szCs w:val="20"/>
        </w:rPr>
        <w:t xml:space="preserve"> </w:t>
      </w:r>
      <w:r>
        <w:rPr>
          <w:rFonts w:cs="Arial"/>
          <w:szCs w:val="20"/>
        </w:rPr>
        <w:t>drawing on the ACMA’s</w:t>
      </w:r>
      <w:r w:rsidRPr="00D126E2">
        <w:rPr>
          <w:rFonts w:cs="Arial"/>
          <w:szCs w:val="20"/>
        </w:rPr>
        <w:t>:</w:t>
      </w:r>
    </w:p>
    <w:p w14:paraId="4B7E1A05" w14:textId="4953D9B1" w:rsidR="00591A2C" w:rsidRPr="00D126E2" w:rsidRDefault="00591A2C" w:rsidP="00761B9E">
      <w:pPr>
        <w:pStyle w:val="ListBullet"/>
      </w:pPr>
      <w:r w:rsidRPr="00D126E2">
        <w:t xml:space="preserve">regulatory role in ensuring that Telstra fulfil its regulatory obligations as the </w:t>
      </w:r>
      <w:r>
        <w:t>PUSP</w:t>
      </w:r>
      <w:r w:rsidRPr="00D126E2">
        <w:t xml:space="preserve"> of the USO</w:t>
      </w:r>
      <w:r w:rsidR="00815790">
        <w:t>—including</w:t>
      </w:r>
      <w:r w:rsidRPr="00D126E2">
        <w:t xml:space="preserve"> the ACMA’s role in the collection, review and analysis of Telstra’s performance data related to the USO </w:t>
      </w:r>
    </w:p>
    <w:p w14:paraId="3FB91ED6" w14:textId="30D3476C" w:rsidR="00591A2C" w:rsidRPr="00D126E2" w:rsidRDefault="00591A2C" w:rsidP="00761B9E">
      <w:pPr>
        <w:pStyle w:val="ListBullet"/>
      </w:pPr>
      <w:r w:rsidRPr="00D126E2">
        <w:t>administration and collection responsibilities related to the Telecommunications Industry Levy (TIL)</w:t>
      </w:r>
      <w:r w:rsidR="00861944">
        <w:t>,</w:t>
      </w:r>
      <w:r w:rsidRPr="00D126E2">
        <w:t xml:space="preserve"> which partially funds the </w:t>
      </w:r>
      <w:r>
        <w:t>USO</w:t>
      </w:r>
    </w:p>
    <w:p w14:paraId="3BE0DC99" w14:textId="3467D832" w:rsidR="00591A2C" w:rsidRPr="00D126E2" w:rsidRDefault="00591A2C" w:rsidP="00761B9E">
      <w:pPr>
        <w:pStyle w:val="ListBullet"/>
      </w:pPr>
      <w:r w:rsidRPr="00D126E2">
        <w:t>significant research in the communications sector</w:t>
      </w:r>
      <w:r w:rsidR="00815790">
        <w:t>,</w:t>
      </w:r>
      <w:r w:rsidRPr="00D126E2">
        <w:t xml:space="preserve"> including the identification of changes in market structure</w:t>
      </w:r>
      <w:r>
        <w:t>,</w:t>
      </w:r>
      <w:r w:rsidRPr="00D126E2">
        <w:t xml:space="preserve"> cons</w:t>
      </w:r>
      <w:r w:rsidR="00861944">
        <w:t>umer trends and usage patterns</w:t>
      </w:r>
    </w:p>
    <w:p w14:paraId="3C7B9FCA" w14:textId="77777777" w:rsidR="00591A2C" w:rsidRPr="00761B9E" w:rsidRDefault="00591A2C" w:rsidP="00715722">
      <w:pPr>
        <w:pStyle w:val="ListBulletLast"/>
      </w:pPr>
      <w:r>
        <w:t>b</w:t>
      </w:r>
      <w:r w:rsidRPr="00D126E2">
        <w:t>roader role in protecting and promoting the interests of consumers and citizens by maintaining effective telecommunications safeguards</w:t>
      </w:r>
      <w:r>
        <w:t xml:space="preserve">. </w:t>
      </w:r>
    </w:p>
    <w:p w14:paraId="6DADE9CA" w14:textId="77777777" w:rsidR="00591A2C" w:rsidRDefault="00591A2C" w:rsidP="00591A2C">
      <w:pPr>
        <w:pStyle w:val="Heading1"/>
      </w:pPr>
      <w:bookmarkStart w:id="3" w:name="_Toc457317546"/>
      <w:bookmarkStart w:id="4" w:name="_Toc433122125"/>
      <w:bookmarkStart w:id="5" w:name="_Toc457562323"/>
      <w:r>
        <w:lastRenderedPageBreak/>
        <w:t>Background to the current USO regime</w:t>
      </w:r>
      <w:bookmarkEnd w:id="3"/>
      <w:bookmarkEnd w:id="4"/>
      <w:bookmarkEnd w:id="5"/>
    </w:p>
    <w:p w14:paraId="43EEC951" w14:textId="0EDDC777" w:rsidR="00591A2C" w:rsidRDefault="00591A2C" w:rsidP="00591A2C">
      <w:pPr>
        <w:rPr>
          <w:rFonts w:cs="Arial"/>
          <w:szCs w:val="20"/>
        </w:rPr>
      </w:pPr>
      <w:r w:rsidRPr="00D547D7">
        <w:rPr>
          <w:rFonts w:cs="Arial"/>
          <w:szCs w:val="20"/>
        </w:rPr>
        <w:t xml:space="preserve">The </w:t>
      </w:r>
      <w:r>
        <w:rPr>
          <w:rFonts w:cs="Arial"/>
          <w:szCs w:val="20"/>
        </w:rPr>
        <w:t xml:space="preserve">concept of universal service has been central to the Australian telecommunications market for a significant </w:t>
      </w:r>
      <w:r w:rsidR="00861944">
        <w:rPr>
          <w:rFonts w:cs="Arial"/>
          <w:szCs w:val="20"/>
        </w:rPr>
        <w:t>period</w:t>
      </w:r>
      <w:r>
        <w:rPr>
          <w:rFonts w:cs="Arial"/>
          <w:szCs w:val="20"/>
        </w:rPr>
        <w:t>. Initially</w:t>
      </w:r>
      <w:r w:rsidR="00815790">
        <w:rPr>
          <w:rFonts w:cs="Arial"/>
          <w:szCs w:val="20"/>
        </w:rPr>
        <w:t>,</w:t>
      </w:r>
      <w:r>
        <w:rPr>
          <w:rFonts w:cs="Arial"/>
          <w:szCs w:val="20"/>
        </w:rPr>
        <w:t xml:space="preserve"> telecommunications services were provided by government monopoly</w:t>
      </w:r>
      <w:r w:rsidR="00815790">
        <w:rPr>
          <w:rFonts w:cs="Arial"/>
          <w:szCs w:val="20"/>
        </w:rPr>
        <w:t>,</w:t>
      </w:r>
      <w:r>
        <w:rPr>
          <w:rFonts w:cs="Arial"/>
          <w:szCs w:val="20"/>
        </w:rPr>
        <w:t xml:space="preserve"> and the concept continued with the introduction of retail competition in the market. </w:t>
      </w:r>
    </w:p>
    <w:p w14:paraId="3AAE07A9" w14:textId="57E0E0A3" w:rsidR="00591A2C" w:rsidRPr="002C668B" w:rsidRDefault="00591A2C" w:rsidP="00591A2C">
      <w:r w:rsidRPr="002C668B">
        <w:t>The focus of the USO on voice telephony (or equivalent) services is historical</w:t>
      </w:r>
      <w:r w:rsidR="00861944">
        <w:t>. A</w:t>
      </w:r>
      <w:r w:rsidRPr="002C668B">
        <w:t>t the time of the original universal/community service obligation, voice was the most socially important service</w:t>
      </w:r>
      <w:r w:rsidR="00861944">
        <w:t xml:space="preserve"> to the Australian population. </w:t>
      </w:r>
      <w:r w:rsidRPr="002C668B">
        <w:t xml:space="preserve">This is articulated in </w:t>
      </w:r>
      <w:r>
        <w:t>the E</w:t>
      </w:r>
      <w:r w:rsidRPr="002C668B">
        <w:t xml:space="preserve">xplanatory </w:t>
      </w:r>
      <w:r>
        <w:t>M</w:t>
      </w:r>
      <w:r w:rsidRPr="002C668B">
        <w:t>emorand</w:t>
      </w:r>
      <w:r>
        <w:t>um</w:t>
      </w:r>
      <w:r w:rsidRPr="002C668B">
        <w:t xml:space="preserve"> to the </w:t>
      </w:r>
      <w:r w:rsidRPr="00861944">
        <w:rPr>
          <w:i/>
        </w:rPr>
        <w:t>Telecommunications Act</w:t>
      </w:r>
      <w:r w:rsidR="00861944" w:rsidRPr="00861944">
        <w:rPr>
          <w:i/>
        </w:rPr>
        <w:t xml:space="preserve"> 1991</w:t>
      </w:r>
      <w:r w:rsidR="00861944">
        <w:t>,</w:t>
      </w:r>
      <w:r>
        <w:t xml:space="preserve"> which outlines that the</w:t>
      </w:r>
      <w:r w:rsidR="00861944">
        <w:t xml:space="preserve"> ‘</w:t>
      </w:r>
      <w:r>
        <w:t>standard telephone service is supplied at performance standards that meet the social, industrial and commercial nee</w:t>
      </w:r>
      <w:r w:rsidR="00861944">
        <w:t>ds of the Australian community’.</w:t>
      </w:r>
      <w:r w:rsidRPr="007639AB">
        <w:rPr>
          <w:rFonts w:cs="Arial"/>
          <w:szCs w:val="20"/>
        </w:rPr>
        <w:t xml:space="preserve"> </w:t>
      </w:r>
      <w:r>
        <w:rPr>
          <w:rFonts w:cs="Arial"/>
          <w:szCs w:val="20"/>
        </w:rPr>
        <w:t>Historically</w:t>
      </w:r>
      <w:r w:rsidR="00861944">
        <w:rPr>
          <w:rFonts w:cs="Arial"/>
          <w:szCs w:val="20"/>
        </w:rPr>
        <w:t>,</w:t>
      </w:r>
      <w:r>
        <w:rPr>
          <w:rFonts w:cs="Arial"/>
          <w:szCs w:val="20"/>
        </w:rPr>
        <w:t xml:space="preserve"> consumers and business </w:t>
      </w:r>
      <w:r w:rsidRPr="00D547D7">
        <w:rPr>
          <w:rFonts w:cs="Arial"/>
          <w:szCs w:val="20"/>
        </w:rPr>
        <w:t xml:space="preserve">largely relied upon fixed-line </w:t>
      </w:r>
      <w:r>
        <w:rPr>
          <w:rFonts w:cs="Arial"/>
          <w:szCs w:val="20"/>
        </w:rPr>
        <w:t xml:space="preserve">voice </w:t>
      </w:r>
      <w:r w:rsidRPr="00D547D7">
        <w:rPr>
          <w:rFonts w:cs="Arial"/>
          <w:szCs w:val="20"/>
        </w:rPr>
        <w:t>communications over a copper network</w:t>
      </w:r>
      <w:r w:rsidR="00861944">
        <w:rPr>
          <w:rFonts w:cs="Arial"/>
          <w:szCs w:val="20"/>
        </w:rPr>
        <w:t>,</w:t>
      </w:r>
      <w:r w:rsidRPr="00D547D7">
        <w:rPr>
          <w:rFonts w:cs="Arial"/>
          <w:szCs w:val="20"/>
        </w:rPr>
        <w:t xml:space="preserve"> with payphones used as a means of communicating when away from home.</w:t>
      </w:r>
    </w:p>
    <w:p w14:paraId="4168B310" w14:textId="77777777" w:rsidR="00591A2C" w:rsidRDefault="00591A2C" w:rsidP="00591A2C">
      <w:r w:rsidRPr="002C668B">
        <w:t>With</w:t>
      </w:r>
      <w:r>
        <w:t xml:space="preserve"> limited</w:t>
      </w:r>
      <w:r w:rsidRPr="002C668B">
        <w:t xml:space="preserve"> exception</w:t>
      </w:r>
      <w:r>
        <w:t xml:space="preserve">s, the </w:t>
      </w:r>
      <w:r w:rsidRPr="002C668B">
        <w:t>fixed-line infrastructure</w:t>
      </w:r>
      <w:r>
        <w:t xml:space="preserve"> owned by Telstra and its predecessors</w:t>
      </w:r>
      <w:r w:rsidRPr="002C668B">
        <w:t xml:space="preserve"> was designed, optimised and used for the purposes of suppl</w:t>
      </w:r>
      <w:r w:rsidR="00861944">
        <w:t xml:space="preserve">ying voice telephony services. </w:t>
      </w:r>
      <w:r w:rsidRPr="002C668B">
        <w:t xml:space="preserve">Because the supply of a telephony service necessarily involved the provision of the underlying copper network infrastructure, the costs of providing a voice service were inextricably linked to the cost of installing and maintaining that infrastructure.  </w:t>
      </w:r>
    </w:p>
    <w:p w14:paraId="68AA5064" w14:textId="7987966E" w:rsidR="00591A2C" w:rsidRDefault="00591A2C" w:rsidP="00591A2C">
      <w:r>
        <w:t xml:space="preserve">The introduction of competition </w:t>
      </w:r>
      <w:r w:rsidRPr="0011396B">
        <w:t xml:space="preserve">in the telecommunications market led to a levy to fund the delivery of the USO. </w:t>
      </w:r>
      <w:r>
        <w:t xml:space="preserve">The </w:t>
      </w:r>
      <w:r w:rsidRPr="0011396B">
        <w:t>USO construct allowed a reasonable access</w:t>
      </w:r>
      <w:r>
        <w:t xml:space="preserve"> to a voice service wherever people</w:t>
      </w:r>
      <w:r w:rsidRPr="0011396B">
        <w:t xml:space="preserve"> lived. The payment of the </w:t>
      </w:r>
      <w:r w:rsidR="008A2B4C">
        <w:t>TIL</w:t>
      </w:r>
      <w:r w:rsidRPr="0011396B">
        <w:t xml:space="preserve"> </w:t>
      </w:r>
      <w:r>
        <w:t>operated</w:t>
      </w:r>
      <w:r w:rsidRPr="0011396B">
        <w:t xml:space="preserve"> </w:t>
      </w:r>
      <w:r>
        <w:t>so that providers did not need to enter markets that were unprofitable due to their small size, remoteness or both. This, in turn, allowed non-USO providers to focus on a</w:t>
      </w:r>
      <w:r w:rsidRPr="0011396B">
        <w:t xml:space="preserve"> greater level of flexibility with their market offerings</w:t>
      </w:r>
      <w:r>
        <w:t>, which also supported competition.</w:t>
      </w:r>
    </w:p>
    <w:p w14:paraId="68DAF586" w14:textId="77777777" w:rsidR="00591A2C" w:rsidRPr="00C365C8" w:rsidRDefault="00591A2C" w:rsidP="00761B9E">
      <w:pPr>
        <w:pStyle w:val="Heading2"/>
      </w:pPr>
      <w:bookmarkStart w:id="6" w:name="_Toc457562324"/>
      <w:r w:rsidRPr="00C365C8">
        <w:t>The current USO and associated consumer protection regime</w:t>
      </w:r>
      <w:bookmarkEnd w:id="6"/>
      <w:r w:rsidRPr="00C365C8">
        <w:t xml:space="preserve"> </w:t>
      </w:r>
    </w:p>
    <w:p w14:paraId="330A16C8" w14:textId="1EEE9974" w:rsidR="00591A2C" w:rsidRPr="00D547D7" w:rsidRDefault="00591A2C" w:rsidP="00861944">
      <w:r>
        <w:t xml:space="preserve">The current USO regime is </w:t>
      </w:r>
      <w:r w:rsidR="00D176D6">
        <w:t xml:space="preserve">established under </w:t>
      </w:r>
      <w:r w:rsidRPr="00D547D7">
        <w:t xml:space="preserve">Part 2 of the </w:t>
      </w:r>
      <w:r w:rsidRPr="00D547D7">
        <w:rPr>
          <w:i/>
        </w:rPr>
        <w:t>Telecommunications (Consumer Protection and Service Standards) Act 1999</w:t>
      </w:r>
      <w:r w:rsidRPr="00D547D7">
        <w:t xml:space="preserve"> (TCPSS Act)</w:t>
      </w:r>
      <w:r w:rsidR="00D176D6">
        <w:t>.</w:t>
      </w:r>
      <w:r w:rsidR="00D176D6" w:rsidRPr="00D547D7">
        <w:t xml:space="preserve"> </w:t>
      </w:r>
      <w:r w:rsidR="00D176D6">
        <w:t>T</w:t>
      </w:r>
      <w:r w:rsidRPr="00D547D7">
        <w:t>he</w:t>
      </w:r>
      <w:r w:rsidR="00861944">
        <w:t xml:space="preserve"> TCPSS Act</w:t>
      </w:r>
      <w:r w:rsidR="00D176D6">
        <w:t xml:space="preserve"> also </w:t>
      </w:r>
      <w:r w:rsidR="00861944">
        <w:t>gives the m</w:t>
      </w:r>
      <w:r w:rsidRPr="00D547D7">
        <w:t xml:space="preserve">inister the power to designate a </w:t>
      </w:r>
      <w:r w:rsidR="00D176D6">
        <w:t>PUSP, and to declare two or more carriers as universal service providers, or regional service providers with appropriately limited responsibilities</w:t>
      </w:r>
      <w:r w:rsidRPr="00D547D7">
        <w:t>.</w:t>
      </w:r>
      <w:r w:rsidR="00D176D6">
        <w:t xml:space="preserve"> In the absence of any such designations, Telstra is by default the PUSP.</w:t>
      </w:r>
      <w:r w:rsidRPr="00D547D7">
        <w:t xml:space="preserve"> </w:t>
      </w:r>
    </w:p>
    <w:p w14:paraId="2518CF39" w14:textId="08D0C3AC" w:rsidR="00591A2C" w:rsidRDefault="00591A2C" w:rsidP="00861944">
      <w:r w:rsidRPr="00D547D7">
        <w:t xml:space="preserve">In 2012, the </w:t>
      </w:r>
      <w:r w:rsidR="008A2B4C">
        <w:t>USO</w:t>
      </w:r>
      <w:r w:rsidRPr="00D547D7">
        <w:t xml:space="preserve"> and the National Relay Service</w:t>
      </w:r>
      <w:r>
        <w:t xml:space="preserve"> (NRS)</w:t>
      </w:r>
      <w:r w:rsidRPr="00D547D7">
        <w:t xml:space="preserve"> levies were replaced with a single levy, </w:t>
      </w:r>
      <w:r w:rsidR="008A2B4C">
        <w:t xml:space="preserve">the </w:t>
      </w:r>
      <w:r w:rsidRPr="00D547D7">
        <w:t>TIL</w:t>
      </w:r>
      <w:r w:rsidR="00861944">
        <w:t>,</w:t>
      </w:r>
      <w:r w:rsidRPr="00D547D7">
        <w:t xml:space="preserve"> imposed under the </w:t>
      </w:r>
      <w:r w:rsidRPr="00861944">
        <w:rPr>
          <w:i/>
        </w:rPr>
        <w:t>Telecommunications (Industry Levy) Act 2012</w:t>
      </w:r>
      <w:r w:rsidRPr="00D547D7">
        <w:t>. The TIL</w:t>
      </w:r>
      <w:r w:rsidR="008A2B4C">
        <w:t>,</w:t>
      </w:r>
      <w:r w:rsidRPr="00D547D7">
        <w:t xml:space="preserve"> together with government funding, </w:t>
      </w:r>
      <w:r w:rsidR="00D176D6">
        <w:t xml:space="preserve">covers </w:t>
      </w:r>
      <w:r w:rsidRPr="00D547D7">
        <w:t xml:space="preserve">costs associated with the implementation and administration of service contracts or grants to deliver universal service and other public policy telecommunications outcomes. Under the TCPSS Act, the TIL is funded by contributions from participating persons (generally telecommunications carriers with </w:t>
      </w:r>
      <w:r>
        <w:t xml:space="preserve">annual </w:t>
      </w:r>
      <w:r w:rsidRPr="00D547D7">
        <w:t xml:space="preserve">eligible revenue in excess of $25 million). Contributions to the TIL are proportional to each participating person’s eligible revenue for the previous financial year, as set out in the Levy Amount Formula Modification Determination 2015 (Levy Determination). </w:t>
      </w:r>
    </w:p>
    <w:p w14:paraId="43D28C02" w14:textId="77777777" w:rsidR="00591A2C" w:rsidRPr="00D547D7" w:rsidRDefault="00591A2C" w:rsidP="00591A2C">
      <w:pPr>
        <w:rPr>
          <w:rFonts w:cs="Arial"/>
          <w:szCs w:val="20"/>
        </w:rPr>
      </w:pPr>
      <w:r>
        <w:rPr>
          <w:rFonts w:cs="Arial"/>
          <w:szCs w:val="20"/>
        </w:rPr>
        <w:lastRenderedPageBreak/>
        <w:t>Existing contractual arrangements with Telstra to deliver public interest services (including the STS and payphones</w:t>
      </w:r>
      <w:r w:rsidR="00861944">
        <w:rPr>
          <w:rFonts w:cs="Arial"/>
          <w:szCs w:val="20"/>
        </w:rPr>
        <w:t xml:space="preserve"> USO) commenced on 1 July 2012.</w:t>
      </w:r>
      <w:r>
        <w:rPr>
          <w:rFonts w:cs="Arial"/>
          <w:szCs w:val="20"/>
        </w:rPr>
        <w:t xml:space="preserve"> </w:t>
      </w:r>
      <w:r w:rsidRPr="00D547D7">
        <w:rPr>
          <w:rFonts w:cs="Arial"/>
          <w:szCs w:val="20"/>
        </w:rPr>
        <w:t xml:space="preserve">Since 1 July 2015, the Department of Communications and the Arts </w:t>
      </w:r>
      <w:r>
        <w:rPr>
          <w:rFonts w:cs="Arial"/>
          <w:szCs w:val="20"/>
        </w:rPr>
        <w:t xml:space="preserve">has had </w:t>
      </w:r>
      <w:r w:rsidRPr="00D547D7">
        <w:rPr>
          <w:rFonts w:cs="Arial"/>
          <w:szCs w:val="20"/>
        </w:rPr>
        <w:t>responsibility for managing contracts wi</w:t>
      </w:r>
      <w:r>
        <w:rPr>
          <w:rFonts w:cs="Arial"/>
          <w:szCs w:val="20"/>
        </w:rPr>
        <w:t xml:space="preserve">th Telstra for the provision of the </w:t>
      </w:r>
      <w:r w:rsidRPr="00D547D7">
        <w:rPr>
          <w:rFonts w:cs="Arial"/>
          <w:szCs w:val="20"/>
        </w:rPr>
        <w:t xml:space="preserve">STS and payphones USO. </w:t>
      </w:r>
    </w:p>
    <w:p w14:paraId="7F51FB72" w14:textId="4BEF4592" w:rsidR="00591A2C" w:rsidRDefault="00591A2C" w:rsidP="00591A2C">
      <w:pPr>
        <w:rPr>
          <w:rFonts w:cs="Arial"/>
          <w:sz w:val="19"/>
          <w:szCs w:val="19"/>
        </w:rPr>
      </w:pPr>
      <w:r w:rsidRPr="0047698B">
        <w:rPr>
          <w:rFonts w:cs="Arial"/>
          <w:szCs w:val="20"/>
        </w:rPr>
        <w:t>Section 9 of the TCPSS Act states that the obje</w:t>
      </w:r>
      <w:r>
        <w:rPr>
          <w:rFonts w:cs="Arial"/>
          <w:szCs w:val="20"/>
        </w:rPr>
        <w:t xml:space="preserve">ct of the USO is to ensure that the STS </w:t>
      </w:r>
      <w:r w:rsidRPr="00C54EB8">
        <w:rPr>
          <w:rFonts w:cs="Arial"/>
          <w:szCs w:val="20"/>
        </w:rPr>
        <w:t>and payphones are reasonably accessible to all people in Australia on an equitable basis, wherever they reside or carry on business.</w:t>
      </w:r>
      <w:r>
        <w:rPr>
          <w:rFonts w:cs="Arial"/>
          <w:sz w:val="19"/>
          <w:szCs w:val="19"/>
        </w:rPr>
        <w:t xml:space="preserve"> </w:t>
      </w:r>
    </w:p>
    <w:p w14:paraId="072832A3" w14:textId="2184C372" w:rsidR="00591A2C" w:rsidRDefault="00591A2C" w:rsidP="00F54314">
      <w:r>
        <w:t>Some</w:t>
      </w:r>
      <w:r w:rsidRPr="002D30F6">
        <w:t xml:space="preserve"> other public interest services</w:t>
      </w:r>
      <w:r>
        <w:t xml:space="preserve"> also have strong linkages to the USO. Public safety was a key rationale underpinning the policy to provide reasonable access telecommunications</w:t>
      </w:r>
      <w:r w:rsidR="00861944">
        <w:t xml:space="preserve"> services—</w:t>
      </w:r>
      <w:r>
        <w:t>allowing Australians either at or away from home to reach police, fire or ambulance in an emergency. The National Relay Service was al</w:t>
      </w:r>
      <w:r w:rsidR="00F54314">
        <w:t>so established in the late 1990</w:t>
      </w:r>
      <w:r>
        <w:t xml:space="preserve">s to assist Australians who </w:t>
      </w:r>
      <w:r w:rsidR="00F54314">
        <w:t>are deaf, speech- and/or hearing-</w:t>
      </w:r>
      <w:r>
        <w:t xml:space="preserve">impaired to access a standard telephone service. Both these services are now funded through the same arrangements as the USO. </w:t>
      </w:r>
    </w:p>
    <w:p w14:paraId="2C2B522F" w14:textId="7D4AC37A" w:rsidR="00591A2C" w:rsidRDefault="00591A2C" w:rsidP="00591A2C">
      <w:r>
        <w:rPr>
          <w:rFonts w:cs="Arial"/>
          <w:szCs w:val="20"/>
        </w:rPr>
        <w:t xml:space="preserve">There are no regulations that specifically relate to performance of the USO STS. However, the ACMA uses </w:t>
      </w:r>
      <w:r>
        <w:t xml:space="preserve">two </w:t>
      </w:r>
      <w:r w:rsidR="009402EF" w:rsidRPr="009402EF">
        <w:t>related</w:t>
      </w:r>
      <w:r w:rsidR="009402EF">
        <w:t xml:space="preserve"> </w:t>
      </w:r>
      <w:r>
        <w:t xml:space="preserve">Customer Service Guarantee </w:t>
      </w:r>
      <w:r w:rsidRPr="009402EF">
        <w:t>(CSG)</w:t>
      </w:r>
      <w:r>
        <w:t xml:space="preserve"> instruments as a ‘proxy’ for assessing Telstra’s compliance. </w:t>
      </w:r>
    </w:p>
    <w:p w14:paraId="14FCAD0B" w14:textId="354CD2B3" w:rsidR="00591A2C" w:rsidRDefault="00591A2C" w:rsidP="00591A2C">
      <w:r>
        <w:t>The</w:t>
      </w:r>
      <w:r w:rsidRPr="002A400B">
        <w:rPr>
          <w:i/>
        </w:rPr>
        <w:t xml:space="preserve"> </w:t>
      </w:r>
      <w:hyperlink r:id="rId31" w:history="1">
        <w:r w:rsidRPr="00F54314">
          <w:rPr>
            <w:rStyle w:val="Hyperlink"/>
          </w:rPr>
          <w:t>Telecommunications (Customer Service Guarantee) Standard 2011</w:t>
        </w:r>
      </w:hyperlink>
      <w:r>
        <w:t xml:space="preserve"> sets minimum service standards for carriage service providers (CSPs), including Telstra, in installing, repairing and meeting appointments for STSs for residential and small business customers. If a CSP fails to meet the minimum performance standards, compensation may be payable to the customer.</w:t>
      </w:r>
    </w:p>
    <w:p w14:paraId="3C873BEA" w14:textId="77777777" w:rsidR="00591A2C" w:rsidRDefault="00591A2C" w:rsidP="00761B9E">
      <w:pPr>
        <w:spacing w:after="80"/>
      </w:pPr>
      <w:r w:rsidRPr="002A400B">
        <w:t xml:space="preserve">The </w:t>
      </w:r>
      <w:hyperlink r:id="rId32" w:history="1">
        <w:r w:rsidRPr="00F54314">
          <w:rPr>
            <w:rStyle w:val="Hyperlink"/>
          </w:rPr>
          <w:t>Telecommunications (Customer Service Guarantee – Retail Performance Benchmarks) Instrument (No. 1) 2011</w:t>
        </w:r>
      </w:hyperlink>
      <w:r>
        <w:t xml:space="preserve"> applies to ‘qualifying carriage service providers’ (QCSPs), including Telstra, and sets minimum compliance levels with the CSG Standard timeframes for the following activities:</w:t>
      </w:r>
    </w:p>
    <w:p w14:paraId="2B124D56" w14:textId="383A2212" w:rsidR="00591A2C" w:rsidRPr="00C97C33" w:rsidRDefault="00F54314" w:rsidP="00761B9E">
      <w:pPr>
        <w:pStyle w:val="ListBullet"/>
      </w:pPr>
      <w:r>
        <w:t>i</w:t>
      </w:r>
      <w:r w:rsidR="00591A2C" w:rsidRPr="00C97C33">
        <w:t>nstalling new connections in urban, major rura</w:t>
      </w:r>
      <w:r w:rsidR="00591A2C">
        <w:t>l, minor rural and remote areas</w:t>
      </w:r>
    </w:p>
    <w:p w14:paraId="782DA119" w14:textId="2939E508" w:rsidR="00591A2C" w:rsidRPr="00C97C33" w:rsidRDefault="00F54314" w:rsidP="00761B9E">
      <w:pPr>
        <w:pStyle w:val="ListBullet"/>
      </w:pPr>
      <w:r>
        <w:t>i</w:t>
      </w:r>
      <w:r w:rsidR="00591A2C" w:rsidRPr="00C97C33">
        <w:t>nstalling in</w:t>
      </w:r>
      <w:r w:rsidR="00591A2C">
        <w:t>-place connections in all areas</w:t>
      </w:r>
    </w:p>
    <w:p w14:paraId="098A3984" w14:textId="2D142B3D" w:rsidR="00591A2C" w:rsidRPr="00C97C33" w:rsidRDefault="00F54314" w:rsidP="00761B9E">
      <w:pPr>
        <w:pStyle w:val="ListBullet"/>
      </w:pPr>
      <w:r>
        <w:t>f</w:t>
      </w:r>
      <w:r w:rsidR="00591A2C" w:rsidRPr="00C97C33">
        <w:t>ault rectifications in urban, ru</w:t>
      </w:r>
      <w:r w:rsidR="00591A2C">
        <w:t>ral and remote areas</w:t>
      </w:r>
    </w:p>
    <w:p w14:paraId="16CD3321" w14:textId="79CB9A00" w:rsidR="00591A2C" w:rsidRPr="00C97C33" w:rsidRDefault="00F54314" w:rsidP="00761B9E">
      <w:pPr>
        <w:pStyle w:val="ListBulletLast"/>
      </w:pPr>
      <w:r>
        <w:t>a</w:t>
      </w:r>
      <w:r w:rsidR="00591A2C" w:rsidRPr="00C97C33">
        <w:t>ppointment-keeping in all areas.</w:t>
      </w:r>
    </w:p>
    <w:p w14:paraId="592F38FA" w14:textId="77777777" w:rsidR="00591A2C" w:rsidRDefault="00591A2C" w:rsidP="00591A2C">
      <w:r>
        <w:t>There are nine annual benchmarks in total for connections, fault repair and appointment-keeping</w:t>
      </w:r>
      <w:r w:rsidR="00F54314">
        <w:t>,</w:t>
      </w:r>
      <w:r>
        <w:t xml:space="preserve"> where QCSPs must meet a minimum 90 per cent benchmark. </w:t>
      </w:r>
    </w:p>
    <w:p w14:paraId="03A9AD4F" w14:textId="77777777" w:rsidR="00591A2C" w:rsidRDefault="00591A2C" w:rsidP="00591A2C">
      <w:r>
        <w:t xml:space="preserve">The </w:t>
      </w:r>
      <w:hyperlink r:id="rId33" w:history="1">
        <w:r w:rsidRPr="00F54314">
          <w:rPr>
            <w:rStyle w:val="Hyperlink"/>
          </w:rPr>
          <w:t>Telecommunications Universal Service Obligation (Payphone Performance Benchmarks) Instrument (No. 1) 2011</w:t>
        </w:r>
      </w:hyperlink>
      <w:r>
        <w:t xml:space="preserve"> (Payphone Benchmarks)</w:t>
      </w:r>
      <w:r w:rsidRPr="00275283">
        <w:t xml:space="preserve"> </w:t>
      </w:r>
      <w:r>
        <w:t>was also introduced in 2011 to assist the ACMA in assessing compliance with the payphones USO.</w:t>
      </w:r>
    </w:p>
    <w:p w14:paraId="1F6A650D" w14:textId="0B75B8CC" w:rsidR="00591A2C" w:rsidRDefault="00591A2C" w:rsidP="00F54314">
      <w:r w:rsidRPr="00D547D7">
        <w:t xml:space="preserve">Separately, and contained within Telstra’s </w:t>
      </w:r>
      <w:r w:rsidR="00D176D6">
        <w:t>Carrier L</w:t>
      </w:r>
      <w:r w:rsidRPr="00D547D7">
        <w:t xml:space="preserve">icence </w:t>
      </w:r>
      <w:r w:rsidR="00D176D6">
        <w:t>C</w:t>
      </w:r>
      <w:r w:rsidRPr="00D547D7">
        <w:t xml:space="preserve">onditions, is the Network Reliability Framework (NRF). This safeguard complements the CSG in that it requires Telstra to identify and </w:t>
      </w:r>
      <w:r>
        <w:t>r</w:t>
      </w:r>
      <w:r w:rsidRPr="00D547D7">
        <w:t xml:space="preserve">emediate its copper network to ensure reliability of fixed telephone services. The NRF has three levels of operation. The first level examines the general reliability of fixed telephone services in different regions of Australia, </w:t>
      </w:r>
      <w:r w:rsidRPr="001C2B43">
        <w:t>while the other two levels are concerned with identifying localised areas and individual services that do not meet minimum levels of reliability</w:t>
      </w:r>
      <w:r>
        <w:rPr>
          <w:rFonts w:ascii="HelveticaNeueW01-45Ligh" w:hAnsi="HelveticaNeueW01-45Ligh"/>
          <w:lang w:val="en"/>
        </w:rPr>
        <w:t>.</w:t>
      </w:r>
    </w:p>
    <w:p w14:paraId="4FB363C9" w14:textId="12DFDFD9" w:rsidR="00591A2C" w:rsidRDefault="00591A2C" w:rsidP="00F54314">
      <w:pPr>
        <w:spacing w:after="80"/>
      </w:pPr>
      <w:r w:rsidRPr="00D547D7">
        <w:t xml:space="preserve">These safeguards </w:t>
      </w:r>
      <w:r>
        <w:t xml:space="preserve">are </w:t>
      </w:r>
      <w:r w:rsidRPr="00D547D7">
        <w:t>complement</w:t>
      </w:r>
      <w:r>
        <w:t xml:space="preserve">ed by </w:t>
      </w:r>
      <w:r w:rsidRPr="00D547D7">
        <w:t xml:space="preserve">other </w:t>
      </w:r>
      <w:r>
        <w:t>consumer safeguards administered by the ACMA</w:t>
      </w:r>
      <w:r w:rsidR="00F54314">
        <w:t>,</w:t>
      </w:r>
      <w:r>
        <w:t xml:space="preserve"> such as</w:t>
      </w:r>
      <w:r w:rsidR="008A2B4C">
        <w:t xml:space="preserve">:  </w:t>
      </w:r>
    </w:p>
    <w:p w14:paraId="3007FB79" w14:textId="1432C84A" w:rsidR="00591A2C" w:rsidRPr="00D547D7" w:rsidRDefault="008A2B4C" w:rsidP="00761B9E">
      <w:pPr>
        <w:pStyle w:val="ListBullet"/>
      </w:pPr>
      <w:r>
        <w:t xml:space="preserve">the </w:t>
      </w:r>
      <w:r w:rsidR="00591A2C" w:rsidRPr="00D547D7">
        <w:t>Telecommunications Consumer Protections (TCP) Code 201</w:t>
      </w:r>
      <w:r w:rsidR="00591A2C">
        <w:t>5</w:t>
      </w:r>
      <w:r w:rsidR="00591A2C" w:rsidRPr="00D547D7">
        <w:t xml:space="preserve"> </w:t>
      </w:r>
    </w:p>
    <w:p w14:paraId="3D47288C" w14:textId="319B4666" w:rsidR="00591A2C" w:rsidRPr="00D547D7" w:rsidRDefault="00591A2C" w:rsidP="00761B9E">
      <w:pPr>
        <w:pStyle w:val="ListBulletLast"/>
      </w:pPr>
      <w:r w:rsidRPr="00D547D7">
        <w:lastRenderedPageBreak/>
        <w:t xml:space="preserve">Priority </w:t>
      </w:r>
      <w:r w:rsidR="009402EF">
        <w:t>A</w:t>
      </w:r>
      <w:r w:rsidRPr="00D547D7">
        <w:t>ssistance</w:t>
      </w:r>
      <w:r>
        <w:t xml:space="preserve"> (as provided for by Telstra’s Carrier Licence Conditions, Schedule 2 of the </w:t>
      </w:r>
      <w:r w:rsidRPr="00DF7F5A">
        <w:rPr>
          <w:i/>
        </w:rPr>
        <w:t>Telecommunications Act 1997</w:t>
      </w:r>
      <w:r>
        <w:t>, and the Priority Assistance for Life Threatening Medical Conditions Industry Code)</w:t>
      </w:r>
      <w:r w:rsidRPr="00D547D7">
        <w:t xml:space="preserve">. </w:t>
      </w:r>
    </w:p>
    <w:p w14:paraId="6DEB69A9" w14:textId="2CE8843B" w:rsidR="00591A2C" w:rsidRPr="00D547D7" w:rsidRDefault="00591A2C" w:rsidP="00761B9E">
      <w:pPr>
        <w:spacing w:after="80"/>
        <w:rPr>
          <w:rFonts w:cs="Arial"/>
          <w:szCs w:val="20"/>
        </w:rPr>
      </w:pPr>
      <w:r w:rsidRPr="00D547D7">
        <w:rPr>
          <w:rFonts w:cs="Arial"/>
          <w:szCs w:val="20"/>
        </w:rPr>
        <w:t xml:space="preserve">The ACMA also works closely with the TIO, the complaints-handling body for telecommunications consumer protection matters. The ACMA does not handle or investigate individual residential or small-business customer complaints unless they generate concerns about systemic compliance. </w:t>
      </w:r>
      <w:r w:rsidR="008A2B4C">
        <w:rPr>
          <w:rFonts w:cs="Arial"/>
          <w:szCs w:val="20"/>
        </w:rPr>
        <w:t>For</w:t>
      </w:r>
      <w:r w:rsidRPr="00D547D7">
        <w:rPr>
          <w:rFonts w:cs="Arial"/>
          <w:szCs w:val="20"/>
        </w:rPr>
        <w:t xml:space="preserve"> these various consumer safeguards, the ACMA proactively encourages and monitors compliance through:</w:t>
      </w:r>
    </w:p>
    <w:p w14:paraId="7B415A53" w14:textId="77777777" w:rsidR="00591A2C" w:rsidRPr="00D547D7" w:rsidRDefault="00591A2C" w:rsidP="00761B9E">
      <w:pPr>
        <w:pStyle w:val="ListBullet"/>
      </w:pPr>
      <w:r w:rsidRPr="00D547D7">
        <w:t>environmental scanning</w:t>
      </w:r>
    </w:p>
    <w:p w14:paraId="15330B94" w14:textId="77777777" w:rsidR="00591A2C" w:rsidRPr="00D547D7" w:rsidRDefault="00591A2C" w:rsidP="00761B9E">
      <w:pPr>
        <w:pStyle w:val="ListBullet"/>
      </w:pPr>
      <w:r w:rsidRPr="00D547D7">
        <w:t>submitting enquiries to providers</w:t>
      </w:r>
    </w:p>
    <w:p w14:paraId="624FF61E" w14:textId="77777777" w:rsidR="00591A2C" w:rsidRPr="00D547D7" w:rsidRDefault="00591A2C" w:rsidP="00761B9E">
      <w:pPr>
        <w:pStyle w:val="ListBulletLast"/>
      </w:pPr>
      <w:r w:rsidRPr="00D547D7">
        <w:t xml:space="preserve">investigating possible non-compliance. </w:t>
      </w:r>
    </w:p>
    <w:p w14:paraId="30A1D66F" w14:textId="77777777" w:rsidR="00591A2C" w:rsidRPr="001268BD" w:rsidRDefault="00591A2C" w:rsidP="00591A2C">
      <w:r>
        <w:t>Figure 1 summarises the variety of consumer safeguards that underpin and closely support the USO.</w:t>
      </w:r>
    </w:p>
    <w:p w14:paraId="4BAC2BA0" w14:textId="634905CE" w:rsidR="00591A2C" w:rsidRDefault="00591A2C" w:rsidP="00D67B39">
      <w:pPr>
        <w:pStyle w:val="ACMAFigureHeader"/>
        <w:keepNext/>
      </w:pPr>
      <w:r>
        <w:t>USO and related telecommunications safeguards</w:t>
      </w:r>
    </w:p>
    <w:p w14:paraId="0F25B817" w14:textId="77777777" w:rsidR="00AE148D" w:rsidRDefault="00AE148D" w:rsidP="00AE148D">
      <w:pPr>
        <w:pStyle w:val="ACMAFigureHeader"/>
        <w:keepNext/>
        <w:numPr>
          <w:ilvl w:val="0"/>
          <w:numId w:val="0"/>
        </w:numPr>
        <w:ind w:left="1021" w:hanging="1021"/>
      </w:pPr>
    </w:p>
    <w:p w14:paraId="0CF8FB11" w14:textId="20C21B50" w:rsidR="00591A2C" w:rsidRDefault="00AE148D" w:rsidP="00AE148D">
      <w:pPr>
        <w:pStyle w:val="ACMAFigureHeader"/>
        <w:keepNext/>
        <w:numPr>
          <w:ilvl w:val="0"/>
          <w:numId w:val="0"/>
        </w:numPr>
        <w:ind w:left="1021" w:hanging="1021"/>
        <w:rPr>
          <w:u w:val="single"/>
        </w:rPr>
      </w:pPr>
      <w:r w:rsidRPr="00AE148D">
        <w:rPr>
          <w:noProof/>
        </w:rPr>
        <w:drawing>
          <wp:inline distT="0" distB="0" distL="0" distR="0" wp14:anchorId="7A13F3F6" wp14:editId="079D622C">
            <wp:extent cx="4871085" cy="4687901"/>
            <wp:effectExtent l="0" t="0" r="5715" b="0"/>
            <wp:docPr id="2" name="Picture 2" descr="C:\Users\hperera\AppData\Local\Microsoft\Windows\Temporary Internet Files\Content.Outlook\3U18TYXL\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erera\AppData\Local\Microsoft\Windows\Temporary Internet Files\Content.Outlook\3U18TYXL\Picture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71085" cy="4687901"/>
                    </a:xfrm>
                    <a:prstGeom prst="rect">
                      <a:avLst/>
                    </a:prstGeom>
                    <a:noFill/>
                    <a:ln>
                      <a:noFill/>
                    </a:ln>
                  </pic:spPr>
                </pic:pic>
              </a:graphicData>
            </a:graphic>
          </wp:inline>
        </w:drawing>
      </w:r>
      <w:r w:rsidR="009402EF" w:rsidRPr="000D3785" w:rsidDel="009402EF">
        <w:rPr>
          <w:noProof/>
        </w:rPr>
        <w:t xml:space="preserve"> </w:t>
      </w:r>
    </w:p>
    <w:p w14:paraId="46C46715" w14:textId="77777777" w:rsidR="00591A2C" w:rsidRDefault="00591A2C" w:rsidP="00591A2C">
      <w:pPr>
        <w:pStyle w:val="Heading1"/>
      </w:pPr>
      <w:bookmarkStart w:id="7" w:name="_Toc457317547"/>
      <w:bookmarkStart w:id="8" w:name="_Toc457562325"/>
      <w:r>
        <w:lastRenderedPageBreak/>
        <w:t>Today’s communications environment</w:t>
      </w:r>
      <w:bookmarkEnd w:id="7"/>
      <w:bookmarkEnd w:id="8"/>
    </w:p>
    <w:p w14:paraId="77B37B66" w14:textId="0CCD2993" w:rsidR="00591A2C" w:rsidRDefault="00591A2C" w:rsidP="00591A2C">
      <w:r w:rsidRPr="00330326">
        <w:t xml:space="preserve">Over the past </w:t>
      </w:r>
      <w:r w:rsidR="00F54314">
        <w:t>10</w:t>
      </w:r>
      <w:r w:rsidRPr="00330326">
        <w:t xml:space="preserve"> years, the ACMA has observed significant changes occurring in Australia’s communications and media markets</w:t>
      </w:r>
      <w:r w:rsidR="008A2B4C">
        <w:t xml:space="preserve">. These include </w:t>
      </w:r>
      <w:r w:rsidRPr="00330326">
        <w:t>changing citizen and user expectations in the way they interact with digital technologies; and consequential changes in the type and scale of risks and harms being experienced by industry operators, consumers and citizens. The original challenge arising from the digitalisation of content and carriage has been compounded by the emergence of IP-enabled communications and content over the past decade. These changes have been documented by the ACMA’s tracking studies of market and technology developments and longitudinal studies of the Australian community’s changing media and communications practices.</w:t>
      </w:r>
    </w:p>
    <w:p w14:paraId="3B91F20A" w14:textId="14FCEBAB" w:rsidR="00591A2C" w:rsidRDefault="00591A2C" w:rsidP="00591A2C">
      <w:r>
        <w:t xml:space="preserve">This section of the submission draws upon data and research currently available that the ACMA considers may assist the PC in its deliberations. Throughout the course of </w:t>
      </w:r>
      <w:r w:rsidRPr="00D67B39">
        <w:t>the PC’s</w:t>
      </w:r>
      <w:r w:rsidR="00F54314">
        <w:t xml:space="preserve"> i</w:t>
      </w:r>
      <w:r>
        <w:t xml:space="preserve">nquiry, new research and statistical information will become available including the </w:t>
      </w:r>
      <w:r w:rsidR="00F54314" w:rsidRPr="00F54314">
        <w:t>ACMA</w:t>
      </w:r>
      <w:r w:rsidR="00F54314">
        <w:rPr>
          <w:i/>
        </w:rPr>
        <w:t xml:space="preserve"> Communications r</w:t>
      </w:r>
      <w:r w:rsidRPr="00330326">
        <w:rPr>
          <w:i/>
        </w:rPr>
        <w:t>eport 20</w:t>
      </w:r>
      <w:r w:rsidR="00F54314">
        <w:rPr>
          <w:i/>
        </w:rPr>
        <w:t>15–</w:t>
      </w:r>
      <w:r w:rsidRPr="00330326">
        <w:rPr>
          <w:i/>
        </w:rPr>
        <w:t>16</w:t>
      </w:r>
      <w:r>
        <w:rPr>
          <w:i/>
        </w:rPr>
        <w:t xml:space="preserve">. </w:t>
      </w:r>
      <w:r w:rsidRPr="00FB1139">
        <w:t>The ACMA would welcome the opportunity to provide PC with a briefing on upcoming research that may assist</w:t>
      </w:r>
      <w:r>
        <w:t xml:space="preserve"> its considerations</w:t>
      </w:r>
      <w:r w:rsidRPr="00FB1139">
        <w:t>.</w:t>
      </w:r>
      <w:r>
        <w:t xml:space="preserve"> </w:t>
      </w:r>
    </w:p>
    <w:p w14:paraId="68FF3861" w14:textId="77777777" w:rsidR="00591A2C" w:rsidRPr="00C365C8" w:rsidRDefault="00591A2C" w:rsidP="00761B9E">
      <w:pPr>
        <w:pStyle w:val="Heading2"/>
      </w:pPr>
      <w:bookmarkStart w:id="9" w:name="_Toc457562326"/>
      <w:r w:rsidRPr="00C365C8">
        <w:t>Changing consumer behaviour and expectations</w:t>
      </w:r>
      <w:bookmarkEnd w:id="9"/>
      <w:r w:rsidRPr="00C365C8">
        <w:t xml:space="preserve"> </w:t>
      </w:r>
    </w:p>
    <w:p w14:paraId="2222DDC5" w14:textId="37BFEE7D" w:rsidR="00591A2C" w:rsidRPr="00330326" w:rsidRDefault="00591A2C" w:rsidP="00591A2C">
      <w:r>
        <w:t xml:space="preserve">The USO was established so all Australians </w:t>
      </w:r>
      <w:r w:rsidR="00A6197B">
        <w:t xml:space="preserve">could have </w:t>
      </w:r>
      <w:r>
        <w:t>reasonable access to a voice service. However, c</w:t>
      </w:r>
      <w:r w:rsidRPr="00330326">
        <w:t>onsumer</w:t>
      </w:r>
      <w:r>
        <w:t xml:space="preserve"> </w:t>
      </w:r>
      <w:r w:rsidRPr="00330326">
        <w:t xml:space="preserve">trend data collected by the ACMA over a number of years has indicated a </w:t>
      </w:r>
      <w:r>
        <w:t>steady</w:t>
      </w:r>
      <w:r w:rsidRPr="00330326">
        <w:t xml:space="preserve"> decline in </w:t>
      </w:r>
      <w:r w:rsidR="00A6197B">
        <w:t xml:space="preserve">the number of </w:t>
      </w:r>
      <w:r w:rsidRPr="00330326">
        <w:t xml:space="preserve">fixed-line services and a gradual increase in mobile voice and data services. </w:t>
      </w:r>
    </w:p>
    <w:p w14:paraId="2EA2A410" w14:textId="1FE49071" w:rsidR="00591A2C" w:rsidRPr="00330326" w:rsidRDefault="00777C43" w:rsidP="00761B9E">
      <w:pPr>
        <w:pStyle w:val="ACMAFigureHeader"/>
      </w:pPr>
      <w:r>
        <w:t>Services in operation—</w:t>
      </w:r>
      <w:r w:rsidR="00591A2C" w:rsidRPr="00330326">
        <w:t>fixed phone service v</w:t>
      </w:r>
      <w:r>
        <w:t>s</w:t>
      </w:r>
      <w:r w:rsidR="00591A2C" w:rsidRPr="00330326">
        <w:t>. mobile phone services, number of services (millions)</w:t>
      </w:r>
    </w:p>
    <w:p w14:paraId="307CB6F5" w14:textId="77777777" w:rsidR="00591A2C" w:rsidRPr="006B12EE" w:rsidRDefault="00591A2C" w:rsidP="009402EF">
      <w:pPr>
        <w:spacing w:after="0"/>
        <w:rPr>
          <w:color w:val="4BACC6" w:themeColor="accent5"/>
        </w:rPr>
      </w:pPr>
      <w:r w:rsidRPr="006B12EE">
        <w:rPr>
          <w:noProof/>
          <w:color w:val="4BACC6" w:themeColor="accent5"/>
        </w:rPr>
        <w:drawing>
          <wp:inline distT="0" distB="0" distL="0" distR="0" wp14:anchorId="0CC84FE4" wp14:editId="7BAD907A">
            <wp:extent cx="5764530" cy="2987918"/>
            <wp:effectExtent l="0" t="0" r="762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3583" cy="2992610"/>
                    </a:xfrm>
                    <a:prstGeom prst="rect">
                      <a:avLst/>
                    </a:prstGeom>
                    <a:noFill/>
                  </pic:spPr>
                </pic:pic>
              </a:graphicData>
            </a:graphic>
          </wp:inline>
        </w:drawing>
      </w:r>
    </w:p>
    <w:p w14:paraId="3B8390DF" w14:textId="1E860663" w:rsidR="00591A2C" w:rsidRDefault="00591A2C" w:rsidP="009402EF">
      <w:pPr>
        <w:spacing w:after="0"/>
        <w:rPr>
          <w:i/>
          <w:sz w:val="16"/>
          <w:szCs w:val="16"/>
        </w:rPr>
      </w:pPr>
      <w:r w:rsidRPr="00330326">
        <w:rPr>
          <w:i/>
          <w:sz w:val="16"/>
          <w:szCs w:val="16"/>
        </w:rPr>
        <w:t>Source: ACMA communications report 2014</w:t>
      </w:r>
      <w:r w:rsidR="0076151D">
        <w:rPr>
          <w:i/>
          <w:sz w:val="16"/>
          <w:szCs w:val="16"/>
        </w:rPr>
        <w:t>–</w:t>
      </w:r>
      <w:r w:rsidRPr="00330326">
        <w:rPr>
          <w:i/>
          <w:sz w:val="16"/>
          <w:szCs w:val="16"/>
        </w:rPr>
        <w:t>15</w:t>
      </w:r>
      <w:r w:rsidR="0076151D">
        <w:rPr>
          <w:i/>
          <w:sz w:val="16"/>
          <w:szCs w:val="16"/>
        </w:rPr>
        <w:t>.</w:t>
      </w:r>
    </w:p>
    <w:p w14:paraId="0FA757B2" w14:textId="77777777" w:rsidR="0076151D" w:rsidRPr="00330326" w:rsidRDefault="0076151D" w:rsidP="009402EF">
      <w:pPr>
        <w:pStyle w:val="ACMASpaceaftertable"/>
      </w:pPr>
    </w:p>
    <w:p w14:paraId="415999DF" w14:textId="3EF7B058" w:rsidR="00591A2C" w:rsidRPr="00330326" w:rsidRDefault="00591A2C" w:rsidP="00591A2C">
      <w:r w:rsidRPr="00330326">
        <w:lastRenderedPageBreak/>
        <w:t>More adult Australians have a home internet connection (85 per cent) than have a fixed telephone line at home (70 per cent)</w:t>
      </w:r>
      <w:r w:rsidR="0076151D">
        <w:t>,</w:t>
      </w:r>
      <w:r w:rsidRPr="00330326">
        <w:t xml:space="preserve"> indicating that Australians </w:t>
      </w:r>
      <w:r>
        <w:t xml:space="preserve">now </w:t>
      </w:r>
      <w:r w:rsidRPr="00330326">
        <w:t xml:space="preserve">place greater importance on having access to the internet than on having a fixed home phone line. </w:t>
      </w:r>
    </w:p>
    <w:p w14:paraId="2570D834" w14:textId="2504191B" w:rsidR="00591A2C" w:rsidRPr="00330326" w:rsidRDefault="00591A2C" w:rsidP="00591A2C">
      <w:r>
        <w:t xml:space="preserve">It </w:t>
      </w:r>
      <w:r w:rsidRPr="00330326">
        <w:t>should be noted that home internet connection</w:t>
      </w:r>
      <w:r w:rsidR="00A6197B">
        <w:t>s vary by population density</w:t>
      </w:r>
      <w:r w:rsidRPr="00330326">
        <w:t>. Adult Australians in the major capital cities are more likely (89 per cent) to have a home internet connection, while those in non-urban areas are less likely (77 per cent) to have a home internet connection</w:t>
      </w:r>
      <w:r w:rsidR="0076151D">
        <w:t>,</w:t>
      </w:r>
      <w:r w:rsidRPr="00330326">
        <w:t xml:space="preserve"> compared to the national average of 85</w:t>
      </w:r>
      <w:r w:rsidR="00777C43">
        <w:t> </w:t>
      </w:r>
      <w:r w:rsidRPr="00330326">
        <w:t>per</w:t>
      </w:r>
      <w:r w:rsidR="00777C43">
        <w:t xml:space="preserve"> </w:t>
      </w:r>
      <w:r w:rsidRPr="00330326">
        <w:t>cent.</w:t>
      </w:r>
    </w:p>
    <w:p w14:paraId="752314B6" w14:textId="092290C6" w:rsidR="00591A2C" w:rsidRPr="00330326" w:rsidRDefault="00591A2C" w:rsidP="00761B9E">
      <w:pPr>
        <w:pStyle w:val="ACMAFigureHeader"/>
      </w:pPr>
      <w:r w:rsidRPr="00330326">
        <w:t>Home phone v</w:t>
      </w:r>
      <w:r w:rsidR="00777C43">
        <w:t>s</w:t>
      </w:r>
      <w:r w:rsidRPr="00330326">
        <w:t>. home internet connection (%)</w:t>
      </w:r>
    </w:p>
    <w:p w14:paraId="5DDE7171" w14:textId="77777777" w:rsidR="00591A2C" w:rsidRPr="006B12EE" w:rsidRDefault="00591A2C" w:rsidP="009402EF">
      <w:pPr>
        <w:spacing w:after="0"/>
        <w:rPr>
          <w:color w:val="4BACC6" w:themeColor="accent5"/>
        </w:rPr>
      </w:pPr>
      <w:r w:rsidRPr="006B12EE">
        <w:rPr>
          <w:noProof/>
          <w:color w:val="4BACC6" w:themeColor="accent5"/>
        </w:rPr>
        <w:drawing>
          <wp:inline distT="0" distB="0" distL="0" distR="0" wp14:anchorId="4C8C906E" wp14:editId="478DAC65">
            <wp:extent cx="5553075" cy="28289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9B2E879" w14:textId="6CEA9C0C" w:rsidR="00591A2C" w:rsidRPr="00330326" w:rsidRDefault="00591A2C" w:rsidP="009402EF">
      <w:pPr>
        <w:spacing w:before="120" w:after="0" w:line="240" w:lineRule="auto"/>
        <w:rPr>
          <w:i/>
          <w:sz w:val="16"/>
          <w:szCs w:val="16"/>
        </w:rPr>
      </w:pPr>
      <w:r w:rsidRPr="00330326">
        <w:rPr>
          <w:i/>
          <w:sz w:val="16"/>
          <w:szCs w:val="16"/>
        </w:rPr>
        <w:t>Base: Data relates to people aged 18 years and over, in the 12 months to June 2015</w:t>
      </w:r>
      <w:r w:rsidR="0076151D">
        <w:rPr>
          <w:i/>
          <w:sz w:val="16"/>
          <w:szCs w:val="16"/>
        </w:rPr>
        <w:t>.</w:t>
      </w:r>
    </w:p>
    <w:p w14:paraId="29B44D5A" w14:textId="172DCBFE" w:rsidR="00591A2C" w:rsidRPr="00330326" w:rsidRDefault="00591A2C" w:rsidP="009402EF">
      <w:pPr>
        <w:spacing w:after="0" w:line="240" w:lineRule="auto"/>
        <w:rPr>
          <w:i/>
          <w:sz w:val="16"/>
          <w:szCs w:val="16"/>
        </w:rPr>
      </w:pPr>
      <w:r w:rsidRPr="00330326">
        <w:rPr>
          <w:i/>
          <w:sz w:val="16"/>
          <w:szCs w:val="16"/>
        </w:rPr>
        <w:t>Note: Major capital cities covers Perth, Adelaide, Melbourne, Sydney, Brisbane and Canberra</w:t>
      </w:r>
      <w:r w:rsidR="0076151D">
        <w:rPr>
          <w:i/>
          <w:sz w:val="16"/>
          <w:szCs w:val="16"/>
        </w:rPr>
        <w:t xml:space="preserve">; </w:t>
      </w:r>
      <w:r w:rsidRPr="00330326">
        <w:rPr>
          <w:i/>
          <w:sz w:val="16"/>
          <w:szCs w:val="16"/>
        </w:rPr>
        <w:t>Major urban covers towns/cities with populations of 100,000 or more (includes Hobart and Darwin)</w:t>
      </w:r>
      <w:r w:rsidR="0076151D">
        <w:rPr>
          <w:i/>
          <w:sz w:val="16"/>
          <w:szCs w:val="16"/>
        </w:rPr>
        <w:t xml:space="preserve">; </w:t>
      </w:r>
      <w:r w:rsidRPr="00330326">
        <w:rPr>
          <w:i/>
          <w:sz w:val="16"/>
          <w:szCs w:val="16"/>
        </w:rPr>
        <w:t xml:space="preserve">Urban covers </w:t>
      </w:r>
      <w:r w:rsidR="0076151D">
        <w:rPr>
          <w:i/>
          <w:sz w:val="16"/>
          <w:szCs w:val="16"/>
        </w:rPr>
        <w:t>t</w:t>
      </w:r>
      <w:r w:rsidRPr="00330326">
        <w:rPr>
          <w:i/>
          <w:sz w:val="16"/>
          <w:szCs w:val="16"/>
        </w:rPr>
        <w:t>owns/cities with populations of 1,000 to 99,999</w:t>
      </w:r>
      <w:r w:rsidR="0076151D">
        <w:rPr>
          <w:i/>
          <w:sz w:val="16"/>
          <w:szCs w:val="16"/>
        </w:rPr>
        <w:t xml:space="preserve">; </w:t>
      </w:r>
      <w:r w:rsidRPr="00330326">
        <w:rPr>
          <w:i/>
          <w:sz w:val="16"/>
          <w:szCs w:val="16"/>
        </w:rPr>
        <w:t>Non-urban covers areas with populations less than 1,000.</w:t>
      </w:r>
    </w:p>
    <w:p w14:paraId="050839E2" w14:textId="50939A92" w:rsidR="00591A2C" w:rsidRDefault="00591A2C" w:rsidP="009402EF">
      <w:pPr>
        <w:spacing w:after="0" w:line="240" w:lineRule="auto"/>
        <w:rPr>
          <w:i/>
          <w:sz w:val="16"/>
          <w:szCs w:val="16"/>
        </w:rPr>
      </w:pPr>
      <w:r w:rsidRPr="00330326">
        <w:rPr>
          <w:i/>
          <w:sz w:val="16"/>
          <w:szCs w:val="16"/>
        </w:rPr>
        <w:t>S</w:t>
      </w:r>
      <w:r>
        <w:rPr>
          <w:i/>
          <w:sz w:val="16"/>
          <w:szCs w:val="16"/>
        </w:rPr>
        <w:t>ource: Roy Morgan Single Source</w:t>
      </w:r>
      <w:r w:rsidR="0076151D">
        <w:rPr>
          <w:i/>
          <w:sz w:val="16"/>
          <w:szCs w:val="16"/>
        </w:rPr>
        <w:t>.</w:t>
      </w:r>
    </w:p>
    <w:p w14:paraId="5EB48F83" w14:textId="77777777" w:rsidR="00B34871" w:rsidRPr="00330326" w:rsidRDefault="00B34871" w:rsidP="009402EF">
      <w:pPr>
        <w:pStyle w:val="ACMASpaceaftertable"/>
      </w:pPr>
    </w:p>
    <w:p w14:paraId="27A151D1" w14:textId="15B04792" w:rsidR="00591A2C" w:rsidRPr="00330326" w:rsidRDefault="00591A2C" w:rsidP="00591A2C">
      <w:r w:rsidRPr="00330326">
        <w:t>Almost all adult Australians (95 per cent) own or use a mobile phone and it is becoming more common for Australians to have a mobile phone and no fixed phone service. In the four years since June 2011</w:t>
      </w:r>
      <w:r>
        <w:t>,</w:t>
      </w:r>
      <w:r w:rsidRPr="00330326">
        <w:t xml:space="preserve"> the number of adult Australians who have a mobile phone but no fixed home phone has almost doubled, growing from 2.7 million to 5.4 million</w:t>
      </w:r>
      <w:r w:rsidR="007D3C5E">
        <w:t xml:space="preserve"> by June 2015</w:t>
      </w:r>
      <w:r w:rsidRPr="00330326">
        <w:t xml:space="preserve">. </w:t>
      </w:r>
    </w:p>
    <w:p w14:paraId="72CC9A09" w14:textId="7E56DAC9" w:rsidR="00591A2C" w:rsidRPr="00330326" w:rsidRDefault="00591A2C" w:rsidP="00777C43">
      <w:pPr>
        <w:pStyle w:val="ACMAFigureHeader"/>
        <w:keepNext/>
      </w:pPr>
      <w:r w:rsidRPr="00330326">
        <w:lastRenderedPageBreak/>
        <w:t>Growth in population with a mobile phone and no fixed telephone (‘000)</w:t>
      </w:r>
    </w:p>
    <w:p w14:paraId="2E3E46AE" w14:textId="77777777" w:rsidR="00591A2C" w:rsidRPr="006B12EE" w:rsidRDefault="00591A2C" w:rsidP="009402EF">
      <w:pPr>
        <w:spacing w:after="0"/>
        <w:rPr>
          <w:color w:val="4BACC6" w:themeColor="accent5"/>
        </w:rPr>
      </w:pPr>
      <w:r w:rsidRPr="006B12EE">
        <w:rPr>
          <w:noProof/>
          <w:color w:val="4BACC6" w:themeColor="accent5"/>
        </w:rPr>
        <w:drawing>
          <wp:inline distT="0" distB="0" distL="0" distR="0" wp14:anchorId="211B6FC4" wp14:editId="349B7A36">
            <wp:extent cx="5382895" cy="2181225"/>
            <wp:effectExtent l="0" t="0" r="825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85581" cy="2182313"/>
                    </a:xfrm>
                    <a:prstGeom prst="rect">
                      <a:avLst/>
                    </a:prstGeom>
                    <a:noFill/>
                  </pic:spPr>
                </pic:pic>
              </a:graphicData>
            </a:graphic>
          </wp:inline>
        </w:drawing>
      </w:r>
    </w:p>
    <w:p w14:paraId="262A3AFC" w14:textId="6514587D" w:rsidR="00591A2C" w:rsidRDefault="00591A2C" w:rsidP="009402EF">
      <w:pPr>
        <w:spacing w:after="0"/>
        <w:rPr>
          <w:i/>
          <w:sz w:val="16"/>
          <w:szCs w:val="16"/>
        </w:rPr>
      </w:pPr>
      <w:r w:rsidRPr="00330326">
        <w:rPr>
          <w:i/>
          <w:sz w:val="16"/>
          <w:szCs w:val="16"/>
        </w:rPr>
        <w:t>Source: AC</w:t>
      </w:r>
      <w:r w:rsidR="00777C43">
        <w:rPr>
          <w:i/>
          <w:sz w:val="16"/>
          <w:szCs w:val="16"/>
        </w:rPr>
        <w:t>MA communications report 2014–</w:t>
      </w:r>
      <w:r w:rsidRPr="00330326">
        <w:rPr>
          <w:i/>
          <w:sz w:val="16"/>
          <w:szCs w:val="16"/>
        </w:rPr>
        <w:t>15</w:t>
      </w:r>
    </w:p>
    <w:p w14:paraId="2DB445E8" w14:textId="77777777" w:rsidR="0076151D" w:rsidRPr="00330326" w:rsidRDefault="0076151D" w:rsidP="009402EF">
      <w:pPr>
        <w:pStyle w:val="ACMASpaceaftertable"/>
      </w:pPr>
    </w:p>
    <w:p w14:paraId="3D258ABF" w14:textId="31F48706" w:rsidR="00591A2C" w:rsidRPr="00330326" w:rsidRDefault="00591A2C" w:rsidP="00591A2C">
      <w:r w:rsidRPr="00330326">
        <w:t>Mobile phone ownership is very high across the country with only minor geographic differences. On average</w:t>
      </w:r>
      <w:r w:rsidR="0044278B">
        <w:t>,</w:t>
      </w:r>
      <w:r w:rsidRPr="00330326">
        <w:t xml:space="preserve"> 29 per cent of the total adult population has a mobile phone but no fixed</w:t>
      </w:r>
      <w:r w:rsidR="0044278B">
        <w:t>-line</w:t>
      </w:r>
      <w:r w:rsidRPr="00330326">
        <w:t xml:space="preserve"> home phone. For those located in non-urban areas, this figure is </w:t>
      </w:r>
      <w:r w:rsidR="0076151D" w:rsidRPr="00330326">
        <w:t>25</w:t>
      </w:r>
      <w:r w:rsidR="0076151D">
        <w:t> </w:t>
      </w:r>
      <w:r w:rsidRPr="00330326">
        <w:t xml:space="preserve">per cent, four percentage points lower than </w:t>
      </w:r>
      <w:r w:rsidRPr="0076151D">
        <w:t xml:space="preserve">the national average. As illustrated </w:t>
      </w:r>
      <w:r w:rsidR="0076151D" w:rsidRPr="0076151D">
        <w:t>in Figure 5</w:t>
      </w:r>
      <w:r w:rsidRPr="0076151D">
        <w:t>, more and more Australians rely on mobile and internet services for communication</w:t>
      </w:r>
      <w:r w:rsidR="0044278B" w:rsidRPr="0076151D">
        <w:t>,</w:t>
      </w:r>
      <w:r w:rsidRPr="0076151D">
        <w:t xml:space="preserve"> at the expense of traditional fixed-line telephone services.</w:t>
      </w:r>
      <w:r w:rsidRPr="00330326">
        <w:t xml:space="preserve"> </w:t>
      </w:r>
    </w:p>
    <w:p w14:paraId="644899E0" w14:textId="794E5CB2" w:rsidR="00591A2C" w:rsidRDefault="00591A2C" w:rsidP="00761B9E">
      <w:pPr>
        <w:pStyle w:val="ACMAFigureHeader"/>
      </w:pPr>
      <w:r w:rsidRPr="00F1103C">
        <w:t>Number of communications services in Australia and percentage change</w:t>
      </w:r>
      <w:r>
        <w:t xml:space="preserve"> (millions)</w:t>
      </w:r>
    </w:p>
    <w:p w14:paraId="16034A85" w14:textId="77777777" w:rsidR="00B34871" w:rsidRDefault="00591A2C" w:rsidP="009402EF">
      <w:pPr>
        <w:spacing w:before="120" w:after="0" w:line="240" w:lineRule="auto"/>
        <w:rPr>
          <w:rFonts w:cs="Arial"/>
          <w:i/>
          <w:sz w:val="16"/>
          <w:szCs w:val="16"/>
        </w:rPr>
      </w:pPr>
      <w:r>
        <w:rPr>
          <w:noProof/>
        </w:rPr>
        <w:drawing>
          <wp:inline distT="0" distB="0" distL="0" distR="0" wp14:anchorId="4BAC3272" wp14:editId="28182E89">
            <wp:extent cx="573405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0441412" w14:textId="174E7DCD" w:rsidR="00591A2C" w:rsidRPr="00B86985" w:rsidRDefault="00591A2C" w:rsidP="009402EF">
      <w:pPr>
        <w:spacing w:before="120" w:after="0" w:line="240" w:lineRule="auto"/>
        <w:rPr>
          <w:b/>
          <w:sz w:val="16"/>
          <w:szCs w:val="16"/>
        </w:rPr>
      </w:pPr>
      <w:r w:rsidRPr="00B86985">
        <w:rPr>
          <w:rFonts w:cs="Arial"/>
          <w:i/>
          <w:sz w:val="16"/>
          <w:szCs w:val="16"/>
        </w:rPr>
        <w:t xml:space="preserve">*Change in </w:t>
      </w:r>
      <w:r w:rsidRPr="0076151D">
        <w:rPr>
          <w:rFonts w:cs="Arial"/>
          <w:i/>
          <w:sz w:val="16"/>
          <w:szCs w:val="16"/>
        </w:rPr>
        <w:t>data source from ACMA annual industry data request in June 2013 to company annual reports from June 2014.</w:t>
      </w:r>
      <w:r w:rsidRPr="00B86985">
        <w:rPr>
          <w:rFonts w:cs="Arial"/>
          <w:i/>
          <w:sz w:val="16"/>
          <w:szCs w:val="16"/>
        </w:rPr>
        <w:t xml:space="preserve"> </w:t>
      </w:r>
    </w:p>
    <w:p w14:paraId="5EC2CD61" w14:textId="77777777" w:rsidR="00591A2C" w:rsidRPr="00B86985" w:rsidRDefault="00591A2C" w:rsidP="0076151D">
      <w:pPr>
        <w:spacing w:after="0" w:line="240" w:lineRule="auto"/>
        <w:rPr>
          <w:b/>
          <w:sz w:val="16"/>
          <w:szCs w:val="16"/>
        </w:rPr>
      </w:pPr>
      <w:r w:rsidRPr="00B86985">
        <w:rPr>
          <w:rFonts w:cs="Arial"/>
          <w:i/>
          <w:sz w:val="16"/>
          <w:szCs w:val="16"/>
          <w:vertAlign w:val="superscript"/>
        </w:rPr>
        <w:t>†</w:t>
      </w:r>
      <w:r w:rsidRPr="00B86985">
        <w:rPr>
          <w:rFonts w:cs="Arial"/>
          <w:i/>
          <w:sz w:val="16"/>
          <w:szCs w:val="16"/>
        </w:rPr>
        <w:t xml:space="preserve">Sum of mobile phone handset and mobile wireless broadband subscribers. </w:t>
      </w:r>
    </w:p>
    <w:p w14:paraId="724DF015" w14:textId="77777777" w:rsidR="00591A2C" w:rsidRPr="00B86985" w:rsidRDefault="00591A2C" w:rsidP="0076151D">
      <w:pPr>
        <w:spacing w:after="0" w:line="240" w:lineRule="auto"/>
        <w:rPr>
          <w:rFonts w:cs="Arial"/>
          <w:i/>
          <w:sz w:val="16"/>
          <w:szCs w:val="16"/>
        </w:rPr>
      </w:pPr>
      <w:r w:rsidRPr="00B86985">
        <w:rPr>
          <w:rFonts w:cs="Arial"/>
          <w:i/>
          <w:sz w:val="16"/>
          <w:szCs w:val="16"/>
          <w:vertAlign w:val="superscript"/>
        </w:rPr>
        <w:t>‡</w:t>
      </w:r>
      <w:r w:rsidRPr="00B86985">
        <w:rPr>
          <w:rFonts w:cs="Arial"/>
          <w:i/>
          <w:sz w:val="16"/>
          <w:szCs w:val="16"/>
        </w:rPr>
        <w:t>Including mobile phone handset, mobile wireless broadband, fixed-broadband, satellite, fixed-wireless, other broadband and dial-up subscribers.</w:t>
      </w:r>
    </w:p>
    <w:p w14:paraId="33003A69" w14:textId="77777777" w:rsidR="00591A2C" w:rsidRPr="00B86985" w:rsidRDefault="00591A2C" w:rsidP="0076151D">
      <w:pPr>
        <w:spacing w:after="0" w:line="240" w:lineRule="auto"/>
        <w:rPr>
          <w:rFonts w:cs="Arial"/>
          <w:i/>
          <w:sz w:val="16"/>
          <w:szCs w:val="16"/>
        </w:rPr>
      </w:pPr>
      <w:r w:rsidRPr="00B86985">
        <w:rPr>
          <w:rFonts w:cs="Arial"/>
          <w:i/>
          <w:sz w:val="16"/>
          <w:szCs w:val="16"/>
          <w:vertAlign w:val="superscript"/>
        </w:rPr>
        <w:t>§</w:t>
      </w:r>
      <w:r w:rsidRPr="00B86985">
        <w:rPr>
          <w:rFonts w:cs="Arial"/>
          <w:i/>
          <w:sz w:val="16"/>
          <w:szCs w:val="16"/>
        </w:rPr>
        <w:t xml:space="preserve">Includes PSTN and other fixed-line telephone services. Due to a methodology change in 2014, data reported here differs from data reported in previous communications reports. In 2014, the total resale (retail services directly connected via another network) and retail services in operation are reported. In previous communications reports, wholesale and retail totals were reported. </w:t>
      </w:r>
    </w:p>
    <w:p w14:paraId="2ACD8D76" w14:textId="4E4715DE" w:rsidR="00591A2C" w:rsidRDefault="00777C43" w:rsidP="00777C43">
      <w:pPr>
        <w:spacing w:after="0" w:line="240" w:lineRule="auto"/>
        <w:rPr>
          <w:rFonts w:cs="Arial"/>
          <w:i/>
          <w:sz w:val="16"/>
          <w:szCs w:val="16"/>
        </w:rPr>
      </w:pPr>
      <w:r>
        <w:rPr>
          <w:rFonts w:cs="Arial"/>
          <w:i/>
          <w:sz w:val="16"/>
          <w:szCs w:val="16"/>
        </w:rPr>
        <w:t>Source: ACMA Communications r</w:t>
      </w:r>
      <w:r w:rsidR="00591A2C" w:rsidRPr="00B86985">
        <w:rPr>
          <w:rFonts w:cs="Arial"/>
          <w:i/>
          <w:sz w:val="16"/>
          <w:szCs w:val="16"/>
        </w:rPr>
        <w:t>eport 2014-15</w:t>
      </w:r>
      <w:r w:rsidR="0044278B">
        <w:rPr>
          <w:rFonts w:cs="Arial"/>
          <w:i/>
          <w:sz w:val="16"/>
          <w:szCs w:val="16"/>
        </w:rPr>
        <w:t>.</w:t>
      </w:r>
    </w:p>
    <w:p w14:paraId="2AB8AE00" w14:textId="77777777" w:rsidR="00761B9E" w:rsidRPr="00777C43" w:rsidRDefault="00761B9E" w:rsidP="00777C43">
      <w:pPr>
        <w:pStyle w:val="ACMASpaceaftertable"/>
      </w:pPr>
    </w:p>
    <w:p w14:paraId="09F81071" w14:textId="77777777" w:rsidR="00591A2C" w:rsidRPr="005C4A64" w:rsidRDefault="00591A2C" w:rsidP="00761B9E">
      <w:pPr>
        <w:pStyle w:val="Heading2"/>
      </w:pPr>
      <w:bookmarkStart w:id="10" w:name="_Toc457562327"/>
      <w:r w:rsidRPr="005C4A64">
        <w:lastRenderedPageBreak/>
        <w:t>Payphones</w:t>
      </w:r>
      <w:bookmarkEnd w:id="10"/>
    </w:p>
    <w:p w14:paraId="0C9B7BBF" w14:textId="5E69D3E5" w:rsidR="00591A2C" w:rsidRPr="00AD3450" w:rsidRDefault="00591A2C" w:rsidP="00591A2C">
      <w:r w:rsidRPr="00AD3450">
        <w:t>Before the increased ubiquity of mobile networks and devices, payphones were the primary way to make and receive telephone calls while travelling or away from home or place of business. They were designed to provide public access to telecommunications, promoting increased accessibility</w:t>
      </w:r>
      <w:r w:rsidR="0076151D">
        <w:t>,</w:t>
      </w:r>
      <w:r w:rsidRPr="00AD3450">
        <w:t xml:space="preserve"> and providing an additional mechanism to contact emergency services. </w:t>
      </w:r>
    </w:p>
    <w:p w14:paraId="43E706CF" w14:textId="181ED392" w:rsidR="00591A2C" w:rsidRPr="00AD3450" w:rsidRDefault="00591A2C" w:rsidP="00591A2C">
      <w:r w:rsidRPr="00AD3450">
        <w:t>However, as mobile phone take-up has proliferated, there has been a drop in the number of public payphon</w:t>
      </w:r>
      <w:r>
        <w:t>es. S</w:t>
      </w:r>
      <w:r w:rsidRPr="00AD3450">
        <w:t>ince 2003</w:t>
      </w:r>
      <w:r w:rsidR="0044278B">
        <w:t>–</w:t>
      </w:r>
      <w:r>
        <w:t>04</w:t>
      </w:r>
      <w:r w:rsidR="0044278B">
        <w:t>,</w:t>
      </w:r>
      <w:r>
        <w:t xml:space="preserve"> there has seen an almost 50 per cent</w:t>
      </w:r>
      <w:r w:rsidRPr="00AD3450">
        <w:t xml:space="preserve"> </w:t>
      </w:r>
      <w:r w:rsidR="0076151D">
        <w:t>decrease</w:t>
      </w:r>
      <w:r w:rsidRPr="00AD3450">
        <w:t xml:space="preserve"> in the number of Telstra-operated public payphones.</w:t>
      </w:r>
    </w:p>
    <w:p w14:paraId="10FD046D" w14:textId="58A006D9" w:rsidR="00591A2C" w:rsidRPr="00AD3450" w:rsidRDefault="00591A2C" w:rsidP="00591A2C">
      <w:r w:rsidRPr="00AD3450">
        <w:t>As the</w:t>
      </w:r>
      <w:r>
        <w:t xml:space="preserve"> PUSP</w:t>
      </w:r>
      <w:r w:rsidRPr="00AD3450">
        <w:t>, Telstra has the responsibility of ensuring that payphones are reasonably accessible to all people in Australia on an equitable basis, wherever they reside or carry on business. However, there are also privately operated payphones (often located in hotels and shops).</w:t>
      </w:r>
    </w:p>
    <w:p w14:paraId="559F792D" w14:textId="77777777" w:rsidR="00591A2C" w:rsidRPr="00AD3450" w:rsidRDefault="00591A2C" w:rsidP="00591A2C">
      <w:r w:rsidRPr="00AD3450">
        <w:t>While the majority of private payphones continue to be located in urban areas, the USO continues to support the delivery of payphones in regional and remote areas.</w:t>
      </w:r>
    </w:p>
    <w:p w14:paraId="61F89A4C" w14:textId="775FC50C" w:rsidR="00591A2C" w:rsidRPr="00C3434D" w:rsidRDefault="00591A2C" w:rsidP="00761B9E">
      <w:pPr>
        <w:pStyle w:val="ACMATableHeader"/>
      </w:pPr>
      <w:r w:rsidRPr="00C3434D">
        <w:t xml:space="preserve">Distribution of </w:t>
      </w:r>
      <w:r w:rsidRPr="00761B9E">
        <w:t>Telstra</w:t>
      </w:r>
      <w:r w:rsidRPr="00C3434D">
        <w:t xml:space="preserve"> payphones by geographical category, 30 June 2015</w:t>
      </w:r>
    </w:p>
    <w:tbl>
      <w:tblPr>
        <w:tblStyle w:val="Commsreport2014-15TABLE"/>
        <w:tblW w:w="8514" w:type="dxa"/>
        <w:tblInd w:w="-30" w:type="dxa"/>
        <w:tblLayout w:type="fixed"/>
        <w:tblLook w:val="04A0" w:firstRow="1" w:lastRow="0" w:firstColumn="1" w:lastColumn="0" w:noHBand="0" w:noVBand="1"/>
        <w:tblCaption w:val="Table 5.1 Distribution of Telstra payphones by geographical category, 30 June 2015"/>
      </w:tblPr>
      <w:tblGrid>
        <w:gridCol w:w="3970"/>
        <w:gridCol w:w="1136"/>
        <w:gridCol w:w="1136"/>
        <w:gridCol w:w="1136"/>
        <w:gridCol w:w="1136"/>
      </w:tblGrid>
      <w:tr w:rsidR="00591A2C" w:rsidRPr="0021202A" w14:paraId="5B3596DA" w14:textId="77777777" w:rsidTr="00777C43">
        <w:trPr>
          <w:cnfStyle w:val="100000000000" w:firstRow="1" w:lastRow="0" w:firstColumn="0" w:lastColumn="0" w:oddVBand="0" w:evenVBand="0" w:oddHBand="0" w:evenHBand="0" w:firstRowFirstColumn="0" w:firstRowLastColumn="0" w:lastRowFirstColumn="0" w:lastRowLastColumn="0"/>
          <w:trHeight w:val="409"/>
          <w:tblHead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tcPr>
          <w:p w14:paraId="1944457B" w14:textId="77777777" w:rsidR="00591A2C" w:rsidRPr="0021202A" w:rsidRDefault="00591A2C" w:rsidP="00861944">
            <w:pPr>
              <w:pStyle w:val="TableHeading"/>
              <w:spacing w:before="20" w:after="20"/>
              <w:rPr>
                <w:b/>
              </w:rPr>
            </w:pPr>
          </w:p>
        </w:tc>
        <w:tc>
          <w:tcPr>
            <w:tcW w:w="1136" w:type="dxa"/>
          </w:tcPr>
          <w:p w14:paraId="6B2A3A6D" w14:textId="77777777" w:rsidR="00591A2C" w:rsidRPr="0021202A" w:rsidRDefault="00591A2C" w:rsidP="00861944">
            <w:pPr>
              <w:pStyle w:val="TableHeading"/>
              <w:spacing w:before="20" w:after="20"/>
              <w:cnfStyle w:val="100000000000" w:firstRow="1" w:lastRow="0" w:firstColumn="0" w:lastColumn="0" w:oddVBand="0" w:evenVBand="0" w:oddHBand="0" w:evenHBand="0" w:firstRowFirstColumn="0" w:firstRowLastColumn="0" w:lastRowFirstColumn="0" w:lastRowLastColumn="0"/>
              <w:rPr>
                <w:b/>
              </w:rPr>
            </w:pPr>
            <w:r w:rsidRPr="0021202A">
              <w:rPr>
                <w:b/>
              </w:rPr>
              <w:t>Urban</w:t>
            </w:r>
          </w:p>
        </w:tc>
        <w:tc>
          <w:tcPr>
            <w:tcW w:w="1136" w:type="dxa"/>
          </w:tcPr>
          <w:p w14:paraId="4E105105" w14:textId="77777777" w:rsidR="00591A2C" w:rsidRPr="0021202A" w:rsidRDefault="00591A2C" w:rsidP="00861944">
            <w:pPr>
              <w:pStyle w:val="TableHeading"/>
              <w:spacing w:before="20" w:after="20"/>
              <w:cnfStyle w:val="100000000000" w:firstRow="1" w:lastRow="0" w:firstColumn="0" w:lastColumn="0" w:oddVBand="0" w:evenVBand="0" w:oddHBand="0" w:evenHBand="0" w:firstRowFirstColumn="0" w:firstRowLastColumn="0" w:lastRowFirstColumn="0" w:lastRowLastColumn="0"/>
              <w:rPr>
                <w:b/>
              </w:rPr>
            </w:pPr>
            <w:r w:rsidRPr="0021202A">
              <w:rPr>
                <w:b/>
              </w:rPr>
              <w:t>Rural</w:t>
            </w:r>
          </w:p>
        </w:tc>
        <w:tc>
          <w:tcPr>
            <w:tcW w:w="1136" w:type="dxa"/>
          </w:tcPr>
          <w:p w14:paraId="63011C88" w14:textId="77777777" w:rsidR="00591A2C" w:rsidRPr="0021202A" w:rsidRDefault="00591A2C" w:rsidP="00861944">
            <w:pPr>
              <w:pStyle w:val="TableHeading"/>
              <w:spacing w:before="20" w:after="20"/>
              <w:cnfStyle w:val="100000000000" w:firstRow="1" w:lastRow="0" w:firstColumn="0" w:lastColumn="0" w:oddVBand="0" w:evenVBand="0" w:oddHBand="0" w:evenHBand="0" w:firstRowFirstColumn="0" w:firstRowLastColumn="0" w:lastRowFirstColumn="0" w:lastRowLastColumn="0"/>
              <w:rPr>
                <w:b/>
              </w:rPr>
            </w:pPr>
            <w:r w:rsidRPr="0021202A">
              <w:rPr>
                <w:b/>
              </w:rPr>
              <w:t>Remote*</w:t>
            </w:r>
          </w:p>
        </w:tc>
        <w:tc>
          <w:tcPr>
            <w:tcW w:w="1136" w:type="dxa"/>
          </w:tcPr>
          <w:p w14:paraId="3CB086F1" w14:textId="77777777" w:rsidR="00591A2C" w:rsidRPr="0021202A" w:rsidRDefault="00591A2C" w:rsidP="00861944">
            <w:pPr>
              <w:pStyle w:val="TableHeading"/>
              <w:spacing w:before="20" w:after="20"/>
              <w:cnfStyle w:val="100000000000" w:firstRow="1" w:lastRow="0" w:firstColumn="0" w:lastColumn="0" w:oddVBand="0" w:evenVBand="0" w:oddHBand="0" w:evenHBand="0" w:firstRowFirstColumn="0" w:firstRowLastColumn="0" w:lastRowFirstColumn="0" w:lastRowLastColumn="0"/>
              <w:rPr>
                <w:b/>
              </w:rPr>
            </w:pPr>
            <w:r w:rsidRPr="0021202A">
              <w:rPr>
                <w:b/>
              </w:rPr>
              <w:t>RIC</w:t>
            </w:r>
          </w:p>
        </w:tc>
      </w:tr>
      <w:tr w:rsidR="00591A2C" w:rsidRPr="00FD7E86" w14:paraId="053CC3B1" w14:textId="77777777" w:rsidTr="00777C43">
        <w:trPr>
          <w:trHeight w:val="409"/>
        </w:trPr>
        <w:tc>
          <w:tcPr>
            <w:cnfStyle w:val="001000000000" w:firstRow="0" w:lastRow="0" w:firstColumn="1" w:lastColumn="0" w:oddVBand="0" w:evenVBand="0" w:oddHBand="0" w:evenHBand="0" w:firstRowFirstColumn="0" w:firstRowLastColumn="0" w:lastRowFirstColumn="0" w:lastRowLastColumn="0"/>
            <w:tcW w:w="3970" w:type="dxa"/>
          </w:tcPr>
          <w:p w14:paraId="31E91817" w14:textId="77777777" w:rsidR="00591A2C" w:rsidRPr="00C04B4C" w:rsidRDefault="00591A2C" w:rsidP="00861944">
            <w:pPr>
              <w:keepNext/>
              <w:keepLines/>
              <w:spacing w:before="40" w:after="40"/>
              <w:rPr>
                <w:rFonts w:cs="Arial"/>
                <w:color w:val="auto"/>
                <w:szCs w:val="18"/>
              </w:rPr>
            </w:pPr>
            <w:r w:rsidRPr="00C04B4C">
              <w:rPr>
                <w:rFonts w:cs="Arial"/>
                <w:color w:val="auto"/>
                <w:szCs w:val="18"/>
              </w:rPr>
              <w:t>Telstra-operated payphones</w:t>
            </w:r>
          </w:p>
          <w:p w14:paraId="564DFD9A" w14:textId="77777777" w:rsidR="00591A2C" w:rsidRPr="00C04B4C" w:rsidRDefault="00591A2C" w:rsidP="00861944">
            <w:pPr>
              <w:keepNext/>
              <w:keepLines/>
              <w:spacing w:before="40" w:after="40"/>
              <w:rPr>
                <w:rFonts w:cs="Arial"/>
                <w:color w:val="auto"/>
                <w:szCs w:val="18"/>
              </w:rPr>
            </w:pPr>
            <w:r w:rsidRPr="00C04B4C">
              <w:rPr>
                <w:rFonts w:cs="Arial"/>
                <w:color w:val="auto"/>
                <w:szCs w:val="18"/>
              </w:rPr>
              <w:tab/>
              <w:t>% of total</w:t>
            </w:r>
          </w:p>
        </w:tc>
        <w:tc>
          <w:tcPr>
            <w:tcW w:w="1136" w:type="dxa"/>
          </w:tcPr>
          <w:p w14:paraId="0906CF38"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11,929</w:t>
            </w:r>
          </w:p>
          <w:p w14:paraId="65485BC0"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68.1</w:t>
            </w:r>
          </w:p>
        </w:tc>
        <w:tc>
          <w:tcPr>
            <w:tcW w:w="1136" w:type="dxa"/>
          </w:tcPr>
          <w:p w14:paraId="23F4CEBC"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4,727</w:t>
            </w:r>
          </w:p>
          <w:p w14:paraId="01ABD10D"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27.0</w:t>
            </w:r>
          </w:p>
        </w:tc>
        <w:tc>
          <w:tcPr>
            <w:tcW w:w="1136" w:type="dxa"/>
          </w:tcPr>
          <w:p w14:paraId="377F8F87"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855</w:t>
            </w:r>
          </w:p>
          <w:p w14:paraId="33B2038A"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4.9</w:t>
            </w:r>
          </w:p>
        </w:tc>
        <w:tc>
          <w:tcPr>
            <w:tcW w:w="1136" w:type="dxa"/>
          </w:tcPr>
          <w:p w14:paraId="4F3E9947"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579</w:t>
            </w:r>
          </w:p>
          <w:p w14:paraId="2F8B11F5" w14:textId="77777777" w:rsidR="00591A2C" w:rsidRPr="00FD7E86" w:rsidRDefault="00591A2C" w:rsidP="00861944">
            <w:pPr>
              <w:keepNext/>
              <w:keepLines/>
              <w:spacing w:before="40" w:after="4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3.3</w:t>
            </w:r>
          </w:p>
        </w:tc>
      </w:tr>
      <w:tr w:rsidR="00591A2C" w:rsidRPr="00FD7E86" w14:paraId="4A8E7E42" w14:textId="77777777" w:rsidTr="00777C43">
        <w:trPr>
          <w:trHeight w:val="409"/>
        </w:trPr>
        <w:tc>
          <w:tcPr>
            <w:cnfStyle w:val="001000000000" w:firstRow="0" w:lastRow="0" w:firstColumn="1" w:lastColumn="0" w:oddVBand="0" w:evenVBand="0" w:oddHBand="0" w:evenHBand="0" w:firstRowFirstColumn="0" w:firstRowLastColumn="0" w:lastRowFirstColumn="0" w:lastRowLastColumn="0"/>
            <w:tcW w:w="3970" w:type="dxa"/>
          </w:tcPr>
          <w:p w14:paraId="072C0F0F" w14:textId="77777777" w:rsidR="00591A2C" w:rsidRPr="00C04B4C" w:rsidRDefault="00591A2C" w:rsidP="00861944">
            <w:pPr>
              <w:keepNext/>
              <w:keepLines/>
              <w:spacing w:before="120" w:after="120"/>
              <w:rPr>
                <w:rFonts w:cs="Arial"/>
                <w:color w:val="auto"/>
                <w:szCs w:val="18"/>
              </w:rPr>
            </w:pPr>
            <w:r w:rsidRPr="00C04B4C">
              <w:rPr>
                <w:rFonts w:cs="Arial"/>
                <w:color w:val="auto"/>
                <w:szCs w:val="18"/>
              </w:rPr>
              <w:t>Other payphones (provided via Telstra access lines)</w:t>
            </w:r>
          </w:p>
        </w:tc>
        <w:tc>
          <w:tcPr>
            <w:tcW w:w="1136" w:type="dxa"/>
          </w:tcPr>
          <w:p w14:paraId="404A56F1" w14:textId="3B27B481" w:rsidR="00591A2C" w:rsidRPr="00FD7E86" w:rsidRDefault="00591A2C" w:rsidP="00861944">
            <w:pPr>
              <w:keepNext/>
              <w:keepLines/>
              <w:spacing w:before="120" w:after="12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6,667</w:t>
            </w:r>
          </w:p>
        </w:tc>
        <w:tc>
          <w:tcPr>
            <w:tcW w:w="1136" w:type="dxa"/>
          </w:tcPr>
          <w:p w14:paraId="7EF620A2" w14:textId="77777777" w:rsidR="00591A2C" w:rsidRPr="00FD7E86" w:rsidRDefault="00591A2C" w:rsidP="00861944">
            <w:pPr>
              <w:keepNext/>
              <w:keepLines/>
              <w:spacing w:before="120" w:after="12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1,345</w:t>
            </w:r>
          </w:p>
        </w:tc>
        <w:tc>
          <w:tcPr>
            <w:tcW w:w="1136" w:type="dxa"/>
          </w:tcPr>
          <w:p w14:paraId="434ED2D3" w14:textId="77777777" w:rsidR="00591A2C" w:rsidRPr="00FD7E86" w:rsidRDefault="00591A2C" w:rsidP="00861944">
            <w:pPr>
              <w:keepNext/>
              <w:keepLines/>
              <w:spacing w:before="120" w:after="12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353</w:t>
            </w:r>
          </w:p>
        </w:tc>
        <w:tc>
          <w:tcPr>
            <w:tcW w:w="1136" w:type="dxa"/>
          </w:tcPr>
          <w:p w14:paraId="41FAB8C0" w14:textId="77777777" w:rsidR="00591A2C" w:rsidRPr="00FD7E86" w:rsidRDefault="00591A2C" w:rsidP="00861944">
            <w:pPr>
              <w:keepNext/>
              <w:keepLines/>
              <w:spacing w:before="120" w:after="120"/>
              <w:ind w:left="-264" w:right="192"/>
              <w:cnfStyle w:val="000000000000" w:firstRow="0" w:lastRow="0" w:firstColumn="0" w:lastColumn="0" w:oddVBand="0" w:evenVBand="0" w:oddHBand="0" w:evenHBand="0" w:firstRowFirstColumn="0" w:firstRowLastColumn="0" w:lastRowFirstColumn="0" w:lastRowLastColumn="0"/>
              <w:rPr>
                <w:rFonts w:cs="Arial"/>
                <w:szCs w:val="18"/>
              </w:rPr>
            </w:pPr>
            <w:r w:rsidRPr="00FD7E86">
              <w:rPr>
                <w:rFonts w:cs="Arial"/>
                <w:szCs w:val="18"/>
              </w:rPr>
              <w:t>251</w:t>
            </w:r>
          </w:p>
        </w:tc>
      </w:tr>
    </w:tbl>
    <w:p w14:paraId="578E8204" w14:textId="77777777" w:rsidR="00591A2C" w:rsidRPr="00FD7E86" w:rsidRDefault="00591A2C" w:rsidP="00591A2C">
      <w:pPr>
        <w:pStyle w:val="ACMANotes"/>
      </w:pPr>
      <w:r w:rsidRPr="00FD7E86">
        <w:t>*Including remote Indigenous communities (RIC).</w:t>
      </w:r>
    </w:p>
    <w:p w14:paraId="111EBDB4" w14:textId="77777777" w:rsidR="00591A2C" w:rsidRPr="00FD7E86" w:rsidRDefault="00591A2C" w:rsidP="0076151D">
      <w:pPr>
        <w:pStyle w:val="ACMANotes"/>
        <w:spacing w:before="0"/>
      </w:pPr>
      <w:r w:rsidRPr="00FD7E86">
        <w:t>Source: Telstra.</w:t>
      </w:r>
    </w:p>
    <w:p w14:paraId="63606B98" w14:textId="77777777" w:rsidR="00591A2C" w:rsidRPr="00330326" w:rsidRDefault="00591A2C" w:rsidP="00761B9E">
      <w:pPr>
        <w:pStyle w:val="ACMASpaceaftertable"/>
      </w:pPr>
    </w:p>
    <w:p w14:paraId="050C91D2" w14:textId="77777777" w:rsidR="00591A2C" w:rsidRPr="00C365C8" w:rsidRDefault="00591A2C" w:rsidP="00761B9E">
      <w:pPr>
        <w:pStyle w:val="Heading2"/>
      </w:pPr>
      <w:bookmarkStart w:id="11" w:name="_Toc456450458"/>
      <w:bookmarkStart w:id="12" w:name="_Toc456457428"/>
      <w:bookmarkStart w:id="13" w:name="_Toc457562328"/>
      <w:r w:rsidRPr="00C365C8">
        <w:t xml:space="preserve">Offline </w:t>
      </w:r>
      <w:r>
        <w:t xml:space="preserve">and ‘unconnected’ </w:t>
      </w:r>
      <w:r w:rsidRPr="00C365C8">
        <w:t>Australians</w:t>
      </w:r>
      <w:bookmarkEnd w:id="11"/>
      <w:bookmarkEnd w:id="12"/>
      <w:bookmarkEnd w:id="13"/>
    </w:p>
    <w:p w14:paraId="4E42D278" w14:textId="3017546C" w:rsidR="00591A2C" w:rsidRDefault="00591A2C" w:rsidP="00591A2C">
      <w:r>
        <w:t>As evidenced above, Australians are increasingly embracing fixed</w:t>
      </w:r>
      <w:r w:rsidR="0076151D">
        <w:t>-</w:t>
      </w:r>
      <w:r>
        <w:t xml:space="preserve">line internet and mobile telephony. </w:t>
      </w:r>
      <w:r w:rsidR="00777C43">
        <w:t>However,</w:t>
      </w:r>
      <w:r>
        <w:t xml:space="preserve"> there is a segment of the community that contin</w:t>
      </w:r>
      <w:r w:rsidR="0044278B">
        <w:t>ue to rely on voice only, fixed-</w:t>
      </w:r>
      <w:r>
        <w:t xml:space="preserve">line communications. </w:t>
      </w:r>
    </w:p>
    <w:p w14:paraId="749133BC" w14:textId="77777777" w:rsidR="00591A2C" w:rsidRDefault="00591A2C" w:rsidP="00591A2C">
      <w:r w:rsidRPr="00FD7E86">
        <w:t>While 92 per cent of adult Australians accessed the internet in the six months to May 2015, an estimated 1.1 million (six per cent) had neve</w:t>
      </w:r>
      <w:r>
        <w:t>r been online.</w:t>
      </w:r>
      <w:r>
        <w:rPr>
          <w:rStyle w:val="FootnoteReference"/>
        </w:rPr>
        <w:footnoteReference w:id="2"/>
      </w:r>
      <w:r>
        <w:t xml:space="preserve"> </w:t>
      </w:r>
    </w:p>
    <w:p w14:paraId="017AB3F4" w14:textId="6924BC25" w:rsidR="00591A2C" w:rsidRDefault="00591A2C" w:rsidP="00761B9E">
      <w:pPr>
        <w:spacing w:after="80"/>
      </w:pPr>
      <w:r>
        <w:t xml:space="preserve">For the </w:t>
      </w:r>
      <w:r w:rsidR="0044278B">
        <w:t>twelve-month</w:t>
      </w:r>
      <w:r w:rsidR="00777C43">
        <w:t xml:space="preserve"> period July 2014 to June 2015:</w:t>
      </w:r>
      <w:r>
        <w:t xml:space="preserve"> </w:t>
      </w:r>
    </w:p>
    <w:p w14:paraId="5B564678" w14:textId="77777777" w:rsidR="00591A2C" w:rsidRPr="001C2B43" w:rsidRDefault="00591A2C" w:rsidP="00761B9E">
      <w:pPr>
        <w:pStyle w:val="ListBullet"/>
      </w:pPr>
      <w:r>
        <w:t xml:space="preserve">around </w:t>
      </w:r>
      <w:r w:rsidRPr="001C2B43">
        <w:t>15 per cent of adult Australians did not have a home internet connection</w:t>
      </w:r>
    </w:p>
    <w:p w14:paraId="17DA5798" w14:textId="77777777" w:rsidR="00591A2C" w:rsidRPr="001C2B43" w:rsidRDefault="00591A2C" w:rsidP="00761B9E">
      <w:pPr>
        <w:pStyle w:val="ListBullet"/>
      </w:pPr>
      <w:r>
        <w:t xml:space="preserve">around </w:t>
      </w:r>
      <w:r w:rsidRPr="001C2B43">
        <w:t xml:space="preserve">11 per cent had not accessed the internet in the past three months </w:t>
      </w:r>
    </w:p>
    <w:p w14:paraId="2E5F13AC" w14:textId="4152C091" w:rsidR="00591A2C" w:rsidRPr="001C2B43" w:rsidRDefault="00591A2C" w:rsidP="00761B9E">
      <w:pPr>
        <w:pStyle w:val="ListBulletLast"/>
      </w:pPr>
      <w:r>
        <w:t>l</w:t>
      </w:r>
      <w:r w:rsidR="00777C43">
        <w:t>ess than six</w:t>
      </w:r>
      <w:r w:rsidRPr="001C2B43">
        <w:t xml:space="preserve"> per cent had never accessed the internet</w:t>
      </w:r>
      <w:r>
        <w:t>.</w:t>
      </w:r>
    </w:p>
    <w:p w14:paraId="67A5429A" w14:textId="36EBBCA0" w:rsidR="00591A2C" w:rsidRPr="00475AD8" w:rsidRDefault="00591A2C" w:rsidP="00D67B39">
      <w:pPr>
        <w:pStyle w:val="ACMAFigureHeader"/>
        <w:keepNext/>
      </w:pPr>
      <w:r w:rsidRPr="00475AD8">
        <w:lastRenderedPageBreak/>
        <w:t>Comparison</w:t>
      </w:r>
      <w:r>
        <w:t>:</w:t>
      </w:r>
      <w:r w:rsidRPr="00475AD8">
        <w:t xml:space="preserve"> Australian adults who </w:t>
      </w:r>
      <w:r w:rsidR="003940A0" w:rsidRPr="00475AD8">
        <w:t>do not</w:t>
      </w:r>
      <w:r w:rsidRPr="00475AD8">
        <w:t xml:space="preserve"> have internet connection at home, who did not access in the past three months, and </w:t>
      </w:r>
      <w:r>
        <w:t>who never accessed the internet (%)</w:t>
      </w:r>
      <w:r w:rsidRPr="00475AD8">
        <w:t xml:space="preserve"> (July 2014</w:t>
      </w:r>
      <w:r>
        <w:t xml:space="preserve"> </w:t>
      </w:r>
      <w:r w:rsidR="0044278B">
        <w:t>to</w:t>
      </w:r>
      <w:r w:rsidRPr="00475AD8">
        <w:t xml:space="preserve"> June 2015)</w:t>
      </w:r>
    </w:p>
    <w:p w14:paraId="49F8EC21" w14:textId="77777777" w:rsidR="00591A2C" w:rsidRPr="00CA2FFB" w:rsidRDefault="00591A2C" w:rsidP="00591A2C">
      <w:pPr>
        <w:spacing w:after="0"/>
      </w:pPr>
      <w:r>
        <w:rPr>
          <w:noProof/>
        </w:rPr>
        <w:drawing>
          <wp:inline distT="0" distB="0" distL="0" distR="0" wp14:anchorId="42BDFF8F" wp14:editId="0E01D6DC">
            <wp:extent cx="5338336" cy="289248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59355" cy="2903874"/>
                    </a:xfrm>
                    <a:prstGeom prst="rect">
                      <a:avLst/>
                    </a:prstGeom>
                    <a:noFill/>
                  </pic:spPr>
                </pic:pic>
              </a:graphicData>
            </a:graphic>
          </wp:inline>
        </w:drawing>
      </w:r>
      <w:r w:rsidRPr="00CA2FFB">
        <w:rPr>
          <w:i/>
          <w:sz w:val="16"/>
          <w:szCs w:val="16"/>
        </w:rPr>
        <w:t xml:space="preserve">Base: Australians aged 18 and over </w:t>
      </w:r>
    </w:p>
    <w:p w14:paraId="6D879430" w14:textId="77777777" w:rsidR="00591A2C" w:rsidRPr="00CA2FFB" w:rsidRDefault="00591A2C" w:rsidP="00591A2C">
      <w:pPr>
        <w:spacing w:after="0" w:line="240" w:lineRule="auto"/>
        <w:rPr>
          <w:i/>
          <w:sz w:val="16"/>
          <w:szCs w:val="16"/>
        </w:rPr>
      </w:pPr>
      <w:r w:rsidRPr="00CA2FFB">
        <w:rPr>
          <w:i/>
          <w:sz w:val="16"/>
          <w:szCs w:val="16"/>
        </w:rPr>
        <w:t>Source: Roy Morgan Single Source, June 2015</w:t>
      </w:r>
      <w:r w:rsidR="0044278B">
        <w:rPr>
          <w:i/>
          <w:sz w:val="16"/>
          <w:szCs w:val="16"/>
        </w:rPr>
        <w:t>.</w:t>
      </w:r>
    </w:p>
    <w:p w14:paraId="054CEC5A" w14:textId="77777777" w:rsidR="00591A2C" w:rsidRDefault="00591A2C" w:rsidP="00761B9E">
      <w:pPr>
        <w:pStyle w:val="ACMASpaceaftertable"/>
      </w:pPr>
    </w:p>
    <w:p w14:paraId="7313F65C" w14:textId="7DC6AA7F" w:rsidR="00591A2C" w:rsidRDefault="002429B4" w:rsidP="00591A2C">
      <w:r>
        <w:t>F</w:t>
      </w:r>
      <w:r w:rsidR="00591A2C">
        <w:t xml:space="preserve">igure </w:t>
      </w:r>
      <w:r>
        <w:t xml:space="preserve">7 </w:t>
      </w:r>
      <w:r w:rsidR="00591A2C">
        <w:t xml:space="preserve">below shows how the proportion of adult Australians who </w:t>
      </w:r>
      <w:r w:rsidR="0044278B">
        <w:t>do not</w:t>
      </w:r>
      <w:r w:rsidR="00591A2C">
        <w:t xml:space="preserve"> have an internet connection at home ha</w:t>
      </w:r>
      <w:r w:rsidR="0044278B">
        <w:t>s been decreasing more slowly (four</w:t>
      </w:r>
      <w:r w:rsidR="00591A2C">
        <w:t xml:space="preserve"> percentage points difference over the seven years period) than the proportion of adult Australians who hav</w:t>
      </w:r>
      <w:r w:rsidR="0044278B">
        <w:t>e never accessed the internet (seven</w:t>
      </w:r>
      <w:r w:rsidR="00591A2C">
        <w:t xml:space="preserve"> percentage points).</w:t>
      </w:r>
    </w:p>
    <w:p w14:paraId="5FDF1411" w14:textId="0FF0DA9C" w:rsidR="00591A2C" w:rsidRPr="001C2B43" w:rsidRDefault="00591A2C" w:rsidP="00761B9E">
      <w:pPr>
        <w:pStyle w:val="ACMAFigureHeader"/>
      </w:pPr>
      <w:r w:rsidRPr="001C2B43">
        <w:t>Comparison</w:t>
      </w:r>
      <w:r>
        <w:t>:</w:t>
      </w:r>
      <w:r w:rsidRPr="001C2B43">
        <w:t xml:space="preserve"> Australian adults who don't have internet connection at home and who never accessed the internet over the past seven years</w:t>
      </w:r>
      <w:r>
        <w:t xml:space="preserve"> (%)</w:t>
      </w:r>
      <w:r w:rsidRPr="001C2B43">
        <w:t xml:space="preserve"> (July 2008 to June 2015)</w:t>
      </w:r>
    </w:p>
    <w:p w14:paraId="0C11B8B4" w14:textId="77777777" w:rsidR="00591A2C" w:rsidRPr="001C2B43" w:rsidRDefault="00591A2C" w:rsidP="00591A2C">
      <w:pPr>
        <w:spacing w:after="0" w:line="240" w:lineRule="auto"/>
        <w:rPr>
          <w:i/>
          <w:sz w:val="16"/>
          <w:szCs w:val="16"/>
        </w:rPr>
      </w:pPr>
      <w:r w:rsidRPr="001C2B43">
        <w:rPr>
          <w:i/>
          <w:noProof/>
          <w:sz w:val="16"/>
          <w:szCs w:val="16"/>
        </w:rPr>
        <w:drawing>
          <wp:inline distT="0" distB="0" distL="0" distR="0" wp14:anchorId="779C7B74" wp14:editId="4939008F">
            <wp:extent cx="6055097" cy="2192983"/>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61650" cy="2195356"/>
                    </a:xfrm>
                    <a:prstGeom prst="rect">
                      <a:avLst/>
                    </a:prstGeom>
                    <a:noFill/>
                  </pic:spPr>
                </pic:pic>
              </a:graphicData>
            </a:graphic>
          </wp:inline>
        </w:drawing>
      </w:r>
      <w:r w:rsidRPr="001C2B43">
        <w:rPr>
          <w:sz w:val="16"/>
          <w:szCs w:val="16"/>
        </w:rPr>
        <w:t xml:space="preserve"> </w:t>
      </w:r>
      <w:r w:rsidRPr="001C2B43">
        <w:rPr>
          <w:i/>
          <w:sz w:val="16"/>
          <w:szCs w:val="16"/>
        </w:rPr>
        <w:t>Base: Australians aged 18 and over</w:t>
      </w:r>
      <w:r w:rsidR="0044278B">
        <w:rPr>
          <w:i/>
          <w:sz w:val="16"/>
          <w:szCs w:val="16"/>
        </w:rPr>
        <w:t>.</w:t>
      </w:r>
      <w:r w:rsidRPr="001C2B43">
        <w:rPr>
          <w:i/>
          <w:sz w:val="16"/>
          <w:szCs w:val="16"/>
        </w:rPr>
        <w:t xml:space="preserve"> </w:t>
      </w:r>
    </w:p>
    <w:p w14:paraId="1EE793C8" w14:textId="77777777" w:rsidR="00591A2C" w:rsidRPr="001C2B43" w:rsidRDefault="00591A2C" w:rsidP="00B34871">
      <w:pPr>
        <w:spacing w:after="0" w:line="240" w:lineRule="auto"/>
        <w:rPr>
          <w:i/>
          <w:sz w:val="16"/>
          <w:szCs w:val="16"/>
        </w:rPr>
      </w:pPr>
      <w:r w:rsidRPr="001C2B43">
        <w:rPr>
          <w:i/>
          <w:sz w:val="16"/>
          <w:szCs w:val="16"/>
        </w:rPr>
        <w:t>Source: Roy Morgan Single Source, June 2019, June 2010, June 2011, June 2012, June 2013, June 2014, June 2015</w:t>
      </w:r>
      <w:r w:rsidR="0044278B">
        <w:rPr>
          <w:i/>
          <w:sz w:val="16"/>
          <w:szCs w:val="16"/>
        </w:rPr>
        <w:t>.</w:t>
      </w:r>
    </w:p>
    <w:p w14:paraId="351D1096" w14:textId="1EBA3233" w:rsidR="00591A2C" w:rsidRDefault="00B85231" w:rsidP="009402EF">
      <w:pPr>
        <w:spacing w:after="0" w:line="240" w:lineRule="auto"/>
        <w:rPr>
          <w:i/>
          <w:sz w:val="16"/>
          <w:szCs w:val="16"/>
        </w:rPr>
      </w:pPr>
      <w:r>
        <w:rPr>
          <w:i/>
          <w:sz w:val="16"/>
          <w:szCs w:val="16"/>
        </w:rPr>
        <w:t>Note: C</w:t>
      </w:r>
      <w:r w:rsidR="00591A2C" w:rsidRPr="001C2B43">
        <w:rPr>
          <w:i/>
          <w:sz w:val="16"/>
          <w:szCs w:val="16"/>
        </w:rPr>
        <w:t>hang</w:t>
      </w:r>
      <w:r w:rsidR="0044278B">
        <w:rPr>
          <w:i/>
          <w:sz w:val="16"/>
          <w:szCs w:val="16"/>
        </w:rPr>
        <w:t>e of methodology between 2012–13 and 2013</w:t>
      </w:r>
      <w:r>
        <w:rPr>
          <w:i/>
          <w:sz w:val="16"/>
          <w:szCs w:val="16"/>
        </w:rPr>
        <w:t>–</w:t>
      </w:r>
      <w:r w:rsidR="00591A2C" w:rsidRPr="001C2B43">
        <w:rPr>
          <w:i/>
          <w:sz w:val="16"/>
          <w:szCs w:val="16"/>
        </w:rPr>
        <w:t>14</w:t>
      </w:r>
      <w:r w:rsidR="0044278B">
        <w:rPr>
          <w:i/>
          <w:sz w:val="16"/>
          <w:szCs w:val="16"/>
        </w:rPr>
        <w:t>.</w:t>
      </w:r>
      <w:r w:rsidR="00591A2C" w:rsidRPr="001C2B43">
        <w:rPr>
          <w:i/>
          <w:sz w:val="16"/>
          <w:szCs w:val="16"/>
        </w:rPr>
        <w:t xml:space="preserve"> </w:t>
      </w:r>
    </w:p>
    <w:p w14:paraId="3712156C" w14:textId="77777777" w:rsidR="00761B9E" w:rsidRPr="001C2B43" w:rsidRDefault="00761B9E" w:rsidP="00761B9E">
      <w:pPr>
        <w:pStyle w:val="ACMASpaceaftertable"/>
      </w:pPr>
    </w:p>
    <w:p w14:paraId="4BCC9C49" w14:textId="77777777" w:rsidR="00591A2C" w:rsidRDefault="00591A2C" w:rsidP="009402EF">
      <w:pPr>
        <w:keepNext/>
      </w:pPr>
      <w:r>
        <w:lastRenderedPageBreak/>
        <w:t>Adult Australians with no internet connection at home represent almost 15 per cent of the adult Australian population. Yet the majority of this sub-group of the Australian population are users of the internet.</w:t>
      </w:r>
    </w:p>
    <w:p w14:paraId="03948460" w14:textId="5B293735" w:rsidR="00591A2C" w:rsidRDefault="00591A2C" w:rsidP="009402EF">
      <w:pPr>
        <w:keepNext/>
      </w:pPr>
      <w:r>
        <w:t xml:space="preserve">Nearly seven in </w:t>
      </w:r>
      <w:r w:rsidR="0044278B">
        <w:t>10</w:t>
      </w:r>
      <w:r>
        <w:t xml:space="preserve"> (68 per cent) of adult Australians who did not have a home internet connection are users of the internet</w:t>
      </w:r>
      <w:r w:rsidR="0044278B">
        <w:t>,</w:t>
      </w:r>
      <w:r>
        <w:t xml:space="preserve"> based on latest data avai</w:t>
      </w:r>
      <w:r w:rsidR="0044278B">
        <w:t>lable for the period July 2014 to</w:t>
      </w:r>
      <w:r>
        <w:t xml:space="preserve"> June 2015. </w:t>
      </w:r>
    </w:p>
    <w:p w14:paraId="73A700E8" w14:textId="645497AC" w:rsidR="00591A2C" w:rsidRPr="00D418C5" w:rsidRDefault="00591A2C" w:rsidP="00591A2C">
      <w:r>
        <w:t>Nevertheless, unconnected adult Australians have different patterns of internet usage. Unconnected adult Australians who</w:t>
      </w:r>
      <w:r w:rsidR="0044278B">
        <w:t xml:space="preserve"> used the internet in the past four</w:t>
      </w:r>
      <w:r>
        <w:t xml:space="preserve"> weeks did not undertake the research and information-related activities to the same extent as all adult Australians. The proportion who accessed the internet to search for a job or employment online is similar (21 per cent)</w:t>
      </w:r>
      <w:r w:rsidR="0044278B">
        <w:t>,</w:t>
      </w:r>
      <w:r>
        <w:t xml:space="preserve"> regardless of whether or not ther</w:t>
      </w:r>
      <w:r w:rsidR="0044278B">
        <w:t>e is a home internet connection. H</w:t>
      </w:r>
      <w:r>
        <w:t>owever</w:t>
      </w:r>
      <w:r w:rsidR="0044278B">
        <w:t>,</w:t>
      </w:r>
      <w:r>
        <w:t xml:space="preserve"> for other activities</w:t>
      </w:r>
      <w:r w:rsidR="0044278B">
        <w:t>,</w:t>
      </w:r>
      <w:r>
        <w:t xml:space="preserve"> such as reading newspapers or accessing the news online, accessing government information or services, accessing health information, or access to online education, the proportion of unconnected Australians undertaking these activities are below the proportion observed for adult Australians. </w:t>
      </w:r>
    </w:p>
    <w:p w14:paraId="68DAC0A9" w14:textId="40DBE50D" w:rsidR="00591A2C" w:rsidRPr="001C2B43" w:rsidRDefault="00591A2C" w:rsidP="00761B9E">
      <w:pPr>
        <w:pStyle w:val="ACMAFigureHeader"/>
      </w:pPr>
      <w:r w:rsidRPr="001C2B43">
        <w:t>Specific research and information internet activities for adult Australians with no internet connection who had done one or more internet</w:t>
      </w:r>
      <w:r w:rsidR="005715E9">
        <w:t xml:space="preserve"> activities online in the last four</w:t>
      </w:r>
      <w:r w:rsidRPr="001C2B43">
        <w:t xml:space="preserve"> weeks (July 2014 </w:t>
      </w:r>
      <w:r w:rsidR="00B85231">
        <w:t>to</w:t>
      </w:r>
      <w:r w:rsidRPr="001C2B43">
        <w:t xml:space="preserve"> June 2015)</w:t>
      </w:r>
    </w:p>
    <w:p w14:paraId="2B1E0151" w14:textId="77777777" w:rsidR="00591A2C" w:rsidRDefault="00591A2C" w:rsidP="00591A2C">
      <w:pPr>
        <w:spacing w:after="120" w:line="240" w:lineRule="auto"/>
        <w:rPr>
          <w:i/>
          <w:noProof/>
        </w:rPr>
      </w:pPr>
      <w:r>
        <w:rPr>
          <w:i/>
          <w:noProof/>
        </w:rPr>
        <w:drawing>
          <wp:inline distT="0" distB="0" distL="0" distR="0" wp14:anchorId="2AD74BB0" wp14:editId="207F5B55">
            <wp:extent cx="4919980" cy="27070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19980" cy="2707005"/>
                    </a:xfrm>
                    <a:prstGeom prst="rect">
                      <a:avLst/>
                    </a:prstGeom>
                    <a:noFill/>
                  </pic:spPr>
                </pic:pic>
              </a:graphicData>
            </a:graphic>
          </wp:inline>
        </w:drawing>
      </w:r>
    </w:p>
    <w:p w14:paraId="392545CF" w14:textId="77777777" w:rsidR="00591A2C" w:rsidRPr="001C2B43" w:rsidRDefault="00591A2C" w:rsidP="00591A2C">
      <w:pPr>
        <w:spacing w:after="0" w:line="240" w:lineRule="auto"/>
        <w:rPr>
          <w:i/>
          <w:noProof/>
          <w:sz w:val="16"/>
          <w:szCs w:val="16"/>
        </w:rPr>
      </w:pPr>
      <w:r w:rsidRPr="001C2B43">
        <w:rPr>
          <w:i/>
          <w:noProof/>
          <w:sz w:val="16"/>
          <w:szCs w:val="16"/>
        </w:rPr>
        <w:t xml:space="preserve">Base: Australians aged 18 and over </w:t>
      </w:r>
    </w:p>
    <w:p w14:paraId="65F3F7AE" w14:textId="77777777" w:rsidR="00591A2C" w:rsidRDefault="00591A2C" w:rsidP="00761B9E">
      <w:pPr>
        <w:pStyle w:val="ACMASpaceaftertable"/>
      </w:pPr>
    </w:p>
    <w:p w14:paraId="5B71B41D" w14:textId="4EEEFCF6" w:rsidR="00591A2C" w:rsidRDefault="00591A2C" w:rsidP="00591A2C">
      <w:r>
        <w:t>The analysis of the demo</w:t>
      </w:r>
      <w:r w:rsidRPr="00B34871">
        <w:t>graphic profile of adult Australians with no internet connection at home indicates an over-representation of Aboriginal and Torres Strait Islander Australians, older Australians (aged 65 and over), those with lower income</w:t>
      </w:r>
      <w:r w:rsidR="00B85231" w:rsidRPr="00B34871">
        <w:t>s</w:t>
      </w:r>
      <w:r w:rsidRPr="00B34871">
        <w:t xml:space="preserve"> (under $30,000), those with no tertiary education, living in country areas, and living alone.</w:t>
      </w:r>
    </w:p>
    <w:p w14:paraId="34179793" w14:textId="1CB6C1D9" w:rsidR="00591A2C" w:rsidRDefault="00591A2C" w:rsidP="00761B9E">
      <w:pPr>
        <w:spacing w:after="80"/>
      </w:pPr>
      <w:r>
        <w:t xml:space="preserve">The three main factors associated with no </w:t>
      </w:r>
      <w:r w:rsidRPr="00B34871">
        <w:t xml:space="preserve">home internet connection are </w:t>
      </w:r>
      <w:r w:rsidR="00AC7222">
        <w:t>being</w:t>
      </w:r>
      <w:r w:rsidR="003555CF">
        <w:t xml:space="preserve"> of</w:t>
      </w:r>
      <w:r w:rsidR="00AC7222">
        <w:t xml:space="preserve"> </w:t>
      </w:r>
      <w:r w:rsidRPr="00B34871">
        <w:t>Aboriginal and Torres Strait Islander descent, living alone and older age</w:t>
      </w:r>
      <w:r w:rsidR="00B85231">
        <w:t>:</w:t>
      </w:r>
      <w:r>
        <w:t xml:space="preserve"> </w:t>
      </w:r>
    </w:p>
    <w:p w14:paraId="081EB07B" w14:textId="4CE9A3D0" w:rsidR="00591A2C" w:rsidRPr="001C2B43" w:rsidRDefault="00591A2C" w:rsidP="00761B9E">
      <w:pPr>
        <w:pStyle w:val="ListBullet"/>
      </w:pPr>
      <w:r w:rsidRPr="001C2B43">
        <w:t xml:space="preserve">36 per cent of </w:t>
      </w:r>
      <w:r>
        <w:t>A</w:t>
      </w:r>
      <w:r w:rsidRPr="001C2B43">
        <w:t xml:space="preserve">boriginal and Torres Strait Islander Australians have no home internet </w:t>
      </w:r>
      <w:r>
        <w:t>access connection, compared</w:t>
      </w:r>
      <w:r w:rsidRPr="001C2B43">
        <w:t xml:space="preserve"> to 15 per cent for adult Australian</w:t>
      </w:r>
      <w:r w:rsidR="00B85231">
        <w:t>s (represented by the red line i</w:t>
      </w:r>
      <w:r w:rsidRPr="001C2B43">
        <w:t xml:space="preserve">n </w:t>
      </w:r>
      <w:r w:rsidR="00B85231">
        <w:t>Figure 9</w:t>
      </w:r>
      <w:r w:rsidRPr="001C2B43">
        <w:t xml:space="preserve">). </w:t>
      </w:r>
    </w:p>
    <w:p w14:paraId="1C651C80" w14:textId="77777777" w:rsidR="00591A2C" w:rsidRPr="001C2B43" w:rsidRDefault="00591A2C" w:rsidP="009402EF">
      <w:pPr>
        <w:pStyle w:val="ListBullet"/>
        <w:keepNext/>
      </w:pPr>
      <w:r w:rsidRPr="001C2B43">
        <w:lastRenderedPageBreak/>
        <w:t>32 per cent for those living alone</w:t>
      </w:r>
    </w:p>
    <w:p w14:paraId="6E032EB8" w14:textId="77777777" w:rsidR="00591A2C" w:rsidRPr="00761B9E" w:rsidRDefault="00591A2C" w:rsidP="009402EF">
      <w:pPr>
        <w:pStyle w:val="ListBulletLast"/>
        <w:keepNext/>
      </w:pPr>
      <w:r w:rsidRPr="001C2B43">
        <w:t>27 per cent for older Australians (aged 65 and over)</w:t>
      </w:r>
      <w:r>
        <w:t>.</w:t>
      </w:r>
    </w:p>
    <w:p w14:paraId="0B2428FB" w14:textId="3258CA39" w:rsidR="00591A2C" w:rsidRPr="001C2B43" w:rsidRDefault="00591A2C" w:rsidP="00761B9E">
      <w:pPr>
        <w:pStyle w:val="ACMAFigureHeader"/>
      </w:pPr>
      <w:r w:rsidRPr="001C2B43">
        <w:t xml:space="preserve">Demographic profile of adult Australians with no home internet connection (July 2014 </w:t>
      </w:r>
      <w:r w:rsidR="00B85231" w:rsidRPr="00B85231">
        <w:t>to</w:t>
      </w:r>
      <w:r w:rsidRPr="001C2B43">
        <w:t xml:space="preserve"> June 2015)</w:t>
      </w:r>
    </w:p>
    <w:p w14:paraId="0544DA76" w14:textId="77777777" w:rsidR="00591A2C" w:rsidRDefault="00591A2C" w:rsidP="00591A2C">
      <w:pPr>
        <w:spacing w:after="120" w:line="240" w:lineRule="auto"/>
        <w:rPr>
          <w:i/>
        </w:rPr>
      </w:pPr>
      <w:r>
        <w:rPr>
          <w:i/>
          <w:noProof/>
        </w:rPr>
        <w:drawing>
          <wp:inline distT="0" distB="0" distL="0" distR="0" wp14:anchorId="50DF8ECA" wp14:editId="2B75BD17">
            <wp:extent cx="5663565" cy="471868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63565" cy="4718685"/>
                    </a:xfrm>
                    <a:prstGeom prst="rect">
                      <a:avLst/>
                    </a:prstGeom>
                    <a:noFill/>
                  </pic:spPr>
                </pic:pic>
              </a:graphicData>
            </a:graphic>
          </wp:inline>
        </w:drawing>
      </w:r>
    </w:p>
    <w:p w14:paraId="3D7D99F7" w14:textId="77777777" w:rsidR="00591A2C" w:rsidRPr="001C2B43" w:rsidRDefault="00591A2C" w:rsidP="00591A2C">
      <w:pPr>
        <w:spacing w:after="0" w:line="240" w:lineRule="auto"/>
        <w:rPr>
          <w:i/>
          <w:sz w:val="16"/>
          <w:szCs w:val="16"/>
        </w:rPr>
      </w:pPr>
      <w:r w:rsidRPr="001C2B43">
        <w:rPr>
          <w:i/>
          <w:sz w:val="16"/>
          <w:szCs w:val="16"/>
        </w:rPr>
        <w:t xml:space="preserve">Base: Australians aged 18 and over with no home internet connection </w:t>
      </w:r>
    </w:p>
    <w:p w14:paraId="16885BF2" w14:textId="1352C294" w:rsidR="00591A2C" w:rsidRPr="001C2B43" w:rsidRDefault="00B85231" w:rsidP="00591A2C">
      <w:pPr>
        <w:spacing w:after="0" w:line="240" w:lineRule="auto"/>
        <w:rPr>
          <w:i/>
          <w:sz w:val="16"/>
          <w:szCs w:val="16"/>
        </w:rPr>
      </w:pPr>
      <w:r>
        <w:rPr>
          <w:i/>
          <w:sz w:val="16"/>
          <w:szCs w:val="16"/>
        </w:rPr>
        <w:t>Note: T</w:t>
      </w:r>
      <w:r w:rsidR="00591A2C" w:rsidRPr="001C2B43">
        <w:rPr>
          <w:i/>
          <w:sz w:val="16"/>
          <w:szCs w:val="16"/>
        </w:rPr>
        <w:t>he red vertical line represents the proportion of Australians adults with no home internet connection. It can be used as a benchmark to compare with proportions observed for different demographic segments.</w:t>
      </w:r>
    </w:p>
    <w:p w14:paraId="083C03C5" w14:textId="11840099" w:rsidR="00591A2C" w:rsidRPr="001C2B43" w:rsidRDefault="00591A2C" w:rsidP="00591A2C">
      <w:pPr>
        <w:spacing w:after="0" w:line="240" w:lineRule="auto"/>
        <w:rPr>
          <w:i/>
          <w:sz w:val="16"/>
          <w:szCs w:val="16"/>
        </w:rPr>
      </w:pPr>
      <w:r w:rsidRPr="001C2B43">
        <w:rPr>
          <w:i/>
          <w:sz w:val="16"/>
          <w:szCs w:val="16"/>
        </w:rPr>
        <w:t>Source: Roy Morgan Single Source, June 2015</w:t>
      </w:r>
      <w:r w:rsidR="00B85231">
        <w:rPr>
          <w:i/>
          <w:sz w:val="16"/>
          <w:szCs w:val="16"/>
        </w:rPr>
        <w:t>.</w:t>
      </w:r>
    </w:p>
    <w:p w14:paraId="01696088" w14:textId="77777777" w:rsidR="00591A2C" w:rsidRDefault="00591A2C" w:rsidP="00761B9E">
      <w:pPr>
        <w:pStyle w:val="ACMASpaceaftertable"/>
      </w:pPr>
    </w:p>
    <w:p w14:paraId="42A8EB37" w14:textId="68FF6162" w:rsidR="00591A2C" w:rsidRDefault="00591A2C" w:rsidP="00761B9E">
      <w:pPr>
        <w:spacing w:after="80"/>
      </w:pPr>
      <w:r>
        <w:t>Older age and lower income factors are also evident in the demographic profile of the adult Australians who have never accessed the i</w:t>
      </w:r>
      <w:r w:rsidR="00B85231">
        <w:t>nternet:</w:t>
      </w:r>
    </w:p>
    <w:p w14:paraId="65548475" w14:textId="687FE196" w:rsidR="00591A2C" w:rsidRPr="009D46C2" w:rsidRDefault="00591A2C" w:rsidP="00761B9E">
      <w:pPr>
        <w:pStyle w:val="ListBullet"/>
      </w:pPr>
      <w:r>
        <w:t>21</w:t>
      </w:r>
      <w:r w:rsidRPr="009D46C2">
        <w:t xml:space="preserve"> per cent </w:t>
      </w:r>
      <w:r>
        <w:t xml:space="preserve">of </w:t>
      </w:r>
      <w:r w:rsidRPr="009D46C2">
        <w:t>older Australians (aged 65 and over)</w:t>
      </w:r>
      <w:r>
        <w:t xml:space="preserve"> never acce</w:t>
      </w:r>
      <w:r w:rsidR="00B85231">
        <w:t>ssed the internet, compared to six</w:t>
      </w:r>
      <w:r>
        <w:t xml:space="preserve"> per cent for adult Australian</w:t>
      </w:r>
      <w:r w:rsidR="00B85231">
        <w:t>s (represented by the red line i</w:t>
      </w:r>
      <w:r>
        <w:t xml:space="preserve">n </w:t>
      </w:r>
      <w:r w:rsidR="00B85231">
        <w:t>Figure 10)</w:t>
      </w:r>
      <w:r>
        <w:t xml:space="preserve"> </w:t>
      </w:r>
    </w:p>
    <w:p w14:paraId="766A5BE2" w14:textId="77777777" w:rsidR="00591A2C" w:rsidRDefault="00591A2C" w:rsidP="00761B9E">
      <w:pPr>
        <w:pStyle w:val="ListBulletLast"/>
      </w:pPr>
      <w:r>
        <w:t xml:space="preserve">17 </w:t>
      </w:r>
      <w:r w:rsidRPr="009D46C2">
        <w:t xml:space="preserve">per cent </w:t>
      </w:r>
      <w:r>
        <w:t>of</w:t>
      </w:r>
      <w:r w:rsidRPr="009D46C2">
        <w:t xml:space="preserve"> those living alone</w:t>
      </w:r>
      <w:r>
        <w:t xml:space="preserve"> never accessed the internet.</w:t>
      </w:r>
    </w:p>
    <w:p w14:paraId="6953F611" w14:textId="0BAA63BC" w:rsidR="00591A2C" w:rsidRPr="001C2B43" w:rsidRDefault="00591A2C" w:rsidP="00B85231">
      <w:pPr>
        <w:pStyle w:val="ACMAFigureHeader"/>
        <w:keepNext/>
      </w:pPr>
      <w:r w:rsidRPr="001C2B43">
        <w:lastRenderedPageBreak/>
        <w:t xml:space="preserve">Demographic profile of adult Australians who never access the internet (July </w:t>
      </w:r>
      <w:r w:rsidRPr="00B85231">
        <w:t xml:space="preserve">2014 </w:t>
      </w:r>
      <w:r w:rsidR="00B85231" w:rsidRPr="00B85231">
        <w:t>to</w:t>
      </w:r>
      <w:r w:rsidRPr="001C2B43">
        <w:t xml:space="preserve"> June 2015)</w:t>
      </w:r>
    </w:p>
    <w:p w14:paraId="5513EBE0" w14:textId="77777777" w:rsidR="00591A2C" w:rsidRPr="004105BD" w:rsidRDefault="00591A2C" w:rsidP="00591A2C">
      <w:pPr>
        <w:spacing w:after="120" w:line="240" w:lineRule="auto"/>
        <w:rPr>
          <w:color w:val="7F7F7F" w:themeColor="text1" w:themeTint="80"/>
        </w:rPr>
      </w:pPr>
      <w:r>
        <w:rPr>
          <w:noProof/>
          <w:color w:val="7F7F7F" w:themeColor="text1" w:themeTint="80"/>
        </w:rPr>
        <w:drawing>
          <wp:inline distT="0" distB="0" distL="0" distR="0" wp14:anchorId="5EE3EFCC" wp14:editId="69735A25">
            <wp:extent cx="5886057" cy="4550979"/>
            <wp:effectExtent l="0" t="0" r="63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97769" cy="4560034"/>
                    </a:xfrm>
                    <a:prstGeom prst="rect">
                      <a:avLst/>
                    </a:prstGeom>
                    <a:noFill/>
                  </pic:spPr>
                </pic:pic>
              </a:graphicData>
            </a:graphic>
          </wp:inline>
        </w:drawing>
      </w:r>
    </w:p>
    <w:p w14:paraId="784CDA52" w14:textId="77309740" w:rsidR="00591A2C" w:rsidRPr="001C2B43" w:rsidRDefault="00591A2C" w:rsidP="00591A2C">
      <w:pPr>
        <w:spacing w:after="0" w:line="240" w:lineRule="auto"/>
        <w:rPr>
          <w:i/>
          <w:sz w:val="16"/>
          <w:szCs w:val="16"/>
        </w:rPr>
      </w:pPr>
      <w:r w:rsidRPr="001C2B43">
        <w:rPr>
          <w:i/>
          <w:sz w:val="16"/>
          <w:szCs w:val="16"/>
        </w:rPr>
        <w:t>Base: Australians aged 18 and over who responded never accessed the internet</w:t>
      </w:r>
      <w:r w:rsidR="00B85231">
        <w:rPr>
          <w:i/>
          <w:sz w:val="16"/>
          <w:szCs w:val="16"/>
        </w:rPr>
        <w:t>.</w:t>
      </w:r>
      <w:r w:rsidRPr="001C2B43">
        <w:rPr>
          <w:i/>
          <w:sz w:val="16"/>
          <w:szCs w:val="16"/>
        </w:rPr>
        <w:t xml:space="preserve"> </w:t>
      </w:r>
    </w:p>
    <w:p w14:paraId="376075D9" w14:textId="22C0DDF8" w:rsidR="00591A2C" w:rsidRPr="001C2B43" w:rsidRDefault="00B85231" w:rsidP="00591A2C">
      <w:pPr>
        <w:spacing w:after="0" w:line="240" w:lineRule="auto"/>
        <w:rPr>
          <w:i/>
          <w:sz w:val="16"/>
          <w:szCs w:val="16"/>
        </w:rPr>
      </w:pPr>
      <w:r>
        <w:rPr>
          <w:i/>
          <w:sz w:val="16"/>
          <w:szCs w:val="16"/>
        </w:rPr>
        <w:t>Note: T</w:t>
      </w:r>
      <w:r w:rsidR="00591A2C" w:rsidRPr="001C2B43">
        <w:rPr>
          <w:i/>
          <w:sz w:val="16"/>
          <w:szCs w:val="16"/>
        </w:rPr>
        <w:t>he red vertical line represents the proportion of Australians adults who never accessed the internet. It can be used as a benchmark to compare with proportions observed for different demographic segments.</w:t>
      </w:r>
    </w:p>
    <w:p w14:paraId="0A95DBA1" w14:textId="4711C745" w:rsidR="00591A2C" w:rsidRPr="001C2B43" w:rsidRDefault="00591A2C" w:rsidP="00591A2C">
      <w:pPr>
        <w:spacing w:after="0" w:line="240" w:lineRule="auto"/>
        <w:rPr>
          <w:i/>
          <w:sz w:val="16"/>
          <w:szCs w:val="16"/>
        </w:rPr>
      </w:pPr>
      <w:r w:rsidRPr="001C2B43">
        <w:rPr>
          <w:i/>
          <w:sz w:val="16"/>
          <w:szCs w:val="16"/>
        </w:rPr>
        <w:t>Source: Roy Morgan Single Source, June 2015</w:t>
      </w:r>
      <w:r w:rsidR="00B34871">
        <w:rPr>
          <w:i/>
          <w:sz w:val="16"/>
          <w:szCs w:val="16"/>
        </w:rPr>
        <w:t>.</w:t>
      </w:r>
    </w:p>
    <w:p w14:paraId="32176224" w14:textId="77777777" w:rsidR="00591A2C" w:rsidRDefault="00591A2C" w:rsidP="00761B9E">
      <w:pPr>
        <w:pStyle w:val="ACMASpaceaftertable"/>
      </w:pPr>
      <w:bookmarkStart w:id="14" w:name="_Toc456450461"/>
      <w:bookmarkStart w:id="15" w:name="_Toc456457430"/>
    </w:p>
    <w:bookmarkEnd w:id="14"/>
    <w:bookmarkEnd w:id="15"/>
    <w:p w14:paraId="461CD0D3" w14:textId="73EF11D6" w:rsidR="00761B9E" w:rsidRDefault="00591A2C" w:rsidP="00B85231">
      <w:r w:rsidRPr="00B85231">
        <w:t xml:space="preserve">Age, income and education are important factors associated with both not having a home internet connection and never having accessed the internet. </w:t>
      </w:r>
      <w:r w:rsidR="00B85231">
        <w:t>Table 2</w:t>
      </w:r>
      <w:r w:rsidRPr="00B85231">
        <w:t xml:space="preserve"> provides a summary of these factors.</w:t>
      </w:r>
    </w:p>
    <w:p w14:paraId="5A840F02" w14:textId="43CEF069" w:rsidR="00591A2C" w:rsidRPr="001C2B43" w:rsidRDefault="00591A2C" w:rsidP="00B85231">
      <w:pPr>
        <w:pStyle w:val="ACMATableHeader"/>
        <w:keepNext/>
        <w:keepLines/>
      </w:pPr>
      <w:r w:rsidRPr="001C2B43">
        <w:lastRenderedPageBreak/>
        <w:t xml:space="preserve">Factors associated with not having a home internet connection and never having accessed the internet compared to </w:t>
      </w:r>
      <w:r>
        <w:t xml:space="preserve">total </w:t>
      </w:r>
      <w:r w:rsidRPr="001C2B43">
        <w:t xml:space="preserve">adult population </w:t>
      </w:r>
      <w:r w:rsidR="00B34871">
        <w:br/>
      </w:r>
      <w:r w:rsidRPr="001C2B43">
        <w:t xml:space="preserve">(July 2014 </w:t>
      </w:r>
      <w:r w:rsidR="00B85231">
        <w:t>to</w:t>
      </w:r>
      <w:r w:rsidRPr="001C2B43">
        <w:t xml:space="preserve"> June 2015) </w:t>
      </w:r>
    </w:p>
    <w:tbl>
      <w:tblPr>
        <w:tblStyle w:val="ListTable4Accent5"/>
        <w:tblW w:w="9016" w:type="dxa"/>
        <w:tblCellMar>
          <w:top w:w="57" w:type="dxa"/>
          <w:left w:w="57" w:type="dxa"/>
          <w:bottom w:w="57" w:type="dxa"/>
          <w:right w:w="57" w:type="dxa"/>
        </w:tblCellMar>
        <w:tblLook w:val="04A0" w:firstRow="1" w:lastRow="0" w:firstColumn="1" w:lastColumn="0" w:noHBand="0" w:noVBand="1"/>
      </w:tblPr>
      <w:tblGrid>
        <w:gridCol w:w="2263"/>
        <w:gridCol w:w="1350"/>
        <w:gridCol w:w="1351"/>
        <w:gridCol w:w="1350"/>
        <w:gridCol w:w="1351"/>
        <w:gridCol w:w="1351"/>
      </w:tblGrid>
      <w:tr w:rsidR="00591A2C" w:rsidRPr="00D74B84" w14:paraId="74B7860D" w14:textId="77777777" w:rsidTr="00B852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4F81BD" w:themeFill="accent1"/>
          </w:tcPr>
          <w:p w14:paraId="1740B032" w14:textId="77777777" w:rsidR="00591A2C" w:rsidRPr="00D74B84" w:rsidRDefault="00591A2C" w:rsidP="00B85231">
            <w:pPr>
              <w:keepNext/>
              <w:keepLines/>
              <w:spacing w:after="160" w:line="259" w:lineRule="auto"/>
            </w:pPr>
            <w:r w:rsidRPr="00B442CD">
              <w:rPr>
                <w:bCs w:val="0"/>
              </w:rPr>
              <w:t xml:space="preserve">% of </w:t>
            </w:r>
            <w:r>
              <w:rPr>
                <w:bCs w:val="0"/>
              </w:rPr>
              <w:t>Australian adults</w:t>
            </w:r>
          </w:p>
        </w:tc>
        <w:tc>
          <w:tcPr>
            <w:tcW w:w="1350" w:type="dxa"/>
            <w:shd w:val="clear" w:color="auto" w:fill="4F81BD" w:themeFill="accent1"/>
          </w:tcPr>
          <w:p w14:paraId="27B43A4B" w14:textId="77777777" w:rsidR="00591A2C" w:rsidRPr="00D74B84" w:rsidRDefault="00591A2C" w:rsidP="00B85231">
            <w:pPr>
              <w:keepNext/>
              <w:keepLines/>
              <w:spacing w:after="160" w:line="259" w:lineRule="auto"/>
              <w:cnfStyle w:val="100000000000" w:firstRow="1" w:lastRow="0" w:firstColumn="0" w:lastColumn="0" w:oddVBand="0" w:evenVBand="0" w:oddHBand="0" w:evenHBand="0" w:firstRowFirstColumn="0" w:firstRowLastColumn="0" w:lastRowFirstColumn="0" w:lastRowLastColumn="0"/>
            </w:pPr>
            <w:r w:rsidRPr="00D74B84">
              <w:t>Aged 65+</w:t>
            </w:r>
          </w:p>
        </w:tc>
        <w:tc>
          <w:tcPr>
            <w:tcW w:w="1351" w:type="dxa"/>
            <w:shd w:val="clear" w:color="auto" w:fill="4F81BD" w:themeFill="accent1"/>
          </w:tcPr>
          <w:p w14:paraId="482D17B4" w14:textId="77777777" w:rsidR="00591A2C" w:rsidRPr="00D74B84" w:rsidRDefault="00591A2C" w:rsidP="00B85231">
            <w:pPr>
              <w:keepNext/>
              <w:keepLines/>
              <w:spacing w:after="160" w:line="259" w:lineRule="auto"/>
              <w:cnfStyle w:val="100000000000" w:firstRow="1" w:lastRow="0" w:firstColumn="0" w:lastColumn="0" w:oddVBand="0" w:evenVBand="0" w:oddHBand="0" w:evenHBand="0" w:firstRowFirstColumn="0" w:firstRowLastColumn="0" w:lastRowFirstColumn="0" w:lastRowLastColumn="0"/>
            </w:pPr>
            <w:r w:rsidRPr="00D74B84">
              <w:t>No university degree</w:t>
            </w:r>
          </w:p>
        </w:tc>
        <w:tc>
          <w:tcPr>
            <w:tcW w:w="1350" w:type="dxa"/>
            <w:shd w:val="clear" w:color="auto" w:fill="4F81BD" w:themeFill="accent1"/>
          </w:tcPr>
          <w:p w14:paraId="04F320AC" w14:textId="77777777" w:rsidR="00591A2C" w:rsidRPr="00B442CD" w:rsidRDefault="00591A2C" w:rsidP="00B85231">
            <w:pPr>
              <w:keepNext/>
              <w:keepLines/>
              <w:cnfStyle w:val="100000000000" w:firstRow="1" w:lastRow="0" w:firstColumn="0" w:lastColumn="0" w:oddVBand="0" w:evenVBand="0" w:oddHBand="0" w:evenHBand="0" w:firstRowFirstColumn="0" w:firstRowLastColumn="0" w:lastRowFirstColumn="0" w:lastRowLastColumn="0"/>
              <w:rPr>
                <w:bCs w:val="0"/>
              </w:rPr>
            </w:pPr>
            <w:r w:rsidRPr="00B442CD">
              <w:rPr>
                <w:bCs w:val="0"/>
              </w:rPr>
              <w:t>Country areas</w:t>
            </w:r>
          </w:p>
        </w:tc>
        <w:tc>
          <w:tcPr>
            <w:tcW w:w="1351" w:type="dxa"/>
            <w:shd w:val="clear" w:color="auto" w:fill="4F81BD" w:themeFill="accent1"/>
          </w:tcPr>
          <w:p w14:paraId="7E391683" w14:textId="77777777" w:rsidR="00591A2C" w:rsidRPr="00D74B84" w:rsidRDefault="00591A2C" w:rsidP="00B85231">
            <w:pPr>
              <w:keepNext/>
              <w:keepLines/>
              <w:spacing w:after="160" w:line="259" w:lineRule="auto"/>
              <w:cnfStyle w:val="100000000000" w:firstRow="1" w:lastRow="0" w:firstColumn="0" w:lastColumn="0" w:oddVBand="0" w:evenVBand="0" w:oddHBand="0" w:evenHBand="0" w:firstRowFirstColumn="0" w:firstRowLastColumn="0" w:lastRowFirstColumn="0" w:lastRowLastColumn="0"/>
            </w:pPr>
            <w:r w:rsidRPr="00D74B84">
              <w:t>Income is less than $30k per year</w:t>
            </w:r>
          </w:p>
        </w:tc>
        <w:tc>
          <w:tcPr>
            <w:tcW w:w="1351" w:type="dxa"/>
            <w:shd w:val="clear" w:color="auto" w:fill="4F81BD" w:themeFill="accent1"/>
          </w:tcPr>
          <w:p w14:paraId="6F2189FC" w14:textId="77777777" w:rsidR="00591A2C" w:rsidRPr="00B442CD" w:rsidRDefault="00591A2C" w:rsidP="00B85231">
            <w:pPr>
              <w:keepNext/>
              <w:keepLines/>
              <w:cnfStyle w:val="100000000000" w:firstRow="1" w:lastRow="0" w:firstColumn="0" w:lastColumn="0" w:oddVBand="0" w:evenVBand="0" w:oddHBand="0" w:evenHBand="0" w:firstRowFirstColumn="0" w:firstRowLastColumn="0" w:lastRowFirstColumn="0" w:lastRowLastColumn="0"/>
              <w:rPr>
                <w:bCs w:val="0"/>
              </w:rPr>
            </w:pPr>
            <w:r w:rsidRPr="00B442CD">
              <w:rPr>
                <w:bCs w:val="0"/>
              </w:rPr>
              <w:t>Live alone</w:t>
            </w:r>
          </w:p>
        </w:tc>
      </w:tr>
      <w:tr w:rsidR="00591A2C" w:rsidRPr="00D74B84" w14:paraId="657856FC" w14:textId="77777777" w:rsidTr="00B8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DBE5F1" w:themeFill="accent1" w:themeFillTint="33"/>
          </w:tcPr>
          <w:p w14:paraId="3F9E8427" w14:textId="77777777" w:rsidR="00591A2C" w:rsidRPr="00D74B84" w:rsidRDefault="00591A2C" w:rsidP="00B85231">
            <w:pPr>
              <w:keepNext/>
              <w:keepLines/>
              <w:spacing w:after="160" w:line="259" w:lineRule="auto"/>
            </w:pPr>
            <w:r>
              <w:t>in</w:t>
            </w:r>
            <w:r w:rsidRPr="00D74B84">
              <w:t xml:space="preserve"> general population aged 18+</w:t>
            </w:r>
          </w:p>
        </w:tc>
        <w:tc>
          <w:tcPr>
            <w:tcW w:w="1350" w:type="dxa"/>
            <w:shd w:val="clear" w:color="auto" w:fill="DBE5F1" w:themeFill="accent1" w:themeFillTint="33"/>
          </w:tcPr>
          <w:p w14:paraId="3F40A782"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rsidRPr="00D74B84">
              <w:t>19%</w:t>
            </w:r>
          </w:p>
        </w:tc>
        <w:tc>
          <w:tcPr>
            <w:tcW w:w="1351" w:type="dxa"/>
            <w:shd w:val="clear" w:color="auto" w:fill="DBE5F1" w:themeFill="accent1" w:themeFillTint="33"/>
          </w:tcPr>
          <w:p w14:paraId="2E66E9D0"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rsidRPr="00D74B84">
              <w:t>54%</w:t>
            </w:r>
          </w:p>
        </w:tc>
        <w:tc>
          <w:tcPr>
            <w:tcW w:w="1350" w:type="dxa"/>
            <w:shd w:val="clear" w:color="auto" w:fill="DBE5F1" w:themeFill="accent1" w:themeFillTint="33"/>
          </w:tcPr>
          <w:p w14:paraId="3D24A442" w14:textId="77777777" w:rsidR="00591A2C" w:rsidRPr="00D74B84" w:rsidRDefault="00591A2C" w:rsidP="00B85231">
            <w:pPr>
              <w:keepNext/>
              <w:keepLines/>
              <w:cnfStyle w:val="000000100000" w:firstRow="0" w:lastRow="0" w:firstColumn="0" w:lastColumn="0" w:oddVBand="0" w:evenVBand="0" w:oddHBand="1" w:evenHBand="0" w:firstRowFirstColumn="0" w:firstRowLastColumn="0" w:lastRowFirstColumn="0" w:lastRowLastColumn="0"/>
            </w:pPr>
            <w:r>
              <w:t>35%</w:t>
            </w:r>
          </w:p>
        </w:tc>
        <w:tc>
          <w:tcPr>
            <w:tcW w:w="1351" w:type="dxa"/>
            <w:shd w:val="clear" w:color="auto" w:fill="DBE5F1" w:themeFill="accent1" w:themeFillTint="33"/>
          </w:tcPr>
          <w:p w14:paraId="41BE4DB2"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t>47</w:t>
            </w:r>
            <w:r w:rsidRPr="00D74B84">
              <w:t>%</w:t>
            </w:r>
          </w:p>
        </w:tc>
        <w:tc>
          <w:tcPr>
            <w:tcW w:w="1351" w:type="dxa"/>
            <w:shd w:val="clear" w:color="auto" w:fill="DBE5F1" w:themeFill="accent1" w:themeFillTint="33"/>
          </w:tcPr>
          <w:p w14:paraId="3CB777B6" w14:textId="77777777" w:rsidR="00591A2C" w:rsidRPr="00D74B84" w:rsidRDefault="00591A2C" w:rsidP="00B85231">
            <w:pPr>
              <w:keepNext/>
              <w:keepLines/>
              <w:cnfStyle w:val="000000100000" w:firstRow="0" w:lastRow="0" w:firstColumn="0" w:lastColumn="0" w:oddVBand="0" w:evenVBand="0" w:oddHBand="1" w:evenHBand="0" w:firstRowFirstColumn="0" w:firstRowLastColumn="0" w:lastRowFirstColumn="0" w:lastRowLastColumn="0"/>
            </w:pPr>
            <w:r>
              <w:t>10%</w:t>
            </w:r>
          </w:p>
        </w:tc>
      </w:tr>
      <w:tr w:rsidR="00591A2C" w:rsidRPr="00D74B84" w14:paraId="7E227193" w14:textId="77777777" w:rsidTr="00B85231">
        <w:tc>
          <w:tcPr>
            <w:cnfStyle w:val="001000000000" w:firstRow="0" w:lastRow="0" w:firstColumn="1" w:lastColumn="0" w:oddVBand="0" w:evenVBand="0" w:oddHBand="0" w:evenHBand="0" w:firstRowFirstColumn="0" w:firstRowLastColumn="0" w:lastRowFirstColumn="0" w:lastRowLastColumn="0"/>
            <w:tcW w:w="2263" w:type="dxa"/>
            <w:shd w:val="clear" w:color="auto" w:fill="B8CCE4" w:themeFill="accent1" w:themeFillTint="66"/>
          </w:tcPr>
          <w:p w14:paraId="54ADE187" w14:textId="74E9BE43" w:rsidR="00591A2C" w:rsidRPr="00B442CD" w:rsidRDefault="00B85231" w:rsidP="00B85231">
            <w:pPr>
              <w:keepNext/>
              <w:keepLines/>
              <w:rPr>
                <w:bCs w:val="0"/>
              </w:rPr>
            </w:pPr>
            <w:r>
              <w:rPr>
                <w:bCs w:val="0"/>
              </w:rPr>
              <w:t>W</w:t>
            </w:r>
            <w:r w:rsidR="00591A2C">
              <w:rPr>
                <w:bCs w:val="0"/>
              </w:rPr>
              <w:t>ho do not have a home</w:t>
            </w:r>
            <w:r w:rsidR="00591A2C" w:rsidRPr="00B442CD">
              <w:rPr>
                <w:bCs w:val="0"/>
              </w:rPr>
              <w:t xml:space="preserve"> internet connection </w:t>
            </w:r>
          </w:p>
        </w:tc>
        <w:tc>
          <w:tcPr>
            <w:tcW w:w="1350" w:type="dxa"/>
            <w:shd w:val="clear" w:color="auto" w:fill="B8CCE4" w:themeFill="accent1" w:themeFillTint="66"/>
          </w:tcPr>
          <w:p w14:paraId="2DB1EC09" w14:textId="77777777" w:rsidR="00591A2C" w:rsidRPr="00D74B84" w:rsidRDefault="00591A2C" w:rsidP="00B85231">
            <w:pPr>
              <w:keepNext/>
              <w:keepLines/>
              <w:cnfStyle w:val="000000000000" w:firstRow="0" w:lastRow="0" w:firstColumn="0" w:lastColumn="0" w:oddVBand="0" w:evenVBand="0" w:oddHBand="0" w:evenHBand="0" w:firstRowFirstColumn="0" w:firstRowLastColumn="0" w:lastRowFirstColumn="0" w:lastRowLastColumn="0"/>
            </w:pPr>
            <w:r>
              <w:t>36%</w:t>
            </w:r>
          </w:p>
        </w:tc>
        <w:tc>
          <w:tcPr>
            <w:tcW w:w="1351" w:type="dxa"/>
            <w:shd w:val="clear" w:color="auto" w:fill="B8CCE4" w:themeFill="accent1" w:themeFillTint="66"/>
          </w:tcPr>
          <w:p w14:paraId="1DB8CFA4" w14:textId="77777777" w:rsidR="00591A2C" w:rsidRPr="00D74B84" w:rsidRDefault="00591A2C" w:rsidP="00B85231">
            <w:pPr>
              <w:keepNext/>
              <w:keepLines/>
              <w:cnfStyle w:val="000000000000" w:firstRow="0" w:lastRow="0" w:firstColumn="0" w:lastColumn="0" w:oddVBand="0" w:evenVBand="0" w:oddHBand="0" w:evenHBand="0" w:firstRowFirstColumn="0" w:firstRowLastColumn="0" w:lastRowFirstColumn="0" w:lastRowLastColumn="0"/>
            </w:pPr>
            <w:r>
              <w:t>75%</w:t>
            </w:r>
          </w:p>
        </w:tc>
        <w:tc>
          <w:tcPr>
            <w:tcW w:w="1350" w:type="dxa"/>
            <w:shd w:val="clear" w:color="auto" w:fill="B8CCE4" w:themeFill="accent1" w:themeFillTint="66"/>
          </w:tcPr>
          <w:p w14:paraId="56028D29" w14:textId="77777777" w:rsidR="00591A2C" w:rsidRPr="00D74B84" w:rsidRDefault="00591A2C" w:rsidP="00B85231">
            <w:pPr>
              <w:keepNext/>
              <w:keepLines/>
              <w:cnfStyle w:val="000000000000" w:firstRow="0" w:lastRow="0" w:firstColumn="0" w:lastColumn="0" w:oddVBand="0" w:evenVBand="0" w:oddHBand="0" w:evenHBand="0" w:firstRowFirstColumn="0" w:firstRowLastColumn="0" w:lastRowFirstColumn="0" w:lastRowLastColumn="0"/>
            </w:pPr>
            <w:r>
              <w:t>47%</w:t>
            </w:r>
          </w:p>
        </w:tc>
        <w:tc>
          <w:tcPr>
            <w:tcW w:w="1351" w:type="dxa"/>
            <w:shd w:val="clear" w:color="auto" w:fill="B8CCE4" w:themeFill="accent1" w:themeFillTint="66"/>
          </w:tcPr>
          <w:p w14:paraId="3AEE3BC8" w14:textId="77777777" w:rsidR="00591A2C" w:rsidRPr="00D74B84" w:rsidRDefault="00591A2C" w:rsidP="00B85231">
            <w:pPr>
              <w:keepNext/>
              <w:keepLines/>
              <w:cnfStyle w:val="000000000000" w:firstRow="0" w:lastRow="0" w:firstColumn="0" w:lastColumn="0" w:oddVBand="0" w:evenVBand="0" w:oddHBand="0" w:evenHBand="0" w:firstRowFirstColumn="0" w:firstRowLastColumn="0" w:lastRowFirstColumn="0" w:lastRowLastColumn="0"/>
            </w:pPr>
            <w:r>
              <w:t>37%</w:t>
            </w:r>
          </w:p>
        </w:tc>
        <w:tc>
          <w:tcPr>
            <w:tcW w:w="1351" w:type="dxa"/>
            <w:shd w:val="clear" w:color="auto" w:fill="B8CCE4" w:themeFill="accent1" w:themeFillTint="66"/>
          </w:tcPr>
          <w:p w14:paraId="607831FC" w14:textId="77777777" w:rsidR="00591A2C" w:rsidRPr="00D74B84" w:rsidRDefault="00591A2C" w:rsidP="00B85231">
            <w:pPr>
              <w:keepNext/>
              <w:keepLines/>
              <w:cnfStyle w:val="000000000000" w:firstRow="0" w:lastRow="0" w:firstColumn="0" w:lastColumn="0" w:oddVBand="0" w:evenVBand="0" w:oddHBand="0" w:evenHBand="0" w:firstRowFirstColumn="0" w:firstRowLastColumn="0" w:lastRowFirstColumn="0" w:lastRowLastColumn="0"/>
            </w:pPr>
            <w:r>
              <w:t>22%</w:t>
            </w:r>
          </w:p>
        </w:tc>
      </w:tr>
      <w:tr w:rsidR="00591A2C" w:rsidRPr="00D74B84" w14:paraId="1B5D735E" w14:textId="77777777" w:rsidTr="00B852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FBD4B4" w:themeFill="accent6" w:themeFillTint="66"/>
          </w:tcPr>
          <w:p w14:paraId="0A6C1D3A" w14:textId="4635138A" w:rsidR="00591A2C" w:rsidRPr="00D74B84" w:rsidRDefault="00B85231" w:rsidP="00B85231">
            <w:pPr>
              <w:keepNext/>
              <w:keepLines/>
              <w:spacing w:after="160" w:line="259" w:lineRule="auto"/>
            </w:pPr>
            <w:r>
              <w:t>W</w:t>
            </w:r>
            <w:r w:rsidR="00591A2C" w:rsidRPr="00D74B84">
              <w:t>ho have never connected to the internet</w:t>
            </w:r>
          </w:p>
        </w:tc>
        <w:tc>
          <w:tcPr>
            <w:tcW w:w="1350" w:type="dxa"/>
            <w:shd w:val="clear" w:color="auto" w:fill="FBD4B4" w:themeFill="accent6" w:themeFillTint="66"/>
          </w:tcPr>
          <w:p w14:paraId="70A9E141"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rsidRPr="00D74B84">
              <w:t>71%</w:t>
            </w:r>
          </w:p>
        </w:tc>
        <w:tc>
          <w:tcPr>
            <w:tcW w:w="1351" w:type="dxa"/>
            <w:shd w:val="clear" w:color="auto" w:fill="FBD4B4" w:themeFill="accent6" w:themeFillTint="66"/>
          </w:tcPr>
          <w:p w14:paraId="40337ABE"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rsidRPr="00D74B84">
              <w:t>91%</w:t>
            </w:r>
          </w:p>
        </w:tc>
        <w:tc>
          <w:tcPr>
            <w:tcW w:w="1350" w:type="dxa"/>
            <w:shd w:val="clear" w:color="auto" w:fill="FBD4B4" w:themeFill="accent6" w:themeFillTint="66"/>
          </w:tcPr>
          <w:p w14:paraId="11F895E1" w14:textId="77777777" w:rsidR="00591A2C" w:rsidRPr="00D74B84" w:rsidRDefault="00591A2C" w:rsidP="00B85231">
            <w:pPr>
              <w:keepNext/>
              <w:keepLines/>
              <w:cnfStyle w:val="000000100000" w:firstRow="0" w:lastRow="0" w:firstColumn="0" w:lastColumn="0" w:oddVBand="0" w:evenVBand="0" w:oddHBand="1" w:evenHBand="0" w:firstRowFirstColumn="0" w:firstRowLastColumn="0" w:lastRowFirstColumn="0" w:lastRowLastColumn="0"/>
            </w:pPr>
            <w:r>
              <w:t>50%</w:t>
            </w:r>
          </w:p>
        </w:tc>
        <w:tc>
          <w:tcPr>
            <w:tcW w:w="1351" w:type="dxa"/>
            <w:shd w:val="clear" w:color="auto" w:fill="FBD4B4" w:themeFill="accent6" w:themeFillTint="66"/>
          </w:tcPr>
          <w:p w14:paraId="089A9DD3" w14:textId="77777777" w:rsidR="00591A2C" w:rsidRPr="00D74B84" w:rsidRDefault="00591A2C" w:rsidP="00B85231">
            <w:pPr>
              <w:keepNext/>
              <w:keepLines/>
              <w:spacing w:after="160" w:line="259" w:lineRule="auto"/>
              <w:cnfStyle w:val="000000100000" w:firstRow="0" w:lastRow="0" w:firstColumn="0" w:lastColumn="0" w:oddVBand="0" w:evenVBand="0" w:oddHBand="1" w:evenHBand="0" w:firstRowFirstColumn="0" w:firstRowLastColumn="0" w:lastRowFirstColumn="0" w:lastRowLastColumn="0"/>
            </w:pPr>
            <w:r w:rsidRPr="00D74B84">
              <w:t>79%</w:t>
            </w:r>
          </w:p>
        </w:tc>
        <w:tc>
          <w:tcPr>
            <w:tcW w:w="1351" w:type="dxa"/>
            <w:shd w:val="clear" w:color="auto" w:fill="FBD4B4" w:themeFill="accent6" w:themeFillTint="66"/>
          </w:tcPr>
          <w:p w14:paraId="2EA56D43" w14:textId="77777777" w:rsidR="00591A2C" w:rsidRPr="00D74B84" w:rsidRDefault="00591A2C" w:rsidP="00B85231">
            <w:pPr>
              <w:keepNext/>
              <w:keepLines/>
              <w:cnfStyle w:val="000000100000" w:firstRow="0" w:lastRow="0" w:firstColumn="0" w:lastColumn="0" w:oddVBand="0" w:evenVBand="0" w:oddHBand="1" w:evenHBand="0" w:firstRowFirstColumn="0" w:firstRowLastColumn="0" w:lastRowFirstColumn="0" w:lastRowLastColumn="0"/>
            </w:pPr>
            <w:r>
              <w:t>32%</w:t>
            </w:r>
          </w:p>
        </w:tc>
      </w:tr>
    </w:tbl>
    <w:p w14:paraId="6B1F9052" w14:textId="012C1C92" w:rsidR="00591A2C" w:rsidRDefault="00591A2C" w:rsidP="009402EF">
      <w:pPr>
        <w:keepNext/>
        <w:keepLines/>
        <w:spacing w:before="120" w:after="0"/>
        <w:rPr>
          <w:i/>
          <w:sz w:val="16"/>
          <w:szCs w:val="16"/>
        </w:rPr>
      </w:pPr>
      <w:r w:rsidRPr="007440EB">
        <w:rPr>
          <w:i/>
          <w:sz w:val="16"/>
          <w:szCs w:val="16"/>
        </w:rPr>
        <w:t>Source: Roy Morgan Single Source, June 2015</w:t>
      </w:r>
      <w:r w:rsidR="00B85231">
        <w:rPr>
          <w:i/>
          <w:sz w:val="16"/>
          <w:szCs w:val="16"/>
        </w:rPr>
        <w:t>.</w:t>
      </w:r>
    </w:p>
    <w:p w14:paraId="34F09C51" w14:textId="77777777" w:rsidR="00761B9E" w:rsidRPr="007440EB" w:rsidRDefault="00761B9E" w:rsidP="00761B9E">
      <w:pPr>
        <w:pStyle w:val="ACMASpaceaftertable"/>
      </w:pPr>
    </w:p>
    <w:p w14:paraId="0DA99317" w14:textId="55FF95A9" w:rsidR="00591A2C" w:rsidRPr="002B658C" w:rsidRDefault="00591A2C" w:rsidP="00761B9E">
      <w:r w:rsidRPr="002B658C">
        <w:t xml:space="preserve">The ACMA’s annual consumer survey explores the reasons </w:t>
      </w:r>
      <w:r w:rsidR="00AC7222">
        <w:t xml:space="preserve">why </w:t>
      </w:r>
      <w:r w:rsidRPr="002B658C">
        <w:t xml:space="preserve">Australians choose not to connect to the </w:t>
      </w:r>
      <w:r>
        <w:t>i</w:t>
      </w:r>
      <w:r w:rsidRPr="002B658C">
        <w:t>nternet. The main reasons Australians aged 18 and over are not connecting to the inte</w:t>
      </w:r>
      <w:r>
        <w:t>rnet are outlined in Figure 11</w:t>
      </w:r>
      <w:r w:rsidRPr="002B658C">
        <w:t xml:space="preserve">. </w:t>
      </w:r>
    </w:p>
    <w:p w14:paraId="3D7C8DA8" w14:textId="491D6011" w:rsidR="00591A2C" w:rsidRDefault="00591A2C" w:rsidP="00761B9E">
      <w:pPr>
        <w:rPr>
          <w:b/>
        </w:rPr>
      </w:pPr>
      <w:r w:rsidRPr="002B658C">
        <w:t xml:space="preserve">Overall, the main reason for Australians adults not </w:t>
      </w:r>
      <w:r w:rsidRPr="007440EB">
        <w:t xml:space="preserve">connecting to the internet is the lack of </w:t>
      </w:r>
      <w:r w:rsidR="00AC7222">
        <w:t xml:space="preserve">perceived </w:t>
      </w:r>
      <w:r w:rsidRPr="007440EB">
        <w:t>need</w:t>
      </w:r>
      <w:r w:rsidR="00B85231">
        <w:t xml:space="preserve"> (43 per cent of respondents). </w:t>
      </w:r>
      <w:r w:rsidRPr="007440EB">
        <w:t xml:space="preserve">This reason is even more prevalent for </w:t>
      </w:r>
      <w:r w:rsidRPr="005A6A70">
        <w:t xml:space="preserve">older Australians (aged </w:t>
      </w:r>
      <w:r w:rsidR="00B85231">
        <w:t>over 65</w:t>
      </w:r>
      <w:r w:rsidRPr="005A6A70">
        <w:t>), those living alone</w:t>
      </w:r>
      <w:r w:rsidR="00B85231">
        <w:t>,</w:t>
      </w:r>
      <w:r w:rsidRPr="005A6A70">
        <w:t xml:space="preserve"> and </w:t>
      </w:r>
      <w:r w:rsidR="00B85231">
        <w:t xml:space="preserve">those </w:t>
      </w:r>
      <w:r w:rsidRPr="005A6A70">
        <w:t xml:space="preserve">with </w:t>
      </w:r>
      <w:r>
        <w:t>a</w:t>
      </w:r>
      <w:r w:rsidRPr="005A6A70">
        <w:t xml:space="preserve">n income under </w:t>
      </w:r>
      <w:r w:rsidR="00B85231">
        <w:t>$</w:t>
      </w:r>
      <w:r w:rsidRPr="005A6A70">
        <w:t>50,000 per annum.</w:t>
      </w:r>
    </w:p>
    <w:p w14:paraId="6E5337A0" w14:textId="7A578C93" w:rsidR="00591A2C" w:rsidRPr="006663DA" w:rsidRDefault="00591A2C" w:rsidP="00B85231">
      <w:pPr>
        <w:pStyle w:val="ACMAFigureHeader"/>
        <w:keepNext/>
      </w:pPr>
      <w:r w:rsidRPr="006663DA">
        <w:lastRenderedPageBreak/>
        <w:t xml:space="preserve">Reasons for not having internet access at home </w:t>
      </w:r>
    </w:p>
    <w:p w14:paraId="0989EDEA" w14:textId="77777777" w:rsidR="00591A2C" w:rsidRDefault="00591A2C" w:rsidP="009402EF">
      <w:pPr>
        <w:spacing w:after="0" w:line="240" w:lineRule="auto"/>
        <w:rPr>
          <w:b/>
        </w:rPr>
      </w:pPr>
      <w:r>
        <w:rPr>
          <w:b/>
          <w:noProof/>
        </w:rPr>
        <w:drawing>
          <wp:inline distT="0" distB="0" distL="0" distR="0" wp14:anchorId="09563302" wp14:editId="4AEF86FA">
            <wp:extent cx="6353002" cy="374010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76601" cy="3753999"/>
                    </a:xfrm>
                    <a:prstGeom prst="rect">
                      <a:avLst/>
                    </a:prstGeom>
                    <a:noFill/>
                  </pic:spPr>
                </pic:pic>
              </a:graphicData>
            </a:graphic>
          </wp:inline>
        </w:drawing>
      </w:r>
    </w:p>
    <w:p w14:paraId="0B78D5FF" w14:textId="0BB8D393" w:rsidR="00591A2C" w:rsidRPr="00B85231" w:rsidRDefault="00591A2C" w:rsidP="009402EF">
      <w:pPr>
        <w:spacing w:before="120" w:after="0"/>
        <w:rPr>
          <w:i/>
          <w:sz w:val="16"/>
          <w:szCs w:val="16"/>
        </w:rPr>
      </w:pPr>
      <w:r w:rsidRPr="00B85231">
        <w:rPr>
          <w:i/>
          <w:sz w:val="16"/>
          <w:szCs w:val="16"/>
        </w:rPr>
        <w:t>Source: ACMA consumer survey</w:t>
      </w:r>
      <w:r w:rsidR="00B85231" w:rsidRPr="00B85231">
        <w:rPr>
          <w:i/>
          <w:sz w:val="16"/>
          <w:szCs w:val="16"/>
        </w:rPr>
        <w:t>,</w:t>
      </w:r>
      <w:r w:rsidRPr="00B85231">
        <w:rPr>
          <w:i/>
          <w:sz w:val="16"/>
          <w:szCs w:val="16"/>
        </w:rPr>
        <w:t xml:space="preserve"> May 2015</w:t>
      </w:r>
      <w:r w:rsidR="00B85231" w:rsidRPr="00B85231">
        <w:rPr>
          <w:i/>
          <w:sz w:val="16"/>
          <w:szCs w:val="16"/>
        </w:rPr>
        <w:t>.</w:t>
      </w:r>
    </w:p>
    <w:p w14:paraId="35B63CA7" w14:textId="77777777" w:rsidR="00761B9E" w:rsidRDefault="00761B9E" w:rsidP="00761B9E">
      <w:pPr>
        <w:pStyle w:val="ACMASpaceaftertable"/>
      </w:pPr>
    </w:p>
    <w:p w14:paraId="2B41A22B" w14:textId="77777777" w:rsidR="00591A2C" w:rsidRDefault="00591A2C" w:rsidP="00761B9E">
      <w:pPr>
        <w:pStyle w:val="Heading2"/>
      </w:pPr>
      <w:bookmarkStart w:id="16" w:name="_Toc457562329"/>
      <w:r>
        <w:t>Overall trends</w:t>
      </w:r>
      <w:bookmarkEnd w:id="16"/>
    </w:p>
    <w:p w14:paraId="0FF71AC0" w14:textId="5E43E4A5" w:rsidR="00591A2C" w:rsidRDefault="00591A2C" w:rsidP="00761B9E">
      <w:r>
        <w:t xml:space="preserve">Unsurprisingly, the ACMA’s research supports </w:t>
      </w:r>
      <w:r w:rsidRPr="00D67B39">
        <w:t>PC’s</w:t>
      </w:r>
      <w:r>
        <w:t xml:space="preserve"> observation that Australia’s telecommunications environment is rapidly evolving.</w:t>
      </w:r>
    </w:p>
    <w:p w14:paraId="15C9E409" w14:textId="4C995EBB" w:rsidR="00591A2C" w:rsidRDefault="00591A2C" w:rsidP="00761B9E">
      <w:r>
        <w:t>More Australians now have a fixed internet at home than have a traditional home phone, indicating a greater importance and demand for internet access. A significant and growing number of households have decided not to have a home phone at all,</w:t>
      </w:r>
      <w:r w:rsidR="00CD74FC">
        <w:t xml:space="preserve"> and instead rely</w:t>
      </w:r>
      <w:r>
        <w:t xml:space="preserve"> on a mobile phone for communications.</w:t>
      </w:r>
    </w:p>
    <w:p w14:paraId="7D3DEE27" w14:textId="77777777" w:rsidR="00591A2C" w:rsidRDefault="00591A2C" w:rsidP="00591A2C">
      <w:r>
        <w:t>Despite this level of take up of internet and mobile services, there remains a percentage of the Australian population who still rely on the traditional telephone service. Research shows that an estimated 1.1 million Australians have not been online or regularly access the internet.</w:t>
      </w:r>
    </w:p>
    <w:p w14:paraId="4BE659E9" w14:textId="4DF6EAC8" w:rsidR="00591A2C" w:rsidRDefault="00591A2C" w:rsidP="00761B9E">
      <w:r>
        <w:t>ACMA research also observes</w:t>
      </w:r>
      <w:r w:rsidRPr="00330326">
        <w:t xml:space="preserve"> variations in the take-up and use of different services across different demographics</w:t>
      </w:r>
      <w:r>
        <w:t>. Factors such as low income, education level, living outside urban areas, having an Aboriginal or Torres Strait Islander background</w:t>
      </w:r>
      <w:r w:rsidR="00B34871">
        <w:t>,</w:t>
      </w:r>
      <w:r>
        <w:t xml:space="preserve"> and living alone all correlate with a reduced take-up of internet services. </w:t>
      </w:r>
    </w:p>
    <w:p w14:paraId="5F141057" w14:textId="77777777" w:rsidR="00591A2C" w:rsidRDefault="00591A2C" w:rsidP="00591A2C">
      <w:pPr>
        <w:pStyle w:val="Heading1"/>
      </w:pPr>
      <w:bookmarkStart w:id="17" w:name="_Toc457317548"/>
      <w:bookmarkStart w:id="18" w:name="_Toc457562330"/>
      <w:r w:rsidRPr="00C3434D">
        <w:lastRenderedPageBreak/>
        <w:t>Considerations regarding potential changes to the USO regime</w:t>
      </w:r>
      <w:bookmarkEnd w:id="17"/>
      <w:bookmarkEnd w:id="18"/>
      <w:r>
        <w:t xml:space="preserve"> </w:t>
      </w:r>
      <w:bookmarkStart w:id="19" w:name="_Toc457317549"/>
    </w:p>
    <w:p w14:paraId="1FC3CB80" w14:textId="77777777" w:rsidR="00591A2C" w:rsidRDefault="00591A2C" w:rsidP="00761B9E">
      <w:pPr>
        <w:pStyle w:val="Heading2"/>
      </w:pPr>
      <w:bookmarkStart w:id="20" w:name="_Toc457562331"/>
      <w:r w:rsidRPr="00F47683">
        <w:t>Historical context and drivers fo</w:t>
      </w:r>
      <w:r>
        <w:t xml:space="preserve">r Australia’s current universal </w:t>
      </w:r>
      <w:r w:rsidRPr="00F47683">
        <w:t>services policy</w:t>
      </w:r>
      <w:bookmarkEnd w:id="19"/>
      <w:bookmarkEnd w:id="20"/>
    </w:p>
    <w:p w14:paraId="3562A493" w14:textId="77777777" w:rsidR="00591A2C" w:rsidRDefault="00591A2C" w:rsidP="00761B9E">
      <w:r>
        <w:t>Universal service obligations (and universal service policies generally) across the world have predominately been concerned with achieving outcomes related to accessibility, availability and affordability.</w:t>
      </w:r>
    </w:p>
    <w:p w14:paraId="24506249" w14:textId="3263D43C" w:rsidR="00591A2C" w:rsidRPr="00F22B56" w:rsidRDefault="00591A2C" w:rsidP="00761B9E">
      <w:pPr>
        <w:spacing w:after="80"/>
        <w:rPr>
          <w:highlight w:val="yellow"/>
        </w:rPr>
      </w:pPr>
      <w:r>
        <w:t>Australia’s existing USO has been one in a suite of interventions that have been used to deliver outcomes against these objectives. A number of other interventions</w:t>
      </w:r>
      <w:r w:rsidR="00CD74FC">
        <w:t xml:space="preserve"> have also been implemented by g</w:t>
      </w:r>
      <w:r>
        <w:t>overnment to support these outcomes. These interventions have taken a variety of forms</w:t>
      </w:r>
      <w:r w:rsidR="00CD74FC">
        <w:t>,</w:t>
      </w:r>
      <w:r>
        <w:t xml:space="preserve"> including regulation, contractual obligations and direct subsidies. For example: </w:t>
      </w:r>
    </w:p>
    <w:p w14:paraId="3AD75DEA" w14:textId="3AD1E0BB" w:rsidR="00591A2C" w:rsidRDefault="00CD74FC" w:rsidP="00761B9E">
      <w:pPr>
        <w:pStyle w:val="ListBullet"/>
      </w:pPr>
      <w:r>
        <w:t>s</w:t>
      </w:r>
      <w:r w:rsidR="00591A2C">
        <w:t xml:space="preserve">ervice standards such as the </w:t>
      </w:r>
      <w:hyperlink r:id="rId45" w:history="1">
        <w:r w:rsidR="00591A2C" w:rsidRPr="004C10A6">
          <w:rPr>
            <w:rStyle w:val="Hyperlink"/>
          </w:rPr>
          <w:t>CSG</w:t>
        </w:r>
      </w:hyperlink>
      <w:r w:rsidR="00591A2C">
        <w:t xml:space="preserve">, </w:t>
      </w:r>
      <w:hyperlink r:id="rId46" w:history="1">
        <w:r w:rsidR="00591A2C" w:rsidRPr="004C10A6">
          <w:rPr>
            <w:rStyle w:val="Hyperlink"/>
          </w:rPr>
          <w:t>Priority Assistance</w:t>
        </w:r>
      </w:hyperlink>
      <w:r w:rsidR="00591A2C">
        <w:t xml:space="preserve">, </w:t>
      </w:r>
      <w:hyperlink r:id="rId47" w:history="1">
        <w:r w:rsidR="00591A2C" w:rsidRPr="004C10A6">
          <w:rPr>
            <w:rStyle w:val="Hyperlink"/>
          </w:rPr>
          <w:t>National Reliability Framework</w:t>
        </w:r>
      </w:hyperlink>
      <w:r w:rsidR="00591A2C">
        <w:t xml:space="preserve"> support availability outcomes </w:t>
      </w:r>
    </w:p>
    <w:p w14:paraId="733ABA37" w14:textId="4C12776B" w:rsidR="00591A2C" w:rsidRDefault="00CD74FC" w:rsidP="00761B9E">
      <w:pPr>
        <w:pStyle w:val="ListBullet"/>
      </w:pPr>
      <w:r>
        <w:t>i</w:t>
      </w:r>
      <w:r w:rsidR="00591A2C">
        <w:t>nterventions on the price of services</w:t>
      </w:r>
      <w:r>
        <w:t>,</w:t>
      </w:r>
      <w:r w:rsidR="00591A2C">
        <w:t xml:space="preserve"> such as price controls, </w:t>
      </w:r>
      <w:hyperlink r:id="rId48" w:history="1">
        <w:r w:rsidR="00591A2C" w:rsidRPr="00830980">
          <w:rPr>
            <w:rStyle w:val="Hyperlink"/>
          </w:rPr>
          <w:t>untimed local calls</w:t>
        </w:r>
      </w:hyperlink>
      <w:r w:rsidR="00591A2C">
        <w:t xml:space="preserve">, </w:t>
      </w:r>
      <w:r w:rsidR="00591A2C" w:rsidRPr="004C10A6">
        <w:t>itemised billing</w:t>
      </w:r>
      <w:r w:rsidR="00591A2C">
        <w:t xml:space="preserve"> and Centrelink telephone allowance </w:t>
      </w:r>
      <w:r>
        <w:t>support affordability outcomes</w:t>
      </w:r>
    </w:p>
    <w:p w14:paraId="2F06B283" w14:textId="21808A16" w:rsidR="00591A2C" w:rsidRDefault="005F3BB4" w:rsidP="00761B9E">
      <w:pPr>
        <w:pStyle w:val="ListBulletLast"/>
      </w:pPr>
      <w:hyperlink r:id="rId49" w:history="1">
        <w:r w:rsidR="00591A2C" w:rsidRPr="00050E05">
          <w:rPr>
            <w:rStyle w:val="Hyperlink"/>
          </w:rPr>
          <w:t>National Relay Service</w:t>
        </w:r>
      </w:hyperlink>
      <w:r w:rsidR="00591A2C">
        <w:t xml:space="preserve">, </w:t>
      </w:r>
      <w:hyperlink r:id="rId50" w:history="1">
        <w:r w:rsidR="00591A2C" w:rsidRPr="00050E05">
          <w:rPr>
            <w:rStyle w:val="Hyperlink"/>
          </w:rPr>
          <w:t>Disability Equipment Program</w:t>
        </w:r>
      </w:hyperlink>
      <w:r w:rsidR="00591A2C">
        <w:t xml:space="preserve"> and the </w:t>
      </w:r>
      <w:hyperlink r:id="rId51" w:history="1">
        <w:r w:rsidR="00CD74FC">
          <w:rPr>
            <w:rStyle w:val="Hyperlink"/>
          </w:rPr>
          <w:t>Emergency Call Service</w:t>
        </w:r>
        <w:r w:rsidR="00CD74FC" w:rsidRPr="00CD74FC">
          <w:t xml:space="preserve"> </w:t>
        </w:r>
      </w:hyperlink>
      <w:r w:rsidR="00CD74FC" w:rsidRPr="00CD74FC">
        <w:t>support</w:t>
      </w:r>
      <w:r w:rsidR="00591A2C">
        <w:t xml:space="preserve"> accessibility outcomes.  </w:t>
      </w:r>
    </w:p>
    <w:p w14:paraId="2EFB2009" w14:textId="42295A91" w:rsidR="00591A2C" w:rsidRPr="00881A0E" w:rsidRDefault="00591A2C" w:rsidP="00CD74FC">
      <w:r w:rsidRPr="00881A0E">
        <w:t xml:space="preserve">Whilst the focus </w:t>
      </w:r>
      <w:r w:rsidR="0092693A">
        <w:t xml:space="preserve">of Australia’s USO </w:t>
      </w:r>
      <w:r w:rsidRPr="00881A0E">
        <w:t xml:space="preserve">has </w:t>
      </w:r>
      <w:r w:rsidR="0092693A">
        <w:t xml:space="preserve">mostly </w:t>
      </w:r>
      <w:r w:rsidRPr="00881A0E">
        <w:t xml:space="preserve">been on the </w:t>
      </w:r>
      <w:r w:rsidRPr="00881A0E">
        <w:rPr>
          <w:i/>
        </w:rPr>
        <w:t>availability</w:t>
      </w:r>
      <w:r w:rsidRPr="00881A0E">
        <w:t xml:space="preserve"> objective, the payphones element of the USO </w:t>
      </w:r>
      <w:r>
        <w:t xml:space="preserve">also includes </w:t>
      </w:r>
      <w:r w:rsidRPr="00881A0E">
        <w:t>a</w:t>
      </w:r>
      <w:r>
        <w:t xml:space="preserve"> relatively large focus on</w:t>
      </w:r>
      <w:r w:rsidRPr="00881A0E">
        <w:t xml:space="preserve"> meeting </w:t>
      </w:r>
      <w:r w:rsidRPr="00881A0E">
        <w:rPr>
          <w:i/>
        </w:rPr>
        <w:t xml:space="preserve">accessibility </w:t>
      </w:r>
      <w:r w:rsidRPr="00CD74FC">
        <w:t>and</w:t>
      </w:r>
      <w:r w:rsidRPr="00881A0E">
        <w:rPr>
          <w:i/>
        </w:rPr>
        <w:t xml:space="preserve"> affordability</w:t>
      </w:r>
      <w:r w:rsidRPr="00881A0E">
        <w:t xml:space="preserve"> objectives. Traditionally</w:t>
      </w:r>
      <w:r w:rsidR="00CD74FC">
        <w:t>,</w:t>
      </w:r>
      <w:r w:rsidRPr="00881A0E">
        <w:t xml:space="preserve"> payphones provided public access to telecommunications, with price caps supporting affordable calls. </w:t>
      </w:r>
    </w:p>
    <w:p w14:paraId="7308C7F1" w14:textId="6FB86A31" w:rsidR="00591A2C" w:rsidRDefault="00591A2C" w:rsidP="00591A2C">
      <w:pPr>
        <w:spacing w:before="240"/>
      </w:pPr>
      <w:r w:rsidRPr="007F74B4">
        <w:t>In addition, the objective of an STS being ‘reasonably available’</w:t>
      </w:r>
      <w:r w:rsidRPr="007F74B4">
        <w:rPr>
          <w:rStyle w:val="FootnoteReference"/>
        </w:rPr>
        <w:footnoteReference w:id="3"/>
      </w:r>
      <w:r w:rsidRPr="007F74B4">
        <w:t xml:space="preserve"> has also imported some expectations in relation to affordability and accessibility. An example of this can be seen with the re</w:t>
      </w:r>
      <w:r w:rsidR="00CD74FC">
        <w:t>quirement that CSPs provide end-</w:t>
      </w:r>
      <w:r w:rsidRPr="007F74B4">
        <w:t>user access to</w:t>
      </w:r>
      <w:r w:rsidRPr="00407A90">
        <w:t xml:space="preserve"> 000 and 112, thereby fulfilling an important public safety and accessibility objective.</w:t>
      </w:r>
      <w:r>
        <w:t xml:space="preserve"> </w:t>
      </w:r>
    </w:p>
    <w:p w14:paraId="32EB5E1D" w14:textId="55E3C49E" w:rsidR="00591A2C" w:rsidRDefault="00591A2C" w:rsidP="00761B9E">
      <w:r>
        <w:t xml:space="preserve">Table 3 below distinguishes between the key consumer safeguards </w:t>
      </w:r>
      <w:r w:rsidR="00CD74FC">
        <w:t>that</w:t>
      </w:r>
      <w:r>
        <w:t xml:space="preserve"> all CSPs are required to provide</w:t>
      </w:r>
      <w:r w:rsidR="00CD74FC">
        <w:t>,</w:t>
      </w:r>
      <w:r>
        <w:t xml:space="preserve"> and those </w:t>
      </w:r>
      <w:r w:rsidR="003940A0">
        <w:t xml:space="preserve">that </w:t>
      </w:r>
      <w:r>
        <w:t xml:space="preserve">apply only to Telstra </w:t>
      </w:r>
      <w:r w:rsidR="00CD74FC">
        <w:t>as the</w:t>
      </w:r>
      <w:r>
        <w:t xml:space="preserve"> PUSP. </w:t>
      </w:r>
    </w:p>
    <w:p w14:paraId="0A86583A" w14:textId="3ADED770" w:rsidR="00591A2C" w:rsidRPr="00F47683" w:rsidRDefault="00591A2C" w:rsidP="00CD74FC">
      <w:pPr>
        <w:pStyle w:val="ACMATableHeader"/>
        <w:keepNext/>
      </w:pPr>
      <w:r w:rsidRPr="00F47683">
        <w:lastRenderedPageBreak/>
        <w:t xml:space="preserve">Consumer </w:t>
      </w:r>
      <w:r w:rsidRPr="00761B9E">
        <w:t>safeguards</w:t>
      </w:r>
      <w:r w:rsidRPr="00F47683">
        <w:t xml:space="preserve"> </w:t>
      </w:r>
      <w:r>
        <w:t>pro</w:t>
      </w:r>
      <w:r w:rsidR="00CD74FC">
        <w:t>vided by CSPs,</w:t>
      </w:r>
      <w:r>
        <w:t xml:space="preserve"> </w:t>
      </w:r>
      <w:r w:rsidRPr="00F47683">
        <w:t xml:space="preserve">and safeguards </w:t>
      </w:r>
      <w:r>
        <w:t>provide</w:t>
      </w:r>
      <w:r w:rsidR="00CD74FC">
        <w:t>d</w:t>
      </w:r>
      <w:r>
        <w:t xml:space="preserve"> by the </w:t>
      </w:r>
      <w:r w:rsidRPr="00F47683">
        <w:t>PUSP</w:t>
      </w:r>
      <w:r>
        <w:t xml:space="preserve"> (Telstra)</w:t>
      </w:r>
    </w:p>
    <w:tbl>
      <w:tblPr>
        <w:tblStyle w:val="TableGrid"/>
        <w:tblW w:w="0" w:type="auto"/>
        <w:tblCellMar>
          <w:top w:w="57" w:type="dxa"/>
          <w:bottom w:w="57" w:type="dxa"/>
        </w:tblCellMar>
        <w:tblLook w:val="04A0" w:firstRow="1" w:lastRow="0" w:firstColumn="1" w:lastColumn="0" w:noHBand="0" w:noVBand="1"/>
      </w:tblPr>
      <w:tblGrid>
        <w:gridCol w:w="3803"/>
        <w:gridCol w:w="3858"/>
      </w:tblGrid>
      <w:tr w:rsidR="00591A2C" w14:paraId="505F5512" w14:textId="77777777" w:rsidTr="00CD74FC">
        <w:tc>
          <w:tcPr>
            <w:tcW w:w="3803" w:type="dxa"/>
            <w:shd w:val="clear" w:color="auto" w:fill="404040" w:themeFill="text1" w:themeFillTint="BF"/>
            <w:vAlign w:val="center"/>
          </w:tcPr>
          <w:p w14:paraId="5EF36CCE" w14:textId="77777777" w:rsidR="00591A2C" w:rsidRPr="00805BAB" w:rsidRDefault="00591A2C" w:rsidP="00CD74FC">
            <w:pPr>
              <w:keepNext/>
              <w:spacing w:after="0"/>
              <w:rPr>
                <w:b/>
              </w:rPr>
            </w:pPr>
            <w:r w:rsidRPr="00CD74FC">
              <w:rPr>
                <w:b/>
                <w:color w:val="FFFFFF" w:themeColor="background1"/>
              </w:rPr>
              <w:t xml:space="preserve">PUSP </w:t>
            </w:r>
          </w:p>
        </w:tc>
        <w:tc>
          <w:tcPr>
            <w:tcW w:w="3858" w:type="dxa"/>
            <w:shd w:val="clear" w:color="auto" w:fill="404040" w:themeFill="text1" w:themeFillTint="BF"/>
            <w:vAlign w:val="center"/>
          </w:tcPr>
          <w:p w14:paraId="3BA1FC78" w14:textId="77777777" w:rsidR="00591A2C" w:rsidRPr="00805BAB" w:rsidRDefault="00591A2C" w:rsidP="00CD74FC">
            <w:pPr>
              <w:keepNext/>
              <w:spacing w:after="0"/>
              <w:rPr>
                <w:b/>
              </w:rPr>
            </w:pPr>
            <w:r w:rsidRPr="00CD74FC">
              <w:rPr>
                <w:b/>
                <w:color w:val="FFFFFF" w:themeColor="background1"/>
              </w:rPr>
              <w:t>CSPs</w:t>
            </w:r>
          </w:p>
        </w:tc>
      </w:tr>
      <w:tr w:rsidR="00910E2B" w14:paraId="75956E6B" w14:textId="77777777" w:rsidTr="00154CAF">
        <w:trPr>
          <w:trHeight w:val="357"/>
        </w:trPr>
        <w:tc>
          <w:tcPr>
            <w:tcW w:w="7661" w:type="dxa"/>
            <w:gridSpan w:val="2"/>
            <w:shd w:val="clear" w:color="auto" w:fill="A6A6A6" w:themeFill="background1" w:themeFillShade="A6"/>
            <w:vAlign w:val="center"/>
          </w:tcPr>
          <w:p w14:paraId="44A7D4A4" w14:textId="323A722C" w:rsidR="00910E2B" w:rsidRPr="00CD74FC" w:rsidRDefault="00910E2B" w:rsidP="00CD74FC">
            <w:pPr>
              <w:keepNext/>
              <w:spacing w:after="0"/>
              <w:rPr>
                <w:b/>
                <w:color w:val="FFFFFF" w:themeColor="background1"/>
              </w:rPr>
            </w:pPr>
            <w:r>
              <w:rPr>
                <w:b/>
                <w:color w:val="FFFFFF" w:themeColor="background1"/>
              </w:rPr>
              <w:t>Standard Telephone Service</w:t>
            </w:r>
          </w:p>
        </w:tc>
      </w:tr>
      <w:tr w:rsidR="00591A2C" w14:paraId="4D427E1B" w14:textId="77777777" w:rsidTr="00CD74FC">
        <w:tc>
          <w:tcPr>
            <w:tcW w:w="3803" w:type="dxa"/>
          </w:tcPr>
          <w:p w14:paraId="744F6655" w14:textId="77777777" w:rsidR="00591A2C" w:rsidRDefault="00591A2C" w:rsidP="00CD74FC">
            <w:pPr>
              <w:pStyle w:val="ListBullet"/>
              <w:keepNext/>
            </w:pPr>
            <w:r>
              <w:t>Retail provider of last resort</w:t>
            </w:r>
          </w:p>
          <w:p w14:paraId="2515C012" w14:textId="77777777" w:rsidR="00591A2C" w:rsidRDefault="00591A2C" w:rsidP="00CD74FC">
            <w:pPr>
              <w:pStyle w:val="ListBullet"/>
              <w:keepNext/>
            </w:pPr>
            <w:r>
              <w:t xml:space="preserve">Standard telephone handset on request </w:t>
            </w:r>
          </w:p>
          <w:p w14:paraId="4E762950" w14:textId="77777777" w:rsidR="00591A2C" w:rsidRDefault="00591A2C" w:rsidP="00CD74FC">
            <w:pPr>
              <w:pStyle w:val="ListBullet"/>
              <w:keepNext/>
            </w:pPr>
            <w:r>
              <w:t xml:space="preserve">Copper continuity obligation (TUSOPA Agreement) </w:t>
            </w:r>
          </w:p>
          <w:p w14:paraId="261BB370" w14:textId="77777777" w:rsidR="00591A2C" w:rsidRDefault="00591A2C" w:rsidP="00CD74FC">
            <w:pPr>
              <w:pStyle w:val="ListBullet"/>
              <w:keepNext/>
            </w:pPr>
            <w:r>
              <w:t xml:space="preserve">National Reliability Framework </w:t>
            </w:r>
          </w:p>
          <w:p w14:paraId="4298E29A" w14:textId="7D338EEE" w:rsidR="00591A2C" w:rsidRDefault="00591A2C" w:rsidP="00CD74FC">
            <w:pPr>
              <w:pStyle w:val="ListBullet"/>
              <w:keepNext/>
            </w:pPr>
            <w:r>
              <w:t>Price controls (historical)</w:t>
            </w:r>
          </w:p>
        </w:tc>
        <w:tc>
          <w:tcPr>
            <w:tcW w:w="3858" w:type="dxa"/>
          </w:tcPr>
          <w:p w14:paraId="7E39F832" w14:textId="77777777" w:rsidR="00591A2C" w:rsidRDefault="00591A2C" w:rsidP="00CD74FC">
            <w:pPr>
              <w:pStyle w:val="ListBullet"/>
              <w:keepNext/>
            </w:pPr>
            <w:r>
              <w:t xml:space="preserve">Option to provide standard telephone service </w:t>
            </w:r>
          </w:p>
          <w:p w14:paraId="10F39698" w14:textId="77777777" w:rsidR="00591A2C" w:rsidRDefault="00591A2C" w:rsidP="00CD74FC">
            <w:pPr>
              <w:pStyle w:val="ListBullet"/>
              <w:keepNext/>
            </w:pPr>
            <w:r>
              <w:t xml:space="preserve">Untimed local call option </w:t>
            </w:r>
          </w:p>
          <w:p w14:paraId="6BE50594" w14:textId="13E82913" w:rsidR="00591A2C" w:rsidRDefault="00591A2C" w:rsidP="00CD74FC">
            <w:pPr>
              <w:pStyle w:val="ListBullet"/>
              <w:keepNext/>
            </w:pPr>
            <w:r>
              <w:t>End</w:t>
            </w:r>
            <w:r w:rsidR="00D67B39">
              <w:t>-</w:t>
            </w:r>
            <w:r>
              <w:t xml:space="preserve">user access to 000 or 112 </w:t>
            </w:r>
          </w:p>
          <w:p w14:paraId="4C140017" w14:textId="60E4DC11" w:rsidR="00591A2C" w:rsidRDefault="00591A2C" w:rsidP="00CD74FC">
            <w:pPr>
              <w:pStyle w:val="ListBullet"/>
              <w:keepNext/>
            </w:pPr>
            <w:r>
              <w:t xml:space="preserve">Priority Assistance service provided or </w:t>
            </w:r>
            <w:r w:rsidRPr="009E2584">
              <w:t xml:space="preserve">inform customers of the names of carriage service providers/carriers </w:t>
            </w:r>
            <w:r w:rsidR="00D67B39">
              <w:t>that</w:t>
            </w:r>
            <w:r w:rsidR="00D67B39" w:rsidRPr="009E2584">
              <w:t xml:space="preserve"> </w:t>
            </w:r>
            <w:r w:rsidRPr="009E2584">
              <w:t>do</w:t>
            </w:r>
          </w:p>
          <w:p w14:paraId="36545FFA" w14:textId="46DB67F8" w:rsidR="00591A2C" w:rsidRDefault="00591A2C" w:rsidP="00CD74FC">
            <w:pPr>
              <w:pStyle w:val="ListBullet"/>
              <w:keepNext/>
            </w:pPr>
            <w:r>
              <w:t>Compliance with TCP Code (billing, complaints</w:t>
            </w:r>
            <w:r w:rsidR="00D67B39">
              <w:t>-</w:t>
            </w:r>
            <w:r>
              <w:t xml:space="preserve">handling) </w:t>
            </w:r>
          </w:p>
          <w:p w14:paraId="5DF2C9B1" w14:textId="77777777" w:rsidR="00591A2C" w:rsidRDefault="00591A2C" w:rsidP="00CD74FC">
            <w:pPr>
              <w:pStyle w:val="ListBullet"/>
              <w:keepNext/>
            </w:pPr>
            <w:r>
              <w:t xml:space="preserve">TIO scheme </w:t>
            </w:r>
          </w:p>
          <w:p w14:paraId="46307D44" w14:textId="77777777" w:rsidR="00591A2C" w:rsidRDefault="00591A2C" w:rsidP="00CD74FC">
            <w:pPr>
              <w:pStyle w:val="ListBullet"/>
              <w:keepNext/>
            </w:pPr>
            <w:r>
              <w:t>Compliance with CSG benchmarks or customer agreement to wavier</w:t>
            </w:r>
          </w:p>
        </w:tc>
      </w:tr>
      <w:tr w:rsidR="00910E2B" w:rsidRPr="00910E2B" w14:paraId="24833C84" w14:textId="77777777" w:rsidTr="00186190">
        <w:tc>
          <w:tcPr>
            <w:tcW w:w="7661" w:type="dxa"/>
            <w:gridSpan w:val="2"/>
            <w:shd w:val="clear" w:color="auto" w:fill="A6A6A6" w:themeFill="background1" w:themeFillShade="A6"/>
          </w:tcPr>
          <w:p w14:paraId="1F8DF881" w14:textId="0C493CD2" w:rsidR="00910E2B" w:rsidRPr="00910E2B" w:rsidRDefault="00910E2B" w:rsidP="00910E2B">
            <w:pPr>
              <w:keepNext/>
              <w:spacing w:after="0"/>
              <w:rPr>
                <w:b/>
                <w:color w:val="FFFFFF" w:themeColor="background1"/>
              </w:rPr>
            </w:pPr>
            <w:r w:rsidRPr="00910E2B">
              <w:rPr>
                <w:b/>
                <w:color w:val="FFFFFF" w:themeColor="background1"/>
              </w:rPr>
              <w:t>Payphones</w:t>
            </w:r>
          </w:p>
        </w:tc>
      </w:tr>
      <w:tr w:rsidR="00591A2C" w14:paraId="55882F35" w14:textId="77777777" w:rsidTr="00CD74FC">
        <w:tc>
          <w:tcPr>
            <w:tcW w:w="3803" w:type="dxa"/>
          </w:tcPr>
          <w:p w14:paraId="0AECBAF0" w14:textId="77777777" w:rsidR="00591A2C" w:rsidRDefault="00591A2C" w:rsidP="00CD74FC">
            <w:pPr>
              <w:pStyle w:val="ListBullet"/>
              <w:keepNext/>
            </w:pPr>
            <w:r>
              <w:t xml:space="preserve">Payphone standards and benchmarks </w:t>
            </w:r>
          </w:p>
          <w:p w14:paraId="36CC3698" w14:textId="77777777" w:rsidR="00591A2C" w:rsidRDefault="00591A2C" w:rsidP="00CD74FC">
            <w:pPr>
              <w:pStyle w:val="ListBullet"/>
              <w:keepNext/>
            </w:pPr>
            <w:r>
              <w:t>Payphones removal obligations (public consultation)</w:t>
            </w:r>
          </w:p>
        </w:tc>
        <w:tc>
          <w:tcPr>
            <w:tcW w:w="3858" w:type="dxa"/>
          </w:tcPr>
          <w:p w14:paraId="535741E7" w14:textId="77777777" w:rsidR="00591A2C" w:rsidRDefault="00591A2C" w:rsidP="00CD74FC">
            <w:pPr>
              <w:pStyle w:val="ListBullet"/>
              <w:keepNext/>
              <w:numPr>
                <w:ilvl w:val="0"/>
                <w:numId w:val="0"/>
              </w:numPr>
              <w:ind w:left="295"/>
            </w:pPr>
          </w:p>
        </w:tc>
      </w:tr>
    </w:tbl>
    <w:p w14:paraId="6487DA7F" w14:textId="77777777" w:rsidR="00591A2C" w:rsidRDefault="00591A2C" w:rsidP="00761B9E">
      <w:pPr>
        <w:pStyle w:val="ACMASpaceaftertable"/>
      </w:pPr>
    </w:p>
    <w:p w14:paraId="4AD61699" w14:textId="41C53D00" w:rsidR="00591A2C" w:rsidRDefault="00591A2C" w:rsidP="00761B9E">
      <w:r>
        <w:t>Market reforms to promote an open competitive environment and most rec</w:t>
      </w:r>
      <w:r w:rsidR="00CD74FC">
        <w:t>ently, the g</w:t>
      </w:r>
      <w:r>
        <w:t xml:space="preserve">overnment’s investment in the </w:t>
      </w:r>
      <w:r w:rsidR="00CD74FC">
        <w:t>NBN</w:t>
      </w:r>
      <w:r>
        <w:t xml:space="preserve"> </w:t>
      </w:r>
      <w:r w:rsidR="001D4A88">
        <w:t xml:space="preserve">network </w:t>
      </w:r>
      <w:r>
        <w:t xml:space="preserve">also supplement the USO to provide Australians with access to a higher range of services and choice. These have also been supplemented over a </w:t>
      </w:r>
      <w:r w:rsidR="00CD74FC">
        <w:t>number of years by Federal and state/t</w:t>
      </w:r>
      <w:r>
        <w:t>erritory funding programs to improve communications infrastructure</w:t>
      </w:r>
      <w:r w:rsidR="003940A0">
        <w:t>,</w:t>
      </w:r>
      <w:r>
        <w:t xml:space="preserve"> such as the Mobile Black Spot Programme. </w:t>
      </w:r>
    </w:p>
    <w:p w14:paraId="122DCAF8" w14:textId="5439AEBD" w:rsidR="00591A2C" w:rsidRPr="00071CB4" w:rsidRDefault="00591A2C" w:rsidP="00761B9E">
      <w:pPr>
        <w:spacing w:after="80"/>
      </w:pPr>
      <w:r>
        <w:t xml:space="preserve">The ACMA notes that one of </w:t>
      </w:r>
      <w:r w:rsidR="008F38BC">
        <w:t xml:space="preserve">the </w:t>
      </w:r>
      <w:r>
        <w:t>historical characteristics of the telecommunications sector was relative stability. That stability no longer exists but continues to be assumed in the current USO regime. Such stability was evident in:</w:t>
      </w:r>
    </w:p>
    <w:p w14:paraId="01D04857" w14:textId="2664664C" w:rsidR="00591A2C" w:rsidRPr="00071CB4" w:rsidRDefault="00591A2C" w:rsidP="00761B9E">
      <w:pPr>
        <w:pStyle w:val="ListBullet"/>
      </w:pPr>
      <w:r>
        <w:t>consumer expectations</w:t>
      </w:r>
      <w:r w:rsidR="00CD74FC">
        <w:t>—</w:t>
      </w:r>
      <w:r>
        <w:t xml:space="preserve">consumers had </w:t>
      </w:r>
      <w:r w:rsidRPr="00071CB4">
        <w:t>relatively stable expectation</w:t>
      </w:r>
      <w:r>
        <w:t>s</w:t>
      </w:r>
      <w:r w:rsidRPr="00071CB4">
        <w:t xml:space="preserve"> </w:t>
      </w:r>
      <w:r>
        <w:t xml:space="preserve">of </w:t>
      </w:r>
      <w:r w:rsidRPr="00071CB4">
        <w:t xml:space="preserve">minimum service </w:t>
      </w:r>
      <w:r>
        <w:t>levels to be provided by their telecommunications services</w:t>
      </w:r>
      <w:r w:rsidRPr="00071CB4">
        <w:t xml:space="preserve"> </w:t>
      </w:r>
      <w:r>
        <w:t xml:space="preserve">via </w:t>
      </w:r>
      <w:r w:rsidRPr="00071CB4">
        <w:t xml:space="preserve">a fixed, voice service with </w:t>
      </w:r>
      <w:r>
        <w:t xml:space="preserve">certain minimum </w:t>
      </w:r>
      <w:r w:rsidRPr="00071CB4">
        <w:t>performance standards</w:t>
      </w:r>
    </w:p>
    <w:p w14:paraId="2E73E695" w14:textId="6730EE12" w:rsidR="00591A2C" w:rsidRPr="00071CB4" w:rsidRDefault="00591A2C" w:rsidP="00761B9E">
      <w:pPr>
        <w:pStyle w:val="ListBullet"/>
      </w:pPr>
      <w:r w:rsidRPr="00071CB4">
        <w:t>network structure</w:t>
      </w:r>
      <w:r w:rsidR="00CD74FC">
        <w:t>—</w:t>
      </w:r>
      <w:r w:rsidRPr="00071CB4">
        <w:t xml:space="preserve">Telstra’s legacy copper network </w:t>
      </w:r>
      <w:r>
        <w:t>(the sole network prior to the advent of telecommunications competition</w:t>
      </w:r>
      <w:r w:rsidR="00CD74FC">
        <w:t>,</w:t>
      </w:r>
      <w:r>
        <w:t xml:space="preserve"> and still by far the largest fixed network) delivered a</w:t>
      </w:r>
      <w:r w:rsidRPr="00071CB4">
        <w:t xml:space="preserve"> relatively stable fixed network structure</w:t>
      </w:r>
    </w:p>
    <w:p w14:paraId="2F61A5B8" w14:textId="6AC4446D" w:rsidR="00591A2C" w:rsidRPr="00071CB4" w:rsidRDefault="00591A2C" w:rsidP="00761B9E">
      <w:pPr>
        <w:pStyle w:val="ListBulletLast"/>
      </w:pPr>
      <w:r w:rsidRPr="00071CB4">
        <w:t>industry structure</w:t>
      </w:r>
      <w:r w:rsidR="00CD74FC">
        <w:t>—</w:t>
      </w:r>
      <w:r>
        <w:t>Telstra and its predecessors were for a long time the sole provider,</w:t>
      </w:r>
      <w:r w:rsidR="00CD74FC">
        <w:t xml:space="preserve"> which was followed in the 1990</w:t>
      </w:r>
      <w:r>
        <w:t xml:space="preserve">s by the arrival of a small number of </w:t>
      </w:r>
      <w:r w:rsidR="00CD74FC">
        <w:t>vertically-</w:t>
      </w:r>
      <w:r w:rsidRPr="00071CB4">
        <w:t xml:space="preserve">integrated </w:t>
      </w:r>
      <w:r>
        <w:t xml:space="preserve">providers offering a simple range of </w:t>
      </w:r>
      <w:r w:rsidRPr="00071CB4">
        <w:t>service offerings</w:t>
      </w:r>
      <w:r>
        <w:t>.</w:t>
      </w:r>
    </w:p>
    <w:p w14:paraId="501F482D" w14:textId="0681EF47" w:rsidR="00591A2C" w:rsidRDefault="00591A2C" w:rsidP="00761B9E">
      <w:r>
        <w:t xml:space="preserve">This inherent historical stability permitted the application of a </w:t>
      </w:r>
      <w:r w:rsidRPr="00071CB4">
        <w:t>USO to a single entity</w:t>
      </w:r>
      <w:r w:rsidR="00CD74FC">
        <w:t>,</w:t>
      </w:r>
      <w:r w:rsidRPr="00071CB4">
        <w:t xml:space="preserve"> </w:t>
      </w:r>
      <w:r>
        <w:t xml:space="preserve">which had the </w:t>
      </w:r>
      <w:r w:rsidRPr="00071CB4">
        <w:t>ability to contro</w:t>
      </w:r>
      <w:r w:rsidR="00CD74FC">
        <w:t>l all aspects of service supply. It also enabled</w:t>
      </w:r>
      <w:r w:rsidRPr="00071CB4">
        <w:t xml:space="preserve"> the </w:t>
      </w:r>
      <w:r w:rsidRPr="00071CB4">
        <w:lastRenderedPageBreak/>
        <w:t>capacity to achieve related objectives around service standards, affordability and accessibility</w:t>
      </w:r>
      <w:r>
        <w:t xml:space="preserve"> in response to </w:t>
      </w:r>
      <w:r w:rsidRPr="00071CB4">
        <w:t>obligations appl</w:t>
      </w:r>
      <w:r>
        <w:t>ied</w:t>
      </w:r>
      <w:r w:rsidR="00C20207">
        <w:t>,</w:t>
      </w:r>
      <w:r w:rsidRPr="00071CB4">
        <w:t xml:space="preserve"> either to the sector broadly, or targeted to the </w:t>
      </w:r>
      <w:r>
        <w:t>PUSP.</w:t>
      </w:r>
    </w:p>
    <w:p w14:paraId="5B20D95C" w14:textId="77777777" w:rsidR="00591A2C" w:rsidRPr="00A95188" w:rsidRDefault="00591A2C" w:rsidP="00761B9E">
      <w:pPr>
        <w:rPr>
          <w:u w:val="single"/>
        </w:rPr>
      </w:pPr>
      <w:r>
        <w:t>The ongoing transformation from a relatively stable telecommunications sector to the dynamic characteristics inherent in today’s telecommunications sector poses a challenge to the effectiveness and relevance of a static USO regime.</w:t>
      </w:r>
    </w:p>
    <w:p w14:paraId="163F97A9" w14:textId="62305046" w:rsidR="00591A2C" w:rsidRPr="00761B9E" w:rsidRDefault="00591A2C" w:rsidP="00761B9E">
      <w:pPr>
        <w:pStyle w:val="Heading2"/>
      </w:pPr>
      <w:bookmarkStart w:id="21" w:name="_Toc457317550"/>
      <w:bookmarkStart w:id="22" w:name="_Toc457562332"/>
      <w:r w:rsidRPr="00761B9E">
        <w:t>Challenges in developing a universal service policy</w:t>
      </w:r>
      <w:r w:rsidR="00C20207">
        <w:t>,</w:t>
      </w:r>
      <w:r w:rsidRPr="00761B9E">
        <w:t xml:space="preserve"> given the current dynamic communications sector</w:t>
      </w:r>
      <w:bookmarkEnd w:id="21"/>
      <w:bookmarkEnd w:id="22"/>
    </w:p>
    <w:p w14:paraId="20A9DDD4" w14:textId="728489CF" w:rsidR="00591A2C" w:rsidRPr="00E9349F" w:rsidRDefault="00591A2C" w:rsidP="00761B9E">
      <w:r w:rsidRPr="00E9349F">
        <w:t xml:space="preserve">The </w:t>
      </w:r>
      <w:r>
        <w:t xml:space="preserve">current </w:t>
      </w:r>
      <w:r w:rsidRPr="00E9349F">
        <w:t xml:space="preserve">communications </w:t>
      </w:r>
      <w:r>
        <w:t xml:space="preserve">market </w:t>
      </w:r>
      <w:r w:rsidRPr="00E9349F">
        <w:t>is rapidly changing</w:t>
      </w:r>
      <w:r>
        <w:t xml:space="preserve"> and evolving</w:t>
      </w:r>
      <w:r w:rsidR="00C20207">
        <w:t>,</w:t>
      </w:r>
      <w:r>
        <w:t xml:space="preserve"> due to both demand and supply factors. The key changes are outlined below. </w:t>
      </w:r>
    </w:p>
    <w:p w14:paraId="2FAFC0AB" w14:textId="77777777" w:rsidR="00591A2C" w:rsidRPr="00761B9E" w:rsidRDefault="00591A2C" w:rsidP="00761B9E">
      <w:pPr>
        <w:pStyle w:val="Heading3"/>
      </w:pPr>
      <w:bookmarkStart w:id="23" w:name="_Toc457317551"/>
      <w:bookmarkStart w:id="24" w:name="_Toc457562333"/>
      <w:r w:rsidRPr="00761B9E">
        <w:t>Consumer use and expectations</w:t>
      </w:r>
      <w:bookmarkEnd w:id="23"/>
      <w:bookmarkEnd w:id="24"/>
    </w:p>
    <w:p w14:paraId="047F31DF" w14:textId="46C20A68" w:rsidR="00591A2C" w:rsidRDefault="00591A2C" w:rsidP="00761B9E">
      <w:r>
        <w:t xml:space="preserve">Research outlined in this submission demonstrates that consumers’ use of services and their expectations of these services have evolved over the last few years. </w:t>
      </w:r>
      <w:r w:rsidR="00C20207">
        <w:t>However,</w:t>
      </w:r>
      <w:r>
        <w:t xml:space="preserve"> there are different changes in different subsets of the consumer market. Consumer </w:t>
      </w:r>
      <w:r w:rsidRPr="00E9349F">
        <w:t xml:space="preserve">expectations </w:t>
      </w:r>
      <w:r>
        <w:t>are</w:t>
      </w:r>
      <w:r w:rsidRPr="00E9349F">
        <w:t xml:space="preserve"> likely to continue </w:t>
      </w:r>
      <w:r>
        <w:t xml:space="preserve">to change </w:t>
      </w:r>
      <w:r w:rsidRPr="00E9349F">
        <w:t>into the future</w:t>
      </w:r>
      <w:r>
        <w:t xml:space="preserve">, particularly with the rollout of the </w:t>
      </w:r>
      <w:r w:rsidR="00C20207">
        <w:t>NBN network</w:t>
      </w:r>
      <w:r>
        <w:t xml:space="preserve"> and enhanced mobile networks. </w:t>
      </w:r>
    </w:p>
    <w:p w14:paraId="1EA8F202" w14:textId="3AE3DCD9" w:rsidR="00591A2C" w:rsidRPr="00E9349F" w:rsidRDefault="00591A2C" w:rsidP="00591A2C">
      <w:r>
        <w:t xml:space="preserve">At the same time as consumers’ expectation of services are </w:t>
      </w:r>
      <w:r w:rsidR="00BC3235">
        <w:t>changing</w:t>
      </w:r>
      <w:r>
        <w:t>, the economy as a whole is also increasingly reliant on communicati</w:t>
      </w:r>
      <w:r w:rsidR="00B85231">
        <w:t>ons se</w:t>
      </w:r>
      <w:r w:rsidR="00C20207">
        <w:t xml:space="preserve">rvices. </w:t>
      </w:r>
      <w:r w:rsidR="00B85231">
        <w:t>As noted in the issues p</w:t>
      </w:r>
      <w:r>
        <w:t>aper, one of the key rationales for the adoption of universal service policies relates to the promotion of broader economic benefits. Reliance on the communications network across most economic and social activities in Australia is increasing</w:t>
      </w:r>
      <w:r w:rsidR="00C20207">
        <w:t>,</w:t>
      </w:r>
      <w:r>
        <w:t xml:space="preserve"> and this trend may be expected to continue. </w:t>
      </w:r>
    </w:p>
    <w:p w14:paraId="525900D4" w14:textId="737249A3" w:rsidR="00591A2C" w:rsidRDefault="00591A2C" w:rsidP="00591A2C">
      <w:r w:rsidRPr="00F016DA">
        <w:t xml:space="preserve">When the USO was first established, the homogeneity of telecommunications services (primarily fixed voice) led to </w:t>
      </w:r>
      <w:r w:rsidR="00C20207">
        <w:t xml:space="preserve">the </w:t>
      </w:r>
      <w:r w:rsidRPr="00F016DA">
        <w:t xml:space="preserve">fulfilment of the USO </w:t>
      </w:r>
      <w:r w:rsidR="00C20207">
        <w:t>by</w:t>
      </w:r>
      <w:r w:rsidRPr="00F016DA">
        <w:t xml:space="preserve"> providing all consumers with a ‘standard service’</w:t>
      </w:r>
      <w:r w:rsidRPr="00D56018">
        <w:t xml:space="preserve">. </w:t>
      </w:r>
      <w:r>
        <w:t xml:space="preserve">Many </w:t>
      </w:r>
      <w:r w:rsidRPr="00D56018">
        <w:t xml:space="preserve">types of communications services </w:t>
      </w:r>
      <w:r>
        <w:t xml:space="preserve">that </w:t>
      </w:r>
      <w:r w:rsidRPr="00D56018">
        <w:t>are commonly used are</w:t>
      </w:r>
      <w:r>
        <w:t xml:space="preserve"> now</w:t>
      </w:r>
      <w:r w:rsidRPr="00D56018">
        <w:t xml:space="preserve"> accessible </w:t>
      </w:r>
      <w:r>
        <w:t xml:space="preserve">via multiple technologies. </w:t>
      </w:r>
    </w:p>
    <w:p w14:paraId="3B81B782" w14:textId="348D5ECC" w:rsidR="00591A2C" w:rsidRPr="000D5BDC" w:rsidRDefault="00591A2C" w:rsidP="00761B9E">
      <w:pPr>
        <w:spacing w:after="80"/>
      </w:pPr>
      <w:r w:rsidRPr="000D5BDC">
        <w:t>The ACMA suggests that a key decision point for this inquiry is whether any future universal service framework should ensure the availability of</w:t>
      </w:r>
      <w:r w:rsidR="00C20207">
        <w:t>:</w:t>
      </w:r>
      <w:r w:rsidRPr="000D5BDC">
        <w:t xml:space="preserve"> </w:t>
      </w:r>
    </w:p>
    <w:p w14:paraId="7A69BEAE" w14:textId="77777777" w:rsidR="00591A2C" w:rsidRPr="000D5BDC" w:rsidRDefault="00591A2C" w:rsidP="00761B9E">
      <w:pPr>
        <w:pStyle w:val="ListBullet"/>
      </w:pPr>
      <w:r w:rsidRPr="000D5BDC">
        <w:t>a basic type or level of communications service that meets minimum use requirements; or</w:t>
      </w:r>
    </w:p>
    <w:p w14:paraId="45C50BDA" w14:textId="027FE648" w:rsidR="00591A2C" w:rsidRDefault="00591A2C" w:rsidP="00591A2C">
      <w:pPr>
        <w:pStyle w:val="ListBulletLast"/>
      </w:pPr>
      <w:r w:rsidRPr="000D5BDC">
        <w:t>a higher standard of communications service(s) that seeks to address common usage needs (recognising that consumers may choose to acquire a lesser service).</w:t>
      </w:r>
    </w:p>
    <w:p w14:paraId="336480BD" w14:textId="478445C4" w:rsidR="00591A2C" w:rsidRPr="00D03787" w:rsidRDefault="00591A2C" w:rsidP="00761B9E">
      <w:r w:rsidRPr="00D03787">
        <w:t xml:space="preserve">This policy choice might be thought of </w:t>
      </w:r>
      <w:r w:rsidR="00C20207">
        <w:t xml:space="preserve">as </w:t>
      </w:r>
      <w:r w:rsidRPr="00D03787">
        <w:t>being between</w:t>
      </w:r>
      <w:r>
        <w:t xml:space="preserve"> one which seeks to provide</w:t>
      </w:r>
      <w:r w:rsidRPr="00D03787">
        <w:t xml:space="preserve"> a base ‘safety net’ right</w:t>
      </w:r>
      <w:r w:rsidR="00C20207">
        <w:t>,</w:t>
      </w:r>
      <w:r w:rsidRPr="00D03787">
        <w:t xml:space="preserve"> and one </w:t>
      </w:r>
      <w:r w:rsidR="00C20207">
        <w:t>that</w:t>
      </w:r>
      <w:r w:rsidRPr="00D03787">
        <w:t xml:space="preserve"> </w:t>
      </w:r>
      <w:r>
        <w:t xml:space="preserve">seeks </w:t>
      </w:r>
      <w:r w:rsidRPr="00D03787">
        <w:t xml:space="preserve">to address broader policy objectives, such as </w:t>
      </w:r>
      <w:r w:rsidR="0092693A">
        <w:t xml:space="preserve">overcoming </w:t>
      </w:r>
      <w:r w:rsidRPr="00D03787">
        <w:t>a ‘digital divide’. Importantly, this choice regarding any new universal service framework will have significant implications on the ultimate policy and any po</w:t>
      </w:r>
      <w:r>
        <w:t>tential interventions required.</w:t>
      </w:r>
    </w:p>
    <w:p w14:paraId="31ABA4A2" w14:textId="77777777" w:rsidR="00591A2C" w:rsidRPr="00761B9E" w:rsidRDefault="00591A2C" w:rsidP="00761B9E">
      <w:pPr>
        <w:pStyle w:val="Heading3"/>
      </w:pPr>
      <w:bookmarkStart w:id="25" w:name="_Toc457317552"/>
      <w:bookmarkStart w:id="26" w:name="_Toc457562334"/>
      <w:r w:rsidRPr="00761B9E">
        <w:t>New industry structures and technology</w:t>
      </w:r>
      <w:bookmarkEnd w:id="25"/>
      <w:bookmarkEnd w:id="26"/>
    </w:p>
    <w:p w14:paraId="20D7A9C1" w14:textId="77777777" w:rsidR="00591A2C" w:rsidRPr="00321A41" w:rsidRDefault="00591A2C" w:rsidP="00761B9E">
      <w:r>
        <w:t xml:space="preserve">Today’s communications environment is characterised by </w:t>
      </w:r>
      <w:r w:rsidRPr="00321A41">
        <w:t>a heterogeneity of networks</w:t>
      </w:r>
      <w:r>
        <w:t xml:space="preserve"> over which a range of </w:t>
      </w:r>
      <w:r w:rsidRPr="00321A41">
        <w:t xml:space="preserve">substitutable </w:t>
      </w:r>
      <w:r>
        <w:t xml:space="preserve">communications </w:t>
      </w:r>
      <w:r w:rsidRPr="00321A41">
        <w:t>services</w:t>
      </w:r>
      <w:r>
        <w:t xml:space="preserve"> are</w:t>
      </w:r>
      <w:r w:rsidRPr="00321A41">
        <w:t xml:space="preserve"> </w:t>
      </w:r>
      <w:r>
        <w:t xml:space="preserve">supplied. </w:t>
      </w:r>
    </w:p>
    <w:p w14:paraId="0C980EDC" w14:textId="387548EB" w:rsidR="00591A2C" w:rsidRPr="00321A41" w:rsidRDefault="00591A2C" w:rsidP="00591A2C">
      <w:r w:rsidRPr="00321A41">
        <w:t xml:space="preserve">Network and service provision structures are evolving, </w:t>
      </w:r>
      <w:r>
        <w:t>with a</w:t>
      </w:r>
      <w:r w:rsidR="0021042E">
        <w:t>n accompanying</w:t>
      </w:r>
      <w:r>
        <w:t xml:space="preserve"> </w:t>
      </w:r>
      <w:r w:rsidRPr="00321A41">
        <w:t>breakdown of the traditional vertical integration</w:t>
      </w:r>
      <w:r>
        <w:t xml:space="preserve">. This is </w:t>
      </w:r>
      <w:r w:rsidRPr="00321A41">
        <w:t>most notabl</w:t>
      </w:r>
      <w:r>
        <w:t>e</w:t>
      </w:r>
      <w:r w:rsidRPr="00321A41">
        <w:t xml:space="preserve"> with the</w:t>
      </w:r>
      <w:r>
        <w:t xml:space="preserve"> </w:t>
      </w:r>
      <w:r w:rsidR="00C20207">
        <w:t>NBN</w:t>
      </w:r>
      <w:r>
        <w:t xml:space="preserve"> </w:t>
      </w:r>
      <w:r w:rsidR="00C20207">
        <w:t>offering a wholesale access-</w:t>
      </w:r>
      <w:r>
        <w:t>only network</w:t>
      </w:r>
      <w:r w:rsidRPr="00321A41">
        <w:t xml:space="preserve">, but </w:t>
      </w:r>
      <w:r>
        <w:t xml:space="preserve">can also be seen via the </w:t>
      </w:r>
      <w:r w:rsidRPr="00321A41">
        <w:t xml:space="preserve">emergence of </w:t>
      </w:r>
      <w:r>
        <w:t>many ‘</w:t>
      </w:r>
      <w:r w:rsidR="00C20207">
        <w:t>over-the-t</w:t>
      </w:r>
      <w:r>
        <w:t xml:space="preserve">op’ </w:t>
      </w:r>
      <w:r w:rsidRPr="00321A41">
        <w:t xml:space="preserve">providers that can offer services substitutable for traditional </w:t>
      </w:r>
      <w:r w:rsidRPr="00321A41">
        <w:lastRenderedPageBreak/>
        <w:t>tel</w:t>
      </w:r>
      <w:r>
        <w:t>e</w:t>
      </w:r>
      <w:r w:rsidRPr="00321A41">
        <w:t>co</w:t>
      </w:r>
      <w:r>
        <w:t>mmunication products, usually</w:t>
      </w:r>
      <w:r w:rsidRPr="00321A41">
        <w:t xml:space="preserve"> </w:t>
      </w:r>
      <w:r>
        <w:t xml:space="preserve">de-coupled from </w:t>
      </w:r>
      <w:r w:rsidRPr="00321A41">
        <w:t>wholesale access arrangements</w:t>
      </w:r>
      <w:r>
        <w:t>.</w:t>
      </w:r>
    </w:p>
    <w:p w14:paraId="407EB4CF" w14:textId="0979BD5E" w:rsidR="00591A2C" w:rsidRDefault="00591A2C" w:rsidP="00E46212">
      <w:r w:rsidRPr="00DB44B8">
        <w:t>Consequently, the ACMA sees numerous market participants operating at different layers of the supply chain. In</w:t>
      </w:r>
      <w:r w:rsidR="00C20207">
        <w:t xml:space="preserve"> its </w:t>
      </w:r>
      <w:r w:rsidR="00C20207" w:rsidRPr="00C20207">
        <w:rPr>
          <w:i/>
        </w:rPr>
        <w:t>B</w:t>
      </w:r>
      <w:r w:rsidRPr="00C20207">
        <w:rPr>
          <w:i/>
        </w:rPr>
        <w:t>roken concepts</w:t>
      </w:r>
      <w:r>
        <w:t xml:space="preserve"> analysis</w:t>
      </w:r>
      <w:r>
        <w:rPr>
          <w:rStyle w:val="FootnoteReference"/>
        </w:rPr>
        <w:footnoteReference w:id="4"/>
      </w:r>
      <w:r>
        <w:t xml:space="preserve">, the ACMA highlighted the </w:t>
      </w:r>
      <w:r w:rsidR="00C20207">
        <w:t>shift from vertically-</w:t>
      </w:r>
      <w:r>
        <w:t xml:space="preserve">integrated structures to a more horizontal approach. This is displayed in </w:t>
      </w:r>
      <w:r w:rsidR="00C20207">
        <w:t>F</w:t>
      </w:r>
      <w:r>
        <w:t>igure</w:t>
      </w:r>
      <w:r w:rsidR="00C20207">
        <w:t xml:space="preserve"> 12</w:t>
      </w:r>
      <w:r>
        <w:t xml:space="preserve">. </w:t>
      </w:r>
    </w:p>
    <w:p w14:paraId="57EB4D74" w14:textId="77777777" w:rsidR="00E46212" w:rsidRDefault="00E46212" w:rsidP="00E46212">
      <w:pPr>
        <w:pStyle w:val="ACMAFigureHeader"/>
      </w:pPr>
      <w:r w:rsidRPr="00237379">
        <w:t xml:space="preserve">Convergence in </w:t>
      </w:r>
      <w:r>
        <w:t>n</w:t>
      </w:r>
      <w:r w:rsidRPr="00237379">
        <w:t xml:space="preserve">etworks and </w:t>
      </w:r>
      <w:r>
        <w:t>s</w:t>
      </w:r>
      <w:r w:rsidRPr="00237379">
        <w:t xml:space="preserve">ervice </w:t>
      </w:r>
      <w:r>
        <w:t>l</w:t>
      </w:r>
      <w:r w:rsidRPr="00237379">
        <w:t>ayers</w:t>
      </w:r>
      <w:r>
        <w:t xml:space="preserve"> from vertically integrated structures</w:t>
      </w:r>
    </w:p>
    <w:p w14:paraId="79073653" w14:textId="77777777" w:rsidR="00E46212" w:rsidRDefault="00E46212" w:rsidP="00C20207">
      <w:pPr>
        <w:pStyle w:val="ACMAFigureHeader"/>
        <w:numPr>
          <w:ilvl w:val="0"/>
          <w:numId w:val="0"/>
        </w:numPr>
        <w:spacing w:after="0"/>
        <w:ind w:left="1021" w:hanging="1021"/>
      </w:pPr>
      <w:r w:rsidRPr="00407F1A">
        <w:rPr>
          <w:rFonts w:cs="Arial"/>
          <w:noProof/>
        </w:rPr>
        <w:drawing>
          <wp:inline distT="0" distB="0" distL="0" distR="0" wp14:anchorId="621A07F3" wp14:editId="1BAFDB08">
            <wp:extent cx="4871085" cy="3015434"/>
            <wp:effectExtent l="0" t="0" r="5715" b="0"/>
            <wp:docPr id="29" name="Picture 29" descr="C:\Users\AByrne\Desktop\Figure x_Legacy Vs Digital-IP Layer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yrne\Desktop\Figure x_Legacy Vs Digital-IP Layers.bmp"/>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71085" cy="3015434"/>
                    </a:xfrm>
                    <a:prstGeom prst="rect">
                      <a:avLst/>
                    </a:prstGeom>
                    <a:noFill/>
                    <a:ln>
                      <a:noFill/>
                    </a:ln>
                  </pic:spPr>
                </pic:pic>
              </a:graphicData>
            </a:graphic>
          </wp:inline>
        </w:drawing>
      </w:r>
    </w:p>
    <w:p w14:paraId="24BC1088" w14:textId="77777777" w:rsidR="00E46212" w:rsidRDefault="00E46212" w:rsidP="00E46212">
      <w:pPr>
        <w:pStyle w:val="ACMASpaceaftertable"/>
      </w:pPr>
    </w:p>
    <w:p w14:paraId="5DD2E6FA" w14:textId="77777777" w:rsidR="00591A2C" w:rsidRPr="00E9349F" w:rsidRDefault="00591A2C" w:rsidP="00E46212">
      <w:pPr>
        <w:pStyle w:val="Heading3"/>
      </w:pPr>
      <w:bookmarkStart w:id="27" w:name="_Toc457317553"/>
      <w:bookmarkStart w:id="28" w:name="_Toc457562335"/>
      <w:r w:rsidRPr="00E9349F">
        <w:t xml:space="preserve">One constant is Australia’s </w:t>
      </w:r>
      <w:r w:rsidRPr="00E46212">
        <w:t>geographic</w:t>
      </w:r>
      <w:r w:rsidRPr="00E9349F">
        <w:t xml:space="preserve"> landscape</w:t>
      </w:r>
      <w:bookmarkEnd w:id="27"/>
      <w:bookmarkEnd w:id="28"/>
    </w:p>
    <w:p w14:paraId="7EF40026" w14:textId="00EFF102" w:rsidR="00591A2C" w:rsidRPr="00C666CE" w:rsidRDefault="00591A2C" w:rsidP="00591A2C">
      <w:r w:rsidRPr="00C666CE">
        <w:t>Traditionally</w:t>
      </w:r>
      <w:r>
        <w:t xml:space="preserve">, a key </w:t>
      </w:r>
      <w:r w:rsidR="00205F0F">
        <w:t xml:space="preserve">element of </w:t>
      </w:r>
      <w:r>
        <w:t xml:space="preserve">the USO has been the </w:t>
      </w:r>
      <w:r w:rsidRPr="00C666CE">
        <w:t xml:space="preserve">accepted concept </w:t>
      </w:r>
      <w:r>
        <w:t xml:space="preserve">of </w:t>
      </w:r>
      <w:r w:rsidRPr="00C666CE">
        <w:t xml:space="preserve">cross-subsidisation of services </w:t>
      </w:r>
      <w:r w:rsidR="0092693A">
        <w:t xml:space="preserve">between </w:t>
      </w:r>
      <w:r w:rsidRPr="00C666CE">
        <w:t xml:space="preserve">urban </w:t>
      </w:r>
      <w:r w:rsidR="0092693A">
        <w:t xml:space="preserve">and regional/remote </w:t>
      </w:r>
      <w:r w:rsidRPr="00C666CE">
        <w:t>areas</w:t>
      </w:r>
      <w:r w:rsidR="00C20207">
        <w:t>,</w:t>
      </w:r>
      <w:r w:rsidRPr="00C666CE">
        <w:t xml:space="preserve"> to facilitate </w:t>
      </w:r>
      <w:r>
        <w:t xml:space="preserve">the provision of </w:t>
      </w:r>
      <w:r w:rsidRPr="00C666CE">
        <w:t>se</w:t>
      </w:r>
      <w:r>
        <w:t>rvices in areas with very low population densities.</w:t>
      </w:r>
    </w:p>
    <w:p w14:paraId="71B6B141" w14:textId="77777777" w:rsidR="00591A2C" w:rsidRDefault="00591A2C" w:rsidP="00591A2C">
      <w:r>
        <w:t xml:space="preserve">Along with </w:t>
      </w:r>
      <w:r w:rsidRPr="00C666CE">
        <w:t xml:space="preserve">the dynamic </w:t>
      </w:r>
      <w:r>
        <w:t xml:space="preserve">supply and demand side </w:t>
      </w:r>
      <w:r w:rsidRPr="00C666CE">
        <w:t xml:space="preserve">changes </w:t>
      </w:r>
      <w:r>
        <w:t xml:space="preserve">outlined </w:t>
      </w:r>
      <w:r w:rsidRPr="00C666CE">
        <w:t xml:space="preserve">above, </w:t>
      </w:r>
      <w:r>
        <w:t xml:space="preserve">Australia’s vast landmass and associated uneven </w:t>
      </w:r>
      <w:r w:rsidRPr="00C666CE">
        <w:t>geographic spread of the population in urban, regional, rural and remote areas</w:t>
      </w:r>
      <w:r>
        <w:t xml:space="preserve"> poses additional challenges. </w:t>
      </w:r>
    </w:p>
    <w:p w14:paraId="08BB09C5" w14:textId="3864B57C" w:rsidR="00591A2C" w:rsidRPr="00C666CE" w:rsidRDefault="00591A2C" w:rsidP="00591A2C">
      <w:r>
        <w:t xml:space="preserve">This uneven population spread will continue to </w:t>
      </w:r>
      <w:r w:rsidR="009518B6">
        <w:t>mean</w:t>
      </w:r>
      <w:r>
        <w:t xml:space="preserve"> that the provision of </w:t>
      </w:r>
      <w:r w:rsidRPr="00C666CE">
        <w:t xml:space="preserve">commercially viable </w:t>
      </w:r>
      <w:r>
        <w:t xml:space="preserve">(and modern) </w:t>
      </w:r>
      <w:r w:rsidRPr="00C666CE">
        <w:t xml:space="preserve">telecommunications services to </w:t>
      </w:r>
      <w:r>
        <w:t xml:space="preserve">the </w:t>
      </w:r>
      <w:r w:rsidRPr="00C666CE">
        <w:t>more isolated parts of Australia</w:t>
      </w:r>
      <w:r>
        <w:t xml:space="preserve"> remains an ongoing policy challenge</w:t>
      </w:r>
      <w:r w:rsidRPr="00C666CE">
        <w:t>.</w:t>
      </w:r>
    </w:p>
    <w:p w14:paraId="0A72877D" w14:textId="09F229DF" w:rsidR="00591A2C" w:rsidRPr="00AA4B35" w:rsidRDefault="00591A2C" w:rsidP="00591A2C">
      <w:r>
        <w:t xml:space="preserve">Given past and continuing shifts in the communications sector, the </w:t>
      </w:r>
      <w:r w:rsidRPr="00C666CE">
        <w:t>existing USO mechanism</w:t>
      </w:r>
      <w:r w:rsidR="009518B6">
        <w:t>—</w:t>
      </w:r>
      <w:r>
        <w:t>and many of the related interventions intended to achieve</w:t>
      </w:r>
      <w:r w:rsidRPr="00C666CE">
        <w:t xml:space="preserve"> </w:t>
      </w:r>
      <w:r>
        <w:t>the objectives of availability, a</w:t>
      </w:r>
      <w:r w:rsidR="009518B6">
        <w:t>ffordability and accessibility—</w:t>
      </w:r>
      <w:r w:rsidR="00A561CF">
        <w:t xml:space="preserve">are </w:t>
      </w:r>
      <w:r w:rsidR="009518B6">
        <w:t>no longer fit-for-</w:t>
      </w:r>
      <w:r w:rsidRPr="00C666CE">
        <w:t>purpose</w:t>
      </w:r>
      <w:r>
        <w:t xml:space="preserve">. </w:t>
      </w:r>
    </w:p>
    <w:p w14:paraId="66C46D5F" w14:textId="77777777" w:rsidR="00591A2C" w:rsidRDefault="00591A2C" w:rsidP="001D4A88">
      <w:pPr>
        <w:pStyle w:val="Heading1"/>
      </w:pPr>
      <w:bookmarkStart w:id="29" w:name="_Toc457317554"/>
      <w:bookmarkStart w:id="30" w:name="_Toc457562336"/>
      <w:r w:rsidRPr="00E46212">
        <w:lastRenderedPageBreak/>
        <w:t>Considerations for a way forward</w:t>
      </w:r>
      <w:bookmarkEnd w:id="29"/>
      <w:bookmarkEnd w:id="30"/>
    </w:p>
    <w:p w14:paraId="50C98451" w14:textId="5DE608A4" w:rsidR="00205F0F" w:rsidRPr="00205F0F" w:rsidRDefault="00205F0F" w:rsidP="00205F0F">
      <w:pPr>
        <w:pStyle w:val="ListNumber"/>
        <w:numPr>
          <w:ilvl w:val="0"/>
          <w:numId w:val="0"/>
        </w:numPr>
      </w:pPr>
      <w:r>
        <w:t xml:space="preserve">In considering the scope and objectives for any new </w:t>
      </w:r>
      <w:r w:rsidRPr="00AA4B35">
        <w:t xml:space="preserve">universal service regime, the ACMA </w:t>
      </w:r>
      <w:r>
        <w:t>suggests</w:t>
      </w:r>
      <w:r w:rsidRPr="00AA4B35">
        <w:t xml:space="preserve"> that </w:t>
      </w:r>
      <w:r>
        <w:t xml:space="preserve">there are a number of </w:t>
      </w:r>
      <w:r w:rsidRPr="00AA4B35">
        <w:t xml:space="preserve">design principles </w:t>
      </w:r>
      <w:r>
        <w:t xml:space="preserve">that should guide the way forward in the development of </w:t>
      </w:r>
      <w:r w:rsidRPr="00AA4B35">
        <w:t>any new universal service framework.</w:t>
      </w:r>
    </w:p>
    <w:p w14:paraId="5CE66706" w14:textId="77777777" w:rsidR="00205F0F" w:rsidRPr="00205F0F" w:rsidRDefault="00205F0F" w:rsidP="00205F0F">
      <w:pPr>
        <w:pStyle w:val="ListNumber"/>
        <w:numPr>
          <w:ilvl w:val="0"/>
          <w:numId w:val="0"/>
        </w:numPr>
        <w:ind w:left="360"/>
      </w:pPr>
    </w:p>
    <w:p w14:paraId="18A4C0BD" w14:textId="27DBD33D" w:rsidR="00591A2C" w:rsidRPr="00D67B39" w:rsidRDefault="00591A2C" w:rsidP="00D67B39">
      <w:pPr>
        <w:pStyle w:val="ListNumber"/>
        <w:rPr>
          <w:b/>
        </w:rPr>
      </w:pPr>
      <w:r w:rsidRPr="00D67B39">
        <w:rPr>
          <w:b/>
        </w:rPr>
        <w:t>A new universal service framework should be clear regarding its objectives</w:t>
      </w:r>
    </w:p>
    <w:p w14:paraId="0382C35E" w14:textId="37439364" w:rsidR="00591A2C" w:rsidRPr="00BD0171" w:rsidRDefault="00591A2C" w:rsidP="00E46212">
      <w:pPr>
        <w:spacing w:after="80"/>
      </w:pPr>
      <w:r w:rsidRPr="00BD0171">
        <w:t>Historically</w:t>
      </w:r>
      <w:r w:rsidR="009518B6">
        <w:t>,</w:t>
      </w:r>
      <w:r w:rsidRPr="00BD0171">
        <w:t xml:space="preserve"> a range of separate obligations </w:t>
      </w:r>
      <w:r w:rsidR="009402EF">
        <w:t>has</w:t>
      </w:r>
      <w:r w:rsidR="009402EF" w:rsidRPr="00BD0171">
        <w:t xml:space="preserve"> </w:t>
      </w:r>
      <w:r w:rsidRPr="00BD0171">
        <w:t>been associated with the USO</w:t>
      </w:r>
      <w:r w:rsidR="009518B6">
        <w:t>,</w:t>
      </w:r>
      <w:r>
        <w:t xml:space="preserve"> which together have been intended</w:t>
      </w:r>
      <w:r w:rsidRPr="00BD0171">
        <w:t xml:space="preserve"> to deliver public interest outcomes. </w:t>
      </w:r>
      <w:r>
        <w:t xml:space="preserve">Considerations applicable to that whole framework might include: </w:t>
      </w:r>
      <w:r w:rsidRPr="00BD0171">
        <w:t xml:space="preserve"> </w:t>
      </w:r>
    </w:p>
    <w:p w14:paraId="4A8DA32C" w14:textId="0B1EE592" w:rsidR="00591A2C" w:rsidRDefault="00591A2C" w:rsidP="00E46212">
      <w:pPr>
        <w:pStyle w:val="ListBullet"/>
      </w:pPr>
      <w:r>
        <w:t xml:space="preserve">the extent to which the elements of the framework and the framework as a whole do or do not </w:t>
      </w:r>
      <w:r w:rsidRPr="00892FF6">
        <w:t>seek to deliver outcomes</w:t>
      </w:r>
      <w:r>
        <w:t xml:space="preserve"> </w:t>
      </w:r>
      <w:r w:rsidR="009518B6">
        <w:t>to achieve</w:t>
      </w:r>
      <w:r>
        <w:t xml:space="preserve"> of</w:t>
      </w:r>
      <w:r w:rsidRPr="00892FF6">
        <w:t xml:space="preserve"> </w:t>
      </w:r>
      <w:r>
        <w:t xml:space="preserve">the objectives of </w:t>
      </w:r>
      <w:r w:rsidRPr="00892FF6">
        <w:t>availability, accessibility and affordability</w:t>
      </w:r>
      <w:r>
        <w:t xml:space="preserve"> </w:t>
      </w:r>
    </w:p>
    <w:p w14:paraId="36B9A767" w14:textId="004B4FFD" w:rsidR="00591A2C" w:rsidRPr="00892FF6" w:rsidRDefault="00591A2C" w:rsidP="00E46212">
      <w:pPr>
        <w:pStyle w:val="ListBullet"/>
      </w:pPr>
      <w:r w:rsidRPr="00892FF6">
        <w:t xml:space="preserve">whether </w:t>
      </w:r>
      <w:r>
        <w:t xml:space="preserve">other </w:t>
      </w:r>
      <w:r w:rsidRPr="00892FF6">
        <w:t>objectives should appropriately be pursued</w:t>
      </w:r>
      <w:r w:rsidR="009518B6">
        <w:t>,</w:t>
      </w:r>
      <w:r w:rsidRPr="00892FF6">
        <w:t xml:space="preserve"> </w:t>
      </w:r>
      <w:r>
        <w:t xml:space="preserve">and if so, </w:t>
      </w:r>
      <w:r w:rsidRPr="00892FF6">
        <w:t xml:space="preserve">by </w:t>
      </w:r>
      <w:r>
        <w:t xml:space="preserve">what </w:t>
      </w:r>
      <w:r w:rsidRPr="00892FF6">
        <w:t>means</w:t>
      </w:r>
    </w:p>
    <w:p w14:paraId="0B57DAC9" w14:textId="0CE0EC6E" w:rsidR="00591A2C" w:rsidRDefault="00591A2C" w:rsidP="00E46212">
      <w:pPr>
        <w:pStyle w:val="ListBulletLast"/>
      </w:pPr>
      <w:r>
        <w:t xml:space="preserve">whether a </w:t>
      </w:r>
      <w:r w:rsidRPr="009402EF">
        <w:t>universal service should take the form of a basic type or level of communications service</w:t>
      </w:r>
      <w:r w:rsidR="0021042E">
        <w:t>,</w:t>
      </w:r>
      <w:r w:rsidRPr="009402EF">
        <w:t xml:space="preserve"> or alternatively a higher standard of communications service(s) that seeks to address common usage needs.</w:t>
      </w:r>
      <w:r>
        <w:t xml:space="preserve"> </w:t>
      </w:r>
    </w:p>
    <w:p w14:paraId="4471059F" w14:textId="77777777" w:rsidR="00591A2C" w:rsidRPr="002411BA" w:rsidRDefault="00591A2C" w:rsidP="002411BA">
      <w:pPr>
        <w:pStyle w:val="ListNumber"/>
        <w:rPr>
          <w:b/>
        </w:rPr>
      </w:pPr>
      <w:r w:rsidRPr="002411BA">
        <w:rPr>
          <w:b/>
        </w:rPr>
        <w:t xml:space="preserve">The role of the market </w:t>
      </w:r>
    </w:p>
    <w:p w14:paraId="3EF16BDE" w14:textId="34ED0814" w:rsidR="00591A2C" w:rsidRPr="00F1431D" w:rsidRDefault="00591A2C" w:rsidP="00E46212">
      <w:r w:rsidRPr="00F1431D">
        <w:t xml:space="preserve">As a general view, the ACMA considers that, </w:t>
      </w:r>
      <w:r w:rsidRPr="002D51B8">
        <w:rPr>
          <w:b/>
        </w:rPr>
        <w:t xml:space="preserve">as far as possible, market solutions should be harnessed </w:t>
      </w:r>
      <w:r w:rsidRPr="00F1431D">
        <w:t xml:space="preserve">to deliver </w:t>
      </w:r>
      <w:r>
        <w:t xml:space="preserve">universal </w:t>
      </w:r>
      <w:r w:rsidRPr="00F1431D">
        <w:t xml:space="preserve">service objectives through consumer choice. </w:t>
      </w:r>
      <w:r>
        <w:t xml:space="preserve">However, should analysis indicate that </w:t>
      </w:r>
      <w:r w:rsidRPr="00F1431D">
        <w:t>market failures exist</w:t>
      </w:r>
      <w:r>
        <w:t xml:space="preserve"> or occur</w:t>
      </w:r>
      <w:r w:rsidRPr="00F1431D">
        <w:t xml:space="preserve"> </w:t>
      </w:r>
      <w:r w:rsidR="009518B6">
        <w:t>that</w:t>
      </w:r>
      <w:r w:rsidRPr="00F1431D">
        <w:t xml:space="preserve"> necessitate the need for government intervention, </w:t>
      </w:r>
      <w:r>
        <w:t xml:space="preserve">the </w:t>
      </w:r>
      <w:r w:rsidR="00205F0F">
        <w:t xml:space="preserve">following considerations should be taken into account </w:t>
      </w:r>
      <w:r>
        <w:t xml:space="preserve">in the development of a universal service framework. </w:t>
      </w:r>
      <w:r w:rsidRPr="00F1431D">
        <w:t xml:space="preserve"> </w:t>
      </w:r>
    </w:p>
    <w:p w14:paraId="4EC40BF3" w14:textId="77777777" w:rsidR="00591A2C" w:rsidRPr="002411BA" w:rsidRDefault="00591A2C" w:rsidP="002411BA">
      <w:pPr>
        <w:pStyle w:val="ListNumber"/>
        <w:rPr>
          <w:b/>
        </w:rPr>
      </w:pPr>
      <w:r w:rsidRPr="002411BA">
        <w:rPr>
          <w:b/>
        </w:rPr>
        <w:t xml:space="preserve">Appropriate targeting of interventions </w:t>
      </w:r>
    </w:p>
    <w:p w14:paraId="520B3D1F" w14:textId="665224E2" w:rsidR="00591A2C" w:rsidRDefault="00591A2C" w:rsidP="00591A2C">
      <w:r w:rsidRPr="00F1431D">
        <w:t xml:space="preserve">Where intervention </w:t>
      </w:r>
      <w:r>
        <w:t xml:space="preserve">is </w:t>
      </w:r>
      <w:r w:rsidRPr="00F1431D">
        <w:t xml:space="preserve">required, </w:t>
      </w:r>
      <w:r>
        <w:t xml:space="preserve">such </w:t>
      </w:r>
      <w:r w:rsidRPr="002D51B8">
        <w:rPr>
          <w:b/>
        </w:rPr>
        <w:t>interventions should be targeted</w:t>
      </w:r>
      <w:r w:rsidRPr="00F1431D">
        <w:t xml:space="preserve"> at market participants </w:t>
      </w:r>
      <w:r w:rsidR="0021042E">
        <w:t xml:space="preserve">that </w:t>
      </w:r>
      <w:r>
        <w:t xml:space="preserve">have the best </w:t>
      </w:r>
      <w:r w:rsidRPr="00F1431D">
        <w:t xml:space="preserve">capacity to </w:t>
      </w:r>
      <w:r>
        <w:t xml:space="preserve">achieve the objectives of such intervention. Here, the PC may also wish to consider </w:t>
      </w:r>
      <w:r w:rsidR="009402EF">
        <w:t xml:space="preserve">which </w:t>
      </w:r>
      <w:r>
        <w:t>layer (as outlined early in this chapter)</w:t>
      </w:r>
      <w:r w:rsidRPr="00EE5626">
        <w:t xml:space="preserve"> any obligation or intervention </w:t>
      </w:r>
      <w:r>
        <w:t>should</w:t>
      </w:r>
      <w:r w:rsidRPr="00EE5626">
        <w:t xml:space="preserve"> fall within. </w:t>
      </w:r>
      <w:r w:rsidRPr="00262E6A">
        <w:t>Targeting the appropriate layer for government intervention requires careful consideration.</w:t>
      </w:r>
      <w:r>
        <w:t xml:space="preserve"> </w:t>
      </w:r>
      <w:r w:rsidR="009518B6">
        <w:t>For example, applying retail-</w:t>
      </w:r>
      <w:r w:rsidRPr="00EB08B6">
        <w:t>focused service standards at the IP/transport layer may result in unintended consumer outcomes. It may also be difficult to measure the effectiveness of the intervention.</w:t>
      </w:r>
      <w:r>
        <w:t xml:space="preserve">  </w:t>
      </w:r>
    </w:p>
    <w:p w14:paraId="1434B1EB" w14:textId="77777777" w:rsidR="00591A2C" w:rsidRPr="002411BA" w:rsidRDefault="00591A2C" w:rsidP="002411BA">
      <w:pPr>
        <w:pStyle w:val="ListNumber"/>
        <w:rPr>
          <w:b/>
        </w:rPr>
      </w:pPr>
      <w:r w:rsidRPr="002411BA">
        <w:rPr>
          <w:b/>
        </w:rPr>
        <w:t xml:space="preserve">Delivery mechanisms </w:t>
      </w:r>
    </w:p>
    <w:p w14:paraId="449A4E2D" w14:textId="2D95EA6A" w:rsidR="00591A2C" w:rsidRDefault="00591A2C" w:rsidP="00591A2C">
      <w:r>
        <w:t xml:space="preserve">Given that a universal service framework exists to deliver </w:t>
      </w:r>
      <w:r w:rsidRPr="00DB1EC7">
        <w:t xml:space="preserve">consumer outcomes, any interventions that involve targeting providers </w:t>
      </w:r>
      <w:r w:rsidRPr="00DB1EC7">
        <w:rPr>
          <w:i/>
        </w:rPr>
        <w:t>other than</w:t>
      </w:r>
      <w:r w:rsidRPr="00DB1EC7">
        <w:t xml:space="preserve"> retail service providers should </w:t>
      </w:r>
      <w:r>
        <w:t xml:space="preserve">exhibit a </w:t>
      </w:r>
      <w:r w:rsidRPr="002D51B8">
        <w:rPr>
          <w:b/>
        </w:rPr>
        <w:t>clear connection between the intervention and how it will deliver, or contribute to delivering, a particular outcome</w:t>
      </w:r>
      <w:r w:rsidRPr="00DB1EC7">
        <w:t xml:space="preserve">. </w:t>
      </w:r>
    </w:p>
    <w:p w14:paraId="6EB5EAF6" w14:textId="10B82BFB" w:rsidR="00456487" w:rsidRDefault="00591A2C" w:rsidP="00591A2C">
      <w:r w:rsidRPr="00DB1EC7">
        <w:t xml:space="preserve">This </w:t>
      </w:r>
      <w:r>
        <w:t xml:space="preserve">would enable </w:t>
      </w:r>
      <w:r w:rsidRPr="00DB1EC7">
        <w:t xml:space="preserve">accountability for the achievement of </w:t>
      </w:r>
      <w:r>
        <w:t xml:space="preserve">proposed </w:t>
      </w:r>
      <w:r w:rsidR="009518B6">
        <w:t>outcomes,</w:t>
      </w:r>
      <w:r w:rsidRPr="00DB1EC7">
        <w:t xml:space="preserve"> </w:t>
      </w:r>
      <w:r>
        <w:t>allow</w:t>
      </w:r>
      <w:r w:rsidRPr="00DB1EC7">
        <w:t xml:space="preserve"> individual consumers to have clarity regarding their right to any universal service</w:t>
      </w:r>
      <w:r w:rsidR="009518B6">
        <w:t>, and</w:t>
      </w:r>
      <w:r w:rsidRPr="00DB1EC7">
        <w:t xml:space="preserve"> provide transparency to industry </w:t>
      </w:r>
      <w:r w:rsidR="009518B6">
        <w:t>if</w:t>
      </w:r>
      <w:r w:rsidRPr="00DB1EC7">
        <w:t xml:space="preserve"> any levy arrangements are used to fund interventions. </w:t>
      </w:r>
    </w:p>
    <w:p w14:paraId="047C04C1" w14:textId="77777777" w:rsidR="00456487" w:rsidRDefault="00456487">
      <w:pPr>
        <w:spacing w:after="0" w:line="240" w:lineRule="auto"/>
      </w:pPr>
      <w:r>
        <w:br w:type="page"/>
      </w:r>
    </w:p>
    <w:p w14:paraId="5403DEAB" w14:textId="77777777" w:rsidR="00591A2C" w:rsidRPr="002411BA" w:rsidRDefault="00591A2C" w:rsidP="002411BA">
      <w:pPr>
        <w:pStyle w:val="ListNumber"/>
        <w:rPr>
          <w:b/>
        </w:rPr>
      </w:pPr>
      <w:r w:rsidRPr="002411BA">
        <w:rPr>
          <w:b/>
        </w:rPr>
        <w:lastRenderedPageBreak/>
        <w:t xml:space="preserve">Funding </w:t>
      </w:r>
    </w:p>
    <w:p w14:paraId="33823757" w14:textId="7770C567" w:rsidR="00591A2C" w:rsidRPr="00E46212" w:rsidRDefault="00591A2C" w:rsidP="00E46212">
      <w:r>
        <w:t>Any f</w:t>
      </w:r>
      <w:r w:rsidRPr="00DB1EC7">
        <w:t>unding mechanisms</w:t>
      </w:r>
      <w:r>
        <w:t xml:space="preserve"> used to support any universal service regime</w:t>
      </w:r>
      <w:r w:rsidR="007B4CC2">
        <w:t>,</w:t>
      </w:r>
      <w:r w:rsidRPr="00DB1EC7">
        <w:t xml:space="preserve"> </w:t>
      </w:r>
      <w:r w:rsidR="00832ECC">
        <w:t xml:space="preserve">and </w:t>
      </w:r>
      <w:r>
        <w:t xml:space="preserve">intended </w:t>
      </w:r>
      <w:r w:rsidRPr="00DB1EC7">
        <w:t>to recover the net cost of the universal service framework from industry</w:t>
      </w:r>
      <w:r w:rsidR="00832ECC">
        <w:t>,</w:t>
      </w:r>
      <w:r w:rsidRPr="00DB1EC7">
        <w:t xml:space="preserve"> should do so in a way </w:t>
      </w:r>
      <w:r w:rsidR="00815790">
        <w:t>that</w:t>
      </w:r>
      <w:r w:rsidR="00815790" w:rsidRPr="00DB1EC7">
        <w:t xml:space="preserve"> </w:t>
      </w:r>
      <w:r w:rsidRPr="00DB1EC7">
        <w:t xml:space="preserve">is </w:t>
      </w:r>
      <w:r w:rsidRPr="002D51B8">
        <w:rPr>
          <w:b/>
        </w:rPr>
        <w:t>equitable across all relevant industry participants and minimises as far as possible competitive distortions</w:t>
      </w:r>
      <w:r w:rsidRPr="00DB1EC7">
        <w:t>.</w:t>
      </w:r>
      <w:r>
        <w:t xml:space="preserve"> In addition, a smooth transition to any new </w:t>
      </w:r>
      <w:r w:rsidRPr="00D76D3D">
        <w:t xml:space="preserve">funding </w:t>
      </w:r>
      <w:r>
        <w:t xml:space="preserve">arrangement needs to ensure industry certainty is </w:t>
      </w:r>
      <w:r w:rsidRPr="00D76D3D">
        <w:t>maintain</w:t>
      </w:r>
      <w:r>
        <w:t>ed</w:t>
      </w:r>
      <w:r w:rsidR="00815790">
        <w:t>,</w:t>
      </w:r>
      <w:r w:rsidRPr="00D76D3D">
        <w:t xml:space="preserve"> </w:t>
      </w:r>
      <w:r>
        <w:t xml:space="preserve">both during the </w:t>
      </w:r>
      <w:r w:rsidRPr="00D76D3D">
        <w:t>transitional phase, and thereafter</w:t>
      </w:r>
      <w:r>
        <w:t>.</w:t>
      </w:r>
      <w:r w:rsidRPr="00D76D3D">
        <w:t xml:space="preserve"> </w:t>
      </w:r>
    </w:p>
    <w:p w14:paraId="2591C9B1" w14:textId="77777777" w:rsidR="00591A2C" w:rsidRPr="002411BA" w:rsidRDefault="00591A2C" w:rsidP="002411BA">
      <w:pPr>
        <w:pStyle w:val="ListNumber"/>
        <w:rPr>
          <w:b/>
        </w:rPr>
      </w:pPr>
      <w:r w:rsidRPr="002411BA">
        <w:rPr>
          <w:b/>
        </w:rPr>
        <w:t xml:space="preserve">Flexibility </w:t>
      </w:r>
    </w:p>
    <w:p w14:paraId="64F350E8" w14:textId="791360AD" w:rsidR="00591A2C" w:rsidRDefault="00591A2C" w:rsidP="00E46212">
      <w:r>
        <w:t xml:space="preserve">Given the dynamic nature of the communications sector, </w:t>
      </w:r>
      <w:r w:rsidRPr="002D51B8">
        <w:rPr>
          <w:b/>
        </w:rPr>
        <w:t>any new universal service framework should also embed the capacity for an evolution of service standards</w:t>
      </w:r>
      <w:r>
        <w:t xml:space="preserve">. This would </w:t>
      </w:r>
      <w:r w:rsidRPr="00DB1EC7">
        <w:t>involv</w:t>
      </w:r>
      <w:r>
        <w:t>e</w:t>
      </w:r>
      <w:r w:rsidRPr="00DB1EC7">
        <w:t xml:space="preserve"> transparent processes for determining if, or when, a change to service requirements are appropriate</w:t>
      </w:r>
      <w:r>
        <w:t xml:space="preserve">. In addition, the </w:t>
      </w:r>
      <w:r w:rsidRPr="00DB1EC7">
        <w:t>transition to any new service standard</w:t>
      </w:r>
      <w:r>
        <w:t>s</w:t>
      </w:r>
      <w:r w:rsidRPr="00DB1EC7">
        <w:t xml:space="preserve"> </w:t>
      </w:r>
      <w:r>
        <w:t xml:space="preserve">should aim for </w:t>
      </w:r>
      <w:r w:rsidRPr="00DB1EC7">
        <w:t>minimum cost and market distortion.</w:t>
      </w:r>
      <w:r>
        <w:t xml:space="preserve"> For instance, it seems reasonably likely that a universal service policy regime will need to be re-examined following the full rollout (and potential privatisation) of the </w:t>
      </w:r>
      <w:r w:rsidR="00815790">
        <w:t>NBN</w:t>
      </w:r>
      <w:r>
        <w:t>.</w:t>
      </w:r>
    </w:p>
    <w:p w14:paraId="6573CAAA" w14:textId="77777777" w:rsidR="00591A2C" w:rsidRPr="002411BA" w:rsidRDefault="00591A2C" w:rsidP="002411BA">
      <w:pPr>
        <w:pStyle w:val="ListNumber"/>
        <w:rPr>
          <w:b/>
        </w:rPr>
      </w:pPr>
      <w:r w:rsidRPr="002411BA">
        <w:rPr>
          <w:b/>
        </w:rPr>
        <w:t xml:space="preserve">Best practice principles </w:t>
      </w:r>
    </w:p>
    <w:p w14:paraId="2632DBAA" w14:textId="77777777" w:rsidR="00591A2C" w:rsidRPr="00DB1EC7" w:rsidRDefault="00591A2C" w:rsidP="009402EF">
      <w:pPr>
        <w:spacing w:after="80"/>
      </w:pPr>
      <w:r w:rsidRPr="00DB1EC7">
        <w:t>The ACMA also considers that any interventions of a regulatory nature should adhere to regulatory best practice principles, such as:</w:t>
      </w:r>
    </w:p>
    <w:p w14:paraId="0821BE8F" w14:textId="50B71F99" w:rsidR="00591A2C" w:rsidRPr="00DB1EC7" w:rsidRDefault="00591A2C" w:rsidP="00E46212">
      <w:pPr>
        <w:pStyle w:val="ListBullet"/>
      </w:pPr>
      <w:r w:rsidRPr="00E46212">
        <w:rPr>
          <w:b/>
        </w:rPr>
        <w:t xml:space="preserve">any obligations should be placed on those best placed to deliver </w:t>
      </w:r>
      <w:r w:rsidR="00815790">
        <w:rPr>
          <w:b/>
        </w:rPr>
        <w:t>them,</w:t>
      </w:r>
      <w:r w:rsidRPr="00E46212">
        <w:rPr>
          <w:b/>
        </w:rPr>
        <w:t xml:space="preserve"> and any risks are placed on those best placed to monitor and mitigate such risks</w:t>
      </w:r>
    </w:p>
    <w:p w14:paraId="11983776" w14:textId="77777777" w:rsidR="00591A2C" w:rsidRDefault="00591A2C" w:rsidP="00E46212">
      <w:pPr>
        <w:pStyle w:val="ListBulletLast"/>
      </w:pPr>
      <w:r>
        <w:t xml:space="preserve">for regulators to effectively ensure compliance with </w:t>
      </w:r>
      <w:r w:rsidRPr="00DB1EC7">
        <w:t>regulations</w:t>
      </w:r>
      <w:r>
        <w:t xml:space="preserve">, such </w:t>
      </w:r>
      <w:r w:rsidRPr="002D51B8">
        <w:rPr>
          <w:b/>
        </w:rPr>
        <w:t>regulations should be clear, measurable and enforceable</w:t>
      </w:r>
      <w:r w:rsidRPr="00DB1EC7">
        <w:t>.</w:t>
      </w:r>
    </w:p>
    <w:p w14:paraId="48ED1AB6" w14:textId="77777777" w:rsidR="0092693A" w:rsidRDefault="0092693A" w:rsidP="00E46212">
      <w:pPr>
        <w:rPr>
          <w:b/>
        </w:rPr>
      </w:pPr>
    </w:p>
    <w:p w14:paraId="63461F67" w14:textId="77777777" w:rsidR="0092693A" w:rsidRPr="0092693A" w:rsidRDefault="0092693A" w:rsidP="00E46212">
      <w:pPr>
        <w:rPr>
          <w:b/>
        </w:rPr>
      </w:pPr>
      <w:r w:rsidRPr="0092693A">
        <w:rPr>
          <w:b/>
        </w:rPr>
        <w:t>C</w:t>
      </w:r>
      <w:r w:rsidR="00591A2C" w:rsidRPr="0092693A">
        <w:rPr>
          <w:b/>
        </w:rPr>
        <w:t>onclusion</w:t>
      </w:r>
    </w:p>
    <w:p w14:paraId="17947699" w14:textId="3FCD7ACF" w:rsidR="00591A2C" w:rsidRPr="00986D35" w:rsidRDefault="0092693A" w:rsidP="00E46212">
      <w:r>
        <w:t>T</w:t>
      </w:r>
      <w:r w:rsidR="00591A2C" w:rsidRPr="00986D35">
        <w:t xml:space="preserve">he ACMA suggests the focus of a new universal service framework should be </w:t>
      </w:r>
      <w:r w:rsidR="00591A2C">
        <w:t xml:space="preserve">on </w:t>
      </w:r>
      <w:r w:rsidR="00591A2C" w:rsidRPr="00986D35">
        <w:t xml:space="preserve">providing an appropriate outcome for Australian consumers and business in </w:t>
      </w:r>
      <w:r w:rsidR="00591A2C">
        <w:t xml:space="preserve">an </w:t>
      </w:r>
      <w:r w:rsidR="00591A2C" w:rsidRPr="00986D35">
        <w:t xml:space="preserve">environment of increased reliance on communications. </w:t>
      </w:r>
      <w:r w:rsidR="00591A2C">
        <w:t xml:space="preserve">Given the rapidly evolving nature of the sector and consumers’ expectations of the service, the </w:t>
      </w:r>
      <w:r w:rsidR="00591A2C" w:rsidRPr="00986D35">
        <w:t xml:space="preserve">capacity for change and evolution should be built into </w:t>
      </w:r>
      <w:r w:rsidR="00815790">
        <w:t xml:space="preserve">the </w:t>
      </w:r>
      <w:r w:rsidR="00591A2C" w:rsidRPr="00986D35">
        <w:t>framework for universal service</w:t>
      </w:r>
      <w:r w:rsidR="00591A2C">
        <w:t>.</w:t>
      </w:r>
      <w:r w:rsidR="00591A2C" w:rsidRPr="00986D35">
        <w:t xml:space="preserve"> </w:t>
      </w:r>
    </w:p>
    <w:sectPr w:rsidR="00591A2C" w:rsidRPr="00986D35" w:rsidSect="00C77380">
      <w:headerReference w:type="even" r:id="rId53"/>
      <w:headerReference w:type="default" r:id="rId54"/>
      <w:footerReference w:type="even" r:id="rId55"/>
      <w:footerReference w:type="default" r:id="rId56"/>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1C762" w14:textId="77777777" w:rsidR="000158CB" w:rsidRDefault="000158CB">
      <w:r>
        <w:separator/>
      </w:r>
    </w:p>
    <w:p w14:paraId="6BA6B266" w14:textId="77777777" w:rsidR="000158CB" w:rsidRDefault="000158CB"/>
  </w:endnote>
  <w:endnote w:type="continuationSeparator" w:id="0">
    <w:p w14:paraId="5C6E108C" w14:textId="77777777" w:rsidR="000158CB" w:rsidRDefault="000158CB">
      <w:r>
        <w:continuationSeparator/>
      </w:r>
    </w:p>
    <w:p w14:paraId="512163FC" w14:textId="77777777" w:rsidR="000158CB" w:rsidRDefault="000158CB"/>
  </w:endnote>
  <w:endnote w:type="continuationNotice" w:id="1">
    <w:p w14:paraId="548D9605" w14:textId="77777777" w:rsidR="000158CB" w:rsidRDefault="00015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NeueW01-45Ligh">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D6F10" w14:textId="77777777" w:rsidR="000158CB" w:rsidRDefault="000158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C8B35" w14:textId="77777777" w:rsidR="000158CB" w:rsidRDefault="000158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D2F9" w14:textId="77777777" w:rsidR="000158CB" w:rsidRPr="00622A3B" w:rsidRDefault="000158CB"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125E8DED" w14:textId="77777777" w:rsidR="000158CB" w:rsidRPr="00A5474E" w:rsidRDefault="000158CB" w:rsidP="00A547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F6F28" w14:textId="77777777" w:rsidR="000158CB" w:rsidRPr="00622A3B" w:rsidRDefault="000158CB"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4F78066E" w14:textId="77777777" w:rsidR="000158CB" w:rsidRPr="00A5474E" w:rsidRDefault="000158CB" w:rsidP="00A547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AD15E" w14:textId="77777777" w:rsidR="000158CB" w:rsidRPr="00622A3B" w:rsidRDefault="000158CB"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5F3BB4">
      <w:rPr>
        <w:noProof/>
        <w:color w:val="505050"/>
      </w:rPr>
      <w:t>iii</w:t>
    </w:r>
    <w:r w:rsidRPr="002E4DDC">
      <w:rPr>
        <w:color w:val="505050"/>
      </w:rPr>
      <w:fldChar w:fldCharType="end"/>
    </w:r>
  </w:p>
  <w:p w14:paraId="1EBED87E" w14:textId="77777777" w:rsidR="000158CB" w:rsidRPr="00A5474E" w:rsidRDefault="000158CB" w:rsidP="00A5474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823AF" w14:textId="5DF08F4D" w:rsidR="000158CB" w:rsidRPr="00622A3B" w:rsidRDefault="000158CB"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5F3BB4">
      <w:rPr>
        <w:noProof/>
      </w:rPr>
      <w:t>2</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319DD9DA" w14:textId="77777777" w:rsidR="000158CB" w:rsidRPr="00A5474E" w:rsidRDefault="000158CB" w:rsidP="00A5474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7F194" w14:textId="4DAB85F5" w:rsidR="000158CB" w:rsidRPr="00622A3B" w:rsidRDefault="000158CB"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5F3BB4">
      <w:rPr>
        <w:noProof/>
        <w:color w:val="505050"/>
      </w:rPr>
      <w:t>1</w:t>
    </w:r>
    <w:r w:rsidRPr="00575AC5">
      <w:rPr>
        <w:color w:val="505050"/>
      </w:rPr>
      <w:fldChar w:fldCharType="end"/>
    </w:r>
  </w:p>
  <w:p w14:paraId="092B8972" w14:textId="77777777" w:rsidR="000158CB" w:rsidRPr="00A5474E" w:rsidRDefault="000158CB" w:rsidP="00A54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C65C6" w14:textId="1123CF9B" w:rsidR="000158CB" w:rsidRDefault="000158CB">
      <w:r>
        <w:separator/>
      </w:r>
    </w:p>
  </w:footnote>
  <w:footnote w:type="continuationSeparator" w:id="0">
    <w:p w14:paraId="1B0664A1" w14:textId="77777777" w:rsidR="000158CB" w:rsidRDefault="000158CB">
      <w:r>
        <w:continuationSeparator/>
      </w:r>
    </w:p>
    <w:p w14:paraId="6B30C892" w14:textId="77777777" w:rsidR="000158CB" w:rsidRDefault="000158CB"/>
  </w:footnote>
  <w:footnote w:type="continuationNotice" w:id="1">
    <w:p w14:paraId="4992C900" w14:textId="77777777" w:rsidR="000158CB" w:rsidRDefault="000158CB">
      <w:pPr>
        <w:spacing w:after="0" w:line="240" w:lineRule="auto"/>
      </w:pPr>
    </w:p>
  </w:footnote>
  <w:footnote w:id="2">
    <w:p w14:paraId="010BDDC9" w14:textId="52B1AB78" w:rsidR="000158CB" w:rsidRDefault="000158CB" w:rsidP="00761B9E">
      <w:pPr>
        <w:pStyle w:val="FootnoteText"/>
        <w:spacing w:after="0"/>
      </w:pPr>
      <w:r>
        <w:rPr>
          <w:rStyle w:val="FootnoteReference"/>
        </w:rPr>
        <w:footnoteRef/>
      </w:r>
      <w:r>
        <w:t xml:space="preserve"> As at June 2015 ACMA </w:t>
      </w:r>
      <w:r w:rsidRPr="0044278B">
        <w:rPr>
          <w:i/>
        </w:rPr>
        <w:t>Communications report 2014–15</w:t>
      </w:r>
      <w:r>
        <w:t>.</w:t>
      </w:r>
    </w:p>
  </w:footnote>
  <w:footnote w:id="3">
    <w:p w14:paraId="3F481966" w14:textId="050C0D17" w:rsidR="000158CB" w:rsidRDefault="000158CB" w:rsidP="00761B9E">
      <w:pPr>
        <w:pStyle w:val="FootnoteText"/>
        <w:spacing w:after="0"/>
      </w:pPr>
      <w:r>
        <w:rPr>
          <w:rStyle w:val="FootnoteReference"/>
        </w:rPr>
        <w:footnoteRef/>
      </w:r>
      <w:r>
        <w:t xml:space="preserve"> See section 9 of the TCPSS Act.</w:t>
      </w:r>
    </w:p>
  </w:footnote>
  <w:footnote w:id="4">
    <w:p w14:paraId="4C032C6E" w14:textId="3A5ECD73" w:rsidR="000158CB" w:rsidRDefault="000158CB" w:rsidP="00C20207">
      <w:pPr>
        <w:pStyle w:val="FootnoteText"/>
        <w:spacing w:after="0"/>
      </w:pPr>
      <w:r>
        <w:rPr>
          <w:rStyle w:val="FootnoteReference"/>
        </w:rPr>
        <w:footnoteRef/>
      </w:r>
      <w:r>
        <w:t xml:space="preserve"> ACMA, </w:t>
      </w:r>
      <w:hyperlink r:id="rId1" w:history="1">
        <w:r w:rsidRPr="00C20207">
          <w:rPr>
            <w:rStyle w:val="Hyperlink"/>
            <w:i/>
          </w:rPr>
          <w:t>Broken Concepts—The Australian Communications legislative landscape</w:t>
        </w:r>
      </w:hyperlink>
      <w:r>
        <w:t xml:space="preserve">, p. 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25B64" w14:textId="638C6B37" w:rsidR="000158CB" w:rsidRPr="00A5474E" w:rsidRDefault="000158CB" w:rsidP="00A5474E">
    <w:pPr>
      <w:pStyle w:val="Header"/>
    </w:pPr>
    <w:r>
      <w:rPr>
        <w:noProof/>
      </w:rPr>
      <w:drawing>
        <wp:inline distT="0" distB="0" distL="0" distR="0" wp14:anchorId="64768C6A" wp14:editId="32F5A456">
          <wp:extent cx="6388100" cy="520700"/>
          <wp:effectExtent l="0" t="0" r="0" b="12700"/>
          <wp:docPr id="49" name="Picture 49" title="Australian Communications and Media Authority logo and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extLst>
                      <a:ext uri="{28A0092B-C50C-407E-A947-70E740481C1C}">
                        <a14:useLocalDpi xmlns:a14="http://schemas.microsoft.com/office/drawing/2010/main" val="0"/>
                      </a:ext>
                    </a:extLst>
                  </a:blip>
                  <a:stretch>
                    <a:fillRect/>
                  </a:stretch>
                </pic:blipFill>
                <pic:spPr>
                  <a:xfrm>
                    <a:off x="0" y="0"/>
                    <a:ext cx="6388100" cy="5207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35457" w14:textId="77777777" w:rsidR="000158CB" w:rsidRPr="00A5474E" w:rsidRDefault="000158CB" w:rsidP="00594E9C">
    <w:pPr>
      <w:pStyle w:val="TOCHeading"/>
    </w:pPr>
    <w:r w:rsidRPr="0029593B">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C721" w14:textId="77777777" w:rsidR="000158CB" w:rsidRDefault="000158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3154" w14:textId="77777777" w:rsidR="000158CB" w:rsidRDefault="000158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78" w:type="dxa"/>
      <w:tblLayout w:type="fixed"/>
      <w:tblCellMar>
        <w:left w:w="0" w:type="dxa"/>
        <w:right w:w="0" w:type="dxa"/>
      </w:tblCellMar>
      <w:tblLook w:val="01E0" w:firstRow="1" w:lastRow="1" w:firstColumn="1" w:lastColumn="1" w:noHBand="0" w:noVBand="0"/>
    </w:tblPr>
    <w:tblGrid>
      <w:gridCol w:w="7678"/>
    </w:tblGrid>
    <w:tr w:rsidR="000158CB" w14:paraId="710D616F" w14:textId="77777777" w:rsidTr="00861944">
      <w:trPr>
        <w:trHeight w:hRule="exact" w:val="988"/>
      </w:trPr>
      <w:tc>
        <w:tcPr>
          <w:tcW w:w="7678" w:type="dxa"/>
          <w:shd w:val="clear" w:color="auto" w:fill="auto"/>
        </w:tcPr>
        <w:p w14:paraId="60A690C9" w14:textId="77777777" w:rsidR="000158CB" w:rsidRDefault="000158CB" w:rsidP="00971914">
          <w:pPr>
            <w:pStyle w:val="Header"/>
          </w:pPr>
        </w:p>
      </w:tc>
    </w:tr>
    <w:tr w:rsidR="000158CB" w14:paraId="5A68D9E5" w14:textId="77777777" w:rsidTr="00861944">
      <w:tc>
        <w:tcPr>
          <w:tcW w:w="7678" w:type="dxa"/>
          <w:shd w:val="clear" w:color="auto" w:fill="auto"/>
        </w:tcPr>
        <w:p w14:paraId="295FC72D" w14:textId="77777777" w:rsidR="000158CB" w:rsidRDefault="000158CB" w:rsidP="00971914">
          <w:pPr>
            <w:pStyle w:val="GridTable31"/>
          </w:pPr>
          <w:r>
            <w:t xml:space="preserve">Contents </w:t>
          </w:r>
          <w:r w:rsidRPr="00915B1C">
            <w:rPr>
              <w:b w:val="0"/>
              <w:spacing w:val="0"/>
              <w:sz w:val="28"/>
              <w:szCs w:val="28"/>
            </w:rPr>
            <w:t>(Continued)</w:t>
          </w:r>
        </w:p>
      </w:tc>
    </w:tr>
    <w:tr w:rsidR="000158CB" w14:paraId="489E131E" w14:textId="77777777" w:rsidTr="00861944">
      <w:trPr>
        <w:trHeight w:val="1220"/>
      </w:trPr>
      <w:tc>
        <w:tcPr>
          <w:tcW w:w="7678" w:type="dxa"/>
          <w:shd w:val="clear" w:color="auto" w:fill="auto"/>
        </w:tcPr>
        <w:p w14:paraId="037C0A26" w14:textId="77777777" w:rsidR="000158CB" w:rsidRDefault="000158CB" w:rsidP="00971914"/>
      </w:tc>
    </w:tr>
  </w:tbl>
  <w:p w14:paraId="73505264" w14:textId="77777777" w:rsidR="000158CB" w:rsidRDefault="000158CB" w:rsidP="0097191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78" w:type="dxa"/>
      <w:tblLayout w:type="fixed"/>
      <w:tblCellMar>
        <w:left w:w="0" w:type="dxa"/>
        <w:right w:w="0" w:type="dxa"/>
      </w:tblCellMar>
      <w:tblLook w:val="01E0" w:firstRow="1" w:lastRow="1" w:firstColumn="1" w:lastColumn="1" w:noHBand="0" w:noVBand="0"/>
    </w:tblPr>
    <w:tblGrid>
      <w:gridCol w:w="7678"/>
    </w:tblGrid>
    <w:tr w:rsidR="000158CB" w14:paraId="628E04B9" w14:textId="77777777" w:rsidTr="00861944">
      <w:trPr>
        <w:trHeight w:hRule="exact" w:val="988"/>
      </w:trPr>
      <w:tc>
        <w:tcPr>
          <w:tcW w:w="7678" w:type="dxa"/>
          <w:shd w:val="clear" w:color="auto" w:fill="auto"/>
        </w:tcPr>
        <w:p w14:paraId="2065201F" w14:textId="77777777" w:rsidR="000158CB" w:rsidRDefault="000158CB" w:rsidP="00971914">
          <w:pPr>
            <w:pStyle w:val="Header"/>
          </w:pPr>
        </w:p>
      </w:tc>
    </w:tr>
    <w:tr w:rsidR="000158CB" w14:paraId="39F590C6" w14:textId="77777777" w:rsidTr="00861944">
      <w:tc>
        <w:tcPr>
          <w:tcW w:w="7678" w:type="dxa"/>
          <w:shd w:val="clear" w:color="auto" w:fill="auto"/>
        </w:tcPr>
        <w:p w14:paraId="7D5827A3" w14:textId="77777777" w:rsidR="000158CB" w:rsidRDefault="000158CB" w:rsidP="00971914">
          <w:pPr>
            <w:pStyle w:val="GridTable31"/>
          </w:pPr>
          <w:r>
            <w:t xml:space="preserve">Contents </w:t>
          </w:r>
          <w:r w:rsidRPr="00915B1C">
            <w:rPr>
              <w:b w:val="0"/>
              <w:spacing w:val="0"/>
              <w:sz w:val="28"/>
              <w:szCs w:val="28"/>
            </w:rPr>
            <w:t>(Continued)</w:t>
          </w:r>
        </w:p>
      </w:tc>
    </w:tr>
    <w:tr w:rsidR="000158CB" w14:paraId="07F9E6EA" w14:textId="77777777" w:rsidTr="00861944">
      <w:trPr>
        <w:trHeight w:val="1220"/>
      </w:trPr>
      <w:tc>
        <w:tcPr>
          <w:tcW w:w="7678" w:type="dxa"/>
          <w:shd w:val="clear" w:color="auto" w:fill="auto"/>
        </w:tcPr>
        <w:p w14:paraId="1CBFDFD0" w14:textId="77777777" w:rsidR="000158CB" w:rsidRDefault="000158CB" w:rsidP="00971914"/>
      </w:tc>
    </w:tr>
  </w:tbl>
  <w:p w14:paraId="191C42E7" w14:textId="77777777" w:rsidR="000158CB" w:rsidRPr="00A5474E" w:rsidRDefault="000158CB" w:rsidP="00A547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90714" w14:textId="77777777" w:rsidR="000158CB" w:rsidRDefault="000158C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0A1C" w14:textId="77777777" w:rsidR="000158CB" w:rsidRDefault="000158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1EEE72"/>
    <w:lvl w:ilvl="0">
      <w:start w:val="1"/>
      <w:numFmt w:val="decimal"/>
      <w:lvlText w:val="%1."/>
      <w:lvlJc w:val="left"/>
      <w:pPr>
        <w:tabs>
          <w:tab w:val="num" w:pos="1492"/>
        </w:tabs>
        <w:ind w:left="1492" w:hanging="360"/>
      </w:pPr>
    </w:lvl>
  </w:abstractNum>
  <w:abstractNum w:abstractNumId="1">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2">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3">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4">
    <w:nsid w:val="FFFFFF89"/>
    <w:multiLevelType w:val="singleLevel"/>
    <w:tmpl w:val="8D465DE8"/>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5">
    <w:nsid w:val="04707724"/>
    <w:multiLevelType w:val="hybridMultilevel"/>
    <w:tmpl w:val="D3806AA4"/>
    <w:lvl w:ilvl="0" w:tplc="F13C53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853DE8"/>
    <w:multiLevelType w:val="hybridMultilevel"/>
    <w:tmpl w:val="611AA412"/>
    <w:lvl w:ilvl="0" w:tplc="C7686166">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A1028B"/>
    <w:multiLevelType w:val="hybridMultilevel"/>
    <w:tmpl w:val="185E28D0"/>
    <w:lvl w:ilvl="0" w:tplc="138A18E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9F96116"/>
    <w:multiLevelType w:val="hybridMultilevel"/>
    <w:tmpl w:val="92E6123C"/>
    <w:lvl w:ilvl="0" w:tplc="F13C53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EE05F65"/>
    <w:multiLevelType w:val="hybridMultilevel"/>
    <w:tmpl w:val="D6AAD0B4"/>
    <w:lvl w:ilvl="0" w:tplc="F13C53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4117F02"/>
    <w:multiLevelType w:val="hybridMultilevel"/>
    <w:tmpl w:val="979A9D80"/>
    <w:lvl w:ilvl="0" w:tplc="F13C53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52F6F0E"/>
    <w:multiLevelType w:val="hybridMultilevel"/>
    <w:tmpl w:val="73C0EB70"/>
    <w:lvl w:ilvl="0" w:tplc="F13C5362">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52AD6EBB"/>
    <w:multiLevelType w:val="hybridMultilevel"/>
    <w:tmpl w:val="72FC9C54"/>
    <w:lvl w:ilvl="0" w:tplc="C7686166">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5AA21F0"/>
    <w:multiLevelType w:val="hybridMultilevel"/>
    <w:tmpl w:val="06AC6452"/>
    <w:lvl w:ilvl="0" w:tplc="075A84B2">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82AE1"/>
    <w:multiLevelType w:val="hybridMultilevel"/>
    <w:tmpl w:val="9CC81C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071478"/>
    <w:multiLevelType w:val="hybridMultilevel"/>
    <w:tmpl w:val="4560EABA"/>
    <w:lvl w:ilvl="0" w:tplc="01D2533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83212"/>
    <w:multiLevelType w:val="hybridMultilevel"/>
    <w:tmpl w:val="2B14FC9E"/>
    <w:lvl w:ilvl="0" w:tplc="C7686166">
      <w:start w:val="1"/>
      <w:numFmt w:val="bullet"/>
      <w:lvlText w:val="&gt;"/>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9"/>
  </w:num>
  <w:num w:numId="6">
    <w:abstractNumId w:val="17"/>
  </w:num>
  <w:num w:numId="7">
    <w:abstractNumId w:val="14"/>
  </w:num>
  <w:num w:numId="8">
    <w:abstractNumId w:val="16"/>
  </w:num>
  <w:num w:numId="9">
    <w:abstractNumId w:val="19"/>
  </w:num>
  <w:num w:numId="10">
    <w:abstractNumId w:val="5"/>
  </w:num>
  <w:num w:numId="11">
    <w:abstractNumId w:val="10"/>
  </w:num>
  <w:num w:numId="12">
    <w:abstractNumId w:val="8"/>
  </w:num>
  <w:num w:numId="13">
    <w:abstractNumId w:val="12"/>
  </w:num>
  <w:num w:numId="14">
    <w:abstractNumId w:val="11"/>
  </w:num>
  <w:num w:numId="15">
    <w:abstractNumId w:val="18"/>
  </w:num>
  <w:num w:numId="16">
    <w:abstractNumId w:val="6"/>
  </w:num>
  <w:num w:numId="17">
    <w:abstractNumId w:val="13"/>
  </w:num>
  <w:num w:numId="18">
    <w:abstractNumId w:val="15"/>
  </w:num>
  <w:num w:numId="19">
    <w:abstractNumId w:val="0"/>
  </w:num>
  <w:num w:numId="2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14337">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A2C"/>
    <w:rsid w:val="000022EB"/>
    <w:rsid w:val="00006620"/>
    <w:rsid w:val="00010667"/>
    <w:rsid w:val="000129D5"/>
    <w:rsid w:val="000158CB"/>
    <w:rsid w:val="00015AE7"/>
    <w:rsid w:val="00016222"/>
    <w:rsid w:val="00016E21"/>
    <w:rsid w:val="0001719C"/>
    <w:rsid w:val="00017AA0"/>
    <w:rsid w:val="00021191"/>
    <w:rsid w:val="0002204B"/>
    <w:rsid w:val="0002224E"/>
    <w:rsid w:val="00025001"/>
    <w:rsid w:val="00026F91"/>
    <w:rsid w:val="0004764C"/>
    <w:rsid w:val="0005011A"/>
    <w:rsid w:val="0005045A"/>
    <w:rsid w:val="00051040"/>
    <w:rsid w:val="00051C1E"/>
    <w:rsid w:val="000539F9"/>
    <w:rsid w:val="00054C27"/>
    <w:rsid w:val="00055EC3"/>
    <w:rsid w:val="00056053"/>
    <w:rsid w:val="0005625D"/>
    <w:rsid w:val="000563CE"/>
    <w:rsid w:val="000659B6"/>
    <w:rsid w:val="00065AC2"/>
    <w:rsid w:val="0006686F"/>
    <w:rsid w:val="0006722A"/>
    <w:rsid w:val="000727E2"/>
    <w:rsid w:val="000732CF"/>
    <w:rsid w:val="000737F7"/>
    <w:rsid w:val="00075B96"/>
    <w:rsid w:val="0008196A"/>
    <w:rsid w:val="000838C4"/>
    <w:rsid w:val="000915ED"/>
    <w:rsid w:val="0009209D"/>
    <w:rsid w:val="000969BD"/>
    <w:rsid w:val="000969BF"/>
    <w:rsid w:val="000A0C22"/>
    <w:rsid w:val="000A3C43"/>
    <w:rsid w:val="000A4A51"/>
    <w:rsid w:val="000A5D2B"/>
    <w:rsid w:val="000B3CDC"/>
    <w:rsid w:val="000B5DE3"/>
    <w:rsid w:val="000C0A57"/>
    <w:rsid w:val="000C230C"/>
    <w:rsid w:val="000C3C46"/>
    <w:rsid w:val="000C6AB4"/>
    <w:rsid w:val="000C799E"/>
    <w:rsid w:val="000D3785"/>
    <w:rsid w:val="000D5B7B"/>
    <w:rsid w:val="000D5BDC"/>
    <w:rsid w:val="000D71D9"/>
    <w:rsid w:val="000D76E0"/>
    <w:rsid w:val="000D78F7"/>
    <w:rsid w:val="000D7E8B"/>
    <w:rsid w:val="000E0CFB"/>
    <w:rsid w:val="000E4449"/>
    <w:rsid w:val="000E4DF3"/>
    <w:rsid w:val="000E6097"/>
    <w:rsid w:val="000E60D5"/>
    <w:rsid w:val="000F3E7C"/>
    <w:rsid w:val="00100DC4"/>
    <w:rsid w:val="001037C3"/>
    <w:rsid w:val="00103829"/>
    <w:rsid w:val="00111FCE"/>
    <w:rsid w:val="001129BA"/>
    <w:rsid w:val="0011396B"/>
    <w:rsid w:val="001226AE"/>
    <w:rsid w:val="001229A5"/>
    <w:rsid w:val="00122F1C"/>
    <w:rsid w:val="0012489B"/>
    <w:rsid w:val="001248CB"/>
    <w:rsid w:val="00124B4D"/>
    <w:rsid w:val="001268BD"/>
    <w:rsid w:val="00126EC2"/>
    <w:rsid w:val="00130017"/>
    <w:rsid w:val="0013037A"/>
    <w:rsid w:val="00130F91"/>
    <w:rsid w:val="001349ED"/>
    <w:rsid w:val="00137424"/>
    <w:rsid w:val="00140318"/>
    <w:rsid w:val="00140330"/>
    <w:rsid w:val="00141AD9"/>
    <w:rsid w:val="0014652F"/>
    <w:rsid w:val="00146CE6"/>
    <w:rsid w:val="00152903"/>
    <w:rsid w:val="00152D7E"/>
    <w:rsid w:val="00153FD5"/>
    <w:rsid w:val="0015614F"/>
    <w:rsid w:val="001577C2"/>
    <w:rsid w:val="001633C4"/>
    <w:rsid w:val="001648DF"/>
    <w:rsid w:val="00171591"/>
    <w:rsid w:val="00173981"/>
    <w:rsid w:val="0017719D"/>
    <w:rsid w:val="00180DBD"/>
    <w:rsid w:val="00183FD7"/>
    <w:rsid w:val="00185CAB"/>
    <w:rsid w:val="001875B7"/>
    <w:rsid w:val="00187CB3"/>
    <w:rsid w:val="00187E21"/>
    <w:rsid w:val="0019050A"/>
    <w:rsid w:val="001910D4"/>
    <w:rsid w:val="001976E3"/>
    <w:rsid w:val="001A44EC"/>
    <w:rsid w:val="001A609F"/>
    <w:rsid w:val="001A6A08"/>
    <w:rsid w:val="001B0E1D"/>
    <w:rsid w:val="001B19B1"/>
    <w:rsid w:val="001B37BC"/>
    <w:rsid w:val="001B58AA"/>
    <w:rsid w:val="001B7E48"/>
    <w:rsid w:val="001C17CE"/>
    <w:rsid w:val="001C2B43"/>
    <w:rsid w:val="001C36CA"/>
    <w:rsid w:val="001C44D1"/>
    <w:rsid w:val="001C5767"/>
    <w:rsid w:val="001C6AEE"/>
    <w:rsid w:val="001C7630"/>
    <w:rsid w:val="001D4A88"/>
    <w:rsid w:val="001D6D15"/>
    <w:rsid w:val="001E70A2"/>
    <w:rsid w:val="001E783A"/>
    <w:rsid w:val="001E78FD"/>
    <w:rsid w:val="001F7558"/>
    <w:rsid w:val="001F77AF"/>
    <w:rsid w:val="00205B57"/>
    <w:rsid w:val="00205C33"/>
    <w:rsid w:val="00205F0F"/>
    <w:rsid w:val="0021042E"/>
    <w:rsid w:val="002157E0"/>
    <w:rsid w:val="00216A57"/>
    <w:rsid w:val="0022334F"/>
    <w:rsid w:val="00225571"/>
    <w:rsid w:val="00226819"/>
    <w:rsid w:val="00233101"/>
    <w:rsid w:val="00233817"/>
    <w:rsid w:val="00235AA3"/>
    <w:rsid w:val="002367FF"/>
    <w:rsid w:val="00240CE9"/>
    <w:rsid w:val="002411BA"/>
    <w:rsid w:val="002429B4"/>
    <w:rsid w:val="002434BA"/>
    <w:rsid w:val="0024468B"/>
    <w:rsid w:val="00246089"/>
    <w:rsid w:val="00246093"/>
    <w:rsid w:val="00246702"/>
    <w:rsid w:val="00247C59"/>
    <w:rsid w:val="00247F2E"/>
    <w:rsid w:val="00250ADC"/>
    <w:rsid w:val="00250B07"/>
    <w:rsid w:val="00255423"/>
    <w:rsid w:val="00257553"/>
    <w:rsid w:val="00260FB2"/>
    <w:rsid w:val="00262128"/>
    <w:rsid w:val="00262E6A"/>
    <w:rsid w:val="00263F44"/>
    <w:rsid w:val="0027165D"/>
    <w:rsid w:val="00273CEB"/>
    <w:rsid w:val="00274764"/>
    <w:rsid w:val="00275283"/>
    <w:rsid w:val="00277627"/>
    <w:rsid w:val="00281C89"/>
    <w:rsid w:val="0028282F"/>
    <w:rsid w:val="00293EF1"/>
    <w:rsid w:val="0029593B"/>
    <w:rsid w:val="00297FC5"/>
    <w:rsid w:val="002A0417"/>
    <w:rsid w:val="002A16D8"/>
    <w:rsid w:val="002A1BC8"/>
    <w:rsid w:val="002A3EF2"/>
    <w:rsid w:val="002B0DED"/>
    <w:rsid w:val="002B19A2"/>
    <w:rsid w:val="002B2378"/>
    <w:rsid w:val="002B3388"/>
    <w:rsid w:val="002B381A"/>
    <w:rsid w:val="002B4FCC"/>
    <w:rsid w:val="002B7408"/>
    <w:rsid w:val="002B7CFD"/>
    <w:rsid w:val="002C210F"/>
    <w:rsid w:val="002C668B"/>
    <w:rsid w:val="002D30F6"/>
    <w:rsid w:val="002D3600"/>
    <w:rsid w:val="002D51B8"/>
    <w:rsid w:val="002E4DDC"/>
    <w:rsid w:val="002F142D"/>
    <w:rsid w:val="00302480"/>
    <w:rsid w:val="00307602"/>
    <w:rsid w:val="00311AA1"/>
    <w:rsid w:val="003165E6"/>
    <w:rsid w:val="003221CF"/>
    <w:rsid w:val="003233ED"/>
    <w:rsid w:val="00324D9F"/>
    <w:rsid w:val="003275E9"/>
    <w:rsid w:val="00327849"/>
    <w:rsid w:val="00327948"/>
    <w:rsid w:val="0033000F"/>
    <w:rsid w:val="00330326"/>
    <w:rsid w:val="00332011"/>
    <w:rsid w:val="00332518"/>
    <w:rsid w:val="00332925"/>
    <w:rsid w:val="00333252"/>
    <w:rsid w:val="003332ED"/>
    <w:rsid w:val="003368DC"/>
    <w:rsid w:val="00342449"/>
    <w:rsid w:val="00345927"/>
    <w:rsid w:val="00350584"/>
    <w:rsid w:val="00351857"/>
    <w:rsid w:val="003545E8"/>
    <w:rsid w:val="003555CF"/>
    <w:rsid w:val="00360474"/>
    <w:rsid w:val="003610E1"/>
    <w:rsid w:val="003671BE"/>
    <w:rsid w:val="00370D20"/>
    <w:rsid w:val="00371B7B"/>
    <w:rsid w:val="00372485"/>
    <w:rsid w:val="00372FFB"/>
    <w:rsid w:val="00373200"/>
    <w:rsid w:val="00375EF5"/>
    <w:rsid w:val="003767A5"/>
    <w:rsid w:val="0037784A"/>
    <w:rsid w:val="00382ADD"/>
    <w:rsid w:val="00385254"/>
    <w:rsid w:val="003940A0"/>
    <w:rsid w:val="003A04DB"/>
    <w:rsid w:val="003A3E78"/>
    <w:rsid w:val="003A5F5B"/>
    <w:rsid w:val="003A5FC8"/>
    <w:rsid w:val="003A789A"/>
    <w:rsid w:val="003B12EC"/>
    <w:rsid w:val="003C2181"/>
    <w:rsid w:val="003C77E0"/>
    <w:rsid w:val="003D17D7"/>
    <w:rsid w:val="003D2678"/>
    <w:rsid w:val="003D5E7D"/>
    <w:rsid w:val="003D66E8"/>
    <w:rsid w:val="003D716D"/>
    <w:rsid w:val="003D71A3"/>
    <w:rsid w:val="003D7B52"/>
    <w:rsid w:val="003E0FC6"/>
    <w:rsid w:val="003E2B8A"/>
    <w:rsid w:val="003E74B9"/>
    <w:rsid w:val="003F10EE"/>
    <w:rsid w:val="003F16F6"/>
    <w:rsid w:val="003F4DC7"/>
    <w:rsid w:val="003F5235"/>
    <w:rsid w:val="003F66EC"/>
    <w:rsid w:val="004027E4"/>
    <w:rsid w:val="00407A90"/>
    <w:rsid w:val="00407F1A"/>
    <w:rsid w:val="004102FB"/>
    <w:rsid w:val="0041071D"/>
    <w:rsid w:val="00412A7D"/>
    <w:rsid w:val="004132DE"/>
    <w:rsid w:val="00414AFC"/>
    <w:rsid w:val="004151A7"/>
    <w:rsid w:val="00415310"/>
    <w:rsid w:val="00421709"/>
    <w:rsid w:val="00423763"/>
    <w:rsid w:val="00425DE7"/>
    <w:rsid w:val="0042762F"/>
    <w:rsid w:val="00427DC7"/>
    <w:rsid w:val="00431613"/>
    <w:rsid w:val="00431792"/>
    <w:rsid w:val="0043297A"/>
    <w:rsid w:val="00432EB2"/>
    <w:rsid w:val="0043714F"/>
    <w:rsid w:val="0044278B"/>
    <w:rsid w:val="004438B5"/>
    <w:rsid w:val="00447037"/>
    <w:rsid w:val="0045124D"/>
    <w:rsid w:val="00454596"/>
    <w:rsid w:val="00454AC2"/>
    <w:rsid w:val="0045605D"/>
    <w:rsid w:val="00456487"/>
    <w:rsid w:val="0046135B"/>
    <w:rsid w:val="0046186B"/>
    <w:rsid w:val="00461D47"/>
    <w:rsid w:val="00463A7B"/>
    <w:rsid w:val="00465CFA"/>
    <w:rsid w:val="004718CC"/>
    <w:rsid w:val="00471E07"/>
    <w:rsid w:val="00475AD8"/>
    <w:rsid w:val="0047698B"/>
    <w:rsid w:val="00480358"/>
    <w:rsid w:val="00481695"/>
    <w:rsid w:val="00495A96"/>
    <w:rsid w:val="00495BB3"/>
    <w:rsid w:val="00496C00"/>
    <w:rsid w:val="004A56BB"/>
    <w:rsid w:val="004A7084"/>
    <w:rsid w:val="004A7F4A"/>
    <w:rsid w:val="004B1751"/>
    <w:rsid w:val="004C0253"/>
    <w:rsid w:val="004D13EE"/>
    <w:rsid w:val="004D3EF0"/>
    <w:rsid w:val="004D56FF"/>
    <w:rsid w:val="004E39D3"/>
    <w:rsid w:val="004E508A"/>
    <w:rsid w:val="004E616D"/>
    <w:rsid w:val="004F1BDE"/>
    <w:rsid w:val="004F2CEE"/>
    <w:rsid w:val="004F53B8"/>
    <w:rsid w:val="004F556E"/>
    <w:rsid w:val="004F651D"/>
    <w:rsid w:val="004F7F44"/>
    <w:rsid w:val="005037B4"/>
    <w:rsid w:val="00504FEC"/>
    <w:rsid w:val="005079BF"/>
    <w:rsid w:val="00511112"/>
    <w:rsid w:val="0051269A"/>
    <w:rsid w:val="00512EE6"/>
    <w:rsid w:val="005219E7"/>
    <w:rsid w:val="00522527"/>
    <w:rsid w:val="00525887"/>
    <w:rsid w:val="005263C5"/>
    <w:rsid w:val="00531B9A"/>
    <w:rsid w:val="00531D15"/>
    <w:rsid w:val="00532DDE"/>
    <w:rsid w:val="00537604"/>
    <w:rsid w:val="00542377"/>
    <w:rsid w:val="005476EB"/>
    <w:rsid w:val="00551782"/>
    <w:rsid w:val="00563EF1"/>
    <w:rsid w:val="00565763"/>
    <w:rsid w:val="00566AB4"/>
    <w:rsid w:val="005715E9"/>
    <w:rsid w:val="00575124"/>
    <w:rsid w:val="005758DB"/>
    <w:rsid w:val="00575AC5"/>
    <w:rsid w:val="0057605D"/>
    <w:rsid w:val="00576643"/>
    <w:rsid w:val="00581347"/>
    <w:rsid w:val="00581AC9"/>
    <w:rsid w:val="005849F8"/>
    <w:rsid w:val="00591A2C"/>
    <w:rsid w:val="005938DF"/>
    <w:rsid w:val="00594E9C"/>
    <w:rsid w:val="005A099B"/>
    <w:rsid w:val="005A2D9C"/>
    <w:rsid w:val="005A3B41"/>
    <w:rsid w:val="005A55FE"/>
    <w:rsid w:val="005A662C"/>
    <w:rsid w:val="005A6A11"/>
    <w:rsid w:val="005B684E"/>
    <w:rsid w:val="005C11C7"/>
    <w:rsid w:val="005C43A1"/>
    <w:rsid w:val="005C4A64"/>
    <w:rsid w:val="005C54F0"/>
    <w:rsid w:val="005C6581"/>
    <w:rsid w:val="005C704A"/>
    <w:rsid w:val="005D2502"/>
    <w:rsid w:val="005D27C4"/>
    <w:rsid w:val="005D40BB"/>
    <w:rsid w:val="005D47F3"/>
    <w:rsid w:val="005D49BF"/>
    <w:rsid w:val="005D6F4E"/>
    <w:rsid w:val="005D7C73"/>
    <w:rsid w:val="005E3ACD"/>
    <w:rsid w:val="005E3BF8"/>
    <w:rsid w:val="005E3F61"/>
    <w:rsid w:val="005E4B5B"/>
    <w:rsid w:val="005E7226"/>
    <w:rsid w:val="005E7A57"/>
    <w:rsid w:val="005F0ED4"/>
    <w:rsid w:val="005F24B0"/>
    <w:rsid w:val="005F3BB4"/>
    <w:rsid w:val="005F47D6"/>
    <w:rsid w:val="005F4CF0"/>
    <w:rsid w:val="006030D5"/>
    <w:rsid w:val="00604315"/>
    <w:rsid w:val="00604E26"/>
    <w:rsid w:val="006052CF"/>
    <w:rsid w:val="00607B8D"/>
    <w:rsid w:val="006102A0"/>
    <w:rsid w:val="00610F19"/>
    <w:rsid w:val="00611F5C"/>
    <w:rsid w:val="00613F15"/>
    <w:rsid w:val="00614947"/>
    <w:rsid w:val="00616E09"/>
    <w:rsid w:val="00622A3B"/>
    <w:rsid w:val="00622EEA"/>
    <w:rsid w:val="0062396C"/>
    <w:rsid w:val="00623FF9"/>
    <w:rsid w:val="00627D4E"/>
    <w:rsid w:val="00631F26"/>
    <w:rsid w:val="00634478"/>
    <w:rsid w:val="006355FF"/>
    <w:rsid w:val="00641FD1"/>
    <w:rsid w:val="00642EE0"/>
    <w:rsid w:val="00644373"/>
    <w:rsid w:val="00645915"/>
    <w:rsid w:val="006519C3"/>
    <w:rsid w:val="00652B30"/>
    <w:rsid w:val="00654F68"/>
    <w:rsid w:val="00656345"/>
    <w:rsid w:val="00656DC6"/>
    <w:rsid w:val="00660EC6"/>
    <w:rsid w:val="00664110"/>
    <w:rsid w:val="00664D17"/>
    <w:rsid w:val="006663DA"/>
    <w:rsid w:val="00666520"/>
    <w:rsid w:val="00667C5B"/>
    <w:rsid w:val="00671C82"/>
    <w:rsid w:val="00682CA9"/>
    <w:rsid w:val="006850AF"/>
    <w:rsid w:val="00692CDE"/>
    <w:rsid w:val="00693073"/>
    <w:rsid w:val="006939D8"/>
    <w:rsid w:val="00694E5F"/>
    <w:rsid w:val="006977FF"/>
    <w:rsid w:val="006A01FA"/>
    <w:rsid w:val="006A0E9E"/>
    <w:rsid w:val="006A25C7"/>
    <w:rsid w:val="006A276B"/>
    <w:rsid w:val="006A4AAD"/>
    <w:rsid w:val="006A6DA2"/>
    <w:rsid w:val="006A6DAD"/>
    <w:rsid w:val="006A7AB2"/>
    <w:rsid w:val="006B2D35"/>
    <w:rsid w:val="006B5258"/>
    <w:rsid w:val="006B5717"/>
    <w:rsid w:val="006B582F"/>
    <w:rsid w:val="006C0CEB"/>
    <w:rsid w:val="006C3B1E"/>
    <w:rsid w:val="006C47FD"/>
    <w:rsid w:val="006C52D6"/>
    <w:rsid w:val="006C5C19"/>
    <w:rsid w:val="006C6599"/>
    <w:rsid w:val="006C70A0"/>
    <w:rsid w:val="006C74F2"/>
    <w:rsid w:val="006D27CB"/>
    <w:rsid w:val="006D2C31"/>
    <w:rsid w:val="006D2F08"/>
    <w:rsid w:val="006D5409"/>
    <w:rsid w:val="006D576C"/>
    <w:rsid w:val="006D5865"/>
    <w:rsid w:val="006E028A"/>
    <w:rsid w:val="006E19EC"/>
    <w:rsid w:val="006E4B1B"/>
    <w:rsid w:val="006E5445"/>
    <w:rsid w:val="006E7D93"/>
    <w:rsid w:val="006F0A75"/>
    <w:rsid w:val="007029A3"/>
    <w:rsid w:val="00706E4E"/>
    <w:rsid w:val="00706EF0"/>
    <w:rsid w:val="0070791C"/>
    <w:rsid w:val="0071383C"/>
    <w:rsid w:val="007141A7"/>
    <w:rsid w:val="00715722"/>
    <w:rsid w:val="00721032"/>
    <w:rsid w:val="00721B55"/>
    <w:rsid w:val="00723E5F"/>
    <w:rsid w:val="00726CE4"/>
    <w:rsid w:val="00734143"/>
    <w:rsid w:val="00736ECE"/>
    <w:rsid w:val="00737E47"/>
    <w:rsid w:val="00740EAC"/>
    <w:rsid w:val="007440EB"/>
    <w:rsid w:val="00744956"/>
    <w:rsid w:val="00745A5C"/>
    <w:rsid w:val="0074605F"/>
    <w:rsid w:val="00747E94"/>
    <w:rsid w:val="0075144C"/>
    <w:rsid w:val="007530F1"/>
    <w:rsid w:val="007538A5"/>
    <w:rsid w:val="00754C83"/>
    <w:rsid w:val="0076151D"/>
    <w:rsid w:val="00761B9E"/>
    <w:rsid w:val="007639AB"/>
    <w:rsid w:val="00764E64"/>
    <w:rsid w:val="00765DF8"/>
    <w:rsid w:val="00766749"/>
    <w:rsid w:val="007671EA"/>
    <w:rsid w:val="00767C1B"/>
    <w:rsid w:val="007714A9"/>
    <w:rsid w:val="00771504"/>
    <w:rsid w:val="00774F88"/>
    <w:rsid w:val="00774FDB"/>
    <w:rsid w:val="00777BA2"/>
    <w:rsid w:val="00777C43"/>
    <w:rsid w:val="00780583"/>
    <w:rsid w:val="00781408"/>
    <w:rsid w:val="00784F7F"/>
    <w:rsid w:val="007878BD"/>
    <w:rsid w:val="007917A5"/>
    <w:rsid w:val="00792121"/>
    <w:rsid w:val="00793182"/>
    <w:rsid w:val="00796F25"/>
    <w:rsid w:val="007A14CE"/>
    <w:rsid w:val="007A2897"/>
    <w:rsid w:val="007A2E98"/>
    <w:rsid w:val="007A3BA3"/>
    <w:rsid w:val="007A6CC0"/>
    <w:rsid w:val="007A7FEC"/>
    <w:rsid w:val="007B1499"/>
    <w:rsid w:val="007B1BBF"/>
    <w:rsid w:val="007B2960"/>
    <w:rsid w:val="007B355D"/>
    <w:rsid w:val="007B4CC2"/>
    <w:rsid w:val="007B56D4"/>
    <w:rsid w:val="007B7980"/>
    <w:rsid w:val="007C0DEF"/>
    <w:rsid w:val="007C1087"/>
    <w:rsid w:val="007C5D5A"/>
    <w:rsid w:val="007C607F"/>
    <w:rsid w:val="007C79DD"/>
    <w:rsid w:val="007D1A97"/>
    <w:rsid w:val="007D2CD6"/>
    <w:rsid w:val="007D3063"/>
    <w:rsid w:val="007D3C5E"/>
    <w:rsid w:val="007D3CEB"/>
    <w:rsid w:val="007D3EAE"/>
    <w:rsid w:val="007E5C2E"/>
    <w:rsid w:val="007E6DC4"/>
    <w:rsid w:val="007E7683"/>
    <w:rsid w:val="007F49FA"/>
    <w:rsid w:val="007F54C4"/>
    <w:rsid w:val="007F6E9A"/>
    <w:rsid w:val="007F74B4"/>
    <w:rsid w:val="0080163F"/>
    <w:rsid w:val="00803C1E"/>
    <w:rsid w:val="008044D4"/>
    <w:rsid w:val="00805BAB"/>
    <w:rsid w:val="008068D4"/>
    <w:rsid w:val="00810AB4"/>
    <w:rsid w:val="00815790"/>
    <w:rsid w:val="00817B56"/>
    <w:rsid w:val="00821A88"/>
    <w:rsid w:val="00824360"/>
    <w:rsid w:val="0082495D"/>
    <w:rsid w:val="00831AC3"/>
    <w:rsid w:val="00832ECC"/>
    <w:rsid w:val="00833199"/>
    <w:rsid w:val="008342C1"/>
    <w:rsid w:val="00837DA9"/>
    <w:rsid w:val="008408FF"/>
    <w:rsid w:val="0084108C"/>
    <w:rsid w:val="00850E63"/>
    <w:rsid w:val="00851F3F"/>
    <w:rsid w:val="00856BB0"/>
    <w:rsid w:val="00856EDC"/>
    <w:rsid w:val="00857795"/>
    <w:rsid w:val="00861944"/>
    <w:rsid w:val="008623B5"/>
    <w:rsid w:val="00870ABA"/>
    <w:rsid w:val="008710E1"/>
    <w:rsid w:val="008716E5"/>
    <w:rsid w:val="00881A0E"/>
    <w:rsid w:val="00881CA9"/>
    <w:rsid w:val="00883628"/>
    <w:rsid w:val="008842B0"/>
    <w:rsid w:val="00884921"/>
    <w:rsid w:val="00885544"/>
    <w:rsid w:val="0088634E"/>
    <w:rsid w:val="008910FD"/>
    <w:rsid w:val="0089126C"/>
    <w:rsid w:val="00893AB8"/>
    <w:rsid w:val="008A04C8"/>
    <w:rsid w:val="008A2B4C"/>
    <w:rsid w:val="008A6913"/>
    <w:rsid w:val="008A714B"/>
    <w:rsid w:val="008B70F3"/>
    <w:rsid w:val="008B7624"/>
    <w:rsid w:val="008B76DF"/>
    <w:rsid w:val="008C10F4"/>
    <w:rsid w:val="008C5685"/>
    <w:rsid w:val="008C65F7"/>
    <w:rsid w:val="008C6F4C"/>
    <w:rsid w:val="008D1C01"/>
    <w:rsid w:val="008D743B"/>
    <w:rsid w:val="008E4767"/>
    <w:rsid w:val="008E77FE"/>
    <w:rsid w:val="008E7A8C"/>
    <w:rsid w:val="008F38BC"/>
    <w:rsid w:val="00903285"/>
    <w:rsid w:val="00903333"/>
    <w:rsid w:val="00906774"/>
    <w:rsid w:val="00906F40"/>
    <w:rsid w:val="0090731E"/>
    <w:rsid w:val="00910E2B"/>
    <w:rsid w:val="0091173F"/>
    <w:rsid w:val="00914D03"/>
    <w:rsid w:val="00915B1C"/>
    <w:rsid w:val="009174F3"/>
    <w:rsid w:val="0091797D"/>
    <w:rsid w:val="00917A3E"/>
    <w:rsid w:val="00923CBA"/>
    <w:rsid w:val="00926703"/>
    <w:rsid w:val="0092693A"/>
    <w:rsid w:val="00927691"/>
    <w:rsid w:val="00927A5F"/>
    <w:rsid w:val="00927C68"/>
    <w:rsid w:val="00935B63"/>
    <w:rsid w:val="009402EF"/>
    <w:rsid w:val="0094078F"/>
    <w:rsid w:val="00940FA3"/>
    <w:rsid w:val="00941B25"/>
    <w:rsid w:val="00941FB0"/>
    <w:rsid w:val="00942344"/>
    <w:rsid w:val="009426D4"/>
    <w:rsid w:val="00944D7D"/>
    <w:rsid w:val="00947F25"/>
    <w:rsid w:val="00950159"/>
    <w:rsid w:val="009518B6"/>
    <w:rsid w:val="0095490B"/>
    <w:rsid w:val="00960A33"/>
    <w:rsid w:val="00963E2E"/>
    <w:rsid w:val="00971914"/>
    <w:rsid w:val="00974345"/>
    <w:rsid w:val="00974363"/>
    <w:rsid w:val="009765D5"/>
    <w:rsid w:val="00981898"/>
    <w:rsid w:val="00982B88"/>
    <w:rsid w:val="00984C81"/>
    <w:rsid w:val="00986663"/>
    <w:rsid w:val="00986D35"/>
    <w:rsid w:val="0099577C"/>
    <w:rsid w:val="00997174"/>
    <w:rsid w:val="009A3F32"/>
    <w:rsid w:val="009A64E2"/>
    <w:rsid w:val="009B2601"/>
    <w:rsid w:val="009B3FB0"/>
    <w:rsid w:val="009B4E9E"/>
    <w:rsid w:val="009B6792"/>
    <w:rsid w:val="009C1690"/>
    <w:rsid w:val="009C50D1"/>
    <w:rsid w:val="009C6881"/>
    <w:rsid w:val="009C7759"/>
    <w:rsid w:val="009D043D"/>
    <w:rsid w:val="009D07C8"/>
    <w:rsid w:val="009D6C71"/>
    <w:rsid w:val="009E0631"/>
    <w:rsid w:val="009E16D0"/>
    <w:rsid w:val="009E2581"/>
    <w:rsid w:val="009E38FD"/>
    <w:rsid w:val="009F13D6"/>
    <w:rsid w:val="009F4C6B"/>
    <w:rsid w:val="009F78A8"/>
    <w:rsid w:val="00A012BD"/>
    <w:rsid w:val="00A01600"/>
    <w:rsid w:val="00A02AD6"/>
    <w:rsid w:val="00A05E60"/>
    <w:rsid w:val="00A07096"/>
    <w:rsid w:val="00A07318"/>
    <w:rsid w:val="00A11370"/>
    <w:rsid w:val="00A14FAA"/>
    <w:rsid w:val="00A15445"/>
    <w:rsid w:val="00A1774E"/>
    <w:rsid w:val="00A224CE"/>
    <w:rsid w:val="00A22522"/>
    <w:rsid w:val="00A22DEC"/>
    <w:rsid w:val="00A24AFD"/>
    <w:rsid w:val="00A24F5C"/>
    <w:rsid w:val="00A32F96"/>
    <w:rsid w:val="00A40871"/>
    <w:rsid w:val="00A412AB"/>
    <w:rsid w:val="00A4193E"/>
    <w:rsid w:val="00A440E0"/>
    <w:rsid w:val="00A442EF"/>
    <w:rsid w:val="00A51D1A"/>
    <w:rsid w:val="00A5418D"/>
    <w:rsid w:val="00A5474E"/>
    <w:rsid w:val="00A561CF"/>
    <w:rsid w:val="00A6197B"/>
    <w:rsid w:val="00A640A6"/>
    <w:rsid w:val="00A67F8B"/>
    <w:rsid w:val="00A7041D"/>
    <w:rsid w:val="00A70ADF"/>
    <w:rsid w:val="00A71466"/>
    <w:rsid w:val="00A734A9"/>
    <w:rsid w:val="00A74B5E"/>
    <w:rsid w:val="00A81BED"/>
    <w:rsid w:val="00A81EC4"/>
    <w:rsid w:val="00A906BA"/>
    <w:rsid w:val="00A9583D"/>
    <w:rsid w:val="00A96702"/>
    <w:rsid w:val="00A967FD"/>
    <w:rsid w:val="00AB156C"/>
    <w:rsid w:val="00AB5853"/>
    <w:rsid w:val="00AB6814"/>
    <w:rsid w:val="00AC04BA"/>
    <w:rsid w:val="00AC0E39"/>
    <w:rsid w:val="00AC7222"/>
    <w:rsid w:val="00AC7245"/>
    <w:rsid w:val="00AD3082"/>
    <w:rsid w:val="00AD3450"/>
    <w:rsid w:val="00AD4AD0"/>
    <w:rsid w:val="00AD5436"/>
    <w:rsid w:val="00AD60CD"/>
    <w:rsid w:val="00AD6C8C"/>
    <w:rsid w:val="00AE091D"/>
    <w:rsid w:val="00AE148D"/>
    <w:rsid w:val="00AE3B60"/>
    <w:rsid w:val="00AE53A1"/>
    <w:rsid w:val="00AF2484"/>
    <w:rsid w:val="00AF45D0"/>
    <w:rsid w:val="00AF63E7"/>
    <w:rsid w:val="00AF6E17"/>
    <w:rsid w:val="00B0165D"/>
    <w:rsid w:val="00B01B60"/>
    <w:rsid w:val="00B031F3"/>
    <w:rsid w:val="00B052A4"/>
    <w:rsid w:val="00B10A96"/>
    <w:rsid w:val="00B1206F"/>
    <w:rsid w:val="00B125DE"/>
    <w:rsid w:val="00B13FDD"/>
    <w:rsid w:val="00B20B4E"/>
    <w:rsid w:val="00B22EB2"/>
    <w:rsid w:val="00B24825"/>
    <w:rsid w:val="00B27442"/>
    <w:rsid w:val="00B27765"/>
    <w:rsid w:val="00B30126"/>
    <w:rsid w:val="00B31167"/>
    <w:rsid w:val="00B329D8"/>
    <w:rsid w:val="00B32BB9"/>
    <w:rsid w:val="00B33AE1"/>
    <w:rsid w:val="00B34871"/>
    <w:rsid w:val="00B37C38"/>
    <w:rsid w:val="00B4288C"/>
    <w:rsid w:val="00B43262"/>
    <w:rsid w:val="00B44100"/>
    <w:rsid w:val="00B44DA3"/>
    <w:rsid w:val="00B4663D"/>
    <w:rsid w:val="00B46CBA"/>
    <w:rsid w:val="00B46F94"/>
    <w:rsid w:val="00B57378"/>
    <w:rsid w:val="00B6003C"/>
    <w:rsid w:val="00B61F03"/>
    <w:rsid w:val="00B626E4"/>
    <w:rsid w:val="00B63BBC"/>
    <w:rsid w:val="00B72F4A"/>
    <w:rsid w:val="00B75FFF"/>
    <w:rsid w:val="00B771F5"/>
    <w:rsid w:val="00B777D4"/>
    <w:rsid w:val="00B81AE2"/>
    <w:rsid w:val="00B83C27"/>
    <w:rsid w:val="00B84BC3"/>
    <w:rsid w:val="00B84BDD"/>
    <w:rsid w:val="00B85231"/>
    <w:rsid w:val="00B857EA"/>
    <w:rsid w:val="00B86985"/>
    <w:rsid w:val="00B91A5E"/>
    <w:rsid w:val="00B91EB6"/>
    <w:rsid w:val="00B9224A"/>
    <w:rsid w:val="00B92812"/>
    <w:rsid w:val="00B9701F"/>
    <w:rsid w:val="00BB408B"/>
    <w:rsid w:val="00BB45A1"/>
    <w:rsid w:val="00BB7686"/>
    <w:rsid w:val="00BB781A"/>
    <w:rsid w:val="00BB7952"/>
    <w:rsid w:val="00BC23F9"/>
    <w:rsid w:val="00BC3235"/>
    <w:rsid w:val="00BC3421"/>
    <w:rsid w:val="00BC3A11"/>
    <w:rsid w:val="00BC6141"/>
    <w:rsid w:val="00BC732C"/>
    <w:rsid w:val="00BD0171"/>
    <w:rsid w:val="00BD3E66"/>
    <w:rsid w:val="00BE2580"/>
    <w:rsid w:val="00BE266D"/>
    <w:rsid w:val="00BE2EDF"/>
    <w:rsid w:val="00BE3121"/>
    <w:rsid w:val="00BE3938"/>
    <w:rsid w:val="00BE41A9"/>
    <w:rsid w:val="00BE4C11"/>
    <w:rsid w:val="00BE71C0"/>
    <w:rsid w:val="00BF029C"/>
    <w:rsid w:val="00BF2298"/>
    <w:rsid w:val="00BF3824"/>
    <w:rsid w:val="00BF610C"/>
    <w:rsid w:val="00C0060B"/>
    <w:rsid w:val="00C0277D"/>
    <w:rsid w:val="00C053A1"/>
    <w:rsid w:val="00C16198"/>
    <w:rsid w:val="00C20207"/>
    <w:rsid w:val="00C2083D"/>
    <w:rsid w:val="00C24A53"/>
    <w:rsid w:val="00C2784D"/>
    <w:rsid w:val="00C27A91"/>
    <w:rsid w:val="00C3434D"/>
    <w:rsid w:val="00C34A05"/>
    <w:rsid w:val="00C34C3D"/>
    <w:rsid w:val="00C365C8"/>
    <w:rsid w:val="00C4032F"/>
    <w:rsid w:val="00C44047"/>
    <w:rsid w:val="00C45155"/>
    <w:rsid w:val="00C4632B"/>
    <w:rsid w:val="00C51C8E"/>
    <w:rsid w:val="00C51F5E"/>
    <w:rsid w:val="00C5498F"/>
    <w:rsid w:val="00C54EB8"/>
    <w:rsid w:val="00C55235"/>
    <w:rsid w:val="00C57721"/>
    <w:rsid w:val="00C57B30"/>
    <w:rsid w:val="00C6378F"/>
    <w:rsid w:val="00C64CD0"/>
    <w:rsid w:val="00C6684F"/>
    <w:rsid w:val="00C70E70"/>
    <w:rsid w:val="00C75F8D"/>
    <w:rsid w:val="00C75FE4"/>
    <w:rsid w:val="00C77380"/>
    <w:rsid w:val="00C77AD4"/>
    <w:rsid w:val="00C866EF"/>
    <w:rsid w:val="00C92D9F"/>
    <w:rsid w:val="00C92FCD"/>
    <w:rsid w:val="00C97736"/>
    <w:rsid w:val="00C97C33"/>
    <w:rsid w:val="00CA2FFB"/>
    <w:rsid w:val="00CA345A"/>
    <w:rsid w:val="00CA39E9"/>
    <w:rsid w:val="00CA5EF9"/>
    <w:rsid w:val="00CB1E82"/>
    <w:rsid w:val="00CB4BA8"/>
    <w:rsid w:val="00CB52D7"/>
    <w:rsid w:val="00CC1E28"/>
    <w:rsid w:val="00CC53AF"/>
    <w:rsid w:val="00CC6732"/>
    <w:rsid w:val="00CC6815"/>
    <w:rsid w:val="00CD0AA1"/>
    <w:rsid w:val="00CD2371"/>
    <w:rsid w:val="00CD6139"/>
    <w:rsid w:val="00CD74FC"/>
    <w:rsid w:val="00CE3C96"/>
    <w:rsid w:val="00CE51A8"/>
    <w:rsid w:val="00CF369B"/>
    <w:rsid w:val="00CF6E14"/>
    <w:rsid w:val="00D00E28"/>
    <w:rsid w:val="00D0269E"/>
    <w:rsid w:val="00D03787"/>
    <w:rsid w:val="00D0419B"/>
    <w:rsid w:val="00D0782A"/>
    <w:rsid w:val="00D10C4F"/>
    <w:rsid w:val="00D126E2"/>
    <w:rsid w:val="00D15810"/>
    <w:rsid w:val="00D16D4E"/>
    <w:rsid w:val="00D16FE3"/>
    <w:rsid w:val="00D176D6"/>
    <w:rsid w:val="00D21B7D"/>
    <w:rsid w:val="00D26E73"/>
    <w:rsid w:val="00D27F41"/>
    <w:rsid w:val="00D30724"/>
    <w:rsid w:val="00D36441"/>
    <w:rsid w:val="00D4064E"/>
    <w:rsid w:val="00D412C5"/>
    <w:rsid w:val="00D418C5"/>
    <w:rsid w:val="00D44E9B"/>
    <w:rsid w:val="00D47AEB"/>
    <w:rsid w:val="00D47DDB"/>
    <w:rsid w:val="00D47FDF"/>
    <w:rsid w:val="00D50DB9"/>
    <w:rsid w:val="00D51302"/>
    <w:rsid w:val="00D52C43"/>
    <w:rsid w:val="00D547D7"/>
    <w:rsid w:val="00D56018"/>
    <w:rsid w:val="00D570AE"/>
    <w:rsid w:val="00D6507F"/>
    <w:rsid w:val="00D65D52"/>
    <w:rsid w:val="00D67B39"/>
    <w:rsid w:val="00D730BC"/>
    <w:rsid w:val="00D73912"/>
    <w:rsid w:val="00D75B6A"/>
    <w:rsid w:val="00D76D3D"/>
    <w:rsid w:val="00D77373"/>
    <w:rsid w:val="00D81D73"/>
    <w:rsid w:val="00D85226"/>
    <w:rsid w:val="00D858A8"/>
    <w:rsid w:val="00D87B94"/>
    <w:rsid w:val="00D92D49"/>
    <w:rsid w:val="00D92EC1"/>
    <w:rsid w:val="00D93D26"/>
    <w:rsid w:val="00D96DEA"/>
    <w:rsid w:val="00DA4E41"/>
    <w:rsid w:val="00DA507B"/>
    <w:rsid w:val="00DB117A"/>
    <w:rsid w:val="00DB11E6"/>
    <w:rsid w:val="00DB1F65"/>
    <w:rsid w:val="00DB44B8"/>
    <w:rsid w:val="00DB5173"/>
    <w:rsid w:val="00DB5A7B"/>
    <w:rsid w:val="00DB77AC"/>
    <w:rsid w:val="00DB7873"/>
    <w:rsid w:val="00DC187B"/>
    <w:rsid w:val="00DC436A"/>
    <w:rsid w:val="00DC6E80"/>
    <w:rsid w:val="00DD04EA"/>
    <w:rsid w:val="00DD303F"/>
    <w:rsid w:val="00DD3B55"/>
    <w:rsid w:val="00DD4451"/>
    <w:rsid w:val="00DD67AE"/>
    <w:rsid w:val="00DD73C2"/>
    <w:rsid w:val="00DE319B"/>
    <w:rsid w:val="00DF1754"/>
    <w:rsid w:val="00DF280D"/>
    <w:rsid w:val="00DF34FE"/>
    <w:rsid w:val="00DF56AA"/>
    <w:rsid w:val="00DF56AF"/>
    <w:rsid w:val="00DF78E7"/>
    <w:rsid w:val="00DF7F5A"/>
    <w:rsid w:val="00E074DF"/>
    <w:rsid w:val="00E07A17"/>
    <w:rsid w:val="00E110E0"/>
    <w:rsid w:val="00E13642"/>
    <w:rsid w:val="00E15371"/>
    <w:rsid w:val="00E210D6"/>
    <w:rsid w:val="00E24104"/>
    <w:rsid w:val="00E27AC7"/>
    <w:rsid w:val="00E302D0"/>
    <w:rsid w:val="00E33BE3"/>
    <w:rsid w:val="00E33FE9"/>
    <w:rsid w:val="00E35707"/>
    <w:rsid w:val="00E36AA1"/>
    <w:rsid w:val="00E3795E"/>
    <w:rsid w:val="00E41ECB"/>
    <w:rsid w:val="00E46212"/>
    <w:rsid w:val="00E54FDB"/>
    <w:rsid w:val="00E5617D"/>
    <w:rsid w:val="00E563D7"/>
    <w:rsid w:val="00E663F4"/>
    <w:rsid w:val="00E666F2"/>
    <w:rsid w:val="00E66A60"/>
    <w:rsid w:val="00E66DD4"/>
    <w:rsid w:val="00E67F24"/>
    <w:rsid w:val="00E748CC"/>
    <w:rsid w:val="00E75415"/>
    <w:rsid w:val="00E775B1"/>
    <w:rsid w:val="00E8152A"/>
    <w:rsid w:val="00E93629"/>
    <w:rsid w:val="00E93B5C"/>
    <w:rsid w:val="00E94CEC"/>
    <w:rsid w:val="00EA04EF"/>
    <w:rsid w:val="00EA43A0"/>
    <w:rsid w:val="00EA6F19"/>
    <w:rsid w:val="00EB08B6"/>
    <w:rsid w:val="00EB353D"/>
    <w:rsid w:val="00EB7090"/>
    <w:rsid w:val="00EC1BBE"/>
    <w:rsid w:val="00EC5CD7"/>
    <w:rsid w:val="00ED01DC"/>
    <w:rsid w:val="00ED2D59"/>
    <w:rsid w:val="00EE1ADF"/>
    <w:rsid w:val="00EE5626"/>
    <w:rsid w:val="00EE58EF"/>
    <w:rsid w:val="00EE5FB3"/>
    <w:rsid w:val="00EE7F79"/>
    <w:rsid w:val="00EF4EF3"/>
    <w:rsid w:val="00EF6D90"/>
    <w:rsid w:val="00EF715A"/>
    <w:rsid w:val="00F016DA"/>
    <w:rsid w:val="00F01D9C"/>
    <w:rsid w:val="00F03896"/>
    <w:rsid w:val="00F04CA6"/>
    <w:rsid w:val="00F04D9D"/>
    <w:rsid w:val="00F06872"/>
    <w:rsid w:val="00F06D37"/>
    <w:rsid w:val="00F06E14"/>
    <w:rsid w:val="00F1103C"/>
    <w:rsid w:val="00F16346"/>
    <w:rsid w:val="00F179D4"/>
    <w:rsid w:val="00F22B56"/>
    <w:rsid w:val="00F250B5"/>
    <w:rsid w:val="00F262AC"/>
    <w:rsid w:val="00F33C56"/>
    <w:rsid w:val="00F347C7"/>
    <w:rsid w:val="00F34848"/>
    <w:rsid w:val="00F42D46"/>
    <w:rsid w:val="00F4496C"/>
    <w:rsid w:val="00F44F3A"/>
    <w:rsid w:val="00F47683"/>
    <w:rsid w:val="00F51F10"/>
    <w:rsid w:val="00F529A5"/>
    <w:rsid w:val="00F54314"/>
    <w:rsid w:val="00F57C2D"/>
    <w:rsid w:val="00F60F00"/>
    <w:rsid w:val="00F614C0"/>
    <w:rsid w:val="00F72DA7"/>
    <w:rsid w:val="00F83848"/>
    <w:rsid w:val="00F845E1"/>
    <w:rsid w:val="00F95440"/>
    <w:rsid w:val="00F975E9"/>
    <w:rsid w:val="00FA1B7D"/>
    <w:rsid w:val="00FA3D2F"/>
    <w:rsid w:val="00FB1139"/>
    <w:rsid w:val="00FC07B9"/>
    <w:rsid w:val="00FC4E21"/>
    <w:rsid w:val="00FC5234"/>
    <w:rsid w:val="00FC5F6D"/>
    <w:rsid w:val="00FD0107"/>
    <w:rsid w:val="00FD2C2F"/>
    <w:rsid w:val="00FD3B31"/>
    <w:rsid w:val="00FE1823"/>
    <w:rsid w:val="00FE487A"/>
    <w:rsid w:val="00FE7059"/>
    <w:rsid w:val="00FF0569"/>
    <w:rsid w:val="00FF206E"/>
    <w:rsid w:val="00FF3C69"/>
    <w:rsid w:val="00FF5B93"/>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colormru v:ext="edit" colors="red,#4d4d4f"/>
    </o:shapedefaults>
    <o:shapelayout v:ext="edit">
      <o:idmap v:ext="edit" data="1"/>
    </o:shapelayout>
  </w:shapeDefaults>
  <w:decimalSymbol w:val="."/>
  <w:listSeparator w:val=","/>
  <w14:docId w14:val="5C32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lsdException w:name="heading 1" w:semiHidden="0" w:qFormat="1"/>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iPriority="99"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uiPriority w:val="99"/>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uiPriority w:val="99"/>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styleId="ListParagraph">
    <w:name w:val="List Paragraph"/>
    <w:basedOn w:val="Normal"/>
    <w:uiPriority w:val="34"/>
    <w:qFormat/>
    <w:rsid w:val="00591A2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591A2C"/>
    <w:rPr>
      <w:rFonts w:ascii="Arial" w:hAnsi="Arial"/>
      <w:sz w:val="16"/>
      <w:szCs w:val="16"/>
    </w:rPr>
  </w:style>
  <w:style w:type="table" w:customStyle="1" w:styleId="ListTable4Accent5">
    <w:name w:val="List Table 4 Accent 5"/>
    <w:basedOn w:val="TableNormal"/>
    <w:uiPriority w:val="49"/>
    <w:rsid w:val="00591A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Commsreport2014-15TABLE">
    <w:name w:val="Comms report 2014-15 TABLE"/>
    <w:basedOn w:val="TableNormal"/>
    <w:uiPriority w:val="99"/>
    <w:rsid w:val="00591A2C"/>
    <w:pPr>
      <w:jc w:val="right"/>
    </w:pPr>
    <w:rPr>
      <w:rFonts w:ascii="Arial" w:hAnsi="Arial"/>
      <w:sz w:val="18"/>
      <w:szCs w:val="20"/>
    </w:rPr>
    <w:tblPr>
      <w:tblInd w:w="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0" w:type="dxa"/>
        <w:left w:w="108" w:type="dxa"/>
        <w:bottom w:w="0" w:type="dxa"/>
        <w:right w:w="108" w:type="dxa"/>
      </w:tblCellMar>
    </w:tblPr>
    <w:tcPr>
      <w:shd w:val="clear" w:color="auto" w:fill="E9FBFB"/>
      <w:vAlign w:val="center"/>
    </w:tcPr>
    <w:tblStylePr w:type="firstRow">
      <w:rPr>
        <w:rFonts w:ascii="Arial" w:hAnsi="Arial"/>
        <w:b/>
        <w:color w:val="FFFFFF"/>
        <w:sz w:val="18"/>
      </w:rPr>
      <w:tblPr/>
      <w:tcPr>
        <w:shd w:val="clear" w:color="auto" w:fill="00ADBB"/>
      </w:tcPr>
    </w:tblStylePr>
    <w:tblStylePr w:type="firstCol">
      <w:pPr>
        <w:jc w:val="left"/>
      </w:pPr>
      <w:rPr>
        <w:rFonts w:ascii="Arial" w:hAnsi="Arial"/>
        <w:color w:val="FFFFFF"/>
        <w:sz w:val="18"/>
      </w:rPr>
      <w:tblPr/>
      <w:tcPr>
        <w:shd w:val="clear" w:color="auto" w:fill="65CDD5"/>
      </w:tcPr>
    </w:tblStylePr>
  </w:style>
  <w:style w:type="paragraph" w:styleId="NormalWeb">
    <w:name w:val="Normal (Web)"/>
    <w:basedOn w:val="Normal"/>
    <w:uiPriority w:val="99"/>
    <w:semiHidden/>
    <w:unhideWhenUsed/>
    <w:rsid w:val="00591A2C"/>
    <w:pPr>
      <w:spacing w:before="100" w:beforeAutospacing="1" w:after="100" w:afterAutospacing="1" w:line="240" w:lineRule="auto"/>
    </w:pPr>
    <w:rPr>
      <w:rFonts w:ascii="Times New Roman" w:eastAsiaTheme="minorEastAsia" w:hAnsi="Times New Roman"/>
      <w:sz w:val="24"/>
    </w:rPr>
  </w:style>
  <w:style w:type="paragraph" w:styleId="Revision">
    <w:name w:val="Revision"/>
    <w:hidden/>
    <w:semiHidden/>
    <w:rsid w:val="00F54314"/>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0" w:defQFormat="0" w:count="267">
    <w:lsdException w:name="Normal" w:semiHidden="0"/>
    <w:lsdException w:name="heading 1" w:semiHidden="0" w:qFormat="1"/>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qFormat="1"/>
    <w:lsdException w:name="List Number" w:unhideWhenUsed="1" w:qFormat="1"/>
    <w:lsdException w:name="List 2" w:unhideWhenUsed="1"/>
    <w:lsdException w:name="List 3" w:unhideWhenUsed="1"/>
    <w:lsdException w:name="List 4" w:unhideWhenUsed="1"/>
    <w:lsdException w:name="List 5" w:unhideWhenUsed="1"/>
    <w:lsdException w:name="List Bullet 2" w:uiPriority="99" w:unhideWhenUsed="1" w:qFormat="1"/>
    <w:lsdException w:name="List Bullet 3" w:unhideWhenUsed="1"/>
    <w:lsdException w:name="List Bullet 4" w:unhideWhenUsed="1"/>
    <w:lsdException w:name="List Bullet 5" w:unhideWhenUsed="1"/>
    <w:lsdException w:name="List Number 2" w:semiHidden="0" w:qFormat="1"/>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qFormat="1"/>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FD0107"/>
    <w:pPr>
      <w:spacing w:after="240" w:line="240" w:lineRule="atLeast"/>
    </w:pPr>
    <w:rPr>
      <w:rFonts w:ascii="Arial" w:hAnsi="Arial"/>
      <w:sz w:val="20"/>
    </w:rPr>
  </w:style>
  <w:style w:type="paragraph" w:styleId="Heading1">
    <w:name w:val="heading 1"/>
    <w:basedOn w:val="Normal"/>
    <w:next w:val="Normal"/>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Normal"/>
    <w:qFormat/>
    <w:rsid w:val="00C55235"/>
    <w:pPr>
      <w:keepNext/>
      <w:spacing w:before="320" w:after="60"/>
      <w:outlineLvl w:val="1"/>
    </w:pPr>
    <w:rPr>
      <w:rFonts w:cs="Arial"/>
      <w:b/>
      <w:bCs/>
      <w:iCs/>
      <w:sz w:val="28"/>
      <w:szCs w:val="28"/>
    </w:rPr>
  </w:style>
  <w:style w:type="paragraph" w:styleId="Heading3">
    <w:name w:val="heading 3"/>
    <w:basedOn w:val="Normal"/>
    <w:next w:val="Normal"/>
    <w:qFormat/>
    <w:rsid w:val="00C55235"/>
    <w:pPr>
      <w:keepNext/>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MAReportDate">
    <w:name w:val="ACMA_ReportDate"/>
    <w:basedOn w:val="ACMAReportSubTitle"/>
    <w:qFormat/>
    <w:rsid w:val="00950159"/>
    <w:pPr>
      <w:spacing w:after="120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qFormat/>
    <w:rsid w:val="00950159"/>
    <w:pPr>
      <w:spacing w:before="1200" w:line="240" w:lineRule="auto"/>
    </w:pPr>
    <w:rPr>
      <w:b/>
      <w:color w:val="323232"/>
      <w:spacing w:val="-28"/>
      <w:sz w:val="53"/>
    </w:rPr>
  </w:style>
  <w:style w:type="paragraph" w:styleId="Caption">
    <w:name w:val="caption"/>
    <w:aliases w:val="Caption table"/>
    <w:basedOn w:val="Normal"/>
    <w:next w:val="Normal"/>
    <w:qFormat/>
    <w:rsid w:val="00E8152A"/>
    <w:pPr>
      <w:numPr>
        <w:numId w:val="9"/>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uiPriority w:val="99"/>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basedOn w:val="Normal"/>
    <w:link w:val="FootnoteTextChar"/>
    <w:uiPriority w:val="99"/>
    <w:semiHidden/>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3F10EE"/>
    <w:pPr>
      <w:numPr>
        <w:numId w:val="7"/>
      </w:numPr>
      <w:spacing w:after="160"/>
    </w:pPr>
    <w:rPr>
      <w:rFonts w:ascii="Arial" w:hAnsi="Arial"/>
      <w:b/>
      <w:bCs/>
      <w:color w:val="323232"/>
      <w:sz w:val="20"/>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qFormat/>
    <w:rsid w:val="00E8152A"/>
    <w:pPr>
      <w:keepNext/>
      <w:numPr>
        <w:numId w:val="8"/>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paragraph" w:styleId="ListParagraph">
    <w:name w:val="List Paragraph"/>
    <w:basedOn w:val="Normal"/>
    <w:uiPriority w:val="34"/>
    <w:qFormat/>
    <w:rsid w:val="00591A2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591A2C"/>
    <w:rPr>
      <w:rFonts w:ascii="Arial" w:hAnsi="Arial"/>
      <w:sz w:val="16"/>
      <w:szCs w:val="16"/>
    </w:rPr>
  </w:style>
  <w:style w:type="table" w:customStyle="1" w:styleId="ListTable4Accent5">
    <w:name w:val="List Table 4 Accent 5"/>
    <w:basedOn w:val="TableNormal"/>
    <w:uiPriority w:val="49"/>
    <w:rsid w:val="00591A2C"/>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Commsreport2014-15TABLE">
    <w:name w:val="Comms report 2014-15 TABLE"/>
    <w:basedOn w:val="TableNormal"/>
    <w:uiPriority w:val="99"/>
    <w:rsid w:val="00591A2C"/>
    <w:pPr>
      <w:jc w:val="right"/>
    </w:pPr>
    <w:rPr>
      <w:rFonts w:ascii="Arial" w:hAnsi="Arial"/>
      <w:sz w:val="18"/>
      <w:szCs w:val="20"/>
    </w:rPr>
    <w:tblPr>
      <w:tblInd w:w="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CellMar>
        <w:top w:w="0" w:type="dxa"/>
        <w:left w:w="108" w:type="dxa"/>
        <w:bottom w:w="0" w:type="dxa"/>
        <w:right w:w="108" w:type="dxa"/>
      </w:tblCellMar>
    </w:tblPr>
    <w:tcPr>
      <w:shd w:val="clear" w:color="auto" w:fill="E9FBFB"/>
      <w:vAlign w:val="center"/>
    </w:tcPr>
    <w:tblStylePr w:type="firstRow">
      <w:rPr>
        <w:rFonts w:ascii="Arial" w:hAnsi="Arial"/>
        <w:b/>
        <w:color w:val="FFFFFF"/>
        <w:sz w:val="18"/>
      </w:rPr>
      <w:tblPr/>
      <w:tcPr>
        <w:shd w:val="clear" w:color="auto" w:fill="00ADBB"/>
      </w:tcPr>
    </w:tblStylePr>
    <w:tblStylePr w:type="firstCol">
      <w:pPr>
        <w:jc w:val="left"/>
      </w:pPr>
      <w:rPr>
        <w:rFonts w:ascii="Arial" w:hAnsi="Arial"/>
        <w:color w:val="FFFFFF"/>
        <w:sz w:val="18"/>
      </w:rPr>
      <w:tblPr/>
      <w:tcPr>
        <w:shd w:val="clear" w:color="auto" w:fill="65CDD5"/>
      </w:tcPr>
    </w:tblStylePr>
  </w:style>
  <w:style w:type="paragraph" w:styleId="NormalWeb">
    <w:name w:val="Normal (Web)"/>
    <w:basedOn w:val="Normal"/>
    <w:uiPriority w:val="99"/>
    <w:semiHidden/>
    <w:unhideWhenUsed/>
    <w:rsid w:val="00591A2C"/>
    <w:pPr>
      <w:spacing w:before="100" w:beforeAutospacing="1" w:after="100" w:afterAutospacing="1" w:line="240" w:lineRule="auto"/>
    </w:pPr>
    <w:rPr>
      <w:rFonts w:ascii="Times New Roman" w:eastAsiaTheme="minorEastAsia" w:hAnsi="Times New Roman"/>
      <w:sz w:val="24"/>
    </w:rPr>
  </w:style>
  <w:style w:type="paragraph" w:styleId="Revision">
    <w:name w:val="Revision"/>
    <w:hidden/>
    <w:semiHidden/>
    <w:rsid w:val="00F5431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09066">
      <w:bodyDiv w:val="1"/>
      <w:marLeft w:val="0"/>
      <w:marRight w:val="0"/>
      <w:marTop w:val="0"/>
      <w:marBottom w:val="0"/>
      <w:divBdr>
        <w:top w:val="none" w:sz="0" w:space="0" w:color="auto"/>
        <w:left w:val="none" w:sz="0" w:space="0" w:color="auto"/>
        <w:bottom w:val="none" w:sz="0" w:space="0" w:color="auto"/>
        <w:right w:val="none" w:sz="0" w:space="0" w:color="auto"/>
      </w:divBdr>
      <w:divsChild>
        <w:div w:id="405805256">
          <w:marLeft w:val="1166"/>
          <w:marRight w:val="0"/>
          <w:marTop w:val="0"/>
          <w:marBottom w:val="0"/>
          <w:divBdr>
            <w:top w:val="none" w:sz="0" w:space="0" w:color="auto"/>
            <w:left w:val="none" w:sz="0" w:space="0" w:color="auto"/>
            <w:bottom w:val="none" w:sz="0" w:space="0" w:color="auto"/>
            <w:right w:val="none" w:sz="0" w:space="0" w:color="auto"/>
          </w:divBdr>
        </w:div>
        <w:div w:id="608852709">
          <w:marLeft w:val="1166"/>
          <w:marRight w:val="0"/>
          <w:marTop w:val="0"/>
          <w:marBottom w:val="0"/>
          <w:divBdr>
            <w:top w:val="none" w:sz="0" w:space="0" w:color="auto"/>
            <w:left w:val="none" w:sz="0" w:space="0" w:color="auto"/>
            <w:bottom w:val="none" w:sz="0" w:space="0" w:color="auto"/>
            <w:right w:val="none" w:sz="0" w:space="0" w:color="auto"/>
          </w:divBdr>
        </w:div>
        <w:div w:id="800225541">
          <w:marLeft w:val="547"/>
          <w:marRight w:val="0"/>
          <w:marTop w:val="0"/>
          <w:marBottom w:val="0"/>
          <w:divBdr>
            <w:top w:val="none" w:sz="0" w:space="0" w:color="auto"/>
            <w:left w:val="none" w:sz="0" w:space="0" w:color="auto"/>
            <w:bottom w:val="none" w:sz="0" w:space="0" w:color="auto"/>
            <w:right w:val="none" w:sz="0" w:space="0" w:color="auto"/>
          </w:divBdr>
        </w:div>
        <w:div w:id="836505540">
          <w:marLeft w:val="1166"/>
          <w:marRight w:val="0"/>
          <w:marTop w:val="0"/>
          <w:marBottom w:val="0"/>
          <w:divBdr>
            <w:top w:val="none" w:sz="0" w:space="0" w:color="auto"/>
            <w:left w:val="none" w:sz="0" w:space="0" w:color="auto"/>
            <w:bottom w:val="none" w:sz="0" w:space="0" w:color="auto"/>
            <w:right w:val="none" w:sz="0" w:space="0" w:color="auto"/>
          </w:divBdr>
        </w:div>
        <w:div w:id="859781211">
          <w:marLeft w:val="1166"/>
          <w:marRight w:val="0"/>
          <w:marTop w:val="0"/>
          <w:marBottom w:val="0"/>
          <w:divBdr>
            <w:top w:val="none" w:sz="0" w:space="0" w:color="auto"/>
            <w:left w:val="none" w:sz="0" w:space="0" w:color="auto"/>
            <w:bottom w:val="none" w:sz="0" w:space="0" w:color="auto"/>
            <w:right w:val="none" w:sz="0" w:space="0" w:color="auto"/>
          </w:divBdr>
        </w:div>
        <w:div w:id="1102385126">
          <w:marLeft w:val="547"/>
          <w:marRight w:val="0"/>
          <w:marTop w:val="0"/>
          <w:marBottom w:val="0"/>
          <w:divBdr>
            <w:top w:val="none" w:sz="0" w:space="0" w:color="auto"/>
            <w:left w:val="none" w:sz="0" w:space="0" w:color="auto"/>
            <w:bottom w:val="none" w:sz="0" w:space="0" w:color="auto"/>
            <w:right w:val="none" w:sz="0" w:space="0" w:color="auto"/>
          </w:divBdr>
        </w:div>
        <w:div w:id="1146320068">
          <w:marLeft w:val="1166"/>
          <w:marRight w:val="0"/>
          <w:marTop w:val="0"/>
          <w:marBottom w:val="0"/>
          <w:divBdr>
            <w:top w:val="none" w:sz="0" w:space="0" w:color="auto"/>
            <w:left w:val="none" w:sz="0" w:space="0" w:color="auto"/>
            <w:bottom w:val="none" w:sz="0" w:space="0" w:color="auto"/>
            <w:right w:val="none" w:sz="0" w:space="0" w:color="auto"/>
          </w:divBdr>
        </w:div>
        <w:div w:id="1362707272">
          <w:marLeft w:val="1166"/>
          <w:marRight w:val="0"/>
          <w:marTop w:val="0"/>
          <w:marBottom w:val="0"/>
          <w:divBdr>
            <w:top w:val="none" w:sz="0" w:space="0" w:color="auto"/>
            <w:left w:val="none" w:sz="0" w:space="0" w:color="auto"/>
            <w:bottom w:val="none" w:sz="0" w:space="0" w:color="auto"/>
            <w:right w:val="none" w:sz="0" w:space="0" w:color="auto"/>
          </w:divBdr>
        </w:div>
        <w:div w:id="1405421152">
          <w:marLeft w:val="1166"/>
          <w:marRight w:val="0"/>
          <w:marTop w:val="0"/>
          <w:marBottom w:val="0"/>
          <w:divBdr>
            <w:top w:val="none" w:sz="0" w:space="0" w:color="auto"/>
            <w:left w:val="none" w:sz="0" w:space="0" w:color="auto"/>
            <w:bottom w:val="none" w:sz="0" w:space="0" w:color="auto"/>
            <w:right w:val="none" w:sz="0" w:space="0" w:color="auto"/>
          </w:divBdr>
        </w:div>
        <w:div w:id="1408192138">
          <w:marLeft w:val="1166"/>
          <w:marRight w:val="0"/>
          <w:marTop w:val="0"/>
          <w:marBottom w:val="0"/>
          <w:divBdr>
            <w:top w:val="none" w:sz="0" w:space="0" w:color="auto"/>
            <w:left w:val="none" w:sz="0" w:space="0" w:color="auto"/>
            <w:bottom w:val="none" w:sz="0" w:space="0" w:color="auto"/>
            <w:right w:val="none" w:sz="0" w:space="0" w:color="auto"/>
          </w:divBdr>
        </w:div>
        <w:div w:id="1466116186">
          <w:marLeft w:val="1166"/>
          <w:marRight w:val="0"/>
          <w:marTop w:val="0"/>
          <w:marBottom w:val="0"/>
          <w:divBdr>
            <w:top w:val="none" w:sz="0" w:space="0" w:color="auto"/>
            <w:left w:val="none" w:sz="0" w:space="0" w:color="auto"/>
            <w:bottom w:val="none" w:sz="0" w:space="0" w:color="auto"/>
            <w:right w:val="none" w:sz="0" w:space="0" w:color="auto"/>
          </w:divBdr>
        </w:div>
        <w:div w:id="1666323679">
          <w:marLeft w:val="1166"/>
          <w:marRight w:val="0"/>
          <w:marTop w:val="0"/>
          <w:marBottom w:val="0"/>
          <w:divBdr>
            <w:top w:val="none" w:sz="0" w:space="0" w:color="auto"/>
            <w:left w:val="none" w:sz="0" w:space="0" w:color="auto"/>
            <w:bottom w:val="none" w:sz="0" w:space="0" w:color="auto"/>
            <w:right w:val="none" w:sz="0" w:space="0" w:color="auto"/>
          </w:divBdr>
        </w:div>
        <w:div w:id="1681614000">
          <w:marLeft w:val="1166"/>
          <w:marRight w:val="0"/>
          <w:marTop w:val="0"/>
          <w:marBottom w:val="0"/>
          <w:divBdr>
            <w:top w:val="none" w:sz="0" w:space="0" w:color="auto"/>
            <w:left w:val="none" w:sz="0" w:space="0" w:color="auto"/>
            <w:bottom w:val="none" w:sz="0" w:space="0" w:color="auto"/>
            <w:right w:val="none" w:sz="0" w:space="0" w:color="auto"/>
          </w:divBdr>
        </w:div>
        <w:div w:id="1687093851">
          <w:marLeft w:val="1166"/>
          <w:marRight w:val="0"/>
          <w:marTop w:val="0"/>
          <w:marBottom w:val="0"/>
          <w:divBdr>
            <w:top w:val="none" w:sz="0" w:space="0" w:color="auto"/>
            <w:left w:val="none" w:sz="0" w:space="0" w:color="auto"/>
            <w:bottom w:val="none" w:sz="0" w:space="0" w:color="auto"/>
            <w:right w:val="none" w:sz="0" w:space="0" w:color="auto"/>
          </w:divBdr>
        </w:div>
        <w:div w:id="2069068038">
          <w:marLeft w:val="1166"/>
          <w:marRight w:val="0"/>
          <w:marTop w:val="0"/>
          <w:marBottom w:val="0"/>
          <w:divBdr>
            <w:top w:val="none" w:sz="0" w:space="0" w:color="auto"/>
            <w:left w:val="none" w:sz="0" w:space="0" w:color="auto"/>
            <w:bottom w:val="none" w:sz="0" w:space="0" w:color="auto"/>
            <w:right w:val="none" w:sz="0" w:space="0" w:color="auto"/>
          </w:divBdr>
        </w:div>
        <w:div w:id="2125465587">
          <w:marLeft w:val="1166"/>
          <w:marRight w:val="0"/>
          <w:marTop w:val="0"/>
          <w:marBottom w:val="0"/>
          <w:divBdr>
            <w:top w:val="none" w:sz="0" w:space="0" w:color="auto"/>
            <w:left w:val="none" w:sz="0" w:space="0" w:color="auto"/>
            <w:bottom w:val="none" w:sz="0" w:space="0" w:color="auto"/>
            <w:right w:val="none" w:sz="0" w:space="0" w:color="auto"/>
          </w:divBdr>
        </w:div>
      </w:divsChild>
    </w:div>
    <w:div w:id="668674188">
      <w:bodyDiv w:val="1"/>
      <w:marLeft w:val="0"/>
      <w:marRight w:val="0"/>
      <w:marTop w:val="0"/>
      <w:marBottom w:val="0"/>
      <w:divBdr>
        <w:top w:val="none" w:sz="0" w:space="0" w:color="auto"/>
        <w:left w:val="none" w:sz="0" w:space="0" w:color="auto"/>
        <w:bottom w:val="none" w:sz="0" w:space="0" w:color="auto"/>
        <w:right w:val="none" w:sz="0" w:space="0" w:color="auto"/>
      </w:divBdr>
    </w:div>
    <w:div w:id="813837147">
      <w:bodyDiv w:val="1"/>
      <w:marLeft w:val="0"/>
      <w:marRight w:val="0"/>
      <w:marTop w:val="0"/>
      <w:marBottom w:val="0"/>
      <w:divBdr>
        <w:top w:val="none" w:sz="0" w:space="0" w:color="auto"/>
        <w:left w:val="none" w:sz="0" w:space="0" w:color="auto"/>
        <w:bottom w:val="none" w:sz="0" w:space="0" w:color="auto"/>
        <w:right w:val="none" w:sz="0" w:space="0" w:color="auto"/>
      </w:divBdr>
    </w:div>
    <w:div w:id="904997885">
      <w:bodyDiv w:val="1"/>
      <w:marLeft w:val="0"/>
      <w:marRight w:val="0"/>
      <w:marTop w:val="0"/>
      <w:marBottom w:val="0"/>
      <w:divBdr>
        <w:top w:val="none" w:sz="0" w:space="0" w:color="auto"/>
        <w:left w:val="none" w:sz="0" w:space="0" w:color="auto"/>
        <w:bottom w:val="none" w:sz="0" w:space="0" w:color="auto"/>
        <w:right w:val="none" w:sz="0" w:space="0" w:color="auto"/>
      </w:divBdr>
    </w:div>
    <w:div w:id="20426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i.creativecommons.org/l/by/3.0/88x31.png" TargetMode="External"/><Relationship Id="rId26" Type="http://schemas.openxmlformats.org/officeDocument/2006/relationships/header" Target="header5.xml"/><Relationship Id="rId39" Type="http://schemas.openxmlformats.org/officeDocument/2006/relationships/image" Target="media/image6.png"/><Relationship Id="rId21" Type="http://schemas.openxmlformats.org/officeDocument/2006/relationships/hyperlink" Target="mailto:candinfo@acma.gov.au" TargetMode="External"/><Relationship Id="rId34" Type="http://schemas.openxmlformats.org/officeDocument/2006/relationships/image" Target="media/image3.png"/><Relationship Id="rId42" Type="http://schemas.openxmlformats.org/officeDocument/2006/relationships/image" Target="media/image9.png"/><Relationship Id="rId47" Type="http://schemas.openxmlformats.org/officeDocument/2006/relationships/hyperlink" Target="http://www.acma.gov.au/Industry/Telco/Carriers-and-service-providers/Universal-service-obligation/network-reliability-framework-carriers-service-providers-acma-1" TargetMode="External"/><Relationship Id="rId50" Type="http://schemas.openxmlformats.org/officeDocument/2006/relationships/hyperlink" Target="https://www.communications.gov.au/what-we-do/phone/services-people-disability/access-specialist-phone-equipment" TargetMode="External"/><Relationship Id="rId55"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2.xml"/><Relationship Id="rId33" Type="http://schemas.openxmlformats.org/officeDocument/2006/relationships/hyperlink" Target="https://www.legislation.gov.au/Details/F2011L02710" TargetMode="External"/><Relationship Id="rId38" Type="http://schemas.openxmlformats.org/officeDocument/2006/relationships/chart" Target="charts/chart2.xml"/><Relationship Id="rId46" Type="http://schemas.openxmlformats.org/officeDocument/2006/relationships/hyperlink" Target="http://www.acma.gov.au/theACMA/telecommunications-prioriy-assistance-fact-shee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creativecommons.org/licenses/by/3.0/au/" TargetMode="External"/><Relationship Id="rId29" Type="http://schemas.openxmlformats.org/officeDocument/2006/relationships/footer" Target="footer4.xml"/><Relationship Id="rId41" Type="http://schemas.openxmlformats.org/officeDocument/2006/relationships/image" Target="media/image8.png"/><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1.xml"/><Relationship Id="rId32" Type="http://schemas.openxmlformats.org/officeDocument/2006/relationships/hyperlink" Target="https://www.legislation.gov.au/Details/F2012C00625" TargetMode="External"/><Relationship Id="rId37" Type="http://schemas.openxmlformats.org/officeDocument/2006/relationships/image" Target="media/image5.png"/><Relationship Id="rId40" Type="http://schemas.openxmlformats.org/officeDocument/2006/relationships/image" Target="media/image7.png"/><Relationship Id="rId45" Type="http://schemas.openxmlformats.org/officeDocument/2006/relationships/hyperlink" Target="http://www.acma.gov.au/Citizen/Consumer-info/My-connected-home/Fixed-line-phones/customer-service-guarantee-for-phone-users-faqs" TargetMode="External"/><Relationship Id="rId53" Type="http://schemas.openxmlformats.org/officeDocument/2006/relationships/header" Target="header7.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28" Type="http://schemas.openxmlformats.org/officeDocument/2006/relationships/footer" Target="footer3.xml"/><Relationship Id="rId36" Type="http://schemas.openxmlformats.org/officeDocument/2006/relationships/chart" Target="charts/chart1.xml"/><Relationship Id="rId49" Type="http://schemas.openxmlformats.org/officeDocument/2006/relationships/hyperlink" Target="http://relayservice.gov.au/" TargetMode="External"/><Relationship Id="rId57"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2.png"/><Relationship Id="rId31" Type="http://schemas.openxmlformats.org/officeDocument/2006/relationships/hyperlink" Target="https://www.legislation.gov.au/Details/F2011C00791" TargetMode="External"/><Relationship Id="rId44" Type="http://schemas.openxmlformats.org/officeDocument/2006/relationships/image" Target="media/image11.png"/><Relationship Id="rId52"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image" Target="media/image4.png"/><Relationship Id="rId43" Type="http://schemas.openxmlformats.org/officeDocument/2006/relationships/image" Target="media/image10.png"/><Relationship Id="rId48" Type="http://schemas.openxmlformats.org/officeDocument/2006/relationships/hyperlink" Target="https://www.telstra.com.au/consumer-advice/customer-service/universal-service-obligation" TargetMode="External"/><Relationship Id="rId56" Type="http://schemas.openxmlformats.org/officeDocument/2006/relationships/footer" Target="footer7.xml"/><Relationship Id="rId8" Type="http://schemas.openxmlformats.org/officeDocument/2006/relationships/customXml" Target="../customXml/item8.xml"/><Relationship Id="rId51" Type="http://schemas.openxmlformats.org/officeDocument/2006/relationships/hyperlink" Target="https://www.communications.gov.au/what-we-do/phone/emergency-call-services/emergency-calls"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media/Office%20of%20the%20Chair/Information/Word%20Document/Broken%20concepts2011%20doc.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acvic01srvp1\userdata$\KRaftop\Documents\ASTEROID\Tabulation1%20(1).xls"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'All cases'!$M$3</c:f>
              <c:strCache>
                <c:ptCount val="1"/>
                <c:pt idx="0">
                  <c:v>Home phone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'All cases'!$N$2:$R$2</c:f>
              <c:strCache>
                <c:ptCount val="5"/>
                <c:pt idx="0">
                  <c:v>National</c:v>
                </c:pt>
                <c:pt idx="1">
                  <c:v>Major capital cities</c:v>
                </c:pt>
                <c:pt idx="2">
                  <c:v>Major urban</c:v>
                </c:pt>
                <c:pt idx="3">
                  <c:v>Urban</c:v>
                </c:pt>
                <c:pt idx="4">
                  <c:v>Non-urban</c:v>
                </c:pt>
              </c:strCache>
            </c:strRef>
          </c:cat>
          <c:val>
            <c:numRef>
              <c:f>'All cases'!$N$3:$R$3</c:f>
              <c:numCache>
                <c:formatCode>0</c:formatCode>
                <c:ptCount val="5"/>
                <c:pt idx="0">
                  <c:v>70</c:v>
                </c:pt>
                <c:pt idx="1">
                  <c:v>70</c:v>
                </c:pt>
                <c:pt idx="2">
                  <c:v>65</c:v>
                </c:pt>
                <c:pt idx="3">
                  <c:v>69</c:v>
                </c:pt>
                <c:pt idx="4">
                  <c:v>73</c:v>
                </c:pt>
              </c:numCache>
            </c:numRef>
          </c:val>
        </c:ser>
        <c:ser>
          <c:idx val="1"/>
          <c:order val="1"/>
          <c:tx>
            <c:strRef>
              <c:f>'All cases'!$M$4</c:f>
              <c:strCache>
                <c:ptCount val="1"/>
                <c:pt idx="0">
                  <c:v>Home internet connection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'All cases'!$N$2:$R$2</c:f>
              <c:strCache>
                <c:ptCount val="5"/>
                <c:pt idx="0">
                  <c:v>National</c:v>
                </c:pt>
                <c:pt idx="1">
                  <c:v>Major capital cities</c:v>
                </c:pt>
                <c:pt idx="2">
                  <c:v>Major urban</c:v>
                </c:pt>
                <c:pt idx="3">
                  <c:v>Urban</c:v>
                </c:pt>
                <c:pt idx="4">
                  <c:v>Non-urban</c:v>
                </c:pt>
              </c:strCache>
            </c:strRef>
          </c:cat>
          <c:val>
            <c:numRef>
              <c:f>'All cases'!$N$4:$R$4</c:f>
              <c:numCache>
                <c:formatCode>0</c:formatCode>
                <c:ptCount val="5"/>
                <c:pt idx="0">
                  <c:v>85</c:v>
                </c:pt>
                <c:pt idx="1">
                  <c:v>89</c:v>
                </c:pt>
                <c:pt idx="2">
                  <c:v>83</c:v>
                </c:pt>
                <c:pt idx="3">
                  <c:v>79</c:v>
                </c:pt>
                <c:pt idx="4">
                  <c:v>77</c:v>
                </c:pt>
              </c:numCache>
            </c:numRef>
          </c:val>
        </c:ser>
        <c:dLbls>
          <c:showLegendKey val="0"/>
          <c:showVal val="0"/>
          <c:showCatName val="0"/>
          <c:showSerName val="0"/>
          <c:showPercent val="0"/>
          <c:showBubbleSize val="0"/>
        </c:dLbls>
        <c:gapWidth val="219"/>
        <c:overlap val="-27"/>
        <c:axId val="197560576"/>
        <c:axId val="200310784"/>
      </c:barChart>
      <c:catAx>
        <c:axId val="197560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310784"/>
        <c:crosses val="autoZero"/>
        <c:auto val="1"/>
        <c:lblAlgn val="ctr"/>
        <c:lblOffset val="100"/>
        <c:noMultiLvlLbl val="0"/>
      </c:catAx>
      <c:valAx>
        <c:axId val="200310784"/>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1975605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Mobile services (voice and data)*</c:v>
                </c:pt>
              </c:strCache>
            </c:strRef>
          </c:tx>
          <c:spPr>
            <a:solidFill>
              <a:schemeClr val="accent1"/>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Sheet1!$B$3:$F$3</c:f>
              <c:numCache>
                <c:formatCode>General</c:formatCode>
                <c:ptCount val="5"/>
                <c:pt idx="0">
                  <c:v>29.28</c:v>
                </c:pt>
                <c:pt idx="1">
                  <c:v>30.2</c:v>
                </c:pt>
                <c:pt idx="2">
                  <c:v>31.09</c:v>
                </c:pt>
                <c:pt idx="3">
                  <c:v>31.01</c:v>
                </c:pt>
                <c:pt idx="4">
                  <c:v>31.77</c:v>
                </c:pt>
              </c:numCache>
            </c:numRef>
          </c:val>
        </c:ser>
        <c:ser>
          <c:idx val="1"/>
          <c:order val="1"/>
          <c:tx>
            <c:strRef>
              <c:f>Sheet1!$A$4</c:f>
              <c:strCache>
                <c:ptCount val="1"/>
                <c:pt idx="0">
                  <c:v>Mobile handset internet subscribers</c:v>
                </c:pt>
              </c:strCache>
            </c:strRef>
          </c:tx>
          <c:spPr>
            <a:solidFill>
              <a:schemeClr val="accent2"/>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Sheet1!$B$4:$F$4</c:f>
              <c:numCache>
                <c:formatCode>General</c:formatCode>
                <c:ptCount val="5"/>
                <c:pt idx="0">
                  <c:v>13.32</c:v>
                </c:pt>
                <c:pt idx="1">
                  <c:v>16.190000000000001</c:v>
                </c:pt>
                <c:pt idx="2">
                  <c:v>19.649999999999999</c:v>
                </c:pt>
                <c:pt idx="3">
                  <c:v>20.57</c:v>
                </c:pt>
                <c:pt idx="4">
                  <c:v>20.99</c:v>
                </c:pt>
              </c:numCache>
            </c:numRef>
          </c:val>
        </c:ser>
        <c:ser>
          <c:idx val="2"/>
          <c:order val="2"/>
          <c:tx>
            <c:strRef>
              <c:f>Sheet1!$A$5</c:f>
              <c:strCache>
                <c:ptCount val="1"/>
                <c:pt idx="0">
                  <c:v>Mobile wireless broadband (e.g., dongle/datacard)</c:v>
                </c:pt>
              </c:strCache>
            </c:strRef>
          </c:tx>
          <c:spPr>
            <a:solidFill>
              <a:schemeClr val="accent3"/>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Sheet1!$B$5:$F$5</c:f>
              <c:numCache>
                <c:formatCode>General</c:formatCode>
                <c:ptCount val="5"/>
                <c:pt idx="0">
                  <c:v>4.79</c:v>
                </c:pt>
                <c:pt idx="1">
                  <c:v>5.86</c:v>
                </c:pt>
                <c:pt idx="2">
                  <c:v>6.15</c:v>
                </c:pt>
                <c:pt idx="3">
                  <c:v>5.95</c:v>
                </c:pt>
                <c:pt idx="4">
                  <c:v>6</c:v>
                </c:pt>
              </c:numCache>
            </c:numRef>
          </c:val>
        </c:ser>
        <c:ser>
          <c:idx val="3"/>
          <c:order val="3"/>
          <c:tx>
            <c:strRef>
              <c:f>Sheet1!$A$6</c:f>
              <c:strCache>
                <c:ptCount val="1"/>
                <c:pt idx="0">
                  <c:v>Total mobile internet services†</c:v>
                </c:pt>
              </c:strCache>
            </c:strRef>
          </c:tx>
          <c:spPr>
            <a:solidFill>
              <a:schemeClr val="accent4"/>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Sheet1!$B$6:$F$6</c:f>
              <c:numCache>
                <c:formatCode>General</c:formatCode>
                <c:ptCount val="5"/>
                <c:pt idx="0">
                  <c:v>18.11</c:v>
                </c:pt>
                <c:pt idx="1">
                  <c:v>22.05</c:v>
                </c:pt>
                <c:pt idx="2">
                  <c:v>25.8</c:v>
                </c:pt>
                <c:pt idx="3">
                  <c:v>26.52</c:v>
                </c:pt>
                <c:pt idx="4">
                  <c:v>27</c:v>
                </c:pt>
              </c:numCache>
            </c:numRef>
          </c:val>
        </c:ser>
        <c:ser>
          <c:idx val="4"/>
          <c:order val="4"/>
          <c:tx>
            <c:strRef>
              <c:f>Sheet1!$A$7</c:f>
              <c:strCache>
                <c:ptCount val="1"/>
                <c:pt idx="0">
                  <c:v>Total internet service subscribers‡</c:v>
                </c:pt>
              </c:strCache>
            </c:strRef>
          </c:tx>
          <c:spPr>
            <a:solidFill>
              <a:schemeClr val="accent5"/>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Sheet1!$B$7:$F$7</c:f>
              <c:numCache>
                <c:formatCode>General</c:formatCode>
                <c:ptCount val="5"/>
                <c:pt idx="0">
                  <c:v>24.23</c:v>
                </c:pt>
                <c:pt idx="1">
                  <c:v>28.23</c:v>
                </c:pt>
                <c:pt idx="2">
                  <c:v>32</c:v>
                </c:pt>
                <c:pt idx="3">
                  <c:v>33.049999999999997</c:v>
                </c:pt>
                <c:pt idx="4">
                  <c:v>33.76</c:v>
                </c:pt>
              </c:numCache>
            </c:numRef>
          </c:val>
        </c:ser>
        <c:ser>
          <c:idx val="5"/>
          <c:order val="5"/>
          <c:tx>
            <c:strRef>
              <c:f>Sheet1!$A$8</c:f>
              <c:strCache>
                <c:ptCount val="1"/>
                <c:pt idx="0">
                  <c:v>Fixed-line telephone services*§</c:v>
                </c:pt>
              </c:strCache>
            </c:strRef>
          </c:tx>
          <c:spPr>
            <a:solidFill>
              <a:schemeClr val="accent6"/>
            </a:solidFill>
            <a:ln>
              <a:noFill/>
            </a:ln>
            <a:effectLst/>
          </c:spPr>
          <c:invertIfNegative val="0"/>
          <c:cat>
            <c:multiLvlStrRef>
              <c:f>Sheet1!$B$1:$F$2</c:f>
              <c:multiLvlStrCache>
                <c:ptCount val="5"/>
                <c:lvl>
                  <c:pt idx="0">
                    <c:v>(m)</c:v>
                  </c:pt>
                  <c:pt idx="1">
                    <c:v>(m)</c:v>
                  </c:pt>
                  <c:pt idx="2">
                    <c:v>(m)</c:v>
                  </c:pt>
                  <c:pt idx="3">
                    <c:v>(m)</c:v>
                  </c:pt>
                  <c:pt idx="4">
                    <c:v>(m)</c:v>
                  </c:pt>
                </c:lvl>
                <c:lvl>
                  <c:pt idx="0">
                    <c:v>Jun-11</c:v>
                  </c:pt>
                  <c:pt idx="1">
                    <c:v>Jun-12</c:v>
                  </c:pt>
                  <c:pt idx="2">
                    <c:v>Jun-13</c:v>
                  </c:pt>
                  <c:pt idx="3">
                    <c:v>Jun-14</c:v>
                  </c:pt>
                  <c:pt idx="4">
                    <c:v>Jun-15</c:v>
                  </c:pt>
                </c:lvl>
              </c:multiLvlStrCache>
            </c:multiLvlStrRef>
          </c:cat>
          <c:val>
            <c:numRef>
              <c:f>Sheet1!$B$8:$F$8</c:f>
              <c:numCache>
                <c:formatCode>General</c:formatCode>
                <c:ptCount val="5"/>
                <c:pt idx="0">
                  <c:v>10.54</c:v>
                </c:pt>
                <c:pt idx="1">
                  <c:v>10.44</c:v>
                </c:pt>
                <c:pt idx="2">
                  <c:v>9.42</c:v>
                </c:pt>
                <c:pt idx="3">
                  <c:v>9.19</c:v>
                </c:pt>
                <c:pt idx="4">
                  <c:v>9.08</c:v>
                </c:pt>
              </c:numCache>
            </c:numRef>
          </c:val>
        </c:ser>
        <c:dLbls>
          <c:showLegendKey val="0"/>
          <c:showVal val="0"/>
          <c:showCatName val="0"/>
          <c:showSerName val="0"/>
          <c:showPercent val="0"/>
          <c:showBubbleSize val="0"/>
        </c:dLbls>
        <c:gapWidth val="219"/>
        <c:overlap val="-27"/>
        <c:axId val="199961984"/>
        <c:axId val="199967872"/>
      </c:barChart>
      <c:catAx>
        <c:axId val="19996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67872"/>
        <c:crosses val="autoZero"/>
        <c:auto val="1"/>
        <c:lblAlgn val="ctr"/>
        <c:lblOffset val="100"/>
        <c:noMultiLvlLbl val="0"/>
      </c:catAx>
      <c:valAx>
        <c:axId val="199967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961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0079-2F34-473B-B553-DA7CA3D50420}">
  <ds:schemaRefs>
    <ds:schemaRef ds:uri="http://schemas.microsoft.com/sharepoint/events"/>
  </ds:schemaRefs>
</ds:datastoreItem>
</file>

<file path=customXml/itemProps2.xml><?xml version="1.0" encoding="utf-8"?>
<ds:datastoreItem xmlns:ds="http://schemas.openxmlformats.org/officeDocument/2006/customXml" ds:itemID="{49EA03A4-6F01-4D54-BDC6-2EBDDD539A69}">
  <ds:schemaRefs>
    <ds:schemaRef ds:uri="http://schemas.microsoft.com/office/2006/metadata/customXsn"/>
  </ds:schemaRefs>
</ds:datastoreItem>
</file>

<file path=customXml/itemProps3.xml><?xml version="1.0" encoding="utf-8"?>
<ds:datastoreItem xmlns:ds="http://schemas.openxmlformats.org/officeDocument/2006/customXml" ds:itemID="{E3491953-05AC-4545-851F-76CA546E66C3}">
  <ds:schemaRefs>
    <ds:schemaRef ds:uri="Microsoft.SharePoint.Taxonomy.ContentTypeSync"/>
  </ds:schemaRefs>
</ds:datastoreItem>
</file>

<file path=customXml/itemProps4.xml><?xml version="1.0" encoding="utf-8"?>
<ds:datastoreItem xmlns:ds="http://schemas.openxmlformats.org/officeDocument/2006/customXml" ds:itemID="{C1C29631-F27B-45A2-AFEB-74E7319DB0D5}">
  <ds:schemaRefs>
    <ds:schemaRef ds:uri="http://purl.org/dc/elements/1.1/"/>
    <ds:schemaRef ds:uri="3f4bcce7-ac1a-4c9d-aa3e-7e77695652db"/>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8044c801-d84b-4ee1-a77e-678f8dcdee17"/>
    <ds:schemaRef ds:uri="http://www.w3.org/XML/1998/namespace"/>
  </ds:schemaRefs>
</ds:datastoreItem>
</file>

<file path=customXml/itemProps5.xml><?xml version="1.0" encoding="utf-8"?>
<ds:datastoreItem xmlns:ds="http://schemas.openxmlformats.org/officeDocument/2006/customXml" ds:itemID="{0A35331F-FFD4-4168-929B-CACD541F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AB2F94-234E-4784-BDD6-972A6F9A705A}">
  <ds:schemaRefs>
    <ds:schemaRef ds:uri="http://schemas.microsoft.com/sharepoint/v3/contenttype/forms"/>
  </ds:schemaRefs>
</ds:datastoreItem>
</file>

<file path=customXml/itemProps7.xml><?xml version="1.0" encoding="utf-8"?>
<ds:datastoreItem xmlns:ds="http://schemas.openxmlformats.org/officeDocument/2006/customXml" ds:itemID="{8F86C510-07B6-46D4-9568-08ECFE0ED714}">
  <ds:schemaRefs>
    <ds:schemaRef ds:uri="http://schemas.openxmlformats.org/officeDocument/2006/bibliography"/>
  </ds:schemaRefs>
</ds:datastoreItem>
</file>

<file path=customXml/itemProps8.xml><?xml version="1.0" encoding="utf-8"?>
<ds:datastoreItem xmlns:ds="http://schemas.openxmlformats.org/officeDocument/2006/customXml" ds:itemID="{A7F7722D-1751-43CE-97F9-BA7F09B8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Submission 49 - Australian Communications and Media Authority (ACMA) - Telecommunications Universal Service Obligation - Public inquiry</vt:lpstr>
    </vt:vector>
  </TitlesOfParts>
  <Manager/>
  <Company>Australian Communications and Media Authority (ACMA)</Company>
  <LinksUpToDate>false</LinksUpToDate>
  <CharactersWithSpaces>40739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Australian Communications and Media Authority (ACMA) - Telecommunications Universal Service Obligation - Public inquiry</dc:title>
  <dc:subject/>
  <dc:creator>Australian Communications and Media Authority (ACMA)</dc:creator>
  <cp:keywords/>
  <dc:description/>
  <cp:lastModifiedBy>Productivity Commission</cp:lastModifiedBy>
  <cp:revision>2</cp:revision>
  <dcterms:created xsi:type="dcterms:W3CDTF">2016-07-29T00:17:00Z</dcterms:created>
  <dcterms:modified xsi:type="dcterms:W3CDTF">2016-08-02T04:25:00Z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7000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