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047" w:rsidRPr="00B01047" w:rsidRDefault="00AD7541" w:rsidP="00B01047">
      <w:pPr>
        <w:pStyle w:val="Heading1"/>
        <w:rPr>
          <w:rFonts w:ascii="Open sans" w:hAnsi="Open sans"/>
        </w:rPr>
      </w:pPr>
      <w:r w:rsidRPr="00AD7541">
        <w:rPr>
          <w:rFonts w:ascii="Open sans" w:hAnsi="Open sans"/>
        </w:rPr>
        <w:t>Submission on the Productivity Commission Telecommunications Universal Service Obligation Draft Report</w:t>
      </w:r>
    </w:p>
    <w:p w:rsidR="00B01047" w:rsidRPr="00B01047" w:rsidRDefault="00B01047" w:rsidP="00B01047">
      <w:pPr>
        <w:rPr>
          <w:rFonts w:ascii="Open sans" w:hAnsi="Open sans"/>
        </w:rPr>
      </w:pPr>
    </w:p>
    <w:p w:rsidR="00CD7E47" w:rsidRDefault="00CD7E47" w:rsidP="00CD7E47">
      <w:pPr>
        <w:pStyle w:val="Heading2"/>
      </w:pPr>
      <w:r>
        <w:t>Context</w:t>
      </w:r>
    </w:p>
    <w:p w:rsidR="00CD7E47" w:rsidRPr="00CD7E47" w:rsidRDefault="00CD7E47" w:rsidP="00CD7E47">
      <w:pPr>
        <w:rPr>
          <w:rFonts w:ascii="Open sans" w:hAnsi="Open sans"/>
        </w:rPr>
      </w:pPr>
      <w:r w:rsidRPr="00CD7E47">
        <w:rPr>
          <w:rFonts w:ascii="Open sans" w:hAnsi="Open sans"/>
        </w:rPr>
        <w:t>Telecommunications and energy were deregulated in many parts of the world during the late 1990's. Politically these new markets were supported because:</w:t>
      </w:r>
    </w:p>
    <w:p w:rsidR="00CD7E47" w:rsidRPr="00CD7E47" w:rsidRDefault="00CD7E47" w:rsidP="00CD7E47">
      <w:pPr>
        <w:pStyle w:val="ListParagraph"/>
        <w:numPr>
          <w:ilvl w:val="0"/>
          <w:numId w:val="2"/>
        </w:numPr>
        <w:rPr>
          <w:rFonts w:ascii="Open sans" w:hAnsi="Open sans"/>
        </w:rPr>
      </w:pPr>
      <w:r w:rsidRPr="00CD7E47">
        <w:rPr>
          <w:rFonts w:ascii="Open sans" w:hAnsi="Open sans"/>
        </w:rPr>
        <w:t>Market signals would determine future investments. Service failures were no longer a political responsibility but became a private sector responsibility.</w:t>
      </w:r>
    </w:p>
    <w:p w:rsidR="00CD7E47" w:rsidRPr="00CD7E47" w:rsidRDefault="00CD7E47" w:rsidP="00CD7E47">
      <w:pPr>
        <w:pStyle w:val="ListParagraph"/>
        <w:numPr>
          <w:ilvl w:val="0"/>
          <w:numId w:val="2"/>
        </w:numPr>
        <w:rPr>
          <w:rFonts w:ascii="Open sans" w:hAnsi="Open sans"/>
        </w:rPr>
      </w:pPr>
      <w:r w:rsidRPr="00CD7E47">
        <w:rPr>
          <w:rFonts w:ascii="Open sans" w:hAnsi="Open sans"/>
        </w:rPr>
        <w:t>Asset sales provided government revenue. At the time, most governments had high levels of debt and poor social infrastructure.</w:t>
      </w:r>
    </w:p>
    <w:p w:rsidR="00CD7E47" w:rsidRDefault="00CD7E47" w:rsidP="00CD7E47">
      <w:pPr>
        <w:rPr>
          <w:rFonts w:ascii="Open sans" w:hAnsi="Open sans"/>
        </w:rPr>
      </w:pPr>
      <w:r w:rsidRPr="00CD7E47">
        <w:rPr>
          <w:rFonts w:ascii="Open sans" w:hAnsi="Open sans"/>
        </w:rPr>
        <w:t xml:space="preserve">Twenty years </w:t>
      </w:r>
      <w:r>
        <w:rPr>
          <w:rFonts w:ascii="Open sans" w:hAnsi="Open sans"/>
        </w:rPr>
        <w:t>after Australian telecom and energy deregulation the</w:t>
      </w:r>
      <w:r w:rsidRPr="00CD7E47">
        <w:rPr>
          <w:rFonts w:ascii="Open sans" w:hAnsi="Open sans"/>
        </w:rPr>
        <w:t xml:space="preserve"> outcome of a hands-off</w:t>
      </w:r>
      <w:r>
        <w:rPr>
          <w:rFonts w:ascii="Open sans" w:hAnsi="Open sans"/>
        </w:rPr>
        <w:t xml:space="preserve"> approach is </w:t>
      </w:r>
      <w:r w:rsidRPr="00CD7E47">
        <w:rPr>
          <w:rFonts w:ascii="Open sans" w:hAnsi="Open sans"/>
        </w:rPr>
        <w:t>eviden</w:t>
      </w:r>
      <w:r>
        <w:rPr>
          <w:rFonts w:ascii="Open sans" w:hAnsi="Open sans"/>
        </w:rPr>
        <w:t>t</w:t>
      </w:r>
      <w:r w:rsidRPr="00CD7E47">
        <w:rPr>
          <w:rFonts w:ascii="Open sans" w:hAnsi="Open sans"/>
        </w:rPr>
        <w:t>. In the electricity and gas markets, a failure is most obvious. Consumers are facing higher prices and lower service levels than they may have otherwise had under a government owned service model.</w:t>
      </w:r>
    </w:p>
    <w:p w:rsidR="0039796C" w:rsidRPr="0039796C" w:rsidRDefault="0039796C" w:rsidP="0039796C">
      <w:pPr>
        <w:rPr>
          <w:rFonts w:ascii="Open sans" w:hAnsi="Open sans"/>
        </w:rPr>
      </w:pPr>
      <w:r w:rsidRPr="0039796C">
        <w:rPr>
          <w:rFonts w:ascii="Open sans" w:hAnsi="Open sans"/>
        </w:rPr>
        <w:t xml:space="preserve">Telecommunications market failure is less obvious, but demonstrated in rural </w:t>
      </w:r>
      <w:r w:rsidR="00046163" w:rsidRPr="0039796C">
        <w:rPr>
          <w:rFonts w:ascii="Open sans" w:hAnsi="Open sans"/>
        </w:rPr>
        <w:t>stakeholders</w:t>
      </w:r>
      <w:r w:rsidR="00046163" w:rsidRPr="0039796C">
        <w:rPr>
          <w:rFonts w:ascii="Open sans" w:hAnsi="Open sans" w:hint="eastAsia"/>
        </w:rPr>
        <w:t>’</w:t>
      </w:r>
      <w:r w:rsidRPr="0039796C">
        <w:rPr>
          <w:rFonts w:ascii="Open sans" w:hAnsi="Open sans"/>
        </w:rPr>
        <w:t xml:space="preserve"> submissions to </w:t>
      </w:r>
      <w:r w:rsidR="00046163">
        <w:rPr>
          <w:rFonts w:ascii="Open sans" w:hAnsi="Open sans"/>
        </w:rPr>
        <w:t xml:space="preserve">the </w:t>
      </w:r>
      <w:r w:rsidR="00046163" w:rsidRPr="00046163">
        <w:rPr>
          <w:rFonts w:ascii="Open sans" w:hAnsi="Open sans"/>
        </w:rPr>
        <w:t>Productivity Commission</w:t>
      </w:r>
      <w:r w:rsidRPr="0039796C">
        <w:rPr>
          <w:rFonts w:ascii="Open sans" w:hAnsi="Open sans"/>
        </w:rPr>
        <w:t xml:space="preserve">. Call drop outs, and a lack of coverage, are evidence of the telecommunications market not delivering equitable outcomes to all consumers. </w:t>
      </w:r>
      <w:r w:rsidR="00046163">
        <w:rPr>
          <w:rFonts w:ascii="Open sans" w:hAnsi="Open sans"/>
        </w:rPr>
        <w:t>Resulting in</w:t>
      </w:r>
      <w:r w:rsidRPr="0039796C">
        <w:rPr>
          <w:rFonts w:ascii="Open sans" w:hAnsi="Open sans"/>
        </w:rPr>
        <w:t xml:space="preserve"> negative financial and social economic</w:t>
      </w:r>
      <w:r w:rsidR="00046163">
        <w:rPr>
          <w:rFonts w:ascii="Open sans" w:hAnsi="Open sans"/>
        </w:rPr>
        <w:t xml:space="preserve"> impacts.</w:t>
      </w:r>
    </w:p>
    <w:p w:rsidR="00046163" w:rsidRDefault="00046163" w:rsidP="00046163">
      <w:pPr>
        <w:pStyle w:val="Heading2"/>
      </w:pPr>
      <w:r>
        <w:t>Public Good Considerations</w:t>
      </w:r>
    </w:p>
    <w:p w:rsidR="00046163" w:rsidRDefault="00046163" w:rsidP="0039796C">
      <w:pPr>
        <w:rPr>
          <w:rFonts w:ascii="Open sans" w:hAnsi="Open sans"/>
        </w:rPr>
      </w:pPr>
      <w:r>
        <w:rPr>
          <w:rFonts w:ascii="Open sans" w:hAnsi="Open sans"/>
        </w:rPr>
        <w:t xml:space="preserve">The Productivity Commission’s draft report into </w:t>
      </w:r>
      <w:r w:rsidRPr="00046163">
        <w:rPr>
          <w:rFonts w:ascii="Open sans" w:hAnsi="Open sans"/>
        </w:rPr>
        <w:t>the future direction of a universal service obligation (USO) in the telecommunications market</w:t>
      </w:r>
      <w:r>
        <w:rPr>
          <w:rFonts w:ascii="Open sans" w:hAnsi="Open sans"/>
        </w:rPr>
        <w:t xml:space="preserve"> highlights possible public good benefits associated with its recommendations.</w:t>
      </w:r>
    </w:p>
    <w:p w:rsidR="00046163" w:rsidRDefault="00E846E0" w:rsidP="00E846E0">
      <w:pPr>
        <w:pStyle w:val="Heading3"/>
      </w:pPr>
      <w:r>
        <w:t xml:space="preserve">Draft </w:t>
      </w:r>
      <w:r w:rsidR="00046163">
        <w:t>Recommendation 5.1: B</w:t>
      </w:r>
      <w:r w:rsidR="00046163" w:rsidRPr="00046163">
        <w:t>aseline broadband (including voice) service</w:t>
      </w:r>
    </w:p>
    <w:p w:rsidR="0039796C" w:rsidRDefault="0039796C" w:rsidP="0039796C">
      <w:pPr>
        <w:rPr>
          <w:rFonts w:ascii="Open sans" w:hAnsi="Open sans"/>
        </w:rPr>
      </w:pPr>
      <w:r w:rsidRPr="0039796C">
        <w:rPr>
          <w:rFonts w:ascii="Open sans" w:hAnsi="Open sans"/>
        </w:rPr>
        <w:t xml:space="preserve">Government NBNCo investment in internet infrastructure plus Over-The-Top communications has partially repaired industry underinvestment. </w:t>
      </w:r>
      <w:r w:rsidR="00046163">
        <w:rPr>
          <w:rFonts w:ascii="Open sans" w:hAnsi="Open sans"/>
        </w:rPr>
        <w:t>This government investment is the major reason recommendation 5.1 can be made.</w:t>
      </w:r>
    </w:p>
    <w:p w:rsidR="00046163" w:rsidRDefault="00046163" w:rsidP="0039796C">
      <w:pPr>
        <w:rPr>
          <w:rFonts w:ascii="Open sans" w:hAnsi="Open sans"/>
        </w:rPr>
      </w:pPr>
      <w:r>
        <w:rPr>
          <w:rFonts w:ascii="Open sans" w:hAnsi="Open sans"/>
        </w:rPr>
        <w:t xml:space="preserve">The Productivity Commission should go further with its recommendation and </w:t>
      </w:r>
      <w:r w:rsidR="00E846E0">
        <w:rPr>
          <w:rFonts w:ascii="Open sans" w:hAnsi="Open sans"/>
        </w:rPr>
        <w:t>place responsibility for the delivery of b</w:t>
      </w:r>
      <w:r w:rsidR="00E846E0" w:rsidRPr="00E846E0">
        <w:rPr>
          <w:rFonts w:ascii="Open sans" w:hAnsi="Open sans"/>
        </w:rPr>
        <w:t>aseline broadband (including voice) service</w:t>
      </w:r>
      <w:r w:rsidR="00E846E0">
        <w:rPr>
          <w:rFonts w:ascii="Open sans" w:hAnsi="Open sans"/>
        </w:rPr>
        <w:t xml:space="preserve"> on the office of the F</w:t>
      </w:r>
      <w:r w:rsidR="00E846E0" w:rsidRPr="00E846E0">
        <w:rPr>
          <w:rFonts w:ascii="Open sans" w:hAnsi="Open sans"/>
        </w:rPr>
        <w:t>ederal Minister for Communications</w:t>
      </w:r>
      <w:r w:rsidR="00E846E0">
        <w:rPr>
          <w:rFonts w:ascii="Open sans" w:hAnsi="Open sans"/>
        </w:rPr>
        <w:t>. This would ensure that telecommunication public good is supported by Federal government funding.</w:t>
      </w:r>
    </w:p>
    <w:p w:rsidR="00E846E0" w:rsidRPr="0039796C" w:rsidRDefault="00E846E0" w:rsidP="00E846E0">
      <w:pPr>
        <w:pStyle w:val="Heading3"/>
      </w:pPr>
      <w:r w:rsidRPr="00E846E0">
        <w:t>Draft Finding</w:t>
      </w:r>
      <w:r>
        <w:t xml:space="preserve"> 8.2: Funding for </w:t>
      </w:r>
      <w:r w:rsidRPr="00E846E0">
        <w:t>the delivery of universal services</w:t>
      </w:r>
    </w:p>
    <w:p w:rsidR="00FC3AD1" w:rsidRDefault="00E846E0" w:rsidP="00CD7E47">
      <w:pPr>
        <w:rPr>
          <w:rFonts w:ascii="Open sans" w:hAnsi="Open sans"/>
        </w:rPr>
      </w:pPr>
      <w:r>
        <w:rPr>
          <w:rFonts w:ascii="Open sans" w:hAnsi="Open sans"/>
        </w:rPr>
        <w:t>The Productivity Commission’s discussion of potential funding models for a b</w:t>
      </w:r>
      <w:r w:rsidRPr="00E846E0">
        <w:rPr>
          <w:rFonts w:ascii="Open sans" w:hAnsi="Open sans"/>
        </w:rPr>
        <w:t>aseline broadband (including voice) service</w:t>
      </w:r>
      <w:r>
        <w:rPr>
          <w:rFonts w:ascii="Open sans" w:hAnsi="Open sans"/>
        </w:rPr>
        <w:t xml:space="preserve"> is based on the presumption that a consumer levy is a possibility. </w:t>
      </w:r>
      <w:r w:rsidR="00FC3AD1">
        <w:rPr>
          <w:rFonts w:ascii="Open sans" w:hAnsi="Open sans"/>
        </w:rPr>
        <w:t>A telecommunications levy is academically attractive as it shifts funds and changes outcomes only within the telecommunications market. Theoretically a telecommunications levy would have little impact on other markets.</w:t>
      </w:r>
    </w:p>
    <w:p w:rsidR="00CD7E47" w:rsidRDefault="00FC3AD1" w:rsidP="00CD7E47">
      <w:pPr>
        <w:rPr>
          <w:rFonts w:ascii="Open sans" w:hAnsi="Open sans"/>
        </w:rPr>
      </w:pPr>
      <w:r>
        <w:rPr>
          <w:rFonts w:ascii="Open sans" w:hAnsi="Open sans"/>
        </w:rPr>
        <w:lastRenderedPageBreak/>
        <w:t xml:space="preserve">The key issue with a telecommunications levy is not economic efficiency but rather </w:t>
      </w:r>
      <w:r w:rsidR="00B45D69">
        <w:rPr>
          <w:rFonts w:ascii="Open sans" w:hAnsi="Open sans"/>
        </w:rPr>
        <w:t>political</w:t>
      </w:r>
      <w:r>
        <w:rPr>
          <w:rFonts w:ascii="Open sans" w:hAnsi="Open sans"/>
        </w:rPr>
        <w:t xml:space="preserve"> responses to industry and stakeholder lobby groups and potential voter (not consumer) reactions.</w:t>
      </w:r>
    </w:p>
    <w:p w:rsidR="00FC3AD1" w:rsidRPr="00CD7E47" w:rsidRDefault="00FC3AD1" w:rsidP="00CD7E47">
      <w:pPr>
        <w:rPr>
          <w:rFonts w:ascii="Open sans" w:hAnsi="Open sans"/>
        </w:rPr>
      </w:pPr>
      <w:r>
        <w:rPr>
          <w:rFonts w:ascii="Open sans" w:hAnsi="Open sans"/>
        </w:rPr>
        <w:t>To mitigate political disinterest, any levy must not be seen by end-consumers as a reason for increased invoices totals. A levy should not appear on invoices as a line item. Ideally any levy is included in wholesale access to the infrastructure that it ultimately funds.</w:t>
      </w:r>
    </w:p>
    <w:p w:rsidR="00CD7E47" w:rsidRDefault="00AD7541" w:rsidP="00AD7541">
      <w:pPr>
        <w:pStyle w:val="Heading2"/>
      </w:pPr>
      <w:r>
        <w:t>Conclusion</w:t>
      </w:r>
    </w:p>
    <w:p w:rsidR="00AD7541" w:rsidRDefault="00B45D69" w:rsidP="00CD7E47">
      <w:pPr>
        <w:rPr>
          <w:rFonts w:ascii="Open sans" w:hAnsi="Open sans"/>
        </w:rPr>
      </w:pPr>
      <w:r>
        <w:rPr>
          <w:rFonts w:ascii="Open sans" w:hAnsi="Open sans"/>
        </w:rPr>
        <w:t>Telecommunication market failure has been mitigated by recent government infrastructure investment. To ensure success of a b</w:t>
      </w:r>
      <w:r w:rsidRPr="00B45D69">
        <w:rPr>
          <w:rFonts w:ascii="Open sans" w:hAnsi="Open sans"/>
        </w:rPr>
        <w:t>aseline broadband (including voice) service</w:t>
      </w:r>
      <w:r>
        <w:rPr>
          <w:rFonts w:ascii="Open sans" w:hAnsi="Open sans"/>
        </w:rPr>
        <w:t xml:space="preserve"> responsibility must be accepted by Federal Government. Funding for a baseline is best established via a wholesale NBNCo levy on retailers of their service.</w:t>
      </w:r>
    </w:p>
    <w:p w:rsidR="00CD7E47" w:rsidRPr="00CD7E47" w:rsidRDefault="00CD7E47" w:rsidP="00CD7E47">
      <w:pPr>
        <w:rPr>
          <w:rFonts w:ascii="Open sans" w:hAnsi="Open sans"/>
        </w:rPr>
      </w:pPr>
    </w:p>
    <w:p w:rsidR="00060946" w:rsidRDefault="00A21D65" w:rsidP="00060946">
      <w:pPr>
        <w:rPr>
          <w:rFonts w:ascii="Open sans" w:hAnsi="Open sans"/>
        </w:rPr>
      </w:pPr>
      <w:r w:rsidRPr="00A21D65">
        <w:rPr>
          <w:rFonts w:ascii="Open sans" w:hAnsi="Open sans"/>
        </w:rPr>
        <w:t xml:space="preserve"> </w:t>
      </w:r>
      <w:r w:rsidR="00E15DDE">
        <w:rPr>
          <w:rFonts w:ascii="Open sans" w:hAnsi="Open sans"/>
        </w:rPr>
        <w:t xml:space="preserve"> </w:t>
      </w:r>
      <w:r w:rsidR="00060946">
        <w:rPr>
          <w:rFonts w:ascii="Open sans" w:hAnsi="Open sans"/>
        </w:rPr>
        <w:t>__________________</w:t>
      </w:r>
    </w:p>
    <w:p w:rsidR="00060946" w:rsidRPr="00163B5C" w:rsidRDefault="00060946" w:rsidP="00060946">
      <w:pPr>
        <w:rPr>
          <w:rFonts w:ascii="Open sans" w:hAnsi="Open sans"/>
          <w:b/>
        </w:rPr>
      </w:pPr>
      <w:r w:rsidRPr="00163B5C">
        <w:rPr>
          <w:rFonts w:ascii="Open sans" w:hAnsi="Open sans"/>
          <w:b/>
        </w:rPr>
        <w:t>Bruce Macfarlane</w:t>
      </w:r>
    </w:p>
    <w:p w:rsidR="00EE005E" w:rsidRPr="00060946" w:rsidRDefault="00060946">
      <w:pPr>
        <w:rPr>
          <w:rFonts w:ascii="Open sans" w:hAnsi="Open sans"/>
        </w:rPr>
      </w:pPr>
      <w:r w:rsidRPr="00163B5C">
        <w:rPr>
          <w:rFonts w:ascii="Open sans" w:hAnsi="Open sans"/>
        </w:rPr>
        <w:t xml:space="preserve">Bruce Macfarlane is the founder of </w:t>
      </w:r>
      <w:r w:rsidRPr="00CD7E47">
        <w:rPr>
          <w:rFonts w:ascii="Open sans" w:hAnsi="Open sans"/>
        </w:rPr>
        <w:t>Kansoly</w:t>
      </w:r>
      <w:r w:rsidRPr="00163B5C">
        <w:rPr>
          <w:rFonts w:ascii="Open sans" w:hAnsi="Open sans"/>
        </w:rPr>
        <w:t xml:space="preserve"> a </w:t>
      </w:r>
      <w:r w:rsidR="00442970">
        <w:rPr>
          <w:rFonts w:ascii="Open sans" w:hAnsi="Open sans"/>
        </w:rPr>
        <w:t xml:space="preserve">source to pay </w:t>
      </w:r>
      <w:hyperlink r:id="rId15" w:history="1">
        <w:r w:rsidRPr="00CD7E47">
          <w:rPr>
            <w:rStyle w:val="Hyperlink"/>
            <w:rFonts w:ascii="Open sans" w:hAnsi="Open sans"/>
          </w:rPr>
          <w:t>tel</w:t>
        </w:r>
        <w:r w:rsidR="00442970" w:rsidRPr="00CD7E47">
          <w:rPr>
            <w:rStyle w:val="Hyperlink"/>
            <w:rFonts w:ascii="Open sans" w:hAnsi="Open sans"/>
          </w:rPr>
          <w:t>ecom expense management</w:t>
        </w:r>
      </w:hyperlink>
      <w:r w:rsidR="00442970">
        <w:rPr>
          <w:rFonts w:ascii="Open sans" w:hAnsi="Open sans"/>
        </w:rPr>
        <w:t xml:space="preserve"> </w:t>
      </w:r>
      <w:r w:rsidRPr="00163B5C">
        <w:rPr>
          <w:rFonts w:ascii="Open sans" w:hAnsi="Open sans"/>
        </w:rPr>
        <w:t xml:space="preserve">platform for business. </w:t>
      </w:r>
    </w:p>
    <w:sectPr w:rsidR="00EE005E" w:rsidRPr="0006094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D8E" w:rsidRDefault="00ED0D8E" w:rsidP="009C164A">
      <w:pPr>
        <w:spacing w:after="0" w:line="240" w:lineRule="auto"/>
      </w:pPr>
      <w:r>
        <w:separator/>
      </w:r>
    </w:p>
  </w:endnote>
  <w:endnote w:type="continuationSeparator" w:id="0">
    <w:p w:rsidR="00ED0D8E" w:rsidRDefault="00ED0D8E" w:rsidP="009C1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98E" w:rsidRDefault="00ED19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D22" w:rsidRPr="007A6D22" w:rsidRDefault="007A6D22" w:rsidP="007A6D22">
    <w:pPr>
      <w:pStyle w:val="Footer"/>
      <w:tabs>
        <w:tab w:val="clear" w:pos="4513"/>
      </w:tabs>
      <w:rPr>
        <w:sz w:val="18"/>
      </w:rPr>
    </w:pPr>
    <w:r w:rsidRPr="000C4935">
      <w:rPr>
        <w:noProof/>
        <w:sz w:val="18"/>
        <w:lang w:eastAsia="en-AU"/>
      </w:rPr>
      <w:drawing>
        <wp:inline distT="0" distB="0" distL="0" distR="0" wp14:anchorId="41320E80" wp14:editId="38630BFB">
          <wp:extent cx="330835" cy="330835"/>
          <wp:effectExtent l="0" t="0" r="0" b="0"/>
          <wp:docPr id="4" name="Picture 4" descr="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83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C4935">
      <w:rPr>
        <w:sz w:val="18"/>
      </w:rPr>
      <w:tab/>
      <w:t xml:space="preserve">Page </w:t>
    </w:r>
    <w:r w:rsidRPr="000C4935">
      <w:rPr>
        <w:noProof/>
        <w:sz w:val="18"/>
      </w:rPr>
      <w:fldChar w:fldCharType="begin"/>
    </w:r>
    <w:r w:rsidRPr="000C4935">
      <w:rPr>
        <w:noProof/>
        <w:sz w:val="18"/>
      </w:rPr>
      <w:instrText xml:space="preserve"> PAGE  \* Arabic </w:instrText>
    </w:r>
    <w:r w:rsidRPr="000C4935">
      <w:rPr>
        <w:noProof/>
        <w:sz w:val="18"/>
      </w:rPr>
      <w:fldChar w:fldCharType="separate"/>
    </w:r>
    <w:r w:rsidR="00ED198E">
      <w:rPr>
        <w:noProof/>
        <w:sz w:val="18"/>
      </w:rPr>
      <w:t>1</w:t>
    </w:r>
    <w:r w:rsidRPr="000C4935"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98E" w:rsidRDefault="00ED19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D8E" w:rsidRDefault="00ED0D8E" w:rsidP="009C164A">
      <w:pPr>
        <w:spacing w:after="0" w:line="240" w:lineRule="auto"/>
      </w:pPr>
      <w:r>
        <w:separator/>
      </w:r>
    </w:p>
  </w:footnote>
  <w:footnote w:type="continuationSeparator" w:id="0">
    <w:p w:rsidR="00ED0D8E" w:rsidRDefault="00ED0D8E" w:rsidP="009C1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98E" w:rsidRDefault="00ED19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1F4E79" w:themeColor="accent1" w:themeShade="80"/>
        <w:insideV w:val="single" w:sz="4" w:space="0" w:color="1F4E79" w:themeColor="accent1" w:themeShade="80"/>
      </w:tblBorders>
      <w:tblLook w:val="04A0" w:firstRow="1" w:lastRow="0" w:firstColumn="1" w:lastColumn="0" w:noHBand="0" w:noVBand="1"/>
    </w:tblPr>
    <w:tblGrid>
      <w:gridCol w:w="2552"/>
      <w:gridCol w:w="3267"/>
    </w:tblGrid>
    <w:tr w:rsidR="007A6D22" w:rsidTr="007A6D22">
      <w:trPr>
        <w:trHeight w:val="949"/>
      </w:trPr>
      <w:tc>
        <w:tcPr>
          <w:tcW w:w="2552" w:type="dxa"/>
        </w:tcPr>
        <w:p w:rsidR="007A6D22" w:rsidRDefault="007A6D22" w:rsidP="007A6D22">
          <w:r>
            <w:rPr>
              <w:noProof/>
              <w:lang w:eastAsia="en-AU"/>
            </w:rPr>
            <w:drawing>
              <wp:inline distT="0" distB="0" distL="0" distR="0" wp14:anchorId="0EB5A7C6" wp14:editId="69F2090E">
                <wp:extent cx="1391478" cy="527724"/>
                <wp:effectExtent l="0" t="0" r="0" b="571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8-logo-without-taglin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3891" cy="5438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7" w:type="dxa"/>
          <w:vAlign w:val="center"/>
        </w:tcPr>
        <w:p w:rsidR="007A6D22" w:rsidRPr="0082457C" w:rsidRDefault="007A6D22" w:rsidP="007A6D22">
          <w:pPr>
            <w:spacing w:after="60"/>
            <w:rPr>
              <w:color w:val="808080" w:themeColor="background1" w:themeShade="80"/>
              <w:sz w:val="18"/>
              <w:szCs w:val="18"/>
            </w:rPr>
          </w:pPr>
          <w:bookmarkStart w:id="0" w:name="_GoBack"/>
          <w:r w:rsidRPr="0082457C">
            <w:rPr>
              <w:color w:val="808080" w:themeColor="background1" w:themeShade="80"/>
              <w:sz w:val="18"/>
              <w:szCs w:val="18"/>
            </w:rPr>
            <w:t xml:space="preserve">Kansoly </w:t>
          </w:r>
          <w:r>
            <w:rPr>
              <w:color w:val="808080" w:themeColor="background1" w:themeShade="80"/>
              <w:sz w:val="18"/>
              <w:szCs w:val="18"/>
            </w:rPr>
            <w:t>Telecom Expense Management</w:t>
          </w:r>
        </w:p>
        <w:bookmarkEnd w:id="0"/>
        <w:p w:rsidR="007A6D22" w:rsidRPr="0082457C" w:rsidRDefault="007A6D22" w:rsidP="007A6D22">
          <w:pPr>
            <w:spacing w:after="60"/>
            <w:rPr>
              <w:color w:val="808080" w:themeColor="background1" w:themeShade="80"/>
              <w:sz w:val="18"/>
              <w:szCs w:val="18"/>
            </w:rPr>
          </w:pPr>
          <w:r w:rsidRPr="0082457C">
            <w:rPr>
              <w:color w:val="808080" w:themeColor="background1" w:themeShade="80"/>
              <w:sz w:val="18"/>
              <w:szCs w:val="18"/>
            </w:rPr>
            <w:t xml:space="preserve">ABN </w:t>
          </w:r>
          <w:r w:rsidRPr="0067158F">
            <w:rPr>
              <w:color w:val="808080" w:themeColor="background1" w:themeShade="80"/>
              <w:sz w:val="18"/>
              <w:szCs w:val="18"/>
            </w:rPr>
            <w:t>46 616 350 853</w:t>
          </w:r>
        </w:p>
        <w:p w:rsidR="007A6D22" w:rsidRPr="0082457C" w:rsidRDefault="007A6D22" w:rsidP="007A6D22">
          <w:pPr>
            <w:rPr>
              <w:noProof/>
              <w:color w:val="808080" w:themeColor="background1" w:themeShade="80"/>
              <w:sz w:val="18"/>
              <w:szCs w:val="18"/>
            </w:rPr>
          </w:pPr>
          <w:r w:rsidRPr="0082457C">
            <w:rPr>
              <w:color w:val="808080" w:themeColor="background1" w:themeShade="80"/>
              <w:sz w:val="18"/>
              <w:szCs w:val="18"/>
            </w:rPr>
            <w:t>www.kansoly.com</w:t>
          </w:r>
        </w:p>
      </w:tc>
    </w:tr>
  </w:tbl>
  <w:p w:rsidR="007A6D22" w:rsidRDefault="007A6D2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98E" w:rsidRDefault="00ED19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419BD"/>
    <w:multiLevelType w:val="hybridMultilevel"/>
    <w:tmpl w:val="51F493E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A17FB"/>
    <w:multiLevelType w:val="hybridMultilevel"/>
    <w:tmpl w:val="7C007A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578"/>
    <w:rsid w:val="00015657"/>
    <w:rsid w:val="00046163"/>
    <w:rsid w:val="00047018"/>
    <w:rsid w:val="0005053A"/>
    <w:rsid w:val="00054DEA"/>
    <w:rsid w:val="0005509A"/>
    <w:rsid w:val="00060946"/>
    <w:rsid w:val="00064323"/>
    <w:rsid w:val="00064DC9"/>
    <w:rsid w:val="00090312"/>
    <w:rsid w:val="000B53C4"/>
    <w:rsid w:val="000C76C9"/>
    <w:rsid w:val="000D7BDD"/>
    <w:rsid w:val="001251FD"/>
    <w:rsid w:val="00164D91"/>
    <w:rsid w:val="00185EED"/>
    <w:rsid w:val="001968DD"/>
    <w:rsid w:val="001A141D"/>
    <w:rsid w:val="001F3E40"/>
    <w:rsid w:val="002633F8"/>
    <w:rsid w:val="00270E35"/>
    <w:rsid w:val="002855B8"/>
    <w:rsid w:val="002A0BF1"/>
    <w:rsid w:val="002A5969"/>
    <w:rsid w:val="002C4078"/>
    <w:rsid w:val="002E6A49"/>
    <w:rsid w:val="002F5932"/>
    <w:rsid w:val="00354C4A"/>
    <w:rsid w:val="0037298F"/>
    <w:rsid w:val="00387A9F"/>
    <w:rsid w:val="00393FE2"/>
    <w:rsid w:val="0039796C"/>
    <w:rsid w:val="003C1FAB"/>
    <w:rsid w:val="003D5151"/>
    <w:rsid w:val="003F2D5F"/>
    <w:rsid w:val="00442970"/>
    <w:rsid w:val="00457342"/>
    <w:rsid w:val="004938D1"/>
    <w:rsid w:val="004A3B80"/>
    <w:rsid w:val="004A4AF9"/>
    <w:rsid w:val="004E3A7D"/>
    <w:rsid w:val="005105BD"/>
    <w:rsid w:val="00524E3C"/>
    <w:rsid w:val="00546153"/>
    <w:rsid w:val="005C6331"/>
    <w:rsid w:val="005E0A7B"/>
    <w:rsid w:val="005F0FE9"/>
    <w:rsid w:val="0062684B"/>
    <w:rsid w:val="00642EE9"/>
    <w:rsid w:val="006578DC"/>
    <w:rsid w:val="00665EE1"/>
    <w:rsid w:val="006B4FA4"/>
    <w:rsid w:val="007457EF"/>
    <w:rsid w:val="00752F3F"/>
    <w:rsid w:val="0075680E"/>
    <w:rsid w:val="00766403"/>
    <w:rsid w:val="007A6D22"/>
    <w:rsid w:val="007C0C94"/>
    <w:rsid w:val="007C50E6"/>
    <w:rsid w:val="007C52A9"/>
    <w:rsid w:val="007D0578"/>
    <w:rsid w:val="00816E04"/>
    <w:rsid w:val="00864AC0"/>
    <w:rsid w:val="008A0FF8"/>
    <w:rsid w:val="008B109F"/>
    <w:rsid w:val="008C1F82"/>
    <w:rsid w:val="008C63AC"/>
    <w:rsid w:val="008E5875"/>
    <w:rsid w:val="00921D0F"/>
    <w:rsid w:val="00970A3A"/>
    <w:rsid w:val="0097428D"/>
    <w:rsid w:val="00997379"/>
    <w:rsid w:val="009C164A"/>
    <w:rsid w:val="009D5228"/>
    <w:rsid w:val="009F36DD"/>
    <w:rsid w:val="009F7403"/>
    <w:rsid w:val="00A04F08"/>
    <w:rsid w:val="00A1188A"/>
    <w:rsid w:val="00A164AE"/>
    <w:rsid w:val="00A21D65"/>
    <w:rsid w:val="00A51DA4"/>
    <w:rsid w:val="00AA6723"/>
    <w:rsid w:val="00AA7F95"/>
    <w:rsid w:val="00AD7541"/>
    <w:rsid w:val="00AF06CE"/>
    <w:rsid w:val="00AF1E93"/>
    <w:rsid w:val="00AF4C52"/>
    <w:rsid w:val="00B01047"/>
    <w:rsid w:val="00B25E35"/>
    <w:rsid w:val="00B42066"/>
    <w:rsid w:val="00B45D69"/>
    <w:rsid w:val="00B6416B"/>
    <w:rsid w:val="00BB1EC6"/>
    <w:rsid w:val="00C02315"/>
    <w:rsid w:val="00C52D6D"/>
    <w:rsid w:val="00C622FA"/>
    <w:rsid w:val="00C91A73"/>
    <w:rsid w:val="00CC3027"/>
    <w:rsid w:val="00CD7E47"/>
    <w:rsid w:val="00CE7F83"/>
    <w:rsid w:val="00D60239"/>
    <w:rsid w:val="00D610DE"/>
    <w:rsid w:val="00D95D9D"/>
    <w:rsid w:val="00E05B0F"/>
    <w:rsid w:val="00E15DDE"/>
    <w:rsid w:val="00E20191"/>
    <w:rsid w:val="00E61CD3"/>
    <w:rsid w:val="00E64D67"/>
    <w:rsid w:val="00E846E0"/>
    <w:rsid w:val="00E911A0"/>
    <w:rsid w:val="00ED0D8E"/>
    <w:rsid w:val="00ED198E"/>
    <w:rsid w:val="00EE005E"/>
    <w:rsid w:val="00F8798A"/>
    <w:rsid w:val="00F90543"/>
    <w:rsid w:val="00FA2CAE"/>
    <w:rsid w:val="00FA7090"/>
    <w:rsid w:val="00FC3AD1"/>
    <w:rsid w:val="00FD3332"/>
    <w:rsid w:val="00FD69B7"/>
    <w:rsid w:val="00FE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578"/>
  </w:style>
  <w:style w:type="paragraph" w:styleId="Heading1">
    <w:name w:val="heading 1"/>
    <w:basedOn w:val="Normal"/>
    <w:next w:val="Normal"/>
    <w:link w:val="Heading1Char"/>
    <w:uiPriority w:val="9"/>
    <w:qFormat/>
    <w:rsid w:val="007D0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50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46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5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60946"/>
    <w:rPr>
      <w:color w:val="0563C1" w:themeColor="hyperlink"/>
      <w:u w:val="single"/>
    </w:rPr>
  </w:style>
  <w:style w:type="table" w:styleId="TableGrid">
    <w:name w:val="Table Grid"/>
    <w:basedOn w:val="TableNormal"/>
    <w:rsid w:val="009D5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9C164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164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C164A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0550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64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64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64AE"/>
    <w:rPr>
      <w:vertAlign w:val="superscript"/>
    </w:rPr>
  </w:style>
  <w:style w:type="character" w:customStyle="1" w:styleId="Mention">
    <w:name w:val="Mention"/>
    <w:basedOn w:val="DefaultParagraphFont"/>
    <w:uiPriority w:val="99"/>
    <w:semiHidden/>
    <w:unhideWhenUsed/>
    <w:rsid w:val="00CD7E47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D7E4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846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6D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D22"/>
  </w:style>
  <w:style w:type="paragraph" w:styleId="Footer">
    <w:name w:val="footer"/>
    <w:basedOn w:val="Normal"/>
    <w:link w:val="FooterChar"/>
    <w:uiPriority w:val="99"/>
    <w:unhideWhenUsed/>
    <w:rsid w:val="007A6D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D22"/>
  </w:style>
  <w:style w:type="paragraph" w:styleId="BalloonText">
    <w:name w:val="Balloon Text"/>
    <w:basedOn w:val="Normal"/>
    <w:link w:val="BalloonTextChar"/>
    <w:uiPriority w:val="99"/>
    <w:semiHidden/>
    <w:unhideWhenUsed/>
    <w:rsid w:val="00ED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9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578"/>
  </w:style>
  <w:style w:type="paragraph" w:styleId="Heading1">
    <w:name w:val="heading 1"/>
    <w:basedOn w:val="Normal"/>
    <w:next w:val="Normal"/>
    <w:link w:val="Heading1Char"/>
    <w:uiPriority w:val="9"/>
    <w:qFormat/>
    <w:rsid w:val="007D0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50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46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5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60946"/>
    <w:rPr>
      <w:color w:val="0563C1" w:themeColor="hyperlink"/>
      <w:u w:val="single"/>
    </w:rPr>
  </w:style>
  <w:style w:type="table" w:styleId="TableGrid">
    <w:name w:val="Table Grid"/>
    <w:basedOn w:val="TableNormal"/>
    <w:rsid w:val="009D5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9C164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164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C164A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0550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64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64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64AE"/>
    <w:rPr>
      <w:vertAlign w:val="superscript"/>
    </w:rPr>
  </w:style>
  <w:style w:type="character" w:customStyle="1" w:styleId="Mention">
    <w:name w:val="Mention"/>
    <w:basedOn w:val="DefaultParagraphFont"/>
    <w:uiPriority w:val="99"/>
    <w:semiHidden/>
    <w:unhideWhenUsed/>
    <w:rsid w:val="00CD7E47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D7E4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846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6D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D22"/>
  </w:style>
  <w:style w:type="paragraph" w:styleId="Footer">
    <w:name w:val="footer"/>
    <w:basedOn w:val="Normal"/>
    <w:link w:val="FooterChar"/>
    <w:uiPriority w:val="99"/>
    <w:unhideWhenUsed/>
    <w:rsid w:val="007A6D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D22"/>
  </w:style>
  <w:style w:type="paragraph" w:styleId="BalloonText">
    <w:name w:val="Balloon Text"/>
    <w:basedOn w:val="Normal"/>
    <w:link w:val="BalloonTextChar"/>
    <w:uiPriority w:val="99"/>
    <w:semiHidden/>
    <w:unhideWhenUsed/>
    <w:rsid w:val="00ED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9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kansoly.com/home/contact-us/" TargetMode="External"/><Relationship Id="rId23" Type="http://schemas.openxmlformats.org/officeDocument/2006/relationships/theme" Target="theme/theme1.xml"/><Relationship Id="rId10" Type="http://schemas.microsoft.com/office/2007/relationships/stylesWithEffects" Target="stylesWithEffect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A4BACF5810D60A4786FE0EE710FE46A4" ma:contentTypeVersion="25" ma:contentTypeDescription="" ma:contentTypeScope="" ma:versionID="f2b95a54225ac45540f87d2d0d757fa8">
  <xsd:schema xmlns:xsd="http://www.w3.org/2001/XMLSchema" xmlns:xs="http://www.w3.org/2001/XMLSchema" xmlns:p="http://schemas.microsoft.com/office/2006/metadata/properties" xmlns:ns1="http://schemas.microsoft.com/sharepoint/v3" xmlns:ns2="3f4bcce7-ac1a-4c9d-aa3e-7e77695652db" targetNamespace="http://schemas.microsoft.com/office/2006/metadata/properties" ma:root="true" ma:fieldsID="8f4027d2b265b04c19a917b16082baa4" ns1:_="" ns2:_="">
    <xsd:import namespace="http://schemas.microsoft.com/sharepoint/v3"/>
    <xsd:import namespace="3f4bcce7-ac1a-4c9d-aa3e-7e77695652d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1:V3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17" nillable="true" ma:displayName="Append-Only Comments" ma:internalName="V3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4e6d87af-2d6b-4cf1-a010-4111d6830e3c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f4bcce7-ac1a-4c9d-aa3e-7e77695652db">
      <Terms xmlns="http://schemas.microsoft.com/office/infopath/2007/PartnerControls"/>
    </TaxKeywordTaxHTField>
    <V3Comments xmlns="http://schemas.microsoft.com/sharepoint/v3" xsi:nil="true"/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 - Stage 2</TermName>
          <TermId xmlns="http://schemas.microsoft.com/office/infopath/2007/PartnerControls">df6c8b62-a0f6-48ca-9bad-05bd9d9348d3</TermId>
        </TermInfo>
      </Terms>
    </p7a0baa8c88445a78b6f55906390ba17>
    <TaxCatchAll xmlns="3f4bcce7-ac1a-4c9d-aa3e-7e77695652db">
      <Value>4487</Value>
    </TaxCatchAll>
    <_dlc_DocId xmlns="3f4bcce7-ac1a-4c9d-aa3e-7e77695652db">PCDOC-1117832070-227</_dlc_DocId>
    <_dlc_DocIdUrl xmlns="3f4bcce7-ac1a-4c9d-aa3e-7e77695652db">
      <Url>https://inet.pc.gov.au/pmo/inq/tele/_layouts/15/DocIdRedir.aspx?ID=PCDOC-1117832070-227</Url>
      <Description>PCDOC-1117832070-227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BA902-2C9F-4645-8197-F8043D000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4bcce7-ac1a-4c9d-aa3e-7e77695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F99FA8-57D0-43FD-866F-E219668C1818}">
  <ds:schemaRefs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microsoft.com/sharepoint/v3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3f4bcce7-ac1a-4c9d-aa3e-7e77695652db"/>
  </ds:schemaRefs>
</ds:datastoreItem>
</file>

<file path=customXml/itemProps3.xml><?xml version="1.0" encoding="utf-8"?>
<ds:datastoreItem xmlns:ds="http://schemas.openxmlformats.org/officeDocument/2006/customXml" ds:itemID="{6F1DC738-0CD2-433D-B2C1-E1E6BA7DCF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1284D0-A5E9-43C0-9999-09323E9EA37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32F8103-0344-4C97-8313-2C12DF50A1F3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630AF2BB-EF5D-402C-966B-E3FFDCA30964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B7961D96-0525-4BBA-9288-A3F72D073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DR175 - Kansoly Telecom Expense Management - Telecommunications Universal Service Obligation - Public inquiry</vt:lpstr>
    </vt:vector>
  </TitlesOfParts>
  <Company>Kansoly Telecom Expense Management</Company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DR175 - Kansoly Telecom Expense Management - Telecommunications Universal Service Obligation - Public inquiry</dc:title>
  <dc:subject/>
  <dc:creator>Kansoly Telecom Expense Management</dc:creator>
  <cp:keywords/>
  <dc:description/>
  <cp:lastModifiedBy>Productivity Commission</cp:lastModifiedBy>
  <cp:revision>11</cp:revision>
  <dcterms:created xsi:type="dcterms:W3CDTF">2017-03-20T22:29:00Z</dcterms:created>
  <dcterms:modified xsi:type="dcterms:W3CDTF">2017-03-23T05:07:00Z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0x0101007916246811615643A710C6FEAFF56A87110500A4BACF5810D60A4786FE0EE710FE46A4</vt:lpwstr>
  </property>
  <property fmtid="{D5CDD505-2E9C-101B-9397-08002B2CF9AE}" pid="3" name="_dlc_DocIdItemGuid">
    <vt:lpwstr>7cd9c919-519b-4de1-bf7c-34589b2a6d01</vt:lpwstr>
  </property>
  <property fmtid="{D5CDD505-2E9C-101B-9397-08002B2CF9AE}" pid="4" name="Record Tag">
    <vt:lpwstr>4487;#Submissions - Stage 2|df6c8b62-a0f6-48ca-9bad-05bd9d9348d3</vt:lpwstr>
  </property>
  <property fmtid="{D5CDD505-2E9C-101B-9397-08002B2CF9AE}" pid="5" name="TaxKeyword">
    <vt:lpwstr/>
  </property>
</Properties>
</file>