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A7326" w14:textId="5C19997B" w:rsidR="00A15368" w:rsidRDefault="008D24B9" w:rsidP="00D07AB5">
      <w:pPr>
        <w:pStyle w:val="Title"/>
        <w:rPr>
          <w:rStyle w:val="TitleChar"/>
          <w:b/>
        </w:rPr>
      </w:pPr>
      <w:r>
        <w:rPr>
          <w:rStyle w:val="TitleChar"/>
          <w:b/>
        </w:rPr>
        <w:t xml:space="preserve">Competition in </w:t>
      </w:r>
      <w:r w:rsidR="008C5C09">
        <w:rPr>
          <w:rStyle w:val="TitleChar"/>
          <w:b/>
        </w:rPr>
        <w:t>the Australian Financial System</w:t>
      </w:r>
    </w:p>
    <w:p w14:paraId="1E4A7327" w14:textId="77777777" w:rsidR="00D03C5E" w:rsidRPr="00D03C5E" w:rsidRDefault="003873F8" w:rsidP="00D03C5E">
      <w:pPr>
        <w:pStyle w:val="Subtitle"/>
      </w:pPr>
      <w:r w:rsidRPr="003873F8">
        <w:t>Supplementary Submission to the</w:t>
      </w:r>
      <w:r w:rsidR="006F45EE">
        <w:t xml:space="preserve"> </w:t>
      </w:r>
      <w:r w:rsidRPr="003873F8">
        <w:t>Productivity Commission Inquiry</w:t>
      </w:r>
      <w:bookmarkStart w:id="0" w:name="_GoBack"/>
      <w:bookmarkEnd w:id="0"/>
    </w:p>
    <w:p w14:paraId="1E4A7328" w14:textId="77777777" w:rsidR="00C715AE" w:rsidRDefault="00851047" w:rsidP="00942586">
      <w:pPr>
        <w:pStyle w:val="Subtitle"/>
        <w:tabs>
          <w:tab w:val="right" w:pos="8720"/>
        </w:tabs>
        <w:jc w:val="left"/>
      </w:pPr>
      <w:sdt>
        <w:sdtPr>
          <w:alias w:val="RBA_Draft"/>
          <w:tag w:val="RBA_Draft"/>
          <w:id w:val="-185518148"/>
          <w:placeholder>
            <w:docPart w:val="E6BDE525B26A44F68DBDEC40AC10821A"/>
          </w:placeholder>
          <w:text/>
        </w:sdtPr>
        <w:sdtEndPr/>
        <w:sdtContent>
          <w:r w:rsidR="002019B8">
            <w:t xml:space="preserve"> </w:t>
          </w:r>
        </w:sdtContent>
      </w:sdt>
      <w:r w:rsidR="002019B8">
        <w:tab/>
      </w:r>
      <w:sdt>
        <w:sdtPr>
          <w:alias w:val="RBA_Date"/>
          <w:tag w:val="RBA_Date"/>
          <w:id w:val="-1113744285"/>
          <w:placeholder>
            <w:docPart w:val="1CF15A3A28CE4C6E8BCF5A6A36625E8E"/>
          </w:placeholder>
          <w:date w:fullDate="2018-03-01T00:00:00Z">
            <w:dateFormat w:val="MMMM yyyy"/>
            <w:lid w:val="en-AU"/>
            <w:storeMappedDataAs w:val="dateTime"/>
            <w:calendar w:val="gregorian"/>
          </w:date>
        </w:sdtPr>
        <w:sdtEndPr/>
        <w:sdtContent>
          <w:r w:rsidR="003873F8">
            <w:t>March 2018</w:t>
          </w:r>
        </w:sdtContent>
      </w:sdt>
    </w:p>
    <w:p w14:paraId="1E4A7329" w14:textId="220ABC9B" w:rsidR="00C715AE" w:rsidRDefault="00CD1A02" w:rsidP="00207D80">
      <w:pPr>
        <w:pStyle w:val="Heading1"/>
      </w:pPr>
      <w:r w:rsidRPr="000349CF">
        <w:t>Introduction</w:t>
      </w:r>
    </w:p>
    <w:p w14:paraId="1E4A732A" w14:textId="547A14BB" w:rsidR="00942586" w:rsidRPr="00CD1A02" w:rsidRDefault="00CD1A02" w:rsidP="00CD1A02">
      <w:pPr>
        <w:pStyle w:val="BodyText"/>
      </w:pPr>
      <w:r>
        <w:t xml:space="preserve">The Reserve Bank of Australia </w:t>
      </w:r>
      <w:r w:rsidR="002F2EA3">
        <w:t xml:space="preserve">(the Bank) </w:t>
      </w:r>
      <w:r>
        <w:t xml:space="preserve">has prepared this Supplementary Submission in response to the </w:t>
      </w:r>
      <w:r w:rsidR="003873F8">
        <w:t xml:space="preserve">Productivity Commission’s </w:t>
      </w:r>
      <w:r w:rsidR="003873F8" w:rsidRPr="003873F8">
        <w:rPr>
          <w:i/>
        </w:rPr>
        <w:t>Competition in the Australian Financial System Draft Report</w:t>
      </w:r>
      <w:sdt>
        <w:sdtPr>
          <w:rPr>
            <w:i/>
          </w:rPr>
          <w:id w:val="576248320"/>
          <w:citation/>
        </w:sdtPr>
        <w:sdtEndPr/>
        <w:sdtContent>
          <w:r w:rsidR="00F35464">
            <w:rPr>
              <w:i/>
            </w:rPr>
            <w:fldChar w:fldCharType="begin"/>
          </w:r>
          <w:r w:rsidR="00F35464">
            <w:instrText xml:space="preserve"> CITATION PC18 \l 3081 </w:instrText>
          </w:r>
          <w:r w:rsidR="00F35464">
            <w:rPr>
              <w:i/>
            </w:rPr>
            <w:fldChar w:fldCharType="separate"/>
          </w:r>
          <w:r w:rsidR="00D4014E">
            <w:rPr>
              <w:noProof/>
            </w:rPr>
            <w:t xml:space="preserve"> (PC 2018)</w:t>
          </w:r>
          <w:r w:rsidR="00F35464">
            <w:rPr>
              <w:i/>
            </w:rPr>
            <w:fldChar w:fldCharType="end"/>
          </w:r>
        </w:sdtContent>
      </w:sdt>
      <w:r>
        <w:t>.</w:t>
      </w:r>
    </w:p>
    <w:p w14:paraId="1E4A732B" w14:textId="6B9FD005" w:rsidR="003873F8" w:rsidRDefault="003873F8" w:rsidP="005B056F">
      <w:pPr>
        <w:pStyle w:val="BodyText"/>
      </w:pPr>
      <w:r w:rsidRPr="003873F8">
        <w:t xml:space="preserve">The Bank’s initial submission </w:t>
      </w:r>
      <w:sdt>
        <w:sdtPr>
          <w:id w:val="-821116389"/>
          <w:citation/>
        </w:sdtPr>
        <w:sdtEndPr/>
        <w:sdtContent>
          <w:r w:rsidR="009F63D2">
            <w:fldChar w:fldCharType="begin"/>
          </w:r>
          <w:r w:rsidR="009F63D2">
            <w:instrText xml:space="preserve"> CITATION RBA17 \l 3081 </w:instrText>
          </w:r>
          <w:r w:rsidR="009F63D2">
            <w:fldChar w:fldCharType="separate"/>
          </w:r>
          <w:r w:rsidR="00D4014E">
            <w:rPr>
              <w:noProof/>
            </w:rPr>
            <w:t>(RBA 2017)</w:t>
          </w:r>
          <w:r w:rsidR="009F63D2">
            <w:fldChar w:fldCharType="end"/>
          </w:r>
        </w:sdtContent>
      </w:sdt>
      <w:r w:rsidR="009F63D2">
        <w:t xml:space="preserve"> </w:t>
      </w:r>
      <w:r w:rsidR="0029534A">
        <w:t xml:space="preserve">sought to present the available data on competition in the banking sector and discuss developments in the key markets highlighted in the Inquiry’s terms of reference. </w:t>
      </w:r>
      <w:r w:rsidRPr="003873F8">
        <w:t xml:space="preserve">This Supplementary Submission is narrower in scope, focusing </w:t>
      </w:r>
      <w:r w:rsidR="0029534A">
        <w:t xml:space="preserve">in particular </w:t>
      </w:r>
      <w:r w:rsidRPr="003873F8">
        <w:t xml:space="preserve">on issues raised in the </w:t>
      </w:r>
      <w:r>
        <w:t xml:space="preserve">Draft </w:t>
      </w:r>
      <w:r w:rsidRPr="003873F8">
        <w:t xml:space="preserve">Report </w:t>
      </w:r>
      <w:r w:rsidR="0029534A">
        <w:t xml:space="preserve">related to </w:t>
      </w:r>
      <w:r w:rsidR="00BD20C7">
        <w:t xml:space="preserve">the role and implications of </w:t>
      </w:r>
      <w:r w:rsidR="004D3B63">
        <w:t xml:space="preserve">financial sector </w:t>
      </w:r>
      <w:r w:rsidR="00BD20C7">
        <w:t xml:space="preserve">regulation and </w:t>
      </w:r>
      <w:r w:rsidR="0029534A">
        <w:t>the payments system.</w:t>
      </w:r>
    </w:p>
    <w:p w14:paraId="13000416" w14:textId="6EF170CB" w:rsidR="001B4DD4" w:rsidRDefault="003873F8" w:rsidP="001B4DD4">
      <w:pPr>
        <w:pStyle w:val="BodyText"/>
      </w:pPr>
      <w:r w:rsidRPr="003873F8">
        <w:t xml:space="preserve">The Bank supports </w:t>
      </w:r>
      <w:r w:rsidR="00DE4E67" w:rsidRPr="003873F8">
        <w:t xml:space="preserve">many of the key themes set out in the </w:t>
      </w:r>
      <w:r w:rsidR="00DE4E67">
        <w:t xml:space="preserve">Commission’s Draft </w:t>
      </w:r>
      <w:r w:rsidR="00DE4E67" w:rsidRPr="003873F8">
        <w:t>Report, including</w:t>
      </w:r>
      <w:r w:rsidR="00920C56">
        <w:t xml:space="preserve"> </w:t>
      </w:r>
      <w:r w:rsidR="0055520C" w:rsidRPr="0055520C">
        <w:t>the importance of consumers being able to exert competitive pressure on financial institutions and</w:t>
      </w:r>
      <w:r w:rsidR="004C7C71">
        <w:t>,</w:t>
      </w:r>
      <w:r w:rsidR="0055520C" w:rsidRPr="0055520C">
        <w:t xml:space="preserve"> in turn</w:t>
      </w:r>
      <w:r w:rsidR="004C7C71">
        <w:t>,</w:t>
      </w:r>
      <w:r w:rsidR="0055520C" w:rsidRPr="0055520C">
        <w:t xml:space="preserve"> the importance of transparency and reliable advice</w:t>
      </w:r>
      <w:r w:rsidR="001B4DD4" w:rsidRPr="0055520C">
        <w:t xml:space="preserve">. </w:t>
      </w:r>
      <w:r w:rsidR="00004FFB">
        <w:t>T</w:t>
      </w:r>
      <w:r w:rsidR="00BF7D8A">
        <w:t xml:space="preserve">he Bank </w:t>
      </w:r>
      <w:r w:rsidR="00004FFB">
        <w:t xml:space="preserve">also </w:t>
      </w:r>
      <w:r w:rsidR="001B4DD4">
        <w:t xml:space="preserve">agrees that regulators should clearly take account of the potential effects of their actions on competition, </w:t>
      </w:r>
      <w:r w:rsidR="009F63D2">
        <w:t xml:space="preserve">although </w:t>
      </w:r>
      <w:r w:rsidR="00F85430">
        <w:t>it does not believe</w:t>
      </w:r>
      <w:r w:rsidR="001B4DD4">
        <w:t xml:space="preserve"> that prudential regulation</w:t>
      </w:r>
      <w:r w:rsidR="0075764D">
        <w:t xml:space="preserve"> has erred in its pursuit of financial stability or that it</w:t>
      </w:r>
      <w:r w:rsidR="001B4DD4">
        <w:t xml:space="preserve"> </w:t>
      </w:r>
      <w:r w:rsidR="004C7C71">
        <w:t xml:space="preserve">has been </w:t>
      </w:r>
      <w:r w:rsidR="0075764D">
        <w:t>unresponsive to competition concerns</w:t>
      </w:r>
      <w:r w:rsidR="001B4DD4">
        <w:t>.</w:t>
      </w:r>
    </w:p>
    <w:p w14:paraId="20DF112D" w14:textId="4FB833C2" w:rsidR="00DE4E67" w:rsidRDefault="001B4DD4" w:rsidP="001B4DD4">
      <w:pPr>
        <w:pStyle w:val="BodyText"/>
      </w:pPr>
      <w:r>
        <w:t>The remainder of this submission covers</w:t>
      </w:r>
      <w:r w:rsidR="0055520C">
        <w:t xml:space="preserve"> discussion of: the Commission’s proposals for empowering consumers; </w:t>
      </w:r>
      <w:r w:rsidR="00004FFB">
        <w:t xml:space="preserve">the role of the cash rate; </w:t>
      </w:r>
      <w:r w:rsidR="0055520C">
        <w:t xml:space="preserve">the role played by regulation; </w:t>
      </w:r>
      <w:r w:rsidR="00513FC1">
        <w:t xml:space="preserve">some specific </w:t>
      </w:r>
      <w:r w:rsidR="00BE5D40">
        <w:t xml:space="preserve">prudential regulation </w:t>
      </w:r>
      <w:r w:rsidR="00513FC1">
        <w:t>measures addressed in the Draft Report; the Draft Report’s payments system recommendations</w:t>
      </w:r>
      <w:r w:rsidR="00A65B0F">
        <w:t>;</w:t>
      </w:r>
      <w:r w:rsidR="00513FC1">
        <w:t xml:space="preserve"> and</w:t>
      </w:r>
      <w:r w:rsidR="00A65B0F">
        <w:t xml:space="preserve"> </w:t>
      </w:r>
      <w:r w:rsidR="00513FC1">
        <w:t>the regulatory structure</w:t>
      </w:r>
      <w:r w:rsidR="00A65B0F">
        <w:t>, including the Commission’s proposal for a ‘competition champion’</w:t>
      </w:r>
      <w:r w:rsidR="00513FC1">
        <w:t>.</w:t>
      </w:r>
      <w:r w:rsidR="00DE4E67">
        <w:t xml:space="preserve"> </w:t>
      </w:r>
    </w:p>
    <w:p w14:paraId="1E4A7331" w14:textId="50E4DA9D" w:rsidR="00351430" w:rsidRDefault="00704F09" w:rsidP="00207D80">
      <w:pPr>
        <w:pStyle w:val="Heading1"/>
      </w:pPr>
      <w:r>
        <w:t>Demand</w:t>
      </w:r>
      <w:r w:rsidR="003472CA">
        <w:t>-s</w:t>
      </w:r>
      <w:r>
        <w:t>ide Factors:</w:t>
      </w:r>
      <w:r w:rsidR="00ED6A71">
        <w:t xml:space="preserve"> </w:t>
      </w:r>
      <w:r w:rsidR="00540288">
        <w:t>Information</w:t>
      </w:r>
      <w:r>
        <w:t xml:space="preserve"> and </w:t>
      </w:r>
      <w:r w:rsidR="008C5C09">
        <w:t>Advice</w:t>
      </w:r>
      <w:r w:rsidR="00540288">
        <w:t xml:space="preserve"> </w:t>
      </w:r>
    </w:p>
    <w:p w14:paraId="335B3D3F" w14:textId="496A6483" w:rsidR="00540288" w:rsidRDefault="00514C72" w:rsidP="00CB2584">
      <w:pPr>
        <w:pStyle w:val="BodyText"/>
      </w:pPr>
      <w:r>
        <w:t>One</w:t>
      </w:r>
      <w:r w:rsidR="0032402C">
        <w:t xml:space="preserve"> </w:t>
      </w:r>
      <w:r w:rsidR="002D1864">
        <w:t>significant focus of the Draft Report is the capacity of consumers to impose discipline on financial services providers</w:t>
      </w:r>
      <w:r w:rsidR="0032402C">
        <w:t xml:space="preserve"> </w:t>
      </w:r>
      <w:r w:rsidR="003E51C9">
        <w:t>–</w:t>
      </w:r>
      <w:r w:rsidR="0032402C">
        <w:t xml:space="preserve"> ‘</w:t>
      </w:r>
      <w:r w:rsidR="003E51C9">
        <w:t>demand</w:t>
      </w:r>
      <w:r w:rsidR="003472CA">
        <w:t>-</w:t>
      </w:r>
      <w:r w:rsidR="003E51C9">
        <w:t>side factors</w:t>
      </w:r>
      <w:r w:rsidR="0032402C">
        <w:t>’</w:t>
      </w:r>
      <w:sdt>
        <w:sdtPr>
          <w:id w:val="1349290942"/>
          <w:citation/>
        </w:sdtPr>
        <w:sdtEndPr/>
        <w:sdtContent>
          <w:r w:rsidR="00F35464">
            <w:fldChar w:fldCharType="begin"/>
          </w:r>
          <w:r w:rsidR="00F35464">
            <w:instrText xml:space="preserve">CITATION PC18 \p 84-91 \l 3081 </w:instrText>
          </w:r>
          <w:r w:rsidR="00F35464">
            <w:fldChar w:fldCharType="separate"/>
          </w:r>
          <w:r w:rsidR="00D4014E">
            <w:rPr>
              <w:noProof/>
            </w:rPr>
            <w:t xml:space="preserve"> (PC 2018, pp 84–91)</w:t>
          </w:r>
          <w:r w:rsidR="00F35464">
            <w:fldChar w:fldCharType="end"/>
          </w:r>
        </w:sdtContent>
      </w:sdt>
      <w:r w:rsidR="002D1864">
        <w:t>.</w:t>
      </w:r>
      <w:r w:rsidR="0032402C">
        <w:t xml:space="preserve"> The Commission considers </w:t>
      </w:r>
      <w:r w:rsidR="00F87874">
        <w:t xml:space="preserve">a number of </w:t>
      </w:r>
      <w:r w:rsidR="0032402C">
        <w:t xml:space="preserve">challenges to this </w:t>
      </w:r>
      <w:r w:rsidR="00C25C5C">
        <w:t>capacity</w:t>
      </w:r>
      <w:r w:rsidR="0032402C">
        <w:t>, including the level of financial literacy and engagement by consumers, the complexity of products, behavioural biases</w:t>
      </w:r>
      <w:r w:rsidR="00C25C5C">
        <w:t>,</w:t>
      </w:r>
      <w:r w:rsidR="0032402C">
        <w:t xml:space="preserve"> information asymmetry</w:t>
      </w:r>
      <w:r w:rsidR="00C25C5C">
        <w:t xml:space="preserve"> and the need for ‘properly motivated’ </w:t>
      </w:r>
      <w:r w:rsidR="00694ECA" w:rsidRPr="00694ECA">
        <w:t>consumer agents, such as advisers and brokers</w:t>
      </w:r>
      <w:r w:rsidR="0032402C">
        <w:t>.</w:t>
      </w:r>
      <w:r w:rsidR="0069455A">
        <w:t xml:space="preserve"> Th</w:t>
      </w:r>
      <w:r w:rsidR="008E20D8">
        <w:t xml:space="preserve">e </w:t>
      </w:r>
      <w:r w:rsidR="00C17E9D">
        <w:t>Commission</w:t>
      </w:r>
      <w:r w:rsidR="008E20D8">
        <w:t xml:space="preserve"> </w:t>
      </w:r>
      <w:r w:rsidR="00D62353">
        <w:t xml:space="preserve">finds </w:t>
      </w:r>
      <w:r w:rsidR="008E20D8">
        <w:t>that consumers are often limited in their ability to put competitive pressure on providers</w:t>
      </w:r>
      <w:r w:rsidR="005169F0">
        <w:t xml:space="preserve"> (draft finding III.1)</w:t>
      </w:r>
      <w:r w:rsidR="00D62353">
        <w:t>. This</w:t>
      </w:r>
      <w:r w:rsidR="008E20D8">
        <w:t xml:space="preserve"> </w:t>
      </w:r>
      <w:r w:rsidR="00C25C5C">
        <w:t xml:space="preserve">flows through into a number of </w:t>
      </w:r>
      <w:r w:rsidR="00795819">
        <w:t xml:space="preserve">draft </w:t>
      </w:r>
      <w:r w:rsidR="00C25C5C">
        <w:t>recommendations</w:t>
      </w:r>
      <w:r w:rsidR="008E20D8">
        <w:t xml:space="preserve">, largely </w:t>
      </w:r>
      <w:r w:rsidR="00C25C5C">
        <w:t>focus</w:t>
      </w:r>
      <w:r w:rsidR="00A65B0F">
        <w:t>ed</w:t>
      </w:r>
      <w:r w:rsidR="00C25C5C">
        <w:t xml:space="preserve"> on improving </w:t>
      </w:r>
      <w:r w:rsidR="008E20D8">
        <w:t xml:space="preserve">the </w:t>
      </w:r>
      <w:r w:rsidR="0069455A">
        <w:t>availability and quality of information and advice</w:t>
      </w:r>
      <w:r w:rsidR="00A65B0F">
        <w:t>,</w:t>
      </w:r>
      <w:r w:rsidR="0069455A">
        <w:t xml:space="preserve"> </w:t>
      </w:r>
      <w:r w:rsidR="00094C69">
        <w:t>and</w:t>
      </w:r>
      <w:r w:rsidR="00C25C5C">
        <w:t xml:space="preserve"> minimising any barriers to the mobility of customers. </w:t>
      </w:r>
      <w:r w:rsidR="000D63D2">
        <w:t>The Bank</w:t>
      </w:r>
      <w:r w:rsidR="003438D5">
        <w:t xml:space="preserve"> </w:t>
      </w:r>
      <w:r w:rsidR="00890AE6">
        <w:t xml:space="preserve">noted </w:t>
      </w:r>
      <w:r w:rsidR="005B055B">
        <w:t xml:space="preserve">the importance of </w:t>
      </w:r>
      <w:r w:rsidR="00890AE6">
        <w:t xml:space="preserve">improved </w:t>
      </w:r>
      <w:r w:rsidR="00890F9B">
        <w:t xml:space="preserve">availability of </w:t>
      </w:r>
      <w:r w:rsidR="005B055B">
        <w:t>information</w:t>
      </w:r>
      <w:r w:rsidR="00890F9B">
        <w:t xml:space="preserve"> to both consumers and lenders</w:t>
      </w:r>
      <w:r w:rsidR="00704F09">
        <w:t xml:space="preserve"> </w:t>
      </w:r>
      <w:r w:rsidR="005B055B">
        <w:t xml:space="preserve">in its </w:t>
      </w:r>
      <w:r w:rsidR="00890AE6">
        <w:lastRenderedPageBreak/>
        <w:t xml:space="preserve">earlier </w:t>
      </w:r>
      <w:r w:rsidR="005B055B">
        <w:t xml:space="preserve">submission. It </w:t>
      </w:r>
      <w:r w:rsidR="00094C69">
        <w:t xml:space="preserve">fully </w:t>
      </w:r>
      <w:r w:rsidR="000D63D2">
        <w:t xml:space="preserve">supports the </w:t>
      </w:r>
      <w:r w:rsidR="004C54C2">
        <w:t>Commission</w:t>
      </w:r>
      <w:r w:rsidR="000D63D2">
        <w:t>’s focus on</w:t>
      </w:r>
      <w:r w:rsidR="00ED6A71">
        <w:t xml:space="preserve"> </w:t>
      </w:r>
      <w:r w:rsidR="00094C69">
        <w:t xml:space="preserve">these issues and the thrust of its </w:t>
      </w:r>
      <w:r w:rsidR="00795819">
        <w:t xml:space="preserve">draft </w:t>
      </w:r>
      <w:r w:rsidR="00094C69">
        <w:t>recommendations</w:t>
      </w:r>
      <w:r w:rsidR="003438D5">
        <w:t>.</w:t>
      </w:r>
      <w:r w:rsidR="000D63D2">
        <w:t xml:space="preserve"> </w:t>
      </w:r>
    </w:p>
    <w:p w14:paraId="2AE76742" w14:textId="35150D48" w:rsidR="00C56080" w:rsidRPr="00771E21" w:rsidRDefault="00EF6F41" w:rsidP="0083180C">
      <w:pPr>
        <w:pStyle w:val="BodyText"/>
        <w:rPr>
          <w:spacing w:val="-1"/>
        </w:rPr>
      </w:pPr>
      <w:r w:rsidRPr="00771E21">
        <w:rPr>
          <w:spacing w:val="-1"/>
        </w:rPr>
        <w:t>Of note, the Bank</w:t>
      </w:r>
      <w:r w:rsidR="00FD33E1" w:rsidRPr="00771E21">
        <w:rPr>
          <w:spacing w:val="-1"/>
        </w:rPr>
        <w:t xml:space="preserve"> support</w:t>
      </w:r>
      <w:r w:rsidRPr="00771E21">
        <w:rPr>
          <w:spacing w:val="-1"/>
        </w:rPr>
        <w:t>s</w:t>
      </w:r>
      <w:r w:rsidR="00FD33E1" w:rsidRPr="00771E21">
        <w:rPr>
          <w:spacing w:val="-1"/>
        </w:rPr>
        <w:t xml:space="preserve"> the </w:t>
      </w:r>
      <w:r w:rsidR="00795819" w:rsidRPr="00771E21">
        <w:rPr>
          <w:spacing w:val="-1"/>
        </w:rPr>
        <w:t xml:space="preserve">draft </w:t>
      </w:r>
      <w:r w:rsidR="00FD33E1" w:rsidRPr="00771E21">
        <w:rPr>
          <w:spacing w:val="-1"/>
        </w:rPr>
        <w:t>recommendation to require lender</w:t>
      </w:r>
      <w:r w:rsidR="00B01E74" w:rsidRPr="00771E21">
        <w:rPr>
          <w:spacing w:val="-1"/>
        </w:rPr>
        <w:t>-</w:t>
      </w:r>
      <w:r w:rsidR="00FD33E1" w:rsidRPr="00771E21">
        <w:rPr>
          <w:spacing w:val="-1"/>
        </w:rPr>
        <w:t>owned aggregator</w:t>
      </w:r>
      <w:r w:rsidR="00C05B05" w:rsidRPr="00771E21">
        <w:rPr>
          <w:spacing w:val="-1"/>
        </w:rPr>
        <w:t>s</w:t>
      </w:r>
      <w:r w:rsidR="00FD33E1" w:rsidRPr="00771E21">
        <w:rPr>
          <w:spacing w:val="-1"/>
        </w:rPr>
        <w:t xml:space="preserve"> and the brokers who operate through them to act in consumers’ best interests</w:t>
      </w:r>
      <w:r w:rsidR="005169F0" w:rsidRPr="00771E21">
        <w:rPr>
          <w:spacing w:val="-1"/>
        </w:rPr>
        <w:t xml:space="preserve"> (draft recommendations 8.1 and 8.2)</w:t>
      </w:r>
      <w:r w:rsidR="00FD33E1" w:rsidRPr="00771E21">
        <w:rPr>
          <w:spacing w:val="-1"/>
        </w:rPr>
        <w:t>. We would support extending this to all brokers. While</w:t>
      </w:r>
      <w:r w:rsidR="00DE69B6" w:rsidRPr="00771E21">
        <w:rPr>
          <w:spacing w:val="-1"/>
        </w:rPr>
        <w:t xml:space="preserve"> there may be some benefit in enhancing mortgage broker disclosure requirements to consumers </w:t>
      </w:r>
      <w:r w:rsidR="00645A32" w:rsidRPr="00771E21">
        <w:rPr>
          <w:spacing w:val="-1"/>
        </w:rPr>
        <w:t>to improve</w:t>
      </w:r>
      <w:r w:rsidR="00DE69B6" w:rsidRPr="00771E21">
        <w:rPr>
          <w:spacing w:val="-1"/>
        </w:rPr>
        <w:t xml:space="preserve"> transparen</w:t>
      </w:r>
      <w:r w:rsidR="00645A32" w:rsidRPr="00771E21">
        <w:rPr>
          <w:spacing w:val="-1"/>
        </w:rPr>
        <w:t>cy,</w:t>
      </w:r>
      <w:r w:rsidR="00FD33E1" w:rsidRPr="00771E21">
        <w:rPr>
          <w:spacing w:val="-1"/>
        </w:rPr>
        <w:t xml:space="preserve"> it is important to recognise that </w:t>
      </w:r>
      <w:r w:rsidR="00645A32" w:rsidRPr="00771E21">
        <w:rPr>
          <w:spacing w:val="-1"/>
        </w:rPr>
        <w:t xml:space="preserve">some </w:t>
      </w:r>
      <w:r w:rsidR="00FD33E1" w:rsidRPr="00771E21">
        <w:rPr>
          <w:spacing w:val="-1"/>
        </w:rPr>
        <w:t xml:space="preserve">consumers may </w:t>
      </w:r>
      <w:r w:rsidRPr="00771E21">
        <w:rPr>
          <w:spacing w:val="-1"/>
        </w:rPr>
        <w:t xml:space="preserve">nonetheless still </w:t>
      </w:r>
      <w:r w:rsidR="00FD33E1" w:rsidRPr="00771E21">
        <w:rPr>
          <w:spacing w:val="-1"/>
        </w:rPr>
        <w:t xml:space="preserve">not </w:t>
      </w:r>
      <w:r w:rsidRPr="00771E21">
        <w:rPr>
          <w:spacing w:val="-1"/>
        </w:rPr>
        <w:t>fully</w:t>
      </w:r>
      <w:r w:rsidR="00FD33E1" w:rsidRPr="00771E21">
        <w:rPr>
          <w:spacing w:val="-1"/>
        </w:rPr>
        <w:t xml:space="preserve"> understand the </w:t>
      </w:r>
      <w:r w:rsidRPr="00771E21">
        <w:rPr>
          <w:spacing w:val="-1"/>
        </w:rPr>
        <w:t>information provided</w:t>
      </w:r>
      <w:r w:rsidR="003A6387" w:rsidRPr="00771E21">
        <w:rPr>
          <w:spacing w:val="-1"/>
        </w:rPr>
        <w:t xml:space="preserve"> (given its complexity and th</w:t>
      </w:r>
      <w:r w:rsidR="000F0E45" w:rsidRPr="00771E21">
        <w:rPr>
          <w:spacing w:val="-1"/>
        </w:rPr>
        <w:t>e back</w:t>
      </w:r>
      <w:r w:rsidR="004D5830" w:rsidRPr="00771E21">
        <w:rPr>
          <w:spacing w:val="-1"/>
        </w:rPr>
        <w:t>drop</w:t>
      </w:r>
      <w:r w:rsidR="000F0E45" w:rsidRPr="00771E21">
        <w:rPr>
          <w:spacing w:val="-1"/>
        </w:rPr>
        <w:t xml:space="preserve"> </w:t>
      </w:r>
      <w:r w:rsidR="004D5830" w:rsidRPr="00771E21">
        <w:rPr>
          <w:spacing w:val="-1"/>
        </w:rPr>
        <w:t>of</w:t>
      </w:r>
      <w:r w:rsidR="003A6387" w:rsidRPr="00771E21">
        <w:rPr>
          <w:spacing w:val="-1"/>
        </w:rPr>
        <w:t xml:space="preserve"> consumers </w:t>
      </w:r>
      <w:r w:rsidR="000F0E45" w:rsidRPr="00771E21">
        <w:rPr>
          <w:spacing w:val="-1"/>
        </w:rPr>
        <w:t xml:space="preserve">not </w:t>
      </w:r>
      <w:r w:rsidR="003A6387" w:rsidRPr="00771E21">
        <w:rPr>
          <w:spacing w:val="-1"/>
        </w:rPr>
        <w:t>tak</w:t>
      </w:r>
      <w:r w:rsidR="004D5830" w:rsidRPr="00771E21">
        <w:rPr>
          <w:spacing w:val="-1"/>
        </w:rPr>
        <w:t>ing</w:t>
      </w:r>
      <w:r w:rsidR="003A6387" w:rsidRPr="00771E21">
        <w:rPr>
          <w:spacing w:val="-1"/>
        </w:rPr>
        <w:t xml:space="preserve"> out a mortgage</w:t>
      </w:r>
      <w:r w:rsidR="000F0E45" w:rsidRPr="00771E21">
        <w:rPr>
          <w:spacing w:val="-1"/>
        </w:rPr>
        <w:t xml:space="preserve"> </w:t>
      </w:r>
      <w:r w:rsidR="004D5830" w:rsidRPr="00771E21">
        <w:rPr>
          <w:spacing w:val="-1"/>
        </w:rPr>
        <w:t>frequently</w:t>
      </w:r>
      <w:r w:rsidR="003A6387" w:rsidRPr="00771E21">
        <w:rPr>
          <w:spacing w:val="-1"/>
        </w:rPr>
        <w:t>)</w:t>
      </w:r>
      <w:r w:rsidR="00F97263" w:rsidRPr="00771E21">
        <w:rPr>
          <w:spacing w:val="-1"/>
        </w:rPr>
        <w:t xml:space="preserve">. </w:t>
      </w:r>
      <w:r w:rsidR="00645A32" w:rsidRPr="00771E21">
        <w:rPr>
          <w:spacing w:val="-1"/>
        </w:rPr>
        <w:t>Steps to address the underlying conflicts of interest and misaligned incentives are therefore crucial to improving consumer outcomes.</w:t>
      </w:r>
      <w:r w:rsidR="00C05B05" w:rsidRPr="00771E21">
        <w:rPr>
          <w:spacing w:val="-1"/>
        </w:rPr>
        <w:t xml:space="preserve"> We note that there are also a number of other factors that inhibit the effectiveness of competition through mortgage brokers. These include</w:t>
      </w:r>
      <w:r w:rsidR="00B37BB0" w:rsidRPr="00771E21">
        <w:rPr>
          <w:spacing w:val="-1"/>
        </w:rPr>
        <w:t xml:space="preserve"> the following</w:t>
      </w:r>
      <w:r w:rsidR="00C56080" w:rsidRPr="00771E21">
        <w:rPr>
          <w:spacing w:val="-1"/>
        </w:rPr>
        <w:t>:</w:t>
      </w:r>
    </w:p>
    <w:p w14:paraId="6C368FB3" w14:textId="5278FAF5" w:rsidR="00D820BC" w:rsidRDefault="00D820BC" w:rsidP="00B27408">
      <w:pPr>
        <w:pStyle w:val="ListBullet"/>
      </w:pPr>
      <w:r>
        <w:t>Smaller lenders find it harder to get onto aggregator panels due to fixed costs</w:t>
      </w:r>
      <w:r w:rsidR="001B5F9B">
        <w:t xml:space="preserve"> (ASIC 2017)</w:t>
      </w:r>
      <w:r>
        <w:t xml:space="preserve">. </w:t>
      </w:r>
    </w:p>
    <w:p w14:paraId="1F288C5D" w14:textId="3E664F46" w:rsidR="00B27408" w:rsidRDefault="00B27408" w:rsidP="00B27408">
      <w:pPr>
        <w:pStyle w:val="ListBullet"/>
      </w:pPr>
      <w:r>
        <w:t xml:space="preserve">Brokers </w:t>
      </w:r>
      <w:r w:rsidR="0094738A">
        <w:t>need to be accredited with a particular lender to sell their loans and t</w:t>
      </w:r>
      <w:r w:rsidR="00D820BC">
        <w:t>hey</w:t>
      </w:r>
      <w:r>
        <w:t xml:space="preserve"> have incentives</w:t>
      </w:r>
      <w:r w:rsidR="000C68E3">
        <w:t xml:space="preserve"> – </w:t>
      </w:r>
      <w:r w:rsidR="00BA75C1">
        <w:t xml:space="preserve">partly </w:t>
      </w:r>
      <w:r w:rsidR="000C68E3">
        <w:t>due to variations in commission</w:t>
      </w:r>
      <w:r w:rsidR="0094738A">
        <w:t>s and the burden of seeking accreditation</w:t>
      </w:r>
      <w:r w:rsidR="000C68E3">
        <w:t xml:space="preserve"> </w:t>
      </w:r>
      <w:r w:rsidR="00E246DF">
        <w:t>–</w:t>
      </w:r>
      <w:r>
        <w:t xml:space="preserve"> to concentrate their </w:t>
      </w:r>
      <w:r w:rsidR="00D820BC">
        <w:t xml:space="preserve">recommendations </w:t>
      </w:r>
      <w:r>
        <w:t>on a small number of lenders</w:t>
      </w:r>
      <w:r w:rsidR="00D93A56">
        <w:t xml:space="preserve"> rather than the whole panel of potential lenders</w:t>
      </w:r>
      <w:r>
        <w:t xml:space="preserve"> </w:t>
      </w:r>
      <w:r w:rsidR="001B5F9B">
        <w:t>(ASIC 2017</w:t>
      </w:r>
      <w:r>
        <w:t>).</w:t>
      </w:r>
    </w:p>
    <w:p w14:paraId="242513B0" w14:textId="292A8E54" w:rsidR="00AD10C1" w:rsidRPr="00DE1528" w:rsidRDefault="00636F24" w:rsidP="00392B09">
      <w:pPr>
        <w:pStyle w:val="ListBullet"/>
      </w:pPr>
      <w:r>
        <w:t>L</w:t>
      </w:r>
      <w:r w:rsidR="00B37BB0">
        <w:t xml:space="preserve">enders </w:t>
      </w:r>
      <w:r>
        <w:t xml:space="preserve">may compete </w:t>
      </w:r>
      <w:r w:rsidR="00B37BB0">
        <w:t>on their incentives to brokers, rather than on the quality of their loan products</w:t>
      </w:r>
      <w:r>
        <w:t xml:space="preserve">, creating </w:t>
      </w:r>
      <w:r w:rsidR="00B37BB0">
        <w:t>competitive barriers for smaller lenders</w:t>
      </w:r>
      <w:r>
        <w:t xml:space="preserve"> </w:t>
      </w:r>
      <w:r w:rsidR="00C42F97">
        <w:t>who find it too</w:t>
      </w:r>
      <w:r w:rsidR="00B37BB0">
        <w:t xml:space="preserve"> costly</w:t>
      </w:r>
      <w:r w:rsidR="00C42F97">
        <w:t xml:space="preserve"> to offer such </w:t>
      </w:r>
      <w:r w:rsidR="00C42F97" w:rsidRPr="00DE1528">
        <w:t>incentives.</w:t>
      </w:r>
      <w:r w:rsidRPr="00DE1528">
        <w:t xml:space="preserve"> </w:t>
      </w:r>
      <w:r w:rsidR="00392B09" w:rsidRPr="00DE1528">
        <w:t>Higher commissions for brokers may also drive up costs for consumers</w:t>
      </w:r>
      <w:r w:rsidR="00C42F97" w:rsidRPr="00DE1528">
        <w:t xml:space="preserve"> </w:t>
      </w:r>
      <w:sdt>
        <w:sdtPr>
          <w:id w:val="-1172630372"/>
          <w:citation/>
        </w:sdtPr>
        <w:sdtEndPr/>
        <w:sdtContent>
          <w:r w:rsidR="00C42F97" w:rsidRPr="00372D5D">
            <w:fldChar w:fldCharType="begin"/>
          </w:r>
          <w:r w:rsidR="00C42F97" w:rsidRPr="00DE1528">
            <w:instrText xml:space="preserve"> CITATION ASIC17 \l 3081 </w:instrText>
          </w:r>
          <w:r w:rsidR="00C42F97" w:rsidRPr="00372D5D">
            <w:fldChar w:fldCharType="separate"/>
          </w:r>
          <w:r w:rsidR="00D4014E">
            <w:rPr>
              <w:noProof/>
            </w:rPr>
            <w:t>(ASIC 2017)</w:t>
          </w:r>
          <w:r w:rsidR="00C42F97" w:rsidRPr="00372D5D">
            <w:fldChar w:fldCharType="end"/>
          </w:r>
        </w:sdtContent>
      </w:sdt>
      <w:r w:rsidR="00C42F97" w:rsidRPr="00DE1528">
        <w:t>.</w:t>
      </w:r>
    </w:p>
    <w:p w14:paraId="7846CA79" w14:textId="41271CDD" w:rsidR="00CA12AB" w:rsidRDefault="00105990" w:rsidP="008C5C09">
      <w:pPr>
        <w:pStyle w:val="BodyText"/>
      </w:pPr>
      <w:r w:rsidRPr="00DE1528">
        <w:t>The Bank also supports enhanc</w:t>
      </w:r>
      <w:r w:rsidR="00415D5F">
        <w:t>ing</w:t>
      </w:r>
      <w:r w:rsidRPr="00DE1528">
        <w:t xml:space="preserve"> the transparency of mortgage interest rates paid by borrowers</w:t>
      </w:r>
      <w:r w:rsidR="005169F0">
        <w:t xml:space="preserve"> (draft recommendations 8.3 and 8.4)</w:t>
      </w:r>
      <w:r w:rsidRPr="00DE1528">
        <w:t xml:space="preserve">. </w:t>
      </w:r>
      <w:r w:rsidR="00A77360">
        <w:t xml:space="preserve">Possible ways to do this </w:t>
      </w:r>
      <w:r w:rsidR="00FD1E33">
        <w:t>at</w:t>
      </w:r>
      <w:r w:rsidR="00A77360">
        <w:t xml:space="preserve"> the level of detail suggested by the Commission might include asking the banks</w:t>
      </w:r>
      <w:r w:rsidR="00A77360" w:rsidRPr="00A77360">
        <w:t xml:space="preserve"> to publish these rates directly</w:t>
      </w:r>
      <w:r w:rsidR="00FD1E33">
        <w:t>,</w:t>
      </w:r>
      <w:r w:rsidR="00A77360">
        <w:t xml:space="preserve"> or conducting</w:t>
      </w:r>
      <w:r w:rsidR="00A77360" w:rsidRPr="00A77360">
        <w:t xml:space="preserve"> a survey of the largest mortgage brokers to obtain representative rates</w:t>
      </w:r>
      <w:r w:rsidR="00A77360">
        <w:t xml:space="preserve">. </w:t>
      </w:r>
      <w:r w:rsidR="008A1F48" w:rsidRPr="00DE1528">
        <w:t xml:space="preserve">While </w:t>
      </w:r>
      <w:r w:rsidR="000F52DB" w:rsidRPr="00DE1528">
        <w:t xml:space="preserve">the new Economic and Financial Statistics (EFS) collection </w:t>
      </w:r>
      <w:r w:rsidR="00634760" w:rsidRPr="00DE1528">
        <w:t xml:space="preserve">will </w:t>
      </w:r>
      <w:r w:rsidR="001B1B9F" w:rsidRPr="00DE1528">
        <w:t xml:space="preserve">gather </w:t>
      </w:r>
      <w:r w:rsidR="00634760" w:rsidRPr="00DE1528">
        <w:t xml:space="preserve">more information </w:t>
      </w:r>
      <w:r w:rsidR="008A1F48" w:rsidRPr="00DE1528">
        <w:t xml:space="preserve">on interest rates </w:t>
      </w:r>
      <w:r w:rsidR="00634760" w:rsidRPr="00DE1528">
        <w:t xml:space="preserve">than is currently available, </w:t>
      </w:r>
      <w:r w:rsidR="00FD1E33">
        <w:t xml:space="preserve">this might not be the most effective vehicle to meet the Commission’s objectives, as it </w:t>
      </w:r>
      <w:r w:rsidR="008A1F48" w:rsidRPr="00DE1528">
        <w:t xml:space="preserve">will </w:t>
      </w:r>
      <w:r w:rsidR="00634760" w:rsidRPr="00DE1528">
        <w:t xml:space="preserve">not </w:t>
      </w:r>
      <w:r w:rsidR="008A1F48" w:rsidRPr="00DE1528">
        <w:t xml:space="preserve">include </w:t>
      </w:r>
      <w:r w:rsidR="00634760" w:rsidRPr="00DE1528">
        <w:t xml:space="preserve">median interest rates or </w:t>
      </w:r>
      <w:r w:rsidR="003F3972">
        <w:t xml:space="preserve">all of </w:t>
      </w:r>
      <w:r w:rsidR="00634760" w:rsidRPr="00DE1528">
        <w:t xml:space="preserve">the detailed breakdowns envisaged by the </w:t>
      </w:r>
      <w:r w:rsidR="000F52DB" w:rsidRPr="00DE1528">
        <w:t>Draft R</w:t>
      </w:r>
      <w:r w:rsidR="00634760" w:rsidRPr="00DE1528">
        <w:t xml:space="preserve">eport. </w:t>
      </w:r>
      <w:r w:rsidR="00FD1E33">
        <w:t>R</w:t>
      </w:r>
      <w:r w:rsidR="000F52DB" w:rsidRPr="00DE1528">
        <w:t xml:space="preserve">eopening </w:t>
      </w:r>
      <w:r w:rsidR="00634760" w:rsidRPr="00DE1528">
        <w:t xml:space="preserve">the </w:t>
      </w:r>
      <w:r w:rsidR="004D5830">
        <w:t xml:space="preserve">scope of the </w:t>
      </w:r>
      <w:r w:rsidR="00634760" w:rsidRPr="00DE1528">
        <w:t xml:space="preserve">EFS collection </w:t>
      </w:r>
      <w:r w:rsidR="008A1F48" w:rsidRPr="00DE1528">
        <w:t xml:space="preserve">at this stage </w:t>
      </w:r>
      <w:r w:rsidR="00634760" w:rsidRPr="00DE1528">
        <w:t xml:space="preserve">would be costly and delay </w:t>
      </w:r>
      <w:r w:rsidR="004D5830">
        <w:t>the collection and publication of</w:t>
      </w:r>
      <w:r w:rsidR="00634760" w:rsidRPr="00DE1528">
        <w:t xml:space="preserve"> other important data</w:t>
      </w:r>
      <w:r w:rsidR="000F52DB" w:rsidRPr="00DE1528">
        <w:t xml:space="preserve">. </w:t>
      </w:r>
    </w:p>
    <w:p w14:paraId="117F2E65" w14:textId="2AB76993" w:rsidR="004E39A4" w:rsidRDefault="009F723E" w:rsidP="00207D80">
      <w:pPr>
        <w:pStyle w:val="Heading1"/>
      </w:pPr>
      <w:r>
        <w:t xml:space="preserve">Regulation and Competition </w:t>
      </w:r>
    </w:p>
    <w:p w14:paraId="41B70924" w14:textId="3480C5C3" w:rsidR="009A348D" w:rsidRDefault="00514C72" w:rsidP="009B3B24">
      <w:pPr>
        <w:pStyle w:val="BodyText"/>
      </w:pPr>
      <w:r>
        <w:t xml:space="preserve">The </w:t>
      </w:r>
      <w:r w:rsidR="009F723E">
        <w:t xml:space="preserve">Draft Report </w:t>
      </w:r>
      <w:r>
        <w:t xml:space="preserve">argues </w:t>
      </w:r>
      <w:r w:rsidR="009F723E">
        <w:t xml:space="preserve">that </w:t>
      </w:r>
      <w:r w:rsidR="0010362A">
        <w:t xml:space="preserve">regulation </w:t>
      </w:r>
      <w:r w:rsidR="001B1B9F">
        <w:t>has</w:t>
      </w:r>
      <w:r w:rsidR="0010362A">
        <w:t xml:space="preserve"> a significant </w:t>
      </w:r>
      <w:r w:rsidR="001B1B9F">
        <w:t>influence</w:t>
      </w:r>
      <w:r w:rsidR="0010362A">
        <w:t xml:space="preserve"> of the level of competition in the financial system</w:t>
      </w:r>
      <w:r w:rsidR="002A4816">
        <w:t>. It suggests that</w:t>
      </w:r>
      <w:r w:rsidR="00671356">
        <w:t xml:space="preserve"> regulators </w:t>
      </w:r>
      <w:r w:rsidR="002A4816">
        <w:t>have focused too much on ensuring financial stability and too little on competition</w:t>
      </w:r>
      <w:sdt>
        <w:sdtPr>
          <w:id w:val="553431746"/>
          <w:citation/>
        </w:sdtPr>
        <w:sdtEndPr/>
        <w:sdtContent>
          <w:r w:rsidR="00ED68FB">
            <w:fldChar w:fldCharType="begin"/>
          </w:r>
          <w:r w:rsidR="00ED68FB">
            <w:instrText xml:space="preserve">CITATION PC18 \p 415-417 \l 3081 </w:instrText>
          </w:r>
          <w:r w:rsidR="00ED68FB">
            <w:fldChar w:fldCharType="separate"/>
          </w:r>
          <w:r w:rsidR="00D4014E">
            <w:rPr>
              <w:noProof/>
            </w:rPr>
            <w:t xml:space="preserve"> (PC 2018, pp 415–417)</w:t>
          </w:r>
          <w:r w:rsidR="00ED68FB">
            <w:fldChar w:fldCharType="end"/>
          </w:r>
        </w:sdtContent>
      </w:sdt>
      <w:r w:rsidR="009F723E">
        <w:t>.</w:t>
      </w:r>
      <w:r w:rsidR="002A4816">
        <w:t xml:space="preserve"> In the Bank’s view,</w:t>
      </w:r>
      <w:r w:rsidR="002A4816" w:rsidDel="002A4816">
        <w:t xml:space="preserve"> </w:t>
      </w:r>
      <w:r w:rsidR="001B1B9F">
        <w:t xml:space="preserve">the Draft Report overstates </w:t>
      </w:r>
      <w:r w:rsidR="0084349B">
        <w:t xml:space="preserve">some of </w:t>
      </w:r>
      <w:r w:rsidR="001B1B9F">
        <w:t xml:space="preserve">the competitive effects of regulation and understates the importance of a focus on financial stability. In particular, </w:t>
      </w:r>
      <w:r w:rsidR="00C47C82">
        <w:t>the Commission argues</w:t>
      </w:r>
      <w:r w:rsidR="00C47C82" w:rsidDel="00C47C82">
        <w:t xml:space="preserve"> </w:t>
      </w:r>
      <w:r w:rsidR="00C47C82">
        <w:t xml:space="preserve">that </w:t>
      </w:r>
      <w:r w:rsidR="002923D4">
        <w:t xml:space="preserve">the </w:t>
      </w:r>
      <w:r w:rsidR="006B11B9">
        <w:t xml:space="preserve">role of the </w:t>
      </w:r>
      <w:r w:rsidR="002923D4">
        <w:t xml:space="preserve">cash rate and </w:t>
      </w:r>
      <w:r w:rsidR="009F723E">
        <w:t xml:space="preserve">prudential </w:t>
      </w:r>
      <w:r w:rsidR="002923D4">
        <w:t>risk weights</w:t>
      </w:r>
      <w:r w:rsidR="00C47C82">
        <w:t xml:space="preserve"> constrain banks’ ability to compete on price. B</w:t>
      </w:r>
      <w:r w:rsidR="00AF205F">
        <w:t>ut</w:t>
      </w:r>
      <w:r w:rsidR="00C47C82">
        <w:t xml:space="preserve"> while the</w:t>
      </w:r>
      <w:r w:rsidR="00AF205F">
        <w:t>se</w:t>
      </w:r>
      <w:r w:rsidR="00C47C82">
        <w:t xml:space="preserve"> </w:t>
      </w:r>
      <w:r w:rsidR="00452E0E">
        <w:t>influence</w:t>
      </w:r>
      <w:r w:rsidR="009F723E">
        <w:t xml:space="preserve"> </w:t>
      </w:r>
      <w:r w:rsidR="002923D4">
        <w:t>the funding costs of banks</w:t>
      </w:r>
      <w:r w:rsidR="009F723E">
        <w:t xml:space="preserve">, </w:t>
      </w:r>
      <w:r w:rsidR="002923D4">
        <w:t xml:space="preserve">operating costs are largely independent of regulatory settings and there </w:t>
      </w:r>
      <w:r w:rsidR="00415D5F">
        <w:t xml:space="preserve">are </w:t>
      </w:r>
      <w:r w:rsidR="002923D4">
        <w:t xml:space="preserve">no </w:t>
      </w:r>
      <w:r w:rsidR="00AF205F">
        <w:t xml:space="preserve">regulatory </w:t>
      </w:r>
      <w:r w:rsidR="002923D4">
        <w:t>constraint</w:t>
      </w:r>
      <w:r w:rsidR="00415D5F">
        <w:t>s</w:t>
      </w:r>
      <w:r w:rsidR="002923D4">
        <w:t xml:space="preserve"> on the return</w:t>
      </w:r>
      <w:r w:rsidR="008F4ECF">
        <w:t>s</w:t>
      </w:r>
      <w:r w:rsidR="002923D4">
        <w:t xml:space="preserve"> </w:t>
      </w:r>
      <w:r w:rsidR="00415D5F">
        <w:t xml:space="preserve">that </w:t>
      </w:r>
      <w:r w:rsidR="002923D4">
        <w:t>banks seek to achieve</w:t>
      </w:r>
      <w:r w:rsidR="00452E0E">
        <w:t>.</w:t>
      </w:r>
      <w:r w:rsidR="00886434">
        <w:t xml:space="preserve"> </w:t>
      </w:r>
      <w:r w:rsidR="002A4816">
        <w:t xml:space="preserve">Further, while we agree that the effects of regulation on competition should always be taken into account, </w:t>
      </w:r>
      <w:r w:rsidR="00FB2492">
        <w:t xml:space="preserve">it is also important to note that </w:t>
      </w:r>
      <w:r w:rsidR="002A4816">
        <w:t xml:space="preserve">financial </w:t>
      </w:r>
      <w:r w:rsidR="003C565A">
        <w:t>cris</w:t>
      </w:r>
      <w:r w:rsidR="002276E1">
        <w:t>e</w:t>
      </w:r>
      <w:r w:rsidR="003C565A">
        <w:t>s</w:t>
      </w:r>
      <w:r w:rsidR="002A4816">
        <w:t xml:space="preserve"> </w:t>
      </w:r>
      <w:r w:rsidR="002276E1">
        <w:t xml:space="preserve">have a </w:t>
      </w:r>
      <w:r w:rsidR="002A4816">
        <w:t>very high</w:t>
      </w:r>
      <w:r w:rsidR="002276E1">
        <w:t xml:space="preserve"> cost and can reduce competition through bank failures</w:t>
      </w:r>
      <w:r w:rsidR="00E130CB">
        <w:t xml:space="preserve">. </w:t>
      </w:r>
    </w:p>
    <w:p w14:paraId="732AD719" w14:textId="062E40EB" w:rsidR="009B3B24" w:rsidRDefault="003B395F" w:rsidP="009B3B24">
      <w:pPr>
        <w:pStyle w:val="BodyText"/>
      </w:pPr>
      <w:r w:rsidRPr="007A2023">
        <w:t xml:space="preserve">This section </w:t>
      </w:r>
      <w:r w:rsidR="009A348D" w:rsidRPr="007A2023">
        <w:t>comments on</w:t>
      </w:r>
      <w:r w:rsidRPr="007A2023">
        <w:t xml:space="preserve"> </w:t>
      </w:r>
      <w:r w:rsidR="0084349B">
        <w:t xml:space="preserve">some </w:t>
      </w:r>
      <w:r w:rsidR="009E3F2A" w:rsidRPr="007A2023">
        <w:t>areas that have been highlighted by the Draft Report as placing a regulatory constraint on competition</w:t>
      </w:r>
      <w:r w:rsidR="007A2023" w:rsidRPr="007A2023">
        <w:t>,</w:t>
      </w:r>
      <w:r w:rsidR="009E3F2A" w:rsidRPr="007A2023">
        <w:t xml:space="preserve"> </w:t>
      </w:r>
      <w:r w:rsidR="0084349B">
        <w:t>as well as</w:t>
      </w:r>
      <w:r w:rsidR="009E3F2A" w:rsidRPr="007A2023">
        <w:t xml:space="preserve"> </w:t>
      </w:r>
      <w:r w:rsidR="003C565A" w:rsidRPr="007A2023">
        <w:t>regulators’ approach to balancing competition and financial stability</w:t>
      </w:r>
      <w:r w:rsidR="00886434" w:rsidRPr="007A2023">
        <w:t xml:space="preserve">. </w:t>
      </w:r>
      <w:r w:rsidR="003C565A" w:rsidRPr="007A2023">
        <w:t>More detailed prudential</w:t>
      </w:r>
      <w:r w:rsidR="00886434" w:rsidRPr="007A2023">
        <w:t xml:space="preserve"> measures </w:t>
      </w:r>
      <w:r w:rsidR="003C565A" w:rsidRPr="007A2023">
        <w:t>are considered in the subsequent section</w:t>
      </w:r>
      <w:r w:rsidR="00886434" w:rsidRPr="007A2023">
        <w:t xml:space="preserve">. </w:t>
      </w:r>
      <w:r w:rsidR="009B3B24" w:rsidRPr="007A2023">
        <w:t xml:space="preserve"> </w:t>
      </w:r>
    </w:p>
    <w:p w14:paraId="6CA94139" w14:textId="01CFB807" w:rsidR="009B3B24" w:rsidRPr="00787396" w:rsidRDefault="00890F9B" w:rsidP="00207D80">
      <w:pPr>
        <w:pStyle w:val="Heading2"/>
      </w:pPr>
      <w:r>
        <w:lastRenderedPageBreak/>
        <w:t>The effect of regulation</w:t>
      </w:r>
      <w:r w:rsidR="00260663">
        <w:t xml:space="preserve"> on</w:t>
      </w:r>
      <w:r w:rsidR="009B3B24">
        <w:t xml:space="preserve"> price </w:t>
      </w:r>
      <w:r w:rsidR="009B3B24" w:rsidRPr="00207D80">
        <w:t>competition</w:t>
      </w:r>
    </w:p>
    <w:p w14:paraId="76173581" w14:textId="4FBF3812" w:rsidR="00A72519" w:rsidRPr="00FD5B05" w:rsidRDefault="00A72519" w:rsidP="00E81C63">
      <w:pPr>
        <w:pStyle w:val="ListBullet"/>
        <w:numPr>
          <w:ilvl w:val="0"/>
          <w:numId w:val="0"/>
        </w:numPr>
        <w:tabs>
          <w:tab w:val="clear" w:pos="425"/>
          <w:tab w:val="left" w:pos="0"/>
        </w:tabs>
        <w:rPr>
          <w:spacing w:val="-1"/>
        </w:rPr>
      </w:pPr>
      <w:r w:rsidRPr="00FD5B05">
        <w:rPr>
          <w:spacing w:val="-1"/>
        </w:rPr>
        <w:t xml:space="preserve">The </w:t>
      </w:r>
      <w:r w:rsidR="00F968A4" w:rsidRPr="00FD5B05">
        <w:rPr>
          <w:spacing w:val="-1"/>
        </w:rPr>
        <w:t>Draft R</w:t>
      </w:r>
      <w:r w:rsidRPr="00FD5B05">
        <w:rPr>
          <w:spacing w:val="-1"/>
        </w:rPr>
        <w:t xml:space="preserve">eport </w:t>
      </w:r>
      <w:r w:rsidR="00A86567" w:rsidRPr="00FD5B05">
        <w:rPr>
          <w:spacing w:val="-1"/>
        </w:rPr>
        <w:t xml:space="preserve">argues that ADIs’ ‘ability to compete on price is constrained significantly by regulatory price setting (the cash rate and prudential risk weights)’ and that </w:t>
      </w:r>
      <w:r w:rsidR="001B3222" w:rsidRPr="00FD5B05">
        <w:rPr>
          <w:spacing w:val="-1"/>
        </w:rPr>
        <w:t>‘</w:t>
      </w:r>
      <w:r w:rsidR="000113F2" w:rsidRPr="00FD5B05">
        <w:rPr>
          <w:spacing w:val="-1"/>
        </w:rPr>
        <w:t>p</w:t>
      </w:r>
      <w:r w:rsidRPr="00FD5B05">
        <w:rPr>
          <w:spacing w:val="-1"/>
        </w:rPr>
        <w:t xml:space="preserve">rice setting by the Reserve Bank </w:t>
      </w:r>
      <w:proofErr w:type="spellStart"/>
      <w:r w:rsidR="00A86567" w:rsidRPr="00FD5B05">
        <w:rPr>
          <w:spacing w:val="-1"/>
        </w:rPr>
        <w:t>facilitat</w:t>
      </w:r>
      <w:proofErr w:type="spellEnd"/>
      <w:r w:rsidR="00A86567" w:rsidRPr="00FD5B05">
        <w:rPr>
          <w:spacing w:val="-1"/>
        </w:rPr>
        <w:t>[</w:t>
      </w:r>
      <w:proofErr w:type="spellStart"/>
      <w:r w:rsidR="00A86567" w:rsidRPr="00FD5B05">
        <w:rPr>
          <w:spacing w:val="-1"/>
        </w:rPr>
        <w:t>es</w:t>
      </w:r>
      <w:proofErr w:type="spellEnd"/>
      <w:r w:rsidR="00A86567" w:rsidRPr="00FD5B05">
        <w:rPr>
          <w:spacing w:val="-1"/>
        </w:rPr>
        <w:t>]</w:t>
      </w:r>
      <w:r w:rsidR="00C75C72" w:rsidRPr="00FD5B05">
        <w:rPr>
          <w:spacing w:val="-1"/>
        </w:rPr>
        <w:t xml:space="preserve"> </w:t>
      </w:r>
      <w:r w:rsidRPr="00FD5B05">
        <w:rPr>
          <w:spacing w:val="-1"/>
        </w:rPr>
        <w:t xml:space="preserve">price coordination by </w:t>
      </w:r>
      <w:r w:rsidR="00C85421" w:rsidRPr="00FD5B05">
        <w:rPr>
          <w:spacing w:val="-1"/>
        </w:rPr>
        <w:t>banks</w:t>
      </w:r>
      <w:r w:rsidR="0099426A" w:rsidRPr="00FD5B05">
        <w:rPr>
          <w:spacing w:val="-1"/>
        </w:rPr>
        <w:t>’</w:t>
      </w:r>
      <w:r w:rsidR="00C85421" w:rsidRPr="00FD5B05">
        <w:rPr>
          <w:spacing w:val="-1"/>
        </w:rPr>
        <w:t xml:space="preserve"> </w:t>
      </w:r>
      <w:sdt>
        <w:sdtPr>
          <w:rPr>
            <w:spacing w:val="-1"/>
          </w:rPr>
          <w:id w:val="-831296689"/>
          <w:citation/>
        </w:sdtPr>
        <w:sdtEndPr/>
        <w:sdtContent>
          <w:r w:rsidR="00ED68FB" w:rsidRPr="00FD5B05">
            <w:rPr>
              <w:spacing w:val="-1"/>
            </w:rPr>
            <w:fldChar w:fldCharType="begin"/>
          </w:r>
          <w:r w:rsidR="00A86567" w:rsidRPr="00FD5B05">
            <w:rPr>
              <w:spacing w:val="-1"/>
            </w:rPr>
            <w:instrText xml:space="preserve">CITATION PC18 \p "157, 2" \l 3081 </w:instrText>
          </w:r>
          <w:r w:rsidR="00ED68FB" w:rsidRPr="00FD5B05">
            <w:rPr>
              <w:spacing w:val="-1"/>
            </w:rPr>
            <w:fldChar w:fldCharType="separate"/>
          </w:r>
          <w:r w:rsidR="00D4014E" w:rsidRPr="00D4014E">
            <w:rPr>
              <w:noProof/>
              <w:spacing w:val="-1"/>
            </w:rPr>
            <w:t>(PC 2018, pp 157, 2)</w:t>
          </w:r>
          <w:r w:rsidR="00ED68FB" w:rsidRPr="00FD5B05">
            <w:rPr>
              <w:spacing w:val="-1"/>
            </w:rPr>
            <w:fldChar w:fldCharType="end"/>
          </w:r>
        </w:sdtContent>
      </w:sdt>
      <w:r w:rsidR="00F968A4" w:rsidRPr="00FD5B05">
        <w:rPr>
          <w:spacing w:val="-1"/>
        </w:rPr>
        <w:t xml:space="preserve">. The Bank </w:t>
      </w:r>
      <w:r w:rsidR="00890F9B" w:rsidRPr="00FD5B05">
        <w:rPr>
          <w:spacing w:val="-1"/>
        </w:rPr>
        <w:t>believe</w:t>
      </w:r>
      <w:r w:rsidR="00A86567" w:rsidRPr="00FD5B05">
        <w:rPr>
          <w:spacing w:val="-1"/>
        </w:rPr>
        <w:t>s</w:t>
      </w:r>
      <w:r w:rsidR="00890F9B" w:rsidRPr="00FD5B05">
        <w:rPr>
          <w:spacing w:val="-1"/>
        </w:rPr>
        <w:t xml:space="preserve"> </w:t>
      </w:r>
      <w:r w:rsidR="00F968A4" w:rsidRPr="00FD5B05">
        <w:rPr>
          <w:spacing w:val="-1"/>
        </w:rPr>
        <w:t xml:space="preserve">that the setting of the cash rate </w:t>
      </w:r>
      <w:r w:rsidR="00A86567" w:rsidRPr="00FD5B05">
        <w:rPr>
          <w:spacing w:val="-1"/>
        </w:rPr>
        <w:t>n</w:t>
      </w:r>
      <w:r w:rsidR="00F968A4" w:rsidRPr="00FD5B05">
        <w:rPr>
          <w:spacing w:val="-1"/>
        </w:rPr>
        <w:t xml:space="preserve">either </w:t>
      </w:r>
      <w:r w:rsidR="00A86567" w:rsidRPr="00FD5B05">
        <w:rPr>
          <w:spacing w:val="-1"/>
        </w:rPr>
        <w:t xml:space="preserve">constrains competition nor substantively </w:t>
      </w:r>
      <w:r w:rsidR="00F968A4" w:rsidRPr="00FD5B05">
        <w:rPr>
          <w:spacing w:val="-1"/>
        </w:rPr>
        <w:t>facilitates price coordination.</w:t>
      </w:r>
      <w:r w:rsidR="005A433E" w:rsidRPr="00FD5B05">
        <w:rPr>
          <w:spacing w:val="-1"/>
        </w:rPr>
        <w:t xml:space="preserve"> The cash rate has been an effective instrument of monetary policy and has served Australia well over a number of decades</w:t>
      </w:r>
      <w:r w:rsidR="002276E1" w:rsidRPr="00FD5B05">
        <w:rPr>
          <w:spacing w:val="-1"/>
        </w:rPr>
        <w:t xml:space="preserve">, just as short-term policy interest rates have also been effective </w:t>
      </w:r>
      <w:r w:rsidR="00771650" w:rsidRPr="00FD5B05">
        <w:rPr>
          <w:spacing w:val="-1"/>
        </w:rPr>
        <w:t xml:space="preserve">monetary policy tools </w:t>
      </w:r>
      <w:r w:rsidR="002276E1" w:rsidRPr="00FD5B05">
        <w:rPr>
          <w:spacing w:val="-1"/>
        </w:rPr>
        <w:t>in many other countries</w:t>
      </w:r>
      <w:r w:rsidR="0021697D" w:rsidRPr="00FD5B05">
        <w:rPr>
          <w:spacing w:val="-1"/>
        </w:rPr>
        <w:t>. T</w:t>
      </w:r>
      <w:r w:rsidR="00BA2BE2" w:rsidRPr="00FD5B05">
        <w:rPr>
          <w:spacing w:val="-1"/>
        </w:rPr>
        <w:t xml:space="preserve">here is nothing in the design of Australia’s framework that </w:t>
      </w:r>
      <w:r w:rsidR="00DC6348" w:rsidRPr="00FD5B05">
        <w:rPr>
          <w:spacing w:val="-1"/>
        </w:rPr>
        <w:t>could be expected to</w:t>
      </w:r>
      <w:r w:rsidR="00BA2BE2" w:rsidRPr="00FD5B05">
        <w:rPr>
          <w:spacing w:val="-1"/>
        </w:rPr>
        <w:t xml:space="preserve"> lead to less competition-friendly outcomes than </w:t>
      </w:r>
      <w:r w:rsidR="00DC6348" w:rsidRPr="00FD5B05">
        <w:rPr>
          <w:spacing w:val="-1"/>
        </w:rPr>
        <w:t xml:space="preserve">in </w:t>
      </w:r>
      <w:r w:rsidR="00BA2BE2" w:rsidRPr="00FD5B05">
        <w:rPr>
          <w:spacing w:val="-1"/>
        </w:rPr>
        <w:t>other countries</w:t>
      </w:r>
      <w:r w:rsidR="002276E1" w:rsidRPr="00FD5B05">
        <w:rPr>
          <w:spacing w:val="-1"/>
        </w:rPr>
        <w:t xml:space="preserve">. </w:t>
      </w:r>
    </w:p>
    <w:p w14:paraId="736C814F" w14:textId="44BD1BCF" w:rsidR="00A72519" w:rsidRPr="00372D5D" w:rsidRDefault="00A72519" w:rsidP="00E81C63">
      <w:pPr>
        <w:pStyle w:val="ListBullet"/>
        <w:numPr>
          <w:ilvl w:val="0"/>
          <w:numId w:val="0"/>
        </w:numPr>
      </w:pPr>
      <w:r w:rsidRPr="00E81C63">
        <w:t xml:space="preserve">Monetary policy is effective because the cash rate influences all interest rates in the wider economy, though not necessarily </w:t>
      </w:r>
      <w:r w:rsidR="006B11B9">
        <w:t>via</w:t>
      </w:r>
      <w:r w:rsidR="006B11B9" w:rsidRPr="00E81C63">
        <w:t xml:space="preserve"> </w:t>
      </w:r>
      <w:r w:rsidRPr="00E81C63">
        <w:t xml:space="preserve">a one-to-one </w:t>
      </w:r>
      <w:r w:rsidR="006B11B9">
        <w:t>relationship</w:t>
      </w:r>
      <w:r w:rsidRPr="00E81C63">
        <w:t xml:space="preserve">. This broad </w:t>
      </w:r>
      <w:r w:rsidR="00386026">
        <w:t>relationship</w:t>
      </w:r>
      <w:r w:rsidR="00386026" w:rsidRPr="00E81C63">
        <w:t xml:space="preserve"> </w:t>
      </w:r>
      <w:r w:rsidRPr="00E81C63">
        <w:t xml:space="preserve">between the cash rate and other interest </w:t>
      </w:r>
      <w:r w:rsidRPr="00372D5D">
        <w:t xml:space="preserve">rates means that monetary policy is transmitted throughout the aggregate economy and affects borrowing and lending behaviour, aggregate demand and inflation. </w:t>
      </w:r>
      <w:r w:rsidR="00571BEF" w:rsidRPr="00372D5D">
        <w:t>However, the cash rate is only one</w:t>
      </w:r>
      <w:r w:rsidR="00FB2492">
        <w:t>, albeit significant,</w:t>
      </w:r>
      <w:r w:rsidR="00571BEF" w:rsidRPr="00372D5D">
        <w:t xml:space="preserve"> influence on </w:t>
      </w:r>
      <w:r w:rsidR="007576E0">
        <w:t xml:space="preserve">banks’ </w:t>
      </w:r>
      <w:r w:rsidR="00571BEF" w:rsidRPr="00372D5D">
        <w:t>funding costs</w:t>
      </w:r>
      <w:r w:rsidR="007576E0">
        <w:t>; several</w:t>
      </w:r>
      <w:r w:rsidR="00571BEF" w:rsidRPr="00372D5D">
        <w:t xml:space="preserve"> other factors are also important</w:t>
      </w:r>
      <w:r w:rsidR="007576E0">
        <w:t xml:space="preserve">, including </w:t>
      </w:r>
      <w:r w:rsidR="002276E1">
        <w:t>the extent of competition for deposits</w:t>
      </w:r>
      <w:r w:rsidR="00BA1D84">
        <w:t>, the structure of bank funding</w:t>
      </w:r>
      <w:r w:rsidR="002276E1">
        <w:t xml:space="preserve"> and </w:t>
      </w:r>
      <w:r w:rsidR="00571BEF" w:rsidRPr="00372D5D">
        <w:t>changes in the level of compensation demanded by investors for holding bank debt.</w:t>
      </w:r>
      <w:r w:rsidR="0084349B">
        <w:t xml:space="preserve"> Further, while the cash rate itself changes discretely with announced monetary policy changes, the timing of its effects </w:t>
      </w:r>
      <w:r w:rsidR="0099426A">
        <w:t>is</w:t>
      </w:r>
      <w:r w:rsidR="0084349B">
        <w:t xml:space="preserve"> more dispersed because changes are generally anticipated and reflected in </w:t>
      </w:r>
      <w:r w:rsidR="00EC7495">
        <w:t xml:space="preserve">financial </w:t>
      </w:r>
      <w:r w:rsidR="0084349B">
        <w:t>market prices well ahead of the announcement.</w:t>
      </w:r>
    </w:p>
    <w:p w14:paraId="59927FF9" w14:textId="5506EE3A" w:rsidR="00DC6348" w:rsidRDefault="00A72519" w:rsidP="00BA4C2C">
      <w:pPr>
        <w:pStyle w:val="ListBullet"/>
        <w:numPr>
          <w:ilvl w:val="0"/>
          <w:numId w:val="0"/>
        </w:numPr>
      </w:pPr>
      <w:r w:rsidRPr="00372D5D">
        <w:t>Interest rates are not regulated prices.</w:t>
      </w:r>
      <w:r w:rsidRPr="00372D5D" w:rsidDel="00571BEF">
        <w:t xml:space="preserve"> </w:t>
      </w:r>
      <w:r w:rsidRPr="00372D5D">
        <w:t>It is</w:t>
      </w:r>
      <w:r w:rsidRPr="00372D5D" w:rsidDel="001028EE">
        <w:t xml:space="preserve"> </w:t>
      </w:r>
      <w:r w:rsidR="001028EE" w:rsidRPr="00372D5D">
        <w:t xml:space="preserve">each </w:t>
      </w:r>
      <w:r w:rsidRPr="00372D5D">
        <w:t>bank</w:t>
      </w:r>
      <w:r w:rsidR="001028EE" w:rsidRPr="00372D5D">
        <w:t>’</w:t>
      </w:r>
      <w:r w:rsidRPr="00372D5D">
        <w:t>s commercial decision how much and when to adjust lending and deposit interest rates</w:t>
      </w:r>
      <w:r w:rsidR="007576E0">
        <w:t>,</w:t>
      </w:r>
      <w:r w:rsidRPr="00372D5D">
        <w:t xml:space="preserve"> and the degree to which </w:t>
      </w:r>
      <w:r w:rsidR="006A0639">
        <w:t>it</w:t>
      </w:r>
      <w:r w:rsidR="006A0639" w:rsidRPr="00372D5D">
        <w:t xml:space="preserve"> </w:t>
      </w:r>
      <w:r w:rsidRPr="008825E7">
        <w:t>compete</w:t>
      </w:r>
      <w:r w:rsidR="006A0639">
        <w:t>s</w:t>
      </w:r>
      <w:r w:rsidRPr="008825E7">
        <w:t xml:space="preserve"> on margins when funding costs change</w:t>
      </w:r>
      <w:r w:rsidR="00BA2BE2">
        <w:t xml:space="preserve"> (regardless of whether </w:t>
      </w:r>
      <w:r w:rsidR="001864A3">
        <w:t xml:space="preserve">the timing of </w:t>
      </w:r>
      <w:r w:rsidR="00BA2BE2">
        <w:t xml:space="preserve">rate changes </w:t>
      </w:r>
      <w:r w:rsidR="001864A3">
        <w:t>is</w:t>
      </w:r>
      <w:r w:rsidR="00BA2BE2">
        <w:t xml:space="preserve"> aligned with </w:t>
      </w:r>
      <w:r w:rsidR="007649C8">
        <w:t xml:space="preserve">changes in the </w:t>
      </w:r>
      <w:r w:rsidR="00BA2BE2">
        <w:t>cash rate)</w:t>
      </w:r>
      <w:r w:rsidRPr="008825E7">
        <w:t xml:space="preserve">. </w:t>
      </w:r>
      <w:r w:rsidR="00E553BB" w:rsidRPr="008825E7">
        <w:t>Indeed, the spread between mortgage lending rates and the cash rate has varied over time because other factors also influence lending rates. For example, i</w:t>
      </w:r>
      <w:r w:rsidRPr="008825E7">
        <w:t xml:space="preserve">n the early to </w:t>
      </w:r>
      <w:proofErr w:type="spellStart"/>
      <w:r w:rsidRPr="008825E7">
        <w:t>mid</w:t>
      </w:r>
      <w:r w:rsidR="007576E0">
        <w:t> </w:t>
      </w:r>
      <w:r w:rsidRPr="008825E7">
        <w:t>1990s</w:t>
      </w:r>
      <w:proofErr w:type="spellEnd"/>
      <w:r w:rsidRPr="008825E7">
        <w:t xml:space="preserve">, a marked increase in competitive pressures, alongside a reduction in risk </w:t>
      </w:r>
      <w:proofErr w:type="spellStart"/>
      <w:r w:rsidRPr="008825E7">
        <w:t>premia</w:t>
      </w:r>
      <w:proofErr w:type="spellEnd"/>
      <w:r w:rsidRPr="008825E7">
        <w:t xml:space="preserve">, drove </w:t>
      </w:r>
      <w:r w:rsidR="007576E0">
        <w:t xml:space="preserve">down </w:t>
      </w:r>
      <w:r w:rsidRPr="008825E7">
        <w:t>the spread between household mortgage indicator rates and the cash rate by around 250</w:t>
      </w:r>
      <w:r w:rsidR="007576E0">
        <w:t> </w:t>
      </w:r>
      <w:r w:rsidRPr="008825E7">
        <w:t>basis</w:t>
      </w:r>
      <w:r w:rsidR="007576E0">
        <w:t> </w:t>
      </w:r>
      <w:r w:rsidRPr="008825E7">
        <w:t>points. From the late 1990s until 2007, there was a strong correlation between movements in the advertised indicator lending rates and the cash rate</w:t>
      </w:r>
      <w:r w:rsidR="00513283">
        <w:t xml:space="preserve">, with </w:t>
      </w:r>
      <w:r w:rsidRPr="008825E7">
        <w:t xml:space="preserve">the cash rate </w:t>
      </w:r>
      <w:r w:rsidR="00513283">
        <w:t>appearing to be</w:t>
      </w:r>
      <w:r w:rsidRPr="008825E7">
        <w:t xml:space="preserve"> </w:t>
      </w:r>
      <w:r w:rsidR="00513283">
        <w:t>a</w:t>
      </w:r>
      <w:r w:rsidRPr="008825E7">
        <w:t xml:space="preserve"> key driver of changes in funding costs over this period. </w:t>
      </w:r>
    </w:p>
    <w:p w14:paraId="24A9AB36" w14:textId="4F4B6EE9" w:rsidR="00A72519" w:rsidRDefault="00A72519" w:rsidP="00BA4C2C">
      <w:pPr>
        <w:pStyle w:val="ListBullet"/>
        <w:numPr>
          <w:ilvl w:val="0"/>
          <w:numId w:val="0"/>
        </w:numPr>
      </w:pPr>
      <w:r w:rsidRPr="008825E7">
        <w:t xml:space="preserve">More recently, </w:t>
      </w:r>
      <w:r w:rsidR="0021697D">
        <w:t xml:space="preserve">a reassessment of </w:t>
      </w:r>
      <w:r w:rsidRPr="008825E7">
        <w:t xml:space="preserve">risk factors </w:t>
      </w:r>
      <w:r w:rsidR="00C75C72" w:rsidRPr="008825E7">
        <w:t>ha</w:t>
      </w:r>
      <w:r w:rsidR="00C75C72">
        <w:t>s</w:t>
      </w:r>
      <w:r w:rsidR="00C75C72" w:rsidRPr="008825E7">
        <w:t xml:space="preserve"> </w:t>
      </w:r>
      <w:r w:rsidRPr="008825E7">
        <w:t>led to more dispersion between different lending products and banks have decoupled</w:t>
      </w:r>
      <w:r w:rsidR="00082C0F">
        <w:t xml:space="preserve"> the extent of</w:t>
      </w:r>
      <w:r w:rsidRPr="008825E7">
        <w:t xml:space="preserve"> movements in mortgage interest rates from cash rate decisions </w:t>
      </w:r>
      <w:r w:rsidR="000113F2" w:rsidRPr="008825E7">
        <w:t>to some degree</w:t>
      </w:r>
      <w:r w:rsidR="000113F2">
        <w:t>,</w:t>
      </w:r>
      <w:r w:rsidR="00A43459" w:rsidRPr="00A43459">
        <w:t xml:space="preserve"> </w:t>
      </w:r>
      <w:r w:rsidRPr="008825E7">
        <w:t>because other influences on their funding costs also have had an important impact.</w:t>
      </w:r>
      <w:r w:rsidR="002276E1">
        <w:t xml:space="preserve"> </w:t>
      </w:r>
      <w:r w:rsidR="003E5CBE">
        <w:t>Notably, some of the market</w:t>
      </w:r>
      <w:r w:rsidR="00ED55FD">
        <w:t>-</w:t>
      </w:r>
      <w:r w:rsidR="003E5CBE">
        <w:t xml:space="preserve">determined components of banks’ funding costs, such as risk </w:t>
      </w:r>
      <w:proofErr w:type="spellStart"/>
      <w:r w:rsidR="003E5CBE">
        <w:t>premia</w:t>
      </w:r>
      <w:proofErr w:type="spellEnd"/>
      <w:r w:rsidR="003E5CBE">
        <w:t>, typically move together across different lenders</w:t>
      </w:r>
      <w:r w:rsidR="0099426A">
        <w:t>. This</w:t>
      </w:r>
      <w:r w:rsidR="003E5CBE">
        <w:t xml:space="preserve"> can cause</w:t>
      </w:r>
      <w:r w:rsidR="00FB2492">
        <w:t xml:space="preserve"> similar </w:t>
      </w:r>
      <w:r w:rsidR="003E5CBE">
        <w:t>movement</w:t>
      </w:r>
      <w:r w:rsidR="00FB2492">
        <w:t>s</w:t>
      </w:r>
      <w:r w:rsidR="003E5CBE">
        <w:t xml:space="preserve"> in banks’ funding costs and consequently their lending rates. </w:t>
      </w:r>
      <w:r w:rsidR="002276E1">
        <w:t xml:space="preserve">One notable driver of </w:t>
      </w:r>
      <w:r w:rsidR="003E5CBE">
        <w:t>the post-crisis</w:t>
      </w:r>
      <w:r w:rsidR="002276E1">
        <w:t xml:space="preserve"> increase in mortgage rates relative to the cash rate has been greater competition for deposits, which has seen deposit interest rates rise </w:t>
      </w:r>
      <w:r w:rsidR="003E5CBE">
        <w:t>relative to the cash rate</w:t>
      </w:r>
      <w:r w:rsidR="00FE1B04" w:rsidRPr="00FE1B04">
        <w:t xml:space="preserve"> </w:t>
      </w:r>
      <w:sdt>
        <w:sdtPr>
          <w:id w:val="-2099162325"/>
          <w:citation/>
        </w:sdtPr>
        <w:sdtEndPr/>
        <w:sdtContent>
          <w:r w:rsidR="00FE1B04">
            <w:fldChar w:fldCharType="begin"/>
          </w:r>
          <w:r w:rsidR="00FE1B04">
            <w:instrText xml:space="preserve"> CITATION McK08 \l 3081 </w:instrText>
          </w:r>
          <w:r w:rsidR="00FE1B04">
            <w:fldChar w:fldCharType="separate"/>
          </w:r>
          <w:r w:rsidR="00D4014E">
            <w:rPr>
              <w:noProof/>
            </w:rPr>
            <w:t>(McKinnon 2018)</w:t>
          </w:r>
          <w:r w:rsidR="00FE1B04">
            <w:fldChar w:fldCharType="end"/>
          </w:r>
        </w:sdtContent>
      </w:sdt>
      <w:r w:rsidR="002276E1">
        <w:t>.</w:t>
      </w:r>
    </w:p>
    <w:p w14:paraId="494973E1" w14:textId="2CB2AAC5" w:rsidR="007A5EDF" w:rsidRPr="00A72519" w:rsidRDefault="007A5EDF" w:rsidP="00BA4C2C">
      <w:pPr>
        <w:pStyle w:val="ListBullet"/>
        <w:numPr>
          <w:ilvl w:val="0"/>
          <w:numId w:val="0"/>
        </w:numPr>
        <w:rPr>
          <w:i/>
        </w:rPr>
      </w:pPr>
      <w:r w:rsidRPr="00513283">
        <w:t>In summary, the cash rate is a</w:t>
      </w:r>
      <w:r w:rsidR="00FB2492">
        <w:t xml:space="preserve"> significant </w:t>
      </w:r>
      <w:r w:rsidRPr="00513283">
        <w:t>influence on funding costs but does not determine them, nor does it determine banks’ margins</w:t>
      </w:r>
      <w:r w:rsidRPr="00A86567">
        <w:t xml:space="preserve">. </w:t>
      </w:r>
      <w:r w:rsidR="0002198E" w:rsidRPr="00A86567">
        <w:t>The Bank believe</w:t>
      </w:r>
      <w:r w:rsidR="00843EFA" w:rsidRPr="00A86567">
        <w:t>s</w:t>
      </w:r>
      <w:r w:rsidR="0002198E" w:rsidRPr="00A86567">
        <w:t xml:space="preserve"> this </w:t>
      </w:r>
      <w:r w:rsidR="00843EFA" w:rsidRPr="00A86567">
        <w:t>n</w:t>
      </w:r>
      <w:r w:rsidR="0002198E" w:rsidRPr="00A86567">
        <w:t xml:space="preserve">either </w:t>
      </w:r>
      <w:r w:rsidR="00A86567" w:rsidRPr="00A86567">
        <w:t xml:space="preserve">constrains price competition nor </w:t>
      </w:r>
      <w:r w:rsidR="0002198E" w:rsidRPr="00A86567">
        <w:t xml:space="preserve">facilitates price coordination </w:t>
      </w:r>
      <w:r w:rsidR="00FB2492" w:rsidRPr="00A86567">
        <w:t>and the experience in other countries supports this conclusion</w:t>
      </w:r>
      <w:r w:rsidR="00944B97" w:rsidRPr="00A86567">
        <w:t>.</w:t>
      </w:r>
    </w:p>
    <w:p w14:paraId="385DED04" w14:textId="5D4E011C" w:rsidR="009B3B24" w:rsidRPr="00771E21" w:rsidRDefault="007649C8" w:rsidP="009B3B24">
      <w:pPr>
        <w:pStyle w:val="ListBullet"/>
        <w:numPr>
          <w:ilvl w:val="0"/>
          <w:numId w:val="0"/>
        </w:numPr>
      </w:pPr>
      <w:r w:rsidRPr="00771E21">
        <w:t>At a general level, the same argument can be made for</w:t>
      </w:r>
      <w:r w:rsidR="00913639" w:rsidRPr="00771E21">
        <w:t xml:space="preserve"> risk weights. As part of the </w:t>
      </w:r>
      <w:r w:rsidR="00130AA3" w:rsidRPr="00771E21">
        <w:t>Australian Prudential Regulation Authority (</w:t>
      </w:r>
      <w:r w:rsidR="009B3B24" w:rsidRPr="00771E21">
        <w:t>APRA</w:t>
      </w:r>
      <w:r w:rsidR="00FC39CD" w:rsidRPr="00771E21">
        <w:t>)</w:t>
      </w:r>
      <w:r w:rsidR="009B3B24" w:rsidRPr="00771E21">
        <w:t xml:space="preserve">’s capital framework (the product of </w:t>
      </w:r>
      <w:r w:rsidR="00207D80" w:rsidRPr="00771E21">
        <w:t xml:space="preserve">risk weights and </w:t>
      </w:r>
      <w:r w:rsidR="009B3B24" w:rsidRPr="00771E21">
        <w:t>capital requirements)</w:t>
      </w:r>
      <w:r w:rsidR="00FD5B05">
        <w:t>,</w:t>
      </w:r>
      <w:r w:rsidR="009B3B24" w:rsidRPr="00771E21">
        <w:t xml:space="preserve"> </w:t>
      </w:r>
      <w:r w:rsidR="00EF4AF1" w:rsidRPr="00771E21">
        <w:t>risk weights</w:t>
      </w:r>
      <w:r w:rsidR="00913639" w:rsidRPr="00771E21">
        <w:t xml:space="preserve"> have </w:t>
      </w:r>
      <w:r w:rsidR="009B3B24" w:rsidRPr="00771E21">
        <w:t xml:space="preserve">a bearing on the relative cost to banks of making different types of loans. However, </w:t>
      </w:r>
      <w:r w:rsidR="00207D80" w:rsidRPr="00771E21">
        <w:t xml:space="preserve">in the same way that the cash rate does not constrain banks’ ability to compete by </w:t>
      </w:r>
      <w:r w:rsidR="00207D80" w:rsidRPr="00771E21">
        <w:lastRenderedPageBreak/>
        <w:t>adjusting margins</w:t>
      </w:r>
      <w:r w:rsidR="009B3B24" w:rsidRPr="00771E21">
        <w:t xml:space="preserve">, capital requirements and risk weights do not </w:t>
      </w:r>
      <w:r w:rsidR="00BD388E" w:rsidRPr="00771E21">
        <w:t xml:space="preserve">constrain </w:t>
      </w:r>
      <w:r w:rsidR="009B3B24" w:rsidRPr="00771E21">
        <w:t xml:space="preserve">the </w:t>
      </w:r>
      <w:r w:rsidR="00BD388E" w:rsidRPr="00771E21">
        <w:t xml:space="preserve">return on capital </w:t>
      </w:r>
      <w:r w:rsidR="00207D80" w:rsidRPr="00771E21">
        <w:t xml:space="preserve">that each </w:t>
      </w:r>
      <w:r w:rsidR="009B3B24" w:rsidRPr="00771E21">
        <w:t xml:space="preserve">bank </w:t>
      </w:r>
      <w:r w:rsidR="00BD388E" w:rsidRPr="00771E21">
        <w:t>seek</w:t>
      </w:r>
      <w:r w:rsidR="00207D80" w:rsidRPr="00771E21">
        <w:t>s,</w:t>
      </w:r>
      <w:r w:rsidR="00BD388E" w:rsidRPr="00771E21">
        <w:t xml:space="preserve"> </w:t>
      </w:r>
      <w:r w:rsidR="009B3B24" w:rsidRPr="00771E21">
        <w:t xml:space="preserve">and it is </w:t>
      </w:r>
      <w:r w:rsidR="00BD388E" w:rsidRPr="00771E21">
        <w:t xml:space="preserve">this </w:t>
      </w:r>
      <w:r w:rsidR="009B3B24" w:rsidRPr="00771E21">
        <w:t xml:space="preserve">that </w:t>
      </w:r>
      <w:r w:rsidR="00D8161B" w:rsidRPr="00771E21">
        <w:t xml:space="preserve">contributes </w:t>
      </w:r>
      <w:r w:rsidR="00771650" w:rsidRPr="00771E21">
        <w:t xml:space="preserve">to </w:t>
      </w:r>
      <w:r w:rsidR="009B3B24" w:rsidRPr="00771E21">
        <w:t xml:space="preserve">the competitiveness of a market. There is no regulatory constraint that prevents banks from undercutting </w:t>
      </w:r>
      <w:r w:rsidR="00C704B5" w:rsidRPr="00771E21">
        <w:t>their</w:t>
      </w:r>
      <w:r w:rsidR="009B3B24" w:rsidRPr="00771E21">
        <w:t xml:space="preserve"> competitors by accepting lower returns on equity.</w:t>
      </w:r>
    </w:p>
    <w:p w14:paraId="4DC03D5E" w14:textId="32FD6DAC" w:rsidR="009B3B24" w:rsidRDefault="00913639" w:rsidP="00C704B5">
      <w:pPr>
        <w:pStyle w:val="ListBullet"/>
        <w:numPr>
          <w:ilvl w:val="0"/>
          <w:numId w:val="0"/>
        </w:numPr>
      </w:pPr>
      <w:r>
        <w:t>Nonetheless,</w:t>
      </w:r>
      <w:r w:rsidR="00AF205F">
        <w:t xml:space="preserve"> d</w:t>
      </w:r>
      <w:r w:rsidR="009B3B24">
        <w:t xml:space="preserve">ifferences in risk weights applied to the same loan </w:t>
      </w:r>
      <w:r w:rsidR="009B3B24" w:rsidRPr="006E6651">
        <w:rPr>
          <w:i/>
        </w:rPr>
        <w:t>across institutions</w:t>
      </w:r>
      <w:r w:rsidR="009B3B24">
        <w:t xml:space="preserve"> can </w:t>
      </w:r>
      <w:r w:rsidR="00DC459B">
        <w:t xml:space="preserve">influence </w:t>
      </w:r>
      <w:r w:rsidR="009B3B24">
        <w:t>competition by providing some banks with a lower cost base. However, the importance of this issue</w:t>
      </w:r>
      <w:r w:rsidR="006A0106">
        <w:t xml:space="preserve"> – </w:t>
      </w:r>
      <w:r w:rsidR="009B3B24">
        <w:t xml:space="preserve">in the context of </w:t>
      </w:r>
      <w:r w:rsidR="006A0106">
        <w:t>internal ratings-based (</w:t>
      </w:r>
      <w:r w:rsidR="009B3B24">
        <w:t>IRB</w:t>
      </w:r>
      <w:r w:rsidR="006A0106">
        <w:t>)</w:t>
      </w:r>
      <w:r w:rsidR="009B3B24">
        <w:t xml:space="preserve"> modelling versus the standardised approach</w:t>
      </w:r>
      <w:r w:rsidR="00CD53D4">
        <w:t xml:space="preserve"> (SA</w:t>
      </w:r>
      <w:r w:rsidR="009B3B24">
        <w:t xml:space="preserve">) </w:t>
      </w:r>
      <w:r w:rsidR="006A0106">
        <w:t xml:space="preserve">– </w:t>
      </w:r>
      <w:r w:rsidR="00DC459B">
        <w:t>can be overstated</w:t>
      </w:r>
      <w:r w:rsidR="009B3B24">
        <w:t xml:space="preserve">. </w:t>
      </w:r>
      <w:r w:rsidR="005948AD">
        <w:t xml:space="preserve">In particular, </w:t>
      </w:r>
      <w:r w:rsidR="00A202CA">
        <w:t xml:space="preserve">we believe </w:t>
      </w:r>
      <w:r w:rsidR="005948AD">
        <w:t>t</w:t>
      </w:r>
      <w:r w:rsidR="009B3B24">
        <w:t xml:space="preserve">he Commission’s analysis </w:t>
      </w:r>
      <w:r w:rsidR="00C704B5">
        <w:t>(centred on Table 5.3</w:t>
      </w:r>
      <w:r w:rsidR="00843EFA">
        <w:t xml:space="preserve"> of the Draft Report</w:t>
      </w:r>
      <w:r w:rsidR="00C704B5">
        <w:t xml:space="preserve">) </w:t>
      </w:r>
      <w:r w:rsidR="002B5655">
        <w:t>should take greater</w:t>
      </w:r>
      <w:r w:rsidR="005948AD">
        <w:t xml:space="preserve"> account of the fact that the</w:t>
      </w:r>
      <w:r w:rsidR="009B3B24">
        <w:t xml:space="preserve"> major banks will face a capital requirement that is 2 percentage point</w:t>
      </w:r>
      <w:r w:rsidR="00C704B5">
        <w:t>s</w:t>
      </w:r>
      <w:r w:rsidR="009B3B24">
        <w:t xml:space="preserve"> higher than smaller ADIs by 2020</w:t>
      </w:r>
      <w:r w:rsidR="00C55549">
        <w:t>,</w:t>
      </w:r>
      <w:r w:rsidR="009B3B24">
        <w:t xml:space="preserve"> to reflect the additional risk posed to financial stability by the systemic importance of these banks. </w:t>
      </w:r>
      <w:r w:rsidR="005948AD">
        <w:t xml:space="preserve">This implies a significant reduction in major banks’ funding cost advantage from IRB modelling, which </w:t>
      </w:r>
      <w:r w:rsidR="009B3B24">
        <w:t xml:space="preserve">is further </w:t>
      </w:r>
      <w:r w:rsidR="00C704B5">
        <w:t xml:space="preserve">reduced </w:t>
      </w:r>
      <w:r w:rsidR="009B3B24">
        <w:t>by the additional compliance costs associated with IRB status and the major bank levy.</w:t>
      </w:r>
      <w:r w:rsidR="00D564B3">
        <w:rPr>
          <w:rStyle w:val="FootnoteReference"/>
        </w:rPr>
        <w:footnoteReference w:id="2"/>
      </w:r>
    </w:p>
    <w:p w14:paraId="19504BA2" w14:textId="7EDFD504" w:rsidR="004E39A4" w:rsidRDefault="004E39A4" w:rsidP="00207D80">
      <w:pPr>
        <w:pStyle w:val="Heading2"/>
      </w:pPr>
      <w:r w:rsidRPr="00CF32EE">
        <w:t>The weight given to competition by regulators</w:t>
      </w:r>
    </w:p>
    <w:p w14:paraId="41FCD3D6" w14:textId="7E4208B0" w:rsidR="00715770" w:rsidRDefault="00D034E9" w:rsidP="00D034E9">
      <w:pPr>
        <w:pStyle w:val="BodyText"/>
      </w:pPr>
      <w:r>
        <w:t>The Bank agrees that competition in the financial system can be promoted without necessarily increasing risk. Likewise, we agree that a lessening in market concentration in the Australian financial</w:t>
      </w:r>
      <w:r w:rsidR="00D4327E">
        <w:t xml:space="preserve"> system would not </w:t>
      </w:r>
      <w:r w:rsidR="00DA75B8">
        <w:t xml:space="preserve">necessarily </w:t>
      </w:r>
      <w:r w:rsidR="00D4327E">
        <w:t xml:space="preserve">be detrimental to financial stability. The Bank fully supports measures that provide a sustainable increase in competition – that is, measures that would not sow the seeds for a later financial disruption. </w:t>
      </w:r>
      <w:r w:rsidR="003F35C5">
        <w:t xml:space="preserve">Many of the types of measures discussed in </w:t>
      </w:r>
      <w:r w:rsidR="008363E0">
        <w:t xml:space="preserve">Section 2 </w:t>
      </w:r>
      <w:r w:rsidR="003F35C5">
        <w:t>above fall into this category and are supported by the Bank.</w:t>
      </w:r>
    </w:p>
    <w:p w14:paraId="2899444D" w14:textId="43E486EB" w:rsidR="003F35C5" w:rsidRDefault="00A90842" w:rsidP="00D034E9">
      <w:pPr>
        <w:pStyle w:val="BodyText"/>
      </w:pPr>
      <w:r>
        <w:t>The Bank also agrees that</w:t>
      </w:r>
      <w:r w:rsidR="00843EFA">
        <w:t>,</w:t>
      </w:r>
      <w:r>
        <w:t xml:space="preserve"> w</w:t>
      </w:r>
      <w:r w:rsidR="003F35C5">
        <w:t>hen formulating prudential regulatory measures</w:t>
      </w:r>
      <w:r w:rsidR="00315D0C">
        <w:t>,</w:t>
      </w:r>
      <w:r w:rsidR="003F35C5">
        <w:t xml:space="preserve"> it is important that any potential effects on competition be considered. This should include </w:t>
      </w:r>
      <w:r w:rsidR="00BB1087">
        <w:t>consideration of</w:t>
      </w:r>
      <w:r w:rsidR="003F35C5">
        <w:t xml:space="preserve"> </w:t>
      </w:r>
      <w:r w:rsidR="00315D0C">
        <w:t xml:space="preserve">both </w:t>
      </w:r>
      <w:r w:rsidR="003F35C5">
        <w:t>whether the prudential benefits outweigh any costs to competition and whether there are alternative ap</w:t>
      </w:r>
      <w:r w:rsidR="00171B9D">
        <w:t xml:space="preserve">proaches that would meet </w:t>
      </w:r>
      <w:r w:rsidR="003F35C5">
        <w:t>prudential objectives just as effectively but provide better competition outcomes.</w:t>
      </w:r>
      <w:r w:rsidR="00AF53A5">
        <w:t xml:space="preserve"> As discussed below, the </w:t>
      </w:r>
      <w:r w:rsidR="00E246DF">
        <w:t>Council of Financial Regulators (</w:t>
      </w:r>
      <w:r w:rsidR="00AF53A5">
        <w:t>CFR</w:t>
      </w:r>
      <w:r w:rsidR="00E246DF">
        <w:t>)</w:t>
      </w:r>
      <w:r w:rsidR="00AF53A5">
        <w:t xml:space="preserve"> </w:t>
      </w:r>
      <w:r w:rsidR="00DA75B8">
        <w:t xml:space="preserve">and its member agencies </w:t>
      </w:r>
      <w:r w:rsidR="00AF53A5">
        <w:t>take account of competition issues</w:t>
      </w:r>
      <w:r w:rsidR="00315D0C">
        <w:t>,</w:t>
      </w:r>
      <w:r w:rsidR="00AF53A5">
        <w:t xml:space="preserve"> and a number of the actions taken by APRA in recent times </w:t>
      </w:r>
      <w:r w:rsidR="002B5655" w:rsidRPr="002B5655">
        <w:t>highlight that its competition obligations are an important element in its decision making</w:t>
      </w:r>
      <w:r w:rsidR="00AF53A5">
        <w:t>.</w:t>
      </w:r>
    </w:p>
    <w:p w14:paraId="29FD6E89" w14:textId="0E0A1B3E" w:rsidR="002F53AF" w:rsidRDefault="00596A33" w:rsidP="00D034E9">
      <w:pPr>
        <w:pStyle w:val="BodyText"/>
      </w:pPr>
      <w:r>
        <w:t xml:space="preserve">That said, financial stability goals necessarily attract a high weight in regulators’ considerations because the cost of instability is high. </w:t>
      </w:r>
      <w:r w:rsidR="0020318F">
        <w:t>As an illustration</w:t>
      </w:r>
      <w:r w:rsidR="00772636">
        <w:t>,</w:t>
      </w:r>
      <w:r w:rsidR="00D82640">
        <w:t xml:space="preserve"> </w:t>
      </w:r>
      <w:r w:rsidR="00EF6F41">
        <w:t>the Bank for International Settlements</w:t>
      </w:r>
      <w:r w:rsidR="00772636" w:rsidRPr="00772636">
        <w:t xml:space="preserve"> </w:t>
      </w:r>
      <w:r w:rsidR="00843EFA">
        <w:t xml:space="preserve">(BIS) </w:t>
      </w:r>
      <w:r w:rsidR="00772636" w:rsidRPr="00772636">
        <w:t xml:space="preserve">estimates </w:t>
      </w:r>
      <w:r w:rsidR="006A0639">
        <w:t>that</w:t>
      </w:r>
      <w:r w:rsidR="006A0639" w:rsidRPr="00772636">
        <w:t xml:space="preserve"> </w:t>
      </w:r>
      <w:r w:rsidR="00772636" w:rsidRPr="00772636">
        <w:t xml:space="preserve">the cost of </w:t>
      </w:r>
      <w:r w:rsidR="00FC75C0">
        <w:t xml:space="preserve">past </w:t>
      </w:r>
      <w:r w:rsidR="00772636">
        <w:t xml:space="preserve">financial </w:t>
      </w:r>
      <w:r w:rsidR="00FC75C0" w:rsidRPr="00772636">
        <w:t>cris</w:t>
      </w:r>
      <w:r w:rsidR="00FC75C0">
        <w:t>e</w:t>
      </w:r>
      <w:r w:rsidR="00FC75C0" w:rsidRPr="00772636">
        <w:t xml:space="preserve">s </w:t>
      </w:r>
      <w:r w:rsidR="008363E0">
        <w:t xml:space="preserve">has </w:t>
      </w:r>
      <w:r w:rsidR="00EF6F41">
        <w:t>range</w:t>
      </w:r>
      <w:r w:rsidR="00FC75C0">
        <w:t>d</w:t>
      </w:r>
      <w:r w:rsidR="00EF6F41">
        <w:t xml:space="preserve"> from</w:t>
      </w:r>
      <w:r w:rsidR="00772636" w:rsidRPr="00772636">
        <w:t xml:space="preserve"> 19</w:t>
      </w:r>
      <w:r w:rsidR="00772636">
        <w:t xml:space="preserve"> to </w:t>
      </w:r>
      <w:r w:rsidR="00772636" w:rsidRPr="00772636">
        <w:t xml:space="preserve">158 per cent of </w:t>
      </w:r>
      <w:r w:rsidR="004A2116">
        <w:t xml:space="preserve">annual </w:t>
      </w:r>
      <w:r w:rsidR="00772636" w:rsidRPr="00772636">
        <w:t>GDP</w:t>
      </w:r>
      <w:r w:rsidR="00772636">
        <w:t>,</w:t>
      </w:r>
      <w:r w:rsidR="00772636" w:rsidRPr="00772636">
        <w:t xml:space="preserve"> with a median of around 63 per cent of GDP — </w:t>
      </w:r>
      <w:r w:rsidR="00772636">
        <w:t>an equivalent of around</w:t>
      </w:r>
      <w:r w:rsidR="00772636" w:rsidRPr="00772636">
        <w:t xml:space="preserve"> $1.1 trillion </w:t>
      </w:r>
      <w:r w:rsidR="00772636">
        <w:t xml:space="preserve">for </w:t>
      </w:r>
      <w:r w:rsidR="0022378C">
        <w:t xml:space="preserve">an economy of the size of </w:t>
      </w:r>
      <w:r w:rsidR="00772636" w:rsidRPr="00772636">
        <w:t>Australia</w:t>
      </w:r>
      <w:sdt>
        <w:sdtPr>
          <w:id w:val="-903833770"/>
          <w:citation/>
        </w:sdtPr>
        <w:sdtEndPr/>
        <w:sdtContent>
          <w:r w:rsidR="007A0314">
            <w:fldChar w:fldCharType="begin"/>
          </w:r>
          <w:r w:rsidR="007A0314">
            <w:instrText xml:space="preserve"> CITATION BIS10 \l 3081 </w:instrText>
          </w:r>
          <w:r w:rsidR="007A0314">
            <w:fldChar w:fldCharType="separate"/>
          </w:r>
          <w:r w:rsidR="00D4014E">
            <w:rPr>
              <w:noProof/>
            </w:rPr>
            <w:t xml:space="preserve"> (BIS 2010)</w:t>
          </w:r>
          <w:r w:rsidR="007A0314">
            <w:fldChar w:fldCharType="end"/>
          </w:r>
        </w:sdtContent>
      </w:sdt>
      <w:r w:rsidR="00772636">
        <w:t>.</w:t>
      </w:r>
      <w:r w:rsidR="0020318F">
        <w:t xml:space="preserve"> Crises also tend to be detrimental to competition as providers </w:t>
      </w:r>
      <w:r w:rsidR="00DA75B8">
        <w:t>fail, withdraw from</w:t>
      </w:r>
      <w:r w:rsidR="0020318F">
        <w:t xml:space="preserve"> the market or merge, and funding tends to be more readily available </w:t>
      </w:r>
      <w:r w:rsidR="00171B9D">
        <w:t xml:space="preserve">to large, established </w:t>
      </w:r>
      <w:r w:rsidR="00241FF9">
        <w:t>institutions</w:t>
      </w:r>
      <w:r w:rsidR="00D82640">
        <w:t>. Indeed,</w:t>
      </w:r>
      <w:r w:rsidR="00171B9D">
        <w:t xml:space="preserve"> a</w:t>
      </w:r>
      <w:r w:rsidR="0020318F">
        <w:t xml:space="preserve">n increase in concentration was observed in </w:t>
      </w:r>
      <w:r w:rsidR="001C717E">
        <w:t xml:space="preserve">a number of economies, including </w:t>
      </w:r>
      <w:r w:rsidR="0020318F">
        <w:t>Australia</w:t>
      </w:r>
      <w:r w:rsidR="001C717E">
        <w:t>,</w:t>
      </w:r>
      <w:r w:rsidR="0020318F">
        <w:t xml:space="preserve"> following the global crisis</w:t>
      </w:r>
      <w:r w:rsidR="005D7551">
        <w:t xml:space="preserve"> </w:t>
      </w:r>
      <w:sdt>
        <w:sdtPr>
          <w:id w:val="-533890318"/>
          <w:citation/>
        </w:sdtPr>
        <w:sdtEndPr/>
        <w:sdtContent>
          <w:r w:rsidR="005D7551">
            <w:fldChar w:fldCharType="begin"/>
          </w:r>
          <w:r w:rsidR="005D7551">
            <w:instrText xml:space="preserve"> CITATION CGF18 \l 3081 </w:instrText>
          </w:r>
          <w:r w:rsidR="005D7551">
            <w:fldChar w:fldCharType="separate"/>
          </w:r>
          <w:r w:rsidR="00D4014E">
            <w:rPr>
              <w:noProof/>
            </w:rPr>
            <w:t>(CGFS 2018)</w:t>
          </w:r>
          <w:r w:rsidR="005D7551">
            <w:fldChar w:fldCharType="end"/>
          </w:r>
        </w:sdtContent>
      </w:sdt>
      <w:r w:rsidR="0020318F">
        <w:t>.</w:t>
      </w:r>
      <w:r w:rsidR="006973CE">
        <w:t xml:space="preserve"> Financial cris</w:t>
      </w:r>
      <w:r w:rsidR="00A90842">
        <w:t>e</w:t>
      </w:r>
      <w:r w:rsidR="006973CE">
        <w:t>s are low frequency</w:t>
      </w:r>
      <w:r w:rsidR="00CC4FFD">
        <w:t xml:space="preserve"> but</w:t>
      </w:r>
      <w:r w:rsidR="006973CE">
        <w:t xml:space="preserve"> very high cost events. </w:t>
      </w:r>
    </w:p>
    <w:p w14:paraId="7E031DEE" w14:textId="28D767D4" w:rsidR="00DA0FF1" w:rsidRDefault="00BB1087" w:rsidP="00D034E9">
      <w:pPr>
        <w:pStyle w:val="BodyText"/>
      </w:pPr>
      <w:r>
        <w:t xml:space="preserve">One circumstance where regulators may weigh competition and stability very directly is where there is a concern that competition may </w:t>
      </w:r>
      <w:r w:rsidR="00D82640">
        <w:t>result</w:t>
      </w:r>
      <w:r>
        <w:t xml:space="preserve"> in i</w:t>
      </w:r>
      <w:r w:rsidR="00DA0FF1">
        <w:t>ncreased lending to non-credit</w:t>
      </w:r>
      <w:r>
        <w:t>worthy customers. This would not be in the long-term interest of consumers</w:t>
      </w:r>
      <w:r w:rsidR="00DA75B8">
        <w:t>, financial institutions or the financial system more broadly</w:t>
      </w:r>
      <w:r>
        <w:t xml:space="preserve">. </w:t>
      </w:r>
      <w:r w:rsidR="00DA0FF1">
        <w:t xml:space="preserve">Such concerns have arisen in the housing market over recent years, compounded by </w:t>
      </w:r>
      <w:r w:rsidR="00DA0FF1">
        <w:lastRenderedPageBreak/>
        <w:t>high levels</w:t>
      </w:r>
      <w:r w:rsidR="00DA75B8">
        <w:t xml:space="preserve"> and growth</w:t>
      </w:r>
      <w:r w:rsidR="00DA0FF1">
        <w:t xml:space="preserve"> of mortgage debt relative to income</w:t>
      </w:r>
      <w:r w:rsidR="006A7FF5">
        <w:t xml:space="preserve"> (which </w:t>
      </w:r>
      <w:r w:rsidR="008363E0">
        <w:t xml:space="preserve">itself </w:t>
      </w:r>
      <w:r w:rsidR="006A7FF5">
        <w:t>indicate</w:t>
      </w:r>
      <w:r w:rsidR="008363E0">
        <w:t>s</w:t>
      </w:r>
      <w:r w:rsidR="006A7FF5">
        <w:t xml:space="preserve"> that </w:t>
      </w:r>
      <w:r w:rsidR="00AE1D87">
        <w:t xml:space="preserve">competition in the mortgage market has been sufficient to ensure that </w:t>
      </w:r>
      <w:r w:rsidR="006A7FF5">
        <w:t xml:space="preserve">households have </w:t>
      </w:r>
      <w:r w:rsidR="008363E0">
        <w:t>not</w:t>
      </w:r>
      <w:r w:rsidR="006A7FF5">
        <w:t xml:space="preserve"> </w:t>
      </w:r>
      <w:r w:rsidR="00AE1D87">
        <w:t xml:space="preserve">been </w:t>
      </w:r>
      <w:r w:rsidR="006A7FF5">
        <w:t>constrained in their access to finance)</w:t>
      </w:r>
      <w:r w:rsidR="00DA0FF1">
        <w:t xml:space="preserve">. </w:t>
      </w:r>
      <w:r w:rsidR="007A0314">
        <w:t xml:space="preserve">This situation provided the backdrop for the regulatory measures taken in 2014 and 2017, which are discussed further in the next section.  </w:t>
      </w:r>
    </w:p>
    <w:p w14:paraId="692A3ED5" w14:textId="1AA2238A" w:rsidR="00D034E9" w:rsidRPr="00BB1087" w:rsidRDefault="00631EEB" w:rsidP="00D034E9">
      <w:pPr>
        <w:pStyle w:val="BodyText"/>
      </w:pPr>
      <w:r w:rsidRPr="00A90842">
        <w:t>It is also important to consider the role that prudential regulation plays in promoting confidence among consumers of financial services and competition among financial institutions. Consumers have little capacity to assess the creditworthiness of individual financial services providers</w:t>
      </w:r>
      <w:r w:rsidR="00CC4FFD">
        <w:t xml:space="preserve"> –</w:t>
      </w:r>
      <w:r w:rsidRPr="00A90842">
        <w:t xml:space="preserve"> a situation that is aggravated by sometimes poor financial literacy and the limited ability (and willingness) of consumers to obtain the necessary information from investment disclosures. </w:t>
      </w:r>
      <w:r w:rsidR="008B5F5F" w:rsidRPr="00A90842">
        <w:t xml:space="preserve">One </w:t>
      </w:r>
      <w:r w:rsidRPr="00A90842">
        <w:t>function</w:t>
      </w:r>
      <w:r w:rsidR="008B5F5F" w:rsidRPr="00A90842">
        <w:t xml:space="preserve"> of prudential regulation is to give </w:t>
      </w:r>
      <w:r w:rsidR="00A90842" w:rsidRPr="00A90842">
        <w:t xml:space="preserve">consumers </w:t>
      </w:r>
      <w:r w:rsidR="008B5F5F" w:rsidRPr="00A90842">
        <w:t xml:space="preserve">a degree of confidence </w:t>
      </w:r>
      <w:r w:rsidR="00A90842" w:rsidRPr="00A90842">
        <w:t xml:space="preserve">in the </w:t>
      </w:r>
      <w:r w:rsidR="00BB1087">
        <w:t>safety</w:t>
      </w:r>
      <w:r w:rsidR="00A90842" w:rsidRPr="00A90842">
        <w:t xml:space="preserve"> of regulated financial institutions</w:t>
      </w:r>
      <w:r w:rsidR="008B5F5F" w:rsidRPr="00A90842">
        <w:t xml:space="preserve">. This is a benefit to consumers </w:t>
      </w:r>
      <w:r w:rsidR="00A90842" w:rsidRPr="00A90842">
        <w:t>that</w:t>
      </w:r>
      <w:r w:rsidR="008B5F5F" w:rsidRPr="00A90842">
        <w:t xml:space="preserve"> should be weighed against the costs of prudential regulation. It also means that regulation </w:t>
      </w:r>
      <w:r w:rsidR="00A97A6B">
        <w:t>that</w:t>
      </w:r>
      <w:r w:rsidR="00A97A6B" w:rsidRPr="00A90842">
        <w:t xml:space="preserve"> </w:t>
      </w:r>
      <w:r w:rsidR="008B5F5F" w:rsidRPr="00A90842">
        <w:t>may seem to constrain competition in lending adds to competition in deposits</w:t>
      </w:r>
      <w:r w:rsidR="00A90842" w:rsidRPr="00A90842">
        <w:t>,</w:t>
      </w:r>
      <w:r w:rsidR="008B5F5F" w:rsidRPr="00A90842">
        <w:t xml:space="preserve"> as consumers can compare deposit interest rates with </w:t>
      </w:r>
      <w:r w:rsidR="00A90842" w:rsidRPr="00A90842">
        <w:t>the</w:t>
      </w:r>
      <w:r w:rsidR="008B5F5F" w:rsidRPr="00A90842">
        <w:t xml:space="preserve"> confidence </w:t>
      </w:r>
      <w:r w:rsidR="00A90842" w:rsidRPr="00A90842">
        <w:t xml:space="preserve">of </w:t>
      </w:r>
      <w:r w:rsidR="008B5F5F" w:rsidRPr="00A90842">
        <w:t xml:space="preserve">knowing they are looking at </w:t>
      </w:r>
      <w:r w:rsidR="00241FF9" w:rsidRPr="00A90842">
        <w:t xml:space="preserve">products </w:t>
      </w:r>
      <w:r w:rsidR="00241FF9">
        <w:t xml:space="preserve">with </w:t>
      </w:r>
      <w:r w:rsidR="008B5F5F" w:rsidRPr="00A90842">
        <w:t>broadly comparable</w:t>
      </w:r>
      <w:r w:rsidR="00241FF9">
        <w:t xml:space="preserve"> risk characteristics</w:t>
      </w:r>
      <w:r w:rsidR="008B5F5F" w:rsidRPr="00A90842">
        <w:t>.</w:t>
      </w:r>
    </w:p>
    <w:p w14:paraId="417AE691" w14:textId="19373EAF" w:rsidR="008C5C09" w:rsidRDefault="00D034E9" w:rsidP="00207D80">
      <w:pPr>
        <w:pStyle w:val="Heading1"/>
      </w:pPr>
      <w:r>
        <w:t>Specific Regulatory Measures</w:t>
      </w:r>
    </w:p>
    <w:p w14:paraId="3BC367F2" w14:textId="727A1041" w:rsidR="00CD53D4" w:rsidRDefault="00D82640" w:rsidP="006A0106">
      <w:pPr>
        <w:jc w:val="both"/>
      </w:pPr>
      <w:r w:rsidRPr="00AA2E96">
        <w:rPr>
          <w:rStyle w:val="BodyTextChar"/>
        </w:rPr>
        <w:t xml:space="preserve">The Draft Report </w:t>
      </w:r>
      <w:r w:rsidR="008363E0">
        <w:rPr>
          <w:rStyle w:val="BodyTextChar"/>
        </w:rPr>
        <w:t>questions aspects</w:t>
      </w:r>
      <w:r w:rsidRPr="00AA2E96">
        <w:rPr>
          <w:rStyle w:val="BodyTextChar"/>
        </w:rPr>
        <w:t xml:space="preserve"> of a number of specific prudential regulation measures, which are discussed further below. </w:t>
      </w:r>
      <w:r w:rsidR="00DA75B8">
        <w:rPr>
          <w:rStyle w:val="BodyTextChar"/>
        </w:rPr>
        <w:t>Subsequent to the release of the Draft Report,</w:t>
      </w:r>
      <w:r w:rsidR="00DA75B8" w:rsidDel="00DA75B8">
        <w:rPr>
          <w:rStyle w:val="BodyTextChar"/>
        </w:rPr>
        <w:t xml:space="preserve"> </w:t>
      </w:r>
      <w:r w:rsidR="00FA39F6">
        <w:rPr>
          <w:rStyle w:val="BodyTextChar"/>
        </w:rPr>
        <w:t xml:space="preserve">APRA has announced </w:t>
      </w:r>
      <w:r w:rsidR="00DA75B8">
        <w:rPr>
          <w:rStyle w:val="BodyTextChar"/>
        </w:rPr>
        <w:t xml:space="preserve">some </w:t>
      </w:r>
      <w:r w:rsidR="00FA39F6">
        <w:rPr>
          <w:rStyle w:val="BodyTextChar"/>
        </w:rPr>
        <w:t>proposals</w:t>
      </w:r>
      <w:r w:rsidR="00DA75B8">
        <w:rPr>
          <w:rStyle w:val="BodyTextChar"/>
        </w:rPr>
        <w:t xml:space="preserve"> (which have been under development for some time) that are</w:t>
      </w:r>
      <w:r w:rsidR="00FA39F6">
        <w:rPr>
          <w:rStyle w:val="BodyTextChar"/>
        </w:rPr>
        <w:t xml:space="preserve"> in line with the Commission’s draft recommendations.</w:t>
      </w:r>
    </w:p>
    <w:p w14:paraId="66FB496E" w14:textId="278C4ACA" w:rsidR="004778A7" w:rsidRDefault="004778A7" w:rsidP="00207D80">
      <w:pPr>
        <w:pStyle w:val="Heading2"/>
      </w:pPr>
      <w:r>
        <w:t xml:space="preserve">Housing </w:t>
      </w:r>
      <w:r w:rsidR="00A97A6B">
        <w:t>market measures</w:t>
      </w:r>
    </w:p>
    <w:p w14:paraId="777C53A1" w14:textId="34C3D491" w:rsidR="00476ABF" w:rsidRDefault="00185802" w:rsidP="00AA2E96">
      <w:pPr>
        <w:pStyle w:val="BodyText"/>
      </w:pPr>
      <w:r>
        <w:t>The</w:t>
      </w:r>
      <w:r w:rsidR="004778A7">
        <w:t xml:space="preserve"> </w:t>
      </w:r>
      <w:r w:rsidR="00101C53">
        <w:t xml:space="preserve">Draft Report </w:t>
      </w:r>
      <w:r w:rsidR="008363E0">
        <w:t xml:space="preserve">is critical of </w:t>
      </w:r>
      <w:r w:rsidR="00101C53">
        <w:t xml:space="preserve">the housing market measures adopted by APRA </w:t>
      </w:r>
      <w:r w:rsidR="00043BFF">
        <w:t xml:space="preserve">and </w:t>
      </w:r>
      <w:r w:rsidR="00043BFF" w:rsidRPr="00147337">
        <w:t xml:space="preserve">supported by the CFR </w:t>
      </w:r>
      <w:r w:rsidR="00101C53" w:rsidRPr="00147337">
        <w:t>in 2014 and 2017</w:t>
      </w:r>
      <w:r w:rsidR="008363E0">
        <w:t xml:space="preserve">, suggesting that they were </w:t>
      </w:r>
      <w:r w:rsidR="00D7356B">
        <w:t xml:space="preserve">detrimental </w:t>
      </w:r>
      <w:r w:rsidR="008363E0">
        <w:t>to</w:t>
      </w:r>
      <w:r w:rsidR="00D7356B">
        <w:t xml:space="preserve"> competition</w:t>
      </w:r>
      <w:r w:rsidR="00903EA3">
        <w:t xml:space="preserve"> </w:t>
      </w:r>
      <w:sdt>
        <w:sdtPr>
          <w:id w:val="1337034425"/>
          <w:citation/>
        </w:sdtPr>
        <w:sdtEndPr/>
        <w:sdtContent>
          <w:r w:rsidR="00AA58DD">
            <w:fldChar w:fldCharType="begin"/>
          </w:r>
          <w:r w:rsidR="00AA58DD">
            <w:instrText xml:space="preserve">CITATION PC18 \p 20 \l 3081 </w:instrText>
          </w:r>
          <w:r w:rsidR="00AA58DD">
            <w:fldChar w:fldCharType="separate"/>
          </w:r>
          <w:r w:rsidR="00D4014E">
            <w:rPr>
              <w:noProof/>
            </w:rPr>
            <w:t>(PC 2018, p 20)</w:t>
          </w:r>
          <w:r w:rsidR="00AA58DD">
            <w:fldChar w:fldCharType="end"/>
          </w:r>
        </w:sdtContent>
      </w:sdt>
      <w:r w:rsidR="00101C53" w:rsidRPr="00147337">
        <w:t xml:space="preserve">. </w:t>
      </w:r>
      <w:r w:rsidR="00101C53">
        <w:t xml:space="preserve">The Bank </w:t>
      </w:r>
      <w:r w:rsidR="008363E0">
        <w:t>remains supportive of these measures</w:t>
      </w:r>
      <w:r w:rsidR="00AC070A">
        <w:t xml:space="preserve">. </w:t>
      </w:r>
      <w:r w:rsidR="00E239B7">
        <w:t>We note that</w:t>
      </w:r>
      <w:r w:rsidR="00AC070A">
        <w:t xml:space="preserve"> the</w:t>
      </w:r>
      <w:r>
        <w:t xml:space="preserve"> need to balance competition and stability</w:t>
      </w:r>
      <w:r w:rsidR="00B0643F">
        <w:t xml:space="preserve"> was a relevant consideration in the formulation of</w:t>
      </w:r>
      <w:r w:rsidR="00476ABF">
        <w:t xml:space="preserve"> these policies</w:t>
      </w:r>
      <w:r w:rsidR="00EF6F41">
        <w:t>,</w:t>
      </w:r>
      <w:r w:rsidR="00476ABF">
        <w:t xml:space="preserve"> and </w:t>
      </w:r>
      <w:r w:rsidR="00B0643F">
        <w:t xml:space="preserve">the </w:t>
      </w:r>
      <w:r w:rsidR="000014E2">
        <w:t>financial sector</w:t>
      </w:r>
      <w:r w:rsidR="00B0643F">
        <w:t xml:space="preserve"> agencies continue to consider and monitor the</w:t>
      </w:r>
      <w:r w:rsidR="00476ABF">
        <w:t>ir</w:t>
      </w:r>
      <w:r w:rsidR="00B0643F">
        <w:t xml:space="preserve"> effects. </w:t>
      </w:r>
      <w:r w:rsidR="00890182">
        <w:t xml:space="preserve">This includes input from the Australian Treasury, which has a broad mandate over financial sector issues, including on competition. </w:t>
      </w:r>
    </w:p>
    <w:p w14:paraId="78DB079C" w14:textId="6E668B52" w:rsidR="000014E2" w:rsidRDefault="00890182" w:rsidP="00AA2E96">
      <w:pPr>
        <w:pStyle w:val="BodyText"/>
      </w:pPr>
      <w:r>
        <w:t>The Bank’s view is that</w:t>
      </w:r>
      <w:r w:rsidR="00476ABF">
        <w:t xml:space="preserve"> </w:t>
      </w:r>
      <w:r>
        <w:t xml:space="preserve">the </w:t>
      </w:r>
      <w:r w:rsidR="006F05F9" w:rsidRPr="00E578D5">
        <w:t>10</w:t>
      </w:r>
      <w:r w:rsidR="006F05F9">
        <w:t> </w:t>
      </w:r>
      <w:r w:rsidR="006F05F9" w:rsidRPr="00E578D5">
        <w:t>per cent benchmark growth</w:t>
      </w:r>
      <w:r w:rsidR="006F05F9">
        <w:t xml:space="preserve"> rate </w:t>
      </w:r>
      <w:r w:rsidR="0044047F">
        <w:t xml:space="preserve">for </w:t>
      </w:r>
      <w:r w:rsidR="006F05F9">
        <w:t>investor lending and the</w:t>
      </w:r>
      <w:r w:rsidR="006F05F9" w:rsidRPr="00E578D5">
        <w:t xml:space="preserve"> 30</w:t>
      </w:r>
      <w:r w:rsidR="006F05F9">
        <w:t> </w:t>
      </w:r>
      <w:r w:rsidR="006F05F9" w:rsidRPr="00E578D5">
        <w:t xml:space="preserve">per cent cap on the flow of new interest-only </w:t>
      </w:r>
      <w:r w:rsidR="00B006C4">
        <w:t xml:space="preserve">(IO) </w:t>
      </w:r>
      <w:r w:rsidR="006F05F9" w:rsidRPr="00E578D5">
        <w:t>loans</w:t>
      </w:r>
      <w:r w:rsidR="006F05F9" w:rsidRPr="00392F06">
        <w:t xml:space="preserve"> </w:t>
      </w:r>
      <w:r w:rsidR="00185802">
        <w:t xml:space="preserve">were warranted by </w:t>
      </w:r>
      <w:r w:rsidR="006F05F9">
        <w:t xml:space="preserve">the </w:t>
      </w:r>
      <w:r w:rsidR="00185802">
        <w:t xml:space="preserve">evolving </w:t>
      </w:r>
      <w:proofErr w:type="spellStart"/>
      <w:r w:rsidR="00185802">
        <w:t>macrofinancial</w:t>
      </w:r>
      <w:proofErr w:type="spellEnd"/>
      <w:r w:rsidR="00185802">
        <w:t xml:space="preserve"> </w:t>
      </w:r>
      <w:r w:rsidR="000A1E5B">
        <w:t xml:space="preserve">risks to stability </w:t>
      </w:r>
      <w:r w:rsidR="00DF1F7D">
        <w:t>at the time</w:t>
      </w:r>
      <w:r w:rsidR="006F05F9">
        <w:t>.</w:t>
      </w:r>
      <w:r w:rsidR="00DF1F7D">
        <w:t xml:space="preserve"> </w:t>
      </w:r>
      <w:r w:rsidR="0044047F">
        <w:t>The</w:t>
      </w:r>
      <w:r w:rsidR="009D1CE4">
        <w:t xml:space="preserve"> interventions </w:t>
      </w:r>
      <w:r w:rsidR="0044651D">
        <w:t>occurred whe</w:t>
      </w:r>
      <w:r w:rsidR="000014E2">
        <w:t>n</w:t>
      </w:r>
      <w:r w:rsidR="0044651D">
        <w:t xml:space="preserve"> household debt was rising significantly faster than income, </w:t>
      </w:r>
      <w:r w:rsidR="00987652">
        <w:t>with</w:t>
      </w:r>
      <w:r w:rsidR="000014E2">
        <w:t xml:space="preserve"> evidence of loose lending standards in some</w:t>
      </w:r>
      <w:r w:rsidR="0044651D">
        <w:t xml:space="preserve"> risk</w:t>
      </w:r>
      <w:r w:rsidR="000014E2">
        <w:t>ier</w:t>
      </w:r>
      <w:r w:rsidR="0044651D">
        <w:t xml:space="preserve"> segments of the market. </w:t>
      </w:r>
      <w:r w:rsidR="000014E2">
        <w:t xml:space="preserve">Competition among lenders for market share </w:t>
      </w:r>
      <w:r w:rsidR="00147337">
        <w:t xml:space="preserve">through the </w:t>
      </w:r>
      <w:r w:rsidR="00150923">
        <w:t>easing</w:t>
      </w:r>
      <w:r w:rsidR="000014E2">
        <w:t xml:space="preserve"> </w:t>
      </w:r>
      <w:r w:rsidR="00147337">
        <w:t xml:space="preserve">of </w:t>
      </w:r>
      <w:r w:rsidR="000014E2">
        <w:t>lending standards can lead to undesirable outcomes</w:t>
      </w:r>
      <w:r w:rsidR="00EF6F41">
        <w:t>, both for consumers and the financial system as a whole,</w:t>
      </w:r>
      <w:r w:rsidR="005272EF">
        <w:t xml:space="preserve"> if it increases lending to non-creditworthy customers. There is some evidence of this</w:t>
      </w:r>
      <w:r w:rsidR="00476ABF">
        <w:t xml:space="preserve"> occurring</w:t>
      </w:r>
      <w:r w:rsidR="005272EF">
        <w:t xml:space="preserve"> in recent years.</w:t>
      </w:r>
    </w:p>
    <w:p w14:paraId="79BDE9F2" w14:textId="4DB57E91" w:rsidR="00F32F82" w:rsidRPr="00AA58DD" w:rsidRDefault="0044651D" w:rsidP="00AA2E96">
      <w:pPr>
        <w:pStyle w:val="BodyText"/>
        <w:rPr>
          <w:spacing w:val="-3"/>
        </w:rPr>
      </w:pPr>
      <w:r w:rsidRPr="00AA58DD">
        <w:rPr>
          <w:spacing w:val="-3"/>
        </w:rPr>
        <w:t xml:space="preserve">The restrictions on investor and </w:t>
      </w:r>
      <w:r w:rsidR="00B006C4" w:rsidRPr="00AA58DD">
        <w:rPr>
          <w:spacing w:val="-3"/>
        </w:rPr>
        <w:t xml:space="preserve">IO </w:t>
      </w:r>
      <w:r w:rsidRPr="00AA58DD">
        <w:rPr>
          <w:spacing w:val="-3"/>
        </w:rPr>
        <w:t xml:space="preserve">lending </w:t>
      </w:r>
      <w:r w:rsidR="00F32F82" w:rsidRPr="00AA58DD">
        <w:rPr>
          <w:spacing w:val="-3"/>
        </w:rPr>
        <w:t xml:space="preserve">were targeted to contain these key sources of systemic risk without constraining households’ access to credit more broadly. </w:t>
      </w:r>
      <w:r w:rsidR="00AC070A" w:rsidRPr="00AA58DD">
        <w:rPr>
          <w:spacing w:val="-3"/>
        </w:rPr>
        <w:t>Moreover,</w:t>
      </w:r>
      <w:r w:rsidR="00F32F82" w:rsidRPr="00AA58DD">
        <w:rPr>
          <w:spacing w:val="-3"/>
        </w:rPr>
        <w:t xml:space="preserve"> the speed with which these measures were implemented </w:t>
      </w:r>
      <w:r w:rsidR="00AC070A" w:rsidRPr="00AA58DD">
        <w:rPr>
          <w:spacing w:val="-3"/>
        </w:rPr>
        <w:t>reflected</w:t>
      </w:r>
      <w:r w:rsidR="00476ABF" w:rsidRPr="00AA58DD">
        <w:rPr>
          <w:spacing w:val="-3"/>
        </w:rPr>
        <w:t xml:space="preserve"> the</w:t>
      </w:r>
      <w:r w:rsidR="00F32F82" w:rsidRPr="00AA58DD">
        <w:rPr>
          <w:spacing w:val="-3"/>
        </w:rPr>
        <w:t xml:space="preserve"> scale</w:t>
      </w:r>
      <w:r w:rsidR="00AC070A" w:rsidRPr="00AA58DD">
        <w:rPr>
          <w:spacing w:val="-3"/>
        </w:rPr>
        <w:t xml:space="preserve"> of</w:t>
      </w:r>
      <w:r w:rsidR="00147337" w:rsidRPr="00AA58DD">
        <w:rPr>
          <w:spacing w:val="-3"/>
        </w:rPr>
        <w:t>,</w:t>
      </w:r>
      <w:r w:rsidR="00AC070A" w:rsidRPr="00AA58DD">
        <w:rPr>
          <w:spacing w:val="-3"/>
        </w:rPr>
        <w:t xml:space="preserve"> and rate of increase in</w:t>
      </w:r>
      <w:r w:rsidR="00147337" w:rsidRPr="00AA58DD">
        <w:rPr>
          <w:spacing w:val="-3"/>
        </w:rPr>
        <w:t>,</w:t>
      </w:r>
      <w:r w:rsidR="00F32F82" w:rsidRPr="00AA58DD">
        <w:rPr>
          <w:spacing w:val="-3"/>
        </w:rPr>
        <w:t xml:space="preserve"> the potential risks at th</w:t>
      </w:r>
      <w:r w:rsidR="00987652" w:rsidRPr="00AA58DD">
        <w:rPr>
          <w:spacing w:val="-3"/>
        </w:rPr>
        <w:t xml:space="preserve">e time. </w:t>
      </w:r>
    </w:p>
    <w:p w14:paraId="7F8FC543" w14:textId="00BB3CDB" w:rsidR="00A5496E" w:rsidRDefault="00BE370D" w:rsidP="00AA2E96">
      <w:pPr>
        <w:pStyle w:val="BodyText"/>
      </w:pPr>
      <w:r>
        <w:t>The Draft Report is critical of the means by which the objectives of these policies were achieved</w:t>
      </w:r>
      <w:r w:rsidR="00C47CEA">
        <w:t xml:space="preserve">, including </w:t>
      </w:r>
      <w:r w:rsidR="0065225C" w:rsidRPr="0065225C">
        <w:t>the banks’ response to the measures by APRA</w:t>
      </w:r>
      <w:r w:rsidR="00C034AF" w:rsidRPr="00C034AF">
        <w:t xml:space="preserve"> </w:t>
      </w:r>
      <w:sdt>
        <w:sdtPr>
          <w:id w:val="794107241"/>
          <w:citation/>
        </w:sdtPr>
        <w:sdtEndPr/>
        <w:sdtContent>
          <w:r w:rsidR="00C034AF">
            <w:fldChar w:fldCharType="begin"/>
          </w:r>
          <w:r w:rsidR="00C034AF">
            <w:instrText xml:space="preserve">CITATION PC18 \p 168-173 \l 3081 </w:instrText>
          </w:r>
          <w:r w:rsidR="00C034AF">
            <w:fldChar w:fldCharType="separate"/>
          </w:r>
          <w:r w:rsidR="00D4014E">
            <w:rPr>
              <w:noProof/>
            </w:rPr>
            <w:t>(PC 2018, pp 168–173)</w:t>
          </w:r>
          <w:r w:rsidR="00C034AF">
            <w:fldChar w:fldCharType="end"/>
          </w:r>
        </w:sdtContent>
      </w:sdt>
      <w:r>
        <w:t xml:space="preserve">. </w:t>
      </w:r>
      <w:r w:rsidR="007A3204">
        <w:t xml:space="preserve">The Bank’s view is that it </w:t>
      </w:r>
      <w:r w:rsidR="005F34A9">
        <w:t xml:space="preserve">was </w:t>
      </w:r>
      <w:r w:rsidR="007A3204">
        <w:t>appropriate for APRA to</w:t>
      </w:r>
      <w:r w:rsidR="00E533F9">
        <w:t xml:space="preserve"> have</w:t>
      </w:r>
      <w:r w:rsidR="007A3204">
        <w:t xml:space="preserve"> allow</w:t>
      </w:r>
      <w:r w:rsidR="00E533F9">
        <w:t>ed</w:t>
      </w:r>
      <w:r w:rsidR="007A3204">
        <w:t xml:space="preserve"> individual banks to determine the most </w:t>
      </w:r>
      <w:r w:rsidR="00890AE6">
        <w:t xml:space="preserve">effective </w:t>
      </w:r>
      <w:r w:rsidR="007A3204">
        <w:t xml:space="preserve">way to implement the measures. </w:t>
      </w:r>
      <w:r w:rsidR="00BD74FB">
        <w:t xml:space="preserve">APRA’s </w:t>
      </w:r>
      <w:r w:rsidR="00A4644B">
        <w:t>measures were targeted at new lending</w:t>
      </w:r>
      <w:r w:rsidR="007D5464">
        <w:t xml:space="preserve"> </w:t>
      </w:r>
      <w:r w:rsidR="009507FA">
        <w:t>only. B</w:t>
      </w:r>
      <w:r w:rsidR="007D5464">
        <w:t xml:space="preserve">anks </w:t>
      </w:r>
      <w:r w:rsidR="009507FA">
        <w:t xml:space="preserve">individually </w:t>
      </w:r>
      <w:r w:rsidR="005F34A9">
        <w:t xml:space="preserve">took the decision to </w:t>
      </w:r>
      <w:r w:rsidR="007D5464">
        <w:t xml:space="preserve">also reprice their ‘back books’. </w:t>
      </w:r>
      <w:r w:rsidR="005F34A9">
        <w:t>T</w:t>
      </w:r>
      <w:r w:rsidR="005F34A9" w:rsidRPr="00D21586">
        <w:t xml:space="preserve">his should be seen as a commercial </w:t>
      </w:r>
      <w:r w:rsidR="005F34A9">
        <w:t>decision</w:t>
      </w:r>
      <w:r w:rsidR="005F34A9" w:rsidRPr="00D21586">
        <w:t xml:space="preserve"> by </w:t>
      </w:r>
      <w:r w:rsidR="009507FA">
        <w:t>each</w:t>
      </w:r>
      <w:r w:rsidR="005F34A9">
        <w:t xml:space="preserve"> </w:t>
      </w:r>
      <w:r w:rsidR="005F34A9" w:rsidRPr="00D21586">
        <w:t>bank</w:t>
      </w:r>
      <w:r w:rsidR="005F34A9">
        <w:t xml:space="preserve"> rather than a direct consequence of regulation</w:t>
      </w:r>
      <w:r w:rsidR="005F34A9" w:rsidRPr="00D21586">
        <w:t>.</w:t>
      </w:r>
    </w:p>
    <w:p w14:paraId="060A7320" w14:textId="252AA750" w:rsidR="00605235" w:rsidRDefault="00830BBE" w:rsidP="008B0E6E">
      <w:pPr>
        <w:pStyle w:val="BodyText"/>
      </w:pPr>
      <w:r>
        <w:lastRenderedPageBreak/>
        <w:t>T</w:t>
      </w:r>
      <w:r w:rsidR="00FA6897">
        <w:t xml:space="preserve">he </w:t>
      </w:r>
      <w:r w:rsidR="00605235">
        <w:t>Draft Report</w:t>
      </w:r>
      <w:r w:rsidDel="00093647">
        <w:t xml:space="preserve"> </w:t>
      </w:r>
      <w:r w:rsidR="00BE370D">
        <w:t xml:space="preserve">suggests that these interventions could have been made through a tightening of lending standards for certain institutions, </w:t>
      </w:r>
      <w:r w:rsidR="00605235">
        <w:t>rather than on an</w:t>
      </w:r>
      <w:r w:rsidR="00BE370D">
        <w:t xml:space="preserve"> industry-wide</w:t>
      </w:r>
      <w:r w:rsidR="00605235">
        <w:t xml:space="preserve"> basis</w:t>
      </w:r>
      <w:r w:rsidR="00BE370D">
        <w:t>.</w:t>
      </w:r>
      <w:r w:rsidR="00605235">
        <w:t xml:space="preserve"> However, the Bank notes that – by definition – the purpose of </w:t>
      </w:r>
      <w:proofErr w:type="spellStart"/>
      <w:r w:rsidR="00605235">
        <w:t>macroprudential</w:t>
      </w:r>
      <w:proofErr w:type="spellEnd"/>
      <w:r w:rsidR="00605235">
        <w:t xml:space="preserve"> regulation is to impose stricter prudential standards than are warranted based on the risks posed by individual ADIs, recognising that there can be situations where the risks to the system are greater than the sum of risks to each individual entity. </w:t>
      </w:r>
    </w:p>
    <w:p w14:paraId="64F2162B" w14:textId="77777777" w:rsidR="009B3B24" w:rsidRDefault="009B3B24" w:rsidP="00207D80">
      <w:pPr>
        <w:pStyle w:val="Heading2"/>
      </w:pPr>
      <w:r>
        <w:t>Risk weight framework</w:t>
      </w:r>
    </w:p>
    <w:p w14:paraId="364952C1" w14:textId="77777777" w:rsidR="009B3B24" w:rsidRDefault="009B3B24" w:rsidP="00C157A9">
      <w:pPr>
        <w:pStyle w:val="Heading3"/>
      </w:pPr>
      <w:r w:rsidRPr="00C157A9">
        <w:t>Residential</w:t>
      </w:r>
      <w:r>
        <w:t xml:space="preserve"> </w:t>
      </w:r>
      <w:r w:rsidRPr="003A5F81">
        <w:t>mortgage</w:t>
      </w:r>
      <w:r>
        <w:t xml:space="preserve"> lending</w:t>
      </w:r>
    </w:p>
    <w:p w14:paraId="35F87581" w14:textId="2DA3813E" w:rsidR="009B3B24" w:rsidRPr="00771E21" w:rsidRDefault="009B3B24" w:rsidP="009B212D">
      <w:pPr>
        <w:pStyle w:val="BodyText"/>
        <w:rPr>
          <w:spacing w:val="-1"/>
        </w:rPr>
      </w:pPr>
      <w:r w:rsidRPr="00771E21">
        <w:rPr>
          <w:spacing w:val="-1"/>
        </w:rPr>
        <w:t xml:space="preserve">The </w:t>
      </w:r>
      <w:r w:rsidR="00C529D1" w:rsidRPr="00771E21">
        <w:rPr>
          <w:spacing w:val="-1"/>
        </w:rPr>
        <w:t xml:space="preserve">Bank </w:t>
      </w:r>
      <w:r w:rsidRPr="00771E21">
        <w:rPr>
          <w:spacing w:val="-1"/>
        </w:rPr>
        <w:t xml:space="preserve">supports </w:t>
      </w:r>
      <w:r w:rsidR="004410B2" w:rsidRPr="00771E21">
        <w:rPr>
          <w:spacing w:val="-1"/>
        </w:rPr>
        <w:t xml:space="preserve">the Commission’s </w:t>
      </w:r>
      <w:r w:rsidR="00795819" w:rsidRPr="00771E21">
        <w:rPr>
          <w:spacing w:val="-1"/>
        </w:rPr>
        <w:t xml:space="preserve">draft </w:t>
      </w:r>
      <w:r w:rsidR="004410B2" w:rsidRPr="00771E21">
        <w:rPr>
          <w:spacing w:val="-1"/>
        </w:rPr>
        <w:t xml:space="preserve">recommendation </w:t>
      </w:r>
      <w:r w:rsidRPr="00771E21">
        <w:rPr>
          <w:spacing w:val="-1"/>
        </w:rPr>
        <w:t xml:space="preserve">to make risk weights under the </w:t>
      </w:r>
      <w:r w:rsidR="00134E76" w:rsidRPr="00771E21">
        <w:rPr>
          <w:spacing w:val="-1"/>
        </w:rPr>
        <w:t>SA</w:t>
      </w:r>
      <w:r w:rsidRPr="00771E21">
        <w:rPr>
          <w:spacing w:val="-1"/>
        </w:rPr>
        <w:t xml:space="preserve"> more sensitive to risk</w:t>
      </w:r>
      <w:r w:rsidR="00C034AF" w:rsidRPr="00771E21">
        <w:rPr>
          <w:spacing w:val="-1"/>
        </w:rPr>
        <w:t xml:space="preserve"> (draft recommendation</w:t>
      </w:r>
      <w:r w:rsidR="008974AE" w:rsidRPr="00771E21">
        <w:rPr>
          <w:spacing w:val="-1"/>
        </w:rPr>
        <w:t>s</w:t>
      </w:r>
      <w:r w:rsidR="00C034AF" w:rsidRPr="00771E21">
        <w:rPr>
          <w:spacing w:val="-1"/>
        </w:rPr>
        <w:t xml:space="preserve"> 9.1</w:t>
      </w:r>
      <w:r w:rsidR="008974AE" w:rsidRPr="00771E21">
        <w:rPr>
          <w:spacing w:val="-1"/>
        </w:rPr>
        <w:t xml:space="preserve"> and 16.1</w:t>
      </w:r>
      <w:r w:rsidR="00C034AF" w:rsidRPr="00771E21">
        <w:rPr>
          <w:spacing w:val="-1"/>
        </w:rPr>
        <w:t>)</w:t>
      </w:r>
      <w:r w:rsidRPr="00771E21">
        <w:rPr>
          <w:spacing w:val="-1"/>
        </w:rPr>
        <w:t>. APRA has historically allowed more variation in risk weights under the SA than was contained in Basel standards, and its recently proposed changes to the capital framework will increase this sensitivity</w:t>
      </w:r>
      <w:sdt>
        <w:sdtPr>
          <w:rPr>
            <w:spacing w:val="-1"/>
          </w:rPr>
          <w:id w:val="-1581213167"/>
          <w:citation/>
        </w:sdtPr>
        <w:sdtEndPr/>
        <w:sdtContent>
          <w:r w:rsidR="00A23CBE" w:rsidRPr="00771E21">
            <w:rPr>
              <w:spacing w:val="-1"/>
            </w:rPr>
            <w:fldChar w:fldCharType="begin"/>
          </w:r>
          <w:r w:rsidR="00A23CBE" w:rsidRPr="00771E21">
            <w:rPr>
              <w:spacing w:val="-1"/>
            </w:rPr>
            <w:instrText xml:space="preserve"> CITATION APR18 \l 3081 </w:instrText>
          </w:r>
          <w:r w:rsidR="00A23CBE" w:rsidRPr="00771E21">
            <w:rPr>
              <w:spacing w:val="-1"/>
            </w:rPr>
            <w:fldChar w:fldCharType="separate"/>
          </w:r>
          <w:r w:rsidR="00D4014E">
            <w:rPr>
              <w:noProof/>
              <w:spacing w:val="-1"/>
            </w:rPr>
            <w:t xml:space="preserve"> </w:t>
          </w:r>
          <w:r w:rsidR="00D4014E" w:rsidRPr="00D4014E">
            <w:rPr>
              <w:noProof/>
              <w:spacing w:val="-1"/>
            </w:rPr>
            <w:t>(APRA 2018)</w:t>
          </w:r>
          <w:r w:rsidR="00A23CBE" w:rsidRPr="00771E21">
            <w:rPr>
              <w:spacing w:val="-1"/>
            </w:rPr>
            <w:fldChar w:fldCharType="end"/>
          </w:r>
        </w:sdtContent>
      </w:sdt>
      <w:r w:rsidRPr="00771E21">
        <w:rPr>
          <w:spacing w:val="-1"/>
        </w:rPr>
        <w:t xml:space="preserve">. In particular, APRA is proposing </w:t>
      </w:r>
      <w:r w:rsidR="000B6E13" w:rsidRPr="00771E21">
        <w:rPr>
          <w:spacing w:val="-1"/>
        </w:rPr>
        <w:t xml:space="preserve">reductions in </w:t>
      </w:r>
      <w:r w:rsidRPr="00771E21">
        <w:rPr>
          <w:spacing w:val="-1"/>
        </w:rPr>
        <w:t>risk weight</w:t>
      </w:r>
      <w:r w:rsidR="000B6E13" w:rsidRPr="00771E21">
        <w:rPr>
          <w:spacing w:val="-1"/>
        </w:rPr>
        <w:t>s</w:t>
      </w:r>
      <w:r w:rsidRPr="00771E21">
        <w:rPr>
          <w:spacing w:val="-1"/>
        </w:rPr>
        <w:t xml:space="preserve"> for owner-occupier </w:t>
      </w:r>
      <w:r w:rsidR="00134E76" w:rsidRPr="00771E21">
        <w:rPr>
          <w:spacing w:val="-1"/>
        </w:rPr>
        <w:t>principal</w:t>
      </w:r>
      <w:r w:rsidR="008974AE" w:rsidRPr="00771E21">
        <w:rPr>
          <w:spacing w:val="-1"/>
        </w:rPr>
        <w:t>-</w:t>
      </w:r>
      <w:r w:rsidR="00134E76" w:rsidRPr="00771E21">
        <w:rPr>
          <w:spacing w:val="-1"/>
        </w:rPr>
        <w:t>and</w:t>
      </w:r>
      <w:r w:rsidR="008974AE" w:rsidRPr="00771E21">
        <w:rPr>
          <w:spacing w:val="-1"/>
        </w:rPr>
        <w:t>-</w:t>
      </w:r>
      <w:r w:rsidR="00134E76" w:rsidRPr="00771E21">
        <w:rPr>
          <w:spacing w:val="-1"/>
        </w:rPr>
        <w:t xml:space="preserve">interest </w:t>
      </w:r>
      <w:r w:rsidRPr="00771E21">
        <w:rPr>
          <w:spacing w:val="-1"/>
        </w:rPr>
        <w:t>loans with a</w:t>
      </w:r>
      <w:r w:rsidR="000B6E13" w:rsidRPr="00771E21">
        <w:rPr>
          <w:spacing w:val="-1"/>
        </w:rPr>
        <w:t xml:space="preserve"> loan-to-value ratio (</w:t>
      </w:r>
      <w:r w:rsidRPr="00771E21">
        <w:rPr>
          <w:spacing w:val="-1"/>
        </w:rPr>
        <w:t>LVR</w:t>
      </w:r>
      <w:r w:rsidR="000B6E13" w:rsidRPr="00771E21">
        <w:rPr>
          <w:spacing w:val="-1"/>
        </w:rPr>
        <w:t>)</w:t>
      </w:r>
      <w:r w:rsidRPr="00771E21">
        <w:rPr>
          <w:spacing w:val="-1"/>
        </w:rPr>
        <w:t xml:space="preserve"> of 80 per cent or less</w:t>
      </w:r>
      <w:r w:rsidR="000B6E13" w:rsidRPr="00771E21">
        <w:rPr>
          <w:spacing w:val="-1"/>
        </w:rPr>
        <w:t>,</w:t>
      </w:r>
      <w:r w:rsidRPr="00771E21">
        <w:rPr>
          <w:spacing w:val="-1"/>
        </w:rPr>
        <w:t xml:space="preserve"> and for all other residential mortgages with an LVR of less than 60 per cent.</w:t>
      </w:r>
    </w:p>
    <w:p w14:paraId="66E407A5" w14:textId="77777777" w:rsidR="009B3B24" w:rsidRDefault="009B3B24" w:rsidP="00C157A9">
      <w:pPr>
        <w:pStyle w:val="Heading3"/>
        <w:ind w:left="463"/>
      </w:pPr>
      <w:r w:rsidRPr="003A5F81">
        <w:t>Warehouse</w:t>
      </w:r>
      <w:r>
        <w:t xml:space="preserve"> funding </w:t>
      </w:r>
    </w:p>
    <w:p w14:paraId="550627EC" w14:textId="10A742C2" w:rsidR="009B3B24" w:rsidRDefault="009B3B24" w:rsidP="00AE3951">
      <w:pPr>
        <w:pStyle w:val="BodyText"/>
      </w:pPr>
      <w:r>
        <w:t xml:space="preserve">The Commission </w:t>
      </w:r>
      <w:r w:rsidR="00765C6E">
        <w:t>recommend</w:t>
      </w:r>
      <w:r w:rsidR="00C157A9">
        <w:t xml:space="preserve">s </w:t>
      </w:r>
      <w:r>
        <w:t>exclud</w:t>
      </w:r>
      <w:r w:rsidR="00C157A9">
        <w:t>ing</w:t>
      </w:r>
      <w:r>
        <w:t xml:space="preserve"> warehouse loans to non-ADIs from </w:t>
      </w:r>
      <w:r w:rsidR="00765C6E">
        <w:t xml:space="preserve">the scope of </w:t>
      </w:r>
      <w:r w:rsidR="00134E76">
        <w:t xml:space="preserve">Prudential Standard </w:t>
      </w:r>
      <w:r>
        <w:t>APS 120</w:t>
      </w:r>
      <w:r w:rsidR="008974AE">
        <w:t xml:space="preserve"> (draft recommendation 7.1)</w:t>
      </w:r>
      <w:r>
        <w:t xml:space="preserve">. The </w:t>
      </w:r>
      <w:r w:rsidR="00C157A9">
        <w:t xml:space="preserve">Bank </w:t>
      </w:r>
      <w:r w:rsidR="005D1BD7">
        <w:t>does not support</w:t>
      </w:r>
      <w:r>
        <w:t xml:space="preserve"> this recommendation as </w:t>
      </w:r>
      <w:r w:rsidR="001A1684">
        <w:t xml:space="preserve">it </w:t>
      </w:r>
      <w:r w:rsidR="00A966C1">
        <w:t>opens the possibility</w:t>
      </w:r>
      <w:r>
        <w:t xml:space="preserve"> of regulatory arbitrage</w:t>
      </w:r>
      <w:r w:rsidR="0043148C">
        <w:t xml:space="preserve"> by treating </w:t>
      </w:r>
      <w:r w:rsidR="00134E76">
        <w:t xml:space="preserve">loans of </w:t>
      </w:r>
      <w:r w:rsidR="0043148C">
        <w:t xml:space="preserve">identical risk differently depending on who the ultimate lender </w:t>
      </w:r>
      <w:r w:rsidR="00134E76">
        <w:t>is</w:t>
      </w:r>
      <w:r w:rsidR="0043148C">
        <w:t>. In doing so</w:t>
      </w:r>
      <w:r w:rsidR="00FC39CD">
        <w:t>,</w:t>
      </w:r>
      <w:r w:rsidR="0043148C">
        <w:t xml:space="preserve"> it</w:t>
      </w:r>
      <w:r w:rsidR="00A24C6B">
        <w:t xml:space="preserve"> focuses on a relatively small component of non-ADI funding costs</w:t>
      </w:r>
      <w:r w:rsidR="0043148C">
        <w:t xml:space="preserve"> when</w:t>
      </w:r>
      <w:r w:rsidR="00FC39CD">
        <w:t>,</w:t>
      </w:r>
      <w:r w:rsidR="0043148C">
        <w:t xml:space="preserve"> in fact</w:t>
      </w:r>
      <w:r w:rsidR="00FC39CD">
        <w:t>,</w:t>
      </w:r>
      <w:r w:rsidR="00A24C6B">
        <w:t xml:space="preserve"> t</w:t>
      </w:r>
      <w:r w:rsidR="00CD2C93">
        <w:t>he principal disadvantage of</w:t>
      </w:r>
      <w:r w:rsidR="006764F2">
        <w:t xml:space="preserve"> </w:t>
      </w:r>
      <w:r w:rsidR="00CD2C93">
        <w:t>non-ADI lenders is the relative cost of</w:t>
      </w:r>
      <w:r w:rsidR="006764F2">
        <w:t xml:space="preserve"> </w:t>
      </w:r>
      <w:r w:rsidR="00134E76">
        <w:t>residential mortgage-backed security (</w:t>
      </w:r>
      <w:r w:rsidR="006764F2">
        <w:t>RMBS</w:t>
      </w:r>
      <w:r w:rsidR="00134E76">
        <w:t>)</w:t>
      </w:r>
      <w:r w:rsidR="006764F2">
        <w:t xml:space="preserve"> funding.</w:t>
      </w:r>
    </w:p>
    <w:p w14:paraId="439054C4" w14:textId="79CBB123" w:rsidR="00765C6E" w:rsidRDefault="009B3B24" w:rsidP="00AE3951">
      <w:pPr>
        <w:pStyle w:val="BodyText"/>
      </w:pPr>
      <w:r>
        <w:t xml:space="preserve">The intention of the capital framework contained within APS 120, as with all of APRA’s capital standards, is to ensure that banks hold capital that is commensurate to the risk </w:t>
      </w:r>
      <w:r w:rsidR="00FC39CD">
        <w:t xml:space="preserve">to which </w:t>
      </w:r>
      <w:r>
        <w:t>they are exposed. When providing warehouse funding, that risk is largely determined by the quality of the loans contained in the warehouse pool, and APS 120 treats those exposures as if the bank had written them itself and retained them on-balance</w:t>
      </w:r>
      <w:r w:rsidR="00145361">
        <w:t>-</w:t>
      </w:r>
      <w:r>
        <w:t xml:space="preserve">sheet. </w:t>
      </w:r>
      <w:r w:rsidR="001A1684">
        <w:t>T</w:t>
      </w:r>
      <w:r w:rsidR="00A966C1">
        <w:t>he Bank does not see this as</w:t>
      </w:r>
      <w:r w:rsidR="00765C6E">
        <w:t xml:space="preserve"> </w:t>
      </w:r>
      <w:r w:rsidR="00A764C8">
        <w:t xml:space="preserve">imposing </w:t>
      </w:r>
      <w:r w:rsidR="00765C6E">
        <w:t xml:space="preserve">the risk weight regime on non-ADIs, </w:t>
      </w:r>
      <w:r w:rsidR="00DF7486">
        <w:t>since non-ADIs are not required to hold any capital against their loans. A more appropriate characterisation is to say that the cost of warehouse funding rises with the riskiness of that lenders’ portfolio.</w:t>
      </w:r>
    </w:p>
    <w:p w14:paraId="6836608C" w14:textId="16C0A7DD" w:rsidR="009B3B24" w:rsidRPr="00F41F9D" w:rsidRDefault="009B3B24" w:rsidP="00AE3951">
      <w:pPr>
        <w:pStyle w:val="BodyText"/>
        <w:rPr>
          <w:spacing w:val="-2"/>
        </w:rPr>
      </w:pPr>
      <w:r w:rsidRPr="00F41F9D">
        <w:rPr>
          <w:spacing w:val="-2"/>
        </w:rPr>
        <w:t xml:space="preserve">The Commission’s proposal would mean banks hold less capital against loans they have not originated than those they have, despite having less visibility and control over the lending standards applied to those loans. This would re-create an opportunity for regulatory arbitrage that APRA’s revised standards sought to correct. While that may </w:t>
      </w:r>
      <w:r w:rsidR="0087088F" w:rsidRPr="00F41F9D">
        <w:rPr>
          <w:spacing w:val="-2"/>
        </w:rPr>
        <w:t xml:space="preserve">improve </w:t>
      </w:r>
      <w:r w:rsidRPr="00F41F9D">
        <w:rPr>
          <w:spacing w:val="-2"/>
        </w:rPr>
        <w:t xml:space="preserve">the competitive position of non-ADIs, the </w:t>
      </w:r>
      <w:r w:rsidR="00DA370B" w:rsidRPr="00F41F9D">
        <w:rPr>
          <w:spacing w:val="-2"/>
        </w:rPr>
        <w:t xml:space="preserve">Bank </w:t>
      </w:r>
      <w:r w:rsidRPr="00F41F9D">
        <w:rPr>
          <w:spacing w:val="-2"/>
        </w:rPr>
        <w:t xml:space="preserve">believes that a competitive advantage </w:t>
      </w:r>
      <w:r w:rsidR="00A966C1" w:rsidRPr="00F41F9D">
        <w:rPr>
          <w:spacing w:val="-2"/>
        </w:rPr>
        <w:t>derived in this way</w:t>
      </w:r>
      <w:r w:rsidRPr="00F41F9D">
        <w:rPr>
          <w:spacing w:val="-2"/>
        </w:rPr>
        <w:t xml:space="preserve"> is not a sustainable or desirable business model.</w:t>
      </w:r>
    </w:p>
    <w:p w14:paraId="1AD3FC74" w14:textId="1E7C9B3A" w:rsidR="009431CA" w:rsidRPr="0048239C" w:rsidRDefault="00A24C6B" w:rsidP="00AE3951">
      <w:pPr>
        <w:pStyle w:val="BodyText"/>
      </w:pPr>
      <w:r>
        <w:t>It should be noted</w:t>
      </w:r>
      <w:r w:rsidR="009431CA">
        <w:t xml:space="preserve"> that the cost of warehouse funding is not the main constraint on non-ADIs’ ability to compete. Warehouse funding is required to build up a pool of loans of sufficient size </w:t>
      </w:r>
      <w:r w:rsidR="00A764C8">
        <w:t xml:space="preserve">to </w:t>
      </w:r>
      <w:r w:rsidR="009431CA">
        <w:t xml:space="preserve">securitise, but this typically happens </w:t>
      </w:r>
      <w:r w:rsidR="009431CA" w:rsidRPr="00FF0DBA">
        <w:t>within a year or so. In contrast, the weighted</w:t>
      </w:r>
      <w:r w:rsidR="002F2EA3">
        <w:t>-</w:t>
      </w:r>
      <w:r w:rsidR="009431CA" w:rsidRPr="00FF0DBA">
        <w:t xml:space="preserve">average life of RMBS </w:t>
      </w:r>
      <w:r w:rsidR="0087088F" w:rsidRPr="00FF0DBA">
        <w:t xml:space="preserve">is </w:t>
      </w:r>
      <w:r w:rsidR="009431CA" w:rsidRPr="00FF0DBA">
        <w:t xml:space="preserve">around </w:t>
      </w:r>
      <w:r w:rsidR="00182EB9">
        <w:t>three to four</w:t>
      </w:r>
      <w:r w:rsidR="009431CA" w:rsidRPr="00FF0DBA">
        <w:t xml:space="preserve"> years, implying that warehouse funding accounts for only </w:t>
      </w:r>
      <w:r w:rsidR="00182EB9">
        <w:t>one-fifth</w:t>
      </w:r>
      <w:r w:rsidR="009431CA" w:rsidRPr="00FF0DBA">
        <w:t xml:space="preserve"> of the total funding needed by non-ADIs when writing loans. The</w:t>
      </w:r>
      <w:r w:rsidR="009431CA">
        <w:t xml:space="preserve"> cost of financing via RMBS markets has declined notably over the past two years, but it remains more expensive than the cost of senior unsecured bonds issued by banks and well above the cost of deposit funding. This appear</w:t>
      </w:r>
      <w:r>
        <w:t>s</w:t>
      </w:r>
      <w:r w:rsidR="009431CA">
        <w:t xml:space="preserve"> to be a </w:t>
      </w:r>
      <w:r>
        <w:t xml:space="preserve">more important </w:t>
      </w:r>
      <w:r w:rsidR="00996A12">
        <w:t xml:space="preserve">cause of </w:t>
      </w:r>
      <w:r>
        <w:t xml:space="preserve">the much higher </w:t>
      </w:r>
      <w:r w:rsidR="009431CA">
        <w:t xml:space="preserve">funding </w:t>
      </w:r>
      <w:r w:rsidR="00996A12">
        <w:t xml:space="preserve">costs </w:t>
      </w:r>
      <w:r>
        <w:t>faced by</w:t>
      </w:r>
      <w:r w:rsidR="009431CA">
        <w:t xml:space="preserve"> non-ADIs </w:t>
      </w:r>
      <w:r w:rsidR="00182EB9">
        <w:t>relative</w:t>
      </w:r>
      <w:r>
        <w:t xml:space="preserve"> </w:t>
      </w:r>
      <w:r w:rsidR="00182EB9">
        <w:t>to</w:t>
      </w:r>
      <w:r w:rsidR="00996A12">
        <w:t xml:space="preserve"> banks.</w:t>
      </w:r>
    </w:p>
    <w:p w14:paraId="5FD48F99" w14:textId="793E9E84" w:rsidR="008C5C09" w:rsidRDefault="008C5C09" w:rsidP="00207D80">
      <w:pPr>
        <w:pStyle w:val="Heading1"/>
      </w:pPr>
      <w:r>
        <w:lastRenderedPageBreak/>
        <w:t xml:space="preserve">Retail Payments </w:t>
      </w:r>
    </w:p>
    <w:p w14:paraId="092AAA26" w14:textId="6CF30D0D" w:rsidR="00890C8C" w:rsidRDefault="00890C8C" w:rsidP="00890C8C">
      <w:pPr>
        <w:pStyle w:val="BodyText"/>
      </w:pPr>
      <w:r>
        <w:t xml:space="preserve">The Reserve Bank welcomes the Commission’s assessment of the extent and nature of competition in the payments system. The Commission’s assessment echoes much of the analysis done by the Bank in the two decades since the creation of the Payments System Board (PSB) with a mandate for promoting competition and efficiency and for controlling risk. The Bank strongly agrees that even small improvements to competition in retail payments can produce material improvements in outcomes for consumers. The Bank appreciates the </w:t>
      </w:r>
      <w:r w:rsidR="00E81C63">
        <w:t xml:space="preserve">Draft Report’s </w:t>
      </w:r>
      <w:r>
        <w:t xml:space="preserve">support of the regulatory actions of the </w:t>
      </w:r>
      <w:r w:rsidR="003D62CC">
        <w:t>PSB</w:t>
      </w:r>
      <w:r>
        <w:t xml:space="preserve"> over the past 15 years and the recognition of their positive effects on competition and efficiency. In relation to the specific </w:t>
      </w:r>
      <w:r w:rsidR="003D62CC">
        <w:t>findings and</w:t>
      </w:r>
      <w:r>
        <w:t xml:space="preserve"> recommendations of the </w:t>
      </w:r>
      <w:r w:rsidR="003D62CC">
        <w:t>D</w:t>
      </w:r>
      <w:r>
        <w:t xml:space="preserve">raft </w:t>
      </w:r>
      <w:r w:rsidR="003D62CC">
        <w:t>R</w:t>
      </w:r>
      <w:r>
        <w:t>eport, the Bank would like to offer the following comments.</w:t>
      </w:r>
    </w:p>
    <w:p w14:paraId="44CE1B97" w14:textId="77777777" w:rsidR="00890C8C" w:rsidRPr="00BD3B95" w:rsidRDefault="00890C8C" w:rsidP="00207D80">
      <w:pPr>
        <w:pStyle w:val="Heading2"/>
      </w:pPr>
      <w:r w:rsidRPr="00BD3B95">
        <w:t>Regulation of Purchased Payment Facilities</w:t>
      </w:r>
      <w:r>
        <w:t xml:space="preserve"> (PPFs)</w:t>
      </w:r>
    </w:p>
    <w:p w14:paraId="32055B01" w14:textId="7B6363AD" w:rsidR="00890C8C" w:rsidRDefault="00890C8C" w:rsidP="00890C8C">
      <w:pPr>
        <w:pStyle w:val="BodyText"/>
      </w:pPr>
      <w:r>
        <w:t xml:space="preserve">The Bank agrees with the Commission that the regulatory regime for PPFs is complex and potentially confusing, although it is not clear that it has been a material barrier to the growth of PPFs to date. While the Commission’s recommendations </w:t>
      </w:r>
      <w:r w:rsidR="00DD33D4">
        <w:t xml:space="preserve">on this issue </w:t>
      </w:r>
      <w:r>
        <w:t>are directed at APRA</w:t>
      </w:r>
      <w:r w:rsidR="00FB7AD2">
        <w:t xml:space="preserve"> (draft recommendation</w:t>
      </w:r>
      <w:r w:rsidR="006A0639">
        <w:t> </w:t>
      </w:r>
      <w:r w:rsidR="00FB7AD2">
        <w:t>10.1)</w:t>
      </w:r>
      <w:r>
        <w:t xml:space="preserve">, the current framework also entails a role for the Bank in the authorisation and supervision of some types of PPFs. The Bank agrees that a review of the regulation of PPFs would be desirable and that a tiered prudential regime is likely to be appropriate. The Bank has begun work with APRA, ASIC and the Treasury on this issue. It is likely that this work will also include a number of other ‘regulatory perimeter’ issues such as access to payment systems by non-ADIs (including tech companies) and a clarification of the ability to regulate </w:t>
      </w:r>
      <w:proofErr w:type="spellStart"/>
      <w:r>
        <w:t>cryptocurrency</w:t>
      </w:r>
      <w:proofErr w:type="spellEnd"/>
      <w:r>
        <w:t xml:space="preserve"> systems. Experience from other jurisdictions suggests that a broad project such as this will require significant consultation with stakeholders, including to ensure some future-proofing of the regulatory framework.</w:t>
      </w:r>
    </w:p>
    <w:p w14:paraId="12810577" w14:textId="77777777" w:rsidR="00890C8C" w:rsidRDefault="00890C8C" w:rsidP="00207D80">
      <w:pPr>
        <w:pStyle w:val="Heading2"/>
      </w:pPr>
      <w:r>
        <w:t>Ban on i</w:t>
      </w:r>
      <w:r w:rsidRPr="00BD3B95">
        <w:t>nterchange fees</w:t>
      </w:r>
    </w:p>
    <w:p w14:paraId="7ABB605F" w14:textId="2540409F" w:rsidR="00890C8C" w:rsidRDefault="00890C8C" w:rsidP="00890C8C">
      <w:pPr>
        <w:pStyle w:val="BodyText"/>
      </w:pPr>
      <w:r>
        <w:t>The Bank agrees with much of the Commission’s analysis regarding the role of interchange fees in mature payment card systems</w:t>
      </w:r>
      <w:sdt>
        <w:sdtPr>
          <w:id w:val="-797834413"/>
          <w:citation/>
        </w:sdtPr>
        <w:sdtEndPr/>
        <w:sdtContent>
          <w:r w:rsidR="00FB7AD2">
            <w:fldChar w:fldCharType="begin"/>
          </w:r>
          <w:r w:rsidR="00FB7AD2">
            <w:instrText xml:space="preserve">CITATION PC18 \p 297-299 \l 3081 </w:instrText>
          </w:r>
          <w:r w:rsidR="00FB7AD2">
            <w:fldChar w:fldCharType="separate"/>
          </w:r>
          <w:r w:rsidR="00D4014E">
            <w:rPr>
              <w:noProof/>
            </w:rPr>
            <w:t xml:space="preserve"> (PC 2018, pp 297–299)</w:t>
          </w:r>
          <w:r w:rsidR="00FB7AD2">
            <w:fldChar w:fldCharType="end"/>
          </w:r>
        </w:sdtContent>
      </w:sdt>
      <w:r>
        <w:t>. As the Bank has noted previously, interchange fees are used by card systems to incentivise banks to issue cards and card holders to use them, with the international experience being that competition between unregulated card systems has the effect of driving up interchange fees. The results are higher payment costs for merchants, which are eventually passed on to consumers, as well as a reduction in efficiency if consumers are incentivised to use payment methods that have higher resource costs.</w:t>
      </w:r>
    </w:p>
    <w:p w14:paraId="016D1AEB" w14:textId="26AB84DF" w:rsidR="00890C8C" w:rsidRDefault="00890C8C" w:rsidP="00890C8C">
      <w:pPr>
        <w:pStyle w:val="BodyText"/>
      </w:pPr>
      <w:r>
        <w:t>Australia was the first jurisdiction to regulate interchange fees. The Bank’s reforms starting in 2003 have introduced benchmarks to cap weighted-average interchange fees, with these benchmarks currently at 50 basis points for credit cards and 8 cents per transaction for debit cards. The reforms also required the international schemes to remove some restrictive rules on merchants, such as their honour-all-cards and no-surcharge rules. The Bank’s reforms have been followed by sim</w:t>
      </w:r>
      <w:r w:rsidR="00E81C63">
        <w:t>i</w:t>
      </w:r>
      <w:r>
        <w:t>lar reforms in other jurisdictions, most notably the European Union. The Bank welcomes the Commission’s assessment that the Bank’s reforms have improved competitive outcomes, bringing down merchant service fees and reducing the incentives to use higher</w:t>
      </w:r>
      <w:r w:rsidR="00182EB9">
        <w:t>-</w:t>
      </w:r>
      <w:r>
        <w:t xml:space="preserve">cost payment methods. </w:t>
      </w:r>
    </w:p>
    <w:p w14:paraId="51AE6D55" w14:textId="34F56352" w:rsidR="00890C8C" w:rsidRDefault="00890C8C" w:rsidP="00890C8C">
      <w:pPr>
        <w:pStyle w:val="BodyText"/>
      </w:pPr>
      <w:r>
        <w:t xml:space="preserve">The Commission has made a draft recommendation that the Bank should introduce a ban on interchange fees by </w:t>
      </w:r>
      <w:proofErr w:type="spellStart"/>
      <w:r>
        <w:t>mid</w:t>
      </w:r>
      <w:r w:rsidR="00AE0A98">
        <w:t xml:space="preserve"> </w:t>
      </w:r>
      <w:r>
        <w:t>2019</w:t>
      </w:r>
      <w:proofErr w:type="spellEnd"/>
      <w:r w:rsidR="00344AB6">
        <w:t xml:space="preserve"> (draft recommendation 10.3)</w:t>
      </w:r>
      <w:r>
        <w:t xml:space="preserve">. The Bank notes, however, that the current regulations on interchange fees were announced in May 2016 following a detailed review of card payments regulation that engaged with a wide range of stakeholders. That review stated the </w:t>
      </w:r>
      <w:r>
        <w:lastRenderedPageBreak/>
        <w:t>Bank’s view that there appears to be little justification for significant interchange in mature card systems and noted that lower interchange rates would have a number of benefits. However, the Bank decided against setting benchmarks below 50 basis points and 8 cents after considering a number of factors. These factors include the risks of significant effects on the competitive balance between three- and four-party credit card schemes or of a significant increase in circumvention efforts.</w:t>
      </w:r>
      <w:r>
        <w:rPr>
          <w:rStyle w:val="FootnoteReference"/>
        </w:rPr>
        <w:footnoteReference w:id="3"/>
      </w:r>
      <w:r>
        <w:t xml:space="preserve"> The PSB noted that it would continue to monitor the regulatory framework but that it hoped that the regulatory framework resulting from the review would not need to be revisited for some time. </w:t>
      </w:r>
    </w:p>
    <w:p w14:paraId="2BA5260E" w14:textId="4D2A6396" w:rsidR="00890C8C" w:rsidRDefault="00890C8C" w:rsidP="00890C8C">
      <w:pPr>
        <w:pStyle w:val="BodyText"/>
      </w:pPr>
      <w:r>
        <w:t>With some changes to the interchange regulation only having taken effect in July 2017, the Bank considers it appropriate to take some time before conducting a further review of the regulatory framework. The Bank notes that merchant service fees in Australia are already significantly lower than in many other jurisdictions; for example, overall average merchant service fees are around half the levels observed in the United States (</w:t>
      </w:r>
      <w:r>
        <w:fldChar w:fldCharType="begin"/>
      </w:r>
      <w:r>
        <w:instrText xml:space="preserve"> REF _Ref507506229 \h </w:instrText>
      </w:r>
      <w:r>
        <w:fldChar w:fldCharType="separate"/>
      </w:r>
      <w:r w:rsidR="00347FEC">
        <w:t>Graph </w:t>
      </w:r>
      <w:r w:rsidR="00347FEC">
        <w:rPr>
          <w:noProof/>
        </w:rPr>
        <w:t>1</w:t>
      </w:r>
      <w:r>
        <w:fldChar w:fldCharType="end"/>
      </w:r>
      <w:r>
        <w:t xml:space="preserve">). The Bank notes also that no jurisdiction has gone as far as banning interchange fees in card systems. Accordingly, the Bank proposes to consider the Commission’s draft recommendation, along with other relevant proposals, when it next reviews the regulatory framework. </w:t>
      </w:r>
    </w:p>
    <w:p w14:paraId="79B1B3A9" w14:textId="14F93144" w:rsidR="00890C8C" w:rsidRDefault="00890C8C" w:rsidP="00890C8C">
      <w:pPr>
        <w:pStyle w:val="GraphTitle"/>
      </w:pPr>
      <w:bookmarkStart w:id="1" w:name="_Ref507506229"/>
      <w:r>
        <w:t>Graph </w:t>
      </w:r>
      <w:fldSimple w:instr=" SEQ Graph \* ARABIC \* MERGEFORMAT ">
        <w:r w:rsidR="00347FEC">
          <w:rPr>
            <w:noProof/>
          </w:rPr>
          <w:t>1</w:t>
        </w:r>
      </w:fldSimple>
      <w:bookmarkEnd w:id="1"/>
    </w:p>
    <w:p w14:paraId="31464CA9" w14:textId="77777777" w:rsidR="00890C8C" w:rsidRDefault="00890C8C" w:rsidP="00890C8C">
      <w:pPr>
        <w:pStyle w:val="BodyText"/>
        <w:jc w:val="center"/>
      </w:pPr>
      <w:r>
        <w:rPr>
          <w:noProof/>
        </w:rPr>
        <w:drawing>
          <wp:inline distT="0" distB="0" distL="0" distR="0" wp14:anchorId="2CF04B6C" wp14:editId="20A03943">
            <wp:extent cx="2880000" cy="222022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chant Service Fees.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000" cy="2220220"/>
                    </a:xfrm>
                    <a:prstGeom prst="rect">
                      <a:avLst/>
                    </a:prstGeom>
                  </pic:spPr>
                </pic:pic>
              </a:graphicData>
            </a:graphic>
          </wp:inline>
        </w:drawing>
      </w:r>
    </w:p>
    <w:p w14:paraId="70F7C961" w14:textId="6240F6D5" w:rsidR="00890C8C" w:rsidRPr="00FA6B2F" w:rsidRDefault="00890C8C" w:rsidP="00207D80">
      <w:pPr>
        <w:pStyle w:val="Heading2"/>
      </w:pPr>
      <w:r w:rsidRPr="00FA6B2F">
        <w:t xml:space="preserve">Merchant </w:t>
      </w:r>
      <w:r w:rsidR="00A903AD">
        <w:t>c</w:t>
      </w:r>
      <w:r w:rsidR="00A903AD" w:rsidRPr="00FA6B2F">
        <w:t xml:space="preserve">hoice </w:t>
      </w:r>
      <w:r w:rsidRPr="00FA6B2F">
        <w:t xml:space="preserve">of </w:t>
      </w:r>
      <w:r w:rsidR="00A903AD">
        <w:t>d</w:t>
      </w:r>
      <w:r w:rsidR="00A903AD" w:rsidRPr="00FA6B2F">
        <w:t xml:space="preserve">efault </w:t>
      </w:r>
      <w:r w:rsidR="00A903AD">
        <w:t>n</w:t>
      </w:r>
      <w:r w:rsidR="00A903AD" w:rsidRPr="00FA6B2F">
        <w:t xml:space="preserve">etwork </w:t>
      </w:r>
      <w:r w:rsidR="00A903AD">
        <w:t>r</w:t>
      </w:r>
      <w:r w:rsidR="00A903AD" w:rsidRPr="00FA6B2F">
        <w:t>outing</w:t>
      </w:r>
    </w:p>
    <w:p w14:paraId="6CF59435" w14:textId="427E00AA" w:rsidR="00890C8C" w:rsidRPr="00FA6B2F" w:rsidRDefault="00890C8C" w:rsidP="00890C8C">
      <w:pPr>
        <w:pStyle w:val="ListBullet"/>
        <w:numPr>
          <w:ilvl w:val="0"/>
          <w:numId w:val="0"/>
        </w:numPr>
      </w:pPr>
      <w:r w:rsidRPr="00FA6B2F">
        <w:t xml:space="preserve">The Bank </w:t>
      </w:r>
      <w:r>
        <w:t xml:space="preserve">agrees with </w:t>
      </w:r>
      <w:r w:rsidRPr="00FA6B2F">
        <w:t xml:space="preserve">the Commission’s </w:t>
      </w:r>
      <w:r w:rsidR="00AB2820">
        <w:t xml:space="preserve">draft </w:t>
      </w:r>
      <w:r w:rsidRPr="00FA6B2F">
        <w:t>recommendation that merchants should be provided with the ability to determine the default network for contactless transactions using dual-network cards</w:t>
      </w:r>
      <w:r w:rsidR="00616CFF">
        <w:t xml:space="preserve"> (draft recommendation 10.4)</w:t>
      </w:r>
      <w:r w:rsidRPr="00FA6B2F">
        <w:t>. Th</w:t>
      </w:r>
      <w:r w:rsidR="00616CFF">
        <w:t xml:space="preserve">is </w:t>
      </w:r>
      <w:r w:rsidRPr="00FA6B2F">
        <w:t>recommendation adds to a significant number of voices (including merchant groups and the House of Representatives Standing Committee on Economics) calling for the industry to provide least-cost routing to merchants. Th</w:t>
      </w:r>
      <w:r>
        <w:t>e Bank appreciates that this</w:t>
      </w:r>
      <w:r w:rsidRPr="00FA6B2F">
        <w:t xml:space="preserve"> </w:t>
      </w:r>
      <w:r w:rsidR="00AB2820">
        <w:t xml:space="preserve">draft </w:t>
      </w:r>
      <w:r w:rsidRPr="00FA6B2F">
        <w:t>recommendation help</w:t>
      </w:r>
      <w:r>
        <w:t>s</w:t>
      </w:r>
      <w:r w:rsidRPr="00FA6B2F">
        <w:t xml:space="preserve"> </w:t>
      </w:r>
      <w:r>
        <w:t>build momentum for</w:t>
      </w:r>
      <w:r w:rsidRPr="00FA6B2F">
        <w:t xml:space="preserve"> the industry to provide this capability.</w:t>
      </w:r>
    </w:p>
    <w:p w14:paraId="2443ACC4" w14:textId="1F6DFB1D" w:rsidR="00890C8C" w:rsidRDefault="00890C8C" w:rsidP="00890C8C">
      <w:pPr>
        <w:pStyle w:val="ListBullet"/>
        <w:numPr>
          <w:ilvl w:val="0"/>
          <w:numId w:val="0"/>
        </w:numPr>
      </w:pPr>
      <w:r w:rsidRPr="00FA6B2F">
        <w:t>The provision of least-cost routing is a priority for the PSB</w:t>
      </w:r>
      <w:r w:rsidR="00616CFF">
        <w:t>,</w:t>
      </w:r>
      <w:r w:rsidRPr="00FA6B2F">
        <w:t xml:space="preserve"> and the Bank has been actively engaging with the industry to encourage it. The PSB is currently monitoring the industry’s progress in providing least-cost routing and has indicated that it will consider the case for regulation if adequate progress is </w:t>
      </w:r>
      <w:r w:rsidRPr="00FA6B2F">
        <w:lastRenderedPageBreak/>
        <w:t xml:space="preserve">not forthcoming. After its February meeting, the PSB indicated that it </w:t>
      </w:r>
      <w:r w:rsidRPr="00FA6B2F">
        <w:rPr>
          <w:lang w:val="en"/>
        </w:rPr>
        <w:t>expects to make a decision at its May meeting as to whether the market is providing this functionality or if the Bank should issue a draft standard for consultation.</w:t>
      </w:r>
    </w:p>
    <w:p w14:paraId="5347AA40" w14:textId="483AFEB7" w:rsidR="00890C8C" w:rsidRPr="00407EB6" w:rsidRDefault="00890C8C" w:rsidP="00207D80">
      <w:pPr>
        <w:pStyle w:val="Heading2"/>
      </w:pPr>
      <w:r w:rsidRPr="00407EB6">
        <w:t>Access Regime for the New Payments Platform</w:t>
      </w:r>
      <w:r w:rsidR="00AE0A98">
        <w:t xml:space="preserve"> (NPP)</w:t>
      </w:r>
    </w:p>
    <w:p w14:paraId="7F5B4B4A" w14:textId="1C6518BE" w:rsidR="00890C8C" w:rsidRPr="00407EB6" w:rsidRDefault="00890C8C" w:rsidP="00890C8C">
      <w:pPr>
        <w:pStyle w:val="ListBullet"/>
        <w:numPr>
          <w:ilvl w:val="0"/>
          <w:numId w:val="0"/>
        </w:numPr>
      </w:pPr>
      <w:r>
        <w:t>The Bank welcomes the Commission’s support for the NPP</w:t>
      </w:r>
      <w:r w:rsidR="00116705">
        <w:t xml:space="preserve"> – which </w:t>
      </w:r>
      <w:r w:rsidR="00610176">
        <w:t>was launched</w:t>
      </w:r>
      <w:r w:rsidR="00116705">
        <w:t xml:space="preserve"> in February 2018 –</w:t>
      </w:r>
      <w:r>
        <w:t xml:space="preserve"> and agrees that access to the NPP should not be restrictive. The Bank is aware of the possibility of </w:t>
      </w:r>
      <w:r w:rsidRPr="00407EB6">
        <w:t>access issues emerg</w:t>
      </w:r>
      <w:r>
        <w:t>ing</w:t>
      </w:r>
      <w:r w:rsidRPr="00407EB6">
        <w:t xml:space="preserve"> given the role of incumbent banks on the </w:t>
      </w:r>
      <w:r w:rsidR="00BB5CEA" w:rsidRPr="00BB5CEA">
        <w:t>NPP Australia Limited</w:t>
      </w:r>
      <w:r w:rsidR="00BB5CEA">
        <w:t xml:space="preserve"> (</w:t>
      </w:r>
      <w:r w:rsidRPr="00407EB6">
        <w:t>NPPA</w:t>
      </w:r>
      <w:r w:rsidR="00BB5CEA">
        <w:t>)</w:t>
      </w:r>
      <w:r w:rsidRPr="00407EB6">
        <w:t xml:space="preserve"> Board.</w:t>
      </w:r>
      <w:r>
        <w:t xml:space="preserve"> Since the start of the </w:t>
      </w:r>
      <w:r w:rsidR="00116705">
        <w:t xml:space="preserve">project to design and build the </w:t>
      </w:r>
      <w:r>
        <w:t xml:space="preserve">NPP, the Bank has made it clear to member banks that it expected the system to be access-friendly and has worked to ensure </w:t>
      </w:r>
      <w:r w:rsidR="00AE0A98">
        <w:t xml:space="preserve">that </w:t>
      </w:r>
      <w:r>
        <w:t xml:space="preserve">this is reflected in the rules of the system. The Bank’s </w:t>
      </w:r>
      <w:r w:rsidRPr="00407EB6">
        <w:t xml:space="preserve">appointed director on the NPPA Board has </w:t>
      </w:r>
      <w:r>
        <w:t xml:space="preserve">noted this </w:t>
      </w:r>
      <w:r w:rsidRPr="00407EB6">
        <w:t>p</w:t>
      </w:r>
      <w:r>
        <w:t>osition</w:t>
      </w:r>
      <w:r w:rsidRPr="00407EB6">
        <w:t xml:space="preserve"> and</w:t>
      </w:r>
      <w:r>
        <w:t>, if needed,</w:t>
      </w:r>
      <w:r w:rsidRPr="00407EB6">
        <w:t xml:space="preserve"> will </w:t>
      </w:r>
      <w:r>
        <w:t xml:space="preserve">communicate </w:t>
      </w:r>
      <w:r w:rsidRPr="00407EB6">
        <w:t xml:space="preserve">any </w:t>
      </w:r>
      <w:r>
        <w:t xml:space="preserve">future </w:t>
      </w:r>
      <w:r w:rsidRPr="00407EB6">
        <w:t>access concerns of the Bank.</w:t>
      </w:r>
    </w:p>
    <w:p w14:paraId="6C644141" w14:textId="21869ED3" w:rsidR="00890C8C" w:rsidRDefault="00890C8C" w:rsidP="00890C8C">
      <w:pPr>
        <w:pStyle w:val="BodyText"/>
      </w:pPr>
      <w:r>
        <w:t xml:space="preserve">As the </w:t>
      </w:r>
      <w:r w:rsidR="00A903AD">
        <w:t xml:space="preserve">Draft Report </w:t>
      </w:r>
      <w:r>
        <w:t>notes, there are a range of options for ADIs and other entities wishing to access the NPP</w:t>
      </w:r>
      <w:r w:rsidR="00A903AD">
        <w:t xml:space="preserve"> that</w:t>
      </w:r>
      <w:r>
        <w:t xml:space="preserve"> involve different levels of functionality and cost</w:t>
      </w:r>
      <w:sdt>
        <w:sdtPr>
          <w:id w:val="-567109189"/>
          <w:citation/>
        </w:sdtPr>
        <w:sdtEndPr/>
        <w:sdtContent>
          <w:r w:rsidR="000B10A6">
            <w:fldChar w:fldCharType="begin"/>
          </w:r>
          <w:r w:rsidR="000B10A6">
            <w:instrText xml:space="preserve">CITATION PC18 \p 307-308 \l 3081 </w:instrText>
          </w:r>
          <w:r w:rsidR="000B10A6">
            <w:fldChar w:fldCharType="separate"/>
          </w:r>
          <w:r w:rsidR="00D4014E">
            <w:rPr>
              <w:noProof/>
            </w:rPr>
            <w:t xml:space="preserve"> (PC 2018, pp 307–308)</w:t>
          </w:r>
          <w:r w:rsidR="000B10A6">
            <w:fldChar w:fldCharType="end"/>
          </w:r>
        </w:sdtContent>
      </w:sdt>
      <w:r>
        <w:t>. The Bank considers that it is appropriate to allow this system to mature and</w:t>
      </w:r>
      <w:r w:rsidRPr="00EA2AE4">
        <w:t xml:space="preserve"> </w:t>
      </w:r>
      <w:r>
        <w:t xml:space="preserve">assess if there are </w:t>
      </w:r>
      <w:r w:rsidRPr="00407EB6">
        <w:t xml:space="preserve">genuine access </w:t>
      </w:r>
      <w:r>
        <w:t>difficulties</w:t>
      </w:r>
      <w:r w:rsidRPr="00145733">
        <w:t xml:space="preserve"> </w:t>
      </w:r>
      <w:r>
        <w:t xml:space="preserve">once new players submit concrete proposals for entry. </w:t>
      </w:r>
      <w:r w:rsidRPr="00407EB6">
        <w:t xml:space="preserve">At that point, if there are </w:t>
      </w:r>
      <w:r>
        <w:t xml:space="preserve">material </w:t>
      </w:r>
      <w:r w:rsidRPr="00407EB6">
        <w:t xml:space="preserve">access and public interest issues, the Bank </w:t>
      </w:r>
      <w:r>
        <w:t>would</w:t>
      </w:r>
      <w:r w:rsidRPr="00407EB6">
        <w:t xml:space="preserve"> consider designating the NPP and imposing an access regime.</w:t>
      </w:r>
      <w:r>
        <w:t xml:space="preserve"> This approach is consistent with the requirement of the </w:t>
      </w:r>
      <w:r>
        <w:rPr>
          <w:i/>
          <w:iCs/>
        </w:rPr>
        <w:t>Payment Systems (Regulation) Act 1998</w:t>
      </w:r>
      <w:r>
        <w:t xml:space="preserve"> that the PSB must explicitly consider the public interest before taking such steps, as opposed to situations – for example, in parts of the telecommunication industry – where legislation requires the regulator to impose an access regime.</w:t>
      </w:r>
    </w:p>
    <w:p w14:paraId="5D283FB1" w14:textId="11CF2B79" w:rsidR="00890C8C" w:rsidRPr="00407EB6" w:rsidRDefault="00890C8C" w:rsidP="00207D80">
      <w:pPr>
        <w:pStyle w:val="Heading2"/>
      </w:pPr>
      <w:r w:rsidRPr="00407EB6">
        <w:t xml:space="preserve">Facilitating </w:t>
      </w:r>
      <w:r w:rsidR="00A903AD">
        <w:t>c</w:t>
      </w:r>
      <w:r w:rsidR="00A903AD" w:rsidRPr="00407EB6">
        <w:t xml:space="preserve">ustomer </w:t>
      </w:r>
      <w:r w:rsidR="00A903AD">
        <w:t>s</w:t>
      </w:r>
      <w:r w:rsidR="00A903AD" w:rsidRPr="00407EB6">
        <w:t xml:space="preserve">witching </w:t>
      </w:r>
      <w:r w:rsidRPr="00407EB6">
        <w:t>through the NPP</w:t>
      </w:r>
    </w:p>
    <w:p w14:paraId="6C20447C" w14:textId="0BB41589" w:rsidR="00890C8C" w:rsidRPr="00771E21" w:rsidRDefault="00890C8C" w:rsidP="00890C8C">
      <w:pPr>
        <w:pStyle w:val="BodyText"/>
        <w:rPr>
          <w:spacing w:val="-1"/>
          <w:u w:val="single"/>
        </w:rPr>
      </w:pPr>
      <w:r w:rsidRPr="001D7679">
        <w:t xml:space="preserve">The Bank shares the Commission’s view that the NPP’s addressing service, </w:t>
      </w:r>
      <w:proofErr w:type="spellStart"/>
      <w:r w:rsidRPr="001D7679">
        <w:t>PayID</w:t>
      </w:r>
      <w:proofErr w:type="spellEnd"/>
      <w:r w:rsidRPr="001D7679">
        <w:t>, has the potential to</w:t>
      </w:r>
      <w:r w:rsidRPr="001D7679">
        <w:rPr>
          <w:spacing w:val="2"/>
        </w:rPr>
        <w:t xml:space="preserve"> improve competition by making it easier for customers to switch financial institutions or products</w:t>
      </w:r>
      <w:sdt>
        <w:sdtPr>
          <w:id w:val="1970169928"/>
          <w:citation/>
        </w:sdtPr>
        <w:sdtEndPr/>
        <w:sdtContent>
          <w:r w:rsidR="001D7679" w:rsidRPr="001D7679">
            <w:rPr>
              <w:spacing w:val="2"/>
            </w:rPr>
            <w:fldChar w:fldCharType="begin"/>
          </w:r>
          <w:r w:rsidR="001D7679" w:rsidRPr="001D7679">
            <w:rPr>
              <w:spacing w:val="2"/>
            </w:rPr>
            <w:instrText xml:space="preserve">CITATION PC18 \p 311-312 \l 3081 </w:instrText>
          </w:r>
          <w:r w:rsidR="001D7679" w:rsidRPr="001D7679">
            <w:rPr>
              <w:spacing w:val="2"/>
            </w:rPr>
            <w:fldChar w:fldCharType="separate"/>
          </w:r>
          <w:r w:rsidR="00D4014E">
            <w:rPr>
              <w:noProof/>
              <w:spacing w:val="2"/>
            </w:rPr>
            <w:t xml:space="preserve"> </w:t>
          </w:r>
          <w:r w:rsidR="00D4014E" w:rsidRPr="00D4014E">
            <w:rPr>
              <w:noProof/>
              <w:spacing w:val="2"/>
            </w:rPr>
            <w:t>(PC 2018, pp 311–312)</w:t>
          </w:r>
          <w:r w:rsidR="001D7679" w:rsidRPr="001D7679">
            <w:rPr>
              <w:spacing w:val="2"/>
            </w:rPr>
            <w:fldChar w:fldCharType="end"/>
          </w:r>
        </w:sdtContent>
      </w:sdt>
      <w:r w:rsidRPr="005478CD">
        <w:t>.</w:t>
      </w:r>
      <w:r>
        <w:t xml:space="preserve"> </w:t>
      </w:r>
      <w:r w:rsidRPr="00771E21">
        <w:rPr>
          <w:spacing w:val="-1"/>
        </w:rPr>
        <w:t xml:space="preserve">While the initial functionality of the NPP does not provide for direct debits (‘pull payments’), the NPP is currently working to add this functionality as one of the first enhancements. The Bank will be encouraging NPPA to progress this work and to take advantage of the potential for </w:t>
      </w:r>
      <w:proofErr w:type="spellStart"/>
      <w:r w:rsidRPr="00771E21">
        <w:rPr>
          <w:spacing w:val="-1"/>
        </w:rPr>
        <w:t>PayIDs</w:t>
      </w:r>
      <w:proofErr w:type="spellEnd"/>
      <w:r w:rsidRPr="00771E21">
        <w:rPr>
          <w:spacing w:val="-1"/>
        </w:rPr>
        <w:t xml:space="preserve"> to provide greater functionality for customers, including for account switching.</w:t>
      </w:r>
    </w:p>
    <w:p w14:paraId="495A6D82" w14:textId="3FE34101" w:rsidR="008C5C09" w:rsidRDefault="008C5C09" w:rsidP="00207D80">
      <w:pPr>
        <w:pStyle w:val="Heading1"/>
      </w:pPr>
      <w:r>
        <w:t>Regulatory Structure</w:t>
      </w:r>
      <w:r w:rsidR="00E81C63">
        <w:t>: A Competition Champion</w:t>
      </w:r>
    </w:p>
    <w:p w14:paraId="6505A039" w14:textId="02BB0325" w:rsidR="00ED3F91" w:rsidRDefault="00ED3F91" w:rsidP="008B0E6E">
      <w:pPr>
        <w:pStyle w:val="BodyText"/>
      </w:pPr>
      <w:r w:rsidRPr="00771E21">
        <w:rPr>
          <w:spacing w:val="-2"/>
        </w:rPr>
        <w:t xml:space="preserve">The Draft Report </w:t>
      </w:r>
      <w:r w:rsidR="00AE27EF" w:rsidRPr="00771E21">
        <w:rPr>
          <w:spacing w:val="-2"/>
        </w:rPr>
        <w:t xml:space="preserve">argues </w:t>
      </w:r>
      <w:r w:rsidRPr="00771E21">
        <w:rPr>
          <w:spacing w:val="-2"/>
        </w:rPr>
        <w:t xml:space="preserve">the need to give competition appropriate weight in regulatory decisions </w:t>
      </w:r>
      <w:r w:rsidR="00D4014E">
        <w:rPr>
          <w:spacing w:val="-2"/>
        </w:rPr>
        <w:t>related</w:t>
      </w:r>
      <w:r w:rsidRPr="00771E21">
        <w:rPr>
          <w:spacing w:val="-2"/>
        </w:rPr>
        <w:t xml:space="preserve"> to the financial system, focused mostly on prudential regulation by APRA and </w:t>
      </w:r>
      <w:r w:rsidR="005961C5" w:rsidRPr="00771E21">
        <w:rPr>
          <w:spacing w:val="-2"/>
        </w:rPr>
        <w:t xml:space="preserve">the discussions </w:t>
      </w:r>
      <w:r w:rsidRPr="00771E21">
        <w:rPr>
          <w:spacing w:val="-2"/>
        </w:rPr>
        <w:t xml:space="preserve">of the </w:t>
      </w:r>
      <w:r w:rsidR="00130AA3" w:rsidRPr="00771E21">
        <w:rPr>
          <w:spacing w:val="-2"/>
        </w:rPr>
        <w:t>CFR</w:t>
      </w:r>
      <w:r w:rsidRPr="00771E21">
        <w:rPr>
          <w:spacing w:val="-2"/>
        </w:rPr>
        <w:t>. It suggests the creation of a ‘competition champion’ in response</w:t>
      </w:r>
      <w:r w:rsidR="00771E21" w:rsidRPr="00771E21">
        <w:rPr>
          <w:spacing w:val="-2"/>
        </w:rPr>
        <w:t xml:space="preserve"> (draft recommendation 17.1)</w:t>
      </w:r>
      <w:r w:rsidRPr="00771E21">
        <w:rPr>
          <w:spacing w:val="-2"/>
        </w:rPr>
        <w:t>.</w:t>
      </w:r>
      <w:r w:rsidR="002F0458" w:rsidRPr="00771E21">
        <w:rPr>
          <w:spacing w:val="-2"/>
        </w:rPr>
        <w:t xml:space="preserve"> </w:t>
      </w:r>
      <w:r w:rsidR="00182EB9">
        <w:t>As discussed above, t</w:t>
      </w:r>
      <w:r w:rsidR="002F0458">
        <w:t>he Bank agrees that competition considerations should be taken into account in the pursuit of financial stability</w:t>
      </w:r>
      <w:r w:rsidR="006A55A1">
        <w:t>.</w:t>
      </w:r>
    </w:p>
    <w:p w14:paraId="64DEA763" w14:textId="17DFC4AA" w:rsidR="00E2611C" w:rsidRDefault="00AE27EF" w:rsidP="006A55A1">
      <w:pPr>
        <w:pStyle w:val="BodyText"/>
      </w:pPr>
      <w:r>
        <w:t>A</w:t>
      </w:r>
      <w:r w:rsidR="00E2611C">
        <w:t xml:space="preserve">s chair of the CFR, the Bank </w:t>
      </w:r>
      <w:r w:rsidR="003B0C0F">
        <w:t>can</w:t>
      </w:r>
      <w:r w:rsidR="00E2611C">
        <w:t xml:space="preserve"> give an assurance that</w:t>
      </w:r>
      <w:r w:rsidR="003B0C0F">
        <w:t xml:space="preserve"> the </w:t>
      </w:r>
      <w:r w:rsidR="00771E21">
        <w:t xml:space="preserve">CFR </w:t>
      </w:r>
      <w:r w:rsidR="003B0C0F">
        <w:t>consider</w:t>
      </w:r>
      <w:r w:rsidR="00FD2144">
        <w:t>s</w:t>
      </w:r>
      <w:r w:rsidR="00A903AD">
        <w:t>,</w:t>
      </w:r>
      <w:r w:rsidR="003B0C0F">
        <w:t xml:space="preserve"> and give</w:t>
      </w:r>
      <w:r w:rsidR="0083442E">
        <w:t>s</w:t>
      </w:r>
      <w:r w:rsidR="003B0C0F">
        <w:t xml:space="preserve"> due weight to</w:t>
      </w:r>
      <w:r w:rsidR="00A903AD">
        <w:t>,</w:t>
      </w:r>
      <w:r w:rsidR="00E2611C">
        <w:t xml:space="preserve"> competition matters</w:t>
      </w:r>
      <w:r w:rsidR="00182EB9" w:rsidRPr="0097300E">
        <w:t>.</w:t>
      </w:r>
      <w:r w:rsidR="00FD2144" w:rsidRPr="0097300E">
        <w:t xml:space="preserve"> </w:t>
      </w:r>
      <w:r w:rsidR="00D902CD" w:rsidRPr="0097300E">
        <w:t xml:space="preserve">For example the competition effects of housing regulatory measures </w:t>
      </w:r>
      <w:r w:rsidR="0097300E" w:rsidRPr="0097300E">
        <w:t xml:space="preserve">have been </w:t>
      </w:r>
      <w:r w:rsidR="00D902CD" w:rsidRPr="0097300E">
        <w:t xml:space="preserve">considered in the decision-making phase and discussed regularly since. </w:t>
      </w:r>
      <w:r w:rsidR="00FF4920" w:rsidRPr="0097300E">
        <w:t>More</w:t>
      </w:r>
      <w:r w:rsidR="00FF4920">
        <w:t xml:space="preserve"> generally, t</w:t>
      </w:r>
      <w:r w:rsidR="009B7605">
        <w:t xml:space="preserve">he </w:t>
      </w:r>
      <w:r w:rsidR="00130AA3" w:rsidRPr="00130AA3">
        <w:t xml:space="preserve">Australian Competition and Consumer Commission </w:t>
      </w:r>
      <w:r w:rsidR="00182EB9">
        <w:t>is</w:t>
      </w:r>
      <w:r w:rsidR="00FD2144">
        <w:t xml:space="preserve"> invited to</w:t>
      </w:r>
      <w:r w:rsidR="009B7605">
        <w:t xml:space="preserve"> attended </w:t>
      </w:r>
      <w:r w:rsidR="00182EB9">
        <w:t xml:space="preserve">CFR </w:t>
      </w:r>
      <w:r w:rsidR="009B7605">
        <w:t>meeting</w:t>
      </w:r>
      <w:r w:rsidR="00A764C8">
        <w:t>s</w:t>
      </w:r>
      <w:r w:rsidR="00FD2144">
        <w:t xml:space="preserve"> where appropriate</w:t>
      </w:r>
      <w:r w:rsidR="009B7605">
        <w:t xml:space="preserve">.  </w:t>
      </w:r>
    </w:p>
    <w:p w14:paraId="753EB9F3" w14:textId="52B63912" w:rsidR="003B0C0F" w:rsidRPr="00771E21" w:rsidRDefault="00FD2144" w:rsidP="00FD2144">
      <w:pPr>
        <w:pStyle w:val="BodyText"/>
        <w:rPr>
          <w:spacing w:val="-1"/>
        </w:rPr>
      </w:pPr>
      <w:r w:rsidRPr="00771E21">
        <w:rPr>
          <w:spacing w:val="-1"/>
        </w:rPr>
        <w:t xml:space="preserve">It is nonetheless reasonable to ask whether </w:t>
      </w:r>
      <w:r w:rsidR="003B0C0F" w:rsidRPr="00771E21">
        <w:rPr>
          <w:spacing w:val="-1"/>
        </w:rPr>
        <w:t xml:space="preserve">there is a framework that would deliver better competition outcomes without compromising financial stability. The Bank is open to this discussion, but is not convinced that the </w:t>
      </w:r>
      <w:r w:rsidR="00A764C8" w:rsidRPr="00771E21">
        <w:rPr>
          <w:spacing w:val="-1"/>
        </w:rPr>
        <w:t xml:space="preserve">Draft Report’s </w:t>
      </w:r>
      <w:r w:rsidR="003B0C0F" w:rsidRPr="00771E21">
        <w:rPr>
          <w:spacing w:val="-1"/>
        </w:rPr>
        <w:t xml:space="preserve">proposal </w:t>
      </w:r>
      <w:r w:rsidRPr="00771E21">
        <w:rPr>
          <w:spacing w:val="-1"/>
        </w:rPr>
        <w:t>for ext</w:t>
      </w:r>
      <w:r w:rsidR="00CD185D" w:rsidRPr="00771E21">
        <w:rPr>
          <w:spacing w:val="-1"/>
        </w:rPr>
        <w:t xml:space="preserve">ernal </w:t>
      </w:r>
      <w:r w:rsidR="00610176">
        <w:rPr>
          <w:spacing w:val="-1"/>
        </w:rPr>
        <w:t>analysis</w:t>
      </w:r>
      <w:r w:rsidR="00610176" w:rsidRPr="00771E21">
        <w:rPr>
          <w:spacing w:val="-1"/>
        </w:rPr>
        <w:t xml:space="preserve"> </w:t>
      </w:r>
      <w:r w:rsidR="00182EB9" w:rsidRPr="00771E21">
        <w:rPr>
          <w:spacing w:val="-1"/>
        </w:rPr>
        <w:t>of the competition effects of proposed regulation</w:t>
      </w:r>
      <w:r w:rsidR="00CD185D" w:rsidRPr="00771E21">
        <w:rPr>
          <w:spacing w:val="-1"/>
        </w:rPr>
        <w:t xml:space="preserve"> by a competition champion</w:t>
      </w:r>
      <w:r w:rsidR="00182EB9" w:rsidRPr="00771E21">
        <w:rPr>
          <w:spacing w:val="-1"/>
        </w:rPr>
        <w:t xml:space="preserve">, with review by the CFR, is the best way to </w:t>
      </w:r>
      <w:r w:rsidR="003B0C0F" w:rsidRPr="00771E21">
        <w:rPr>
          <w:spacing w:val="-1"/>
        </w:rPr>
        <w:t>achieve this.</w:t>
      </w:r>
    </w:p>
    <w:p w14:paraId="610D628D" w14:textId="3DF90030" w:rsidR="0020535D" w:rsidRPr="00771E21" w:rsidRDefault="002D1380" w:rsidP="006A55A1">
      <w:pPr>
        <w:pStyle w:val="BodyText"/>
        <w:rPr>
          <w:spacing w:val="-1"/>
        </w:rPr>
      </w:pPr>
      <w:r w:rsidRPr="00771E21">
        <w:rPr>
          <w:spacing w:val="-1"/>
        </w:rPr>
        <w:lastRenderedPageBreak/>
        <w:t>The proposed</w:t>
      </w:r>
      <w:r w:rsidR="00205FA0" w:rsidRPr="00771E21">
        <w:rPr>
          <w:spacing w:val="-1"/>
        </w:rPr>
        <w:t xml:space="preserve"> external </w:t>
      </w:r>
      <w:r w:rsidR="00610176">
        <w:rPr>
          <w:spacing w:val="-1"/>
        </w:rPr>
        <w:t>analysis</w:t>
      </w:r>
      <w:r w:rsidR="00610176" w:rsidRPr="00771E21">
        <w:rPr>
          <w:spacing w:val="-1"/>
        </w:rPr>
        <w:t xml:space="preserve"> </w:t>
      </w:r>
      <w:r w:rsidR="00205FA0" w:rsidRPr="00771E21">
        <w:rPr>
          <w:spacing w:val="-1"/>
        </w:rPr>
        <w:t>process has the potential to slow down decision</w:t>
      </w:r>
      <w:r w:rsidR="002F2EA3" w:rsidRPr="00771E21">
        <w:rPr>
          <w:spacing w:val="-1"/>
        </w:rPr>
        <w:t>-</w:t>
      </w:r>
      <w:r w:rsidR="00205FA0" w:rsidRPr="00771E21">
        <w:rPr>
          <w:spacing w:val="-1"/>
        </w:rPr>
        <w:t xml:space="preserve">making. </w:t>
      </w:r>
      <w:r w:rsidR="00EF60AD" w:rsidRPr="00771E21">
        <w:rPr>
          <w:spacing w:val="-1"/>
        </w:rPr>
        <w:t xml:space="preserve">Even compared with an identical internal process, the </w:t>
      </w:r>
      <w:r w:rsidR="00205FA0" w:rsidRPr="00771E21">
        <w:rPr>
          <w:spacing w:val="-1"/>
        </w:rPr>
        <w:t>need to</w:t>
      </w:r>
      <w:r w:rsidR="00EF60AD" w:rsidRPr="00771E21">
        <w:rPr>
          <w:spacing w:val="-1"/>
        </w:rPr>
        <w:t xml:space="preserve"> fully</w:t>
      </w:r>
      <w:r w:rsidR="00205FA0" w:rsidRPr="00771E21">
        <w:rPr>
          <w:spacing w:val="-1"/>
        </w:rPr>
        <w:t xml:space="preserve"> educate </w:t>
      </w:r>
      <w:r w:rsidR="00EF60AD" w:rsidRPr="00771E21">
        <w:rPr>
          <w:spacing w:val="-1"/>
        </w:rPr>
        <w:t>an unfamiliar</w:t>
      </w:r>
      <w:r w:rsidR="00205FA0" w:rsidRPr="00771E21">
        <w:rPr>
          <w:spacing w:val="-1"/>
        </w:rPr>
        <w:t xml:space="preserve"> </w:t>
      </w:r>
      <w:r w:rsidR="00EF60AD" w:rsidRPr="00771E21">
        <w:rPr>
          <w:spacing w:val="-1"/>
        </w:rPr>
        <w:t>team</w:t>
      </w:r>
      <w:r w:rsidR="00205FA0" w:rsidRPr="00771E21">
        <w:rPr>
          <w:spacing w:val="-1"/>
        </w:rPr>
        <w:t xml:space="preserve"> on </w:t>
      </w:r>
      <w:r w:rsidR="00274C8E" w:rsidRPr="00771E21">
        <w:rPr>
          <w:spacing w:val="-1"/>
        </w:rPr>
        <w:t>technical</w:t>
      </w:r>
      <w:r w:rsidR="00205FA0" w:rsidRPr="00771E21">
        <w:rPr>
          <w:spacing w:val="-1"/>
        </w:rPr>
        <w:t xml:space="preserve"> issues</w:t>
      </w:r>
      <w:r w:rsidR="00EF60AD" w:rsidRPr="00771E21">
        <w:rPr>
          <w:spacing w:val="-1"/>
        </w:rPr>
        <w:t>, share relevant information and data, analyse those data and then send the analysis to a meeting of the CFR for consideration, will necessarily take additional time.</w:t>
      </w:r>
      <w:r w:rsidR="00205FA0" w:rsidRPr="00771E21">
        <w:rPr>
          <w:spacing w:val="-1"/>
        </w:rPr>
        <w:t xml:space="preserve"> </w:t>
      </w:r>
      <w:r w:rsidR="00EF60AD" w:rsidRPr="00771E21">
        <w:rPr>
          <w:spacing w:val="-1"/>
        </w:rPr>
        <w:t xml:space="preserve">While </w:t>
      </w:r>
      <w:r w:rsidR="0006333E" w:rsidRPr="00771E21">
        <w:rPr>
          <w:spacing w:val="-1"/>
        </w:rPr>
        <w:t xml:space="preserve">this would not be a concern </w:t>
      </w:r>
      <w:r w:rsidR="00EF60AD" w:rsidRPr="00771E21">
        <w:rPr>
          <w:spacing w:val="-1"/>
        </w:rPr>
        <w:t xml:space="preserve">for some regulatory measures, </w:t>
      </w:r>
      <w:r w:rsidR="00A81DB5" w:rsidRPr="00771E21">
        <w:rPr>
          <w:spacing w:val="-1"/>
        </w:rPr>
        <w:t>on other occasions a more timely response may be required</w:t>
      </w:r>
      <w:r w:rsidR="00EF60AD" w:rsidRPr="00771E21">
        <w:rPr>
          <w:spacing w:val="-1"/>
        </w:rPr>
        <w:t xml:space="preserve">. </w:t>
      </w:r>
    </w:p>
    <w:p w14:paraId="2F0E652F" w14:textId="4FDFBA9D" w:rsidR="002D26D3" w:rsidRDefault="0093050E" w:rsidP="006A55A1">
      <w:pPr>
        <w:pStyle w:val="BodyText"/>
      </w:pPr>
      <w:r>
        <w:t>We n</w:t>
      </w:r>
      <w:r w:rsidRPr="0093050E">
        <w:t>ote that the CFR is not a decision making body</w:t>
      </w:r>
      <w:r w:rsidR="00D4014E">
        <w:t xml:space="preserve">. Rather, </w:t>
      </w:r>
      <w:r w:rsidRPr="0093050E">
        <w:t>the decisions are taken by its member agencies, on occasion after consultation with the CFR members. Each agency is then responsible for publicising the actions it takes and explaining their justifications and consequences.</w:t>
      </w:r>
      <w:r>
        <w:t xml:space="preserve"> </w:t>
      </w:r>
      <w:r w:rsidR="00456E45">
        <w:t xml:space="preserve">The Bank </w:t>
      </w:r>
      <w:r w:rsidR="0020535D">
        <w:t xml:space="preserve">believes </w:t>
      </w:r>
      <w:r w:rsidR="002D1380">
        <w:t xml:space="preserve">that </w:t>
      </w:r>
      <w:r w:rsidR="0020535D">
        <w:t>i</w:t>
      </w:r>
      <w:r w:rsidR="00F21BB5">
        <w:t xml:space="preserve">f </w:t>
      </w:r>
      <w:r w:rsidR="002D1380">
        <w:t>there are any concerns</w:t>
      </w:r>
      <w:r w:rsidR="00B9261E">
        <w:t xml:space="preserve"> </w:t>
      </w:r>
      <w:r w:rsidR="002D1380">
        <w:t xml:space="preserve">that </w:t>
      </w:r>
      <w:r w:rsidR="0020535D">
        <w:t>competition</w:t>
      </w:r>
      <w:r w:rsidR="002D1380">
        <w:t xml:space="preserve"> is not receiving due attention</w:t>
      </w:r>
      <w:r w:rsidR="0020535D">
        <w:t xml:space="preserve"> </w:t>
      </w:r>
      <w:r w:rsidR="002D1380">
        <w:t>from regulators</w:t>
      </w:r>
      <w:r w:rsidR="0020535D">
        <w:t xml:space="preserve">, </w:t>
      </w:r>
      <w:r w:rsidR="00F21BB5">
        <w:t xml:space="preserve">this </w:t>
      </w:r>
      <w:r w:rsidR="0020535D">
        <w:t xml:space="preserve">should </w:t>
      </w:r>
      <w:r w:rsidR="00F21BB5">
        <w:t xml:space="preserve">be dealt with by increased transparency </w:t>
      </w:r>
      <w:r w:rsidR="00AD5ABF">
        <w:t xml:space="preserve">of </w:t>
      </w:r>
      <w:r w:rsidR="00B9261E">
        <w:t>the factors considered in decision-making</w:t>
      </w:r>
      <w:r w:rsidR="00AD5ABF">
        <w:t xml:space="preserve">, </w:t>
      </w:r>
      <w:r w:rsidR="00F21BB5">
        <w:t xml:space="preserve">rather than increasing the complexity of the regulatory process. </w:t>
      </w:r>
    </w:p>
    <w:p w14:paraId="14D36BBC" w14:textId="4CE6F9D7" w:rsidR="000C136F" w:rsidRDefault="00630DD3" w:rsidP="006A55A1">
      <w:pPr>
        <w:pStyle w:val="BodyText"/>
      </w:pPr>
      <w:r>
        <w:t xml:space="preserve">The Bank is </w:t>
      </w:r>
      <w:r w:rsidR="00E37EC7">
        <w:t>open to consideration of how the transparency of the CFR itself could be improved. Currently</w:t>
      </w:r>
      <w:r>
        <w:t>,</w:t>
      </w:r>
      <w:r w:rsidR="00E37EC7">
        <w:t xml:space="preserve"> the main outlet for information on its activities is a section in the Bank’s half-yearly </w:t>
      </w:r>
      <w:r w:rsidR="00E37EC7" w:rsidRPr="002E7C54">
        <w:rPr>
          <w:i/>
        </w:rPr>
        <w:t>Financial Stability Review</w:t>
      </w:r>
      <w:r w:rsidR="00E37EC7">
        <w:t xml:space="preserve"> (FSR). Conscious of the benefits of transparency, the Bank increased the level of detail in the October 201</w:t>
      </w:r>
      <w:r w:rsidR="00A155D4">
        <w:t>7 FSR and intends to continue with this approach</w:t>
      </w:r>
      <w:r w:rsidR="00796EF2">
        <w:t>.</w:t>
      </w:r>
      <w:r w:rsidR="00A155D4">
        <w:t xml:space="preserve"> Nonetheless, the CFR is open to considering other measures that could provide greater transparency of </w:t>
      </w:r>
      <w:r w:rsidR="002D1380">
        <w:t xml:space="preserve">its discussions </w:t>
      </w:r>
      <w:r w:rsidR="00A155D4">
        <w:t xml:space="preserve">related to </w:t>
      </w:r>
      <w:proofErr w:type="spellStart"/>
      <w:r w:rsidR="00A155D4">
        <w:t>macroprudential</w:t>
      </w:r>
      <w:proofErr w:type="spellEnd"/>
      <w:r w:rsidR="00A155D4">
        <w:t xml:space="preserve"> and other policies. </w:t>
      </w:r>
    </w:p>
    <w:p w14:paraId="2FCE52CA" w14:textId="0ACDDEA8" w:rsidR="00E75BC5" w:rsidRDefault="00E75BC5" w:rsidP="006A55A1">
      <w:pPr>
        <w:pStyle w:val="BodyText"/>
      </w:pPr>
    </w:p>
    <w:p w14:paraId="2080DDE8" w14:textId="77777777" w:rsidR="00E75BC5" w:rsidRDefault="00E75BC5" w:rsidP="006A55A1">
      <w:pPr>
        <w:pStyle w:val="BodyText"/>
      </w:pPr>
    </w:p>
    <w:p w14:paraId="1E4A7337" w14:textId="77777777" w:rsidR="00B26D25" w:rsidRDefault="00E07F50" w:rsidP="001B6FD4">
      <w:pPr>
        <w:pStyle w:val="BodyText"/>
        <w:spacing w:after="0"/>
      </w:pPr>
      <w:r>
        <w:t>Reserve Bank of Australia</w:t>
      </w:r>
    </w:p>
    <w:sdt>
      <w:sdtPr>
        <w:alias w:val="RBA_Date"/>
        <w:tag w:val="RBA_Date"/>
        <w:id w:val="419838083"/>
        <w:date w:fullDate="2018-03-20T00:00:00Z">
          <w:dateFormat w:val="d MMMM yyyy"/>
          <w:lid w:val="en-AU"/>
          <w:storeMappedDataAs w:val="dateTime"/>
          <w:calendar w:val="gregorian"/>
        </w:date>
      </w:sdtPr>
      <w:sdtEndPr/>
      <w:sdtContent>
        <w:p w14:paraId="1E4A7338" w14:textId="77777777" w:rsidR="00E07F50" w:rsidRDefault="00CD1A02" w:rsidP="00D0165F">
          <w:pPr>
            <w:pStyle w:val="BodyText"/>
          </w:pPr>
          <w:r>
            <w:t>20 March 2018</w:t>
          </w:r>
        </w:p>
      </w:sdtContent>
    </w:sdt>
    <w:p w14:paraId="1E4A733A" w14:textId="77777777" w:rsidR="00CD1A02" w:rsidRDefault="00CD1A02">
      <w:pPr>
        <w:rPr>
          <w:sz w:val="21"/>
          <w:szCs w:val="21"/>
        </w:rPr>
      </w:pPr>
      <w:r>
        <w:br w:type="page"/>
      </w:r>
    </w:p>
    <w:bookmarkStart w:id="2" w:name="_Toc378943753" w:displacedByCustomXml="next"/>
    <w:bookmarkStart w:id="3" w:name="_Toc378930650" w:displacedByCustomXml="next"/>
    <w:sdt>
      <w:sdtPr>
        <w:rPr>
          <w:rFonts w:asciiTheme="minorHAnsi" w:hAnsiTheme="minorHAnsi"/>
          <w:b w:val="0"/>
          <w:color w:val="auto"/>
          <w:sz w:val="22"/>
          <w:szCs w:val="22"/>
        </w:rPr>
        <w:id w:val="-1155150312"/>
        <w:docPartObj>
          <w:docPartGallery w:val="Bibliographies"/>
          <w:docPartUnique/>
        </w:docPartObj>
      </w:sdtPr>
      <w:sdtEndPr/>
      <w:sdtContent>
        <w:p w14:paraId="1E4A733B" w14:textId="77777777" w:rsidR="00D0165F" w:rsidRDefault="00D0165F" w:rsidP="00207D80">
          <w:pPr>
            <w:pStyle w:val="Heading1"/>
          </w:pPr>
          <w:r>
            <w:t>References</w:t>
          </w:r>
          <w:bookmarkEnd w:id="3"/>
          <w:bookmarkEnd w:id="2"/>
        </w:p>
        <w:p w14:paraId="07123EE1" w14:textId="53042A9B" w:rsidR="00D4014E" w:rsidRDefault="00D4014E" w:rsidP="00D4014E">
          <w:pPr>
            <w:pStyle w:val="Bibliography"/>
            <w:rPr>
              <w:noProof/>
            </w:rPr>
          </w:pPr>
          <w:r>
            <w:rPr>
              <w:b/>
              <w:bCs/>
              <w:noProof/>
            </w:rPr>
            <w:t>APRA (</w:t>
          </w:r>
          <w:r w:rsidR="00F2631B">
            <w:rPr>
              <w:b/>
              <w:bCs/>
              <w:noProof/>
            </w:rPr>
            <w:t>Australian Prudential Regulation Authority) (</w:t>
          </w:r>
          <w:r>
            <w:rPr>
              <w:b/>
              <w:bCs/>
              <w:noProof/>
            </w:rPr>
            <w:t>2018),</w:t>
          </w:r>
          <w:r>
            <w:rPr>
              <w:noProof/>
            </w:rPr>
            <w:t xml:space="preserve"> ‘Revisions to the capital framework and the leverage ratio requirement for ADIs - February 2018’. Available at &lt;http://www.apra.gov.au/adi/PrudentialFramework/Pages/revisions-capital-framework-and-leverage-ratio-Feb-2018.aspx&gt;.</w:t>
          </w:r>
        </w:p>
        <w:p w14:paraId="6202FC01" w14:textId="7AEF8D14" w:rsidR="00D4014E" w:rsidRDefault="00D4014E" w:rsidP="00D4014E">
          <w:pPr>
            <w:pStyle w:val="Bibliography"/>
            <w:rPr>
              <w:noProof/>
            </w:rPr>
          </w:pPr>
          <w:r>
            <w:rPr>
              <w:b/>
              <w:bCs/>
              <w:noProof/>
            </w:rPr>
            <w:t xml:space="preserve">ASIC </w:t>
          </w:r>
          <w:r w:rsidR="00F2631B">
            <w:rPr>
              <w:b/>
              <w:bCs/>
              <w:noProof/>
            </w:rPr>
            <w:t xml:space="preserve">(Australian Securities and Investments Commission) </w:t>
          </w:r>
          <w:r>
            <w:rPr>
              <w:b/>
              <w:bCs/>
              <w:noProof/>
            </w:rPr>
            <w:t>(2017),</w:t>
          </w:r>
          <w:r>
            <w:rPr>
              <w:noProof/>
            </w:rPr>
            <w:t xml:space="preserve"> ‘Review of mortgage broker remuneration’. Available at &lt;http://download.asic.gov.au/media/4213629/rep516-published-16-3-2017-1.pdf&gt;.</w:t>
          </w:r>
        </w:p>
        <w:p w14:paraId="278AA106" w14:textId="70A4A827" w:rsidR="00D4014E" w:rsidRDefault="00D4014E" w:rsidP="00D4014E">
          <w:pPr>
            <w:pStyle w:val="Bibliography"/>
            <w:rPr>
              <w:noProof/>
            </w:rPr>
          </w:pPr>
          <w:r>
            <w:rPr>
              <w:b/>
              <w:bCs/>
              <w:noProof/>
            </w:rPr>
            <w:t xml:space="preserve">BIS </w:t>
          </w:r>
          <w:r w:rsidR="00F2631B">
            <w:rPr>
              <w:b/>
              <w:bCs/>
              <w:noProof/>
            </w:rPr>
            <w:t>(</w:t>
          </w:r>
          <w:r w:rsidR="00F2631B" w:rsidRPr="00F2631B">
            <w:rPr>
              <w:b/>
              <w:bCs/>
              <w:noProof/>
            </w:rPr>
            <w:t>Bank for International Settlements</w:t>
          </w:r>
          <w:r w:rsidR="00F2631B">
            <w:rPr>
              <w:b/>
              <w:bCs/>
              <w:noProof/>
            </w:rPr>
            <w:t xml:space="preserve">) </w:t>
          </w:r>
          <w:r>
            <w:rPr>
              <w:b/>
              <w:bCs/>
              <w:noProof/>
            </w:rPr>
            <w:t>(2010),</w:t>
          </w:r>
          <w:r>
            <w:rPr>
              <w:noProof/>
            </w:rPr>
            <w:t xml:space="preserve"> ‘An assessment of the long-term economic impact of stronger capital and liquidity requirements’. Available at &lt;http://www.fsb.org/wp-content/uploads/r_100818a.pdf?page_moved=1&gt;.</w:t>
          </w:r>
        </w:p>
        <w:p w14:paraId="0C50389A" w14:textId="60BC2161" w:rsidR="00D4014E" w:rsidRDefault="00D4014E" w:rsidP="00D4014E">
          <w:pPr>
            <w:pStyle w:val="Bibliography"/>
            <w:rPr>
              <w:noProof/>
            </w:rPr>
          </w:pPr>
          <w:r>
            <w:rPr>
              <w:b/>
              <w:bCs/>
              <w:noProof/>
            </w:rPr>
            <w:t xml:space="preserve">CGFS </w:t>
          </w:r>
          <w:r w:rsidR="00F2631B">
            <w:rPr>
              <w:b/>
              <w:bCs/>
              <w:noProof/>
            </w:rPr>
            <w:t>(</w:t>
          </w:r>
          <w:r w:rsidR="00F2631B" w:rsidRPr="00F2631B">
            <w:rPr>
              <w:b/>
              <w:bCs/>
              <w:noProof/>
            </w:rPr>
            <w:t>Committee on the Global Financial System</w:t>
          </w:r>
          <w:r w:rsidR="00F2631B">
            <w:rPr>
              <w:b/>
              <w:bCs/>
              <w:noProof/>
            </w:rPr>
            <w:t xml:space="preserve">) </w:t>
          </w:r>
          <w:r>
            <w:rPr>
              <w:b/>
              <w:bCs/>
              <w:noProof/>
            </w:rPr>
            <w:t>(2018),</w:t>
          </w:r>
          <w:r>
            <w:rPr>
              <w:noProof/>
            </w:rPr>
            <w:t xml:space="preserve"> ‘Structural changes in banking after the crisis’. Available at &lt;https://www.bis.org/publ/cgfs60.pdf&gt;.</w:t>
          </w:r>
        </w:p>
        <w:p w14:paraId="7C98221D" w14:textId="230B5358" w:rsidR="00D4014E" w:rsidRDefault="00D4014E" w:rsidP="00D4014E">
          <w:pPr>
            <w:pStyle w:val="Bibliography"/>
            <w:rPr>
              <w:noProof/>
            </w:rPr>
          </w:pPr>
          <w:r>
            <w:rPr>
              <w:b/>
              <w:bCs/>
              <w:noProof/>
            </w:rPr>
            <w:t>McKinnon T (2018),</w:t>
          </w:r>
          <w:r>
            <w:rPr>
              <w:noProof/>
            </w:rPr>
            <w:t xml:space="preserve"> ‘Developments in Banks’ Funding Costs and Lending Rates’, </w:t>
          </w:r>
          <w:r>
            <w:rPr>
              <w:i/>
              <w:iCs/>
              <w:noProof/>
            </w:rPr>
            <w:t>Reserve Bank Bulletin</w:t>
          </w:r>
          <w:r>
            <w:rPr>
              <w:noProof/>
            </w:rPr>
            <w:t>, March.</w:t>
          </w:r>
        </w:p>
        <w:p w14:paraId="07F2D8BD" w14:textId="2C5960E7" w:rsidR="00D4014E" w:rsidRDefault="00D4014E" w:rsidP="00D4014E">
          <w:pPr>
            <w:pStyle w:val="Bibliography"/>
            <w:rPr>
              <w:noProof/>
            </w:rPr>
          </w:pPr>
          <w:r>
            <w:rPr>
              <w:b/>
              <w:bCs/>
              <w:noProof/>
            </w:rPr>
            <w:t xml:space="preserve">PC </w:t>
          </w:r>
          <w:r w:rsidR="00F2631B">
            <w:rPr>
              <w:b/>
              <w:bCs/>
              <w:noProof/>
            </w:rPr>
            <w:t xml:space="preserve">(Productivity Commission) </w:t>
          </w:r>
          <w:r>
            <w:rPr>
              <w:b/>
              <w:bCs/>
              <w:noProof/>
            </w:rPr>
            <w:t>(2018),</w:t>
          </w:r>
          <w:r>
            <w:rPr>
              <w:noProof/>
            </w:rPr>
            <w:t xml:space="preserve"> ‘Competition in the Australian Financial System Draft Report’. Available at &lt;http://www.pc.gov.au/inquiries/current/financial-system/draft/financial-system-draft.pdf&gt;.</w:t>
          </w:r>
        </w:p>
        <w:p w14:paraId="0A718016" w14:textId="7BE74F83" w:rsidR="00D4014E" w:rsidRDefault="00D4014E" w:rsidP="00D4014E">
          <w:pPr>
            <w:pStyle w:val="Bibliography"/>
            <w:rPr>
              <w:noProof/>
            </w:rPr>
          </w:pPr>
          <w:r>
            <w:rPr>
              <w:b/>
              <w:bCs/>
              <w:noProof/>
            </w:rPr>
            <w:t xml:space="preserve">RBA </w:t>
          </w:r>
          <w:r w:rsidR="00F2631B">
            <w:rPr>
              <w:b/>
              <w:bCs/>
              <w:noProof/>
            </w:rPr>
            <w:t xml:space="preserve">(Reserve Bank of Australia) </w:t>
          </w:r>
          <w:r>
            <w:rPr>
              <w:b/>
              <w:bCs/>
              <w:noProof/>
            </w:rPr>
            <w:t>(2017),</w:t>
          </w:r>
          <w:r>
            <w:rPr>
              <w:noProof/>
            </w:rPr>
            <w:t xml:space="preserve"> ‘Competition in the Australian Financial System: Submission to the Productivity Commission Inquiry’. Available at &lt;https://www.rba.gov.au/publications/submissions/financial-sector/competition-in-the-financial-system/submission-to-productivity-commission-september-2017.pdf&gt;.</w:t>
          </w:r>
        </w:p>
        <w:p w14:paraId="1E4A733C" w14:textId="707001D2" w:rsidR="00D0165F" w:rsidRDefault="00851047" w:rsidP="00D4014E"/>
      </w:sdtContent>
    </w:sdt>
    <w:sectPr w:rsidR="00D0165F" w:rsidSect="00942586">
      <w:headerReference w:type="even" r:id="rId15"/>
      <w:headerReference w:type="default" r:id="rId16"/>
      <w:footerReference w:type="even" r:id="rId17"/>
      <w:footerReference w:type="default" r:id="rId18"/>
      <w:headerReference w:type="first" r:id="rId19"/>
      <w:footerReference w:type="first" r:id="rId20"/>
      <w:pgSz w:w="11906" w:h="16838"/>
      <w:pgMar w:top="1701" w:right="1588" w:bottom="1418"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149CC" w14:textId="77777777" w:rsidR="005B15B8" w:rsidRDefault="005B15B8" w:rsidP="009A6955">
      <w:pPr>
        <w:spacing w:after="0" w:line="240" w:lineRule="auto"/>
      </w:pPr>
      <w:r>
        <w:separator/>
      </w:r>
    </w:p>
    <w:p w14:paraId="7F6911EA" w14:textId="77777777" w:rsidR="005B15B8" w:rsidRDefault="005B15B8"/>
  </w:endnote>
  <w:endnote w:type="continuationSeparator" w:id="0">
    <w:p w14:paraId="66730281" w14:textId="77777777" w:rsidR="005B15B8" w:rsidRDefault="005B15B8" w:rsidP="009A6955">
      <w:pPr>
        <w:spacing w:after="0" w:line="240" w:lineRule="auto"/>
      </w:pPr>
      <w:r>
        <w:continuationSeparator/>
      </w:r>
    </w:p>
    <w:p w14:paraId="6533EB66" w14:textId="77777777" w:rsidR="005B15B8" w:rsidRDefault="005B15B8"/>
  </w:endnote>
  <w:endnote w:type="continuationNotice" w:id="1">
    <w:p w14:paraId="42960A44" w14:textId="77777777" w:rsidR="005B15B8" w:rsidRDefault="005B15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yriad Pro Light">
    <w:altName w:val="Times New Roman"/>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A7344" w14:textId="77777777" w:rsidR="00D21586" w:rsidRPr="00895C6A" w:rsidRDefault="00D21586" w:rsidP="00895C6A">
    <w:pPr>
      <w:pStyle w:val="Footer"/>
    </w:pPr>
    <w:r w:rsidRPr="00895C6A">
      <w:fldChar w:fldCharType="begin"/>
    </w:r>
    <w:r w:rsidRPr="00895C6A">
      <w:instrText xml:space="preserve"> PAGE </w:instrText>
    </w:r>
    <w:r w:rsidRPr="00895C6A">
      <w:fldChar w:fldCharType="separate"/>
    </w:r>
    <w:r w:rsidR="00851047">
      <w:rPr>
        <w:noProof/>
      </w:rPr>
      <w:t>10</w:t>
    </w:r>
    <w:r w:rsidRPr="00895C6A">
      <w:fldChar w:fldCharType="end"/>
    </w:r>
    <w:r>
      <w:t xml:space="preserve">  </w:t>
    </w:r>
    <w:r w:rsidRPr="005B056F">
      <w:rPr>
        <w:b/>
      </w:rPr>
      <w:t>RESERVE BANK OF AUSTRALIA</w:t>
    </w:r>
    <w:r w:rsidRPr="00895C6A">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A7345" w14:textId="7BDF59F0" w:rsidR="00D21586" w:rsidRPr="005B056F" w:rsidRDefault="00D21586" w:rsidP="005B056F">
    <w:pPr>
      <w:pStyle w:val="Footer"/>
    </w:pPr>
    <w:r>
      <w:rPr>
        <w:color w:val="007698"/>
        <w:spacing w:val="-2"/>
        <w:lang w:eastAsia="en-US"/>
      </w:rPr>
      <w:tab/>
    </w:r>
    <w:r>
      <w:rPr>
        <w:color w:val="007698"/>
        <w:spacing w:val="-2"/>
        <w:lang w:eastAsia="en-US"/>
      </w:rPr>
      <w:tab/>
    </w:r>
    <w:r>
      <w:rPr>
        <w:caps/>
        <w:color w:val="007698"/>
        <w:spacing w:val="-2"/>
        <w:lang w:eastAsia="en-US"/>
      </w:rPr>
      <w:t>Competition in the Australian Financial System</w:t>
    </w:r>
    <w:r w:rsidRPr="00880E01">
      <w:rPr>
        <w:color w:val="007698"/>
        <w:lang w:val="en-US" w:eastAsia="en-US"/>
      </w:rPr>
      <w:t xml:space="preserve"> </w:t>
    </w:r>
    <w:r w:rsidRPr="00590767">
      <w:rPr>
        <w:color w:val="007698"/>
        <w:lang w:val="en-US" w:eastAsia="en-US"/>
      </w:rPr>
      <w:t>|</w:t>
    </w:r>
    <w:r>
      <w:rPr>
        <w:lang w:val="en-US" w:eastAsia="en-US"/>
      </w:rPr>
      <w:t xml:space="preserve"> </w:t>
    </w:r>
    <w:r>
      <w:rPr>
        <w:lang w:val="en-US" w:eastAsia="en-US"/>
      </w:rPr>
      <w:fldChar w:fldCharType="begin"/>
    </w:r>
    <w:r>
      <w:rPr>
        <w:lang w:val="en-US" w:eastAsia="en-US"/>
      </w:rPr>
      <w:instrText xml:space="preserve"> PAGE  </w:instrText>
    </w:r>
    <w:r>
      <w:rPr>
        <w:lang w:val="en-US" w:eastAsia="en-US"/>
      </w:rPr>
      <w:fldChar w:fldCharType="separate"/>
    </w:r>
    <w:r w:rsidR="00851047">
      <w:rPr>
        <w:noProof/>
        <w:lang w:val="en-US" w:eastAsia="en-US"/>
      </w:rPr>
      <w:t>11</w:t>
    </w:r>
    <w:r>
      <w:rPr>
        <w:lang w:val="en-US"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A7347" w14:textId="4C76A2F6" w:rsidR="00D21586" w:rsidRPr="00942586" w:rsidRDefault="00D21586" w:rsidP="00895C6A">
    <w:pPr>
      <w:pStyle w:val="Footer"/>
    </w:pPr>
    <w:r>
      <w:rPr>
        <w:color w:val="007698"/>
        <w:spacing w:val="-2"/>
        <w:lang w:eastAsia="en-US"/>
      </w:rPr>
      <w:tab/>
    </w:r>
    <w:r>
      <w:rPr>
        <w:color w:val="007698"/>
        <w:spacing w:val="-2"/>
        <w:lang w:eastAsia="en-US"/>
      </w:rPr>
      <w:tab/>
    </w:r>
    <w:r>
      <w:rPr>
        <w:caps/>
        <w:color w:val="007698"/>
        <w:spacing w:val="-2"/>
        <w:lang w:eastAsia="en-US"/>
      </w:rPr>
      <w:t>Competition in the Australian Financial System</w:t>
    </w:r>
    <w:r w:rsidRPr="00880E01">
      <w:rPr>
        <w:color w:val="007698"/>
        <w:lang w:val="en-US" w:eastAsia="en-US"/>
      </w:rPr>
      <w:t xml:space="preserve"> </w:t>
    </w:r>
    <w:r w:rsidRPr="00590767">
      <w:rPr>
        <w:color w:val="007698"/>
        <w:lang w:val="en-US" w:eastAsia="en-US"/>
      </w:rPr>
      <w:t>|</w:t>
    </w:r>
    <w:r>
      <w:rPr>
        <w:lang w:val="en-US" w:eastAsia="en-US"/>
      </w:rPr>
      <w:t xml:space="preserve"> </w:t>
    </w:r>
    <w:r>
      <w:rPr>
        <w:lang w:val="en-US" w:eastAsia="en-US"/>
      </w:rPr>
      <w:fldChar w:fldCharType="begin"/>
    </w:r>
    <w:r>
      <w:rPr>
        <w:lang w:val="en-US" w:eastAsia="en-US"/>
      </w:rPr>
      <w:instrText xml:space="preserve"> PAGE  </w:instrText>
    </w:r>
    <w:r>
      <w:rPr>
        <w:lang w:val="en-US" w:eastAsia="en-US"/>
      </w:rPr>
      <w:fldChar w:fldCharType="separate"/>
    </w:r>
    <w:r w:rsidR="00851047">
      <w:rPr>
        <w:noProof/>
        <w:lang w:val="en-US" w:eastAsia="en-US"/>
      </w:rPr>
      <w:t>1</w:t>
    </w:r>
    <w:r>
      <w:rPr>
        <w:lang w:val="en-US"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957CE" w14:textId="77777777" w:rsidR="005B15B8" w:rsidRPr="00B65D61" w:rsidRDefault="005B15B8" w:rsidP="00B65D61">
      <w:pPr>
        <w:spacing w:after="0" w:line="240" w:lineRule="auto"/>
        <w:rPr>
          <w:color w:val="808080" w:themeColor="background1" w:themeShade="80"/>
        </w:rPr>
      </w:pPr>
      <w:r w:rsidRPr="00B65D61">
        <w:rPr>
          <w:color w:val="808080" w:themeColor="background1" w:themeShade="80"/>
        </w:rPr>
        <w:continuationSeparator/>
      </w:r>
    </w:p>
  </w:footnote>
  <w:footnote w:type="continuationSeparator" w:id="0">
    <w:p w14:paraId="14794B32" w14:textId="77777777" w:rsidR="005B15B8" w:rsidRPr="00B65D61" w:rsidRDefault="005B15B8" w:rsidP="009A6955">
      <w:pPr>
        <w:spacing w:after="0" w:line="240" w:lineRule="auto"/>
        <w:rPr>
          <w:color w:val="808080" w:themeColor="background1" w:themeShade="80"/>
        </w:rPr>
      </w:pPr>
      <w:r w:rsidRPr="00B65D61">
        <w:rPr>
          <w:color w:val="808080" w:themeColor="background1" w:themeShade="80"/>
        </w:rPr>
        <w:continuationSeparator/>
      </w:r>
    </w:p>
    <w:p w14:paraId="0C468566" w14:textId="77777777" w:rsidR="005B15B8" w:rsidRDefault="005B15B8"/>
  </w:footnote>
  <w:footnote w:type="continuationNotice" w:id="1">
    <w:p w14:paraId="0AD8A55B" w14:textId="77777777" w:rsidR="005B15B8" w:rsidRDefault="005B15B8">
      <w:pPr>
        <w:spacing w:after="0" w:line="240" w:lineRule="auto"/>
      </w:pPr>
    </w:p>
  </w:footnote>
  <w:footnote w:id="2">
    <w:p w14:paraId="585451F8" w14:textId="12E248A8" w:rsidR="00D21586" w:rsidRPr="00D564B3" w:rsidRDefault="00D21586">
      <w:pPr>
        <w:pStyle w:val="FootnoteText"/>
      </w:pPr>
      <w:r w:rsidRPr="001730EB">
        <w:footnoteRef/>
      </w:r>
      <w:r w:rsidRPr="00D564B3">
        <w:t xml:space="preserve"> </w:t>
      </w:r>
      <w:r>
        <w:tab/>
      </w:r>
      <w:r w:rsidR="00FD5B05">
        <w:t xml:space="preserve">Accounting for the </w:t>
      </w:r>
      <w:r>
        <w:t>higher capital requirements</w:t>
      </w:r>
      <w:r w:rsidRPr="00D564B3">
        <w:t xml:space="preserve"> in the calculated cost of funding would almost halve the Commission’s estimated funding cost advantage from IRB modelling (to 8 basis points).</w:t>
      </w:r>
    </w:p>
  </w:footnote>
  <w:footnote w:id="3">
    <w:p w14:paraId="694C4EF3" w14:textId="3C0CA0A8" w:rsidR="00D21586" w:rsidRPr="00771E21" w:rsidRDefault="00D21586" w:rsidP="00890C8C">
      <w:pPr>
        <w:pStyle w:val="FootnoteText"/>
        <w:rPr>
          <w:spacing w:val="-2"/>
        </w:rPr>
      </w:pPr>
      <w:r w:rsidRPr="00771E21">
        <w:rPr>
          <w:spacing w:val="-2"/>
        </w:rPr>
        <w:footnoteRef/>
      </w:r>
      <w:r w:rsidRPr="00771E21">
        <w:rPr>
          <w:spacing w:val="-2"/>
        </w:rPr>
        <w:t xml:space="preserve"> </w:t>
      </w:r>
      <w:r w:rsidRPr="00771E21">
        <w:rPr>
          <w:spacing w:val="-2"/>
        </w:rPr>
        <w:tab/>
        <w:t>MasterCard and Visa are examples of four-party cards schemes</w:t>
      </w:r>
      <w:r w:rsidR="00771E21">
        <w:rPr>
          <w:spacing w:val="-2"/>
        </w:rPr>
        <w:t>, compris</w:t>
      </w:r>
      <w:r w:rsidR="004C36A7">
        <w:rPr>
          <w:spacing w:val="-2"/>
        </w:rPr>
        <w:t>ing</w:t>
      </w:r>
      <w:r w:rsidR="00771E21">
        <w:rPr>
          <w:spacing w:val="-2"/>
        </w:rPr>
        <w:t xml:space="preserve"> </w:t>
      </w:r>
      <w:r w:rsidRPr="00771E21">
        <w:rPr>
          <w:spacing w:val="-2"/>
        </w:rPr>
        <w:t>the cardholder, the merchant, the card-issuing bank and merchant’s (acquiring) bank. American Express and Diners Club are examples of three-party schemes</w:t>
      </w:r>
      <w:r w:rsidR="004C36A7">
        <w:rPr>
          <w:spacing w:val="-2"/>
        </w:rPr>
        <w:t xml:space="preserve">, which comprise </w:t>
      </w:r>
      <w:r w:rsidRPr="00771E21">
        <w:rPr>
          <w:spacing w:val="-2"/>
        </w:rPr>
        <w:t>the cardholder, the merchant and the card scheme which acts as both card issuer and transactions</w:t>
      </w:r>
      <w:r w:rsidR="004C36A7" w:rsidRPr="004C36A7">
        <w:rPr>
          <w:spacing w:val="-2"/>
        </w:rPr>
        <w:t xml:space="preserve"> </w:t>
      </w:r>
      <w:r w:rsidR="004C36A7" w:rsidRPr="00771E21">
        <w:rPr>
          <w:spacing w:val="-2"/>
        </w:rPr>
        <w:t>acquirer</w:t>
      </w:r>
      <w:r w:rsidRPr="00771E21">
        <w:rPr>
          <w:spacing w:val="-2"/>
        </w:rPr>
        <w:t>. Three-party schemes do not involve explicit interchange payments between the issuer and acquirer and are therefore not subject to interchange regulation; in Australia</w:t>
      </w:r>
      <w:r w:rsidR="004C36A7">
        <w:rPr>
          <w:spacing w:val="-2"/>
        </w:rPr>
        <w:t>, however,</w:t>
      </w:r>
      <w:r w:rsidRPr="00771E21">
        <w:rPr>
          <w:spacing w:val="-2"/>
        </w:rPr>
        <w:t xml:space="preserve"> they have removed their no-surcharge rules.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DB626" w14:textId="18A8B654" w:rsidR="00FF2C13" w:rsidRPr="00FF2C13" w:rsidRDefault="00FF2C13" w:rsidP="00FF2C13">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7E618" w14:textId="77777777" w:rsidR="003C3BCC" w:rsidRDefault="003C3B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A7346" w14:textId="79BC0159" w:rsidR="00D21586" w:rsidRPr="00FF2C13" w:rsidRDefault="00D21586">
    <w:pPr>
      <w:pStyle w:val="Header"/>
      <w:rPr>
        <w:b/>
      </w:rPr>
    </w:pPr>
    <w:r>
      <w:rPr>
        <w:noProof/>
      </w:rPr>
      <w:drawing>
        <wp:inline distT="0" distB="0" distL="0" distR="0" wp14:anchorId="1E4A7348" wp14:editId="1E4A7349">
          <wp:extent cx="2872105" cy="373380"/>
          <wp:effectExtent l="0" t="0" r="0" b="0"/>
          <wp:docPr id="1" name="Picture 1" descr="rba-logo-horizonta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ba-logo-horizontal-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2105" cy="3733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7D0D09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46B44"/>
    <w:multiLevelType w:val="multilevel"/>
    <w:tmpl w:val="D49CE1BA"/>
    <w:numStyleLink w:val="Headings"/>
  </w:abstractNum>
  <w:abstractNum w:abstractNumId="2" w15:restartNumberingAfterBreak="0">
    <w:nsid w:val="049C73C1"/>
    <w:multiLevelType w:val="hybridMultilevel"/>
    <w:tmpl w:val="9B3E42D6"/>
    <w:lvl w:ilvl="0" w:tplc="74EAC28A">
      <w:start w:val="1"/>
      <w:numFmt w:val="decimal"/>
      <w:lvlText w:val="B.%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9C7CFD"/>
    <w:multiLevelType w:val="hybridMultilevel"/>
    <w:tmpl w:val="E5F0CDF8"/>
    <w:lvl w:ilvl="0" w:tplc="42D20772">
      <w:start w:val="1"/>
      <w:numFmt w:val="decimal"/>
      <w:lvlText w:val="C.%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D9797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F2380C"/>
    <w:multiLevelType w:val="hybridMultilevel"/>
    <w:tmpl w:val="E82092A0"/>
    <w:lvl w:ilvl="0" w:tplc="9662C8D4">
      <w:start w:val="1"/>
      <w:numFmt w:val="decimal"/>
      <w:pStyle w:val="Heading1"/>
      <w:lvlText w:val="%1."/>
      <w:lvlJc w:val="left"/>
      <w:pPr>
        <w:ind w:left="720" w:hanging="360"/>
      </w:pPr>
      <w:rPr>
        <w:rFonts w:hint="default"/>
      </w:rPr>
    </w:lvl>
    <w:lvl w:ilvl="1" w:tplc="FD509790">
      <w:start w:val="1"/>
      <w:numFmt w:val="lowerLetter"/>
      <w:pStyle w:val="Heading2"/>
      <w:lvlText w:val="%2."/>
      <w:lvlJc w:val="left"/>
      <w:pPr>
        <w:ind w:left="1440" w:hanging="360"/>
      </w:pPr>
    </w:lvl>
    <w:lvl w:ilvl="2" w:tplc="9BCA232C">
      <w:start w:val="1"/>
      <w:numFmt w:val="lowerRoman"/>
      <w:pStyle w:val="Heading3"/>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631D49"/>
    <w:multiLevelType w:val="singleLevel"/>
    <w:tmpl w:val="91169360"/>
    <w:lvl w:ilvl="0">
      <w:start w:val="1"/>
      <w:numFmt w:val="decimal"/>
      <w:pStyle w:val="Heading5"/>
      <w:lvlText w:val="%1."/>
      <w:lvlJc w:val="left"/>
      <w:pPr>
        <w:ind w:left="0" w:firstLine="0"/>
      </w:pPr>
      <w:rPr>
        <w:rFonts w:hint="default"/>
      </w:rPr>
    </w:lvl>
  </w:abstractNum>
  <w:abstractNum w:abstractNumId="7" w15:restartNumberingAfterBreak="0">
    <w:nsid w:val="12ED3556"/>
    <w:multiLevelType w:val="hybridMultilevel"/>
    <w:tmpl w:val="819E3118"/>
    <w:lvl w:ilvl="0" w:tplc="3A88EA7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13666D6E"/>
    <w:multiLevelType w:val="multilevel"/>
    <w:tmpl w:val="CB622C8A"/>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851" w:hanging="426"/>
      </w:pPr>
      <w:rPr>
        <w:rFonts w:hint="default"/>
      </w:rPr>
    </w:lvl>
    <w:lvl w:ilvl="7">
      <w:start w:val="1"/>
      <w:numFmt w:val="lowerRoman"/>
      <w:lvlText w:val="(%8)"/>
      <w:lvlJc w:val="left"/>
      <w:pPr>
        <w:ind w:left="1276" w:hanging="425"/>
      </w:pPr>
      <w:rPr>
        <w:rFonts w:hint="default"/>
      </w:rPr>
    </w:lvl>
    <w:lvl w:ilvl="8">
      <w:start w:val="1"/>
      <w:numFmt w:val="upperLetter"/>
      <w:lvlText w:val="(%9)"/>
      <w:lvlJc w:val="left"/>
      <w:pPr>
        <w:tabs>
          <w:tab w:val="num" w:pos="1276"/>
        </w:tabs>
        <w:ind w:left="1701" w:hanging="425"/>
      </w:pPr>
      <w:rPr>
        <w:rFonts w:hint="default"/>
      </w:rPr>
    </w:lvl>
  </w:abstractNum>
  <w:abstractNum w:abstractNumId="9" w15:restartNumberingAfterBreak="0">
    <w:nsid w:val="14DD0E01"/>
    <w:multiLevelType w:val="multilevel"/>
    <w:tmpl w:val="BA9C84EE"/>
    <w:styleLink w:val="ListLettera"/>
    <w:lvl w:ilvl="0">
      <w:start w:val="1"/>
      <w:numFmt w:val="lowerLetter"/>
      <w:lvlText w:val="(%1)"/>
      <w:lvlJc w:val="left"/>
      <w:pPr>
        <w:tabs>
          <w:tab w:val="num" w:pos="0"/>
        </w:tabs>
        <w:ind w:left="425" w:hanging="425"/>
      </w:pPr>
      <w:rPr>
        <w:rFonts w:asciiTheme="minorHAnsi" w:hAnsiTheme="minorHAnsi" w:hint="default"/>
        <w:sz w:val="21"/>
      </w:rPr>
    </w:lvl>
    <w:lvl w:ilvl="1">
      <w:start w:val="1"/>
      <w:numFmt w:val="lowerRoman"/>
      <w:lvlText w:val="(%2)"/>
      <w:lvlJc w:val="left"/>
      <w:pPr>
        <w:tabs>
          <w:tab w:val="num" w:pos="425"/>
        </w:tabs>
        <w:ind w:left="850" w:hanging="425"/>
      </w:pPr>
      <w:rPr>
        <w:rFonts w:hint="default"/>
      </w:rPr>
    </w:lvl>
    <w:lvl w:ilvl="2">
      <w:start w:val="1"/>
      <w:numFmt w:val="upperLetter"/>
      <w:lvlText w:val="(%3)"/>
      <w:lvlJc w:val="left"/>
      <w:pPr>
        <w:tabs>
          <w:tab w:val="num" w:pos="850"/>
        </w:tabs>
        <w:ind w:left="1275" w:hanging="425"/>
      </w:pPr>
      <w:rPr>
        <w:rFonts w:hint="default"/>
      </w:rPr>
    </w:lvl>
    <w:lvl w:ilvl="3">
      <w:start w:val="1"/>
      <w:numFmt w:val="none"/>
      <w:lvlText w:val=""/>
      <w:lvlJc w:val="left"/>
      <w:pPr>
        <w:tabs>
          <w:tab w:val="num" w:pos="1275"/>
        </w:tabs>
        <w:ind w:left="1700" w:hanging="425"/>
      </w:pPr>
      <w:rPr>
        <w:rFonts w:hint="default"/>
      </w:rPr>
    </w:lvl>
    <w:lvl w:ilvl="4">
      <w:start w:val="1"/>
      <w:numFmt w:val="none"/>
      <w:lvlText w:val=""/>
      <w:lvlJc w:val="left"/>
      <w:pPr>
        <w:tabs>
          <w:tab w:val="num" w:pos="1700"/>
        </w:tabs>
        <w:ind w:left="2125" w:hanging="425"/>
      </w:pPr>
      <w:rPr>
        <w:rFonts w:hint="default"/>
      </w:rPr>
    </w:lvl>
    <w:lvl w:ilvl="5">
      <w:start w:val="1"/>
      <w:numFmt w:val="none"/>
      <w:lvlText w:val=""/>
      <w:lvlJc w:val="left"/>
      <w:pPr>
        <w:tabs>
          <w:tab w:val="num" w:pos="2125"/>
        </w:tabs>
        <w:ind w:left="2550" w:hanging="425"/>
      </w:pPr>
      <w:rPr>
        <w:rFonts w:hint="default"/>
      </w:rPr>
    </w:lvl>
    <w:lvl w:ilvl="6">
      <w:start w:val="1"/>
      <w:numFmt w:val="none"/>
      <w:lvlText w:val=""/>
      <w:lvlJc w:val="left"/>
      <w:pPr>
        <w:tabs>
          <w:tab w:val="num" w:pos="2550"/>
        </w:tabs>
        <w:ind w:left="2975" w:hanging="425"/>
      </w:pPr>
      <w:rPr>
        <w:rFonts w:hint="default"/>
      </w:rPr>
    </w:lvl>
    <w:lvl w:ilvl="7">
      <w:start w:val="1"/>
      <w:numFmt w:val="none"/>
      <w:lvlText w:val=""/>
      <w:lvlJc w:val="left"/>
      <w:pPr>
        <w:tabs>
          <w:tab w:val="num" w:pos="2975"/>
        </w:tabs>
        <w:ind w:left="3400" w:hanging="425"/>
      </w:pPr>
      <w:rPr>
        <w:rFonts w:hint="default"/>
      </w:rPr>
    </w:lvl>
    <w:lvl w:ilvl="8">
      <w:start w:val="1"/>
      <w:numFmt w:val="none"/>
      <w:lvlText w:val=""/>
      <w:lvlJc w:val="left"/>
      <w:pPr>
        <w:tabs>
          <w:tab w:val="num" w:pos="3400"/>
        </w:tabs>
        <w:ind w:left="3825" w:hanging="425"/>
      </w:pPr>
      <w:rPr>
        <w:rFonts w:hint="default"/>
      </w:rPr>
    </w:lvl>
  </w:abstractNum>
  <w:abstractNum w:abstractNumId="10" w15:restartNumberingAfterBreak="0">
    <w:nsid w:val="18733131"/>
    <w:multiLevelType w:val="multilevel"/>
    <w:tmpl w:val="D49CE1BA"/>
    <w:styleLink w:val="Headings"/>
    <w:lvl w:ilvl="0">
      <w:start w:val="1"/>
      <w:numFmt w:val="none"/>
      <w:suff w:val="nothing"/>
      <w:lvlText w:val=""/>
      <w:lvlJc w:val="left"/>
      <w:pPr>
        <w:ind w:left="0" w:firstLine="0"/>
      </w:pPr>
      <w:rPr>
        <w:rFonts w:hint="default"/>
      </w:rPr>
    </w:lvl>
    <w:lvl w:ilvl="1">
      <w:start w:val="1"/>
      <w:numFmt w:val="decimal"/>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567"/>
        </w:tabs>
        <w:ind w:left="425" w:hanging="425"/>
      </w:pPr>
      <w:rPr>
        <w:rFonts w:hint="default"/>
      </w:rPr>
    </w:lvl>
    <w:lvl w:ilvl="6">
      <w:start w:val="1"/>
      <w:numFmt w:val="lowerLetter"/>
      <w:lvlText w:val="(%7)"/>
      <w:lvlJc w:val="left"/>
      <w:pPr>
        <w:tabs>
          <w:tab w:val="num" w:pos="851"/>
        </w:tabs>
        <w:ind w:left="851" w:hanging="426"/>
      </w:pPr>
      <w:rPr>
        <w:rFonts w:hint="default"/>
      </w:rPr>
    </w:lvl>
    <w:lvl w:ilvl="7">
      <w:start w:val="1"/>
      <w:numFmt w:val="lowerRoman"/>
      <w:lvlText w:val="(%8)"/>
      <w:lvlJc w:val="left"/>
      <w:pPr>
        <w:tabs>
          <w:tab w:val="num" w:pos="1276"/>
        </w:tabs>
        <w:ind w:left="1276" w:hanging="425"/>
      </w:pPr>
      <w:rPr>
        <w:rFonts w:hint="default"/>
      </w:rPr>
    </w:lvl>
    <w:lvl w:ilvl="8">
      <w:start w:val="1"/>
      <w:numFmt w:val="none"/>
      <w:lvlText w:val=""/>
      <w:lvlJc w:val="left"/>
      <w:pPr>
        <w:tabs>
          <w:tab w:val="num" w:pos="1701"/>
        </w:tabs>
        <w:ind w:left="2126" w:hanging="425"/>
      </w:pPr>
      <w:rPr>
        <w:rFonts w:hint="default"/>
      </w:rPr>
    </w:lvl>
  </w:abstractNum>
  <w:abstractNum w:abstractNumId="11" w15:restartNumberingAfterBreak="0">
    <w:nsid w:val="23510DDB"/>
    <w:multiLevelType w:val="hybridMultilevel"/>
    <w:tmpl w:val="64185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744394"/>
    <w:multiLevelType w:val="multilevel"/>
    <w:tmpl w:val="D49CE1BA"/>
    <w:numStyleLink w:val="Headings"/>
  </w:abstractNum>
  <w:abstractNum w:abstractNumId="13" w15:restartNumberingAfterBreak="0">
    <w:nsid w:val="281311E9"/>
    <w:multiLevelType w:val="hybridMultilevel"/>
    <w:tmpl w:val="977264DE"/>
    <w:lvl w:ilvl="0" w:tplc="8A52E616">
      <w:start w:val="1"/>
      <w:numFmt w:val="decimal"/>
      <w:lvlText w:val="2.1.%1"/>
      <w:lvlJc w:val="left"/>
      <w:pPr>
        <w:ind w:left="720" w:hanging="360"/>
      </w:pPr>
      <w:rPr>
        <w:rFonts w:hint="default"/>
      </w:rPr>
    </w:lvl>
    <w:lvl w:ilvl="1" w:tplc="669867AC" w:tentative="1">
      <w:start w:val="1"/>
      <w:numFmt w:val="lowerLetter"/>
      <w:lvlText w:val="%2."/>
      <w:lvlJc w:val="left"/>
      <w:pPr>
        <w:ind w:left="1440" w:hanging="360"/>
      </w:pPr>
    </w:lvl>
    <w:lvl w:ilvl="2" w:tplc="9C888AF0" w:tentative="1">
      <w:start w:val="1"/>
      <w:numFmt w:val="lowerRoman"/>
      <w:lvlText w:val="%3."/>
      <w:lvlJc w:val="right"/>
      <w:pPr>
        <w:ind w:left="2160" w:hanging="180"/>
      </w:pPr>
    </w:lvl>
    <w:lvl w:ilvl="3" w:tplc="A0A8E394" w:tentative="1">
      <w:start w:val="1"/>
      <w:numFmt w:val="decimal"/>
      <w:lvlText w:val="%4."/>
      <w:lvlJc w:val="left"/>
      <w:pPr>
        <w:ind w:left="2880" w:hanging="360"/>
      </w:pPr>
    </w:lvl>
    <w:lvl w:ilvl="4" w:tplc="2D7E8B1A" w:tentative="1">
      <w:start w:val="1"/>
      <w:numFmt w:val="lowerLetter"/>
      <w:lvlText w:val="%5."/>
      <w:lvlJc w:val="left"/>
      <w:pPr>
        <w:ind w:left="3600" w:hanging="360"/>
      </w:pPr>
    </w:lvl>
    <w:lvl w:ilvl="5" w:tplc="0F42B8E2" w:tentative="1">
      <w:start w:val="1"/>
      <w:numFmt w:val="lowerRoman"/>
      <w:lvlText w:val="%6."/>
      <w:lvlJc w:val="right"/>
      <w:pPr>
        <w:ind w:left="4320" w:hanging="180"/>
      </w:pPr>
    </w:lvl>
    <w:lvl w:ilvl="6" w:tplc="5468A542" w:tentative="1">
      <w:start w:val="1"/>
      <w:numFmt w:val="decimal"/>
      <w:lvlText w:val="%7."/>
      <w:lvlJc w:val="left"/>
      <w:pPr>
        <w:ind w:left="5040" w:hanging="360"/>
      </w:pPr>
    </w:lvl>
    <w:lvl w:ilvl="7" w:tplc="7D8495FA" w:tentative="1">
      <w:start w:val="1"/>
      <w:numFmt w:val="lowerLetter"/>
      <w:lvlText w:val="%8."/>
      <w:lvlJc w:val="left"/>
      <w:pPr>
        <w:ind w:left="5760" w:hanging="360"/>
      </w:pPr>
    </w:lvl>
    <w:lvl w:ilvl="8" w:tplc="1EB2ECA8" w:tentative="1">
      <w:start w:val="1"/>
      <w:numFmt w:val="lowerRoman"/>
      <w:lvlText w:val="%9."/>
      <w:lvlJc w:val="right"/>
      <w:pPr>
        <w:ind w:left="6480" w:hanging="180"/>
      </w:pPr>
    </w:lvl>
  </w:abstractNum>
  <w:abstractNum w:abstractNumId="14" w15:restartNumberingAfterBreak="0">
    <w:nsid w:val="28533AD1"/>
    <w:multiLevelType w:val="multilevel"/>
    <w:tmpl w:val="D49CE1BA"/>
    <w:numStyleLink w:val="Headings"/>
  </w:abstractNum>
  <w:abstractNum w:abstractNumId="15" w15:restartNumberingAfterBreak="0">
    <w:nsid w:val="29321B14"/>
    <w:multiLevelType w:val="hybridMultilevel"/>
    <w:tmpl w:val="16DC6478"/>
    <w:lvl w:ilvl="0" w:tplc="8A4C20F6">
      <w:start w:val="1"/>
      <w:numFmt w:val="decimal"/>
      <w:lvlText w:val="%1."/>
      <w:lvlJc w:val="left"/>
      <w:pPr>
        <w:ind w:left="720" w:hanging="360"/>
      </w:pPr>
      <w:rPr>
        <w:rFonts w:hint="default"/>
      </w:rPr>
    </w:lvl>
    <w:lvl w:ilvl="1" w:tplc="E7B243CE" w:tentative="1">
      <w:start w:val="1"/>
      <w:numFmt w:val="lowerLetter"/>
      <w:lvlText w:val="%2."/>
      <w:lvlJc w:val="left"/>
      <w:pPr>
        <w:ind w:left="1440" w:hanging="360"/>
      </w:pPr>
    </w:lvl>
    <w:lvl w:ilvl="2" w:tplc="833E5320" w:tentative="1">
      <w:start w:val="1"/>
      <w:numFmt w:val="lowerRoman"/>
      <w:lvlText w:val="%3."/>
      <w:lvlJc w:val="right"/>
      <w:pPr>
        <w:ind w:left="2160" w:hanging="180"/>
      </w:pPr>
    </w:lvl>
    <w:lvl w:ilvl="3" w:tplc="6C42928E" w:tentative="1">
      <w:start w:val="1"/>
      <w:numFmt w:val="decimal"/>
      <w:lvlText w:val="%4."/>
      <w:lvlJc w:val="left"/>
      <w:pPr>
        <w:ind w:left="2880" w:hanging="360"/>
      </w:pPr>
    </w:lvl>
    <w:lvl w:ilvl="4" w:tplc="C122B960" w:tentative="1">
      <w:start w:val="1"/>
      <w:numFmt w:val="lowerLetter"/>
      <w:lvlText w:val="%5."/>
      <w:lvlJc w:val="left"/>
      <w:pPr>
        <w:ind w:left="3600" w:hanging="360"/>
      </w:pPr>
    </w:lvl>
    <w:lvl w:ilvl="5" w:tplc="36CC9098" w:tentative="1">
      <w:start w:val="1"/>
      <w:numFmt w:val="lowerRoman"/>
      <w:lvlText w:val="%6."/>
      <w:lvlJc w:val="right"/>
      <w:pPr>
        <w:ind w:left="4320" w:hanging="180"/>
      </w:pPr>
    </w:lvl>
    <w:lvl w:ilvl="6" w:tplc="BEDE0004" w:tentative="1">
      <w:start w:val="1"/>
      <w:numFmt w:val="decimal"/>
      <w:lvlText w:val="%7."/>
      <w:lvlJc w:val="left"/>
      <w:pPr>
        <w:ind w:left="5040" w:hanging="360"/>
      </w:pPr>
    </w:lvl>
    <w:lvl w:ilvl="7" w:tplc="ED020448" w:tentative="1">
      <w:start w:val="1"/>
      <w:numFmt w:val="lowerLetter"/>
      <w:lvlText w:val="%8."/>
      <w:lvlJc w:val="left"/>
      <w:pPr>
        <w:ind w:left="5760" w:hanging="360"/>
      </w:pPr>
    </w:lvl>
    <w:lvl w:ilvl="8" w:tplc="8842E49A" w:tentative="1">
      <w:start w:val="1"/>
      <w:numFmt w:val="lowerRoman"/>
      <w:lvlText w:val="%9."/>
      <w:lvlJc w:val="right"/>
      <w:pPr>
        <w:ind w:left="6480" w:hanging="180"/>
      </w:pPr>
    </w:lvl>
  </w:abstractNum>
  <w:abstractNum w:abstractNumId="16" w15:restartNumberingAfterBreak="0">
    <w:nsid w:val="2FD95805"/>
    <w:multiLevelType w:val="hybridMultilevel"/>
    <w:tmpl w:val="4300B92C"/>
    <w:lvl w:ilvl="0" w:tplc="9E36F256">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33AB6751"/>
    <w:multiLevelType w:val="hybridMultilevel"/>
    <w:tmpl w:val="70142310"/>
    <w:lvl w:ilvl="0" w:tplc="44EEDB64">
      <w:start w:val="1"/>
      <w:numFmt w:val="decimal"/>
      <w:lvlText w:val="E.%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DB6C3B"/>
    <w:multiLevelType w:val="hybridMultilevel"/>
    <w:tmpl w:val="B7F0150C"/>
    <w:lvl w:ilvl="0" w:tplc="9E64E90E">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0870D5"/>
    <w:multiLevelType w:val="hybridMultilevel"/>
    <w:tmpl w:val="B1AA4BB6"/>
    <w:lvl w:ilvl="0" w:tplc="375C4A70">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0" w15:restartNumberingAfterBreak="0">
    <w:nsid w:val="490C05EB"/>
    <w:multiLevelType w:val="multilevel"/>
    <w:tmpl w:val="D49CE1BA"/>
    <w:numStyleLink w:val="Headings"/>
  </w:abstractNum>
  <w:abstractNum w:abstractNumId="21" w15:restartNumberingAfterBreak="0">
    <w:nsid w:val="4EB65C7B"/>
    <w:multiLevelType w:val="hybridMultilevel"/>
    <w:tmpl w:val="32868C58"/>
    <w:lvl w:ilvl="0" w:tplc="AC12B194">
      <w:start w:val="1"/>
      <w:numFmt w:val="bullet"/>
      <w:lvlText w:val=""/>
      <w:lvlJc w:val="left"/>
      <w:pPr>
        <w:ind w:left="1287" w:hanging="360"/>
      </w:pPr>
      <w:rPr>
        <w:rFonts w:ascii="Symbol" w:hAnsi="Symbol" w:hint="default"/>
      </w:rPr>
    </w:lvl>
    <w:lvl w:ilvl="1" w:tplc="0B261EEA" w:tentative="1">
      <w:start w:val="1"/>
      <w:numFmt w:val="bullet"/>
      <w:lvlText w:val="o"/>
      <w:lvlJc w:val="left"/>
      <w:pPr>
        <w:ind w:left="2007" w:hanging="360"/>
      </w:pPr>
      <w:rPr>
        <w:rFonts w:ascii="Courier New" w:hAnsi="Courier New" w:cs="Courier New" w:hint="default"/>
      </w:rPr>
    </w:lvl>
    <w:lvl w:ilvl="2" w:tplc="36C8DEC4" w:tentative="1">
      <w:start w:val="1"/>
      <w:numFmt w:val="bullet"/>
      <w:lvlText w:val=""/>
      <w:lvlJc w:val="left"/>
      <w:pPr>
        <w:ind w:left="2727" w:hanging="360"/>
      </w:pPr>
      <w:rPr>
        <w:rFonts w:ascii="Wingdings" w:hAnsi="Wingdings" w:hint="default"/>
      </w:rPr>
    </w:lvl>
    <w:lvl w:ilvl="3" w:tplc="B240B242" w:tentative="1">
      <w:start w:val="1"/>
      <w:numFmt w:val="bullet"/>
      <w:lvlText w:val=""/>
      <w:lvlJc w:val="left"/>
      <w:pPr>
        <w:ind w:left="3447" w:hanging="360"/>
      </w:pPr>
      <w:rPr>
        <w:rFonts w:ascii="Symbol" w:hAnsi="Symbol" w:hint="default"/>
      </w:rPr>
    </w:lvl>
    <w:lvl w:ilvl="4" w:tplc="07E63EFC" w:tentative="1">
      <w:start w:val="1"/>
      <w:numFmt w:val="bullet"/>
      <w:lvlText w:val="o"/>
      <w:lvlJc w:val="left"/>
      <w:pPr>
        <w:ind w:left="4167" w:hanging="360"/>
      </w:pPr>
      <w:rPr>
        <w:rFonts w:ascii="Courier New" w:hAnsi="Courier New" w:cs="Courier New" w:hint="default"/>
      </w:rPr>
    </w:lvl>
    <w:lvl w:ilvl="5" w:tplc="B7A82E6E" w:tentative="1">
      <w:start w:val="1"/>
      <w:numFmt w:val="bullet"/>
      <w:lvlText w:val=""/>
      <w:lvlJc w:val="left"/>
      <w:pPr>
        <w:ind w:left="4887" w:hanging="360"/>
      </w:pPr>
      <w:rPr>
        <w:rFonts w:ascii="Wingdings" w:hAnsi="Wingdings" w:hint="default"/>
      </w:rPr>
    </w:lvl>
    <w:lvl w:ilvl="6" w:tplc="90082700" w:tentative="1">
      <w:start w:val="1"/>
      <w:numFmt w:val="bullet"/>
      <w:lvlText w:val=""/>
      <w:lvlJc w:val="left"/>
      <w:pPr>
        <w:ind w:left="5607" w:hanging="360"/>
      </w:pPr>
      <w:rPr>
        <w:rFonts w:ascii="Symbol" w:hAnsi="Symbol" w:hint="default"/>
      </w:rPr>
    </w:lvl>
    <w:lvl w:ilvl="7" w:tplc="B34CD862" w:tentative="1">
      <w:start w:val="1"/>
      <w:numFmt w:val="bullet"/>
      <w:lvlText w:val="o"/>
      <w:lvlJc w:val="left"/>
      <w:pPr>
        <w:ind w:left="6327" w:hanging="360"/>
      </w:pPr>
      <w:rPr>
        <w:rFonts w:ascii="Courier New" w:hAnsi="Courier New" w:cs="Courier New" w:hint="default"/>
      </w:rPr>
    </w:lvl>
    <w:lvl w:ilvl="8" w:tplc="AD622866" w:tentative="1">
      <w:start w:val="1"/>
      <w:numFmt w:val="bullet"/>
      <w:lvlText w:val=""/>
      <w:lvlJc w:val="left"/>
      <w:pPr>
        <w:ind w:left="7047" w:hanging="360"/>
      </w:pPr>
      <w:rPr>
        <w:rFonts w:ascii="Wingdings" w:hAnsi="Wingdings" w:hint="default"/>
      </w:rPr>
    </w:lvl>
  </w:abstractNum>
  <w:abstractNum w:abstractNumId="22" w15:restartNumberingAfterBreak="0">
    <w:nsid w:val="4ED93208"/>
    <w:multiLevelType w:val="multilevel"/>
    <w:tmpl w:val="B9686D02"/>
    <w:styleLink w:val="Bullets"/>
    <w:lvl w:ilvl="0">
      <w:start w:val="1"/>
      <w:numFmt w:val="bullet"/>
      <w:pStyle w:val="ListBullet"/>
      <w:lvlText w:val=""/>
      <w:lvlJc w:val="left"/>
      <w:pPr>
        <w:ind w:left="425" w:hanging="425"/>
      </w:pPr>
      <w:rPr>
        <w:rFonts w:ascii="Symbol" w:hAnsi="Symbol" w:hint="default"/>
      </w:rPr>
    </w:lvl>
    <w:lvl w:ilvl="1">
      <w:start w:val="1"/>
      <w:numFmt w:val="bullet"/>
      <w:lvlText w:val="–"/>
      <w:lvlJc w:val="left"/>
      <w:pPr>
        <w:ind w:left="850" w:hanging="425"/>
      </w:pPr>
      <w:rPr>
        <w:rFonts w:ascii="Arial" w:hAnsi="Arial" w:hint="default"/>
      </w:rPr>
    </w:lvl>
    <w:lvl w:ilvl="2">
      <w:start w:val="1"/>
      <w:numFmt w:val="bullet"/>
      <w:lvlText w:val="○"/>
      <w:lvlJc w:val="left"/>
      <w:pPr>
        <w:ind w:left="1275" w:hanging="425"/>
      </w:pPr>
      <w:rPr>
        <w:rFonts w:ascii="Calibri" w:hAnsi="Calibri"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3" w15:restartNumberingAfterBreak="0">
    <w:nsid w:val="55A67EBD"/>
    <w:multiLevelType w:val="hybridMultilevel"/>
    <w:tmpl w:val="57189862"/>
    <w:lvl w:ilvl="0" w:tplc="45A07614">
      <w:start w:val="9"/>
      <w:numFmt w:val="decimal"/>
      <w:lvlText w:val="E.%1"/>
      <w:lvlJc w:val="left"/>
      <w:pPr>
        <w:ind w:left="720" w:hanging="360"/>
      </w:pPr>
      <w:rPr>
        <w:rFonts w:hint="default"/>
      </w:rPr>
    </w:lvl>
    <w:lvl w:ilvl="1" w:tplc="533CA338" w:tentative="1">
      <w:start w:val="1"/>
      <w:numFmt w:val="lowerLetter"/>
      <w:lvlText w:val="%2."/>
      <w:lvlJc w:val="left"/>
      <w:pPr>
        <w:ind w:left="1440" w:hanging="360"/>
      </w:pPr>
    </w:lvl>
    <w:lvl w:ilvl="2" w:tplc="2F5C52B2" w:tentative="1">
      <w:start w:val="1"/>
      <w:numFmt w:val="lowerRoman"/>
      <w:lvlText w:val="%3."/>
      <w:lvlJc w:val="right"/>
      <w:pPr>
        <w:ind w:left="2160" w:hanging="180"/>
      </w:pPr>
    </w:lvl>
    <w:lvl w:ilvl="3" w:tplc="F7E81320" w:tentative="1">
      <w:start w:val="1"/>
      <w:numFmt w:val="decimal"/>
      <w:lvlText w:val="%4."/>
      <w:lvlJc w:val="left"/>
      <w:pPr>
        <w:ind w:left="2880" w:hanging="360"/>
      </w:pPr>
    </w:lvl>
    <w:lvl w:ilvl="4" w:tplc="1924E46A" w:tentative="1">
      <w:start w:val="1"/>
      <w:numFmt w:val="lowerLetter"/>
      <w:lvlText w:val="%5."/>
      <w:lvlJc w:val="left"/>
      <w:pPr>
        <w:ind w:left="3600" w:hanging="360"/>
      </w:pPr>
    </w:lvl>
    <w:lvl w:ilvl="5" w:tplc="351617B0" w:tentative="1">
      <w:start w:val="1"/>
      <w:numFmt w:val="lowerRoman"/>
      <w:lvlText w:val="%6."/>
      <w:lvlJc w:val="right"/>
      <w:pPr>
        <w:ind w:left="4320" w:hanging="180"/>
      </w:pPr>
    </w:lvl>
    <w:lvl w:ilvl="6" w:tplc="3634D6F6" w:tentative="1">
      <w:start w:val="1"/>
      <w:numFmt w:val="decimal"/>
      <w:lvlText w:val="%7."/>
      <w:lvlJc w:val="left"/>
      <w:pPr>
        <w:ind w:left="5040" w:hanging="360"/>
      </w:pPr>
    </w:lvl>
    <w:lvl w:ilvl="7" w:tplc="43F2F7EA" w:tentative="1">
      <w:start w:val="1"/>
      <w:numFmt w:val="lowerLetter"/>
      <w:lvlText w:val="%8."/>
      <w:lvlJc w:val="left"/>
      <w:pPr>
        <w:ind w:left="5760" w:hanging="360"/>
      </w:pPr>
    </w:lvl>
    <w:lvl w:ilvl="8" w:tplc="904AE49C" w:tentative="1">
      <w:start w:val="1"/>
      <w:numFmt w:val="lowerRoman"/>
      <w:lvlText w:val="%9."/>
      <w:lvlJc w:val="right"/>
      <w:pPr>
        <w:ind w:left="6480" w:hanging="180"/>
      </w:pPr>
    </w:lvl>
  </w:abstractNum>
  <w:abstractNum w:abstractNumId="24" w15:restartNumberingAfterBreak="0">
    <w:nsid w:val="563A3023"/>
    <w:multiLevelType w:val="hybridMultilevel"/>
    <w:tmpl w:val="53182D32"/>
    <w:lvl w:ilvl="0" w:tplc="9274D136">
      <w:start w:val="1"/>
      <w:numFmt w:val="decimal"/>
      <w:lvlText w:val="D.%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090427"/>
    <w:multiLevelType w:val="hybridMultilevel"/>
    <w:tmpl w:val="A5E011B4"/>
    <w:lvl w:ilvl="0" w:tplc="9CC22762">
      <w:start w:val="1"/>
      <w:numFmt w:val="bullet"/>
      <w:pStyle w:val="ListBullet2"/>
      <w:lvlText w:val=""/>
      <w:lvlJc w:val="left"/>
      <w:pPr>
        <w:ind w:left="643" w:hanging="360"/>
      </w:pPr>
      <w:rPr>
        <w:rFonts w:ascii="Symbol" w:hAnsi="Symbol" w:hint="default"/>
      </w:rPr>
    </w:lvl>
    <w:lvl w:ilvl="1" w:tplc="0C090019" w:tentative="1">
      <w:start w:val="1"/>
      <w:numFmt w:val="bullet"/>
      <w:lvlText w:val="o"/>
      <w:lvlJc w:val="left"/>
      <w:pPr>
        <w:ind w:left="1363" w:hanging="360"/>
      </w:pPr>
      <w:rPr>
        <w:rFonts w:ascii="Courier New" w:hAnsi="Courier New" w:cs="Courier New" w:hint="default"/>
      </w:rPr>
    </w:lvl>
    <w:lvl w:ilvl="2" w:tplc="0C09001B" w:tentative="1">
      <w:start w:val="1"/>
      <w:numFmt w:val="bullet"/>
      <w:lvlText w:val=""/>
      <w:lvlJc w:val="left"/>
      <w:pPr>
        <w:ind w:left="2083" w:hanging="360"/>
      </w:pPr>
      <w:rPr>
        <w:rFonts w:ascii="Wingdings" w:hAnsi="Wingdings" w:hint="default"/>
      </w:rPr>
    </w:lvl>
    <w:lvl w:ilvl="3" w:tplc="0C09000F" w:tentative="1">
      <w:start w:val="1"/>
      <w:numFmt w:val="bullet"/>
      <w:lvlText w:val=""/>
      <w:lvlJc w:val="left"/>
      <w:pPr>
        <w:ind w:left="2803" w:hanging="360"/>
      </w:pPr>
      <w:rPr>
        <w:rFonts w:ascii="Symbol" w:hAnsi="Symbol" w:hint="default"/>
      </w:rPr>
    </w:lvl>
    <w:lvl w:ilvl="4" w:tplc="0C090019" w:tentative="1">
      <w:start w:val="1"/>
      <w:numFmt w:val="bullet"/>
      <w:lvlText w:val="o"/>
      <w:lvlJc w:val="left"/>
      <w:pPr>
        <w:ind w:left="3523" w:hanging="360"/>
      </w:pPr>
      <w:rPr>
        <w:rFonts w:ascii="Courier New" w:hAnsi="Courier New" w:cs="Courier New" w:hint="default"/>
      </w:rPr>
    </w:lvl>
    <w:lvl w:ilvl="5" w:tplc="0C09001B" w:tentative="1">
      <w:start w:val="1"/>
      <w:numFmt w:val="bullet"/>
      <w:lvlText w:val=""/>
      <w:lvlJc w:val="left"/>
      <w:pPr>
        <w:ind w:left="4243" w:hanging="360"/>
      </w:pPr>
      <w:rPr>
        <w:rFonts w:ascii="Wingdings" w:hAnsi="Wingdings" w:hint="default"/>
      </w:rPr>
    </w:lvl>
    <w:lvl w:ilvl="6" w:tplc="0C09000F" w:tentative="1">
      <w:start w:val="1"/>
      <w:numFmt w:val="bullet"/>
      <w:lvlText w:val=""/>
      <w:lvlJc w:val="left"/>
      <w:pPr>
        <w:ind w:left="4963" w:hanging="360"/>
      </w:pPr>
      <w:rPr>
        <w:rFonts w:ascii="Symbol" w:hAnsi="Symbol" w:hint="default"/>
      </w:rPr>
    </w:lvl>
    <w:lvl w:ilvl="7" w:tplc="0C090019" w:tentative="1">
      <w:start w:val="1"/>
      <w:numFmt w:val="bullet"/>
      <w:lvlText w:val="o"/>
      <w:lvlJc w:val="left"/>
      <w:pPr>
        <w:ind w:left="5683" w:hanging="360"/>
      </w:pPr>
      <w:rPr>
        <w:rFonts w:ascii="Courier New" w:hAnsi="Courier New" w:cs="Courier New" w:hint="default"/>
      </w:rPr>
    </w:lvl>
    <w:lvl w:ilvl="8" w:tplc="0C09001B" w:tentative="1">
      <w:start w:val="1"/>
      <w:numFmt w:val="bullet"/>
      <w:lvlText w:val=""/>
      <w:lvlJc w:val="left"/>
      <w:pPr>
        <w:ind w:left="6403" w:hanging="360"/>
      </w:pPr>
      <w:rPr>
        <w:rFonts w:ascii="Wingdings" w:hAnsi="Wingdings" w:hint="default"/>
      </w:rPr>
    </w:lvl>
  </w:abstractNum>
  <w:abstractNum w:abstractNumId="26" w15:restartNumberingAfterBreak="0">
    <w:nsid w:val="5B3D0E8E"/>
    <w:multiLevelType w:val="multilevel"/>
    <w:tmpl w:val="D49CE1BA"/>
    <w:numStyleLink w:val="Headings"/>
  </w:abstractNum>
  <w:abstractNum w:abstractNumId="27" w15:restartNumberingAfterBreak="0">
    <w:nsid w:val="5B5C1989"/>
    <w:multiLevelType w:val="hybridMultilevel"/>
    <w:tmpl w:val="9794A7A8"/>
    <w:lvl w:ilvl="0" w:tplc="69EAC99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C870D4"/>
    <w:multiLevelType w:val="hybridMultilevel"/>
    <w:tmpl w:val="16D06C1E"/>
    <w:lvl w:ilvl="0" w:tplc="0C090001">
      <w:start w:val="1"/>
      <w:numFmt w:val="upperLetter"/>
      <w:pStyle w:val="Appendix"/>
      <w:lvlText w:val="Appendix %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9" w15:restartNumberingAfterBreak="0">
    <w:nsid w:val="60752413"/>
    <w:multiLevelType w:val="hybridMultilevel"/>
    <w:tmpl w:val="3690C506"/>
    <w:lvl w:ilvl="0" w:tplc="C03AEC4E">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0" w15:restartNumberingAfterBreak="0">
    <w:nsid w:val="7134377E"/>
    <w:multiLevelType w:val="hybridMultilevel"/>
    <w:tmpl w:val="28604506"/>
    <w:lvl w:ilvl="0" w:tplc="0C090001">
      <w:start w:val="1"/>
      <w:numFmt w:val="decimal"/>
      <w:lvlText w:val="2.%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1" w15:restartNumberingAfterBreak="0">
    <w:nsid w:val="73677A0B"/>
    <w:multiLevelType w:val="hybridMultilevel"/>
    <w:tmpl w:val="B87AC256"/>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2" w15:restartNumberingAfterBreak="0">
    <w:nsid w:val="7A7B0C76"/>
    <w:multiLevelType w:val="hybridMultilevel"/>
    <w:tmpl w:val="D4763AFE"/>
    <w:lvl w:ilvl="0" w:tplc="909C4D68">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D434436"/>
    <w:multiLevelType w:val="hybridMultilevel"/>
    <w:tmpl w:val="1592EAD8"/>
    <w:lvl w:ilvl="0" w:tplc="EA8456F8">
      <w:start w:val="1"/>
      <w:numFmt w:val="decimal"/>
      <w:lvlText w:val="A.%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205B52"/>
    <w:multiLevelType w:val="multilevel"/>
    <w:tmpl w:val="D49CE1BA"/>
    <w:numStyleLink w:val="Headings"/>
  </w:abstractNum>
  <w:num w:numId="1">
    <w:abstractNumId w:val="9"/>
  </w:num>
  <w:num w:numId="2">
    <w:abstractNumId w:val="25"/>
  </w:num>
  <w:num w:numId="3">
    <w:abstractNumId w:val="33"/>
  </w:num>
  <w:num w:numId="4">
    <w:abstractNumId w:val="19"/>
  </w:num>
  <w:num w:numId="5">
    <w:abstractNumId w:val="2"/>
  </w:num>
  <w:num w:numId="6">
    <w:abstractNumId w:val="3"/>
  </w:num>
  <w:num w:numId="7">
    <w:abstractNumId w:val="24"/>
  </w:num>
  <w:num w:numId="8">
    <w:abstractNumId w:val="17"/>
  </w:num>
  <w:num w:numId="9">
    <w:abstractNumId w:val="27"/>
  </w:num>
  <w:num w:numId="10">
    <w:abstractNumId w:val="7"/>
  </w:num>
  <w:num w:numId="11">
    <w:abstractNumId w:val="16"/>
  </w:num>
  <w:num w:numId="12">
    <w:abstractNumId w:val="30"/>
  </w:num>
  <w:num w:numId="13">
    <w:abstractNumId w:val="15"/>
  </w:num>
  <w:num w:numId="14">
    <w:abstractNumId w:val="23"/>
  </w:num>
  <w:num w:numId="15">
    <w:abstractNumId w:val="32"/>
  </w:num>
  <w:num w:numId="16">
    <w:abstractNumId w:val="21"/>
  </w:num>
  <w:num w:numId="17">
    <w:abstractNumId w:val="29"/>
  </w:num>
  <w:num w:numId="18">
    <w:abstractNumId w:val="13"/>
  </w:num>
  <w:num w:numId="19">
    <w:abstractNumId w:val="1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4"/>
  </w:num>
  <w:num w:numId="26">
    <w:abstractNumId w:val="0"/>
  </w:num>
  <w:num w:numId="27">
    <w:abstractNumId w:val="28"/>
  </w:num>
  <w:num w:numId="28">
    <w:abstractNumId w:val="14"/>
  </w:num>
  <w:num w:numId="29">
    <w:abstractNumId w:val="20"/>
  </w:num>
  <w:num w:numId="30">
    <w:abstractNumId w:val="12"/>
  </w:num>
  <w:num w:numId="31">
    <w:abstractNumId w:val="6"/>
  </w:num>
  <w:num w:numId="32">
    <w:abstractNumId w:val="4"/>
  </w:num>
  <w:num w:numId="33">
    <w:abstractNumId w:val="6"/>
    <w:lvlOverride w:ilvl="0">
      <w:startOverride w:val="1"/>
    </w:lvlOverride>
  </w:num>
  <w:num w:numId="34">
    <w:abstractNumId w:val="6"/>
    <w:lvlOverride w:ilvl="0">
      <w:startOverride w:val="1"/>
    </w:lvlOverride>
  </w:num>
  <w:num w:numId="35">
    <w:abstractNumId w:val="26"/>
  </w:num>
  <w:num w:numId="36">
    <w:abstractNumId w:val="8"/>
    <w:lvlOverride w:ilvl="6">
      <w:lvl w:ilvl="6">
        <w:start w:val="1"/>
        <w:numFmt w:val="lowerLetter"/>
        <w:lvlText w:val="(%7)"/>
        <w:lvlJc w:val="left"/>
        <w:pPr>
          <w:ind w:left="851" w:hanging="426"/>
        </w:pPr>
        <w:rPr>
          <w:rFonts w:hint="default"/>
        </w:rPr>
      </w:lvl>
    </w:lvlOverride>
  </w:num>
  <w:num w:numId="37">
    <w:abstractNumId w:val="31"/>
  </w:num>
  <w:num w:numId="38">
    <w:abstractNumId w:val="11"/>
  </w:num>
  <w:num w:numId="39">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oNotTrackFormatting/>
  <w:defaultTabStop w:val="709"/>
  <w:evenAndOddHeaders/>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A02"/>
    <w:rsid w:val="000014E2"/>
    <w:rsid w:val="00001D8D"/>
    <w:rsid w:val="00003712"/>
    <w:rsid w:val="00004FFB"/>
    <w:rsid w:val="000113F2"/>
    <w:rsid w:val="00013A24"/>
    <w:rsid w:val="00014FF6"/>
    <w:rsid w:val="00016412"/>
    <w:rsid w:val="00017263"/>
    <w:rsid w:val="00017E7B"/>
    <w:rsid w:val="0002198E"/>
    <w:rsid w:val="0002542D"/>
    <w:rsid w:val="000270CF"/>
    <w:rsid w:val="000279D3"/>
    <w:rsid w:val="00031C64"/>
    <w:rsid w:val="00032A6D"/>
    <w:rsid w:val="000349CF"/>
    <w:rsid w:val="00035C70"/>
    <w:rsid w:val="000371AD"/>
    <w:rsid w:val="00042F0C"/>
    <w:rsid w:val="00043464"/>
    <w:rsid w:val="00043BFF"/>
    <w:rsid w:val="00044320"/>
    <w:rsid w:val="000446EB"/>
    <w:rsid w:val="000473AA"/>
    <w:rsid w:val="00052E40"/>
    <w:rsid w:val="00053D2D"/>
    <w:rsid w:val="000603C5"/>
    <w:rsid w:val="00061099"/>
    <w:rsid w:val="00061A80"/>
    <w:rsid w:val="00062FD8"/>
    <w:rsid w:val="0006332E"/>
    <w:rsid w:val="0006333E"/>
    <w:rsid w:val="000646B6"/>
    <w:rsid w:val="00065A92"/>
    <w:rsid w:val="00066DC0"/>
    <w:rsid w:val="00071DA6"/>
    <w:rsid w:val="000723FA"/>
    <w:rsid w:val="00074805"/>
    <w:rsid w:val="00076578"/>
    <w:rsid w:val="00076D85"/>
    <w:rsid w:val="00082C0F"/>
    <w:rsid w:val="00084B12"/>
    <w:rsid w:val="00084FD3"/>
    <w:rsid w:val="000904B9"/>
    <w:rsid w:val="00090AB1"/>
    <w:rsid w:val="00090AC3"/>
    <w:rsid w:val="00090D1A"/>
    <w:rsid w:val="00092919"/>
    <w:rsid w:val="000929CA"/>
    <w:rsid w:val="00093647"/>
    <w:rsid w:val="00094C53"/>
    <w:rsid w:val="00094C69"/>
    <w:rsid w:val="000A047D"/>
    <w:rsid w:val="000A1E5B"/>
    <w:rsid w:val="000A3F46"/>
    <w:rsid w:val="000A668E"/>
    <w:rsid w:val="000A7BB7"/>
    <w:rsid w:val="000B0D47"/>
    <w:rsid w:val="000B10A6"/>
    <w:rsid w:val="000B368F"/>
    <w:rsid w:val="000B59CF"/>
    <w:rsid w:val="000B5BB9"/>
    <w:rsid w:val="000B6E13"/>
    <w:rsid w:val="000B7185"/>
    <w:rsid w:val="000B7816"/>
    <w:rsid w:val="000B7B82"/>
    <w:rsid w:val="000B7DF5"/>
    <w:rsid w:val="000C136F"/>
    <w:rsid w:val="000C279E"/>
    <w:rsid w:val="000C361E"/>
    <w:rsid w:val="000C46C0"/>
    <w:rsid w:val="000C54DB"/>
    <w:rsid w:val="000C5711"/>
    <w:rsid w:val="000C6207"/>
    <w:rsid w:val="000C68E3"/>
    <w:rsid w:val="000D0268"/>
    <w:rsid w:val="000D1577"/>
    <w:rsid w:val="000D46E1"/>
    <w:rsid w:val="000D63D2"/>
    <w:rsid w:val="000D6E33"/>
    <w:rsid w:val="000D751D"/>
    <w:rsid w:val="000E13BD"/>
    <w:rsid w:val="000E21B5"/>
    <w:rsid w:val="000E6721"/>
    <w:rsid w:val="000F0E45"/>
    <w:rsid w:val="000F2AE3"/>
    <w:rsid w:val="000F43AD"/>
    <w:rsid w:val="000F49E7"/>
    <w:rsid w:val="000F52DB"/>
    <w:rsid w:val="000F5CB8"/>
    <w:rsid w:val="00100600"/>
    <w:rsid w:val="0010138B"/>
    <w:rsid w:val="00101534"/>
    <w:rsid w:val="00101C53"/>
    <w:rsid w:val="001028EE"/>
    <w:rsid w:val="00102C0B"/>
    <w:rsid w:val="0010362A"/>
    <w:rsid w:val="00103838"/>
    <w:rsid w:val="00105990"/>
    <w:rsid w:val="001068A8"/>
    <w:rsid w:val="00106DA0"/>
    <w:rsid w:val="00107221"/>
    <w:rsid w:val="0010748D"/>
    <w:rsid w:val="00116705"/>
    <w:rsid w:val="00121250"/>
    <w:rsid w:val="00124A9C"/>
    <w:rsid w:val="00125B49"/>
    <w:rsid w:val="0012690A"/>
    <w:rsid w:val="00130AA3"/>
    <w:rsid w:val="00134E76"/>
    <w:rsid w:val="00135AA0"/>
    <w:rsid w:val="00135ABF"/>
    <w:rsid w:val="0013622A"/>
    <w:rsid w:val="00140EFA"/>
    <w:rsid w:val="001429D2"/>
    <w:rsid w:val="00145361"/>
    <w:rsid w:val="00145915"/>
    <w:rsid w:val="00145D0C"/>
    <w:rsid w:val="00147337"/>
    <w:rsid w:val="00150923"/>
    <w:rsid w:val="00151F03"/>
    <w:rsid w:val="001543A6"/>
    <w:rsid w:val="0015533D"/>
    <w:rsid w:val="00156DA8"/>
    <w:rsid w:val="001573CE"/>
    <w:rsid w:val="001605F8"/>
    <w:rsid w:val="00163186"/>
    <w:rsid w:val="00163F57"/>
    <w:rsid w:val="001657DF"/>
    <w:rsid w:val="0016655F"/>
    <w:rsid w:val="001676BC"/>
    <w:rsid w:val="00171B9D"/>
    <w:rsid w:val="001730EB"/>
    <w:rsid w:val="00173466"/>
    <w:rsid w:val="00174078"/>
    <w:rsid w:val="00174A2F"/>
    <w:rsid w:val="00176120"/>
    <w:rsid w:val="0018026F"/>
    <w:rsid w:val="00181BB8"/>
    <w:rsid w:val="00182EB9"/>
    <w:rsid w:val="00183237"/>
    <w:rsid w:val="00185802"/>
    <w:rsid w:val="00185C1B"/>
    <w:rsid w:val="001864A3"/>
    <w:rsid w:val="001956A0"/>
    <w:rsid w:val="00196166"/>
    <w:rsid w:val="00197123"/>
    <w:rsid w:val="001A0C50"/>
    <w:rsid w:val="001A1684"/>
    <w:rsid w:val="001A1795"/>
    <w:rsid w:val="001A287F"/>
    <w:rsid w:val="001A3931"/>
    <w:rsid w:val="001A4D41"/>
    <w:rsid w:val="001A5573"/>
    <w:rsid w:val="001A64C1"/>
    <w:rsid w:val="001B079C"/>
    <w:rsid w:val="001B12E5"/>
    <w:rsid w:val="001B1B9F"/>
    <w:rsid w:val="001B21A2"/>
    <w:rsid w:val="001B3222"/>
    <w:rsid w:val="001B4DD4"/>
    <w:rsid w:val="001B5AD0"/>
    <w:rsid w:val="001B5F9B"/>
    <w:rsid w:val="001B6264"/>
    <w:rsid w:val="001B6557"/>
    <w:rsid w:val="001B6FD4"/>
    <w:rsid w:val="001B7D1C"/>
    <w:rsid w:val="001C1D23"/>
    <w:rsid w:val="001C3844"/>
    <w:rsid w:val="001C66AC"/>
    <w:rsid w:val="001C717E"/>
    <w:rsid w:val="001D0514"/>
    <w:rsid w:val="001D0D78"/>
    <w:rsid w:val="001D25D9"/>
    <w:rsid w:val="001D2648"/>
    <w:rsid w:val="001D369D"/>
    <w:rsid w:val="001D71CD"/>
    <w:rsid w:val="001D7679"/>
    <w:rsid w:val="001E0134"/>
    <w:rsid w:val="001E5BB1"/>
    <w:rsid w:val="001E7BFE"/>
    <w:rsid w:val="001E7DEF"/>
    <w:rsid w:val="001F1B33"/>
    <w:rsid w:val="001F1C80"/>
    <w:rsid w:val="001F3EAE"/>
    <w:rsid w:val="001F411A"/>
    <w:rsid w:val="001F4A0B"/>
    <w:rsid w:val="001F5231"/>
    <w:rsid w:val="001F5BBC"/>
    <w:rsid w:val="002019B8"/>
    <w:rsid w:val="0020273D"/>
    <w:rsid w:val="0020318F"/>
    <w:rsid w:val="0020344F"/>
    <w:rsid w:val="00203740"/>
    <w:rsid w:val="00204911"/>
    <w:rsid w:val="00204A75"/>
    <w:rsid w:val="0020535D"/>
    <w:rsid w:val="00205A9E"/>
    <w:rsid w:val="00205FA0"/>
    <w:rsid w:val="002071AF"/>
    <w:rsid w:val="00207D80"/>
    <w:rsid w:val="00210DDD"/>
    <w:rsid w:val="00211BCB"/>
    <w:rsid w:val="0021430F"/>
    <w:rsid w:val="00214566"/>
    <w:rsid w:val="00214DCA"/>
    <w:rsid w:val="0021697D"/>
    <w:rsid w:val="002177CC"/>
    <w:rsid w:val="0022378C"/>
    <w:rsid w:val="00224D11"/>
    <w:rsid w:val="00226F93"/>
    <w:rsid w:val="002274FB"/>
    <w:rsid w:val="00227612"/>
    <w:rsid w:val="002276E1"/>
    <w:rsid w:val="00231485"/>
    <w:rsid w:val="00233C7A"/>
    <w:rsid w:val="00233CD3"/>
    <w:rsid w:val="00234FE2"/>
    <w:rsid w:val="00235842"/>
    <w:rsid w:val="00240AD9"/>
    <w:rsid w:val="00241F99"/>
    <w:rsid w:val="00241FF9"/>
    <w:rsid w:val="00242F9B"/>
    <w:rsid w:val="002468B4"/>
    <w:rsid w:val="002475DD"/>
    <w:rsid w:val="00247B13"/>
    <w:rsid w:val="002514FB"/>
    <w:rsid w:val="0025652E"/>
    <w:rsid w:val="002574EE"/>
    <w:rsid w:val="00260663"/>
    <w:rsid w:val="00263DF7"/>
    <w:rsid w:val="00267ED3"/>
    <w:rsid w:val="002700D6"/>
    <w:rsid w:val="00272DBF"/>
    <w:rsid w:val="00274C8E"/>
    <w:rsid w:val="00275119"/>
    <w:rsid w:val="00277944"/>
    <w:rsid w:val="00283F8A"/>
    <w:rsid w:val="00287861"/>
    <w:rsid w:val="0029147C"/>
    <w:rsid w:val="002917CA"/>
    <w:rsid w:val="002923D4"/>
    <w:rsid w:val="0029430B"/>
    <w:rsid w:val="0029534A"/>
    <w:rsid w:val="00295AC1"/>
    <w:rsid w:val="00297BDA"/>
    <w:rsid w:val="002A073E"/>
    <w:rsid w:val="002A4816"/>
    <w:rsid w:val="002B0CE3"/>
    <w:rsid w:val="002B116B"/>
    <w:rsid w:val="002B2170"/>
    <w:rsid w:val="002B25EA"/>
    <w:rsid w:val="002B2DAF"/>
    <w:rsid w:val="002B3B0B"/>
    <w:rsid w:val="002B4486"/>
    <w:rsid w:val="002B5655"/>
    <w:rsid w:val="002B64F2"/>
    <w:rsid w:val="002B76E5"/>
    <w:rsid w:val="002C0AE8"/>
    <w:rsid w:val="002C1F25"/>
    <w:rsid w:val="002C227C"/>
    <w:rsid w:val="002C3215"/>
    <w:rsid w:val="002C3A4D"/>
    <w:rsid w:val="002C6E06"/>
    <w:rsid w:val="002D07A8"/>
    <w:rsid w:val="002D1380"/>
    <w:rsid w:val="002D1864"/>
    <w:rsid w:val="002D20A8"/>
    <w:rsid w:val="002D26D3"/>
    <w:rsid w:val="002D78D1"/>
    <w:rsid w:val="002E2D04"/>
    <w:rsid w:val="002E32DB"/>
    <w:rsid w:val="002E38D9"/>
    <w:rsid w:val="002E59CF"/>
    <w:rsid w:val="002E7C54"/>
    <w:rsid w:val="002F0458"/>
    <w:rsid w:val="002F2EA3"/>
    <w:rsid w:val="002F332D"/>
    <w:rsid w:val="002F53AF"/>
    <w:rsid w:val="002F65C5"/>
    <w:rsid w:val="002F6E61"/>
    <w:rsid w:val="003014A9"/>
    <w:rsid w:val="00303EED"/>
    <w:rsid w:val="00305171"/>
    <w:rsid w:val="00305D0F"/>
    <w:rsid w:val="00306775"/>
    <w:rsid w:val="003076C1"/>
    <w:rsid w:val="00314BC8"/>
    <w:rsid w:val="00315BCD"/>
    <w:rsid w:val="00315D0C"/>
    <w:rsid w:val="003178F1"/>
    <w:rsid w:val="003208B5"/>
    <w:rsid w:val="00321B07"/>
    <w:rsid w:val="003221E5"/>
    <w:rsid w:val="00322BB2"/>
    <w:rsid w:val="00323177"/>
    <w:rsid w:val="00323552"/>
    <w:rsid w:val="00323BDC"/>
    <w:rsid w:val="0032402C"/>
    <w:rsid w:val="0032732F"/>
    <w:rsid w:val="0032783B"/>
    <w:rsid w:val="00334A03"/>
    <w:rsid w:val="003378A7"/>
    <w:rsid w:val="0034047D"/>
    <w:rsid w:val="00340A93"/>
    <w:rsid w:val="00343472"/>
    <w:rsid w:val="003438D5"/>
    <w:rsid w:val="00344AB6"/>
    <w:rsid w:val="003472CA"/>
    <w:rsid w:val="00347FEC"/>
    <w:rsid w:val="0035090F"/>
    <w:rsid w:val="00351430"/>
    <w:rsid w:val="003519C7"/>
    <w:rsid w:val="003534B0"/>
    <w:rsid w:val="00355CBE"/>
    <w:rsid w:val="00356917"/>
    <w:rsid w:val="003605F4"/>
    <w:rsid w:val="003630ED"/>
    <w:rsid w:val="00372D5D"/>
    <w:rsid w:val="003735D9"/>
    <w:rsid w:val="00377E55"/>
    <w:rsid w:val="003808AA"/>
    <w:rsid w:val="00381EC0"/>
    <w:rsid w:val="00386026"/>
    <w:rsid w:val="0038602A"/>
    <w:rsid w:val="00386797"/>
    <w:rsid w:val="003873F8"/>
    <w:rsid w:val="00387FF1"/>
    <w:rsid w:val="0039140E"/>
    <w:rsid w:val="003918BF"/>
    <w:rsid w:val="00391FD4"/>
    <w:rsid w:val="00392698"/>
    <w:rsid w:val="00392B09"/>
    <w:rsid w:val="00394C2C"/>
    <w:rsid w:val="00395E78"/>
    <w:rsid w:val="003979F9"/>
    <w:rsid w:val="003A0BEB"/>
    <w:rsid w:val="003A0E7D"/>
    <w:rsid w:val="003A46D1"/>
    <w:rsid w:val="003A4F00"/>
    <w:rsid w:val="003A5F81"/>
    <w:rsid w:val="003A6387"/>
    <w:rsid w:val="003A6BF7"/>
    <w:rsid w:val="003B0C0F"/>
    <w:rsid w:val="003B395F"/>
    <w:rsid w:val="003B523A"/>
    <w:rsid w:val="003C3BCC"/>
    <w:rsid w:val="003C410E"/>
    <w:rsid w:val="003C565A"/>
    <w:rsid w:val="003D0622"/>
    <w:rsid w:val="003D106C"/>
    <w:rsid w:val="003D1661"/>
    <w:rsid w:val="003D4766"/>
    <w:rsid w:val="003D4B49"/>
    <w:rsid w:val="003D5702"/>
    <w:rsid w:val="003D62CC"/>
    <w:rsid w:val="003E2775"/>
    <w:rsid w:val="003E51C9"/>
    <w:rsid w:val="003E5CBE"/>
    <w:rsid w:val="003E6F39"/>
    <w:rsid w:val="003E703F"/>
    <w:rsid w:val="003E70B0"/>
    <w:rsid w:val="003E7D11"/>
    <w:rsid w:val="003F0E47"/>
    <w:rsid w:val="003F35C5"/>
    <w:rsid w:val="003F3972"/>
    <w:rsid w:val="003F5043"/>
    <w:rsid w:val="003F60D6"/>
    <w:rsid w:val="00403912"/>
    <w:rsid w:val="00403DB5"/>
    <w:rsid w:val="00406B5A"/>
    <w:rsid w:val="00410239"/>
    <w:rsid w:val="00412BF3"/>
    <w:rsid w:val="004133DF"/>
    <w:rsid w:val="00413F89"/>
    <w:rsid w:val="00415D5F"/>
    <w:rsid w:val="004175BA"/>
    <w:rsid w:val="004226CB"/>
    <w:rsid w:val="00422A34"/>
    <w:rsid w:val="00425604"/>
    <w:rsid w:val="00425AC0"/>
    <w:rsid w:val="00426679"/>
    <w:rsid w:val="004266D2"/>
    <w:rsid w:val="00427041"/>
    <w:rsid w:val="0043148C"/>
    <w:rsid w:val="00431AC5"/>
    <w:rsid w:val="00432468"/>
    <w:rsid w:val="00432857"/>
    <w:rsid w:val="0043359A"/>
    <w:rsid w:val="00433AB3"/>
    <w:rsid w:val="00435214"/>
    <w:rsid w:val="004365AD"/>
    <w:rsid w:val="00436984"/>
    <w:rsid w:val="0044047F"/>
    <w:rsid w:val="004410B2"/>
    <w:rsid w:val="00441714"/>
    <w:rsid w:val="00441C1E"/>
    <w:rsid w:val="00442544"/>
    <w:rsid w:val="00443FC1"/>
    <w:rsid w:val="0044596F"/>
    <w:rsid w:val="0044651D"/>
    <w:rsid w:val="00450086"/>
    <w:rsid w:val="00450755"/>
    <w:rsid w:val="00450B9F"/>
    <w:rsid w:val="00452E0E"/>
    <w:rsid w:val="00456E45"/>
    <w:rsid w:val="00457EF0"/>
    <w:rsid w:val="004612F7"/>
    <w:rsid w:val="004633E2"/>
    <w:rsid w:val="00465A46"/>
    <w:rsid w:val="004665EA"/>
    <w:rsid w:val="00472699"/>
    <w:rsid w:val="004759D8"/>
    <w:rsid w:val="00476ABF"/>
    <w:rsid w:val="004778A7"/>
    <w:rsid w:val="00481740"/>
    <w:rsid w:val="00483B67"/>
    <w:rsid w:val="00486821"/>
    <w:rsid w:val="00490BAA"/>
    <w:rsid w:val="00490C9B"/>
    <w:rsid w:val="00491F01"/>
    <w:rsid w:val="0049270D"/>
    <w:rsid w:val="004930C7"/>
    <w:rsid w:val="00494D6D"/>
    <w:rsid w:val="0049522D"/>
    <w:rsid w:val="00496FAF"/>
    <w:rsid w:val="00497EF9"/>
    <w:rsid w:val="004A0693"/>
    <w:rsid w:val="004A1F79"/>
    <w:rsid w:val="004A2051"/>
    <w:rsid w:val="004A2116"/>
    <w:rsid w:val="004A3968"/>
    <w:rsid w:val="004B21C5"/>
    <w:rsid w:val="004B49AB"/>
    <w:rsid w:val="004B7737"/>
    <w:rsid w:val="004C203F"/>
    <w:rsid w:val="004C36A7"/>
    <w:rsid w:val="004C54C2"/>
    <w:rsid w:val="004C557B"/>
    <w:rsid w:val="004C598C"/>
    <w:rsid w:val="004C7C71"/>
    <w:rsid w:val="004D1D61"/>
    <w:rsid w:val="004D211F"/>
    <w:rsid w:val="004D2469"/>
    <w:rsid w:val="004D3B63"/>
    <w:rsid w:val="004D4CB2"/>
    <w:rsid w:val="004D5830"/>
    <w:rsid w:val="004E0019"/>
    <w:rsid w:val="004E12AD"/>
    <w:rsid w:val="004E2B70"/>
    <w:rsid w:val="004E2EB0"/>
    <w:rsid w:val="004E39A4"/>
    <w:rsid w:val="004E5BE7"/>
    <w:rsid w:val="004E5C63"/>
    <w:rsid w:val="004E6DD8"/>
    <w:rsid w:val="004E71A2"/>
    <w:rsid w:val="004F0111"/>
    <w:rsid w:val="004F0384"/>
    <w:rsid w:val="004F2D18"/>
    <w:rsid w:val="004F3BE5"/>
    <w:rsid w:val="004F4FA5"/>
    <w:rsid w:val="004F61F7"/>
    <w:rsid w:val="004F6EBA"/>
    <w:rsid w:val="00502CFC"/>
    <w:rsid w:val="00503788"/>
    <w:rsid w:val="00503B48"/>
    <w:rsid w:val="005042D0"/>
    <w:rsid w:val="005079F2"/>
    <w:rsid w:val="00513283"/>
    <w:rsid w:val="00513AB2"/>
    <w:rsid w:val="00513FC1"/>
    <w:rsid w:val="00514C72"/>
    <w:rsid w:val="005155CA"/>
    <w:rsid w:val="00515D27"/>
    <w:rsid w:val="005169F0"/>
    <w:rsid w:val="0052202B"/>
    <w:rsid w:val="00522E78"/>
    <w:rsid w:val="00523763"/>
    <w:rsid w:val="005239AC"/>
    <w:rsid w:val="00524168"/>
    <w:rsid w:val="00524D73"/>
    <w:rsid w:val="00525573"/>
    <w:rsid w:val="00526BFB"/>
    <w:rsid w:val="005272EF"/>
    <w:rsid w:val="00530D58"/>
    <w:rsid w:val="0053340F"/>
    <w:rsid w:val="0053773C"/>
    <w:rsid w:val="005377CF"/>
    <w:rsid w:val="00537FE0"/>
    <w:rsid w:val="00540288"/>
    <w:rsid w:val="00540C8C"/>
    <w:rsid w:val="00542709"/>
    <w:rsid w:val="00542B8F"/>
    <w:rsid w:val="00546A94"/>
    <w:rsid w:val="00547676"/>
    <w:rsid w:val="00547845"/>
    <w:rsid w:val="00547C00"/>
    <w:rsid w:val="00550696"/>
    <w:rsid w:val="00551E28"/>
    <w:rsid w:val="005523BB"/>
    <w:rsid w:val="00554371"/>
    <w:rsid w:val="0055520C"/>
    <w:rsid w:val="0055566F"/>
    <w:rsid w:val="00556EE4"/>
    <w:rsid w:val="005606FB"/>
    <w:rsid w:val="00560C48"/>
    <w:rsid w:val="00560D61"/>
    <w:rsid w:val="005618AB"/>
    <w:rsid w:val="00565E9B"/>
    <w:rsid w:val="00566B8A"/>
    <w:rsid w:val="005673C9"/>
    <w:rsid w:val="005701D4"/>
    <w:rsid w:val="00571BEF"/>
    <w:rsid w:val="00577E08"/>
    <w:rsid w:val="00580D29"/>
    <w:rsid w:val="005874CD"/>
    <w:rsid w:val="00590767"/>
    <w:rsid w:val="005921CB"/>
    <w:rsid w:val="005948AD"/>
    <w:rsid w:val="005961C5"/>
    <w:rsid w:val="00596A33"/>
    <w:rsid w:val="005A0E1D"/>
    <w:rsid w:val="005A2476"/>
    <w:rsid w:val="005A3E13"/>
    <w:rsid w:val="005A433E"/>
    <w:rsid w:val="005A4DA3"/>
    <w:rsid w:val="005A77E2"/>
    <w:rsid w:val="005A7EC6"/>
    <w:rsid w:val="005B055B"/>
    <w:rsid w:val="005B056F"/>
    <w:rsid w:val="005B15B8"/>
    <w:rsid w:val="005B34B5"/>
    <w:rsid w:val="005B3A47"/>
    <w:rsid w:val="005B6FF8"/>
    <w:rsid w:val="005C01F7"/>
    <w:rsid w:val="005C1600"/>
    <w:rsid w:val="005C16E5"/>
    <w:rsid w:val="005C5958"/>
    <w:rsid w:val="005C66C0"/>
    <w:rsid w:val="005D0333"/>
    <w:rsid w:val="005D1BD7"/>
    <w:rsid w:val="005D349A"/>
    <w:rsid w:val="005D5CD3"/>
    <w:rsid w:val="005D7551"/>
    <w:rsid w:val="005E3593"/>
    <w:rsid w:val="005E5B01"/>
    <w:rsid w:val="005E70B1"/>
    <w:rsid w:val="005F137E"/>
    <w:rsid w:val="005F258B"/>
    <w:rsid w:val="005F34A9"/>
    <w:rsid w:val="005F4C3A"/>
    <w:rsid w:val="005F7208"/>
    <w:rsid w:val="00600183"/>
    <w:rsid w:val="00600CDF"/>
    <w:rsid w:val="006021C2"/>
    <w:rsid w:val="00603BAD"/>
    <w:rsid w:val="00605235"/>
    <w:rsid w:val="00605E99"/>
    <w:rsid w:val="00610176"/>
    <w:rsid w:val="00611AFD"/>
    <w:rsid w:val="00616CFF"/>
    <w:rsid w:val="00617143"/>
    <w:rsid w:val="00617C4A"/>
    <w:rsid w:val="006217BD"/>
    <w:rsid w:val="00622436"/>
    <w:rsid w:val="00627EB5"/>
    <w:rsid w:val="006305F3"/>
    <w:rsid w:val="00630DD3"/>
    <w:rsid w:val="00631EEB"/>
    <w:rsid w:val="00632DAE"/>
    <w:rsid w:val="00634760"/>
    <w:rsid w:val="00634820"/>
    <w:rsid w:val="0063640E"/>
    <w:rsid w:val="00636EC9"/>
    <w:rsid w:val="00636F24"/>
    <w:rsid w:val="00641F27"/>
    <w:rsid w:val="006430A8"/>
    <w:rsid w:val="006433DB"/>
    <w:rsid w:val="00644222"/>
    <w:rsid w:val="0064455D"/>
    <w:rsid w:val="00645A32"/>
    <w:rsid w:val="00647E91"/>
    <w:rsid w:val="00650D70"/>
    <w:rsid w:val="00650F36"/>
    <w:rsid w:val="0065225C"/>
    <w:rsid w:val="00655095"/>
    <w:rsid w:val="00655C2F"/>
    <w:rsid w:val="006565F6"/>
    <w:rsid w:val="00657882"/>
    <w:rsid w:val="00660675"/>
    <w:rsid w:val="0066328F"/>
    <w:rsid w:val="00671356"/>
    <w:rsid w:val="006723F0"/>
    <w:rsid w:val="006764F2"/>
    <w:rsid w:val="006809B8"/>
    <w:rsid w:val="00681B9E"/>
    <w:rsid w:val="00686DB0"/>
    <w:rsid w:val="0069262D"/>
    <w:rsid w:val="0069455A"/>
    <w:rsid w:val="00694ECA"/>
    <w:rsid w:val="00695FDD"/>
    <w:rsid w:val="006964CB"/>
    <w:rsid w:val="006971A5"/>
    <w:rsid w:val="006973CE"/>
    <w:rsid w:val="006A0106"/>
    <w:rsid w:val="006A0639"/>
    <w:rsid w:val="006A4CBE"/>
    <w:rsid w:val="006A55A1"/>
    <w:rsid w:val="006A5648"/>
    <w:rsid w:val="006A5F28"/>
    <w:rsid w:val="006A7FF5"/>
    <w:rsid w:val="006B11B9"/>
    <w:rsid w:val="006B2F5B"/>
    <w:rsid w:val="006C0648"/>
    <w:rsid w:val="006C4EA7"/>
    <w:rsid w:val="006D0BDC"/>
    <w:rsid w:val="006D2CB8"/>
    <w:rsid w:val="006D3691"/>
    <w:rsid w:val="006D4270"/>
    <w:rsid w:val="006D4D56"/>
    <w:rsid w:val="006D59FA"/>
    <w:rsid w:val="006D70B5"/>
    <w:rsid w:val="006E0030"/>
    <w:rsid w:val="006E2BE1"/>
    <w:rsid w:val="006E4D24"/>
    <w:rsid w:val="006E52C9"/>
    <w:rsid w:val="006F05F9"/>
    <w:rsid w:val="006F08E6"/>
    <w:rsid w:val="006F140A"/>
    <w:rsid w:val="006F1534"/>
    <w:rsid w:val="006F2ED5"/>
    <w:rsid w:val="006F36E0"/>
    <w:rsid w:val="006F45EE"/>
    <w:rsid w:val="006F4AEA"/>
    <w:rsid w:val="006F63E0"/>
    <w:rsid w:val="007001CD"/>
    <w:rsid w:val="0070128C"/>
    <w:rsid w:val="00701AE2"/>
    <w:rsid w:val="00704255"/>
    <w:rsid w:val="00704306"/>
    <w:rsid w:val="00704A60"/>
    <w:rsid w:val="00704F09"/>
    <w:rsid w:val="007053D4"/>
    <w:rsid w:val="00706686"/>
    <w:rsid w:val="00706C52"/>
    <w:rsid w:val="00707546"/>
    <w:rsid w:val="007105A7"/>
    <w:rsid w:val="00712305"/>
    <w:rsid w:val="00712CD5"/>
    <w:rsid w:val="0071371E"/>
    <w:rsid w:val="00715770"/>
    <w:rsid w:val="007164FA"/>
    <w:rsid w:val="00716E2B"/>
    <w:rsid w:val="007237C7"/>
    <w:rsid w:val="00726AFA"/>
    <w:rsid w:val="00730138"/>
    <w:rsid w:val="0073082F"/>
    <w:rsid w:val="00730B08"/>
    <w:rsid w:val="007343B0"/>
    <w:rsid w:val="00734E28"/>
    <w:rsid w:val="007352BE"/>
    <w:rsid w:val="00735ABD"/>
    <w:rsid w:val="00736637"/>
    <w:rsid w:val="007374C9"/>
    <w:rsid w:val="00737F04"/>
    <w:rsid w:val="0074289F"/>
    <w:rsid w:val="00743096"/>
    <w:rsid w:val="00747CFA"/>
    <w:rsid w:val="0075262F"/>
    <w:rsid w:val="0075408A"/>
    <w:rsid w:val="00754314"/>
    <w:rsid w:val="00754C59"/>
    <w:rsid w:val="00757429"/>
    <w:rsid w:val="0075764D"/>
    <w:rsid w:val="007576E0"/>
    <w:rsid w:val="00757F51"/>
    <w:rsid w:val="00760F4D"/>
    <w:rsid w:val="00761EFE"/>
    <w:rsid w:val="00762CCA"/>
    <w:rsid w:val="007635A3"/>
    <w:rsid w:val="00763617"/>
    <w:rsid w:val="00763791"/>
    <w:rsid w:val="0076448F"/>
    <w:rsid w:val="007647E4"/>
    <w:rsid w:val="007649C8"/>
    <w:rsid w:val="00764BB8"/>
    <w:rsid w:val="00764E43"/>
    <w:rsid w:val="00765C6E"/>
    <w:rsid w:val="00771650"/>
    <w:rsid w:val="0077177C"/>
    <w:rsid w:val="00771E21"/>
    <w:rsid w:val="00772636"/>
    <w:rsid w:val="00772A7C"/>
    <w:rsid w:val="00775536"/>
    <w:rsid w:val="00775671"/>
    <w:rsid w:val="00785E10"/>
    <w:rsid w:val="0078600D"/>
    <w:rsid w:val="00787DE5"/>
    <w:rsid w:val="00792B98"/>
    <w:rsid w:val="007937F7"/>
    <w:rsid w:val="00795819"/>
    <w:rsid w:val="00796EF2"/>
    <w:rsid w:val="00797144"/>
    <w:rsid w:val="007971E0"/>
    <w:rsid w:val="007A0314"/>
    <w:rsid w:val="007A175C"/>
    <w:rsid w:val="007A2023"/>
    <w:rsid w:val="007A3204"/>
    <w:rsid w:val="007A5EDF"/>
    <w:rsid w:val="007B178F"/>
    <w:rsid w:val="007B45A7"/>
    <w:rsid w:val="007B4FC8"/>
    <w:rsid w:val="007B654C"/>
    <w:rsid w:val="007B7526"/>
    <w:rsid w:val="007C097D"/>
    <w:rsid w:val="007C396A"/>
    <w:rsid w:val="007D01D5"/>
    <w:rsid w:val="007D1F48"/>
    <w:rsid w:val="007D2F8D"/>
    <w:rsid w:val="007D3C2F"/>
    <w:rsid w:val="007D5464"/>
    <w:rsid w:val="007D567B"/>
    <w:rsid w:val="007D56DC"/>
    <w:rsid w:val="007D5AD9"/>
    <w:rsid w:val="007E1082"/>
    <w:rsid w:val="007E3FCF"/>
    <w:rsid w:val="007E60E9"/>
    <w:rsid w:val="007F566F"/>
    <w:rsid w:val="007F61CA"/>
    <w:rsid w:val="007F71B0"/>
    <w:rsid w:val="00810055"/>
    <w:rsid w:val="00810BB6"/>
    <w:rsid w:val="00811F96"/>
    <w:rsid w:val="00812ADA"/>
    <w:rsid w:val="00813C36"/>
    <w:rsid w:val="00813F0E"/>
    <w:rsid w:val="00820A07"/>
    <w:rsid w:val="0082100E"/>
    <w:rsid w:val="00821331"/>
    <w:rsid w:val="00822D13"/>
    <w:rsid w:val="00822D2D"/>
    <w:rsid w:val="00825B46"/>
    <w:rsid w:val="00825DD7"/>
    <w:rsid w:val="00830AB4"/>
    <w:rsid w:val="00830BBE"/>
    <w:rsid w:val="00831505"/>
    <w:rsid w:val="0083180C"/>
    <w:rsid w:val="0083239B"/>
    <w:rsid w:val="00832554"/>
    <w:rsid w:val="00833914"/>
    <w:rsid w:val="0083442E"/>
    <w:rsid w:val="00834EE8"/>
    <w:rsid w:val="00835D8A"/>
    <w:rsid w:val="008363E0"/>
    <w:rsid w:val="0084349B"/>
    <w:rsid w:val="00843BA5"/>
    <w:rsid w:val="00843EFA"/>
    <w:rsid w:val="008464B5"/>
    <w:rsid w:val="008476CD"/>
    <w:rsid w:val="008478E6"/>
    <w:rsid w:val="00851047"/>
    <w:rsid w:val="008530A1"/>
    <w:rsid w:val="008544CD"/>
    <w:rsid w:val="008558DA"/>
    <w:rsid w:val="0086041F"/>
    <w:rsid w:val="00861D3D"/>
    <w:rsid w:val="00864AB4"/>
    <w:rsid w:val="00864D02"/>
    <w:rsid w:val="008669AF"/>
    <w:rsid w:val="008678BE"/>
    <w:rsid w:val="0087088F"/>
    <w:rsid w:val="00870BB3"/>
    <w:rsid w:val="00870FF3"/>
    <w:rsid w:val="00872F92"/>
    <w:rsid w:val="00874E41"/>
    <w:rsid w:val="008755FC"/>
    <w:rsid w:val="00880E01"/>
    <w:rsid w:val="00881651"/>
    <w:rsid w:val="008825E7"/>
    <w:rsid w:val="0088300A"/>
    <w:rsid w:val="0088418C"/>
    <w:rsid w:val="00885BF7"/>
    <w:rsid w:val="008861CC"/>
    <w:rsid w:val="00886434"/>
    <w:rsid w:val="00886A0B"/>
    <w:rsid w:val="00890182"/>
    <w:rsid w:val="0089035F"/>
    <w:rsid w:val="00890AE6"/>
    <w:rsid w:val="00890C8C"/>
    <w:rsid w:val="00890F9B"/>
    <w:rsid w:val="008918AB"/>
    <w:rsid w:val="0089191E"/>
    <w:rsid w:val="00891982"/>
    <w:rsid w:val="00893A7F"/>
    <w:rsid w:val="00895389"/>
    <w:rsid w:val="00895C6A"/>
    <w:rsid w:val="008974AE"/>
    <w:rsid w:val="008A0397"/>
    <w:rsid w:val="008A03E1"/>
    <w:rsid w:val="008A08A3"/>
    <w:rsid w:val="008A0B84"/>
    <w:rsid w:val="008A178D"/>
    <w:rsid w:val="008A1F48"/>
    <w:rsid w:val="008A28FB"/>
    <w:rsid w:val="008A4D3E"/>
    <w:rsid w:val="008A69A6"/>
    <w:rsid w:val="008B0E6E"/>
    <w:rsid w:val="008B21C0"/>
    <w:rsid w:val="008B4E6A"/>
    <w:rsid w:val="008B5F5F"/>
    <w:rsid w:val="008C53D5"/>
    <w:rsid w:val="008C5C09"/>
    <w:rsid w:val="008C7C44"/>
    <w:rsid w:val="008C7F38"/>
    <w:rsid w:val="008D24B9"/>
    <w:rsid w:val="008D3B68"/>
    <w:rsid w:val="008D4424"/>
    <w:rsid w:val="008D4D20"/>
    <w:rsid w:val="008D5102"/>
    <w:rsid w:val="008D541A"/>
    <w:rsid w:val="008D5908"/>
    <w:rsid w:val="008D7835"/>
    <w:rsid w:val="008E138D"/>
    <w:rsid w:val="008E20D8"/>
    <w:rsid w:val="008E210B"/>
    <w:rsid w:val="008E2EE2"/>
    <w:rsid w:val="008E52C3"/>
    <w:rsid w:val="008F1287"/>
    <w:rsid w:val="008F14D4"/>
    <w:rsid w:val="008F1CA7"/>
    <w:rsid w:val="008F276C"/>
    <w:rsid w:val="008F4ECF"/>
    <w:rsid w:val="0090007E"/>
    <w:rsid w:val="0090132A"/>
    <w:rsid w:val="00901456"/>
    <w:rsid w:val="00901D66"/>
    <w:rsid w:val="0090223C"/>
    <w:rsid w:val="009025BA"/>
    <w:rsid w:val="009035E0"/>
    <w:rsid w:val="00903CA3"/>
    <w:rsid w:val="00903EA3"/>
    <w:rsid w:val="009046DF"/>
    <w:rsid w:val="00904E1E"/>
    <w:rsid w:val="00910C5D"/>
    <w:rsid w:val="0091165D"/>
    <w:rsid w:val="00913639"/>
    <w:rsid w:val="009157E8"/>
    <w:rsid w:val="00915D29"/>
    <w:rsid w:val="00916732"/>
    <w:rsid w:val="00920C56"/>
    <w:rsid w:val="00921B00"/>
    <w:rsid w:val="009237F4"/>
    <w:rsid w:val="00927192"/>
    <w:rsid w:val="009273CC"/>
    <w:rsid w:val="0093050E"/>
    <w:rsid w:val="00930A6C"/>
    <w:rsid w:val="009322E7"/>
    <w:rsid w:val="00932841"/>
    <w:rsid w:val="009337A4"/>
    <w:rsid w:val="00933897"/>
    <w:rsid w:val="009344C6"/>
    <w:rsid w:val="009347E1"/>
    <w:rsid w:val="00935F4B"/>
    <w:rsid w:val="00937858"/>
    <w:rsid w:val="00942576"/>
    <w:rsid w:val="00942586"/>
    <w:rsid w:val="009428D8"/>
    <w:rsid w:val="009431CA"/>
    <w:rsid w:val="00944B97"/>
    <w:rsid w:val="00945FFD"/>
    <w:rsid w:val="009468DE"/>
    <w:rsid w:val="0094719D"/>
    <w:rsid w:val="0094738A"/>
    <w:rsid w:val="009507FA"/>
    <w:rsid w:val="009549B8"/>
    <w:rsid w:val="00955F5D"/>
    <w:rsid w:val="009572B8"/>
    <w:rsid w:val="00960B76"/>
    <w:rsid w:val="00960E01"/>
    <w:rsid w:val="009614B7"/>
    <w:rsid w:val="009633ED"/>
    <w:rsid w:val="00964068"/>
    <w:rsid w:val="009673F8"/>
    <w:rsid w:val="009707FE"/>
    <w:rsid w:val="00971FA0"/>
    <w:rsid w:val="00972159"/>
    <w:rsid w:val="0097300E"/>
    <w:rsid w:val="00974C0B"/>
    <w:rsid w:val="00974E97"/>
    <w:rsid w:val="009768C6"/>
    <w:rsid w:val="00976E71"/>
    <w:rsid w:val="00976E83"/>
    <w:rsid w:val="00980556"/>
    <w:rsid w:val="00982CDE"/>
    <w:rsid w:val="00987359"/>
    <w:rsid w:val="00987652"/>
    <w:rsid w:val="00987869"/>
    <w:rsid w:val="009878F7"/>
    <w:rsid w:val="0099426A"/>
    <w:rsid w:val="00996A12"/>
    <w:rsid w:val="009A168C"/>
    <w:rsid w:val="009A1AC0"/>
    <w:rsid w:val="009A348D"/>
    <w:rsid w:val="009A37C1"/>
    <w:rsid w:val="009A6955"/>
    <w:rsid w:val="009A7A34"/>
    <w:rsid w:val="009B0FA0"/>
    <w:rsid w:val="009B212D"/>
    <w:rsid w:val="009B3B24"/>
    <w:rsid w:val="009B3D4C"/>
    <w:rsid w:val="009B4170"/>
    <w:rsid w:val="009B543C"/>
    <w:rsid w:val="009B58CF"/>
    <w:rsid w:val="009B7605"/>
    <w:rsid w:val="009B7869"/>
    <w:rsid w:val="009C18FC"/>
    <w:rsid w:val="009C3873"/>
    <w:rsid w:val="009C518A"/>
    <w:rsid w:val="009C7BED"/>
    <w:rsid w:val="009D1CE4"/>
    <w:rsid w:val="009D7B84"/>
    <w:rsid w:val="009E1241"/>
    <w:rsid w:val="009E144C"/>
    <w:rsid w:val="009E1909"/>
    <w:rsid w:val="009E1A41"/>
    <w:rsid w:val="009E1C60"/>
    <w:rsid w:val="009E3EE6"/>
    <w:rsid w:val="009E3F2A"/>
    <w:rsid w:val="009E641E"/>
    <w:rsid w:val="009F00E9"/>
    <w:rsid w:val="009F1FC8"/>
    <w:rsid w:val="009F31A8"/>
    <w:rsid w:val="009F4861"/>
    <w:rsid w:val="009F4C23"/>
    <w:rsid w:val="009F4D74"/>
    <w:rsid w:val="009F5264"/>
    <w:rsid w:val="009F63D2"/>
    <w:rsid w:val="009F723E"/>
    <w:rsid w:val="009F77E2"/>
    <w:rsid w:val="00A011DE"/>
    <w:rsid w:val="00A014CF"/>
    <w:rsid w:val="00A03F63"/>
    <w:rsid w:val="00A06156"/>
    <w:rsid w:val="00A12DAB"/>
    <w:rsid w:val="00A13573"/>
    <w:rsid w:val="00A15368"/>
    <w:rsid w:val="00A155D4"/>
    <w:rsid w:val="00A160A4"/>
    <w:rsid w:val="00A17161"/>
    <w:rsid w:val="00A176C3"/>
    <w:rsid w:val="00A202CA"/>
    <w:rsid w:val="00A23CBE"/>
    <w:rsid w:val="00A24C6B"/>
    <w:rsid w:val="00A268E3"/>
    <w:rsid w:val="00A2780F"/>
    <w:rsid w:val="00A3212A"/>
    <w:rsid w:val="00A33A9A"/>
    <w:rsid w:val="00A35532"/>
    <w:rsid w:val="00A3581D"/>
    <w:rsid w:val="00A36A23"/>
    <w:rsid w:val="00A37AF9"/>
    <w:rsid w:val="00A40695"/>
    <w:rsid w:val="00A41EAA"/>
    <w:rsid w:val="00A43459"/>
    <w:rsid w:val="00A443C7"/>
    <w:rsid w:val="00A45C89"/>
    <w:rsid w:val="00A4644B"/>
    <w:rsid w:val="00A535DD"/>
    <w:rsid w:val="00A54149"/>
    <w:rsid w:val="00A5496E"/>
    <w:rsid w:val="00A54A46"/>
    <w:rsid w:val="00A575BE"/>
    <w:rsid w:val="00A62863"/>
    <w:rsid w:val="00A62E9E"/>
    <w:rsid w:val="00A6589E"/>
    <w:rsid w:val="00A65B0F"/>
    <w:rsid w:val="00A66C77"/>
    <w:rsid w:val="00A67100"/>
    <w:rsid w:val="00A675BF"/>
    <w:rsid w:val="00A72519"/>
    <w:rsid w:val="00A764C8"/>
    <w:rsid w:val="00A77163"/>
    <w:rsid w:val="00A77360"/>
    <w:rsid w:val="00A776C8"/>
    <w:rsid w:val="00A77B38"/>
    <w:rsid w:val="00A8086B"/>
    <w:rsid w:val="00A80A58"/>
    <w:rsid w:val="00A812E6"/>
    <w:rsid w:val="00A81DB5"/>
    <w:rsid w:val="00A82AFC"/>
    <w:rsid w:val="00A83728"/>
    <w:rsid w:val="00A83C03"/>
    <w:rsid w:val="00A84374"/>
    <w:rsid w:val="00A84FF4"/>
    <w:rsid w:val="00A8552B"/>
    <w:rsid w:val="00A86097"/>
    <w:rsid w:val="00A86152"/>
    <w:rsid w:val="00A86567"/>
    <w:rsid w:val="00A90101"/>
    <w:rsid w:val="00A903AD"/>
    <w:rsid w:val="00A90842"/>
    <w:rsid w:val="00A91D0A"/>
    <w:rsid w:val="00A92D9E"/>
    <w:rsid w:val="00A95B1E"/>
    <w:rsid w:val="00A95B3F"/>
    <w:rsid w:val="00A966C1"/>
    <w:rsid w:val="00A97A6B"/>
    <w:rsid w:val="00AA04B0"/>
    <w:rsid w:val="00AA0FC6"/>
    <w:rsid w:val="00AA21C0"/>
    <w:rsid w:val="00AA2E96"/>
    <w:rsid w:val="00AA4EE7"/>
    <w:rsid w:val="00AA58DD"/>
    <w:rsid w:val="00AA69F5"/>
    <w:rsid w:val="00AB2820"/>
    <w:rsid w:val="00AC070A"/>
    <w:rsid w:val="00AC2B7D"/>
    <w:rsid w:val="00AC644E"/>
    <w:rsid w:val="00AC6C96"/>
    <w:rsid w:val="00AC7CE7"/>
    <w:rsid w:val="00AD10C1"/>
    <w:rsid w:val="00AD1FA1"/>
    <w:rsid w:val="00AD37A3"/>
    <w:rsid w:val="00AD5ABF"/>
    <w:rsid w:val="00AD6E16"/>
    <w:rsid w:val="00AD7265"/>
    <w:rsid w:val="00AE0A98"/>
    <w:rsid w:val="00AE1207"/>
    <w:rsid w:val="00AE1B16"/>
    <w:rsid w:val="00AE1D87"/>
    <w:rsid w:val="00AE1FDD"/>
    <w:rsid w:val="00AE27EF"/>
    <w:rsid w:val="00AE3951"/>
    <w:rsid w:val="00AF07DB"/>
    <w:rsid w:val="00AF1BB0"/>
    <w:rsid w:val="00AF205F"/>
    <w:rsid w:val="00AF23AC"/>
    <w:rsid w:val="00AF2D84"/>
    <w:rsid w:val="00AF3D6F"/>
    <w:rsid w:val="00AF428A"/>
    <w:rsid w:val="00AF4F46"/>
    <w:rsid w:val="00AF53A5"/>
    <w:rsid w:val="00AF7699"/>
    <w:rsid w:val="00AF7C2F"/>
    <w:rsid w:val="00B006C4"/>
    <w:rsid w:val="00B00974"/>
    <w:rsid w:val="00B01E74"/>
    <w:rsid w:val="00B0333B"/>
    <w:rsid w:val="00B0366B"/>
    <w:rsid w:val="00B04EDA"/>
    <w:rsid w:val="00B063E3"/>
    <w:rsid w:val="00B0643F"/>
    <w:rsid w:val="00B06919"/>
    <w:rsid w:val="00B070BA"/>
    <w:rsid w:val="00B07C0F"/>
    <w:rsid w:val="00B1010A"/>
    <w:rsid w:val="00B10878"/>
    <w:rsid w:val="00B10FF6"/>
    <w:rsid w:val="00B140E5"/>
    <w:rsid w:val="00B1711A"/>
    <w:rsid w:val="00B20833"/>
    <w:rsid w:val="00B20EB2"/>
    <w:rsid w:val="00B218F4"/>
    <w:rsid w:val="00B23326"/>
    <w:rsid w:val="00B23BA9"/>
    <w:rsid w:val="00B2421B"/>
    <w:rsid w:val="00B268F8"/>
    <w:rsid w:val="00B26D25"/>
    <w:rsid w:val="00B27408"/>
    <w:rsid w:val="00B31E31"/>
    <w:rsid w:val="00B32A1B"/>
    <w:rsid w:val="00B33990"/>
    <w:rsid w:val="00B34141"/>
    <w:rsid w:val="00B35AEF"/>
    <w:rsid w:val="00B363AC"/>
    <w:rsid w:val="00B37BB0"/>
    <w:rsid w:val="00B41707"/>
    <w:rsid w:val="00B42941"/>
    <w:rsid w:val="00B443B4"/>
    <w:rsid w:val="00B44DFD"/>
    <w:rsid w:val="00B47B37"/>
    <w:rsid w:val="00B531F1"/>
    <w:rsid w:val="00B635E2"/>
    <w:rsid w:val="00B65D61"/>
    <w:rsid w:val="00B663F5"/>
    <w:rsid w:val="00B67297"/>
    <w:rsid w:val="00B7148E"/>
    <w:rsid w:val="00B728FE"/>
    <w:rsid w:val="00B76D8A"/>
    <w:rsid w:val="00B77A44"/>
    <w:rsid w:val="00B81EA3"/>
    <w:rsid w:val="00B833C5"/>
    <w:rsid w:val="00B85D21"/>
    <w:rsid w:val="00B91AB3"/>
    <w:rsid w:val="00B9261E"/>
    <w:rsid w:val="00B9358B"/>
    <w:rsid w:val="00B94DBB"/>
    <w:rsid w:val="00B95AA0"/>
    <w:rsid w:val="00B97296"/>
    <w:rsid w:val="00BA0B06"/>
    <w:rsid w:val="00BA1D3B"/>
    <w:rsid w:val="00BA1D84"/>
    <w:rsid w:val="00BA28E0"/>
    <w:rsid w:val="00BA2985"/>
    <w:rsid w:val="00BA29E3"/>
    <w:rsid w:val="00BA2BE2"/>
    <w:rsid w:val="00BA3435"/>
    <w:rsid w:val="00BA4C2C"/>
    <w:rsid w:val="00BA6535"/>
    <w:rsid w:val="00BA6596"/>
    <w:rsid w:val="00BA6F29"/>
    <w:rsid w:val="00BA75C1"/>
    <w:rsid w:val="00BB04B4"/>
    <w:rsid w:val="00BB1087"/>
    <w:rsid w:val="00BB1346"/>
    <w:rsid w:val="00BB3194"/>
    <w:rsid w:val="00BB411D"/>
    <w:rsid w:val="00BB5CEA"/>
    <w:rsid w:val="00BB61E2"/>
    <w:rsid w:val="00BB7EA2"/>
    <w:rsid w:val="00BC0D74"/>
    <w:rsid w:val="00BC5402"/>
    <w:rsid w:val="00BC547E"/>
    <w:rsid w:val="00BC6508"/>
    <w:rsid w:val="00BC7566"/>
    <w:rsid w:val="00BD0D3C"/>
    <w:rsid w:val="00BD11C4"/>
    <w:rsid w:val="00BD20C7"/>
    <w:rsid w:val="00BD29DA"/>
    <w:rsid w:val="00BD2F91"/>
    <w:rsid w:val="00BD388E"/>
    <w:rsid w:val="00BD437F"/>
    <w:rsid w:val="00BD43A4"/>
    <w:rsid w:val="00BD74FB"/>
    <w:rsid w:val="00BD7FED"/>
    <w:rsid w:val="00BE35A1"/>
    <w:rsid w:val="00BE370D"/>
    <w:rsid w:val="00BE409E"/>
    <w:rsid w:val="00BE44A0"/>
    <w:rsid w:val="00BE564E"/>
    <w:rsid w:val="00BE5D40"/>
    <w:rsid w:val="00BF673F"/>
    <w:rsid w:val="00BF7D8A"/>
    <w:rsid w:val="00C034AF"/>
    <w:rsid w:val="00C05B05"/>
    <w:rsid w:val="00C11B77"/>
    <w:rsid w:val="00C11D26"/>
    <w:rsid w:val="00C13737"/>
    <w:rsid w:val="00C145F7"/>
    <w:rsid w:val="00C157A9"/>
    <w:rsid w:val="00C15904"/>
    <w:rsid w:val="00C1697D"/>
    <w:rsid w:val="00C17E9D"/>
    <w:rsid w:val="00C20A64"/>
    <w:rsid w:val="00C22300"/>
    <w:rsid w:val="00C2482D"/>
    <w:rsid w:val="00C25C5C"/>
    <w:rsid w:val="00C30F80"/>
    <w:rsid w:val="00C339A4"/>
    <w:rsid w:val="00C33C2C"/>
    <w:rsid w:val="00C359AA"/>
    <w:rsid w:val="00C35A5E"/>
    <w:rsid w:val="00C35B70"/>
    <w:rsid w:val="00C42F97"/>
    <w:rsid w:val="00C46DC0"/>
    <w:rsid w:val="00C47C82"/>
    <w:rsid w:val="00C47CE6"/>
    <w:rsid w:val="00C47CEA"/>
    <w:rsid w:val="00C47E1A"/>
    <w:rsid w:val="00C50AB2"/>
    <w:rsid w:val="00C51FC6"/>
    <w:rsid w:val="00C529D1"/>
    <w:rsid w:val="00C52C57"/>
    <w:rsid w:val="00C52E14"/>
    <w:rsid w:val="00C532DF"/>
    <w:rsid w:val="00C5540B"/>
    <w:rsid w:val="00C55549"/>
    <w:rsid w:val="00C56080"/>
    <w:rsid w:val="00C57CBD"/>
    <w:rsid w:val="00C621B4"/>
    <w:rsid w:val="00C6385E"/>
    <w:rsid w:val="00C63F7B"/>
    <w:rsid w:val="00C6790C"/>
    <w:rsid w:val="00C704B5"/>
    <w:rsid w:val="00C715AE"/>
    <w:rsid w:val="00C75352"/>
    <w:rsid w:val="00C75C72"/>
    <w:rsid w:val="00C770AE"/>
    <w:rsid w:val="00C77B64"/>
    <w:rsid w:val="00C815FC"/>
    <w:rsid w:val="00C8305D"/>
    <w:rsid w:val="00C838A7"/>
    <w:rsid w:val="00C8477C"/>
    <w:rsid w:val="00C85421"/>
    <w:rsid w:val="00C85DCF"/>
    <w:rsid w:val="00C90C2E"/>
    <w:rsid w:val="00C91988"/>
    <w:rsid w:val="00C91D18"/>
    <w:rsid w:val="00C9285A"/>
    <w:rsid w:val="00C94A41"/>
    <w:rsid w:val="00C972CF"/>
    <w:rsid w:val="00CA034A"/>
    <w:rsid w:val="00CA0FCB"/>
    <w:rsid w:val="00CA12AB"/>
    <w:rsid w:val="00CA19F1"/>
    <w:rsid w:val="00CA4913"/>
    <w:rsid w:val="00CA4AA3"/>
    <w:rsid w:val="00CA7FB9"/>
    <w:rsid w:val="00CA7FE3"/>
    <w:rsid w:val="00CB048E"/>
    <w:rsid w:val="00CB2584"/>
    <w:rsid w:val="00CB4495"/>
    <w:rsid w:val="00CB494A"/>
    <w:rsid w:val="00CC4FFD"/>
    <w:rsid w:val="00CC534F"/>
    <w:rsid w:val="00CC7827"/>
    <w:rsid w:val="00CD185D"/>
    <w:rsid w:val="00CD1A02"/>
    <w:rsid w:val="00CD27FC"/>
    <w:rsid w:val="00CD2B5E"/>
    <w:rsid w:val="00CD2C93"/>
    <w:rsid w:val="00CD3CEF"/>
    <w:rsid w:val="00CD53D4"/>
    <w:rsid w:val="00CE1D09"/>
    <w:rsid w:val="00CE1DC7"/>
    <w:rsid w:val="00CE39F1"/>
    <w:rsid w:val="00CE49D7"/>
    <w:rsid w:val="00CE6E25"/>
    <w:rsid w:val="00CF4A99"/>
    <w:rsid w:val="00CF6819"/>
    <w:rsid w:val="00CF7CB0"/>
    <w:rsid w:val="00D0165F"/>
    <w:rsid w:val="00D034E9"/>
    <w:rsid w:val="00D03C5E"/>
    <w:rsid w:val="00D066C3"/>
    <w:rsid w:val="00D07176"/>
    <w:rsid w:val="00D07AB5"/>
    <w:rsid w:val="00D11DB6"/>
    <w:rsid w:val="00D11FE5"/>
    <w:rsid w:val="00D12300"/>
    <w:rsid w:val="00D137D2"/>
    <w:rsid w:val="00D1567A"/>
    <w:rsid w:val="00D15AC2"/>
    <w:rsid w:val="00D16CCB"/>
    <w:rsid w:val="00D21586"/>
    <w:rsid w:val="00D21FC9"/>
    <w:rsid w:val="00D27084"/>
    <w:rsid w:val="00D31181"/>
    <w:rsid w:val="00D3399F"/>
    <w:rsid w:val="00D37BB7"/>
    <w:rsid w:val="00D4014E"/>
    <w:rsid w:val="00D40C73"/>
    <w:rsid w:val="00D40D02"/>
    <w:rsid w:val="00D4136F"/>
    <w:rsid w:val="00D42637"/>
    <w:rsid w:val="00D4267F"/>
    <w:rsid w:val="00D42941"/>
    <w:rsid w:val="00D4327E"/>
    <w:rsid w:val="00D4714B"/>
    <w:rsid w:val="00D5120C"/>
    <w:rsid w:val="00D523DA"/>
    <w:rsid w:val="00D53D5A"/>
    <w:rsid w:val="00D54F34"/>
    <w:rsid w:val="00D55FC9"/>
    <w:rsid w:val="00D564B3"/>
    <w:rsid w:val="00D60B5C"/>
    <w:rsid w:val="00D61D31"/>
    <w:rsid w:val="00D62353"/>
    <w:rsid w:val="00D6321A"/>
    <w:rsid w:val="00D645E3"/>
    <w:rsid w:val="00D65F51"/>
    <w:rsid w:val="00D66888"/>
    <w:rsid w:val="00D7159C"/>
    <w:rsid w:val="00D71F32"/>
    <w:rsid w:val="00D72744"/>
    <w:rsid w:val="00D7356B"/>
    <w:rsid w:val="00D73DCE"/>
    <w:rsid w:val="00D74F93"/>
    <w:rsid w:val="00D77C70"/>
    <w:rsid w:val="00D77DFE"/>
    <w:rsid w:val="00D77F21"/>
    <w:rsid w:val="00D80A70"/>
    <w:rsid w:val="00D8161B"/>
    <w:rsid w:val="00D81D6D"/>
    <w:rsid w:val="00D820BC"/>
    <w:rsid w:val="00D82640"/>
    <w:rsid w:val="00D902CD"/>
    <w:rsid w:val="00D90848"/>
    <w:rsid w:val="00D90ABE"/>
    <w:rsid w:val="00D91BAD"/>
    <w:rsid w:val="00D927E3"/>
    <w:rsid w:val="00D9334D"/>
    <w:rsid w:val="00D9359C"/>
    <w:rsid w:val="00D93A56"/>
    <w:rsid w:val="00D971FE"/>
    <w:rsid w:val="00D97F82"/>
    <w:rsid w:val="00DA0FF1"/>
    <w:rsid w:val="00DA16E3"/>
    <w:rsid w:val="00DA1C5F"/>
    <w:rsid w:val="00DA34C5"/>
    <w:rsid w:val="00DA370B"/>
    <w:rsid w:val="00DA60EE"/>
    <w:rsid w:val="00DA75B8"/>
    <w:rsid w:val="00DB02CE"/>
    <w:rsid w:val="00DB3038"/>
    <w:rsid w:val="00DB3E93"/>
    <w:rsid w:val="00DB4597"/>
    <w:rsid w:val="00DB6601"/>
    <w:rsid w:val="00DB797F"/>
    <w:rsid w:val="00DC459B"/>
    <w:rsid w:val="00DC461F"/>
    <w:rsid w:val="00DC6348"/>
    <w:rsid w:val="00DD1E87"/>
    <w:rsid w:val="00DD33D4"/>
    <w:rsid w:val="00DD38C5"/>
    <w:rsid w:val="00DD500B"/>
    <w:rsid w:val="00DD6F22"/>
    <w:rsid w:val="00DD75FD"/>
    <w:rsid w:val="00DE1528"/>
    <w:rsid w:val="00DE4E67"/>
    <w:rsid w:val="00DE5EC0"/>
    <w:rsid w:val="00DE64E3"/>
    <w:rsid w:val="00DE69B6"/>
    <w:rsid w:val="00DE6C2E"/>
    <w:rsid w:val="00DF13F5"/>
    <w:rsid w:val="00DF1F7D"/>
    <w:rsid w:val="00DF205F"/>
    <w:rsid w:val="00DF47D3"/>
    <w:rsid w:val="00DF4A09"/>
    <w:rsid w:val="00DF54EF"/>
    <w:rsid w:val="00DF7396"/>
    <w:rsid w:val="00DF7486"/>
    <w:rsid w:val="00DF7B4B"/>
    <w:rsid w:val="00E00BDC"/>
    <w:rsid w:val="00E02109"/>
    <w:rsid w:val="00E026AF"/>
    <w:rsid w:val="00E03B66"/>
    <w:rsid w:val="00E05A53"/>
    <w:rsid w:val="00E05A63"/>
    <w:rsid w:val="00E06397"/>
    <w:rsid w:val="00E07357"/>
    <w:rsid w:val="00E07F50"/>
    <w:rsid w:val="00E11737"/>
    <w:rsid w:val="00E11EBE"/>
    <w:rsid w:val="00E130CB"/>
    <w:rsid w:val="00E15223"/>
    <w:rsid w:val="00E15702"/>
    <w:rsid w:val="00E15BB1"/>
    <w:rsid w:val="00E16DC0"/>
    <w:rsid w:val="00E215C6"/>
    <w:rsid w:val="00E2315C"/>
    <w:rsid w:val="00E239B7"/>
    <w:rsid w:val="00E246DF"/>
    <w:rsid w:val="00E24E7D"/>
    <w:rsid w:val="00E2611C"/>
    <w:rsid w:val="00E2702A"/>
    <w:rsid w:val="00E31E97"/>
    <w:rsid w:val="00E324AF"/>
    <w:rsid w:val="00E353E4"/>
    <w:rsid w:val="00E363C2"/>
    <w:rsid w:val="00E36AEE"/>
    <w:rsid w:val="00E37EC7"/>
    <w:rsid w:val="00E4483C"/>
    <w:rsid w:val="00E45023"/>
    <w:rsid w:val="00E47482"/>
    <w:rsid w:val="00E52582"/>
    <w:rsid w:val="00E533F9"/>
    <w:rsid w:val="00E53456"/>
    <w:rsid w:val="00E5433E"/>
    <w:rsid w:val="00E54BE9"/>
    <w:rsid w:val="00E553BB"/>
    <w:rsid w:val="00E60BB1"/>
    <w:rsid w:val="00E62D7F"/>
    <w:rsid w:val="00E62ECA"/>
    <w:rsid w:val="00E64559"/>
    <w:rsid w:val="00E64A3B"/>
    <w:rsid w:val="00E65376"/>
    <w:rsid w:val="00E66670"/>
    <w:rsid w:val="00E6682E"/>
    <w:rsid w:val="00E674C6"/>
    <w:rsid w:val="00E6762B"/>
    <w:rsid w:val="00E7140A"/>
    <w:rsid w:val="00E718DF"/>
    <w:rsid w:val="00E75BC5"/>
    <w:rsid w:val="00E76F8E"/>
    <w:rsid w:val="00E77E26"/>
    <w:rsid w:val="00E8040E"/>
    <w:rsid w:val="00E816E3"/>
    <w:rsid w:val="00E81C63"/>
    <w:rsid w:val="00E8326C"/>
    <w:rsid w:val="00E84B27"/>
    <w:rsid w:val="00E853B7"/>
    <w:rsid w:val="00E93F98"/>
    <w:rsid w:val="00E94955"/>
    <w:rsid w:val="00E97BCA"/>
    <w:rsid w:val="00EA01C0"/>
    <w:rsid w:val="00EA01C5"/>
    <w:rsid w:val="00EA7B48"/>
    <w:rsid w:val="00EB0DDE"/>
    <w:rsid w:val="00EB2905"/>
    <w:rsid w:val="00EB31A7"/>
    <w:rsid w:val="00EB57FA"/>
    <w:rsid w:val="00EB6BD8"/>
    <w:rsid w:val="00EC155A"/>
    <w:rsid w:val="00EC1D76"/>
    <w:rsid w:val="00EC572F"/>
    <w:rsid w:val="00EC5CCC"/>
    <w:rsid w:val="00EC5EA6"/>
    <w:rsid w:val="00EC7495"/>
    <w:rsid w:val="00EC7ADC"/>
    <w:rsid w:val="00ED14EA"/>
    <w:rsid w:val="00ED3F91"/>
    <w:rsid w:val="00ED4435"/>
    <w:rsid w:val="00ED55FD"/>
    <w:rsid w:val="00ED68FB"/>
    <w:rsid w:val="00ED6A71"/>
    <w:rsid w:val="00ED6DA2"/>
    <w:rsid w:val="00ED7F5C"/>
    <w:rsid w:val="00EE05BF"/>
    <w:rsid w:val="00EE188E"/>
    <w:rsid w:val="00EE1D0A"/>
    <w:rsid w:val="00EE1F73"/>
    <w:rsid w:val="00EE3458"/>
    <w:rsid w:val="00EE6439"/>
    <w:rsid w:val="00EE6441"/>
    <w:rsid w:val="00EF003C"/>
    <w:rsid w:val="00EF2159"/>
    <w:rsid w:val="00EF4AF1"/>
    <w:rsid w:val="00EF60AD"/>
    <w:rsid w:val="00EF630B"/>
    <w:rsid w:val="00EF682E"/>
    <w:rsid w:val="00EF6F41"/>
    <w:rsid w:val="00EF7425"/>
    <w:rsid w:val="00F0160C"/>
    <w:rsid w:val="00F01CF4"/>
    <w:rsid w:val="00F02295"/>
    <w:rsid w:val="00F105CF"/>
    <w:rsid w:val="00F1356D"/>
    <w:rsid w:val="00F16C08"/>
    <w:rsid w:val="00F17378"/>
    <w:rsid w:val="00F1742D"/>
    <w:rsid w:val="00F216C5"/>
    <w:rsid w:val="00F21BB5"/>
    <w:rsid w:val="00F21D3A"/>
    <w:rsid w:val="00F22C77"/>
    <w:rsid w:val="00F2631B"/>
    <w:rsid w:val="00F26342"/>
    <w:rsid w:val="00F307D4"/>
    <w:rsid w:val="00F31F4F"/>
    <w:rsid w:val="00F32F82"/>
    <w:rsid w:val="00F33F2B"/>
    <w:rsid w:val="00F35464"/>
    <w:rsid w:val="00F355E0"/>
    <w:rsid w:val="00F418AA"/>
    <w:rsid w:val="00F41F9D"/>
    <w:rsid w:val="00F42376"/>
    <w:rsid w:val="00F45566"/>
    <w:rsid w:val="00F46130"/>
    <w:rsid w:val="00F46CD4"/>
    <w:rsid w:val="00F52085"/>
    <w:rsid w:val="00F52723"/>
    <w:rsid w:val="00F544F1"/>
    <w:rsid w:val="00F553C8"/>
    <w:rsid w:val="00F56B98"/>
    <w:rsid w:val="00F61773"/>
    <w:rsid w:val="00F63748"/>
    <w:rsid w:val="00F667DF"/>
    <w:rsid w:val="00F70618"/>
    <w:rsid w:val="00F71BC5"/>
    <w:rsid w:val="00F71F3C"/>
    <w:rsid w:val="00F764FE"/>
    <w:rsid w:val="00F7740F"/>
    <w:rsid w:val="00F77D97"/>
    <w:rsid w:val="00F80068"/>
    <w:rsid w:val="00F80A7B"/>
    <w:rsid w:val="00F828A5"/>
    <w:rsid w:val="00F833AD"/>
    <w:rsid w:val="00F8346F"/>
    <w:rsid w:val="00F8354A"/>
    <w:rsid w:val="00F83A6E"/>
    <w:rsid w:val="00F83C48"/>
    <w:rsid w:val="00F85430"/>
    <w:rsid w:val="00F8786B"/>
    <w:rsid w:val="00F87874"/>
    <w:rsid w:val="00F903DD"/>
    <w:rsid w:val="00F924B4"/>
    <w:rsid w:val="00F94345"/>
    <w:rsid w:val="00F946AD"/>
    <w:rsid w:val="00F950A8"/>
    <w:rsid w:val="00F95378"/>
    <w:rsid w:val="00F968A4"/>
    <w:rsid w:val="00F97263"/>
    <w:rsid w:val="00F97C34"/>
    <w:rsid w:val="00FA39F6"/>
    <w:rsid w:val="00FA4EF6"/>
    <w:rsid w:val="00FA6897"/>
    <w:rsid w:val="00FB1B9F"/>
    <w:rsid w:val="00FB1E35"/>
    <w:rsid w:val="00FB1F56"/>
    <w:rsid w:val="00FB1FED"/>
    <w:rsid w:val="00FB2492"/>
    <w:rsid w:val="00FB65DC"/>
    <w:rsid w:val="00FB6CBA"/>
    <w:rsid w:val="00FB7AD2"/>
    <w:rsid w:val="00FC0271"/>
    <w:rsid w:val="00FC02C9"/>
    <w:rsid w:val="00FC1640"/>
    <w:rsid w:val="00FC3641"/>
    <w:rsid w:val="00FC37B7"/>
    <w:rsid w:val="00FC39CD"/>
    <w:rsid w:val="00FC3E31"/>
    <w:rsid w:val="00FC4262"/>
    <w:rsid w:val="00FC4DA0"/>
    <w:rsid w:val="00FC5179"/>
    <w:rsid w:val="00FC5C2D"/>
    <w:rsid w:val="00FC675B"/>
    <w:rsid w:val="00FC6D21"/>
    <w:rsid w:val="00FC75C0"/>
    <w:rsid w:val="00FC7AB2"/>
    <w:rsid w:val="00FD1A76"/>
    <w:rsid w:val="00FD1E33"/>
    <w:rsid w:val="00FD2144"/>
    <w:rsid w:val="00FD33E1"/>
    <w:rsid w:val="00FD3BC2"/>
    <w:rsid w:val="00FD49B6"/>
    <w:rsid w:val="00FD5B05"/>
    <w:rsid w:val="00FD6AA2"/>
    <w:rsid w:val="00FD7ABA"/>
    <w:rsid w:val="00FE0838"/>
    <w:rsid w:val="00FE1B04"/>
    <w:rsid w:val="00FE53A0"/>
    <w:rsid w:val="00FE5854"/>
    <w:rsid w:val="00FE5C43"/>
    <w:rsid w:val="00FE6760"/>
    <w:rsid w:val="00FE7BC6"/>
    <w:rsid w:val="00FF0B54"/>
    <w:rsid w:val="00FF0DBA"/>
    <w:rsid w:val="00FF1622"/>
    <w:rsid w:val="00FF1F40"/>
    <w:rsid w:val="00FF2A81"/>
    <w:rsid w:val="00FF2C13"/>
    <w:rsid w:val="00FF46E3"/>
    <w:rsid w:val="00FF4920"/>
    <w:rsid w:val="00FF4A61"/>
    <w:rsid w:val="00FF5AEF"/>
    <w:rsid w:val="00FF5D3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E4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lsdException w:name="heading 7" w:semiHidden="1" w:uiPriority="9" w:unhideWhenUsed="1"/>
    <w:lsdException w:name="heading 8"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4" w:qFormat="1"/>
    <w:lsdException w:name="List Number" w:semiHidden="1" w:uiPriority="3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lsdException w:name="Salutation" w:semiHidden="1" w:unhideWhenUsed="1"/>
    <w:lsdException w:name="Date" w:uiPriority="2"/>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D71CD"/>
  </w:style>
  <w:style w:type="paragraph" w:styleId="Heading1">
    <w:name w:val="heading 1"/>
    <w:next w:val="BodyText"/>
    <w:link w:val="Heading1Char"/>
    <w:uiPriority w:val="9"/>
    <w:qFormat/>
    <w:rsid w:val="00207D80"/>
    <w:pPr>
      <w:keepNext/>
      <w:numPr>
        <w:numId w:val="39"/>
      </w:numPr>
      <w:spacing w:before="240" w:after="120" w:line="240" w:lineRule="auto"/>
      <w:ind w:left="360"/>
      <w:outlineLvl w:val="0"/>
    </w:pPr>
    <w:rPr>
      <w:rFonts w:ascii="Palatino Linotype" w:hAnsi="Palatino Linotype"/>
      <w:b/>
      <w:color w:val="007698"/>
      <w:sz w:val="28"/>
      <w:szCs w:val="28"/>
    </w:rPr>
  </w:style>
  <w:style w:type="paragraph" w:styleId="Heading2">
    <w:name w:val="heading 2"/>
    <w:basedOn w:val="Heading1"/>
    <w:next w:val="Normal"/>
    <w:link w:val="Heading2Char"/>
    <w:uiPriority w:val="9"/>
    <w:qFormat/>
    <w:rsid w:val="00207D80"/>
    <w:pPr>
      <w:numPr>
        <w:ilvl w:val="1"/>
      </w:numPr>
      <w:ind w:left="360"/>
      <w:outlineLvl w:val="1"/>
    </w:pPr>
    <w:rPr>
      <w:sz w:val="26"/>
      <w:szCs w:val="26"/>
    </w:rPr>
  </w:style>
  <w:style w:type="paragraph" w:styleId="Heading3">
    <w:name w:val="heading 3"/>
    <w:basedOn w:val="Heading2"/>
    <w:next w:val="BodyText"/>
    <w:link w:val="Heading3Char"/>
    <w:uiPriority w:val="9"/>
    <w:qFormat/>
    <w:rsid w:val="00C157A9"/>
    <w:pPr>
      <w:numPr>
        <w:ilvl w:val="2"/>
      </w:numPr>
      <w:ind w:left="350"/>
      <w:outlineLvl w:val="2"/>
    </w:pPr>
    <w:rPr>
      <w:sz w:val="24"/>
    </w:rPr>
  </w:style>
  <w:style w:type="paragraph" w:styleId="Heading4">
    <w:name w:val="heading 4"/>
    <w:next w:val="BodyText"/>
    <w:link w:val="Heading4Char"/>
    <w:uiPriority w:val="9"/>
    <w:qFormat/>
    <w:rsid w:val="00EF2159"/>
    <w:pPr>
      <w:keepNext/>
      <w:numPr>
        <w:ilvl w:val="3"/>
        <w:numId w:val="31"/>
      </w:numPr>
      <w:spacing w:before="240" w:after="120" w:line="240" w:lineRule="auto"/>
      <w:outlineLvl w:val="3"/>
    </w:pPr>
    <w:rPr>
      <w:b/>
      <w:sz w:val="21"/>
      <w:szCs w:val="21"/>
    </w:rPr>
  </w:style>
  <w:style w:type="paragraph" w:styleId="Heading5">
    <w:name w:val="heading 5"/>
    <w:next w:val="Normal"/>
    <w:link w:val="Heading5Char"/>
    <w:uiPriority w:val="9"/>
    <w:qFormat/>
    <w:rsid w:val="00EF2159"/>
    <w:pPr>
      <w:keepNext/>
      <w:numPr>
        <w:ilvl w:val="4"/>
        <w:numId w:val="31"/>
      </w:numPr>
      <w:tabs>
        <w:tab w:val="left" w:pos="709"/>
      </w:tabs>
      <w:spacing w:before="240" w:after="120" w:line="240" w:lineRule="auto"/>
      <w:jc w:val="both"/>
      <w:outlineLvl w:val="4"/>
    </w:pPr>
    <w:rPr>
      <w:b/>
      <w:i/>
      <w:sz w:val="21"/>
      <w:szCs w:val="21"/>
    </w:rPr>
  </w:style>
  <w:style w:type="paragraph" w:styleId="Heading6">
    <w:name w:val="heading 6"/>
    <w:basedOn w:val="Normal"/>
    <w:link w:val="Heading6Char"/>
    <w:uiPriority w:val="9"/>
    <w:semiHidden/>
    <w:rsid w:val="001D71CD"/>
    <w:pPr>
      <w:keepNext/>
      <w:keepLines/>
      <w:spacing w:after="80"/>
      <w:outlineLvl w:val="5"/>
    </w:pPr>
    <w:rPr>
      <w:rFonts w:eastAsiaTheme="majorEastAsia" w:cstheme="majorBidi"/>
      <w:i/>
      <w:iCs/>
    </w:rPr>
  </w:style>
  <w:style w:type="paragraph" w:styleId="Heading7">
    <w:name w:val="heading 7"/>
    <w:basedOn w:val="Normal"/>
    <w:next w:val="Normal"/>
    <w:link w:val="Heading7Char"/>
    <w:uiPriority w:val="9"/>
    <w:semiHidden/>
    <w:rsid w:val="00F6177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5377C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rsid w:val="001B12E5"/>
    <w:pPr>
      <w:keepNext/>
      <w:spacing w:after="0" w:line="240" w:lineRule="auto"/>
      <w:outlineLvl w:val="8"/>
    </w:pPr>
    <w:rPr>
      <w:rFonts w:ascii="Arial" w:eastAsia="Times New Roman"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D80"/>
    <w:rPr>
      <w:rFonts w:ascii="Palatino Linotype" w:hAnsi="Palatino Linotype"/>
      <w:b/>
      <w:color w:val="007698"/>
      <w:sz w:val="28"/>
      <w:szCs w:val="28"/>
    </w:rPr>
  </w:style>
  <w:style w:type="paragraph" w:styleId="BodyText">
    <w:name w:val="Body Text"/>
    <w:link w:val="BodyTextChar"/>
    <w:qFormat/>
    <w:rsid w:val="001D71CD"/>
    <w:pPr>
      <w:spacing w:after="120"/>
      <w:jc w:val="both"/>
    </w:pPr>
    <w:rPr>
      <w:sz w:val="21"/>
      <w:szCs w:val="21"/>
    </w:rPr>
  </w:style>
  <w:style w:type="character" w:customStyle="1" w:styleId="BodyTextChar">
    <w:name w:val="Body Text Char"/>
    <w:basedOn w:val="DefaultParagraphFont"/>
    <w:link w:val="BodyText"/>
    <w:rsid w:val="001D71CD"/>
    <w:rPr>
      <w:sz w:val="21"/>
      <w:szCs w:val="21"/>
    </w:rPr>
  </w:style>
  <w:style w:type="paragraph" w:styleId="BlockText">
    <w:name w:val="Block Text"/>
    <w:basedOn w:val="Normal"/>
    <w:uiPriority w:val="99"/>
    <w:semiHidden/>
    <w:unhideWhenUsed/>
    <w:rsid w:val="00C770A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numbering" w:customStyle="1" w:styleId="Bullets">
    <w:name w:val="Bullets"/>
    <w:uiPriority w:val="99"/>
    <w:rsid w:val="002B64F2"/>
    <w:pPr>
      <w:numPr>
        <w:numId w:val="22"/>
      </w:numPr>
    </w:pPr>
  </w:style>
  <w:style w:type="paragraph" w:styleId="ListBullet">
    <w:name w:val="List Bullet"/>
    <w:uiPriority w:val="44"/>
    <w:qFormat/>
    <w:rsid w:val="001B6FD4"/>
    <w:pPr>
      <w:numPr>
        <w:numId w:val="22"/>
      </w:numPr>
      <w:tabs>
        <w:tab w:val="left" w:pos="425"/>
      </w:tabs>
      <w:spacing w:after="120"/>
      <w:jc w:val="both"/>
    </w:pPr>
    <w:rPr>
      <w:sz w:val="21"/>
    </w:rPr>
  </w:style>
  <w:style w:type="character" w:customStyle="1" w:styleId="Heading2Char">
    <w:name w:val="Heading 2 Char"/>
    <w:basedOn w:val="DefaultParagraphFont"/>
    <w:link w:val="Heading2"/>
    <w:uiPriority w:val="9"/>
    <w:rsid w:val="00207D80"/>
    <w:rPr>
      <w:rFonts w:ascii="Palatino Linotype" w:hAnsi="Palatino Linotype"/>
      <w:b/>
      <w:color w:val="007698"/>
      <w:sz w:val="26"/>
      <w:szCs w:val="26"/>
    </w:rPr>
  </w:style>
  <w:style w:type="paragraph" w:styleId="BodyText3">
    <w:name w:val="Body Text 3"/>
    <w:link w:val="BodyText3Char"/>
    <w:uiPriority w:val="99"/>
    <w:semiHidden/>
    <w:rsid w:val="00550696"/>
    <w:pPr>
      <w:keepNext/>
      <w:spacing w:after="160" w:line="280" w:lineRule="atLeast"/>
    </w:pPr>
    <w:rPr>
      <w:b/>
      <w:i/>
      <w:sz w:val="21"/>
      <w:szCs w:val="32"/>
    </w:rPr>
  </w:style>
  <w:style w:type="character" w:customStyle="1" w:styleId="BodyText3Char">
    <w:name w:val="Body Text 3 Char"/>
    <w:basedOn w:val="DefaultParagraphFont"/>
    <w:link w:val="BodyText3"/>
    <w:uiPriority w:val="99"/>
    <w:semiHidden/>
    <w:rsid w:val="009633ED"/>
    <w:rPr>
      <w:b/>
      <w:i/>
      <w:sz w:val="21"/>
      <w:szCs w:val="32"/>
    </w:rPr>
  </w:style>
  <w:style w:type="paragraph" w:styleId="Header">
    <w:name w:val="header"/>
    <w:basedOn w:val="Normal"/>
    <w:link w:val="HeaderChar"/>
    <w:uiPriority w:val="99"/>
    <w:rsid w:val="009A6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4FA"/>
  </w:style>
  <w:style w:type="paragraph" w:styleId="Footer">
    <w:name w:val="footer"/>
    <w:link w:val="FooterChar"/>
    <w:uiPriority w:val="99"/>
    <w:semiHidden/>
    <w:rsid w:val="00895C6A"/>
    <w:pPr>
      <w:tabs>
        <w:tab w:val="center" w:pos="4366"/>
        <w:tab w:val="right" w:pos="8732"/>
      </w:tabs>
      <w:spacing w:after="0" w:line="240" w:lineRule="auto"/>
    </w:pPr>
    <w:rPr>
      <w:rFonts w:ascii="Palatino Linotype" w:hAnsi="Palatino Linotype"/>
      <w:sz w:val="14"/>
    </w:rPr>
  </w:style>
  <w:style w:type="character" w:customStyle="1" w:styleId="FooterChar">
    <w:name w:val="Footer Char"/>
    <w:basedOn w:val="DefaultParagraphFont"/>
    <w:link w:val="Footer"/>
    <w:uiPriority w:val="99"/>
    <w:semiHidden/>
    <w:rsid w:val="00895C6A"/>
    <w:rPr>
      <w:rFonts w:ascii="Palatino Linotype" w:hAnsi="Palatino Linotype"/>
      <w:sz w:val="14"/>
    </w:rPr>
  </w:style>
  <w:style w:type="character" w:customStyle="1" w:styleId="Heading3Char">
    <w:name w:val="Heading 3 Char"/>
    <w:basedOn w:val="DefaultParagraphFont"/>
    <w:link w:val="Heading3"/>
    <w:uiPriority w:val="9"/>
    <w:rsid w:val="00C157A9"/>
    <w:rPr>
      <w:rFonts w:ascii="Palatino Linotype" w:hAnsi="Palatino Linotype"/>
      <w:b/>
      <w:color w:val="007698"/>
      <w:sz w:val="24"/>
      <w:szCs w:val="26"/>
    </w:rPr>
  </w:style>
  <w:style w:type="character" w:customStyle="1" w:styleId="Heading5Char">
    <w:name w:val="Heading 5 Char"/>
    <w:basedOn w:val="DefaultParagraphFont"/>
    <w:link w:val="Heading5"/>
    <w:uiPriority w:val="9"/>
    <w:rsid w:val="00EF2159"/>
    <w:rPr>
      <w:b/>
      <w:i/>
      <w:sz w:val="21"/>
      <w:szCs w:val="21"/>
    </w:rPr>
  </w:style>
  <w:style w:type="paragraph" w:styleId="ListBullet2">
    <w:name w:val="List Bullet 2"/>
    <w:aliases w:val="List Bullet 2 Indent"/>
    <w:basedOn w:val="Normal"/>
    <w:uiPriority w:val="99"/>
    <w:semiHidden/>
    <w:rsid w:val="001D71CD"/>
    <w:pPr>
      <w:numPr>
        <w:numId w:val="2"/>
      </w:numPr>
      <w:tabs>
        <w:tab w:val="left" w:pos="851"/>
        <w:tab w:val="left" w:pos="1134"/>
      </w:tabs>
      <w:ind w:left="851" w:hanging="425"/>
    </w:pPr>
    <w:rPr>
      <w:snapToGrid w:val="0"/>
    </w:rPr>
  </w:style>
  <w:style w:type="character" w:customStyle="1" w:styleId="Heading4Char">
    <w:name w:val="Heading 4 Char"/>
    <w:basedOn w:val="DefaultParagraphFont"/>
    <w:link w:val="Heading4"/>
    <w:uiPriority w:val="9"/>
    <w:rsid w:val="00EF2159"/>
    <w:rPr>
      <w:b/>
      <w:sz w:val="21"/>
      <w:szCs w:val="21"/>
    </w:rPr>
  </w:style>
  <w:style w:type="character" w:customStyle="1" w:styleId="Heading6Char">
    <w:name w:val="Heading 6 Char"/>
    <w:basedOn w:val="DefaultParagraphFont"/>
    <w:link w:val="Heading6"/>
    <w:uiPriority w:val="9"/>
    <w:semiHidden/>
    <w:rsid w:val="002B64F2"/>
    <w:rPr>
      <w:rFonts w:eastAsiaTheme="majorEastAsia" w:cstheme="majorBidi"/>
      <w:i/>
      <w:iCs/>
      <w:sz w:val="21"/>
      <w:szCs w:val="21"/>
    </w:rPr>
  </w:style>
  <w:style w:type="character" w:customStyle="1" w:styleId="Heading7Char">
    <w:name w:val="Heading 7 Char"/>
    <w:basedOn w:val="DefaultParagraphFont"/>
    <w:link w:val="Heading7"/>
    <w:uiPriority w:val="9"/>
    <w:semiHidden/>
    <w:rsid w:val="005377CF"/>
    <w:rPr>
      <w:rFonts w:asciiTheme="majorHAnsi" w:eastAsiaTheme="majorEastAsia" w:hAnsiTheme="majorHAnsi" w:cstheme="majorBidi"/>
      <w:i/>
      <w:iCs/>
      <w:color w:val="404040" w:themeColor="text1" w:themeTint="BF"/>
    </w:rPr>
  </w:style>
  <w:style w:type="table" w:styleId="TableGrid">
    <w:name w:val="Table Grid"/>
    <w:basedOn w:val="TableNormal"/>
    <w:rsid w:val="009E19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link w:val="FootnoteTextChar"/>
    <w:uiPriority w:val="99"/>
    <w:rsid w:val="00D80A70"/>
    <w:pPr>
      <w:spacing w:after="0" w:line="240" w:lineRule="auto"/>
      <w:ind w:left="284" w:hanging="284"/>
      <w:jc w:val="both"/>
    </w:pPr>
    <w:rPr>
      <w:sz w:val="18"/>
      <w:szCs w:val="20"/>
    </w:rPr>
  </w:style>
  <w:style w:type="character" w:customStyle="1" w:styleId="FootnoteTextChar">
    <w:name w:val="Footnote Text Char"/>
    <w:basedOn w:val="DefaultParagraphFont"/>
    <w:link w:val="FootnoteText"/>
    <w:uiPriority w:val="99"/>
    <w:rsid w:val="00D80A70"/>
    <w:rPr>
      <w:sz w:val="18"/>
      <w:szCs w:val="20"/>
    </w:rPr>
  </w:style>
  <w:style w:type="character" w:styleId="FootnoteReference">
    <w:name w:val="footnote reference"/>
    <w:basedOn w:val="DefaultParagraphFont"/>
    <w:uiPriority w:val="99"/>
    <w:semiHidden/>
    <w:unhideWhenUsed/>
    <w:rsid w:val="00CB494A"/>
    <w:rPr>
      <w:vertAlign w:val="superscript"/>
    </w:rPr>
  </w:style>
  <w:style w:type="character" w:styleId="Hyperlink">
    <w:name w:val="Hyperlink"/>
    <w:basedOn w:val="DefaultParagraphFont"/>
    <w:uiPriority w:val="99"/>
    <w:rsid w:val="00D80A70"/>
    <w:rPr>
      <w:color w:val="0000FF" w:themeColor="hyperlink"/>
      <w:u w:val="single"/>
    </w:rPr>
  </w:style>
  <w:style w:type="character" w:customStyle="1" w:styleId="Heading8Char">
    <w:name w:val="Heading 8 Char"/>
    <w:basedOn w:val="DefaultParagraphFont"/>
    <w:link w:val="Heading8"/>
    <w:uiPriority w:val="9"/>
    <w:semiHidden/>
    <w:rsid w:val="005377CF"/>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8A69A6"/>
    <w:pPr>
      <w:ind w:left="720"/>
      <w:contextualSpacing/>
    </w:pPr>
  </w:style>
  <w:style w:type="numbering" w:customStyle="1" w:styleId="ListLettera">
    <w:name w:val="List Letter (a)"/>
    <w:uiPriority w:val="99"/>
    <w:rsid w:val="005377CF"/>
    <w:pPr>
      <w:numPr>
        <w:numId w:val="1"/>
      </w:numPr>
    </w:pPr>
  </w:style>
  <w:style w:type="paragraph" w:styleId="BalloonText">
    <w:name w:val="Balloon Text"/>
    <w:basedOn w:val="Normal"/>
    <w:link w:val="BalloonTextChar"/>
    <w:uiPriority w:val="99"/>
    <w:semiHidden/>
    <w:rsid w:val="00E16DC0"/>
    <w:pPr>
      <w:spacing w:after="0" w:line="240" w:lineRule="auto"/>
    </w:pPr>
    <w:rPr>
      <w:rFonts w:ascii="Tahoma" w:hAnsi="Tahoma" w:cs="Tahoma"/>
      <w:sz w:val="16"/>
      <w:szCs w:val="16"/>
    </w:rPr>
  </w:style>
  <w:style w:type="paragraph" w:styleId="ListNumber">
    <w:name w:val="List Number"/>
    <w:aliases w:val="Multilevel"/>
    <w:basedOn w:val="BodyText"/>
    <w:uiPriority w:val="39"/>
    <w:qFormat/>
    <w:rsid w:val="000B7816"/>
  </w:style>
  <w:style w:type="character" w:customStyle="1" w:styleId="BalloonTextChar">
    <w:name w:val="Balloon Text Char"/>
    <w:basedOn w:val="DefaultParagraphFont"/>
    <w:link w:val="BalloonText"/>
    <w:uiPriority w:val="99"/>
    <w:semiHidden/>
    <w:rsid w:val="00F544F1"/>
    <w:rPr>
      <w:rFonts w:ascii="Tahoma" w:hAnsi="Tahoma" w:cs="Tahoma"/>
      <w:sz w:val="16"/>
      <w:szCs w:val="16"/>
    </w:rPr>
  </w:style>
  <w:style w:type="paragraph" w:customStyle="1" w:styleId="TableSubtitle">
    <w:name w:val="Table Subtitle"/>
    <w:next w:val="BodyText"/>
    <w:uiPriority w:val="58"/>
    <w:rsid w:val="00145915"/>
    <w:pPr>
      <w:keepNext/>
      <w:spacing w:before="60" w:after="80" w:line="240" w:lineRule="auto"/>
      <w:jc w:val="center"/>
    </w:pPr>
    <w:rPr>
      <w:rFonts w:ascii="Calibri" w:eastAsia="Times New Roman" w:hAnsi="Calibri" w:cs="Arial"/>
      <w:snapToGrid w:val="0"/>
      <w:sz w:val="21"/>
      <w:szCs w:val="20"/>
      <w:lang w:eastAsia="en-US"/>
    </w:rPr>
  </w:style>
  <w:style w:type="character" w:customStyle="1" w:styleId="Heading9Char">
    <w:name w:val="Heading 9 Char"/>
    <w:basedOn w:val="DefaultParagraphFont"/>
    <w:link w:val="Heading9"/>
    <w:uiPriority w:val="9"/>
    <w:semiHidden/>
    <w:rsid w:val="001B12E5"/>
    <w:rPr>
      <w:rFonts w:ascii="Arial" w:eastAsia="Times New Roman" w:hAnsi="Arial" w:cs="Arial"/>
      <w:b/>
      <w:sz w:val="18"/>
      <w:szCs w:val="18"/>
    </w:rPr>
  </w:style>
  <w:style w:type="paragraph" w:customStyle="1" w:styleId="ChapterTitle">
    <w:name w:val="Chapter Title"/>
    <w:uiPriority w:val="7"/>
    <w:semiHidden/>
    <w:qFormat/>
    <w:rsid w:val="000B7816"/>
    <w:pPr>
      <w:pageBreakBefore/>
      <w:pBdr>
        <w:bottom w:val="single" w:sz="48" w:space="30" w:color="00446A"/>
      </w:pBdr>
      <w:spacing w:after="720" w:line="240" w:lineRule="auto"/>
    </w:pPr>
    <w:rPr>
      <w:rFonts w:ascii="Palatino Linotype" w:hAnsi="Palatino Linotype"/>
      <w:b/>
      <w:color w:val="00446A"/>
      <w:sz w:val="40"/>
      <w:szCs w:val="40"/>
    </w:rPr>
  </w:style>
  <w:style w:type="paragraph" w:customStyle="1" w:styleId="TableBody">
    <w:name w:val="Table Body"/>
    <w:uiPriority w:val="91"/>
    <w:rsid w:val="006C0648"/>
    <w:pPr>
      <w:spacing w:before="40" w:after="80" w:line="240" w:lineRule="auto"/>
    </w:pPr>
    <w:rPr>
      <w:rFonts w:ascii="Arial" w:eastAsia="Times New Roman" w:hAnsi="Arial" w:cs="Arial"/>
      <w:snapToGrid w:val="0"/>
      <w:sz w:val="18"/>
      <w:szCs w:val="16"/>
      <w:lang w:eastAsia="en-US"/>
    </w:rPr>
  </w:style>
  <w:style w:type="table" w:customStyle="1" w:styleId="TableGrid1">
    <w:name w:val="Table Grid1"/>
    <w:basedOn w:val="TableNormal"/>
    <w:next w:val="TableGrid"/>
    <w:rsid w:val="003051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semiHidden/>
    <w:rsid w:val="00240AD9"/>
    <w:pPr>
      <w:tabs>
        <w:tab w:val="right" w:pos="3686"/>
        <w:tab w:val="right" w:pos="5387"/>
        <w:tab w:val="right" w:pos="7088"/>
      </w:tabs>
      <w:spacing w:before="170" w:after="0" w:line="240" w:lineRule="exact"/>
      <w:ind w:left="238"/>
    </w:pPr>
    <w:rPr>
      <w:rFonts w:ascii="Myriad Pro Light" w:eastAsia="Times New Roman" w:hAnsi="Myriad Pro Light" w:cs="Times New Roman"/>
      <w:sz w:val="18"/>
      <w:szCs w:val="20"/>
      <w:lang w:eastAsia="en-US"/>
    </w:rPr>
  </w:style>
  <w:style w:type="paragraph" w:customStyle="1" w:styleId="TableColumnHead1">
    <w:name w:val="Table Column Head 1"/>
    <w:basedOn w:val="TableText"/>
    <w:next w:val="TableText"/>
    <w:semiHidden/>
    <w:rsid w:val="00D37BB7"/>
    <w:pPr>
      <w:spacing w:before="0" w:after="20" w:line="240" w:lineRule="auto"/>
      <w:ind w:left="0"/>
      <w:jc w:val="right"/>
    </w:pPr>
    <w:rPr>
      <w:rFonts w:ascii="Arial" w:hAnsi="Arial"/>
      <w:b/>
    </w:rPr>
  </w:style>
  <w:style w:type="paragraph" w:styleId="CommentSubject">
    <w:name w:val="annotation subject"/>
    <w:basedOn w:val="Normal"/>
    <w:link w:val="CommentSubjectChar"/>
    <w:uiPriority w:val="99"/>
    <w:semiHidden/>
    <w:unhideWhenUsed/>
    <w:rsid w:val="00233C7A"/>
    <w:rPr>
      <w:b/>
      <w:bCs/>
    </w:rPr>
  </w:style>
  <w:style w:type="character" w:customStyle="1" w:styleId="CommentSubjectChar">
    <w:name w:val="Comment Subject Char"/>
    <w:basedOn w:val="DefaultParagraphFont"/>
    <w:link w:val="CommentSubject"/>
    <w:uiPriority w:val="99"/>
    <w:semiHidden/>
    <w:rsid w:val="00233C7A"/>
    <w:rPr>
      <w:b/>
      <w:bCs/>
      <w:sz w:val="20"/>
      <w:szCs w:val="20"/>
    </w:rPr>
  </w:style>
  <w:style w:type="paragraph" w:customStyle="1" w:styleId="PY-Contents">
    <w:name w:val="PY - Contents"/>
    <w:basedOn w:val="Normal"/>
    <w:semiHidden/>
    <w:rsid w:val="00240AD9"/>
    <w:pPr>
      <w:spacing w:after="120" w:line="240" w:lineRule="auto"/>
    </w:pPr>
    <w:rPr>
      <w:rFonts w:eastAsiaTheme="minorEastAsia"/>
      <w:sz w:val="24"/>
      <w:szCs w:val="24"/>
      <w:lang w:val="en-US" w:eastAsia="en-US"/>
    </w:rPr>
  </w:style>
  <w:style w:type="paragraph" w:styleId="Title">
    <w:name w:val="Title"/>
    <w:basedOn w:val="Subtitle"/>
    <w:next w:val="Subtitle"/>
    <w:link w:val="TitleChar"/>
    <w:rsid w:val="00964068"/>
    <w:rPr>
      <w:color w:val="00446A"/>
      <w:sz w:val="40"/>
      <w:szCs w:val="48"/>
    </w:rPr>
  </w:style>
  <w:style w:type="character" w:customStyle="1" w:styleId="TitleChar">
    <w:name w:val="Title Char"/>
    <w:basedOn w:val="DefaultParagraphFont"/>
    <w:link w:val="Title"/>
    <w:rsid w:val="00964068"/>
    <w:rPr>
      <w:rFonts w:ascii="Palatino Linotype" w:hAnsi="Palatino Linotype"/>
      <w:b/>
      <w:color w:val="00446A"/>
      <w:sz w:val="40"/>
      <w:szCs w:val="48"/>
    </w:rPr>
  </w:style>
  <w:style w:type="paragraph" w:styleId="Subtitle">
    <w:name w:val="Subtitle"/>
    <w:basedOn w:val="Normal"/>
    <w:next w:val="Normal"/>
    <w:link w:val="SubtitleChar"/>
    <w:uiPriority w:val="1"/>
    <w:semiHidden/>
    <w:rsid w:val="00E4483C"/>
    <w:pPr>
      <w:pBdr>
        <w:bottom w:val="single" w:sz="48" w:space="31" w:color="00446A"/>
      </w:pBdr>
      <w:spacing w:after="360" w:line="240" w:lineRule="auto"/>
      <w:jc w:val="right"/>
    </w:pPr>
    <w:rPr>
      <w:rFonts w:ascii="Palatino Linotype" w:hAnsi="Palatino Linotype"/>
      <w:b/>
      <w:sz w:val="32"/>
      <w:szCs w:val="32"/>
    </w:rPr>
  </w:style>
  <w:style w:type="character" w:customStyle="1" w:styleId="SubtitleChar">
    <w:name w:val="Subtitle Char"/>
    <w:basedOn w:val="DefaultParagraphFont"/>
    <w:link w:val="Subtitle"/>
    <w:uiPriority w:val="1"/>
    <w:semiHidden/>
    <w:rsid w:val="00E4483C"/>
    <w:rPr>
      <w:rFonts w:ascii="Palatino Linotype" w:hAnsi="Palatino Linotype"/>
      <w:b/>
      <w:sz w:val="32"/>
      <w:szCs w:val="32"/>
    </w:rPr>
  </w:style>
  <w:style w:type="table" w:customStyle="1" w:styleId="TableGrid2">
    <w:name w:val="Table Grid2"/>
    <w:basedOn w:val="TableNormal"/>
    <w:next w:val="TableGrid"/>
    <w:rsid w:val="000C46C0"/>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C46C0"/>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C46C0"/>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C46C0"/>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C46C0"/>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C46C0"/>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next w:val="BodyText"/>
    <w:semiHidden/>
    <w:rsid w:val="000C46C0"/>
    <w:pPr>
      <w:keepNext/>
      <w:keepLines/>
      <w:spacing w:before="120" w:after="240" w:line="240" w:lineRule="auto"/>
      <w:jc w:val="right"/>
    </w:pPr>
    <w:rPr>
      <w:rFonts w:ascii="Arial" w:eastAsia="Times New Roman" w:hAnsi="Arial" w:cs="Times New Roman"/>
      <w:sz w:val="16"/>
      <w:szCs w:val="16"/>
      <w:lang w:eastAsia="en-US"/>
    </w:rPr>
  </w:style>
  <w:style w:type="table" w:customStyle="1" w:styleId="TableGrid8">
    <w:name w:val="Table Grid8"/>
    <w:basedOn w:val="TableNormal"/>
    <w:next w:val="TableGrid"/>
    <w:rsid w:val="00A91D0A"/>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A91D0A"/>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CC534F"/>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next w:val="Normal"/>
    <w:uiPriority w:val="39"/>
    <w:semiHidden/>
    <w:rsid w:val="004C598C"/>
    <w:pPr>
      <w:tabs>
        <w:tab w:val="left" w:pos="709"/>
        <w:tab w:val="right" w:pos="8720"/>
      </w:tabs>
      <w:spacing w:after="100"/>
      <w:ind w:left="567" w:hanging="567"/>
    </w:pPr>
    <w:rPr>
      <w:color w:val="00446A"/>
    </w:rPr>
  </w:style>
  <w:style w:type="paragraph" w:styleId="TOC1">
    <w:name w:val="toc 1"/>
    <w:next w:val="Normal"/>
    <w:uiPriority w:val="39"/>
    <w:semiHidden/>
    <w:rsid w:val="002019B8"/>
    <w:pPr>
      <w:tabs>
        <w:tab w:val="left" w:pos="567"/>
        <w:tab w:val="right" w:pos="8720"/>
      </w:tabs>
      <w:spacing w:after="100"/>
    </w:pPr>
    <w:rPr>
      <w:rFonts w:eastAsiaTheme="minorEastAsia"/>
      <w:color w:val="00446A"/>
      <w:szCs w:val="24"/>
      <w:lang w:val="en-US" w:eastAsia="en-US"/>
    </w:rPr>
  </w:style>
  <w:style w:type="paragraph" w:styleId="TOC3">
    <w:name w:val="toc 3"/>
    <w:basedOn w:val="Normal"/>
    <w:next w:val="Normal"/>
    <w:uiPriority w:val="39"/>
    <w:semiHidden/>
    <w:rsid w:val="004C598C"/>
    <w:pPr>
      <w:tabs>
        <w:tab w:val="left" w:pos="567"/>
        <w:tab w:val="right" w:pos="8720"/>
      </w:tabs>
      <w:spacing w:after="100"/>
    </w:pPr>
    <w:rPr>
      <w:color w:val="00446A"/>
    </w:rPr>
  </w:style>
  <w:style w:type="paragraph" w:styleId="TOC6">
    <w:name w:val="toc 6"/>
    <w:basedOn w:val="Normal"/>
    <w:next w:val="Normal"/>
    <w:autoRedefine/>
    <w:uiPriority w:val="39"/>
    <w:semiHidden/>
    <w:rsid w:val="00214566"/>
    <w:pPr>
      <w:spacing w:after="100"/>
      <w:ind w:left="1100"/>
    </w:pPr>
  </w:style>
  <w:style w:type="paragraph" w:customStyle="1" w:styleId="PY-MainTitleHeading">
    <w:name w:val="PY - Main Title Heading"/>
    <w:basedOn w:val="Normal"/>
    <w:semiHidden/>
    <w:qFormat/>
    <w:rsid w:val="00FC37B7"/>
    <w:pPr>
      <w:widowControl w:val="0"/>
      <w:autoSpaceDE w:val="0"/>
      <w:autoSpaceDN w:val="0"/>
      <w:adjustRightInd w:val="0"/>
      <w:spacing w:after="600" w:line="240" w:lineRule="auto"/>
      <w:ind w:right="-6"/>
      <w:jc w:val="right"/>
    </w:pPr>
    <w:rPr>
      <w:rFonts w:ascii="Palatino Linotype" w:eastAsiaTheme="minorEastAsia" w:hAnsi="Palatino Linotype" w:cs="Cambria"/>
      <w:color w:val="00446A"/>
      <w:sz w:val="56"/>
      <w:szCs w:val="24"/>
      <w:lang w:val="en-US" w:eastAsia="en-US"/>
    </w:rPr>
  </w:style>
  <w:style w:type="character" w:styleId="FollowedHyperlink">
    <w:name w:val="FollowedHyperlink"/>
    <w:basedOn w:val="DefaultParagraphFont"/>
    <w:uiPriority w:val="99"/>
    <w:semiHidden/>
    <w:unhideWhenUsed/>
    <w:rsid w:val="00F94345"/>
    <w:rPr>
      <w:color w:val="800080" w:themeColor="followedHyperlink"/>
      <w:u w:val="single"/>
    </w:rPr>
  </w:style>
  <w:style w:type="paragraph" w:styleId="Revision">
    <w:name w:val="Revision"/>
    <w:hidden/>
    <w:uiPriority w:val="99"/>
    <w:semiHidden/>
    <w:rsid w:val="002B76E5"/>
    <w:pPr>
      <w:spacing w:after="0" w:line="240" w:lineRule="auto"/>
    </w:pPr>
  </w:style>
  <w:style w:type="paragraph" w:styleId="Date">
    <w:name w:val="Date"/>
    <w:basedOn w:val="Subtitle"/>
    <w:next w:val="Normal"/>
    <w:link w:val="DateChar"/>
    <w:uiPriority w:val="2"/>
    <w:rsid w:val="000A7BB7"/>
  </w:style>
  <w:style w:type="character" w:customStyle="1" w:styleId="DateChar">
    <w:name w:val="Date Char"/>
    <w:basedOn w:val="DefaultParagraphFont"/>
    <w:link w:val="Date"/>
    <w:uiPriority w:val="2"/>
    <w:rsid w:val="000A7BB7"/>
    <w:rPr>
      <w:rFonts w:ascii="Palatino Linotype" w:hAnsi="Palatino Linotype"/>
      <w:b/>
      <w:sz w:val="32"/>
      <w:szCs w:val="32"/>
    </w:rPr>
  </w:style>
  <w:style w:type="paragraph" w:customStyle="1" w:styleId="GraphNumber">
    <w:name w:val="Graph Number"/>
    <w:next w:val="Normal"/>
    <w:uiPriority w:val="89"/>
    <w:rsid w:val="00FF1F40"/>
    <w:pPr>
      <w:keepNext/>
      <w:widowControl w:val="0"/>
      <w:spacing w:after="0" w:line="240" w:lineRule="exact"/>
      <w:jc w:val="center"/>
    </w:pPr>
    <w:rPr>
      <w:rFonts w:ascii="Arial" w:eastAsia="Times New Roman" w:hAnsi="Arial" w:cs="Times New Roman"/>
      <w:b/>
      <w:snapToGrid w:val="0"/>
      <w:sz w:val="20"/>
      <w:szCs w:val="20"/>
      <w:lang w:eastAsia="en-US"/>
    </w:rPr>
  </w:style>
  <w:style w:type="table" w:customStyle="1" w:styleId="TableGrid21">
    <w:name w:val="Table Grid21"/>
    <w:basedOn w:val="TableNormal"/>
    <w:next w:val="TableGrid"/>
    <w:rsid w:val="0016655F"/>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792B98"/>
    <w:pPr>
      <w:numPr>
        <w:numId w:val="20"/>
      </w:numPr>
    </w:pPr>
  </w:style>
  <w:style w:type="paragraph" w:styleId="TOC4">
    <w:name w:val="toc 4"/>
    <w:basedOn w:val="Normal"/>
    <w:next w:val="Normal"/>
    <w:autoRedefine/>
    <w:uiPriority w:val="39"/>
    <w:semiHidden/>
    <w:rsid w:val="004C598C"/>
    <w:pPr>
      <w:spacing w:after="100"/>
      <w:ind w:left="660"/>
    </w:pPr>
  </w:style>
  <w:style w:type="paragraph" w:styleId="TOC5">
    <w:name w:val="toc 5"/>
    <w:basedOn w:val="Normal"/>
    <w:next w:val="Normal"/>
    <w:autoRedefine/>
    <w:uiPriority w:val="39"/>
    <w:semiHidden/>
    <w:rsid w:val="004C598C"/>
    <w:pPr>
      <w:spacing w:after="100"/>
      <w:ind w:left="880"/>
    </w:pPr>
  </w:style>
  <w:style w:type="paragraph" w:customStyle="1" w:styleId="Appendix">
    <w:name w:val="Appendix"/>
    <w:basedOn w:val="Heading1"/>
    <w:next w:val="BodyText"/>
    <w:uiPriority w:val="99"/>
    <w:rsid w:val="00935F4B"/>
    <w:pPr>
      <w:pageBreakBefore/>
      <w:numPr>
        <w:numId w:val="27"/>
      </w:numPr>
    </w:pPr>
  </w:style>
  <w:style w:type="character" w:styleId="PlaceholderText">
    <w:name w:val="Placeholder Text"/>
    <w:basedOn w:val="DefaultParagraphFont"/>
    <w:uiPriority w:val="99"/>
    <w:semiHidden/>
    <w:rsid w:val="0039140E"/>
    <w:rPr>
      <w:color w:val="595959" w:themeColor="text1" w:themeTint="A6"/>
      <w:bdr w:val="none" w:sz="0" w:space="0" w:color="auto"/>
      <w:shd w:val="clear" w:color="auto" w:fill="FFFF00"/>
    </w:rPr>
  </w:style>
  <w:style w:type="paragraph" w:customStyle="1" w:styleId="TableFootnote">
    <w:name w:val="Table Footnote"/>
    <w:basedOn w:val="TableBody"/>
    <w:uiPriority w:val="91"/>
    <w:rsid w:val="00145915"/>
    <w:pPr>
      <w:tabs>
        <w:tab w:val="left" w:pos="425"/>
      </w:tabs>
      <w:spacing w:after="40"/>
      <w:ind w:left="425" w:hanging="425"/>
    </w:pPr>
    <w:rPr>
      <w:sz w:val="16"/>
    </w:rPr>
  </w:style>
  <w:style w:type="paragraph" w:customStyle="1" w:styleId="TableTitle">
    <w:name w:val="Table Title"/>
    <w:next w:val="BodyText"/>
    <w:uiPriority w:val="57"/>
    <w:rsid w:val="00EC1D76"/>
    <w:pPr>
      <w:keepNext/>
      <w:spacing w:before="120" w:after="60" w:line="240" w:lineRule="auto"/>
      <w:jc w:val="center"/>
    </w:pPr>
    <w:rPr>
      <w:rFonts w:eastAsiaTheme="minorEastAsia"/>
      <w:b/>
      <w:sz w:val="21"/>
    </w:rPr>
  </w:style>
  <w:style w:type="paragraph" w:styleId="TOCHeading">
    <w:name w:val="TOC Heading"/>
    <w:basedOn w:val="Heading1"/>
    <w:next w:val="Normal"/>
    <w:uiPriority w:val="39"/>
    <w:semiHidden/>
    <w:unhideWhenUsed/>
    <w:qFormat/>
    <w:rsid w:val="00343472"/>
    <w:pPr>
      <w:keepLines/>
      <w:spacing w:before="480" w:after="240" w:line="276" w:lineRule="auto"/>
      <w:outlineLvl w:val="9"/>
    </w:pPr>
    <w:rPr>
      <w:rFonts w:eastAsiaTheme="majorEastAsia" w:cstheme="majorBidi"/>
      <w:bCs/>
      <w:lang w:val="en-US" w:eastAsia="ja-JP"/>
    </w:rPr>
  </w:style>
  <w:style w:type="paragraph" w:customStyle="1" w:styleId="FootnoteFollowing">
    <w:name w:val="Footnote Following"/>
    <w:basedOn w:val="FootnoteText"/>
    <w:uiPriority w:val="98"/>
    <w:semiHidden/>
    <w:rsid w:val="00FD1A76"/>
  </w:style>
  <w:style w:type="paragraph" w:customStyle="1" w:styleId="GraphTitle">
    <w:name w:val="Graph Title"/>
    <w:next w:val="BodyText"/>
    <w:uiPriority w:val="50"/>
    <w:rsid w:val="006C0648"/>
    <w:pPr>
      <w:keepNext/>
      <w:spacing w:before="120" w:after="60" w:line="240" w:lineRule="auto"/>
      <w:jc w:val="center"/>
    </w:pPr>
    <w:rPr>
      <w:rFonts w:ascii="Arial" w:eastAsiaTheme="minorEastAsia" w:hAnsi="Arial"/>
      <w:b/>
      <w:sz w:val="20"/>
    </w:rPr>
  </w:style>
  <w:style w:type="paragraph" w:customStyle="1" w:styleId="ColumnHeading1">
    <w:name w:val="Column Heading 1"/>
    <w:basedOn w:val="TableBody"/>
    <w:next w:val="ColumnHeading2"/>
    <w:rsid w:val="006C0648"/>
    <w:pPr>
      <w:jc w:val="right"/>
    </w:pPr>
    <w:rPr>
      <w:b/>
      <w:szCs w:val="18"/>
    </w:rPr>
  </w:style>
  <w:style w:type="paragraph" w:customStyle="1" w:styleId="ColumnHeading2">
    <w:name w:val="Column Heading 2"/>
    <w:basedOn w:val="ColumnHeading1"/>
    <w:qFormat/>
    <w:rsid w:val="006C0648"/>
    <w:pPr>
      <w:keepNext/>
      <w:keepLines/>
    </w:pPr>
    <w:rPr>
      <w:rFonts w:cs="Times New Roman"/>
      <w:b w:val="0"/>
    </w:rPr>
  </w:style>
  <w:style w:type="character" w:styleId="CommentReference">
    <w:name w:val="annotation reference"/>
    <w:basedOn w:val="DefaultParagraphFont"/>
    <w:uiPriority w:val="99"/>
    <w:semiHidden/>
    <w:unhideWhenUsed/>
    <w:rsid w:val="00A33A9A"/>
    <w:rPr>
      <w:sz w:val="16"/>
      <w:szCs w:val="16"/>
    </w:rPr>
  </w:style>
  <w:style w:type="paragraph" w:styleId="CommentText">
    <w:name w:val="annotation text"/>
    <w:basedOn w:val="Normal"/>
    <w:link w:val="CommentTextChar"/>
    <w:uiPriority w:val="99"/>
    <w:unhideWhenUsed/>
    <w:rsid w:val="00A33A9A"/>
    <w:pPr>
      <w:spacing w:line="240" w:lineRule="auto"/>
    </w:pPr>
    <w:rPr>
      <w:sz w:val="20"/>
      <w:szCs w:val="20"/>
      <w:lang w:eastAsia="en-US"/>
    </w:rPr>
  </w:style>
  <w:style w:type="character" w:customStyle="1" w:styleId="CommentTextChar">
    <w:name w:val="Comment Text Char"/>
    <w:basedOn w:val="DefaultParagraphFont"/>
    <w:link w:val="CommentText"/>
    <w:uiPriority w:val="99"/>
    <w:rsid w:val="00A33A9A"/>
    <w:rPr>
      <w:sz w:val="20"/>
      <w:szCs w:val="20"/>
      <w:lang w:eastAsia="en-US"/>
    </w:rPr>
  </w:style>
  <w:style w:type="paragraph" w:styleId="Bibliography">
    <w:name w:val="Bibliography"/>
    <w:basedOn w:val="Normal"/>
    <w:next w:val="Normal"/>
    <w:uiPriority w:val="37"/>
    <w:unhideWhenUsed/>
    <w:rsid w:val="00386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38521">
      <w:bodyDiv w:val="1"/>
      <w:marLeft w:val="0"/>
      <w:marRight w:val="0"/>
      <w:marTop w:val="0"/>
      <w:marBottom w:val="0"/>
      <w:divBdr>
        <w:top w:val="none" w:sz="0" w:space="0" w:color="auto"/>
        <w:left w:val="none" w:sz="0" w:space="0" w:color="auto"/>
        <w:bottom w:val="none" w:sz="0" w:space="0" w:color="auto"/>
        <w:right w:val="none" w:sz="0" w:space="0" w:color="auto"/>
      </w:divBdr>
    </w:div>
    <w:div w:id="357318263">
      <w:bodyDiv w:val="1"/>
      <w:marLeft w:val="0"/>
      <w:marRight w:val="0"/>
      <w:marTop w:val="0"/>
      <w:marBottom w:val="0"/>
      <w:divBdr>
        <w:top w:val="none" w:sz="0" w:space="0" w:color="auto"/>
        <w:left w:val="none" w:sz="0" w:space="0" w:color="auto"/>
        <w:bottom w:val="none" w:sz="0" w:space="0" w:color="auto"/>
        <w:right w:val="none" w:sz="0" w:space="0" w:color="auto"/>
      </w:divBdr>
    </w:div>
    <w:div w:id="722558038">
      <w:bodyDiv w:val="1"/>
      <w:marLeft w:val="0"/>
      <w:marRight w:val="0"/>
      <w:marTop w:val="0"/>
      <w:marBottom w:val="0"/>
      <w:divBdr>
        <w:top w:val="none" w:sz="0" w:space="0" w:color="auto"/>
        <w:left w:val="none" w:sz="0" w:space="0" w:color="auto"/>
        <w:bottom w:val="none" w:sz="0" w:space="0" w:color="auto"/>
        <w:right w:val="none" w:sz="0" w:space="0" w:color="auto"/>
      </w:divBdr>
      <w:divsChild>
        <w:div w:id="1959291332">
          <w:marLeft w:val="0"/>
          <w:marRight w:val="0"/>
          <w:marTop w:val="0"/>
          <w:marBottom w:val="0"/>
          <w:divBdr>
            <w:top w:val="none" w:sz="0" w:space="0" w:color="auto"/>
            <w:left w:val="none" w:sz="0" w:space="0" w:color="auto"/>
            <w:bottom w:val="none" w:sz="0" w:space="0" w:color="auto"/>
            <w:right w:val="none" w:sz="0" w:space="0" w:color="auto"/>
          </w:divBdr>
          <w:divsChild>
            <w:div w:id="1869635026">
              <w:marLeft w:val="0"/>
              <w:marRight w:val="0"/>
              <w:marTop w:val="0"/>
              <w:marBottom w:val="0"/>
              <w:divBdr>
                <w:top w:val="none" w:sz="0" w:space="0" w:color="auto"/>
                <w:left w:val="none" w:sz="0" w:space="0" w:color="auto"/>
                <w:bottom w:val="none" w:sz="0" w:space="0" w:color="auto"/>
                <w:right w:val="none" w:sz="0" w:space="0" w:color="auto"/>
              </w:divBdr>
              <w:divsChild>
                <w:div w:id="1198471148">
                  <w:marLeft w:val="0"/>
                  <w:marRight w:val="0"/>
                  <w:marTop w:val="0"/>
                  <w:marBottom w:val="0"/>
                  <w:divBdr>
                    <w:top w:val="none" w:sz="0" w:space="0" w:color="auto"/>
                    <w:left w:val="none" w:sz="0" w:space="0" w:color="auto"/>
                    <w:bottom w:val="none" w:sz="0" w:space="0" w:color="auto"/>
                    <w:right w:val="none" w:sz="0" w:space="0" w:color="auto"/>
                  </w:divBdr>
                  <w:divsChild>
                    <w:div w:id="50200835">
                      <w:marLeft w:val="0"/>
                      <w:marRight w:val="0"/>
                      <w:marTop w:val="0"/>
                      <w:marBottom w:val="0"/>
                      <w:divBdr>
                        <w:top w:val="none" w:sz="0" w:space="0" w:color="auto"/>
                        <w:left w:val="none" w:sz="0" w:space="0" w:color="auto"/>
                        <w:bottom w:val="none" w:sz="0" w:space="0" w:color="auto"/>
                        <w:right w:val="none" w:sz="0" w:space="0" w:color="auto"/>
                      </w:divBdr>
                      <w:divsChild>
                        <w:div w:id="1992362728">
                          <w:marLeft w:val="0"/>
                          <w:marRight w:val="0"/>
                          <w:marTop w:val="0"/>
                          <w:marBottom w:val="0"/>
                          <w:divBdr>
                            <w:top w:val="single" w:sz="6" w:space="0" w:color="828282"/>
                            <w:left w:val="single" w:sz="6" w:space="0" w:color="828282"/>
                            <w:bottom w:val="single" w:sz="6" w:space="0" w:color="828282"/>
                            <w:right w:val="single" w:sz="6" w:space="0" w:color="828282"/>
                          </w:divBdr>
                          <w:divsChild>
                            <w:div w:id="101848469">
                              <w:marLeft w:val="0"/>
                              <w:marRight w:val="0"/>
                              <w:marTop w:val="0"/>
                              <w:marBottom w:val="0"/>
                              <w:divBdr>
                                <w:top w:val="none" w:sz="0" w:space="0" w:color="auto"/>
                                <w:left w:val="none" w:sz="0" w:space="0" w:color="auto"/>
                                <w:bottom w:val="none" w:sz="0" w:space="0" w:color="auto"/>
                                <w:right w:val="none" w:sz="0" w:space="0" w:color="auto"/>
                              </w:divBdr>
                              <w:divsChild>
                                <w:div w:id="1432772688">
                                  <w:marLeft w:val="0"/>
                                  <w:marRight w:val="0"/>
                                  <w:marTop w:val="0"/>
                                  <w:marBottom w:val="0"/>
                                  <w:divBdr>
                                    <w:top w:val="none" w:sz="0" w:space="0" w:color="auto"/>
                                    <w:left w:val="none" w:sz="0" w:space="0" w:color="auto"/>
                                    <w:bottom w:val="none" w:sz="0" w:space="0" w:color="auto"/>
                                    <w:right w:val="none" w:sz="0" w:space="0" w:color="auto"/>
                                  </w:divBdr>
                                  <w:divsChild>
                                    <w:div w:id="1172258435">
                                      <w:marLeft w:val="0"/>
                                      <w:marRight w:val="0"/>
                                      <w:marTop w:val="0"/>
                                      <w:marBottom w:val="0"/>
                                      <w:divBdr>
                                        <w:top w:val="none" w:sz="0" w:space="0" w:color="auto"/>
                                        <w:left w:val="none" w:sz="0" w:space="0" w:color="auto"/>
                                        <w:bottom w:val="none" w:sz="0" w:space="0" w:color="auto"/>
                                        <w:right w:val="none" w:sz="0" w:space="0" w:color="auto"/>
                                      </w:divBdr>
                                      <w:divsChild>
                                        <w:div w:id="1438527933">
                                          <w:marLeft w:val="0"/>
                                          <w:marRight w:val="0"/>
                                          <w:marTop w:val="0"/>
                                          <w:marBottom w:val="0"/>
                                          <w:divBdr>
                                            <w:top w:val="none" w:sz="0" w:space="0" w:color="auto"/>
                                            <w:left w:val="none" w:sz="0" w:space="0" w:color="auto"/>
                                            <w:bottom w:val="none" w:sz="0" w:space="0" w:color="auto"/>
                                            <w:right w:val="none" w:sz="0" w:space="0" w:color="auto"/>
                                          </w:divBdr>
                                          <w:divsChild>
                                            <w:div w:id="1779838067">
                                              <w:marLeft w:val="0"/>
                                              <w:marRight w:val="0"/>
                                              <w:marTop w:val="0"/>
                                              <w:marBottom w:val="0"/>
                                              <w:divBdr>
                                                <w:top w:val="none" w:sz="0" w:space="0" w:color="auto"/>
                                                <w:left w:val="none" w:sz="0" w:space="0" w:color="auto"/>
                                                <w:bottom w:val="none" w:sz="0" w:space="0" w:color="auto"/>
                                                <w:right w:val="none" w:sz="0" w:space="0" w:color="auto"/>
                                              </w:divBdr>
                                              <w:divsChild>
                                                <w:div w:id="11368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6174844">
      <w:bodyDiv w:val="1"/>
      <w:marLeft w:val="0"/>
      <w:marRight w:val="0"/>
      <w:marTop w:val="0"/>
      <w:marBottom w:val="0"/>
      <w:divBdr>
        <w:top w:val="none" w:sz="0" w:space="0" w:color="auto"/>
        <w:left w:val="none" w:sz="0" w:space="0" w:color="auto"/>
        <w:bottom w:val="none" w:sz="0" w:space="0" w:color="auto"/>
        <w:right w:val="none" w:sz="0" w:space="0" w:color="auto"/>
      </w:divBdr>
    </w:div>
    <w:div w:id="1157768219">
      <w:bodyDiv w:val="1"/>
      <w:marLeft w:val="0"/>
      <w:marRight w:val="0"/>
      <w:marTop w:val="0"/>
      <w:marBottom w:val="0"/>
      <w:divBdr>
        <w:top w:val="none" w:sz="0" w:space="0" w:color="auto"/>
        <w:left w:val="none" w:sz="0" w:space="0" w:color="auto"/>
        <w:bottom w:val="none" w:sz="0" w:space="0" w:color="auto"/>
        <w:right w:val="none" w:sz="0" w:space="0" w:color="auto"/>
      </w:divBdr>
    </w:div>
    <w:div w:id="1411737345">
      <w:bodyDiv w:val="1"/>
      <w:marLeft w:val="0"/>
      <w:marRight w:val="0"/>
      <w:marTop w:val="0"/>
      <w:marBottom w:val="0"/>
      <w:divBdr>
        <w:top w:val="none" w:sz="0" w:space="0" w:color="auto"/>
        <w:left w:val="none" w:sz="0" w:space="0" w:color="auto"/>
        <w:bottom w:val="none" w:sz="0" w:space="0" w:color="auto"/>
        <w:right w:val="none" w:sz="0" w:space="0" w:color="auto"/>
      </w:divBdr>
    </w:div>
    <w:div w:id="1514297702">
      <w:bodyDiv w:val="1"/>
      <w:marLeft w:val="0"/>
      <w:marRight w:val="0"/>
      <w:marTop w:val="0"/>
      <w:marBottom w:val="0"/>
      <w:divBdr>
        <w:top w:val="none" w:sz="0" w:space="0" w:color="auto"/>
        <w:left w:val="none" w:sz="0" w:space="0" w:color="auto"/>
        <w:bottom w:val="none" w:sz="0" w:space="0" w:color="auto"/>
        <w:right w:val="none" w:sz="0" w:space="0" w:color="auto"/>
      </w:divBdr>
    </w:div>
    <w:div w:id="1546327855">
      <w:bodyDiv w:val="1"/>
      <w:marLeft w:val="0"/>
      <w:marRight w:val="0"/>
      <w:marTop w:val="0"/>
      <w:marBottom w:val="0"/>
      <w:divBdr>
        <w:top w:val="none" w:sz="0" w:space="0" w:color="auto"/>
        <w:left w:val="none" w:sz="0" w:space="0" w:color="auto"/>
        <w:bottom w:val="none" w:sz="0" w:space="0" w:color="auto"/>
        <w:right w:val="none" w:sz="0" w:space="0" w:color="auto"/>
      </w:divBdr>
    </w:div>
    <w:div w:id="1598250368">
      <w:bodyDiv w:val="1"/>
      <w:marLeft w:val="0"/>
      <w:marRight w:val="0"/>
      <w:marTop w:val="0"/>
      <w:marBottom w:val="0"/>
      <w:divBdr>
        <w:top w:val="none" w:sz="0" w:space="0" w:color="auto"/>
        <w:left w:val="none" w:sz="0" w:space="0" w:color="auto"/>
        <w:bottom w:val="none" w:sz="0" w:space="0" w:color="auto"/>
        <w:right w:val="none" w:sz="0" w:space="0" w:color="auto"/>
      </w:divBdr>
    </w:div>
    <w:div w:id="1704745963">
      <w:bodyDiv w:val="1"/>
      <w:marLeft w:val="0"/>
      <w:marRight w:val="0"/>
      <w:marTop w:val="0"/>
      <w:marBottom w:val="0"/>
      <w:divBdr>
        <w:top w:val="none" w:sz="0" w:space="0" w:color="auto"/>
        <w:left w:val="none" w:sz="0" w:space="0" w:color="auto"/>
        <w:bottom w:val="none" w:sz="0" w:space="0" w:color="auto"/>
        <w:right w:val="none" w:sz="0" w:space="0" w:color="auto"/>
      </w:divBdr>
    </w:div>
    <w:div w:id="1761097015">
      <w:bodyDiv w:val="1"/>
      <w:marLeft w:val="0"/>
      <w:marRight w:val="0"/>
      <w:marTop w:val="0"/>
      <w:marBottom w:val="0"/>
      <w:divBdr>
        <w:top w:val="none" w:sz="0" w:space="0" w:color="auto"/>
        <w:left w:val="none" w:sz="0" w:space="0" w:color="auto"/>
        <w:bottom w:val="none" w:sz="0" w:space="0" w:color="auto"/>
        <w:right w:val="none" w:sz="0" w:space="0" w:color="auto"/>
      </w:divBdr>
    </w:div>
    <w:div w:id="188922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BDE525B26A44F68DBDEC40AC10821A"/>
        <w:category>
          <w:name w:val="General"/>
          <w:gallery w:val="placeholder"/>
        </w:category>
        <w:types>
          <w:type w:val="bbPlcHdr"/>
        </w:types>
        <w:behaviors>
          <w:behavior w:val="content"/>
        </w:behaviors>
        <w:guid w:val="{6A076386-BF0B-4991-8556-6808AF634E73}"/>
      </w:docPartPr>
      <w:docPartBody>
        <w:p w:rsidR="00C334AC" w:rsidRDefault="00C334AC">
          <w:pPr>
            <w:pStyle w:val="E6BDE525B26A44F68DBDEC40AC10821A"/>
          </w:pPr>
          <w:r>
            <w:rPr>
              <w:rStyle w:val="PlaceholderText"/>
            </w:rPr>
            <w:t>[Draft]</w:t>
          </w:r>
        </w:p>
      </w:docPartBody>
    </w:docPart>
    <w:docPart>
      <w:docPartPr>
        <w:name w:val="1CF15A3A28CE4C6E8BCF5A6A36625E8E"/>
        <w:category>
          <w:name w:val="General"/>
          <w:gallery w:val="placeholder"/>
        </w:category>
        <w:types>
          <w:type w:val="bbPlcHdr"/>
        </w:types>
        <w:behaviors>
          <w:behavior w:val="content"/>
        </w:behaviors>
        <w:guid w:val="{05DA7140-5419-4FA9-9A8F-3A415D859F02}"/>
      </w:docPartPr>
      <w:docPartBody>
        <w:p w:rsidR="00C334AC" w:rsidRDefault="00C334AC">
          <w:pPr>
            <w:pStyle w:val="1CF15A3A28CE4C6E8BCF5A6A36625E8E"/>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yriad Pro Light">
    <w:altName w:val="Times New Roman"/>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4AC"/>
    <w:rsid w:val="00075F65"/>
    <w:rsid w:val="003953D1"/>
    <w:rsid w:val="003E59F6"/>
    <w:rsid w:val="005A7F51"/>
    <w:rsid w:val="005F77A6"/>
    <w:rsid w:val="006B7C83"/>
    <w:rsid w:val="008770B8"/>
    <w:rsid w:val="009412C3"/>
    <w:rsid w:val="00A66E4B"/>
    <w:rsid w:val="00B44AE4"/>
    <w:rsid w:val="00C334AC"/>
    <w:rsid w:val="00C6357E"/>
    <w:rsid w:val="00E346F4"/>
    <w:rsid w:val="00FF7E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4AE4"/>
    <w:rPr>
      <w:color w:val="595959" w:themeColor="text1" w:themeTint="A6"/>
      <w:bdr w:val="none" w:sz="0" w:space="0" w:color="auto"/>
      <w:shd w:val="clear" w:color="auto" w:fill="FFFF00"/>
    </w:rPr>
  </w:style>
  <w:style w:type="paragraph" w:customStyle="1" w:styleId="2FA7C14035384011B80BA28C54886311">
    <w:name w:val="2FA7C14035384011B80BA28C54886311"/>
  </w:style>
  <w:style w:type="paragraph" w:customStyle="1" w:styleId="71414B6A64714ACBA9B1ECF9869945B0">
    <w:name w:val="71414B6A64714ACBA9B1ECF9869945B0"/>
  </w:style>
  <w:style w:type="paragraph" w:customStyle="1" w:styleId="E6BDE525B26A44F68DBDEC40AC10821A">
    <w:name w:val="E6BDE525B26A44F68DBDEC40AC10821A"/>
  </w:style>
  <w:style w:type="paragraph" w:customStyle="1" w:styleId="1CF15A3A28CE4C6E8BCF5A6A36625E8E">
    <w:name w:val="1CF15A3A28CE4C6E8BCF5A6A36625E8E"/>
  </w:style>
  <w:style w:type="paragraph" w:customStyle="1" w:styleId="628473F4A43C402988EC208FB5912871">
    <w:name w:val="628473F4A43C402988EC208FB5912871"/>
  </w:style>
  <w:style w:type="paragraph" w:customStyle="1" w:styleId="B49A870078BE4E16A4152641C91B91D4">
    <w:name w:val="B49A870078BE4E16A4152641C91B91D4"/>
  </w:style>
  <w:style w:type="paragraph" w:customStyle="1" w:styleId="031B784F7BA14CF98E106F7C377AD1D4">
    <w:name w:val="031B784F7BA14CF98E106F7C377AD1D4"/>
    <w:rsid w:val="00B44AE4"/>
  </w:style>
  <w:style w:type="paragraph" w:customStyle="1" w:styleId="AC432E947E7A4693B38AE763E576E365">
    <w:name w:val="AC432E947E7A4693B38AE763E576E365"/>
    <w:rsid w:val="00B44AE4"/>
  </w:style>
  <w:style w:type="paragraph" w:customStyle="1" w:styleId="789217130286405CA2803002C56135BF">
    <w:name w:val="789217130286405CA2803002C56135BF"/>
    <w:rsid w:val="00A66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3C96DB499DA44345860536E75257F88B" ma:contentTypeVersion="0" ma:contentTypeDescription="" ma:contentTypeScope="" ma:versionID="0996724ad0c66d5d9a0db4a66b9ed455">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RBA.XSL" StyleName="RBA">
  <b:Source>
    <b:Tag>ASIC17</b:Tag>
    <b:SourceType>Report</b:SourceType>
    <b:Guid>{A7DAF7B4-657F-4334-BC03-6C89D0FCE75A}</b:Guid>
    <b:Author>
      <b:Author>
        <b:Corporate>ASIC</b:Corporate>
      </b:Author>
    </b:Author>
    <b:Title>Review of mortgage broker remuneration</b:Title>
    <b:Year>2017</b:Year>
    <b:URL>http://download.asic.gov.au/media/4213629/rep516-published-16-3-2017-1.pdf</b:URL>
    <b:RefOrder>3</b:RefOrder>
  </b:Source>
  <b:Source>
    <b:Tag>VuH11</b:Tag>
    <b:SourceType>JournalArticle</b:SourceType>
    <b:Guid>{56F9772A-7320-4639-8622-B159ACD9BCEF}</b:Guid>
    <b:Author>
      <b:Author>
        <b:NameList>
          <b:Person>
            <b:Last>Vu</b:Last>
            <b:First>H</b:First>
          </b:Person>
          <b:Person>
            <b:Last>Turnell</b:Last>
            <b:First>S</b:First>
          </b:Person>
        </b:NameList>
      </b:Author>
    </b:Author>
    <b:Title>Cost and Profit Efficiencies of Australian Banks and the Impact of the Global Financial Crisis</b:Title>
    <b:JournalName>Economic Record</b:JournalName>
    <b:Year>2011</b:Year>
    <b:Pages>525–536</b:Pages>
    <b:Volume>87</b:Volume>
    <b:Issue>279</b:Issue>
    <b:RefOrder>8</b:RefOrder>
  </b:Source>
  <b:Source>
    <b:Tag>CGF18</b:Tag>
    <b:SourceType>Report</b:SourceType>
    <b:Guid>{4A5C2456-4A9B-4A65-868B-676D50B85D8F}</b:Guid>
    <b:Title>Structural changes in banking after the crisis</b:Title>
    <b:Year>2018</b:Year>
    <b:Author>
      <b:Author>
        <b:Corporate>CGFS</b:Corporate>
      </b:Author>
    </b:Author>
    <b:URL>https://www.bis.org/publ/cgfs60.pdf</b:URL>
    <b:RefOrder>6</b:RefOrder>
  </b:Source>
  <b:Source>
    <b:Tag>BIS10</b:Tag>
    <b:SourceType>Report</b:SourceType>
    <b:Guid>{5A9EECE6-88F0-4588-B9D5-4561D9CF45F0}</b:Guid>
    <b:Author>
      <b:Author>
        <b:Corporate>BIS</b:Corporate>
      </b:Author>
    </b:Author>
    <b:Title>An assessment of the long-term economic impact of stronger capital and liquidity requirements</b:Title>
    <b:Year>2010</b:Year>
    <b:URL>http://www.fsb.org/wp-content/uploads/r_100818a.pdf?page_moved=1</b:URL>
    <b:RefOrder>5</b:RefOrder>
  </b:Source>
  <b:Source>
    <b:Tag>APR18</b:Tag>
    <b:SourceType>Report</b:SourceType>
    <b:Guid>{3A578290-ACC2-4094-B141-84CE14620D69}</b:Guid>
    <b:Author>
      <b:Author>
        <b:Corporate>APRA</b:Corporate>
      </b:Author>
    </b:Author>
    <b:Title>Revisions to the capital framework and the leverage ratio requirement for ADIs - February 2018</b:Title>
    <b:Year>2018</b:Year>
    <b:URL>http://www.apra.gov.au/adi/PrudentialFramework/Pages/revisions-capital-framework-and-leverage-ratio-Feb-2018.aspx</b:URL>
    <b:RefOrder>7</b:RefOrder>
  </b:Source>
  <b:Source>
    <b:Tag>Par10</b:Tag>
    <b:SourceType>JournalArticle</b:SourceType>
    <b:Guid>{65231565-B5E5-40E7-9BDD-DA0C8A178E51}</b:Guid>
    <b:Title>Price-Setting Behaviour – Insights from Australian Firms</b:Title>
    <b:Year>2010</b:Year>
    <b:Author>
      <b:Author>
        <b:NameList>
          <b:Person>
            <b:Last>Park</b:Last>
            <b:First>A</b:First>
          </b:Person>
          <b:Person>
            <b:Last>Rayner</b:Last>
            <b:First>V</b:First>
          </b:Person>
          <b:Person>
            <b:Last>D'Arcy</b:Last>
            <b:First>P</b:First>
          </b:Person>
        </b:NameList>
      </b:Author>
    </b:Author>
    <b:JournalName>Reserve Bank Bulletin</b:JournalName>
    <b:Pages>7-14</b:Pages>
    <b:Volume>June</b:Volume>
    <b:RefOrder>9</b:RefOrder>
  </b:Source>
  <b:Source>
    <b:Tag>McK08</b:Tag>
    <b:SourceType>JournalArticle</b:SourceType>
    <b:Guid>{0142C764-23AA-4A87-9BA0-506FA4C46464}</b:Guid>
    <b:Author>
      <b:Author>
        <b:NameList>
          <b:Person>
            <b:Last>McKinnon</b:Last>
            <b:First>Tessa</b:First>
          </b:Person>
        </b:NameList>
      </b:Author>
    </b:Author>
    <b:Title>Developments in Banks’ Funding Costs and Lending Rates’</b:Title>
    <b:Year>2018</b:Year>
    <b:JournalName>Reserve Bank Bulletin</b:JournalName>
    <b:Volume>March</b:Volume>
    <b:RefOrder>4</b:RefOrder>
  </b:Source>
  <b:Source>
    <b:Tag>RBA17</b:Tag>
    <b:SourceType>Report</b:SourceType>
    <b:Guid>{920E7626-E30E-4B46-AEAC-601AA3840221}</b:Guid>
    <b:Author>
      <b:Author>
        <b:Corporate>RBA</b:Corporate>
      </b:Author>
    </b:Author>
    <b:Title>Competition in the Australian Financial System: Submission to the Productivity Commission Inquiry</b:Title>
    <b:Year>2017</b:Year>
    <b:URL>https://www.rba.gov.au/publications/submissions/financial-sector/competition-in-the-financial-system/submission-to-productivity-commission-september-2017.pdf</b:URL>
    <b:RefOrder>2</b:RefOrder>
  </b:Source>
  <b:Source>
    <b:Tag>PC18</b:Tag>
    <b:SourceType>Report</b:SourceType>
    <b:Guid>{3132E1D2-5064-4E90-9DAA-5DA757A07D1F}</b:Guid>
    <b:Author>
      <b:Author>
        <b:Corporate>PC</b:Corporate>
      </b:Author>
    </b:Author>
    <b:Title>Competition in the Australian Financial System Draft Report</b:Title>
    <b:Year>2018</b:Year>
    <b:URL>http://www.pc.gov.au/inquiries/current/financial-system/draft/financial-system-draft.pdf</b:URL>
    <b:RefOrder>1</b:RefOrder>
  </b:Source>
</b:Sources>
</file>

<file path=customXml/itemProps1.xml><?xml version="1.0" encoding="utf-8"?>
<ds:datastoreItem xmlns:ds="http://schemas.openxmlformats.org/officeDocument/2006/customXml" ds:itemID="{D8C67048-FDE1-4230-B477-663745245A9D}">
  <ds:schemaRefs>
    <ds:schemaRef ds:uri="http://www.w3.org/XML/1998/namespace"/>
    <ds:schemaRef ds:uri="3f4bcce7-ac1a-4c9d-aa3e-7e77695652db"/>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D9A31E0-B622-4581-8AE4-BF854252A1D7}">
  <ds:schemaRefs>
    <ds:schemaRef ds:uri="Microsoft.SharePoint.Taxonomy.ContentTypeSync"/>
  </ds:schemaRefs>
</ds:datastoreItem>
</file>

<file path=customXml/itemProps3.xml><?xml version="1.0" encoding="utf-8"?>
<ds:datastoreItem xmlns:ds="http://schemas.openxmlformats.org/officeDocument/2006/customXml" ds:itemID="{5C83864F-87E3-4549-B7B5-BA2966B23840}">
  <ds:schemaRefs>
    <ds:schemaRef ds:uri="http://schemas.microsoft.com/sharepoint/v3/contenttype/forms"/>
  </ds:schemaRefs>
</ds:datastoreItem>
</file>

<file path=customXml/itemProps4.xml><?xml version="1.0" encoding="utf-8"?>
<ds:datastoreItem xmlns:ds="http://schemas.openxmlformats.org/officeDocument/2006/customXml" ds:itemID="{D168FEC5-3F3E-4384-B7D4-A56A84209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4A9EEA-431A-4822-AD06-11323C294E2D}">
  <ds:schemaRefs>
    <ds:schemaRef ds:uri="http://schemas.microsoft.com/sharepoint/events"/>
  </ds:schemaRefs>
</ds:datastoreItem>
</file>

<file path=customXml/itemProps6.xml><?xml version="1.0" encoding="utf-8"?>
<ds:datastoreItem xmlns:ds="http://schemas.openxmlformats.org/officeDocument/2006/customXml" ds:itemID="{3400D132-57D1-4A15-BFC2-8E53DDAE33B8}">
  <ds:schemaRefs>
    <ds:schemaRef ds:uri="http://schemas.microsoft.com/office/2006/metadata/customXsn"/>
  </ds:schemaRefs>
</ds:datastoreItem>
</file>

<file path=customXml/itemProps7.xml><?xml version="1.0" encoding="utf-8"?>
<ds:datastoreItem xmlns:ds="http://schemas.openxmlformats.org/officeDocument/2006/customXml" ds:itemID="{E491D6F6-0675-4CC7-8B6F-EDF46D3A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599EB122.dotm</Template>
  <TotalTime>0</TotalTime>
  <Pages>11</Pages>
  <Words>5285</Words>
  <Characters>30126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Submission DR82 - Reserve Bank of Australia (RBA) - Competition in the Australian Financial System - Public inquiry</vt:lpstr>
    </vt:vector>
  </TitlesOfParts>
  <Manager/>
  <Company/>
  <LinksUpToDate>false</LinksUpToDate>
  <CharactersWithSpaces>35341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DR82 - Reserve Bank of Australia (RBA) - Competition in the Australian Financial System - Public inquiry</dc:title>
  <dc:subject/>
  <dc:creator/>
  <cp:keywords/>
  <cp:lastModifiedBy/>
  <cp:revision>1</cp:revision>
  <dcterms:created xsi:type="dcterms:W3CDTF">2018-03-21T00:51:00Z</dcterms:created>
  <dcterms:modified xsi:type="dcterms:W3CDTF">2018-03-21T02:37:00Z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0x0101007916246811615643A710C6FEAFF56A871105003C96DB499DA44345860536E75257F88B</vt:lpwstr>
  </property>
  <property fmtid="{D5CDD505-2E9C-101B-9397-08002B2CF9AE}" pid="3" name="Record Tag">
    <vt:lpwstr>139;#Submissions|c6e0dbf8-5444-433c-844d-d567dd519a05</vt:lpwstr>
  </property>
  <property fmtid="{D5CDD505-2E9C-101B-9397-08002B2CF9AE}" pid="4" name="TaxKeyword">
    <vt:lpwstr/>
  </property>
</Properties>
</file>