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91A" w:rsidRDefault="00E1618D">
      <w:pPr>
        <w:rPr>
          <w:sz w:val="28"/>
          <w:szCs w:val="28"/>
        </w:rPr>
      </w:pPr>
      <w:bookmarkStart w:id="0" w:name="_GoBack"/>
      <w:bookmarkEnd w:id="0"/>
      <w:r w:rsidRPr="00424BFF">
        <w:rPr>
          <w:sz w:val="28"/>
          <w:szCs w:val="28"/>
        </w:rPr>
        <w:t xml:space="preserve">Investment </w:t>
      </w:r>
      <w:r w:rsidR="0095191A" w:rsidRPr="00424BFF">
        <w:rPr>
          <w:sz w:val="28"/>
          <w:szCs w:val="28"/>
        </w:rPr>
        <w:t xml:space="preserve">Performance </w:t>
      </w:r>
    </w:p>
    <w:p w:rsidR="006940D5" w:rsidRPr="006940D5" w:rsidRDefault="006940D5">
      <w:pPr>
        <w:rPr>
          <w:sz w:val="24"/>
          <w:szCs w:val="24"/>
        </w:rPr>
      </w:pPr>
      <w:r w:rsidRPr="006940D5">
        <w:rPr>
          <w:sz w:val="24"/>
          <w:szCs w:val="24"/>
        </w:rPr>
        <w:t>The</w:t>
      </w:r>
      <w:r w:rsidR="00806AB4">
        <w:rPr>
          <w:sz w:val="24"/>
          <w:szCs w:val="24"/>
        </w:rPr>
        <w:t xml:space="preserve"> most</w:t>
      </w:r>
      <w:r w:rsidRPr="006940D5">
        <w:rPr>
          <w:sz w:val="24"/>
          <w:szCs w:val="24"/>
        </w:rPr>
        <w:t xml:space="preserve"> important</w:t>
      </w:r>
      <w:r>
        <w:rPr>
          <w:sz w:val="24"/>
          <w:szCs w:val="24"/>
        </w:rPr>
        <w:t xml:space="preserve"> dimension of superannuation fund</w:t>
      </w:r>
      <w:r w:rsidR="00171B97">
        <w:rPr>
          <w:sz w:val="24"/>
          <w:szCs w:val="24"/>
        </w:rPr>
        <w:t xml:space="preserve"> assessment</w:t>
      </w:r>
      <w:r>
        <w:rPr>
          <w:sz w:val="24"/>
          <w:szCs w:val="24"/>
        </w:rPr>
        <w:t xml:space="preserve"> is long-term investment performance.</w:t>
      </w:r>
    </w:p>
    <w:p w:rsidR="00E1618D" w:rsidRDefault="00842E99">
      <w:pPr>
        <w:rPr>
          <w:sz w:val="24"/>
          <w:szCs w:val="24"/>
        </w:rPr>
      </w:pPr>
      <w:r>
        <w:rPr>
          <w:sz w:val="24"/>
          <w:szCs w:val="24"/>
        </w:rPr>
        <w:t xml:space="preserve">Analysis of fund </w:t>
      </w: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returns may not </w:t>
      </w:r>
      <w:r w:rsidR="00427D75">
        <w:rPr>
          <w:sz w:val="24"/>
          <w:szCs w:val="24"/>
        </w:rPr>
        <w:t xml:space="preserve">necessarily </w:t>
      </w:r>
      <w:r>
        <w:rPr>
          <w:sz w:val="24"/>
          <w:szCs w:val="24"/>
        </w:rPr>
        <w:t>provide a</w:t>
      </w:r>
      <w:r w:rsidR="00174BD1">
        <w:rPr>
          <w:sz w:val="24"/>
          <w:szCs w:val="24"/>
        </w:rPr>
        <w:t xml:space="preserve"> true</w:t>
      </w:r>
      <w:r>
        <w:rPr>
          <w:sz w:val="24"/>
          <w:szCs w:val="24"/>
        </w:rPr>
        <w:t xml:space="preserve"> ‘apples-with-apples’ performance comparison since the underlying asset allocation will vary from product to product. </w:t>
      </w:r>
      <w:r w:rsidR="007E7881">
        <w:rPr>
          <w:sz w:val="24"/>
          <w:szCs w:val="24"/>
        </w:rPr>
        <w:t xml:space="preserve">Nevertheless </w:t>
      </w: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performance </w:t>
      </w:r>
      <w:r w:rsidR="006F7715">
        <w:rPr>
          <w:sz w:val="24"/>
          <w:szCs w:val="24"/>
        </w:rPr>
        <w:t xml:space="preserve">remains </w:t>
      </w:r>
      <w:r>
        <w:rPr>
          <w:sz w:val="24"/>
          <w:szCs w:val="24"/>
        </w:rPr>
        <w:t xml:space="preserve">highly relevant as </w:t>
      </w:r>
      <w:r w:rsidR="006F7715">
        <w:rPr>
          <w:sz w:val="24"/>
          <w:szCs w:val="24"/>
        </w:rPr>
        <w:t xml:space="preserve">most super accounts default to </w:t>
      </w:r>
      <w:r w:rsidR="00581EC5">
        <w:rPr>
          <w:sz w:val="24"/>
          <w:szCs w:val="24"/>
        </w:rPr>
        <w:t>this option due to</w:t>
      </w:r>
      <w:r w:rsidR="006F7715">
        <w:rPr>
          <w:sz w:val="24"/>
          <w:szCs w:val="24"/>
        </w:rPr>
        <w:t xml:space="preserve"> absence of choice by the account holder.</w:t>
      </w:r>
    </w:p>
    <w:p w:rsidR="006F7715" w:rsidRDefault="00B70738">
      <w:pPr>
        <w:rPr>
          <w:sz w:val="24"/>
          <w:szCs w:val="24"/>
        </w:rPr>
      </w:pPr>
      <w:r>
        <w:rPr>
          <w:sz w:val="24"/>
          <w:szCs w:val="24"/>
        </w:rPr>
        <w:t xml:space="preserve">Most super funds offer several pre-mixed options with varying levels of growth/defensive asset allocation. </w:t>
      </w: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products typically represent the fund</w:t>
      </w:r>
      <w:r w:rsidR="006B3E93">
        <w:rPr>
          <w:sz w:val="24"/>
          <w:szCs w:val="24"/>
        </w:rPr>
        <w:t>s</w:t>
      </w:r>
      <w:r>
        <w:rPr>
          <w:sz w:val="24"/>
          <w:szCs w:val="24"/>
        </w:rPr>
        <w:t xml:space="preserve"> Balanced or Growth option and presently contain </w:t>
      </w:r>
      <w:r w:rsidR="00D93469">
        <w:rPr>
          <w:sz w:val="24"/>
          <w:szCs w:val="24"/>
        </w:rPr>
        <w:t xml:space="preserve">around </w:t>
      </w:r>
      <w:r>
        <w:rPr>
          <w:sz w:val="24"/>
          <w:szCs w:val="24"/>
        </w:rPr>
        <w:t xml:space="preserve">70-80% growth assets </w:t>
      </w:r>
      <w:proofErr w:type="gramStart"/>
      <w:r w:rsidR="006D7E45">
        <w:rPr>
          <w:sz w:val="24"/>
          <w:szCs w:val="24"/>
        </w:rPr>
        <w:t>including</w:t>
      </w:r>
      <w:r w:rsidR="002760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Australian</w:t>
      </w:r>
      <w:proofErr w:type="gramEnd"/>
      <w:r>
        <w:rPr>
          <w:sz w:val="24"/>
          <w:szCs w:val="24"/>
        </w:rPr>
        <w:t xml:space="preserve"> and International shares.</w:t>
      </w:r>
      <w:r w:rsidR="00C81207">
        <w:rPr>
          <w:sz w:val="24"/>
          <w:szCs w:val="24"/>
        </w:rPr>
        <w:t xml:space="preserve"> </w:t>
      </w:r>
    </w:p>
    <w:p w:rsidR="006B3E93" w:rsidRDefault="00C81207">
      <w:pPr>
        <w:rPr>
          <w:sz w:val="24"/>
          <w:szCs w:val="24"/>
        </w:rPr>
      </w:pPr>
      <w:r>
        <w:rPr>
          <w:sz w:val="24"/>
          <w:szCs w:val="24"/>
        </w:rPr>
        <w:t xml:space="preserve">Super funds also offer a range of asset class investment options, such as shares, property, cash and bonds. The performance of these asset class </w:t>
      </w:r>
      <w:r w:rsidR="009A11E9">
        <w:rPr>
          <w:sz w:val="24"/>
          <w:szCs w:val="24"/>
        </w:rPr>
        <w:t xml:space="preserve">investments </w:t>
      </w:r>
      <w:r>
        <w:rPr>
          <w:sz w:val="24"/>
          <w:szCs w:val="24"/>
        </w:rPr>
        <w:t>is reported on fund websites</w:t>
      </w:r>
      <w:r w:rsidR="006B3E93">
        <w:rPr>
          <w:sz w:val="24"/>
          <w:szCs w:val="24"/>
        </w:rPr>
        <w:t>. Returns from growth asset</w:t>
      </w:r>
      <w:r w:rsidR="009A11E9">
        <w:rPr>
          <w:sz w:val="24"/>
          <w:szCs w:val="24"/>
        </w:rPr>
        <w:t xml:space="preserve"> classes</w:t>
      </w:r>
      <w:r w:rsidR="006B3E93">
        <w:rPr>
          <w:sz w:val="24"/>
          <w:szCs w:val="24"/>
        </w:rPr>
        <w:t xml:space="preserve"> contribute to the performance of pre-mixed options</w:t>
      </w:r>
      <w:r w:rsidR="00F50522">
        <w:rPr>
          <w:sz w:val="24"/>
          <w:szCs w:val="24"/>
        </w:rPr>
        <w:t xml:space="preserve"> - like</w:t>
      </w:r>
      <w:r w:rsidR="009821FD">
        <w:rPr>
          <w:sz w:val="24"/>
          <w:szCs w:val="24"/>
        </w:rPr>
        <w:t xml:space="preserve"> </w:t>
      </w:r>
      <w:proofErr w:type="spellStart"/>
      <w:r w:rsidR="006B3E93">
        <w:rPr>
          <w:sz w:val="24"/>
          <w:szCs w:val="24"/>
        </w:rPr>
        <w:t>MySuper</w:t>
      </w:r>
      <w:proofErr w:type="spellEnd"/>
      <w:r w:rsidR="00F50522">
        <w:rPr>
          <w:sz w:val="24"/>
          <w:szCs w:val="24"/>
        </w:rPr>
        <w:t xml:space="preserve"> -</w:t>
      </w:r>
      <w:r w:rsidR="006B3E93">
        <w:rPr>
          <w:sz w:val="24"/>
          <w:szCs w:val="24"/>
        </w:rPr>
        <w:t xml:space="preserve"> so an </w:t>
      </w:r>
      <w:r w:rsidR="002E0B15">
        <w:rPr>
          <w:sz w:val="24"/>
          <w:szCs w:val="24"/>
        </w:rPr>
        <w:t>awareness</w:t>
      </w:r>
      <w:r w:rsidR="006B3E93">
        <w:rPr>
          <w:sz w:val="24"/>
          <w:szCs w:val="24"/>
        </w:rPr>
        <w:t xml:space="preserve"> of </w:t>
      </w:r>
      <w:r w:rsidR="009821FD">
        <w:rPr>
          <w:sz w:val="24"/>
          <w:szCs w:val="24"/>
        </w:rPr>
        <w:t>asset class (</w:t>
      </w:r>
      <w:proofErr w:type="spellStart"/>
      <w:r w:rsidR="002465E6">
        <w:rPr>
          <w:sz w:val="24"/>
          <w:szCs w:val="24"/>
        </w:rPr>
        <w:t>e.g</w:t>
      </w:r>
      <w:proofErr w:type="spellEnd"/>
      <w:r w:rsidR="002465E6">
        <w:rPr>
          <w:sz w:val="24"/>
          <w:szCs w:val="24"/>
        </w:rPr>
        <w:t xml:space="preserve"> </w:t>
      </w:r>
      <w:r w:rsidR="006B3E93">
        <w:rPr>
          <w:sz w:val="24"/>
          <w:szCs w:val="24"/>
        </w:rPr>
        <w:t>share</w:t>
      </w:r>
      <w:r w:rsidR="009821FD">
        <w:rPr>
          <w:sz w:val="24"/>
          <w:szCs w:val="24"/>
        </w:rPr>
        <w:t>s</w:t>
      </w:r>
      <w:r w:rsidR="002760AC">
        <w:rPr>
          <w:sz w:val="24"/>
          <w:szCs w:val="24"/>
        </w:rPr>
        <w:t>, property</w:t>
      </w:r>
      <w:r w:rsidR="009821FD">
        <w:rPr>
          <w:sz w:val="24"/>
          <w:szCs w:val="24"/>
        </w:rPr>
        <w:t>)</w:t>
      </w:r>
      <w:r w:rsidR="006B3E93">
        <w:rPr>
          <w:sz w:val="24"/>
          <w:szCs w:val="24"/>
        </w:rPr>
        <w:t xml:space="preserve"> performance is</w:t>
      </w:r>
      <w:r w:rsidR="002760AC">
        <w:rPr>
          <w:sz w:val="24"/>
          <w:szCs w:val="24"/>
        </w:rPr>
        <w:t xml:space="preserve"> very</w:t>
      </w:r>
      <w:r w:rsidR="006B3E93">
        <w:rPr>
          <w:sz w:val="24"/>
          <w:szCs w:val="24"/>
        </w:rPr>
        <w:t xml:space="preserve"> important. </w:t>
      </w:r>
      <w:r w:rsidR="00036BD2">
        <w:rPr>
          <w:sz w:val="24"/>
          <w:szCs w:val="24"/>
        </w:rPr>
        <w:t xml:space="preserve"> </w:t>
      </w:r>
      <w:proofErr w:type="gramStart"/>
      <w:r w:rsidR="00036BD2">
        <w:rPr>
          <w:sz w:val="24"/>
          <w:szCs w:val="24"/>
        </w:rPr>
        <w:t xml:space="preserve">Refer  </w:t>
      </w:r>
      <w:proofErr w:type="gramEnd"/>
      <w:hyperlink r:id="rId6" w:history="1">
        <w:r w:rsidR="00036BD2" w:rsidRPr="00036BD2">
          <w:rPr>
            <w:rStyle w:val="Hyperlink"/>
            <w:sz w:val="24"/>
            <w:szCs w:val="24"/>
          </w:rPr>
          <w:t>super fund share options returns</w:t>
        </w:r>
      </w:hyperlink>
      <w:r w:rsidR="00FE68D0">
        <w:rPr>
          <w:sz w:val="24"/>
          <w:szCs w:val="24"/>
        </w:rPr>
        <w:t xml:space="preserve"> for a comparison of share </w:t>
      </w:r>
      <w:r w:rsidR="00663FC3">
        <w:rPr>
          <w:sz w:val="24"/>
          <w:szCs w:val="24"/>
        </w:rPr>
        <w:t xml:space="preserve">option </w:t>
      </w:r>
      <w:r w:rsidR="00FE68D0">
        <w:rPr>
          <w:sz w:val="24"/>
          <w:szCs w:val="24"/>
        </w:rPr>
        <w:t>returns in some major super funds.</w:t>
      </w:r>
    </w:p>
    <w:p w:rsidR="006B3E93" w:rsidRDefault="006B3E93">
      <w:pPr>
        <w:rPr>
          <w:sz w:val="24"/>
          <w:szCs w:val="24"/>
        </w:rPr>
      </w:pPr>
      <w:r>
        <w:rPr>
          <w:sz w:val="24"/>
          <w:szCs w:val="24"/>
        </w:rPr>
        <w:t>Super fund websites also publish details of investm</w:t>
      </w:r>
      <w:r w:rsidR="009821FD">
        <w:rPr>
          <w:sz w:val="24"/>
          <w:szCs w:val="24"/>
        </w:rPr>
        <w:t xml:space="preserve">ent managers </w:t>
      </w:r>
      <w:r w:rsidR="00BB6F33">
        <w:rPr>
          <w:sz w:val="24"/>
          <w:szCs w:val="24"/>
        </w:rPr>
        <w:t>and</w:t>
      </w:r>
      <w:r w:rsidR="009821FD">
        <w:rPr>
          <w:sz w:val="24"/>
          <w:szCs w:val="24"/>
        </w:rPr>
        <w:t xml:space="preserve"> stock holdings</w:t>
      </w:r>
      <w:r w:rsidR="00BB6F33">
        <w:rPr>
          <w:sz w:val="24"/>
          <w:szCs w:val="24"/>
        </w:rPr>
        <w:t xml:space="preserve"> held by the fund</w:t>
      </w:r>
      <w:r w:rsidR="009821FD">
        <w:rPr>
          <w:sz w:val="24"/>
          <w:szCs w:val="24"/>
        </w:rPr>
        <w:t xml:space="preserve">. There may be </w:t>
      </w:r>
      <w:r w:rsidR="00854CBF">
        <w:rPr>
          <w:sz w:val="24"/>
          <w:szCs w:val="24"/>
        </w:rPr>
        <w:t>differences</w:t>
      </w:r>
      <w:r w:rsidR="009821FD">
        <w:rPr>
          <w:sz w:val="24"/>
          <w:szCs w:val="24"/>
        </w:rPr>
        <w:t xml:space="preserve"> in the levels of </w:t>
      </w:r>
      <w:r w:rsidR="00F44964">
        <w:rPr>
          <w:sz w:val="24"/>
          <w:szCs w:val="24"/>
        </w:rPr>
        <w:t>individual</w:t>
      </w:r>
      <w:r w:rsidR="009821FD">
        <w:rPr>
          <w:sz w:val="24"/>
          <w:szCs w:val="24"/>
        </w:rPr>
        <w:t xml:space="preserve"> ASX 200 stocks held by super funds leading to </w:t>
      </w:r>
      <w:r w:rsidR="00BB6F33">
        <w:rPr>
          <w:sz w:val="24"/>
          <w:szCs w:val="24"/>
        </w:rPr>
        <w:t>varying performance outcomes.</w:t>
      </w:r>
      <w:r w:rsidR="00545DCD">
        <w:rPr>
          <w:sz w:val="24"/>
          <w:szCs w:val="24"/>
        </w:rPr>
        <w:t xml:space="preserve"> </w:t>
      </w:r>
      <w:r w:rsidR="002E0B15">
        <w:rPr>
          <w:sz w:val="24"/>
          <w:szCs w:val="24"/>
        </w:rPr>
        <w:t>International share option investment mix will vary from</w:t>
      </w:r>
      <w:r w:rsidR="00545C51">
        <w:rPr>
          <w:sz w:val="24"/>
          <w:szCs w:val="24"/>
        </w:rPr>
        <w:t xml:space="preserve"> fund</w:t>
      </w:r>
      <w:r w:rsidR="002E0B15">
        <w:rPr>
          <w:sz w:val="24"/>
          <w:szCs w:val="24"/>
        </w:rPr>
        <w:t xml:space="preserve"> to fund leading to a wide range of performance outcomes. </w:t>
      </w:r>
      <w:r w:rsidR="00545DCD">
        <w:rPr>
          <w:sz w:val="24"/>
          <w:szCs w:val="24"/>
        </w:rPr>
        <w:t>Super funds adjust the composition of their pre-mix and a</w:t>
      </w:r>
      <w:r w:rsidR="00323DB5">
        <w:rPr>
          <w:sz w:val="24"/>
          <w:szCs w:val="24"/>
        </w:rPr>
        <w:t xml:space="preserve">sset class investments </w:t>
      </w:r>
      <w:r w:rsidR="00CF760A">
        <w:rPr>
          <w:sz w:val="24"/>
          <w:szCs w:val="24"/>
        </w:rPr>
        <w:t>depending upon market conditions.</w:t>
      </w:r>
    </w:p>
    <w:p w:rsidR="00DD414F" w:rsidRDefault="00F336FD">
      <w:pPr>
        <w:rPr>
          <w:sz w:val="24"/>
          <w:szCs w:val="24"/>
        </w:rPr>
      </w:pPr>
      <w:r>
        <w:rPr>
          <w:sz w:val="24"/>
          <w:szCs w:val="24"/>
        </w:rPr>
        <w:t>On average, t</w:t>
      </w:r>
      <w:r w:rsidR="006B643D">
        <w:rPr>
          <w:sz w:val="24"/>
          <w:szCs w:val="24"/>
        </w:rPr>
        <w:t>here is a significant difference between retail fund fees (1.5%) and industry (not-for-profit) fund fees (0.9%).</w:t>
      </w:r>
      <w:r w:rsidR="007B0075">
        <w:rPr>
          <w:sz w:val="24"/>
          <w:szCs w:val="24"/>
        </w:rPr>
        <w:t xml:space="preserve"> </w:t>
      </w:r>
      <w:r w:rsidR="00051B0F">
        <w:rPr>
          <w:sz w:val="24"/>
          <w:szCs w:val="24"/>
        </w:rPr>
        <w:t>However i</w:t>
      </w:r>
      <w:r w:rsidR="00562149">
        <w:rPr>
          <w:sz w:val="24"/>
          <w:szCs w:val="24"/>
        </w:rPr>
        <w:t xml:space="preserve">nvestment returns are reported net of fees and charges. Therefore comparison of fund </w:t>
      </w:r>
      <w:proofErr w:type="spellStart"/>
      <w:r w:rsidR="00562149">
        <w:rPr>
          <w:sz w:val="24"/>
          <w:szCs w:val="24"/>
        </w:rPr>
        <w:t>MySuper</w:t>
      </w:r>
      <w:proofErr w:type="spellEnd"/>
      <w:r w:rsidR="00562149">
        <w:rPr>
          <w:sz w:val="24"/>
          <w:szCs w:val="24"/>
        </w:rPr>
        <w:t xml:space="preserve"> performance</w:t>
      </w:r>
      <w:r w:rsidR="007B0075">
        <w:rPr>
          <w:sz w:val="24"/>
          <w:szCs w:val="24"/>
        </w:rPr>
        <w:t xml:space="preserve"> </w:t>
      </w:r>
      <w:r w:rsidR="00562149">
        <w:rPr>
          <w:sz w:val="24"/>
          <w:szCs w:val="24"/>
        </w:rPr>
        <w:t xml:space="preserve">includes </w:t>
      </w:r>
      <w:r w:rsidR="00051B0F">
        <w:rPr>
          <w:sz w:val="24"/>
          <w:szCs w:val="24"/>
        </w:rPr>
        <w:t>the impact of fees on</w:t>
      </w:r>
      <w:r w:rsidR="00562149">
        <w:rPr>
          <w:sz w:val="24"/>
          <w:szCs w:val="24"/>
        </w:rPr>
        <w:t xml:space="preserve"> </w:t>
      </w:r>
      <w:r w:rsidR="00BF15B8">
        <w:rPr>
          <w:sz w:val="24"/>
          <w:szCs w:val="24"/>
        </w:rPr>
        <w:t xml:space="preserve">returns and </w:t>
      </w:r>
      <w:r w:rsidR="00051B0F">
        <w:rPr>
          <w:sz w:val="24"/>
          <w:szCs w:val="24"/>
        </w:rPr>
        <w:t>need not be considered separately.</w:t>
      </w:r>
    </w:p>
    <w:p w:rsidR="00884634" w:rsidRDefault="00884634">
      <w:pPr>
        <w:rPr>
          <w:sz w:val="24"/>
          <w:szCs w:val="24"/>
        </w:rPr>
      </w:pPr>
    </w:p>
    <w:p w:rsidR="00323DB5" w:rsidRPr="00E06949" w:rsidRDefault="00E06949">
      <w:pPr>
        <w:rPr>
          <w:sz w:val="28"/>
          <w:szCs w:val="28"/>
        </w:rPr>
      </w:pPr>
      <w:r w:rsidRPr="00E06949">
        <w:rPr>
          <w:sz w:val="28"/>
          <w:szCs w:val="28"/>
        </w:rPr>
        <w:t>Multiple super accounts</w:t>
      </w:r>
    </w:p>
    <w:p w:rsidR="00CF7F4D" w:rsidRDefault="006424F9">
      <w:pPr>
        <w:rPr>
          <w:sz w:val="24"/>
          <w:szCs w:val="24"/>
        </w:rPr>
      </w:pPr>
      <w:r>
        <w:rPr>
          <w:sz w:val="24"/>
          <w:szCs w:val="24"/>
        </w:rPr>
        <w:t>There are many scenarios where operating more than one super account may be a desirable investment strategy. However there should be a limit (two) on the number of super accounts operated as ‘default’ accounts i.e. not as a result of active choice by the account holder.</w:t>
      </w:r>
      <w:r w:rsidR="00884634">
        <w:rPr>
          <w:sz w:val="24"/>
          <w:szCs w:val="24"/>
        </w:rPr>
        <w:t xml:space="preserve"> </w:t>
      </w:r>
    </w:p>
    <w:p w:rsidR="00685536" w:rsidRDefault="00685536">
      <w:pPr>
        <w:rPr>
          <w:sz w:val="28"/>
          <w:szCs w:val="28"/>
        </w:rPr>
      </w:pPr>
    </w:p>
    <w:p w:rsidR="006B3E93" w:rsidRPr="00884634" w:rsidRDefault="00884634">
      <w:pPr>
        <w:rPr>
          <w:sz w:val="28"/>
          <w:szCs w:val="28"/>
        </w:rPr>
      </w:pPr>
      <w:r w:rsidRPr="00884634">
        <w:rPr>
          <w:sz w:val="28"/>
          <w:szCs w:val="28"/>
        </w:rPr>
        <w:lastRenderedPageBreak/>
        <w:t>Insurance</w:t>
      </w:r>
    </w:p>
    <w:p w:rsidR="006B3E93" w:rsidRDefault="00685536">
      <w:pPr>
        <w:rPr>
          <w:sz w:val="24"/>
          <w:szCs w:val="24"/>
        </w:rPr>
      </w:pPr>
      <w:r>
        <w:rPr>
          <w:sz w:val="24"/>
          <w:szCs w:val="24"/>
        </w:rPr>
        <w:t>Any insurance offered by superannuation providers should be available on an opt-in basis</w:t>
      </w:r>
      <w:r w:rsidR="00F74B55">
        <w:rPr>
          <w:sz w:val="24"/>
          <w:szCs w:val="24"/>
        </w:rPr>
        <w:t xml:space="preserve"> only</w:t>
      </w:r>
      <w:r w:rsidR="00116C53">
        <w:rPr>
          <w:sz w:val="24"/>
          <w:szCs w:val="24"/>
        </w:rPr>
        <w:t>, regardless of the age of the account holder</w:t>
      </w:r>
      <w:r>
        <w:rPr>
          <w:sz w:val="24"/>
          <w:szCs w:val="24"/>
        </w:rPr>
        <w:t>. The premiums for insurance purchased via a super fund should be paid separately by the account holder – not deducted from the superannuation account balance!</w:t>
      </w:r>
    </w:p>
    <w:p w:rsidR="00685536" w:rsidRDefault="00685536">
      <w:pPr>
        <w:rPr>
          <w:sz w:val="24"/>
          <w:szCs w:val="24"/>
        </w:rPr>
      </w:pPr>
    </w:p>
    <w:p w:rsidR="00F74B55" w:rsidRPr="007D4253" w:rsidRDefault="007D4253">
      <w:pPr>
        <w:rPr>
          <w:sz w:val="28"/>
          <w:szCs w:val="28"/>
        </w:rPr>
      </w:pPr>
      <w:r w:rsidRPr="007D4253">
        <w:rPr>
          <w:sz w:val="28"/>
          <w:szCs w:val="28"/>
        </w:rPr>
        <w:t>Improving the super system</w:t>
      </w:r>
    </w:p>
    <w:p w:rsidR="00685536" w:rsidRDefault="00BF15B8">
      <w:pPr>
        <w:rPr>
          <w:sz w:val="24"/>
          <w:szCs w:val="24"/>
        </w:rPr>
      </w:pPr>
      <w:r>
        <w:rPr>
          <w:sz w:val="24"/>
          <w:szCs w:val="24"/>
        </w:rPr>
        <w:t>Elements of an improved system to benefit</w:t>
      </w:r>
      <w:r w:rsidR="007D4253">
        <w:rPr>
          <w:sz w:val="24"/>
          <w:szCs w:val="24"/>
        </w:rPr>
        <w:t xml:space="preserve"> Australian</w:t>
      </w:r>
      <w:r>
        <w:rPr>
          <w:sz w:val="24"/>
          <w:szCs w:val="24"/>
        </w:rPr>
        <w:t xml:space="preserve"> account holders</w:t>
      </w:r>
      <w:r w:rsidR="007D4253">
        <w:rPr>
          <w:sz w:val="24"/>
          <w:szCs w:val="24"/>
        </w:rPr>
        <w:t xml:space="preserve"> </w:t>
      </w:r>
      <w:r w:rsidR="0074277E">
        <w:rPr>
          <w:sz w:val="24"/>
          <w:szCs w:val="24"/>
        </w:rPr>
        <w:t>should</w:t>
      </w:r>
      <w:r w:rsidR="007D4253">
        <w:rPr>
          <w:sz w:val="24"/>
          <w:szCs w:val="24"/>
        </w:rPr>
        <w:t xml:space="preserve"> include;</w:t>
      </w:r>
    </w:p>
    <w:p w:rsidR="003F6E30" w:rsidRDefault="00BF15B8">
      <w:pPr>
        <w:rPr>
          <w:sz w:val="24"/>
          <w:szCs w:val="24"/>
        </w:rPr>
      </w:pPr>
      <w:r>
        <w:rPr>
          <w:sz w:val="24"/>
          <w:szCs w:val="24"/>
        </w:rPr>
        <w:t xml:space="preserve">Introduction of an online super choice system accessible through the </w:t>
      </w:r>
      <w:proofErr w:type="spellStart"/>
      <w:r>
        <w:rPr>
          <w:sz w:val="24"/>
          <w:szCs w:val="24"/>
        </w:rPr>
        <w:t>myGov</w:t>
      </w:r>
      <w:proofErr w:type="spellEnd"/>
      <w:r>
        <w:rPr>
          <w:sz w:val="24"/>
          <w:szCs w:val="24"/>
        </w:rPr>
        <w:t xml:space="preserve"> website</w:t>
      </w:r>
      <w:r w:rsidR="00DF6333">
        <w:rPr>
          <w:sz w:val="24"/>
          <w:szCs w:val="24"/>
        </w:rPr>
        <w:t xml:space="preserve"> to replace the existing employer based system of fund allocation.</w:t>
      </w:r>
      <w:r w:rsidR="00132441">
        <w:rPr>
          <w:sz w:val="24"/>
          <w:szCs w:val="24"/>
        </w:rPr>
        <w:t xml:space="preserve"> Selection of </w:t>
      </w:r>
      <w:proofErr w:type="spellStart"/>
      <w:r w:rsidR="00132441">
        <w:rPr>
          <w:sz w:val="24"/>
          <w:szCs w:val="24"/>
        </w:rPr>
        <w:t>MySuper</w:t>
      </w:r>
      <w:proofErr w:type="spellEnd"/>
      <w:r w:rsidR="00132441">
        <w:rPr>
          <w:sz w:val="24"/>
          <w:szCs w:val="24"/>
        </w:rPr>
        <w:t xml:space="preserve"> fund, account closures and balance transfers may be initiated through the </w:t>
      </w:r>
      <w:proofErr w:type="spellStart"/>
      <w:r w:rsidR="00132441">
        <w:rPr>
          <w:sz w:val="24"/>
          <w:szCs w:val="24"/>
        </w:rPr>
        <w:t>myGov</w:t>
      </w:r>
      <w:proofErr w:type="spellEnd"/>
      <w:r w:rsidR="00132441">
        <w:rPr>
          <w:sz w:val="24"/>
          <w:szCs w:val="24"/>
        </w:rPr>
        <w:t xml:space="preserve"> portal.</w:t>
      </w:r>
    </w:p>
    <w:p w:rsidR="00282DA3" w:rsidRDefault="005912D9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282DA3">
        <w:rPr>
          <w:sz w:val="24"/>
          <w:szCs w:val="24"/>
        </w:rPr>
        <w:t xml:space="preserve">ultiple accounts should be cleaned up </w:t>
      </w:r>
      <w:r w:rsidR="00F55A6E">
        <w:rPr>
          <w:sz w:val="24"/>
          <w:szCs w:val="24"/>
        </w:rPr>
        <w:t xml:space="preserve">as part of the </w:t>
      </w:r>
      <w:r w:rsidR="00282DA3">
        <w:rPr>
          <w:sz w:val="24"/>
          <w:szCs w:val="24"/>
        </w:rPr>
        <w:t>implementation of a new system.</w:t>
      </w:r>
      <w:r w:rsidR="006A6CF1">
        <w:rPr>
          <w:sz w:val="24"/>
          <w:szCs w:val="24"/>
        </w:rPr>
        <w:t xml:space="preserve"> The account holder TFN </w:t>
      </w:r>
      <w:r w:rsidR="00F55A6E">
        <w:rPr>
          <w:sz w:val="24"/>
          <w:szCs w:val="24"/>
        </w:rPr>
        <w:t>sh</w:t>
      </w:r>
      <w:r w:rsidR="006A6CF1">
        <w:rPr>
          <w:sz w:val="24"/>
          <w:szCs w:val="24"/>
        </w:rPr>
        <w:t>ould display current super accounts</w:t>
      </w:r>
      <w:r w:rsidR="002D61AF">
        <w:rPr>
          <w:sz w:val="24"/>
          <w:szCs w:val="24"/>
        </w:rPr>
        <w:t xml:space="preserve"> and insurance arrangement</w:t>
      </w:r>
      <w:r w:rsidR="001777D9">
        <w:rPr>
          <w:sz w:val="24"/>
          <w:szCs w:val="24"/>
        </w:rPr>
        <w:t>s</w:t>
      </w:r>
      <w:r w:rsidR="002D61AF">
        <w:rPr>
          <w:sz w:val="24"/>
          <w:szCs w:val="24"/>
        </w:rPr>
        <w:t xml:space="preserve"> </w:t>
      </w:r>
      <w:r w:rsidR="006A6CF1">
        <w:rPr>
          <w:sz w:val="24"/>
          <w:szCs w:val="24"/>
        </w:rPr>
        <w:t>which must then be confirmed and rationalised as appropriate.</w:t>
      </w:r>
    </w:p>
    <w:p w:rsidR="00DF6333" w:rsidRDefault="00282DA3">
      <w:pPr>
        <w:rPr>
          <w:sz w:val="24"/>
          <w:szCs w:val="24"/>
        </w:rPr>
      </w:pPr>
      <w:r>
        <w:rPr>
          <w:sz w:val="24"/>
          <w:szCs w:val="24"/>
        </w:rPr>
        <w:t xml:space="preserve">The system would </w:t>
      </w:r>
      <w:r w:rsidR="00A94C30">
        <w:rPr>
          <w:sz w:val="24"/>
          <w:szCs w:val="24"/>
        </w:rPr>
        <w:t>offer</w:t>
      </w:r>
      <w:r>
        <w:rPr>
          <w:sz w:val="24"/>
          <w:szCs w:val="24"/>
        </w:rPr>
        <w:t xml:space="preserve"> a ‘Top 10’ list of </w:t>
      </w: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funds plus access to </w:t>
      </w:r>
      <w:r w:rsidR="00132441">
        <w:rPr>
          <w:sz w:val="24"/>
          <w:szCs w:val="24"/>
        </w:rPr>
        <w:t>a</w:t>
      </w:r>
      <w:r w:rsidR="00A94C30">
        <w:rPr>
          <w:sz w:val="24"/>
          <w:szCs w:val="24"/>
        </w:rPr>
        <w:t xml:space="preserve"> complete list of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funds with performance data.</w:t>
      </w:r>
    </w:p>
    <w:p w:rsidR="00F55A6E" w:rsidRDefault="00F55A6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fund performance (1 year &amp; 10 year) would be reported to the Government and the</w:t>
      </w:r>
      <w:r w:rsidR="00A05C39">
        <w:rPr>
          <w:sz w:val="24"/>
          <w:szCs w:val="24"/>
        </w:rPr>
        <w:t xml:space="preserve"> fund</w:t>
      </w:r>
      <w:r>
        <w:rPr>
          <w:sz w:val="24"/>
          <w:szCs w:val="24"/>
        </w:rPr>
        <w:t xml:space="preserve"> list available to </w:t>
      </w:r>
      <w:r w:rsidR="0014270A">
        <w:rPr>
          <w:sz w:val="24"/>
          <w:szCs w:val="24"/>
        </w:rPr>
        <w:t>super</w:t>
      </w:r>
      <w:r>
        <w:rPr>
          <w:sz w:val="24"/>
          <w:szCs w:val="24"/>
        </w:rPr>
        <w:t xml:space="preserve"> account holders updated annually with this information. Account holders should be able to view both current and long-term investment performance.</w:t>
      </w:r>
    </w:p>
    <w:p w:rsidR="00F55A6E" w:rsidRDefault="0074277E">
      <w:pPr>
        <w:rPr>
          <w:sz w:val="24"/>
          <w:szCs w:val="24"/>
        </w:rPr>
      </w:pPr>
      <w:r>
        <w:rPr>
          <w:sz w:val="24"/>
          <w:szCs w:val="24"/>
        </w:rPr>
        <w:t xml:space="preserve">Initial allocation of a </w:t>
      </w:r>
      <w:proofErr w:type="spellStart"/>
      <w:r>
        <w:rPr>
          <w:sz w:val="24"/>
          <w:szCs w:val="24"/>
        </w:rPr>
        <w:t>MySuper</w:t>
      </w:r>
      <w:proofErr w:type="spellEnd"/>
      <w:r>
        <w:rPr>
          <w:sz w:val="24"/>
          <w:szCs w:val="24"/>
        </w:rPr>
        <w:t xml:space="preserve"> fund by default </w:t>
      </w:r>
      <w:r w:rsidR="003C741D">
        <w:rPr>
          <w:sz w:val="24"/>
          <w:szCs w:val="24"/>
        </w:rPr>
        <w:t>c</w:t>
      </w:r>
      <w:r>
        <w:rPr>
          <w:sz w:val="24"/>
          <w:szCs w:val="24"/>
        </w:rPr>
        <w:t xml:space="preserve">ould be by rotation through the annually revised Top 10 list. Subsequent changes of employment should give the employee an opportunity to review choice of super fund as part of </w:t>
      </w:r>
      <w:r w:rsidR="003C741D">
        <w:rPr>
          <w:sz w:val="24"/>
          <w:szCs w:val="24"/>
        </w:rPr>
        <w:t xml:space="preserve">the </w:t>
      </w:r>
      <w:r>
        <w:rPr>
          <w:sz w:val="24"/>
          <w:szCs w:val="24"/>
        </w:rPr>
        <w:t>commencement process.</w:t>
      </w:r>
    </w:p>
    <w:p w:rsidR="00EE4826" w:rsidRDefault="00EE4826">
      <w:pPr>
        <w:rPr>
          <w:sz w:val="24"/>
          <w:szCs w:val="24"/>
        </w:rPr>
      </w:pPr>
      <w:r>
        <w:rPr>
          <w:sz w:val="24"/>
          <w:szCs w:val="24"/>
        </w:rPr>
        <w:t xml:space="preserve">A super </w:t>
      </w:r>
      <w:r w:rsidR="00F6070C">
        <w:rPr>
          <w:sz w:val="24"/>
          <w:szCs w:val="24"/>
        </w:rPr>
        <w:t xml:space="preserve">fund performance </w:t>
      </w:r>
      <w:r>
        <w:rPr>
          <w:sz w:val="24"/>
          <w:szCs w:val="24"/>
        </w:rPr>
        <w:t xml:space="preserve">benchmark </w:t>
      </w:r>
      <w:r w:rsidR="004911DC">
        <w:rPr>
          <w:sz w:val="24"/>
          <w:szCs w:val="24"/>
        </w:rPr>
        <w:t xml:space="preserve">should be updated </w:t>
      </w:r>
      <w:r w:rsidR="00F6070C">
        <w:rPr>
          <w:sz w:val="24"/>
          <w:szCs w:val="24"/>
        </w:rPr>
        <w:t xml:space="preserve">annually. The benchmark could be calculated using typical </w:t>
      </w:r>
      <w:proofErr w:type="spellStart"/>
      <w:r w:rsidR="00F6070C">
        <w:rPr>
          <w:sz w:val="24"/>
          <w:szCs w:val="24"/>
        </w:rPr>
        <w:t>MySuper</w:t>
      </w:r>
      <w:proofErr w:type="spellEnd"/>
      <w:r w:rsidR="00F6070C">
        <w:rPr>
          <w:sz w:val="24"/>
          <w:szCs w:val="24"/>
        </w:rPr>
        <w:t xml:space="preserve"> asset allocations and returns. Benchmarking of asset classes should also be undertaken. </w:t>
      </w:r>
      <w:r w:rsidR="00EB6007">
        <w:rPr>
          <w:sz w:val="24"/>
          <w:szCs w:val="24"/>
        </w:rPr>
        <w:t>Comparison with share market index returns would be an appropriate means of assessing fund share option performance, which should be bett</w:t>
      </w:r>
      <w:r w:rsidR="0047574F">
        <w:rPr>
          <w:sz w:val="24"/>
          <w:szCs w:val="24"/>
        </w:rPr>
        <w:t>er than the corresponding index return.</w:t>
      </w:r>
    </w:p>
    <w:p w:rsidR="00282DA3" w:rsidRDefault="00223158">
      <w:pPr>
        <w:rPr>
          <w:sz w:val="24"/>
          <w:szCs w:val="24"/>
        </w:rPr>
      </w:pPr>
      <w:r>
        <w:rPr>
          <w:sz w:val="24"/>
          <w:szCs w:val="24"/>
        </w:rPr>
        <w:t>There should</w:t>
      </w:r>
      <w:r w:rsidR="00356759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 standard terminology adopted by super funds to describe investment options and performance.</w:t>
      </w:r>
    </w:p>
    <w:p w:rsidR="00BF15B8" w:rsidRPr="00136858" w:rsidRDefault="0022356B">
      <w:pPr>
        <w:rPr>
          <w:sz w:val="24"/>
          <w:szCs w:val="24"/>
        </w:rPr>
      </w:pPr>
      <w:r>
        <w:rPr>
          <w:sz w:val="24"/>
          <w:szCs w:val="24"/>
        </w:rPr>
        <w:t>Notwithstanding the above, the key to better super outcomes is to improve the engagement of individuals in the super system;   knowledge – choice – returns.</w:t>
      </w:r>
    </w:p>
    <w:sectPr w:rsidR="00BF15B8" w:rsidRPr="00136858" w:rsidSect="0069518A">
      <w:footerReference w:type="default" r:id="rId7"/>
      <w:pgSz w:w="11906" w:h="1683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99" w:rsidRDefault="00A34A99" w:rsidP="0069518A">
      <w:pPr>
        <w:spacing w:after="0" w:line="240" w:lineRule="auto"/>
      </w:pPr>
      <w:r>
        <w:separator/>
      </w:r>
    </w:p>
  </w:endnote>
  <w:endnote w:type="continuationSeparator" w:id="0">
    <w:p w:rsidR="00A34A99" w:rsidRDefault="00A34A99" w:rsidP="0069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18A" w:rsidRDefault="0069518A">
    <w:pPr>
      <w:pStyle w:val="Footer"/>
    </w:pPr>
    <w:r>
      <w:rPr>
        <w:noProof/>
        <w:lang w:eastAsia="en-AU"/>
      </w:rPr>
      <w:drawing>
        <wp:inline distT="0" distB="0" distL="0" distR="0" wp14:anchorId="757854E5" wp14:editId="245DBE65">
          <wp:extent cx="2514600" cy="473951"/>
          <wp:effectExtent l="0" t="0" r="0" b="2540"/>
          <wp:docPr id="1" name="Picture 1" descr="C:\Users\user\Desktop\pete2006\Super\web material\ILuvSup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ete2006\Super\web material\ILuvSup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818" cy="473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17E7">
      <w:t>.com.au</w:t>
    </w:r>
    <w:r w:rsidR="00E61266">
      <w:tab/>
      <w:t>July 2018</w:t>
    </w:r>
  </w:p>
  <w:p w:rsidR="0069518A" w:rsidRDefault="00695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99" w:rsidRDefault="00A34A99" w:rsidP="0069518A">
      <w:pPr>
        <w:spacing w:after="0" w:line="240" w:lineRule="auto"/>
      </w:pPr>
      <w:r>
        <w:separator/>
      </w:r>
    </w:p>
  </w:footnote>
  <w:footnote w:type="continuationSeparator" w:id="0">
    <w:p w:rsidR="00A34A99" w:rsidRDefault="00A34A99" w:rsidP="00695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21"/>
    <w:rsid w:val="00036BD2"/>
    <w:rsid w:val="00051B0F"/>
    <w:rsid w:val="000A7487"/>
    <w:rsid w:val="00116C53"/>
    <w:rsid w:val="00132441"/>
    <w:rsid w:val="00136858"/>
    <w:rsid w:val="0014270A"/>
    <w:rsid w:val="00171B97"/>
    <w:rsid w:val="00174BD1"/>
    <w:rsid w:val="001777D9"/>
    <w:rsid w:val="001B74D9"/>
    <w:rsid w:val="00207897"/>
    <w:rsid w:val="00223158"/>
    <w:rsid w:val="0022356B"/>
    <w:rsid w:val="002465E6"/>
    <w:rsid w:val="002760AC"/>
    <w:rsid w:val="00282DA3"/>
    <w:rsid w:val="002D0C5D"/>
    <w:rsid w:val="002D61AF"/>
    <w:rsid w:val="002E0B15"/>
    <w:rsid w:val="00323DB5"/>
    <w:rsid w:val="00345F29"/>
    <w:rsid w:val="00356759"/>
    <w:rsid w:val="003C741D"/>
    <w:rsid w:val="003F6E30"/>
    <w:rsid w:val="00424BFF"/>
    <w:rsid w:val="00427D75"/>
    <w:rsid w:val="0047574F"/>
    <w:rsid w:val="004911DC"/>
    <w:rsid w:val="004A6CDF"/>
    <w:rsid w:val="00545C51"/>
    <w:rsid w:val="00545DCD"/>
    <w:rsid w:val="00562149"/>
    <w:rsid w:val="00581EC5"/>
    <w:rsid w:val="005912D9"/>
    <w:rsid w:val="005C1DEF"/>
    <w:rsid w:val="005C490F"/>
    <w:rsid w:val="006424F9"/>
    <w:rsid w:val="00663FC3"/>
    <w:rsid w:val="00685536"/>
    <w:rsid w:val="006940D5"/>
    <w:rsid w:val="0069518A"/>
    <w:rsid w:val="006A6CF1"/>
    <w:rsid w:val="006B3E93"/>
    <w:rsid w:val="006B643D"/>
    <w:rsid w:val="006D7E45"/>
    <w:rsid w:val="006F7715"/>
    <w:rsid w:val="0074277E"/>
    <w:rsid w:val="007B0075"/>
    <w:rsid w:val="007D4253"/>
    <w:rsid w:val="007E7881"/>
    <w:rsid w:val="00804FB5"/>
    <w:rsid w:val="00806AB4"/>
    <w:rsid w:val="00842E99"/>
    <w:rsid w:val="00854CBF"/>
    <w:rsid w:val="0085668B"/>
    <w:rsid w:val="00884634"/>
    <w:rsid w:val="008C1D05"/>
    <w:rsid w:val="0095191A"/>
    <w:rsid w:val="00967A93"/>
    <w:rsid w:val="00977921"/>
    <w:rsid w:val="009821FD"/>
    <w:rsid w:val="009A11E9"/>
    <w:rsid w:val="009C47AD"/>
    <w:rsid w:val="00A05C39"/>
    <w:rsid w:val="00A34A99"/>
    <w:rsid w:val="00A711EF"/>
    <w:rsid w:val="00A717E7"/>
    <w:rsid w:val="00A94C30"/>
    <w:rsid w:val="00AF3B88"/>
    <w:rsid w:val="00B3283B"/>
    <w:rsid w:val="00B7031C"/>
    <w:rsid w:val="00B70738"/>
    <w:rsid w:val="00BB6F33"/>
    <w:rsid w:val="00BF15B8"/>
    <w:rsid w:val="00C81207"/>
    <w:rsid w:val="00CF760A"/>
    <w:rsid w:val="00CF7F4D"/>
    <w:rsid w:val="00D1025E"/>
    <w:rsid w:val="00D36795"/>
    <w:rsid w:val="00D54A39"/>
    <w:rsid w:val="00D81268"/>
    <w:rsid w:val="00D93469"/>
    <w:rsid w:val="00DD414F"/>
    <w:rsid w:val="00DF6333"/>
    <w:rsid w:val="00E06949"/>
    <w:rsid w:val="00E1618D"/>
    <w:rsid w:val="00E21313"/>
    <w:rsid w:val="00E411CB"/>
    <w:rsid w:val="00E61266"/>
    <w:rsid w:val="00EB6007"/>
    <w:rsid w:val="00EE4826"/>
    <w:rsid w:val="00EF7E5E"/>
    <w:rsid w:val="00F17852"/>
    <w:rsid w:val="00F336FD"/>
    <w:rsid w:val="00F44964"/>
    <w:rsid w:val="00F50522"/>
    <w:rsid w:val="00F55A6E"/>
    <w:rsid w:val="00F6070C"/>
    <w:rsid w:val="00F74B55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D93E81-A22B-463C-AA01-B0B9E3C6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B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8A"/>
  </w:style>
  <w:style w:type="paragraph" w:styleId="Footer">
    <w:name w:val="footer"/>
    <w:basedOn w:val="Normal"/>
    <w:link w:val="FooterChar"/>
    <w:uiPriority w:val="99"/>
    <w:unhideWhenUsed/>
    <w:rsid w:val="0069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8A"/>
  </w:style>
  <w:style w:type="paragraph" w:styleId="BalloonText">
    <w:name w:val="Balloon Text"/>
    <w:basedOn w:val="Normal"/>
    <w:link w:val="BalloonTextChar"/>
    <w:uiPriority w:val="99"/>
    <w:semiHidden/>
    <w:unhideWhenUsed/>
    <w:rsid w:val="0069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8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5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luvsuper.com.au/share-market-returns-sup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DR133 - iLuvSuper.com.au - Superannuation: Assessing Efficiency and Competitiveness - Public inquiry</vt:lpstr>
    </vt:vector>
  </TitlesOfParts>
  <Company>iLuvSuper.com.au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DR133 - iLuvSuper.com.au - Superannuation: Assessing Efficiency and Competitiveness - Public inquiry</dc:title>
  <dc:creator>iLuvSuper.com.au</dc:creator>
  <cp:lastModifiedBy>Productivity Commission</cp:lastModifiedBy>
  <cp:revision>144</cp:revision>
  <cp:lastPrinted>2018-07-09T02:42:00Z</cp:lastPrinted>
  <dcterms:created xsi:type="dcterms:W3CDTF">2018-07-02T02:22:00Z</dcterms:created>
  <dcterms:modified xsi:type="dcterms:W3CDTF">2018-07-16T04:24:00Z</dcterms:modified>
</cp:coreProperties>
</file>