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EB9" w:rsidRPr="00456006" w:rsidRDefault="00DB19EC" w:rsidP="00820EE4">
      <w:pPr>
        <w:pStyle w:val="Subtitle"/>
        <w:spacing w:before="120"/>
        <w:rPr>
          <w:rFonts w:cs="Arial"/>
          <w:b/>
          <w:i w:val="0"/>
          <w:sz w:val="32"/>
          <w:szCs w:val="32"/>
        </w:rPr>
      </w:pPr>
      <w:bookmarkStart w:id="0" w:name="_GoBack"/>
      <w:bookmarkEnd w:id="0"/>
      <w:r w:rsidRPr="00456006">
        <w:rPr>
          <w:rFonts w:cs="Arial"/>
          <w:b/>
          <w:i w:val="0"/>
          <w:sz w:val="32"/>
          <w:szCs w:val="32"/>
        </w:rPr>
        <w:t>Inquiry</w:t>
      </w:r>
      <w:r w:rsidR="00820EE4" w:rsidRPr="00456006">
        <w:rPr>
          <w:rFonts w:cs="Arial"/>
          <w:b/>
          <w:i w:val="0"/>
          <w:sz w:val="32"/>
          <w:szCs w:val="32"/>
        </w:rPr>
        <w:t xml:space="preserve"> into Human Services: Identifying sectors for reform</w:t>
      </w:r>
    </w:p>
    <w:p w:rsidR="00820EE4" w:rsidRPr="00456006" w:rsidRDefault="00820EE4" w:rsidP="00820EE4">
      <w:pPr>
        <w:rPr>
          <w:rFonts w:cs="Arial"/>
          <w:sz w:val="22"/>
          <w:szCs w:val="22"/>
        </w:rPr>
      </w:pPr>
    </w:p>
    <w:p w:rsidR="00820EE4" w:rsidRPr="00456006" w:rsidRDefault="00820EE4" w:rsidP="00820EE4">
      <w:pPr>
        <w:pStyle w:val="Subtitle"/>
        <w:spacing w:before="120"/>
        <w:rPr>
          <w:rFonts w:cs="Arial"/>
          <w:sz w:val="22"/>
          <w:szCs w:val="22"/>
        </w:rPr>
      </w:pPr>
    </w:p>
    <w:p w:rsidR="00820EE4" w:rsidRPr="00456006" w:rsidRDefault="00820EE4" w:rsidP="00820EE4">
      <w:pPr>
        <w:rPr>
          <w:rFonts w:cs="Arial"/>
          <w:sz w:val="22"/>
          <w:szCs w:val="22"/>
        </w:rPr>
      </w:pPr>
    </w:p>
    <w:p w:rsidR="00820EE4" w:rsidRPr="00456006" w:rsidRDefault="00820EE4" w:rsidP="00820EE4">
      <w:pPr>
        <w:pStyle w:val="Subtitle"/>
        <w:spacing w:before="120"/>
        <w:rPr>
          <w:rFonts w:cs="Arial"/>
          <w:b/>
          <w:i w:val="0"/>
          <w:sz w:val="22"/>
          <w:szCs w:val="22"/>
        </w:rPr>
      </w:pPr>
      <w:r w:rsidRPr="00456006">
        <w:rPr>
          <w:rFonts w:cs="Arial"/>
          <w:b/>
          <w:i w:val="0"/>
          <w:sz w:val="22"/>
          <w:szCs w:val="22"/>
        </w:rPr>
        <w:t>Submission on the Productivity</w:t>
      </w:r>
    </w:p>
    <w:p w:rsidR="001B3EB9" w:rsidRPr="00456006" w:rsidRDefault="00820EE4" w:rsidP="00820EE4">
      <w:pPr>
        <w:pStyle w:val="Subtitle"/>
        <w:spacing w:before="120" w:after="120"/>
        <w:rPr>
          <w:rFonts w:cs="Arial"/>
          <w:b/>
          <w:i w:val="0"/>
          <w:sz w:val="22"/>
          <w:szCs w:val="22"/>
        </w:rPr>
      </w:pPr>
      <w:r w:rsidRPr="00456006">
        <w:rPr>
          <w:rFonts w:cs="Arial"/>
          <w:b/>
          <w:i w:val="0"/>
          <w:sz w:val="22"/>
          <w:szCs w:val="22"/>
        </w:rPr>
        <w:t>Commission’s Issues Paper</w:t>
      </w:r>
    </w:p>
    <w:p w:rsidR="001B3EB9" w:rsidRPr="00456006" w:rsidRDefault="001B3EB9" w:rsidP="00BA6606">
      <w:pPr>
        <w:spacing w:before="120"/>
        <w:rPr>
          <w:rFonts w:cs="Arial"/>
          <w:sz w:val="22"/>
          <w:szCs w:val="22"/>
        </w:rPr>
      </w:pPr>
    </w:p>
    <w:p w:rsidR="00D32CCF" w:rsidRPr="00456006" w:rsidRDefault="00D32CCF" w:rsidP="00BA6606">
      <w:pPr>
        <w:pStyle w:val="Date"/>
        <w:spacing w:before="120" w:after="120"/>
        <w:rPr>
          <w:rFonts w:cs="Arial"/>
          <w:sz w:val="22"/>
          <w:szCs w:val="22"/>
        </w:rPr>
      </w:pPr>
    </w:p>
    <w:p w:rsidR="005037CA" w:rsidRPr="00456006" w:rsidRDefault="00820EE4" w:rsidP="006171AA">
      <w:pPr>
        <w:pStyle w:val="Date"/>
        <w:spacing w:before="120" w:after="120"/>
        <w:rPr>
          <w:rFonts w:cs="Arial"/>
          <w:b/>
          <w:sz w:val="22"/>
          <w:szCs w:val="22"/>
        </w:rPr>
        <w:sectPr w:rsidR="005037CA" w:rsidRPr="00456006" w:rsidSect="005B1281">
          <w:headerReference w:type="default" r:id="rId15"/>
          <w:footerReference w:type="default" r:id="rId16"/>
          <w:headerReference w:type="first" r:id="rId17"/>
          <w:footerReference w:type="first" r:id="rId18"/>
          <w:pgSz w:w="11906" w:h="16838" w:code="9"/>
          <w:pgMar w:top="6804" w:right="2268" w:bottom="2835" w:left="2098" w:header="709" w:footer="1701" w:gutter="0"/>
          <w:cols w:space="708"/>
          <w:docGrid w:linePitch="360"/>
        </w:sectPr>
      </w:pPr>
      <w:r w:rsidRPr="00456006">
        <w:rPr>
          <w:rFonts w:cs="Arial"/>
          <w:b/>
          <w:sz w:val="22"/>
          <w:szCs w:val="22"/>
        </w:rPr>
        <w:t>July 2016</w:t>
      </w:r>
    </w:p>
    <w:p w:rsidR="006171AA" w:rsidRPr="00456006" w:rsidRDefault="006171AA" w:rsidP="006171AA">
      <w:pPr>
        <w:jc w:val="both"/>
        <w:rPr>
          <w:rFonts w:cs="Arial"/>
          <w:b/>
          <w:sz w:val="28"/>
          <w:szCs w:val="28"/>
        </w:rPr>
      </w:pPr>
      <w:r w:rsidRPr="00456006">
        <w:rPr>
          <w:rFonts w:cs="Arial"/>
          <w:b/>
          <w:sz w:val="28"/>
          <w:szCs w:val="28"/>
        </w:rPr>
        <w:lastRenderedPageBreak/>
        <w:t>Introduction</w:t>
      </w:r>
    </w:p>
    <w:p w:rsidR="00456006" w:rsidRPr="00456006" w:rsidRDefault="00456006" w:rsidP="006171AA">
      <w:pPr>
        <w:jc w:val="both"/>
        <w:rPr>
          <w:rFonts w:cs="Arial"/>
          <w:b/>
          <w:sz w:val="22"/>
          <w:szCs w:val="22"/>
        </w:rPr>
      </w:pPr>
    </w:p>
    <w:p w:rsidR="006171AA" w:rsidRPr="00456006" w:rsidRDefault="006171AA" w:rsidP="006171AA">
      <w:pPr>
        <w:jc w:val="both"/>
        <w:rPr>
          <w:rFonts w:cs="Arial"/>
          <w:sz w:val="22"/>
          <w:szCs w:val="22"/>
        </w:rPr>
      </w:pPr>
      <w:r w:rsidRPr="00456006">
        <w:rPr>
          <w:rFonts w:cs="Arial"/>
          <w:sz w:val="22"/>
          <w:szCs w:val="22"/>
        </w:rPr>
        <w:t>The Smith Family welcomes the</w:t>
      </w:r>
      <w:r w:rsidR="00752EFB" w:rsidRPr="00456006">
        <w:rPr>
          <w:rFonts w:cs="Arial"/>
          <w:sz w:val="22"/>
          <w:szCs w:val="22"/>
        </w:rPr>
        <w:t xml:space="preserve"> opportunity to provide comment to </w:t>
      </w:r>
      <w:r w:rsidR="00CD3A88" w:rsidRPr="00456006">
        <w:rPr>
          <w:rFonts w:cs="Arial"/>
          <w:sz w:val="22"/>
          <w:szCs w:val="22"/>
        </w:rPr>
        <w:t>the Productivity</w:t>
      </w:r>
      <w:r w:rsidRPr="00456006">
        <w:rPr>
          <w:rFonts w:cs="Arial"/>
          <w:sz w:val="22"/>
          <w:szCs w:val="22"/>
        </w:rPr>
        <w:t xml:space="preserve"> Commission’s Inquiry into introducing competition and informed user choice into human services. </w:t>
      </w:r>
      <w:r w:rsidR="00752EFB" w:rsidRPr="00456006">
        <w:rPr>
          <w:rFonts w:cs="Arial"/>
          <w:sz w:val="22"/>
          <w:szCs w:val="22"/>
        </w:rPr>
        <w:t xml:space="preserve">We understand that effective and efficient </w:t>
      </w:r>
      <w:r w:rsidRPr="00456006">
        <w:rPr>
          <w:rFonts w:cs="Arial"/>
          <w:sz w:val="22"/>
          <w:szCs w:val="22"/>
        </w:rPr>
        <w:t>human services are critical for ensuring the wellbeing of all Australian and especially th</w:t>
      </w:r>
      <w:r w:rsidR="00713601">
        <w:rPr>
          <w:rFonts w:cs="Arial"/>
          <w:sz w:val="22"/>
          <w:szCs w:val="22"/>
        </w:rPr>
        <w:t>ose who are</w:t>
      </w:r>
      <w:r w:rsidRPr="00456006">
        <w:rPr>
          <w:rFonts w:cs="Arial"/>
          <w:sz w:val="22"/>
          <w:szCs w:val="22"/>
        </w:rPr>
        <w:t xml:space="preserve"> vulnerable and disadvantaged. </w:t>
      </w:r>
    </w:p>
    <w:p w:rsidR="004948F6" w:rsidRPr="00456006" w:rsidRDefault="004948F6" w:rsidP="008C00E6">
      <w:pPr>
        <w:jc w:val="both"/>
        <w:rPr>
          <w:rFonts w:cs="Arial"/>
          <w:sz w:val="22"/>
          <w:szCs w:val="22"/>
        </w:rPr>
      </w:pPr>
      <w:r w:rsidRPr="00456006">
        <w:rPr>
          <w:rFonts w:cs="Arial"/>
          <w:sz w:val="22"/>
          <w:szCs w:val="22"/>
        </w:rPr>
        <w:t>Our</w:t>
      </w:r>
      <w:r w:rsidR="006171AA" w:rsidRPr="00456006">
        <w:rPr>
          <w:rFonts w:cs="Arial"/>
          <w:sz w:val="22"/>
          <w:szCs w:val="22"/>
        </w:rPr>
        <w:t xml:space="preserve"> comments in this submission relate particularly to The Smith Family’s experience in implementing large scale prevention and early interve</w:t>
      </w:r>
      <w:r w:rsidR="00752EFB" w:rsidRPr="00456006">
        <w:rPr>
          <w:rFonts w:cs="Arial"/>
          <w:sz w:val="22"/>
          <w:szCs w:val="22"/>
        </w:rPr>
        <w:t>ntion community programs to support improved outcomes for children and young people growing up in poverty and for whom the risk of</w:t>
      </w:r>
      <w:r w:rsidRPr="00456006">
        <w:rPr>
          <w:rFonts w:cs="Arial"/>
          <w:sz w:val="22"/>
          <w:szCs w:val="22"/>
        </w:rPr>
        <w:t xml:space="preserve"> transmission </w:t>
      </w:r>
      <w:r w:rsidR="00CD3A88" w:rsidRPr="00456006">
        <w:rPr>
          <w:rFonts w:cs="Arial"/>
          <w:sz w:val="22"/>
          <w:szCs w:val="22"/>
        </w:rPr>
        <w:t>of intergenerational</w:t>
      </w:r>
      <w:r w:rsidR="00752EFB" w:rsidRPr="00456006">
        <w:rPr>
          <w:rFonts w:cs="Arial"/>
          <w:sz w:val="22"/>
          <w:szCs w:val="22"/>
        </w:rPr>
        <w:t xml:space="preserve"> poverty is high.  </w:t>
      </w:r>
      <w:r w:rsidRPr="00456006">
        <w:rPr>
          <w:rFonts w:cs="Arial"/>
          <w:sz w:val="22"/>
          <w:szCs w:val="22"/>
        </w:rPr>
        <w:t>Our views are informed by o</w:t>
      </w:r>
      <w:r w:rsidR="006171AA" w:rsidRPr="00456006">
        <w:rPr>
          <w:rFonts w:cs="Arial"/>
          <w:sz w:val="22"/>
          <w:szCs w:val="22"/>
        </w:rPr>
        <w:t xml:space="preserve">ur experience as </w:t>
      </w:r>
      <w:r w:rsidR="00752EFB" w:rsidRPr="00456006">
        <w:rPr>
          <w:rFonts w:cs="Arial"/>
          <w:sz w:val="22"/>
          <w:szCs w:val="22"/>
        </w:rPr>
        <w:t xml:space="preserve">an organisation that raises the majority of our funds through fundraising efforts </w:t>
      </w:r>
      <w:r w:rsidR="006171AA" w:rsidRPr="00456006">
        <w:rPr>
          <w:rFonts w:cs="Arial"/>
          <w:sz w:val="22"/>
          <w:szCs w:val="22"/>
        </w:rPr>
        <w:t>a</w:t>
      </w:r>
      <w:r w:rsidRPr="00456006">
        <w:rPr>
          <w:rFonts w:cs="Arial"/>
          <w:sz w:val="22"/>
          <w:szCs w:val="22"/>
        </w:rPr>
        <w:t xml:space="preserve">s well as being </w:t>
      </w:r>
      <w:r w:rsidR="00CD3A88" w:rsidRPr="00456006">
        <w:rPr>
          <w:rFonts w:cs="Arial"/>
          <w:sz w:val="22"/>
          <w:szCs w:val="22"/>
        </w:rPr>
        <w:t>a funding</w:t>
      </w:r>
      <w:r w:rsidR="006171AA" w:rsidRPr="00456006">
        <w:rPr>
          <w:rFonts w:cs="Arial"/>
          <w:sz w:val="22"/>
          <w:szCs w:val="22"/>
        </w:rPr>
        <w:t xml:space="preserve"> recipient from Government (various jurisdictions)</w:t>
      </w:r>
      <w:r w:rsidRPr="00456006">
        <w:rPr>
          <w:rFonts w:cs="Arial"/>
          <w:sz w:val="22"/>
          <w:szCs w:val="22"/>
        </w:rPr>
        <w:t>.</w:t>
      </w:r>
    </w:p>
    <w:p w:rsidR="004948F6" w:rsidRPr="00456006" w:rsidRDefault="004948F6" w:rsidP="008C00E6">
      <w:pPr>
        <w:jc w:val="both"/>
        <w:rPr>
          <w:rFonts w:cs="Arial"/>
          <w:sz w:val="22"/>
          <w:szCs w:val="22"/>
        </w:rPr>
      </w:pPr>
    </w:p>
    <w:p w:rsidR="008C00E6" w:rsidRPr="00456006" w:rsidRDefault="004948F6" w:rsidP="008C00E6">
      <w:pPr>
        <w:jc w:val="both"/>
        <w:rPr>
          <w:rFonts w:cs="Arial"/>
          <w:b/>
          <w:sz w:val="28"/>
          <w:szCs w:val="28"/>
        </w:rPr>
      </w:pPr>
      <w:r w:rsidRPr="00456006">
        <w:rPr>
          <w:rFonts w:cs="Arial"/>
          <w:b/>
          <w:sz w:val="28"/>
          <w:szCs w:val="28"/>
        </w:rPr>
        <w:t xml:space="preserve">About </w:t>
      </w:r>
      <w:r w:rsidR="008C00E6" w:rsidRPr="00456006">
        <w:rPr>
          <w:rFonts w:cs="Arial"/>
          <w:b/>
          <w:sz w:val="28"/>
          <w:szCs w:val="28"/>
        </w:rPr>
        <w:t xml:space="preserve">The Smith Family </w:t>
      </w:r>
    </w:p>
    <w:p w:rsidR="008C00E6" w:rsidRPr="00456006" w:rsidRDefault="008C00E6" w:rsidP="008C00E6">
      <w:pPr>
        <w:jc w:val="both"/>
        <w:rPr>
          <w:rFonts w:cs="Arial"/>
          <w:sz w:val="22"/>
          <w:szCs w:val="22"/>
        </w:rPr>
      </w:pPr>
      <w:r w:rsidRPr="00456006">
        <w:rPr>
          <w:rFonts w:cs="Arial"/>
          <w:sz w:val="22"/>
          <w:szCs w:val="22"/>
        </w:rPr>
        <w:t xml:space="preserve">The Smith Family is a national non-government organisation with a mission to support the long-term educational participation of disadvantaged young Australians. </w:t>
      </w:r>
      <w:r w:rsidR="004948F6" w:rsidRPr="00456006">
        <w:rPr>
          <w:rFonts w:cs="Arial"/>
          <w:sz w:val="22"/>
          <w:szCs w:val="22"/>
        </w:rPr>
        <w:t xml:space="preserve">We provide </w:t>
      </w:r>
      <w:r w:rsidRPr="00456006">
        <w:rPr>
          <w:rFonts w:cs="Arial"/>
          <w:sz w:val="22"/>
          <w:szCs w:val="22"/>
        </w:rPr>
        <w:t xml:space="preserve">holistic and long-term support from pre-school through primary and secondary school and on to </w:t>
      </w:r>
      <w:r w:rsidR="00CD3A88" w:rsidRPr="00456006">
        <w:rPr>
          <w:rFonts w:cs="Arial"/>
          <w:sz w:val="22"/>
          <w:szCs w:val="22"/>
        </w:rPr>
        <w:t xml:space="preserve">tertiary studies. In 2014/15, our programs </w:t>
      </w:r>
      <w:r w:rsidRPr="00456006">
        <w:rPr>
          <w:rFonts w:cs="Arial"/>
          <w:sz w:val="22"/>
          <w:szCs w:val="22"/>
        </w:rPr>
        <w:t>supported</w:t>
      </w:r>
      <w:r w:rsidR="004948F6" w:rsidRPr="00456006">
        <w:rPr>
          <w:rFonts w:cs="Arial"/>
          <w:sz w:val="22"/>
          <w:szCs w:val="22"/>
        </w:rPr>
        <w:t xml:space="preserve"> almost 125,000</w:t>
      </w:r>
      <w:r w:rsidRPr="00456006">
        <w:rPr>
          <w:rFonts w:cs="Arial"/>
          <w:sz w:val="22"/>
          <w:szCs w:val="22"/>
        </w:rPr>
        <w:t xml:space="preserve"> children, young people and parents/carers nationally. Of these </w:t>
      </w:r>
      <w:r w:rsidR="004948F6" w:rsidRPr="00456006">
        <w:rPr>
          <w:rFonts w:cs="Arial"/>
          <w:sz w:val="22"/>
          <w:szCs w:val="22"/>
        </w:rPr>
        <w:t>34,000</w:t>
      </w:r>
      <w:r w:rsidRPr="00456006">
        <w:rPr>
          <w:rFonts w:cs="Arial"/>
          <w:sz w:val="22"/>
          <w:szCs w:val="22"/>
        </w:rPr>
        <w:t xml:space="preserve"> children and young people received </w:t>
      </w:r>
      <w:r w:rsidR="00CD3A88" w:rsidRPr="00456006">
        <w:rPr>
          <w:rFonts w:cs="Arial"/>
          <w:sz w:val="22"/>
          <w:szCs w:val="22"/>
        </w:rPr>
        <w:t xml:space="preserve">financial </w:t>
      </w:r>
      <w:r w:rsidRPr="00456006">
        <w:rPr>
          <w:rFonts w:cs="Arial"/>
          <w:sz w:val="22"/>
          <w:szCs w:val="22"/>
        </w:rPr>
        <w:t xml:space="preserve">scholarships through the support of individual Australian sponsors and donors. </w:t>
      </w:r>
      <w:r w:rsidR="000C0820" w:rsidRPr="00456006">
        <w:rPr>
          <w:rFonts w:cs="Arial"/>
          <w:sz w:val="22"/>
          <w:szCs w:val="22"/>
        </w:rPr>
        <w:t>We are a recognised partner for</w:t>
      </w:r>
      <w:r w:rsidRPr="00456006">
        <w:rPr>
          <w:rFonts w:cs="Arial"/>
          <w:sz w:val="22"/>
          <w:szCs w:val="22"/>
        </w:rPr>
        <w:t xml:space="preserve"> </w:t>
      </w:r>
      <w:r w:rsidR="000C0820" w:rsidRPr="00456006">
        <w:rPr>
          <w:rFonts w:cs="Arial"/>
          <w:sz w:val="22"/>
          <w:szCs w:val="22"/>
        </w:rPr>
        <w:t>Australian and State Government, especially in delivery of systems capacity building programs and initiatives that support outcomes for children through prevention and early intervention initiatives.</w:t>
      </w:r>
    </w:p>
    <w:p w:rsidR="00664D82" w:rsidRPr="00456006" w:rsidRDefault="000C0820" w:rsidP="006171AA">
      <w:pPr>
        <w:jc w:val="both"/>
        <w:rPr>
          <w:rFonts w:cs="Arial"/>
          <w:sz w:val="22"/>
          <w:szCs w:val="22"/>
        </w:rPr>
      </w:pPr>
      <w:r w:rsidRPr="00456006">
        <w:rPr>
          <w:rFonts w:cs="Arial"/>
          <w:sz w:val="22"/>
          <w:szCs w:val="22"/>
        </w:rPr>
        <w:t xml:space="preserve">The Smith Family is the facilitating partner for nine Communities for Children FP sites funded by </w:t>
      </w:r>
      <w:r w:rsidR="00713601">
        <w:rPr>
          <w:rFonts w:cs="Arial"/>
          <w:sz w:val="22"/>
          <w:szCs w:val="22"/>
        </w:rPr>
        <w:t xml:space="preserve">the </w:t>
      </w:r>
      <w:r w:rsidRPr="00456006">
        <w:rPr>
          <w:rFonts w:cs="Arial"/>
          <w:sz w:val="22"/>
          <w:szCs w:val="22"/>
        </w:rPr>
        <w:t xml:space="preserve">Department of Social Services. In the role of facilitator we </w:t>
      </w:r>
      <w:proofErr w:type="spellStart"/>
      <w:r w:rsidRPr="00456006">
        <w:rPr>
          <w:rFonts w:cs="Arial"/>
          <w:sz w:val="22"/>
          <w:szCs w:val="22"/>
        </w:rPr>
        <w:t>sub-contract</w:t>
      </w:r>
      <w:proofErr w:type="spellEnd"/>
      <w:r w:rsidRPr="00456006">
        <w:rPr>
          <w:rFonts w:cs="Arial"/>
          <w:sz w:val="22"/>
          <w:szCs w:val="22"/>
        </w:rPr>
        <w:t xml:space="preserve"> 70 Community Partners across Australia to deliver a range of place responsive and evidence based programs to improve outcomes for children birth to 12 years. </w:t>
      </w:r>
    </w:p>
    <w:p w:rsidR="000C0820" w:rsidRPr="00456006" w:rsidRDefault="000C0820" w:rsidP="006171AA">
      <w:pPr>
        <w:jc w:val="both"/>
        <w:rPr>
          <w:rFonts w:cs="Arial"/>
          <w:sz w:val="28"/>
          <w:szCs w:val="28"/>
        </w:rPr>
      </w:pPr>
    </w:p>
    <w:p w:rsidR="000C0820" w:rsidRDefault="000C0820" w:rsidP="000C0820">
      <w:pPr>
        <w:rPr>
          <w:rFonts w:cs="Arial"/>
          <w:b/>
          <w:sz w:val="28"/>
          <w:szCs w:val="28"/>
        </w:rPr>
      </w:pPr>
      <w:r w:rsidRPr="00456006">
        <w:rPr>
          <w:rFonts w:cs="Arial"/>
          <w:b/>
          <w:sz w:val="28"/>
          <w:szCs w:val="28"/>
        </w:rPr>
        <w:t>Response to the Inquiry</w:t>
      </w:r>
    </w:p>
    <w:p w:rsidR="007232A4" w:rsidRPr="00456006" w:rsidRDefault="007232A4" w:rsidP="000C0820">
      <w:pPr>
        <w:rPr>
          <w:rFonts w:cs="Arial"/>
          <w:b/>
          <w:sz w:val="28"/>
          <w:szCs w:val="28"/>
        </w:rPr>
      </w:pPr>
    </w:p>
    <w:p w:rsidR="000C0820" w:rsidRPr="00456006" w:rsidRDefault="00456006" w:rsidP="000C0820">
      <w:pPr>
        <w:rPr>
          <w:rFonts w:cs="Arial"/>
          <w:sz w:val="22"/>
          <w:szCs w:val="22"/>
        </w:rPr>
      </w:pPr>
      <w:r>
        <w:rPr>
          <w:rFonts w:cs="Arial"/>
          <w:sz w:val="22"/>
          <w:szCs w:val="22"/>
        </w:rPr>
        <w:t>Our comments below are drawn from</w:t>
      </w:r>
      <w:r w:rsidR="000C0820" w:rsidRPr="00456006">
        <w:rPr>
          <w:rFonts w:cs="Arial"/>
          <w:sz w:val="22"/>
          <w:szCs w:val="22"/>
        </w:rPr>
        <w:t xml:space="preserve"> our experience and learnings as: </w:t>
      </w:r>
    </w:p>
    <w:p w:rsidR="000C0820" w:rsidRPr="00456006" w:rsidRDefault="004948F6" w:rsidP="000C0820">
      <w:pPr>
        <w:pStyle w:val="ListParagraph"/>
        <w:numPr>
          <w:ilvl w:val="0"/>
          <w:numId w:val="22"/>
        </w:numPr>
        <w:rPr>
          <w:rFonts w:cs="Arial"/>
          <w:sz w:val="22"/>
          <w:szCs w:val="22"/>
        </w:rPr>
      </w:pPr>
      <w:r w:rsidRPr="00456006">
        <w:rPr>
          <w:rFonts w:cs="Arial"/>
          <w:sz w:val="22"/>
          <w:szCs w:val="22"/>
        </w:rPr>
        <w:t>a fund raising o</w:t>
      </w:r>
      <w:r w:rsidR="000C0820" w:rsidRPr="00456006">
        <w:rPr>
          <w:rFonts w:cs="Arial"/>
          <w:sz w:val="22"/>
          <w:szCs w:val="22"/>
        </w:rPr>
        <w:t>rganisation accountable to the Australian public</w:t>
      </w:r>
      <w:r w:rsidRPr="00456006">
        <w:rPr>
          <w:rFonts w:cs="Arial"/>
          <w:sz w:val="22"/>
          <w:szCs w:val="22"/>
        </w:rPr>
        <w:t xml:space="preserve"> who generously support our work</w:t>
      </w:r>
    </w:p>
    <w:p w:rsidR="000C0820" w:rsidRPr="00456006" w:rsidRDefault="000C0820" w:rsidP="000C0820">
      <w:pPr>
        <w:pStyle w:val="ListParagraph"/>
        <w:numPr>
          <w:ilvl w:val="0"/>
          <w:numId w:val="22"/>
        </w:numPr>
        <w:rPr>
          <w:rFonts w:cs="Arial"/>
          <w:sz w:val="22"/>
          <w:szCs w:val="22"/>
        </w:rPr>
      </w:pPr>
      <w:r w:rsidRPr="00456006">
        <w:rPr>
          <w:rFonts w:cs="Arial"/>
          <w:sz w:val="22"/>
          <w:szCs w:val="22"/>
        </w:rPr>
        <w:t>a funder of human services w</w:t>
      </w:r>
      <w:r w:rsidR="004948F6" w:rsidRPr="00456006">
        <w:rPr>
          <w:rFonts w:cs="Arial"/>
          <w:sz w:val="22"/>
          <w:szCs w:val="22"/>
        </w:rPr>
        <w:t xml:space="preserve">ithin the Not for Profit sector; and </w:t>
      </w:r>
    </w:p>
    <w:p w:rsidR="000C0820" w:rsidRPr="00456006" w:rsidRDefault="000C0820" w:rsidP="000C0820">
      <w:pPr>
        <w:pStyle w:val="ListParagraph"/>
        <w:numPr>
          <w:ilvl w:val="0"/>
          <w:numId w:val="22"/>
        </w:numPr>
        <w:rPr>
          <w:rFonts w:cs="Arial"/>
          <w:sz w:val="22"/>
          <w:szCs w:val="22"/>
        </w:rPr>
      </w:pPr>
      <w:r w:rsidRPr="00456006">
        <w:rPr>
          <w:rFonts w:cs="Arial"/>
          <w:sz w:val="22"/>
          <w:szCs w:val="22"/>
        </w:rPr>
        <w:t>a grant recip</w:t>
      </w:r>
      <w:r w:rsidR="004948F6" w:rsidRPr="00456006">
        <w:rPr>
          <w:rFonts w:cs="Arial"/>
          <w:sz w:val="22"/>
          <w:szCs w:val="22"/>
        </w:rPr>
        <w:t xml:space="preserve">ient of multi-year programmes through the </w:t>
      </w:r>
      <w:r w:rsidRPr="00456006">
        <w:rPr>
          <w:rFonts w:cs="Arial"/>
          <w:sz w:val="22"/>
          <w:szCs w:val="22"/>
        </w:rPr>
        <w:t xml:space="preserve"> Australian and </w:t>
      </w:r>
      <w:r w:rsidR="004948F6" w:rsidRPr="00456006">
        <w:rPr>
          <w:rFonts w:cs="Arial"/>
          <w:sz w:val="22"/>
          <w:szCs w:val="22"/>
        </w:rPr>
        <w:t xml:space="preserve"> some </w:t>
      </w:r>
      <w:r w:rsidRPr="00456006">
        <w:rPr>
          <w:rFonts w:cs="Arial"/>
          <w:sz w:val="22"/>
          <w:szCs w:val="22"/>
        </w:rPr>
        <w:t>State Government</w:t>
      </w:r>
      <w:r w:rsidR="004948F6" w:rsidRPr="00456006">
        <w:rPr>
          <w:rFonts w:cs="Arial"/>
          <w:sz w:val="22"/>
          <w:szCs w:val="22"/>
        </w:rPr>
        <w:t>s</w:t>
      </w:r>
    </w:p>
    <w:p w:rsidR="000C0820" w:rsidRPr="00456006" w:rsidRDefault="000C0820" w:rsidP="000C0820">
      <w:pPr>
        <w:rPr>
          <w:rFonts w:cs="Arial"/>
          <w:sz w:val="22"/>
          <w:szCs w:val="22"/>
        </w:rPr>
      </w:pPr>
      <w:r w:rsidRPr="00456006">
        <w:rPr>
          <w:rFonts w:cs="Arial"/>
          <w:sz w:val="22"/>
          <w:szCs w:val="22"/>
        </w:rPr>
        <w:t xml:space="preserve">Our response to the first stage of the Inquiry is framed around the three key review points of: Competition, Contestability and Informed User Choice. </w:t>
      </w:r>
    </w:p>
    <w:p w:rsidR="00601A44" w:rsidRPr="00456006" w:rsidRDefault="00601A44" w:rsidP="00664D82">
      <w:pPr>
        <w:jc w:val="both"/>
        <w:rPr>
          <w:rFonts w:cs="Arial"/>
          <w:sz w:val="22"/>
          <w:szCs w:val="22"/>
        </w:rPr>
      </w:pPr>
    </w:p>
    <w:p w:rsidR="00456006" w:rsidRDefault="00456006" w:rsidP="00664D82">
      <w:pPr>
        <w:jc w:val="both"/>
        <w:rPr>
          <w:rFonts w:cs="Arial"/>
          <w:b/>
          <w:sz w:val="22"/>
          <w:szCs w:val="22"/>
        </w:rPr>
      </w:pPr>
    </w:p>
    <w:p w:rsidR="007232A4" w:rsidRDefault="001D5908" w:rsidP="00664D82">
      <w:pPr>
        <w:jc w:val="both"/>
        <w:rPr>
          <w:rFonts w:cs="Arial"/>
          <w:b/>
          <w:sz w:val="28"/>
          <w:szCs w:val="28"/>
        </w:rPr>
      </w:pPr>
      <w:r w:rsidRPr="00456006">
        <w:rPr>
          <w:rFonts w:cs="Arial"/>
          <w:b/>
          <w:sz w:val="28"/>
          <w:szCs w:val="28"/>
        </w:rPr>
        <w:t>Competition</w:t>
      </w:r>
    </w:p>
    <w:p w:rsidR="001D5908" w:rsidRPr="00456006" w:rsidRDefault="001D5908" w:rsidP="00664D82">
      <w:pPr>
        <w:jc w:val="both"/>
        <w:rPr>
          <w:rFonts w:cs="Arial"/>
          <w:b/>
          <w:sz w:val="28"/>
          <w:szCs w:val="28"/>
        </w:rPr>
      </w:pPr>
      <w:r w:rsidRPr="00456006">
        <w:rPr>
          <w:rFonts w:cs="Arial"/>
          <w:b/>
          <w:sz w:val="28"/>
          <w:szCs w:val="28"/>
        </w:rPr>
        <w:t xml:space="preserve"> </w:t>
      </w:r>
    </w:p>
    <w:p w:rsidR="00D575E7" w:rsidRPr="00456006" w:rsidRDefault="00D575E7" w:rsidP="00664D82">
      <w:pPr>
        <w:jc w:val="both"/>
        <w:rPr>
          <w:rFonts w:cs="Arial"/>
          <w:sz w:val="22"/>
          <w:szCs w:val="22"/>
        </w:rPr>
      </w:pPr>
      <w:r w:rsidRPr="00456006">
        <w:rPr>
          <w:rFonts w:cs="Arial"/>
          <w:sz w:val="22"/>
          <w:szCs w:val="22"/>
        </w:rPr>
        <w:t xml:space="preserve">We note that both universal and targeted </w:t>
      </w:r>
      <w:r w:rsidR="007232A4">
        <w:rPr>
          <w:rFonts w:cs="Arial"/>
          <w:sz w:val="22"/>
          <w:szCs w:val="22"/>
        </w:rPr>
        <w:t>human s</w:t>
      </w:r>
      <w:r w:rsidRPr="00456006">
        <w:rPr>
          <w:rFonts w:cs="Arial"/>
          <w:sz w:val="22"/>
          <w:szCs w:val="22"/>
        </w:rPr>
        <w:t>ervices in Australia are already underpinned by competition policy with user pays approaches well embedded in sectors such as health services provision, childcare and education services.  However, the premise that competition is preferable in all circumstances is yet to be proven and we are co</w:t>
      </w:r>
      <w:r w:rsidR="00424FDC" w:rsidRPr="00456006">
        <w:rPr>
          <w:rFonts w:cs="Arial"/>
          <w:sz w:val="22"/>
          <w:szCs w:val="22"/>
        </w:rPr>
        <w:t xml:space="preserve">ncerned about the potential for further embedding of competition policy to exacerbate a growing divide in access to quality services based on capacity to pay.  We are also concerned that introducing further competition into services targeting vulnerable people will undermine the policy goals that those services have been set up to achieve through the diminution of trust and collaboration among service providers.  </w:t>
      </w:r>
    </w:p>
    <w:p w:rsidR="00DF3ED2" w:rsidRPr="00456006" w:rsidRDefault="008237A5" w:rsidP="00664D82">
      <w:pPr>
        <w:jc w:val="both"/>
        <w:rPr>
          <w:rFonts w:cs="Arial"/>
          <w:sz w:val="22"/>
          <w:szCs w:val="22"/>
        </w:rPr>
      </w:pPr>
      <w:r w:rsidRPr="00456006">
        <w:rPr>
          <w:rFonts w:cs="Arial"/>
          <w:sz w:val="22"/>
          <w:szCs w:val="22"/>
        </w:rPr>
        <w:t xml:space="preserve">There appears to be very little supporting evidence that the introduction of competitive approaches to the human service sector has delivered any long term, meaningful change in outcomes for service users.  </w:t>
      </w:r>
      <w:r w:rsidR="006371C4" w:rsidRPr="00456006">
        <w:rPr>
          <w:rFonts w:cs="Arial"/>
          <w:sz w:val="22"/>
          <w:szCs w:val="22"/>
        </w:rPr>
        <w:t xml:space="preserve">Some of the most mature of these, including Employment services demonstrate </w:t>
      </w:r>
      <w:r w:rsidR="00CD3A88" w:rsidRPr="00456006">
        <w:rPr>
          <w:rFonts w:cs="Arial"/>
          <w:sz w:val="22"/>
          <w:szCs w:val="22"/>
        </w:rPr>
        <w:t xml:space="preserve">an ongoing need </w:t>
      </w:r>
      <w:r w:rsidR="006371C4" w:rsidRPr="00456006">
        <w:rPr>
          <w:rFonts w:cs="Arial"/>
          <w:sz w:val="22"/>
          <w:szCs w:val="22"/>
        </w:rPr>
        <w:t>for regulation to ensure that the most disadvantaged are provided with any level of service</w:t>
      </w:r>
      <w:r w:rsidR="00CD3A88" w:rsidRPr="00456006">
        <w:rPr>
          <w:rFonts w:cs="Arial"/>
          <w:sz w:val="22"/>
          <w:szCs w:val="22"/>
        </w:rPr>
        <w:t>.  Such regulation has the capacity to</w:t>
      </w:r>
      <w:r w:rsidR="006371C4" w:rsidRPr="00456006">
        <w:rPr>
          <w:rFonts w:cs="Arial"/>
          <w:sz w:val="22"/>
          <w:szCs w:val="22"/>
        </w:rPr>
        <w:t xml:space="preserve"> add deep complexity and stifle innovation in the </w:t>
      </w:r>
      <w:r w:rsidR="00CD3A88" w:rsidRPr="00456006">
        <w:rPr>
          <w:rFonts w:cs="Arial"/>
          <w:sz w:val="22"/>
          <w:szCs w:val="22"/>
        </w:rPr>
        <w:t xml:space="preserve">service </w:t>
      </w:r>
      <w:r w:rsidR="006371C4" w:rsidRPr="00456006">
        <w:rPr>
          <w:rFonts w:cs="Arial"/>
          <w:sz w:val="22"/>
          <w:szCs w:val="22"/>
        </w:rPr>
        <w:t>system</w:t>
      </w:r>
      <w:r w:rsidR="00CD3A88" w:rsidRPr="00456006">
        <w:rPr>
          <w:rFonts w:cs="Arial"/>
          <w:sz w:val="22"/>
          <w:szCs w:val="22"/>
        </w:rPr>
        <w:t xml:space="preserve"> with providers heavily </w:t>
      </w:r>
      <w:proofErr w:type="spellStart"/>
      <w:r w:rsidR="00CD3A88" w:rsidRPr="00456006">
        <w:rPr>
          <w:rFonts w:cs="Arial"/>
          <w:sz w:val="22"/>
          <w:szCs w:val="22"/>
        </w:rPr>
        <w:t>focussed</w:t>
      </w:r>
      <w:proofErr w:type="spellEnd"/>
      <w:r w:rsidR="00CD3A88" w:rsidRPr="00456006">
        <w:rPr>
          <w:rFonts w:cs="Arial"/>
          <w:sz w:val="22"/>
          <w:szCs w:val="22"/>
        </w:rPr>
        <w:t xml:space="preserve"> on managing cost rather than achieving outcomes.</w:t>
      </w:r>
      <w:r w:rsidR="006371C4" w:rsidRPr="00456006">
        <w:rPr>
          <w:rFonts w:cs="Arial"/>
          <w:sz w:val="22"/>
          <w:szCs w:val="22"/>
        </w:rPr>
        <w:t xml:space="preserve">  We also point to the recent example of competition in the Vocational Education and Training system where private </w:t>
      </w:r>
      <w:r w:rsidR="00DF3ED2" w:rsidRPr="00456006">
        <w:rPr>
          <w:rFonts w:cs="Arial"/>
          <w:sz w:val="22"/>
          <w:szCs w:val="22"/>
        </w:rPr>
        <w:t>providers</w:t>
      </w:r>
      <w:r w:rsidR="006371C4" w:rsidRPr="00456006">
        <w:rPr>
          <w:rFonts w:cs="Arial"/>
          <w:sz w:val="22"/>
          <w:szCs w:val="22"/>
        </w:rPr>
        <w:t xml:space="preserve"> targeted vulnerable people, with no regard for their capacity to participate in the service being offered or the</w:t>
      </w:r>
      <w:r w:rsidR="00DF3ED2" w:rsidRPr="00456006">
        <w:rPr>
          <w:rFonts w:cs="Arial"/>
          <w:sz w:val="22"/>
          <w:szCs w:val="22"/>
        </w:rPr>
        <w:t xml:space="preserve">ir long term wellbeing. </w:t>
      </w:r>
    </w:p>
    <w:p w:rsidR="00424FDC" w:rsidRPr="00456006" w:rsidRDefault="008237A5" w:rsidP="00664D82">
      <w:pPr>
        <w:jc w:val="both"/>
        <w:rPr>
          <w:rFonts w:cs="Arial"/>
          <w:sz w:val="22"/>
          <w:szCs w:val="22"/>
        </w:rPr>
      </w:pPr>
      <w:r w:rsidRPr="00456006">
        <w:rPr>
          <w:rFonts w:cs="Arial"/>
          <w:sz w:val="22"/>
          <w:szCs w:val="22"/>
        </w:rPr>
        <w:t xml:space="preserve">While the concepts of quality, equity, efficiency, accountability and responsiveness have resonance in terms of desirable attributes of human services, the real test is the extent to which those services are improving the lives of those whom they were established to serve.  </w:t>
      </w:r>
    </w:p>
    <w:p w:rsidR="00DF3ED2" w:rsidRPr="00456006" w:rsidRDefault="008237A5" w:rsidP="006371C4">
      <w:pPr>
        <w:autoSpaceDE w:val="0"/>
        <w:autoSpaceDN w:val="0"/>
        <w:adjustRightInd w:val="0"/>
        <w:spacing w:after="0" w:line="240" w:lineRule="auto"/>
        <w:rPr>
          <w:rFonts w:cs="Arial"/>
          <w:sz w:val="22"/>
          <w:szCs w:val="22"/>
        </w:rPr>
      </w:pPr>
      <w:r w:rsidRPr="00456006">
        <w:rPr>
          <w:rFonts w:cs="Arial"/>
          <w:sz w:val="22"/>
          <w:szCs w:val="22"/>
        </w:rPr>
        <w:t xml:space="preserve">The Smith Family’s experience of delivering services on behalf of government is that the focus of reporting is most often on descriptions of inputs and outputs, including numbers of people serviced and activities undertaken. </w:t>
      </w:r>
      <w:r w:rsidR="006371C4" w:rsidRPr="00456006">
        <w:rPr>
          <w:rFonts w:cs="Arial"/>
          <w:sz w:val="22"/>
          <w:szCs w:val="22"/>
        </w:rPr>
        <w:t>Funding decisions, while underpinned by premises of efficiency and quality should in the end be driven by impact rather than the component parts of program delivery.</w:t>
      </w:r>
    </w:p>
    <w:p w:rsidR="00DF3ED2" w:rsidRPr="00456006" w:rsidRDefault="00DF3ED2" w:rsidP="006371C4">
      <w:pPr>
        <w:autoSpaceDE w:val="0"/>
        <w:autoSpaceDN w:val="0"/>
        <w:adjustRightInd w:val="0"/>
        <w:spacing w:after="0" w:line="240" w:lineRule="auto"/>
        <w:rPr>
          <w:rFonts w:cs="Arial"/>
          <w:sz w:val="22"/>
          <w:szCs w:val="22"/>
        </w:rPr>
      </w:pPr>
    </w:p>
    <w:p w:rsidR="00DF3ED2" w:rsidRPr="00456006" w:rsidRDefault="00DF3ED2" w:rsidP="006371C4">
      <w:pPr>
        <w:autoSpaceDE w:val="0"/>
        <w:autoSpaceDN w:val="0"/>
        <w:adjustRightInd w:val="0"/>
        <w:spacing w:after="0" w:line="240" w:lineRule="auto"/>
        <w:rPr>
          <w:rFonts w:cs="Arial"/>
          <w:sz w:val="22"/>
          <w:szCs w:val="22"/>
        </w:rPr>
      </w:pPr>
      <w:r w:rsidRPr="00456006">
        <w:rPr>
          <w:rFonts w:cs="Arial"/>
          <w:sz w:val="22"/>
          <w:szCs w:val="22"/>
        </w:rPr>
        <w:t xml:space="preserve">Government processes, in particular a lack of inter and intra government co-operation at the policy design stage mean that services targeting complex social issues  are most often </w:t>
      </w:r>
      <w:proofErr w:type="spellStart"/>
      <w:r w:rsidRPr="00456006">
        <w:rPr>
          <w:rFonts w:cs="Arial"/>
          <w:sz w:val="22"/>
          <w:szCs w:val="22"/>
        </w:rPr>
        <w:t>focussed</w:t>
      </w:r>
      <w:proofErr w:type="spellEnd"/>
      <w:r w:rsidRPr="00456006">
        <w:rPr>
          <w:rFonts w:cs="Arial"/>
          <w:sz w:val="22"/>
          <w:szCs w:val="22"/>
        </w:rPr>
        <w:t xml:space="preserve"> on single level, short term issues rather than integrated user-centred and long term approaches.  </w:t>
      </w:r>
      <w:r w:rsidR="007232A4">
        <w:rPr>
          <w:rFonts w:cs="Arial"/>
          <w:sz w:val="22"/>
          <w:szCs w:val="22"/>
        </w:rPr>
        <w:t xml:space="preserve"> </w:t>
      </w:r>
    </w:p>
    <w:p w:rsidR="00134427" w:rsidRPr="00456006" w:rsidRDefault="00134427" w:rsidP="001D5908">
      <w:pPr>
        <w:jc w:val="both"/>
        <w:rPr>
          <w:rFonts w:cs="Arial"/>
          <w:b/>
          <w:sz w:val="22"/>
          <w:szCs w:val="22"/>
        </w:rPr>
      </w:pPr>
    </w:p>
    <w:p w:rsidR="007232A4" w:rsidRDefault="007232A4" w:rsidP="001D5908">
      <w:pPr>
        <w:jc w:val="both"/>
        <w:rPr>
          <w:rFonts w:cs="Arial"/>
          <w:b/>
          <w:sz w:val="28"/>
          <w:szCs w:val="28"/>
        </w:rPr>
      </w:pPr>
    </w:p>
    <w:p w:rsidR="007232A4" w:rsidRDefault="007232A4" w:rsidP="001D5908">
      <w:pPr>
        <w:jc w:val="both"/>
        <w:rPr>
          <w:rFonts w:cs="Arial"/>
          <w:b/>
          <w:sz w:val="28"/>
          <w:szCs w:val="28"/>
        </w:rPr>
      </w:pPr>
    </w:p>
    <w:p w:rsidR="007232A4" w:rsidRDefault="007232A4" w:rsidP="001D5908">
      <w:pPr>
        <w:jc w:val="both"/>
        <w:rPr>
          <w:rFonts w:cs="Arial"/>
          <w:b/>
          <w:sz w:val="28"/>
          <w:szCs w:val="28"/>
        </w:rPr>
      </w:pPr>
    </w:p>
    <w:p w:rsidR="000D4D1B" w:rsidRDefault="000D4D1B" w:rsidP="001D5908">
      <w:pPr>
        <w:jc w:val="both"/>
        <w:rPr>
          <w:rFonts w:cs="Arial"/>
          <w:b/>
          <w:sz w:val="28"/>
          <w:szCs w:val="28"/>
        </w:rPr>
      </w:pPr>
      <w:r w:rsidRPr="007232A4">
        <w:rPr>
          <w:rFonts w:cs="Arial"/>
          <w:b/>
          <w:sz w:val="28"/>
          <w:szCs w:val="28"/>
        </w:rPr>
        <w:lastRenderedPageBreak/>
        <w:t>Contestability</w:t>
      </w:r>
    </w:p>
    <w:p w:rsidR="007232A4" w:rsidRPr="007232A4" w:rsidRDefault="007232A4" w:rsidP="001D5908">
      <w:pPr>
        <w:jc w:val="both"/>
        <w:rPr>
          <w:rFonts w:cs="Arial"/>
          <w:b/>
          <w:sz w:val="28"/>
          <w:szCs w:val="28"/>
        </w:rPr>
      </w:pPr>
    </w:p>
    <w:p w:rsidR="00134427" w:rsidRPr="00456006" w:rsidRDefault="00134427" w:rsidP="001D5908">
      <w:pPr>
        <w:jc w:val="both"/>
        <w:rPr>
          <w:rFonts w:cs="Arial"/>
          <w:sz w:val="22"/>
          <w:szCs w:val="22"/>
        </w:rPr>
      </w:pPr>
      <w:r w:rsidRPr="00456006">
        <w:rPr>
          <w:rFonts w:cs="Arial"/>
          <w:sz w:val="22"/>
          <w:szCs w:val="22"/>
        </w:rPr>
        <w:t xml:space="preserve">The Smith Family believes that competition and contestability can support effective human services delivery, but that care needs to be taken in ensuring that the processes themselves do not undermine the longer term outcomes being sought by </w:t>
      </w:r>
      <w:r w:rsidR="003C5818" w:rsidRPr="00456006">
        <w:rPr>
          <w:rFonts w:cs="Arial"/>
          <w:sz w:val="22"/>
          <w:szCs w:val="22"/>
        </w:rPr>
        <w:t xml:space="preserve">Australian society.  </w:t>
      </w:r>
    </w:p>
    <w:p w:rsidR="003C5818" w:rsidRPr="00456006" w:rsidRDefault="003C5818" w:rsidP="001D5908">
      <w:pPr>
        <w:jc w:val="both"/>
        <w:rPr>
          <w:rFonts w:cs="Arial"/>
          <w:sz w:val="22"/>
          <w:szCs w:val="22"/>
          <w:lang w:val="en"/>
        </w:rPr>
      </w:pPr>
      <w:r w:rsidRPr="00456006">
        <w:rPr>
          <w:rFonts w:cs="Arial"/>
          <w:sz w:val="22"/>
          <w:szCs w:val="22"/>
        </w:rPr>
        <w:t xml:space="preserve">There are good examples of processes which support collaboration and innovation within a contestable environment.  As a Facilitating Partner in the Australian Government’s </w:t>
      </w:r>
      <w:r w:rsidRPr="00456006">
        <w:rPr>
          <w:rFonts w:cs="Arial"/>
          <w:i/>
          <w:sz w:val="22"/>
          <w:szCs w:val="22"/>
        </w:rPr>
        <w:t>Communities for Children</w:t>
      </w:r>
      <w:r w:rsidRPr="00456006">
        <w:rPr>
          <w:rFonts w:cs="Arial"/>
          <w:sz w:val="22"/>
          <w:szCs w:val="22"/>
        </w:rPr>
        <w:t xml:space="preserve"> initiative, The Smith Family </w:t>
      </w:r>
      <w:r w:rsidRPr="00456006">
        <w:rPr>
          <w:rFonts w:cs="Arial"/>
          <w:sz w:val="22"/>
          <w:szCs w:val="22"/>
          <w:lang w:val="en"/>
        </w:rPr>
        <w:t>works in consultation and collaboration with local stakeholders to improve systemic linkages and facilitate programs that help children and their families increase their social connections, improve their education and longer term employment outcomes</w:t>
      </w:r>
      <w:r w:rsidR="009B58F6" w:rsidRPr="00456006">
        <w:rPr>
          <w:rFonts w:cs="Arial"/>
          <w:sz w:val="22"/>
          <w:szCs w:val="22"/>
          <w:lang w:val="en"/>
        </w:rPr>
        <w:t>.  In</w:t>
      </w:r>
      <w:r w:rsidRPr="00456006">
        <w:rPr>
          <w:rFonts w:cs="Arial"/>
          <w:sz w:val="22"/>
          <w:szCs w:val="22"/>
          <w:lang w:val="en"/>
        </w:rPr>
        <w:t xml:space="preserve"> this context processes are underpinned by</w:t>
      </w:r>
      <w:r w:rsidR="007232A4">
        <w:rPr>
          <w:rFonts w:cs="Arial"/>
          <w:sz w:val="22"/>
          <w:szCs w:val="22"/>
          <w:lang w:val="en"/>
        </w:rPr>
        <w:t>:</w:t>
      </w:r>
    </w:p>
    <w:p w:rsidR="003C5818" w:rsidRPr="00456006" w:rsidRDefault="003C5818" w:rsidP="003C5818">
      <w:pPr>
        <w:pStyle w:val="ListParagraph"/>
        <w:numPr>
          <w:ilvl w:val="0"/>
          <w:numId w:val="24"/>
        </w:numPr>
        <w:jc w:val="both"/>
        <w:rPr>
          <w:rFonts w:cs="Arial"/>
          <w:sz w:val="22"/>
          <w:szCs w:val="22"/>
          <w:lang w:val="en"/>
        </w:rPr>
      </w:pPr>
      <w:r w:rsidRPr="00456006">
        <w:rPr>
          <w:rFonts w:cs="Arial"/>
          <w:sz w:val="22"/>
          <w:szCs w:val="22"/>
          <w:lang w:val="en"/>
        </w:rPr>
        <w:t xml:space="preserve">strong governance arrangements involving a broad range of community stakeholders; </w:t>
      </w:r>
    </w:p>
    <w:p w:rsidR="003C5818" w:rsidRPr="00456006" w:rsidRDefault="003C5818" w:rsidP="003C5818">
      <w:pPr>
        <w:pStyle w:val="ListParagraph"/>
        <w:numPr>
          <w:ilvl w:val="0"/>
          <w:numId w:val="24"/>
        </w:numPr>
        <w:jc w:val="both"/>
        <w:rPr>
          <w:rFonts w:cs="Arial"/>
          <w:sz w:val="22"/>
          <w:szCs w:val="22"/>
          <w:lang w:val="en"/>
        </w:rPr>
      </w:pPr>
      <w:r w:rsidRPr="00456006">
        <w:rPr>
          <w:rFonts w:cs="Arial"/>
          <w:sz w:val="22"/>
          <w:szCs w:val="22"/>
          <w:lang w:val="en"/>
        </w:rPr>
        <w:t xml:space="preserve">sector capacity building to ensure small and larger organisations can be represented in service delivery; and </w:t>
      </w:r>
    </w:p>
    <w:p w:rsidR="003C5818" w:rsidRPr="00456006" w:rsidRDefault="003C5818" w:rsidP="003C5818">
      <w:pPr>
        <w:pStyle w:val="ListParagraph"/>
        <w:numPr>
          <w:ilvl w:val="0"/>
          <w:numId w:val="24"/>
        </w:numPr>
        <w:jc w:val="both"/>
        <w:rPr>
          <w:rFonts w:cs="Arial"/>
          <w:sz w:val="22"/>
          <w:szCs w:val="22"/>
          <w:lang w:val="en"/>
        </w:rPr>
      </w:pPr>
      <w:r w:rsidRPr="00456006">
        <w:rPr>
          <w:rFonts w:cs="Arial"/>
          <w:sz w:val="22"/>
          <w:szCs w:val="22"/>
          <w:lang w:val="en"/>
        </w:rPr>
        <w:t xml:space="preserve">fair and transparent sub-contracting arrangements </w:t>
      </w:r>
      <w:r w:rsidR="009B58F6" w:rsidRPr="00456006">
        <w:rPr>
          <w:rFonts w:cs="Arial"/>
          <w:sz w:val="22"/>
          <w:szCs w:val="22"/>
          <w:lang w:val="en"/>
        </w:rPr>
        <w:t xml:space="preserve">including efficient risk based processes.  </w:t>
      </w:r>
    </w:p>
    <w:p w:rsidR="00E11576" w:rsidRPr="00456006" w:rsidRDefault="009B58F6" w:rsidP="009B58F6">
      <w:pPr>
        <w:jc w:val="both"/>
        <w:rPr>
          <w:rFonts w:cs="Arial"/>
          <w:sz w:val="22"/>
          <w:szCs w:val="22"/>
          <w:lang w:val="en"/>
        </w:rPr>
      </w:pPr>
      <w:r w:rsidRPr="00456006">
        <w:rPr>
          <w:rFonts w:cs="Arial"/>
          <w:sz w:val="22"/>
          <w:szCs w:val="22"/>
          <w:lang w:val="en"/>
        </w:rPr>
        <w:t>While the effectiveness of initiatives could be improved with consistent and enhanced focus by government on the policy objectives rather than processes, The Smith Family believes that initiatives such as these have the capacity to supp</w:t>
      </w:r>
      <w:r w:rsidR="00A03D74" w:rsidRPr="00456006">
        <w:rPr>
          <w:rFonts w:cs="Arial"/>
          <w:sz w:val="22"/>
          <w:szCs w:val="22"/>
          <w:lang w:val="en"/>
        </w:rPr>
        <w:t xml:space="preserve">ort improved long term outcomes in disadvantaged communities where complex issues experienced by families cannot be addressed by single service approaches. </w:t>
      </w:r>
    </w:p>
    <w:p w:rsidR="00A03D74" w:rsidRPr="00456006" w:rsidRDefault="00A03D74" w:rsidP="009B58F6">
      <w:pPr>
        <w:jc w:val="both"/>
        <w:rPr>
          <w:rFonts w:cs="Arial"/>
          <w:sz w:val="22"/>
          <w:szCs w:val="22"/>
          <w:lang w:val="en"/>
        </w:rPr>
      </w:pPr>
      <w:r w:rsidRPr="00456006">
        <w:rPr>
          <w:rFonts w:cs="Arial"/>
          <w:sz w:val="22"/>
          <w:szCs w:val="22"/>
          <w:lang w:val="en"/>
        </w:rPr>
        <w:t xml:space="preserve">For example, The Smith Family’s focus is on improving educational outcomes for children and young people growing up in disadvantaged households. Our approach </w:t>
      </w:r>
      <w:proofErr w:type="spellStart"/>
      <w:r w:rsidRPr="00456006">
        <w:rPr>
          <w:rFonts w:cs="Arial"/>
          <w:sz w:val="22"/>
          <w:szCs w:val="22"/>
          <w:lang w:val="en"/>
        </w:rPr>
        <w:t>recognises</w:t>
      </w:r>
      <w:proofErr w:type="spellEnd"/>
      <w:r w:rsidRPr="00456006">
        <w:rPr>
          <w:rFonts w:cs="Arial"/>
          <w:sz w:val="22"/>
          <w:szCs w:val="22"/>
          <w:lang w:val="en"/>
        </w:rPr>
        <w:t xml:space="preserve"> that 60% of the factors relating to educational achievement relate to issues outside the school environment, including home environment and parental </w:t>
      </w:r>
      <w:r w:rsidR="00E11576" w:rsidRPr="00456006">
        <w:rPr>
          <w:rFonts w:cs="Arial"/>
          <w:sz w:val="22"/>
          <w:szCs w:val="22"/>
          <w:lang w:val="en"/>
        </w:rPr>
        <w:t>factors.  A sole focus on the provision of educational services</w:t>
      </w:r>
      <w:r w:rsidR="007232A4">
        <w:rPr>
          <w:rFonts w:cs="Arial"/>
          <w:sz w:val="22"/>
          <w:szCs w:val="22"/>
          <w:lang w:val="en"/>
        </w:rPr>
        <w:t xml:space="preserve">, without regard to addressing the broader issues impacting on the capacity of children to achieve </w:t>
      </w:r>
      <w:r w:rsidR="00E11576" w:rsidRPr="00456006">
        <w:rPr>
          <w:rFonts w:cs="Arial"/>
          <w:sz w:val="22"/>
          <w:szCs w:val="22"/>
          <w:lang w:val="en"/>
        </w:rPr>
        <w:t>would mean that children growing up in low SES households would</w:t>
      </w:r>
      <w:r w:rsidR="007232A4">
        <w:rPr>
          <w:rFonts w:cs="Arial"/>
          <w:sz w:val="22"/>
          <w:szCs w:val="22"/>
          <w:lang w:val="en"/>
        </w:rPr>
        <w:t xml:space="preserve"> be less likely </w:t>
      </w:r>
      <w:r w:rsidR="00E11576" w:rsidRPr="00456006">
        <w:rPr>
          <w:rFonts w:cs="Arial"/>
          <w:sz w:val="22"/>
          <w:szCs w:val="22"/>
          <w:lang w:val="en"/>
        </w:rPr>
        <w:t xml:space="preserve">to reach their educational potential.  </w:t>
      </w:r>
    </w:p>
    <w:p w:rsidR="00134427" w:rsidRDefault="00134427" w:rsidP="00134427">
      <w:pPr>
        <w:autoSpaceDE w:val="0"/>
        <w:autoSpaceDN w:val="0"/>
        <w:adjustRightInd w:val="0"/>
        <w:spacing w:after="0" w:line="240" w:lineRule="auto"/>
        <w:rPr>
          <w:rFonts w:cs="Arial"/>
          <w:sz w:val="22"/>
          <w:szCs w:val="22"/>
        </w:rPr>
      </w:pPr>
      <w:r w:rsidRPr="00456006">
        <w:rPr>
          <w:rFonts w:cs="Arial"/>
          <w:sz w:val="22"/>
          <w:szCs w:val="22"/>
        </w:rPr>
        <w:t xml:space="preserve">As the Productivity Commission’s Issues paper has noted, the potential for services in a geographical area to compete effectively, efficiently and fairly can be mediated by a range of factors including: </w:t>
      </w:r>
    </w:p>
    <w:p w:rsidR="007232A4" w:rsidRPr="00456006" w:rsidRDefault="007232A4" w:rsidP="00134427">
      <w:pPr>
        <w:autoSpaceDE w:val="0"/>
        <w:autoSpaceDN w:val="0"/>
        <w:adjustRightInd w:val="0"/>
        <w:spacing w:after="0" w:line="240" w:lineRule="auto"/>
        <w:rPr>
          <w:rFonts w:cs="Arial"/>
          <w:sz w:val="22"/>
          <w:szCs w:val="22"/>
        </w:rPr>
      </w:pPr>
    </w:p>
    <w:p w:rsidR="00134427" w:rsidRPr="00456006" w:rsidRDefault="00134427" w:rsidP="00134427">
      <w:pPr>
        <w:pStyle w:val="ListParagraph"/>
        <w:numPr>
          <w:ilvl w:val="0"/>
          <w:numId w:val="23"/>
        </w:numPr>
        <w:jc w:val="both"/>
        <w:rPr>
          <w:rFonts w:cs="Arial"/>
          <w:sz w:val="22"/>
          <w:szCs w:val="22"/>
        </w:rPr>
      </w:pPr>
      <w:r w:rsidRPr="00456006">
        <w:rPr>
          <w:rFonts w:cs="Arial"/>
          <w:b/>
          <w:sz w:val="22"/>
          <w:szCs w:val="22"/>
        </w:rPr>
        <w:t xml:space="preserve">existing community infrastructure.  </w:t>
      </w:r>
      <w:r w:rsidRPr="00456006">
        <w:rPr>
          <w:rFonts w:cs="Arial"/>
          <w:sz w:val="22"/>
          <w:szCs w:val="22"/>
        </w:rPr>
        <w:t xml:space="preserve">In many remote and rural areas the limited nature of existing community infrastructure (existing services, qualified staff) means that the cost of service provision is inevitably higher.  Unconstrained competition could further exacerbate inequity of access to services in these communities.  </w:t>
      </w:r>
    </w:p>
    <w:p w:rsidR="00134427" w:rsidRPr="00456006" w:rsidRDefault="00134427" w:rsidP="00134427">
      <w:pPr>
        <w:pStyle w:val="ListParagraph"/>
        <w:numPr>
          <w:ilvl w:val="0"/>
          <w:numId w:val="23"/>
        </w:numPr>
        <w:jc w:val="both"/>
        <w:rPr>
          <w:rFonts w:cs="Arial"/>
          <w:b/>
          <w:sz w:val="22"/>
          <w:szCs w:val="22"/>
        </w:rPr>
      </w:pPr>
      <w:r w:rsidRPr="00456006">
        <w:rPr>
          <w:rFonts w:cs="Arial"/>
          <w:b/>
          <w:sz w:val="22"/>
          <w:szCs w:val="22"/>
        </w:rPr>
        <w:t>differences in size</w:t>
      </w:r>
      <w:r w:rsidR="00E11576" w:rsidRPr="00456006">
        <w:rPr>
          <w:rFonts w:cs="Arial"/>
          <w:b/>
          <w:sz w:val="22"/>
          <w:szCs w:val="22"/>
        </w:rPr>
        <w:t xml:space="preserve"> and capacity </w:t>
      </w:r>
      <w:r w:rsidRPr="00456006">
        <w:rPr>
          <w:rFonts w:cs="Arial"/>
          <w:b/>
          <w:sz w:val="22"/>
          <w:szCs w:val="22"/>
        </w:rPr>
        <w:t>of service providers:</w:t>
      </w:r>
      <w:r w:rsidRPr="00456006">
        <w:rPr>
          <w:rFonts w:cs="Arial"/>
          <w:sz w:val="22"/>
          <w:szCs w:val="22"/>
        </w:rPr>
        <w:t xml:space="preserve"> the human services sector (profit and not for profit) is  characterised by a wide range of organisations ranging from very small and local to large scale providers. </w:t>
      </w:r>
      <w:r w:rsidRPr="00456006">
        <w:rPr>
          <w:rFonts w:cs="Arial"/>
          <w:sz w:val="22"/>
          <w:szCs w:val="22"/>
        </w:rPr>
        <w:lastRenderedPageBreak/>
        <w:t>Larger organisations with higher levels of resources will obviously have an advantage in any competitive process. There is a real  risk of loss of small organisations who often have deep relationships with and access to vulnerable clients</w:t>
      </w:r>
    </w:p>
    <w:p w:rsidR="00A22391" w:rsidRPr="00456006" w:rsidRDefault="00A22391" w:rsidP="00A22391">
      <w:pPr>
        <w:rPr>
          <w:rFonts w:cs="Arial"/>
          <w:sz w:val="22"/>
          <w:szCs w:val="22"/>
        </w:rPr>
      </w:pPr>
    </w:p>
    <w:p w:rsidR="00A22391" w:rsidRDefault="00A22391" w:rsidP="00A22391">
      <w:pPr>
        <w:rPr>
          <w:rFonts w:cs="Arial"/>
          <w:b/>
          <w:sz w:val="28"/>
          <w:szCs w:val="28"/>
        </w:rPr>
      </w:pPr>
      <w:r w:rsidRPr="007232A4">
        <w:rPr>
          <w:rFonts w:cs="Arial"/>
          <w:b/>
          <w:sz w:val="28"/>
          <w:szCs w:val="28"/>
        </w:rPr>
        <w:t>Informed User Choice</w:t>
      </w:r>
    </w:p>
    <w:p w:rsidR="007232A4" w:rsidRPr="007232A4" w:rsidRDefault="007232A4" w:rsidP="00A22391">
      <w:pPr>
        <w:rPr>
          <w:rFonts w:cs="Arial"/>
          <w:b/>
          <w:sz w:val="28"/>
          <w:szCs w:val="28"/>
        </w:rPr>
      </w:pPr>
    </w:p>
    <w:p w:rsidR="00E11576" w:rsidRPr="00456006" w:rsidRDefault="00E11576" w:rsidP="00A22391">
      <w:pPr>
        <w:rPr>
          <w:rFonts w:cs="Arial"/>
          <w:sz w:val="22"/>
          <w:szCs w:val="22"/>
        </w:rPr>
      </w:pPr>
      <w:r w:rsidRPr="00456006">
        <w:rPr>
          <w:rFonts w:cs="Arial"/>
          <w:sz w:val="22"/>
          <w:szCs w:val="22"/>
        </w:rPr>
        <w:t xml:space="preserve">The Smith Family believes </w:t>
      </w:r>
      <w:r w:rsidR="00456006" w:rsidRPr="00456006">
        <w:rPr>
          <w:rFonts w:cs="Arial"/>
          <w:sz w:val="22"/>
          <w:szCs w:val="22"/>
        </w:rPr>
        <w:t xml:space="preserve">that the premise that those with lesser means can </w:t>
      </w:r>
      <w:r w:rsidRPr="00456006">
        <w:rPr>
          <w:rFonts w:cs="Arial"/>
          <w:sz w:val="22"/>
          <w:szCs w:val="22"/>
        </w:rPr>
        <w:t xml:space="preserve">exercise meaningful choice in </w:t>
      </w:r>
      <w:r w:rsidR="007232A4">
        <w:rPr>
          <w:rFonts w:cs="Arial"/>
          <w:sz w:val="22"/>
          <w:szCs w:val="22"/>
        </w:rPr>
        <w:t xml:space="preserve">selection of </w:t>
      </w:r>
      <w:r w:rsidRPr="00456006">
        <w:rPr>
          <w:rFonts w:cs="Arial"/>
          <w:sz w:val="22"/>
          <w:szCs w:val="22"/>
        </w:rPr>
        <w:t>human services</w:t>
      </w:r>
      <w:r w:rsidR="00456006" w:rsidRPr="00456006">
        <w:rPr>
          <w:rFonts w:cs="Arial"/>
          <w:sz w:val="22"/>
          <w:szCs w:val="22"/>
        </w:rPr>
        <w:t xml:space="preserve"> is problematic</w:t>
      </w:r>
      <w:r w:rsidRPr="00456006">
        <w:rPr>
          <w:rFonts w:cs="Arial"/>
          <w:sz w:val="22"/>
          <w:szCs w:val="22"/>
        </w:rPr>
        <w:t xml:space="preserve">.  Those who do not have financial means </w:t>
      </w:r>
      <w:r w:rsidR="00442A47" w:rsidRPr="00456006">
        <w:rPr>
          <w:rFonts w:cs="Arial"/>
          <w:sz w:val="22"/>
          <w:szCs w:val="22"/>
        </w:rPr>
        <w:t>often have to rely on government provided services, or services provided and funded directly by charities through their own fundraising efforts or philanthropy.   In these circumstances, the immediacy of need and availability of services to meet that need are key determining factors rather than choice of service per se.  Additionally, there are many services where participation is a compulsory precondition of ongoing financial or other government support.   For many vulnerable and disadvantaged service users, their capacity to make an informed choice is limited by a range of variables, including:</w:t>
      </w:r>
    </w:p>
    <w:p w:rsidR="00E11576" w:rsidRPr="00456006" w:rsidRDefault="00442A47" w:rsidP="00A22391">
      <w:pPr>
        <w:rPr>
          <w:rFonts w:cs="Arial"/>
          <w:b/>
          <w:sz w:val="22"/>
          <w:szCs w:val="22"/>
        </w:rPr>
      </w:pPr>
      <w:r w:rsidRPr="00456006">
        <w:rPr>
          <w:rFonts w:cs="Arial"/>
          <w:b/>
          <w:sz w:val="22"/>
          <w:szCs w:val="22"/>
        </w:rPr>
        <w:t xml:space="preserve">. </w:t>
      </w:r>
    </w:p>
    <w:p w:rsidR="00A22391" w:rsidRPr="00456006" w:rsidRDefault="00A22391" w:rsidP="00A22391">
      <w:pPr>
        <w:pStyle w:val="ListParagraph"/>
        <w:numPr>
          <w:ilvl w:val="0"/>
          <w:numId w:val="23"/>
        </w:numPr>
        <w:rPr>
          <w:rFonts w:cs="Arial"/>
          <w:b/>
          <w:sz w:val="22"/>
          <w:szCs w:val="22"/>
        </w:rPr>
      </w:pPr>
      <w:r w:rsidRPr="00456006">
        <w:rPr>
          <w:rFonts w:cs="Arial"/>
          <w:b/>
          <w:sz w:val="22"/>
          <w:szCs w:val="22"/>
        </w:rPr>
        <w:t>U</w:t>
      </w:r>
      <w:r w:rsidR="00456006" w:rsidRPr="00456006">
        <w:rPr>
          <w:rFonts w:cs="Arial"/>
          <w:b/>
          <w:sz w:val="22"/>
          <w:szCs w:val="22"/>
        </w:rPr>
        <w:t xml:space="preserve">ser recognition of the ‘solution’: </w:t>
      </w:r>
      <w:r w:rsidRPr="00456006">
        <w:rPr>
          <w:rFonts w:cs="Arial"/>
          <w:b/>
          <w:sz w:val="22"/>
          <w:szCs w:val="22"/>
        </w:rPr>
        <w:t xml:space="preserve"> </w:t>
      </w:r>
      <w:r w:rsidR="00456006" w:rsidRPr="00456006">
        <w:rPr>
          <w:rFonts w:cs="Arial"/>
          <w:sz w:val="22"/>
          <w:szCs w:val="22"/>
        </w:rPr>
        <w:t xml:space="preserve">service users </w:t>
      </w:r>
      <w:r w:rsidR="00713601">
        <w:rPr>
          <w:rFonts w:cs="Arial"/>
          <w:sz w:val="22"/>
          <w:szCs w:val="22"/>
        </w:rPr>
        <w:t xml:space="preserve"> in need of support may not have high levels of understanding of the underpinning reasons for the </w:t>
      </w:r>
      <w:r w:rsidRPr="00456006">
        <w:rPr>
          <w:rFonts w:cs="Arial"/>
          <w:sz w:val="22"/>
          <w:szCs w:val="22"/>
        </w:rPr>
        <w:t>barrier/cha</w:t>
      </w:r>
      <w:r w:rsidR="00713601">
        <w:rPr>
          <w:rFonts w:cs="Arial"/>
          <w:sz w:val="22"/>
          <w:szCs w:val="22"/>
        </w:rPr>
        <w:t>llenging situation they face</w:t>
      </w:r>
      <w:r w:rsidR="00456006" w:rsidRPr="00456006">
        <w:rPr>
          <w:rFonts w:cs="Arial"/>
          <w:sz w:val="22"/>
          <w:szCs w:val="22"/>
        </w:rPr>
        <w:t xml:space="preserve">. They may be unhappy with the manifestation of these issues but </w:t>
      </w:r>
      <w:r w:rsidRPr="00456006">
        <w:rPr>
          <w:rFonts w:cs="Arial"/>
          <w:sz w:val="22"/>
          <w:szCs w:val="22"/>
        </w:rPr>
        <w:t xml:space="preserve">unable to identify the cause of these challenges. In the absence of knowledge and capacity building support services, the ability to make informed choice by the user is severely impacted. </w:t>
      </w:r>
    </w:p>
    <w:p w:rsidR="00A22391" w:rsidRPr="00456006" w:rsidRDefault="00A22391" w:rsidP="00A22391">
      <w:pPr>
        <w:pStyle w:val="ListParagraph"/>
        <w:rPr>
          <w:rFonts w:cs="Arial"/>
          <w:b/>
          <w:sz w:val="22"/>
          <w:szCs w:val="22"/>
        </w:rPr>
      </w:pPr>
    </w:p>
    <w:p w:rsidR="00A22391" w:rsidRPr="00456006" w:rsidRDefault="00456006" w:rsidP="00A22391">
      <w:pPr>
        <w:pStyle w:val="ListParagraph"/>
        <w:numPr>
          <w:ilvl w:val="0"/>
          <w:numId w:val="23"/>
        </w:numPr>
        <w:rPr>
          <w:rFonts w:cs="Arial"/>
          <w:b/>
          <w:sz w:val="22"/>
          <w:szCs w:val="22"/>
        </w:rPr>
      </w:pPr>
      <w:r w:rsidRPr="00456006">
        <w:rPr>
          <w:rFonts w:cs="Arial"/>
          <w:b/>
          <w:sz w:val="22"/>
          <w:szCs w:val="22"/>
        </w:rPr>
        <w:t>Need versus s</w:t>
      </w:r>
      <w:r w:rsidR="00A22391" w:rsidRPr="00456006">
        <w:rPr>
          <w:rFonts w:cs="Arial"/>
          <w:b/>
          <w:sz w:val="22"/>
          <w:szCs w:val="22"/>
        </w:rPr>
        <w:t xml:space="preserve">olution: </w:t>
      </w:r>
      <w:r w:rsidRPr="00456006">
        <w:rPr>
          <w:rFonts w:cs="Arial"/>
          <w:sz w:val="22"/>
          <w:szCs w:val="22"/>
        </w:rPr>
        <w:t>people experiencing challenging life circumstances may</w:t>
      </w:r>
      <w:r w:rsidR="00A22391" w:rsidRPr="00456006">
        <w:rPr>
          <w:rFonts w:cs="Arial"/>
          <w:sz w:val="22"/>
          <w:szCs w:val="22"/>
        </w:rPr>
        <w:t xml:space="preserve"> know that they have a specific need but often find it difficult to know what the solution may be. This has a direct impact on their ability to choose a service. Vulnerable clients struggle with this issue for health services, disability and education services but this matter is more pronounced when the services required are for parenting</w:t>
      </w:r>
      <w:r w:rsidRPr="00456006">
        <w:rPr>
          <w:rFonts w:cs="Arial"/>
          <w:sz w:val="22"/>
          <w:szCs w:val="22"/>
        </w:rPr>
        <w:t xml:space="preserve"> support</w:t>
      </w:r>
      <w:r w:rsidR="00A22391" w:rsidRPr="00456006">
        <w:rPr>
          <w:rFonts w:cs="Arial"/>
          <w:sz w:val="22"/>
          <w:szCs w:val="22"/>
        </w:rPr>
        <w:t>, child development</w:t>
      </w:r>
      <w:r w:rsidRPr="00456006">
        <w:rPr>
          <w:rFonts w:cs="Arial"/>
          <w:sz w:val="22"/>
          <w:szCs w:val="22"/>
        </w:rPr>
        <w:t xml:space="preserve"> etc.</w:t>
      </w:r>
    </w:p>
    <w:p w:rsidR="00A22391" w:rsidRPr="00456006" w:rsidRDefault="00A22391" w:rsidP="00A22391">
      <w:pPr>
        <w:pStyle w:val="ListParagraph"/>
        <w:rPr>
          <w:rFonts w:cs="Arial"/>
          <w:b/>
          <w:sz w:val="22"/>
          <w:szCs w:val="22"/>
        </w:rPr>
      </w:pPr>
    </w:p>
    <w:p w:rsidR="00A22391" w:rsidRPr="00456006" w:rsidRDefault="00635043" w:rsidP="00D4498B">
      <w:pPr>
        <w:pStyle w:val="ListParagraph"/>
        <w:numPr>
          <w:ilvl w:val="0"/>
          <w:numId w:val="23"/>
        </w:numPr>
        <w:rPr>
          <w:rFonts w:cs="Arial"/>
          <w:b/>
          <w:sz w:val="22"/>
          <w:szCs w:val="22"/>
        </w:rPr>
      </w:pPr>
      <w:r w:rsidRPr="00456006">
        <w:rPr>
          <w:rFonts w:cs="Arial"/>
          <w:b/>
          <w:sz w:val="22"/>
          <w:szCs w:val="22"/>
        </w:rPr>
        <w:t xml:space="preserve">Trust and credibility: </w:t>
      </w:r>
      <w:r w:rsidR="00D4498B" w:rsidRPr="00456006">
        <w:rPr>
          <w:rFonts w:cs="Arial"/>
          <w:sz w:val="22"/>
          <w:szCs w:val="22"/>
        </w:rPr>
        <w:t xml:space="preserve">for users of human services, often the most important consideration in service selection is trust in the organisation and the worker who engages with them. A competitive process which changes this dynamic can be difficult for the user to comprehend and </w:t>
      </w:r>
      <w:r w:rsidR="00456006" w:rsidRPr="00456006">
        <w:rPr>
          <w:rFonts w:cs="Arial"/>
          <w:sz w:val="22"/>
          <w:szCs w:val="22"/>
        </w:rPr>
        <w:t>re</w:t>
      </w:r>
      <w:r w:rsidR="00713601">
        <w:rPr>
          <w:rFonts w:cs="Arial"/>
          <w:sz w:val="22"/>
          <w:szCs w:val="22"/>
        </w:rPr>
        <w:t>-</w:t>
      </w:r>
      <w:r w:rsidR="00456006" w:rsidRPr="00456006">
        <w:rPr>
          <w:rFonts w:cs="Arial"/>
          <w:sz w:val="22"/>
          <w:szCs w:val="22"/>
        </w:rPr>
        <w:t>navigating</w:t>
      </w:r>
      <w:r w:rsidR="00D4498B" w:rsidRPr="00456006">
        <w:rPr>
          <w:rFonts w:cs="Arial"/>
          <w:sz w:val="22"/>
          <w:szCs w:val="22"/>
        </w:rPr>
        <w:t xml:space="preserve"> the service system</w:t>
      </w:r>
      <w:r w:rsidR="00456006" w:rsidRPr="00456006">
        <w:rPr>
          <w:rFonts w:cs="Arial"/>
          <w:sz w:val="22"/>
          <w:szCs w:val="22"/>
        </w:rPr>
        <w:t xml:space="preserve"> can be too problematic</w:t>
      </w:r>
      <w:r w:rsidR="00D4498B" w:rsidRPr="00456006">
        <w:rPr>
          <w:rFonts w:cs="Arial"/>
          <w:sz w:val="22"/>
          <w:szCs w:val="22"/>
        </w:rPr>
        <w:t>.</w:t>
      </w:r>
    </w:p>
    <w:p w:rsidR="00D4498B" w:rsidRDefault="00D4498B" w:rsidP="00D4498B">
      <w:pPr>
        <w:pStyle w:val="ListParagraph"/>
        <w:rPr>
          <w:rFonts w:cs="Arial"/>
          <w:b/>
          <w:sz w:val="22"/>
          <w:szCs w:val="22"/>
        </w:rPr>
      </w:pPr>
    </w:p>
    <w:p w:rsidR="007232A4" w:rsidRDefault="007232A4" w:rsidP="00D4498B">
      <w:pPr>
        <w:pStyle w:val="ListParagraph"/>
        <w:rPr>
          <w:rFonts w:cs="Arial"/>
          <w:b/>
          <w:sz w:val="22"/>
          <w:szCs w:val="22"/>
        </w:rPr>
      </w:pPr>
    </w:p>
    <w:p w:rsidR="007232A4" w:rsidRPr="007232A4" w:rsidRDefault="007232A4" w:rsidP="007232A4">
      <w:pPr>
        <w:pStyle w:val="ListParagraph"/>
        <w:ind w:left="0"/>
        <w:jc w:val="both"/>
        <w:rPr>
          <w:rFonts w:cs="Arial"/>
          <w:sz w:val="22"/>
          <w:szCs w:val="22"/>
        </w:rPr>
      </w:pPr>
      <w:r>
        <w:rPr>
          <w:rFonts w:cs="Arial"/>
          <w:sz w:val="22"/>
          <w:szCs w:val="22"/>
        </w:rPr>
        <w:t xml:space="preserve">Current and emerging practice in user-centric program design, where end users of services are involved in co-design processes have the potential to provide users of human services with meaningful input into </w:t>
      </w:r>
      <w:r w:rsidR="007871D0">
        <w:rPr>
          <w:rFonts w:cs="Arial"/>
          <w:sz w:val="22"/>
          <w:szCs w:val="22"/>
        </w:rPr>
        <w:t>the usability and quality of services they receive.  The Smith Family would encourage the Productivity Commission to consider how processes which enable service users to have a real voice in the design of services could be considered an alternate type of user choice.</w:t>
      </w:r>
    </w:p>
    <w:p w:rsidR="007232A4" w:rsidRDefault="007232A4" w:rsidP="00D4498B">
      <w:pPr>
        <w:rPr>
          <w:rFonts w:cs="Arial"/>
          <w:b/>
          <w:sz w:val="22"/>
          <w:szCs w:val="22"/>
        </w:rPr>
      </w:pPr>
    </w:p>
    <w:p w:rsidR="007232A4" w:rsidRDefault="007232A4" w:rsidP="00D4498B">
      <w:pPr>
        <w:rPr>
          <w:rFonts w:cs="Arial"/>
          <w:b/>
          <w:sz w:val="28"/>
          <w:szCs w:val="28"/>
        </w:rPr>
      </w:pPr>
      <w:r w:rsidRPr="007232A4">
        <w:rPr>
          <w:rFonts w:cs="Arial"/>
          <w:b/>
          <w:sz w:val="28"/>
          <w:szCs w:val="28"/>
        </w:rPr>
        <w:t>Conclusion</w:t>
      </w:r>
    </w:p>
    <w:p w:rsidR="007871D0" w:rsidRDefault="007871D0" w:rsidP="00D4498B">
      <w:pPr>
        <w:rPr>
          <w:rFonts w:cs="Arial"/>
          <w:sz w:val="22"/>
          <w:szCs w:val="22"/>
        </w:rPr>
      </w:pPr>
      <w:r>
        <w:rPr>
          <w:rFonts w:cs="Arial"/>
          <w:sz w:val="22"/>
          <w:szCs w:val="22"/>
        </w:rPr>
        <w:t>The Smith Family recognises the need to ensure that the procurement of services provides the Australian public with assurance of effectiveness and efficiency.  We also fully support processes which ensure that new providers can access the human service delivery market and the need to ensure that innovative solutions have the potential to be implemented.</w:t>
      </w:r>
    </w:p>
    <w:p w:rsidR="008374E1" w:rsidRDefault="007871D0" w:rsidP="00D4498B">
      <w:pPr>
        <w:rPr>
          <w:rFonts w:cs="Arial"/>
          <w:sz w:val="22"/>
          <w:szCs w:val="22"/>
        </w:rPr>
      </w:pPr>
      <w:r>
        <w:rPr>
          <w:rFonts w:cs="Arial"/>
          <w:sz w:val="22"/>
          <w:szCs w:val="22"/>
        </w:rPr>
        <w:t xml:space="preserve">However, </w:t>
      </w:r>
      <w:r w:rsidR="008374E1">
        <w:rPr>
          <w:rFonts w:cs="Arial"/>
          <w:sz w:val="22"/>
          <w:szCs w:val="22"/>
        </w:rPr>
        <w:t xml:space="preserve">we note that </w:t>
      </w:r>
      <w:r>
        <w:rPr>
          <w:rFonts w:cs="Arial"/>
          <w:sz w:val="22"/>
          <w:szCs w:val="22"/>
        </w:rPr>
        <w:t>to date there is little evidence that increased competition or contestability has led to improved quality of service delivery, or, more significantly that there is any evidence of improved long term outcomes for vulnerable s</w:t>
      </w:r>
      <w:r w:rsidR="008374E1">
        <w:rPr>
          <w:rFonts w:cs="Arial"/>
          <w:sz w:val="22"/>
          <w:szCs w:val="22"/>
        </w:rPr>
        <w:t>ervice users. We believe that this is at least in part due to a lack of inter and intra government collaboration and cooperation in determining and enacting long term policy goals as opposed to short term program inputs and outputs.</w:t>
      </w:r>
    </w:p>
    <w:p w:rsidR="008374E1" w:rsidRDefault="008374E1" w:rsidP="00D4498B">
      <w:pPr>
        <w:rPr>
          <w:rFonts w:cs="Arial"/>
          <w:sz w:val="22"/>
          <w:szCs w:val="22"/>
        </w:rPr>
      </w:pPr>
      <w:r>
        <w:rPr>
          <w:rFonts w:cs="Arial"/>
          <w:sz w:val="22"/>
          <w:szCs w:val="22"/>
        </w:rPr>
        <w:t xml:space="preserve">We encourage the Productivity Commission to consider that complex and long standing challenges cannot be addressed with siloed service solutions.  We note that there are examples of whole of community approaches which enable competition and collaboration across service systems.  Initiative such as  </w:t>
      </w:r>
      <w:r w:rsidRPr="008374E1">
        <w:rPr>
          <w:rFonts w:cs="Arial"/>
          <w:i/>
          <w:sz w:val="22"/>
          <w:szCs w:val="22"/>
        </w:rPr>
        <w:t>Communities for Children</w:t>
      </w:r>
      <w:r>
        <w:rPr>
          <w:rFonts w:cs="Arial"/>
          <w:sz w:val="22"/>
          <w:szCs w:val="22"/>
        </w:rPr>
        <w:t xml:space="preserve"> can play a role in ensuring that smaller service providers who are often key relationship holders can continue to provide services.</w:t>
      </w:r>
    </w:p>
    <w:p w:rsidR="007232A4" w:rsidRPr="007232A4" w:rsidRDefault="008B6D7F" w:rsidP="00D4498B">
      <w:pPr>
        <w:rPr>
          <w:rFonts w:cs="Arial"/>
          <w:sz w:val="28"/>
          <w:szCs w:val="28"/>
        </w:rPr>
      </w:pPr>
      <w:r>
        <w:rPr>
          <w:rFonts w:cs="Arial"/>
          <w:sz w:val="22"/>
          <w:szCs w:val="22"/>
        </w:rPr>
        <w:t xml:space="preserve">User-centred practice, including design thinking and co-design processes have the potential to provide a degree of choice to service users whose options are often constrained by their capacity to navigate service systems or mandates of government policy. </w:t>
      </w:r>
      <w:r w:rsidR="008374E1" w:rsidRPr="008374E1">
        <w:rPr>
          <w:rFonts w:cs="Arial"/>
          <w:sz w:val="28"/>
          <w:szCs w:val="28"/>
        </w:rPr>
        <w:t xml:space="preserve"> </w:t>
      </w:r>
    </w:p>
    <w:p w:rsidR="007232A4" w:rsidRDefault="007232A4" w:rsidP="00D4498B">
      <w:pPr>
        <w:rPr>
          <w:rFonts w:cs="Arial"/>
          <w:b/>
          <w:sz w:val="22"/>
          <w:szCs w:val="22"/>
        </w:rPr>
      </w:pPr>
    </w:p>
    <w:sectPr w:rsidR="007232A4" w:rsidSect="008B6D7F">
      <w:headerReference w:type="default" r:id="rId19"/>
      <w:footerReference w:type="default" r:id="rId20"/>
      <w:pgSz w:w="11906" w:h="16838" w:code="9"/>
      <w:pgMar w:top="2268" w:right="2126" w:bottom="1985" w:left="1729" w:header="1134"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9A" w:rsidRDefault="00CA329A" w:rsidP="005B1281">
      <w:pPr>
        <w:spacing w:line="240" w:lineRule="auto"/>
      </w:pPr>
      <w:r>
        <w:separator/>
      </w:r>
    </w:p>
  </w:endnote>
  <w:endnote w:type="continuationSeparator" w:id="0">
    <w:p w:rsidR="00CA329A" w:rsidRDefault="00CA329A" w:rsidP="005B1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licious-Roman">
    <w:altName w:val="Times New Roman"/>
    <w:charset w:val="00"/>
    <w:family w:val="auto"/>
    <w:pitch w:val="variable"/>
    <w:sig w:usb0="00000001" w:usb1="40002048"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68"/>
      <w:gridCol w:w="4988"/>
    </w:tblGrid>
    <w:tr w:rsidR="00084BCA" w:rsidRPr="00074133" w:rsidTr="00074133">
      <w:tc>
        <w:tcPr>
          <w:tcW w:w="2768" w:type="dxa"/>
          <w:shd w:val="clear" w:color="auto" w:fill="auto"/>
        </w:tcPr>
        <w:p w:rsidR="00820EE4" w:rsidRDefault="00820EE4" w:rsidP="00074133">
          <w:pPr>
            <w:pStyle w:val="Footer"/>
            <w:spacing w:after="0"/>
          </w:pPr>
          <w:r>
            <w:t>Wendy Field</w:t>
          </w:r>
        </w:p>
        <w:p w:rsidR="00820EE4" w:rsidRDefault="00820EE4" w:rsidP="00074133">
          <w:pPr>
            <w:pStyle w:val="Footer"/>
            <w:spacing w:after="0"/>
          </w:pPr>
          <w:r>
            <w:t>Head of Policy and Program</w:t>
          </w:r>
        </w:p>
        <w:p w:rsidR="00084BCA" w:rsidRPr="00074133" w:rsidRDefault="00084BCA" w:rsidP="00074133">
          <w:pPr>
            <w:pStyle w:val="Footer"/>
            <w:spacing w:after="0"/>
          </w:pPr>
          <w:r w:rsidRPr="00074133">
            <w:t>Level 9, 117 Clarence Street</w:t>
          </w:r>
        </w:p>
        <w:p w:rsidR="00084BCA" w:rsidRPr="00074133" w:rsidRDefault="00084BCA" w:rsidP="00074133">
          <w:pPr>
            <w:pStyle w:val="Footer"/>
            <w:spacing w:after="0"/>
          </w:pPr>
          <w:r w:rsidRPr="00074133">
            <w:t>GPO Box 10500</w:t>
          </w:r>
        </w:p>
        <w:p w:rsidR="00084BCA" w:rsidRPr="00074133" w:rsidRDefault="00084BCA" w:rsidP="00074133">
          <w:pPr>
            <w:pStyle w:val="Footer"/>
            <w:spacing w:after="0"/>
          </w:pPr>
          <w:r w:rsidRPr="00074133">
            <w:t>Sydney NSW 2001</w:t>
          </w:r>
        </w:p>
      </w:tc>
      <w:tc>
        <w:tcPr>
          <w:tcW w:w="4988" w:type="dxa"/>
          <w:shd w:val="clear" w:color="auto" w:fill="auto"/>
        </w:tcPr>
        <w:p w:rsidR="00084BCA" w:rsidRPr="00074133" w:rsidRDefault="00820EE4" w:rsidP="00074133">
          <w:pPr>
            <w:pStyle w:val="Footer"/>
            <w:spacing w:after="0"/>
          </w:pPr>
          <w:r>
            <w:t xml:space="preserve">Phone:  </w:t>
          </w:r>
        </w:p>
        <w:p w:rsidR="00084BCA" w:rsidRPr="00074133" w:rsidRDefault="00820EE4" w:rsidP="00FB7016">
          <w:pPr>
            <w:pStyle w:val="Footer"/>
            <w:spacing w:after="0"/>
          </w:pPr>
          <w:r>
            <w:t xml:space="preserve">Email: </w:t>
          </w:r>
        </w:p>
      </w:tc>
    </w:tr>
  </w:tbl>
  <w:p w:rsidR="00084BCA" w:rsidRDefault="00084BCA" w:rsidP="00185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741557"/>
      <w:docPartObj>
        <w:docPartGallery w:val="Page Numbers (Bottom of Page)"/>
        <w:docPartUnique/>
      </w:docPartObj>
    </w:sdtPr>
    <w:sdtEndPr>
      <w:rPr>
        <w:noProof/>
      </w:rPr>
    </w:sdtEndPr>
    <w:sdtContent>
      <w:p w:rsidR="008B6D7F" w:rsidRDefault="008B6D7F">
        <w:pPr>
          <w:pStyle w:val="Footer"/>
          <w:jc w:val="right"/>
        </w:pPr>
        <w:r>
          <w:fldChar w:fldCharType="begin"/>
        </w:r>
        <w:r>
          <w:instrText xml:space="preserve"> PAGE   \* MERGEFORMAT </w:instrText>
        </w:r>
        <w:r>
          <w:fldChar w:fldCharType="separate"/>
        </w:r>
        <w:r w:rsidR="00A97D1F">
          <w:rPr>
            <w:noProof/>
          </w:rPr>
          <w:t>1</w:t>
        </w:r>
        <w:r>
          <w:rPr>
            <w:noProof/>
          </w:rPr>
          <w:fldChar w:fldCharType="end"/>
        </w:r>
      </w:p>
    </w:sdtContent>
  </w:sdt>
  <w:p w:rsidR="008B6D7F" w:rsidRDefault="008B6D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631758"/>
      <w:docPartObj>
        <w:docPartGallery w:val="Page Numbers (Bottom of Page)"/>
        <w:docPartUnique/>
      </w:docPartObj>
    </w:sdtPr>
    <w:sdtEndPr>
      <w:rPr>
        <w:noProof/>
      </w:rPr>
    </w:sdtEndPr>
    <w:sdtContent>
      <w:p w:rsidR="008B6D7F" w:rsidRDefault="008B6D7F">
        <w:pPr>
          <w:pStyle w:val="Footer"/>
          <w:jc w:val="right"/>
        </w:pPr>
        <w:r>
          <w:fldChar w:fldCharType="begin"/>
        </w:r>
        <w:r>
          <w:instrText xml:space="preserve"> PAGE   \* MERGEFORMAT </w:instrText>
        </w:r>
        <w:r>
          <w:fldChar w:fldCharType="separate"/>
        </w:r>
        <w:r w:rsidR="00A97D1F">
          <w:rPr>
            <w:noProof/>
          </w:rPr>
          <w:t>2</w:t>
        </w:r>
        <w:r>
          <w:rPr>
            <w:noProof/>
          </w:rPr>
          <w:fldChar w:fldCharType="end"/>
        </w:r>
      </w:p>
    </w:sdtContent>
  </w:sdt>
  <w:p w:rsidR="00C47AA6" w:rsidRDefault="00C47AA6" w:rsidP="00185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9A" w:rsidRDefault="00CA329A" w:rsidP="005B1281">
      <w:pPr>
        <w:spacing w:line="240" w:lineRule="auto"/>
      </w:pPr>
      <w:r>
        <w:separator/>
      </w:r>
    </w:p>
  </w:footnote>
  <w:footnote w:type="continuationSeparator" w:id="0">
    <w:p w:rsidR="00CA329A" w:rsidRDefault="00CA329A" w:rsidP="005B12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CA" w:rsidRDefault="008C00E6" w:rsidP="0018590F">
    <w:pPr>
      <w:pStyle w:val="Header"/>
    </w:pPr>
    <w:r w:rsidRPr="008C00E6">
      <w:rPr>
        <w:noProof/>
        <w:lang w:eastAsia="en-AU"/>
      </w:rPr>
      <w:drawing>
        <wp:anchor distT="0" distB="0" distL="114300" distR="114300" simplePos="0" relativeHeight="251662336" behindDoc="1" locked="0" layoutInCell="0" allowOverlap="1" wp14:anchorId="1833514F" wp14:editId="03C30078">
          <wp:simplePos x="0" y="0"/>
          <wp:positionH relativeFrom="page">
            <wp:posOffset>6162675</wp:posOffset>
          </wp:positionH>
          <wp:positionV relativeFrom="page">
            <wp:posOffset>1076324</wp:posOffset>
          </wp:positionV>
          <wp:extent cx="1040431" cy="138112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567" cy="1381306"/>
                  </a:xfrm>
                  <a:prstGeom prst="rect">
                    <a:avLst/>
                  </a:prstGeom>
                  <a:noFill/>
                  <a:ln>
                    <a:noFill/>
                  </a:ln>
                </pic:spPr>
              </pic:pic>
            </a:graphicData>
          </a:graphic>
          <wp14:sizeRelH relativeFrom="page">
            <wp14:pctWidth>0</wp14:pctWidth>
          </wp14:sizeRelH>
          <wp14:sizeRelV relativeFrom="page">
            <wp14:pctHeight>0</wp14:pctHeight>
          </wp14:sizeRelV>
        </wp:anchor>
      </w:drawing>
    </w:r>
    <w:r w:rsidR="00084BCA">
      <w:rPr>
        <w:noProof/>
        <w:lang w:eastAsia="en-AU"/>
      </w:rPr>
      <w:drawing>
        <wp:anchor distT="0" distB="0" distL="114300" distR="114300" simplePos="0" relativeHeight="251651072" behindDoc="1" locked="0" layoutInCell="0" allowOverlap="1" wp14:anchorId="6AF5BAFB" wp14:editId="701322A5">
          <wp:simplePos x="0" y="0"/>
          <wp:positionH relativeFrom="page">
            <wp:align>left</wp:align>
          </wp:positionH>
          <wp:positionV relativeFrom="page">
            <wp:posOffset>-12065</wp:posOffset>
          </wp:positionV>
          <wp:extent cx="7207885" cy="10848975"/>
          <wp:effectExtent l="0" t="0" r="0" b="952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1086" t="890" r="7076"/>
                  <a:stretch>
                    <a:fillRect/>
                  </a:stretch>
                </pic:blipFill>
                <pic:spPr bwMode="auto">
                  <a:xfrm>
                    <a:off x="0" y="0"/>
                    <a:ext cx="7207885" cy="10848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E6" w:rsidRDefault="008C00E6">
    <w:pPr>
      <w:pStyle w:val="Header"/>
    </w:pPr>
    <w:r w:rsidRPr="008C00E6">
      <w:rPr>
        <w:noProof/>
        <w:lang w:eastAsia="en-AU"/>
      </w:rPr>
      <w:drawing>
        <wp:anchor distT="0" distB="0" distL="114300" distR="114300" simplePos="0" relativeHeight="251659264" behindDoc="1" locked="0" layoutInCell="0" allowOverlap="1" wp14:anchorId="292510B3" wp14:editId="0DFE6724">
          <wp:simplePos x="0" y="0"/>
          <wp:positionH relativeFrom="page">
            <wp:posOffset>6704965</wp:posOffset>
          </wp:positionH>
          <wp:positionV relativeFrom="page">
            <wp:posOffset>512445</wp:posOffset>
          </wp:positionV>
          <wp:extent cx="504190" cy="669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0E6">
      <w:rPr>
        <w:noProof/>
        <w:lang w:eastAsia="en-AU"/>
      </w:rPr>
      <mc:AlternateContent>
        <mc:Choice Requires="wps">
          <w:drawing>
            <wp:anchor distT="0" distB="0" distL="114300" distR="114300" simplePos="0" relativeHeight="251660288" behindDoc="0" locked="0" layoutInCell="0" allowOverlap="1" wp14:anchorId="73C787D2" wp14:editId="48B288E3">
              <wp:simplePos x="0" y="0"/>
              <wp:positionH relativeFrom="page">
                <wp:posOffset>872490</wp:posOffset>
              </wp:positionH>
              <wp:positionV relativeFrom="page">
                <wp:posOffset>1232535</wp:posOffset>
              </wp:positionV>
              <wp:extent cx="6299835" cy="0"/>
              <wp:effectExtent l="5715" t="13335" r="9525" b="5715"/>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16145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68.7pt,97.05pt" to="564.7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pTIAIAADYEAAAOAAAAZHJzL2Uyb0RvYy54bWysU02P2jAQvVfqf7B8hyQQWIgIqyqBXrZd&#10;JLY/wNgOserYlm0IqOp/79h8iG0vVdVLMvaMn9+8eV48nzqJjtw6oVWJs2GKEVdUM6H2Jf72th7M&#10;MHKeKEakVrzEZ+7w8/Ljh0VvCj7SrZaMWwQgyhW9KXHrvSmSxNGWd8QNteEKko22HfGwtPuEWdID&#10;eieTUZpOk15bZqym3DnYrS9JvIz4TcOpf20axz2SJQZuPn5t/O7CN1kuSLG3xLSCXmmQf2DREaHg&#10;0jtUTTxBByv+gOoEtdrpxg+p7hLdNILy2AN0k6W/dbNtieGxFxDHmbtM7v/B0q/HjUWClXiMkSId&#10;jGjrLRH71qNKKwUCaouegk69cQWUV2pjQ6f0pLbmRdPvDildtUTteeT7djYAkoUTybsjYeEM3Lbr&#10;v2gGNeTgdRTt1NguQIIc6BRnc77Php88orA5Hc3ns/EEI3rLJaS4HTTW+c9cdygEJZZCBdlIQY4v&#10;zgcipLiVhG2l10LKOHqpUA/g40kaDzgtBQvJUObsfldJi44EzJNNs3yyjl1B5rHM6oNiEazlhK2u&#10;sSdCXmK4XKqAB60AnWt0ccePeTpfzVazfJCPpqtBntb14NO6ygfTdfY0qcd1VdXZz0Aty4tWMMZV&#10;YHdzapb/nROub+bisbtX7zIk79GjXkD29o+k4yzD+C5G2Gl23tjbjMGcsfj6kIL7H9cQPz735S8A&#10;AAD//wMAUEsDBBQABgAIAAAAIQAqoX3S4QAAAAwBAAAPAAAAZHJzL2Rvd25yZXYueG1sTI9BS8NA&#10;EIXvgv9hGcFLsZvEWtuYTRGhUEEQq6jHbXZMgruzIbtt0n/vFAS9zZt58+abYjU6Kw7Yh9aTgnSa&#10;gECqvGmpVvD2ur5agAhRk9HWEyo4YoBVeX5W6Nz4gV7wsI214BAKuVbQxNjlUoaqQafD1HdIPPvy&#10;vdORZV9L0+uBw52VWZLMpdMt8YVGd/jQYPW93TvGOG7c5vH9OT5N5ouPYWI/23Xmlbq8GO/vQEQc&#10;458ZTvi8AyUz7fyeTBCW9fXtjK1cLGcpiJMjzZY3IHa/LVkW8v8T5Q8AAAD//wMAUEsBAi0AFAAG&#10;AAgAAAAhALaDOJL+AAAA4QEAABMAAAAAAAAAAAAAAAAAAAAAAFtDb250ZW50X1R5cGVzXS54bWxQ&#10;SwECLQAUAAYACAAAACEAOP0h/9YAAACUAQAACwAAAAAAAAAAAAAAAAAvAQAAX3JlbHMvLnJlbHNQ&#10;SwECLQAUAAYACAAAACEAulB6UyACAAA2BAAADgAAAAAAAAAAAAAAAAAuAgAAZHJzL2Uyb0RvYy54&#10;bWxQSwECLQAUAAYACAAAACEAKqF90uEAAAAMAQAADwAAAAAAAAAAAAAAAAB6BAAAZHJzL2Rvd25y&#10;ZXYueG1sUEsFBgAAAAAEAAQA8wAAAIgFAAAAAA==&#10;" o:allowincell="f" strokecolor="#16145f" strokeweight=".5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CA" w:rsidRPr="0018590F" w:rsidRDefault="008C00E6" w:rsidP="00FD4228">
    <w:pPr>
      <w:pStyle w:val="Header"/>
      <w:ind w:firstLine="720"/>
    </w:pPr>
    <w:r w:rsidRPr="008C00E6">
      <w:rPr>
        <w:noProof/>
        <w:lang w:eastAsia="en-AU"/>
      </w:rPr>
      <w:drawing>
        <wp:anchor distT="0" distB="0" distL="114300" distR="114300" simplePos="0" relativeHeight="251664384" behindDoc="1" locked="0" layoutInCell="0" allowOverlap="1" wp14:anchorId="2985A680" wp14:editId="07513F44">
          <wp:simplePos x="0" y="0"/>
          <wp:positionH relativeFrom="page">
            <wp:posOffset>6857365</wp:posOffset>
          </wp:positionH>
          <wp:positionV relativeFrom="page">
            <wp:posOffset>664845</wp:posOffset>
          </wp:positionV>
          <wp:extent cx="504190" cy="6692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0E6">
      <w:rPr>
        <w:noProof/>
        <w:lang w:eastAsia="en-AU"/>
      </w:rPr>
      <mc:AlternateContent>
        <mc:Choice Requires="wps">
          <w:drawing>
            <wp:anchor distT="0" distB="0" distL="114300" distR="114300" simplePos="0" relativeHeight="251665408" behindDoc="0" locked="0" layoutInCell="0" allowOverlap="1" wp14:anchorId="52F4C11C" wp14:editId="12A12BDC">
              <wp:simplePos x="0" y="0"/>
              <wp:positionH relativeFrom="page">
                <wp:posOffset>1024890</wp:posOffset>
              </wp:positionH>
              <wp:positionV relativeFrom="page">
                <wp:posOffset>1384935</wp:posOffset>
              </wp:positionV>
              <wp:extent cx="6299835" cy="0"/>
              <wp:effectExtent l="5715" t="13335" r="9525" b="5715"/>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16145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80.7pt,109.05pt" to="576.7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IFIAIAADcEAAAOAAAAZHJzL2Uyb0RvYy54bWysU8GO2jAQvVfqP1i5QxIILESEVZVAL9su&#10;EtsPMLaTWHVsyzYEVPXfOzYEse2lqnpJxp7x85s3z6vncyfQiRnLlSyidJxEiEmiKJdNEX17244W&#10;EbIOS4qFkqyILsxGz+uPH1a9ztlEtUpQZhCASJv3uoha53Qex5a0rMN2rDSTkKyV6bCDpWlianAP&#10;6J2IJ0kyj3tlqDaKMGtht7omo3XAr2tG3GtdW+aQKCLg5sLXhO/Bf+P1CueNwbrl5EYD/wOLDnMJ&#10;l96hKuwwOhr+B1THiVFW1W5MVBeruuaEhR6gmzT5rZt9izULvYA4Vt9lsv8Plnw97QziFGaXRkji&#10;Dma0dwbzpnWoVFKCgsqgJy9Ur20O9aXcGd8qOcu9flHku0VSlS2WDQuE3y4aQFJ/In53xC+shusO&#10;/RdFoQYfnQqqnWvTeUjQA53DcC734bCzQwQ255PlcjGdRYgMuRjnw0FtrPvMVId8UESCS68bzvHp&#10;xTpPBOdDid+WasuFCLMXEvUAPp0l4YBVglOf9GXWNIdSGHTC4J50nmazbegKMo9lRh0lDWAtw3Rz&#10;ix3m4hrD5UJ6PGgF6Nyiqz1+LJPlZrFZZKNsMt+MsqSqRp+2ZTaab9OnWTWtyrJKf3pqaZa3nFIm&#10;PbvBqmn2d1a4PZqrye5mvcsQv0cPegHZ4R9Ih1n68V2NcFD0sjPDjMGdofj2krz9H9cQP7739S8A&#10;AAD//wMAUEsDBBQABgAIAAAAIQBCXIvz4AAAAAwBAAAPAAAAZHJzL2Rvd25yZXYueG1sTI9RS8Mw&#10;FIXfBf9DuIIvY0tTXSm16RBhMEGQTZk+Zs21LSY3pcnW7t+bgaCP595zz/1OuZqsYSccfOdIglgk&#10;wJBqpztqJLy/rec5MB8UaWUcoYQzelhV11elKrQbaYunXWhYDCFfKAltCH3Bua9btMovXI8Ud19u&#10;sCpEOTRcD2qM4dbwNEkyblVH8UOrenxqsf7eHW3EOG/s5nn/Gl5mWf4xzsxnt06dlLc30+MDsIBT&#10;+DPDBT/eQBWZDu5I2jMTdSbuo1VCKnIB7OIQy7slsMPviFcl/1+i+gEAAP//AwBQSwECLQAUAAYA&#10;CAAAACEAtoM4kv4AAADhAQAAEwAAAAAAAAAAAAAAAAAAAAAAW0NvbnRlbnRfVHlwZXNdLnhtbFBL&#10;AQItABQABgAIAAAAIQA4/SH/1gAAAJQBAAALAAAAAAAAAAAAAAAAAC8BAABfcmVscy8ucmVsc1BL&#10;AQItABQABgAIAAAAIQBFRAIFIAIAADcEAAAOAAAAAAAAAAAAAAAAAC4CAABkcnMvZTJvRG9jLnht&#10;bFBLAQItABQABgAIAAAAIQBCXIvz4AAAAAwBAAAPAAAAAAAAAAAAAAAAAHoEAABkcnMvZG93bnJl&#10;di54bWxQSwUGAAAAAAQABADzAAAAhwUAAAAA&#10;" o:allowincell="f" strokecolor="#16145f"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B6E62C"/>
    <w:lvl w:ilvl="0">
      <w:start w:val="1"/>
      <w:numFmt w:val="bullet"/>
      <w:pStyle w:val="ListBullet"/>
      <w:lvlText w:val=""/>
      <w:lvlJc w:val="left"/>
      <w:pPr>
        <w:ind w:left="360" w:hanging="360"/>
      </w:pPr>
      <w:rPr>
        <w:rFonts w:ascii="Symbol" w:hAnsi="Symbol" w:hint="default"/>
        <w:color w:val="01265B"/>
      </w:rPr>
    </w:lvl>
  </w:abstractNum>
  <w:abstractNum w:abstractNumId="1">
    <w:nsid w:val="01F55363"/>
    <w:multiLevelType w:val="multilevel"/>
    <w:tmpl w:val="DAB8732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851"/>
        </w:tabs>
        <w:ind w:left="851"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6D52D35"/>
    <w:multiLevelType w:val="hybridMultilevel"/>
    <w:tmpl w:val="9120F972"/>
    <w:lvl w:ilvl="0" w:tplc="179AAD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C94313"/>
    <w:multiLevelType w:val="hybridMultilevel"/>
    <w:tmpl w:val="F432D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0B0F"/>
    <w:multiLevelType w:val="hybridMultilevel"/>
    <w:tmpl w:val="FA645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C8391B"/>
    <w:multiLevelType w:val="hybridMultilevel"/>
    <w:tmpl w:val="DF22C32A"/>
    <w:lvl w:ilvl="0" w:tplc="08C241F0">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170C06"/>
    <w:multiLevelType w:val="multilevel"/>
    <w:tmpl w:val="07A24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78544A8"/>
    <w:multiLevelType w:val="hybridMultilevel"/>
    <w:tmpl w:val="9B2C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6604B5"/>
    <w:multiLevelType w:val="hybridMultilevel"/>
    <w:tmpl w:val="655CED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A3A0E4E"/>
    <w:multiLevelType w:val="hybridMultilevel"/>
    <w:tmpl w:val="FFB67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B26240"/>
    <w:multiLevelType w:val="hybridMultilevel"/>
    <w:tmpl w:val="1EC6EE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81A559D"/>
    <w:multiLevelType w:val="hybridMultilevel"/>
    <w:tmpl w:val="4680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134D2A"/>
    <w:multiLevelType w:val="multilevel"/>
    <w:tmpl w:val="EE304E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1AC5426"/>
    <w:multiLevelType w:val="hybridMultilevel"/>
    <w:tmpl w:val="04441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83F03B5"/>
    <w:multiLevelType w:val="hybridMultilevel"/>
    <w:tmpl w:val="4C6C4228"/>
    <w:lvl w:ilvl="0" w:tplc="6C1AAF86">
      <w:start w:val="1"/>
      <w:numFmt w:val="upperLetter"/>
      <w:pStyle w:val="Appendix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88D3F2F"/>
    <w:multiLevelType w:val="hybridMultilevel"/>
    <w:tmpl w:val="4C4A3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4012F0"/>
    <w:multiLevelType w:val="hybridMultilevel"/>
    <w:tmpl w:val="4CD2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C424BE"/>
    <w:multiLevelType w:val="hybridMultilevel"/>
    <w:tmpl w:val="ACC0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DA4CDC"/>
    <w:multiLevelType w:val="hybridMultilevel"/>
    <w:tmpl w:val="0608A58A"/>
    <w:lvl w:ilvl="0" w:tplc="D8F01F4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9949C2"/>
    <w:multiLevelType w:val="hybridMultilevel"/>
    <w:tmpl w:val="B5B446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9"/>
  </w:num>
  <w:num w:numId="5">
    <w:abstractNumId w:val="3"/>
  </w:num>
  <w:num w:numId="6">
    <w:abstractNumId w:val="11"/>
  </w:num>
  <w:num w:numId="7">
    <w:abstractNumId w:val="4"/>
  </w:num>
  <w:num w:numId="8">
    <w:abstractNumId w:val="6"/>
  </w:num>
  <w:num w:numId="9">
    <w:abstractNumId w:val="7"/>
  </w:num>
  <w:num w:numId="10">
    <w:abstractNumId w:val="1"/>
  </w:num>
  <w:num w:numId="11">
    <w:abstractNumId w:val="1"/>
  </w:num>
  <w:num w:numId="12">
    <w:abstractNumId w:val="8"/>
  </w:num>
  <w:num w:numId="13">
    <w:abstractNumId w:val="12"/>
  </w:num>
  <w:num w:numId="14">
    <w:abstractNumId w:val="16"/>
  </w:num>
  <w:num w:numId="15">
    <w:abstractNumId w:val="5"/>
  </w:num>
  <w:num w:numId="16">
    <w:abstractNumId w:val="18"/>
  </w:num>
  <w:num w:numId="17">
    <w:abstractNumId w:val="1"/>
  </w:num>
  <w:num w:numId="18">
    <w:abstractNumId w:val="2"/>
  </w:num>
  <w:num w:numId="19">
    <w:abstractNumId w:val="17"/>
  </w:num>
  <w:num w:numId="20">
    <w:abstractNumId w:val="10"/>
  </w:num>
  <w:num w:numId="21">
    <w:abstractNumId w:val="1"/>
  </w:num>
  <w:num w:numId="22">
    <w:abstractNumId w:val="15"/>
  </w:num>
  <w:num w:numId="23">
    <w:abstractNumId w:val="9"/>
  </w:num>
  <w:num w:numId="2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EF"/>
    <w:rsid w:val="00013571"/>
    <w:rsid w:val="00016EEB"/>
    <w:rsid w:val="00050E77"/>
    <w:rsid w:val="000601BF"/>
    <w:rsid w:val="00073509"/>
    <w:rsid w:val="00074133"/>
    <w:rsid w:val="00084BCA"/>
    <w:rsid w:val="000B4844"/>
    <w:rsid w:val="000C02C9"/>
    <w:rsid w:val="000C0820"/>
    <w:rsid w:val="000C3FCE"/>
    <w:rsid w:val="000D0F70"/>
    <w:rsid w:val="000D3365"/>
    <w:rsid w:val="000D4D1B"/>
    <w:rsid w:val="000D77FB"/>
    <w:rsid w:val="000E5CAB"/>
    <w:rsid w:val="000E5E1F"/>
    <w:rsid w:val="000E7969"/>
    <w:rsid w:val="000F27EC"/>
    <w:rsid w:val="001011FE"/>
    <w:rsid w:val="00101488"/>
    <w:rsid w:val="00102377"/>
    <w:rsid w:val="0012174B"/>
    <w:rsid w:val="00122E2C"/>
    <w:rsid w:val="00125BB4"/>
    <w:rsid w:val="001302C7"/>
    <w:rsid w:val="00134427"/>
    <w:rsid w:val="00143C9F"/>
    <w:rsid w:val="0016030C"/>
    <w:rsid w:val="001701BD"/>
    <w:rsid w:val="00182307"/>
    <w:rsid w:val="0018590F"/>
    <w:rsid w:val="00193A0F"/>
    <w:rsid w:val="001A0B13"/>
    <w:rsid w:val="001A7D39"/>
    <w:rsid w:val="001B0E28"/>
    <w:rsid w:val="001B3EB9"/>
    <w:rsid w:val="001B7854"/>
    <w:rsid w:val="001C1EDE"/>
    <w:rsid w:val="001C2124"/>
    <w:rsid w:val="001D5908"/>
    <w:rsid w:val="001E41B8"/>
    <w:rsid w:val="00207132"/>
    <w:rsid w:val="002201E7"/>
    <w:rsid w:val="00267695"/>
    <w:rsid w:val="00292FD8"/>
    <w:rsid w:val="002977E0"/>
    <w:rsid w:val="002A083C"/>
    <w:rsid w:val="002C4C63"/>
    <w:rsid w:val="002E1AE7"/>
    <w:rsid w:val="002E5017"/>
    <w:rsid w:val="002F036F"/>
    <w:rsid w:val="002F1FD5"/>
    <w:rsid w:val="003022BD"/>
    <w:rsid w:val="00303CC4"/>
    <w:rsid w:val="003109EF"/>
    <w:rsid w:val="00312047"/>
    <w:rsid w:val="003207A3"/>
    <w:rsid w:val="00352CD5"/>
    <w:rsid w:val="00371117"/>
    <w:rsid w:val="00385D96"/>
    <w:rsid w:val="00392DCA"/>
    <w:rsid w:val="003938A6"/>
    <w:rsid w:val="003B48DF"/>
    <w:rsid w:val="003B6589"/>
    <w:rsid w:val="003C56BA"/>
    <w:rsid w:val="003C5818"/>
    <w:rsid w:val="003E5D70"/>
    <w:rsid w:val="00411636"/>
    <w:rsid w:val="00411978"/>
    <w:rsid w:val="00423AE3"/>
    <w:rsid w:val="00424FDC"/>
    <w:rsid w:val="0043427A"/>
    <w:rsid w:val="00442A47"/>
    <w:rsid w:val="00444539"/>
    <w:rsid w:val="0044773F"/>
    <w:rsid w:val="00456006"/>
    <w:rsid w:val="00470EC7"/>
    <w:rsid w:val="004716EF"/>
    <w:rsid w:val="00474A76"/>
    <w:rsid w:val="00480C04"/>
    <w:rsid w:val="00491460"/>
    <w:rsid w:val="004948F6"/>
    <w:rsid w:val="004A217C"/>
    <w:rsid w:val="004A7061"/>
    <w:rsid w:val="004B54FF"/>
    <w:rsid w:val="004B5B15"/>
    <w:rsid w:val="004C0517"/>
    <w:rsid w:val="004C6685"/>
    <w:rsid w:val="004C7156"/>
    <w:rsid w:val="004D1378"/>
    <w:rsid w:val="004D5AD0"/>
    <w:rsid w:val="004F0D05"/>
    <w:rsid w:val="005037CA"/>
    <w:rsid w:val="005138A5"/>
    <w:rsid w:val="00522C8A"/>
    <w:rsid w:val="00534674"/>
    <w:rsid w:val="00536033"/>
    <w:rsid w:val="00561CED"/>
    <w:rsid w:val="0056381D"/>
    <w:rsid w:val="005B1281"/>
    <w:rsid w:val="005C37B7"/>
    <w:rsid w:val="005C62DF"/>
    <w:rsid w:val="00601A44"/>
    <w:rsid w:val="006057AD"/>
    <w:rsid w:val="0060693F"/>
    <w:rsid w:val="006171AA"/>
    <w:rsid w:val="00635043"/>
    <w:rsid w:val="006371C4"/>
    <w:rsid w:val="00653F5A"/>
    <w:rsid w:val="00656FD6"/>
    <w:rsid w:val="00664D82"/>
    <w:rsid w:val="006748C3"/>
    <w:rsid w:val="00677CFA"/>
    <w:rsid w:val="006978CD"/>
    <w:rsid w:val="00697D1E"/>
    <w:rsid w:val="006A0732"/>
    <w:rsid w:val="006B6824"/>
    <w:rsid w:val="006D1D5D"/>
    <w:rsid w:val="006D2B98"/>
    <w:rsid w:val="006E6321"/>
    <w:rsid w:val="006E678C"/>
    <w:rsid w:val="006F0101"/>
    <w:rsid w:val="006F17F2"/>
    <w:rsid w:val="006F29D3"/>
    <w:rsid w:val="0070575A"/>
    <w:rsid w:val="00713601"/>
    <w:rsid w:val="00715A11"/>
    <w:rsid w:val="007226C2"/>
    <w:rsid w:val="007232A4"/>
    <w:rsid w:val="00737CD9"/>
    <w:rsid w:val="00744216"/>
    <w:rsid w:val="0075239D"/>
    <w:rsid w:val="00752EFB"/>
    <w:rsid w:val="00754ED2"/>
    <w:rsid w:val="00760D83"/>
    <w:rsid w:val="0076105E"/>
    <w:rsid w:val="00777D62"/>
    <w:rsid w:val="007871D0"/>
    <w:rsid w:val="007E3BB6"/>
    <w:rsid w:val="007E675A"/>
    <w:rsid w:val="007F16CC"/>
    <w:rsid w:val="00800FD8"/>
    <w:rsid w:val="00815E88"/>
    <w:rsid w:val="00820EE4"/>
    <w:rsid w:val="008237A5"/>
    <w:rsid w:val="00825412"/>
    <w:rsid w:val="00825451"/>
    <w:rsid w:val="00835957"/>
    <w:rsid w:val="008374E1"/>
    <w:rsid w:val="00854C9E"/>
    <w:rsid w:val="00884BA2"/>
    <w:rsid w:val="008B5709"/>
    <w:rsid w:val="008B6D7F"/>
    <w:rsid w:val="008C00E6"/>
    <w:rsid w:val="008D1D99"/>
    <w:rsid w:val="009038D3"/>
    <w:rsid w:val="009279FC"/>
    <w:rsid w:val="00942178"/>
    <w:rsid w:val="009632F6"/>
    <w:rsid w:val="00975305"/>
    <w:rsid w:val="00977D27"/>
    <w:rsid w:val="009844AF"/>
    <w:rsid w:val="009A057F"/>
    <w:rsid w:val="009B064E"/>
    <w:rsid w:val="009B58F6"/>
    <w:rsid w:val="009D631D"/>
    <w:rsid w:val="009D7D42"/>
    <w:rsid w:val="009E1D2F"/>
    <w:rsid w:val="009E422D"/>
    <w:rsid w:val="009F2922"/>
    <w:rsid w:val="009F3407"/>
    <w:rsid w:val="009F443D"/>
    <w:rsid w:val="00A03D74"/>
    <w:rsid w:val="00A22391"/>
    <w:rsid w:val="00A34958"/>
    <w:rsid w:val="00A6191E"/>
    <w:rsid w:val="00A95F35"/>
    <w:rsid w:val="00A97D1F"/>
    <w:rsid w:val="00AB4289"/>
    <w:rsid w:val="00AC073C"/>
    <w:rsid w:val="00AC3660"/>
    <w:rsid w:val="00AD1A3E"/>
    <w:rsid w:val="00AD517D"/>
    <w:rsid w:val="00AD5AF1"/>
    <w:rsid w:val="00AE45D6"/>
    <w:rsid w:val="00B17088"/>
    <w:rsid w:val="00B301AF"/>
    <w:rsid w:val="00B30FE3"/>
    <w:rsid w:val="00B5266D"/>
    <w:rsid w:val="00B568F0"/>
    <w:rsid w:val="00B577F8"/>
    <w:rsid w:val="00B72E32"/>
    <w:rsid w:val="00B80DD5"/>
    <w:rsid w:val="00B826D3"/>
    <w:rsid w:val="00BA0E68"/>
    <w:rsid w:val="00BA6606"/>
    <w:rsid w:val="00BB5412"/>
    <w:rsid w:val="00BC4111"/>
    <w:rsid w:val="00BD65E2"/>
    <w:rsid w:val="00C42197"/>
    <w:rsid w:val="00C47AA6"/>
    <w:rsid w:val="00C51EBE"/>
    <w:rsid w:val="00C61645"/>
    <w:rsid w:val="00C62719"/>
    <w:rsid w:val="00C6547C"/>
    <w:rsid w:val="00C73199"/>
    <w:rsid w:val="00C75BFB"/>
    <w:rsid w:val="00C861C7"/>
    <w:rsid w:val="00C94B65"/>
    <w:rsid w:val="00CA329A"/>
    <w:rsid w:val="00CB2A69"/>
    <w:rsid w:val="00CD0B9A"/>
    <w:rsid w:val="00CD3A88"/>
    <w:rsid w:val="00CD71E1"/>
    <w:rsid w:val="00CF7543"/>
    <w:rsid w:val="00D06378"/>
    <w:rsid w:val="00D22D41"/>
    <w:rsid w:val="00D2354D"/>
    <w:rsid w:val="00D32CCF"/>
    <w:rsid w:val="00D4498B"/>
    <w:rsid w:val="00D53240"/>
    <w:rsid w:val="00D575E7"/>
    <w:rsid w:val="00D60586"/>
    <w:rsid w:val="00D63C17"/>
    <w:rsid w:val="00D96902"/>
    <w:rsid w:val="00D97506"/>
    <w:rsid w:val="00DB19EC"/>
    <w:rsid w:val="00DB2533"/>
    <w:rsid w:val="00DC6D32"/>
    <w:rsid w:val="00DE6C23"/>
    <w:rsid w:val="00DF172C"/>
    <w:rsid w:val="00DF3ED2"/>
    <w:rsid w:val="00E011C9"/>
    <w:rsid w:val="00E11576"/>
    <w:rsid w:val="00E201C1"/>
    <w:rsid w:val="00E33C76"/>
    <w:rsid w:val="00E35017"/>
    <w:rsid w:val="00E353E0"/>
    <w:rsid w:val="00E432FF"/>
    <w:rsid w:val="00E57FB8"/>
    <w:rsid w:val="00E859D3"/>
    <w:rsid w:val="00E91099"/>
    <w:rsid w:val="00EA11BC"/>
    <w:rsid w:val="00EA6A22"/>
    <w:rsid w:val="00EB00A0"/>
    <w:rsid w:val="00EC747C"/>
    <w:rsid w:val="00EF157E"/>
    <w:rsid w:val="00EF7B31"/>
    <w:rsid w:val="00F11433"/>
    <w:rsid w:val="00F27EC4"/>
    <w:rsid w:val="00F46B31"/>
    <w:rsid w:val="00F47EBF"/>
    <w:rsid w:val="00F52C09"/>
    <w:rsid w:val="00F60198"/>
    <w:rsid w:val="00F61081"/>
    <w:rsid w:val="00F621BA"/>
    <w:rsid w:val="00F62A37"/>
    <w:rsid w:val="00F75832"/>
    <w:rsid w:val="00F77622"/>
    <w:rsid w:val="00F837F0"/>
    <w:rsid w:val="00F94131"/>
    <w:rsid w:val="00FA06B9"/>
    <w:rsid w:val="00FA5D62"/>
    <w:rsid w:val="00FB2438"/>
    <w:rsid w:val="00FB7016"/>
    <w:rsid w:val="00FC21E8"/>
    <w:rsid w:val="00FC2295"/>
    <w:rsid w:val="00FD4228"/>
    <w:rsid w:val="00FD4FC5"/>
    <w:rsid w:val="00FD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semiHidden="0" w:unhideWhenUsed="0" w:qFormat="1"/>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0E77"/>
    <w:pPr>
      <w:spacing w:after="120" w:line="240" w:lineRule="atLeast"/>
    </w:pPr>
    <w:rPr>
      <w:rFonts w:ascii="Arial" w:hAnsi="Arial"/>
      <w:lang w:eastAsia="en-US"/>
    </w:rPr>
  </w:style>
  <w:style w:type="paragraph" w:styleId="Heading1">
    <w:name w:val="heading 1"/>
    <w:basedOn w:val="Normal"/>
    <w:next w:val="Normal"/>
    <w:link w:val="Heading1Char"/>
    <w:uiPriority w:val="9"/>
    <w:qFormat/>
    <w:rsid w:val="00D96902"/>
    <w:pPr>
      <w:pageBreakBefore/>
      <w:framePr w:w="7098" w:hSpace="180" w:wrap="around" w:vAnchor="page" w:hAnchor="page" w:x="1140" w:y="1980"/>
      <w:numPr>
        <w:numId w:val="2"/>
      </w:numPr>
      <w:outlineLvl w:val="0"/>
    </w:pPr>
    <w:rPr>
      <w:color w:val="01265B"/>
      <w:sz w:val="28"/>
      <w:szCs w:val="28"/>
    </w:rPr>
  </w:style>
  <w:style w:type="paragraph" w:styleId="Heading2">
    <w:name w:val="heading 2"/>
    <w:basedOn w:val="Normal"/>
    <w:next w:val="Normal"/>
    <w:link w:val="Heading2Char"/>
    <w:uiPriority w:val="9"/>
    <w:unhideWhenUsed/>
    <w:qFormat/>
    <w:rsid w:val="000C02C9"/>
    <w:pPr>
      <w:numPr>
        <w:ilvl w:val="1"/>
        <w:numId w:val="2"/>
      </w:numPr>
      <w:spacing w:before="360"/>
      <w:contextualSpacing/>
      <w:outlineLvl w:val="1"/>
    </w:pPr>
    <w:rPr>
      <w:b/>
      <w:color w:val="16145F"/>
    </w:rPr>
  </w:style>
  <w:style w:type="paragraph" w:styleId="Heading3">
    <w:name w:val="heading 3"/>
    <w:basedOn w:val="Normal"/>
    <w:next w:val="Normal"/>
    <w:link w:val="Heading3Char"/>
    <w:uiPriority w:val="9"/>
    <w:unhideWhenUsed/>
    <w:qFormat/>
    <w:rsid w:val="00143C9F"/>
    <w:pPr>
      <w:spacing w:before="240"/>
      <w:contextualSpacing/>
      <w:outlineLvl w:val="2"/>
    </w:pPr>
    <w:rPr>
      <w:b/>
      <w:color w:val="1614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0F"/>
    <w:pPr>
      <w:tabs>
        <w:tab w:val="center" w:pos="4513"/>
        <w:tab w:val="right" w:pos="9026"/>
      </w:tabs>
    </w:pPr>
    <w:rPr>
      <w:color w:val="E51934"/>
      <w:sz w:val="28"/>
      <w:szCs w:val="28"/>
    </w:rPr>
  </w:style>
  <w:style w:type="character" w:customStyle="1" w:styleId="HeaderChar">
    <w:name w:val="Header Char"/>
    <w:link w:val="Header"/>
    <w:uiPriority w:val="99"/>
    <w:rsid w:val="0018590F"/>
    <w:rPr>
      <w:rFonts w:ascii="Arial" w:hAnsi="Arial"/>
      <w:color w:val="E51934"/>
      <w:sz w:val="28"/>
      <w:szCs w:val="28"/>
    </w:rPr>
  </w:style>
  <w:style w:type="paragraph" w:styleId="Footer">
    <w:name w:val="footer"/>
    <w:basedOn w:val="Normal"/>
    <w:link w:val="FooterChar"/>
    <w:uiPriority w:val="99"/>
    <w:unhideWhenUsed/>
    <w:rsid w:val="0018590F"/>
    <w:pPr>
      <w:tabs>
        <w:tab w:val="center" w:pos="4513"/>
        <w:tab w:val="right" w:pos="9026"/>
      </w:tabs>
    </w:pPr>
    <w:rPr>
      <w:color w:val="01265B"/>
      <w:sz w:val="18"/>
      <w:szCs w:val="18"/>
    </w:rPr>
  </w:style>
  <w:style w:type="character" w:customStyle="1" w:styleId="FooterChar">
    <w:name w:val="Footer Char"/>
    <w:link w:val="Footer"/>
    <w:uiPriority w:val="99"/>
    <w:rsid w:val="0018590F"/>
    <w:rPr>
      <w:rFonts w:ascii="Arial" w:hAnsi="Arial"/>
      <w:color w:val="01265B"/>
      <w:sz w:val="18"/>
      <w:szCs w:val="18"/>
    </w:rPr>
  </w:style>
  <w:style w:type="table" w:styleId="TableGrid">
    <w:name w:val="Table Grid"/>
    <w:basedOn w:val="TableNormal"/>
    <w:uiPriority w:val="59"/>
    <w:rsid w:val="005B1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50E77"/>
    <w:pPr>
      <w:spacing w:after="0"/>
    </w:pPr>
    <w:rPr>
      <w:color w:val="01265B"/>
      <w:sz w:val="78"/>
      <w:szCs w:val="78"/>
    </w:rPr>
  </w:style>
  <w:style w:type="character" w:customStyle="1" w:styleId="TitleChar">
    <w:name w:val="Title Char"/>
    <w:link w:val="Title"/>
    <w:uiPriority w:val="10"/>
    <w:rsid w:val="00050E77"/>
    <w:rPr>
      <w:rFonts w:ascii="Arial" w:hAnsi="Arial"/>
      <w:color w:val="01265B"/>
      <w:sz w:val="78"/>
      <w:szCs w:val="78"/>
    </w:rPr>
  </w:style>
  <w:style w:type="paragraph" w:styleId="Subtitle">
    <w:name w:val="Subtitle"/>
    <w:basedOn w:val="Normal"/>
    <w:next w:val="Normal"/>
    <w:link w:val="SubtitleChar"/>
    <w:uiPriority w:val="11"/>
    <w:qFormat/>
    <w:rsid w:val="00050E77"/>
    <w:pPr>
      <w:spacing w:after="0"/>
    </w:pPr>
    <w:rPr>
      <w:i/>
      <w:color w:val="01265B"/>
      <w:sz w:val="58"/>
      <w:szCs w:val="58"/>
    </w:rPr>
  </w:style>
  <w:style w:type="character" w:customStyle="1" w:styleId="SubtitleChar">
    <w:name w:val="Subtitle Char"/>
    <w:link w:val="Subtitle"/>
    <w:uiPriority w:val="11"/>
    <w:rsid w:val="00050E77"/>
    <w:rPr>
      <w:rFonts w:ascii="Arial" w:hAnsi="Arial"/>
      <w:i/>
      <w:color w:val="01265B"/>
      <w:sz w:val="58"/>
      <w:szCs w:val="58"/>
    </w:rPr>
  </w:style>
  <w:style w:type="paragraph" w:styleId="Date">
    <w:name w:val="Date"/>
    <w:basedOn w:val="Normal"/>
    <w:next w:val="Normal"/>
    <w:link w:val="DateChar"/>
    <w:uiPriority w:val="99"/>
    <w:rsid w:val="00050E77"/>
    <w:pPr>
      <w:spacing w:before="360" w:after="0"/>
      <w:contextualSpacing/>
    </w:pPr>
    <w:rPr>
      <w:color w:val="01265B"/>
      <w:sz w:val="26"/>
      <w:szCs w:val="26"/>
    </w:rPr>
  </w:style>
  <w:style w:type="character" w:customStyle="1" w:styleId="DateChar">
    <w:name w:val="Date Char"/>
    <w:link w:val="Date"/>
    <w:uiPriority w:val="99"/>
    <w:rsid w:val="00050E77"/>
    <w:rPr>
      <w:rFonts w:ascii="Arial" w:hAnsi="Arial"/>
      <w:color w:val="01265B"/>
      <w:sz w:val="26"/>
      <w:szCs w:val="26"/>
    </w:rPr>
  </w:style>
  <w:style w:type="character" w:customStyle="1" w:styleId="Heading1Char">
    <w:name w:val="Heading 1 Char"/>
    <w:link w:val="Heading1"/>
    <w:uiPriority w:val="9"/>
    <w:rsid w:val="00D96902"/>
    <w:rPr>
      <w:rFonts w:ascii="Arial" w:hAnsi="Arial"/>
      <w:color w:val="01265B"/>
      <w:sz w:val="28"/>
      <w:szCs w:val="28"/>
      <w:lang w:eastAsia="en-US"/>
    </w:rPr>
  </w:style>
  <w:style w:type="character" w:customStyle="1" w:styleId="Heading2Char">
    <w:name w:val="Heading 2 Char"/>
    <w:link w:val="Heading2"/>
    <w:uiPriority w:val="9"/>
    <w:rsid w:val="000C02C9"/>
    <w:rPr>
      <w:rFonts w:ascii="Arial" w:hAnsi="Arial"/>
      <w:b/>
      <w:color w:val="16145F"/>
      <w:lang w:eastAsia="en-US"/>
    </w:rPr>
  </w:style>
  <w:style w:type="character" w:customStyle="1" w:styleId="Heading3Char">
    <w:name w:val="Heading 3 Char"/>
    <w:link w:val="Heading3"/>
    <w:uiPriority w:val="9"/>
    <w:rsid w:val="00143C9F"/>
    <w:rPr>
      <w:rFonts w:ascii="Arial" w:hAnsi="Arial"/>
      <w:b/>
      <w:color w:val="16145F"/>
    </w:rPr>
  </w:style>
  <w:style w:type="paragraph" w:styleId="ListParagraph">
    <w:name w:val="List Paragraph"/>
    <w:aliases w:val="Bullet List"/>
    <w:basedOn w:val="Normal"/>
    <w:link w:val="ListParagraphChar"/>
    <w:uiPriority w:val="34"/>
    <w:qFormat/>
    <w:rsid w:val="00AD1A3E"/>
    <w:pPr>
      <w:ind w:left="720"/>
      <w:contextualSpacing/>
    </w:pPr>
  </w:style>
  <w:style w:type="paragraph" w:styleId="ListBullet">
    <w:name w:val="List Bullet"/>
    <w:basedOn w:val="Normal"/>
    <w:uiPriority w:val="99"/>
    <w:qFormat/>
    <w:rsid w:val="00AD1A3E"/>
    <w:pPr>
      <w:numPr>
        <w:numId w:val="1"/>
      </w:numPr>
      <w:contextualSpacing/>
    </w:pPr>
  </w:style>
  <w:style w:type="paragraph" w:styleId="TOC1">
    <w:name w:val="toc 1"/>
    <w:basedOn w:val="Normal"/>
    <w:next w:val="Normal"/>
    <w:autoRedefine/>
    <w:uiPriority w:val="39"/>
    <w:unhideWhenUsed/>
    <w:rsid w:val="009844AF"/>
    <w:pPr>
      <w:pBdr>
        <w:bottom w:val="single" w:sz="2" w:space="5" w:color="01265B"/>
      </w:pBdr>
      <w:tabs>
        <w:tab w:val="left" w:pos="0"/>
        <w:tab w:val="right" w:pos="7643"/>
      </w:tabs>
      <w:spacing w:before="240" w:after="240"/>
      <w:ind w:left="-425"/>
    </w:pPr>
    <w:rPr>
      <w:b/>
      <w:noProof/>
      <w:color w:val="01265B"/>
    </w:rPr>
  </w:style>
  <w:style w:type="paragraph" w:styleId="TOC2">
    <w:name w:val="toc 2"/>
    <w:basedOn w:val="Normal"/>
    <w:next w:val="Normal"/>
    <w:autoRedefine/>
    <w:uiPriority w:val="39"/>
    <w:unhideWhenUsed/>
    <w:rsid w:val="00BA6606"/>
    <w:pPr>
      <w:tabs>
        <w:tab w:val="left" w:pos="660"/>
        <w:tab w:val="right" w:pos="7643"/>
      </w:tabs>
      <w:spacing w:before="120" w:line="240" w:lineRule="auto"/>
      <w:ind w:left="-142"/>
    </w:pPr>
    <w:rPr>
      <w:noProof/>
    </w:rPr>
  </w:style>
  <w:style w:type="character" w:styleId="Hyperlink">
    <w:name w:val="Hyperlink"/>
    <w:uiPriority w:val="99"/>
    <w:unhideWhenUsed/>
    <w:rsid w:val="00E432FF"/>
    <w:rPr>
      <w:color w:val="000000"/>
      <w:u w:val="single"/>
    </w:rPr>
  </w:style>
  <w:style w:type="paragraph" w:customStyle="1" w:styleId="ContentsHeading">
    <w:name w:val="Contents Heading"/>
    <w:basedOn w:val="Normal"/>
    <w:qFormat/>
    <w:rsid w:val="00F52C09"/>
    <w:pPr>
      <w:spacing w:after="360"/>
    </w:pPr>
    <w:rPr>
      <w:b/>
      <w:color w:val="FF0000"/>
    </w:rPr>
  </w:style>
  <w:style w:type="paragraph" w:customStyle="1" w:styleId="AppendixHeading1">
    <w:name w:val="Appendix Heading 1"/>
    <w:basedOn w:val="Heading1"/>
    <w:qFormat/>
    <w:rsid w:val="000F27EC"/>
    <w:pPr>
      <w:framePr w:wrap="around"/>
      <w:numPr>
        <w:numId w:val="3"/>
      </w:numPr>
      <w:spacing w:after="0" w:line="240" w:lineRule="auto"/>
      <w:ind w:left="601" w:hanging="601"/>
    </w:pPr>
  </w:style>
  <w:style w:type="paragraph" w:styleId="TOCHeading">
    <w:name w:val="TOC Heading"/>
    <w:basedOn w:val="Heading1"/>
    <w:next w:val="Normal"/>
    <w:uiPriority w:val="39"/>
    <w:unhideWhenUsed/>
    <w:qFormat/>
    <w:rsid w:val="00CF7543"/>
    <w:pPr>
      <w:keepNext/>
      <w:keepLines/>
      <w:pageBreakBefore w:val="0"/>
      <w:framePr w:w="0" w:hSpace="0" w:wrap="auto" w:vAnchor="margin" w:hAnchor="text" w:xAlign="left" w:yAlign="inline"/>
      <w:numPr>
        <w:numId w:val="0"/>
      </w:numPr>
      <w:spacing w:before="480" w:after="0" w:line="276" w:lineRule="auto"/>
      <w:outlineLvl w:val="9"/>
    </w:pPr>
    <w:rPr>
      <w:rFonts w:asciiTheme="majorHAnsi" w:eastAsiaTheme="majorEastAsia" w:hAnsiTheme="majorHAnsi" w:cstheme="majorBidi"/>
      <w:b/>
      <w:bCs/>
      <w:color w:val="365F91" w:themeColor="accent1" w:themeShade="BF"/>
      <w:lang w:val="en-US" w:eastAsia="ja-JP"/>
    </w:rPr>
  </w:style>
  <w:style w:type="paragraph" w:styleId="TOC3">
    <w:name w:val="toc 3"/>
    <w:basedOn w:val="Normal"/>
    <w:next w:val="Normal"/>
    <w:autoRedefine/>
    <w:uiPriority w:val="39"/>
    <w:unhideWhenUsed/>
    <w:rsid w:val="00CF7543"/>
    <w:pPr>
      <w:spacing w:after="100"/>
      <w:ind w:left="400"/>
    </w:pPr>
  </w:style>
  <w:style w:type="paragraph" w:styleId="BalloonText">
    <w:name w:val="Balloon Text"/>
    <w:basedOn w:val="Normal"/>
    <w:link w:val="BalloonTextChar"/>
    <w:uiPriority w:val="99"/>
    <w:semiHidden/>
    <w:unhideWhenUsed/>
    <w:rsid w:val="00CF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43"/>
    <w:rPr>
      <w:rFonts w:ascii="Tahoma" w:hAnsi="Tahoma" w:cs="Tahoma"/>
      <w:sz w:val="16"/>
      <w:szCs w:val="16"/>
      <w:lang w:eastAsia="en-US"/>
    </w:rPr>
  </w:style>
  <w:style w:type="paragraph" w:styleId="NormalWeb">
    <w:name w:val="Normal (Web)"/>
    <w:basedOn w:val="Normal"/>
    <w:uiPriority w:val="99"/>
    <w:semiHidden/>
    <w:unhideWhenUsed/>
    <w:rsid w:val="0070575A"/>
    <w:pPr>
      <w:spacing w:before="100" w:beforeAutospacing="1" w:after="100" w:afterAutospacing="1" w:line="240" w:lineRule="auto"/>
    </w:pPr>
    <w:rPr>
      <w:rFonts w:ascii="Times New Roman" w:eastAsiaTheme="minorEastAsia" w:hAnsi="Times New Roman"/>
      <w:sz w:val="24"/>
      <w:szCs w:val="24"/>
      <w:lang w:eastAsia="en-AU"/>
    </w:rPr>
  </w:style>
  <w:style w:type="paragraph" w:customStyle="1" w:styleId="BODYCOPY">
    <w:name w:val="BODYCOPY"/>
    <w:basedOn w:val="Normal"/>
    <w:rsid w:val="006748C3"/>
    <w:pPr>
      <w:widowControl w:val="0"/>
      <w:suppressAutoHyphens/>
      <w:autoSpaceDE w:val="0"/>
      <w:autoSpaceDN w:val="0"/>
      <w:adjustRightInd w:val="0"/>
      <w:spacing w:before="120" w:after="0"/>
      <w:textAlignment w:val="center"/>
    </w:pPr>
    <w:rPr>
      <w:rFonts w:eastAsia="Times New Roman" w:cs="Arial"/>
      <w:color w:val="000000"/>
      <w:lang w:val="en-US" w:bidi="en-US"/>
    </w:rPr>
  </w:style>
  <w:style w:type="character" w:styleId="CommentReference">
    <w:name w:val="annotation reference"/>
    <w:uiPriority w:val="99"/>
    <w:unhideWhenUsed/>
    <w:rsid w:val="003022BD"/>
    <w:rPr>
      <w:sz w:val="16"/>
      <w:szCs w:val="16"/>
    </w:rPr>
  </w:style>
  <w:style w:type="paragraph" w:styleId="CommentText">
    <w:name w:val="annotation text"/>
    <w:basedOn w:val="Normal"/>
    <w:link w:val="CommentTextChar"/>
    <w:uiPriority w:val="99"/>
    <w:unhideWhenUsed/>
    <w:rsid w:val="003022BD"/>
    <w:pPr>
      <w:spacing w:after="0" w:line="240" w:lineRule="auto"/>
    </w:pPr>
    <w:rPr>
      <w:rFonts w:ascii="Delicious-Roman" w:eastAsia="MS Mincho" w:hAnsi="Delicious-Roman"/>
      <w:lang w:val="en-US" w:eastAsia="x-none"/>
    </w:rPr>
  </w:style>
  <w:style w:type="character" w:customStyle="1" w:styleId="CommentTextChar">
    <w:name w:val="Comment Text Char"/>
    <w:basedOn w:val="DefaultParagraphFont"/>
    <w:link w:val="CommentText"/>
    <w:uiPriority w:val="99"/>
    <w:rsid w:val="003022BD"/>
    <w:rPr>
      <w:rFonts w:ascii="Delicious-Roman" w:eastAsia="MS Mincho" w:hAnsi="Delicious-Roman"/>
      <w:lang w:val="en-US" w:eastAsia="x-none"/>
    </w:rPr>
  </w:style>
  <w:style w:type="paragraph" w:customStyle="1" w:styleId="Default">
    <w:name w:val="Default"/>
    <w:rsid w:val="003207A3"/>
    <w:pPr>
      <w:autoSpaceDE w:val="0"/>
      <w:autoSpaceDN w:val="0"/>
      <w:adjustRightInd w:val="0"/>
    </w:pPr>
    <w:rPr>
      <w:rFonts w:ascii="Arial" w:eastAsiaTheme="minorHAnsi" w:hAnsi="Arial" w:cs="Arial"/>
      <w:color w:val="000000"/>
      <w:sz w:val="24"/>
      <w:szCs w:val="24"/>
      <w:lang w:eastAsia="en-US"/>
    </w:rPr>
  </w:style>
  <w:style w:type="paragraph" w:styleId="EndnoteText">
    <w:name w:val="endnote text"/>
    <w:basedOn w:val="Normal"/>
    <w:link w:val="EndnoteTextChar"/>
    <w:uiPriority w:val="99"/>
    <w:semiHidden/>
    <w:unhideWhenUsed/>
    <w:rsid w:val="001B3EB9"/>
    <w:pPr>
      <w:spacing w:after="0" w:line="240" w:lineRule="auto"/>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B3EB9"/>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1B3EB9"/>
    <w:rPr>
      <w:vertAlign w:val="superscript"/>
    </w:rPr>
  </w:style>
  <w:style w:type="paragraph" w:styleId="FootnoteText">
    <w:name w:val="footnote text"/>
    <w:basedOn w:val="Normal"/>
    <w:link w:val="FootnoteTextChar"/>
    <w:uiPriority w:val="99"/>
    <w:semiHidden/>
    <w:unhideWhenUsed/>
    <w:rsid w:val="001C2124"/>
    <w:pPr>
      <w:spacing w:after="0" w:line="240" w:lineRule="auto"/>
    </w:pPr>
    <w:rPr>
      <w:rFonts w:eastAsiaTheme="minorHAnsi" w:cstheme="minorBidi"/>
      <w:lang w:val="en-US"/>
    </w:rPr>
  </w:style>
  <w:style w:type="character" w:customStyle="1" w:styleId="FootnoteTextChar">
    <w:name w:val="Footnote Text Char"/>
    <w:basedOn w:val="DefaultParagraphFont"/>
    <w:link w:val="FootnoteText"/>
    <w:uiPriority w:val="99"/>
    <w:semiHidden/>
    <w:rsid w:val="001C2124"/>
    <w:rPr>
      <w:rFonts w:ascii="Arial" w:eastAsiaTheme="minorHAnsi" w:hAnsi="Arial" w:cstheme="minorBidi"/>
      <w:lang w:val="en-US" w:eastAsia="en-US"/>
    </w:rPr>
  </w:style>
  <w:style w:type="character" w:styleId="FootnoteReference">
    <w:name w:val="footnote reference"/>
    <w:basedOn w:val="DefaultParagraphFont"/>
    <w:unhideWhenUsed/>
    <w:rsid w:val="001C2124"/>
    <w:rPr>
      <w:vertAlign w:val="superscript"/>
    </w:rPr>
  </w:style>
  <w:style w:type="character" w:customStyle="1" w:styleId="ListParagraphChar">
    <w:name w:val="List Paragraph Char"/>
    <w:aliases w:val="Bullet List Char"/>
    <w:link w:val="ListParagraph"/>
    <w:uiPriority w:val="34"/>
    <w:locked/>
    <w:rsid w:val="001C2124"/>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semiHidden="0" w:unhideWhenUsed="0" w:qFormat="1"/>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0E77"/>
    <w:pPr>
      <w:spacing w:after="120" w:line="240" w:lineRule="atLeast"/>
    </w:pPr>
    <w:rPr>
      <w:rFonts w:ascii="Arial" w:hAnsi="Arial"/>
      <w:lang w:eastAsia="en-US"/>
    </w:rPr>
  </w:style>
  <w:style w:type="paragraph" w:styleId="Heading1">
    <w:name w:val="heading 1"/>
    <w:basedOn w:val="Normal"/>
    <w:next w:val="Normal"/>
    <w:link w:val="Heading1Char"/>
    <w:uiPriority w:val="9"/>
    <w:qFormat/>
    <w:rsid w:val="00D96902"/>
    <w:pPr>
      <w:pageBreakBefore/>
      <w:framePr w:w="7098" w:hSpace="180" w:wrap="around" w:vAnchor="page" w:hAnchor="page" w:x="1140" w:y="1980"/>
      <w:numPr>
        <w:numId w:val="2"/>
      </w:numPr>
      <w:outlineLvl w:val="0"/>
    </w:pPr>
    <w:rPr>
      <w:color w:val="01265B"/>
      <w:sz w:val="28"/>
      <w:szCs w:val="28"/>
    </w:rPr>
  </w:style>
  <w:style w:type="paragraph" w:styleId="Heading2">
    <w:name w:val="heading 2"/>
    <w:basedOn w:val="Normal"/>
    <w:next w:val="Normal"/>
    <w:link w:val="Heading2Char"/>
    <w:uiPriority w:val="9"/>
    <w:unhideWhenUsed/>
    <w:qFormat/>
    <w:rsid w:val="000C02C9"/>
    <w:pPr>
      <w:numPr>
        <w:ilvl w:val="1"/>
        <w:numId w:val="2"/>
      </w:numPr>
      <w:spacing w:before="360"/>
      <w:contextualSpacing/>
      <w:outlineLvl w:val="1"/>
    </w:pPr>
    <w:rPr>
      <w:b/>
      <w:color w:val="16145F"/>
    </w:rPr>
  </w:style>
  <w:style w:type="paragraph" w:styleId="Heading3">
    <w:name w:val="heading 3"/>
    <w:basedOn w:val="Normal"/>
    <w:next w:val="Normal"/>
    <w:link w:val="Heading3Char"/>
    <w:uiPriority w:val="9"/>
    <w:unhideWhenUsed/>
    <w:qFormat/>
    <w:rsid w:val="00143C9F"/>
    <w:pPr>
      <w:spacing w:before="240"/>
      <w:contextualSpacing/>
      <w:outlineLvl w:val="2"/>
    </w:pPr>
    <w:rPr>
      <w:b/>
      <w:color w:val="1614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0F"/>
    <w:pPr>
      <w:tabs>
        <w:tab w:val="center" w:pos="4513"/>
        <w:tab w:val="right" w:pos="9026"/>
      </w:tabs>
    </w:pPr>
    <w:rPr>
      <w:color w:val="E51934"/>
      <w:sz w:val="28"/>
      <w:szCs w:val="28"/>
    </w:rPr>
  </w:style>
  <w:style w:type="character" w:customStyle="1" w:styleId="HeaderChar">
    <w:name w:val="Header Char"/>
    <w:link w:val="Header"/>
    <w:uiPriority w:val="99"/>
    <w:rsid w:val="0018590F"/>
    <w:rPr>
      <w:rFonts w:ascii="Arial" w:hAnsi="Arial"/>
      <w:color w:val="E51934"/>
      <w:sz w:val="28"/>
      <w:szCs w:val="28"/>
    </w:rPr>
  </w:style>
  <w:style w:type="paragraph" w:styleId="Footer">
    <w:name w:val="footer"/>
    <w:basedOn w:val="Normal"/>
    <w:link w:val="FooterChar"/>
    <w:uiPriority w:val="99"/>
    <w:unhideWhenUsed/>
    <w:rsid w:val="0018590F"/>
    <w:pPr>
      <w:tabs>
        <w:tab w:val="center" w:pos="4513"/>
        <w:tab w:val="right" w:pos="9026"/>
      </w:tabs>
    </w:pPr>
    <w:rPr>
      <w:color w:val="01265B"/>
      <w:sz w:val="18"/>
      <w:szCs w:val="18"/>
    </w:rPr>
  </w:style>
  <w:style w:type="character" w:customStyle="1" w:styleId="FooterChar">
    <w:name w:val="Footer Char"/>
    <w:link w:val="Footer"/>
    <w:uiPriority w:val="99"/>
    <w:rsid w:val="0018590F"/>
    <w:rPr>
      <w:rFonts w:ascii="Arial" w:hAnsi="Arial"/>
      <w:color w:val="01265B"/>
      <w:sz w:val="18"/>
      <w:szCs w:val="18"/>
    </w:rPr>
  </w:style>
  <w:style w:type="table" w:styleId="TableGrid">
    <w:name w:val="Table Grid"/>
    <w:basedOn w:val="TableNormal"/>
    <w:uiPriority w:val="59"/>
    <w:rsid w:val="005B1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50E77"/>
    <w:pPr>
      <w:spacing w:after="0"/>
    </w:pPr>
    <w:rPr>
      <w:color w:val="01265B"/>
      <w:sz w:val="78"/>
      <w:szCs w:val="78"/>
    </w:rPr>
  </w:style>
  <w:style w:type="character" w:customStyle="1" w:styleId="TitleChar">
    <w:name w:val="Title Char"/>
    <w:link w:val="Title"/>
    <w:uiPriority w:val="10"/>
    <w:rsid w:val="00050E77"/>
    <w:rPr>
      <w:rFonts w:ascii="Arial" w:hAnsi="Arial"/>
      <w:color w:val="01265B"/>
      <w:sz w:val="78"/>
      <w:szCs w:val="78"/>
    </w:rPr>
  </w:style>
  <w:style w:type="paragraph" w:styleId="Subtitle">
    <w:name w:val="Subtitle"/>
    <w:basedOn w:val="Normal"/>
    <w:next w:val="Normal"/>
    <w:link w:val="SubtitleChar"/>
    <w:uiPriority w:val="11"/>
    <w:qFormat/>
    <w:rsid w:val="00050E77"/>
    <w:pPr>
      <w:spacing w:after="0"/>
    </w:pPr>
    <w:rPr>
      <w:i/>
      <w:color w:val="01265B"/>
      <w:sz w:val="58"/>
      <w:szCs w:val="58"/>
    </w:rPr>
  </w:style>
  <w:style w:type="character" w:customStyle="1" w:styleId="SubtitleChar">
    <w:name w:val="Subtitle Char"/>
    <w:link w:val="Subtitle"/>
    <w:uiPriority w:val="11"/>
    <w:rsid w:val="00050E77"/>
    <w:rPr>
      <w:rFonts w:ascii="Arial" w:hAnsi="Arial"/>
      <w:i/>
      <w:color w:val="01265B"/>
      <w:sz w:val="58"/>
      <w:szCs w:val="58"/>
    </w:rPr>
  </w:style>
  <w:style w:type="paragraph" w:styleId="Date">
    <w:name w:val="Date"/>
    <w:basedOn w:val="Normal"/>
    <w:next w:val="Normal"/>
    <w:link w:val="DateChar"/>
    <w:uiPriority w:val="99"/>
    <w:rsid w:val="00050E77"/>
    <w:pPr>
      <w:spacing w:before="360" w:after="0"/>
      <w:contextualSpacing/>
    </w:pPr>
    <w:rPr>
      <w:color w:val="01265B"/>
      <w:sz w:val="26"/>
      <w:szCs w:val="26"/>
    </w:rPr>
  </w:style>
  <w:style w:type="character" w:customStyle="1" w:styleId="DateChar">
    <w:name w:val="Date Char"/>
    <w:link w:val="Date"/>
    <w:uiPriority w:val="99"/>
    <w:rsid w:val="00050E77"/>
    <w:rPr>
      <w:rFonts w:ascii="Arial" w:hAnsi="Arial"/>
      <w:color w:val="01265B"/>
      <w:sz w:val="26"/>
      <w:szCs w:val="26"/>
    </w:rPr>
  </w:style>
  <w:style w:type="character" w:customStyle="1" w:styleId="Heading1Char">
    <w:name w:val="Heading 1 Char"/>
    <w:link w:val="Heading1"/>
    <w:uiPriority w:val="9"/>
    <w:rsid w:val="00D96902"/>
    <w:rPr>
      <w:rFonts w:ascii="Arial" w:hAnsi="Arial"/>
      <w:color w:val="01265B"/>
      <w:sz w:val="28"/>
      <w:szCs w:val="28"/>
      <w:lang w:eastAsia="en-US"/>
    </w:rPr>
  </w:style>
  <w:style w:type="character" w:customStyle="1" w:styleId="Heading2Char">
    <w:name w:val="Heading 2 Char"/>
    <w:link w:val="Heading2"/>
    <w:uiPriority w:val="9"/>
    <w:rsid w:val="000C02C9"/>
    <w:rPr>
      <w:rFonts w:ascii="Arial" w:hAnsi="Arial"/>
      <w:b/>
      <w:color w:val="16145F"/>
      <w:lang w:eastAsia="en-US"/>
    </w:rPr>
  </w:style>
  <w:style w:type="character" w:customStyle="1" w:styleId="Heading3Char">
    <w:name w:val="Heading 3 Char"/>
    <w:link w:val="Heading3"/>
    <w:uiPriority w:val="9"/>
    <w:rsid w:val="00143C9F"/>
    <w:rPr>
      <w:rFonts w:ascii="Arial" w:hAnsi="Arial"/>
      <w:b/>
      <w:color w:val="16145F"/>
    </w:rPr>
  </w:style>
  <w:style w:type="paragraph" w:styleId="ListParagraph">
    <w:name w:val="List Paragraph"/>
    <w:aliases w:val="Bullet List"/>
    <w:basedOn w:val="Normal"/>
    <w:link w:val="ListParagraphChar"/>
    <w:uiPriority w:val="34"/>
    <w:qFormat/>
    <w:rsid w:val="00AD1A3E"/>
    <w:pPr>
      <w:ind w:left="720"/>
      <w:contextualSpacing/>
    </w:pPr>
  </w:style>
  <w:style w:type="paragraph" w:styleId="ListBullet">
    <w:name w:val="List Bullet"/>
    <w:basedOn w:val="Normal"/>
    <w:uiPriority w:val="99"/>
    <w:qFormat/>
    <w:rsid w:val="00AD1A3E"/>
    <w:pPr>
      <w:numPr>
        <w:numId w:val="1"/>
      </w:numPr>
      <w:contextualSpacing/>
    </w:pPr>
  </w:style>
  <w:style w:type="paragraph" w:styleId="TOC1">
    <w:name w:val="toc 1"/>
    <w:basedOn w:val="Normal"/>
    <w:next w:val="Normal"/>
    <w:autoRedefine/>
    <w:uiPriority w:val="39"/>
    <w:unhideWhenUsed/>
    <w:rsid w:val="009844AF"/>
    <w:pPr>
      <w:pBdr>
        <w:bottom w:val="single" w:sz="2" w:space="5" w:color="01265B"/>
      </w:pBdr>
      <w:tabs>
        <w:tab w:val="left" w:pos="0"/>
        <w:tab w:val="right" w:pos="7643"/>
      </w:tabs>
      <w:spacing w:before="240" w:after="240"/>
      <w:ind w:left="-425"/>
    </w:pPr>
    <w:rPr>
      <w:b/>
      <w:noProof/>
      <w:color w:val="01265B"/>
    </w:rPr>
  </w:style>
  <w:style w:type="paragraph" w:styleId="TOC2">
    <w:name w:val="toc 2"/>
    <w:basedOn w:val="Normal"/>
    <w:next w:val="Normal"/>
    <w:autoRedefine/>
    <w:uiPriority w:val="39"/>
    <w:unhideWhenUsed/>
    <w:rsid w:val="00BA6606"/>
    <w:pPr>
      <w:tabs>
        <w:tab w:val="left" w:pos="660"/>
        <w:tab w:val="right" w:pos="7643"/>
      </w:tabs>
      <w:spacing w:before="120" w:line="240" w:lineRule="auto"/>
      <w:ind w:left="-142"/>
    </w:pPr>
    <w:rPr>
      <w:noProof/>
    </w:rPr>
  </w:style>
  <w:style w:type="character" w:styleId="Hyperlink">
    <w:name w:val="Hyperlink"/>
    <w:uiPriority w:val="99"/>
    <w:unhideWhenUsed/>
    <w:rsid w:val="00E432FF"/>
    <w:rPr>
      <w:color w:val="000000"/>
      <w:u w:val="single"/>
    </w:rPr>
  </w:style>
  <w:style w:type="paragraph" w:customStyle="1" w:styleId="ContentsHeading">
    <w:name w:val="Contents Heading"/>
    <w:basedOn w:val="Normal"/>
    <w:qFormat/>
    <w:rsid w:val="00F52C09"/>
    <w:pPr>
      <w:spacing w:after="360"/>
    </w:pPr>
    <w:rPr>
      <w:b/>
      <w:color w:val="FF0000"/>
    </w:rPr>
  </w:style>
  <w:style w:type="paragraph" w:customStyle="1" w:styleId="AppendixHeading1">
    <w:name w:val="Appendix Heading 1"/>
    <w:basedOn w:val="Heading1"/>
    <w:qFormat/>
    <w:rsid w:val="000F27EC"/>
    <w:pPr>
      <w:framePr w:wrap="around"/>
      <w:numPr>
        <w:numId w:val="3"/>
      </w:numPr>
      <w:spacing w:after="0" w:line="240" w:lineRule="auto"/>
      <w:ind w:left="601" w:hanging="601"/>
    </w:pPr>
  </w:style>
  <w:style w:type="paragraph" w:styleId="TOCHeading">
    <w:name w:val="TOC Heading"/>
    <w:basedOn w:val="Heading1"/>
    <w:next w:val="Normal"/>
    <w:uiPriority w:val="39"/>
    <w:unhideWhenUsed/>
    <w:qFormat/>
    <w:rsid w:val="00CF7543"/>
    <w:pPr>
      <w:keepNext/>
      <w:keepLines/>
      <w:pageBreakBefore w:val="0"/>
      <w:framePr w:w="0" w:hSpace="0" w:wrap="auto" w:vAnchor="margin" w:hAnchor="text" w:xAlign="left" w:yAlign="inline"/>
      <w:numPr>
        <w:numId w:val="0"/>
      </w:numPr>
      <w:spacing w:before="480" w:after="0" w:line="276" w:lineRule="auto"/>
      <w:outlineLvl w:val="9"/>
    </w:pPr>
    <w:rPr>
      <w:rFonts w:asciiTheme="majorHAnsi" w:eastAsiaTheme="majorEastAsia" w:hAnsiTheme="majorHAnsi" w:cstheme="majorBidi"/>
      <w:b/>
      <w:bCs/>
      <w:color w:val="365F91" w:themeColor="accent1" w:themeShade="BF"/>
      <w:lang w:val="en-US" w:eastAsia="ja-JP"/>
    </w:rPr>
  </w:style>
  <w:style w:type="paragraph" w:styleId="TOC3">
    <w:name w:val="toc 3"/>
    <w:basedOn w:val="Normal"/>
    <w:next w:val="Normal"/>
    <w:autoRedefine/>
    <w:uiPriority w:val="39"/>
    <w:unhideWhenUsed/>
    <w:rsid w:val="00CF7543"/>
    <w:pPr>
      <w:spacing w:after="100"/>
      <w:ind w:left="400"/>
    </w:pPr>
  </w:style>
  <w:style w:type="paragraph" w:styleId="BalloonText">
    <w:name w:val="Balloon Text"/>
    <w:basedOn w:val="Normal"/>
    <w:link w:val="BalloonTextChar"/>
    <w:uiPriority w:val="99"/>
    <w:semiHidden/>
    <w:unhideWhenUsed/>
    <w:rsid w:val="00CF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43"/>
    <w:rPr>
      <w:rFonts w:ascii="Tahoma" w:hAnsi="Tahoma" w:cs="Tahoma"/>
      <w:sz w:val="16"/>
      <w:szCs w:val="16"/>
      <w:lang w:eastAsia="en-US"/>
    </w:rPr>
  </w:style>
  <w:style w:type="paragraph" w:styleId="NormalWeb">
    <w:name w:val="Normal (Web)"/>
    <w:basedOn w:val="Normal"/>
    <w:uiPriority w:val="99"/>
    <w:semiHidden/>
    <w:unhideWhenUsed/>
    <w:rsid w:val="0070575A"/>
    <w:pPr>
      <w:spacing w:before="100" w:beforeAutospacing="1" w:after="100" w:afterAutospacing="1" w:line="240" w:lineRule="auto"/>
    </w:pPr>
    <w:rPr>
      <w:rFonts w:ascii="Times New Roman" w:eastAsiaTheme="minorEastAsia" w:hAnsi="Times New Roman"/>
      <w:sz w:val="24"/>
      <w:szCs w:val="24"/>
      <w:lang w:eastAsia="en-AU"/>
    </w:rPr>
  </w:style>
  <w:style w:type="paragraph" w:customStyle="1" w:styleId="BODYCOPY">
    <w:name w:val="BODYCOPY"/>
    <w:basedOn w:val="Normal"/>
    <w:rsid w:val="006748C3"/>
    <w:pPr>
      <w:widowControl w:val="0"/>
      <w:suppressAutoHyphens/>
      <w:autoSpaceDE w:val="0"/>
      <w:autoSpaceDN w:val="0"/>
      <w:adjustRightInd w:val="0"/>
      <w:spacing w:before="120" w:after="0"/>
      <w:textAlignment w:val="center"/>
    </w:pPr>
    <w:rPr>
      <w:rFonts w:eastAsia="Times New Roman" w:cs="Arial"/>
      <w:color w:val="000000"/>
      <w:lang w:val="en-US" w:bidi="en-US"/>
    </w:rPr>
  </w:style>
  <w:style w:type="character" w:styleId="CommentReference">
    <w:name w:val="annotation reference"/>
    <w:uiPriority w:val="99"/>
    <w:unhideWhenUsed/>
    <w:rsid w:val="003022BD"/>
    <w:rPr>
      <w:sz w:val="16"/>
      <w:szCs w:val="16"/>
    </w:rPr>
  </w:style>
  <w:style w:type="paragraph" w:styleId="CommentText">
    <w:name w:val="annotation text"/>
    <w:basedOn w:val="Normal"/>
    <w:link w:val="CommentTextChar"/>
    <w:uiPriority w:val="99"/>
    <w:unhideWhenUsed/>
    <w:rsid w:val="003022BD"/>
    <w:pPr>
      <w:spacing w:after="0" w:line="240" w:lineRule="auto"/>
    </w:pPr>
    <w:rPr>
      <w:rFonts w:ascii="Delicious-Roman" w:eastAsia="MS Mincho" w:hAnsi="Delicious-Roman"/>
      <w:lang w:val="en-US" w:eastAsia="x-none"/>
    </w:rPr>
  </w:style>
  <w:style w:type="character" w:customStyle="1" w:styleId="CommentTextChar">
    <w:name w:val="Comment Text Char"/>
    <w:basedOn w:val="DefaultParagraphFont"/>
    <w:link w:val="CommentText"/>
    <w:uiPriority w:val="99"/>
    <w:rsid w:val="003022BD"/>
    <w:rPr>
      <w:rFonts w:ascii="Delicious-Roman" w:eastAsia="MS Mincho" w:hAnsi="Delicious-Roman"/>
      <w:lang w:val="en-US" w:eastAsia="x-none"/>
    </w:rPr>
  </w:style>
  <w:style w:type="paragraph" w:customStyle="1" w:styleId="Default">
    <w:name w:val="Default"/>
    <w:rsid w:val="003207A3"/>
    <w:pPr>
      <w:autoSpaceDE w:val="0"/>
      <w:autoSpaceDN w:val="0"/>
      <w:adjustRightInd w:val="0"/>
    </w:pPr>
    <w:rPr>
      <w:rFonts w:ascii="Arial" w:eastAsiaTheme="minorHAnsi" w:hAnsi="Arial" w:cs="Arial"/>
      <w:color w:val="000000"/>
      <w:sz w:val="24"/>
      <w:szCs w:val="24"/>
      <w:lang w:eastAsia="en-US"/>
    </w:rPr>
  </w:style>
  <w:style w:type="paragraph" w:styleId="EndnoteText">
    <w:name w:val="endnote text"/>
    <w:basedOn w:val="Normal"/>
    <w:link w:val="EndnoteTextChar"/>
    <w:uiPriority w:val="99"/>
    <w:semiHidden/>
    <w:unhideWhenUsed/>
    <w:rsid w:val="001B3EB9"/>
    <w:pPr>
      <w:spacing w:after="0" w:line="240" w:lineRule="auto"/>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B3EB9"/>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1B3EB9"/>
    <w:rPr>
      <w:vertAlign w:val="superscript"/>
    </w:rPr>
  </w:style>
  <w:style w:type="paragraph" w:styleId="FootnoteText">
    <w:name w:val="footnote text"/>
    <w:basedOn w:val="Normal"/>
    <w:link w:val="FootnoteTextChar"/>
    <w:uiPriority w:val="99"/>
    <w:semiHidden/>
    <w:unhideWhenUsed/>
    <w:rsid w:val="001C2124"/>
    <w:pPr>
      <w:spacing w:after="0" w:line="240" w:lineRule="auto"/>
    </w:pPr>
    <w:rPr>
      <w:rFonts w:eastAsiaTheme="minorHAnsi" w:cstheme="minorBidi"/>
      <w:lang w:val="en-US"/>
    </w:rPr>
  </w:style>
  <w:style w:type="character" w:customStyle="1" w:styleId="FootnoteTextChar">
    <w:name w:val="Footnote Text Char"/>
    <w:basedOn w:val="DefaultParagraphFont"/>
    <w:link w:val="FootnoteText"/>
    <w:uiPriority w:val="99"/>
    <w:semiHidden/>
    <w:rsid w:val="001C2124"/>
    <w:rPr>
      <w:rFonts w:ascii="Arial" w:eastAsiaTheme="minorHAnsi" w:hAnsi="Arial" w:cstheme="minorBidi"/>
      <w:lang w:val="en-US" w:eastAsia="en-US"/>
    </w:rPr>
  </w:style>
  <w:style w:type="character" w:styleId="FootnoteReference">
    <w:name w:val="footnote reference"/>
    <w:basedOn w:val="DefaultParagraphFont"/>
    <w:unhideWhenUsed/>
    <w:rsid w:val="001C2124"/>
    <w:rPr>
      <w:vertAlign w:val="superscript"/>
    </w:rPr>
  </w:style>
  <w:style w:type="character" w:customStyle="1" w:styleId="ListParagraphChar">
    <w:name w:val="List Paragraph Char"/>
    <w:aliases w:val="Bullet List Char"/>
    <w:link w:val="ListParagraph"/>
    <w:uiPriority w:val="34"/>
    <w:locked/>
    <w:rsid w:val="001C212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02214">
      <w:bodyDiv w:val="1"/>
      <w:marLeft w:val="0"/>
      <w:marRight w:val="0"/>
      <w:marTop w:val="0"/>
      <w:marBottom w:val="0"/>
      <w:divBdr>
        <w:top w:val="none" w:sz="0" w:space="0" w:color="auto"/>
        <w:left w:val="none" w:sz="0" w:space="0" w:color="auto"/>
        <w:bottom w:val="none" w:sz="0" w:space="0" w:color="auto"/>
        <w:right w:val="none" w:sz="0" w:space="0" w:color="auto"/>
      </w:divBdr>
    </w:div>
    <w:div w:id="1149830367">
      <w:bodyDiv w:val="1"/>
      <w:marLeft w:val="0"/>
      <w:marRight w:val="0"/>
      <w:marTop w:val="0"/>
      <w:marBottom w:val="0"/>
      <w:divBdr>
        <w:top w:val="none" w:sz="0" w:space="0" w:color="auto"/>
        <w:left w:val="none" w:sz="0" w:space="0" w:color="auto"/>
        <w:bottom w:val="none" w:sz="0" w:space="0" w:color="auto"/>
        <w:right w:val="none" w:sz="0" w:space="0" w:color="auto"/>
      </w:divBdr>
    </w:div>
    <w:div w:id="1388920299">
      <w:bodyDiv w:val="1"/>
      <w:marLeft w:val="0"/>
      <w:marRight w:val="0"/>
      <w:marTop w:val="0"/>
      <w:marBottom w:val="0"/>
      <w:divBdr>
        <w:top w:val="none" w:sz="0" w:space="0" w:color="auto"/>
        <w:left w:val="none" w:sz="0" w:space="0" w:color="auto"/>
        <w:bottom w:val="none" w:sz="0" w:space="0" w:color="auto"/>
        <w:right w:val="none" w:sz="0" w:space="0" w:color="auto"/>
      </w:divBdr>
    </w:div>
    <w:div w:id="17099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D\Downloads\TSF-REPORT_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71C6-A3DA-4CF9-BF7F-23CFEF2A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B08EA-74E7-46A8-B0C6-0B6E18DAEB08}">
  <ds:schemaRefs>
    <ds:schemaRef ds:uri="http://schemas.microsoft.com/sharepoint/v3/contenttype/forms"/>
  </ds:schemaRefs>
</ds:datastoreItem>
</file>

<file path=customXml/itemProps3.xml><?xml version="1.0" encoding="utf-8"?>
<ds:datastoreItem xmlns:ds="http://schemas.openxmlformats.org/officeDocument/2006/customXml" ds:itemID="{F7857A30-5B79-48A5-801C-03E5F3BDA7FD}">
  <ds:schemaRefs>
    <ds:schemaRef ds:uri="Microsoft.SharePoint.Taxonomy.ContentTypeSync"/>
  </ds:schemaRefs>
</ds:datastoreItem>
</file>

<file path=customXml/itemProps4.xml><?xml version="1.0" encoding="utf-8"?>
<ds:datastoreItem xmlns:ds="http://schemas.openxmlformats.org/officeDocument/2006/customXml" ds:itemID="{CCCF8848-D401-45F2-B89B-9A14C06AABFD}">
  <ds:schemaRefs>
    <ds:schemaRef ds:uri="http://schemas.openxmlformats.org/package/2006/metadata/core-properties"/>
    <ds:schemaRef ds:uri="http://purl.org/dc/terms/"/>
    <ds:schemaRef ds:uri="8044c801-d84b-4ee1-a77e-678f8dcdee17"/>
    <ds:schemaRef ds:uri="http://purl.org/dc/dcmitype/"/>
    <ds:schemaRef ds:uri="http://purl.org/dc/elements/1.1/"/>
    <ds:schemaRef ds:uri="http://schemas.microsoft.com/office/2006/documentManagement/types"/>
    <ds:schemaRef ds:uri="3f4bcce7-ac1a-4c9d-aa3e-7e77695652db"/>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110F621-DDFE-40A3-BCA8-054F9E1F120B}">
  <ds:schemaRefs>
    <ds:schemaRef ds:uri="http://schemas.microsoft.com/office/2006/metadata/customXsn"/>
  </ds:schemaRefs>
</ds:datastoreItem>
</file>

<file path=customXml/itemProps6.xml><?xml version="1.0" encoding="utf-8"?>
<ds:datastoreItem xmlns:ds="http://schemas.openxmlformats.org/officeDocument/2006/customXml" ds:itemID="{87B47AFD-E4E3-4639-AE4A-FBAA9356EF38}">
  <ds:schemaRefs>
    <ds:schemaRef ds:uri="http://schemas.microsoft.com/sharepoint/events"/>
  </ds:schemaRefs>
</ds:datastoreItem>
</file>

<file path=customXml/itemProps7.xml><?xml version="1.0" encoding="utf-8"?>
<ds:datastoreItem xmlns:ds="http://schemas.openxmlformats.org/officeDocument/2006/customXml" ds:itemID="{96F3E276-F7E6-4100-BD4D-41EC4A54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TSF-REPORT_COLOUR.dot</Template>
  <TotalTime>165</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 257 - The Smith Family - Identifying Sectors for Reform - 1st Stage of the Human Services public inquiry</vt:lpstr>
    </vt:vector>
  </TitlesOfParts>
  <Company>The Smith Family</Company>
  <LinksUpToDate>false</LinksUpToDate>
  <CharactersWithSpaces>12359</CharactersWithSpaces>
  <SharedDoc>false</SharedDoc>
  <HLinks>
    <vt:vector size="18" baseType="variant">
      <vt:variant>
        <vt:i4>1966133</vt:i4>
      </vt:variant>
      <vt:variant>
        <vt:i4>26</vt:i4>
      </vt:variant>
      <vt:variant>
        <vt:i4>0</vt:i4>
      </vt:variant>
      <vt:variant>
        <vt:i4>5</vt:i4>
      </vt:variant>
      <vt:variant>
        <vt:lpwstr/>
      </vt:variant>
      <vt:variant>
        <vt:lpwstr>_Toc316913126</vt:lpwstr>
      </vt:variant>
      <vt:variant>
        <vt:i4>1966133</vt:i4>
      </vt:variant>
      <vt:variant>
        <vt:i4>17</vt:i4>
      </vt:variant>
      <vt:variant>
        <vt:i4>0</vt:i4>
      </vt:variant>
      <vt:variant>
        <vt:i4>5</vt:i4>
      </vt:variant>
      <vt:variant>
        <vt:lpwstr/>
      </vt:variant>
      <vt:variant>
        <vt:lpwstr>_Toc316913125</vt:lpwstr>
      </vt:variant>
      <vt:variant>
        <vt:i4>1966133</vt:i4>
      </vt:variant>
      <vt:variant>
        <vt:i4>11</vt:i4>
      </vt:variant>
      <vt:variant>
        <vt:i4>0</vt:i4>
      </vt:variant>
      <vt:variant>
        <vt:i4>5</vt:i4>
      </vt:variant>
      <vt:variant>
        <vt:lpwstr/>
      </vt:variant>
      <vt:variant>
        <vt:lpwstr>_Toc316913124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257 - The Smith Family - Identifying Sectors for Reform - 1st Stage of the Human Services public inquiry</dc:title>
  <dc:creator>The Smith Family</dc:creator>
  <cp:keywords/>
  <cp:lastModifiedBy>Productivity Commission</cp:lastModifiedBy>
  <cp:revision>9</cp:revision>
  <cp:lastPrinted>2015-03-26T08:23:00Z</cp:lastPrinted>
  <dcterms:created xsi:type="dcterms:W3CDTF">2016-07-31T08:40:00Z</dcterms:created>
  <dcterms:modified xsi:type="dcterms:W3CDTF">2016-08-08T01:18:00Z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