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E70F8A" w14:textId="24855668" w:rsidR="00381CE8" w:rsidRPr="00965B1F" w:rsidRDefault="00BA48AE" w:rsidP="00381CE8">
      <w:pPr>
        <w:spacing w:after="0" w:line="276" w:lineRule="auto"/>
        <w:rPr>
          <w:rFonts w:cstheme="minorHAnsi"/>
          <w:b/>
        </w:rPr>
      </w:pPr>
      <w:r>
        <w:rPr>
          <w:noProof/>
          <w:lang w:eastAsia="en-AU"/>
        </w:rPr>
        <w:drawing>
          <wp:anchor distT="0" distB="0" distL="114300" distR="114300" simplePos="0" relativeHeight="251661312" behindDoc="0" locked="0" layoutInCell="1" allowOverlap="1" wp14:anchorId="4B4D9FAC" wp14:editId="5CC2AE19">
            <wp:simplePos x="0" y="0"/>
            <wp:positionH relativeFrom="column">
              <wp:posOffset>3800475</wp:posOffset>
            </wp:positionH>
            <wp:positionV relativeFrom="paragraph">
              <wp:posOffset>-457835</wp:posOffset>
            </wp:positionV>
            <wp:extent cx="1952625" cy="1115786"/>
            <wp:effectExtent l="0" t="0" r="0" b="8255"/>
            <wp:wrapNone/>
            <wp:docPr id="2" name="Picture 2" descr="cid:image006.jpg@01D26CBE.2CAD0B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6F68B8D-F9D7-482A-82B3-8B7E3C72AD49" descr="cid:image006.jpg@01D26CBE.2CAD0BD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952625" cy="11157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4BCBC4" w14:textId="715F96FF" w:rsidR="00381CE8" w:rsidRDefault="00381CE8" w:rsidP="00381CE8">
      <w:pPr>
        <w:spacing w:after="0" w:line="276" w:lineRule="auto"/>
        <w:rPr>
          <w:rFonts w:cstheme="minorHAnsi"/>
          <w:b/>
        </w:rPr>
      </w:pPr>
    </w:p>
    <w:p w14:paraId="7EA683BB" w14:textId="0F73C4B2" w:rsidR="00381CE8" w:rsidRDefault="00381CE8" w:rsidP="00381CE8">
      <w:pPr>
        <w:spacing w:after="0" w:line="276" w:lineRule="auto"/>
        <w:rPr>
          <w:rFonts w:cstheme="minorHAnsi"/>
          <w:b/>
        </w:rPr>
      </w:pPr>
    </w:p>
    <w:p w14:paraId="2DB2A9A2" w14:textId="46CEEADC" w:rsidR="00381CE8" w:rsidRDefault="00381CE8" w:rsidP="00381CE8">
      <w:pPr>
        <w:spacing w:after="0" w:line="276" w:lineRule="auto"/>
        <w:rPr>
          <w:rFonts w:cstheme="minorHAnsi"/>
          <w:b/>
        </w:rPr>
      </w:pPr>
    </w:p>
    <w:p w14:paraId="547C0201" w14:textId="0F441ECC" w:rsidR="00381CE8" w:rsidRDefault="00381CE8" w:rsidP="00381CE8">
      <w:pPr>
        <w:spacing w:after="0" w:line="276" w:lineRule="auto"/>
        <w:rPr>
          <w:rFonts w:cstheme="minorHAnsi"/>
          <w:b/>
        </w:rPr>
      </w:pPr>
    </w:p>
    <w:p w14:paraId="3FB8F6A3" w14:textId="3AF88417" w:rsidR="00381CE8" w:rsidRDefault="00381CE8" w:rsidP="00381CE8">
      <w:pPr>
        <w:spacing w:after="0" w:line="276" w:lineRule="auto"/>
        <w:rPr>
          <w:rFonts w:cstheme="minorHAnsi"/>
          <w:b/>
        </w:rPr>
      </w:pPr>
    </w:p>
    <w:p w14:paraId="20A47421" w14:textId="761526FB" w:rsidR="00381CE8" w:rsidRDefault="00381CE8" w:rsidP="00381CE8">
      <w:pPr>
        <w:spacing w:after="0" w:line="276" w:lineRule="auto"/>
        <w:rPr>
          <w:rFonts w:cstheme="minorHAnsi"/>
          <w:b/>
        </w:rPr>
      </w:pPr>
    </w:p>
    <w:p w14:paraId="2985E0D7" w14:textId="259D922B" w:rsidR="00381CE8" w:rsidRDefault="00381CE8" w:rsidP="00381CE8">
      <w:pPr>
        <w:spacing w:after="0" w:line="276" w:lineRule="auto"/>
        <w:rPr>
          <w:rFonts w:cstheme="minorHAnsi"/>
          <w:b/>
        </w:rPr>
      </w:pPr>
    </w:p>
    <w:p w14:paraId="37127672" w14:textId="5A56CFB9" w:rsidR="00381CE8" w:rsidRDefault="00381CE8" w:rsidP="00381CE8">
      <w:pPr>
        <w:spacing w:after="0" w:line="276" w:lineRule="auto"/>
        <w:rPr>
          <w:rFonts w:cstheme="minorHAnsi"/>
          <w:b/>
        </w:rPr>
      </w:pPr>
    </w:p>
    <w:p w14:paraId="4F6BE404" w14:textId="7917584C" w:rsidR="00381CE8" w:rsidRDefault="00381CE8" w:rsidP="00381CE8">
      <w:pPr>
        <w:spacing w:after="0" w:line="276" w:lineRule="auto"/>
        <w:rPr>
          <w:rFonts w:cstheme="minorHAnsi"/>
          <w:b/>
        </w:rPr>
      </w:pPr>
    </w:p>
    <w:p w14:paraId="0FA35C90" w14:textId="0922CB05" w:rsidR="00381CE8" w:rsidRDefault="00381CE8" w:rsidP="00381CE8">
      <w:pPr>
        <w:spacing w:after="0" w:line="276" w:lineRule="auto"/>
        <w:rPr>
          <w:rFonts w:cstheme="minorHAnsi"/>
          <w:b/>
        </w:rPr>
      </w:pPr>
    </w:p>
    <w:p w14:paraId="16D335F7" w14:textId="77777777" w:rsidR="00381CE8" w:rsidRPr="00965B1F" w:rsidRDefault="00381CE8" w:rsidP="00381CE8">
      <w:pPr>
        <w:spacing w:after="0" w:line="276" w:lineRule="auto"/>
        <w:rPr>
          <w:rFonts w:cstheme="minorHAnsi"/>
          <w:b/>
        </w:rPr>
      </w:pPr>
    </w:p>
    <w:p w14:paraId="64D5059A" w14:textId="77777777" w:rsidR="00381CE8" w:rsidRPr="00965B1F" w:rsidRDefault="00381CE8" w:rsidP="00381CE8">
      <w:pPr>
        <w:spacing w:after="0" w:line="276" w:lineRule="auto"/>
        <w:rPr>
          <w:rFonts w:cstheme="minorHAnsi"/>
          <w:b/>
        </w:rPr>
      </w:pPr>
    </w:p>
    <w:p w14:paraId="5B44D842" w14:textId="4B39B440" w:rsidR="00381CE8" w:rsidRPr="0090402A" w:rsidRDefault="00381CE8" w:rsidP="00381CE8">
      <w:pPr>
        <w:spacing w:after="0" w:line="276" w:lineRule="auto"/>
        <w:rPr>
          <w:rFonts w:cstheme="minorHAnsi"/>
          <w:b/>
          <w:color w:val="0070C0"/>
          <w:sz w:val="28"/>
        </w:rPr>
      </w:pPr>
      <w:r w:rsidRPr="0090402A">
        <w:rPr>
          <w:rFonts w:cstheme="minorHAnsi"/>
          <w:b/>
          <w:color w:val="0070C0"/>
          <w:sz w:val="28"/>
        </w:rPr>
        <w:t xml:space="preserve">Connect Health </w:t>
      </w:r>
      <w:r w:rsidR="00E81BF4">
        <w:rPr>
          <w:rFonts w:cstheme="minorHAnsi"/>
          <w:b/>
          <w:color w:val="0070C0"/>
          <w:sz w:val="28"/>
        </w:rPr>
        <w:t>&amp;</w:t>
      </w:r>
      <w:r w:rsidRPr="0090402A">
        <w:rPr>
          <w:rFonts w:cstheme="minorHAnsi"/>
          <w:b/>
          <w:color w:val="0070C0"/>
          <w:sz w:val="28"/>
        </w:rPr>
        <w:t xml:space="preserve"> Community </w:t>
      </w:r>
    </w:p>
    <w:p w14:paraId="7B294AB8" w14:textId="77777777" w:rsidR="00381CE8" w:rsidRPr="0090402A" w:rsidRDefault="00381CE8" w:rsidP="00381CE8">
      <w:pPr>
        <w:spacing w:after="0" w:line="276" w:lineRule="auto"/>
        <w:rPr>
          <w:rFonts w:cstheme="minorHAnsi"/>
          <w:b/>
          <w:color w:val="0070C0"/>
          <w:sz w:val="28"/>
        </w:rPr>
      </w:pPr>
    </w:p>
    <w:p w14:paraId="7A246083" w14:textId="77777777" w:rsidR="00381CE8" w:rsidRPr="0090402A" w:rsidRDefault="00381CE8" w:rsidP="00381CE8">
      <w:pPr>
        <w:spacing w:after="0" w:line="276" w:lineRule="auto"/>
        <w:rPr>
          <w:rFonts w:cstheme="minorHAnsi"/>
          <w:color w:val="0070C0"/>
          <w:sz w:val="28"/>
        </w:rPr>
      </w:pPr>
      <w:r w:rsidRPr="0090402A">
        <w:rPr>
          <w:rFonts w:cstheme="minorHAnsi"/>
          <w:b/>
          <w:color w:val="0070C0"/>
          <w:sz w:val="28"/>
        </w:rPr>
        <w:t>Response to Productivity Commission Issues Paper – January 2019</w:t>
      </w:r>
    </w:p>
    <w:p w14:paraId="6097828A" w14:textId="77777777" w:rsidR="00381CE8" w:rsidRPr="0090402A" w:rsidRDefault="00381CE8" w:rsidP="00381CE8">
      <w:pPr>
        <w:spacing w:after="0" w:line="276" w:lineRule="auto"/>
        <w:rPr>
          <w:rFonts w:cstheme="minorHAnsi"/>
          <w:b/>
          <w:color w:val="0070C0"/>
          <w:sz w:val="28"/>
        </w:rPr>
      </w:pPr>
      <w:r w:rsidRPr="0090402A">
        <w:rPr>
          <w:rFonts w:cstheme="minorHAnsi"/>
          <w:b/>
          <w:color w:val="0070C0"/>
          <w:sz w:val="28"/>
        </w:rPr>
        <w:t>The Social and Economic Benefits of Improving Mental Health</w:t>
      </w:r>
      <w:bookmarkStart w:id="0" w:name="_GoBack"/>
      <w:bookmarkEnd w:id="0"/>
    </w:p>
    <w:p w14:paraId="2F77D933" w14:textId="77777777" w:rsidR="00381CE8" w:rsidRPr="001E73B5" w:rsidRDefault="00381CE8" w:rsidP="00381CE8">
      <w:pPr>
        <w:spacing w:after="0" w:line="276" w:lineRule="auto"/>
        <w:rPr>
          <w:rFonts w:cstheme="minorHAnsi"/>
          <w:sz w:val="28"/>
        </w:rPr>
      </w:pPr>
    </w:p>
    <w:p w14:paraId="23D4570A" w14:textId="77777777" w:rsidR="00381CE8" w:rsidRDefault="00381CE8" w:rsidP="00381CE8">
      <w:pPr>
        <w:spacing w:after="0" w:line="276" w:lineRule="auto"/>
        <w:rPr>
          <w:rFonts w:cstheme="minorHAnsi"/>
          <w:b/>
          <w:sz w:val="28"/>
        </w:rPr>
      </w:pPr>
    </w:p>
    <w:p w14:paraId="241BE87C" w14:textId="77777777" w:rsidR="00381CE8" w:rsidRDefault="00381CE8" w:rsidP="00381CE8">
      <w:pPr>
        <w:spacing w:after="0" w:line="276" w:lineRule="auto"/>
        <w:rPr>
          <w:rFonts w:cstheme="minorHAnsi"/>
          <w:b/>
          <w:sz w:val="28"/>
        </w:rPr>
      </w:pPr>
    </w:p>
    <w:p w14:paraId="5DB2AC52" w14:textId="77777777" w:rsidR="00381CE8" w:rsidRPr="0090402A" w:rsidRDefault="00381CE8" w:rsidP="00381CE8">
      <w:pPr>
        <w:spacing w:after="0" w:line="276" w:lineRule="auto"/>
        <w:rPr>
          <w:rFonts w:cstheme="minorHAnsi"/>
          <w:b/>
          <w:color w:val="0070C0"/>
          <w:sz w:val="28"/>
        </w:rPr>
      </w:pPr>
      <w:r w:rsidRPr="0090402A">
        <w:rPr>
          <w:rFonts w:cstheme="minorHAnsi"/>
          <w:b/>
          <w:color w:val="0070C0"/>
          <w:sz w:val="28"/>
        </w:rPr>
        <w:t>Submission April 2019</w:t>
      </w:r>
    </w:p>
    <w:p w14:paraId="2A89A660" w14:textId="77777777" w:rsidR="00381CE8" w:rsidRPr="00965B1F" w:rsidRDefault="00381CE8" w:rsidP="00381CE8">
      <w:pPr>
        <w:spacing w:after="0" w:line="276" w:lineRule="auto"/>
        <w:rPr>
          <w:rFonts w:cstheme="minorHAnsi"/>
          <w:b/>
        </w:rPr>
      </w:pPr>
    </w:p>
    <w:p w14:paraId="7DC06984" w14:textId="6372B69B" w:rsidR="00381CE8" w:rsidRPr="001E73B5" w:rsidRDefault="00381CE8" w:rsidP="00381CE8">
      <w:pPr>
        <w:spacing w:after="0" w:line="276" w:lineRule="auto"/>
        <w:rPr>
          <w:rFonts w:cstheme="minorHAnsi"/>
        </w:rPr>
      </w:pPr>
      <w:r w:rsidRPr="001E73B5">
        <w:rPr>
          <w:rFonts w:cstheme="minorHAnsi"/>
        </w:rPr>
        <w:t>Written by</w:t>
      </w:r>
      <w:r>
        <w:rPr>
          <w:rFonts w:cstheme="minorHAnsi"/>
        </w:rPr>
        <w:t xml:space="preserve"> </w:t>
      </w:r>
      <w:r w:rsidR="00CD7B60" w:rsidRPr="00CD7B60">
        <w:rPr>
          <w:rFonts w:cstheme="minorHAnsi"/>
        </w:rPr>
        <w:t>Anastasia Sagris-Desmond</w:t>
      </w:r>
      <w:r w:rsidR="00CD7B60">
        <w:rPr>
          <w:rFonts w:cstheme="minorHAnsi"/>
        </w:rPr>
        <w:t>,</w:t>
      </w:r>
      <w:r w:rsidR="00CD7B60" w:rsidRPr="00CD7B60">
        <w:rPr>
          <w:rFonts w:cstheme="minorHAnsi"/>
        </w:rPr>
        <w:t xml:space="preserve"> </w:t>
      </w:r>
      <w:r w:rsidR="00CD7B60">
        <w:rPr>
          <w:rFonts w:cstheme="minorHAnsi"/>
        </w:rPr>
        <w:t xml:space="preserve">Barbara Ryan, Effie Sougias, </w:t>
      </w:r>
      <w:r w:rsidR="00CD7B60" w:rsidRPr="00CD7B60">
        <w:rPr>
          <w:rFonts w:cstheme="minorHAnsi"/>
        </w:rPr>
        <w:t>Jasminka Kosanovic</w:t>
      </w:r>
      <w:r w:rsidR="00CD7B60">
        <w:rPr>
          <w:rFonts w:cstheme="minorHAnsi"/>
        </w:rPr>
        <w:t>,</w:t>
      </w:r>
      <w:r w:rsidR="00CD7B60" w:rsidRPr="00CD7B60">
        <w:rPr>
          <w:rFonts w:cstheme="minorHAnsi"/>
        </w:rPr>
        <w:t xml:space="preserve"> </w:t>
      </w:r>
      <w:r w:rsidR="00CD7B60">
        <w:rPr>
          <w:rFonts w:cstheme="minorHAnsi"/>
        </w:rPr>
        <w:t>Kirstie Edwards and Merryn Wheeler</w:t>
      </w:r>
    </w:p>
    <w:p w14:paraId="599CF971" w14:textId="77777777" w:rsidR="00381CE8" w:rsidRPr="00965B1F" w:rsidRDefault="00381CE8" w:rsidP="00381CE8">
      <w:pPr>
        <w:spacing w:after="0" w:line="276" w:lineRule="auto"/>
        <w:rPr>
          <w:rFonts w:cstheme="minorHAnsi"/>
          <w:b/>
        </w:rPr>
      </w:pPr>
    </w:p>
    <w:p w14:paraId="761A5411" w14:textId="77777777" w:rsidR="00381CE8" w:rsidRPr="00965B1F" w:rsidRDefault="00381CE8" w:rsidP="00381CE8">
      <w:pPr>
        <w:spacing w:after="0" w:line="276" w:lineRule="auto"/>
        <w:rPr>
          <w:rFonts w:cstheme="minorHAnsi"/>
        </w:rPr>
      </w:pPr>
    </w:p>
    <w:p w14:paraId="6B17FF38" w14:textId="77777777" w:rsidR="00381CE8" w:rsidRPr="00965B1F" w:rsidRDefault="00381CE8" w:rsidP="00381CE8">
      <w:pPr>
        <w:spacing w:after="0" w:line="276" w:lineRule="auto"/>
        <w:rPr>
          <w:rFonts w:cstheme="minorHAnsi"/>
        </w:rPr>
      </w:pPr>
    </w:p>
    <w:p w14:paraId="12A6E8AE" w14:textId="77777777" w:rsidR="00381CE8" w:rsidRDefault="00381CE8" w:rsidP="00381CE8">
      <w:pPr>
        <w:spacing w:after="0" w:line="276" w:lineRule="auto"/>
        <w:rPr>
          <w:rFonts w:cstheme="minorHAnsi"/>
        </w:rPr>
      </w:pPr>
    </w:p>
    <w:p w14:paraId="28390CE4" w14:textId="77777777" w:rsidR="00381CE8" w:rsidRPr="00965B1F" w:rsidRDefault="00381CE8" w:rsidP="00381CE8">
      <w:pPr>
        <w:spacing w:after="0" w:line="276" w:lineRule="auto"/>
        <w:rPr>
          <w:rFonts w:cstheme="minorHAnsi"/>
        </w:rPr>
      </w:pPr>
      <w:r w:rsidRPr="00965B1F">
        <w:rPr>
          <w:rFonts w:cstheme="minorHAnsi"/>
        </w:rPr>
        <w:t xml:space="preserve">Contact </w:t>
      </w:r>
    </w:p>
    <w:p w14:paraId="2FB04AB7" w14:textId="77777777" w:rsidR="00381CE8" w:rsidRPr="00965B1F" w:rsidRDefault="00381CE8" w:rsidP="00381CE8">
      <w:pPr>
        <w:spacing w:after="0" w:line="276" w:lineRule="auto"/>
        <w:ind w:firstLine="720"/>
        <w:rPr>
          <w:rFonts w:cstheme="minorHAnsi"/>
        </w:rPr>
      </w:pPr>
      <w:r w:rsidRPr="00965B1F">
        <w:rPr>
          <w:rFonts w:cstheme="minorHAnsi"/>
        </w:rPr>
        <w:t>Amanda Murphy</w:t>
      </w:r>
    </w:p>
    <w:p w14:paraId="192F17B0" w14:textId="3F2F4E02" w:rsidR="00381CE8" w:rsidRPr="00965B1F" w:rsidRDefault="00381CE8" w:rsidP="00381CE8">
      <w:pPr>
        <w:spacing w:after="0" w:line="276" w:lineRule="auto"/>
        <w:rPr>
          <w:rFonts w:cstheme="minorHAnsi"/>
        </w:rPr>
      </w:pPr>
      <w:r w:rsidRPr="00965B1F">
        <w:rPr>
          <w:rFonts w:cstheme="minorHAnsi"/>
        </w:rPr>
        <w:tab/>
        <w:t xml:space="preserve">Connect Health </w:t>
      </w:r>
      <w:r w:rsidR="00E81BF4">
        <w:rPr>
          <w:rFonts w:cstheme="minorHAnsi"/>
        </w:rPr>
        <w:t>&amp;</w:t>
      </w:r>
      <w:r w:rsidRPr="00965B1F">
        <w:rPr>
          <w:rFonts w:cstheme="minorHAnsi"/>
        </w:rPr>
        <w:t xml:space="preserve"> Community</w:t>
      </w:r>
    </w:p>
    <w:p w14:paraId="3EAC802C" w14:textId="77777777" w:rsidR="00381CE8" w:rsidRPr="00965B1F" w:rsidRDefault="00381CE8" w:rsidP="00381CE8">
      <w:pPr>
        <w:spacing w:after="0" w:line="276" w:lineRule="auto"/>
        <w:rPr>
          <w:rFonts w:cstheme="minorHAnsi"/>
        </w:rPr>
      </w:pPr>
      <w:r w:rsidRPr="00965B1F">
        <w:rPr>
          <w:rFonts w:cstheme="minorHAnsi"/>
          <w:b/>
        </w:rPr>
        <w:tab/>
      </w:r>
      <w:r w:rsidRPr="00965B1F">
        <w:rPr>
          <w:rFonts w:cstheme="minorHAnsi"/>
        </w:rPr>
        <w:t>2A Gardeners Rd</w:t>
      </w:r>
    </w:p>
    <w:p w14:paraId="7ABDEB87" w14:textId="77777777" w:rsidR="00381CE8" w:rsidRPr="00965B1F" w:rsidRDefault="00381CE8" w:rsidP="00381CE8">
      <w:pPr>
        <w:spacing w:after="0" w:line="276" w:lineRule="auto"/>
        <w:rPr>
          <w:rFonts w:cstheme="minorHAnsi"/>
        </w:rPr>
      </w:pPr>
      <w:r w:rsidRPr="00965B1F">
        <w:rPr>
          <w:rFonts w:cstheme="minorHAnsi"/>
        </w:rPr>
        <w:tab/>
        <w:t xml:space="preserve">Bentleigh East, VIC 3165 </w:t>
      </w:r>
    </w:p>
    <w:p w14:paraId="63018830" w14:textId="77777777" w:rsidR="00381CE8" w:rsidRPr="00965B1F" w:rsidRDefault="00381CE8" w:rsidP="00381CE8">
      <w:pPr>
        <w:spacing w:after="0" w:line="276" w:lineRule="auto"/>
        <w:rPr>
          <w:rFonts w:cstheme="minorHAnsi"/>
        </w:rPr>
      </w:pPr>
      <w:r w:rsidRPr="00965B1F">
        <w:rPr>
          <w:rFonts w:cstheme="minorHAnsi"/>
        </w:rPr>
        <w:tab/>
      </w:r>
      <w:r w:rsidRPr="00965B1F">
        <w:rPr>
          <w:rFonts w:cstheme="minorHAnsi"/>
          <w:szCs w:val="20"/>
          <w:lang w:eastAsia="en-AU"/>
        </w:rPr>
        <w:t>9575 5354</w:t>
      </w:r>
    </w:p>
    <w:p w14:paraId="4CD273E0" w14:textId="77777777" w:rsidR="00381CE8" w:rsidRPr="00965B1F" w:rsidRDefault="00381CE8" w:rsidP="00381CE8">
      <w:pPr>
        <w:spacing w:after="0" w:line="276" w:lineRule="auto"/>
        <w:rPr>
          <w:rFonts w:cstheme="minorHAnsi"/>
          <w:b/>
        </w:rPr>
      </w:pPr>
    </w:p>
    <w:p w14:paraId="40B43B6E" w14:textId="77777777" w:rsidR="00381CE8" w:rsidRPr="00965B1F" w:rsidRDefault="00381CE8" w:rsidP="00381CE8">
      <w:pPr>
        <w:spacing w:after="0" w:line="276" w:lineRule="auto"/>
        <w:rPr>
          <w:rFonts w:cstheme="minorHAnsi"/>
          <w:b/>
        </w:rPr>
      </w:pPr>
    </w:p>
    <w:p w14:paraId="5D58C9BE" w14:textId="77777777" w:rsidR="00381CE8" w:rsidRPr="00965B1F" w:rsidRDefault="00381CE8" w:rsidP="00381CE8">
      <w:pPr>
        <w:spacing w:after="0" w:line="276" w:lineRule="auto"/>
        <w:rPr>
          <w:rFonts w:cstheme="minorHAnsi"/>
          <w:b/>
        </w:rPr>
      </w:pPr>
    </w:p>
    <w:p w14:paraId="3240759C" w14:textId="77777777" w:rsidR="00381CE8" w:rsidRPr="00965B1F" w:rsidRDefault="00381CE8" w:rsidP="00381CE8">
      <w:pPr>
        <w:spacing w:after="0" w:line="276" w:lineRule="auto"/>
        <w:rPr>
          <w:rFonts w:cstheme="minorHAnsi"/>
          <w:b/>
        </w:rPr>
      </w:pPr>
    </w:p>
    <w:p w14:paraId="6DECB79D" w14:textId="77777777" w:rsidR="00381CE8" w:rsidRPr="00965B1F" w:rsidRDefault="00381CE8" w:rsidP="00381CE8">
      <w:pPr>
        <w:spacing w:after="0" w:line="276" w:lineRule="auto"/>
        <w:rPr>
          <w:rFonts w:cstheme="minorHAnsi"/>
          <w:b/>
        </w:rPr>
      </w:pPr>
    </w:p>
    <w:p w14:paraId="2D4CE8FD" w14:textId="77777777" w:rsidR="00381CE8" w:rsidRPr="00965B1F" w:rsidRDefault="00381CE8" w:rsidP="00381CE8">
      <w:pPr>
        <w:spacing w:after="0" w:line="276" w:lineRule="auto"/>
        <w:rPr>
          <w:rFonts w:cstheme="minorHAnsi"/>
          <w:b/>
        </w:rPr>
      </w:pPr>
    </w:p>
    <w:p w14:paraId="7A92FB90" w14:textId="77777777" w:rsidR="00381CE8" w:rsidRDefault="00381CE8" w:rsidP="00381CE8">
      <w:pPr>
        <w:spacing w:after="0" w:line="276" w:lineRule="auto"/>
        <w:rPr>
          <w:rFonts w:cstheme="minorHAnsi"/>
          <w:b/>
        </w:rPr>
      </w:pPr>
    </w:p>
    <w:p w14:paraId="73C9B25A" w14:textId="77777777" w:rsidR="00381CE8" w:rsidRPr="00965B1F" w:rsidRDefault="00381CE8" w:rsidP="00381CE8">
      <w:pPr>
        <w:spacing w:after="0" w:line="276" w:lineRule="auto"/>
        <w:rPr>
          <w:rFonts w:cstheme="minorHAnsi"/>
          <w:b/>
        </w:rPr>
      </w:pPr>
    </w:p>
    <w:p w14:paraId="1BCC2E65" w14:textId="77777777" w:rsidR="00381CE8" w:rsidRPr="00965B1F" w:rsidRDefault="00381CE8" w:rsidP="00381CE8">
      <w:pPr>
        <w:spacing w:after="0" w:line="276" w:lineRule="auto"/>
        <w:rPr>
          <w:rFonts w:cstheme="minorHAnsi"/>
          <w:b/>
        </w:rPr>
      </w:pPr>
    </w:p>
    <w:p w14:paraId="031C8A5F" w14:textId="77777777" w:rsidR="00381CE8" w:rsidRPr="00965B1F" w:rsidRDefault="00381CE8" w:rsidP="00381CE8">
      <w:pPr>
        <w:spacing w:after="0" w:line="276" w:lineRule="auto"/>
        <w:rPr>
          <w:rFonts w:cstheme="minorHAnsi"/>
          <w:b/>
        </w:rPr>
      </w:pPr>
      <w:r>
        <w:rPr>
          <w:rFonts w:cstheme="minorHAnsi"/>
          <w:b/>
        </w:rPr>
        <w:t>www.connecthealth.org.au</w:t>
      </w:r>
    </w:p>
    <w:p w14:paraId="78F52265" w14:textId="54BB123C" w:rsidR="00381CE8" w:rsidRDefault="00381CE8" w:rsidP="00381CE8">
      <w:pPr>
        <w:spacing w:after="0" w:line="276" w:lineRule="auto"/>
        <w:rPr>
          <w:rFonts w:cstheme="minorHAnsi"/>
          <w:b/>
        </w:rPr>
      </w:pPr>
    </w:p>
    <w:p w14:paraId="6F356C42" w14:textId="072777B4" w:rsidR="00381CE8" w:rsidRPr="004729F7" w:rsidRDefault="00381CE8" w:rsidP="00381CE8">
      <w:pPr>
        <w:spacing w:after="0" w:line="276" w:lineRule="auto"/>
        <w:rPr>
          <w:rFonts w:cstheme="minorHAnsi"/>
          <w:b/>
          <w:sz w:val="28"/>
        </w:rPr>
      </w:pPr>
      <w:r w:rsidRPr="004729F7">
        <w:rPr>
          <w:rFonts w:cstheme="minorHAnsi"/>
          <w:b/>
          <w:sz w:val="28"/>
        </w:rPr>
        <w:t>Contents</w:t>
      </w:r>
    </w:p>
    <w:p w14:paraId="6F872293" w14:textId="77777777" w:rsidR="00381CE8" w:rsidRPr="00965B1F" w:rsidRDefault="00381CE8" w:rsidP="00381CE8">
      <w:pPr>
        <w:spacing w:after="0" w:line="276" w:lineRule="auto"/>
        <w:rPr>
          <w:rFonts w:cstheme="minorHAnsi"/>
          <w:b/>
        </w:rPr>
      </w:pPr>
    </w:p>
    <w:p w14:paraId="121B1080" w14:textId="379BDE16" w:rsidR="00381CE8" w:rsidRPr="00965B1F" w:rsidRDefault="00381CE8" w:rsidP="00381CE8">
      <w:pPr>
        <w:spacing w:after="0" w:line="276" w:lineRule="auto"/>
        <w:rPr>
          <w:rFonts w:cstheme="minorHAnsi"/>
          <w:b/>
        </w:rPr>
      </w:pPr>
      <w:r>
        <w:rPr>
          <w:rFonts w:cstheme="minorHAnsi"/>
          <w:b/>
        </w:rPr>
        <w:t>Key Message</w:t>
      </w:r>
      <w:r w:rsidR="002531EA">
        <w:rPr>
          <w:rFonts w:cstheme="minorHAnsi"/>
          <w:b/>
        </w:rPr>
        <w:tab/>
      </w:r>
      <w:r w:rsidR="002531EA">
        <w:rPr>
          <w:rFonts w:cstheme="minorHAnsi"/>
          <w:b/>
        </w:rPr>
        <w:tab/>
      </w:r>
      <w:r w:rsidR="002531EA">
        <w:rPr>
          <w:rFonts w:cstheme="minorHAnsi"/>
          <w:b/>
        </w:rPr>
        <w:tab/>
      </w:r>
      <w:r w:rsidR="002531EA">
        <w:rPr>
          <w:rFonts w:cstheme="minorHAnsi"/>
          <w:b/>
        </w:rPr>
        <w:tab/>
      </w:r>
      <w:r w:rsidR="002531EA">
        <w:rPr>
          <w:rFonts w:cstheme="minorHAnsi"/>
          <w:b/>
        </w:rPr>
        <w:tab/>
      </w:r>
      <w:r w:rsidR="002531EA">
        <w:rPr>
          <w:rFonts w:cstheme="minorHAnsi"/>
          <w:b/>
        </w:rPr>
        <w:tab/>
      </w:r>
      <w:r w:rsidR="002531EA">
        <w:rPr>
          <w:rFonts w:cstheme="minorHAnsi"/>
          <w:b/>
        </w:rPr>
        <w:tab/>
      </w:r>
      <w:r w:rsidR="002531EA">
        <w:rPr>
          <w:rFonts w:cstheme="minorHAnsi"/>
          <w:b/>
        </w:rPr>
        <w:tab/>
      </w:r>
      <w:r w:rsidR="002531EA">
        <w:rPr>
          <w:rFonts w:cstheme="minorHAnsi"/>
          <w:b/>
        </w:rPr>
        <w:tab/>
      </w:r>
      <w:r w:rsidR="002531EA">
        <w:rPr>
          <w:rFonts w:cstheme="minorHAnsi"/>
          <w:b/>
        </w:rPr>
        <w:tab/>
        <w:t>3</w:t>
      </w:r>
    </w:p>
    <w:p w14:paraId="5AD0E370" w14:textId="77777777" w:rsidR="00381CE8" w:rsidRPr="00965B1F" w:rsidRDefault="00381CE8" w:rsidP="00381CE8">
      <w:pPr>
        <w:spacing w:after="0" w:line="276" w:lineRule="auto"/>
        <w:rPr>
          <w:rFonts w:cstheme="minorHAnsi"/>
          <w:b/>
        </w:rPr>
      </w:pPr>
    </w:p>
    <w:p w14:paraId="1AB21CC0" w14:textId="1C4B26AC" w:rsidR="00381CE8" w:rsidRDefault="00381CE8" w:rsidP="00381CE8">
      <w:pPr>
        <w:spacing w:after="0" w:line="276" w:lineRule="auto"/>
        <w:rPr>
          <w:rFonts w:cstheme="minorHAnsi"/>
          <w:b/>
        </w:rPr>
      </w:pPr>
      <w:r w:rsidRPr="00965B1F">
        <w:rPr>
          <w:rFonts w:cstheme="minorHAnsi"/>
          <w:b/>
        </w:rPr>
        <w:t>Recommendations</w:t>
      </w:r>
      <w:r w:rsidR="002531EA">
        <w:rPr>
          <w:rFonts w:cstheme="minorHAnsi"/>
          <w:b/>
        </w:rPr>
        <w:tab/>
      </w:r>
      <w:r w:rsidR="002531EA">
        <w:rPr>
          <w:rFonts w:cstheme="minorHAnsi"/>
          <w:b/>
        </w:rPr>
        <w:tab/>
      </w:r>
      <w:r w:rsidR="002531EA">
        <w:rPr>
          <w:rFonts w:cstheme="minorHAnsi"/>
          <w:b/>
        </w:rPr>
        <w:tab/>
      </w:r>
      <w:r w:rsidR="002531EA">
        <w:rPr>
          <w:rFonts w:cstheme="minorHAnsi"/>
          <w:b/>
        </w:rPr>
        <w:tab/>
      </w:r>
      <w:r w:rsidR="002531EA">
        <w:rPr>
          <w:rFonts w:cstheme="minorHAnsi"/>
          <w:b/>
        </w:rPr>
        <w:tab/>
      </w:r>
      <w:r w:rsidR="002531EA">
        <w:rPr>
          <w:rFonts w:cstheme="minorHAnsi"/>
          <w:b/>
        </w:rPr>
        <w:tab/>
      </w:r>
      <w:r w:rsidR="002531EA">
        <w:rPr>
          <w:rFonts w:cstheme="minorHAnsi"/>
          <w:b/>
        </w:rPr>
        <w:tab/>
      </w:r>
      <w:r w:rsidR="002531EA">
        <w:rPr>
          <w:rFonts w:cstheme="minorHAnsi"/>
          <w:b/>
        </w:rPr>
        <w:tab/>
      </w:r>
      <w:r w:rsidR="002531EA">
        <w:rPr>
          <w:rFonts w:cstheme="minorHAnsi"/>
          <w:b/>
        </w:rPr>
        <w:tab/>
        <w:t>3</w:t>
      </w:r>
    </w:p>
    <w:p w14:paraId="5C1F96DA" w14:textId="42EB171E" w:rsidR="00381CE8" w:rsidRDefault="00381CE8" w:rsidP="00381CE8">
      <w:pPr>
        <w:spacing w:after="0" w:line="276" w:lineRule="auto"/>
        <w:rPr>
          <w:rFonts w:cstheme="minorHAnsi"/>
          <w:b/>
        </w:rPr>
      </w:pPr>
    </w:p>
    <w:p w14:paraId="43854C00" w14:textId="2DA82FA7" w:rsidR="00381CE8" w:rsidRDefault="00381CE8" w:rsidP="00381CE8">
      <w:pPr>
        <w:spacing w:after="0" w:line="276" w:lineRule="auto"/>
        <w:rPr>
          <w:rFonts w:cstheme="minorHAnsi"/>
          <w:b/>
        </w:rPr>
      </w:pPr>
      <w:r>
        <w:rPr>
          <w:rFonts w:cstheme="minorHAnsi"/>
          <w:b/>
        </w:rPr>
        <w:t>Acknowledgement</w:t>
      </w:r>
      <w:r w:rsidR="0019500C">
        <w:rPr>
          <w:rFonts w:cstheme="minorHAnsi"/>
          <w:b/>
        </w:rPr>
        <w:tab/>
      </w:r>
      <w:r w:rsidR="0019500C">
        <w:rPr>
          <w:rFonts w:cstheme="minorHAnsi"/>
          <w:b/>
        </w:rPr>
        <w:tab/>
      </w:r>
      <w:r w:rsidR="0019500C">
        <w:rPr>
          <w:rFonts w:cstheme="minorHAnsi"/>
          <w:b/>
        </w:rPr>
        <w:tab/>
      </w:r>
      <w:r w:rsidR="0019500C">
        <w:rPr>
          <w:rFonts w:cstheme="minorHAnsi"/>
          <w:b/>
        </w:rPr>
        <w:tab/>
      </w:r>
      <w:r w:rsidR="0019500C">
        <w:rPr>
          <w:rFonts w:cstheme="minorHAnsi"/>
          <w:b/>
        </w:rPr>
        <w:tab/>
      </w:r>
      <w:r w:rsidR="0019500C">
        <w:rPr>
          <w:rFonts w:cstheme="minorHAnsi"/>
          <w:b/>
        </w:rPr>
        <w:tab/>
      </w:r>
      <w:r w:rsidR="0019500C">
        <w:rPr>
          <w:rFonts w:cstheme="minorHAnsi"/>
          <w:b/>
        </w:rPr>
        <w:tab/>
      </w:r>
      <w:r w:rsidR="0019500C">
        <w:rPr>
          <w:rFonts w:cstheme="minorHAnsi"/>
          <w:b/>
        </w:rPr>
        <w:tab/>
      </w:r>
      <w:r w:rsidR="0019500C">
        <w:rPr>
          <w:rFonts w:cstheme="minorHAnsi"/>
          <w:b/>
        </w:rPr>
        <w:tab/>
      </w:r>
      <w:r w:rsidR="001028D4">
        <w:rPr>
          <w:rFonts w:cstheme="minorHAnsi"/>
          <w:b/>
        </w:rPr>
        <w:t>5</w:t>
      </w:r>
    </w:p>
    <w:p w14:paraId="7964F8AB" w14:textId="77777777" w:rsidR="00381CE8" w:rsidRDefault="00381CE8" w:rsidP="00381CE8">
      <w:pPr>
        <w:spacing w:after="0" w:line="276" w:lineRule="auto"/>
        <w:rPr>
          <w:rFonts w:cstheme="minorHAnsi"/>
          <w:b/>
        </w:rPr>
      </w:pPr>
    </w:p>
    <w:p w14:paraId="4FE29F48" w14:textId="4DC33BBF" w:rsidR="00381CE8" w:rsidRDefault="00381CE8" w:rsidP="00381CE8">
      <w:pPr>
        <w:spacing w:after="0" w:line="276" w:lineRule="auto"/>
        <w:rPr>
          <w:rFonts w:cstheme="minorHAnsi"/>
          <w:b/>
        </w:rPr>
      </w:pPr>
      <w:r>
        <w:rPr>
          <w:rFonts w:cstheme="minorHAnsi"/>
          <w:b/>
        </w:rPr>
        <w:t xml:space="preserve">About </w:t>
      </w:r>
      <w:r w:rsidRPr="00381CE8">
        <w:rPr>
          <w:rFonts w:cstheme="minorHAnsi"/>
          <w:b/>
        </w:rPr>
        <w:t xml:space="preserve">Connect Health </w:t>
      </w:r>
      <w:r w:rsidR="00E81BF4">
        <w:rPr>
          <w:rFonts w:cstheme="minorHAnsi"/>
          <w:b/>
        </w:rPr>
        <w:t xml:space="preserve">&amp; </w:t>
      </w:r>
      <w:r w:rsidRPr="00381CE8">
        <w:rPr>
          <w:rFonts w:cstheme="minorHAnsi"/>
          <w:b/>
        </w:rPr>
        <w:t>Community</w:t>
      </w:r>
      <w:r w:rsidR="002531EA">
        <w:rPr>
          <w:rFonts w:cstheme="minorHAnsi"/>
          <w:b/>
        </w:rPr>
        <w:tab/>
      </w:r>
      <w:r w:rsidR="002531EA">
        <w:rPr>
          <w:rFonts w:cstheme="minorHAnsi"/>
          <w:b/>
        </w:rPr>
        <w:tab/>
      </w:r>
      <w:r w:rsidR="002531EA">
        <w:rPr>
          <w:rFonts w:cstheme="minorHAnsi"/>
          <w:b/>
        </w:rPr>
        <w:tab/>
      </w:r>
      <w:r w:rsidR="002531EA">
        <w:rPr>
          <w:rFonts w:cstheme="minorHAnsi"/>
          <w:b/>
        </w:rPr>
        <w:tab/>
      </w:r>
      <w:r w:rsidR="002531EA">
        <w:rPr>
          <w:rFonts w:cstheme="minorHAnsi"/>
          <w:b/>
        </w:rPr>
        <w:tab/>
      </w:r>
      <w:r w:rsidR="002531EA">
        <w:rPr>
          <w:rFonts w:cstheme="minorHAnsi"/>
          <w:b/>
        </w:rPr>
        <w:tab/>
      </w:r>
      <w:r w:rsidR="002531EA">
        <w:rPr>
          <w:rFonts w:cstheme="minorHAnsi"/>
          <w:b/>
        </w:rPr>
        <w:tab/>
      </w:r>
      <w:r w:rsidR="001028D4">
        <w:rPr>
          <w:rFonts w:cstheme="minorHAnsi"/>
          <w:b/>
        </w:rPr>
        <w:t>5</w:t>
      </w:r>
    </w:p>
    <w:p w14:paraId="16FB1D01" w14:textId="3A947F8A" w:rsidR="00381CE8" w:rsidRDefault="00381CE8" w:rsidP="00381CE8">
      <w:pPr>
        <w:spacing w:after="0" w:line="276" w:lineRule="auto"/>
        <w:rPr>
          <w:rFonts w:cstheme="minorHAnsi"/>
          <w:b/>
        </w:rPr>
      </w:pPr>
    </w:p>
    <w:p w14:paraId="7B0CBD3C" w14:textId="4136A13C" w:rsidR="00641EBE" w:rsidRPr="00641EBE" w:rsidRDefault="00641EBE" w:rsidP="00641EBE">
      <w:pPr>
        <w:spacing w:after="0" w:line="276" w:lineRule="auto"/>
        <w:jc w:val="both"/>
        <w:rPr>
          <w:rFonts w:cstheme="minorHAnsi"/>
          <w:b/>
        </w:rPr>
      </w:pPr>
      <w:r w:rsidRPr="00641EBE">
        <w:rPr>
          <w:rFonts w:cstheme="minorHAnsi"/>
          <w:b/>
        </w:rPr>
        <w:t>Response to the Social and Economic Benefits of Improving Mental Health</w:t>
      </w:r>
      <w:r w:rsidR="002531EA">
        <w:rPr>
          <w:rFonts w:cstheme="minorHAnsi"/>
          <w:b/>
        </w:rPr>
        <w:tab/>
      </w:r>
      <w:r w:rsidR="002531EA">
        <w:rPr>
          <w:rFonts w:cstheme="minorHAnsi"/>
          <w:b/>
        </w:rPr>
        <w:tab/>
      </w:r>
      <w:r w:rsidR="001028D4">
        <w:rPr>
          <w:rFonts w:cstheme="minorHAnsi"/>
          <w:b/>
        </w:rPr>
        <w:t>6</w:t>
      </w:r>
    </w:p>
    <w:p w14:paraId="3E05BC27" w14:textId="22BA1F68" w:rsidR="00381CE8" w:rsidRPr="00AE621F" w:rsidRDefault="00641EBE" w:rsidP="003A19FF">
      <w:pPr>
        <w:spacing w:after="0" w:line="276" w:lineRule="auto"/>
        <w:ind w:left="426"/>
        <w:rPr>
          <w:rFonts w:cstheme="minorHAnsi"/>
        </w:rPr>
      </w:pPr>
      <w:r w:rsidRPr="00AE621F">
        <w:rPr>
          <w:rFonts w:cstheme="minorHAnsi"/>
        </w:rPr>
        <w:t>Assessment Approach</w:t>
      </w:r>
      <w:r w:rsidR="002531EA" w:rsidRPr="00AE621F">
        <w:rPr>
          <w:rFonts w:cstheme="minorHAnsi"/>
        </w:rPr>
        <w:tab/>
      </w:r>
      <w:r w:rsidR="002531EA" w:rsidRPr="00AE621F">
        <w:rPr>
          <w:rFonts w:cstheme="minorHAnsi"/>
        </w:rPr>
        <w:tab/>
      </w:r>
      <w:r w:rsidR="002531EA" w:rsidRPr="00AE621F">
        <w:rPr>
          <w:rFonts w:cstheme="minorHAnsi"/>
        </w:rPr>
        <w:tab/>
      </w:r>
      <w:r w:rsidR="002531EA" w:rsidRPr="00AE621F">
        <w:rPr>
          <w:rFonts w:cstheme="minorHAnsi"/>
        </w:rPr>
        <w:tab/>
      </w:r>
      <w:r w:rsidR="002531EA" w:rsidRPr="00AE621F">
        <w:rPr>
          <w:rFonts w:cstheme="minorHAnsi"/>
        </w:rPr>
        <w:tab/>
      </w:r>
      <w:r w:rsidR="002531EA" w:rsidRPr="00AE621F">
        <w:rPr>
          <w:rFonts w:cstheme="minorHAnsi"/>
        </w:rPr>
        <w:tab/>
      </w:r>
      <w:r w:rsidR="002531EA" w:rsidRPr="00AE621F">
        <w:rPr>
          <w:rFonts w:cstheme="minorHAnsi"/>
        </w:rPr>
        <w:tab/>
      </w:r>
      <w:r w:rsidR="002531EA" w:rsidRPr="00AE621F">
        <w:rPr>
          <w:rFonts w:cstheme="minorHAnsi"/>
        </w:rPr>
        <w:tab/>
      </w:r>
      <w:r w:rsidR="001028D4">
        <w:rPr>
          <w:rFonts w:cstheme="minorHAnsi"/>
        </w:rPr>
        <w:t>6</w:t>
      </w:r>
    </w:p>
    <w:p w14:paraId="5C9C66FE" w14:textId="0F2779B9" w:rsidR="00641EBE" w:rsidRPr="00AE621F" w:rsidRDefault="00641EBE" w:rsidP="003A19FF">
      <w:pPr>
        <w:spacing w:after="0" w:line="276" w:lineRule="auto"/>
        <w:ind w:left="426"/>
        <w:jc w:val="both"/>
        <w:rPr>
          <w:rFonts w:cstheme="minorHAnsi"/>
        </w:rPr>
      </w:pPr>
      <w:r w:rsidRPr="00AE621F">
        <w:rPr>
          <w:rFonts w:cstheme="minorHAnsi"/>
        </w:rPr>
        <w:t>Structural weaknesses in healthcare</w:t>
      </w:r>
      <w:r w:rsidR="002531EA" w:rsidRPr="00AE621F">
        <w:rPr>
          <w:rFonts w:cstheme="minorHAnsi"/>
        </w:rPr>
        <w:tab/>
      </w:r>
      <w:r w:rsidR="002531EA" w:rsidRPr="00AE621F">
        <w:rPr>
          <w:rFonts w:cstheme="minorHAnsi"/>
        </w:rPr>
        <w:tab/>
      </w:r>
      <w:r w:rsidR="002531EA" w:rsidRPr="00AE621F">
        <w:rPr>
          <w:rFonts w:cstheme="minorHAnsi"/>
        </w:rPr>
        <w:tab/>
      </w:r>
      <w:r w:rsidR="002531EA" w:rsidRPr="00AE621F">
        <w:rPr>
          <w:rFonts w:cstheme="minorHAnsi"/>
        </w:rPr>
        <w:tab/>
      </w:r>
      <w:r w:rsidR="002531EA" w:rsidRPr="00AE621F">
        <w:rPr>
          <w:rFonts w:cstheme="minorHAnsi"/>
        </w:rPr>
        <w:tab/>
      </w:r>
      <w:r w:rsidR="002531EA" w:rsidRPr="00AE621F">
        <w:rPr>
          <w:rFonts w:cstheme="minorHAnsi"/>
        </w:rPr>
        <w:tab/>
      </w:r>
      <w:r w:rsidR="001028D4">
        <w:rPr>
          <w:rFonts w:cstheme="minorHAnsi"/>
        </w:rPr>
        <w:t>7</w:t>
      </w:r>
    </w:p>
    <w:p w14:paraId="56EFB978" w14:textId="0A0B2AA6" w:rsidR="00641EBE" w:rsidRPr="00AE621F" w:rsidRDefault="00641EBE" w:rsidP="003A19FF">
      <w:pPr>
        <w:spacing w:after="0" w:line="276" w:lineRule="auto"/>
        <w:ind w:left="426"/>
        <w:jc w:val="both"/>
        <w:rPr>
          <w:rFonts w:cstheme="minorHAnsi"/>
        </w:rPr>
      </w:pPr>
      <w:r w:rsidRPr="00AE621F">
        <w:rPr>
          <w:rFonts w:cstheme="minorHAnsi"/>
        </w:rPr>
        <w:t>Specific Health Concerns</w:t>
      </w:r>
      <w:r w:rsidR="00AE621F" w:rsidRPr="00AE621F">
        <w:rPr>
          <w:rFonts w:cstheme="minorHAnsi"/>
        </w:rPr>
        <w:tab/>
      </w:r>
      <w:r w:rsidR="00AE621F" w:rsidRPr="00AE621F">
        <w:rPr>
          <w:rFonts w:cstheme="minorHAnsi"/>
        </w:rPr>
        <w:tab/>
      </w:r>
      <w:r w:rsidR="00AE621F" w:rsidRPr="00AE621F">
        <w:rPr>
          <w:rFonts w:cstheme="minorHAnsi"/>
        </w:rPr>
        <w:tab/>
      </w:r>
      <w:r w:rsidR="00AE621F" w:rsidRPr="00AE621F">
        <w:rPr>
          <w:rFonts w:cstheme="minorHAnsi"/>
        </w:rPr>
        <w:tab/>
      </w:r>
      <w:r w:rsidR="00AE621F" w:rsidRPr="00AE621F">
        <w:rPr>
          <w:rFonts w:cstheme="minorHAnsi"/>
        </w:rPr>
        <w:tab/>
      </w:r>
      <w:r w:rsidR="00AE621F" w:rsidRPr="00AE621F">
        <w:rPr>
          <w:rFonts w:cstheme="minorHAnsi"/>
        </w:rPr>
        <w:tab/>
      </w:r>
      <w:r w:rsidR="00AE621F" w:rsidRPr="00AE621F">
        <w:rPr>
          <w:rFonts w:cstheme="minorHAnsi"/>
        </w:rPr>
        <w:tab/>
      </w:r>
      <w:r w:rsidR="00AE621F" w:rsidRPr="00AE621F">
        <w:rPr>
          <w:rFonts w:cstheme="minorHAnsi"/>
        </w:rPr>
        <w:tab/>
      </w:r>
      <w:r w:rsidR="001028D4">
        <w:rPr>
          <w:rFonts w:cstheme="minorHAnsi"/>
        </w:rPr>
        <w:t>10</w:t>
      </w:r>
    </w:p>
    <w:p w14:paraId="4E9C4BE8" w14:textId="3DB7AD67" w:rsidR="00641EBE" w:rsidRPr="00AE621F" w:rsidRDefault="00641EBE" w:rsidP="003A19FF">
      <w:pPr>
        <w:spacing w:after="0" w:line="276" w:lineRule="auto"/>
        <w:ind w:left="426"/>
        <w:jc w:val="both"/>
        <w:rPr>
          <w:rFonts w:cstheme="minorHAnsi"/>
        </w:rPr>
      </w:pPr>
      <w:r w:rsidRPr="00AE621F">
        <w:rPr>
          <w:rFonts w:cstheme="minorHAnsi"/>
        </w:rPr>
        <w:t>Health workforce and Informal Carers</w:t>
      </w:r>
      <w:r w:rsidR="00AE621F" w:rsidRPr="00AE621F">
        <w:rPr>
          <w:rFonts w:cstheme="minorHAnsi"/>
        </w:rPr>
        <w:tab/>
      </w:r>
      <w:r w:rsidR="00AE621F" w:rsidRPr="00AE621F">
        <w:rPr>
          <w:rFonts w:cstheme="minorHAnsi"/>
        </w:rPr>
        <w:tab/>
      </w:r>
      <w:r w:rsidR="00AE621F" w:rsidRPr="00AE621F">
        <w:rPr>
          <w:rFonts w:cstheme="minorHAnsi"/>
        </w:rPr>
        <w:tab/>
      </w:r>
      <w:r w:rsidR="00AE621F" w:rsidRPr="00AE621F">
        <w:rPr>
          <w:rFonts w:cstheme="minorHAnsi"/>
        </w:rPr>
        <w:tab/>
      </w:r>
      <w:r w:rsidR="00AE621F" w:rsidRPr="00AE621F">
        <w:rPr>
          <w:rFonts w:cstheme="minorHAnsi"/>
        </w:rPr>
        <w:tab/>
      </w:r>
      <w:r w:rsidR="00AE621F" w:rsidRPr="00AE621F">
        <w:rPr>
          <w:rFonts w:cstheme="minorHAnsi"/>
        </w:rPr>
        <w:tab/>
        <w:t>1</w:t>
      </w:r>
      <w:r w:rsidR="001028D4">
        <w:rPr>
          <w:rFonts w:cstheme="minorHAnsi"/>
        </w:rPr>
        <w:t>5</w:t>
      </w:r>
    </w:p>
    <w:p w14:paraId="61B665F9" w14:textId="5F172B7F" w:rsidR="00641EBE" w:rsidRPr="00AE621F" w:rsidRDefault="00641EBE" w:rsidP="003A19FF">
      <w:pPr>
        <w:spacing w:after="0" w:line="276" w:lineRule="auto"/>
        <w:ind w:left="426"/>
        <w:jc w:val="both"/>
        <w:rPr>
          <w:rFonts w:cstheme="minorHAnsi"/>
        </w:rPr>
      </w:pPr>
      <w:r w:rsidRPr="00AE621F">
        <w:rPr>
          <w:rFonts w:cstheme="minorHAnsi"/>
        </w:rPr>
        <w:t>Social Participation and Inclusion</w:t>
      </w:r>
      <w:r w:rsidR="001028D4">
        <w:rPr>
          <w:rFonts w:cstheme="minorHAnsi"/>
        </w:rPr>
        <w:tab/>
      </w:r>
      <w:r w:rsidR="001028D4">
        <w:rPr>
          <w:rFonts w:cstheme="minorHAnsi"/>
        </w:rPr>
        <w:tab/>
      </w:r>
      <w:r w:rsidR="001028D4">
        <w:rPr>
          <w:rFonts w:cstheme="minorHAnsi"/>
        </w:rPr>
        <w:tab/>
      </w:r>
      <w:r w:rsidR="001028D4">
        <w:rPr>
          <w:rFonts w:cstheme="minorHAnsi"/>
        </w:rPr>
        <w:tab/>
      </w:r>
      <w:r w:rsidR="001028D4">
        <w:rPr>
          <w:rFonts w:cstheme="minorHAnsi"/>
        </w:rPr>
        <w:tab/>
      </w:r>
      <w:r w:rsidR="001028D4">
        <w:rPr>
          <w:rFonts w:cstheme="minorHAnsi"/>
        </w:rPr>
        <w:tab/>
      </w:r>
      <w:r w:rsidR="001028D4">
        <w:rPr>
          <w:rFonts w:cstheme="minorHAnsi"/>
        </w:rPr>
        <w:tab/>
        <w:t>19</w:t>
      </w:r>
    </w:p>
    <w:p w14:paraId="7A685724" w14:textId="5E3173F4" w:rsidR="00641EBE" w:rsidRPr="00AE621F" w:rsidRDefault="00641EBE" w:rsidP="003A19FF">
      <w:pPr>
        <w:spacing w:after="0" w:line="276" w:lineRule="auto"/>
        <w:ind w:left="426"/>
        <w:jc w:val="both"/>
        <w:rPr>
          <w:rFonts w:cstheme="minorHAnsi"/>
        </w:rPr>
      </w:pPr>
      <w:r w:rsidRPr="00AE621F">
        <w:rPr>
          <w:rFonts w:cstheme="minorHAnsi"/>
        </w:rPr>
        <w:t>Child Safety</w:t>
      </w:r>
      <w:r w:rsidR="00C908A8">
        <w:rPr>
          <w:rFonts w:cstheme="minorHAnsi"/>
        </w:rPr>
        <w:tab/>
      </w:r>
      <w:r w:rsidR="00C908A8">
        <w:rPr>
          <w:rFonts w:cstheme="minorHAnsi"/>
        </w:rPr>
        <w:tab/>
      </w:r>
      <w:r w:rsidR="00C908A8">
        <w:rPr>
          <w:rFonts w:cstheme="minorHAnsi"/>
        </w:rPr>
        <w:tab/>
      </w:r>
      <w:r w:rsidR="00C908A8">
        <w:rPr>
          <w:rFonts w:cstheme="minorHAnsi"/>
        </w:rPr>
        <w:tab/>
      </w:r>
      <w:r w:rsidR="00C908A8">
        <w:rPr>
          <w:rFonts w:cstheme="minorHAnsi"/>
        </w:rPr>
        <w:tab/>
      </w:r>
      <w:r w:rsidR="00C908A8">
        <w:rPr>
          <w:rFonts w:cstheme="minorHAnsi"/>
        </w:rPr>
        <w:tab/>
      </w:r>
      <w:r w:rsidR="00C908A8">
        <w:rPr>
          <w:rFonts w:cstheme="minorHAnsi"/>
        </w:rPr>
        <w:tab/>
      </w:r>
      <w:r w:rsidR="00C908A8">
        <w:rPr>
          <w:rFonts w:cstheme="minorHAnsi"/>
        </w:rPr>
        <w:tab/>
      </w:r>
      <w:r w:rsidR="00C908A8">
        <w:rPr>
          <w:rFonts w:cstheme="minorHAnsi"/>
        </w:rPr>
        <w:tab/>
        <w:t>21</w:t>
      </w:r>
    </w:p>
    <w:p w14:paraId="0AB01757" w14:textId="3D6C667E" w:rsidR="00641EBE" w:rsidRPr="00AE621F" w:rsidRDefault="00641EBE" w:rsidP="003A19FF">
      <w:pPr>
        <w:spacing w:after="0" w:line="276" w:lineRule="auto"/>
        <w:ind w:left="426"/>
        <w:jc w:val="both"/>
        <w:rPr>
          <w:rFonts w:cstheme="minorHAnsi"/>
        </w:rPr>
      </w:pPr>
      <w:r w:rsidRPr="00AE621F">
        <w:rPr>
          <w:rFonts w:cstheme="minorHAnsi"/>
        </w:rPr>
        <w:t>Mentally Healthy Workplaces</w:t>
      </w:r>
      <w:r w:rsidR="00C908A8">
        <w:rPr>
          <w:rFonts w:cstheme="minorHAnsi"/>
        </w:rPr>
        <w:tab/>
      </w:r>
      <w:r w:rsidR="00C908A8">
        <w:rPr>
          <w:rFonts w:cstheme="minorHAnsi"/>
        </w:rPr>
        <w:tab/>
      </w:r>
      <w:r w:rsidR="00C908A8">
        <w:rPr>
          <w:rFonts w:cstheme="minorHAnsi"/>
        </w:rPr>
        <w:tab/>
      </w:r>
      <w:r w:rsidR="00C908A8">
        <w:rPr>
          <w:rFonts w:cstheme="minorHAnsi"/>
        </w:rPr>
        <w:tab/>
      </w:r>
      <w:r w:rsidR="00C908A8">
        <w:rPr>
          <w:rFonts w:cstheme="minorHAnsi"/>
        </w:rPr>
        <w:tab/>
      </w:r>
      <w:r w:rsidR="00C908A8">
        <w:rPr>
          <w:rFonts w:cstheme="minorHAnsi"/>
        </w:rPr>
        <w:tab/>
      </w:r>
      <w:r w:rsidR="00C908A8">
        <w:rPr>
          <w:rFonts w:cstheme="minorHAnsi"/>
        </w:rPr>
        <w:tab/>
        <w:t>22</w:t>
      </w:r>
    </w:p>
    <w:p w14:paraId="5117F4C8" w14:textId="5F072044" w:rsidR="00AE621F" w:rsidRPr="00AE621F" w:rsidRDefault="00AE621F" w:rsidP="003A19FF">
      <w:pPr>
        <w:spacing w:after="0" w:line="276" w:lineRule="auto"/>
        <w:ind w:left="426"/>
        <w:jc w:val="both"/>
        <w:rPr>
          <w:rFonts w:cstheme="minorHAnsi"/>
        </w:rPr>
      </w:pPr>
      <w:r w:rsidRPr="00AE621F">
        <w:rPr>
          <w:rFonts w:cstheme="minorHAnsi"/>
        </w:rPr>
        <w:t>Regulation W</w:t>
      </w:r>
      <w:r w:rsidR="001028D4">
        <w:rPr>
          <w:rFonts w:cstheme="minorHAnsi"/>
        </w:rPr>
        <w:t>orkplace Health &amp; Safety</w:t>
      </w:r>
      <w:r w:rsidR="001028D4">
        <w:rPr>
          <w:rFonts w:cstheme="minorHAnsi"/>
        </w:rPr>
        <w:tab/>
      </w:r>
      <w:r w:rsidR="001028D4">
        <w:rPr>
          <w:rFonts w:cstheme="minorHAnsi"/>
        </w:rPr>
        <w:tab/>
      </w:r>
      <w:r w:rsidR="001028D4">
        <w:rPr>
          <w:rFonts w:cstheme="minorHAnsi"/>
        </w:rPr>
        <w:tab/>
      </w:r>
      <w:r w:rsidR="001028D4">
        <w:rPr>
          <w:rFonts w:cstheme="minorHAnsi"/>
        </w:rPr>
        <w:tab/>
      </w:r>
      <w:r w:rsidR="001028D4">
        <w:rPr>
          <w:rFonts w:cstheme="minorHAnsi"/>
        </w:rPr>
        <w:tab/>
      </w:r>
      <w:r w:rsidR="001028D4">
        <w:rPr>
          <w:rFonts w:cstheme="minorHAnsi"/>
        </w:rPr>
        <w:tab/>
        <w:t>23</w:t>
      </w:r>
    </w:p>
    <w:p w14:paraId="6C0E2DE3" w14:textId="52D845DD" w:rsidR="00641EBE" w:rsidRPr="00AE621F" w:rsidRDefault="00641EBE" w:rsidP="003A19FF">
      <w:pPr>
        <w:spacing w:after="0" w:line="276" w:lineRule="auto"/>
        <w:ind w:left="426"/>
        <w:jc w:val="both"/>
        <w:rPr>
          <w:rFonts w:cstheme="minorHAnsi"/>
        </w:rPr>
      </w:pPr>
      <w:r w:rsidRPr="00AE621F">
        <w:rPr>
          <w:rFonts w:cstheme="minorHAnsi"/>
        </w:rPr>
        <w:t>Funding Arrangements</w:t>
      </w:r>
      <w:r w:rsidR="00AE621F" w:rsidRPr="00AE621F">
        <w:rPr>
          <w:rFonts w:cstheme="minorHAnsi"/>
        </w:rPr>
        <w:tab/>
      </w:r>
      <w:r w:rsidR="00AE621F" w:rsidRPr="00AE621F">
        <w:rPr>
          <w:rFonts w:cstheme="minorHAnsi"/>
        </w:rPr>
        <w:tab/>
      </w:r>
      <w:r w:rsidR="00AE621F" w:rsidRPr="00AE621F">
        <w:rPr>
          <w:rFonts w:cstheme="minorHAnsi"/>
        </w:rPr>
        <w:tab/>
      </w:r>
      <w:r w:rsidR="00AE621F" w:rsidRPr="00AE621F">
        <w:rPr>
          <w:rFonts w:cstheme="minorHAnsi"/>
        </w:rPr>
        <w:tab/>
      </w:r>
      <w:r w:rsidR="00AE621F" w:rsidRPr="00AE621F">
        <w:rPr>
          <w:rFonts w:cstheme="minorHAnsi"/>
        </w:rPr>
        <w:tab/>
      </w:r>
      <w:r w:rsidR="00AE621F" w:rsidRPr="00AE621F">
        <w:rPr>
          <w:rFonts w:cstheme="minorHAnsi"/>
        </w:rPr>
        <w:tab/>
      </w:r>
      <w:r w:rsidR="00AE621F" w:rsidRPr="00AE621F">
        <w:rPr>
          <w:rFonts w:cstheme="minorHAnsi"/>
        </w:rPr>
        <w:tab/>
      </w:r>
      <w:r w:rsidR="001028D4">
        <w:rPr>
          <w:rFonts w:cstheme="minorHAnsi"/>
        </w:rPr>
        <w:tab/>
        <w:t>24</w:t>
      </w:r>
    </w:p>
    <w:p w14:paraId="77035F9D" w14:textId="3440EAF4" w:rsidR="00641EBE" w:rsidRPr="00AE621F" w:rsidRDefault="00641EBE" w:rsidP="003A19FF">
      <w:pPr>
        <w:spacing w:after="0" w:line="276" w:lineRule="auto"/>
        <w:ind w:left="426"/>
        <w:jc w:val="both"/>
        <w:rPr>
          <w:rFonts w:cstheme="minorHAnsi"/>
        </w:rPr>
      </w:pPr>
      <w:r w:rsidRPr="00AE621F">
        <w:rPr>
          <w:rFonts w:cstheme="minorHAnsi"/>
        </w:rPr>
        <w:t>Monitoring and Reporting</w:t>
      </w:r>
      <w:r w:rsidR="001028D4">
        <w:rPr>
          <w:rFonts w:cstheme="minorHAnsi"/>
        </w:rPr>
        <w:tab/>
      </w:r>
      <w:r w:rsidR="001028D4">
        <w:rPr>
          <w:rFonts w:cstheme="minorHAnsi"/>
        </w:rPr>
        <w:tab/>
      </w:r>
      <w:r w:rsidR="001028D4">
        <w:rPr>
          <w:rFonts w:cstheme="minorHAnsi"/>
        </w:rPr>
        <w:tab/>
      </w:r>
      <w:r w:rsidR="001028D4">
        <w:rPr>
          <w:rFonts w:cstheme="minorHAnsi"/>
        </w:rPr>
        <w:tab/>
      </w:r>
      <w:r w:rsidR="001028D4">
        <w:rPr>
          <w:rFonts w:cstheme="minorHAnsi"/>
        </w:rPr>
        <w:tab/>
      </w:r>
      <w:r w:rsidR="001028D4">
        <w:rPr>
          <w:rFonts w:cstheme="minorHAnsi"/>
        </w:rPr>
        <w:tab/>
      </w:r>
      <w:r w:rsidR="001028D4">
        <w:rPr>
          <w:rFonts w:cstheme="minorHAnsi"/>
        </w:rPr>
        <w:tab/>
      </w:r>
      <w:r w:rsidR="001028D4">
        <w:rPr>
          <w:rFonts w:cstheme="minorHAnsi"/>
        </w:rPr>
        <w:tab/>
        <w:t>26</w:t>
      </w:r>
    </w:p>
    <w:p w14:paraId="2784EBEC" w14:textId="315B7741" w:rsidR="00641EBE" w:rsidRDefault="00641EBE" w:rsidP="00381CE8">
      <w:pPr>
        <w:spacing w:after="0" w:line="276" w:lineRule="auto"/>
        <w:rPr>
          <w:rFonts w:cstheme="minorHAnsi"/>
          <w:b/>
        </w:rPr>
      </w:pPr>
    </w:p>
    <w:p w14:paraId="4A0B0E3C" w14:textId="565E0240" w:rsidR="004729F7" w:rsidRDefault="004729F7" w:rsidP="00381CE8">
      <w:pPr>
        <w:spacing w:after="0" w:line="276" w:lineRule="auto"/>
        <w:rPr>
          <w:rFonts w:cstheme="minorHAnsi"/>
          <w:b/>
        </w:rPr>
      </w:pPr>
      <w:r>
        <w:rPr>
          <w:rFonts w:cstheme="minorHAnsi"/>
          <w:b/>
        </w:rPr>
        <w:t>References</w:t>
      </w:r>
      <w:r w:rsidR="001028D4">
        <w:rPr>
          <w:rFonts w:cstheme="minorHAnsi"/>
          <w:b/>
        </w:rPr>
        <w:tab/>
      </w:r>
      <w:r w:rsidR="001028D4">
        <w:rPr>
          <w:rFonts w:cstheme="minorHAnsi"/>
          <w:b/>
        </w:rPr>
        <w:tab/>
      </w:r>
      <w:r w:rsidR="001028D4">
        <w:rPr>
          <w:rFonts w:cstheme="minorHAnsi"/>
          <w:b/>
        </w:rPr>
        <w:tab/>
      </w:r>
      <w:r w:rsidR="001028D4">
        <w:rPr>
          <w:rFonts w:cstheme="minorHAnsi"/>
          <w:b/>
        </w:rPr>
        <w:tab/>
      </w:r>
      <w:r w:rsidR="001028D4">
        <w:rPr>
          <w:rFonts w:cstheme="minorHAnsi"/>
          <w:b/>
        </w:rPr>
        <w:tab/>
      </w:r>
      <w:r w:rsidR="001028D4">
        <w:rPr>
          <w:rFonts w:cstheme="minorHAnsi"/>
          <w:b/>
        </w:rPr>
        <w:tab/>
      </w:r>
      <w:r w:rsidR="001028D4">
        <w:rPr>
          <w:rFonts w:cstheme="minorHAnsi"/>
          <w:b/>
        </w:rPr>
        <w:tab/>
      </w:r>
      <w:r w:rsidR="001028D4">
        <w:rPr>
          <w:rFonts w:cstheme="minorHAnsi"/>
          <w:b/>
        </w:rPr>
        <w:tab/>
      </w:r>
      <w:r w:rsidR="001028D4">
        <w:rPr>
          <w:rFonts w:cstheme="minorHAnsi"/>
          <w:b/>
        </w:rPr>
        <w:tab/>
      </w:r>
      <w:r w:rsidR="001028D4">
        <w:rPr>
          <w:rFonts w:cstheme="minorHAnsi"/>
          <w:b/>
        </w:rPr>
        <w:tab/>
        <w:t>28</w:t>
      </w:r>
    </w:p>
    <w:p w14:paraId="1ABE78AA" w14:textId="77777777" w:rsidR="004729F7" w:rsidRDefault="004729F7" w:rsidP="00381CE8">
      <w:pPr>
        <w:spacing w:after="0" w:line="276" w:lineRule="auto"/>
        <w:rPr>
          <w:rFonts w:cstheme="minorHAnsi"/>
          <w:b/>
        </w:rPr>
      </w:pPr>
    </w:p>
    <w:p w14:paraId="4D64A3DB" w14:textId="2556E0D7" w:rsidR="00381CE8" w:rsidRPr="00965B1F" w:rsidRDefault="00381CE8" w:rsidP="00381CE8">
      <w:pPr>
        <w:spacing w:after="0" w:line="276" w:lineRule="auto"/>
        <w:rPr>
          <w:rFonts w:cstheme="minorHAnsi"/>
          <w:b/>
        </w:rPr>
      </w:pPr>
      <w:r w:rsidRPr="00965B1F">
        <w:rPr>
          <w:rFonts w:cstheme="minorHAnsi"/>
          <w:b/>
        </w:rPr>
        <w:t>Appendix</w:t>
      </w:r>
      <w:r w:rsidR="001028D4">
        <w:rPr>
          <w:rFonts w:cstheme="minorHAnsi"/>
          <w:b/>
        </w:rPr>
        <w:tab/>
      </w:r>
      <w:r w:rsidR="001028D4">
        <w:rPr>
          <w:rFonts w:cstheme="minorHAnsi"/>
          <w:b/>
        </w:rPr>
        <w:tab/>
      </w:r>
      <w:r w:rsidR="001028D4">
        <w:rPr>
          <w:rFonts w:cstheme="minorHAnsi"/>
          <w:b/>
        </w:rPr>
        <w:tab/>
      </w:r>
      <w:r w:rsidR="001028D4">
        <w:rPr>
          <w:rFonts w:cstheme="minorHAnsi"/>
          <w:b/>
        </w:rPr>
        <w:tab/>
      </w:r>
      <w:r w:rsidR="001028D4">
        <w:rPr>
          <w:rFonts w:cstheme="minorHAnsi"/>
          <w:b/>
        </w:rPr>
        <w:tab/>
      </w:r>
      <w:r w:rsidR="001028D4">
        <w:rPr>
          <w:rFonts w:cstheme="minorHAnsi"/>
          <w:b/>
        </w:rPr>
        <w:tab/>
      </w:r>
      <w:r w:rsidR="001028D4">
        <w:rPr>
          <w:rFonts w:cstheme="minorHAnsi"/>
          <w:b/>
        </w:rPr>
        <w:tab/>
      </w:r>
      <w:r w:rsidR="001028D4">
        <w:rPr>
          <w:rFonts w:cstheme="minorHAnsi"/>
          <w:b/>
        </w:rPr>
        <w:tab/>
      </w:r>
      <w:r w:rsidR="001028D4">
        <w:rPr>
          <w:rFonts w:cstheme="minorHAnsi"/>
          <w:b/>
        </w:rPr>
        <w:tab/>
      </w:r>
      <w:r w:rsidR="001028D4">
        <w:rPr>
          <w:rFonts w:cstheme="minorHAnsi"/>
          <w:b/>
        </w:rPr>
        <w:tab/>
        <w:t>31</w:t>
      </w:r>
    </w:p>
    <w:p w14:paraId="580D7B47" w14:textId="45716F3A" w:rsidR="00381CE8" w:rsidRDefault="00381CE8" w:rsidP="00381CE8">
      <w:pPr>
        <w:spacing w:after="0" w:line="276" w:lineRule="auto"/>
        <w:rPr>
          <w:rFonts w:cstheme="minorHAnsi"/>
          <w:b/>
        </w:rPr>
      </w:pPr>
    </w:p>
    <w:p w14:paraId="2BC4DF8F" w14:textId="079C1B0E" w:rsidR="00AE621F" w:rsidRDefault="00AE621F" w:rsidP="00381CE8">
      <w:pPr>
        <w:spacing w:after="0" w:line="276" w:lineRule="auto"/>
        <w:rPr>
          <w:rFonts w:cstheme="minorHAnsi"/>
          <w:b/>
        </w:rPr>
      </w:pPr>
    </w:p>
    <w:p w14:paraId="0AC69DAA" w14:textId="28E3EF78" w:rsidR="00AE621F" w:rsidRDefault="00AE621F" w:rsidP="00381CE8">
      <w:pPr>
        <w:spacing w:after="0" w:line="276" w:lineRule="auto"/>
        <w:rPr>
          <w:rFonts w:cstheme="minorHAnsi"/>
          <w:b/>
        </w:rPr>
      </w:pPr>
    </w:p>
    <w:p w14:paraId="4B668584" w14:textId="429C9575" w:rsidR="00AE621F" w:rsidRDefault="00AE621F" w:rsidP="00381CE8">
      <w:pPr>
        <w:spacing w:after="0" w:line="276" w:lineRule="auto"/>
        <w:rPr>
          <w:rFonts w:cstheme="minorHAnsi"/>
          <w:b/>
        </w:rPr>
      </w:pPr>
    </w:p>
    <w:p w14:paraId="0C1E915C" w14:textId="7CF6CD44" w:rsidR="00AE621F" w:rsidRDefault="00AE621F" w:rsidP="00381CE8">
      <w:pPr>
        <w:spacing w:after="0" w:line="276" w:lineRule="auto"/>
        <w:rPr>
          <w:rFonts w:cstheme="minorHAnsi"/>
          <w:b/>
        </w:rPr>
      </w:pPr>
    </w:p>
    <w:p w14:paraId="232DA6B0" w14:textId="77777777" w:rsidR="00AE621F" w:rsidRPr="00965B1F" w:rsidRDefault="00AE621F" w:rsidP="00381CE8">
      <w:pPr>
        <w:spacing w:after="0" w:line="276" w:lineRule="auto"/>
        <w:rPr>
          <w:rFonts w:cstheme="minorHAnsi"/>
          <w:b/>
        </w:rPr>
      </w:pPr>
    </w:p>
    <w:p w14:paraId="183F4643" w14:textId="77777777" w:rsidR="00381CE8" w:rsidRPr="00965B1F" w:rsidRDefault="00381CE8" w:rsidP="00381CE8">
      <w:pPr>
        <w:spacing w:after="0" w:line="276" w:lineRule="auto"/>
        <w:rPr>
          <w:rFonts w:cstheme="minorHAnsi"/>
          <w:b/>
        </w:rPr>
      </w:pPr>
    </w:p>
    <w:p w14:paraId="4E77284B" w14:textId="77777777" w:rsidR="00381CE8" w:rsidRDefault="00381CE8" w:rsidP="00381CE8">
      <w:pPr>
        <w:spacing w:after="0" w:line="276" w:lineRule="auto"/>
        <w:rPr>
          <w:rFonts w:cstheme="minorHAnsi"/>
          <w:b/>
        </w:rPr>
      </w:pPr>
    </w:p>
    <w:p w14:paraId="4C51A8AD" w14:textId="77777777" w:rsidR="00381CE8" w:rsidRDefault="00381CE8" w:rsidP="00381CE8">
      <w:pPr>
        <w:spacing w:after="0" w:line="276" w:lineRule="auto"/>
        <w:rPr>
          <w:rFonts w:cstheme="minorHAnsi"/>
          <w:b/>
        </w:rPr>
      </w:pPr>
    </w:p>
    <w:p w14:paraId="73C0D01C" w14:textId="77777777" w:rsidR="00381CE8" w:rsidRDefault="00381CE8" w:rsidP="00381CE8">
      <w:pPr>
        <w:spacing w:after="0" w:line="276" w:lineRule="auto"/>
        <w:rPr>
          <w:rFonts w:cstheme="minorHAnsi"/>
          <w:b/>
        </w:rPr>
      </w:pPr>
    </w:p>
    <w:p w14:paraId="46FCA527" w14:textId="77777777" w:rsidR="00381CE8" w:rsidRDefault="00381CE8" w:rsidP="00381CE8">
      <w:pPr>
        <w:spacing w:after="0" w:line="276" w:lineRule="auto"/>
        <w:rPr>
          <w:rFonts w:cstheme="minorHAnsi"/>
          <w:b/>
        </w:rPr>
      </w:pPr>
    </w:p>
    <w:p w14:paraId="6558A10F" w14:textId="77777777" w:rsidR="00381CE8" w:rsidRDefault="00381CE8" w:rsidP="00381CE8">
      <w:pPr>
        <w:spacing w:after="0" w:line="276" w:lineRule="auto"/>
        <w:rPr>
          <w:rFonts w:cstheme="minorHAnsi"/>
          <w:b/>
        </w:rPr>
      </w:pPr>
    </w:p>
    <w:p w14:paraId="142798C4" w14:textId="77777777" w:rsidR="00381CE8" w:rsidRDefault="00381CE8" w:rsidP="00381CE8">
      <w:pPr>
        <w:spacing w:after="0" w:line="276" w:lineRule="auto"/>
        <w:rPr>
          <w:rFonts w:cstheme="minorHAnsi"/>
          <w:b/>
        </w:rPr>
      </w:pPr>
    </w:p>
    <w:p w14:paraId="4E1C4249" w14:textId="77777777" w:rsidR="00381CE8" w:rsidRDefault="00381CE8" w:rsidP="00381CE8">
      <w:pPr>
        <w:spacing w:after="0" w:line="276" w:lineRule="auto"/>
        <w:rPr>
          <w:rFonts w:cstheme="minorHAnsi"/>
          <w:b/>
        </w:rPr>
      </w:pPr>
    </w:p>
    <w:p w14:paraId="2D27D55E" w14:textId="77777777" w:rsidR="00381CE8" w:rsidRDefault="00381CE8" w:rsidP="00381CE8">
      <w:pPr>
        <w:spacing w:after="0" w:line="276" w:lineRule="auto"/>
        <w:rPr>
          <w:rFonts w:cstheme="minorHAnsi"/>
          <w:b/>
        </w:rPr>
      </w:pPr>
    </w:p>
    <w:p w14:paraId="6C3151BC" w14:textId="77777777" w:rsidR="00381CE8" w:rsidRDefault="00381CE8" w:rsidP="00381CE8">
      <w:pPr>
        <w:spacing w:after="0" w:line="276" w:lineRule="auto"/>
        <w:rPr>
          <w:rFonts w:cstheme="minorHAnsi"/>
          <w:b/>
        </w:rPr>
      </w:pPr>
    </w:p>
    <w:p w14:paraId="3B198A4A" w14:textId="76F425AE" w:rsidR="00381CE8" w:rsidRDefault="00381CE8" w:rsidP="00381CE8">
      <w:pPr>
        <w:spacing w:after="0" w:line="276" w:lineRule="auto"/>
        <w:rPr>
          <w:rFonts w:cstheme="minorHAnsi"/>
          <w:b/>
        </w:rPr>
      </w:pPr>
    </w:p>
    <w:p w14:paraId="0F568158" w14:textId="77777777" w:rsidR="002531EA" w:rsidRDefault="002531EA" w:rsidP="00381CE8">
      <w:pPr>
        <w:spacing w:after="0" w:line="276" w:lineRule="auto"/>
        <w:rPr>
          <w:rFonts w:cstheme="minorHAnsi"/>
          <w:b/>
        </w:rPr>
      </w:pPr>
    </w:p>
    <w:p w14:paraId="5DDB0F6C" w14:textId="77777777" w:rsidR="00381CE8" w:rsidRDefault="00381CE8" w:rsidP="00381CE8">
      <w:pPr>
        <w:spacing w:after="0" w:line="276" w:lineRule="auto"/>
        <w:rPr>
          <w:rFonts w:cstheme="minorHAnsi"/>
          <w:b/>
        </w:rPr>
      </w:pPr>
    </w:p>
    <w:p w14:paraId="37EB9A92" w14:textId="77777777" w:rsidR="00381CE8" w:rsidRDefault="00381CE8" w:rsidP="00381CE8">
      <w:pPr>
        <w:spacing w:after="0" w:line="276" w:lineRule="auto"/>
        <w:rPr>
          <w:rFonts w:cstheme="minorHAnsi"/>
          <w:b/>
        </w:rPr>
      </w:pPr>
    </w:p>
    <w:p w14:paraId="404FCEF8" w14:textId="24028A90" w:rsidR="00381CE8" w:rsidRPr="00381CE8" w:rsidRDefault="00381CE8" w:rsidP="00381CE8">
      <w:pPr>
        <w:spacing w:after="0" w:line="276" w:lineRule="auto"/>
        <w:rPr>
          <w:rFonts w:cstheme="minorHAnsi"/>
          <w:b/>
          <w:sz w:val="28"/>
        </w:rPr>
      </w:pPr>
      <w:r w:rsidRPr="00381CE8">
        <w:rPr>
          <w:rFonts w:cstheme="minorHAnsi"/>
          <w:b/>
          <w:sz w:val="28"/>
        </w:rPr>
        <w:lastRenderedPageBreak/>
        <w:t>Key Messages</w:t>
      </w:r>
    </w:p>
    <w:p w14:paraId="3795292C" w14:textId="5FC7E920" w:rsidR="000A0149" w:rsidRDefault="000A0149" w:rsidP="006B41AE">
      <w:pPr>
        <w:pStyle w:val="ListParagraph"/>
        <w:numPr>
          <w:ilvl w:val="0"/>
          <w:numId w:val="26"/>
        </w:numPr>
        <w:spacing w:after="0" w:line="276" w:lineRule="auto"/>
        <w:jc w:val="both"/>
        <w:rPr>
          <w:rFonts w:cstheme="minorHAnsi"/>
        </w:rPr>
      </w:pPr>
      <w:r>
        <w:rPr>
          <w:rFonts w:cstheme="minorHAnsi"/>
        </w:rPr>
        <w:t>Apply a whole-of-government approach to achieve cross-sector collaboration through policy to ensure strategies and initiatives implemented will not harm nor contribute to inequities.</w:t>
      </w:r>
      <w:r w:rsidR="00BA48AE">
        <w:rPr>
          <w:rFonts w:cstheme="minorHAnsi"/>
        </w:rPr>
        <w:t xml:space="preserve"> Collaboration must occur with other systems in mind, clear intersections need to be identified and leveraged.</w:t>
      </w:r>
    </w:p>
    <w:p w14:paraId="70595313" w14:textId="45952521" w:rsidR="000A0149" w:rsidRPr="004B733A" w:rsidRDefault="00276424" w:rsidP="006B41AE">
      <w:pPr>
        <w:pStyle w:val="ListParagraph"/>
        <w:numPr>
          <w:ilvl w:val="0"/>
          <w:numId w:val="26"/>
        </w:numPr>
        <w:spacing w:after="0" w:line="276" w:lineRule="auto"/>
        <w:jc w:val="both"/>
        <w:rPr>
          <w:rFonts w:cstheme="minorHAnsi"/>
        </w:rPr>
      </w:pPr>
      <w:r>
        <w:rPr>
          <w:rFonts w:cstheme="minorHAnsi"/>
        </w:rPr>
        <w:t>The current,</w:t>
      </w:r>
      <w:r w:rsidR="000A0149" w:rsidRPr="004B733A">
        <w:rPr>
          <w:rFonts w:cstheme="minorHAnsi"/>
        </w:rPr>
        <w:t xml:space="preserve"> fragmented service system is difficult to navigate for health professionals, consumers</w:t>
      </w:r>
      <w:r w:rsidR="000A0149">
        <w:rPr>
          <w:rFonts w:cstheme="minorHAnsi"/>
        </w:rPr>
        <w:t>,</w:t>
      </w:r>
      <w:r w:rsidR="000A0149" w:rsidRPr="004B733A">
        <w:rPr>
          <w:rFonts w:cstheme="minorHAnsi"/>
        </w:rPr>
        <w:t xml:space="preserve"> carers</w:t>
      </w:r>
      <w:r w:rsidR="000A0149">
        <w:rPr>
          <w:rFonts w:cstheme="minorHAnsi"/>
        </w:rPr>
        <w:t xml:space="preserve"> and community members</w:t>
      </w:r>
      <w:r w:rsidR="000A0149" w:rsidRPr="004B733A">
        <w:rPr>
          <w:rFonts w:cstheme="minorHAnsi"/>
        </w:rPr>
        <w:t xml:space="preserve">. </w:t>
      </w:r>
      <w:r w:rsidR="000A0149">
        <w:rPr>
          <w:rFonts w:cstheme="minorHAnsi"/>
        </w:rPr>
        <w:t xml:space="preserve">Greater </w:t>
      </w:r>
      <w:r w:rsidR="000A0149" w:rsidRPr="004B733A">
        <w:rPr>
          <w:rFonts w:cstheme="minorHAnsi"/>
        </w:rPr>
        <w:t>integration and collaboration between acute, sub-acute and community health service systems</w:t>
      </w:r>
      <w:r w:rsidR="000A0149">
        <w:rPr>
          <w:rFonts w:cstheme="minorHAnsi"/>
        </w:rPr>
        <w:t xml:space="preserve"> is needed</w:t>
      </w:r>
      <w:r w:rsidR="000A0149" w:rsidRPr="004B733A">
        <w:rPr>
          <w:rFonts w:cstheme="minorHAnsi"/>
        </w:rPr>
        <w:t>.</w:t>
      </w:r>
      <w:r w:rsidR="00BA48AE">
        <w:rPr>
          <w:rFonts w:cstheme="minorHAnsi"/>
        </w:rPr>
        <w:t xml:space="preserve"> System reform requires a clear plan and an outcomes focused implementation plan.</w:t>
      </w:r>
    </w:p>
    <w:p w14:paraId="2DD4F4CB" w14:textId="5567E228" w:rsidR="000A0149" w:rsidRPr="004B733A" w:rsidRDefault="00276424" w:rsidP="006B41AE">
      <w:pPr>
        <w:pStyle w:val="ListParagraph"/>
        <w:numPr>
          <w:ilvl w:val="0"/>
          <w:numId w:val="26"/>
        </w:numPr>
        <w:spacing w:after="0" w:line="276" w:lineRule="auto"/>
        <w:jc w:val="both"/>
        <w:rPr>
          <w:rFonts w:cstheme="minorHAnsi"/>
        </w:rPr>
      </w:pPr>
      <w:r>
        <w:rPr>
          <w:rFonts w:cstheme="minorHAnsi"/>
        </w:rPr>
        <w:t>The current, service-</w:t>
      </w:r>
      <w:r w:rsidR="000A0149" w:rsidRPr="004B733A">
        <w:rPr>
          <w:rFonts w:cstheme="minorHAnsi"/>
        </w:rPr>
        <w:t xml:space="preserve">specific eligibility criteria is restrictive, hinders accessibility, challenges service navigation and creates gaps </w:t>
      </w:r>
      <w:r w:rsidR="000A0149">
        <w:rPr>
          <w:rFonts w:cstheme="minorHAnsi"/>
        </w:rPr>
        <w:t xml:space="preserve">and inequity </w:t>
      </w:r>
      <w:r w:rsidR="000A0149" w:rsidRPr="004B733A">
        <w:rPr>
          <w:rFonts w:cstheme="minorHAnsi"/>
        </w:rPr>
        <w:t xml:space="preserve">in </w:t>
      </w:r>
      <w:r>
        <w:rPr>
          <w:rFonts w:cstheme="minorHAnsi"/>
        </w:rPr>
        <w:t xml:space="preserve">the </w:t>
      </w:r>
      <w:r w:rsidR="000A0149" w:rsidRPr="004B733A">
        <w:rPr>
          <w:rFonts w:cstheme="minorHAnsi"/>
        </w:rPr>
        <w:t>service access</w:t>
      </w:r>
      <w:r>
        <w:rPr>
          <w:rFonts w:cstheme="minorHAnsi"/>
        </w:rPr>
        <w:t xml:space="preserve"> to,</w:t>
      </w:r>
      <w:r w:rsidR="000A0149" w:rsidRPr="004B733A">
        <w:rPr>
          <w:rFonts w:cstheme="minorHAnsi"/>
        </w:rPr>
        <w:t xml:space="preserve"> and provision</w:t>
      </w:r>
      <w:r>
        <w:rPr>
          <w:rFonts w:cstheme="minorHAnsi"/>
        </w:rPr>
        <w:t xml:space="preserve"> of services</w:t>
      </w:r>
      <w:r w:rsidR="000A0149" w:rsidRPr="004B733A">
        <w:rPr>
          <w:rFonts w:cstheme="minorHAnsi"/>
        </w:rPr>
        <w:t xml:space="preserve">. </w:t>
      </w:r>
    </w:p>
    <w:p w14:paraId="5DBFD102" w14:textId="60E1FD30" w:rsidR="000A0149" w:rsidRPr="004B733A" w:rsidRDefault="000A0149" w:rsidP="006B41AE">
      <w:pPr>
        <w:pStyle w:val="ListParagraph"/>
        <w:numPr>
          <w:ilvl w:val="0"/>
          <w:numId w:val="26"/>
        </w:numPr>
        <w:spacing w:after="0" w:line="276" w:lineRule="auto"/>
        <w:jc w:val="both"/>
        <w:rPr>
          <w:rFonts w:cstheme="minorHAnsi"/>
        </w:rPr>
      </w:pPr>
      <w:r w:rsidRPr="004B733A">
        <w:rPr>
          <w:rFonts w:cstheme="minorHAnsi"/>
        </w:rPr>
        <w:t xml:space="preserve">Carers are not properly resourced </w:t>
      </w:r>
      <w:r w:rsidR="00276424">
        <w:rPr>
          <w:rFonts w:cstheme="minorHAnsi"/>
        </w:rPr>
        <w:t xml:space="preserve">or </w:t>
      </w:r>
      <w:r w:rsidRPr="004B733A">
        <w:rPr>
          <w:rFonts w:cstheme="minorHAnsi"/>
        </w:rPr>
        <w:t xml:space="preserve">supported to </w:t>
      </w:r>
      <w:r w:rsidR="00276424">
        <w:rPr>
          <w:rFonts w:cstheme="minorHAnsi"/>
        </w:rPr>
        <w:t xml:space="preserve">perform </w:t>
      </w:r>
      <w:r w:rsidRPr="004B733A">
        <w:rPr>
          <w:rFonts w:cstheme="minorHAnsi"/>
        </w:rPr>
        <w:t>the</w:t>
      </w:r>
      <w:r w:rsidR="00276424">
        <w:rPr>
          <w:rFonts w:cstheme="minorHAnsi"/>
        </w:rPr>
        <w:t>ir</w:t>
      </w:r>
      <w:r w:rsidRPr="004B733A">
        <w:rPr>
          <w:rFonts w:cstheme="minorHAnsi"/>
        </w:rPr>
        <w:t xml:space="preserve"> </w:t>
      </w:r>
      <w:r>
        <w:rPr>
          <w:rFonts w:cstheme="minorHAnsi"/>
        </w:rPr>
        <w:t>carer role</w:t>
      </w:r>
      <w:r w:rsidR="00276424">
        <w:rPr>
          <w:rFonts w:cstheme="minorHAnsi"/>
        </w:rPr>
        <w:t>s</w:t>
      </w:r>
      <w:r w:rsidRPr="004B733A">
        <w:rPr>
          <w:rFonts w:cstheme="minorHAnsi"/>
        </w:rPr>
        <w:t>.</w:t>
      </w:r>
      <w:r>
        <w:rPr>
          <w:rFonts w:cstheme="minorHAnsi"/>
        </w:rPr>
        <w:t xml:space="preserve"> Education, training and ongoing access to sup</w:t>
      </w:r>
      <w:r w:rsidR="00276424">
        <w:rPr>
          <w:rFonts w:cstheme="minorHAnsi"/>
        </w:rPr>
        <w:t>port is required to build carer</w:t>
      </w:r>
      <w:r>
        <w:rPr>
          <w:rFonts w:cstheme="minorHAnsi"/>
        </w:rPr>
        <w:t>s</w:t>
      </w:r>
      <w:r w:rsidR="00276424">
        <w:rPr>
          <w:rFonts w:cstheme="minorHAnsi"/>
        </w:rPr>
        <w:t>’</w:t>
      </w:r>
      <w:r>
        <w:rPr>
          <w:rFonts w:cstheme="minorHAnsi"/>
        </w:rPr>
        <w:t xml:space="preserve"> knowledge</w:t>
      </w:r>
      <w:r w:rsidR="00276424">
        <w:rPr>
          <w:rFonts w:cstheme="minorHAnsi"/>
        </w:rPr>
        <w:t>,</w:t>
      </w:r>
      <w:r>
        <w:rPr>
          <w:rFonts w:cstheme="minorHAnsi"/>
        </w:rPr>
        <w:t xml:space="preserve"> confidence and capability to </w:t>
      </w:r>
      <w:r w:rsidR="00276424">
        <w:rPr>
          <w:rFonts w:cstheme="minorHAnsi"/>
        </w:rPr>
        <w:t xml:space="preserve">perform </w:t>
      </w:r>
      <w:r>
        <w:rPr>
          <w:rFonts w:cstheme="minorHAnsi"/>
        </w:rPr>
        <w:t>optimally as a carer.</w:t>
      </w:r>
    </w:p>
    <w:p w14:paraId="22C21B96" w14:textId="14DF4330" w:rsidR="000A0149" w:rsidRPr="004B733A" w:rsidRDefault="000A0149" w:rsidP="006B41AE">
      <w:pPr>
        <w:pStyle w:val="ListParagraph"/>
        <w:numPr>
          <w:ilvl w:val="0"/>
          <w:numId w:val="26"/>
        </w:numPr>
        <w:spacing w:after="0" w:line="276" w:lineRule="auto"/>
        <w:jc w:val="both"/>
        <w:rPr>
          <w:rFonts w:cstheme="minorHAnsi"/>
        </w:rPr>
      </w:pPr>
      <w:r>
        <w:rPr>
          <w:rFonts w:cstheme="minorHAnsi"/>
        </w:rPr>
        <w:t xml:space="preserve">Advancing the </w:t>
      </w:r>
      <w:r w:rsidRPr="004B733A">
        <w:rPr>
          <w:rFonts w:cstheme="minorHAnsi"/>
        </w:rPr>
        <w:t>mental health literacy within the broad population</w:t>
      </w:r>
      <w:r>
        <w:rPr>
          <w:rFonts w:cstheme="minorHAnsi"/>
        </w:rPr>
        <w:t xml:space="preserve"> will reduce stigma, build the capacity of the community to support </w:t>
      </w:r>
      <w:r w:rsidR="00276424">
        <w:rPr>
          <w:rFonts w:cstheme="minorHAnsi"/>
        </w:rPr>
        <w:t xml:space="preserve">itself </w:t>
      </w:r>
      <w:r>
        <w:rPr>
          <w:rFonts w:cstheme="minorHAnsi"/>
        </w:rPr>
        <w:t>and those experiencing mental</w:t>
      </w:r>
      <w:r w:rsidR="00276424">
        <w:rPr>
          <w:rFonts w:cstheme="minorHAnsi"/>
        </w:rPr>
        <w:t xml:space="preserve"> ill-health, and normalise help-</w:t>
      </w:r>
      <w:r>
        <w:rPr>
          <w:rFonts w:cstheme="minorHAnsi"/>
        </w:rPr>
        <w:t>seeking behaviours</w:t>
      </w:r>
      <w:r w:rsidRPr="004B733A">
        <w:rPr>
          <w:rFonts w:cstheme="minorHAnsi"/>
        </w:rPr>
        <w:t>.</w:t>
      </w:r>
    </w:p>
    <w:p w14:paraId="0BA90583" w14:textId="796681AF" w:rsidR="000A0149" w:rsidRDefault="000A0149" w:rsidP="006B41AE">
      <w:pPr>
        <w:pStyle w:val="ListParagraph"/>
        <w:numPr>
          <w:ilvl w:val="0"/>
          <w:numId w:val="26"/>
        </w:numPr>
        <w:spacing w:after="0" w:line="276" w:lineRule="auto"/>
        <w:jc w:val="both"/>
        <w:rPr>
          <w:rFonts w:cstheme="minorHAnsi"/>
        </w:rPr>
      </w:pPr>
      <w:r w:rsidRPr="004B733A">
        <w:rPr>
          <w:rFonts w:cstheme="minorHAnsi"/>
        </w:rPr>
        <w:t xml:space="preserve">Mental wellbeing of Victorians is compromised by the unequal distribution of wealth, power and resources, the rising costs of living and structural discrimination. </w:t>
      </w:r>
      <w:r>
        <w:rPr>
          <w:rFonts w:cstheme="minorHAnsi"/>
        </w:rPr>
        <w:t xml:space="preserve">Until this is </w:t>
      </w:r>
      <w:r w:rsidR="00276424">
        <w:rPr>
          <w:rFonts w:cstheme="minorHAnsi"/>
        </w:rPr>
        <w:t xml:space="preserve">addressed </w:t>
      </w:r>
      <w:r>
        <w:rPr>
          <w:rFonts w:cstheme="minorHAnsi"/>
        </w:rPr>
        <w:t>preventative actions will be undermined.</w:t>
      </w:r>
      <w:r w:rsidRPr="004B733A">
        <w:rPr>
          <w:rFonts w:cstheme="minorHAnsi"/>
        </w:rPr>
        <w:t xml:space="preserve"> </w:t>
      </w:r>
    </w:p>
    <w:p w14:paraId="6E453905" w14:textId="77777777" w:rsidR="000A0149" w:rsidRPr="004B733A" w:rsidRDefault="000A0149" w:rsidP="006B41AE">
      <w:pPr>
        <w:pStyle w:val="ListParagraph"/>
        <w:numPr>
          <w:ilvl w:val="0"/>
          <w:numId w:val="26"/>
        </w:numPr>
        <w:spacing w:after="0" w:line="276" w:lineRule="auto"/>
        <w:jc w:val="both"/>
        <w:rPr>
          <w:rFonts w:cstheme="minorHAnsi"/>
        </w:rPr>
      </w:pPr>
      <w:r>
        <w:rPr>
          <w:rFonts w:cstheme="minorHAnsi"/>
        </w:rPr>
        <w:t>Greater investment in prevention is required to shift mental health expenditure upstream, to establish multi-pronged initiatives that foster protective factors, reduce risk factors and address the social, economic and environmental determinants.</w:t>
      </w:r>
    </w:p>
    <w:p w14:paraId="2E7FA3A3" w14:textId="77777777" w:rsidR="000A0149" w:rsidRDefault="000A0149" w:rsidP="006B41AE">
      <w:pPr>
        <w:spacing w:after="0" w:line="276" w:lineRule="auto"/>
        <w:jc w:val="both"/>
        <w:rPr>
          <w:rFonts w:cstheme="minorHAnsi"/>
        </w:rPr>
      </w:pPr>
    </w:p>
    <w:p w14:paraId="71B5652D" w14:textId="77777777" w:rsidR="000A0149" w:rsidRPr="00381CE8" w:rsidRDefault="000A0149" w:rsidP="006B41AE">
      <w:pPr>
        <w:spacing w:after="0" w:line="276" w:lineRule="auto"/>
        <w:jc w:val="both"/>
        <w:rPr>
          <w:rFonts w:cstheme="minorHAnsi"/>
          <w:b/>
          <w:sz w:val="28"/>
        </w:rPr>
      </w:pPr>
      <w:r w:rsidRPr="00381CE8">
        <w:rPr>
          <w:rFonts w:cstheme="minorHAnsi"/>
          <w:b/>
          <w:sz w:val="28"/>
        </w:rPr>
        <w:t>Recommendations</w:t>
      </w:r>
    </w:p>
    <w:p w14:paraId="56F75BB1" w14:textId="2509968A" w:rsidR="000A0149" w:rsidRDefault="000A0149" w:rsidP="006B41AE">
      <w:pPr>
        <w:pStyle w:val="ListParagraph"/>
        <w:numPr>
          <w:ilvl w:val="0"/>
          <w:numId w:val="22"/>
        </w:numPr>
        <w:spacing w:after="0" w:line="276" w:lineRule="auto"/>
        <w:jc w:val="both"/>
        <w:rPr>
          <w:rFonts w:cstheme="minorHAnsi"/>
        </w:rPr>
      </w:pPr>
      <w:r>
        <w:rPr>
          <w:rFonts w:cstheme="minorHAnsi"/>
        </w:rPr>
        <w:t xml:space="preserve">Assemble multidisciplinary teams inclusive of different disciplines within the mental wellbeing field, with varied specialised expertise to wrap coordinated services around the client, and </w:t>
      </w:r>
      <w:r w:rsidR="00276424">
        <w:rPr>
          <w:rFonts w:cstheme="minorHAnsi"/>
        </w:rPr>
        <w:t xml:space="preserve">provide </w:t>
      </w:r>
      <w:r>
        <w:rPr>
          <w:rFonts w:cstheme="minorHAnsi"/>
        </w:rPr>
        <w:t>health professionals who are working with complex clients the appropriate support.</w:t>
      </w:r>
    </w:p>
    <w:p w14:paraId="1DCD0A61" w14:textId="777613DE" w:rsidR="000A0149" w:rsidRDefault="000A0149" w:rsidP="006B41AE">
      <w:pPr>
        <w:pStyle w:val="ListParagraph"/>
        <w:numPr>
          <w:ilvl w:val="0"/>
          <w:numId w:val="22"/>
        </w:numPr>
        <w:spacing w:after="0" w:line="276" w:lineRule="auto"/>
        <w:jc w:val="both"/>
        <w:rPr>
          <w:rFonts w:cstheme="minorHAnsi"/>
        </w:rPr>
      </w:pPr>
      <w:r>
        <w:rPr>
          <w:rFonts w:cstheme="minorHAnsi"/>
        </w:rPr>
        <w:t xml:space="preserve">Invest in system design that increases the funded support of clients in their journeys through a </w:t>
      </w:r>
      <w:r w:rsidR="00276424">
        <w:rPr>
          <w:rFonts w:cstheme="minorHAnsi"/>
        </w:rPr>
        <w:t>‘step-</w:t>
      </w:r>
      <w:r>
        <w:rPr>
          <w:rFonts w:cstheme="minorHAnsi"/>
        </w:rPr>
        <w:t>up/</w:t>
      </w:r>
      <w:r w:rsidR="00276424">
        <w:rPr>
          <w:rFonts w:cstheme="minorHAnsi"/>
        </w:rPr>
        <w:t>step-</w:t>
      </w:r>
      <w:r>
        <w:rPr>
          <w:rFonts w:cstheme="minorHAnsi"/>
        </w:rPr>
        <w:t>down</w:t>
      </w:r>
      <w:r w:rsidR="00276424">
        <w:rPr>
          <w:rFonts w:cstheme="minorHAnsi"/>
        </w:rPr>
        <w:t>’</w:t>
      </w:r>
      <w:r>
        <w:rPr>
          <w:rFonts w:cstheme="minorHAnsi"/>
        </w:rPr>
        <w:t xml:space="preserve"> model of care</w:t>
      </w:r>
    </w:p>
    <w:p w14:paraId="6A858850" w14:textId="2C0ABF3F" w:rsidR="000A0149" w:rsidRDefault="000A0149" w:rsidP="006B41AE">
      <w:pPr>
        <w:pStyle w:val="ListParagraph"/>
        <w:numPr>
          <w:ilvl w:val="0"/>
          <w:numId w:val="22"/>
        </w:numPr>
        <w:spacing w:after="0" w:line="276" w:lineRule="auto"/>
        <w:jc w:val="both"/>
        <w:rPr>
          <w:rFonts w:cstheme="minorHAnsi"/>
        </w:rPr>
      </w:pPr>
      <w:r>
        <w:rPr>
          <w:rFonts w:cstheme="minorHAnsi"/>
        </w:rPr>
        <w:t xml:space="preserve">Build </w:t>
      </w:r>
      <w:r w:rsidR="00276424">
        <w:rPr>
          <w:rFonts w:cstheme="minorHAnsi"/>
        </w:rPr>
        <w:t xml:space="preserve">capacity </w:t>
      </w:r>
      <w:r>
        <w:rPr>
          <w:rFonts w:cstheme="minorHAnsi"/>
        </w:rPr>
        <w:t>into the system for service</w:t>
      </w:r>
      <w:r w:rsidR="00611970">
        <w:rPr>
          <w:rFonts w:cstheme="minorHAnsi"/>
        </w:rPr>
        <w:t xml:space="preserve"> provider</w:t>
      </w:r>
      <w:r>
        <w:rPr>
          <w:rFonts w:cstheme="minorHAnsi"/>
        </w:rPr>
        <w:t>s to actively engage with all clients</w:t>
      </w:r>
      <w:r w:rsidR="00E71F58">
        <w:rPr>
          <w:rFonts w:cstheme="minorHAnsi"/>
        </w:rPr>
        <w:t xml:space="preserve"> through a person centred approach. A</w:t>
      </w:r>
      <w:r w:rsidR="00BA48AE">
        <w:rPr>
          <w:rFonts w:cstheme="minorHAnsi"/>
        </w:rPr>
        <w:t xml:space="preserve">llow additional time for </w:t>
      </w:r>
      <w:r>
        <w:rPr>
          <w:rFonts w:cstheme="minorHAnsi"/>
        </w:rPr>
        <w:t xml:space="preserve">the initial stages of service </w:t>
      </w:r>
      <w:r w:rsidR="00276424">
        <w:rPr>
          <w:rFonts w:cstheme="minorHAnsi"/>
        </w:rPr>
        <w:t>engagement</w:t>
      </w:r>
      <w:r w:rsidR="00BA48AE">
        <w:rPr>
          <w:rFonts w:cstheme="minorHAnsi"/>
        </w:rPr>
        <w:t xml:space="preserve"> </w:t>
      </w:r>
      <w:r>
        <w:rPr>
          <w:rFonts w:cstheme="minorHAnsi"/>
        </w:rPr>
        <w:t xml:space="preserve">and </w:t>
      </w:r>
      <w:r w:rsidR="00276424">
        <w:rPr>
          <w:rFonts w:cstheme="minorHAnsi"/>
        </w:rPr>
        <w:t xml:space="preserve">enable </w:t>
      </w:r>
      <w:r>
        <w:rPr>
          <w:rFonts w:cstheme="minorHAnsi"/>
        </w:rPr>
        <w:t xml:space="preserve">flexibility of modality type, especially with young people; meet them </w:t>
      </w:r>
      <w:r w:rsidRPr="006264C9">
        <w:rPr>
          <w:rFonts w:cstheme="minorHAnsi"/>
          <w:i/>
        </w:rPr>
        <w:t>where</w:t>
      </w:r>
      <w:r>
        <w:rPr>
          <w:rFonts w:cstheme="minorHAnsi"/>
        </w:rPr>
        <w:t xml:space="preserve"> they want to meet,</w:t>
      </w:r>
      <w:r w:rsidRPr="006264C9">
        <w:rPr>
          <w:rFonts w:cstheme="minorHAnsi"/>
          <w:i/>
        </w:rPr>
        <w:t xml:space="preserve"> when</w:t>
      </w:r>
      <w:r>
        <w:rPr>
          <w:rFonts w:cstheme="minorHAnsi"/>
        </w:rPr>
        <w:t xml:space="preserve"> they want to meet. </w:t>
      </w:r>
    </w:p>
    <w:p w14:paraId="1FCB5E4C" w14:textId="3D708EAD" w:rsidR="000A0149" w:rsidRDefault="000A0149" w:rsidP="006B41AE">
      <w:pPr>
        <w:pStyle w:val="ListParagraph"/>
        <w:numPr>
          <w:ilvl w:val="0"/>
          <w:numId w:val="22"/>
        </w:numPr>
        <w:spacing w:after="0" w:line="276" w:lineRule="auto"/>
        <w:jc w:val="both"/>
        <w:rPr>
          <w:rFonts w:cstheme="minorHAnsi"/>
        </w:rPr>
      </w:pPr>
      <w:r>
        <w:rPr>
          <w:rFonts w:cstheme="minorHAnsi"/>
        </w:rPr>
        <w:t>Con</w:t>
      </w:r>
      <w:r w:rsidR="00276424">
        <w:rPr>
          <w:rFonts w:cstheme="minorHAnsi"/>
        </w:rPr>
        <w:t>struct</w:t>
      </w:r>
      <w:r>
        <w:rPr>
          <w:rFonts w:cstheme="minorHAnsi"/>
        </w:rPr>
        <w:t xml:space="preserve"> a model where a community service can support parents</w:t>
      </w:r>
      <w:r w:rsidR="00E71F58">
        <w:rPr>
          <w:rFonts w:cstheme="minorHAnsi"/>
        </w:rPr>
        <w:t>/guardians/carers</w:t>
      </w:r>
      <w:r>
        <w:rPr>
          <w:rFonts w:cstheme="minorHAnsi"/>
        </w:rPr>
        <w:t xml:space="preserve"> when their children require a more intensive and/or specialist service, rather than </w:t>
      </w:r>
      <w:r w:rsidR="00276424">
        <w:rPr>
          <w:rFonts w:cstheme="minorHAnsi"/>
        </w:rPr>
        <w:t xml:space="preserve">the current model </w:t>
      </w:r>
      <w:r>
        <w:rPr>
          <w:rFonts w:cstheme="minorHAnsi"/>
        </w:rPr>
        <w:t xml:space="preserve">where services arbitrarily </w:t>
      </w:r>
      <w:r w:rsidR="00276424">
        <w:rPr>
          <w:rFonts w:cstheme="minorHAnsi"/>
        </w:rPr>
        <w:t xml:space="preserve">end </w:t>
      </w:r>
      <w:r>
        <w:rPr>
          <w:rFonts w:cstheme="minorHAnsi"/>
        </w:rPr>
        <w:t>because the children are no longer eligible for community service</w:t>
      </w:r>
      <w:r w:rsidR="00434D41">
        <w:rPr>
          <w:rFonts w:cstheme="minorHAnsi"/>
        </w:rPr>
        <w:t xml:space="preserve"> based on age and place of residence</w:t>
      </w:r>
      <w:r>
        <w:rPr>
          <w:rFonts w:cstheme="minorHAnsi"/>
        </w:rPr>
        <w:t>.</w:t>
      </w:r>
    </w:p>
    <w:p w14:paraId="4871CB6F" w14:textId="2AF73111" w:rsidR="000A0149" w:rsidRDefault="00E71F58" w:rsidP="006B41AE">
      <w:pPr>
        <w:pStyle w:val="ListParagraph"/>
        <w:numPr>
          <w:ilvl w:val="0"/>
          <w:numId w:val="22"/>
        </w:numPr>
        <w:spacing w:after="0" w:line="276" w:lineRule="auto"/>
        <w:jc w:val="both"/>
        <w:rPr>
          <w:rFonts w:cstheme="minorHAnsi"/>
        </w:rPr>
      </w:pPr>
      <w:r>
        <w:rPr>
          <w:rFonts w:cstheme="minorHAnsi"/>
        </w:rPr>
        <w:t xml:space="preserve">Provide supportive and environmentally safe spaces </w:t>
      </w:r>
      <w:r w:rsidR="00276424">
        <w:rPr>
          <w:rFonts w:cstheme="minorHAnsi"/>
        </w:rPr>
        <w:t>to better support high-</w:t>
      </w:r>
      <w:r w:rsidR="000A0149">
        <w:rPr>
          <w:rFonts w:cstheme="minorHAnsi"/>
        </w:rPr>
        <w:t>risk clients who present at emergency departments.</w:t>
      </w:r>
      <w:r w:rsidR="00434D41">
        <w:rPr>
          <w:rFonts w:cstheme="minorHAnsi"/>
        </w:rPr>
        <w:t xml:space="preserve"> </w:t>
      </w:r>
    </w:p>
    <w:p w14:paraId="50963312" w14:textId="33578BB6" w:rsidR="000A0149" w:rsidRDefault="00276424" w:rsidP="006B41AE">
      <w:pPr>
        <w:pStyle w:val="ListParagraph"/>
        <w:numPr>
          <w:ilvl w:val="0"/>
          <w:numId w:val="22"/>
        </w:numPr>
        <w:spacing w:after="0" w:line="276" w:lineRule="auto"/>
        <w:jc w:val="both"/>
        <w:rPr>
          <w:rFonts w:cstheme="minorHAnsi"/>
        </w:rPr>
      </w:pPr>
      <w:r>
        <w:rPr>
          <w:rFonts w:cstheme="minorHAnsi"/>
        </w:rPr>
        <w:t>Undertake research into incentive-</w:t>
      </w:r>
      <w:r w:rsidR="000A0149">
        <w:rPr>
          <w:rFonts w:cstheme="minorHAnsi"/>
        </w:rPr>
        <w:t>based funding or reward</w:t>
      </w:r>
      <w:r w:rsidR="001D5802">
        <w:rPr>
          <w:rFonts w:cstheme="minorHAnsi"/>
        </w:rPr>
        <w:t xml:space="preserve"> schemes</w:t>
      </w:r>
      <w:r w:rsidR="000A0149">
        <w:rPr>
          <w:rFonts w:cstheme="minorHAnsi"/>
        </w:rPr>
        <w:t xml:space="preserve"> for both health and non-health sectors to address systemic issues, </w:t>
      </w:r>
      <w:r>
        <w:rPr>
          <w:rFonts w:cstheme="minorHAnsi"/>
        </w:rPr>
        <w:t xml:space="preserve">such as </w:t>
      </w:r>
      <w:r w:rsidR="000A0149">
        <w:rPr>
          <w:rFonts w:cstheme="minorHAnsi"/>
        </w:rPr>
        <w:t>mandated cross-cultural training</w:t>
      </w:r>
      <w:r w:rsidR="001D5802">
        <w:rPr>
          <w:rFonts w:cstheme="minorHAnsi"/>
        </w:rPr>
        <w:t xml:space="preserve"> </w:t>
      </w:r>
      <w:r w:rsidR="001D5802">
        <w:t xml:space="preserve">to maximise positive outcomes of intercultural </w:t>
      </w:r>
      <w:r w:rsidR="00D26D45">
        <w:t>collaboration</w:t>
      </w:r>
      <w:r w:rsidR="001D5802">
        <w:t xml:space="preserve"> and to reduce potential </w:t>
      </w:r>
      <w:r w:rsidR="00654CDD" w:rsidRPr="00654CDD">
        <w:t>cultural faux-pas</w:t>
      </w:r>
      <w:r w:rsidR="000A0149">
        <w:rPr>
          <w:rFonts w:cstheme="minorHAnsi"/>
        </w:rPr>
        <w:t>.</w:t>
      </w:r>
    </w:p>
    <w:p w14:paraId="2D3219E6" w14:textId="4903EB54" w:rsidR="000A0149" w:rsidRDefault="00276424" w:rsidP="006B41AE">
      <w:pPr>
        <w:pStyle w:val="ListParagraph"/>
        <w:numPr>
          <w:ilvl w:val="0"/>
          <w:numId w:val="22"/>
        </w:numPr>
        <w:spacing w:after="0" w:line="276" w:lineRule="auto"/>
        <w:jc w:val="both"/>
        <w:rPr>
          <w:rFonts w:cstheme="minorHAnsi"/>
        </w:rPr>
      </w:pPr>
      <w:r>
        <w:rPr>
          <w:rFonts w:cstheme="minorHAnsi"/>
        </w:rPr>
        <w:lastRenderedPageBreak/>
        <w:t xml:space="preserve">Work </w:t>
      </w:r>
      <w:r w:rsidR="000A0149">
        <w:rPr>
          <w:rFonts w:cstheme="minorHAnsi"/>
        </w:rPr>
        <w:t xml:space="preserve">with the Department of Education </w:t>
      </w:r>
      <w:r>
        <w:rPr>
          <w:rFonts w:cstheme="minorHAnsi"/>
        </w:rPr>
        <w:t xml:space="preserve">to introduce </w:t>
      </w:r>
      <w:r w:rsidR="000A0149">
        <w:rPr>
          <w:rFonts w:cstheme="minorHAnsi"/>
        </w:rPr>
        <w:t xml:space="preserve">mental health education into </w:t>
      </w:r>
      <w:r>
        <w:rPr>
          <w:rFonts w:cstheme="minorHAnsi"/>
        </w:rPr>
        <w:t>school</w:t>
      </w:r>
      <w:r w:rsidR="000A0149">
        <w:rPr>
          <w:rFonts w:cstheme="minorHAnsi"/>
        </w:rPr>
        <w:t xml:space="preserve"> curriculum</w:t>
      </w:r>
      <w:r w:rsidR="00E71F58">
        <w:rPr>
          <w:rFonts w:cstheme="minorHAnsi"/>
        </w:rPr>
        <w:t>, to increase understanding of mental health, normalise help-seeking behaviours and deconstruct ideologies</w:t>
      </w:r>
      <w:r w:rsidR="001D5802">
        <w:rPr>
          <w:rFonts w:cstheme="minorHAnsi"/>
        </w:rPr>
        <w:t xml:space="preserve"> that foster discrimination</w:t>
      </w:r>
      <w:r w:rsidR="000A0149">
        <w:rPr>
          <w:rFonts w:cstheme="minorHAnsi"/>
        </w:rPr>
        <w:t>.</w:t>
      </w:r>
    </w:p>
    <w:p w14:paraId="36462ADF" w14:textId="4308D257" w:rsidR="00F809A2" w:rsidRPr="00F809A2" w:rsidRDefault="00F809A2" w:rsidP="00F809A2">
      <w:pPr>
        <w:pStyle w:val="ListParagraph"/>
        <w:numPr>
          <w:ilvl w:val="0"/>
          <w:numId w:val="22"/>
        </w:numPr>
        <w:spacing w:after="0" w:line="276" w:lineRule="auto"/>
        <w:jc w:val="both"/>
        <w:rPr>
          <w:rFonts w:cstheme="minorHAnsi"/>
          <w:lang w:eastAsia="en-AU"/>
        </w:rPr>
      </w:pPr>
      <w:r>
        <w:rPr>
          <w:rFonts w:cstheme="minorHAnsi"/>
          <w:lang w:eastAsia="en-AU"/>
        </w:rPr>
        <w:t>A</w:t>
      </w:r>
      <w:r w:rsidRPr="00F809A2">
        <w:rPr>
          <w:rFonts w:cstheme="minorHAnsi"/>
          <w:lang w:eastAsia="en-AU"/>
        </w:rPr>
        <w:t xml:space="preserve"> shift toward mental health expenditure being spent on health promotion, prevention and early intervention. We want people to identify within themselves symptoms of mental ill-health the same way they self-diagnose a cold, and then seek medical advice. Increasing the mental health literacy of the community is required, through training. Further to this, we suggest the inclusion of the situational approach to mental health literacy that provides a holistic and person-centred approach, normalising distress, applying gender specific considerations and addresses contextual factors such as family and community who can influence an individual’s experience (Ashfield et al, 2017).</w:t>
      </w:r>
    </w:p>
    <w:p w14:paraId="761856A8" w14:textId="7B0B9CE8" w:rsidR="000A0149" w:rsidRDefault="000A0149" w:rsidP="006B41AE">
      <w:pPr>
        <w:pStyle w:val="ListParagraph"/>
        <w:numPr>
          <w:ilvl w:val="0"/>
          <w:numId w:val="22"/>
        </w:numPr>
        <w:spacing w:after="0" w:line="276" w:lineRule="auto"/>
        <w:jc w:val="both"/>
        <w:rPr>
          <w:rFonts w:cstheme="minorHAnsi"/>
        </w:rPr>
      </w:pPr>
      <w:r>
        <w:rPr>
          <w:rFonts w:cstheme="minorHAnsi"/>
        </w:rPr>
        <w:t>Introduce diverse funding models for service delivery</w:t>
      </w:r>
      <w:r w:rsidR="00D26D45">
        <w:rPr>
          <w:rFonts w:cstheme="minorHAnsi"/>
        </w:rPr>
        <w:t>.</w:t>
      </w:r>
      <w:r>
        <w:rPr>
          <w:rFonts w:cstheme="minorHAnsi"/>
        </w:rPr>
        <w:t xml:space="preserve"> </w:t>
      </w:r>
      <w:r w:rsidR="00D26D45">
        <w:rPr>
          <w:rFonts w:cstheme="minorHAnsi"/>
        </w:rPr>
        <w:t>Permit</w:t>
      </w:r>
      <w:r>
        <w:rPr>
          <w:rFonts w:cstheme="minorHAnsi"/>
        </w:rPr>
        <w:t xml:space="preserve"> </w:t>
      </w:r>
      <w:r w:rsidR="00276424">
        <w:rPr>
          <w:rFonts w:cstheme="minorHAnsi"/>
        </w:rPr>
        <w:t xml:space="preserve">mental health </w:t>
      </w:r>
      <w:r>
        <w:rPr>
          <w:rFonts w:cstheme="minorHAnsi"/>
        </w:rPr>
        <w:t>staff flexibility in their service delivery</w:t>
      </w:r>
      <w:r w:rsidR="00611970">
        <w:rPr>
          <w:rFonts w:cstheme="minorHAnsi"/>
        </w:rPr>
        <w:t xml:space="preserve"> to </w:t>
      </w:r>
      <w:r>
        <w:rPr>
          <w:rFonts w:cstheme="minorHAnsi"/>
        </w:rPr>
        <w:t>support better integration and coordin</w:t>
      </w:r>
      <w:r w:rsidR="00276424">
        <w:rPr>
          <w:rFonts w:cstheme="minorHAnsi"/>
        </w:rPr>
        <w:t>ation between levels and organis</w:t>
      </w:r>
      <w:r>
        <w:rPr>
          <w:rFonts w:cstheme="minorHAnsi"/>
        </w:rPr>
        <w:t>ations, initiate prevention based actions and enable client centred strategies to be used in line with community need. Reward outcomes rather than concentrating solely funding outputs, or include incentive</w:t>
      </w:r>
      <w:r w:rsidR="00276424">
        <w:rPr>
          <w:rFonts w:cstheme="minorHAnsi"/>
        </w:rPr>
        <w:t>-</w:t>
      </w:r>
      <w:r>
        <w:rPr>
          <w:rFonts w:cstheme="minorHAnsi"/>
        </w:rPr>
        <w:t>based bonuses.</w:t>
      </w:r>
    </w:p>
    <w:p w14:paraId="1EC15D86" w14:textId="7C229D2B" w:rsidR="000A0149" w:rsidRPr="002B5FE1" w:rsidRDefault="000A0149" w:rsidP="006B41AE">
      <w:pPr>
        <w:pStyle w:val="ListParagraph"/>
        <w:numPr>
          <w:ilvl w:val="0"/>
          <w:numId w:val="22"/>
        </w:numPr>
        <w:spacing w:after="0" w:line="276" w:lineRule="auto"/>
        <w:jc w:val="both"/>
        <w:rPr>
          <w:rFonts w:cstheme="minorHAnsi"/>
        </w:rPr>
      </w:pPr>
      <w:r>
        <w:rPr>
          <w:rFonts w:cstheme="minorHAnsi"/>
        </w:rPr>
        <w:t xml:space="preserve">Increase health promotion and prevention funding to demand </w:t>
      </w:r>
      <w:r w:rsidR="00276424">
        <w:rPr>
          <w:rFonts w:cstheme="minorHAnsi"/>
        </w:rPr>
        <w:t xml:space="preserve">self-determination principles and </w:t>
      </w:r>
      <w:r>
        <w:rPr>
          <w:rFonts w:cstheme="minorHAnsi"/>
        </w:rPr>
        <w:t xml:space="preserve">co-creation approaches </w:t>
      </w:r>
      <w:r w:rsidR="00276424">
        <w:rPr>
          <w:rFonts w:cstheme="minorHAnsi"/>
        </w:rPr>
        <w:t xml:space="preserve">are applied </w:t>
      </w:r>
      <w:r>
        <w:rPr>
          <w:rFonts w:cstheme="minorHAnsi"/>
        </w:rPr>
        <w:t xml:space="preserve">in </w:t>
      </w:r>
      <w:r w:rsidR="00276424">
        <w:rPr>
          <w:rFonts w:cstheme="minorHAnsi"/>
        </w:rPr>
        <w:t xml:space="preserve">the </w:t>
      </w:r>
      <w:r>
        <w:rPr>
          <w:rFonts w:cstheme="minorHAnsi"/>
        </w:rPr>
        <w:t xml:space="preserve">design, implementation and evaluation of </w:t>
      </w:r>
      <w:r w:rsidR="00276424">
        <w:rPr>
          <w:rFonts w:cstheme="minorHAnsi"/>
        </w:rPr>
        <w:t xml:space="preserve">mental health prevention </w:t>
      </w:r>
      <w:r>
        <w:rPr>
          <w:rFonts w:cstheme="minorHAnsi"/>
        </w:rPr>
        <w:t>program</w:t>
      </w:r>
      <w:r w:rsidR="00276424">
        <w:rPr>
          <w:rFonts w:cstheme="minorHAnsi"/>
        </w:rPr>
        <w:t xml:space="preserve">s. Further to this, we recommend increased funding be used to improve </w:t>
      </w:r>
      <w:r>
        <w:rPr>
          <w:rFonts w:cstheme="minorHAnsi"/>
        </w:rPr>
        <w:t>the mental h</w:t>
      </w:r>
      <w:r w:rsidR="00276424">
        <w:rPr>
          <w:rFonts w:cstheme="minorHAnsi"/>
        </w:rPr>
        <w:t>ealth literacy of the community</w:t>
      </w:r>
      <w:r>
        <w:rPr>
          <w:rFonts w:cstheme="minorHAnsi"/>
        </w:rPr>
        <w:t xml:space="preserve"> and develop t</w:t>
      </w:r>
      <w:r w:rsidRPr="002B5FE1">
        <w:rPr>
          <w:rFonts w:cstheme="minorHAnsi"/>
        </w:rPr>
        <w:t>ransitional support programs</w:t>
      </w:r>
      <w:r>
        <w:rPr>
          <w:rFonts w:cstheme="minorHAnsi"/>
        </w:rPr>
        <w:t xml:space="preserve"> across the lifespan.</w:t>
      </w:r>
    </w:p>
    <w:p w14:paraId="7B2DA622" w14:textId="378CA035" w:rsidR="000A0149" w:rsidRDefault="000A0149" w:rsidP="006B41AE">
      <w:pPr>
        <w:spacing w:after="0" w:line="276" w:lineRule="auto"/>
        <w:jc w:val="both"/>
        <w:rPr>
          <w:rFonts w:cstheme="minorHAnsi"/>
        </w:rPr>
      </w:pPr>
    </w:p>
    <w:p w14:paraId="6608795E" w14:textId="77777777" w:rsidR="00C021A3" w:rsidRDefault="00C021A3" w:rsidP="006B41AE">
      <w:pPr>
        <w:spacing w:after="0" w:line="276" w:lineRule="auto"/>
        <w:jc w:val="both"/>
        <w:rPr>
          <w:rFonts w:cstheme="minorHAnsi"/>
          <w:b/>
          <w:sz w:val="28"/>
        </w:rPr>
      </w:pPr>
    </w:p>
    <w:p w14:paraId="4AB53F2A" w14:textId="77777777" w:rsidR="00C021A3" w:rsidRDefault="00C021A3" w:rsidP="006B41AE">
      <w:pPr>
        <w:spacing w:after="0" w:line="276" w:lineRule="auto"/>
        <w:jc w:val="both"/>
        <w:rPr>
          <w:rFonts w:cstheme="minorHAnsi"/>
          <w:b/>
          <w:sz w:val="28"/>
        </w:rPr>
      </w:pPr>
    </w:p>
    <w:p w14:paraId="61CFFFE0" w14:textId="77777777" w:rsidR="00C021A3" w:rsidRDefault="00C021A3" w:rsidP="006B41AE">
      <w:pPr>
        <w:spacing w:after="0" w:line="276" w:lineRule="auto"/>
        <w:jc w:val="both"/>
        <w:rPr>
          <w:rFonts w:cstheme="minorHAnsi"/>
          <w:b/>
          <w:sz w:val="28"/>
        </w:rPr>
      </w:pPr>
    </w:p>
    <w:p w14:paraId="19DE7FD0" w14:textId="77777777" w:rsidR="00C021A3" w:rsidRDefault="00C021A3" w:rsidP="006B41AE">
      <w:pPr>
        <w:spacing w:after="0" w:line="276" w:lineRule="auto"/>
        <w:jc w:val="both"/>
        <w:rPr>
          <w:rFonts w:cstheme="minorHAnsi"/>
          <w:b/>
          <w:sz w:val="28"/>
        </w:rPr>
      </w:pPr>
    </w:p>
    <w:p w14:paraId="458CD150" w14:textId="77777777" w:rsidR="00C021A3" w:rsidRDefault="00C021A3" w:rsidP="006B41AE">
      <w:pPr>
        <w:spacing w:after="0" w:line="276" w:lineRule="auto"/>
        <w:jc w:val="both"/>
        <w:rPr>
          <w:rFonts w:cstheme="minorHAnsi"/>
          <w:b/>
          <w:sz w:val="28"/>
        </w:rPr>
      </w:pPr>
    </w:p>
    <w:p w14:paraId="4A0DE506" w14:textId="77777777" w:rsidR="00C021A3" w:rsidRDefault="00C021A3" w:rsidP="006B41AE">
      <w:pPr>
        <w:spacing w:after="0" w:line="276" w:lineRule="auto"/>
        <w:jc w:val="both"/>
        <w:rPr>
          <w:rFonts w:cstheme="minorHAnsi"/>
          <w:b/>
          <w:sz w:val="28"/>
        </w:rPr>
      </w:pPr>
    </w:p>
    <w:p w14:paraId="38FBB5D1" w14:textId="77777777" w:rsidR="00C021A3" w:rsidRDefault="00C021A3" w:rsidP="006B41AE">
      <w:pPr>
        <w:spacing w:after="0" w:line="276" w:lineRule="auto"/>
        <w:jc w:val="both"/>
        <w:rPr>
          <w:rFonts w:cstheme="minorHAnsi"/>
          <w:b/>
          <w:sz w:val="28"/>
        </w:rPr>
      </w:pPr>
    </w:p>
    <w:p w14:paraId="3E7F3771" w14:textId="77777777" w:rsidR="00C021A3" w:rsidRDefault="00C021A3" w:rsidP="006B41AE">
      <w:pPr>
        <w:spacing w:after="0" w:line="276" w:lineRule="auto"/>
        <w:jc w:val="both"/>
        <w:rPr>
          <w:rFonts w:cstheme="minorHAnsi"/>
          <w:b/>
          <w:sz w:val="28"/>
        </w:rPr>
      </w:pPr>
    </w:p>
    <w:p w14:paraId="629D5212" w14:textId="77777777" w:rsidR="00C021A3" w:rsidRDefault="00C021A3" w:rsidP="006B41AE">
      <w:pPr>
        <w:spacing w:after="0" w:line="276" w:lineRule="auto"/>
        <w:jc w:val="both"/>
        <w:rPr>
          <w:rFonts w:cstheme="minorHAnsi"/>
          <w:b/>
          <w:sz w:val="28"/>
        </w:rPr>
      </w:pPr>
    </w:p>
    <w:p w14:paraId="5D35F0BC" w14:textId="77777777" w:rsidR="00C021A3" w:rsidRDefault="00C021A3" w:rsidP="006B41AE">
      <w:pPr>
        <w:spacing w:after="0" w:line="276" w:lineRule="auto"/>
        <w:jc w:val="both"/>
        <w:rPr>
          <w:rFonts w:cstheme="minorHAnsi"/>
          <w:b/>
          <w:sz w:val="28"/>
        </w:rPr>
      </w:pPr>
    </w:p>
    <w:p w14:paraId="30FB8800" w14:textId="77777777" w:rsidR="00C021A3" w:rsidRDefault="00C021A3" w:rsidP="006B41AE">
      <w:pPr>
        <w:spacing w:after="0" w:line="276" w:lineRule="auto"/>
        <w:jc w:val="both"/>
        <w:rPr>
          <w:rFonts w:cstheme="minorHAnsi"/>
          <w:b/>
          <w:sz w:val="28"/>
        </w:rPr>
      </w:pPr>
    </w:p>
    <w:p w14:paraId="68CD0803" w14:textId="77777777" w:rsidR="00C021A3" w:rsidRDefault="00C021A3" w:rsidP="006B41AE">
      <w:pPr>
        <w:spacing w:after="0" w:line="276" w:lineRule="auto"/>
        <w:jc w:val="both"/>
        <w:rPr>
          <w:rFonts w:cstheme="minorHAnsi"/>
          <w:b/>
          <w:sz w:val="28"/>
        </w:rPr>
      </w:pPr>
    </w:p>
    <w:p w14:paraId="18F96878" w14:textId="77777777" w:rsidR="00C021A3" w:rsidRDefault="00C021A3" w:rsidP="006B41AE">
      <w:pPr>
        <w:spacing w:after="0" w:line="276" w:lineRule="auto"/>
        <w:jc w:val="both"/>
        <w:rPr>
          <w:rFonts w:cstheme="minorHAnsi"/>
          <w:b/>
          <w:sz w:val="28"/>
        </w:rPr>
      </w:pPr>
    </w:p>
    <w:p w14:paraId="36BEA8C5" w14:textId="77777777" w:rsidR="00C021A3" w:rsidRDefault="00C021A3" w:rsidP="006B41AE">
      <w:pPr>
        <w:spacing w:after="0" w:line="276" w:lineRule="auto"/>
        <w:jc w:val="both"/>
        <w:rPr>
          <w:rFonts w:cstheme="minorHAnsi"/>
          <w:b/>
          <w:sz w:val="28"/>
        </w:rPr>
      </w:pPr>
    </w:p>
    <w:p w14:paraId="50B4688F" w14:textId="77777777" w:rsidR="00C021A3" w:rsidRDefault="00C021A3" w:rsidP="006B41AE">
      <w:pPr>
        <w:spacing w:after="0" w:line="276" w:lineRule="auto"/>
        <w:jc w:val="both"/>
        <w:rPr>
          <w:rFonts w:cstheme="minorHAnsi"/>
          <w:b/>
          <w:sz w:val="28"/>
        </w:rPr>
      </w:pPr>
    </w:p>
    <w:p w14:paraId="61B70E2D" w14:textId="77777777" w:rsidR="00C021A3" w:rsidRDefault="00C021A3" w:rsidP="006B41AE">
      <w:pPr>
        <w:spacing w:after="0" w:line="276" w:lineRule="auto"/>
        <w:jc w:val="both"/>
        <w:rPr>
          <w:rFonts w:cstheme="minorHAnsi"/>
          <w:b/>
          <w:sz w:val="28"/>
        </w:rPr>
      </w:pPr>
    </w:p>
    <w:p w14:paraId="34BBE2D7" w14:textId="77777777" w:rsidR="00C021A3" w:rsidRDefault="00C021A3" w:rsidP="006B41AE">
      <w:pPr>
        <w:spacing w:after="0" w:line="276" w:lineRule="auto"/>
        <w:jc w:val="both"/>
        <w:rPr>
          <w:rFonts w:cstheme="minorHAnsi"/>
          <w:b/>
          <w:sz w:val="28"/>
        </w:rPr>
      </w:pPr>
    </w:p>
    <w:p w14:paraId="01115B38" w14:textId="77777777" w:rsidR="00C021A3" w:rsidRDefault="00C021A3" w:rsidP="006B41AE">
      <w:pPr>
        <w:spacing w:after="0" w:line="276" w:lineRule="auto"/>
        <w:jc w:val="both"/>
        <w:rPr>
          <w:rFonts w:cstheme="minorHAnsi"/>
          <w:b/>
          <w:sz w:val="28"/>
        </w:rPr>
      </w:pPr>
    </w:p>
    <w:p w14:paraId="539BCDF4" w14:textId="77777777" w:rsidR="00C021A3" w:rsidRDefault="00C021A3" w:rsidP="006B41AE">
      <w:pPr>
        <w:spacing w:after="0" w:line="276" w:lineRule="auto"/>
        <w:jc w:val="both"/>
        <w:rPr>
          <w:rFonts w:cstheme="minorHAnsi"/>
          <w:b/>
          <w:sz w:val="28"/>
        </w:rPr>
      </w:pPr>
    </w:p>
    <w:p w14:paraId="0EFF5B29" w14:textId="4EE2FE20" w:rsidR="00381CE8" w:rsidRPr="00381CE8" w:rsidRDefault="00381CE8" w:rsidP="006B41AE">
      <w:pPr>
        <w:spacing w:after="0" w:line="276" w:lineRule="auto"/>
        <w:jc w:val="both"/>
        <w:rPr>
          <w:rFonts w:cstheme="minorHAnsi"/>
          <w:b/>
          <w:sz w:val="28"/>
        </w:rPr>
      </w:pPr>
      <w:r w:rsidRPr="00381CE8">
        <w:rPr>
          <w:rFonts w:cstheme="minorHAnsi"/>
          <w:b/>
          <w:sz w:val="28"/>
        </w:rPr>
        <w:lastRenderedPageBreak/>
        <w:t xml:space="preserve">Acknowledgement </w:t>
      </w:r>
    </w:p>
    <w:p w14:paraId="7558E51F" w14:textId="0B22CBA1" w:rsidR="00381CE8" w:rsidRDefault="00381CE8" w:rsidP="006B41AE">
      <w:pPr>
        <w:spacing w:after="0" w:line="276" w:lineRule="auto"/>
        <w:jc w:val="both"/>
        <w:rPr>
          <w:rFonts w:cstheme="minorHAnsi"/>
        </w:rPr>
      </w:pPr>
      <w:r w:rsidRPr="00F56E19">
        <w:rPr>
          <w:rFonts w:cstheme="minorHAnsi"/>
        </w:rPr>
        <w:t xml:space="preserve">Connect Health </w:t>
      </w:r>
      <w:r w:rsidR="004661F1">
        <w:rPr>
          <w:rFonts w:cstheme="minorHAnsi"/>
        </w:rPr>
        <w:t>&amp;</w:t>
      </w:r>
      <w:r w:rsidRPr="00F56E19">
        <w:rPr>
          <w:rFonts w:cstheme="minorHAnsi"/>
        </w:rPr>
        <w:t xml:space="preserve"> Community</w:t>
      </w:r>
      <w:r>
        <w:rPr>
          <w:rFonts w:cstheme="minorHAnsi"/>
        </w:rPr>
        <w:t xml:space="preserve"> would like to acknowledge the clients and staff who contributed to this response paper. We recognise the value of their voice, experience and knowledge of the Victorian mental health care system.</w:t>
      </w:r>
    </w:p>
    <w:p w14:paraId="50EA92F7" w14:textId="77777777" w:rsidR="006B41AE" w:rsidRDefault="006B41AE" w:rsidP="00381CE8">
      <w:pPr>
        <w:spacing w:after="0" w:line="276" w:lineRule="auto"/>
        <w:jc w:val="both"/>
        <w:rPr>
          <w:rFonts w:cstheme="minorHAnsi"/>
        </w:rPr>
      </w:pPr>
    </w:p>
    <w:p w14:paraId="11F150E4" w14:textId="21A1B33C" w:rsidR="00381CE8" w:rsidRPr="00381CE8" w:rsidRDefault="00381CE8" w:rsidP="00381CE8">
      <w:pPr>
        <w:pStyle w:val="HOW2Normal"/>
        <w:spacing w:line="276" w:lineRule="auto"/>
        <w:jc w:val="both"/>
        <w:rPr>
          <w:rFonts w:asciiTheme="minorHAnsi" w:hAnsiTheme="minorHAnsi" w:cstheme="minorHAnsi"/>
          <w:b/>
          <w:sz w:val="28"/>
          <w:szCs w:val="22"/>
        </w:rPr>
      </w:pPr>
      <w:r w:rsidRPr="00381CE8">
        <w:rPr>
          <w:rFonts w:asciiTheme="minorHAnsi" w:hAnsiTheme="minorHAnsi" w:cstheme="minorHAnsi"/>
          <w:b/>
          <w:sz w:val="28"/>
          <w:szCs w:val="22"/>
        </w:rPr>
        <w:t>About Connect Health</w:t>
      </w:r>
    </w:p>
    <w:p w14:paraId="71B8E84F" w14:textId="4EE8A67D" w:rsidR="00381CE8" w:rsidRPr="006F06C9" w:rsidRDefault="00381CE8" w:rsidP="00381CE8">
      <w:pPr>
        <w:spacing w:after="0" w:line="276" w:lineRule="auto"/>
        <w:jc w:val="both"/>
        <w:outlineLvl w:val="0"/>
        <w:rPr>
          <w:rFonts w:cstheme="minorHAnsi"/>
        </w:rPr>
      </w:pPr>
      <w:r w:rsidRPr="006F06C9">
        <w:rPr>
          <w:rFonts w:cstheme="minorHAnsi"/>
        </w:rPr>
        <w:t xml:space="preserve">Connect Health &amp; Community is a not for profit community health organisation which has been servicing the community for forty two years. The organisation has 160 staff and 200 volunteers and receives funding from the Federal and State Governments. Connect Health &amp; Community provides a comprehensive range of primary health and community services to support health and wellbeing in the communities of Bayside and the southern part of Glen Eira and surrounding areas, from sites in Bentleigh East and Cheltenham. Gambler’s Help Southern, which is a program of Connect Health, offers a range of free services from 13 sites across the southern metropolitan </w:t>
      </w:r>
      <w:r w:rsidR="00EF6AEE">
        <w:rPr>
          <w:rFonts w:cstheme="minorHAnsi"/>
        </w:rPr>
        <w:t xml:space="preserve">Melbourne </w:t>
      </w:r>
      <w:r w:rsidRPr="006F06C9">
        <w:rPr>
          <w:rFonts w:cstheme="minorHAnsi"/>
        </w:rPr>
        <w:t>region. Community transport is available for eligible residents in Port Phillip, Stonnington, Kingston, Bayside and Glen Eira. Our dental service does not have geographic boundaries and provides onsite services at Bentleigh East and some community outreach services.</w:t>
      </w:r>
    </w:p>
    <w:p w14:paraId="5DB5025A" w14:textId="2672BA0D" w:rsidR="00381CE8" w:rsidRPr="006F06C9" w:rsidRDefault="00381CE8" w:rsidP="00381CE8">
      <w:pPr>
        <w:spacing w:after="0" w:line="276" w:lineRule="auto"/>
        <w:jc w:val="both"/>
        <w:outlineLvl w:val="0"/>
        <w:rPr>
          <w:rFonts w:cstheme="minorHAnsi"/>
        </w:rPr>
      </w:pPr>
    </w:p>
    <w:p w14:paraId="04282704" w14:textId="43710177" w:rsidR="00381CE8" w:rsidRPr="006F06C9" w:rsidRDefault="00381CE8" w:rsidP="00381CE8">
      <w:pPr>
        <w:tabs>
          <w:tab w:val="left" w:pos="3402"/>
          <w:tab w:val="right" w:pos="6521"/>
          <w:tab w:val="left" w:pos="6946"/>
          <w:tab w:val="right" w:pos="8931"/>
        </w:tabs>
        <w:spacing w:after="0" w:line="276" w:lineRule="auto"/>
        <w:ind w:right="-1"/>
        <w:jc w:val="both"/>
        <w:rPr>
          <w:rFonts w:cstheme="minorHAnsi"/>
          <w:noProof/>
          <w:lang w:eastAsia="en-AU"/>
        </w:rPr>
      </w:pPr>
      <w:r w:rsidRPr="006F06C9">
        <w:rPr>
          <w:rFonts w:cstheme="minorHAnsi"/>
        </w:rPr>
        <w:t xml:space="preserve">Our vision, “healthy people healthy communities”, reflects Connect Health &amp; Community’s interest in the social determinants of health and the conditions in which people are born, grow, live, work, study, play and age. We continue to invest in wide-ranging relationships with others, spanning: service delivery, health promotion and preventative activity, advocacy, research and education </w:t>
      </w:r>
      <w:r w:rsidRPr="006F06C9">
        <w:rPr>
          <w:rFonts w:eastAsia="Times New Roman" w:cstheme="minorHAnsi"/>
        </w:rPr>
        <w:t xml:space="preserve">as identified in the Victorian </w:t>
      </w:r>
      <w:r w:rsidR="00EF6AEE">
        <w:rPr>
          <w:rFonts w:eastAsia="Times New Roman" w:cstheme="minorHAnsi"/>
        </w:rPr>
        <w:t>P</w:t>
      </w:r>
      <w:r w:rsidRPr="006F06C9">
        <w:rPr>
          <w:rFonts w:eastAsia="Times New Roman" w:cstheme="minorHAnsi"/>
        </w:rPr>
        <w:t xml:space="preserve">ublic </w:t>
      </w:r>
      <w:r w:rsidR="00EF6AEE">
        <w:rPr>
          <w:rFonts w:eastAsia="Times New Roman" w:cstheme="minorHAnsi"/>
        </w:rPr>
        <w:t>H</w:t>
      </w:r>
      <w:r w:rsidRPr="006F06C9">
        <w:rPr>
          <w:rFonts w:eastAsia="Times New Roman" w:cstheme="minorHAnsi"/>
        </w:rPr>
        <w:t xml:space="preserve">ealth and </w:t>
      </w:r>
      <w:r w:rsidR="00EF6AEE">
        <w:rPr>
          <w:rFonts w:eastAsia="Times New Roman" w:cstheme="minorHAnsi"/>
        </w:rPr>
        <w:t>W</w:t>
      </w:r>
      <w:r w:rsidRPr="006F06C9">
        <w:rPr>
          <w:rFonts w:eastAsia="Times New Roman" w:cstheme="minorHAnsi"/>
        </w:rPr>
        <w:t xml:space="preserve">ellbeing </w:t>
      </w:r>
      <w:r w:rsidR="00EF6AEE">
        <w:rPr>
          <w:rFonts w:eastAsia="Times New Roman" w:cstheme="minorHAnsi"/>
        </w:rPr>
        <w:t>P</w:t>
      </w:r>
      <w:r w:rsidRPr="006F06C9">
        <w:rPr>
          <w:rFonts w:eastAsia="Times New Roman" w:cstheme="minorHAnsi"/>
        </w:rPr>
        <w:t>lan 2015-2019</w:t>
      </w:r>
      <w:r w:rsidRPr="006F06C9">
        <w:rPr>
          <w:rFonts w:cstheme="minorHAnsi"/>
        </w:rPr>
        <w:t xml:space="preserve">. </w:t>
      </w:r>
      <w:r w:rsidRPr="006F06C9">
        <w:rPr>
          <w:rFonts w:eastAsia="Times New Roman" w:cstheme="minorHAnsi"/>
        </w:rPr>
        <w:t xml:space="preserve">The overarching aim of the plan is to ‘reduce inequalities in health and wellbeing’. </w:t>
      </w:r>
      <w:r w:rsidRPr="006F06C9">
        <w:rPr>
          <w:rFonts w:eastAsia="Times New Roman" w:cstheme="minorHAnsi"/>
          <w:lang w:val="en-US"/>
        </w:rPr>
        <w:t xml:space="preserve">Connect Health &amp; Community is committed to providing services in a fair, equitable and inclusive manner to all eligible people within the community. </w:t>
      </w:r>
      <w:r w:rsidRPr="006F06C9">
        <w:rPr>
          <w:rFonts w:cstheme="minorHAnsi"/>
        </w:rPr>
        <w:t>In so doing</w:t>
      </w:r>
      <w:r w:rsidR="00EF6AEE">
        <w:rPr>
          <w:rFonts w:cstheme="minorHAnsi"/>
        </w:rPr>
        <w:t>,</w:t>
      </w:r>
      <w:r w:rsidRPr="006F06C9">
        <w:rPr>
          <w:rFonts w:cstheme="minorHAnsi"/>
        </w:rPr>
        <w:t xml:space="preserve"> the diversity of the community is recognised and acknowledged.</w:t>
      </w:r>
      <w:r>
        <w:rPr>
          <w:rFonts w:cstheme="minorHAnsi"/>
        </w:rPr>
        <w:t xml:space="preserve"> </w:t>
      </w:r>
      <w:r w:rsidRPr="006F06C9">
        <w:rPr>
          <w:rFonts w:eastAsia="Times New Roman" w:cstheme="minorHAnsi"/>
          <w:lang w:val="en-US"/>
        </w:rPr>
        <w:t>This is reflected by the Connect Health &amp; Community Vision, Purpose, Values and objectives depicted in the diagram below:</w:t>
      </w:r>
      <w:r w:rsidRPr="006F06C9">
        <w:rPr>
          <w:rFonts w:cstheme="minorHAnsi"/>
          <w:noProof/>
          <w:lang w:eastAsia="en-AU"/>
        </w:rPr>
        <w:t xml:space="preserve"> </w:t>
      </w:r>
    </w:p>
    <w:p w14:paraId="136D82A6" w14:textId="77A04321" w:rsidR="00381CE8" w:rsidRPr="006F06C9" w:rsidRDefault="00381CE8" w:rsidP="00381CE8">
      <w:pPr>
        <w:pStyle w:val="Title"/>
        <w:spacing w:line="276" w:lineRule="auto"/>
        <w:jc w:val="both"/>
        <w:rPr>
          <w:rStyle w:val="TitleChar"/>
          <w:rFonts w:asciiTheme="minorHAnsi" w:hAnsiTheme="minorHAnsi" w:cstheme="minorHAnsi"/>
          <w:sz w:val="22"/>
          <w:szCs w:val="22"/>
        </w:rPr>
      </w:pPr>
    </w:p>
    <w:p w14:paraId="6B39C4A3" w14:textId="5A3C2F0A" w:rsidR="00381CE8" w:rsidRPr="006F06C9" w:rsidRDefault="00F619E5" w:rsidP="00381CE8">
      <w:pPr>
        <w:spacing w:line="276" w:lineRule="auto"/>
        <w:jc w:val="both"/>
        <w:rPr>
          <w:rFonts w:cstheme="minorHAnsi"/>
        </w:rPr>
      </w:pPr>
      <w:r w:rsidRPr="006F06C9">
        <w:rPr>
          <w:rFonts w:cstheme="minorHAnsi"/>
          <w:noProof/>
          <w:lang w:eastAsia="en-AU"/>
        </w:rPr>
        <w:drawing>
          <wp:anchor distT="0" distB="0" distL="114300" distR="114300" simplePos="0" relativeHeight="251659264" behindDoc="0" locked="0" layoutInCell="1" allowOverlap="1" wp14:anchorId="690C6A5C" wp14:editId="39152264">
            <wp:simplePos x="0" y="0"/>
            <wp:positionH relativeFrom="margin">
              <wp:posOffset>1923415</wp:posOffset>
            </wp:positionH>
            <wp:positionV relativeFrom="paragraph">
              <wp:posOffset>106680</wp:posOffset>
            </wp:positionV>
            <wp:extent cx="3266440" cy="2748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l="26153" t="6481"/>
                    <a:stretch/>
                  </pic:blipFill>
                  <pic:spPr bwMode="auto">
                    <a:xfrm>
                      <a:off x="0" y="0"/>
                      <a:ext cx="3266440" cy="27489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39931C" w14:textId="77777777" w:rsidR="00381CE8" w:rsidRPr="006F06C9" w:rsidRDefault="00381CE8" w:rsidP="00381CE8">
      <w:pPr>
        <w:spacing w:line="276" w:lineRule="auto"/>
        <w:jc w:val="both"/>
        <w:rPr>
          <w:rFonts w:cstheme="minorHAnsi"/>
        </w:rPr>
      </w:pPr>
    </w:p>
    <w:p w14:paraId="15CD503F" w14:textId="2F6490E8" w:rsidR="00381CE8" w:rsidRPr="006F06C9" w:rsidRDefault="00381CE8" w:rsidP="00381CE8">
      <w:pPr>
        <w:spacing w:line="276" w:lineRule="auto"/>
        <w:jc w:val="both"/>
        <w:rPr>
          <w:rFonts w:cstheme="minorHAnsi"/>
        </w:rPr>
      </w:pPr>
    </w:p>
    <w:p w14:paraId="008C47C6" w14:textId="4017DC4A" w:rsidR="00381CE8" w:rsidRPr="006F06C9" w:rsidRDefault="00F619E5" w:rsidP="00381CE8">
      <w:pPr>
        <w:spacing w:line="276" w:lineRule="auto"/>
        <w:jc w:val="both"/>
        <w:rPr>
          <w:rFonts w:cstheme="minorHAnsi"/>
        </w:rPr>
      </w:pPr>
      <w:r w:rsidRPr="00C021A3">
        <w:rPr>
          <w:rFonts w:cstheme="minorHAnsi"/>
          <w:b/>
          <w:noProof/>
          <w:sz w:val="32"/>
          <w:lang w:eastAsia="en-AU"/>
        </w:rPr>
        <mc:AlternateContent>
          <mc:Choice Requires="wps">
            <w:drawing>
              <wp:anchor distT="45720" distB="45720" distL="114300" distR="114300" simplePos="0" relativeHeight="251663360" behindDoc="0" locked="0" layoutInCell="1" allowOverlap="1" wp14:anchorId="1AA7F08B" wp14:editId="2B22741D">
                <wp:simplePos x="0" y="0"/>
                <wp:positionH relativeFrom="column">
                  <wp:posOffset>370840</wp:posOffset>
                </wp:positionH>
                <wp:positionV relativeFrom="paragraph">
                  <wp:posOffset>137160</wp:posOffset>
                </wp:positionV>
                <wp:extent cx="1504950" cy="11430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1143000"/>
                        </a:xfrm>
                        <a:prstGeom prst="rect">
                          <a:avLst/>
                        </a:prstGeom>
                        <a:solidFill>
                          <a:srgbClr val="FFFFFF"/>
                        </a:solidFill>
                        <a:ln w="9525">
                          <a:noFill/>
                          <a:miter lim="800000"/>
                          <a:headEnd/>
                          <a:tailEnd/>
                        </a:ln>
                      </wps:spPr>
                      <wps:txbx>
                        <w:txbxContent>
                          <w:p w14:paraId="5665DF69" w14:textId="10C1CC06" w:rsidR="00434D41" w:rsidRPr="00F619E5" w:rsidRDefault="00434D41" w:rsidP="00826D33">
                            <w:pPr>
                              <w:spacing w:after="0" w:line="240" w:lineRule="auto"/>
                              <w:rPr>
                                <w:rFonts w:eastAsia="Malgun Gothic" w:cstheme="minorHAnsi"/>
                                <w:b/>
                                <w:color w:val="2E74B5" w:themeColor="accent1" w:themeShade="BF"/>
                                <w:sz w:val="20"/>
                              </w:rPr>
                            </w:pPr>
                            <w:r w:rsidRPr="00F619E5">
                              <w:rPr>
                                <w:rFonts w:eastAsia="Malgun Gothic" w:cstheme="minorHAnsi"/>
                                <w:b/>
                                <w:color w:val="2E74B5" w:themeColor="accent1" w:themeShade="BF"/>
                                <w:sz w:val="20"/>
                              </w:rPr>
                              <w:t>Purpose</w:t>
                            </w:r>
                          </w:p>
                          <w:p w14:paraId="75BCBC2C" w14:textId="1FB051FD" w:rsidR="00434D41" w:rsidRPr="00F619E5" w:rsidRDefault="00434D41" w:rsidP="00826D33">
                            <w:pPr>
                              <w:spacing w:after="0" w:line="240" w:lineRule="auto"/>
                              <w:rPr>
                                <w:rFonts w:eastAsia="Malgun Gothic" w:cstheme="minorHAnsi"/>
                                <w:sz w:val="20"/>
                              </w:rPr>
                            </w:pPr>
                            <w:r w:rsidRPr="00F619E5">
                              <w:rPr>
                                <w:rFonts w:eastAsia="Malgun Gothic" w:cstheme="minorHAnsi"/>
                                <w:sz w:val="20"/>
                              </w:rPr>
                              <w:t>Assisting you in meeting your health and wellbeing goals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1AA7F08B" id="_x0000_t202" coordsize="21600,21600" o:spt="202" path="m,l,21600r21600,l21600,xe">
                <v:stroke joinstyle="miter"/>
                <v:path gradientshapeok="t" o:connecttype="rect"/>
              </v:shapetype>
              <v:shape id="Text Box 2" o:spid="_x0000_s1026" type="#_x0000_t202" style="position:absolute;left:0;text-align:left;margin-left:29.2pt;margin-top:10.8pt;width:118.5pt;height:90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" stroked="f">
                <v:textbox>
                  <w:txbxContent>
                    <w:p w14:paraId="5665DF69" w14:textId="10C1CC06" w:rsidR="00434D41" w:rsidRPr="00F619E5" w:rsidRDefault="00434D41" w:rsidP="00826D33">
                      <w:pPr>
                        <w:spacing w:after="0" w:line="240" w:lineRule="auto"/>
                        <w:rPr>
                          <w:rFonts w:eastAsia="Malgun Gothic" w:cstheme="minorHAnsi"/>
                          <w:b/>
                          <w:color w:val="2E74B5" w:themeColor="accent1" w:themeShade="BF"/>
                          <w:sz w:val="20"/>
                        </w:rPr>
                      </w:pPr>
                      <w:r w:rsidRPr="00F619E5">
                        <w:rPr>
                          <w:rFonts w:eastAsia="Malgun Gothic" w:cstheme="minorHAnsi"/>
                          <w:b/>
                          <w:color w:val="2E74B5" w:themeColor="accent1" w:themeShade="BF"/>
                          <w:sz w:val="20"/>
                        </w:rPr>
                        <w:t>Purpose</w:t>
                      </w:r>
                    </w:p>
                    <w:p w14:paraId="75BCBC2C" w14:textId="1FB051FD" w:rsidR="00434D41" w:rsidRPr="00F619E5" w:rsidRDefault="00434D41" w:rsidP="00826D33">
                      <w:pPr>
                        <w:spacing w:after="0" w:line="240" w:lineRule="auto"/>
                        <w:rPr>
                          <w:rFonts w:eastAsia="Malgun Gothic" w:cstheme="minorHAnsi"/>
                          <w:sz w:val="20"/>
                        </w:rPr>
                      </w:pPr>
                      <w:r w:rsidRPr="00F619E5">
                        <w:rPr>
                          <w:rFonts w:eastAsia="Malgun Gothic" w:cstheme="minorHAnsi"/>
                          <w:sz w:val="20"/>
                        </w:rPr>
                        <w:t>Assisting you in meeting your health and wellbeing goals</w:t>
                      </w:r>
                    </w:p>
                  </w:txbxContent>
                </v:textbox>
                <w10:wrap type="square"/>
              </v:shape>
            </w:pict>
          </mc:Fallback>
        </mc:AlternateContent>
      </w:r>
    </w:p>
    <w:p w14:paraId="20AA23F7" w14:textId="03C9622D" w:rsidR="00381CE8" w:rsidRPr="006F06C9" w:rsidRDefault="00381CE8" w:rsidP="00381CE8">
      <w:pPr>
        <w:pStyle w:val="HOW2Normal"/>
        <w:spacing w:line="276" w:lineRule="auto"/>
        <w:jc w:val="both"/>
        <w:rPr>
          <w:rFonts w:asciiTheme="minorHAnsi" w:hAnsiTheme="minorHAnsi" w:cstheme="minorHAnsi"/>
          <w:szCs w:val="22"/>
        </w:rPr>
      </w:pPr>
    </w:p>
    <w:p w14:paraId="6C959FEC" w14:textId="07E792C8" w:rsidR="00C021A3" w:rsidRDefault="00C021A3" w:rsidP="008741C7">
      <w:pPr>
        <w:spacing w:after="0" w:line="276" w:lineRule="auto"/>
        <w:jc w:val="both"/>
        <w:rPr>
          <w:rFonts w:cstheme="minorHAnsi"/>
          <w:b/>
          <w:sz w:val="32"/>
        </w:rPr>
      </w:pPr>
    </w:p>
    <w:p w14:paraId="3AFC7A39" w14:textId="0F1DCBC2" w:rsidR="00C021A3" w:rsidRDefault="00C021A3" w:rsidP="008741C7">
      <w:pPr>
        <w:spacing w:after="0" w:line="276" w:lineRule="auto"/>
        <w:jc w:val="both"/>
        <w:rPr>
          <w:rFonts w:cstheme="minorHAnsi"/>
          <w:b/>
          <w:sz w:val="32"/>
        </w:rPr>
      </w:pPr>
    </w:p>
    <w:p w14:paraId="0530879A" w14:textId="77777777" w:rsidR="00C021A3" w:rsidRDefault="00C021A3" w:rsidP="008741C7">
      <w:pPr>
        <w:spacing w:after="0" w:line="276" w:lineRule="auto"/>
        <w:jc w:val="both"/>
        <w:rPr>
          <w:rFonts w:cstheme="minorHAnsi"/>
          <w:b/>
          <w:sz w:val="32"/>
        </w:rPr>
      </w:pPr>
    </w:p>
    <w:p w14:paraId="59646848" w14:textId="77777777" w:rsidR="00C021A3" w:rsidRDefault="00C021A3" w:rsidP="008741C7">
      <w:pPr>
        <w:spacing w:after="0" w:line="276" w:lineRule="auto"/>
        <w:jc w:val="both"/>
        <w:rPr>
          <w:rFonts w:cstheme="minorHAnsi"/>
          <w:b/>
          <w:sz w:val="32"/>
        </w:rPr>
      </w:pPr>
    </w:p>
    <w:p w14:paraId="1CA231EA" w14:textId="77777777" w:rsidR="00C021A3" w:rsidRDefault="00C021A3" w:rsidP="008741C7">
      <w:pPr>
        <w:spacing w:after="0" w:line="276" w:lineRule="auto"/>
        <w:jc w:val="both"/>
        <w:rPr>
          <w:rFonts w:cstheme="minorHAnsi"/>
          <w:b/>
          <w:sz w:val="32"/>
        </w:rPr>
      </w:pPr>
    </w:p>
    <w:p w14:paraId="1C406920" w14:textId="77777777" w:rsidR="00C021A3" w:rsidRDefault="00C021A3" w:rsidP="008741C7">
      <w:pPr>
        <w:spacing w:after="0" w:line="276" w:lineRule="auto"/>
        <w:jc w:val="both"/>
        <w:rPr>
          <w:rFonts w:cstheme="minorHAnsi"/>
          <w:b/>
          <w:sz w:val="32"/>
        </w:rPr>
      </w:pPr>
    </w:p>
    <w:p w14:paraId="11583C29" w14:textId="667471D8" w:rsidR="001F09D4" w:rsidRPr="008741C7" w:rsidRDefault="001F09D4" w:rsidP="008741C7">
      <w:pPr>
        <w:spacing w:after="0" w:line="276" w:lineRule="auto"/>
        <w:jc w:val="both"/>
        <w:rPr>
          <w:rFonts w:cstheme="minorHAnsi"/>
          <w:b/>
          <w:sz w:val="32"/>
        </w:rPr>
      </w:pPr>
      <w:r w:rsidRPr="008741C7">
        <w:rPr>
          <w:rFonts w:cstheme="minorHAnsi"/>
          <w:b/>
          <w:sz w:val="32"/>
        </w:rPr>
        <w:lastRenderedPageBreak/>
        <w:t>Response</w:t>
      </w:r>
      <w:r w:rsidR="00381CE8">
        <w:rPr>
          <w:rFonts w:cstheme="minorHAnsi"/>
          <w:b/>
          <w:sz w:val="32"/>
        </w:rPr>
        <w:t xml:space="preserve"> </w:t>
      </w:r>
      <w:r w:rsidR="00641EBE">
        <w:rPr>
          <w:rFonts w:cstheme="minorHAnsi"/>
          <w:b/>
          <w:sz w:val="32"/>
        </w:rPr>
        <w:t>to the Social and Economic Benefits of Improving Mental Health</w:t>
      </w:r>
    </w:p>
    <w:p w14:paraId="22C9DACB" w14:textId="69F7B47C" w:rsidR="005C3D11" w:rsidRDefault="005C3D11" w:rsidP="008741C7">
      <w:pPr>
        <w:spacing w:after="0" w:line="276" w:lineRule="auto"/>
        <w:jc w:val="both"/>
        <w:rPr>
          <w:rFonts w:cstheme="minorHAnsi"/>
        </w:rPr>
      </w:pPr>
    </w:p>
    <w:p w14:paraId="4379E37A" w14:textId="77777777" w:rsidR="004E3F26" w:rsidRPr="008741C7" w:rsidRDefault="004E3F26" w:rsidP="008741C7">
      <w:pPr>
        <w:spacing w:after="0" w:line="276" w:lineRule="auto"/>
        <w:jc w:val="both"/>
        <w:rPr>
          <w:rFonts w:cstheme="minorHAnsi"/>
          <w:b/>
          <w:sz w:val="28"/>
        </w:rPr>
      </w:pPr>
      <w:r w:rsidRPr="008741C7">
        <w:rPr>
          <w:rFonts w:cstheme="minorHAnsi"/>
          <w:b/>
          <w:sz w:val="28"/>
        </w:rPr>
        <w:t xml:space="preserve">Assessment approach </w:t>
      </w:r>
    </w:p>
    <w:p w14:paraId="2AFA8875" w14:textId="77777777" w:rsidR="005C3D11" w:rsidRPr="008741C7" w:rsidRDefault="005C3D11" w:rsidP="008741C7">
      <w:pPr>
        <w:pStyle w:val="Default"/>
        <w:spacing w:line="276" w:lineRule="auto"/>
        <w:jc w:val="both"/>
        <w:rPr>
          <w:rFonts w:asciiTheme="minorHAnsi" w:hAnsiTheme="minorHAnsi" w:cstheme="minorHAnsi"/>
          <w:b/>
          <w:sz w:val="22"/>
          <w:szCs w:val="22"/>
        </w:rPr>
      </w:pPr>
    </w:p>
    <w:p w14:paraId="3642324E" w14:textId="273EEA4E" w:rsidR="00930E26" w:rsidRPr="008741C7" w:rsidRDefault="00930E26" w:rsidP="008741C7">
      <w:pPr>
        <w:pStyle w:val="Default"/>
        <w:spacing w:line="276" w:lineRule="auto"/>
        <w:jc w:val="both"/>
        <w:rPr>
          <w:rFonts w:asciiTheme="minorHAnsi" w:hAnsiTheme="minorHAnsi" w:cstheme="minorHAnsi"/>
          <w:b/>
          <w:sz w:val="22"/>
          <w:szCs w:val="22"/>
        </w:rPr>
      </w:pPr>
      <w:r w:rsidRPr="008741C7">
        <w:rPr>
          <w:rFonts w:asciiTheme="minorHAnsi" w:hAnsiTheme="minorHAnsi" w:cstheme="minorHAnsi"/>
          <w:b/>
          <w:sz w:val="22"/>
          <w:szCs w:val="22"/>
        </w:rPr>
        <w:t>Think, equity</w:t>
      </w:r>
    </w:p>
    <w:p w14:paraId="2490A365" w14:textId="6B26858E" w:rsidR="00930E26" w:rsidRPr="008741C7" w:rsidRDefault="00930E26" w:rsidP="008741C7">
      <w:pPr>
        <w:spacing w:after="0" w:line="276" w:lineRule="auto"/>
        <w:jc w:val="both"/>
        <w:rPr>
          <w:rFonts w:cstheme="minorHAnsi"/>
        </w:rPr>
      </w:pPr>
      <w:r w:rsidRPr="008741C7">
        <w:rPr>
          <w:rFonts w:cstheme="minorHAnsi"/>
        </w:rPr>
        <w:t xml:space="preserve">A whole of government approach across all sectors is needed to reduce inequalities in mental health. Cross-sectoral collaboration in policy development ensures that programs and strategies will not harm or contribute to mental health inequities. As recommended by the World Health Organisation (WHO) there are existing tools that could be adapted for assessment of policies to </w:t>
      </w:r>
      <w:r w:rsidR="00EF6AEE">
        <w:rPr>
          <w:rFonts w:cstheme="minorHAnsi"/>
        </w:rPr>
        <w:t xml:space="preserve">determine the </w:t>
      </w:r>
      <w:r w:rsidRPr="008741C7">
        <w:rPr>
          <w:rFonts w:cstheme="minorHAnsi"/>
        </w:rPr>
        <w:t>impact on mental health equity.</w:t>
      </w:r>
    </w:p>
    <w:p w14:paraId="5BD910FD" w14:textId="77777777" w:rsidR="00930E26" w:rsidRPr="008741C7" w:rsidRDefault="00930E26" w:rsidP="008741C7">
      <w:pPr>
        <w:spacing w:after="0" w:line="276" w:lineRule="auto"/>
        <w:jc w:val="both"/>
        <w:rPr>
          <w:rFonts w:cstheme="minorHAnsi"/>
        </w:rPr>
      </w:pPr>
    </w:p>
    <w:p w14:paraId="316D95B3" w14:textId="77777777" w:rsidR="00930E26" w:rsidRPr="008741C7" w:rsidRDefault="00930E26" w:rsidP="008741C7">
      <w:pPr>
        <w:pStyle w:val="Default"/>
        <w:spacing w:line="276" w:lineRule="auto"/>
        <w:jc w:val="both"/>
        <w:rPr>
          <w:rFonts w:asciiTheme="minorHAnsi" w:hAnsiTheme="minorHAnsi" w:cstheme="minorHAnsi"/>
          <w:b/>
          <w:sz w:val="22"/>
          <w:szCs w:val="22"/>
        </w:rPr>
      </w:pPr>
      <w:r w:rsidRPr="008741C7">
        <w:rPr>
          <w:rFonts w:asciiTheme="minorHAnsi" w:hAnsiTheme="minorHAnsi" w:cstheme="minorHAnsi"/>
          <w:b/>
          <w:sz w:val="22"/>
          <w:szCs w:val="22"/>
        </w:rPr>
        <w:t>Think, long term</w:t>
      </w:r>
    </w:p>
    <w:p w14:paraId="5414BB0F" w14:textId="77777777" w:rsidR="00930E26" w:rsidRPr="008741C7" w:rsidRDefault="00930E26" w:rsidP="008741C7">
      <w:pPr>
        <w:spacing w:after="0" w:line="276" w:lineRule="auto"/>
        <w:jc w:val="both"/>
        <w:rPr>
          <w:rFonts w:cstheme="minorHAnsi"/>
        </w:rPr>
      </w:pPr>
      <w:r w:rsidRPr="008741C7">
        <w:rPr>
          <w:rFonts w:cstheme="minorHAnsi"/>
        </w:rPr>
        <w:t>A focus on ensuring sustainability of action is vital for generational change. Long term and sustained policies that reduce inequalities in health through community development, capacity building, partnerships and local organisations working across the life-course and tackling the determinants of mental health can bring about significant change.</w:t>
      </w:r>
    </w:p>
    <w:p w14:paraId="3A590FC8" w14:textId="77777777" w:rsidR="00930E26" w:rsidRPr="008741C7" w:rsidRDefault="00930E26" w:rsidP="008741C7">
      <w:pPr>
        <w:pStyle w:val="Default"/>
        <w:spacing w:line="276" w:lineRule="auto"/>
        <w:jc w:val="both"/>
        <w:rPr>
          <w:rFonts w:asciiTheme="minorHAnsi" w:hAnsiTheme="minorHAnsi" w:cstheme="minorHAnsi"/>
          <w:b/>
          <w:sz w:val="22"/>
          <w:szCs w:val="22"/>
        </w:rPr>
      </w:pPr>
    </w:p>
    <w:p w14:paraId="05BF43A0" w14:textId="77777777" w:rsidR="00930E26" w:rsidRPr="008741C7" w:rsidRDefault="00930E26" w:rsidP="008741C7">
      <w:pPr>
        <w:pStyle w:val="Default"/>
        <w:spacing w:line="276" w:lineRule="auto"/>
        <w:jc w:val="both"/>
        <w:rPr>
          <w:rFonts w:asciiTheme="minorHAnsi" w:hAnsiTheme="minorHAnsi" w:cstheme="minorHAnsi"/>
          <w:b/>
          <w:sz w:val="22"/>
          <w:szCs w:val="22"/>
        </w:rPr>
      </w:pPr>
      <w:r w:rsidRPr="008741C7">
        <w:rPr>
          <w:rFonts w:asciiTheme="minorHAnsi" w:hAnsiTheme="minorHAnsi" w:cstheme="minorHAnsi"/>
          <w:b/>
          <w:sz w:val="22"/>
          <w:szCs w:val="22"/>
        </w:rPr>
        <w:t>Think, self determination</w:t>
      </w:r>
    </w:p>
    <w:p w14:paraId="15920E0B" w14:textId="729B353A" w:rsidR="00930E26" w:rsidRPr="008741C7" w:rsidRDefault="00930E26" w:rsidP="008741C7">
      <w:pPr>
        <w:spacing w:after="0" w:line="276" w:lineRule="auto"/>
        <w:jc w:val="both"/>
        <w:rPr>
          <w:rFonts w:cstheme="minorHAnsi"/>
        </w:rPr>
      </w:pPr>
      <w:r w:rsidRPr="008741C7">
        <w:rPr>
          <w:rFonts w:cstheme="minorHAnsi"/>
        </w:rPr>
        <w:t xml:space="preserve">The best way to bring about effective improvements to the prevention and treatment of mental </w:t>
      </w:r>
      <w:r w:rsidR="00EF6AEE">
        <w:rPr>
          <w:rFonts w:cstheme="minorHAnsi"/>
        </w:rPr>
        <w:t>ill-</w:t>
      </w:r>
      <w:r w:rsidRPr="008741C7">
        <w:rPr>
          <w:rFonts w:cstheme="minorHAnsi"/>
        </w:rPr>
        <w:t>health is to include the people who have experience using them. A co-creation approach both empowers service users and enhances the likelihood of successful programs, services and system improvements.</w:t>
      </w:r>
    </w:p>
    <w:p w14:paraId="1F318953" w14:textId="77777777" w:rsidR="00930E26" w:rsidRPr="008741C7" w:rsidRDefault="00930E26" w:rsidP="008741C7">
      <w:pPr>
        <w:spacing w:after="0" w:line="276" w:lineRule="auto"/>
        <w:jc w:val="both"/>
        <w:rPr>
          <w:rFonts w:cstheme="minorHAnsi"/>
        </w:rPr>
      </w:pPr>
    </w:p>
    <w:p w14:paraId="4A6DFA03" w14:textId="77777777" w:rsidR="00930E26" w:rsidRPr="008741C7" w:rsidRDefault="00930E26" w:rsidP="008741C7">
      <w:pPr>
        <w:spacing w:after="0" w:line="276" w:lineRule="auto"/>
        <w:jc w:val="both"/>
        <w:rPr>
          <w:rFonts w:cstheme="minorHAnsi"/>
        </w:rPr>
      </w:pPr>
      <w:r w:rsidRPr="008741C7">
        <w:rPr>
          <w:rFonts w:cstheme="minorHAnsi"/>
          <w:b/>
        </w:rPr>
        <w:t>Think, primary prevention</w:t>
      </w:r>
    </w:p>
    <w:p w14:paraId="781D1C27" w14:textId="1D2C7AE0" w:rsidR="00930E26" w:rsidRPr="008741C7" w:rsidRDefault="00930E26" w:rsidP="008741C7">
      <w:pPr>
        <w:spacing w:after="0" w:line="276" w:lineRule="auto"/>
        <w:jc w:val="both"/>
        <w:rPr>
          <w:rFonts w:cstheme="minorHAnsi"/>
        </w:rPr>
      </w:pPr>
      <w:r w:rsidRPr="008741C7">
        <w:rPr>
          <w:rFonts w:cstheme="minorHAnsi"/>
        </w:rPr>
        <w:t xml:space="preserve">Strategies to address the unequal distribution of power, money, and resources within the structures of Australian society are necessary for local-level action to be effective and sustained. </w:t>
      </w:r>
      <w:r w:rsidR="00EF6AEE">
        <w:rPr>
          <w:rFonts w:cstheme="minorHAnsi"/>
        </w:rPr>
        <w:t>R</w:t>
      </w:r>
      <w:r w:rsidRPr="008741C7">
        <w:rPr>
          <w:rFonts w:cstheme="minorHAnsi"/>
        </w:rPr>
        <w:t xml:space="preserve">esearch shows there is a clear relationship between mental health and socio-economic status (WHO). ‘Alleviating poverty, reducing inequalities and discrimination, promoting access to employment, healthcare, housing and education, can have positive outcomes for mental health’ (WHO). </w:t>
      </w:r>
    </w:p>
    <w:p w14:paraId="5E06DB06" w14:textId="77777777" w:rsidR="005C3D11" w:rsidRPr="008741C7" w:rsidRDefault="005C3D11" w:rsidP="008741C7">
      <w:pPr>
        <w:spacing w:after="0" w:line="276" w:lineRule="auto"/>
        <w:jc w:val="both"/>
        <w:rPr>
          <w:rFonts w:cstheme="minorHAnsi"/>
          <w:b/>
        </w:rPr>
      </w:pPr>
    </w:p>
    <w:p w14:paraId="16D73BEF" w14:textId="0CAA274A" w:rsidR="00E309FE" w:rsidRPr="008741C7" w:rsidRDefault="00E309FE" w:rsidP="008741C7">
      <w:pPr>
        <w:spacing w:after="0" w:line="276" w:lineRule="auto"/>
        <w:jc w:val="both"/>
        <w:rPr>
          <w:rFonts w:cstheme="minorHAnsi"/>
        </w:rPr>
      </w:pPr>
      <w:r w:rsidRPr="008741C7">
        <w:rPr>
          <w:rFonts w:cstheme="minorHAnsi"/>
          <w:b/>
        </w:rPr>
        <w:t>Think, systems</w:t>
      </w:r>
    </w:p>
    <w:p w14:paraId="5CE76D25" w14:textId="691AF673" w:rsidR="005C3D11" w:rsidRPr="008741C7" w:rsidRDefault="005C3D11" w:rsidP="008741C7">
      <w:pPr>
        <w:spacing w:after="0" w:line="276" w:lineRule="auto"/>
        <w:jc w:val="both"/>
        <w:rPr>
          <w:rFonts w:cstheme="minorHAnsi"/>
        </w:rPr>
      </w:pPr>
      <w:r w:rsidRPr="008741C7">
        <w:rPr>
          <w:rFonts w:cstheme="minorHAnsi"/>
        </w:rPr>
        <w:t>Application of systems thinking can make sense of the complexity of the mental health system and provide perspective of the connections that exist, insight of where the leverage is and present opportunities to intervene</w:t>
      </w:r>
      <w:r w:rsidR="00EF6AEE">
        <w:rPr>
          <w:rFonts w:cstheme="minorHAnsi"/>
        </w:rPr>
        <w:t xml:space="preserve"> to correct inefficiencies, inadequacies and inequities</w:t>
      </w:r>
      <w:r w:rsidRPr="008741C7">
        <w:rPr>
          <w:rFonts w:cstheme="minorHAnsi"/>
        </w:rPr>
        <w:t xml:space="preserve">. </w:t>
      </w:r>
    </w:p>
    <w:p w14:paraId="6F2A5024" w14:textId="45515ECD" w:rsidR="008454F8" w:rsidRPr="008741C7" w:rsidRDefault="008454F8" w:rsidP="008741C7">
      <w:pPr>
        <w:spacing w:after="0" w:line="276" w:lineRule="auto"/>
        <w:jc w:val="both"/>
        <w:rPr>
          <w:rFonts w:cstheme="minorHAnsi"/>
        </w:rPr>
      </w:pPr>
    </w:p>
    <w:p w14:paraId="5DAEC3B3" w14:textId="00E42C94" w:rsidR="008454F8" w:rsidRPr="008741C7" w:rsidRDefault="008454F8" w:rsidP="008741C7">
      <w:pPr>
        <w:spacing w:after="0" w:line="276" w:lineRule="auto"/>
        <w:jc w:val="both"/>
        <w:rPr>
          <w:rFonts w:cstheme="minorHAnsi"/>
          <w:b/>
        </w:rPr>
      </w:pPr>
      <w:r w:rsidRPr="008741C7">
        <w:rPr>
          <w:rFonts w:cstheme="minorHAnsi"/>
          <w:b/>
        </w:rPr>
        <w:t>Think, health literacy</w:t>
      </w:r>
    </w:p>
    <w:p w14:paraId="4C8EE27C" w14:textId="3B455B15" w:rsidR="008454F8" w:rsidRPr="008741C7" w:rsidRDefault="008454F8" w:rsidP="008741C7">
      <w:pPr>
        <w:spacing w:after="0" w:line="276" w:lineRule="auto"/>
        <w:jc w:val="both"/>
        <w:rPr>
          <w:rFonts w:cstheme="minorHAnsi"/>
        </w:rPr>
      </w:pPr>
      <w:r w:rsidRPr="008741C7">
        <w:rPr>
          <w:rFonts w:cstheme="minorHAnsi"/>
        </w:rPr>
        <w:t>To acknowledge the work of consumers and carers</w:t>
      </w:r>
      <w:r w:rsidR="00EF6AEE">
        <w:rPr>
          <w:rFonts w:cstheme="minorHAnsi"/>
        </w:rPr>
        <w:t>,</w:t>
      </w:r>
      <w:r w:rsidRPr="008741C7">
        <w:rPr>
          <w:rFonts w:cstheme="minorHAnsi"/>
        </w:rPr>
        <w:t xml:space="preserve"> and to recognise the value of their participation in this investigation, </w:t>
      </w:r>
      <w:r w:rsidR="00EF6AEE">
        <w:rPr>
          <w:rFonts w:cstheme="minorHAnsi"/>
        </w:rPr>
        <w:t xml:space="preserve">and </w:t>
      </w:r>
      <w:r w:rsidRPr="008741C7">
        <w:rPr>
          <w:rFonts w:cstheme="minorHAnsi"/>
        </w:rPr>
        <w:t>to engage and include the whole community</w:t>
      </w:r>
      <w:r w:rsidR="00EF6AEE">
        <w:rPr>
          <w:rFonts w:cstheme="minorHAnsi"/>
        </w:rPr>
        <w:t>,</w:t>
      </w:r>
      <w:r w:rsidRPr="008741C7">
        <w:rPr>
          <w:rFonts w:cstheme="minorHAnsi"/>
        </w:rPr>
        <w:t xml:space="preserve"> we suggest the application of literacy tools and the use-of-plain language materials when reporting the outcomes of this assessment.</w:t>
      </w:r>
      <w:r w:rsidR="00304657">
        <w:rPr>
          <w:rFonts w:cstheme="minorHAnsi"/>
        </w:rPr>
        <w:t xml:space="preserve"> </w:t>
      </w:r>
    </w:p>
    <w:p w14:paraId="308F22FC" w14:textId="7E3DFD9A" w:rsidR="00E81BF4" w:rsidRDefault="00E81BF4" w:rsidP="008741C7">
      <w:pPr>
        <w:spacing w:after="0" w:line="276" w:lineRule="auto"/>
        <w:jc w:val="both"/>
        <w:rPr>
          <w:rFonts w:cstheme="minorHAnsi"/>
          <w:b/>
        </w:rPr>
      </w:pPr>
    </w:p>
    <w:p w14:paraId="2B36F7E7" w14:textId="2D85FAD2" w:rsidR="00E81BF4" w:rsidRDefault="00E81BF4" w:rsidP="008741C7">
      <w:pPr>
        <w:spacing w:after="0" w:line="276" w:lineRule="auto"/>
        <w:jc w:val="both"/>
        <w:rPr>
          <w:rFonts w:cstheme="minorHAnsi"/>
          <w:b/>
        </w:rPr>
      </w:pPr>
    </w:p>
    <w:p w14:paraId="07F41885" w14:textId="3A5D4BB5" w:rsidR="00CB4B76" w:rsidRDefault="00CB4B76" w:rsidP="008741C7">
      <w:pPr>
        <w:spacing w:after="0" w:line="276" w:lineRule="auto"/>
        <w:jc w:val="both"/>
        <w:rPr>
          <w:rFonts w:cstheme="minorHAnsi"/>
          <w:b/>
        </w:rPr>
      </w:pPr>
    </w:p>
    <w:p w14:paraId="282E2ABC" w14:textId="0E2A28D2" w:rsidR="00CB4B76" w:rsidRDefault="00CB4B76" w:rsidP="008741C7">
      <w:pPr>
        <w:spacing w:after="0" w:line="276" w:lineRule="auto"/>
        <w:jc w:val="both"/>
        <w:rPr>
          <w:rFonts w:cstheme="minorHAnsi"/>
          <w:b/>
        </w:rPr>
      </w:pPr>
    </w:p>
    <w:p w14:paraId="026CAE73" w14:textId="1E6D210F" w:rsidR="00CB4B76" w:rsidRDefault="00CB4B76" w:rsidP="008741C7">
      <w:pPr>
        <w:spacing w:after="0" w:line="276" w:lineRule="auto"/>
        <w:jc w:val="both"/>
        <w:rPr>
          <w:rFonts w:cstheme="minorHAnsi"/>
          <w:b/>
        </w:rPr>
      </w:pPr>
    </w:p>
    <w:p w14:paraId="5B9A0787" w14:textId="3F1FB709" w:rsidR="00CB4B76" w:rsidRDefault="00CB4B76" w:rsidP="008741C7">
      <w:pPr>
        <w:spacing w:after="0" w:line="276" w:lineRule="auto"/>
        <w:jc w:val="both"/>
        <w:rPr>
          <w:rFonts w:cstheme="minorHAnsi"/>
          <w:b/>
        </w:rPr>
      </w:pPr>
    </w:p>
    <w:p w14:paraId="73510401" w14:textId="77777777" w:rsidR="009D2C2F" w:rsidRPr="008741C7" w:rsidRDefault="001F09D4" w:rsidP="008741C7">
      <w:pPr>
        <w:spacing w:after="0" w:line="276" w:lineRule="auto"/>
        <w:jc w:val="both"/>
        <w:rPr>
          <w:rFonts w:cstheme="minorHAnsi"/>
          <w:b/>
          <w:sz w:val="28"/>
        </w:rPr>
      </w:pPr>
      <w:r w:rsidRPr="008741C7">
        <w:rPr>
          <w:rFonts w:cstheme="minorHAnsi"/>
          <w:b/>
          <w:sz w:val="28"/>
        </w:rPr>
        <w:lastRenderedPageBreak/>
        <w:t>Structural weaknesses in healthcare</w:t>
      </w:r>
    </w:p>
    <w:p w14:paraId="06137F25" w14:textId="77777777" w:rsidR="004E3F26" w:rsidRPr="002C5ACA" w:rsidRDefault="004E3F26" w:rsidP="008741C7">
      <w:pPr>
        <w:spacing w:after="0" w:line="276" w:lineRule="auto"/>
        <w:jc w:val="both"/>
        <w:rPr>
          <w:rFonts w:cstheme="minorHAnsi"/>
          <w:b/>
          <w:i/>
        </w:rPr>
      </w:pPr>
      <w:r w:rsidRPr="002C5ACA">
        <w:rPr>
          <w:rFonts w:cstheme="minorHAnsi"/>
          <w:b/>
          <w:i/>
        </w:rPr>
        <w:t>Why have past reforms had limited effectiveness and how would you overcome the barriers with effective reforms? What structural weaknesses are not bring targeted by recent reforms? How should they be addressed and what would the improvements be?</w:t>
      </w:r>
    </w:p>
    <w:p w14:paraId="35016DC2" w14:textId="0AD3C807" w:rsidR="001F09D4" w:rsidRDefault="001F09D4" w:rsidP="008741C7">
      <w:pPr>
        <w:spacing w:after="0" w:line="276" w:lineRule="auto"/>
        <w:jc w:val="both"/>
        <w:rPr>
          <w:rFonts w:cstheme="minorHAnsi"/>
        </w:rPr>
      </w:pPr>
    </w:p>
    <w:p w14:paraId="79AD6159" w14:textId="47AE7BEC" w:rsidR="00D138A6" w:rsidRDefault="00D138A6" w:rsidP="008741C7">
      <w:pPr>
        <w:spacing w:after="0" w:line="276" w:lineRule="auto"/>
        <w:jc w:val="both"/>
        <w:rPr>
          <w:rFonts w:cstheme="minorHAnsi"/>
        </w:rPr>
      </w:pPr>
      <w:r>
        <w:rPr>
          <w:rFonts w:cstheme="minorHAnsi"/>
        </w:rPr>
        <w:t>Past reforms have not tackled nor solved the fragmentation of the health and mental health systems</w:t>
      </w:r>
      <w:r w:rsidR="00C54510">
        <w:rPr>
          <w:rFonts w:cstheme="minorHAnsi"/>
        </w:rPr>
        <w:t xml:space="preserve"> (</w:t>
      </w:r>
      <w:r w:rsidR="009062CC">
        <w:rPr>
          <w:rFonts w:cstheme="minorHAnsi"/>
        </w:rPr>
        <w:t>Beyond Blue</w:t>
      </w:r>
      <w:r w:rsidR="00C54510">
        <w:rPr>
          <w:rFonts w:cstheme="minorHAnsi"/>
        </w:rPr>
        <w:t>, 2018)</w:t>
      </w:r>
      <w:r>
        <w:rPr>
          <w:rFonts w:cstheme="minorHAnsi"/>
        </w:rPr>
        <w:t xml:space="preserve">. No incentives have been provided to entice services to become integrated and better coordinated in the delivery of care. </w:t>
      </w:r>
      <w:r w:rsidR="0024405B">
        <w:rPr>
          <w:rFonts w:cstheme="minorHAnsi"/>
        </w:rPr>
        <w:t>Pathways between acute, sub-acute and community</w:t>
      </w:r>
      <w:r w:rsidR="00D80423">
        <w:rPr>
          <w:rFonts w:cstheme="minorHAnsi"/>
        </w:rPr>
        <w:t xml:space="preserve"> services</w:t>
      </w:r>
      <w:r w:rsidR="0024405B">
        <w:rPr>
          <w:rFonts w:cstheme="minorHAnsi"/>
        </w:rPr>
        <w:t xml:space="preserve"> are not seamless and are not easily navigated by </w:t>
      </w:r>
      <w:r w:rsidR="00551C18">
        <w:rPr>
          <w:rFonts w:cstheme="minorHAnsi"/>
        </w:rPr>
        <w:t xml:space="preserve">services, </w:t>
      </w:r>
      <w:r w:rsidR="0024405B">
        <w:rPr>
          <w:rFonts w:cstheme="minorHAnsi"/>
        </w:rPr>
        <w:t>clients and their carer/s.</w:t>
      </w:r>
    </w:p>
    <w:p w14:paraId="70F4E5F5" w14:textId="7E26CF1A" w:rsidR="00F56E19" w:rsidRDefault="00F56E19" w:rsidP="008741C7">
      <w:pPr>
        <w:spacing w:after="0" w:line="276" w:lineRule="auto"/>
        <w:jc w:val="both"/>
        <w:rPr>
          <w:rFonts w:cstheme="minorHAnsi"/>
        </w:rPr>
      </w:pPr>
    </w:p>
    <w:p w14:paraId="080B3C7A" w14:textId="7DF9B9E2" w:rsidR="004A5BAE" w:rsidRDefault="00F56E19" w:rsidP="00F56E19">
      <w:pPr>
        <w:spacing w:after="0" w:line="276" w:lineRule="auto"/>
        <w:jc w:val="both"/>
        <w:rPr>
          <w:rFonts w:cstheme="minorHAnsi"/>
        </w:rPr>
      </w:pPr>
      <w:r>
        <w:rPr>
          <w:rFonts w:cstheme="minorHAnsi"/>
        </w:rPr>
        <w:t xml:space="preserve">For example, a young person </w:t>
      </w:r>
      <w:r w:rsidR="004A5BAE">
        <w:rPr>
          <w:rFonts w:cstheme="minorHAnsi"/>
        </w:rPr>
        <w:t xml:space="preserve">who had been in hospital was referred to a specialised mental health service for sub-acute care </w:t>
      </w:r>
      <w:r w:rsidR="00551C18">
        <w:rPr>
          <w:rFonts w:cstheme="minorHAnsi"/>
        </w:rPr>
        <w:t xml:space="preserve">where </w:t>
      </w:r>
      <w:r w:rsidR="004A5BAE">
        <w:rPr>
          <w:rFonts w:cstheme="minorHAnsi"/>
        </w:rPr>
        <w:t xml:space="preserve">the client </w:t>
      </w:r>
      <w:r w:rsidR="00551C18">
        <w:rPr>
          <w:rFonts w:cstheme="minorHAnsi"/>
        </w:rPr>
        <w:t>began appropriate recovery</w:t>
      </w:r>
      <w:r w:rsidR="004A5BAE">
        <w:rPr>
          <w:rFonts w:cstheme="minorHAnsi"/>
        </w:rPr>
        <w:t xml:space="preserve">. The client was then referred to a community setting where they had a youth social worker, counsellor and a private psychologist. There was no collaboration between these service tiers. </w:t>
      </w:r>
    </w:p>
    <w:p w14:paraId="71A9ADCD" w14:textId="77777777" w:rsidR="004A5BAE" w:rsidRDefault="004A5BAE" w:rsidP="00F56E19">
      <w:pPr>
        <w:spacing w:after="0" w:line="276" w:lineRule="auto"/>
        <w:jc w:val="both"/>
        <w:rPr>
          <w:rFonts w:cstheme="minorHAnsi"/>
        </w:rPr>
      </w:pPr>
    </w:p>
    <w:p w14:paraId="759614E4" w14:textId="34C0ACBF" w:rsidR="00F56E19" w:rsidRDefault="003155B4" w:rsidP="00F56E19">
      <w:pPr>
        <w:spacing w:after="0" w:line="276" w:lineRule="auto"/>
        <w:jc w:val="both"/>
        <w:rPr>
          <w:rFonts w:cstheme="minorHAnsi"/>
        </w:rPr>
      </w:pPr>
      <w:r>
        <w:rPr>
          <w:rFonts w:cstheme="minorHAnsi"/>
        </w:rPr>
        <w:t>Connect Health</w:t>
      </w:r>
      <w:r w:rsidR="00D80423">
        <w:rPr>
          <w:rFonts w:cstheme="minorHAnsi"/>
        </w:rPr>
        <w:t xml:space="preserve"> &amp; Community</w:t>
      </w:r>
      <w:r>
        <w:rPr>
          <w:rFonts w:cstheme="minorHAnsi"/>
        </w:rPr>
        <w:t xml:space="preserve"> </w:t>
      </w:r>
      <w:r w:rsidR="004A5BAE">
        <w:rPr>
          <w:rFonts w:cstheme="minorHAnsi"/>
        </w:rPr>
        <w:t>ha</w:t>
      </w:r>
      <w:r w:rsidR="00D80423">
        <w:rPr>
          <w:rFonts w:cstheme="minorHAnsi"/>
        </w:rPr>
        <w:t>s</w:t>
      </w:r>
      <w:r w:rsidR="004A5BAE">
        <w:rPr>
          <w:rFonts w:cstheme="minorHAnsi"/>
        </w:rPr>
        <w:t xml:space="preserve"> </w:t>
      </w:r>
      <w:r>
        <w:rPr>
          <w:rFonts w:cstheme="minorHAnsi"/>
        </w:rPr>
        <w:t xml:space="preserve">seen </w:t>
      </w:r>
      <w:r w:rsidR="004A5BAE">
        <w:rPr>
          <w:rFonts w:cstheme="minorHAnsi"/>
        </w:rPr>
        <w:t xml:space="preserve">cases where </w:t>
      </w:r>
      <w:r w:rsidR="00AE5296">
        <w:rPr>
          <w:rFonts w:cstheme="minorHAnsi"/>
        </w:rPr>
        <w:t>a</w:t>
      </w:r>
      <w:r w:rsidR="004A5BAE">
        <w:rPr>
          <w:rFonts w:cstheme="minorHAnsi"/>
        </w:rPr>
        <w:t xml:space="preserve"> hospital </w:t>
      </w:r>
      <w:r w:rsidR="00551C18">
        <w:rPr>
          <w:rFonts w:cstheme="minorHAnsi"/>
        </w:rPr>
        <w:t>avoids</w:t>
      </w:r>
      <w:r w:rsidR="00330B84">
        <w:rPr>
          <w:rFonts w:cstheme="minorHAnsi"/>
        </w:rPr>
        <w:t xml:space="preserve"> using the step down model to refer to the</w:t>
      </w:r>
      <w:r w:rsidR="004A5BAE">
        <w:rPr>
          <w:rFonts w:cstheme="minorHAnsi"/>
        </w:rPr>
        <w:t xml:space="preserve"> sub-acute system and refer</w:t>
      </w:r>
      <w:r w:rsidR="00330B84">
        <w:rPr>
          <w:rFonts w:cstheme="minorHAnsi"/>
        </w:rPr>
        <w:t>s</w:t>
      </w:r>
      <w:r w:rsidR="004A5BAE">
        <w:rPr>
          <w:rFonts w:cstheme="minorHAnsi"/>
        </w:rPr>
        <w:t xml:space="preserve"> directly to community services. For example, a client who was acutely unwell and suicidal</w:t>
      </w:r>
      <w:r w:rsidR="00330B84">
        <w:rPr>
          <w:rFonts w:cstheme="minorHAnsi"/>
        </w:rPr>
        <w:t xml:space="preserve">, was directly referred to our service, despite the </w:t>
      </w:r>
      <w:r w:rsidR="00611970">
        <w:rPr>
          <w:rFonts w:cstheme="minorHAnsi"/>
        </w:rPr>
        <w:t xml:space="preserve">appropriateness of the </w:t>
      </w:r>
      <w:r w:rsidR="004A5BAE">
        <w:rPr>
          <w:rFonts w:cstheme="minorHAnsi"/>
        </w:rPr>
        <w:t xml:space="preserve">sub-acute system to support </w:t>
      </w:r>
      <w:r w:rsidR="00330B84">
        <w:rPr>
          <w:rFonts w:cstheme="minorHAnsi"/>
        </w:rPr>
        <w:t xml:space="preserve">the elevated </w:t>
      </w:r>
      <w:r w:rsidR="004A5BAE">
        <w:rPr>
          <w:rFonts w:cstheme="minorHAnsi"/>
        </w:rPr>
        <w:t>suicide risk and self-harm</w:t>
      </w:r>
      <w:r w:rsidR="00D80423">
        <w:rPr>
          <w:rFonts w:cstheme="minorHAnsi"/>
        </w:rPr>
        <w:t xml:space="preserve"> they were experiencing</w:t>
      </w:r>
      <w:r w:rsidR="004A5BAE">
        <w:rPr>
          <w:rFonts w:cstheme="minorHAnsi"/>
        </w:rPr>
        <w:t xml:space="preserve"> </w:t>
      </w:r>
      <w:r w:rsidR="00330B84">
        <w:rPr>
          <w:rFonts w:cstheme="minorHAnsi"/>
        </w:rPr>
        <w:t xml:space="preserve">while also supporting </w:t>
      </w:r>
      <w:r w:rsidR="004A5BAE">
        <w:rPr>
          <w:rFonts w:cstheme="minorHAnsi"/>
        </w:rPr>
        <w:t>the</w:t>
      </w:r>
      <w:r w:rsidR="00D80423">
        <w:rPr>
          <w:rFonts w:cstheme="minorHAnsi"/>
        </w:rPr>
        <w:t>ir</w:t>
      </w:r>
      <w:r w:rsidR="004A5BAE">
        <w:rPr>
          <w:rFonts w:cstheme="minorHAnsi"/>
        </w:rPr>
        <w:t xml:space="preserve"> family</w:t>
      </w:r>
      <w:r w:rsidR="00330B84">
        <w:rPr>
          <w:rFonts w:cstheme="minorHAnsi"/>
        </w:rPr>
        <w:t>.</w:t>
      </w:r>
      <w:r w:rsidR="004A5BAE">
        <w:rPr>
          <w:rFonts w:cstheme="minorHAnsi"/>
        </w:rPr>
        <w:t xml:space="preserve"> </w:t>
      </w:r>
      <w:r w:rsidR="00330B84">
        <w:rPr>
          <w:rFonts w:cstheme="minorHAnsi"/>
        </w:rPr>
        <w:t xml:space="preserve">The </w:t>
      </w:r>
      <w:r w:rsidR="004A5BAE">
        <w:rPr>
          <w:rFonts w:cstheme="minorHAnsi"/>
        </w:rPr>
        <w:t xml:space="preserve">long wait list </w:t>
      </w:r>
      <w:r w:rsidR="00330B84">
        <w:rPr>
          <w:rFonts w:cstheme="minorHAnsi"/>
        </w:rPr>
        <w:t xml:space="preserve">at the sub-acute service </w:t>
      </w:r>
      <w:r w:rsidR="004A5BAE">
        <w:rPr>
          <w:rFonts w:cstheme="minorHAnsi"/>
        </w:rPr>
        <w:t>and catchment zone</w:t>
      </w:r>
      <w:r w:rsidR="00330B84">
        <w:rPr>
          <w:rFonts w:cstheme="minorHAnsi"/>
        </w:rPr>
        <w:t xml:space="preserve"> allocation of client was cited as</w:t>
      </w:r>
      <w:r w:rsidR="00D80423">
        <w:rPr>
          <w:rFonts w:cstheme="minorHAnsi"/>
        </w:rPr>
        <w:t xml:space="preserve"> the reason for providing this inadequate service</w:t>
      </w:r>
      <w:r w:rsidR="00611970">
        <w:rPr>
          <w:rFonts w:cstheme="minorHAnsi"/>
        </w:rPr>
        <w:t xml:space="preserve"> response</w:t>
      </w:r>
      <w:r w:rsidR="004A5BAE">
        <w:rPr>
          <w:rFonts w:cstheme="minorHAnsi"/>
        </w:rPr>
        <w:t xml:space="preserve">. </w:t>
      </w:r>
    </w:p>
    <w:p w14:paraId="04BC93CC" w14:textId="77777777" w:rsidR="00F56E19" w:rsidRDefault="00F56E19" w:rsidP="00F56E19">
      <w:pPr>
        <w:spacing w:after="0" w:line="276" w:lineRule="auto"/>
        <w:jc w:val="both"/>
        <w:rPr>
          <w:rFonts w:cstheme="minorHAnsi"/>
        </w:rPr>
      </w:pPr>
    </w:p>
    <w:p w14:paraId="13DA26E8" w14:textId="2DE4FAB4" w:rsidR="0024405B" w:rsidRDefault="0024405B" w:rsidP="008741C7">
      <w:pPr>
        <w:spacing w:after="0" w:line="276" w:lineRule="auto"/>
        <w:jc w:val="both"/>
        <w:rPr>
          <w:rFonts w:cstheme="minorHAnsi"/>
        </w:rPr>
      </w:pPr>
      <w:r>
        <w:rPr>
          <w:rFonts w:cstheme="minorHAnsi"/>
        </w:rPr>
        <w:t>Service</w:t>
      </w:r>
      <w:r w:rsidR="00241920">
        <w:rPr>
          <w:rFonts w:cstheme="minorHAnsi"/>
        </w:rPr>
        <w:t>-</w:t>
      </w:r>
      <w:r>
        <w:rPr>
          <w:rFonts w:cstheme="minorHAnsi"/>
        </w:rPr>
        <w:t>specific eligibility criteria is restrictive, hinders accessibility, challenges service navigation and creates gaps</w:t>
      </w:r>
      <w:r w:rsidR="00AE5296">
        <w:rPr>
          <w:rFonts w:cstheme="minorHAnsi"/>
        </w:rPr>
        <w:t xml:space="preserve"> and inequity</w:t>
      </w:r>
      <w:r>
        <w:rPr>
          <w:rFonts w:cstheme="minorHAnsi"/>
        </w:rPr>
        <w:t xml:space="preserve"> in service access and provision. </w:t>
      </w:r>
    </w:p>
    <w:p w14:paraId="4307199B" w14:textId="02398F84" w:rsidR="00D138A6" w:rsidRDefault="00D138A6" w:rsidP="008741C7">
      <w:pPr>
        <w:spacing w:after="0" w:line="276" w:lineRule="auto"/>
        <w:jc w:val="both"/>
        <w:rPr>
          <w:rFonts w:cstheme="minorHAnsi"/>
        </w:rPr>
      </w:pPr>
    </w:p>
    <w:p w14:paraId="65160C86" w14:textId="6A0B7516" w:rsidR="00781B7A" w:rsidRDefault="00781B7A" w:rsidP="00781B7A">
      <w:pPr>
        <w:spacing w:after="0" w:line="276" w:lineRule="auto"/>
        <w:jc w:val="both"/>
        <w:rPr>
          <w:rFonts w:cstheme="minorHAnsi"/>
        </w:rPr>
      </w:pPr>
      <w:r>
        <w:rPr>
          <w:rFonts w:cstheme="minorHAnsi"/>
        </w:rPr>
        <w:t>Catchment bound eligibility prevents service access for some clients who prefer to visit services close to their school</w:t>
      </w:r>
      <w:r w:rsidR="00330B84">
        <w:rPr>
          <w:rFonts w:cstheme="minorHAnsi"/>
        </w:rPr>
        <w:t>/</w:t>
      </w:r>
      <w:r>
        <w:rPr>
          <w:rFonts w:cstheme="minorHAnsi"/>
        </w:rPr>
        <w:t xml:space="preserve"> place of work, services away from where they reside or for safety reasons prefer to access services close to a designated safe location. Catchment areas are confusing for clinicians referring and almost impossible for community members to understand or seek support </w:t>
      </w:r>
      <w:r w:rsidR="00241920">
        <w:rPr>
          <w:rFonts w:cstheme="minorHAnsi"/>
        </w:rPr>
        <w:t xml:space="preserve">through, </w:t>
      </w:r>
      <w:r>
        <w:rPr>
          <w:rFonts w:cstheme="minorHAnsi"/>
        </w:rPr>
        <w:t xml:space="preserve">accordingly. </w:t>
      </w:r>
    </w:p>
    <w:p w14:paraId="19EB4DAB" w14:textId="77777777" w:rsidR="00781B7A" w:rsidRDefault="00781B7A" w:rsidP="00781B7A">
      <w:pPr>
        <w:spacing w:after="0" w:line="276" w:lineRule="auto"/>
        <w:jc w:val="both"/>
        <w:rPr>
          <w:rFonts w:cstheme="minorHAnsi"/>
        </w:rPr>
      </w:pPr>
    </w:p>
    <w:p w14:paraId="730F5C8E" w14:textId="4C2C886D" w:rsidR="00781B7A" w:rsidRPr="00421E9E" w:rsidRDefault="00781B7A" w:rsidP="00781B7A">
      <w:pPr>
        <w:spacing w:after="0" w:line="276" w:lineRule="auto"/>
        <w:jc w:val="both"/>
        <w:rPr>
          <w:rFonts w:cstheme="minorHAnsi"/>
        </w:rPr>
      </w:pPr>
      <w:r w:rsidRPr="006264C9">
        <w:rPr>
          <w:rFonts w:cstheme="minorHAnsi"/>
        </w:rPr>
        <w:t xml:space="preserve">For example, </w:t>
      </w:r>
      <w:r w:rsidR="003155B4">
        <w:rPr>
          <w:rFonts w:cstheme="minorHAnsi"/>
        </w:rPr>
        <w:t>in the Alfred c</w:t>
      </w:r>
      <w:r>
        <w:rPr>
          <w:rFonts w:cstheme="minorHAnsi"/>
        </w:rPr>
        <w:t xml:space="preserve">atchment there is </w:t>
      </w:r>
      <w:r w:rsidRPr="006264C9">
        <w:rPr>
          <w:rFonts w:cstheme="minorHAnsi"/>
        </w:rPr>
        <w:t xml:space="preserve">no youth acute/crisis mental health service for </w:t>
      </w:r>
      <w:r>
        <w:rPr>
          <w:rFonts w:cstheme="minorHAnsi"/>
        </w:rPr>
        <w:t>teens</w:t>
      </w:r>
      <w:r w:rsidRPr="006264C9">
        <w:rPr>
          <w:rFonts w:cstheme="minorHAnsi"/>
        </w:rPr>
        <w:t xml:space="preserve">. </w:t>
      </w:r>
      <w:r w:rsidR="00330B84">
        <w:rPr>
          <w:rFonts w:cstheme="minorHAnsi"/>
        </w:rPr>
        <w:t>As such, young clients who reside in this area need to attend another hospit</w:t>
      </w:r>
      <w:r w:rsidR="0019500C">
        <w:rPr>
          <w:rFonts w:cstheme="minorHAnsi"/>
        </w:rPr>
        <w:t>al for mental health acute care</w:t>
      </w:r>
      <w:r w:rsidRPr="006264C9">
        <w:rPr>
          <w:rFonts w:cstheme="minorHAnsi"/>
        </w:rPr>
        <w:t xml:space="preserve">. </w:t>
      </w:r>
      <w:r w:rsidR="00330B84">
        <w:rPr>
          <w:rFonts w:cstheme="minorHAnsi"/>
        </w:rPr>
        <w:t>Upon one client’s admission</w:t>
      </w:r>
      <w:r w:rsidRPr="006264C9">
        <w:rPr>
          <w:rFonts w:cstheme="minorHAnsi"/>
        </w:rPr>
        <w:t xml:space="preserve"> at the second </w:t>
      </w:r>
      <w:r w:rsidR="00ED56F5">
        <w:rPr>
          <w:rFonts w:cstheme="minorHAnsi"/>
        </w:rPr>
        <w:t>h</w:t>
      </w:r>
      <w:r w:rsidRPr="006264C9">
        <w:rPr>
          <w:rFonts w:cstheme="minorHAnsi"/>
        </w:rPr>
        <w:t xml:space="preserve">ospital there weren’t enough beds for him, he was transferred to </w:t>
      </w:r>
      <w:r w:rsidR="00330B84">
        <w:rPr>
          <w:rFonts w:cstheme="minorHAnsi"/>
        </w:rPr>
        <w:t>a</w:t>
      </w:r>
      <w:r w:rsidR="0019500C">
        <w:rPr>
          <w:rFonts w:cstheme="minorHAnsi"/>
        </w:rPr>
        <w:t xml:space="preserve"> </w:t>
      </w:r>
      <w:r w:rsidR="00ED56F5">
        <w:rPr>
          <w:rFonts w:cstheme="minorHAnsi"/>
        </w:rPr>
        <w:t>h</w:t>
      </w:r>
      <w:r w:rsidRPr="006264C9">
        <w:rPr>
          <w:rFonts w:cstheme="minorHAnsi"/>
        </w:rPr>
        <w:t>ospital more than an hour away. A</w:t>
      </w:r>
      <w:r>
        <w:rPr>
          <w:rFonts w:cstheme="minorHAnsi"/>
        </w:rPr>
        <w:t xml:space="preserve">fter only </w:t>
      </w:r>
      <w:r w:rsidR="00241920">
        <w:rPr>
          <w:rFonts w:cstheme="minorHAnsi"/>
        </w:rPr>
        <w:t>three</w:t>
      </w:r>
      <w:r>
        <w:rPr>
          <w:rFonts w:cstheme="minorHAnsi"/>
        </w:rPr>
        <w:t xml:space="preserve"> days and limited recovery</w:t>
      </w:r>
      <w:r w:rsidR="003155B4">
        <w:rPr>
          <w:rFonts w:cstheme="minorHAnsi"/>
        </w:rPr>
        <w:t>,</w:t>
      </w:r>
      <w:r>
        <w:rPr>
          <w:rFonts w:cstheme="minorHAnsi"/>
        </w:rPr>
        <w:t xml:space="preserve"> a</w:t>
      </w:r>
      <w:r w:rsidR="00241920">
        <w:rPr>
          <w:rFonts w:cstheme="minorHAnsi"/>
        </w:rPr>
        <w:t>nother</w:t>
      </w:r>
      <w:r w:rsidRPr="006264C9">
        <w:rPr>
          <w:rFonts w:cstheme="minorHAnsi"/>
        </w:rPr>
        <w:t xml:space="preserve"> </w:t>
      </w:r>
      <w:r w:rsidR="00330B84">
        <w:rPr>
          <w:rFonts w:cstheme="minorHAnsi"/>
        </w:rPr>
        <w:t>young person,</w:t>
      </w:r>
      <w:r w:rsidR="00330B84" w:rsidRPr="006264C9">
        <w:rPr>
          <w:rFonts w:cstheme="minorHAnsi"/>
        </w:rPr>
        <w:t xml:space="preserve"> </w:t>
      </w:r>
      <w:r>
        <w:rPr>
          <w:rFonts w:cstheme="minorHAnsi"/>
        </w:rPr>
        <w:t xml:space="preserve">residing </w:t>
      </w:r>
      <w:r w:rsidRPr="006264C9">
        <w:rPr>
          <w:rFonts w:cstheme="minorHAnsi"/>
        </w:rPr>
        <w:t xml:space="preserve">in that </w:t>
      </w:r>
      <w:r>
        <w:rPr>
          <w:rFonts w:cstheme="minorHAnsi"/>
        </w:rPr>
        <w:t xml:space="preserve">hospital’s </w:t>
      </w:r>
      <w:r w:rsidRPr="006264C9">
        <w:rPr>
          <w:rFonts w:cstheme="minorHAnsi"/>
        </w:rPr>
        <w:t>geographic catchment</w:t>
      </w:r>
      <w:r w:rsidR="00330B84">
        <w:rPr>
          <w:rFonts w:cstheme="minorHAnsi"/>
        </w:rPr>
        <w:t>,</w:t>
      </w:r>
      <w:r w:rsidRPr="006264C9">
        <w:rPr>
          <w:rFonts w:cstheme="minorHAnsi"/>
        </w:rPr>
        <w:t xml:space="preserve"> needed </w:t>
      </w:r>
      <w:r>
        <w:rPr>
          <w:rFonts w:cstheme="minorHAnsi"/>
        </w:rPr>
        <w:t xml:space="preserve">a </w:t>
      </w:r>
      <w:r w:rsidRPr="006264C9">
        <w:rPr>
          <w:rFonts w:cstheme="minorHAnsi"/>
        </w:rPr>
        <w:t xml:space="preserve">bed so </w:t>
      </w:r>
      <w:r w:rsidR="00ED56F5">
        <w:rPr>
          <w:rFonts w:cstheme="minorHAnsi"/>
        </w:rPr>
        <w:t xml:space="preserve">the client </w:t>
      </w:r>
      <w:r w:rsidRPr="006264C9">
        <w:rPr>
          <w:rFonts w:cstheme="minorHAnsi"/>
        </w:rPr>
        <w:t xml:space="preserve">was transferred back to the second </w:t>
      </w:r>
      <w:r w:rsidR="00ED56F5">
        <w:rPr>
          <w:rFonts w:cstheme="minorHAnsi"/>
        </w:rPr>
        <w:t>h</w:t>
      </w:r>
      <w:r w:rsidRPr="006264C9">
        <w:rPr>
          <w:rFonts w:cstheme="minorHAnsi"/>
        </w:rPr>
        <w:t xml:space="preserve">ospital for a day before he was referred to attend a </w:t>
      </w:r>
      <w:r w:rsidR="00330B84">
        <w:rPr>
          <w:rFonts w:cstheme="minorHAnsi"/>
        </w:rPr>
        <w:t>sub-acute</w:t>
      </w:r>
      <w:r w:rsidR="00330B84" w:rsidRPr="006264C9">
        <w:rPr>
          <w:rFonts w:cstheme="minorHAnsi"/>
        </w:rPr>
        <w:t xml:space="preserve"> </w:t>
      </w:r>
      <w:r w:rsidRPr="006264C9">
        <w:rPr>
          <w:rFonts w:cstheme="minorHAnsi"/>
        </w:rPr>
        <w:t xml:space="preserve">mental health service. </w:t>
      </w:r>
      <w:r w:rsidR="00ED56F5">
        <w:rPr>
          <w:rFonts w:cstheme="minorHAnsi"/>
        </w:rPr>
        <w:t xml:space="preserve">The client </w:t>
      </w:r>
      <w:r>
        <w:rPr>
          <w:rFonts w:cstheme="minorHAnsi"/>
        </w:rPr>
        <w:t xml:space="preserve">subsequently </w:t>
      </w:r>
      <w:r w:rsidRPr="006264C9">
        <w:rPr>
          <w:rFonts w:cstheme="minorHAnsi"/>
        </w:rPr>
        <w:t>became disengaged</w:t>
      </w:r>
      <w:r>
        <w:rPr>
          <w:rFonts w:cstheme="minorHAnsi"/>
        </w:rPr>
        <w:t xml:space="preserve"> from the </w:t>
      </w:r>
      <w:r w:rsidR="00D96E63">
        <w:rPr>
          <w:rFonts w:cstheme="minorHAnsi"/>
        </w:rPr>
        <w:t xml:space="preserve">sub-acute </w:t>
      </w:r>
      <w:r>
        <w:rPr>
          <w:rFonts w:cstheme="minorHAnsi"/>
        </w:rPr>
        <w:t xml:space="preserve">mental health </w:t>
      </w:r>
      <w:r w:rsidR="00D96E63">
        <w:rPr>
          <w:rFonts w:cstheme="minorHAnsi"/>
        </w:rPr>
        <w:t>service, despite</w:t>
      </w:r>
      <w:r>
        <w:rPr>
          <w:rFonts w:cstheme="minorHAnsi"/>
        </w:rPr>
        <w:t xml:space="preserve"> </w:t>
      </w:r>
      <w:r w:rsidR="00ED56F5">
        <w:rPr>
          <w:rFonts w:cstheme="minorHAnsi"/>
        </w:rPr>
        <w:t>requests for</w:t>
      </w:r>
      <w:r>
        <w:rPr>
          <w:rFonts w:cstheme="minorHAnsi"/>
        </w:rPr>
        <w:t xml:space="preserve"> ongoing support </w:t>
      </w:r>
      <w:r w:rsidR="00C8320B">
        <w:rPr>
          <w:rFonts w:cstheme="minorHAnsi"/>
        </w:rPr>
        <w:t xml:space="preserve">from </w:t>
      </w:r>
      <w:r w:rsidR="00D96E63">
        <w:rPr>
          <w:rFonts w:cstheme="minorHAnsi"/>
        </w:rPr>
        <w:t xml:space="preserve">the </w:t>
      </w:r>
      <w:r>
        <w:rPr>
          <w:rFonts w:cstheme="minorHAnsi"/>
        </w:rPr>
        <w:t>parents</w:t>
      </w:r>
      <w:r w:rsidR="00A77CCC">
        <w:rPr>
          <w:rFonts w:cstheme="minorHAnsi"/>
        </w:rPr>
        <w:t>.</w:t>
      </w:r>
      <w:r>
        <w:rPr>
          <w:rFonts w:cstheme="minorHAnsi"/>
        </w:rPr>
        <w:t xml:space="preserve"> The service chose to close</w:t>
      </w:r>
      <w:r w:rsidR="00241920">
        <w:rPr>
          <w:rFonts w:cstheme="minorHAnsi"/>
        </w:rPr>
        <w:t xml:space="preserve"> this clients’ file</w:t>
      </w:r>
      <w:r>
        <w:rPr>
          <w:rFonts w:cstheme="minorHAnsi"/>
        </w:rPr>
        <w:t xml:space="preserve"> because </w:t>
      </w:r>
      <w:r w:rsidR="00ED56F5">
        <w:rPr>
          <w:rFonts w:cstheme="minorHAnsi"/>
        </w:rPr>
        <w:t xml:space="preserve">the client </w:t>
      </w:r>
      <w:r>
        <w:rPr>
          <w:rFonts w:cstheme="minorHAnsi"/>
        </w:rPr>
        <w:t>disengaged</w:t>
      </w:r>
      <w:r w:rsidR="00D96E63">
        <w:rPr>
          <w:rFonts w:cstheme="minorHAnsi"/>
        </w:rPr>
        <w:t xml:space="preserve"> </w:t>
      </w:r>
      <w:r w:rsidR="00241920">
        <w:rPr>
          <w:rFonts w:cstheme="minorHAnsi"/>
        </w:rPr>
        <w:t xml:space="preserve">and </w:t>
      </w:r>
      <w:r w:rsidR="00D96E63">
        <w:rPr>
          <w:rFonts w:cstheme="minorHAnsi"/>
        </w:rPr>
        <w:t>showed little capacity to support the parents in their journey of helping their son</w:t>
      </w:r>
      <w:r>
        <w:rPr>
          <w:rFonts w:cstheme="minorHAnsi"/>
        </w:rPr>
        <w:t xml:space="preserve">. There was no closure phone call, visit or written documentation, even after </w:t>
      </w:r>
      <w:r w:rsidR="00ED56F5">
        <w:rPr>
          <w:rFonts w:cstheme="minorHAnsi"/>
        </w:rPr>
        <w:t xml:space="preserve">the parents </w:t>
      </w:r>
      <w:r>
        <w:rPr>
          <w:rFonts w:cstheme="minorHAnsi"/>
        </w:rPr>
        <w:t>left a message requesting further assistance.</w:t>
      </w:r>
      <w:r w:rsidR="00A77CCC">
        <w:rPr>
          <w:rFonts w:cstheme="minorHAnsi"/>
        </w:rPr>
        <w:t xml:space="preserve"> </w:t>
      </w:r>
    </w:p>
    <w:p w14:paraId="5C21C0CA" w14:textId="77777777" w:rsidR="00781B7A" w:rsidRDefault="00781B7A" w:rsidP="00781B7A">
      <w:pPr>
        <w:spacing w:after="0" w:line="276" w:lineRule="auto"/>
        <w:jc w:val="both"/>
        <w:rPr>
          <w:rFonts w:cstheme="minorHAnsi"/>
        </w:rPr>
      </w:pPr>
    </w:p>
    <w:p w14:paraId="15EDDDA7" w14:textId="0F90C1D9" w:rsidR="00781B7A" w:rsidRDefault="00781B7A" w:rsidP="00781B7A">
      <w:pPr>
        <w:spacing w:after="0" w:line="276" w:lineRule="auto"/>
        <w:jc w:val="both"/>
        <w:rPr>
          <w:rFonts w:cstheme="minorHAnsi"/>
        </w:rPr>
      </w:pPr>
      <w:r>
        <w:rPr>
          <w:rFonts w:cstheme="minorHAnsi"/>
        </w:rPr>
        <w:t>Age eligibility criteria, coupled with catchment restrictions further impedes client focused service</w:t>
      </w:r>
      <w:r w:rsidR="001B5D42">
        <w:rPr>
          <w:rFonts w:cstheme="minorHAnsi"/>
        </w:rPr>
        <w:t xml:space="preserve"> access.</w:t>
      </w:r>
      <w:r>
        <w:rPr>
          <w:rFonts w:cstheme="minorHAnsi"/>
        </w:rPr>
        <w:t xml:space="preserve"> There appears to be an arbitrary delineation of youth to adult eligibility that is not easy to understand.</w:t>
      </w:r>
      <w:r w:rsidR="00D96E63">
        <w:rPr>
          <w:rFonts w:cstheme="minorHAnsi"/>
        </w:rPr>
        <w:t xml:space="preserve"> For example, moving a person from one service to another because they turn 25 years </w:t>
      </w:r>
      <w:r w:rsidR="00C8320B">
        <w:rPr>
          <w:rFonts w:cstheme="minorHAnsi"/>
        </w:rPr>
        <w:t xml:space="preserve">of age </w:t>
      </w:r>
      <w:r w:rsidR="00D96E63">
        <w:rPr>
          <w:rFonts w:cstheme="minorHAnsi"/>
        </w:rPr>
        <w:t>can increase risk to client, their families and the client’s recovery</w:t>
      </w:r>
      <w:r w:rsidR="00434D41">
        <w:rPr>
          <w:rFonts w:cstheme="minorHAnsi"/>
        </w:rPr>
        <w:t xml:space="preserve">. </w:t>
      </w:r>
      <w:r w:rsidR="006B2D41">
        <w:rPr>
          <w:rFonts w:cstheme="minorHAnsi"/>
        </w:rPr>
        <w:t xml:space="preserve">This is inconsistent with </w:t>
      </w:r>
      <w:r w:rsidR="00434D41">
        <w:rPr>
          <w:rFonts w:cstheme="minorHAnsi"/>
        </w:rPr>
        <w:t xml:space="preserve">providing person centred </w:t>
      </w:r>
      <w:r w:rsidR="00434D41">
        <w:rPr>
          <w:rFonts w:cstheme="minorHAnsi"/>
        </w:rPr>
        <w:lastRenderedPageBreak/>
        <w:t>care; at the right place and at the right time</w:t>
      </w:r>
      <w:r w:rsidR="00D96E63">
        <w:rPr>
          <w:rFonts w:cstheme="minorHAnsi"/>
        </w:rPr>
        <w:t>. This is especially true in a fragmented service system where the handover of client care to ensure ongoing engagement and recovery is compromised by its mere design.</w:t>
      </w:r>
    </w:p>
    <w:p w14:paraId="4EB2C29E" w14:textId="3AE0FFF7" w:rsidR="00D7145F" w:rsidRDefault="00D7145F" w:rsidP="00781B7A">
      <w:pPr>
        <w:spacing w:after="0" w:line="276" w:lineRule="auto"/>
        <w:jc w:val="both"/>
        <w:rPr>
          <w:rFonts w:cstheme="minorHAnsi"/>
        </w:rPr>
      </w:pPr>
    </w:p>
    <w:p w14:paraId="793E86A0" w14:textId="105796E3" w:rsidR="00D7145F" w:rsidRDefault="00D7145F" w:rsidP="00D7145F">
      <w:pPr>
        <w:spacing w:after="0" w:line="276" w:lineRule="auto"/>
        <w:jc w:val="both"/>
        <w:rPr>
          <w:rFonts w:cstheme="minorHAnsi"/>
        </w:rPr>
      </w:pPr>
      <w:r w:rsidRPr="004809D0">
        <w:rPr>
          <w:rFonts w:cstheme="minorHAnsi"/>
        </w:rPr>
        <w:t>Some services have been known to have varying eligibility criterion and service policies based on managing wait</w:t>
      </w:r>
      <w:r w:rsidR="00CC22BA">
        <w:rPr>
          <w:rFonts w:cstheme="minorHAnsi"/>
        </w:rPr>
        <w:t>-</w:t>
      </w:r>
      <w:r w:rsidRPr="004809D0">
        <w:rPr>
          <w:rFonts w:cstheme="minorHAnsi"/>
        </w:rPr>
        <w:t>list demand. For example, a sub-acute service had a long wait list</w:t>
      </w:r>
      <w:r w:rsidR="00ED56F5" w:rsidRPr="004809D0">
        <w:rPr>
          <w:rFonts w:cstheme="minorHAnsi"/>
        </w:rPr>
        <w:t>, to manage this</w:t>
      </w:r>
      <w:r w:rsidRPr="004809D0">
        <w:rPr>
          <w:rFonts w:cstheme="minorHAnsi"/>
        </w:rPr>
        <w:t xml:space="preserve"> they </w:t>
      </w:r>
      <w:r w:rsidR="00ED56F5" w:rsidRPr="004809D0">
        <w:rPr>
          <w:rFonts w:cstheme="minorHAnsi"/>
        </w:rPr>
        <w:t xml:space="preserve">included </w:t>
      </w:r>
      <w:r w:rsidRPr="004809D0">
        <w:rPr>
          <w:rFonts w:cstheme="minorHAnsi"/>
        </w:rPr>
        <w:t>eligibility criteria to try and less</w:t>
      </w:r>
      <w:r w:rsidR="00C8320B">
        <w:rPr>
          <w:rFonts w:cstheme="minorHAnsi"/>
        </w:rPr>
        <w:t>e</w:t>
      </w:r>
      <w:r w:rsidRPr="004809D0">
        <w:rPr>
          <w:rFonts w:cstheme="minorHAnsi"/>
        </w:rPr>
        <w:t>n and limit access.</w:t>
      </w:r>
      <w:r w:rsidRPr="00406416">
        <w:rPr>
          <w:rFonts w:cstheme="minorHAnsi"/>
        </w:rPr>
        <w:t xml:space="preserve"> </w:t>
      </w:r>
    </w:p>
    <w:p w14:paraId="615D0218" w14:textId="77777777" w:rsidR="00781B7A" w:rsidRDefault="00781B7A" w:rsidP="00781B7A">
      <w:pPr>
        <w:spacing w:after="0" w:line="276" w:lineRule="auto"/>
        <w:jc w:val="both"/>
        <w:rPr>
          <w:rFonts w:cstheme="minorHAnsi"/>
        </w:rPr>
      </w:pPr>
    </w:p>
    <w:p w14:paraId="482635EC" w14:textId="0FD47B8E" w:rsidR="00781B7A" w:rsidRDefault="00D96E63" w:rsidP="00781B7A">
      <w:pPr>
        <w:spacing w:after="0" w:line="276" w:lineRule="auto"/>
        <w:jc w:val="both"/>
        <w:rPr>
          <w:rFonts w:cstheme="minorHAnsi"/>
        </w:rPr>
      </w:pPr>
      <w:r>
        <w:rPr>
          <w:rFonts w:cstheme="minorHAnsi"/>
        </w:rPr>
        <w:t>The</w:t>
      </w:r>
      <w:r w:rsidR="00781B7A">
        <w:rPr>
          <w:rFonts w:cstheme="minorHAnsi"/>
        </w:rPr>
        <w:t xml:space="preserve"> </w:t>
      </w:r>
      <w:r>
        <w:rPr>
          <w:rFonts w:cstheme="minorHAnsi"/>
        </w:rPr>
        <w:t>raising of</w:t>
      </w:r>
      <w:r w:rsidR="00781B7A">
        <w:rPr>
          <w:rFonts w:cstheme="minorHAnsi"/>
        </w:rPr>
        <w:t xml:space="preserve"> </w:t>
      </w:r>
      <w:r w:rsidR="00CC22BA">
        <w:rPr>
          <w:rFonts w:cstheme="minorHAnsi"/>
        </w:rPr>
        <w:t>‘</w:t>
      </w:r>
      <w:r w:rsidR="00781B7A">
        <w:rPr>
          <w:rFonts w:cstheme="minorHAnsi"/>
        </w:rPr>
        <w:t>tolerance levels</w:t>
      </w:r>
      <w:r w:rsidR="00CC22BA">
        <w:rPr>
          <w:rFonts w:cstheme="minorHAnsi"/>
        </w:rPr>
        <w:t>’</w:t>
      </w:r>
      <w:r w:rsidR="00781B7A">
        <w:rPr>
          <w:rFonts w:cstheme="minorHAnsi"/>
        </w:rPr>
        <w:t xml:space="preserve"> at both acute and sub-acute levels has </w:t>
      </w:r>
      <w:r>
        <w:rPr>
          <w:rFonts w:cstheme="minorHAnsi"/>
        </w:rPr>
        <w:t xml:space="preserve">forced </w:t>
      </w:r>
      <w:r w:rsidR="00781B7A">
        <w:rPr>
          <w:rFonts w:cstheme="minorHAnsi"/>
        </w:rPr>
        <w:t xml:space="preserve">community health </w:t>
      </w:r>
      <w:r>
        <w:rPr>
          <w:rFonts w:cstheme="minorHAnsi"/>
        </w:rPr>
        <w:t xml:space="preserve">to </w:t>
      </w:r>
      <w:r w:rsidR="00781B7A">
        <w:rPr>
          <w:rFonts w:cstheme="minorHAnsi"/>
        </w:rPr>
        <w:t>take on and support a range of clients who traditionally (and officially) fall outside their funded service</w:t>
      </w:r>
      <w:r>
        <w:rPr>
          <w:rFonts w:cstheme="minorHAnsi"/>
        </w:rPr>
        <w:t xml:space="preserve"> models</w:t>
      </w:r>
      <w:r w:rsidR="00781B7A">
        <w:rPr>
          <w:rFonts w:cstheme="minorHAnsi"/>
        </w:rPr>
        <w:t xml:space="preserve"> of working with mild-moderate support needs. Services, such as ours, are faced with the constant dilemma of working according to funding eligibility and turning such </w:t>
      </w:r>
      <w:r w:rsidR="00CC22BA">
        <w:rPr>
          <w:rFonts w:cstheme="minorHAnsi"/>
        </w:rPr>
        <w:t xml:space="preserve">clients </w:t>
      </w:r>
      <w:r w:rsidR="00781B7A">
        <w:rPr>
          <w:rFonts w:cstheme="minorHAnsi"/>
        </w:rPr>
        <w:t>away (despite knowing they would not get help elsewhere) or, in good faith and in good will, supporting these clients through the complexities they are experiencing. To enable this</w:t>
      </w:r>
      <w:r>
        <w:rPr>
          <w:rFonts w:cstheme="minorHAnsi"/>
        </w:rPr>
        <w:t>,</w:t>
      </w:r>
      <w:r w:rsidR="00781B7A">
        <w:rPr>
          <w:rFonts w:cstheme="minorHAnsi"/>
        </w:rPr>
        <w:t xml:space="preserve"> </w:t>
      </w:r>
      <w:r>
        <w:rPr>
          <w:rFonts w:cstheme="minorHAnsi"/>
        </w:rPr>
        <w:t>our service is</w:t>
      </w:r>
      <w:r w:rsidR="00781B7A">
        <w:rPr>
          <w:rFonts w:cstheme="minorHAnsi"/>
        </w:rPr>
        <w:t xml:space="preserve"> constantly ensur</w:t>
      </w:r>
      <w:r>
        <w:rPr>
          <w:rFonts w:cstheme="minorHAnsi"/>
        </w:rPr>
        <w:t>ing</w:t>
      </w:r>
      <w:r w:rsidR="00781B7A">
        <w:rPr>
          <w:rFonts w:cstheme="minorHAnsi"/>
        </w:rPr>
        <w:t xml:space="preserve"> risk assessment</w:t>
      </w:r>
      <w:r>
        <w:rPr>
          <w:rFonts w:cstheme="minorHAnsi"/>
        </w:rPr>
        <w:t>,</w:t>
      </w:r>
      <w:r w:rsidR="0019500C">
        <w:rPr>
          <w:rFonts w:cstheme="minorHAnsi"/>
        </w:rPr>
        <w:t xml:space="preserve"> </w:t>
      </w:r>
      <w:r w:rsidR="00781B7A">
        <w:rPr>
          <w:rFonts w:cstheme="minorHAnsi"/>
        </w:rPr>
        <w:t xml:space="preserve">training </w:t>
      </w:r>
      <w:r>
        <w:rPr>
          <w:rFonts w:cstheme="minorHAnsi"/>
        </w:rPr>
        <w:t xml:space="preserve">and workforce support is </w:t>
      </w:r>
      <w:r w:rsidR="00CC22BA">
        <w:rPr>
          <w:rFonts w:cstheme="minorHAnsi"/>
        </w:rPr>
        <w:t>up-</w:t>
      </w:r>
      <w:r w:rsidR="00781B7A">
        <w:rPr>
          <w:rFonts w:cstheme="minorHAnsi"/>
        </w:rPr>
        <w:t>to</w:t>
      </w:r>
      <w:r w:rsidR="00CC22BA">
        <w:rPr>
          <w:rFonts w:cstheme="minorHAnsi"/>
        </w:rPr>
        <w:t>-</w:t>
      </w:r>
      <w:r w:rsidR="00781B7A">
        <w:rPr>
          <w:rFonts w:cstheme="minorHAnsi"/>
        </w:rPr>
        <w:t>date</w:t>
      </w:r>
      <w:r>
        <w:rPr>
          <w:rFonts w:cstheme="minorHAnsi"/>
        </w:rPr>
        <w:t xml:space="preserve">, while grappling with a constant line of </w:t>
      </w:r>
      <w:r w:rsidR="00CC22BA">
        <w:rPr>
          <w:rFonts w:cstheme="minorHAnsi"/>
        </w:rPr>
        <w:t>e</w:t>
      </w:r>
      <w:r>
        <w:rPr>
          <w:rFonts w:cstheme="minorHAnsi"/>
        </w:rPr>
        <w:t>nquiries from community members who fall outside our traditional scope of practice</w:t>
      </w:r>
      <w:r w:rsidR="00781B7A">
        <w:rPr>
          <w:rFonts w:cstheme="minorHAnsi"/>
        </w:rPr>
        <w:t>.</w:t>
      </w:r>
      <w:r w:rsidR="00C170AB">
        <w:rPr>
          <w:rFonts w:cstheme="minorHAnsi"/>
        </w:rPr>
        <w:t xml:space="preserve"> Evidence of this is the training and constant support we are </w:t>
      </w:r>
      <w:r w:rsidR="00CC22BA">
        <w:rPr>
          <w:rFonts w:cstheme="minorHAnsi"/>
        </w:rPr>
        <w:t xml:space="preserve">providing </w:t>
      </w:r>
      <w:r w:rsidR="00C170AB">
        <w:rPr>
          <w:rFonts w:cstheme="minorHAnsi"/>
        </w:rPr>
        <w:t>to our Intake Service staff. While employed traditionally as administration officers</w:t>
      </w:r>
      <w:r w:rsidR="00C8320B">
        <w:rPr>
          <w:rFonts w:cstheme="minorHAnsi"/>
        </w:rPr>
        <w:t xml:space="preserve"> as a non</w:t>
      </w:r>
      <w:r w:rsidR="002D3840">
        <w:rPr>
          <w:rFonts w:cstheme="minorHAnsi"/>
        </w:rPr>
        <w:t>-</w:t>
      </w:r>
      <w:r w:rsidR="00C8320B">
        <w:rPr>
          <w:rFonts w:cstheme="minorHAnsi"/>
        </w:rPr>
        <w:t>clinical screening service;</w:t>
      </w:r>
      <w:r w:rsidR="00C170AB">
        <w:rPr>
          <w:rFonts w:cstheme="minorHAnsi"/>
        </w:rPr>
        <w:t xml:space="preserve"> an increase in the number of “urgent” wellbeing support phone</w:t>
      </w:r>
      <w:r w:rsidR="00C8320B">
        <w:rPr>
          <w:rFonts w:cstheme="minorHAnsi"/>
        </w:rPr>
        <w:t xml:space="preserve"> call</w:t>
      </w:r>
      <w:r w:rsidR="00C170AB">
        <w:rPr>
          <w:rFonts w:cstheme="minorHAnsi"/>
        </w:rPr>
        <w:t xml:space="preserve">s or clients in immediate distress has meant that all officers have now had to be trained in risk assessment, the </w:t>
      </w:r>
      <w:r w:rsidR="00CC22BA">
        <w:rPr>
          <w:rFonts w:cstheme="minorHAnsi"/>
        </w:rPr>
        <w:t>Common Risk Assessment Framework (</w:t>
      </w:r>
      <w:r w:rsidR="00C170AB">
        <w:rPr>
          <w:rFonts w:cstheme="minorHAnsi"/>
        </w:rPr>
        <w:t>CRAF</w:t>
      </w:r>
      <w:r w:rsidR="00CC22BA">
        <w:rPr>
          <w:rFonts w:cstheme="minorHAnsi"/>
        </w:rPr>
        <w:t>)</w:t>
      </w:r>
      <w:r w:rsidR="00C170AB">
        <w:rPr>
          <w:rFonts w:cstheme="minorHAnsi"/>
        </w:rPr>
        <w:t xml:space="preserve"> and self-care.</w:t>
      </w:r>
    </w:p>
    <w:p w14:paraId="7CEF8B74" w14:textId="77777777" w:rsidR="00781B7A" w:rsidRDefault="00781B7A" w:rsidP="00781B7A">
      <w:pPr>
        <w:spacing w:after="0" w:line="276" w:lineRule="auto"/>
        <w:jc w:val="both"/>
        <w:rPr>
          <w:rFonts w:cstheme="minorHAnsi"/>
        </w:rPr>
      </w:pPr>
    </w:p>
    <w:p w14:paraId="0CC5D07D" w14:textId="46ED2589" w:rsidR="00781B7A" w:rsidRDefault="00781B7A" w:rsidP="00781B7A">
      <w:pPr>
        <w:spacing w:after="0" w:line="276" w:lineRule="auto"/>
        <w:jc w:val="both"/>
        <w:rPr>
          <w:rFonts w:cstheme="minorHAnsi"/>
        </w:rPr>
      </w:pPr>
      <w:r>
        <w:rPr>
          <w:rFonts w:cstheme="minorHAnsi"/>
        </w:rPr>
        <w:t>T</w:t>
      </w:r>
      <w:r w:rsidRPr="00406416">
        <w:rPr>
          <w:rFonts w:cstheme="minorHAnsi"/>
        </w:rPr>
        <w:t xml:space="preserve">he gaps in the system above </w:t>
      </w:r>
      <w:r>
        <w:rPr>
          <w:rFonts w:cstheme="minorHAnsi"/>
        </w:rPr>
        <w:t>have a flow</w:t>
      </w:r>
      <w:r w:rsidR="00CC22BA">
        <w:rPr>
          <w:rFonts w:cstheme="minorHAnsi"/>
        </w:rPr>
        <w:t>-</w:t>
      </w:r>
      <w:r>
        <w:rPr>
          <w:rFonts w:cstheme="minorHAnsi"/>
        </w:rPr>
        <w:t>on effect. For example, in a sub-acute service</w:t>
      </w:r>
      <w:r w:rsidR="00CC22BA">
        <w:rPr>
          <w:rFonts w:cstheme="minorHAnsi"/>
        </w:rPr>
        <w:t>,</w:t>
      </w:r>
      <w:r>
        <w:rPr>
          <w:rFonts w:cstheme="minorHAnsi"/>
        </w:rPr>
        <w:t xml:space="preserve"> </w:t>
      </w:r>
      <w:r w:rsidRPr="00406416">
        <w:rPr>
          <w:rFonts w:cstheme="minorHAnsi"/>
        </w:rPr>
        <w:t xml:space="preserve">if two parents are separated and both don’t agree to attend the service with their child, then the child is </w:t>
      </w:r>
      <w:r w:rsidR="00CC22BA">
        <w:rPr>
          <w:rFonts w:cstheme="minorHAnsi"/>
        </w:rPr>
        <w:t xml:space="preserve">prevented </w:t>
      </w:r>
      <w:r w:rsidRPr="00406416">
        <w:rPr>
          <w:rFonts w:cstheme="minorHAnsi"/>
        </w:rPr>
        <w:t>from accessing the service</w:t>
      </w:r>
      <w:r>
        <w:rPr>
          <w:rFonts w:cstheme="minorHAnsi"/>
        </w:rPr>
        <w:t xml:space="preserve">. This has resulted in some families </w:t>
      </w:r>
      <w:r w:rsidR="00ED56F5">
        <w:rPr>
          <w:rFonts w:cstheme="minorHAnsi"/>
        </w:rPr>
        <w:t xml:space="preserve">ending up at </w:t>
      </w:r>
      <w:r>
        <w:rPr>
          <w:rFonts w:cstheme="minorHAnsi"/>
        </w:rPr>
        <w:t xml:space="preserve">services such as </w:t>
      </w:r>
      <w:r w:rsidR="001B5D42">
        <w:rPr>
          <w:rFonts w:cstheme="minorHAnsi"/>
        </w:rPr>
        <w:t>Connect Health</w:t>
      </w:r>
      <w:r w:rsidR="00CC22BA">
        <w:rPr>
          <w:rFonts w:cstheme="minorHAnsi"/>
        </w:rPr>
        <w:t xml:space="preserve"> &amp; Community</w:t>
      </w:r>
      <w:r>
        <w:rPr>
          <w:rFonts w:cstheme="minorHAnsi"/>
        </w:rPr>
        <w:t xml:space="preserve">, where </w:t>
      </w:r>
      <w:r w:rsidR="00D96E63">
        <w:rPr>
          <w:rFonts w:cstheme="minorHAnsi"/>
        </w:rPr>
        <w:t>we place priority of service in accordance with the child’s developmental needs, not their parents’ marital status.</w:t>
      </w:r>
      <w:r>
        <w:rPr>
          <w:rFonts w:cstheme="minorHAnsi"/>
        </w:rPr>
        <w:t xml:space="preserve"> </w:t>
      </w:r>
      <w:r w:rsidR="00D96E63">
        <w:rPr>
          <w:rFonts w:cstheme="minorHAnsi"/>
        </w:rPr>
        <w:t xml:space="preserve">However, doing this </w:t>
      </w:r>
      <w:r>
        <w:rPr>
          <w:rFonts w:cstheme="minorHAnsi"/>
        </w:rPr>
        <w:t>results in more pressure on community services, such as ours, to work with the more complex</w:t>
      </w:r>
      <w:r w:rsidRPr="00406416">
        <w:rPr>
          <w:rFonts w:cstheme="minorHAnsi"/>
        </w:rPr>
        <w:t xml:space="preserve"> cases</w:t>
      </w:r>
      <w:r>
        <w:rPr>
          <w:rFonts w:cstheme="minorHAnsi"/>
        </w:rPr>
        <w:t>, such as those where only o</w:t>
      </w:r>
      <w:r w:rsidR="00CC22BA">
        <w:rPr>
          <w:rFonts w:cstheme="minorHAnsi"/>
        </w:rPr>
        <w:t xml:space="preserve">ne primary parent is referring. </w:t>
      </w:r>
      <w:r w:rsidRPr="00406416">
        <w:rPr>
          <w:rFonts w:cstheme="minorHAnsi"/>
        </w:rPr>
        <w:t xml:space="preserve">Community health is not </w:t>
      </w:r>
      <w:r w:rsidR="00CC22BA">
        <w:rPr>
          <w:rFonts w:cstheme="minorHAnsi"/>
        </w:rPr>
        <w:t xml:space="preserve">sufficiently </w:t>
      </w:r>
      <w:r w:rsidRPr="00406416">
        <w:rPr>
          <w:rFonts w:cstheme="minorHAnsi"/>
        </w:rPr>
        <w:t xml:space="preserve">equipped to address the </w:t>
      </w:r>
      <w:r>
        <w:rPr>
          <w:rFonts w:cstheme="minorHAnsi"/>
        </w:rPr>
        <w:t>demand of</w:t>
      </w:r>
      <w:r w:rsidRPr="00406416">
        <w:rPr>
          <w:rFonts w:cstheme="minorHAnsi"/>
        </w:rPr>
        <w:t xml:space="preserve"> new clients </w:t>
      </w:r>
      <w:r>
        <w:rPr>
          <w:rFonts w:cstheme="minorHAnsi"/>
        </w:rPr>
        <w:t>with such complex presenting issues</w:t>
      </w:r>
      <w:r w:rsidRPr="00406416">
        <w:rPr>
          <w:rFonts w:cstheme="minorHAnsi"/>
        </w:rPr>
        <w:t xml:space="preserve">. </w:t>
      </w:r>
      <w:r w:rsidR="00CC22BA">
        <w:rPr>
          <w:rFonts w:cstheme="minorHAnsi"/>
        </w:rPr>
        <w:t xml:space="preserve">Yet, if </w:t>
      </w:r>
      <w:r>
        <w:rPr>
          <w:rFonts w:cstheme="minorHAnsi"/>
        </w:rPr>
        <w:t>we do not provide these vital services</w:t>
      </w:r>
      <w:r w:rsidR="00ED56F5">
        <w:rPr>
          <w:rFonts w:cstheme="minorHAnsi"/>
        </w:rPr>
        <w:t>,</w:t>
      </w:r>
      <w:r>
        <w:rPr>
          <w:rFonts w:cstheme="minorHAnsi"/>
        </w:rPr>
        <w:t xml:space="preserve"> clients and their carer/s </w:t>
      </w:r>
      <w:r w:rsidRPr="00406416">
        <w:rPr>
          <w:rFonts w:cstheme="minorHAnsi"/>
        </w:rPr>
        <w:t xml:space="preserve">are left to their own devices to source alternative support or </w:t>
      </w:r>
      <w:r>
        <w:rPr>
          <w:rFonts w:cstheme="minorHAnsi"/>
        </w:rPr>
        <w:t xml:space="preserve">receive </w:t>
      </w:r>
      <w:r w:rsidRPr="00406416">
        <w:rPr>
          <w:rFonts w:cstheme="minorHAnsi"/>
        </w:rPr>
        <w:t>no help</w:t>
      </w:r>
      <w:r>
        <w:rPr>
          <w:rFonts w:cstheme="minorHAnsi"/>
        </w:rPr>
        <w:t xml:space="preserve">, further exacerbating </w:t>
      </w:r>
      <w:r w:rsidR="00CC22BA">
        <w:rPr>
          <w:rFonts w:cstheme="minorHAnsi"/>
        </w:rPr>
        <w:t xml:space="preserve">already elevated </w:t>
      </w:r>
      <w:r>
        <w:rPr>
          <w:rFonts w:cstheme="minorHAnsi"/>
        </w:rPr>
        <w:t>issues.</w:t>
      </w:r>
      <w:r w:rsidR="002D3840">
        <w:rPr>
          <w:rFonts w:cstheme="minorHAnsi"/>
        </w:rPr>
        <w:t xml:space="preserve"> This work is both out of our scope of funded activity and the indirect work is not recognised as funded activity.</w:t>
      </w:r>
      <w:r w:rsidRPr="00406416">
        <w:rPr>
          <w:rFonts w:cstheme="minorHAnsi"/>
        </w:rPr>
        <w:t xml:space="preserve"> </w:t>
      </w:r>
      <w:r>
        <w:rPr>
          <w:rFonts w:cstheme="minorHAnsi"/>
        </w:rPr>
        <w:t>These service demands mean w</w:t>
      </w:r>
      <w:r w:rsidRPr="00406416">
        <w:rPr>
          <w:rFonts w:cstheme="minorHAnsi"/>
        </w:rPr>
        <w:t xml:space="preserve">e </w:t>
      </w:r>
      <w:r>
        <w:rPr>
          <w:rFonts w:cstheme="minorHAnsi"/>
        </w:rPr>
        <w:t xml:space="preserve">are constantly pushed to </w:t>
      </w:r>
      <w:r w:rsidR="00CC22BA">
        <w:rPr>
          <w:rFonts w:cstheme="minorHAnsi"/>
        </w:rPr>
        <w:t xml:space="preserve">achieve </w:t>
      </w:r>
      <w:r>
        <w:rPr>
          <w:rFonts w:cstheme="minorHAnsi"/>
        </w:rPr>
        <w:t xml:space="preserve">funding targets and are having to ensure our staff are well </w:t>
      </w:r>
      <w:r w:rsidR="00C170AB">
        <w:rPr>
          <w:rFonts w:cstheme="minorHAnsi"/>
        </w:rPr>
        <w:t xml:space="preserve">trained and </w:t>
      </w:r>
      <w:r>
        <w:rPr>
          <w:rFonts w:cstheme="minorHAnsi"/>
        </w:rPr>
        <w:t xml:space="preserve">supported to work with </w:t>
      </w:r>
      <w:r w:rsidR="00ED56F5">
        <w:rPr>
          <w:rFonts w:cstheme="minorHAnsi"/>
        </w:rPr>
        <w:t>the complexity of</w:t>
      </w:r>
      <w:r>
        <w:rPr>
          <w:rFonts w:cstheme="minorHAnsi"/>
        </w:rPr>
        <w:t xml:space="preserve"> </w:t>
      </w:r>
      <w:r w:rsidR="00ED56F5">
        <w:rPr>
          <w:rFonts w:cstheme="minorHAnsi"/>
        </w:rPr>
        <w:t xml:space="preserve">presenting </w:t>
      </w:r>
      <w:r>
        <w:rPr>
          <w:rFonts w:cstheme="minorHAnsi"/>
        </w:rPr>
        <w:t>issues.</w:t>
      </w:r>
    </w:p>
    <w:p w14:paraId="1BDBFBE4" w14:textId="77777777" w:rsidR="00781B7A" w:rsidRDefault="00781B7A" w:rsidP="00781B7A">
      <w:pPr>
        <w:spacing w:after="0" w:line="276" w:lineRule="auto"/>
        <w:jc w:val="both"/>
        <w:rPr>
          <w:rFonts w:cstheme="minorHAnsi"/>
        </w:rPr>
      </w:pPr>
    </w:p>
    <w:p w14:paraId="3BEE0EE0" w14:textId="38E04E99" w:rsidR="00CC22BA" w:rsidRPr="00CC22BA" w:rsidRDefault="00CC22BA" w:rsidP="00781B7A">
      <w:pPr>
        <w:spacing w:after="0" w:line="276" w:lineRule="auto"/>
        <w:jc w:val="both"/>
        <w:rPr>
          <w:rFonts w:cstheme="minorHAnsi"/>
          <w:i/>
        </w:rPr>
      </w:pPr>
      <w:r>
        <w:rPr>
          <w:rFonts w:cstheme="minorHAnsi"/>
          <w:i/>
        </w:rPr>
        <w:t>Different Support Offerings</w:t>
      </w:r>
    </w:p>
    <w:p w14:paraId="615B214F" w14:textId="088CE839" w:rsidR="00781B7A" w:rsidRDefault="00781B7A" w:rsidP="0037413E">
      <w:pPr>
        <w:spacing w:after="0" w:line="276" w:lineRule="auto"/>
        <w:jc w:val="both"/>
      </w:pPr>
      <w:r>
        <w:rPr>
          <w:rFonts w:cstheme="minorHAnsi"/>
        </w:rPr>
        <w:t>Case management and social</w:t>
      </w:r>
      <w:r w:rsidR="00CC22BA">
        <w:rPr>
          <w:rFonts w:cstheme="minorHAnsi"/>
        </w:rPr>
        <w:t>-</w:t>
      </w:r>
      <w:r>
        <w:rPr>
          <w:rFonts w:cstheme="minorHAnsi"/>
        </w:rPr>
        <w:t xml:space="preserve">work type </w:t>
      </w:r>
      <w:r w:rsidR="00CC22BA">
        <w:rPr>
          <w:rFonts w:cstheme="minorHAnsi"/>
        </w:rPr>
        <w:t>services are both under-</w:t>
      </w:r>
      <w:r>
        <w:rPr>
          <w:rFonts w:cstheme="minorHAnsi"/>
        </w:rPr>
        <w:t>represented as form</w:t>
      </w:r>
      <w:r w:rsidR="00CC22BA">
        <w:rPr>
          <w:rFonts w:cstheme="minorHAnsi"/>
        </w:rPr>
        <w:t>s</w:t>
      </w:r>
      <w:r>
        <w:rPr>
          <w:rFonts w:cstheme="minorHAnsi"/>
        </w:rPr>
        <w:t xml:space="preserve"> of support in the community and </w:t>
      </w:r>
      <w:r w:rsidR="00CC22BA">
        <w:rPr>
          <w:rFonts w:cstheme="minorHAnsi"/>
        </w:rPr>
        <w:t xml:space="preserve">are </w:t>
      </w:r>
      <w:r>
        <w:rPr>
          <w:rFonts w:cstheme="minorHAnsi"/>
        </w:rPr>
        <w:t>then practiced, by so</w:t>
      </w:r>
      <w:r w:rsidR="00CC22BA">
        <w:rPr>
          <w:rFonts w:cstheme="minorHAnsi"/>
        </w:rPr>
        <w:t>me services, according to short-</w:t>
      </w:r>
      <w:r>
        <w:rPr>
          <w:rFonts w:cstheme="minorHAnsi"/>
        </w:rPr>
        <w:t xml:space="preserve">term funding </w:t>
      </w:r>
      <w:r w:rsidR="00CC22BA">
        <w:rPr>
          <w:rFonts w:cstheme="minorHAnsi"/>
        </w:rPr>
        <w:t>practises</w:t>
      </w:r>
      <w:r>
        <w:rPr>
          <w:rFonts w:cstheme="minorHAnsi"/>
        </w:rPr>
        <w:t>, encouraging premature closure of cases and resulting recidivism.  People are presenting</w:t>
      </w:r>
      <w:r w:rsidR="00CC22BA">
        <w:rPr>
          <w:rFonts w:cstheme="minorHAnsi"/>
        </w:rPr>
        <w:t xml:space="preserve"> to health providers</w:t>
      </w:r>
      <w:r>
        <w:rPr>
          <w:rFonts w:cstheme="minorHAnsi"/>
        </w:rPr>
        <w:t xml:space="preserve"> with a variety of complex challenges that require both therapeutic and practical support. At the moment funding streams often dictate that these two types of services are generally p</w:t>
      </w:r>
      <w:r w:rsidR="00960785">
        <w:rPr>
          <w:rFonts w:cstheme="minorHAnsi"/>
        </w:rPr>
        <w:t>rovided in silos</w:t>
      </w:r>
      <w:r w:rsidR="00C170AB">
        <w:rPr>
          <w:rFonts w:cstheme="minorHAnsi"/>
        </w:rPr>
        <w:t>; we provide counselling or case management, but not both</w:t>
      </w:r>
      <w:r w:rsidR="00960785">
        <w:rPr>
          <w:rFonts w:cstheme="minorHAnsi"/>
        </w:rPr>
        <w:t xml:space="preserve">. </w:t>
      </w:r>
      <w:r w:rsidR="00C170AB">
        <w:rPr>
          <w:rFonts w:cstheme="minorHAnsi"/>
        </w:rPr>
        <w:t>At</w:t>
      </w:r>
      <w:r w:rsidR="00960785">
        <w:rPr>
          <w:rFonts w:cstheme="minorHAnsi"/>
        </w:rPr>
        <w:t xml:space="preserve"> </w:t>
      </w:r>
      <w:r>
        <w:rPr>
          <w:rFonts w:cstheme="minorHAnsi"/>
        </w:rPr>
        <w:t>Connect Health</w:t>
      </w:r>
      <w:r w:rsidR="00CC22BA">
        <w:rPr>
          <w:rFonts w:cstheme="minorHAnsi"/>
        </w:rPr>
        <w:t xml:space="preserve"> &amp; Community</w:t>
      </w:r>
      <w:r w:rsidR="00C170AB">
        <w:rPr>
          <w:rFonts w:cstheme="minorHAnsi"/>
        </w:rPr>
        <w:t xml:space="preserve"> our</w:t>
      </w:r>
      <w:r>
        <w:rPr>
          <w:rFonts w:cstheme="minorHAnsi"/>
        </w:rPr>
        <w:t xml:space="preserve"> Social Work service provides both elements </w:t>
      </w:r>
      <w:r w:rsidR="00C170AB">
        <w:rPr>
          <w:rFonts w:cstheme="minorHAnsi"/>
        </w:rPr>
        <w:t xml:space="preserve">allowing </w:t>
      </w:r>
      <w:r>
        <w:rPr>
          <w:rFonts w:cstheme="minorHAnsi"/>
        </w:rPr>
        <w:t xml:space="preserve">practical challenges to be supported first to enable therapy </w:t>
      </w:r>
      <w:r w:rsidR="00C170AB">
        <w:rPr>
          <w:rFonts w:cstheme="minorHAnsi"/>
        </w:rPr>
        <w:t xml:space="preserve">when the client is ready. Because few services offer this flexibility of service we are seeing an additional burden fall onto other Allied Health Service professionals who, while traditionally focusing on servicing their specialist area, are now </w:t>
      </w:r>
      <w:r w:rsidR="00CC22BA">
        <w:rPr>
          <w:rFonts w:cstheme="minorHAnsi"/>
        </w:rPr>
        <w:t xml:space="preserve">providing </w:t>
      </w:r>
      <w:r w:rsidR="00C170AB">
        <w:rPr>
          <w:rFonts w:cstheme="minorHAnsi"/>
        </w:rPr>
        <w:t xml:space="preserve">case management support in helping clients and families attain mental </w:t>
      </w:r>
      <w:r w:rsidR="00C170AB">
        <w:rPr>
          <w:rFonts w:cstheme="minorHAnsi"/>
        </w:rPr>
        <w:lastRenderedPageBreak/>
        <w:t>wellbeing support. This too puts an onus on these professionals to work out of scope or for their employers to recognise and continually support their development to enable holistic care.</w:t>
      </w:r>
      <w:r w:rsidR="0037413E">
        <w:rPr>
          <w:rFonts w:cstheme="minorHAnsi"/>
        </w:rPr>
        <w:t xml:space="preserve"> </w:t>
      </w:r>
      <w:r w:rsidR="002B3223">
        <w:rPr>
          <w:rFonts w:cstheme="minorHAnsi"/>
        </w:rPr>
        <w:t>For e</w:t>
      </w:r>
      <w:r w:rsidR="0037413E">
        <w:t>xample</w:t>
      </w:r>
      <w:r w:rsidR="002B3223">
        <w:t>,</w:t>
      </w:r>
      <w:r w:rsidR="0037413E">
        <w:t xml:space="preserve"> </w:t>
      </w:r>
      <w:r w:rsidR="002B3223">
        <w:t>a</w:t>
      </w:r>
      <w:r w:rsidR="0037413E">
        <w:t xml:space="preserve"> young </w:t>
      </w:r>
      <w:r w:rsidR="002B3223">
        <w:t>p</w:t>
      </w:r>
      <w:r w:rsidR="0037413E">
        <w:t xml:space="preserve">aediatric </w:t>
      </w:r>
      <w:r w:rsidR="002B3223">
        <w:t>s</w:t>
      </w:r>
      <w:r w:rsidR="0037413E">
        <w:t xml:space="preserve">peech </w:t>
      </w:r>
      <w:r w:rsidR="002B3223">
        <w:t>p</w:t>
      </w:r>
      <w:r w:rsidR="00095815">
        <w:t xml:space="preserve">athology client was placed </w:t>
      </w:r>
      <w:r w:rsidR="002B3223">
        <w:t>unexpectedly</w:t>
      </w:r>
      <w:r w:rsidR="00095815">
        <w:t xml:space="preserve"> in the care of </w:t>
      </w:r>
      <w:r w:rsidR="002B3223">
        <w:t xml:space="preserve">his </w:t>
      </w:r>
      <w:r w:rsidR="00095815">
        <w:t>father</w:t>
      </w:r>
      <w:r w:rsidR="0037413E">
        <w:t xml:space="preserve"> while on the waitlist for </w:t>
      </w:r>
      <w:r w:rsidR="002B3223">
        <w:t>s</w:t>
      </w:r>
      <w:r w:rsidR="0037413E">
        <w:t>peech</w:t>
      </w:r>
      <w:r w:rsidR="002B3223">
        <w:t xml:space="preserve"> pathology</w:t>
      </w:r>
      <w:r w:rsidR="0037413E">
        <w:t xml:space="preserve">. Upon assessment, it became apparent the child required more acute service support </w:t>
      </w:r>
      <w:r w:rsidR="00095815">
        <w:t xml:space="preserve">and the father required parenting support. The </w:t>
      </w:r>
      <w:r w:rsidR="002B3223">
        <w:t>p</w:t>
      </w:r>
      <w:r w:rsidR="00095815">
        <w:t xml:space="preserve">aediatric </w:t>
      </w:r>
      <w:r w:rsidR="002B3223">
        <w:t>s</w:t>
      </w:r>
      <w:r w:rsidR="00095815">
        <w:t xml:space="preserve">peech </w:t>
      </w:r>
      <w:r w:rsidR="002B3223">
        <w:t>p</w:t>
      </w:r>
      <w:r w:rsidR="00095815">
        <w:t>athologist ended up completing the following in support of the family:</w:t>
      </w:r>
    </w:p>
    <w:p w14:paraId="6C4BA11E" w14:textId="2F4AEA47" w:rsidR="00095815" w:rsidRDefault="00095815" w:rsidP="00797340">
      <w:pPr>
        <w:pStyle w:val="ListParagraph"/>
        <w:numPr>
          <w:ilvl w:val="0"/>
          <w:numId w:val="29"/>
        </w:numPr>
        <w:spacing w:after="0" w:line="276" w:lineRule="auto"/>
        <w:jc w:val="both"/>
      </w:pPr>
      <w:r>
        <w:t>Support in NDIS application process</w:t>
      </w:r>
    </w:p>
    <w:p w14:paraId="05B22C20" w14:textId="7B8BD959" w:rsidR="00095815" w:rsidRDefault="00095815" w:rsidP="00797340">
      <w:pPr>
        <w:pStyle w:val="ListParagraph"/>
        <w:numPr>
          <w:ilvl w:val="0"/>
          <w:numId w:val="28"/>
        </w:numPr>
        <w:spacing w:after="0" w:line="276" w:lineRule="auto"/>
        <w:jc w:val="both"/>
        <w:rPr>
          <w:rFonts w:cstheme="minorHAnsi"/>
        </w:rPr>
      </w:pPr>
      <w:r>
        <w:rPr>
          <w:rFonts w:cstheme="minorHAnsi"/>
        </w:rPr>
        <w:t xml:space="preserve">Feeding back to </w:t>
      </w:r>
      <w:r w:rsidR="002B3223">
        <w:rPr>
          <w:rFonts w:cstheme="minorHAnsi"/>
        </w:rPr>
        <w:t xml:space="preserve">the </w:t>
      </w:r>
      <w:r>
        <w:rPr>
          <w:rFonts w:cstheme="minorHAnsi"/>
        </w:rPr>
        <w:t xml:space="preserve">Mother separately, who was in hospital care and only had limited access to </w:t>
      </w:r>
      <w:r w:rsidR="002B3223">
        <w:rPr>
          <w:rFonts w:cstheme="minorHAnsi"/>
        </w:rPr>
        <w:t xml:space="preserve">her </w:t>
      </w:r>
      <w:r>
        <w:rPr>
          <w:rFonts w:cstheme="minorHAnsi"/>
        </w:rPr>
        <w:t>son, but required the knowledge to best support him</w:t>
      </w:r>
    </w:p>
    <w:p w14:paraId="6D8C9C73" w14:textId="3F197CF8" w:rsidR="00095815" w:rsidRDefault="00095815" w:rsidP="00797340">
      <w:pPr>
        <w:pStyle w:val="ListParagraph"/>
        <w:numPr>
          <w:ilvl w:val="0"/>
          <w:numId w:val="28"/>
        </w:numPr>
        <w:spacing w:after="0" w:line="276" w:lineRule="auto"/>
        <w:jc w:val="both"/>
        <w:rPr>
          <w:rFonts w:cstheme="minorHAnsi"/>
        </w:rPr>
      </w:pPr>
      <w:r>
        <w:rPr>
          <w:rFonts w:cstheme="minorHAnsi"/>
        </w:rPr>
        <w:t>Provided father with emergency crisis pack and a voucher to get petrol</w:t>
      </w:r>
    </w:p>
    <w:p w14:paraId="4FDC078A" w14:textId="677AD17D" w:rsidR="00095815" w:rsidRDefault="00095815" w:rsidP="00797340">
      <w:pPr>
        <w:pStyle w:val="ListParagraph"/>
        <w:numPr>
          <w:ilvl w:val="0"/>
          <w:numId w:val="28"/>
        </w:numPr>
        <w:spacing w:after="0" w:line="276" w:lineRule="auto"/>
        <w:jc w:val="both"/>
        <w:rPr>
          <w:rFonts w:cstheme="minorHAnsi"/>
        </w:rPr>
      </w:pPr>
      <w:r>
        <w:rPr>
          <w:rFonts w:cstheme="minorHAnsi"/>
        </w:rPr>
        <w:t>Liaising with Child Protection, when child was removed temporarily from his</w:t>
      </w:r>
      <w:r w:rsidR="002B3223">
        <w:rPr>
          <w:rFonts w:cstheme="minorHAnsi"/>
        </w:rPr>
        <w:t xml:space="preserve"> Mother’s</w:t>
      </w:r>
      <w:r>
        <w:rPr>
          <w:rFonts w:cstheme="minorHAnsi"/>
        </w:rPr>
        <w:t xml:space="preserve"> care</w:t>
      </w:r>
    </w:p>
    <w:p w14:paraId="5B3B04D9" w14:textId="71246742" w:rsidR="00095815" w:rsidRPr="00095815" w:rsidRDefault="00095815" w:rsidP="00797340">
      <w:pPr>
        <w:pStyle w:val="ListParagraph"/>
        <w:numPr>
          <w:ilvl w:val="0"/>
          <w:numId w:val="28"/>
        </w:numPr>
        <w:spacing w:after="0" w:line="276" w:lineRule="auto"/>
        <w:jc w:val="both"/>
        <w:rPr>
          <w:rFonts w:cstheme="minorHAnsi"/>
        </w:rPr>
      </w:pPr>
      <w:r>
        <w:rPr>
          <w:rFonts w:cstheme="minorHAnsi"/>
        </w:rPr>
        <w:t>Making referral to Integrated Family Services to provide father with parenting assistance.</w:t>
      </w:r>
    </w:p>
    <w:p w14:paraId="6F3B1443" w14:textId="77777777" w:rsidR="00781B7A" w:rsidRDefault="00781B7A" w:rsidP="00781B7A">
      <w:pPr>
        <w:spacing w:after="0" w:line="276" w:lineRule="auto"/>
        <w:jc w:val="both"/>
        <w:rPr>
          <w:rFonts w:cstheme="minorHAnsi"/>
        </w:rPr>
      </w:pPr>
    </w:p>
    <w:p w14:paraId="407DE52D" w14:textId="705346EB" w:rsidR="00CC22BA" w:rsidRPr="00CC22BA" w:rsidRDefault="00CC22BA" w:rsidP="00781B7A">
      <w:pPr>
        <w:spacing w:after="0" w:line="276" w:lineRule="auto"/>
        <w:jc w:val="both"/>
        <w:rPr>
          <w:rFonts w:cstheme="minorHAnsi"/>
          <w:i/>
        </w:rPr>
      </w:pPr>
      <w:r>
        <w:rPr>
          <w:rFonts w:cstheme="minorHAnsi"/>
          <w:i/>
        </w:rPr>
        <w:t>Service Categorisation</w:t>
      </w:r>
    </w:p>
    <w:p w14:paraId="48853A9C" w14:textId="32FED576" w:rsidR="00781B7A" w:rsidRDefault="00781B7A" w:rsidP="00781B7A">
      <w:pPr>
        <w:spacing w:after="0" w:line="276" w:lineRule="auto"/>
        <w:jc w:val="both"/>
        <w:rPr>
          <w:rFonts w:cstheme="minorHAnsi"/>
        </w:rPr>
      </w:pPr>
      <w:r>
        <w:rPr>
          <w:rFonts w:cstheme="minorHAnsi"/>
        </w:rPr>
        <w:t xml:space="preserve">The restrictive applications of some mental health services can result in </w:t>
      </w:r>
      <w:r w:rsidR="00C170AB">
        <w:rPr>
          <w:rFonts w:cstheme="minorHAnsi"/>
        </w:rPr>
        <w:t xml:space="preserve">a </w:t>
      </w:r>
      <w:r>
        <w:rPr>
          <w:rFonts w:cstheme="minorHAnsi"/>
        </w:rPr>
        <w:t xml:space="preserve">client, </w:t>
      </w:r>
      <w:r w:rsidR="00C170AB">
        <w:rPr>
          <w:rFonts w:cstheme="minorHAnsi"/>
        </w:rPr>
        <w:t>with</w:t>
      </w:r>
      <w:r>
        <w:rPr>
          <w:rFonts w:cstheme="minorHAnsi"/>
        </w:rPr>
        <w:t xml:space="preserve"> needs that sit outside these eligibility criteria,</w:t>
      </w:r>
      <w:r w:rsidR="00960785">
        <w:rPr>
          <w:rFonts w:cstheme="minorHAnsi"/>
        </w:rPr>
        <w:t xml:space="preserve"> non-</w:t>
      </w:r>
      <w:r>
        <w:rPr>
          <w:rFonts w:cstheme="minorHAnsi"/>
        </w:rPr>
        <w:t>engagement and</w:t>
      </w:r>
      <w:r w:rsidR="00EA1EFB">
        <w:rPr>
          <w:rFonts w:cstheme="minorHAnsi"/>
        </w:rPr>
        <w:t>/or</w:t>
      </w:r>
      <w:r>
        <w:rPr>
          <w:rFonts w:cstheme="minorHAnsi"/>
        </w:rPr>
        <w:t xml:space="preserve"> early disengagement. The system structure relies on champions and advocates within services to know the system well and how to work around </w:t>
      </w:r>
      <w:r w:rsidR="00960785">
        <w:rPr>
          <w:rFonts w:cstheme="minorHAnsi"/>
        </w:rPr>
        <w:t xml:space="preserve">it </w:t>
      </w:r>
      <w:r>
        <w:rPr>
          <w:rFonts w:cstheme="minorHAnsi"/>
        </w:rPr>
        <w:t>in the best interests of the clients. While some services adhere strictly to their c</w:t>
      </w:r>
      <w:r w:rsidR="00CC22BA">
        <w:rPr>
          <w:rFonts w:cstheme="minorHAnsi"/>
        </w:rPr>
        <w:t>riteria and leave clients under-</w:t>
      </w:r>
      <w:r>
        <w:rPr>
          <w:rFonts w:cstheme="minorHAnsi"/>
        </w:rPr>
        <w:t>supported, clinicians within services like ours are going o</w:t>
      </w:r>
      <w:r w:rsidR="00CC22BA">
        <w:rPr>
          <w:rFonts w:cstheme="minorHAnsi"/>
        </w:rPr>
        <w:t>ut of the way to ensure support responses</w:t>
      </w:r>
      <w:r>
        <w:rPr>
          <w:rFonts w:cstheme="minorHAnsi"/>
        </w:rPr>
        <w:t xml:space="preserve"> can be flexible and adaptive to client needs. For example</w:t>
      </w:r>
      <w:r w:rsidR="00960785">
        <w:rPr>
          <w:rFonts w:cstheme="minorHAnsi"/>
        </w:rPr>
        <w:t>,</w:t>
      </w:r>
      <w:r>
        <w:rPr>
          <w:rFonts w:cstheme="minorHAnsi"/>
        </w:rPr>
        <w:t xml:space="preserve"> Connect Health</w:t>
      </w:r>
      <w:r w:rsidR="00CC22BA">
        <w:rPr>
          <w:rFonts w:cstheme="minorHAnsi"/>
        </w:rPr>
        <w:t xml:space="preserve"> &amp; Community</w:t>
      </w:r>
      <w:r>
        <w:rPr>
          <w:rFonts w:cstheme="minorHAnsi"/>
        </w:rPr>
        <w:t xml:space="preserve"> support</w:t>
      </w:r>
      <w:r w:rsidR="00960785">
        <w:rPr>
          <w:rFonts w:cstheme="minorHAnsi"/>
        </w:rPr>
        <w:t>s</w:t>
      </w:r>
      <w:r>
        <w:rPr>
          <w:rFonts w:cstheme="minorHAnsi"/>
        </w:rPr>
        <w:t xml:space="preserve"> clients who are traditionally difficult to engage and offer prolonged and active engagement</w:t>
      </w:r>
      <w:r w:rsidR="00EA1EFB">
        <w:rPr>
          <w:rFonts w:cstheme="minorHAnsi"/>
        </w:rPr>
        <w:t>,</w:t>
      </w:r>
      <w:r>
        <w:rPr>
          <w:rFonts w:cstheme="minorHAnsi"/>
        </w:rPr>
        <w:t xml:space="preserve"> where warranted</w:t>
      </w:r>
      <w:r w:rsidR="00EA1EFB">
        <w:rPr>
          <w:rFonts w:cstheme="minorHAnsi"/>
        </w:rPr>
        <w:t>,</w:t>
      </w:r>
      <w:r>
        <w:rPr>
          <w:rFonts w:cstheme="minorHAnsi"/>
        </w:rPr>
        <w:t xml:space="preserve"> to ensure opportunities for </w:t>
      </w:r>
      <w:r w:rsidR="00CC22BA">
        <w:rPr>
          <w:rFonts w:cstheme="minorHAnsi"/>
        </w:rPr>
        <w:t xml:space="preserve">assistance </w:t>
      </w:r>
      <w:r>
        <w:rPr>
          <w:rFonts w:cstheme="minorHAnsi"/>
        </w:rPr>
        <w:t xml:space="preserve">are </w:t>
      </w:r>
      <w:r w:rsidR="00CC22BA">
        <w:rPr>
          <w:rFonts w:cstheme="minorHAnsi"/>
        </w:rPr>
        <w:t xml:space="preserve">accessed </w:t>
      </w:r>
      <w:r>
        <w:rPr>
          <w:rFonts w:cstheme="minorHAnsi"/>
        </w:rPr>
        <w:t xml:space="preserve">via multiple pathways. If we know </w:t>
      </w:r>
      <w:r w:rsidR="00293E26">
        <w:rPr>
          <w:rFonts w:cstheme="minorHAnsi"/>
        </w:rPr>
        <w:t xml:space="preserve">a client </w:t>
      </w:r>
      <w:r>
        <w:rPr>
          <w:rFonts w:cstheme="minorHAnsi"/>
        </w:rPr>
        <w:t>require</w:t>
      </w:r>
      <w:r w:rsidR="00293E26">
        <w:rPr>
          <w:rFonts w:cstheme="minorHAnsi"/>
        </w:rPr>
        <w:t>s</w:t>
      </w:r>
      <w:r>
        <w:rPr>
          <w:rFonts w:cstheme="minorHAnsi"/>
        </w:rPr>
        <w:t xml:space="preserve"> a different level of service and might find it hard to engage with another service, we guide the engagement to that service before we close.</w:t>
      </w:r>
    </w:p>
    <w:p w14:paraId="3A265EA5" w14:textId="77777777" w:rsidR="00781B7A" w:rsidRDefault="00781B7A" w:rsidP="00781B7A">
      <w:pPr>
        <w:spacing w:after="0" w:line="276" w:lineRule="auto"/>
        <w:jc w:val="both"/>
        <w:rPr>
          <w:rFonts w:cstheme="minorHAnsi"/>
        </w:rPr>
      </w:pPr>
    </w:p>
    <w:p w14:paraId="6D09AFF6" w14:textId="77777777" w:rsidR="00781B7A" w:rsidRDefault="00781B7A" w:rsidP="00781B7A">
      <w:pPr>
        <w:spacing w:after="0" w:line="276" w:lineRule="auto"/>
        <w:jc w:val="both"/>
        <w:rPr>
          <w:rFonts w:cstheme="minorHAnsi"/>
        </w:rPr>
      </w:pPr>
      <w:r>
        <w:rPr>
          <w:rFonts w:cstheme="minorHAnsi"/>
        </w:rPr>
        <w:t>The following are examples of restrictive eligibility and their consequences:</w:t>
      </w:r>
    </w:p>
    <w:p w14:paraId="27B07046" w14:textId="6E4ED223" w:rsidR="00781B7A" w:rsidRDefault="00781B7A" w:rsidP="00781B7A">
      <w:pPr>
        <w:pStyle w:val="ListParagraph"/>
        <w:numPr>
          <w:ilvl w:val="0"/>
          <w:numId w:val="20"/>
        </w:numPr>
        <w:spacing w:after="0" w:line="276" w:lineRule="auto"/>
        <w:jc w:val="both"/>
        <w:rPr>
          <w:rFonts w:cstheme="minorHAnsi"/>
        </w:rPr>
      </w:pPr>
      <w:r>
        <w:rPr>
          <w:rFonts w:cstheme="minorHAnsi"/>
        </w:rPr>
        <w:t>Exclusion</w:t>
      </w:r>
      <w:r w:rsidR="001A311F">
        <w:rPr>
          <w:rFonts w:cstheme="minorHAnsi"/>
        </w:rPr>
        <w:t>,</w:t>
      </w:r>
      <w:r>
        <w:rPr>
          <w:rFonts w:cstheme="minorHAnsi"/>
        </w:rPr>
        <w:t xml:space="preserve"> where two parents will not sign up and c</w:t>
      </w:r>
      <w:r w:rsidR="00960785">
        <w:rPr>
          <w:rFonts w:cstheme="minorHAnsi"/>
        </w:rPr>
        <w:t>ommit to service, results in non-</w:t>
      </w:r>
      <w:r>
        <w:rPr>
          <w:rFonts w:cstheme="minorHAnsi"/>
        </w:rPr>
        <w:t>service or referring to a service that will support</w:t>
      </w:r>
      <w:r w:rsidR="001A311F">
        <w:rPr>
          <w:rFonts w:cstheme="minorHAnsi"/>
        </w:rPr>
        <w:t xml:space="preserve">. </w:t>
      </w:r>
      <w:r w:rsidR="00EA1EFB">
        <w:rPr>
          <w:rFonts w:cstheme="minorHAnsi"/>
        </w:rPr>
        <w:t>This system implementation can n</w:t>
      </w:r>
      <w:r w:rsidR="001A311F">
        <w:rPr>
          <w:rFonts w:cstheme="minorHAnsi"/>
        </w:rPr>
        <w:t>otably impact children whose parents have been violent or abusive, directly and indirectly</w:t>
      </w:r>
      <w:r w:rsidR="00EA1EFB">
        <w:rPr>
          <w:rFonts w:cstheme="minorHAnsi"/>
        </w:rPr>
        <w:t>, as they too are generally excluded</w:t>
      </w:r>
      <w:r w:rsidR="001A311F">
        <w:rPr>
          <w:rFonts w:cstheme="minorHAnsi"/>
        </w:rPr>
        <w:t>.</w:t>
      </w:r>
    </w:p>
    <w:p w14:paraId="36CFE34E" w14:textId="74C32D51" w:rsidR="00781B7A" w:rsidRDefault="00781B7A" w:rsidP="00781B7A">
      <w:pPr>
        <w:pStyle w:val="ListParagraph"/>
        <w:numPr>
          <w:ilvl w:val="0"/>
          <w:numId w:val="20"/>
        </w:numPr>
        <w:spacing w:after="0" w:line="276" w:lineRule="auto"/>
        <w:jc w:val="both"/>
        <w:rPr>
          <w:rFonts w:cstheme="minorHAnsi"/>
        </w:rPr>
      </w:pPr>
      <w:r>
        <w:rPr>
          <w:rFonts w:cstheme="minorHAnsi"/>
        </w:rPr>
        <w:t xml:space="preserve">Episodic service where </w:t>
      </w:r>
      <w:r w:rsidR="001A311F">
        <w:rPr>
          <w:rFonts w:cstheme="minorHAnsi"/>
        </w:rPr>
        <w:t xml:space="preserve">the </w:t>
      </w:r>
      <w:r>
        <w:rPr>
          <w:rFonts w:cstheme="minorHAnsi"/>
        </w:rPr>
        <w:t>service is cut according to funding</w:t>
      </w:r>
      <w:r w:rsidR="00293E26">
        <w:rPr>
          <w:rFonts w:cstheme="minorHAnsi"/>
        </w:rPr>
        <w:t xml:space="preserve"> and</w:t>
      </w:r>
      <w:r>
        <w:rPr>
          <w:rFonts w:cstheme="minorHAnsi"/>
        </w:rPr>
        <w:t xml:space="preserve"> not client need (mental health care plan</w:t>
      </w:r>
      <w:r w:rsidR="00EA1EFB">
        <w:rPr>
          <w:rFonts w:cstheme="minorHAnsi"/>
        </w:rPr>
        <w:t xml:space="preserve"> and (some) Integrated Family Services</w:t>
      </w:r>
      <w:r>
        <w:rPr>
          <w:rFonts w:cstheme="minorHAnsi"/>
        </w:rPr>
        <w:t>)</w:t>
      </w:r>
      <w:r w:rsidR="001A311F">
        <w:rPr>
          <w:rFonts w:cstheme="minorHAnsi"/>
        </w:rPr>
        <w:t>.</w:t>
      </w:r>
    </w:p>
    <w:p w14:paraId="75FCA787" w14:textId="43932796" w:rsidR="00781B7A" w:rsidRPr="00960785" w:rsidRDefault="00781B7A" w:rsidP="00960785">
      <w:pPr>
        <w:pStyle w:val="ListParagraph"/>
        <w:numPr>
          <w:ilvl w:val="0"/>
          <w:numId w:val="20"/>
        </w:numPr>
        <w:spacing w:after="0" w:line="276" w:lineRule="auto"/>
        <w:jc w:val="both"/>
        <w:rPr>
          <w:rFonts w:cstheme="minorHAnsi"/>
        </w:rPr>
      </w:pPr>
      <w:r>
        <w:rPr>
          <w:rFonts w:cstheme="minorHAnsi"/>
        </w:rPr>
        <w:t xml:space="preserve">Specialist service provision for paediatric related trauma </w:t>
      </w:r>
      <w:r w:rsidR="00293E26">
        <w:rPr>
          <w:rFonts w:cstheme="minorHAnsi"/>
        </w:rPr>
        <w:t xml:space="preserve">that is </w:t>
      </w:r>
      <w:r>
        <w:rPr>
          <w:rFonts w:cstheme="minorHAnsi"/>
        </w:rPr>
        <w:t>not well provisioned</w:t>
      </w:r>
      <w:r w:rsidR="00293E26">
        <w:rPr>
          <w:rFonts w:cstheme="minorHAnsi"/>
        </w:rPr>
        <w:t>/supported</w:t>
      </w:r>
      <w:r>
        <w:rPr>
          <w:rFonts w:cstheme="minorHAnsi"/>
        </w:rPr>
        <w:t>. For example,</w:t>
      </w:r>
      <w:r w:rsidR="00960785">
        <w:rPr>
          <w:rFonts w:cstheme="minorHAnsi"/>
        </w:rPr>
        <w:t xml:space="preserve"> </w:t>
      </w:r>
      <w:r w:rsidRPr="00960785">
        <w:rPr>
          <w:rFonts w:cstheme="minorHAnsi"/>
        </w:rPr>
        <w:t>selective autism and post-traumatic stress disorders</w:t>
      </w:r>
      <w:r w:rsidR="00EA1EFB">
        <w:rPr>
          <w:rFonts w:cstheme="minorHAnsi"/>
        </w:rPr>
        <w:t xml:space="preserve"> are not catered for in the public mental health system, outside the assessment and diagnosis stage. </w:t>
      </w:r>
    </w:p>
    <w:p w14:paraId="28A32FEA" w14:textId="77777777" w:rsidR="00781B7A" w:rsidRDefault="00781B7A" w:rsidP="00781B7A">
      <w:pPr>
        <w:spacing w:after="0" w:line="276" w:lineRule="auto"/>
        <w:jc w:val="both"/>
        <w:rPr>
          <w:rFonts w:cstheme="minorHAnsi"/>
        </w:rPr>
      </w:pPr>
    </w:p>
    <w:p w14:paraId="702EC2E7" w14:textId="08947230" w:rsidR="00293E26" w:rsidRPr="00293E26" w:rsidRDefault="00293E26" w:rsidP="00781B7A">
      <w:pPr>
        <w:spacing w:after="0" w:line="276" w:lineRule="auto"/>
        <w:jc w:val="both"/>
        <w:rPr>
          <w:rFonts w:cstheme="minorHAnsi"/>
          <w:i/>
        </w:rPr>
      </w:pPr>
      <w:r w:rsidRPr="00293E26">
        <w:rPr>
          <w:rFonts w:cstheme="minorHAnsi"/>
          <w:i/>
        </w:rPr>
        <w:t>Communication inefficiencies</w:t>
      </w:r>
    </w:p>
    <w:p w14:paraId="525F2C0F" w14:textId="77777777" w:rsidR="00293E26" w:rsidRDefault="001A311F" w:rsidP="00781B7A">
      <w:pPr>
        <w:spacing w:after="0" w:line="276" w:lineRule="auto"/>
        <w:jc w:val="both"/>
        <w:rPr>
          <w:rFonts w:cstheme="minorHAnsi"/>
        </w:rPr>
      </w:pPr>
      <w:r>
        <w:rPr>
          <w:rFonts w:cstheme="minorHAnsi"/>
        </w:rPr>
        <w:t>A l</w:t>
      </w:r>
      <w:r w:rsidR="00781B7A">
        <w:rPr>
          <w:rFonts w:cstheme="minorHAnsi"/>
        </w:rPr>
        <w:t xml:space="preserve">ack of </w:t>
      </w:r>
      <w:r>
        <w:rPr>
          <w:rFonts w:cstheme="minorHAnsi"/>
        </w:rPr>
        <w:t xml:space="preserve">integrated </w:t>
      </w:r>
      <w:r w:rsidR="00781B7A">
        <w:rPr>
          <w:rFonts w:cstheme="minorHAnsi"/>
        </w:rPr>
        <w:t>communication or res</w:t>
      </w:r>
      <w:r>
        <w:rPr>
          <w:rFonts w:cstheme="minorHAnsi"/>
        </w:rPr>
        <w:t>trictions on information shared</w:t>
      </w:r>
      <w:r w:rsidR="00781B7A">
        <w:rPr>
          <w:rFonts w:cstheme="minorHAnsi"/>
        </w:rPr>
        <w:t xml:space="preserve"> between services is a constant chall</w:t>
      </w:r>
      <w:r>
        <w:rPr>
          <w:rFonts w:cstheme="minorHAnsi"/>
        </w:rPr>
        <w:t xml:space="preserve">enge for some services. Clearly, there are </w:t>
      </w:r>
      <w:r w:rsidR="00781B7A">
        <w:rPr>
          <w:rFonts w:cstheme="minorHAnsi"/>
        </w:rPr>
        <w:t xml:space="preserve">issues of risks to clients and/or others that could be missed without such integration, but these also pose other more subtle challenges. For example, </w:t>
      </w:r>
      <w:r w:rsidR="00960785">
        <w:rPr>
          <w:rFonts w:cstheme="minorHAnsi"/>
        </w:rPr>
        <w:t>Connect Health</w:t>
      </w:r>
      <w:r w:rsidR="00293E26">
        <w:rPr>
          <w:rFonts w:cstheme="minorHAnsi"/>
        </w:rPr>
        <w:t xml:space="preserve"> &amp; Community</w:t>
      </w:r>
      <w:r w:rsidR="00960785">
        <w:rPr>
          <w:rFonts w:cstheme="minorHAnsi"/>
        </w:rPr>
        <w:t xml:space="preserve"> </w:t>
      </w:r>
      <w:r w:rsidR="00293E26">
        <w:rPr>
          <w:rFonts w:cstheme="minorHAnsi"/>
        </w:rPr>
        <w:t xml:space="preserve">supported </w:t>
      </w:r>
      <w:r w:rsidR="00781B7A">
        <w:rPr>
          <w:rFonts w:cstheme="minorHAnsi"/>
        </w:rPr>
        <w:t xml:space="preserve">parents who had accessed and been discharged from several local services for </w:t>
      </w:r>
      <w:r w:rsidR="00960785">
        <w:rPr>
          <w:rFonts w:cstheme="minorHAnsi"/>
        </w:rPr>
        <w:t xml:space="preserve">their </w:t>
      </w:r>
      <w:r w:rsidR="00781B7A">
        <w:rPr>
          <w:rFonts w:cstheme="minorHAnsi"/>
        </w:rPr>
        <w:t xml:space="preserve">child, but without </w:t>
      </w:r>
      <w:r>
        <w:rPr>
          <w:rFonts w:cstheme="minorHAnsi"/>
        </w:rPr>
        <w:t xml:space="preserve">the parents’ </w:t>
      </w:r>
      <w:r w:rsidR="00781B7A">
        <w:rPr>
          <w:rFonts w:cstheme="minorHAnsi"/>
        </w:rPr>
        <w:t>consent to share information, we could not readily stop this. Despite our active efforts to advocate for service consistency with the parent, this child’s development was made more vulnerable by being exposed to possible inconsistent service provision</w:t>
      </w:r>
      <w:r w:rsidR="00EA1EFB">
        <w:rPr>
          <w:rFonts w:cstheme="minorHAnsi"/>
        </w:rPr>
        <w:t xml:space="preserve"> and risk that we couldn’t readily assess</w:t>
      </w:r>
      <w:r w:rsidR="00781B7A">
        <w:rPr>
          <w:rFonts w:cstheme="minorHAnsi"/>
        </w:rPr>
        <w:t>.</w:t>
      </w:r>
      <w:r w:rsidR="00293E26">
        <w:rPr>
          <w:rFonts w:cstheme="minorHAnsi"/>
        </w:rPr>
        <w:t xml:space="preserve"> </w:t>
      </w:r>
    </w:p>
    <w:p w14:paraId="1E281E97" w14:textId="77777777" w:rsidR="00293E26" w:rsidRDefault="00293E26" w:rsidP="00781B7A">
      <w:pPr>
        <w:spacing w:after="0" w:line="276" w:lineRule="auto"/>
        <w:jc w:val="both"/>
        <w:rPr>
          <w:rFonts w:cstheme="minorHAnsi"/>
        </w:rPr>
      </w:pPr>
    </w:p>
    <w:p w14:paraId="6BA13FDD" w14:textId="4CA8BD7B" w:rsidR="00781B7A" w:rsidRDefault="00781B7A" w:rsidP="00781B7A">
      <w:pPr>
        <w:spacing w:after="0" w:line="276" w:lineRule="auto"/>
        <w:jc w:val="both"/>
        <w:rPr>
          <w:rFonts w:cstheme="minorHAnsi"/>
        </w:rPr>
      </w:pPr>
      <w:r>
        <w:rPr>
          <w:rFonts w:cstheme="minorHAnsi"/>
        </w:rPr>
        <w:lastRenderedPageBreak/>
        <w:t>Patchwork was an example of a system where such vital information could have been shared</w:t>
      </w:r>
      <w:r w:rsidR="00293E26">
        <w:rPr>
          <w:rFonts w:cstheme="minorHAnsi"/>
        </w:rPr>
        <w:t>,</w:t>
      </w:r>
      <w:r>
        <w:rPr>
          <w:rFonts w:cstheme="minorHAnsi"/>
        </w:rPr>
        <w:t xml:space="preserve"> but </w:t>
      </w:r>
      <w:r w:rsidR="00293E26">
        <w:rPr>
          <w:rFonts w:cstheme="minorHAnsi"/>
        </w:rPr>
        <w:t xml:space="preserve">it </w:t>
      </w:r>
      <w:r>
        <w:rPr>
          <w:rFonts w:cstheme="minorHAnsi"/>
        </w:rPr>
        <w:t>was defunded and</w:t>
      </w:r>
      <w:r w:rsidR="00293E26">
        <w:rPr>
          <w:rFonts w:cstheme="minorHAnsi"/>
        </w:rPr>
        <w:t xml:space="preserve"> </w:t>
      </w:r>
      <w:r>
        <w:rPr>
          <w:rFonts w:cstheme="minorHAnsi"/>
        </w:rPr>
        <w:t xml:space="preserve">Community Health </w:t>
      </w:r>
      <w:r w:rsidR="00293E26">
        <w:rPr>
          <w:rFonts w:cstheme="minorHAnsi"/>
        </w:rPr>
        <w:t xml:space="preserve">Services </w:t>
      </w:r>
      <w:r>
        <w:rPr>
          <w:rFonts w:cstheme="minorHAnsi"/>
        </w:rPr>
        <w:t>access to the new system</w:t>
      </w:r>
      <w:r w:rsidR="00293E26">
        <w:rPr>
          <w:rFonts w:cstheme="minorHAnsi"/>
        </w:rPr>
        <w:t xml:space="preserve"> was prevented</w:t>
      </w:r>
      <w:r>
        <w:rPr>
          <w:rFonts w:cstheme="minorHAnsi"/>
        </w:rPr>
        <w:t>.</w:t>
      </w:r>
    </w:p>
    <w:p w14:paraId="241C0011" w14:textId="77777777" w:rsidR="00781B7A" w:rsidRDefault="00781B7A" w:rsidP="00781B7A">
      <w:pPr>
        <w:spacing w:after="0" w:line="276" w:lineRule="auto"/>
        <w:jc w:val="both"/>
        <w:rPr>
          <w:rFonts w:cstheme="minorHAnsi"/>
        </w:rPr>
      </w:pPr>
    </w:p>
    <w:p w14:paraId="2D555760" w14:textId="2FB387F9" w:rsidR="00293E26" w:rsidRPr="00293E26" w:rsidRDefault="00293E26" w:rsidP="00781B7A">
      <w:pPr>
        <w:spacing w:after="0" w:line="276" w:lineRule="auto"/>
        <w:jc w:val="both"/>
        <w:rPr>
          <w:rFonts w:cstheme="minorHAnsi"/>
          <w:i/>
        </w:rPr>
      </w:pPr>
      <w:r>
        <w:rPr>
          <w:rFonts w:cstheme="minorHAnsi"/>
          <w:i/>
        </w:rPr>
        <w:t>Client engagement descriptions</w:t>
      </w:r>
    </w:p>
    <w:p w14:paraId="6EC6449E" w14:textId="746DEB0C" w:rsidR="00EA1EFB" w:rsidRDefault="00781B7A" w:rsidP="00781B7A">
      <w:pPr>
        <w:spacing w:after="0" w:line="276" w:lineRule="auto"/>
        <w:jc w:val="both"/>
        <w:rPr>
          <w:rFonts w:cstheme="minorHAnsi"/>
        </w:rPr>
      </w:pPr>
      <w:r>
        <w:rPr>
          <w:rFonts w:cstheme="minorHAnsi"/>
        </w:rPr>
        <w:t xml:space="preserve">The definitions and applications of the terms “voluntary” and “active engagement” need revision. Sub-acute </w:t>
      </w:r>
      <w:r w:rsidR="00EA1EFB">
        <w:rPr>
          <w:rFonts w:cstheme="minorHAnsi"/>
        </w:rPr>
        <w:t xml:space="preserve">services </w:t>
      </w:r>
      <w:r>
        <w:rPr>
          <w:rFonts w:cstheme="minorHAnsi"/>
        </w:rPr>
        <w:t xml:space="preserve">appear to use these terms to close </w:t>
      </w:r>
      <w:r w:rsidR="00293E26">
        <w:rPr>
          <w:rFonts w:cstheme="minorHAnsi"/>
        </w:rPr>
        <w:t xml:space="preserve">a service </w:t>
      </w:r>
      <w:r>
        <w:rPr>
          <w:rFonts w:cstheme="minorHAnsi"/>
        </w:rPr>
        <w:t xml:space="preserve">early or not actively engage </w:t>
      </w:r>
      <w:r w:rsidR="00293E26">
        <w:rPr>
          <w:rFonts w:cstheme="minorHAnsi"/>
        </w:rPr>
        <w:t xml:space="preserve">with clients </w:t>
      </w:r>
      <w:r>
        <w:rPr>
          <w:rFonts w:cstheme="minorHAnsi"/>
        </w:rPr>
        <w:t xml:space="preserve">where there are challenges. </w:t>
      </w:r>
      <w:r w:rsidR="00EA1EFB">
        <w:rPr>
          <w:rFonts w:cstheme="minorHAnsi"/>
        </w:rPr>
        <w:t xml:space="preserve">We have reports of sub-acute services telling parents they cannot make a young person attend because it is a </w:t>
      </w:r>
      <w:r w:rsidR="00293E26">
        <w:rPr>
          <w:rFonts w:cstheme="minorHAnsi"/>
        </w:rPr>
        <w:t>‘</w:t>
      </w:r>
      <w:r w:rsidR="00EA1EFB">
        <w:rPr>
          <w:rFonts w:cstheme="minorHAnsi"/>
        </w:rPr>
        <w:t>voluntary service</w:t>
      </w:r>
      <w:r w:rsidR="00293E26">
        <w:rPr>
          <w:rFonts w:cstheme="minorHAnsi"/>
        </w:rPr>
        <w:t>’</w:t>
      </w:r>
      <w:r w:rsidR="00EA1EFB">
        <w:rPr>
          <w:rFonts w:cstheme="minorHAnsi"/>
        </w:rPr>
        <w:t xml:space="preserve">, but also report they cannot facilitate any active engagement because their service cannot sustain </w:t>
      </w:r>
      <w:r w:rsidR="00293E26">
        <w:rPr>
          <w:rFonts w:cstheme="minorHAnsi"/>
        </w:rPr>
        <w:t>the help required</w:t>
      </w:r>
      <w:r w:rsidR="00EA1EFB">
        <w:rPr>
          <w:rFonts w:cstheme="minorHAnsi"/>
        </w:rPr>
        <w:t>. We also witness this with</w:t>
      </w:r>
      <w:r>
        <w:rPr>
          <w:rFonts w:cstheme="minorHAnsi"/>
        </w:rPr>
        <w:t xml:space="preserve"> parents </w:t>
      </w:r>
      <w:r w:rsidR="00293E26">
        <w:rPr>
          <w:rFonts w:cstheme="minorHAnsi"/>
        </w:rPr>
        <w:t xml:space="preserve">who are </w:t>
      </w:r>
      <w:r>
        <w:rPr>
          <w:rFonts w:cstheme="minorHAnsi"/>
        </w:rPr>
        <w:t>choosing to not engage in a service on behalf of their child</w:t>
      </w:r>
      <w:r w:rsidR="00EA1EFB">
        <w:rPr>
          <w:rFonts w:cstheme="minorHAnsi"/>
        </w:rPr>
        <w:t xml:space="preserve">. </w:t>
      </w:r>
      <w:r>
        <w:rPr>
          <w:rFonts w:cstheme="minorHAnsi"/>
        </w:rPr>
        <w:t xml:space="preserve">The only time this engagement becomes </w:t>
      </w:r>
      <w:r w:rsidR="00EA1EFB">
        <w:rPr>
          <w:rFonts w:cstheme="minorHAnsi"/>
        </w:rPr>
        <w:t>assertive or mandatory</w:t>
      </w:r>
      <w:r>
        <w:rPr>
          <w:rFonts w:cstheme="minorHAnsi"/>
        </w:rPr>
        <w:t xml:space="preserve"> is when risk is </w:t>
      </w:r>
      <w:r w:rsidR="00F976E8">
        <w:rPr>
          <w:rFonts w:cstheme="minorHAnsi"/>
        </w:rPr>
        <w:t>so high</w:t>
      </w:r>
      <w:r>
        <w:rPr>
          <w:rFonts w:cstheme="minorHAnsi"/>
        </w:rPr>
        <w:t xml:space="preserve">, </w:t>
      </w:r>
      <w:r w:rsidR="00F976E8">
        <w:rPr>
          <w:rFonts w:cstheme="minorHAnsi"/>
        </w:rPr>
        <w:t xml:space="preserve">it </w:t>
      </w:r>
      <w:r>
        <w:rPr>
          <w:rFonts w:cstheme="minorHAnsi"/>
        </w:rPr>
        <w:t>trigge</w:t>
      </w:r>
      <w:r w:rsidR="00F976E8">
        <w:rPr>
          <w:rFonts w:cstheme="minorHAnsi"/>
        </w:rPr>
        <w:t>rs</w:t>
      </w:r>
      <w:r>
        <w:rPr>
          <w:rFonts w:cstheme="minorHAnsi"/>
        </w:rPr>
        <w:t xml:space="preserve"> Child Protection involvement.</w:t>
      </w:r>
      <w:r w:rsidR="00293E26">
        <w:rPr>
          <w:rFonts w:cstheme="minorHAnsi"/>
        </w:rPr>
        <w:t xml:space="preserve"> By that stag</w:t>
      </w:r>
      <w:r w:rsidR="00F976E8">
        <w:rPr>
          <w:rFonts w:cstheme="minorHAnsi"/>
        </w:rPr>
        <w:t>e the potential damage and/or trauma on all involved can be substantial.</w:t>
      </w:r>
      <w:r>
        <w:rPr>
          <w:rFonts w:cstheme="minorHAnsi"/>
        </w:rPr>
        <w:t xml:space="preserve"> </w:t>
      </w:r>
      <w:r w:rsidR="00837B5B">
        <w:rPr>
          <w:rFonts w:cstheme="minorHAnsi"/>
        </w:rPr>
        <w:t>B</w:t>
      </w:r>
      <w:r>
        <w:rPr>
          <w:rFonts w:cstheme="minorHAnsi"/>
        </w:rPr>
        <w:t>uilding</w:t>
      </w:r>
      <w:r w:rsidR="00293E26">
        <w:rPr>
          <w:rFonts w:cstheme="minorHAnsi"/>
        </w:rPr>
        <w:t xml:space="preserve"> capacity</w:t>
      </w:r>
      <w:r>
        <w:rPr>
          <w:rFonts w:cstheme="minorHAnsi"/>
        </w:rPr>
        <w:t xml:space="preserve"> into the </w:t>
      </w:r>
      <w:r w:rsidR="00F976E8">
        <w:rPr>
          <w:rFonts w:cstheme="minorHAnsi"/>
        </w:rPr>
        <w:t xml:space="preserve">mental health </w:t>
      </w:r>
      <w:r>
        <w:rPr>
          <w:rFonts w:cstheme="minorHAnsi"/>
        </w:rPr>
        <w:t xml:space="preserve">system for services to actively engage with all clients at the initial stages of service is recommended, as is building in flexibility of </w:t>
      </w:r>
      <w:r w:rsidR="00293E26">
        <w:rPr>
          <w:rFonts w:cstheme="minorHAnsi"/>
        </w:rPr>
        <w:t xml:space="preserve">modality </w:t>
      </w:r>
      <w:r>
        <w:rPr>
          <w:rFonts w:cstheme="minorHAnsi"/>
        </w:rPr>
        <w:t xml:space="preserve">type, especially with young people; meet them </w:t>
      </w:r>
      <w:r w:rsidRPr="006264C9">
        <w:rPr>
          <w:rFonts w:cstheme="minorHAnsi"/>
          <w:i/>
        </w:rPr>
        <w:t>where</w:t>
      </w:r>
      <w:r>
        <w:rPr>
          <w:rFonts w:cstheme="minorHAnsi"/>
        </w:rPr>
        <w:t xml:space="preserve"> they want to meet,</w:t>
      </w:r>
      <w:r w:rsidRPr="006264C9">
        <w:rPr>
          <w:rFonts w:cstheme="minorHAnsi"/>
          <w:i/>
        </w:rPr>
        <w:t xml:space="preserve"> when</w:t>
      </w:r>
      <w:r>
        <w:rPr>
          <w:rFonts w:cstheme="minorHAnsi"/>
        </w:rPr>
        <w:t xml:space="preserve"> they want to meet. </w:t>
      </w:r>
    </w:p>
    <w:p w14:paraId="37AB8999" w14:textId="77777777" w:rsidR="00EA1EFB" w:rsidRDefault="00EA1EFB" w:rsidP="00781B7A">
      <w:pPr>
        <w:spacing w:after="0" w:line="276" w:lineRule="auto"/>
        <w:jc w:val="both"/>
        <w:rPr>
          <w:rFonts w:cstheme="minorHAnsi"/>
        </w:rPr>
      </w:pPr>
    </w:p>
    <w:p w14:paraId="613B4C8A" w14:textId="2BC4CAF9" w:rsidR="00781B7A" w:rsidRDefault="00837B5B" w:rsidP="00781B7A">
      <w:pPr>
        <w:spacing w:after="0" w:line="276" w:lineRule="auto"/>
        <w:jc w:val="both"/>
        <w:rPr>
          <w:rFonts w:cstheme="minorHAnsi"/>
        </w:rPr>
      </w:pPr>
      <w:r>
        <w:rPr>
          <w:rFonts w:cstheme="minorHAnsi"/>
        </w:rPr>
        <w:t xml:space="preserve">Constructing </w:t>
      </w:r>
      <w:r w:rsidR="00781B7A">
        <w:rPr>
          <w:rFonts w:cstheme="minorHAnsi"/>
        </w:rPr>
        <w:t>a model where a community service can support parents when their children require a more intensive and/or specialist service</w:t>
      </w:r>
      <w:r>
        <w:rPr>
          <w:rFonts w:cstheme="minorHAnsi"/>
        </w:rPr>
        <w:t xml:space="preserve"> is recommended</w:t>
      </w:r>
      <w:r w:rsidR="00781B7A">
        <w:rPr>
          <w:rFonts w:cstheme="minorHAnsi"/>
        </w:rPr>
        <w:t>, rather than one where services arbitrarily discharge because the children are no longer eligible for community service.</w:t>
      </w:r>
    </w:p>
    <w:p w14:paraId="3AF42519" w14:textId="362B5A6A" w:rsidR="00781B7A" w:rsidRDefault="00781B7A" w:rsidP="00781B7A">
      <w:pPr>
        <w:spacing w:after="0" w:line="276" w:lineRule="auto"/>
        <w:jc w:val="both"/>
        <w:rPr>
          <w:rFonts w:cstheme="minorHAnsi"/>
        </w:rPr>
      </w:pPr>
    </w:p>
    <w:p w14:paraId="12DC719D" w14:textId="571B331B" w:rsidR="001F09D4" w:rsidRPr="008741C7" w:rsidRDefault="001F09D4" w:rsidP="008741C7">
      <w:pPr>
        <w:spacing w:after="0" w:line="276" w:lineRule="auto"/>
        <w:jc w:val="both"/>
        <w:rPr>
          <w:rFonts w:cstheme="minorHAnsi"/>
          <w:b/>
          <w:sz w:val="28"/>
        </w:rPr>
      </w:pPr>
      <w:r w:rsidRPr="008741C7">
        <w:rPr>
          <w:rFonts w:cstheme="minorHAnsi"/>
          <w:b/>
          <w:sz w:val="28"/>
        </w:rPr>
        <w:t>Specific Health Concerns</w:t>
      </w:r>
    </w:p>
    <w:p w14:paraId="2DFF481D" w14:textId="77777777" w:rsidR="0012551D" w:rsidRPr="002C5ACA" w:rsidRDefault="0012551D" w:rsidP="008741C7">
      <w:pPr>
        <w:spacing w:after="0" w:line="276" w:lineRule="auto"/>
        <w:jc w:val="both"/>
        <w:rPr>
          <w:rFonts w:cstheme="minorHAnsi"/>
          <w:b/>
        </w:rPr>
      </w:pPr>
      <w:r w:rsidRPr="002C5ACA">
        <w:rPr>
          <w:rFonts w:cstheme="minorHAnsi"/>
          <w:b/>
          <w:i/>
        </w:rPr>
        <w:t xml:space="preserve">What changes should there be to mental illness prevention and early intervention to reduce the prevalence and severity of mental illness? </w:t>
      </w:r>
    </w:p>
    <w:p w14:paraId="357E3D3A" w14:textId="727C0BE5" w:rsidR="0012551D" w:rsidRPr="008741C7" w:rsidRDefault="0012551D" w:rsidP="008741C7">
      <w:pPr>
        <w:spacing w:after="0" w:line="276" w:lineRule="auto"/>
        <w:jc w:val="both"/>
        <w:rPr>
          <w:rFonts w:cstheme="minorHAnsi"/>
        </w:rPr>
      </w:pPr>
    </w:p>
    <w:p w14:paraId="54853A3D" w14:textId="664CD9F3" w:rsidR="00AF0A4F" w:rsidRDefault="00F67971" w:rsidP="00F67971">
      <w:pPr>
        <w:spacing w:after="0" w:line="276" w:lineRule="auto"/>
        <w:jc w:val="both"/>
      </w:pPr>
      <w:r>
        <w:t>People with a lived experience of mental illness, report significantly low levels of self‐determination (</w:t>
      </w:r>
      <w:r w:rsidR="007B2D67">
        <w:t>Taylor et al, 2016</w:t>
      </w:r>
      <w:r>
        <w:t>).</w:t>
      </w:r>
      <w:r w:rsidR="00D15386">
        <w:t xml:space="preserve"> Research shows</w:t>
      </w:r>
      <w:r w:rsidR="00037D7D">
        <w:t xml:space="preserve"> that</w:t>
      </w:r>
      <w:r w:rsidR="00D15386">
        <w:t xml:space="preserve"> maximising the opportunities for personal autonomy and self‐determination are protective factors for mental ill-health.</w:t>
      </w:r>
      <w:r>
        <w:t xml:space="preserve"> </w:t>
      </w:r>
      <w:r w:rsidR="00D15386">
        <w:t>S</w:t>
      </w:r>
      <w:r>
        <w:t>elf‐determined motivation is strongly associated with engagement in positive health behaviours such as increased medication and service adherence, and other activities that promote wellbeing (</w:t>
      </w:r>
      <w:r w:rsidR="00D15386">
        <w:t>Taylor et al, 2016</w:t>
      </w:r>
      <w:r>
        <w:t>).</w:t>
      </w:r>
    </w:p>
    <w:p w14:paraId="1C16434A" w14:textId="1D202A5A" w:rsidR="006B21D2" w:rsidRDefault="006B21D2" w:rsidP="00F67971">
      <w:pPr>
        <w:spacing w:after="0" w:line="276" w:lineRule="auto"/>
        <w:jc w:val="both"/>
      </w:pPr>
    </w:p>
    <w:p w14:paraId="43C4C00D" w14:textId="6C1B672B" w:rsidR="00C20EDD" w:rsidRPr="00D82D35" w:rsidRDefault="006B21D2" w:rsidP="00C20EDD">
      <w:pPr>
        <w:spacing w:after="0" w:line="276" w:lineRule="auto"/>
        <w:jc w:val="both"/>
        <w:rPr>
          <w:color w:val="0000FF"/>
          <w:u w:val="single"/>
        </w:rPr>
      </w:pPr>
      <w:r>
        <w:t>Structural poverty, disempowerment of population groups and the unequal distribution of power, money and resources perpetually undermines</w:t>
      </w:r>
      <w:r w:rsidR="00037D7D">
        <w:t xml:space="preserve"> prevention efforts and prevent the</w:t>
      </w:r>
      <w:r>
        <w:t xml:space="preserve"> shifts in mental health prevalence at a population level.</w:t>
      </w:r>
      <w:r w:rsidR="00306E2B">
        <w:t xml:space="preserve"> Evidence reveals action needs to be taken</w:t>
      </w:r>
      <w:r w:rsidR="00037D7D">
        <w:t>.</w:t>
      </w:r>
      <w:r w:rsidR="00306E2B">
        <w:t xml:space="preserve"> </w:t>
      </w:r>
      <w:r w:rsidR="00037D7D">
        <w:t>C</w:t>
      </w:r>
      <w:r w:rsidR="00306E2B">
        <w:t xml:space="preserve">hildren and adolescents in low income households </w:t>
      </w:r>
      <w:r w:rsidR="00123E1F">
        <w:t xml:space="preserve">are </w:t>
      </w:r>
      <w:r w:rsidR="00306E2B">
        <w:t xml:space="preserve">twice as likely to experience mental health disorders compared to </w:t>
      </w:r>
      <w:r w:rsidR="00123E1F">
        <w:t xml:space="preserve">their counterparts </w:t>
      </w:r>
      <w:r w:rsidR="00306E2B">
        <w:t xml:space="preserve">from high income households </w:t>
      </w:r>
      <w:r w:rsidR="00306E2B" w:rsidRPr="002531EA">
        <w:t>(Department of Health, 2015).</w:t>
      </w:r>
      <w:r>
        <w:t xml:space="preserve"> In recent years, we have seen </w:t>
      </w:r>
      <w:r w:rsidR="00C20EDD">
        <w:t xml:space="preserve">wage growth fall continually and real wages have failed to keep up with inflation over the past three years, </w:t>
      </w:r>
      <w:r w:rsidR="00037D7D">
        <w:t xml:space="preserve">meaning that </w:t>
      </w:r>
      <w:r w:rsidR="00C20EDD">
        <w:t>essentially</w:t>
      </w:r>
      <w:r w:rsidR="00037D7D">
        <w:t>,</w:t>
      </w:r>
      <w:r w:rsidR="00C20EDD">
        <w:t xml:space="preserve"> workers’ earnings are declining (</w:t>
      </w:r>
      <w:r w:rsidR="00A84CBB">
        <w:t>P</w:t>
      </w:r>
      <w:r w:rsidR="00D82D35">
        <w:t>arliament of Victoria 2018)</w:t>
      </w:r>
      <w:r w:rsidR="00C371F0">
        <w:t xml:space="preserve">. </w:t>
      </w:r>
      <w:r w:rsidR="00C20EDD">
        <w:t>With declining income, the standard of living is required to change</w:t>
      </w:r>
      <w:r w:rsidR="00C6424E">
        <w:t>, placing stress on individuals and families</w:t>
      </w:r>
      <w:r w:rsidR="00C20EDD">
        <w:t>. The Parliament of Victoria identified that “l</w:t>
      </w:r>
      <w:r w:rsidR="00C20EDD" w:rsidRPr="00C20EDD">
        <w:rPr>
          <w:rFonts w:cstheme="minorHAnsi"/>
          <w:color w:val="000000"/>
          <w:shd w:val="clear" w:color="auto" w:fill="FFFFFF"/>
        </w:rPr>
        <w:t>ow-income households and those on government pensions or Centrelink allowances have faced the largest increases in the cost of living</w:t>
      </w:r>
      <w:r w:rsidR="00C20EDD">
        <w:rPr>
          <w:rFonts w:cstheme="minorHAnsi"/>
          <w:color w:val="000000"/>
          <w:shd w:val="clear" w:color="auto" w:fill="FFFFFF"/>
        </w:rPr>
        <w:t>”</w:t>
      </w:r>
      <w:r w:rsidR="00C20EDD" w:rsidRPr="00C20EDD">
        <w:rPr>
          <w:rFonts w:cstheme="minorHAnsi"/>
          <w:color w:val="000000"/>
          <w:shd w:val="clear" w:color="auto" w:fill="FFFFFF"/>
        </w:rPr>
        <w:t>. </w:t>
      </w:r>
      <w:r w:rsidR="00C6424E">
        <w:rPr>
          <w:rFonts w:cstheme="minorHAnsi"/>
          <w:color w:val="000000"/>
          <w:shd w:val="clear" w:color="auto" w:fill="FFFFFF"/>
        </w:rPr>
        <w:t>Melbourne is now ranked the fifth most unaffordable major housing market in the world and the impact has been greatest on low-income earners</w:t>
      </w:r>
      <w:r w:rsidR="00C658CF">
        <w:rPr>
          <w:rFonts w:cstheme="minorHAnsi"/>
          <w:color w:val="000000"/>
          <w:shd w:val="clear" w:color="auto" w:fill="FFFFFF"/>
        </w:rPr>
        <w:t>,</w:t>
      </w:r>
      <w:r w:rsidR="00C6424E">
        <w:rPr>
          <w:rFonts w:cstheme="minorHAnsi"/>
          <w:color w:val="000000"/>
          <w:shd w:val="clear" w:color="auto" w:fill="FFFFFF"/>
        </w:rPr>
        <w:t xml:space="preserve"> </w:t>
      </w:r>
      <w:r w:rsidR="00037D7D">
        <w:rPr>
          <w:rFonts w:cstheme="minorHAnsi"/>
          <w:color w:val="000000"/>
          <w:shd w:val="clear" w:color="auto" w:fill="FFFFFF"/>
        </w:rPr>
        <w:t xml:space="preserve">with </w:t>
      </w:r>
      <w:r w:rsidR="00C6424E">
        <w:rPr>
          <w:rFonts w:cstheme="minorHAnsi"/>
          <w:color w:val="000000"/>
          <w:shd w:val="clear" w:color="auto" w:fill="FFFFFF"/>
        </w:rPr>
        <w:t>mortgage and rental stress is also rising across all household types</w:t>
      </w:r>
      <w:r w:rsidR="00D82D35">
        <w:rPr>
          <w:rFonts w:cstheme="minorHAnsi"/>
          <w:color w:val="000000"/>
          <w:shd w:val="clear" w:color="auto" w:fill="FFFFFF"/>
        </w:rPr>
        <w:t xml:space="preserve"> (Parliament of Victoria</w:t>
      </w:r>
      <w:r w:rsidR="001864C1">
        <w:rPr>
          <w:rFonts w:cstheme="minorHAnsi"/>
          <w:color w:val="000000"/>
          <w:shd w:val="clear" w:color="auto" w:fill="FFFFFF"/>
        </w:rPr>
        <w:t xml:space="preserve"> 2018</w:t>
      </w:r>
      <w:r w:rsidR="00D82D35">
        <w:rPr>
          <w:rFonts w:cstheme="minorHAnsi"/>
          <w:color w:val="000000"/>
          <w:shd w:val="clear" w:color="auto" w:fill="FFFFFF"/>
        </w:rPr>
        <w:t>).</w:t>
      </w:r>
    </w:p>
    <w:p w14:paraId="262C2D4E" w14:textId="07D2BF37" w:rsidR="00C6424E" w:rsidRDefault="00C6424E" w:rsidP="00C20EDD">
      <w:pPr>
        <w:spacing w:after="0" w:line="276" w:lineRule="auto"/>
        <w:jc w:val="both"/>
        <w:rPr>
          <w:rFonts w:cstheme="minorHAnsi"/>
          <w:color w:val="000000"/>
          <w:shd w:val="clear" w:color="auto" w:fill="FFFFFF"/>
        </w:rPr>
      </w:pPr>
    </w:p>
    <w:p w14:paraId="7C82A452" w14:textId="01E0969D" w:rsidR="00C658CF" w:rsidRDefault="00C658CF" w:rsidP="00D15386">
      <w:pPr>
        <w:spacing w:after="0" w:line="276" w:lineRule="auto"/>
        <w:jc w:val="both"/>
        <w:rPr>
          <w:rFonts w:cstheme="minorHAnsi"/>
        </w:rPr>
      </w:pPr>
      <w:r>
        <w:rPr>
          <w:rFonts w:cstheme="minorHAnsi"/>
        </w:rPr>
        <w:t>Social, environmental and economi</w:t>
      </w:r>
      <w:r w:rsidR="005E3261">
        <w:rPr>
          <w:rFonts w:cstheme="minorHAnsi"/>
        </w:rPr>
        <w:t>c determinants need to</w:t>
      </w:r>
      <w:r w:rsidR="00692D53">
        <w:rPr>
          <w:rFonts w:cstheme="minorHAnsi"/>
        </w:rPr>
        <w:t xml:space="preserve"> be</w:t>
      </w:r>
      <w:r w:rsidR="005E3261">
        <w:rPr>
          <w:rFonts w:cstheme="minorHAnsi"/>
        </w:rPr>
        <w:t xml:space="preserve"> </w:t>
      </w:r>
      <w:r w:rsidR="00692D53">
        <w:rPr>
          <w:rFonts w:cstheme="minorHAnsi"/>
        </w:rPr>
        <w:t>tackled</w:t>
      </w:r>
      <w:r>
        <w:rPr>
          <w:rFonts w:cstheme="minorHAnsi"/>
        </w:rPr>
        <w:t xml:space="preserve"> at a societal level to create population level changes to</w:t>
      </w:r>
      <w:r w:rsidR="00692D53">
        <w:rPr>
          <w:rFonts w:cstheme="minorHAnsi"/>
        </w:rPr>
        <w:t xml:space="preserve"> reduce</w:t>
      </w:r>
      <w:r>
        <w:rPr>
          <w:rFonts w:cstheme="minorHAnsi"/>
        </w:rPr>
        <w:t xml:space="preserve"> the </w:t>
      </w:r>
      <w:r w:rsidR="00692D53">
        <w:rPr>
          <w:rFonts w:cstheme="minorHAnsi"/>
        </w:rPr>
        <w:t xml:space="preserve">prevalence of mental </w:t>
      </w:r>
      <w:r>
        <w:rPr>
          <w:rFonts w:cstheme="minorHAnsi"/>
        </w:rPr>
        <w:t xml:space="preserve">health </w:t>
      </w:r>
      <w:r w:rsidR="00692D53">
        <w:rPr>
          <w:rFonts w:cstheme="minorHAnsi"/>
        </w:rPr>
        <w:t>in Victoria</w:t>
      </w:r>
      <w:r>
        <w:rPr>
          <w:rFonts w:cstheme="minorHAnsi"/>
        </w:rPr>
        <w:t xml:space="preserve">. If individuals do not feel </w:t>
      </w:r>
      <w:r>
        <w:rPr>
          <w:rFonts w:cstheme="minorHAnsi"/>
        </w:rPr>
        <w:lastRenderedPageBreak/>
        <w:t xml:space="preserve">in control of their lives, </w:t>
      </w:r>
      <w:r w:rsidR="00037D7D">
        <w:rPr>
          <w:rFonts w:cstheme="minorHAnsi"/>
        </w:rPr>
        <w:t xml:space="preserve">feel </w:t>
      </w:r>
      <w:r>
        <w:rPr>
          <w:rFonts w:cstheme="minorHAnsi"/>
        </w:rPr>
        <w:t xml:space="preserve">that they have capacity to make decisions and/or </w:t>
      </w:r>
      <w:r w:rsidR="00692D53">
        <w:rPr>
          <w:rFonts w:cstheme="minorHAnsi"/>
        </w:rPr>
        <w:t>have feelings of hopelessness they are unable to thrive and remain productive over a lifetime.</w:t>
      </w:r>
    </w:p>
    <w:p w14:paraId="43A8E493" w14:textId="77777777" w:rsidR="00C658CF" w:rsidRDefault="00C658CF" w:rsidP="00D15386">
      <w:pPr>
        <w:spacing w:after="0" w:line="276" w:lineRule="auto"/>
        <w:jc w:val="both"/>
        <w:rPr>
          <w:rFonts w:cstheme="minorHAnsi"/>
        </w:rPr>
      </w:pPr>
    </w:p>
    <w:p w14:paraId="658773CA" w14:textId="2C5FFBB1" w:rsidR="00AF0A4F" w:rsidRDefault="00413F66" w:rsidP="00AF0A4F">
      <w:pPr>
        <w:spacing w:after="0" w:line="276" w:lineRule="auto"/>
        <w:jc w:val="both"/>
        <w:rPr>
          <w:rFonts w:cstheme="minorHAnsi"/>
        </w:rPr>
      </w:pPr>
      <w:r>
        <w:rPr>
          <w:rFonts w:cstheme="minorHAnsi"/>
        </w:rPr>
        <w:t>G</w:t>
      </w:r>
      <w:r w:rsidR="00692D53">
        <w:rPr>
          <w:rFonts w:cstheme="minorHAnsi"/>
        </w:rPr>
        <w:t>ood parenting</w:t>
      </w:r>
      <w:r>
        <w:rPr>
          <w:rFonts w:cstheme="minorHAnsi"/>
        </w:rPr>
        <w:t xml:space="preserve"> is an enabler for good mental health</w:t>
      </w:r>
      <w:r w:rsidR="00037D7D">
        <w:rPr>
          <w:rFonts w:cstheme="minorHAnsi"/>
        </w:rPr>
        <w:t>.</w:t>
      </w:r>
      <w:r w:rsidR="00692D53">
        <w:rPr>
          <w:rFonts w:cstheme="minorHAnsi"/>
        </w:rPr>
        <w:t xml:space="preserve"> </w:t>
      </w:r>
      <w:r w:rsidR="00037D7D">
        <w:rPr>
          <w:rFonts w:cstheme="minorHAnsi"/>
        </w:rPr>
        <w:t>E</w:t>
      </w:r>
      <w:r w:rsidR="00692D53">
        <w:rPr>
          <w:rFonts w:cstheme="minorHAnsi"/>
        </w:rPr>
        <w:t xml:space="preserve">nvironmental and economic stress inhibit parents </w:t>
      </w:r>
      <w:r w:rsidR="00473512">
        <w:rPr>
          <w:rFonts w:cstheme="minorHAnsi"/>
        </w:rPr>
        <w:t>to always provide optimal care</w:t>
      </w:r>
      <w:r w:rsidR="00692D53">
        <w:rPr>
          <w:rFonts w:cstheme="minorHAnsi"/>
        </w:rPr>
        <w:t xml:space="preserve">. </w:t>
      </w:r>
      <w:r w:rsidR="00AF0A4F">
        <w:rPr>
          <w:rFonts w:cstheme="minorHAnsi"/>
        </w:rPr>
        <w:t>Research shows</w:t>
      </w:r>
      <w:r w:rsidR="00037D7D">
        <w:rPr>
          <w:rFonts w:cstheme="minorHAnsi"/>
        </w:rPr>
        <w:t xml:space="preserve"> the</w:t>
      </w:r>
      <w:r w:rsidR="00AF0A4F">
        <w:rPr>
          <w:rFonts w:cstheme="minorHAnsi"/>
        </w:rPr>
        <w:t xml:space="preserve"> early years to be a critical period in a person’s life </w:t>
      </w:r>
      <w:r w:rsidR="00473512">
        <w:rPr>
          <w:rFonts w:cstheme="minorHAnsi"/>
        </w:rPr>
        <w:t xml:space="preserve">to </w:t>
      </w:r>
      <w:r w:rsidR="00AF0A4F">
        <w:rPr>
          <w:rFonts w:cstheme="minorHAnsi"/>
        </w:rPr>
        <w:t xml:space="preserve">build strong cognitive and social foundations for optimal childhood development </w:t>
      </w:r>
      <w:r w:rsidR="00037D7D">
        <w:rPr>
          <w:rFonts w:cstheme="minorHAnsi"/>
        </w:rPr>
        <w:t xml:space="preserve">that </w:t>
      </w:r>
      <w:r w:rsidR="00AF0A4F">
        <w:rPr>
          <w:rFonts w:cstheme="minorHAnsi"/>
        </w:rPr>
        <w:t>supports good mental health and we</w:t>
      </w:r>
      <w:r w:rsidR="007B5047">
        <w:rPr>
          <w:rFonts w:cstheme="minorHAnsi"/>
        </w:rPr>
        <w:t>llbeing (Beyond Blue</w:t>
      </w:r>
      <w:r w:rsidR="00AF0A4F">
        <w:rPr>
          <w:rFonts w:cstheme="minorHAnsi"/>
        </w:rPr>
        <w:t xml:space="preserve">, 2018). </w:t>
      </w:r>
      <w:r w:rsidR="00473512">
        <w:rPr>
          <w:rFonts w:cstheme="minorHAnsi"/>
        </w:rPr>
        <w:t>Transi</w:t>
      </w:r>
      <w:r w:rsidR="00037D7D">
        <w:rPr>
          <w:rFonts w:cstheme="minorHAnsi"/>
        </w:rPr>
        <w:t>tional programs across the life-</w:t>
      </w:r>
      <w:r w:rsidR="00473512">
        <w:rPr>
          <w:rFonts w:cstheme="minorHAnsi"/>
        </w:rPr>
        <w:t xml:space="preserve">stages that </w:t>
      </w:r>
      <w:r w:rsidR="00AF0A4F">
        <w:rPr>
          <w:rFonts w:cstheme="minorHAnsi"/>
        </w:rPr>
        <w:t>promote mental health</w:t>
      </w:r>
      <w:r w:rsidR="00473512">
        <w:rPr>
          <w:rFonts w:cstheme="minorHAnsi"/>
        </w:rPr>
        <w:t xml:space="preserve">, build </w:t>
      </w:r>
      <w:r w:rsidR="00AF0A4F">
        <w:rPr>
          <w:rFonts w:cstheme="minorHAnsi"/>
        </w:rPr>
        <w:t xml:space="preserve">resilience </w:t>
      </w:r>
      <w:r w:rsidR="00473512">
        <w:rPr>
          <w:rFonts w:cstheme="minorHAnsi"/>
        </w:rPr>
        <w:t xml:space="preserve">and </w:t>
      </w:r>
      <w:r w:rsidR="00AF0A4F">
        <w:rPr>
          <w:rFonts w:cstheme="minorHAnsi"/>
        </w:rPr>
        <w:t xml:space="preserve">respond to key protective </w:t>
      </w:r>
      <w:r w:rsidR="00473512">
        <w:rPr>
          <w:rFonts w:cstheme="minorHAnsi"/>
        </w:rPr>
        <w:t xml:space="preserve">factors </w:t>
      </w:r>
      <w:r w:rsidR="00AF0A4F">
        <w:rPr>
          <w:rFonts w:cstheme="minorHAnsi"/>
        </w:rPr>
        <w:t>and risk factors</w:t>
      </w:r>
      <w:r w:rsidR="00473512">
        <w:rPr>
          <w:rFonts w:cstheme="minorHAnsi"/>
        </w:rPr>
        <w:t xml:space="preserve"> critical for prevention and early intervention</w:t>
      </w:r>
      <w:r w:rsidR="00C371F0">
        <w:rPr>
          <w:rFonts w:cstheme="minorHAnsi"/>
        </w:rPr>
        <w:t xml:space="preserve"> are recommended</w:t>
      </w:r>
      <w:r w:rsidR="00ED4D3D">
        <w:rPr>
          <w:rFonts w:cstheme="minorHAnsi"/>
        </w:rPr>
        <w:t xml:space="preserve"> (VicHealth, 2017)</w:t>
      </w:r>
      <w:r w:rsidR="00AF0A4F">
        <w:rPr>
          <w:rFonts w:cstheme="minorHAnsi"/>
        </w:rPr>
        <w:t>.</w:t>
      </w:r>
      <w:r w:rsidR="00473512">
        <w:rPr>
          <w:rFonts w:cstheme="minorHAnsi"/>
        </w:rPr>
        <w:t xml:space="preserve"> Significant life changes can trigger mental ill-health, bringing about feelings of (but not limited to) peer rejection, isolation and alienation, discrimination, conflict, low self-worth, loneliness </w:t>
      </w:r>
      <w:r w:rsidR="00473512" w:rsidRPr="00960DCF">
        <w:rPr>
          <w:rFonts w:cstheme="minorHAnsi"/>
        </w:rPr>
        <w:t>and stress</w:t>
      </w:r>
      <w:r w:rsidR="003B771E">
        <w:rPr>
          <w:rFonts w:cstheme="minorHAnsi"/>
        </w:rPr>
        <w:t xml:space="preserve"> (WHO, </w:t>
      </w:r>
      <w:r w:rsidR="00960DCF">
        <w:rPr>
          <w:rFonts w:cstheme="minorHAnsi"/>
        </w:rPr>
        <w:t>2005</w:t>
      </w:r>
      <w:r w:rsidR="003B771E">
        <w:rPr>
          <w:rFonts w:cstheme="minorHAnsi"/>
        </w:rPr>
        <w:t>)</w:t>
      </w:r>
      <w:r w:rsidR="00473512">
        <w:rPr>
          <w:rFonts w:cstheme="minorHAnsi"/>
        </w:rPr>
        <w:t xml:space="preserve">. </w:t>
      </w:r>
    </w:p>
    <w:p w14:paraId="07643E92" w14:textId="2BC12887" w:rsidR="00473512" w:rsidRDefault="00473512" w:rsidP="00AF0A4F">
      <w:pPr>
        <w:spacing w:after="0" w:line="276" w:lineRule="auto"/>
        <w:jc w:val="both"/>
        <w:rPr>
          <w:rFonts w:cstheme="minorHAnsi"/>
        </w:rPr>
      </w:pPr>
    </w:p>
    <w:p w14:paraId="2C3C9371" w14:textId="3D7137E4" w:rsidR="00473512" w:rsidRDefault="00473512" w:rsidP="00CD27D1">
      <w:pPr>
        <w:spacing w:after="0" w:line="276" w:lineRule="auto"/>
        <w:jc w:val="both"/>
        <w:rPr>
          <w:rFonts w:cstheme="minorHAnsi"/>
        </w:rPr>
      </w:pPr>
      <w:r>
        <w:rPr>
          <w:rFonts w:cstheme="minorHAnsi"/>
        </w:rPr>
        <w:t xml:space="preserve">Programs that normalise </w:t>
      </w:r>
      <w:r w:rsidR="00396062">
        <w:rPr>
          <w:rFonts w:cstheme="minorHAnsi"/>
        </w:rPr>
        <w:t>feelings</w:t>
      </w:r>
      <w:r w:rsidR="00CD27D1">
        <w:rPr>
          <w:rFonts w:cstheme="minorHAnsi"/>
        </w:rPr>
        <w:t xml:space="preserve"> and help</w:t>
      </w:r>
      <w:r w:rsidR="00037D7D">
        <w:rPr>
          <w:rFonts w:cstheme="minorHAnsi"/>
        </w:rPr>
        <w:t>-</w:t>
      </w:r>
      <w:r w:rsidR="00413F66">
        <w:rPr>
          <w:rFonts w:cstheme="minorHAnsi"/>
        </w:rPr>
        <w:t>seeking behaviours</w:t>
      </w:r>
      <w:r w:rsidR="00396062">
        <w:rPr>
          <w:rFonts w:cstheme="minorHAnsi"/>
        </w:rPr>
        <w:t xml:space="preserve">, </w:t>
      </w:r>
      <w:r w:rsidR="002D03ED">
        <w:rPr>
          <w:rFonts w:cstheme="minorHAnsi"/>
        </w:rPr>
        <w:t xml:space="preserve">foster inclusion, </w:t>
      </w:r>
      <w:r w:rsidR="00CD27D1">
        <w:rPr>
          <w:rFonts w:cstheme="minorHAnsi"/>
        </w:rPr>
        <w:t xml:space="preserve">support the development of </w:t>
      </w:r>
      <w:r w:rsidR="00396062">
        <w:rPr>
          <w:rFonts w:cstheme="minorHAnsi"/>
        </w:rPr>
        <w:t>cop</w:t>
      </w:r>
      <w:r w:rsidR="00CD27D1">
        <w:rPr>
          <w:rFonts w:cstheme="minorHAnsi"/>
        </w:rPr>
        <w:t>ing mechanism</w:t>
      </w:r>
      <w:r w:rsidR="00037D7D">
        <w:rPr>
          <w:rFonts w:cstheme="minorHAnsi"/>
        </w:rPr>
        <w:t>s</w:t>
      </w:r>
      <w:r w:rsidR="002D03ED">
        <w:rPr>
          <w:rFonts w:cstheme="minorHAnsi"/>
        </w:rPr>
        <w:t xml:space="preserve"> and</w:t>
      </w:r>
      <w:r w:rsidR="00CD27D1">
        <w:rPr>
          <w:rFonts w:cstheme="minorHAnsi"/>
        </w:rPr>
        <w:t xml:space="preserve"> </w:t>
      </w:r>
      <w:r w:rsidR="00CE58C0">
        <w:rPr>
          <w:rFonts w:cstheme="minorHAnsi"/>
        </w:rPr>
        <w:t xml:space="preserve">increase access to information and </w:t>
      </w:r>
      <w:r w:rsidR="002D03ED">
        <w:rPr>
          <w:rFonts w:cstheme="minorHAnsi"/>
        </w:rPr>
        <w:t>services</w:t>
      </w:r>
      <w:r w:rsidR="00037D7D">
        <w:rPr>
          <w:rFonts w:cstheme="minorHAnsi"/>
        </w:rPr>
        <w:t>,</w:t>
      </w:r>
      <w:r w:rsidR="002D03ED">
        <w:rPr>
          <w:rFonts w:cstheme="minorHAnsi"/>
        </w:rPr>
        <w:t xml:space="preserve"> </w:t>
      </w:r>
      <w:r w:rsidR="00CE58C0">
        <w:rPr>
          <w:rFonts w:cstheme="minorHAnsi"/>
        </w:rPr>
        <w:t>can shift attitudes, reduce stigma and change behaviours. Transitional milestones begin in early years</w:t>
      </w:r>
      <w:r w:rsidR="00037D7D">
        <w:rPr>
          <w:rFonts w:cstheme="minorHAnsi"/>
        </w:rPr>
        <w:t>,</w:t>
      </w:r>
      <w:r w:rsidR="00CE58C0">
        <w:rPr>
          <w:rFonts w:cstheme="minorHAnsi"/>
        </w:rPr>
        <w:t xml:space="preserve"> moving to childcare or play groups, kindergarten or pre-school, primary and then secondary school, </w:t>
      </w:r>
      <w:r w:rsidR="00037D7D">
        <w:rPr>
          <w:rFonts w:cstheme="minorHAnsi"/>
        </w:rPr>
        <w:t xml:space="preserve">then </w:t>
      </w:r>
      <w:r w:rsidR="00CE58C0">
        <w:rPr>
          <w:rFonts w:cstheme="minorHAnsi"/>
        </w:rPr>
        <w:t>to part-time employment, further education or employment, parenting</w:t>
      </w:r>
      <w:r w:rsidR="005A6770">
        <w:rPr>
          <w:rFonts w:cstheme="minorHAnsi"/>
        </w:rPr>
        <w:t xml:space="preserve">, </w:t>
      </w:r>
      <w:r w:rsidR="00CE58C0">
        <w:rPr>
          <w:rFonts w:cstheme="minorHAnsi"/>
        </w:rPr>
        <w:t>and retirement. At each point individuals process a number of fear</w:t>
      </w:r>
      <w:r w:rsidR="002D03ED">
        <w:rPr>
          <w:rFonts w:cstheme="minorHAnsi"/>
        </w:rPr>
        <w:t>s and</w:t>
      </w:r>
      <w:r w:rsidR="00CE58C0">
        <w:rPr>
          <w:rFonts w:cstheme="minorHAnsi"/>
        </w:rPr>
        <w:t xml:space="preserve"> challenges </w:t>
      </w:r>
      <w:r w:rsidR="005D61DC">
        <w:rPr>
          <w:rFonts w:cstheme="minorHAnsi"/>
        </w:rPr>
        <w:t xml:space="preserve">and their capacity to manage the change is dependent on many factors </w:t>
      </w:r>
      <w:r w:rsidR="00A3617F">
        <w:rPr>
          <w:rFonts w:cstheme="minorHAnsi"/>
        </w:rPr>
        <w:t xml:space="preserve">- </w:t>
      </w:r>
      <w:r w:rsidR="005D61DC">
        <w:rPr>
          <w:rFonts w:cstheme="minorHAnsi"/>
        </w:rPr>
        <w:t>for example employment and housing stress, access to support, and skills and capability to cope</w:t>
      </w:r>
      <w:r w:rsidR="00CE58C0">
        <w:rPr>
          <w:rFonts w:cstheme="minorHAnsi"/>
        </w:rPr>
        <w:t>.</w:t>
      </w:r>
      <w:r w:rsidR="002D03ED">
        <w:rPr>
          <w:rFonts w:cstheme="minorHAnsi"/>
        </w:rPr>
        <w:t xml:space="preserve"> </w:t>
      </w:r>
    </w:p>
    <w:p w14:paraId="5B7ADBC2" w14:textId="134D8F1A" w:rsidR="005A6770" w:rsidRDefault="005A6770" w:rsidP="00CD27D1">
      <w:pPr>
        <w:spacing w:after="0" w:line="276" w:lineRule="auto"/>
        <w:jc w:val="both"/>
        <w:rPr>
          <w:rFonts w:cstheme="minorHAnsi"/>
        </w:rPr>
      </w:pPr>
    </w:p>
    <w:p w14:paraId="4ED92717" w14:textId="52EEBAD7" w:rsidR="00CE5891" w:rsidRDefault="00CE5891" w:rsidP="00CE5891">
      <w:pPr>
        <w:spacing w:after="0" w:line="276" w:lineRule="auto"/>
        <w:jc w:val="both"/>
        <w:rPr>
          <w:rFonts w:cstheme="minorHAnsi"/>
        </w:rPr>
      </w:pPr>
      <w:r>
        <w:rPr>
          <w:rFonts w:cstheme="minorHAnsi"/>
        </w:rPr>
        <w:t xml:space="preserve">To better support young people, </w:t>
      </w:r>
      <w:r w:rsidR="00A3617F">
        <w:rPr>
          <w:rFonts w:cstheme="minorHAnsi"/>
        </w:rPr>
        <w:t>it is necessary to educate</w:t>
      </w:r>
      <w:r>
        <w:rPr>
          <w:rFonts w:cstheme="minorHAnsi"/>
        </w:rPr>
        <w:t xml:space="preserve"> </w:t>
      </w:r>
      <w:r w:rsidRPr="00CE5891">
        <w:rPr>
          <w:rFonts w:cstheme="minorHAnsi"/>
        </w:rPr>
        <w:t xml:space="preserve">parents </w:t>
      </w:r>
      <w:r w:rsidR="00A3617F">
        <w:rPr>
          <w:rFonts w:cstheme="minorHAnsi"/>
        </w:rPr>
        <w:t>to ensure they are prepared</w:t>
      </w:r>
      <w:r w:rsidRPr="00CE5891">
        <w:rPr>
          <w:rFonts w:cstheme="minorHAnsi"/>
        </w:rPr>
        <w:t xml:space="preserve"> for </w:t>
      </w:r>
      <w:r w:rsidR="00A3617F">
        <w:rPr>
          <w:rFonts w:cstheme="minorHAnsi"/>
        </w:rPr>
        <w:t xml:space="preserve">supporting their children through the </w:t>
      </w:r>
      <w:r w:rsidRPr="00CE5891">
        <w:rPr>
          <w:rFonts w:cstheme="minorHAnsi"/>
        </w:rPr>
        <w:t xml:space="preserve">pre-adolescent to early adult years. </w:t>
      </w:r>
      <w:r>
        <w:rPr>
          <w:rFonts w:cstheme="minorHAnsi"/>
        </w:rPr>
        <w:t>R</w:t>
      </w:r>
      <w:r w:rsidRPr="00CE5891">
        <w:rPr>
          <w:rFonts w:cstheme="minorHAnsi"/>
        </w:rPr>
        <w:t>esearch shows this i</w:t>
      </w:r>
      <w:r>
        <w:rPr>
          <w:rFonts w:cstheme="minorHAnsi"/>
        </w:rPr>
        <w:t>s the time that many challenges/</w:t>
      </w:r>
      <w:r w:rsidRPr="00CE5891">
        <w:rPr>
          <w:rFonts w:cstheme="minorHAnsi"/>
        </w:rPr>
        <w:t xml:space="preserve">risks and mental illnesses begin, </w:t>
      </w:r>
      <w:r w:rsidR="00F976E8">
        <w:rPr>
          <w:rFonts w:cstheme="minorHAnsi"/>
        </w:rPr>
        <w:t xml:space="preserve">but </w:t>
      </w:r>
      <w:r w:rsidRPr="00CE5891">
        <w:rPr>
          <w:rFonts w:cstheme="minorHAnsi"/>
        </w:rPr>
        <w:t>we do very little to prepare the family and community, as a whole.</w:t>
      </w:r>
      <w:r>
        <w:rPr>
          <w:rFonts w:cstheme="minorHAnsi"/>
        </w:rPr>
        <w:t xml:space="preserve"> </w:t>
      </w:r>
      <w:r w:rsidRPr="00DD5BB1">
        <w:rPr>
          <w:rFonts w:cstheme="minorHAnsi"/>
        </w:rPr>
        <w:t xml:space="preserve">Basic information </w:t>
      </w:r>
      <w:r w:rsidR="001F3365">
        <w:rPr>
          <w:rFonts w:cstheme="minorHAnsi"/>
        </w:rPr>
        <w:t xml:space="preserve">is needed </w:t>
      </w:r>
      <w:r w:rsidRPr="00DD5BB1">
        <w:rPr>
          <w:rFonts w:cstheme="minorHAnsi"/>
        </w:rPr>
        <w:t>for parents and pre-teens with a focus on understanding adolescent and early adult behaviours in regard to all facets of wellbeing</w:t>
      </w:r>
      <w:r w:rsidR="00F976E8">
        <w:rPr>
          <w:rFonts w:cstheme="minorHAnsi"/>
        </w:rPr>
        <w:t>:</w:t>
      </w:r>
      <w:r w:rsidRPr="00DD5BB1">
        <w:rPr>
          <w:rFonts w:cstheme="minorHAnsi"/>
        </w:rPr>
        <w:t xml:space="preserve"> </w:t>
      </w:r>
      <w:r w:rsidR="00A3617F">
        <w:rPr>
          <w:rFonts w:cstheme="minorHAnsi"/>
        </w:rPr>
        <w:t>including</w:t>
      </w:r>
      <w:r w:rsidR="00F976E8">
        <w:rPr>
          <w:rFonts w:cstheme="minorHAnsi"/>
        </w:rPr>
        <w:t xml:space="preserve"> </w:t>
      </w:r>
      <w:r w:rsidR="001F3365">
        <w:rPr>
          <w:rFonts w:cstheme="minorHAnsi"/>
        </w:rPr>
        <w:t xml:space="preserve">social, economic and </w:t>
      </w:r>
      <w:r w:rsidRPr="00DD5BB1">
        <w:rPr>
          <w:rFonts w:cstheme="minorHAnsi"/>
        </w:rPr>
        <w:t>environmental factors</w:t>
      </w:r>
      <w:r>
        <w:rPr>
          <w:rFonts w:cstheme="minorHAnsi"/>
        </w:rPr>
        <w:t xml:space="preserve">, </w:t>
      </w:r>
      <w:r w:rsidR="001F3365">
        <w:rPr>
          <w:rFonts w:cstheme="minorHAnsi"/>
        </w:rPr>
        <w:t>such as</w:t>
      </w:r>
      <w:r>
        <w:rPr>
          <w:rFonts w:cstheme="minorHAnsi"/>
        </w:rPr>
        <w:t xml:space="preserve"> </w:t>
      </w:r>
      <w:r w:rsidRPr="00DD5BB1">
        <w:rPr>
          <w:rFonts w:cstheme="minorHAnsi"/>
        </w:rPr>
        <w:t>mental health, drug and alcohol, social media, education, employment, peer relations</w:t>
      </w:r>
      <w:r>
        <w:rPr>
          <w:rFonts w:cstheme="minorHAnsi"/>
        </w:rPr>
        <w:t>, consent and rights, and financial literacy.</w:t>
      </w:r>
      <w:r w:rsidR="001F3365">
        <w:rPr>
          <w:rFonts w:cstheme="minorHAnsi"/>
        </w:rPr>
        <w:t xml:space="preserve"> </w:t>
      </w:r>
      <w:r w:rsidRPr="00DD5BB1">
        <w:rPr>
          <w:rFonts w:cstheme="minorHAnsi"/>
        </w:rPr>
        <w:t xml:space="preserve">Although there is an abundance of related education information contained on the internet and provided spasmodically by services of their own accord, there appears to be little in this current </w:t>
      </w:r>
      <w:r w:rsidR="00A3617F">
        <w:rPr>
          <w:rFonts w:cstheme="minorHAnsi"/>
        </w:rPr>
        <w:t xml:space="preserve">education </w:t>
      </w:r>
      <w:r w:rsidRPr="00DD5BB1">
        <w:rPr>
          <w:rFonts w:cstheme="minorHAnsi"/>
        </w:rPr>
        <w:t>structure</w:t>
      </w:r>
      <w:r w:rsidR="00A3617F">
        <w:rPr>
          <w:rFonts w:cstheme="minorHAnsi"/>
        </w:rPr>
        <w:t>/curriculum</w:t>
      </w:r>
      <w:r w:rsidRPr="00DD5BB1">
        <w:rPr>
          <w:rFonts w:cstheme="minorHAnsi"/>
        </w:rPr>
        <w:t xml:space="preserve"> that allows services to routinely and consistently provide ready access to this type of support. For example</w:t>
      </w:r>
      <w:r w:rsidR="001F3365">
        <w:rPr>
          <w:rFonts w:cstheme="minorHAnsi"/>
        </w:rPr>
        <w:t>,</w:t>
      </w:r>
      <w:r w:rsidRPr="00DD5BB1">
        <w:rPr>
          <w:rFonts w:cstheme="minorHAnsi"/>
        </w:rPr>
        <w:t xml:space="preserve"> </w:t>
      </w:r>
      <w:r w:rsidR="001F3365">
        <w:rPr>
          <w:rFonts w:cstheme="minorHAnsi"/>
        </w:rPr>
        <w:t xml:space="preserve">last year, </w:t>
      </w:r>
      <w:r w:rsidRPr="00DD5BB1">
        <w:rPr>
          <w:rFonts w:cstheme="minorHAnsi"/>
        </w:rPr>
        <w:t>Connect Health</w:t>
      </w:r>
      <w:r w:rsidR="00A3617F">
        <w:rPr>
          <w:rFonts w:cstheme="minorHAnsi"/>
        </w:rPr>
        <w:t xml:space="preserve"> &amp; Community</w:t>
      </w:r>
      <w:r w:rsidRPr="00DD5BB1">
        <w:rPr>
          <w:rFonts w:cstheme="minorHAnsi"/>
        </w:rPr>
        <w:t xml:space="preserve"> </w:t>
      </w:r>
      <w:r w:rsidR="001F3365">
        <w:rPr>
          <w:rFonts w:cstheme="minorHAnsi"/>
        </w:rPr>
        <w:t xml:space="preserve">noticed a rise in referrals </w:t>
      </w:r>
      <w:r w:rsidR="00A3617F">
        <w:rPr>
          <w:rFonts w:cstheme="minorHAnsi"/>
        </w:rPr>
        <w:t xml:space="preserve">for </w:t>
      </w:r>
      <w:r w:rsidR="001F3365">
        <w:rPr>
          <w:rFonts w:cstheme="minorHAnsi"/>
        </w:rPr>
        <w:t xml:space="preserve">young people presenting with dual diagnosis issues and a number of suicides in our local area. In response we </w:t>
      </w:r>
      <w:r w:rsidRPr="00DD5BB1">
        <w:rPr>
          <w:rFonts w:cstheme="minorHAnsi"/>
        </w:rPr>
        <w:t xml:space="preserve">ran </w:t>
      </w:r>
      <w:r w:rsidR="001F3365">
        <w:rPr>
          <w:rFonts w:cstheme="minorHAnsi"/>
        </w:rPr>
        <w:t xml:space="preserve">a </w:t>
      </w:r>
      <w:r w:rsidRPr="00DD5BB1">
        <w:rPr>
          <w:rFonts w:cstheme="minorHAnsi"/>
        </w:rPr>
        <w:t>community education session on drug</w:t>
      </w:r>
      <w:r w:rsidR="00A3617F">
        <w:rPr>
          <w:rFonts w:cstheme="minorHAnsi"/>
        </w:rPr>
        <w:t>,</w:t>
      </w:r>
      <w:r w:rsidRPr="00DD5BB1">
        <w:rPr>
          <w:rFonts w:cstheme="minorHAnsi"/>
        </w:rPr>
        <w:t xml:space="preserve"> alcohol and suicide</w:t>
      </w:r>
      <w:r w:rsidR="00A3617F">
        <w:rPr>
          <w:rFonts w:cstheme="minorHAnsi"/>
        </w:rPr>
        <w:t xml:space="preserve"> awareness</w:t>
      </w:r>
      <w:r w:rsidRPr="00DD5BB1">
        <w:rPr>
          <w:rFonts w:cstheme="minorHAnsi"/>
        </w:rPr>
        <w:t xml:space="preserve">, </w:t>
      </w:r>
      <w:r w:rsidR="001F3365">
        <w:rPr>
          <w:rFonts w:cstheme="minorHAnsi"/>
        </w:rPr>
        <w:t xml:space="preserve">and we </w:t>
      </w:r>
      <w:r w:rsidR="00A3617F">
        <w:rPr>
          <w:rFonts w:cstheme="minorHAnsi"/>
        </w:rPr>
        <w:t xml:space="preserve">received </w:t>
      </w:r>
      <w:r w:rsidR="001F3365">
        <w:rPr>
          <w:rFonts w:cstheme="minorHAnsi"/>
        </w:rPr>
        <w:t>an overwhelming response from the community. W</w:t>
      </w:r>
      <w:r w:rsidRPr="00DD5BB1">
        <w:rPr>
          <w:rFonts w:cstheme="minorHAnsi"/>
        </w:rPr>
        <w:t xml:space="preserve">e </w:t>
      </w:r>
      <w:r w:rsidR="001F3365">
        <w:rPr>
          <w:rFonts w:cstheme="minorHAnsi"/>
        </w:rPr>
        <w:t xml:space="preserve">funded </w:t>
      </w:r>
      <w:r w:rsidR="00A3617F">
        <w:rPr>
          <w:rFonts w:cstheme="minorHAnsi"/>
        </w:rPr>
        <w:t xml:space="preserve">the session </w:t>
      </w:r>
      <w:r w:rsidR="000D1D51" w:rsidRPr="00DD5BB1">
        <w:rPr>
          <w:rFonts w:cstheme="minorHAnsi"/>
        </w:rPr>
        <w:t>our</w:t>
      </w:r>
      <w:r w:rsidR="000D1D51">
        <w:rPr>
          <w:rFonts w:cstheme="minorHAnsi"/>
        </w:rPr>
        <w:t xml:space="preserve"> self</w:t>
      </w:r>
      <w:r w:rsidR="001F3365">
        <w:rPr>
          <w:rFonts w:cstheme="minorHAnsi"/>
        </w:rPr>
        <w:t>, and were only able to deliver it</w:t>
      </w:r>
      <w:r w:rsidRPr="00DD5BB1">
        <w:rPr>
          <w:rFonts w:cstheme="minorHAnsi"/>
        </w:rPr>
        <w:t xml:space="preserve"> because </w:t>
      </w:r>
      <w:r w:rsidR="001F3365">
        <w:rPr>
          <w:rFonts w:cstheme="minorHAnsi"/>
        </w:rPr>
        <w:t xml:space="preserve">staff </w:t>
      </w:r>
      <w:r w:rsidRPr="00DD5BB1">
        <w:rPr>
          <w:rFonts w:cstheme="minorHAnsi"/>
        </w:rPr>
        <w:t>were passionate enough to give their additional time to do so</w:t>
      </w:r>
      <w:r w:rsidRPr="00CE5891">
        <w:rPr>
          <w:rFonts w:cstheme="minorHAnsi"/>
        </w:rPr>
        <w:t xml:space="preserve">. </w:t>
      </w:r>
    </w:p>
    <w:p w14:paraId="22EBD571" w14:textId="77777777" w:rsidR="00CE5891" w:rsidRPr="00DD5BB1" w:rsidRDefault="00CE5891" w:rsidP="00CE5891">
      <w:pPr>
        <w:spacing w:after="0" w:line="276" w:lineRule="auto"/>
        <w:jc w:val="both"/>
        <w:rPr>
          <w:rFonts w:cstheme="minorHAnsi"/>
        </w:rPr>
      </w:pPr>
    </w:p>
    <w:p w14:paraId="749E6F8E" w14:textId="0CCAFCAE" w:rsidR="0031224F" w:rsidRDefault="00A3617F" w:rsidP="00CE58C0">
      <w:pPr>
        <w:spacing w:after="0" w:line="276" w:lineRule="auto"/>
        <w:jc w:val="both"/>
        <w:rPr>
          <w:rFonts w:cstheme="minorHAnsi"/>
        </w:rPr>
      </w:pPr>
      <w:r>
        <w:rPr>
          <w:rFonts w:cstheme="minorHAnsi"/>
        </w:rPr>
        <w:t>It is also important to enhance</w:t>
      </w:r>
      <w:r w:rsidR="00480B59">
        <w:rPr>
          <w:rFonts w:cstheme="minorHAnsi"/>
        </w:rPr>
        <w:t xml:space="preserve"> service navigation for users </w:t>
      </w:r>
      <w:r>
        <w:rPr>
          <w:rFonts w:cstheme="minorHAnsi"/>
        </w:rPr>
        <w:t>to provide the feeling of autonomy and control.</w:t>
      </w:r>
      <w:r w:rsidR="00480B59">
        <w:rPr>
          <w:rFonts w:cstheme="minorHAnsi"/>
        </w:rPr>
        <w:t xml:space="preserve"> </w:t>
      </w:r>
      <w:r>
        <w:rPr>
          <w:rFonts w:cstheme="minorHAnsi"/>
        </w:rPr>
        <w:t>A</w:t>
      </w:r>
      <w:r w:rsidR="00480B59">
        <w:rPr>
          <w:rFonts w:cstheme="minorHAnsi"/>
        </w:rPr>
        <w:t>pplying health literacy principles and using a co-design</w:t>
      </w:r>
      <w:r w:rsidR="00801291">
        <w:rPr>
          <w:rFonts w:cstheme="minorHAnsi"/>
        </w:rPr>
        <w:t xml:space="preserve"> approach</w:t>
      </w:r>
      <w:r w:rsidR="00480B59">
        <w:rPr>
          <w:rFonts w:cstheme="minorHAnsi"/>
        </w:rPr>
        <w:t xml:space="preserve"> will improve the ability for all to identify and access the services, support and care required.</w:t>
      </w:r>
    </w:p>
    <w:p w14:paraId="37FF4A5E" w14:textId="7D7359C4" w:rsidR="00941071" w:rsidRDefault="00941071" w:rsidP="00CE58C0">
      <w:pPr>
        <w:spacing w:after="0" w:line="276" w:lineRule="auto"/>
        <w:jc w:val="both"/>
        <w:rPr>
          <w:rFonts w:cstheme="minorHAnsi"/>
        </w:rPr>
      </w:pPr>
    </w:p>
    <w:p w14:paraId="4D479CBA" w14:textId="53A8C2C5" w:rsidR="00654CDD" w:rsidRDefault="00654CDD" w:rsidP="00CE58C0">
      <w:pPr>
        <w:spacing w:after="0" w:line="276" w:lineRule="auto"/>
        <w:jc w:val="both"/>
        <w:rPr>
          <w:rFonts w:cstheme="minorHAnsi"/>
        </w:rPr>
      </w:pPr>
    </w:p>
    <w:p w14:paraId="0C44F2E2" w14:textId="2EC5344F" w:rsidR="00654CDD" w:rsidRDefault="00654CDD" w:rsidP="00CE58C0">
      <w:pPr>
        <w:spacing w:after="0" w:line="276" w:lineRule="auto"/>
        <w:jc w:val="both"/>
        <w:rPr>
          <w:rFonts w:cstheme="minorHAnsi"/>
        </w:rPr>
      </w:pPr>
    </w:p>
    <w:p w14:paraId="5E747B10" w14:textId="418548DF" w:rsidR="00654CDD" w:rsidRDefault="00654CDD" w:rsidP="00CE58C0">
      <w:pPr>
        <w:spacing w:after="0" w:line="276" w:lineRule="auto"/>
        <w:jc w:val="both"/>
        <w:rPr>
          <w:rFonts w:cstheme="minorHAnsi"/>
        </w:rPr>
      </w:pPr>
    </w:p>
    <w:p w14:paraId="31496BF4" w14:textId="37F5633F" w:rsidR="00654CDD" w:rsidRDefault="00654CDD" w:rsidP="00CE58C0">
      <w:pPr>
        <w:spacing w:after="0" w:line="276" w:lineRule="auto"/>
        <w:jc w:val="both"/>
        <w:rPr>
          <w:rFonts w:cstheme="minorHAnsi"/>
        </w:rPr>
      </w:pPr>
    </w:p>
    <w:p w14:paraId="5BED4519" w14:textId="77777777" w:rsidR="00654CDD" w:rsidRDefault="00654CDD" w:rsidP="00CE58C0">
      <w:pPr>
        <w:spacing w:after="0" w:line="276" w:lineRule="auto"/>
        <w:jc w:val="both"/>
        <w:rPr>
          <w:rFonts w:cstheme="minorHAnsi"/>
        </w:rPr>
      </w:pPr>
    </w:p>
    <w:p w14:paraId="07B4A5A3" w14:textId="77777777" w:rsidR="00A14555" w:rsidRPr="002C5ACA" w:rsidRDefault="0012551D" w:rsidP="00A14555">
      <w:pPr>
        <w:spacing w:after="0" w:line="276" w:lineRule="auto"/>
        <w:jc w:val="both"/>
        <w:rPr>
          <w:rFonts w:cstheme="minorHAnsi"/>
          <w:b/>
          <w:i/>
        </w:rPr>
      </w:pPr>
      <w:r w:rsidRPr="002C5ACA">
        <w:rPr>
          <w:rFonts w:cstheme="minorHAnsi"/>
          <w:b/>
          <w:i/>
        </w:rPr>
        <w:lastRenderedPageBreak/>
        <w:t>Which forms of MH promotion are effective short and long term and what evidence supports this?</w:t>
      </w:r>
      <w:r w:rsidR="002D4829" w:rsidRPr="002D4829">
        <w:rPr>
          <w:rFonts w:cstheme="minorHAnsi"/>
          <w:b/>
          <w:i/>
        </w:rPr>
        <w:t xml:space="preserve"> </w:t>
      </w:r>
      <w:r w:rsidR="002D4829" w:rsidRPr="002C5ACA">
        <w:rPr>
          <w:rFonts w:cstheme="minorHAnsi"/>
          <w:b/>
          <w:i/>
        </w:rPr>
        <w:t>What changes do you recommend to address the specific issues of suicide and co-morbidities among people with mental illness? What evidence do you have to support this?</w:t>
      </w:r>
      <w:r w:rsidR="00A14555">
        <w:rPr>
          <w:rFonts w:cstheme="minorHAnsi"/>
          <w:b/>
          <w:i/>
        </w:rPr>
        <w:t xml:space="preserve"> </w:t>
      </w:r>
      <w:r w:rsidR="00A14555" w:rsidRPr="002C5ACA">
        <w:rPr>
          <w:rFonts w:cstheme="minorHAnsi"/>
          <w:b/>
          <w:i/>
        </w:rPr>
        <w:t>What health care reforms do you propose to address other specific health concerns relating to mental ill-health? What supporting evidence do you have?</w:t>
      </w:r>
    </w:p>
    <w:p w14:paraId="0121A62A" w14:textId="696FFF17" w:rsidR="00835C29" w:rsidRDefault="00835C29" w:rsidP="008741C7">
      <w:pPr>
        <w:spacing w:after="0" w:line="276" w:lineRule="auto"/>
        <w:jc w:val="both"/>
        <w:rPr>
          <w:rFonts w:cstheme="minorHAnsi"/>
        </w:rPr>
      </w:pPr>
    </w:p>
    <w:p w14:paraId="0899FFD5" w14:textId="2FD84240" w:rsidR="00906D5A" w:rsidRDefault="00FB49AA" w:rsidP="00C77BBA">
      <w:pPr>
        <w:spacing w:after="0" w:line="276" w:lineRule="auto"/>
        <w:jc w:val="both"/>
        <w:rPr>
          <w:rFonts w:cstheme="minorHAnsi"/>
        </w:rPr>
      </w:pPr>
      <w:r>
        <w:rPr>
          <w:rFonts w:cstheme="minorHAnsi"/>
        </w:rPr>
        <w:t>Prevention action that counters discrimination, advances inclusion and creates safe and respectful communities can build belonging and prosocial behaviours, ultimately enhancing</w:t>
      </w:r>
      <w:r w:rsidR="00543782">
        <w:rPr>
          <w:rFonts w:cstheme="minorHAnsi"/>
        </w:rPr>
        <w:t xml:space="preserve"> </w:t>
      </w:r>
      <w:r>
        <w:rPr>
          <w:rFonts w:cstheme="minorHAnsi"/>
        </w:rPr>
        <w:t xml:space="preserve">mental wellbeing </w:t>
      </w:r>
      <w:r w:rsidR="00CB4774">
        <w:rPr>
          <w:rFonts w:cstheme="minorHAnsi"/>
        </w:rPr>
        <w:t xml:space="preserve">at a </w:t>
      </w:r>
      <w:r>
        <w:rPr>
          <w:rFonts w:cstheme="minorHAnsi"/>
        </w:rPr>
        <w:t>population</w:t>
      </w:r>
      <w:r w:rsidR="00CB4774">
        <w:rPr>
          <w:rFonts w:cstheme="minorHAnsi"/>
        </w:rPr>
        <w:t xml:space="preserve"> level</w:t>
      </w:r>
      <w:r>
        <w:rPr>
          <w:rFonts w:cstheme="minorHAnsi"/>
        </w:rPr>
        <w:t>.</w:t>
      </w:r>
    </w:p>
    <w:p w14:paraId="2C61CCF4" w14:textId="3F007F36" w:rsidR="00543782" w:rsidRDefault="00543782" w:rsidP="00C77BBA">
      <w:pPr>
        <w:spacing w:after="0" w:line="276" w:lineRule="auto"/>
        <w:jc w:val="both"/>
        <w:rPr>
          <w:rFonts w:cstheme="minorHAnsi"/>
        </w:rPr>
      </w:pPr>
    </w:p>
    <w:p w14:paraId="1136B399" w14:textId="550598FC" w:rsidR="00AF0A4F" w:rsidRPr="00CB4774" w:rsidRDefault="00AF0A4F" w:rsidP="00C77BBA">
      <w:pPr>
        <w:autoSpaceDE w:val="0"/>
        <w:autoSpaceDN w:val="0"/>
        <w:adjustRightInd w:val="0"/>
        <w:spacing w:after="0" w:line="276" w:lineRule="auto"/>
        <w:jc w:val="both"/>
        <w:rPr>
          <w:rFonts w:cstheme="minorHAnsi"/>
          <w:bCs/>
        </w:rPr>
      </w:pPr>
      <w:r w:rsidRPr="00CB4774">
        <w:rPr>
          <w:rFonts w:cstheme="minorHAnsi"/>
          <w:bCs/>
        </w:rPr>
        <w:t xml:space="preserve">Evidence suggests that multi-dimensional approaches to suicide prevention are most effective. They appear to act synergistically to reduce stigma, change attitude and behaviours, in particular </w:t>
      </w:r>
      <w:r w:rsidR="00C301C0">
        <w:rPr>
          <w:rFonts w:cstheme="minorHAnsi"/>
          <w:bCs/>
        </w:rPr>
        <w:t xml:space="preserve">among </w:t>
      </w:r>
      <w:r w:rsidRPr="00CB4774">
        <w:rPr>
          <w:rFonts w:cstheme="minorHAnsi"/>
          <w:bCs/>
        </w:rPr>
        <w:t>men and boys</w:t>
      </w:r>
      <w:r w:rsidR="00C301C0">
        <w:rPr>
          <w:rFonts w:cstheme="minorHAnsi"/>
          <w:bCs/>
        </w:rPr>
        <w:t>,</w:t>
      </w:r>
      <w:r w:rsidRPr="00CB4774">
        <w:rPr>
          <w:rFonts w:cstheme="minorHAnsi"/>
          <w:bCs/>
        </w:rPr>
        <w:t xml:space="preserve"> which in turn contributes to reducing suicides rates (</w:t>
      </w:r>
      <w:r w:rsidRPr="00CB4774">
        <w:rPr>
          <w:rFonts w:cstheme="minorHAnsi"/>
        </w:rPr>
        <w:t>Roberston et al 2015)</w:t>
      </w:r>
      <w:r w:rsidR="00CB4774">
        <w:rPr>
          <w:rFonts w:cstheme="minorHAnsi"/>
        </w:rPr>
        <w:t>.</w:t>
      </w:r>
      <w:r w:rsidRPr="00CB4774">
        <w:rPr>
          <w:rFonts w:cstheme="minorHAnsi"/>
          <w:bCs/>
        </w:rPr>
        <w:t xml:space="preserve"> </w:t>
      </w:r>
      <w:r w:rsidR="00CB4774">
        <w:rPr>
          <w:rFonts w:cstheme="minorHAnsi"/>
          <w:bCs/>
        </w:rPr>
        <w:t xml:space="preserve">Applying a multi-dimensional approach considers all aspects of a person; their </w:t>
      </w:r>
      <w:r w:rsidR="00740D7B">
        <w:rPr>
          <w:rFonts w:cstheme="minorHAnsi"/>
          <w:bCs/>
        </w:rPr>
        <w:t xml:space="preserve">diet, </w:t>
      </w:r>
      <w:r w:rsidR="00CB4774">
        <w:rPr>
          <w:rFonts w:cstheme="minorHAnsi"/>
          <w:bCs/>
        </w:rPr>
        <w:t xml:space="preserve">emotional, environmental, spiritual, social, vocational, intellectual and </w:t>
      </w:r>
      <w:r w:rsidR="00CB4774" w:rsidRPr="00740D7B">
        <w:rPr>
          <w:rFonts w:cstheme="minorHAnsi"/>
          <w:bCs/>
        </w:rPr>
        <w:t>physical</w:t>
      </w:r>
      <w:r w:rsidR="00740D7B" w:rsidRPr="00740D7B">
        <w:rPr>
          <w:rFonts w:cstheme="minorHAnsi"/>
          <w:bCs/>
        </w:rPr>
        <w:t xml:space="preserve"> wellbeing </w:t>
      </w:r>
      <w:r w:rsidR="00CB4774" w:rsidRPr="00740D7B">
        <w:rPr>
          <w:rFonts w:cstheme="minorHAnsi"/>
          <w:bCs/>
        </w:rPr>
        <w:t>and</w:t>
      </w:r>
      <w:r w:rsidR="00CB4774">
        <w:rPr>
          <w:rFonts w:cstheme="minorHAnsi"/>
          <w:bCs/>
        </w:rPr>
        <w:t xml:space="preserve"> the interactions that impact mental wellbeing</w:t>
      </w:r>
      <w:r w:rsidR="008902DD">
        <w:rPr>
          <w:rFonts w:cstheme="minorHAnsi"/>
          <w:bCs/>
        </w:rPr>
        <w:t xml:space="preserve"> </w:t>
      </w:r>
      <w:r w:rsidR="008902DD" w:rsidRPr="00740D7B">
        <w:rPr>
          <w:rFonts w:cstheme="minorHAnsi"/>
          <w:bCs/>
        </w:rPr>
        <w:t>(Hidaka, 2012</w:t>
      </w:r>
      <w:r w:rsidR="008902DD">
        <w:rPr>
          <w:rFonts w:cstheme="minorHAnsi"/>
          <w:bCs/>
        </w:rPr>
        <w:t>)</w:t>
      </w:r>
      <w:r w:rsidR="002A0941">
        <w:rPr>
          <w:rFonts w:cstheme="minorHAnsi"/>
          <w:bCs/>
        </w:rPr>
        <w:t>.</w:t>
      </w:r>
    </w:p>
    <w:p w14:paraId="1288A7D7" w14:textId="04CC6B4A" w:rsidR="00CB4774" w:rsidRDefault="00CB4774" w:rsidP="002D4829">
      <w:pPr>
        <w:autoSpaceDE w:val="0"/>
        <w:autoSpaceDN w:val="0"/>
        <w:adjustRightInd w:val="0"/>
        <w:spacing w:after="0" w:line="276" w:lineRule="auto"/>
        <w:jc w:val="both"/>
        <w:rPr>
          <w:rFonts w:cstheme="minorHAnsi"/>
          <w:bCs/>
        </w:rPr>
      </w:pPr>
    </w:p>
    <w:p w14:paraId="0A7A6254" w14:textId="43B6D21D" w:rsidR="002D4829" w:rsidRDefault="002D4829" w:rsidP="002D4829">
      <w:pPr>
        <w:spacing w:after="0" w:line="276" w:lineRule="auto"/>
        <w:jc w:val="both"/>
        <w:rPr>
          <w:rFonts w:cstheme="minorHAnsi"/>
        </w:rPr>
      </w:pPr>
      <w:r>
        <w:rPr>
          <w:rFonts w:cstheme="minorHAnsi"/>
        </w:rPr>
        <w:t xml:space="preserve">Alarmingly, suicide is the leading cause of death among people aged 15-25 </w:t>
      </w:r>
      <w:r w:rsidR="00C8320B">
        <w:rPr>
          <w:rFonts w:cstheme="minorHAnsi"/>
        </w:rPr>
        <w:t xml:space="preserve">years </w:t>
      </w:r>
      <w:r>
        <w:rPr>
          <w:rFonts w:cstheme="minorHAnsi"/>
        </w:rPr>
        <w:t xml:space="preserve">in Australia (Black Dog Institute, 2017). </w:t>
      </w:r>
      <w:r w:rsidR="00C301C0">
        <w:rPr>
          <w:rFonts w:cstheme="minorHAnsi"/>
        </w:rPr>
        <w:t>T</w:t>
      </w:r>
      <w:r>
        <w:rPr>
          <w:rFonts w:cstheme="minorHAnsi"/>
        </w:rPr>
        <w:t xml:space="preserve">here is disparity within the youth population, with significantly higher rates of suicide </w:t>
      </w:r>
      <w:r w:rsidR="00C301C0">
        <w:rPr>
          <w:rFonts w:cstheme="minorHAnsi"/>
        </w:rPr>
        <w:t xml:space="preserve">among </w:t>
      </w:r>
      <w:r>
        <w:rPr>
          <w:rFonts w:cstheme="minorHAnsi"/>
        </w:rPr>
        <w:t>Aboriginal and Torres Strait Islander communities, gender and sexually diverse communities and male cohorts. Suicide prevention work is required alongside systemic action to redress the institutionalised discrimination that occurs for subpopulation groups. Connect Health</w:t>
      </w:r>
      <w:r w:rsidR="00484F76">
        <w:rPr>
          <w:rFonts w:cstheme="minorHAnsi"/>
        </w:rPr>
        <w:t xml:space="preserve"> &amp; Community</w:t>
      </w:r>
      <w:r>
        <w:rPr>
          <w:rFonts w:cstheme="minorHAnsi"/>
        </w:rPr>
        <w:t xml:space="preserve"> </w:t>
      </w:r>
      <w:r w:rsidR="00484F76">
        <w:rPr>
          <w:rFonts w:cstheme="minorHAnsi"/>
        </w:rPr>
        <w:t xml:space="preserve">is </w:t>
      </w:r>
      <w:r>
        <w:rPr>
          <w:rFonts w:cstheme="minorHAnsi"/>
        </w:rPr>
        <w:t>establishing a community suicide prevention network</w:t>
      </w:r>
      <w:r w:rsidR="00801291">
        <w:rPr>
          <w:rFonts w:cstheme="minorHAnsi"/>
        </w:rPr>
        <w:t>,</w:t>
      </w:r>
      <w:r>
        <w:rPr>
          <w:rFonts w:cstheme="minorHAnsi"/>
        </w:rPr>
        <w:t xml:space="preserve"> </w:t>
      </w:r>
      <w:r w:rsidR="00484F76">
        <w:rPr>
          <w:rFonts w:cstheme="minorHAnsi"/>
        </w:rPr>
        <w:t xml:space="preserve">with whom </w:t>
      </w:r>
      <w:r w:rsidR="00413F66">
        <w:rPr>
          <w:rFonts w:cstheme="minorHAnsi"/>
        </w:rPr>
        <w:t xml:space="preserve">we </w:t>
      </w:r>
      <w:r>
        <w:rPr>
          <w:rFonts w:cstheme="minorHAnsi"/>
        </w:rPr>
        <w:t>will work collaboratively to identify actions required to bring about change in our community.</w:t>
      </w:r>
    </w:p>
    <w:p w14:paraId="272B1B50" w14:textId="77777777" w:rsidR="002B0FC4" w:rsidRDefault="002B0FC4" w:rsidP="002D4829">
      <w:pPr>
        <w:spacing w:after="0" w:line="276" w:lineRule="auto"/>
        <w:jc w:val="both"/>
        <w:rPr>
          <w:rFonts w:cstheme="minorHAnsi"/>
        </w:rPr>
      </w:pPr>
    </w:p>
    <w:p w14:paraId="773E9B60" w14:textId="384E4BB7" w:rsidR="00053443" w:rsidRDefault="00053443" w:rsidP="00053443">
      <w:pPr>
        <w:spacing w:after="0" w:line="276" w:lineRule="auto"/>
        <w:jc w:val="both"/>
        <w:rPr>
          <w:rFonts w:cstheme="minorHAnsi"/>
        </w:rPr>
      </w:pPr>
      <w:r>
        <w:rPr>
          <w:rFonts w:cstheme="minorHAnsi"/>
        </w:rPr>
        <w:t>Implementing incentive programs for private and non-private organisations to become i</w:t>
      </w:r>
      <w:r w:rsidRPr="00A05711">
        <w:rPr>
          <w:rFonts w:cstheme="minorHAnsi"/>
        </w:rPr>
        <w:t>nclusive services and settings</w:t>
      </w:r>
      <w:r>
        <w:rPr>
          <w:rFonts w:cstheme="minorHAnsi"/>
        </w:rPr>
        <w:t xml:space="preserve"> would</w:t>
      </w:r>
      <w:r w:rsidR="00484F76">
        <w:rPr>
          <w:rFonts w:cstheme="minorHAnsi"/>
        </w:rPr>
        <w:t xml:space="preserve"> provide meaningful</w:t>
      </w:r>
      <w:r>
        <w:rPr>
          <w:rFonts w:cstheme="minorHAnsi"/>
        </w:rPr>
        <w:t xml:space="preserve"> support </w:t>
      </w:r>
      <w:r w:rsidR="00484F76">
        <w:rPr>
          <w:rFonts w:cstheme="minorHAnsi"/>
        </w:rPr>
        <w:t xml:space="preserve">to </w:t>
      </w:r>
      <w:r>
        <w:rPr>
          <w:rFonts w:cstheme="minorHAnsi"/>
        </w:rPr>
        <w:t>sub</w:t>
      </w:r>
      <w:r w:rsidR="00484F76">
        <w:rPr>
          <w:rFonts w:cstheme="minorHAnsi"/>
        </w:rPr>
        <w:t>-</w:t>
      </w:r>
      <w:r>
        <w:rPr>
          <w:rFonts w:cstheme="minorHAnsi"/>
        </w:rPr>
        <w:t xml:space="preserve">population groups who face conscious and unconscious discrimination </w:t>
      </w:r>
      <w:r w:rsidR="00484F76">
        <w:rPr>
          <w:rFonts w:cstheme="minorHAnsi"/>
        </w:rPr>
        <w:t>with</w:t>
      </w:r>
      <w:r>
        <w:rPr>
          <w:rFonts w:cstheme="minorHAnsi"/>
        </w:rPr>
        <w:t>in the community. For example, encouraging rainbow tick accreditation to reduce the implicit bias felt by g</w:t>
      </w:r>
      <w:r w:rsidRPr="00A05711">
        <w:rPr>
          <w:rFonts w:cstheme="minorHAnsi"/>
        </w:rPr>
        <w:t>ender and sexually diverse people and communities</w:t>
      </w:r>
      <w:r w:rsidR="00484F76">
        <w:rPr>
          <w:rFonts w:cstheme="minorHAnsi"/>
        </w:rPr>
        <w:t xml:space="preserve"> would help break down barriers</w:t>
      </w:r>
      <w:r w:rsidRPr="00A05711">
        <w:rPr>
          <w:rFonts w:cstheme="minorHAnsi"/>
        </w:rPr>
        <w:t>.</w:t>
      </w:r>
      <w:r>
        <w:rPr>
          <w:rFonts w:cstheme="minorHAnsi"/>
        </w:rPr>
        <w:t xml:space="preserve"> Incentives could be linked to insurance, for example work cover. </w:t>
      </w:r>
    </w:p>
    <w:p w14:paraId="794C0EC7" w14:textId="77777777" w:rsidR="00053443" w:rsidRPr="00CE58C0" w:rsidRDefault="00053443" w:rsidP="00053443">
      <w:pPr>
        <w:spacing w:after="0" w:line="276" w:lineRule="auto"/>
        <w:jc w:val="both"/>
        <w:rPr>
          <w:rFonts w:cstheme="minorHAnsi"/>
        </w:rPr>
      </w:pPr>
    </w:p>
    <w:p w14:paraId="50213A8C" w14:textId="7EE54B4B" w:rsidR="002B0FC4" w:rsidRDefault="002B0FC4" w:rsidP="002B0FC4">
      <w:pPr>
        <w:spacing w:after="0" w:line="276" w:lineRule="auto"/>
        <w:jc w:val="both"/>
        <w:rPr>
          <w:rFonts w:cstheme="minorHAnsi"/>
        </w:rPr>
      </w:pPr>
      <w:r w:rsidRPr="002B0FC4">
        <w:rPr>
          <w:rFonts w:cstheme="minorHAnsi"/>
        </w:rPr>
        <w:t xml:space="preserve">Crisis supports </w:t>
      </w:r>
      <w:r w:rsidR="00053443">
        <w:rPr>
          <w:rFonts w:cstheme="minorHAnsi"/>
        </w:rPr>
        <w:t xml:space="preserve">are </w:t>
      </w:r>
      <w:r w:rsidRPr="002B0FC4">
        <w:rPr>
          <w:rFonts w:cstheme="minorHAnsi"/>
        </w:rPr>
        <w:t>not able to impact prevention of suicide because they are working within a system constantly under pressure and needing to push these people back into community supports. These supports, sub-acute and community, are under resourced and trained to deal with such complexities and if they do, do so without any funding support</w:t>
      </w:r>
      <w:r>
        <w:rPr>
          <w:rFonts w:cstheme="minorHAnsi"/>
        </w:rPr>
        <w:t>.</w:t>
      </w:r>
      <w:r w:rsidR="00053443">
        <w:rPr>
          <w:rFonts w:cstheme="minorHAnsi"/>
        </w:rPr>
        <w:t xml:space="preserve"> Increased funding and flexible funding guidelines are required to allow sub-acute and community staff to deliver prevention based initiatives.</w:t>
      </w:r>
    </w:p>
    <w:p w14:paraId="3D866632" w14:textId="680B6002" w:rsidR="00053443" w:rsidRDefault="00053443" w:rsidP="002B0FC4">
      <w:pPr>
        <w:spacing w:after="0" w:line="276" w:lineRule="auto"/>
        <w:jc w:val="both"/>
        <w:rPr>
          <w:rFonts w:cstheme="minorHAnsi"/>
        </w:rPr>
      </w:pPr>
    </w:p>
    <w:p w14:paraId="0F3904EC" w14:textId="251D6FC5" w:rsidR="00053443" w:rsidRDefault="00053443" w:rsidP="00053443">
      <w:pPr>
        <w:spacing w:after="0" w:line="276" w:lineRule="auto"/>
        <w:jc w:val="both"/>
        <w:rPr>
          <w:rFonts w:cstheme="minorHAnsi"/>
        </w:rPr>
      </w:pPr>
      <w:r w:rsidRPr="002B0FC4">
        <w:rPr>
          <w:rFonts w:cstheme="minorHAnsi"/>
        </w:rPr>
        <w:t>Clearer understanding of what different age groups require in regard to suicide prevention</w:t>
      </w:r>
      <w:r>
        <w:rPr>
          <w:rFonts w:cstheme="minorHAnsi"/>
        </w:rPr>
        <w:t xml:space="preserve"> is essential. We must work with different cohorts and sub</w:t>
      </w:r>
      <w:r w:rsidR="00484F76">
        <w:rPr>
          <w:rFonts w:cstheme="minorHAnsi"/>
        </w:rPr>
        <w:t>-</w:t>
      </w:r>
      <w:r>
        <w:rPr>
          <w:rFonts w:cstheme="minorHAnsi"/>
        </w:rPr>
        <w:t xml:space="preserve">population groups to develop responsive and relevant actions. </w:t>
      </w:r>
      <w:r w:rsidRPr="002B0FC4">
        <w:rPr>
          <w:rFonts w:cstheme="minorHAnsi"/>
        </w:rPr>
        <w:t>Better a</w:t>
      </w:r>
      <w:r w:rsidR="00484F76">
        <w:rPr>
          <w:rFonts w:cstheme="minorHAnsi"/>
        </w:rPr>
        <w:t>nd more thorough family support is essential</w:t>
      </w:r>
      <w:r w:rsidRPr="002B0FC4">
        <w:rPr>
          <w:rFonts w:cstheme="minorHAnsi"/>
        </w:rPr>
        <w:t xml:space="preserve"> for those at risk of suicide and </w:t>
      </w:r>
      <w:r w:rsidR="00484F76">
        <w:rPr>
          <w:rFonts w:cstheme="minorHAnsi"/>
        </w:rPr>
        <w:t xml:space="preserve">the families of </w:t>
      </w:r>
      <w:r w:rsidRPr="002B0FC4">
        <w:rPr>
          <w:rFonts w:cstheme="minorHAnsi"/>
        </w:rPr>
        <w:t xml:space="preserve">those who have died by suicide </w:t>
      </w:r>
      <w:r w:rsidR="00484F76">
        <w:rPr>
          <w:rFonts w:cstheme="minorHAnsi"/>
        </w:rPr>
        <w:t xml:space="preserve">and those </w:t>
      </w:r>
      <w:r w:rsidRPr="002B0FC4">
        <w:rPr>
          <w:rFonts w:cstheme="minorHAnsi"/>
        </w:rPr>
        <w:t>impacted by another person’s suicide</w:t>
      </w:r>
      <w:r w:rsidR="00484F76">
        <w:rPr>
          <w:rFonts w:cstheme="minorHAnsi"/>
        </w:rPr>
        <w:t>. The ripple-</w:t>
      </w:r>
      <w:r>
        <w:rPr>
          <w:rFonts w:cstheme="minorHAnsi"/>
        </w:rPr>
        <w:t>effect of suicidality and suicide is far reaching, it can trigger different thoughts and feelings for people directly and indirectly connected to the individual.</w:t>
      </w:r>
    </w:p>
    <w:p w14:paraId="212AA3D9" w14:textId="77777777" w:rsidR="00C44382" w:rsidRPr="001922B9" w:rsidRDefault="00C44382" w:rsidP="00C44382">
      <w:pPr>
        <w:spacing w:after="0" w:line="276" w:lineRule="auto"/>
        <w:jc w:val="both"/>
        <w:rPr>
          <w:rFonts w:cstheme="minorHAnsi"/>
        </w:rPr>
      </w:pPr>
    </w:p>
    <w:p w14:paraId="7BDC7573" w14:textId="01931C8E" w:rsidR="00C44382" w:rsidRPr="001922B9" w:rsidRDefault="00C44382" w:rsidP="00C44382">
      <w:pPr>
        <w:spacing w:after="0" w:line="276" w:lineRule="auto"/>
        <w:jc w:val="both"/>
        <w:rPr>
          <w:rFonts w:cstheme="minorHAnsi"/>
        </w:rPr>
      </w:pPr>
      <w:r>
        <w:rPr>
          <w:rFonts w:cstheme="minorHAnsi"/>
        </w:rPr>
        <w:t>People who are sexual</w:t>
      </w:r>
      <w:r w:rsidR="00484F76">
        <w:rPr>
          <w:rFonts w:cstheme="minorHAnsi"/>
        </w:rPr>
        <w:t>ly</w:t>
      </w:r>
      <w:r>
        <w:rPr>
          <w:rFonts w:cstheme="minorHAnsi"/>
        </w:rPr>
        <w:t xml:space="preserve"> and gender diverse face </w:t>
      </w:r>
      <w:r w:rsidR="00484F76">
        <w:rPr>
          <w:rFonts w:cstheme="minorHAnsi"/>
        </w:rPr>
        <w:t>up-</w:t>
      </w:r>
      <w:r w:rsidR="00330106">
        <w:rPr>
          <w:rFonts w:cstheme="minorHAnsi"/>
        </w:rPr>
        <w:t>to twice as much abuse and violence (including physical, mental, sexual or emotional) than their heterosexual counterparts</w:t>
      </w:r>
      <w:r w:rsidR="00BF5E14">
        <w:rPr>
          <w:rFonts w:cstheme="minorHAnsi"/>
        </w:rPr>
        <w:t xml:space="preserve">. The discrimination, prejudice </w:t>
      </w:r>
      <w:r w:rsidR="00BF5E14">
        <w:rPr>
          <w:rFonts w:cstheme="minorHAnsi"/>
        </w:rPr>
        <w:lastRenderedPageBreak/>
        <w:t xml:space="preserve">and exclusion can </w:t>
      </w:r>
      <w:r w:rsidR="00330106">
        <w:rPr>
          <w:rFonts w:cstheme="minorHAnsi"/>
        </w:rPr>
        <w:t xml:space="preserve">lead to increased risk of depression and anxiety, substance abuse, </w:t>
      </w:r>
      <w:r w:rsidR="00BF5E14">
        <w:rPr>
          <w:rFonts w:cstheme="minorHAnsi"/>
        </w:rPr>
        <w:t>self-harming and suicide thoughts (Beyond Blue</w:t>
      </w:r>
      <w:r w:rsidR="002531EA">
        <w:rPr>
          <w:rFonts w:cstheme="minorHAnsi"/>
        </w:rPr>
        <w:t>,</w:t>
      </w:r>
      <w:r w:rsidR="00BF5E14">
        <w:rPr>
          <w:rFonts w:cstheme="minorHAnsi"/>
        </w:rPr>
        <w:t xml:space="preserve"> 2019). </w:t>
      </w:r>
    </w:p>
    <w:p w14:paraId="5392B0C4" w14:textId="77777777" w:rsidR="00C44382" w:rsidRPr="008741C7" w:rsidRDefault="00C44382" w:rsidP="00C44382">
      <w:pPr>
        <w:spacing w:after="0" w:line="276" w:lineRule="auto"/>
        <w:jc w:val="both"/>
        <w:rPr>
          <w:rFonts w:cstheme="minorHAnsi"/>
          <w:b/>
        </w:rPr>
      </w:pPr>
    </w:p>
    <w:p w14:paraId="51A0738B" w14:textId="7620D96F" w:rsidR="00C44382" w:rsidRDefault="00D870E6" w:rsidP="00C44382">
      <w:pPr>
        <w:spacing w:after="0" w:line="276" w:lineRule="auto"/>
        <w:jc w:val="both"/>
        <w:rPr>
          <w:rFonts w:cstheme="minorHAnsi"/>
        </w:rPr>
      </w:pPr>
      <w:r>
        <w:rPr>
          <w:rFonts w:cstheme="minorHAnsi"/>
        </w:rPr>
        <w:t>For example, a</w:t>
      </w:r>
      <w:r w:rsidR="00C44382" w:rsidRPr="00F976E8">
        <w:rPr>
          <w:rFonts w:cstheme="minorHAnsi"/>
        </w:rPr>
        <w:t xml:space="preserve"> young transgender person was subjected to abuse from their family after </w:t>
      </w:r>
      <w:r w:rsidR="00984BE9" w:rsidRPr="00F976E8">
        <w:rPr>
          <w:rFonts w:cstheme="minorHAnsi"/>
        </w:rPr>
        <w:t xml:space="preserve">they chose </w:t>
      </w:r>
      <w:r w:rsidR="00C44382" w:rsidRPr="00F976E8">
        <w:rPr>
          <w:rFonts w:cstheme="minorHAnsi"/>
        </w:rPr>
        <w:t xml:space="preserve">not to deny their true gender. The family gave the young person an ultimatum, to either live as the sex they were born and conform to the family’s culture and interpretation of religious beliefs or leave. This rejection forced the young person into supported accommodation and caused financial pressures, exacerbating </w:t>
      </w:r>
      <w:r w:rsidR="00484F76">
        <w:rPr>
          <w:rFonts w:cstheme="minorHAnsi"/>
        </w:rPr>
        <w:t xml:space="preserve">their </w:t>
      </w:r>
      <w:r w:rsidR="00C44382" w:rsidRPr="00F976E8">
        <w:rPr>
          <w:rFonts w:cstheme="minorHAnsi"/>
        </w:rPr>
        <w:t>existing mental ill-health.</w:t>
      </w:r>
    </w:p>
    <w:p w14:paraId="512A7D79" w14:textId="77777777" w:rsidR="00C44382" w:rsidRDefault="00C44382" w:rsidP="00C44382">
      <w:pPr>
        <w:spacing w:after="0" w:line="276" w:lineRule="auto"/>
        <w:jc w:val="both"/>
        <w:rPr>
          <w:rFonts w:cstheme="minorHAnsi"/>
        </w:rPr>
      </w:pPr>
    </w:p>
    <w:p w14:paraId="2405EE98" w14:textId="01E934B3" w:rsidR="00053443" w:rsidRPr="002B0FC4" w:rsidRDefault="00053443" w:rsidP="00053443">
      <w:pPr>
        <w:spacing w:after="0" w:line="276" w:lineRule="auto"/>
        <w:jc w:val="both"/>
        <w:rPr>
          <w:rFonts w:cstheme="minorHAnsi"/>
        </w:rPr>
      </w:pPr>
      <w:r>
        <w:rPr>
          <w:rFonts w:cstheme="minorHAnsi"/>
        </w:rPr>
        <w:t>A r</w:t>
      </w:r>
      <w:r w:rsidRPr="002B0FC4">
        <w:rPr>
          <w:rFonts w:cstheme="minorHAnsi"/>
        </w:rPr>
        <w:t xml:space="preserve">eview of crisis triage procedures for </w:t>
      </w:r>
      <w:r>
        <w:rPr>
          <w:rFonts w:cstheme="minorHAnsi"/>
        </w:rPr>
        <w:t xml:space="preserve">patients </w:t>
      </w:r>
      <w:r w:rsidRPr="002B0FC4">
        <w:rPr>
          <w:rFonts w:cstheme="minorHAnsi"/>
        </w:rPr>
        <w:t xml:space="preserve">presenting as </w:t>
      </w:r>
      <w:r w:rsidR="00484F76">
        <w:rPr>
          <w:rFonts w:cstheme="minorHAnsi"/>
        </w:rPr>
        <w:t>‘</w:t>
      </w:r>
      <w:r w:rsidRPr="002B0FC4">
        <w:rPr>
          <w:rFonts w:cstheme="minorHAnsi"/>
        </w:rPr>
        <w:t>at risk</w:t>
      </w:r>
      <w:r w:rsidR="00484F76">
        <w:rPr>
          <w:rFonts w:cstheme="minorHAnsi"/>
        </w:rPr>
        <w:t>’</w:t>
      </w:r>
      <w:r>
        <w:rPr>
          <w:rFonts w:cstheme="minorHAnsi"/>
        </w:rPr>
        <w:t xml:space="preserve"> is required</w:t>
      </w:r>
      <w:r w:rsidRPr="002B0FC4">
        <w:rPr>
          <w:rFonts w:cstheme="minorHAnsi"/>
        </w:rPr>
        <w:t xml:space="preserve">; we have had multiple clients report extensive waits in </w:t>
      </w:r>
      <w:r>
        <w:rPr>
          <w:rFonts w:cstheme="minorHAnsi"/>
        </w:rPr>
        <w:t>e</w:t>
      </w:r>
      <w:r w:rsidRPr="002B0FC4">
        <w:rPr>
          <w:rFonts w:cstheme="minorHAnsi"/>
        </w:rPr>
        <w:t>mergency rooms</w:t>
      </w:r>
      <w:r>
        <w:rPr>
          <w:rFonts w:cstheme="minorHAnsi"/>
        </w:rPr>
        <w:t xml:space="preserve"> (ER)</w:t>
      </w:r>
      <w:r w:rsidRPr="002B0FC4">
        <w:rPr>
          <w:rFonts w:cstheme="minorHAnsi"/>
        </w:rPr>
        <w:t xml:space="preserve">. Evidence of this is already well established in </w:t>
      </w:r>
      <w:r>
        <w:rPr>
          <w:rFonts w:cstheme="minorHAnsi"/>
        </w:rPr>
        <w:t>state-wide reports on ER wait</w:t>
      </w:r>
      <w:r w:rsidRPr="002B0FC4">
        <w:rPr>
          <w:rFonts w:cstheme="minorHAnsi"/>
        </w:rPr>
        <w:t xml:space="preserve"> times and issues. </w:t>
      </w:r>
      <w:r>
        <w:rPr>
          <w:rFonts w:cstheme="minorHAnsi"/>
        </w:rPr>
        <w:t>For example, Connect Health</w:t>
      </w:r>
      <w:r w:rsidR="00484F76">
        <w:rPr>
          <w:rFonts w:cstheme="minorHAnsi"/>
        </w:rPr>
        <w:t xml:space="preserve"> &amp; Community</w:t>
      </w:r>
      <w:r>
        <w:rPr>
          <w:rFonts w:cstheme="minorHAnsi"/>
        </w:rPr>
        <w:t xml:space="preserve"> </w:t>
      </w:r>
      <w:r w:rsidRPr="002B0FC4">
        <w:rPr>
          <w:rFonts w:cstheme="minorHAnsi"/>
        </w:rPr>
        <w:t xml:space="preserve">had </w:t>
      </w:r>
      <w:r>
        <w:rPr>
          <w:rFonts w:cstheme="minorHAnsi"/>
        </w:rPr>
        <w:t>a</w:t>
      </w:r>
      <w:r w:rsidR="009439DD">
        <w:rPr>
          <w:rFonts w:cstheme="minorHAnsi"/>
        </w:rPr>
        <w:t>n adolescent</w:t>
      </w:r>
      <w:r>
        <w:rPr>
          <w:rFonts w:cstheme="minorHAnsi"/>
        </w:rPr>
        <w:t xml:space="preserve"> </w:t>
      </w:r>
      <w:r w:rsidR="00484F76">
        <w:rPr>
          <w:rFonts w:cstheme="minorHAnsi"/>
        </w:rPr>
        <w:t>client</w:t>
      </w:r>
      <w:r w:rsidRPr="002B0FC4">
        <w:rPr>
          <w:rFonts w:cstheme="minorHAnsi"/>
        </w:rPr>
        <w:t xml:space="preserve"> </w:t>
      </w:r>
      <w:r w:rsidR="00484F76">
        <w:rPr>
          <w:rFonts w:cstheme="minorHAnsi"/>
        </w:rPr>
        <w:t>(</w:t>
      </w:r>
      <w:r w:rsidRPr="002B0FC4">
        <w:rPr>
          <w:rFonts w:cstheme="minorHAnsi"/>
        </w:rPr>
        <w:t>accompanied by a worker</w:t>
      </w:r>
      <w:r w:rsidR="00484F76">
        <w:rPr>
          <w:rFonts w:cstheme="minorHAnsi"/>
        </w:rPr>
        <w:t>)</w:t>
      </w:r>
      <w:r w:rsidRPr="002B0FC4">
        <w:rPr>
          <w:rFonts w:cstheme="minorHAnsi"/>
        </w:rPr>
        <w:t xml:space="preserve"> wait </w:t>
      </w:r>
      <w:r w:rsidR="009439DD">
        <w:rPr>
          <w:rFonts w:cstheme="minorHAnsi"/>
        </w:rPr>
        <w:t xml:space="preserve">seven </w:t>
      </w:r>
      <w:r w:rsidRPr="002B0FC4">
        <w:rPr>
          <w:rFonts w:cstheme="minorHAnsi"/>
        </w:rPr>
        <w:t xml:space="preserve">hours in a busy, chaotic waiting room for an assessment. </w:t>
      </w:r>
      <w:r>
        <w:rPr>
          <w:rFonts w:cstheme="minorHAnsi"/>
        </w:rPr>
        <w:t xml:space="preserve">Connect Health </w:t>
      </w:r>
      <w:r w:rsidR="00484F76">
        <w:rPr>
          <w:rFonts w:cstheme="minorHAnsi"/>
        </w:rPr>
        <w:t xml:space="preserve">&amp; Community </w:t>
      </w:r>
      <w:r w:rsidRPr="002B0FC4">
        <w:rPr>
          <w:rFonts w:cstheme="minorHAnsi"/>
        </w:rPr>
        <w:t>had another teenager wait five hours</w:t>
      </w:r>
      <w:r w:rsidR="00484F76">
        <w:rPr>
          <w:rFonts w:cstheme="minorHAnsi"/>
        </w:rPr>
        <w:t xml:space="preserve"> in the</w:t>
      </w:r>
      <w:r w:rsidRPr="002B0FC4">
        <w:rPr>
          <w:rFonts w:cstheme="minorHAnsi"/>
        </w:rPr>
        <w:t xml:space="preserve"> same setting, only to be told on assessment, </w:t>
      </w:r>
      <w:r w:rsidR="00484F76">
        <w:rPr>
          <w:rFonts w:cstheme="minorHAnsi"/>
        </w:rPr>
        <w:t>“Y</w:t>
      </w:r>
      <w:r w:rsidRPr="002B0FC4">
        <w:rPr>
          <w:rFonts w:cstheme="minorHAnsi"/>
          <w:i/>
        </w:rPr>
        <w:t>ou’re not psychotic mate. Those are not voices you are hearing. You need to decide if you are going to pull up your socks</w:t>
      </w:r>
      <w:r w:rsidR="00484F76">
        <w:rPr>
          <w:rFonts w:cstheme="minorHAnsi"/>
          <w:i/>
        </w:rPr>
        <w:t>”</w:t>
      </w:r>
      <w:r w:rsidRPr="002B0FC4">
        <w:rPr>
          <w:rFonts w:cstheme="minorHAnsi"/>
          <w:i/>
        </w:rPr>
        <w:t xml:space="preserve"> </w:t>
      </w:r>
      <w:r w:rsidRPr="002B0FC4">
        <w:rPr>
          <w:rFonts w:cstheme="minorHAnsi"/>
        </w:rPr>
        <w:t>He was then discharged</w:t>
      </w:r>
      <w:r w:rsidR="009439DD">
        <w:rPr>
          <w:rFonts w:cstheme="minorHAnsi"/>
        </w:rPr>
        <w:t>.</w:t>
      </w:r>
    </w:p>
    <w:p w14:paraId="176F1062" w14:textId="77777777" w:rsidR="00053443" w:rsidRDefault="00053443" w:rsidP="002B0FC4">
      <w:pPr>
        <w:spacing w:after="0" w:line="276" w:lineRule="auto"/>
        <w:jc w:val="both"/>
        <w:rPr>
          <w:rFonts w:cstheme="minorHAnsi"/>
        </w:rPr>
      </w:pPr>
    </w:p>
    <w:p w14:paraId="084556DD" w14:textId="736A42B7" w:rsidR="00B26FEF" w:rsidRDefault="002B0FC4" w:rsidP="00B26FEF">
      <w:pPr>
        <w:spacing w:after="0" w:line="276" w:lineRule="auto"/>
        <w:jc w:val="both"/>
        <w:rPr>
          <w:rFonts w:cstheme="minorHAnsi"/>
          <w:color w:val="000000"/>
          <w:shd w:val="clear" w:color="auto" w:fill="FFFFFF"/>
        </w:rPr>
      </w:pPr>
      <w:r w:rsidRPr="002B0FC4">
        <w:rPr>
          <w:rFonts w:cstheme="minorHAnsi"/>
        </w:rPr>
        <w:t>Tighter social media controls; especially for young people</w:t>
      </w:r>
      <w:r w:rsidR="009439DD">
        <w:rPr>
          <w:rFonts w:cstheme="minorHAnsi"/>
        </w:rPr>
        <w:t xml:space="preserve"> is necessary to </w:t>
      </w:r>
      <w:r w:rsidR="00484F76">
        <w:rPr>
          <w:rFonts w:cstheme="minorHAnsi"/>
        </w:rPr>
        <w:t>protect young people from cyber-</w:t>
      </w:r>
      <w:r w:rsidR="009439DD">
        <w:rPr>
          <w:rFonts w:cstheme="minorHAnsi"/>
        </w:rPr>
        <w:t>bullying</w:t>
      </w:r>
      <w:r w:rsidR="00484F76">
        <w:rPr>
          <w:rFonts w:cstheme="minorHAnsi"/>
        </w:rPr>
        <w:t>,</w:t>
      </w:r>
      <w:r w:rsidR="009439DD">
        <w:rPr>
          <w:rFonts w:cstheme="minorHAnsi"/>
        </w:rPr>
        <w:t xml:space="preserve"> exposure to sexualised material</w:t>
      </w:r>
      <w:r w:rsidR="00484F76">
        <w:rPr>
          <w:rFonts w:cstheme="minorHAnsi"/>
        </w:rPr>
        <w:t>,</w:t>
      </w:r>
      <w:r w:rsidR="009439DD">
        <w:rPr>
          <w:rFonts w:cstheme="minorHAnsi"/>
        </w:rPr>
        <w:t xml:space="preserve"> offensive and discriminatory content that directly impacts an individual’s beliefs, self-worth and mental </w:t>
      </w:r>
      <w:r w:rsidR="009439DD" w:rsidRPr="00984BE9">
        <w:rPr>
          <w:rFonts w:cstheme="minorHAnsi"/>
        </w:rPr>
        <w:t>wellbeing.</w:t>
      </w:r>
      <w:r w:rsidR="00984BE9" w:rsidRPr="00984BE9">
        <w:rPr>
          <w:rFonts w:cstheme="minorHAnsi"/>
        </w:rPr>
        <w:t xml:space="preserve"> ”Facebook depression, </w:t>
      </w:r>
      <w:r w:rsidR="00984BE9" w:rsidRPr="00984BE9">
        <w:rPr>
          <w:rFonts w:cstheme="minorHAnsi"/>
          <w:color w:val="000000"/>
          <w:shd w:val="clear" w:color="auto" w:fill="FFFFFF"/>
        </w:rPr>
        <w:t>develops when teens and preteens spend time on social media sites and then begin to exhibit classic symptoms of depression due to the intensity of the online world”</w:t>
      </w:r>
      <w:r w:rsidR="00984BE9">
        <w:rPr>
          <w:rFonts w:cstheme="minorHAnsi"/>
          <w:color w:val="000000"/>
          <w:shd w:val="clear" w:color="auto" w:fill="FFFFFF"/>
        </w:rPr>
        <w:t xml:space="preserve"> (</w:t>
      </w:r>
      <w:r w:rsidR="00B80047">
        <w:rPr>
          <w:rFonts w:cstheme="minorHAnsi"/>
          <w:color w:val="000000"/>
          <w:shd w:val="clear" w:color="auto" w:fill="FFFFFF"/>
        </w:rPr>
        <w:t>Mir et al, n</w:t>
      </w:r>
      <w:r w:rsidR="00984BE9">
        <w:rPr>
          <w:rFonts w:cstheme="minorHAnsi"/>
          <w:color w:val="000000"/>
          <w:shd w:val="clear" w:color="auto" w:fill="FFFFFF"/>
        </w:rPr>
        <w:t>.</w:t>
      </w:r>
      <w:r w:rsidR="00B80047">
        <w:rPr>
          <w:rFonts w:cstheme="minorHAnsi"/>
          <w:color w:val="000000"/>
          <w:shd w:val="clear" w:color="auto" w:fill="FFFFFF"/>
        </w:rPr>
        <w:t>d</w:t>
      </w:r>
      <w:r w:rsidR="00984BE9">
        <w:rPr>
          <w:rFonts w:cstheme="minorHAnsi"/>
          <w:color w:val="000000"/>
          <w:shd w:val="clear" w:color="auto" w:fill="FFFFFF"/>
        </w:rPr>
        <w:t xml:space="preserve">). </w:t>
      </w:r>
      <w:r w:rsidR="00BE4302">
        <w:rPr>
          <w:rFonts w:cstheme="minorHAnsi"/>
          <w:color w:val="000000"/>
          <w:shd w:val="clear" w:color="auto" w:fill="FFFFFF"/>
        </w:rPr>
        <w:t xml:space="preserve">Social media is a platform where individuals can display their positive attributes and aspects of their lives, it also permits the individual to filter or not reveal aspects of their life (Mir et al, n.d). The constant showcase of success can greatly impact the mental wellbeing of people who are vulnerable. </w:t>
      </w:r>
      <w:r w:rsidR="00B26FEF">
        <w:rPr>
          <w:rFonts w:cstheme="minorHAnsi"/>
          <w:color w:val="000000"/>
          <w:shd w:val="clear" w:color="auto" w:fill="FFFFFF"/>
        </w:rPr>
        <w:t>Research has shown regardless of the time spent on social media, adolescents who use multiple social media platforms have an increased likelihood of symptoms of depression and anxiety (Mir et al, n.d).</w:t>
      </w:r>
    </w:p>
    <w:p w14:paraId="608AA87D" w14:textId="77777777" w:rsidR="002B0FC4" w:rsidRDefault="002B0FC4" w:rsidP="002D4829">
      <w:pPr>
        <w:spacing w:after="0" w:line="276" w:lineRule="auto"/>
        <w:jc w:val="both"/>
        <w:rPr>
          <w:rFonts w:cstheme="minorHAnsi"/>
        </w:rPr>
      </w:pPr>
    </w:p>
    <w:p w14:paraId="7A94C0A2" w14:textId="3F5F3A09" w:rsidR="00AF0A4F" w:rsidRPr="00CB4774" w:rsidRDefault="002A0941" w:rsidP="00C77BBA">
      <w:pPr>
        <w:autoSpaceDE w:val="0"/>
        <w:autoSpaceDN w:val="0"/>
        <w:adjustRightInd w:val="0"/>
        <w:spacing w:after="0" w:line="276" w:lineRule="auto"/>
        <w:jc w:val="both"/>
        <w:rPr>
          <w:rFonts w:cstheme="minorHAnsi"/>
          <w:bCs/>
        </w:rPr>
      </w:pPr>
      <w:r>
        <w:rPr>
          <w:rFonts w:cstheme="minorHAnsi"/>
          <w:bCs/>
        </w:rPr>
        <w:t xml:space="preserve">To sustain participation in </w:t>
      </w:r>
      <w:r w:rsidR="00AF0A4F" w:rsidRPr="00CB4774">
        <w:rPr>
          <w:rFonts w:cstheme="minorHAnsi"/>
          <w:bCs/>
        </w:rPr>
        <w:t>mental health promotion program</w:t>
      </w:r>
      <w:r w:rsidR="00B25EC7">
        <w:rPr>
          <w:rFonts w:cstheme="minorHAnsi"/>
          <w:bCs/>
        </w:rPr>
        <w:t>s</w:t>
      </w:r>
      <w:r w:rsidR="00AF0A4F" w:rsidRPr="00CB4774">
        <w:rPr>
          <w:rFonts w:cstheme="minorHAnsi"/>
          <w:bCs/>
        </w:rPr>
        <w:t xml:space="preserve"> </w:t>
      </w:r>
      <w:r>
        <w:rPr>
          <w:rFonts w:cstheme="minorHAnsi"/>
          <w:bCs/>
        </w:rPr>
        <w:t>it i</w:t>
      </w:r>
      <w:r w:rsidRPr="00CB4774">
        <w:rPr>
          <w:rFonts w:cstheme="minorHAnsi"/>
          <w:bCs/>
        </w:rPr>
        <w:t xml:space="preserve">s critical that settings </w:t>
      </w:r>
      <w:r w:rsidR="00AF0A4F" w:rsidRPr="00CB4774">
        <w:rPr>
          <w:rFonts w:cstheme="minorHAnsi"/>
          <w:bCs/>
        </w:rPr>
        <w:t>adopt targeted population group recruitment process</w:t>
      </w:r>
      <w:r w:rsidR="00B25EC7">
        <w:rPr>
          <w:rFonts w:cstheme="minorHAnsi"/>
          <w:bCs/>
        </w:rPr>
        <w:t>es</w:t>
      </w:r>
      <w:r w:rsidR="00AF0A4F" w:rsidRPr="00CB4774">
        <w:rPr>
          <w:rFonts w:cstheme="minorHAnsi"/>
          <w:bCs/>
        </w:rPr>
        <w:t xml:space="preserve"> and are culturally sensitive to the specific requirements of </w:t>
      </w:r>
      <w:r w:rsidR="00B25EC7">
        <w:rPr>
          <w:rFonts w:cstheme="minorHAnsi"/>
          <w:bCs/>
        </w:rPr>
        <w:t>subpopulation groups</w:t>
      </w:r>
      <w:r w:rsidR="00AF0A4F" w:rsidRPr="00CB4774">
        <w:rPr>
          <w:rFonts w:cstheme="minorHAnsi"/>
          <w:bCs/>
        </w:rPr>
        <w:t xml:space="preserve">. </w:t>
      </w:r>
      <w:r w:rsidR="00B25EC7">
        <w:rPr>
          <w:rFonts w:cstheme="minorHAnsi"/>
          <w:bCs/>
        </w:rPr>
        <w:t xml:space="preserve">It has </w:t>
      </w:r>
      <w:r w:rsidR="00AF0A4F" w:rsidRPr="00CB4774">
        <w:rPr>
          <w:rFonts w:cstheme="minorHAnsi"/>
          <w:bCs/>
        </w:rPr>
        <w:t xml:space="preserve">been identified that adopting a health literacy lens approach </w:t>
      </w:r>
      <w:r w:rsidR="00B25EC7" w:rsidRPr="00CB4774">
        <w:rPr>
          <w:rFonts w:cstheme="minorHAnsi"/>
          <w:bCs/>
        </w:rPr>
        <w:t xml:space="preserve">is essential </w:t>
      </w:r>
      <w:r w:rsidR="00B25EC7">
        <w:rPr>
          <w:rFonts w:cstheme="minorHAnsi"/>
          <w:bCs/>
        </w:rPr>
        <w:t xml:space="preserve">and </w:t>
      </w:r>
      <w:r w:rsidR="00AF0A4F" w:rsidRPr="00CB4774">
        <w:rPr>
          <w:rFonts w:cstheme="minorHAnsi"/>
          <w:bCs/>
        </w:rPr>
        <w:t>successfully engage</w:t>
      </w:r>
      <w:r w:rsidR="00B25EC7">
        <w:rPr>
          <w:rFonts w:cstheme="minorHAnsi"/>
          <w:bCs/>
        </w:rPr>
        <w:t>s</w:t>
      </w:r>
      <w:r w:rsidR="00AF0A4F" w:rsidRPr="00CB4774">
        <w:rPr>
          <w:rFonts w:cstheme="minorHAnsi"/>
          <w:bCs/>
        </w:rPr>
        <w:t xml:space="preserve"> community members. For example, use</w:t>
      </w:r>
      <w:r w:rsidR="004F73C6">
        <w:rPr>
          <w:rFonts w:cstheme="minorHAnsi"/>
          <w:bCs/>
        </w:rPr>
        <w:t xml:space="preserve"> of</w:t>
      </w:r>
      <w:r w:rsidR="00AF0A4F" w:rsidRPr="00CB4774">
        <w:rPr>
          <w:rFonts w:cstheme="minorHAnsi"/>
          <w:bCs/>
        </w:rPr>
        <w:t xml:space="preserve"> </w:t>
      </w:r>
      <w:r w:rsidR="00B25EC7">
        <w:rPr>
          <w:rFonts w:cstheme="minorHAnsi"/>
          <w:bCs/>
        </w:rPr>
        <w:t xml:space="preserve">the word </w:t>
      </w:r>
      <w:r w:rsidR="00AF0A4F" w:rsidRPr="00CB4774">
        <w:rPr>
          <w:rFonts w:cstheme="minorHAnsi"/>
          <w:bCs/>
        </w:rPr>
        <w:t xml:space="preserve">‘activity’ </w:t>
      </w:r>
      <w:r w:rsidR="00B25EC7">
        <w:rPr>
          <w:rFonts w:cstheme="minorHAnsi"/>
          <w:bCs/>
        </w:rPr>
        <w:t>in place of ‘</w:t>
      </w:r>
      <w:r w:rsidR="004F73C6">
        <w:rPr>
          <w:rFonts w:cstheme="minorHAnsi"/>
          <w:bCs/>
        </w:rPr>
        <w:t>health’ i.e.</w:t>
      </w:r>
      <w:r w:rsidR="00AF0A4F" w:rsidRPr="00CB4774">
        <w:rPr>
          <w:rFonts w:cstheme="minorHAnsi"/>
          <w:bCs/>
        </w:rPr>
        <w:t xml:space="preserve"> </w:t>
      </w:r>
      <w:r w:rsidR="00B25EC7">
        <w:rPr>
          <w:rFonts w:cstheme="minorHAnsi"/>
          <w:bCs/>
        </w:rPr>
        <w:t>‘</w:t>
      </w:r>
      <w:r w:rsidR="00AF0A4F" w:rsidRPr="00CB4774">
        <w:rPr>
          <w:rFonts w:cstheme="minorHAnsi"/>
          <w:bCs/>
        </w:rPr>
        <w:t xml:space="preserve">regaining control’ </w:t>
      </w:r>
      <w:r w:rsidR="00B25EC7">
        <w:rPr>
          <w:rFonts w:cstheme="minorHAnsi"/>
          <w:bCs/>
        </w:rPr>
        <w:t xml:space="preserve">instead of </w:t>
      </w:r>
      <w:r w:rsidR="00AF0A4F" w:rsidRPr="00CB4774">
        <w:rPr>
          <w:rFonts w:cstheme="minorHAnsi"/>
          <w:bCs/>
        </w:rPr>
        <w:t>‘help-seeking’</w:t>
      </w:r>
      <w:r w:rsidR="00B25EC7">
        <w:rPr>
          <w:rFonts w:cstheme="minorHAnsi"/>
          <w:bCs/>
        </w:rPr>
        <w:t xml:space="preserve">, </w:t>
      </w:r>
      <w:r w:rsidR="00AF0A4F" w:rsidRPr="00CB4774">
        <w:rPr>
          <w:rFonts w:cstheme="minorHAnsi"/>
          <w:bCs/>
        </w:rPr>
        <w:t>can make programs and projects more familiar and less discouraging (</w:t>
      </w:r>
      <w:r w:rsidR="00AF0A4F" w:rsidRPr="00CB4774">
        <w:rPr>
          <w:rFonts w:cstheme="minorHAnsi"/>
        </w:rPr>
        <w:t>Roberston et al</w:t>
      </w:r>
      <w:r w:rsidR="00B80047">
        <w:rPr>
          <w:rFonts w:cstheme="minorHAnsi"/>
        </w:rPr>
        <w:t>,</w:t>
      </w:r>
      <w:r w:rsidR="00AF0A4F" w:rsidRPr="00CB4774">
        <w:rPr>
          <w:rFonts w:cstheme="minorHAnsi"/>
        </w:rPr>
        <w:t xml:space="preserve"> 2015).</w:t>
      </w:r>
      <w:r w:rsidR="00AF0A4F" w:rsidRPr="00CB4774">
        <w:rPr>
          <w:rFonts w:cstheme="minorHAnsi"/>
          <w:bCs/>
        </w:rPr>
        <w:t xml:space="preserve"> Employing </w:t>
      </w:r>
      <w:r w:rsidR="00B25EC7">
        <w:rPr>
          <w:rFonts w:cstheme="minorHAnsi"/>
          <w:bCs/>
        </w:rPr>
        <w:t>staff who reflect</w:t>
      </w:r>
      <w:r w:rsidR="00776E76">
        <w:rPr>
          <w:rFonts w:cstheme="minorHAnsi"/>
          <w:bCs/>
        </w:rPr>
        <w:t xml:space="preserve"> the subpopulation group or employing peer leaders to co-facilitate planning and delivery of activities can create a safe space and i</w:t>
      </w:r>
      <w:r w:rsidR="004F73C6">
        <w:rPr>
          <w:rFonts w:cstheme="minorHAnsi"/>
          <w:bCs/>
        </w:rPr>
        <w:t>ncrease participation. Activity-</w:t>
      </w:r>
      <w:r w:rsidR="00776E76">
        <w:rPr>
          <w:rFonts w:cstheme="minorHAnsi"/>
          <w:bCs/>
        </w:rPr>
        <w:t>based interventions need to be familiar</w:t>
      </w:r>
      <w:r w:rsidR="004F73C6">
        <w:rPr>
          <w:rFonts w:cstheme="minorHAnsi"/>
          <w:bCs/>
        </w:rPr>
        <w:t xml:space="preserve"> and</w:t>
      </w:r>
      <w:r w:rsidR="00D15BA1">
        <w:rPr>
          <w:rFonts w:cstheme="minorHAnsi"/>
          <w:bCs/>
        </w:rPr>
        <w:t xml:space="preserve"> culturally relevant</w:t>
      </w:r>
      <w:r w:rsidR="00776E76">
        <w:rPr>
          <w:rFonts w:cstheme="minorHAnsi"/>
          <w:bCs/>
        </w:rPr>
        <w:t xml:space="preserve"> to the </w:t>
      </w:r>
      <w:r w:rsidR="00AF0A4F" w:rsidRPr="00CB4774">
        <w:rPr>
          <w:rFonts w:cstheme="minorHAnsi"/>
          <w:bCs/>
        </w:rPr>
        <w:t xml:space="preserve">cohort </w:t>
      </w:r>
      <w:r w:rsidR="002C7D84">
        <w:rPr>
          <w:rFonts w:cstheme="minorHAnsi"/>
          <w:bCs/>
        </w:rPr>
        <w:t>to achieve</w:t>
      </w:r>
      <w:r w:rsidR="00AF0A4F" w:rsidRPr="00CB4774">
        <w:rPr>
          <w:rFonts w:cstheme="minorHAnsi"/>
          <w:bCs/>
        </w:rPr>
        <w:t xml:space="preserve"> success</w:t>
      </w:r>
      <w:r w:rsidR="002C7D84">
        <w:rPr>
          <w:rFonts w:cstheme="minorHAnsi"/>
          <w:bCs/>
        </w:rPr>
        <w:t>, this has been proven</w:t>
      </w:r>
      <w:r w:rsidR="00AF0A4F" w:rsidRPr="00CB4774">
        <w:rPr>
          <w:rFonts w:cstheme="minorHAnsi"/>
          <w:bCs/>
        </w:rPr>
        <w:t xml:space="preserve"> for promoting and improving the menta</w:t>
      </w:r>
      <w:r w:rsidR="00D15BA1">
        <w:rPr>
          <w:rFonts w:cstheme="minorHAnsi"/>
          <w:bCs/>
        </w:rPr>
        <w:t>l health of children and adults, and</w:t>
      </w:r>
      <w:r w:rsidR="00AF0A4F" w:rsidRPr="00CB4774">
        <w:rPr>
          <w:rFonts w:cstheme="minorHAnsi"/>
          <w:bCs/>
        </w:rPr>
        <w:t xml:space="preserve"> in particular older men. </w:t>
      </w:r>
      <w:r w:rsidR="00D15BA1">
        <w:rPr>
          <w:rFonts w:cstheme="minorHAnsi"/>
          <w:bCs/>
        </w:rPr>
        <w:t xml:space="preserve">People are more likely to engage when they feel connected to the intervention, where there is relevance </w:t>
      </w:r>
      <w:r w:rsidR="00AF0A4F" w:rsidRPr="00CB4774">
        <w:rPr>
          <w:rFonts w:cstheme="minorHAnsi"/>
          <w:bCs/>
        </w:rPr>
        <w:t xml:space="preserve">and </w:t>
      </w:r>
      <w:r w:rsidR="00D15BA1">
        <w:rPr>
          <w:rFonts w:cstheme="minorHAnsi"/>
          <w:bCs/>
        </w:rPr>
        <w:t xml:space="preserve">it </w:t>
      </w:r>
      <w:r w:rsidR="00AF0A4F" w:rsidRPr="00CB4774">
        <w:rPr>
          <w:rFonts w:cstheme="minorHAnsi"/>
          <w:bCs/>
        </w:rPr>
        <w:t xml:space="preserve">provides a group context </w:t>
      </w:r>
      <w:r w:rsidR="004F73C6">
        <w:rPr>
          <w:rFonts w:cstheme="minorHAnsi"/>
          <w:bCs/>
        </w:rPr>
        <w:t xml:space="preserve">that </w:t>
      </w:r>
      <w:r w:rsidR="00AF0A4F" w:rsidRPr="00CB4774">
        <w:rPr>
          <w:rFonts w:cstheme="minorHAnsi"/>
          <w:bCs/>
        </w:rPr>
        <w:t>promotes social inclusion and enjoyment</w:t>
      </w:r>
      <w:r w:rsidR="00D15BA1">
        <w:rPr>
          <w:rFonts w:cstheme="minorHAnsi"/>
          <w:bCs/>
        </w:rPr>
        <w:t>.</w:t>
      </w:r>
      <w:r w:rsidR="00AF0A4F" w:rsidRPr="00CB4774">
        <w:rPr>
          <w:rFonts w:cstheme="minorHAnsi"/>
          <w:bCs/>
        </w:rPr>
        <w:t xml:space="preserve"> </w:t>
      </w:r>
      <w:r w:rsidR="00D15BA1">
        <w:rPr>
          <w:rFonts w:cstheme="minorHAnsi"/>
          <w:bCs/>
        </w:rPr>
        <w:t xml:space="preserve">Examples include </w:t>
      </w:r>
      <w:r w:rsidR="00AF0A4F" w:rsidRPr="00CB4774">
        <w:rPr>
          <w:rFonts w:cstheme="minorHAnsi"/>
          <w:bCs/>
        </w:rPr>
        <w:t>the Men’s Shed</w:t>
      </w:r>
      <w:r w:rsidR="00FA6940">
        <w:rPr>
          <w:rFonts w:cstheme="minorHAnsi"/>
          <w:bCs/>
        </w:rPr>
        <w:t>,</w:t>
      </w:r>
      <w:r w:rsidR="00AF0A4F" w:rsidRPr="00CB4774">
        <w:rPr>
          <w:rFonts w:cstheme="minorHAnsi"/>
          <w:bCs/>
        </w:rPr>
        <w:t xml:space="preserve"> gender specific activities in residential care (</w:t>
      </w:r>
      <w:r w:rsidR="00AF0A4F" w:rsidRPr="00CB4774">
        <w:rPr>
          <w:rFonts w:cstheme="minorHAnsi"/>
        </w:rPr>
        <w:t>Roberston et al</w:t>
      </w:r>
      <w:r w:rsidR="00B80047">
        <w:rPr>
          <w:rFonts w:cstheme="minorHAnsi"/>
        </w:rPr>
        <w:t>,</w:t>
      </w:r>
      <w:r w:rsidR="00AF0A4F" w:rsidRPr="00CB4774">
        <w:rPr>
          <w:rFonts w:cstheme="minorHAnsi"/>
        </w:rPr>
        <w:t xml:space="preserve"> 2015)</w:t>
      </w:r>
      <w:r w:rsidR="00FA6940">
        <w:rPr>
          <w:rFonts w:cstheme="minorHAnsi"/>
        </w:rPr>
        <w:t xml:space="preserve"> and community based culturally specific support groups</w:t>
      </w:r>
      <w:r w:rsidR="00AF0A4F" w:rsidRPr="00CB4774">
        <w:rPr>
          <w:rFonts w:cstheme="minorHAnsi"/>
          <w:bCs/>
        </w:rPr>
        <w:t xml:space="preserve">.  </w:t>
      </w:r>
    </w:p>
    <w:p w14:paraId="37AEEEB4" w14:textId="77777777" w:rsidR="00AF0A4F" w:rsidRPr="00CB4774" w:rsidRDefault="00AF0A4F" w:rsidP="00D15BA1">
      <w:pPr>
        <w:autoSpaceDE w:val="0"/>
        <w:autoSpaceDN w:val="0"/>
        <w:adjustRightInd w:val="0"/>
        <w:spacing w:after="0" w:line="276" w:lineRule="auto"/>
        <w:jc w:val="both"/>
        <w:rPr>
          <w:rFonts w:cstheme="minorHAnsi"/>
          <w:bCs/>
        </w:rPr>
      </w:pPr>
    </w:p>
    <w:p w14:paraId="3F7321ED" w14:textId="5CE122A0" w:rsidR="006E7C4F" w:rsidRDefault="004F73C6" w:rsidP="00C77BBA">
      <w:pPr>
        <w:autoSpaceDE w:val="0"/>
        <w:autoSpaceDN w:val="0"/>
        <w:adjustRightInd w:val="0"/>
        <w:spacing w:after="0" w:line="276" w:lineRule="auto"/>
        <w:jc w:val="both"/>
        <w:rPr>
          <w:rFonts w:cstheme="minorHAnsi"/>
          <w:bCs/>
        </w:rPr>
      </w:pPr>
      <w:r>
        <w:rPr>
          <w:rFonts w:cstheme="minorHAnsi"/>
          <w:bCs/>
        </w:rPr>
        <w:t>Offering community-</w:t>
      </w:r>
      <w:r w:rsidR="00AF0A4F" w:rsidRPr="00CB4774">
        <w:rPr>
          <w:rFonts w:cstheme="minorHAnsi"/>
          <w:bCs/>
        </w:rPr>
        <w:t xml:space="preserve">based interventions close to where the community reside </w:t>
      </w:r>
      <w:r>
        <w:rPr>
          <w:rFonts w:cstheme="minorHAnsi"/>
          <w:bCs/>
        </w:rPr>
        <w:t xml:space="preserve">improves the </w:t>
      </w:r>
      <w:r w:rsidR="006E7C4F">
        <w:rPr>
          <w:rFonts w:cstheme="minorHAnsi"/>
          <w:bCs/>
        </w:rPr>
        <w:t xml:space="preserve">connection </w:t>
      </w:r>
      <w:r>
        <w:rPr>
          <w:rFonts w:cstheme="minorHAnsi"/>
          <w:bCs/>
        </w:rPr>
        <w:t>helps promote social inclusion and provides</w:t>
      </w:r>
      <w:r w:rsidR="00AF0A4F" w:rsidRPr="00CB4774">
        <w:rPr>
          <w:rFonts w:cstheme="minorHAnsi"/>
          <w:bCs/>
        </w:rPr>
        <w:t xml:space="preserve"> </w:t>
      </w:r>
      <w:r w:rsidR="006E7C4F">
        <w:rPr>
          <w:rFonts w:cstheme="minorHAnsi"/>
          <w:bCs/>
        </w:rPr>
        <w:t>a</w:t>
      </w:r>
      <w:r w:rsidR="002D4829">
        <w:rPr>
          <w:rFonts w:cstheme="minorHAnsi"/>
          <w:bCs/>
        </w:rPr>
        <w:t xml:space="preserve"> safe</w:t>
      </w:r>
      <w:r w:rsidR="006E7C4F">
        <w:rPr>
          <w:rFonts w:cstheme="minorHAnsi"/>
          <w:bCs/>
        </w:rPr>
        <w:t xml:space="preserve"> </w:t>
      </w:r>
      <w:r w:rsidR="00AF0A4F" w:rsidRPr="00CB4774">
        <w:rPr>
          <w:rFonts w:cstheme="minorHAnsi"/>
          <w:bCs/>
        </w:rPr>
        <w:t>socio-cultural space (</w:t>
      </w:r>
      <w:r w:rsidR="00AF0A4F" w:rsidRPr="00CB4774">
        <w:rPr>
          <w:rFonts w:cstheme="minorHAnsi"/>
        </w:rPr>
        <w:t>Roberston et al</w:t>
      </w:r>
      <w:r w:rsidR="00B80047">
        <w:rPr>
          <w:rFonts w:cstheme="minorHAnsi"/>
        </w:rPr>
        <w:t>,</w:t>
      </w:r>
      <w:r w:rsidR="00AF0A4F" w:rsidRPr="00CB4774">
        <w:rPr>
          <w:rFonts w:cstheme="minorHAnsi"/>
        </w:rPr>
        <w:t xml:space="preserve"> 2015)</w:t>
      </w:r>
      <w:r w:rsidR="00AF0A4F" w:rsidRPr="00CB4774">
        <w:rPr>
          <w:rFonts w:cstheme="minorHAnsi"/>
          <w:bCs/>
        </w:rPr>
        <w:t xml:space="preserve">.  </w:t>
      </w:r>
      <w:r w:rsidR="006E7C4F">
        <w:rPr>
          <w:rFonts w:cstheme="minorHAnsi"/>
          <w:bCs/>
        </w:rPr>
        <w:t>In addition</w:t>
      </w:r>
      <w:r>
        <w:rPr>
          <w:rFonts w:cstheme="minorHAnsi"/>
          <w:bCs/>
        </w:rPr>
        <w:t>,</w:t>
      </w:r>
      <w:r w:rsidR="006E7C4F">
        <w:rPr>
          <w:rFonts w:cstheme="minorHAnsi"/>
          <w:bCs/>
        </w:rPr>
        <w:t xml:space="preserve"> recruiting community members to assist in designing, implementing and evaluating </w:t>
      </w:r>
      <w:r w:rsidR="006E7C4F">
        <w:rPr>
          <w:rFonts w:cstheme="minorHAnsi"/>
          <w:bCs/>
        </w:rPr>
        <w:lastRenderedPageBreak/>
        <w:t>collaborative mental health promotion programs, shares ownership, control and pr</w:t>
      </w:r>
      <w:r w:rsidR="00550E44">
        <w:rPr>
          <w:rFonts w:cstheme="minorHAnsi"/>
          <w:bCs/>
        </w:rPr>
        <w:t xml:space="preserve">oblem solving thus promoting mental wellbeing </w:t>
      </w:r>
      <w:r w:rsidR="00550E44" w:rsidRPr="00CB4774">
        <w:rPr>
          <w:rFonts w:cstheme="minorHAnsi"/>
          <w:bCs/>
        </w:rPr>
        <w:t>(Miller 2016)</w:t>
      </w:r>
      <w:r>
        <w:rPr>
          <w:rFonts w:cstheme="minorHAnsi"/>
          <w:bCs/>
        </w:rPr>
        <w:t>,</w:t>
      </w:r>
      <w:r w:rsidR="00550E44">
        <w:rPr>
          <w:rFonts w:cstheme="minorHAnsi"/>
          <w:bCs/>
        </w:rPr>
        <w:t xml:space="preserve"> and responds to the protective factors for good mental health.</w:t>
      </w:r>
    </w:p>
    <w:p w14:paraId="5736E89C" w14:textId="641D7E00" w:rsidR="00AF0A4F" w:rsidRDefault="00AF0A4F" w:rsidP="002D76B6">
      <w:pPr>
        <w:autoSpaceDE w:val="0"/>
        <w:autoSpaceDN w:val="0"/>
        <w:adjustRightInd w:val="0"/>
        <w:spacing w:after="0" w:line="276" w:lineRule="auto"/>
        <w:jc w:val="both"/>
        <w:rPr>
          <w:rFonts w:cstheme="minorHAnsi"/>
          <w:bCs/>
        </w:rPr>
      </w:pPr>
    </w:p>
    <w:p w14:paraId="51F3EDDC" w14:textId="2CAE7EE0" w:rsidR="00830DA6" w:rsidRDefault="002D76B6" w:rsidP="002D76B6">
      <w:pPr>
        <w:autoSpaceDE w:val="0"/>
        <w:autoSpaceDN w:val="0"/>
        <w:adjustRightInd w:val="0"/>
        <w:spacing w:after="0" w:line="276" w:lineRule="auto"/>
        <w:jc w:val="both"/>
        <w:rPr>
          <w:rFonts w:cstheme="minorHAnsi"/>
          <w:bCs/>
        </w:rPr>
      </w:pPr>
      <w:r>
        <w:rPr>
          <w:rFonts w:cstheme="minorHAnsi"/>
          <w:bCs/>
        </w:rPr>
        <w:t xml:space="preserve">Incorporating peer </w:t>
      </w:r>
      <w:r w:rsidR="004F73C6">
        <w:rPr>
          <w:rFonts w:cstheme="minorHAnsi"/>
          <w:bCs/>
        </w:rPr>
        <w:t>and mentor roles into community-</w:t>
      </w:r>
      <w:r>
        <w:rPr>
          <w:rFonts w:cstheme="minorHAnsi"/>
          <w:bCs/>
        </w:rPr>
        <w:t xml:space="preserve">based </w:t>
      </w:r>
      <w:r w:rsidR="00830DA6">
        <w:rPr>
          <w:rFonts w:cstheme="minorHAnsi"/>
          <w:bCs/>
        </w:rPr>
        <w:t xml:space="preserve">initiatives supports ongoing evolution </w:t>
      </w:r>
      <w:r w:rsidR="00634133">
        <w:rPr>
          <w:rFonts w:cstheme="minorHAnsi"/>
          <w:bCs/>
        </w:rPr>
        <w:t xml:space="preserve">and relevance </w:t>
      </w:r>
      <w:r w:rsidR="00830DA6">
        <w:rPr>
          <w:rFonts w:cstheme="minorHAnsi"/>
          <w:bCs/>
        </w:rPr>
        <w:t>of programs, participation of specific target groups</w:t>
      </w:r>
      <w:r w:rsidR="00634133">
        <w:rPr>
          <w:rFonts w:cstheme="minorHAnsi"/>
          <w:bCs/>
        </w:rPr>
        <w:t>, skill development and responds to protective factors for mental health. To</w:t>
      </w:r>
      <w:r w:rsidR="004F73C6">
        <w:rPr>
          <w:rFonts w:cstheme="minorHAnsi"/>
          <w:bCs/>
        </w:rPr>
        <w:t xml:space="preserve"> help</w:t>
      </w:r>
      <w:r w:rsidR="00634133">
        <w:rPr>
          <w:rFonts w:cstheme="minorHAnsi"/>
          <w:bCs/>
        </w:rPr>
        <w:t xml:space="preserve"> aid community health promotion to sustain this model, funding is required for community based roles. Presently, community and philanthropic grants do not fund salaries and wages, challenging the</w:t>
      </w:r>
      <w:r w:rsidR="006E31CC">
        <w:rPr>
          <w:rFonts w:cstheme="minorHAnsi"/>
          <w:bCs/>
        </w:rPr>
        <w:t xml:space="preserve"> implementation and</w:t>
      </w:r>
      <w:r w:rsidR="00634133">
        <w:rPr>
          <w:rFonts w:cstheme="minorHAnsi"/>
          <w:bCs/>
        </w:rPr>
        <w:t xml:space="preserve"> sustainability of this model.</w:t>
      </w:r>
    </w:p>
    <w:p w14:paraId="0819BA9D" w14:textId="469FA0E2" w:rsidR="00830DA6" w:rsidRDefault="00830DA6" w:rsidP="002D76B6">
      <w:pPr>
        <w:autoSpaceDE w:val="0"/>
        <w:autoSpaceDN w:val="0"/>
        <w:adjustRightInd w:val="0"/>
        <w:spacing w:after="0" w:line="276" w:lineRule="auto"/>
        <w:jc w:val="both"/>
        <w:rPr>
          <w:rFonts w:cstheme="minorHAnsi"/>
          <w:bCs/>
        </w:rPr>
      </w:pPr>
    </w:p>
    <w:p w14:paraId="15DF23E4" w14:textId="5C4BE528" w:rsidR="001C3198" w:rsidRDefault="0098274F" w:rsidP="00C77BBA">
      <w:pPr>
        <w:spacing w:after="0" w:line="276" w:lineRule="auto"/>
        <w:jc w:val="both"/>
        <w:rPr>
          <w:rFonts w:cstheme="minorHAnsi"/>
        </w:rPr>
      </w:pPr>
      <w:r>
        <w:rPr>
          <w:rFonts w:cstheme="minorHAnsi"/>
        </w:rPr>
        <w:t>Connect Health</w:t>
      </w:r>
      <w:r w:rsidR="004F73C6">
        <w:rPr>
          <w:rFonts w:cstheme="minorHAnsi"/>
        </w:rPr>
        <w:t xml:space="preserve"> &amp; Community</w:t>
      </w:r>
      <w:r>
        <w:rPr>
          <w:rFonts w:cstheme="minorHAnsi"/>
        </w:rPr>
        <w:t xml:space="preserve"> delivered an </w:t>
      </w:r>
      <w:r w:rsidR="00CD3597">
        <w:rPr>
          <w:rFonts w:cstheme="minorHAnsi"/>
        </w:rPr>
        <w:t>‘</w:t>
      </w:r>
      <w:r>
        <w:rPr>
          <w:rFonts w:cstheme="minorHAnsi"/>
        </w:rPr>
        <w:t>emotional wellbeing</w:t>
      </w:r>
      <w:r w:rsidR="00CD3597">
        <w:rPr>
          <w:rFonts w:cstheme="minorHAnsi"/>
        </w:rPr>
        <w:t>’</w:t>
      </w:r>
      <w:r>
        <w:rPr>
          <w:rFonts w:cstheme="minorHAnsi"/>
        </w:rPr>
        <w:t xml:space="preserve"> group for adults who </w:t>
      </w:r>
      <w:r w:rsidRPr="0098274F">
        <w:rPr>
          <w:rFonts w:cs="Arial"/>
        </w:rPr>
        <w:t>experience</w:t>
      </w:r>
      <w:r>
        <w:rPr>
          <w:rFonts w:cs="Arial"/>
        </w:rPr>
        <w:t>d</w:t>
      </w:r>
      <w:r w:rsidRPr="0098274F">
        <w:rPr>
          <w:rFonts w:cs="Arial"/>
        </w:rPr>
        <w:t xml:space="preserve"> a broad range of issues (such as anxiety, depression, tra</w:t>
      </w:r>
      <w:r>
        <w:rPr>
          <w:rFonts w:cs="Arial"/>
        </w:rPr>
        <w:t xml:space="preserve">uma, family violence and emotional </w:t>
      </w:r>
      <w:r w:rsidRPr="0098274F">
        <w:rPr>
          <w:rFonts w:cs="Arial"/>
        </w:rPr>
        <w:t xml:space="preserve">disorders) </w:t>
      </w:r>
      <w:r>
        <w:rPr>
          <w:rFonts w:cs="Arial"/>
        </w:rPr>
        <w:t xml:space="preserve">and experienced </w:t>
      </w:r>
      <w:r w:rsidRPr="0098274F">
        <w:rPr>
          <w:rFonts w:cs="Arial"/>
        </w:rPr>
        <w:t>difficulty regulating and understanding their emotions</w:t>
      </w:r>
      <w:r>
        <w:rPr>
          <w:rFonts w:cs="Arial"/>
        </w:rPr>
        <w:t>.</w:t>
      </w:r>
      <w:r w:rsidRPr="0098274F">
        <w:rPr>
          <w:rFonts w:cstheme="minorHAnsi"/>
        </w:rPr>
        <w:t xml:space="preserve"> </w:t>
      </w:r>
      <w:r w:rsidR="001C3198">
        <w:rPr>
          <w:rFonts w:cstheme="minorHAnsi"/>
        </w:rPr>
        <w:t xml:space="preserve">The group was established </w:t>
      </w:r>
      <w:r w:rsidR="00CD3597">
        <w:rPr>
          <w:rFonts w:cstheme="minorHAnsi"/>
        </w:rPr>
        <w:t xml:space="preserve">in response to the </w:t>
      </w:r>
      <w:r w:rsidR="001C3198">
        <w:rPr>
          <w:rFonts w:cstheme="minorHAnsi"/>
        </w:rPr>
        <w:t xml:space="preserve">elevated levels of </w:t>
      </w:r>
      <w:r w:rsidR="001C3198" w:rsidRPr="001C3198">
        <w:rPr>
          <w:rFonts w:cs="Arial"/>
          <w:szCs w:val="20"/>
        </w:rPr>
        <w:t>high or very high psychological distress</w:t>
      </w:r>
      <w:r w:rsidR="001C3198">
        <w:rPr>
          <w:rFonts w:cstheme="minorHAnsi"/>
          <w:sz w:val="24"/>
        </w:rPr>
        <w:t xml:space="preserve"> </w:t>
      </w:r>
      <w:r w:rsidR="00CD3597">
        <w:rPr>
          <w:rFonts w:cstheme="minorHAnsi"/>
          <w:sz w:val="24"/>
        </w:rPr>
        <w:t xml:space="preserve">being experienced among clients through </w:t>
      </w:r>
      <w:r w:rsidR="001C3198" w:rsidRPr="0082023B">
        <w:rPr>
          <w:rFonts w:cstheme="minorHAnsi"/>
        </w:rPr>
        <w:t>growing service demand</w:t>
      </w:r>
      <w:r w:rsidR="001C3198">
        <w:rPr>
          <w:rFonts w:cstheme="minorHAnsi"/>
        </w:rPr>
        <w:t xml:space="preserve"> and wait lists for counselling and psychological services. </w:t>
      </w:r>
      <w:r w:rsidR="001C3198" w:rsidRPr="001C3198">
        <w:rPr>
          <w:szCs w:val="20"/>
        </w:rPr>
        <w:t xml:space="preserve">The results </w:t>
      </w:r>
      <w:r w:rsidR="00CD3597">
        <w:rPr>
          <w:szCs w:val="20"/>
        </w:rPr>
        <w:t xml:space="preserve">showed </w:t>
      </w:r>
      <w:r w:rsidR="001C3198" w:rsidRPr="001C3198">
        <w:rPr>
          <w:szCs w:val="20"/>
        </w:rPr>
        <w:t xml:space="preserve">a reduction in symptom severity for both depression and anxiety, with improved symptom reduction </w:t>
      </w:r>
      <w:r w:rsidR="001C3198">
        <w:rPr>
          <w:szCs w:val="20"/>
        </w:rPr>
        <w:t xml:space="preserve">of </w:t>
      </w:r>
      <w:r w:rsidR="001C3198" w:rsidRPr="001C3198">
        <w:rPr>
          <w:szCs w:val="20"/>
        </w:rPr>
        <w:t>anxiety over depression. Treatment gains were found to be maintained three month</w:t>
      </w:r>
      <w:r w:rsidR="001C3198">
        <w:rPr>
          <w:szCs w:val="20"/>
        </w:rPr>
        <w:t>s post</w:t>
      </w:r>
      <w:r w:rsidR="001C3198" w:rsidRPr="001C3198">
        <w:rPr>
          <w:szCs w:val="20"/>
        </w:rPr>
        <w:t xml:space="preserve"> follow-up</w:t>
      </w:r>
      <w:r w:rsidR="007D3D09">
        <w:rPr>
          <w:szCs w:val="20"/>
        </w:rPr>
        <w:t xml:space="preserve"> (Connect Health </w:t>
      </w:r>
      <w:r w:rsidR="00CD3597">
        <w:rPr>
          <w:szCs w:val="20"/>
        </w:rPr>
        <w:t xml:space="preserve">&amp; </w:t>
      </w:r>
      <w:r w:rsidR="00EA4DE2">
        <w:rPr>
          <w:szCs w:val="20"/>
        </w:rPr>
        <w:t>Community, 2017)</w:t>
      </w:r>
      <w:r w:rsidR="001C3198" w:rsidRPr="001C3198">
        <w:rPr>
          <w:szCs w:val="20"/>
        </w:rPr>
        <w:t>.</w:t>
      </w:r>
      <w:r w:rsidR="001C3198" w:rsidRPr="001C3198">
        <w:rPr>
          <w:rFonts w:cstheme="minorHAnsi"/>
        </w:rPr>
        <w:t xml:space="preserve"> </w:t>
      </w:r>
      <w:r w:rsidR="001C3198">
        <w:rPr>
          <w:rFonts w:cstheme="minorHAnsi"/>
        </w:rPr>
        <w:t xml:space="preserve">We learnt </w:t>
      </w:r>
      <w:r w:rsidR="00140C90">
        <w:rPr>
          <w:rFonts w:cstheme="minorHAnsi"/>
        </w:rPr>
        <w:t xml:space="preserve">monitoring and </w:t>
      </w:r>
      <w:r w:rsidR="001C3198">
        <w:rPr>
          <w:rFonts w:cstheme="minorHAnsi"/>
        </w:rPr>
        <w:t>real time review</w:t>
      </w:r>
      <w:r w:rsidR="00140C90">
        <w:rPr>
          <w:rFonts w:cstheme="minorHAnsi"/>
        </w:rPr>
        <w:t>s, flexibility with the delivery model and less rigid funding</w:t>
      </w:r>
      <w:r w:rsidR="001C3198">
        <w:rPr>
          <w:rFonts w:cstheme="minorHAnsi"/>
        </w:rPr>
        <w:t xml:space="preserve"> </w:t>
      </w:r>
      <w:r w:rsidR="00140C90">
        <w:rPr>
          <w:rFonts w:cstheme="minorHAnsi"/>
        </w:rPr>
        <w:t xml:space="preserve">is required to </w:t>
      </w:r>
      <w:r w:rsidR="00CD3597">
        <w:rPr>
          <w:rFonts w:cstheme="minorHAnsi"/>
        </w:rPr>
        <w:t xml:space="preserve">help </w:t>
      </w:r>
      <w:r w:rsidR="00140C90">
        <w:rPr>
          <w:rFonts w:cstheme="minorHAnsi"/>
        </w:rPr>
        <w:t xml:space="preserve">staff </w:t>
      </w:r>
      <w:r w:rsidR="00CD3597">
        <w:rPr>
          <w:rFonts w:cstheme="minorHAnsi"/>
        </w:rPr>
        <w:t>identify</w:t>
      </w:r>
      <w:r w:rsidR="00140C90">
        <w:rPr>
          <w:rFonts w:cstheme="minorHAnsi"/>
        </w:rPr>
        <w:t xml:space="preserve"> immediate changes and enhancements </w:t>
      </w:r>
      <w:r w:rsidR="00CD3597">
        <w:rPr>
          <w:rFonts w:cstheme="minorHAnsi"/>
        </w:rPr>
        <w:t xml:space="preserve">for </w:t>
      </w:r>
      <w:r w:rsidR="00140C90">
        <w:rPr>
          <w:rFonts w:cstheme="minorHAnsi"/>
        </w:rPr>
        <w:t xml:space="preserve">group participants to maximise </w:t>
      </w:r>
      <w:r w:rsidR="00CD3597">
        <w:rPr>
          <w:rFonts w:cstheme="minorHAnsi"/>
        </w:rPr>
        <w:t>their benefits</w:t>
      </w:r>
      <w:r w:rsidR="00140C90">
        <w:rPr>
          <w:rFonts w:cstheme="minorHAnsi"/>
        </w:rPr>
        <w:t>.</w:t>
      </w:r>
    </w:p>
    <w:p w14:paraId="126A209A" w14:textId="571F97BD" w:rsidR="0012551D" w:rsidRPr="00CB4774" w:rsidRDefault="0012551D" w:rsidP="00AA0917">
      <w:pPr>
        <w:spacing w:after="0" w:line="276" w:lineRule="auto"/>
        <w:jc w:val="both"/>
        <w:rPr>
          <w:rFonts w:cstheme="minorHAnsi"/>
          <w:i/>
        </w:rPr>
      </w:pPr>
      <w:r w:rsidRPr="00CB4774">
        <w:rPr>
          <w:rFonts w:cstheme="minorHAnsi"/>
          <w:i/>
        </w:rPr>
        <w:t xml:space="preserve"> </w:t>
      </w:r>
    </w:p>
    <w:p w14:paraId="7841ABFF" w14:textId="6F55B3C8" w:rsidR="006D5301" w:rsidRPr="006D5301" w:rsidRDefault="00660992" w:rsidP="006D5301">
      <w:pPr>
        <w:spacing w:after="0" w:line="276" w:lineRule="auto"/>
        <w:jc w:val="both"/>
        <w:rPr>
          <w:rFonts w:cstheme="minorHAnsi"/>
        </w:rPr>
      </w:pPr>
      <w:r>
        <w:rPr>
          <w:rFonts w:cstheme="minorHAnsi"/>
        </w:rPr>
        <w:t xml:space="preserve">Co-created and regular education sessions for the community, that open dialogue, normalise </w:t>
      </w:r>
      <w:r w:rsidR="003038CD">
        <w:rPr>
          <w:rFonts w:cstheme="minorHAnsi"/>
        </w:rPr>
        <w:t>help seeking behaviours</w:t>
      </w:r>
      <w:r>
        <w:rPr>
          <w:rFonts w:cstheme="minorHAnsi"/>
        </w:rPr>
        <w:t>, build understanding and social supports would build community capacity and prosocial behaviours. Service delivery experts are required to deliver these sessions with support from health promotion staff who can facilitate the planning, implementation and evaluation. Presently, service delivery</w:t>
      </w:r>
      <w:r w:rsidR="00F45A88">
        <w:rPr>
          <w:rFonts w:cstheme="minorHAnsi"/>
        </w:rPr>
        <w:t xml:space="preserve"> staff are restricted to meet</w:t>
      </w:r>
      <w:r>
        <w:rPr>
          <w:rFonts w:cstheme="minorHAnsi"/>
        </w:rPr>
        <w:t xml:space="preserve"> service targets, flexible funding structures and </w:t>
      </w:r>
      <w:r w:rsidR="00F45A88">
        <w:rPr>
          <w:rFonts w:cstheme="minorHAnsi"/>
        </w:rPr>
        <w:t xml:space="preserve">separate </w:t>
      </w:r>
      <w:r>
        <w:rPr>
          <w:rFonts w:cstheme="minorHAnsi"/>
        </w:rPr>
        <w:t>funding for prevention actions is required to facilitate this function.</w:t>
      </w:r>
      <w:r w:rsidR="00F45A88">
        <w:rPr>
          <w:rFonts w:cstheme="minorHAnsi"/>
        </w:rPr>
        <w:t xml:space="preserve"> Appointment-</w:t>
      </w:r>
      <w:r w:rsidR="006D5301">
        <w:rPr>
          <w:rFonts w:cstheme="minorHAnsi"/>
        </w:rPr>
        <w:t xml:space="preserve">based funding </w:t>
      </w:r>
      <w:r w:rsidR="006D5301" w:rsidRPr="006D5301">
        <w:rPr>
          <w:rFonts w:cstheme="minorHAnsi"/>
        </w:rPr>
        <w:t xml:space="preserve">models </w:t>
      </w:r>
      <w:r w:rsidR="00F45A88">
        <w:rPr>
          <w:rFonts w:cstheme="minorHAnsi"/>
        </w:rPr>
        <w:t>drive output-</w:t>
      </w:r>
      <w:r w:rsidR="006D5301">
        <w:rPr>
          <w:rFonts w:cstheme="minorHAnsi"/>
        </w:rPr>
        <w:t>based service delivery, r</w:t>
      </w:r>
      <w:r w:rsidR="005941E7">
        <w:rPr>
          <w:rFonts w:cstheme="minorHAnsi"/>
        </w:rPr>
        <w:t>ather than outcome</w:t>
      </w:r>
      <w:r w:rsidR="00F45A88">
        <w:rPr>
          <w:rFonts w:cstheme="minorHAnsi"/>
        </w:rPr>
        <w:t>-</w:t>
      </w:r>
      <w:r w:rsidR="005941E7">
        <w:rPr>
          <w:rFonts w:cstheme="minorHAnsi"/>
        </w:rPr>
        <w:t>based services</w:t>
      </w:r>
      <w:r w:rsidR="006D5301">
        <w:rPr>
          <w:rFonts w:cstheme="minorHAnsi"/>
        </w:rPr>
        <w:t xml:space="preserve">. </w:t>
      </w:r>
      <w:r w:rsidR="003038CD">
        <w:rPr>
          <w:rFonts w:cstheme="minorHAnsi"/>
        </w:rPr>
        <w:t xml:space="preserve">Diverse funding </w:t>
      </w:r>
      <w:r w:rsidR="006D5301">
        <w:rPr>
          <w:rFonts w:cstheme="minorHAnsi"/>
        </w:rPr>
        <w:t xml:space="preserve">structures </w:t>
      </w:r>
      <w:r w:rsidR="003038CD">
        <w:rPr>
          <w:rFonts w:cstheme="minorHAnsi"/>
        </w:rPr>
        <w:t xml:space="preserve">with flexibility </w:t>
      </w:r>
      <w:r w:rsidR="006D5301">
        <w:rPr>
          <w:rFonts w:cstheme="minorHAnsi"/>
        </w:rPr>
        <w:t>allow</w:t>
      </w:r>
      <w:r w:rsidR="006D5301" w:rsidRPr="006D5301">
        <w:rPr>
          <w:rFonts w:cstheme="minorHAnsi"/>
        </w:rPr>
        <w:t xml:space="preserve"> service provision</w:t>
      </w:r>
      <w:r w:rsidR="006D5301">
        <w:rPr>
          <w:rFonts w:cstheme="minorHAnsi"/>
        </w:rPr>
        <w:t xml:space="preserve"> that</w:t>
      </w:r>
      <w:r w:rsidR="006D5301" w:rsidRPr="006D5301">
        <w:rPr>
          <w:rFonts w:cstheme="minorHAnsi"/>
        </w:rPr>
        <w:t xml:space="preserve"> meet</w:t>
      </w:r>
      <w:r w:rsidR="006D5301">
        <w:rPr>
          <w:rFonts w:cstheme="minorHAnsi"/>
        </w:rPr>
        <w:t>s</w:t>
      </w:r>
      <w:r w:rsidR="006D5301" w:rsidRPr="006D5301">
        <w:rPr>
          <w:rFonts w:cstheme="minorHAnsi"/>
        </w:rPr>
        <w:t xml:space="preserve"> the clients</w:t>
      </w:r>
      <w:r w:rsidR="00F45A88">
        <w:rPr>
          <w:rFonts w:cstheme="minorHAnsi"/>
        </w:rPr>
        <w:t>’</w:t>
      </w:r>
      <w:r w:rsidR="006D5301" w:rsidRPr="006D5301">
        <w:rPr>
          <w:rFonts w:cstheme="minorHAnsi"/>
        </w:rPr>
        <w:t xml:space="preserve"> needs and goals.</w:t>
      </w:r>
    </w:p>
    <w:p w14:paraId="1BE60E73" w14:textId="77777777" w:rsidR="00660992" w:rsidRDefault="00660992" w:rsidP="00660992">
      <w:pPr>
        <w:spacing w:after="0" w:line="276" w:lineRule="auto"/>
        <w:jc w:val="both"/>
        <w:rPr>
          <w:rFonts w:cstheme="minorHAnsi"/>
        </w:rPr>
      </w:pPr>
    </w:p>
    <w:p w14:paraId="692561C1" w14:textId="77777777" w:rsidR="00F809A2" w:rsidRDefault="00CD3597" w:rsidP="00941071">
      <w:pPr>
        <w:spacing w:after="0" w:line="276" w:lineRule="auto"/>
        <w:jc w:val="both"/>
        <w:rPr>
          <w:rFonts w:cstheme="minorHAnsi"/>
          <w:lang w:val="en-US"/>
        </w:rPr>
      </w:pPr>
      <w:r w:rsidRPr="002B3223">
        <w:rPr>
          <w:rFonts w:cstheme="minorHAnsi"/>
        </w:rPr>
        <w:t xml:space="preserve">Mental health promotion </w:t>
      </w:r>
      <w:r w:rsidR="00941071" w:rsidRPr="002B3223">
        <w:rPr>
          <w:rFonts w:cstheme="minorHAnsi"/>
        </w:rPr>
        <w:t>p</w:t>
      </w:r>
      <w:r w:rsidR="006B2812" w:rsidRPr="002B3223">
        <w:rPr>
          <w:rFonts w:cstheme="minorHAnsi"/>
        </w:rPr>
        <w:t>rograms contained within school settings</w:t>
      </w:r>
      <w:r w:rsidR="00941071" w:rsidRPr="002B3223">
        <w:rPr>
          <w:rFonts w:cstheme="minorHAnsi"/>
        </w:rPr>
        <w:t xml:space="preserve"> are not consistent</w:t>
      </w:r>
      <w:r w:rsidR="00F45A88" w:rsidRPr="002B3223">
        <w:rPr>
          <w:rFonts w:cstheme="minorHAnsi"/>
        </w:rPr>
        <w:t xml:space="preserve"> and planned at a S</w:t>
      </w:r>
      <w:r w:rsidR="00941071" w:rsidRPr="002B3223">
        <w:rPr>
          <w:rFonts w:cstheme="minorHAnsi"/>
        </w:rPr>
        <w:t>tate level, leaving schools and local services to plan and implement much of this without larger direction and support from the government</w:t>
      </w:r>
      <w:r w:rsidR="00146A45" w:rsidRPr="002B3223">
        <w:rPr>
          <w:rFonts w:cstheme="minorHAnsi"/>
        </w:rPr>
        <w:t>. This results in unequal and unfair distribution of support and information for students, parents and teachers, and is based on the</w:t>
      </w:r>
      <w:r w:rsidR="006B2812" w:rsidRPr="002B3223">
        <w:rPr>
          <w:rFonts w:cstheme="minorHAnsi"/>
        </w:rPr>
        <w:t xml:space="preserve"> individual</w:t>
      </w:r>
      <w:r w:rsidR="00146A45" w:rsidRPr="002B3223">
        <w:rPr>
          <w:rFonts w:cstheme="minorHAnsi"/>
        </w:rPr>
        <w:t xml:space="preserve"> schools resources and capacity</w:t>
      </w:r>
      <w:r w:rsidR="006B2812" w:rsidRPr="002B3223">
        <w:rPr>
          <w:rFonts w:cstheme="minorHAnsi"/>
        </w:rPr>
        <w:t>,</w:t>
      </w:r>
      <w:r w:rsidR="00146A45" w:rsidRPr="002B3223">
        <w:rPr>
          <w:rFonts w:cstheme="minorHAnsi"/>
        </w:rPr>
        <w:t xml:space="preserve"> not</w:t>
      </w:r>
      <w:r w:rsidR="00F45A88" w:rsidRPr="002B3223">
        <w:rPr>
          <w:rFonts w:cstheme="minorHAnsi"/>
        </w:rPr>
        <w:t xml:space="preserve"> their</w:t>
      </w:r>
      <w:r w:rsidR="00146A45" w:rsidRPr="002B3223">
        <w:rPr>
          <w:rFonts w:cstheme="minorHAnsi"/>
        </w:rPr>
        <w:t xml:space="preserve"> need.</w:t>
      </w:r>
      <w:r w:rsidR="00C91597" w:rsidRPr="002B3223">
        <w:rPr>
          <w:rFonts w:cstheme="minorHAnsi"/>
          <w:lang w:val="en-US"/>
        </w:rPr>
        <w:t xml:space="preserve"> The achievement program that is in place supports school environments to change but the ability to address systemic and entrenched structures is limited, and there is no subsequent funding provided to facilitate health experts </w:t>
      </w:r>
      <w:r w:rsidR="006B2812" w:rsidRPr="002B3223">
        <w:rPr>
          <w:rFonts w:cstheme="minorHAnsi"/>
          <w:lang w:val="en-US"/>
        </w:rPr>
        <w:t xml:space="preserve">(service delivery staff) </w:t>
      </w:r>
      <w:r w:rsidR="00C91597" w:rsidRPr="002B3223">
        <w:rPr>
          <w:rFonts w:cstheme="minorHAnsi"/>
          <w:lang w:val="en-US"/>
        </w:rPr>
        <w:t>to de</w:t>
      </w:r>
      <w:r w:rsidR="001B5EBF" w:rsidRPr="002B3223">
        <w:rPr>
          <w:rFonts w:cstheme="minorHAnsi"/>
          <w:lang w:val="en-US"/>
        </w:rPr>
        <w:t xml:space="preserve">liver education </w:t>
      </w:r>
    </w:p>
    <w:p w14:paraId="08799C0E" w14:textId="77777777" w:rsidR="00797340" w:rsidRDefault="001B5EBF" w:rsidP="00F809A2">
      <w:pPr>
        <w:spacing w:after="0" w:line="276" w:lineRule="auto"/>
        <w:rPr>
          <w:rFonts w:cstheme="minorHAnsi"/>
          <w:lang w:val="en-US"/>
        </w:rPr>
      </w:pPr>
      <w:r w:rsidRPr="002B3223">
        <w:rPr>
          <w:rFonts w:cstheme="minorHAnsi"/>
          <w:lang w:val="en-US"/>
        </w:rPr>
        <w:t xml:space="preserve">sessions on top </w:t>
      </w:r>
      <w:r w:rsidR="00C91597" w:rsidRPr="002B3223">
        <w:rPr>
          <w:rFonts w:cstheme="minorHAnsi"/>
          <w:lang w:val="en-US"/>
        </w:rPr>
        <w:t>of their usual duties</w:t>
      </w:r>
      <w:r w:rsidR="00C91597">
        <w:rPr>
          <w:rFonts w:cstheme="minorHAnsi"/>
          <w:lang w:val="en-US"/>
        </w:rPr>
        <w:t xml:space="preserve">. </w:t>
      </w:r>
    </w:p>
    <w:p w14:paraId="34F96B85" w14:textId="2124BB6D" w:rsidR="001F09D4" w:rsidRDefault="001F09D4" w:rsidP="00F809A2">
      <w:pPr>
        <w:spacing w:after="0" w:line="276" w:lineRule="auto"/>
        <w:rPr>
          <w:rFonts w:cstheme="minorHAnsi"/>
          <w:b/>
        </w:rPr>
      </w:pPr>
    </w:p>
    <w:p w14:paraId="63A39496" w14:textId="7A0F5732" w:rsidR="00C91597" w:rsidRDefault="00742285" w:rsidP="00742285">
      <w:pPr>
        <w:spacing w:after="0" w:line="276" w:lineRule="auto"/>
        <w:jc w:val="both"/>
        <w:rPr>
          <w:rFonts w:cstheme="minorHAnsi"/>
          <w:lang w:val="en-US"/>
        </w:rPr>
      </w:pPr>
      <w:r w:rsidRPr="002C393B">
        <w:rPr>
          <w:rFonts w:cstheme="minorHAnsi"/>
          <w:lang w:val="en-US"/>
        </w:rPr>
        <w:t>Funding</w:t>
      </w:r>
      <w:r>
        <w:rPr>
          <w:rFonts w:cstheme="minorHAnsi"/>
          <w:lang w:val="en-US"/>
        </w:rPr>
        <w:t xml:space="preserve"> community health services to work with </w:t>
      </w:r>
      <w:r w:rsidRPr="008741C7">
        <w:rPr>
          <w:rFonts w:cstheme="minorHAnsi"/>
          <w:lang w:val="en-US"/>
        </w:rPr>
        <w:t>schools</w:t>
      </w:r>
      <w:r w:rsidR="00C91597">
        <w:rPr>
          <w:rFonts w:cstheme="minorHAnsi"/>
          <w:lang w:val="en-US"/>
        </w:rPr>
        <w:t xml:space="preserve"> builds relationships and increases awareness of local primary health services and</w:t>
      </w:r>
      <w:r>
        <w:rPr>
          <w:rFonts w:cstheme="minorHAnsi"/>
          <w:lang w:val="en-US"/>
        </w:rPr>
        <w:t xml:space="preserve"> </w:t>
      </w:r>
      <w:r w:rsidR="00C91597">
        <w:rPr>
          <w:rFonts w:cstheme="minorHAnsi"/>
          <w:lang w:val="en-US"/>
        </w:rPr>
        <w:t xml:space="preserve">provides </w:t>
      </w:r>
      <w:r>
        <w:rPr>
          <w:rFonts w:cstheme="minorHAnsi"/>
          <w:lang w:val="en-US"/>
        </w:rPr>
        <w:t>a local perspective</w:t>
      </w:r>
      <w:r w:rsidR="00C91597">
        <w:rPr>
          <w:rFonts w:cstheme="minorHAnsi"/>
          <w:lang w:val="en-US"/>
        </w:rPr>
        <w:t>.</w:t>
      </w:r>
      <w:r w:rsidR="00255F3E">
        <w:rPr>
          <w:rFonts w:cstheme="minorHAnsi"/>
          <w:lang w:val="en-US"/>
        </w:rPr>
        <w:t xml:space="preserve"> This approach supports co-location of services in schoo</w:t>
      </w:r>
      <w:r w:rsidR="005941E7">
        <w:rPr>
          <w:rFonts w:cstheme="minorHAnsi"/>
          <w:lang w:val="en-US"/>
        </w:rPr>
        <w:t>ls, grows referrals and reduces</w:t>
      </w:r>
      <w:r w:rsidR="00255F3E">
        <w:rPr>
          <w:rFonts w:cstheme="minorHAnsi"/>
          <w:lang w:val="en-US"/>
        </w:rPr>
        <w:t xml:space="preserve"> barriers for access, in particular increasing access for older students who do not require parental consent.</w:t>
      </w:r>
      <w:r w:rsidR="00C91597">
        <w:rPr>
          <w:rFonts w:cstheme="minorHAnsi"/>
          <w:lang w:val="en-US"/>
        </w:rPr>
        <w:t xml:space="preserve"> Building heal</w:t>
      </w:r>
      <w:r w:rsidR="0074104D">
        <w:rPr>
          <w:rFonts w:cstheme="minorHAnsi"/>
          <w:lang w:val="en-US"/>
        </w:rPr>
        <w:t>th promoting school communities</w:t>
      </w:r>
      <w:r w:rsidR="00C91597">
        <w:rPr>
          <w:rFonts w:cstheme="minorHAnsi"/>
          <w:lang w:val="en-US"/>
        </w:rPr>
        <w:t xml:space="preserve"> requires funding</w:t>
      </w:r>
      <w:r>
        <w:rPr>
          <w:rFonts w:cstheme="minorHAnsi"/>
          <w:lang w:val="en-US"/>
        </w:rPr>
        <w:t xml:space="preserve"> </w:t>
      </w:r>
      <w:r w:rsidR="00C91597">
        <w:rPr>
          <w:rFonts w:cstheme="minorHAnsi"/>
          <w:lang w:val="en-US"/>
        </w:rPr>
        <w:t>and cross government action at the State level. Embed</w:t>
      </w:r>
      <w:r w:rsidR="0074104D">
        <w:rPr>
          <w:rFonts w:cstheme="minorHAnsi"/>
          <w:lang w:val="en-US"/>
        </w:rPr>
        <w:t>ding mental health education in</w:t>
      </w:r>
      <w:r w:rsidR="00C91597">
        <w:rPr>
          <w:rFonts w:cstheme="minorHAnsi"/>
          <w:lang w:val="en-US"/>
        </w:rPr>
        <w:t xml:space="preserve">to school curriculum, similar to </w:t>
      </w:r>
      <w:r w:rsidR="0074104D">
        <w:rPr>
          <w:rFonts w:cstheme="minorHAnsi"/>
          <w:lang w:val="en-US"/>
        </w:rPr>
        <w:t>reproductive and sexual health,</w:t>
      </w:r>
      <w:r w:rsidR="00C91597">
        <w:rPr>
          <w:rFonts w:cstheme="minorHAnsi"/>
          <w:lang w:val="en-US"/>
        </w:rPr>
        <w:t xml:space="preserve"> can create safe spaces for dialogue, reduce stigma and cultivate</w:t>
      </w:r>
      <w:r w:rsidR="0074104D">
        <w:rPr>
          <w:rFonts w:cstheme="minorHAnsi"/>
          <w:lang w:val="en-US"/>
        </w:rPr>
        <w:t xml:space="preserve"> understanding that can flow on</w:t>
      </w:r>
      <w:r w:rsidR="00C91597">
        <w:rPr>
          <w:rFonts w:cstheme="minorHAnsi"/>
          <w:lang w:val="en-US"/>
        </w:rPr>
        <w:t>to workplaces in future generations. Teachers could be trained in Mental Health First Aid, and deliver this to students</w:t>
      </w:r>
      <w:r w:rsidR="00255F3E">
        <w:rPr>
          <w:rFonts w:cstheme="minorHAnsi"/>
          <w:lang w:val="en-US"/>
        </w:rPr>
        <w:t xml:space="preserve">. With students trained to deliver Mental </w:t>
      </w:r>
      <w:r w:rsidR="00255F3E">
        <w:rPr>
          <w:rFonts w:cstheme="minorHAnsi"/>
          <w:lang w:val="en-US"/>
        </w:rPr>
        <w:lastRenderedPageBreak/>
        <w:t>Health First Aid to</w:t>
      </w:r>
      <w:r w:rsidR="00C91597">
        <w:rPr>
          <w:rFonts w:cstheme="minorHAnsi"/>
          <w:lang w:val="en-US"/>
        </w:rPr>
        <w:t xml:space="preserve"> parents</w:t>
      </w:r>
      <w:r w:rsidR="00255F3E">
        <w:rPr>
          <w:rFonts w:cstheme="minorHAnsi"/>
          <w:lang w:val="en-US"/>
        </w:rPr>
        <w:t xml:space="preserve"> and/or guardians </w:t>
      </w:r>
      <w:r w:rsidR="005941E7">
        <w:rPr>
          <w:rFonts w:cstheme="minorHAnsi"/>
          <w:lang w:val="en-US"/>
        </w:rPr>
        <w:t xml:space="preserve">or in community sports settings. This type of </w:t>
      </w:r>
      <w:r w:rsidR="00255F3E">
        <w:rPr>
          <w:rFonts w:cstheme="minorHAnsi"/>
          <w:lang w:val="en-US"/>
        </w:rPr>
        <w:t xml:space="preserve">initiative could be monitored and evaluated by </w:t>
      </w:r>
      <w:r w:rsidR="006B2812">
        <w:rPr>
          <w:rFonts w:cstheme="minorHAnsi"/>
          <w:lang w:val="en-US"/>
        </w:rPr>
        <w:t xml:space="preserve">local </w:t>
      </w:r>
      <w:r w:rsidR="00255F3E">
        <w:rPr>
          <w:rFonts w:cstheme="minorHAnsi"/>
          <w:lang w:val="en-US"/>
        </w:rPr>
        <w:t>health promotion staff from community health services, if properly resourced</w:t>
      </w:r>
      <w:r w:rsidR="00C91597">
        <w:rPr>
          <w:rFonts w:cstheme="minorHAnsi"/>
          <w:lang w:val="en-US"/>
        </w:rPr>
        <w:t>.</w:t>
      </w:r>
    </w:p>
    <w:p w14:paraId="2456214F" w14:textId="77777777" w:rsidR="00C91597" w:rsidRDefault="00C91597" w:rsidP="00742285">
      <w:pPr>
        <w:spacing w:after="0" w:line="276" w:lineRule="auto"/>
        <w:jc w:val="both"/>
        <w:rPr>
          <w:rFonts w:cstheme="minorHAnsi"/>
          <w:lang w:val="en-US"/>
        </w:rPr>
      </w:pPr>
    </w:p>
    <w:p w14:paraId="21422329" w14:textId="1D9862B5" w:rsidR="00742285" w:rsidRDefault="00742285" w:rsidP="00742285">
      <w:pPr>
        <w:spacing w:after="0" w:line="276" w:lineRule="auto"/>
        <w:jc w:val="both"/>
        <w:rPr>
          <w:rFonts w:cstheme="minorHAnsi"/>
          <w:lang w:val="en-US"/>
        </w:rPr>
      </w:pPr>
      <w:r>
        <w:rPr>
          <w:rFonts w:cstheme="minorHAnsi"/>
          <w:lang w:val="en-US"/>
        </w:rPr>
        <w:t>Currently</w:t>
      </w:r>
      <w:r w:rsidR="0074104D">
        <w:rPr>
          <w:rFonts w:cstheme="minorHAnsi"/>
          <w:lang w:val="en-US"/>
        </w:rPr>
        <w:t>,</w:t>
      </w:r>
      <w:r>
        <w:rPr>
          <w:rFonts w:cstheme="minorHAnsi"/>
          <w:lang w:val="en-US"/>
        </w:rPr>
        <w:t xml:space="preserve"> schools</w:t>
      </w:r>
      <w:r w:rsidR="00E864C0">
        <w:rPr>
          <w:rFonts w:cstheme="minorHAnsi"/>
          <w:lang w:val="en-US"/>
        </w:rPr>
        <w:t>’</w:t>
      </w:r>
      <w:r>
        <w:rPr>
          <w:rFonts w:cstheme="minorHAnsi"/>
          <w:lang w:val="en-US"/>
        </w:rPr>
        <w:t xml:space="preserve"> resourcing of mental wellbeing appears to be largely reactionary, without a lot of work being put in place for well-planned and structured prevention and early intervention models. A plan where services such as Headspace and Beyond Blue partner </w:t>
      </w:r>
      <w:r w:rsidR="00255F3E">
        <w:rPr>
          <w:rFonts w:cstheme="minorHAnsi"/>
          <w:lang w:val="en-US"/>
        </w:rPr>
        <w:t xml:space="preserve">with local services and </w:t>
      </w:r>
      <w:r>
        <w:rPr>
          <w:rFonts w:cstheme="minorHAnsi"/>
          <w:lang w:val="en-US"/>
        </w:rPr>
        <w:t>schools to intervene early</w:t>
      </w:r>
      <w:r w:rsidR="00E864C0">
        <w:rPr>
          <w:rFonts w:cstheme="minorHAnsi"/>
          <w:lang w:val="en-US"/>
        </w:rPr>
        <w:t>,</w:t>
      </w:r>
      <w:r>
        <w:rPr>
          <w:rFonts w:cstheme="minorHAnsi"/>
          <w:lang w:val="en-US"/>
        </w:rPr>
        <w:t xml:space="preserve"> is needed.</w:t>
      </w:r>
    </w:p>
    <w:p w14:paraId="575F797C" w14:textId="04C45F8B" w:rsidR="00F00414" w:rsidRDefault="00F00414" w:rsidP="00742285">
      <w:pPr>
        <w:spacing w:after="0" w:line="276" w:lineRule="auto"/>
        <w:jc w:val="both"/>
        <w:rPr>
          <w:rFonts w:cstheme="minorHAnsi"/>
          <w:lang w:val="en-US"/>
        </w:rPr>
      </w:pPr>
    </w:p>
    <w:p w14:paraId="7C9214A2" w14:textId="41A4A4DB" w:rsidR="00F00414" w:rsidRDefault="00F00414" w:rsidP="00742285">
      <w:pPr>
        <w:spacing w:after="0" w:line="276" w:lineRule="auto"/>
        <w:jc w:val="both"/>
        <w:rPr>
          <w:rFonts w:cstheme="minorHAnsi"/>
          <w:lang w:eastAsia="en-AU"/>
        </w:rPr>
      </w:pPr>
      <w:r>
        <w:rPr>
          <w:rFonts w:cstheme="minorHAnsi"/>
          <w:lang w:eastAsia="en-AU"/>
        </w:rPr>
        <w:t xml:space="preserve">In future, we want to see a shift toward mental health expenditure being spent on health promotion, prevention and early intervention. We want people to identify within themselves symptoms of mental ill-health the same way they </w:t>
      </w:r>
      <w:r w:rsidR="006B2812">
        <w:rPr>
          <w:rFonts w:cstheme="minorHAnsi"/>
          <w:lang w:eastAsia="en-AU"/>
        </w:rPr>
        <w:t>self-</w:t>
      </w:r>
      <w:r>
        <w:rPr>
          <w:rFonts w:cstheme="minorHAnsi"/>
          <w:lang w:eastAsia="en-AU"/>
        </w:rPr>
        <w:t>diagnose a cold, and then seek medical advice. Increasing the mental health literacy of the community is required, through training.</w:t>
      </w:r>
      <w:r w:rsidR="005941E7">
        <w:rPr>
          <w:rFonts w:cstheme="minorHAnsi"/>
          <w:lang w:eastAsia="en-AU"/>
        </w:rPr>
        <w:t xml:space="preserve"> Further to this, we suggest the inclusion of </w:t>
      </w:r>
      <w:r w:rsidR="00980433">
        <w:rPr>
          <w:rFonts w:cstheme="minorHAnsi"/>
          <w:lang w:eastAsia="en-AU"/>
        </w:rPr>
        <w:t xml:space="preserve">the </w:t>
      </w:r>
      <w:r w:rsidR="005941E7">
        <w:rPr>
          <w:rFonts w:cstheme="minorHAnsi"/>
          <w:lang w:eastAsia="en-AU"/>
        </w:rPr>
        <w:t xml:space="preserve">situational </w:t>
      </w:r>
      <w:r w:rsidR="00980433">
        <w:rPr>
          <w:rFonts w:cstheme="minorHAnsi"/>
          <w:lang w:eastAsia="en-AU"/>
        </w:rPr>
        <w:t xml:space="preserve">approach to </w:t>
      </w:r>
      <w:r w:rsidR="005941E7">
        <w:rPr>
          <w:rFonts w:cstheme="minorHAnsi"/>
          <w:lang w:eastAsia="en-AU"/>
        </w:rPr>
        <w:t>ment</w:t>
      </w:r>
      <w:r w:rsidR="00980433">
        <w:rPr>
          <w:rFonts w:cstheme="minorHAnsi"/>
          <w:lang w:eastAsia="en-AU"/>
        </w:rPr>
        <w:t>al health literacy that provides a holistic and person-centred approach, normalising distress, applying gender specific considerations and addresses contextual factors such as family and community who can influence an individual’s experience</w:t>
      </w:r>
      <w:r w:rsidR="00FE2F64">
        <w:rPr>
          <w:rFonts w:cstheme="minorHAnsi"/>
          <w:lang w:eastAsia="en-AU"/>
        </w:rPr>
        <w:t xml:space="preserve"> (Ashfield et al, 2017).</w:t>
      </w:r>
    </w:p>
    <w:p w14:paraId="6B71BFFA" w14:textId="77777777" w:rsidR="0019500C" w:rsidRDefault="0019500C" w:rsidP="00742285">
      <w:pPr>
        <w:spacing w:after="0" w:line="276" w:lineRule="auto"/>
        <w:jc w:val="both"/>
        <w:rPr>
          <w:rFonts w:cstheme="minorHAnsi"/>
          <w:lang w:eastAsia="en-AU"/>
        </w:rPr>
      </w:pPr>
    </w:p>
    <w:p w14:paraId="57B30D7B" w14:textId="33314F37" w:rsidR="0012551D" w:rsidRPr="008741C7" w:rsidRDefault="0012551D" w:rsidP="008741C7">
      <w:pPr>
        <w:spacing w:after="0" w:line="276" w:lineRule="auto"/>
        <w:jc w:val="both"/>
        <w:rPr>
          <w:rFonts w:cstheme="minorHAnsi"/>
          <w:b/>
          <w:sz w:val="28"/>
        </w:rPr>
      </w:pPr>
      <w:r w:rsidRPr="008741C7">
        <w:rPr>
          <w:rFonts w:cstheme="minorHAnsi"/>
          <w:b/>
          <w:sz w:val="28"/>
        </w:rPr>
        <w:t>Health workforce and Informal Carers</w:t>
      </w:r>
    </w:p>
    <w:p w14:paraId="0B18FD7B" w14:textId="7F4A5DDD" w:rsidR="001F09D4" w:rsidRPr="002C5ACA" w:rsidRDefault="0012551D" w:rsidP="008741C7">
      <w:pPr>
        <w:spacing w:after="0" w:line="276" w:lineRule="auto"/>
        <w:jc w:val="both"/>
        <w:rPr>
          <w:rFonts w:cstheme="minorHAnsi"/>
          <w:b/>
          <w:i/>
        </w:rPr>
      </w:pPr>
      <w:r w:rsidRPr="002C5ACA">
        <w:rPr>
          <w:rFonts w:cstheme="minorHAnsi"/>
          <w:b/>
          <w:i/>
        </w:rPr>
        <w:t>Does the configuration and capabilities of the professional health workforce need to change to improve where and how care is delivered?</w:t>
      </w:r>
      <w:r w:rsidR="00532B65" w:rsidRPr="002C5ACA">
        <w:rPr>
          <w:rFonts w:cstheme="minorHAnsi"/>
          <w:b/>
          <w:i/>
        </w:rPr>
        <w:t xml:space="preserve"> How could this arrangement improve population mental health, participation and productivity?</w:t>
      </w:r>
      <w:r w:rsidR="001C4BFC">
        <w:rPr>
          <w:rFonts w:cstheme="minorHAnsi"/>
          <w:b/>
          <w:i/>
        </w:rPr>
        <w:t xml:space="preserve"> </w:t>
      </w:r>
      <w:r w:rsidR="001C4BFC" w:rsidRPr="002C5ACA">
        <w:rPr>
          <w:rFonts w:cstheme="minorHAnsi"/>
          <w:b/>
          <w:i/>
        </w:rPr>
        <w:t>What restrictions exist on the scope of practice for different professions, such as clinical vs other psychologists, social workers, GPs and nurses? Are these restrictions warranted?</w:t>
      </w:r>
      <w:r w:rsidR="001C4BFC">
        <w:rPr>
          <w:rFonts w:cstheme="minorHAnsi"/>
          <w:b/>
          <w:i/>
        </w:rPr>
        <w:t xml:space="preserve"> </w:t>
      </w:r>
      <w:r w:rsidR="001C4BFC" w:rsidRPr="002C5ACA">
        <w:rPr>
          <w:rFonts w:cstheme="minorHAnsi"/>
          <w:b/>
          <w:i/>
        </w:rPr>
        <w:t>What could be done to reduce stress and turnover among mental health workers? How could training and CPD be improved? What can be done to increase uptake</w:t>
      </w:r>
      <w:r w:rsidR="001D6932">
        <w:rPr>
          <w:rFonts w:cstheme="minorHAnsi"/>
          <w:b/>
          <w:i/>
        </w:rPr>
        <w:t>?</w:t>
      </w:r>
    </w:p>
    <w:p w14:paraId="52C4A918" w14:textId="3DE7D063" w:rsidR="002B54E8" w:rsidRDefault="002B54E8" w:rsidP="008741C7">
      <w:pPr>
        <w:spacing w:after="0" w:line="276" w:lineRule="auto"/>
        <w:jc w:val="both"/>
        <w:rPr>
          <w:rFonts w:cstheme="minorHAnsi"/>
        </w:rPr>
      </w:pPr>
    </w:p>
    <w:p w14:paraId="49EC2A70" w14:textId="03E4A41D" w:rsidR="00941071" w:rsidRDefault="0041586E" w:rsidP="00941071">
      <w:pPr>
        <w:spacing w:after="0" w:line="276" w:lineRule="auto"/>
        <w:jc w:val="both"/>
        <w:rPr>
          <w:rFonts w:cstheme="minorHAnsi"/>
        </w:rPr>
      </w:pPr>
      <w:r>
        <w:rPr>
          <w:rFonts w:cstheme="minorHAnsi"/>
        </w:rPr>
        <w:t>In Victoria, we have a growing population and complex social, environmental and economic issues impact</w:t>
      </w:r>
      <w:r w:rsidR="00AF5EE8">
        <w:rPr>
          <w:rFonts w:cstheme="minorHAnsi"/>
        </w:rPr>
        <w:t>ing</w:t>
      </w:r>
      <w:r>
        <w:rPr>
          <w:rFonts w:cstheme="minorHAnsi"/>
        </w:rPr>
        <w:t xml:space="preserve"> the mental wellbeing of our community</w:t>
      </w:r>
      <w:r w:rsidR="00E864C0">
        <w:rPr>
          <w:rFonts w:cstheme="minorHAnsi"/>
        </w:rPr>
        <w:t>. This</w:t>
      </w:r>
      <w:r>
        <w:rPr>
          <w:rFonts w:cstheme="minorHAnsi"/>
        </w:rPr>
        <w:t xml:space="preserve"> </w:t>
      </w:r>
      <w:r w:rsidR="00E864C0">
        <w:rPr>
          <w:rFonts w:cstheme="minorHAnsi"/>
        </w:rPr>
        <w:t>triggers</w:t>
      </w:r>
      <w:r>
        <w:rPr>
          <w:rFonts w:cstheme="minorHAnsi"/>
        </w:rPr>
        <w:t xml:space="preserve"> greater demand for services at both ends of the spectrum. Th</w:t>
      </w:r>
      <w:r w:rsidR="00AF5EE8">
        <w:rPr>
          <w:rFonts w:cstheme="minorHAnsi"/>
        </w:rPr>
        <w:t>e</w:t>
      </w:r>
      <w:r>
        <w:rPr>
          <w:rFonts w:cstheme="minorHAnsi"/>
        </w:rPr>
        <w:t xml:space="preserve"> demand is over</w:t>
      </w:r>
      <w:r w:rsidR="00E864C0">
        <w:rPr>
          <w:rFonts w:cstheme="minorHAnsi"/>
        </w:rPr>
        <w:t>whelming and results</w:t>
      </w:r>
      <w:r>
        <w:rPr>
          <w:rFonts w:cstheme="minorHAnsi"/>
        </w:rPr>
        <w:t xml:space="preserve"> in pressure </w:t>
      </w:r>
      <w:r w:rsidR="00AF5EE8">
        <w:rPr>
          <w:rFonts w:cstheme="minorHAnsi"/>
        </w:rPr>
        <w:t xml:space="preserve">on the system </w:t>
      </w:r>
      <w:r>
        <w:rPr>
          <w:rFonts w:cstheme="minorHAnsi"/>
        </w:rPr>
        <w:t xml:space="preserve">and </w:t>
      </w:r>
      <w:r w:rsidR="00AF5EE8">
        <w:rPr>
          <w:rFonts w:cstheme="minorHAnsi"/>
        </w:rPr>
        <w:t xml:space="preserve">increased </w:t>
      </w:r>
      <w:r>
        <w:rPr>
          <w:rFonts w:cstheme="minorHAnsi"/>
        </w:rPr>
        <w:t xml:space="preserve">stress </w:t>
      </w:r>
      <w:r w:rsidR="00AF5EE8">
        <w:rPr>
          <w:rFonts w:cstheme="minorHAnsi"/>
        </w:rPr>
        <w:t xml:space="preserve">on </w:t>
      </w:r>
      <w:r>
        <w:rPr>
          <w:rFonts w:cstheme="minorHAnsi"/>
        </w:rPr>
        <w:t xml:space="preserve">the workforce. As a community health service we are receiving more complex clients due to the limitations and pressures on other parts of the system. </w:t>
      </w:r>
      <w:r w:rsidR="00AF5EE8">
        <w:rPr>
          <w:rFonts w:cstheme="minorHAnsi"/>
        </w:rPr>
        <w:t xml:space="preserve">We have recognised that staff in </w:t>
      </w:r>
      <w:r>
        <w:rPr>
          <w:rFonts w:cstheme="minorHAnsi"/>
        </w:rPr>
        <w:t>hospitals are pressured to discharge clients</w:t>
      </w:r>
      <w:r w:rsidR="00AF5EE8">
        <w:rPr>
          <w:rFonts w:cstheme="minorHAnsi"/>
        </w:rPr>
        <w:t xml:space="preserve"> promptly, who at times are not ready or safe for release. As a community health service we employ clinicians</w:t>
      </w:r>
      <w:r w:rsidR="00AF5EE8" w:rsidRPr="008741C7">
        <w:rPr>
          <w:rFonts w:cstheme="minorHAnsi"/>
        </w:rPr>
        <w:t xml:space="preserve"> to work with mild to moderate</w:t>
      </w:r>
      <w:r w:rsidR="00E864C0">
        <w:rPr>
          <w:rFonts w:cstheme="minorHAnsi"/>
        </w:rPr>
        <w:t>-need</w:t>
      </w:r>
      <w:r w:rsidR="00AF5EE8" w:rsidRPr="008741C7">
        <w:rPr>
          <w:rFonts w:cstheme="minorHAnsi"/>
        </w:rPr>
        <w:t xml:space="preserve"> clients</w:t>
      </w:r>
      <w:r w:rsidR="00F809A2">
        <w:rPr>
          <w:rFonts w:cstheme="minorHAnsi"/>
        </w:rPr>
        <w:t>.</w:t>
      </w:r>
      <w:r w:rsidR="006E7F93">
        <w:rPr>
          <w:rFonts w:cstheme="minorHAnsi"/>
        </w:rPr>
        <w:t xml:space="preserve"> </w:t>
      </w:r>
      <w:r w:rsidR="00F809A2">
        <w:rPr>
          <w:rFonts w:cstheme="minorHAnsi"/>
        </w:rPr>
        <w:t>Y</w:t>
      </w:r>
      <w:r w:rsidR="006E7F93">
        <w:rPr>
          <w:rFonts w:cstheme="minorHAnsi"/>
        </w:rPr>
        <w:t>et we have experienced a shift to more complex clients</w:t>
      </w:r>
      <w:r w:rsidR="00C8320B">
        <w:rPr>
          <w:rFonts w:cstheme="minorHAnsi"/>
        </w:rPr>
        <w:t xml:space="preserve"> with </w:t>
      </w:r>
      <w:r w:rsidR="006E7F93">
        <w:rPr>
          <w:rFonts w:cstheme="minorHAnsi"/>
        </w:rPr>
        <w:t xml:space="preserve">clients presenting with </w:t>
      </w:r>
      <w:r w:rsidR="0074104D">
        <w:rPr>
          <w:rFonts w:cstheme="minorHAnsi"/>
        </w:rPr>
        <w:t xml:space="preserve">challenges </w:t>
      </w:r>
      <w:r w:rsidR="006E7F93">
        <w:rPr>
          <w:rFonts w:cstheme="minorHAnsi"/>
        </w:rPr>
        <w:t>across the whole spectrum</w:t>
      </w:r>
      <w:r w:rsidR="00E864C0">
        <w:rPr>
          <w:rFonts w:cstheme="minorHAnsi"/>
        </w:rPr>
        <w:t xml:space="preserve"> because of</w:t>
      </w:r>
      <w:r w:rsidR="006E7F93">
        <w:rPr>
          <w:rFonts w:cstheme="minorHAnsi"/>
        </w:rPr>
        <w:t xml:space="preserve">, limitations in access due to availability and eligibility criteria, increasing the risk for our service and staff. </w:t>
      </w:r>
      <w:r w:rsidR="00A14555">
        <w:rPr>
          <w:rFonts w:cstheme="minorHAnsi"/>
        </w:rPr>
        <w:t>For example, t</w:t>
      </w:r>
      <w:r w:rsidR="00941071">
        <w:rPr>
          <w:rFonts w:cstheme="minorHAnsi"/>
        </w:rPr>
        <w:t xml:space="preserve">his increasing demand and complexity is clearly evident in the calls </w:t>
      </w:r>
      <w:r w:rsidR="00A14555">
        <w:rPr>
          <w:rFonts w:cstheme="minorHAnsi"/>
        </w:rPr>
        <w:t>Connect Health</w:t>
      </w:r>
      <w:r w:rsidR="00E864C0">
        <w:rPr>
          <w:rFonts w:cstheme="minorHAnsi"/>
        </w:rPr>
        <w:t xml:space="preserve"> &amp; Community</w:t>
      </w:r>
      <w:r w:rsidR="00A14555">
        <w:rPr>
          <w:rFonts w:cstheme="minorHAnsi"/>
        </w:rPr>
        <w:t xml:space="preserve">’s </w:t>
      </w:r>
      <w:r w:rsidR="00E864C0">
        <w:rPr>
          <w:rFonts w:cstheme="minorHAnsi"/>
        </w:rPr>
        <w:t>I</w:t>
      </w:r>
      <w:r w:rsidR="00941071">
        <w:rPr>
          <w:rFonts w:cstheme="minorHAnsi"/>
        </w:rPr>
        <w:t xml:space="preserve">ntake staff </w:t>
      </w:r>
      <w:r w:rsidR="00E864C0">
        <w:rPr>
          <w:rFonts w:cstheme="minorHAnsi"/>
        </w:rPr>
        <w:t>receive</w:t>
      </w:r>
      <w:r w:rsidR="00941071">
        <w:rPr>
          <w:rFonts w:cstheme="minorHAnsi"/>
        </w:rPr>
        <w:t xml:space="preserve">. To ensure </w:t>
      </w:r>
      <w:r w:rsidR="00391D52">
        <w:rPr>
          <w:rFonts w:cstheme="minorHAnsi"/>
        </w:rPr>
        <w:t xml:space="preserve">our staff </w:t>
      </w:r>
      <w:r w:rsidR="00941071">
        <w:rPr>
          <w:rFonts w:cstheme="minorHAnsi"/>
        </w:rPr>
        <w:t>are resourced and well supported for the rise in complexity of callers and referrals we have had to invest in training and supervision</w:t>
      </w:r>
      <w:r w:rsidR="00391D52">
        <w:rPr>
          <w:rFonts w:cstheme="minorHAnsi"/>
        </w:rPr>
        <w:t>,</w:t>
      </w:r>
      <w:r w:rsidR="00941071">
        <w:rPr>
          <w:rFonts w:cstheme="minorHAnsi"/>
        </w:rPr>
        <w:t xml:space="preserve"> in type and </w:t>
      </w:r>
      <w:r w:rsidR="00E864C0">
        <w:rPr>
          <w:rFonts w:cstheme="minorHAnsi"/>
        </w:rPr>
        <w:t xml:space="preserve">volume </w:t>
      </w:r>
      <w:r w:rsidR="00941071">
        <w:rPr>
          <w:rFonts w:cstheme="minorHAnsi"/>
        </w:rPr>
        <w:t>not previously</w:t>
      </w:r>
      <w:r w:rsidR="00E864C0">
        <w:rPr>
          <w:rFonts w:cstheme="minorHAnsi"/>
        </w:rPr>
        <w:t xml:space="preserve"> required</w:t>
      </w:r>
      <w:r w:rsidR="00941071">
        <w:rPr>
          <w:rFonts w:cstheme="minorHAnsi"/>
        </w:rPr>
        <w:t xml:space="preserve">. All our </w:t>
      </w:r>
      <w:r w:rsidR="00E864C0">
        <w:rPr>
          <w:rFonts w:cstheme="minorHAnsi"/>
        </w:rPr>
        <w:t>I</w:t>
      </w:r>
      <w:r w:rsidR="00941071">
        <w:rPr>
          <w:rFonts w:cstheme="minorHAnsi"/>
        </w:rPr>
        <w:t xml:space="preserve">ntake staff have been trained to complete </w:t>
      </w:r>
      <w:r w:rsidR="00391D52">
        <w:rPr>
          <w:rFonts w:cstheme="minorHAnsi"/>
        </w:rPr>
        <w:t>the</w:t>
      </w:r>
      <w:r w:rsidR="00941071">
        <w:rPr>
          <w:rFonts w:cstheme="minorHAnsi"/>
        </w:rPr>
        <w:t xml:space="preserve"> full </w:t>
      </w:r>
      <w:r w:rsidR="00E864C0">
        <w:rPr>
          <w:rFonts w:cstheme="minorHAnsi"/>
        </w:rPr>
        <w:t>‘</w:t>
      </w:r>
      <w:r w:rsidR="00941071">
        <w:rPr>
          <w:rFonts w:cstheme="minorHAnsi"/>
        </w:rPr>
        <w:t>risk assessment to self and family violence</w:t>
      </w:r>
      <w:r w:rsidR="00E864C0">
        <w:rPr>
          <w:rFonts w:cstheme="minorHAnsi"/>
        </w:rPr>
        <w:t>’</w:t>
      </w:r>
      <w:r w:rsidR="00941071">
        <w:rPr>
          <w:rFonts w:cstheme="minorHAnsi"/>
        </w:rPr>
        <w:t xml:space="preserve"> </w:t>
      </w:r>
      <w:r w:rsidR="00391D52">
        <w:rPr>
          <w:rFonts w:cstheme="minorHAnsi"/>
        </w:rPr>
        <w:t>common risk assessment framework (CRAF)</w:t>
      </w:r>
      <w:r w:rsidR="00C8320B">
        <w:rPr>
          <w:rFonts w:cstheme="minorHAnsi"/>
        </w:rPr>
        <w:t xml:space="preserve"> and we are investing in vicarious training and support for our staff</w:t>
      </w:r>
      <w:r w:rsidR="00941071">
        <w:rPr>
          <w:rFonts w:cstheme="minorHAnsi"/>
        </w:rPr>
        <w:t>.</w:t>
      </w:r>
    </w:p>
    <w:p w14:paraId="4BCFF2C0" w14:textId="77777777" w:rsidR="00AF5EE8" w:rsidRDefault="00AF5EE8" w:rsidP="00AF5EE8">
      <w:pPr>
        <w:spacing w:after="0" w:line="276" w:lineRule="auto"/>
        <w:jc w:val="both"/>
        <w:rPr>
          <w:rFonts w:cstheme="minorHAnsi"/>
        </w:rPr>
      </w:pPr>
    </w:p>
    <w:p w14:paraId="407A4AC9" w14:textId="33F7D44A" w:rsidR="0041586E" w:rsidRDefault="0041586E" w:rsidP="008741C7">
      <w:pPr>
        <w:spacing w:after="0" w:line="276" w:lineRule="auto"/>
        <w:jc w:val="both"/>
        <w:rPr>
          <w:rFonts w:cstheme="minorHAnsi"/>
        </w:rPr>
      </w:pPr>
      <w:r>
        <w:rPr>
          <w:rFonts w:cstheme="minorHAnsi"/>
        </w:rPr>
        <w:t>Mental health service delivery is provided through a fragmented model that is challenging to</w:t>
      </w:r>
      <w:r w:rsidR="002371C9">
        <w:rPr>
          <w:rFonts w:cstheme="minorHAnsi"/>
        </w:rPr>
        <w:t xml:space="preserve"> navigate by </w:t>
      </w:r>
      <w:r w:rsidR="00C8320B">
        <w:rPr>
          <w:rFonts w:cstheme="minorHAnsi"/>
        </w:rPr>
        <w:t xml:space="preserve">workers, </w:t>
      </w:r>
      <w:r w:rsidR="002371C9">
        <w:rPr>
          <w:rFonts w:cstheme="minorHAnsi"/>
        </w:rPr>
        <w:t>clients and carers. There are limitations with having segmented specialised services. As a client, you may need to visit multiple services</w:t>
      </w:r>
      <w:r w:rsidR="0029173A">
        <w:rPr>
          <w:rFonts w:cstheme="minorHAnsi"/>
        </w:rPr>
        <w:t xml:space="preserve"> </w:t>
      </w:r>
      <w:r w:rsidR="007E1087">
        <w:rPr>
          <w:rFonts w:cstheme="minorHAnsi"/>
        </w:rPr>
        <w:t xml:space="preserve">which </w:t>
      </w:r>
      <w:r w:rsidR="0029173A">
        <w:rPr>
          <w:rFonts w:cstheme="minorHAnsi"/>
        </w:rPr>
        <w:t xml:space="preserve">can require </w:t>
      </w:r>
      <w:r w:rsidR="00C8320B">
        <w:rPr>
          <w:rFonts w:cstheme="minorHAnsi"/>
        </w:rPr>
        <w:t xml:space="preserve">absence from </w:t>
      </w:r>
      <w:r w:rsidR="00490F39">
        <w:rPr>
          <w:rFonts w:cstheme="minorHAnsi"/>
        </w:rPr>
        <w:t xml:space="preserve">work or study </w:t>
      </w:r>
      <w:r w:rsidR="0029173A">
        <w:rPr>
          <w:rFonts w:cstheme="minorHAnsi"/>
        </w:rPr>
        <w:t>and care arrangements</w:t>
      </w:r>
      <w:r w:rsidR="007E1087">
        <w:rPr>
          <w:rFonts w:cstheme="minorHAnsi"/>
        </w:rPr>
        <w:t>.</w:t>
      </w:r>
      <w:r w:rsidR="002371C9">
        <w:rPr>
          <w:rFonts w:cstheme="minorHAnsi"/>
        </w:rPr>
        <w:t xml:space="preserve"> </w:t>
      </w:r>
      <w:r w:rsidR="007E1087">
        <w:rPr>
          <w:rFonts w:cstheme="minorHAnsi"/>
        </w:rPr>
        <w:t>C</w:t>
      </w:r>
      <w:r w:rsidR="0029173A">
        <w:rPr>
          <w:rFonts w:cstheme="minorHAnsi"/>
        </w:rPr>
        <w:t xml:space="preserve">lients </w:t>
      </w:r>
      <w:r w:rsidR="007E1087">
        <w:rPr>
          <w:rFonts w:cstheme="minorHAnsi"/>
        </w:rPr>
        <w:t xml:space="preserve">having to provide </w:t>
      </w:r>
      <w:r w:rsidR="0029173A">
        <w:rPr>
          <w:rFonts w:cstheme="minorHAnsi"/>
        </w:rPr>
        <w:t xml:space="preserve">their </w:t>
      </w:r>
      <w:r w:rsidR="002371C9">
        <w:rPr>
          <w:rFonts w:cstheme="minorHAnsi"/>
        </w:rPr>
        <w:t>history and needs to each service</w:t>
      </w:r>
      <w:r w:rsidR="0029173A">
        <w:rPr>
          <w:rFonts w:cstheme="minorHAnsi"/>
        </w:rPr>
        <w:t xml:space="preserve"> </w:t>
      </w:r>
      <w:r w:rsidR="007E1087">
        <w:rPr>
          <w:rFonts w:cstheme="minorHAnsi"/>
        </w:rPr>
        <w:t>can cause</w:t>
      </w:r>
      <w:r w:rsidR="0029173A">
        <w:rPr>
          <w:rFonts w:cstheme="minorHAnsi"/>
        </w:rPr>
        <w:t xml:space="preserve"> fatigue </w:t>
      </w:r>
      <w:r w:rsidR="00490F39">
        <w:rPr>
          <w:rFonts w:cstheme="minorHAnsi"/>
        </w:rPr>
        <w:t xml:space="preserve">and </w:t>
      </w:r>
      <w:r w:rsidR="0029173A">
        <w:rPr>
          <w:rFonts w:cstheme="minorHAnsi"/>
        </w:rPr>
        <w:t>inadvertently</w:t>
      </w:r>
      <w:r w:rsidR="007E1087">
        <w:rPr>
          <w:rFonts w:cstheme="minorHAnsi"/>
        </w:rPr>
        <w:t>,</w:t>
      </w:r>
      <w:r w:rsidR="0029173A">
        <w:rPr>
          <w:rFonts w:cstheme="minorHAnsi"/>
        </w:rPr>
        <w:t xml:space="preserve"> resulting in information not being provided</w:t>
      </w:r>
      <w:r w:rsidR="00490F39">
        <w:rPr>
          <w:rFonts w:cstheme="minorHAnsi"/>
        </w:rPr>
        <w:t xml:space="preserve">, it can also result in re-traumatising the client. </w:t>
      </w:r>
      <w:r w:rsidR="00490F39">
        <w:rPr>
          <w:rFonts w:cstheme="minorHAnsi"/>
        </w:rPr>
        <w:lastRenderedPageBreak/>
        <w:t>T</w:t>
      </w:r>
      <w:r w:rsidR="002371C9">
        <w:rPr>
          <w:rFonts w:cstheme="minorHAnsi"/>
        </w:rPr>
        <w:t xml:space="preserve">he nature of care can be uncoordinated between services and hinder the </w:t>
      </w:r>
      <w:r w:rsidR="00490F39">
        <w:rPr>
          <w:rFonts w:cstheme="minorHAnsi"/>
        </w:rPr>
        <w:t>client’s</w:t>
      </w:r>
      <w:r w:rsidR="002371C9">
        <w:rPr>
          <w:rFonts w:cstheme="minorHAnsi"/>
        </w:rPr>
        <w:t xml:space="preserve"> ability to recover.</w:t>
      </w:r>
      <w:r w:rsidR="0029173A">
        <w:rPr>
          <w:rFonts w:cstheme="minorHAnsi"/>
        </w:rPr>
        <w:t xml:space="preserve"> As a practitioner, </w:t>
      </w:r>
      <w:r w:rsidR="00DB4908">
        <w:rPr>
          <w:rFonts w:cstheme="minorHAnsi"/>
        </w:rPr>
        <w:t xml:space="preserve">staff are required to support clients with varying needs </w:t>
      </w:r>
      <w:r w:rsidR="007E1087">
        <w:rPr>
          <w:rFonts w:cstheme="minorHAnsi"/>
        </w:rPr>
        <w:t xml:space="preserve">of </w:t>
      </w:r>
      <w:r w:rsidR="00DB4908">
        <w:rPr>
          <w:rFonts w:cstheme="minorHAnsi"/>
        </w:rPr>
        <w:t>mental health illnesses and complex social and health issues. Practitioners cannot be experts or trained in all cases that present</w:t>
      </w:r>
      <w:r w:rsidR="007E1087">
        <w:rPr>
          <w:rFonts w:cstheme="minorHAnsi"/>
        </w:rPr>
        <w:t xml:space="preserve"> for help</w:t>
      </w:r>
      <w:r w:rsidR="00DB4908">
        <w:rPr>
          <w:rFonts w:cstheme="minorHAnsi"/>
        </w:rPr>
        <w:t>.</w:t>
      </w:r>
    </w:p>
    <w:p w14:paraId="7A3170BA" w14:textId="6EAB857C" w:rsidR="0041586E" w:rsidRDefault="0041586E" w:rsidP="008741C7">
      <w:pPr>
        <w:spacing w:after="0" w:line="276" w:lineRule="auto"/>
        <w:jc w:val="both"/>
        <w:rPr>
          <w:rFonts w:cstheme="minorHAnsi"/>
        </w:rPr>
      </w:pPr>
    </w:p>
    <w:p w14:paraId="58C10A55" w14:textId="60F418AA" w:rsidR="0012551D" w:rsidRPr="0088427D" w:rsidRDefault="00DB4908" w:rsidP="0088427D">
      <w:pPr>
        <w:spacing w:after="0" w:line="276" w:lineRule="auto"/>
        <w:jc w:val="both"/>
        <w:rPr>
          <w:rFonts w:cstheme="minorHAnsi"/>
          <w:i/>
        </w:rPr>
      </w:pPr>
      <w:r w:rsidRPr="0088427D">
        <w:rPr>
          <w:rFonts w:cstheme="minorHAnsi"/>
          <w:i/>
        </w:rPr>
        <w:t>M</w:t>
      </w:r>
      <w:r w:rsidR="0012551D" w:rsidRPr="0088427D">
        <w:rPr>
          <w:rFonts w:cstheme="minorHAnsi"/>
          <w:i/>
        </w:rPr>
        <w:t xml:space="preserve">ultidisciplinary </w:t>
      </w:r>
      <w:r w:rsidRPr="0088427D">
        <w:rPr>
          <w:rFonts w:cstheme="minorHAnsi"/>
          <w:i/>
        </w:rPr>
        <w:t xml:space="preserve">mental health </w:t>
      </w:r>
      <w:r w:rsidR="0012551D" w:rsidRPr="0088427D">
        <w:rPr>
          <w:rFonts w:cstheme="minorHAnsi"/>
          <w:i/>
        </w:rPr>
        <w:t>care teams</w:t>
      </w:r>
    </w:p>
    <w:p w14:paraId="5F2936E3" w14:textId="1A84A649" w:rsidR="00941071" w:rsidRDefault="00DB4908" w:rsidP="00941071">
      <w:pPr>
        <w:spacing w:after="0" w:line="276" w:lineRule="auto"/>
        <w:jc w:val="both"/>
        <w:rPr>
          <w:rFonts w:cstheme="minorHAnsi"/>
        </w:rPr>
      </w:pPr>
      <w:r>
        <w:rPr>
          <w:rFonts w:cstheme="minorHAnsi"/>
        </w:rPr>
        <w:t xml:space="preserve">In place of current siloed </w:t>
      </w:r>
      <w:r w:rsidR="006B2812">
        <w:rPr>
          <w:rFonts w:cstheme="minorHAnsi"/>
        </w:rPr>
        <w:t xml:space="preserve">and specialised </w:t>
      </w:r>
      <w:r>
        <w:rPr>
          <w:rFonts w:cstheme="minorHAnsi"/>
        </w:rPr>
        <w:t>services</w:t>
      </w:r>
      <w:r w:rsidR="00F9035D">
        <w:rPr>
          <w:rFonts w:cstheme="minorHAnsi"/>
        </w:rPr>
        <w:t>,</w:t>
      </w:r>
      <w:r w:rsidR="007E1087">
        <w:rPr>
          <w:rFonts w:cstheme="minorHAnsi"/>
        </w:rPr>
        <w:t xml:space="preserve"> it is essential to</w:t>
      </w:r>
      <w:r w:rsidR="0088427D">
        <w:rPr>
          <w:rFonts w:cstheme="minorHAnsi"/>
        </w:rPr>
        <w:t xml:space="preserve"> have</w:t>
      </w:r>
      <w:r>
        <w:rPr>
          <w:rFonts w:cstheme="minorHAnsi"/>
        </w:rPr>
        <w:t xml:space="preserve"> </w:t>
      </w:r>
      <w:r w:rsidR="006B2812">
        <w:rPr>
          <w:rFonts w:cstheme="minorHAnsi"/>
        </w:rPr>
        <w:t>multidisciplinary</w:t>
      </w:r>
      <w:r w:rsidR="00F9035D">
        <w:rPr>
          <w:rFonts w:cstheme="minorHAnsi"/>
        </w:rPr>
        <w:t xml:space="preserve"> teams positioned </w:t>
      </w:r>
      <w:r w:rsidR="004E6631">
        <w:rPr>
          <w:rFonts w:cstheme="minorHAnsi"/>
        </w:rPr>
        <w:t xml:space="preserve">in close proximity to each other </w:t>
      </w:r>
      <w:r w:rsidR="00F9035D">
        <w:rPr>
          <w:rFonts w:cstheme="minorHAnsi"/>
        </w:rPr>
        <w:t>across the state to better respond holistically to</w:t>
      </w:r>
      <w:r w:rsidR="006B2812">
        <w:rPr>
          <w:rFonts w:cstheme="minorHAnsi"/>
        </w:rPr>
        <w:t xml:space="preserve"> individual client</w:t>
      </w:r>
      <w:r w:rsidR="00F9035D">
        <w:rPr>
          <w:rFonts w:cstheme="minorHAnsi"/>
        </w:rPr>
        <w:t xml:space="preserve"> needs.</w:t>
      </w:r>
      <w:r w:rsidR="006B2812">
        <w:rPr>
          <w:rFonts w:cstheme="minorHAnsi"/>
        </w:rPr>
        <w:t xml:space="preserve"> More service sites</w:t>
      </w:r>
      <w:r w:rsidR="00E95E0E">
        <w:rPr>
          <w:rFonts w:cstheme="minorHAnsi"/>
        </w:rPr>
        <w:t xml:space="preserve"> and comprehensive teams better-</w:t>
      </w:r>
      <w:r w:rsidR="006B2812">
        <w:rPr>
          <w:rFonts w:cstheme="minorHAnsi"/>
        </w:rPr>
        <w:t xml:space="preserve">resourced and </w:t>
      </w:r>
      <w:r w:rsidR="004E6631">
        <w:rPr>
          <w:rFonts w:cstheme="minorHAnsi"/>
        </w:rPr>
        <w:t>located for clients</w:t>
      </w:r>
      <w:r w:rsidR="00E95E0E">
        <w:rPr>
          <w:rFonts w:cstheme="minorHAnsi"/>
        </w:rPr>
        <w:t>,</w:t>
      </w:r>
      <w:r w:rsidR="004E6631">
        <w:rPr>
          <w:rFonts w:cstheme="minorHAnsi"/>
        </w:rPr>
        <w:t xml:space="preserve"> </w:t>
      </w:r>
      <w:r w:rsidR="00E95E0E">
        <w:rPr>
          <w:rFonts w:cstheme="minorHAnsi"/>
        </w:rPr>
        <w:t xml:space="preserve">will improve </w:t>
      </w:r>
      <w:r w:rsidR="004E6631">
        <w:rPr>
          <w:rFonts w:cstheme="minorHAnsi"/>
        </w:rPr>
        <w:t>access</w:t>
      </w:r>
      <w:r w:rsidR="00E95E0E">
        <w:rPr>
          <w:rFonts w:cstheme="minorHAnsi"/>
        </w:rPr>
        <w:t xml:space="preserve"> and outcomes</w:t>
      </w:r>
      <w:r w:rsidR="00223B67">
        <w:rPr>
          <w:rFonts w:cstheme="minorHAnsi"/>
        </w:rPr>
        <w:t>.</w:t>
      </w:r>
      <w:r w:rsidR="00E95E0E">
        <w:rPr>
          <w:rFonts w:cstheme="minorHAnsi"/>
        </w:rPr>
        <w:t xml:space="preserve"> We need</w:t>
      </w:r>
      <w:r w:rsidR="0024405B">
        <w:rPr>
          <w:rFonts w:cstheme="minorHAnsi"/>
        </w:rPr>
        <w:t xml:space="preserve"> </w:t>
      </w:r>
      <w:r w:rsidR="00E95E0E">
        <w:rPr>
          <w:rFonts w:cstheme="minorHAnsi"/>
        </w:rPr>
        <w:t>a</w:t>
      </w:r>
      <w:r w:rsidR="00F9035D">
        <w:rPr>
          <w:rFonts w:cstheme="minorHAnsi"/>
        </w:rPr>
        <w:t xml:space="preserve"> </w:t>
      </w:r>
      <w:r w:rsidR="00A9121D">
        <w:rPr>
          <w:rFonts w:cstheme="minorHAnsi"/>
        </w:rPr>
        <w:t xml:space="preserve">coordinated and integrated </w:t>
      </w:r>
      <w:r w:rsidR="00F9035D">
        <w:rPr>
          <w:rFonts w:cstheme="minorHAnsi"/>
        </w:rPr>
        <w:t xml:space="preserve">service team wrapping services around the client </w:t>
      </w:r>
      <w:r w:rsidR="004E6631">
        <w:rPr>
          <w:rFonts w:cstheme="minorHAnsi"/>
        </w:rPr>
        <w:t>to enhance their recovery</w:t>
      </w:r>
      <w:r w:rsidR="00F9035D">
        <w:rPr>
          <w:rFonts w:cstheme="minorHAnsi"/>
        </w:rPr>
        <w:t xml:space="preserve"> </w:t>
      </w:r>
      <w:r w:rsidR="00A9121D">
        <w:rPr>
          <w:rFonts w:cstheme="minorHAnsi"/>
        </w:rPr>
        <w:t xml:space="preserve">with </w:t>
      </w:r>
      <w:r w:rsidR="004E6631">
        <w:rPr>
          <w:rFonts w:cstheme="minorHAnsi"/>
        </w:rPr>
        <w:t>better professional support for</w:t>
      </w:r>
      <w:r w:rsidR="00F9035D">
        <w:rPr>
          <w:rFonts w:cstheme="minorHAnsi"/>
        </w:rPr>
        <w:t xml:space="preserve"> practitioners</w:t>
      </w:r>
      <w:r w:rsidR="004E6631">
        <w:rPr>
          <w:rFonts w:cstheme="minorHAnsi"/>
        </w:rPr>
        <w:t>.</w:t>
      </w:r>
      <w:r w:rsidR="006B2812">
        <w:rPr>
          <w:rFonts w:cstheme="minorHAnsi"/>
        </w:rPr>
        <w:t xml:space="preserve"> </w:t>
      </w:r>
      <w:r w:rsidR="00941071">
        <w:rPr>
          <w:rFonts w:cstheme="minorHAnsi"/>
        </w:rPr>
        <w:t xml:space="preserve">This system would </w:t>
      </w:r>
      <w:r w:rsidR="000E5FD4">
        <w:rPr>
          <w:rFonts w:cstheme="minorHAnsi"/>
        </w:rPr>
        <w:t xml:space="preserve">need to </w:t>
      </w:r>
      <w:r w:rsidR="00AC04BB">
        <w:rPr>
          <w:rFonts w:cstheme="minorHAnsi"/>
        </w:rPr>
        <w:t xml:space="preserve">integrate </w:t>
      </w:r>
      <w:r w:rsidR="00941071">
        <w:rPr>
          <w:rFonts w:cstheme="minorHAnsi"/>
        </w:rPr>
        <w:t>workforces</w:t>
      </w:r>
      <w:r w:rsidR="00AC04BB">
        <w:rPr>
          <w:rFonts w:cstheme="minorHAnsi"/>
        </w:rPr>
        <w:t xml:space="preserve"> and systems</w:t>
      </w:r>
      <w:r w:rsidR="00941071">
        <w:rPr>
          <w:rFonts w:cstheme="minorHAnsi"/>
        </w:rPr>
        <w:t xml:space="preserve"> across the service levels of acute, sub-acute and community, </w:t>
      </w:r>
      <w:r w:rsidR="00AC04BB">
        <w:rPr>
          <w:rFonts w:cstheme="minorHAnsi"/>
        </w:rPr>
        <w:t xml:space="preserve">to enhance </w:t>
      </w:r>
      <w:r w:rsidR="00941071">
        <w:rPr>
          <w:rFonts w:cstheme="minorHAnsi"/>
        </w:rPr>
        <w:t xml:space="preserve">the journey of </w:t>
      </w:r>
      <w:r w:rsidR="00AC04BB">
        <w:rPr>
          <w:rFonts w:cstheme="minorHAnsi"/>
        </w:rPr>
        <w:t>the</w:t>
      </w:r>
      <w:r w:rsidR="00941071">
        <w:rPr>
          <w:rFonts w:cstheme="minorHAnsi"/>
        </w:rPr>
        <w:t xml:space="preserve"> client</w:t>
      </w:r>
      <w:r w:rsidR="00AC04BB">
        <w:rPr>
          <w:rFonts w:cstheme="minorHAnsi"/>
        </w:rPr>
        <w:t xml:space="preserve"> and/or </w:t>
      </w:r>
      <w:r w:rsidR="00E95E0E">
        <w:rPr>
          <w:rFonts w:cstheme="minorHAnsi"/>
        </w:rPr>
        <w:t xml:space="preserve">their </w:t>
      </w:r>
      <w:r w:rsidR="00AC04BB">
        <w:rPr>
          <w:rFonts w:cstheme="minorHAnsi"/>
        </w:rPr>
        <w:t>carer</w:t>
      </w:r>
      <w:r w:rsidR="00941071">
        <w:rPr>
          <w:rFonts w:cstheme="minorHAnsi"/>
        </w:rPr>
        <w:t>.</w:t>
      </w:r>
    </w:p>
    <w:p w14:paraId="09D0A089" w14:textId="78DD8493" w:rsidR="00F9035D" w:rsidRDefault="0024405B" w:rsidP="00DB4908">
      <w:pPr>
        <w:spacing w:after="0" w:line="276" w:lineRule="auto"/>
        <w:jc w:val="both"/>
        <w:rPr>
          <w:rFonts w:cstheme="minorHAnsi"/>
        </w:rPr>
      </w:pPr>
      <w:r>
        <w:rPr>
          <w:rFonts w:cstheme="minorHAnsi"/>
        </w:rPr>
        <w:t xml:space="preserve"> </w:t>
      </w:r>
    </w:p>
    <w:p w14:paraId="13C29181" w14:textId="051A203F" w:rsidR="005A2FDD" w:rsidRDefault="004E6631" w:rsidP="001B5DB0">
      <w:pPr>
        <w:spacing w:after="0" w:line="276" w:lineRule="auto"/>
        <w:jc w:val="both"/>
        <w:rPr>
          <w:rFonts w:cstheme="minorHAnsi"/>
        </w:rPr>
      </w:pPr>
      <w:r>
        <w:rPr>
          <w:rFonts w:cstheme="minorHAnsi"/>
        </w:rPr>
        <w:t>A s</w:t>
      </w:r>
      <w:r w:rsidR="00F9035D">
        <w:rPr>
          <w:rFonts w:cstheme="minorHAnsi"/>
        </w:rPr>
        <w:t xml:space="preserve">ervice </w:t>
      </w:r>
      <w:r>
        <w:rPr>
          <w:rFonts w:cstheme="minorHAnsi"/>
        </w:rPr>
        <w:t xml:space="preserve">team </w:t>
      </w:r>
      <w:r w:rsidR="007B18FA">
        <w:rPr>
          <w:rFonts w:cstheme="minorHAnsi"/>
        </w:rPr>
        <w:t>c</w:t>
      </w:r>
      <w:r>
        <w:rPr>
          <w:rFonts w:cstheme="minorHAnsi"/>
        </w:rPr>
        <w:t xml:space="preserve">ould include </w:t>
      </w:r>
      <w:r w:rsidR="00F9035D">
        <w:rPr>
          <w:rFonts w:cstheme="minorHAnsi"/>
        </w:rPr>
        <w:t>a mix of general practitioners, psychiatrists, psychologists, case workers, social workers, counsellors</w:t>
      </w:r>
      <w:r w:rsidR="00F86DD0">
        <w:rPr>
          <w:rFonts w:cstheme="minorHAnsi"/>
        </w:rPr>
        <w:t>, aboriginal health workers, sexual and gender diverse health workers</w:t>
      </w:r>
      <w:r w:rsidR="00C20962">
        <w:rPr>
          <w:rFonts w:cstheme="minorHAnsi"/>
        </w:rPr>
        <w:t>, mental health nurses</w:t>
      </w:r>
      <w:r w:rsidR="0024405B">
        <w:rPr>
          <w:rFonts w:cstheme="minorHAnsi"/>
        </w:rPr>
        <w:t xml:space="preserve">, </w:t>
      </w:r>
      <w:r w:rsidR="00F9035D">
        <w:rPr>
          <w:rFonts w:cstheme="minorHAnsi"/>
        </w:rPr>
        <w:t>and health promotion practitioners</w:t>
      </w:r>
      <w:r w:rsidR="00F86DD0">
        <w:rPr>
          <w:rFonts w:cstheme="minorHAnsi"/>
        </w:rPr>
        <w:t>.</w:t>
      </w:r>
      <w:r w:rsidR="00F9035D">
        <w:rPr>
          <w:rFonts w:cstheme="minorHAnsi"/>
        </w:rPr>
        <w:t xml:space="preserve"> </w:t>
      </w:r>
      <w:r w:rsidR="00F86DD0">
        <w:rPr>
          <w:rFonts w:cstheme="minorHAnsi"/>
        </w:rPr>
        <w:t>E</w:t>
      </w:r>
      <w:r>
        <w:rPr>
          <w:rFonts w:cstheme="minorHAnsi"/>
        </w:rPr>
        <w:t>xpertise in (but not limited to) alcohol and other drugs, gambling, family violence</w:t>
      </w:r>
      <w:r w:rsidR="00100924">
        <w:rPr>
          <w:rFonts w:cstheme="minorHAnsi"/>
        </w:rPr>
        <w:t>, trauma</w:t>
      </w:r>
      <w:r w:rsidR="0024405B">
        <w:rPr>
          <w:rFonts w:cstheme="minorHAnsi"/>
        </w:rPr>
        <w:t xml:space="preserve"> and</w:t>
      </w:r>
      <w:r w:rsidR="00F86DD0">
        <w:rPr>
          <w:rFonts w:cstheme="minorHAnsi"/>
        </w:rPr>
        <w:t xml:space="preserve"> </w:t>
      </w:r>
      <w:r>
        <w:rPr>
          <w:rFonts w:cstheme="minorHAnsi"/>
        </w:rPr>
        <w:t>homelessness</w:t>
      </w:r>
      <w:r w:rsidR="0024405B">
        <w:rPr>
          <w:rFonts w:cstheme="minorHAnsi"/>
        </w:rPr>
        <w:t xml:space="preserve"> </w:t>
      </w:r>
      <w:r w:rsidR="00F86DD0">
        <w:rPr>
          <w:rFonts w:cstheme="minorHAnsi"/>
        </w:rPr>
        <w:t>would sit across the team</w:t>
      </w:r>
      <w:r>
        <w:rPr>
          <w:rFonts w:cstheme="minorHAnsi"/>
        </w:rPr>
        <w:t>.</w:t>
      </w:r>
      <w:r w:rsidR="00223B67">
        <w:rPr>
          <w:rFonts w:cstheme="minorHAnsi"/>
        </w:rPr>
        <w:t xml:space="preserve"> </w:t>
      </w:r>
      <w:r w:rsidR="0024405B">
        <w:rPr>
          <w:rFonts w:cstheme="minorHAnsi"/>
        </w:rPr>
        <w:t xml:space="preserve">Service teams could exist for early years, youth, adults and older adults or </w:t>
      </w:r>
      <w:r w:rsidR="00E95E0E">
        <w:rPr>
          <w:rFonts w:cstheme="minorHAnsi"/>
        </w:rPr>
        <w:t xml:space="preserve">include </w:t>
      </w:r>
      <w:r w:rsidR="0024405B">
        <w:rPr>
          <w:rFonts w:cstheme="minorHAnsi"/>
        </w:rPr>
        <w:t xml:space="preserve">specialised workers in the multidisciplinary teams with expertise in working with these age cohorts. </w:t>
      </w:r>
      <w:r w:rsidR="00F86DD0">
        <w:rPr>
          <w:rFonts w:cstheme="minorHAnsi"/>
        </w:rPr>
        <w:t>Service staff would represent and be reflective of the Victorian community</w:t>
      </w:r>
      <w:r w:rsidR="000E5FD4">
        <w:rPr>
          <w:rFonts w:cstheme="minorHAnsi"/>
        </w:rPr>
        <w:t xml:space="preserve"> they serve</w:t>
      </w:r>
      <w:r w:rsidR="00F86DD0">
        <w:rPr>
          <w:rFonts w:cstheme="minorHAnsi"/>
        </w:rPr>
        <w:t xml:space="preserve">. </w:t>
      </w:r>
    </w:p>
    <w:p w14:paraId="0EA0DD93" w14:textId="77777777" w:rsidR="005A2FDD" w:rsidRDefault="005A2FDD" w:rsidP="001B5DB0">
      <w:pPr>
        <w:spacing w:after="0" w:line="276" w:lineRule="auto"/>
        <w:jc w:val="both"/>
        <w:rPr>
          <w:rFonts w:cstheme="minorHAnsi"/>
        </w:rPr>
      </w:pPr>
    </w:p>
    <w:p w14:paraId="1DE6289E" w14:textId="06DB81D5" w:rsidR="005A2FDD" w:rsidRDefault="005A2FDD" w:rsidP="001B5DB0">
      <w:pPr>
        <w:spacing w:after="0" w:line="276" w:lineRule="auto"/>
        <w:jc w:val="both"/>
        <w:rPr>
          <w:rFonts w:cstheme="minorHAnsi"/>
        </w:rPr>
      </w:pPr>
      <w:r>
        <w:rPr>
          <w:rFonts w:cstheme="minorHAnsi"/>
        </w:rPr>
        <w:t>A multidisciplinary team can support p</w:t>
      </w:r>
      <w:r w:rsidR="0088427D">
        <w:rPr>
          <w:rFonts w:cstheme="minorHAnsi"/>
        </w:rPr>
        <w:t xml:space="preserve">rofessional collaboration and </w:t>
      </w:r>
      <w:r>
        <w:rPr>
          <w:rFonts w:cstheme="minorHAnsi"/>
        </w:rPr>
        <w:t xml:space="preserve">aid </w:t>
      </w:r>
      <w:r w:rsidR="0088427D">
        <w:rPr>
          <w:rFonts w:cstheme="minorHAnsi"/>
        </w:rPr>
        <w:t xml:space="preserve">practitioners in </w:t>
      </w:r>
      <w:r w:rsidR="001B5DB0">
        <w:rPr>
          <w:rFonts w:cstheme="minorHAnsi"/>
        </w:rPr>
        <w:t>delivering appropriate care for clients</w:t>
      </w:r>
      <w:r>
        <w:rPr>
          <w:rFonts w:cstheme="minorHAnsi"/>
        </w:rPr>
        <w:t>, build their capacity</w:t>
      </w:r>
      <w:r w:rsidR="001B5DB0">
        <w:rPr>
          <w:rFonts w:cstheme="minorHAnsi"/>
        </w:rPr>
        <w:t xml:space="preserve">, </w:t>
      </w:r>
      <w:r>
        <w:rPr>
          <w:rFonts w:cstheme="minorHAnsi"/>
        </w:rPr>
        <w:t>alleviate</w:t>
      </w:r>
      <w:r w:rsidR="0088427D">
        <w:rPr>
          <w:rFonts w:cstheme="minorHAnsi"/>
        </w:rPr>
        <w:t xml:space="preserve"> risk</w:t>
      </w:r>
      <w:r w:rsidR="001B5DB0">
        <w:rPr>
          <w:rFonts w:cstheme="minorHAnsi"/>
        </w:rPr>
        <w:t xml:space="preserve"> and </w:t>
      </w:r>
      <w:r>
        <w:rPr>
          <w:rFonts w:cstheme="minorHAnsi"/>
        </w:rPr>
        <w:t>reduce</w:t>
      </w:r>
      <w:r w:rsidR="001B5DB0">
        <w:rPr>
          <w:rFonts w:cstheme="minorHAnsi"/>
        </w:rPr>
        <w:t xml:space="preserve"> stress and pressure felt by workers.</w:t>
      </w:r>
      <w:r>
        <w:rPr>
          <w:rFonts w:cstheme="minorHAnsi"/>
        </w:rPr>
        <w:t xml:space="preserve"> Identifying a competency criteria could assist with identifying scope or restrictions on practitioners</w:t>
      </w:r>
      <w:r w:rsidR="00E95E0E">
        <w:rPr>
          <w:rFonts w:cstheme="minorHAnsi"/>
        </w:rPr>
        <w:t xml:space="preserve"> and be</w:t>
      </w:r>
      <w:r>
        <w:rPr>
          <w:rFonts w:cstheme="minorHAnsi"/>
        </w:rPr>
        <w:t xml:space="preserve"> based on skills and experience. </w:t>
      </w:r>
      <w:r w:rsidR="001C4BFC">
        <w:rPr>
          <w:rFonts w:cstheme="minorHAnsi"/>
        </w:rPr>
        <w:t>Multidisciplinary teams can reorient</w:t>
      </w:r>
      <w:r w:rsidR="00E95E0E">
        <w:rPr>
          <w:rFonts w:cstheme="minorHAnsi"/>
        </w:rPr>
        <w:t>ate</w:t>
      </w:r>
      <w:r w:rsidR="001C4BFC">
        <w:rPr>
          <w:rFonts w:cstheme="minorHAnsi"/>
        </w:rPr>
        <w:t xml:space="preserve"> services and build greater knowledge and respect across professional service providers.</w:t>
      </w:r>
    </w:p>
    <w:p w14:paraId="4A22B4BA" w14:textId="554D0730" w:rsidR="0012551D" w:rsidRDefault="0012551D" w:rsidP="008741C7">
      <w:pPr>
        <w:spacing w:after="0" w:line="276" w:lineRule="auto"/>
        <w:jc w:val="both"/>
        <w:rPr>
          <w:rFonts w:cstheme="minorHAnsi"/>
        </w:rPr>
      </w:pPr>
    </w:p>
    <w:p w14:paraId="7E4F0BC1" w14:textId="1F3A5E27" w:rsidR="004E6631" w:rsidRDefault="004E6631" w:rsidP="008741C7">
      <w:pPr>
        <w:spacing w:after="0" w:line="276" w:lineRule="auto"/>
        <w:jc w:val="both"/>
        <w:rPr>
          <w:rFonts w:cstheme="minorHAnsi"/>
        </w:rPr>
      </w:pPr>
      <w:r>
        <w:rPr>
          <w:rFonts w:cstheme="minorHAnsi"/>
        </w:rPr>
        <w:t xml:space="preserve">Service teams </w:t>
      </w:r>
      <w:r w:rsidR="00223B67">
        <w:rPr>
          <w:rFonts w:cstheme="minorHAnsi"/>
        </w:rPr>
        <w:t>would provide direct care to the client,</w:t>
      </w:r>
      <w:r w:rsidR="005A2FDD">
        <w:rPr>
          <w:rFonts w:cstheme="minorHAnsi"/>
        </w:rPr>
        <w:t xml:space="preserve"> </w:t>
      </w:r>
      <w:r w:rsidR="00223B67">
        <w:rPr>
          <w:rFonts w:cstheme="minorHAnsi"/>
        </w:rPr>
        <w:t xml:space="preserve">case management </w:t>
      </w:r>
      <w:r w:rsidR="000E7ECF">
        <w:rPr>
          <w:rFonts w:cstheme="minorHAnsi"/>
        </w:rPr>
        <w:t>for co-occurring social and health issues, education and direct</w:t>
      </w:r>
      <w:r w:rsidR="00E95E0E">
        <w:rPr>
          <w:rFonts w:cstheme="minorHAnsi"/>
        </w:rPr>
        <w:t>-</w:t>
      </w:r>
      <w:r w:rsidR="000E7ECF">
        <w:rPr>
          <w:rFonts w:cstheme="minorHAnsi"/>
        </w:rPr>
        <w:t>care for carers and key people important to support the client’s recovery</w:t>
      </w:r>
      <w:r w:rsidR="005A2FDD">
        <w:rPr>
          <w:rFonts w:cstheme="minorHAnsi"/>
        </w:rPr>
        <w:t xml:space="preserve"> and support </w:t>
      </w:r>
      <w:r w:rsidR="0042451F">
        <w:rPr>
          <w:rFonts w:cstheme="minorHAnsi"/>
        </w:rPr>
        <w:t xml:space="preserve">service navigation, including inward and outward </w:t>
      </w:r>
      <w:r w:rsidR="005A2FDD">
        <w:rPr>
          <w:rFonts w:cstheme="minorHAnsi"/>
        </w:rPr>
        <w:t>referrals</w:t>
      </w:r>
      <w:r w:rsidR="000E7ECF">
        <w:rPr>
          <w:rFonts w:cstheme="minorHAnsi"/>
        </w:rPr>
        <w:t xml:space="preserve">. </w:t>
      </w:r>
    </w:p>
    <w:p w14:paraId="09F2EE5C" w14:textId="47AF0734" w:rsidR="000E7ECF" w:rsidRDefault="000E7ECF" w:rsidP="008741C7">
      <w:pPr>
        <w:spacing w:after="0" w:line="276" w:lineRule="auto"/>
        <w:jc w:val="both"/>
        <w:rPr>
          <w:rFonts w:cstheme="minorHAnsi"/>
        </w:rPr>
      </w:pPr>
    </w:p>
    <w:p w14:paraId="20B4302E" w14:textId="4B9AAADA" w:rsidR="000E7ECF" w:rsidRDefault="000E7ECF" w:rsidP="008741C7">
      <w:pPr>
        <w:spacing w:after="0" w:line="276" w:lineRule="auto"/>
        <w:jc w:val="both"/>
        <w:rPr>
          <w:rFonts w:cstheme="minorHAnsi"/>
        </w:rPr>
      </w:pPr>
      <w:r>
        <w:rPr>
          <w:rFonts w:cstheme="minorHAnsi"/>
        </w:rPr>
        <w:t xml:space="preserve">Service teams would not have geographical boundaries, clients would be able to choose which service team they want to receive services from. </w:t>
      </w:r>
      <w:r w:rsidR="00E95E0E">
        <w:rPr>
          <w:rFonts w:cstheme="minorHAnsi"/>
        </w:rPr>
        <w:t xml:space="preserve">This would enable </w:t>
      </w:r>
      <w:r>
        <w:rPr>
          <w:rFonts w:cstheme="minorHAnsi"/>
        </w:rPr>
        <w:t xml:space="preserve">clients to access services based on what works for them. Services would be able to support clients with complex, moderate and mild needs </w:t>
      </w:r>
      <w:r w:rsidR="0088427D">
        <w:rPr>
          <w:rFonts w:cstheme="minorHAnsi"/>
        </w:rPr>
        <w:t xml:space="preserve">attributable </w:t>
      </w:r>
      <w:r>
        <w:rPr>
          <w:rFonts w:cstheme="minorHAnsi"/>
        </w:rPr>
        <w:t xml:space="preserve">to the multidisciplinary team. </w:t>
      </w:r>
    </w:p>
    <w:p w14:paraId="199BB5E9" w14:textId="2459B038" w:rsidR="000E7ECF" w:rsidRDefault="000E7ECF" w:rsidP="008741C7">
      <w:pPr>
        <w:spacing w:after="0" w:line="276" w:lineRule="auto"/>
        <w:jc w:val="both"/>
        <w:rPr>
          <w:rFonts w:cstheme="minorHAnsi"/>
        </w:rPr>
      </w:pPr>
    </w:p>
    <w:p w14:paraId="1FCA1802" w14:textId="0DC2A45A" w:rsidR="000E7ECF" w:rsidRDefault="0088427D" w:rsidP="008741C7">
      <w:pPr>
        <w:spacing w:after="0" w:line="276" w:lineRule="auto"/>
        <w:jc w:val="both"/>
        <w:rPr>
          <w:rFonts w:cstheme="minorHAnsi"/>
        </w:rPr>
      </w:pPr>
      <w:r>
        <w:rPr>
          <w:rFonts w:cstheme="minorHAnsi"/>
        </w:rPr>
        <w:t>Employing a model where the social networks for a client receive education and support to better help and care for the client builds the capacity of the community</w:t>
      </w:r>
      <w:r w:rsidR="001B5DB0">
        <w:rPr>
          <w:rFonts w:cstheme="minorHAnsi"/>
        </w:rPr>
        <w:t xml:space="preserve">, reduces stigma </w:t>
      </w:r>
      <w:r>
        <w:rPr>
          <w:rFonts w:cstheme="minorHAnsi"/>
        </w:rPr>
        <w:t xml:space="preserve">and </w:t>
      </w:r>
      <w:r w:rsidR="001B5DB0">
        <w:rPr>
          <w:rFonts w:cstheme="minorHAnsi"/>
        </w:rPr>
        <w:t xml:space="preserve">minimises </w:t>
      </w:r>
      <w:r>
        <w:rPr>
          <w:rFonts w:cstheme="minorHAnsi"/>
        </w:rPr>
        <w:t>the risk for clients and carer/s</w:t>
      </w:r>
      <w:r w:rsidR="001B5DB0">
        <w:rPr>
          <w:rFonts w:cstheme="minorHAnsi"/>
        </w:rPr>
        <w:t>.</w:t>
      </w:r>
    </w:p>
    <w:p w14:paraId="284C5315" w14:textId="469FB197" w:rsidR="000E7ECF" w:rsidRDefault="000E7ECF" w:rsidP="008741C7">
      <w:pPr>
        <w:spacing w:after="0" w:line="276" w:lineRule="auto"/>
        <w:jc w:val="both"/>
        <w:rPr>
          <w:rFonts w:cstheme="minorHAnsi"/>
        </w:rPr>
      </w:pPr>
    </w:p>
    <w:p w14:paraId="776CD494" w14:textId="62CFD001" w:rsidR="00992C20" w:rsidRPr="00992C20" w:rsidRDefault="00992C20" w:rsidP="008741C7">
      <w:pPr>
        <w:spacing w:after="0" w:line="276" w:lineRule="auto"/>
        <w:jc w:val="both"/>
        <w:rPr>
          <w:rFonts w:cstheme="minorHAnsi"/>
          <w:i/>
        </w:rPr>
      </w:pPr>
      <w:r>
        <w:rPr>
          <w:rFonts w:cstheme="minorHAnsi"/>
          <w:i/>
        </w:rPr>
        <w:t>Integrated system</w:t>
      </w:r>
    </w:p>
    <w:p w14:paraId="73952DA3" w14:textId="71FFD611" w:rsidR="00941071" w:rsidRDefault="00161A72" w:rsidP="00941071">
      <w:pPr>
        <w:spacing w:after="0" w:line="276" w:lineRule="auto"/>
        <w:jc w:val="both"/>
        <w:rPr>
          <w:rFonts w:cstheme="minorHAnsi"/>
        </w:rPr>
      </w:pPr>
      <w:r w:rsidRPr="008741C7">
        <w:rPr>
          <w:rFonts w:cstheme="minorHAnsi"/>
        </w:rPr>
        <w:t>A way for the systems to in</w:t>
      </w:r>
      <w:r w:rsidR="00600165">
        <w:rPr>
          <w:rFonts w:cstheme="minorHAnsi"/>
        </w:rPr>
        <w:t>te</w:t>
      </w:r>
      <w:r w:rsidRPr="008741C7">
        <w:rPr>
          <w:rFonts w:cstheme="minorHAnsi"/>
        </w:rPr>
        <w:t xml:space="preserve">grate, enhance communication and strengthen referral pathways is recommended. </w:t>
      </w:r>
      <w:r w:rsidR="00D204BB">
        <w:rPr>
          <w:rFonts w:cstheme="minorHAnsi"/>
        </w:rPr>
        <w:t>To further enhance the level of care provided</w:t>
      </w:r>
      <w:r w:rsidR="00600165">
        <w:rPr>
          <w:rFonts w:cstheme="minorHAnsi"/>
        </w:rPr>
        <w:t xml:space="preserve"> and</w:t>
      </w:r>
      <w:r w:rsidR="00D204BB">
        <w:rPr>
          <w:rFonts w:cstheme="minorHAnsi"/>
        </w:rPr>
        <w:t xml:space="preserve"> i</w:t>
      </w:r>
      <w:r w:rsidR="00992C20">
        <w:rPr>
          <w:rFonts w:cstheme="minorHAnsi"/>
        </w:rPr>
        <w:t>mprove communication</w:t>
      </w:r>
      <w:r w:rsidR="00600165">
        <w:rPr>
          <w:rFonts w:cstheme="minorHAnsi"/>
        </w:rPr>
        <w:t xml:space="preserve">, </w:t>
      </w:r>
      <w:r w:rsidR="00D204BB">
        <w:rPr>
          <w:rFonts w:cstheme="minorHAnsi"/>
        </w:rPr>
        <w:t xml:space="preserve">shared </w:t>
      </w:r>
      <w:r w:rsidR="00992C20">
        <w:rPr>
          <w:rFonts w:cstheme="minorHAnsi"/>
        </w:rPr>
        <w:t xml:space="preserve">access to client assessments, discharge notes, </w:t>
      </w:r>
      <w:r w:rsidR="00D204BB">
        <w:rPr>
          <w:rFonts w:cstheme="minorHAnsi"/>
        </w:rPr>
        <w:t xml:space="preserve">and </w:t>
      </w:r>
      <w:r w:rsidR="00992C20">
        <w:rPr>
          <w:rFonts w:cstheme="minorHAnsi"/>
        </w:rPr>
        <w:t>treatment plans</w:t>
      </w:r>
      <w:r w:rsidR="00D204BB">
        <w:rPr>
          <w:rFonts w:cstheme="minorHAnsi"/>
        </w:rPr>
        <w:t xml:space="preserve"> between services is necessary. </w:t>
      </w:r>
      <w:r w:rsidR="00600165">
        <w:rPr>
          <w:rFonts w:cstheme="minorHAnsi"/>
        </w:rPr>
        <w:t xml:space="preserve">For example, </w:t>
      </w:r>
      <w:r w:rsidR="00E95E0E">
        <w:rPr>
          <w:rFonts w:cstheme="minorHAnsi"/>
        </w:rPr>
        <w:t xml:space="preserve">in the current situation </w:t>
      </w:r>
      <w:r w:rsidR="00600165">
        <w:rPr>
          <w:rFonts w:cstheme="minorHAnsi"/>
        </w:rPr>
        <w:t>w</w:t>
      </w:r>
      <w:r w:rsidR="00D204BB">
        <w:rPr>
          <w:rFonts w:cstheme="minorHAnsi"/>
        </w:rPr>
        <w:t xml:space="preserve">hen a client presents </w:t>
      </w:r>
      <w:r w:rsidR="00600165">
        <w:rPr>
          <w:rFonts w:cstheme="minorHAnsi"/>
        </w:rPr>
        <w:t xml:space="preserve">to community health </w:t>
      </w:r>
      <w:r w:rsidR="00D204BB">
        <w:rPr>
          <w:rFonts w:cstheme="minorHAnsi"/>
        </w:rPr>
        <w:t xml:space="preserve">after being discharged from hospital </w:t>
      </w:r>
      <w:r w:rsidR="00D204BB">
        <w:rPr>
          <w:rFonts w:cstheme="minorHAnsi"/>
        </w:rPr>
        <w:lastRenderedPageBreak/>
        <w:t>and the community service has no access to their records</w:t>
      </w:r>
      <w:r w:rsidR="006F1C87">
        <w:rPr>
          <w:rFonts w:cstheme="minorHAnsi"/>
        </w:rPr>
        <w:t>,</w:t>
      </w:r>
      <w:r w:rsidR="00D204BB">
        <w:rPr>
          <w:rFonts w:cstheme="minorHAnsi"/>
        </w:rPr>
        <w:t xml:space="preserve"> it places stress on the client and practitioner</w:t>
      </w:r>
      <w:r w:rsidR="00600165">
        <w:rPr>
          <w:rFonts w:cstheme="minorHAnsi"/>
        </w:rPr>
        <w:t xml:space="preserve"> </w:t>
      </w:r>
      <w:r w:rsidR="006F1C87">
        <w:rPr>
          <w:rFonts w:cstheme="minorHAnsi"/>
        </w:rPr>
        <w:t xml:space="preserve">and can result in duplication of service provision. </w:t>
      </w:r>
      <w:r w:rsidR="00941071">
        <w:rPr>
          <w:rFonts w:cstheme="minorHAnsi"/>
        </w:rPr>
        <w:t xml:space="preserve">For example; where a current </w:t>
      </w:r>
      <w:r w:rsidR="00176ACD">
        <w:rPr>
          <w:rFonts w:cstheme="minorHAnsi"/>
        </w:rPr>
        <w:t xml:space="preserve">Connect Health </w:t>
      </w:r>
      <w:r w:rsidR="00E95E0E">
        <w:rPr>
          <w:rFonts w:cstheme="minorHAnsi"/>
        </w:rPr>
        <w:t xml:space="preserve">&amp; Community </w:t>
      </w:r>
      <w:r w:rsidR="00941071">
        <w:rPr>
          <w:rFonts w:cstheme="minorHAnsi"/>
        </w:rPr>
        <w:t xml:space="preserve">client is hospitalised, </w:t>
      </w:r>
      <w:r w:rsidR="00176ACD">
        <w:rPr>
          <w:rFonts w:cstheme="minorHAnsi"/>
        </w:rPr>
        <w:t xml:space="preserve">the </w:t>
      </w:r>
      <w:r w:rsidR="00941071">
        <w:rPr>
          <w:rFonts w:cstheme="minorHAnsi"/>
        </w:rPr>
        <w:t>hospital is aware of our service provision, but</w:t>
      </w:r>
      <w:r w:rsidR="00176ACD">
        <w:rPr>
          <w:rFonts w:cstheme="minorHAnsi"/>
        </w:rPr>
        <w:t xml:space="preserve"> </w:t>
      </w:r>
      <w:r w:rsidR="00941071">
        <w:rPr>
          <w:rFonts w:cstheme="minorHAnsi"/>
        </w:rPr>
        <w:t xml:space="preserve">provide no correspondence upon discharge. This results in clinician time following up discharge, </w:t>
      </w:r>
      <w:r w:rsidR="00176ACD">
        <w:rPr>
          <w:rFonts w:cstheme="minorHAnsi"/>
        </w:rPr>
        <w:t xml:space="preserve">the </w:t>
      </w:r>
      <w:r w:rsidR="00941071">
        <w:rPr>
          <w:rFonts w:cstheme="minorHAnsi"/>
        </w:rPr>
        <w:t xml:space="preserve">client re-telling their story and treatment </w:t>
      </w:r>
      <w:r w:rsidR="00E95E0E">
        <w:rPr>
          <w:rFonts w:cstheme="minorHAnsi"/>
        </w:rPr>
        <w:t xml:space="preserve">being </w:t>
      </w:r>
      <w:r w:rsidR="00941071">
        <w:rPr>
          <w:rFonts w:cstheme="minorHAnsi"/>
        </w:rPr>
        <w:t xml:space="preserve">put on hold to ensure that community support is in line with what has occurred with the client while </w:t>
      </w:r>
      <w:r w:rsidR="00E95E0E">
        <w:rPr>
          <w:rFonts w:cstheme="minorHAnsi"/>
        </w:rPr>
        <w:t xml:space="preserve">they are </w:t>
      </w:r>
      <w:r w:rsidR="00941071">
        <w:rPr>
          <w:rFonts w:cstheme="minorHAnsi"/>
        </w:rPr>
        <w:t>an inpatient.</w:t>
      </w:r>
    </w:p>
    <w:p w14:paraId="3D04B2C9" w14:textId="77777777" w:rsidR="00941071" w:rsidRDefault="00941071" w:rsidP="00941071">
      <w:pPr>
        <w:spacing w:after="0" w:line="276" w:lineRule="auto"/>
        <w:jc w:val="both"/>
        <w:rPr>
          <w:rFonts w:cstheme="minorHAnsi"/>
        </w:rPr>
      </w:pPr>
    </w:p>
    <w:p w14:paraId="784BAA80" w14:textId="4D252166" w:rsidR="00941071" w:rsidRDefault="00941071" w:rsidP="00941071">
      <w:pPr>
        <w:spacing w:after="0" w:line="276" w:lineRule="auto"/>
        <w:jc w:val="both"/>
        <w:rPr>
          <w:rFonts w:cstheme="minorHAnsi"/>
        </w:rPr>
      </w:pPr>
      <w:r>
        <w:rPr>
          <w:rFonts w:cstheme="minorHAnsi"/>
        </w:rPr>
        <w:t>Making shared care and direct service partnerships an expected part of routine professional supports for both the clients and the workforce</w:t>
      </w:r>
      <w:r w:rsidR="007B18FA">
        <w:rPr>
          <w:rFonts w:cstheme="minorHAnsi"/>
        </w:rPr>
        <w:t xml:space="preserve"> would be valuable</w:t>
      </w:r>
      <w:r>
        <w:rPr>
          <w:rFonts w:cstheme="minorHAnsi"/>
        </w:rPr>
        <w:t xml:space="preserve">. At the moment </w:t>
      </w:r>
      <w:r w:rsidR="00C8320B">
        <w:rPr>
          <w:rFonts w:cstheme="minorHAnsi"/>
        </w:rPr>
        <w:t xml:space="preserve">the existence and maintenance of these </w:t>
      </w:r>
      <w:r>
        <w:rPr>
          <w:rFonts w:cstheme="minorHAnsi"/>
        </w:rPr>
        <w:t>partnerships rely on the champions within organisations and representatives</w:t>
      </w:r>
      <w:r w:rsidR="00E95E0E">
        <w:rPr>
          <w:rFonts w:cstheme="minorHAnsi"/>
        </w:rPr>
        <w:t>’</w:t>
      </w:r>
      <w:r>
        <w:rPr>
          <w:rFonts w:cstheme="minorHAnsi"/>
        </w:rPr>
        <w:t xml:space="preserve"> </w:t>
      </w:r>
      <w:r w:rsidR="00E95E0E">
        <w:rPr>
          <w:rFonts w:cstheme="minorHAnsi"/>
        </w:rPr>
        <w:t>good-</w:t>
      </w:r>
      <w:r>
        <w:rPr>
          <w:rFonts w:cstheme="minorHAnsi"/>
        </w:rPr>
        <w:t>will to dedicate time and priority to this type of workforce and client support.</w:t>
      </w:r>
    </w:p>
    <w:p w14:paraId="2F066995" w14:textId="5C9CDC95" w:rsidR="00992C20" w:rsidRDefault="00992C20" w:rsidP="00992C20">
      <w:pPr>
        <w:spacing w:after="0" w:line="276" w:lineRule="auto"/>
        <w:jc w:val="both"/>
        <w:rPr>
          <w:rFonts w:cstheme="minorHAnsi"/>
        </w:rPr>
      </w:pPr>
    </w:p>
    <w:p w14:paraId="08C71DDE" w14:textId="734206E1" w:rsidR="00F4509C" w:rsidRPr="002C2F67" w:rsidRDefault="00F4509C" w:rsidP="00992C20">
      <w:pPr>
        <w:spacing w:after="0" w:line="276" w:lineRule="auto"/>
        <w:jc w:val="both"/>
        <w:rPr>
          <w:rFonts w:cstheme="minorHAnsi"/>
          <w:i/>
        </w:rPr>
      </w:pPr>
      <w:r w:rsidRPr="002C2F67">
        <w:rPr>
          <w:rFonts w:cstheme="minorHAnsi"/>
          <w:i/>
        </w:rPr>
        <w:t>Training</w:t>
      </w:r>
    </w:p>
    <w:p w14:paraId="6C56ED85" w14:textId="410DDEE2" w:rsidR="004E6631" w:rsidRDefault="00F4509C" w:rsidP="008741C7">
      <w:pPr>
        <w:spacing w:after="0" w:line="276" w:lineRule="auto"/>
        <w:jc w:val="both"/>
        <w:rPr>
          <w:rFonts w:cstheme="minorHAnsi"/>
        </w:rPr>
      </w:pPr>
      <w:r w:rsidRPr="002C2F67">
        <w:rPr>
          <w:rFonts w:cstheme="minorHAnsi"/>
        </w:rPr>
        <w:t xml:space="preserve">Connect Health </w:t>
      </w:r>
      <w:r w:rsidR="00E95E0E">
        <w:rPr>
          <w:rFonts w:cstheme="minorHAnsi"/>
        </w:rPr>
        <w:t xml:space="preserve">&amp; </w:t>
      </w:r>
      <w:r w:rsidR="00C8320B">
        <w:rPr>
          <w:rFonts w:cstheme="minorHAnsi"/>
        </w:rPr>
        <w:t>C</w:t>
      </w:r>
      <w:r w:rsidR="00E95E0E">
        <w:rPr>
          <w:rFonts w:cstheme="minorHAnsi"/>
        </w:rPr>
        <w:t>ommunity has</w:t>
      </w:r>
      <w:r w:rsidR="002C2F67">
        <w:rPr>
          <w:rFonts w:cstheme="minorHAnsi"/>
        </w:rPr>
        <w:t xml:space="preserve"> noticed an increase in the number of </w:t>
      </w:r>
      <w:r w:rsidRPr="002C2F67">
        <w:rPr>
          <w:rFonts w:cstheme="minorHAnsi"/>
        </w:rPr>
        <w:t xml:space="preserve">clients </w:t>
      </w:r>
      <w:r w:rsidR="002C2F67">
        <w:rPr>
          <w:rFonts w:cstheme="minorHAnsi"/>
        </w:rPr>
        <w:t xml:space="preserve">presenting </w:t>
      </w:r>
      <w:r w:rsidRPr="002C2F67">
        <w:rPr>
          <w:rFonts w:cstheme="minorHAnsi"/>
        </w:rPr>
        <w:t xml:space="preserve">who </w:t>
      </w:r>
      <w:r w:rsidR="002C2F67">
        <w:rPr>
          <w:rFonts w:cstheme="minorHAnsi"/>
        </w:rPr>
        <w:t xml:space="preserve">have </w:t>
      </w:r>
      <w:r w:rsidRPr="002C2F67">
        <w:rPr>
          <w:rFonts w:cstheme="minorHAnsi"/>
        </w:rPr>
        <w:t>experienced trauma. The</w:t>
      </w:r>
      <w:r w:rsidR="002C2F67">
        <w:rPr>
          <w:rFonts w:cstheme="minorHAnsi"/>
        </w:rPr>
        <w:t>re is an</w:t>
      </w:r>
      <w:r w:rsidRPr="002C2F67">
        <w:rPr>
          <w:rFonts w:cstheme="minorHAnsi"/>
        </w:rPr>
        <w:t xml:space="preserve"> increased need </w:t>
      </w:r>
      <w:r w:rsidR="000E5FD4">
        <w:rPr>
          <w:rFonts w:cstheme="minorHAnsi"/>
        </w:rPr>
        <w:t xml:space="preserve">for </w:t>
      </w:r>
      <w:r w:rsidR="002C2F67">
        <w:rPr>
          <w:rFonts w:cstheme="minorHAnsi"/>
        </w:rPr>
        <w:t xml:space="preserve">health staff to receive training in </w:t>
      </w:r>
      <w:r w:rsidRPr="002C2F67">
        <w:rPr>
          <w:rFonts w:cstheme="minorHAnsi"/>
        </w:rPr>
        <w:t xml:space="preserve">trauma informed practice, not </w:t>
      </w:r>
      <w:r w:rsidR="001922B9">
        <w:rPr>
          <w:rFonts w:cstheme="minorHAnsi"/>
        </w:rPr>
        <w:t xml:space="preserve">merely </w:t>
      </w:r>
      <w:r w:rsidRPr="002C2F67">
        <w:rPr>
          <w:rFonts w:cstheme="minorHAnsi"/>
        </w:rPr>
        <w:t>mental health staff.</w:t>
      </w:r>
      <w:r>
        <w:rPr>
          <w:rFonts w:cstheme="minorHAnsi"/>
        </w:rPr>
        <w:t xml:space="preserve"> </w:t>
      </w:r>
      <w:r w:rsidR="001922B9">
        <w:rPr>
          <w:rFonts w:cstheme="minorHAnsi"/>
        </w:rPr>
        <w:t>Supporting clients who have experienced trauma is the role of all health practitioners who come into contact with that client,</w:t>
      </w:r>
      <w:r w:rsidR="00E95E0E">
        <w:rPr>
          <w:rFonts w:cstheme="minorHAnsi"/>
        </w:rPr>
        <w:t xml:space="preserve"> so</w:t>
      </w:r>
      <w:r w:rsidR="001922B9">
        <w:rPr>
          <w:rFonts w:cstheme="minorHAnsi"/>
        </w:rPr>
        <w:t xml:space="preserve"> as to </w:t>
      </w:r>
      <w:r w:rsidR="00E95E0E">
        <w:rPr>
          <w:rFonts w:cstheme="minorHAnsi"/>
        </w:rPr>
        <w:t>ensure</w:t>
      </w:r>
      <w:r w:rsidR="001922B9">
        <w:rPr>
          <w:rFonts w:cstheme="minorHAnsi"/>
        </w:rPr>
        <w:t xml:space="preserve"> no harm</w:t>
      </w:r>
      <w:r w:rsidR="00E95E0E">
        <w:rPr>
          <w:rFonts w:cstheme="minorHAnsi"/>
        </w:rPr>
        <w:t xml:space="preserve"> is caused to the client or practitioner</w:t>
      </w:r>
      <w:r w:rsidR="001922B9">
        <w:rPr>
          <w:rFonts w:cstheme="minorHAnsi"/>
        </w:rPr>
        <w:t xml:space="preserve">. </w:t>
      </w:r>
    </w:p>
    <w:p w14:paraId="1DA44DD3" w14:textId="77777777" w:rsidR="00F4509C" w:rsidRPr="008741C7" w:rsidRDefault="00F4509C" w:rsidP="008741C7">
      <w:pPr>
        <w:spacing w:after="0" w:line="276" w:lineRule="auto"/>
        <w:jc w:val="both"/>
        <w:rPr>
          <w:rFonts w:cstheme="minorHAnsi"/>
        </w:rPr>
      </w:pPr>
    </w:p>
    <w:p w14:paraId="24031F9C" w14:textId="77777777" w:rsidR="00532B65" w:rsidRPr="002C5ACA" w:rsidRDefault="00532B65" w:rsidP="008741C7">
      <w:pPr>
        <w:spacing w:after="0" w:line="276" w:lineRule="auto"/>
        <w:jc w:val="both"/>
        <w:rPr>
          <w:rFonts w:cstheme="minorHAnsi"/>
          <w:b/>
          <w:i/>
        </w:rPr>
      </w:pPr>
      <w:r w:rsidRPr="002C5ACA">
        <w:rPr>
          <w:rFonts w:cstheme="minorHAnsi"/>
          <w:b/>
          <w:i/>
        </w:rPr>
        <w:t>What changes could be made to how informal carers are supported (other than financial) to carry out their role? What would some of the benefits be?</w:t>
      </w:r>
    </w:p>
    <w:p w14:paraId="26E07891" w14:textId="6C72F2A5" w:rsidR="00532B65" w:rsidRPr="008741C7" w:rsidRDefault="00532B65" w:rsidP="008741C7">
      <w:pPr>
        <w:spacing w:after="0" w:line="276" w:lineRule="auto"/>
        <w:jc w:val="both"/>
        <w:rPr>
          <w:rFonts w:cstheme="minorHAnsi"/>
        </w:rPr>
      </w:pPr>
    </w:p>
    <w:p w14:paraId="5B9335FB" w14:textId="20008373" w:rsidR="00340DDB" w:rsidRDefault="00340DDB" w:rsidP="008741C7">
      <w:pPr>
        <w:spacing w:after="0" w:line="276" w:lineRule="auto"/>
        <w:jc w:val="both"/>
        <w:rPr>
          <w:rFonts w:cstheme="minorHAnsi"/>
        </w:rPr>
      </w:pPr>
      <w:r w:rsidRPr="008741C7">
        <w:rPr>
          <w:rFonts w:cstheme="minorHAnsi"/>
        </w:rPr>
        <w:t>Education is key and treating informal carer/s as part of the health care team for the client</w:t>
      </w:r>
      <w:r w:rsidR="005053FA" w:rsidRPr="008741C7">
        <w:rPr>
          <w:rFonts w:cstheme="minorHAnsi"/>
        </w:rPr>
        <w:t xml:space="preserve"> </w:t>
      </w:r>
      <w:r w:rsidR="001F3638" w:rsidRPr="008741C7">
        <w:rPr>
          <w:rFonts w:cstheme="minorHAnsi"/>
        </w:rPr>
        <w:t xml:space="preserve">can </w:t>
      </w:r>
      <w:r w:rsidR="005053FA" w:rsidRPr="008741C7">
        <w:rPr>
          <w:rFonts w:cstheme="minorHAnsi"/>
        </w:rPr>
        <w:t xml:space="preserve">enhance the ability of carers </w:t>
      </w:r>
      <w:r w:rsidR="0041341E">
        <w:rPr>
          <w:rFonts w:cstheme="minorHAnsi"/>
        </w:rPr>
        <w:t>while providing</w:t>
      </w:r>
      <w:r w:rsidR="005053FA" w:rsidRPr="008741C7">
        <w:rPr>
          <w:rFonts w:cstheme="minorHAnsi"/>
        </w:rPr>
        <w:t xml:space="preserve"> greater support</w:t>
      </w:r>
      <w:r w:rsidR="001F3638" w:rsidRPr="008741C7">
        <w:rPr>
          <w:rFonts w:cstheme="minorHAnsi"/>
        </w:rPr>
        <w:t xml:space="preserve"> to both the carer and the client</w:t>
      </w:r>
      <w:r w:rsidRPr="008741C7">
        <w:rPr>
          <w:rFonts w:cstheme="minorHAnsi"/>
        </w:rPr>
        <w:t>. When a parent or guardian takes on the role as an informal carer they are placed in the role out of love and responsibility, not due to their knowledge, skills and experience. Informal carers are often uneducated about mental illness</w:t>
      </w:r>
      <w:r w:rsidR="001827B6" w:rsidRPr="008741C7">
        <w:rPr>
          <w:rFonts w:cstheme="minorHAnsi"/>
        </w:rPr>
        <w:t xml:space="preserve"> and </w:t>
      </w:r>
      <w:r w:rsidR="0041341E">
        <w:rPr>
          <w:rFonts w:cstheme="minorHAnsi"/>
        </w:rPr>
        <w:t xml:space="preserve">the </w:t>
      </w:r>
      <w:r w:rsidR="001827B6" w:rsidRPr="008741C7">
        <w:rPr>
          <w:rFonts w:cstheme="minorHAnsi"/>
        </w:rPr>
        <w:t>likelihood of co-morbidities</w:t>
      </w:r>
      <w:r w:rsidRPr="008741C7">
        <w:rPr>
          <w:rFonts w:cstheme="minorHAnsi"/>
        </w:rPr>
        <w:t xml:space="preserve">, </w:t>
      </w:r>
      <w:r w:rsidR="005053FA" w:rsidRPr="008741C7">
        <w:rPr>
          <w:rFonts w:cstheme="minorHAnsi"/>
        </w:rPr>
        <w:t>the behaviours expected</w:t>
      </w:r>
      <w:r w:rsidR="0041341E">
        <w:rPr>
          <w:rFonts w:cstheme="minorHAnsi"/>
        </w:rPr>
        <w:t>,</w:t>
      </w:r>
      <w:r w:rsidR="005053FA" w:rsidRPr="008741C7">
        <w:rPr>
          <w:rFonts w:cstheme="minorHAnsi"/>
        </w:rPr>
        <w:t xml:space="preserve"> how to best manage, </w:t>
      </w:r>
      <w:r w:rsidRPr="008741C7">
        <w:rPr>
          <w:rFonts w:cstheme="minorHAnsi"/>
        </w:rPr>
        <w:t>how to support and care for the clients and themselves</w:t>
      </w:r>
      <w:r w:rsidR="0041341E">
        <w:rPr>
          <w:rFonts w:cstheme="minorHAnsi"/>
        </w:rPr>
        <w:t>,</w:t>
      </w:r>
      <w:r w:rsidRPr="008741C7">
        <w:rPr>
          <w:rFonts w:cstheme="minorHAnsi"/>
        </w:rPr>
        <w:t xml:space="preserve"> and </w:t>
      </w:r>
      <w:r w:rsidR="001827B6" w:rsidRPr="008741C7">
        <w:rPr>
          <w:rFonts w:cstheme="minorHAnsi"/>
        </w:rPr>
        <w:t>what help is available.</w:t>
      </w:r>
      <w:r w:rsidR="005053FA" w:rsidRPr="008741C7">
        <w:rPr>
          <w:rFonts w:cstheme="minorHAnsi"/>
        </w:rPr>
        <w:t xml:space="preserve"> </w:t>
      </w:r>
    </w:p>
    <w:p w14:paraId="2D41F323" w14:textId="56193F7C" w:rsidR="00941071" w:rsidRDefault="00941071" w:rsidP="008741C7">
      <w:pPr>
        <w:spacing w:after="0" w:line="276" w:lineRule="auto"/>
        <w:jc w:val="both"/>
        <w:rPr>
          <w:rFonts w:cstheme="minorHAnsi"/>
        </w:rPr>
      </w:pPr>
    </w:p>
    <w:p w14:paraId="5E856029" w14:textId="492EA075" w:rsidR="00941071" w:rsidRPr="008741C7" w:rsidRDefault="00941071" w:rsidP="00941071">
      <w:pPr>
        <w:spacing w:after="0" w:line="276" w:lineRule="auto"/>
        <w:jc w:val="both"/>
        <w:rPr>
          <w:rFonts w:cstheme="minorHAnsi"/>
        </w:rPr>
      </w:pPr>
      <w:r>
        <w:rPr>
          <w:rFonts w:cstheme="minorHAnsi"/>
        </w:rPr>
        <w:t>Acute and sub-acute services are under extreme stress and pressure to provide constant throughput, they are unintentionally or otherwise, placing that responsibility for a client’s safety and/or wellbeing support back on the community supports or families of the client.</w:t>
      </w:r>
    </w:p>
    <w:p w14:paraId="65D0C3DF" w14:textId="14F73075" w:rsidR="00C10D92" w:rsidRPr="008741C7" w:rsidRDefault="00C10D92" w:rsidP="008741C7">
      <w:pPr>
        <w:spacing w:after="0" w:line="276" w:lineRule="auto"/>
        <w:jc w:val="both"/>
        <w:rPr>
          <w:rFonts w:cstheme="minorHAnsi"/>
        </w:rPr>
      </w:pPr>
    </w:p>
    <w:p w14:paraId="6A0AC84D" w14:textId="414AF44B" w:rsidR="00C10D92" w:rsidRPr="008741C7" w:rsidRDefault="0078165E" w:rsidP="0078165E">
      <w:pPr>
        <w:spacing w:after="0" w:line="276" w:lineRule="auto"/>
        <w:jc w:val="both"/>
        <w:rPr>
          <w:rFonts w:cstheme="minorHAnsi"/>
        </w:rPr>
      </w:pPr>
      <w:r w:rsidRPr="008741C7">
        <w:rPr>
          <w:rFonts w:cstheme="minorHAnsi"/>
        </w:rPr>
        <w:t xml:space="preserve">Mental health practitioners have access to clinical supervision and other professional support yet we ask untrained community members to take on the role as a full- or part-time carer without any training or support. </w:t>
      </w:r>
      <w:r w:rsidR="0041341E">
        <w:rPr>
          <w:rFonts w:cstheme="minorHAnsi"/>
        </w:rPr>
        <w:t>Providing low-</w:t>
      </w:r>
      <w:r w:rsidR="00C10D92" w:rsidRPr="008741C7">
        <w:rPr>
          <w:rFonts w:cstheme="minorHAnsi"/>
        </w:rPr>
        <w:t xml:space="preserve">cost and free services </w:t>
      </w:r>
      <w:r>
        <w:rPr>
          <w:rFonts w:cstheme="minorHAnsi"/>
        </w:rPr>
        <w:t>for carer</w:t>
      </w:r>
      <w:r w:rsidR="00BE0951">
        <w:rPr>
          <w:rFonts w:cstheme="minorHAnsi"/>
        </w:rPr>
        <w:t>s</w:t>
      </w:r>
      <w:r>
        <w:rPr>
          <w:rFonts w:cstheme="minorHAnsi"/>
        </w:rPr>
        <w:t xml:space="preserve"> </w:t>
      </w:r>
      <w:r w:rsidR="0041341E">
        <w:rPr>
          <w:rFonts w:cstheme="minorHAnsi"/>
        </w:rPr>
        <w:t>is required.</w:t>
      </w:r>
      <w:r w:rsidR="00C10D92" w:rsidRPr="008741C7">
        <w:rPr>
          <w:rFonts w:cstheme="minorHAnsi"/>
        </w:rPr>
        <w:t xml:space="preserve"> </w:t>
      </w:r>
      <w:r w:rsidR="0041341E">
        <w:rPr>
          <w:rFonts w:cstheme="minorHAnsi"/>
        </w:rPr>
        <w:t>W</w:t>
      </w:r>
      <w:r w:rsidR="00C10D92" w:rsidRPr="008741C7">
        <w:rPr>
          <w:rFonts w:cstheme="minorHAnsi"/>
        </w:rPr>
        <w:t xml:space="preserve">e need to </w:t>
      </w:r>
      <w:r w:rsidR="0041341E">
        <w:rPr>
          <w:rFonts w:cstheme="minorHAnsi"/>
        </w:rPr>
        <w:t xml:space="preserve">help </w:t>
      </w:r>
      <w:r w:rsidR="00C10D92" w:rsidRPr="008741C7">
        <w:rPr>
          <w:rFonts w:cstheme="minorHAnsi"/>
        </w:rPr>
        <w:t xml:space="preserve">carers access the </w:t>
      </w:r>
      <w:r w:rsidR="0041341E">
        <w:rPr>
          <w:rFonts w:cstheme="minorHAnsi"/>
        </w:rPr>
        <w:t xml:space="preserve">support </w:t>
      </w:r>
      <w:r w:rsidR="00C10D92" w:rsidRPr="008741C7">
        <w:rPr>
          <w:rFonts w:cstheme="minorHAnsi"/>
        </w:rPr>
        <w:t>and assistance they need to undertake the role as a</w:t>
      </w:r>
      <w:r w:rsidR="009C11EF">
        <w:rPr>
          <w:rFonts w:cstheme="minorHAnsi"/>
        </w:rPr>
        <w:t xml:space="preserve"> formal or </w:t>
      </w:r>
      <w:r w:rsidR="00C10D92" w:rsidRPr="008741C7">
        <w:rPr>
          <w:rFonts w:cstheme="minorHAnsi"/>
        </w:rPr>
        <w:t>informal carer.</w:t>
      </w:r>
      <w:r>
        <w:rPr>
          <w:rFonts w:cstheme="minorHAnsi"/>
        </w:rPr>
        <w:t xml:space="preserve"> For example,</w:t>
      </w:r>
      <w:r w:rsidR="00C10D92" w:rsidRPr="008741C7">
        <w:rPr>
          <w:rFonts w:cstheme="minorHAnsi"/>
        </w:rPr>
        <w:t xml:space="preserve"> </w:t>
      </w:r>
      <w:r>
        <w:rPr>
          <w:rFonts w:cstheme="minorHAnsi"/>
        </w:rPr>
        <w:t xml:space="preserve">when a person registers as a carer they could be provided with </w:t>
      </w:r>
      <w:r w:rsidR="00247CB1">
        <w:rPr>
          <w:rFonts w:cstheme="minorHAnsi"/>
        </w:rPr>
        <w:t xml:space="preserve">Government funded or subsidised </w:t>
      </w:r>
      <w:r>
        <w:rPr>
          <w:rFonts w:cstheme="minorHAnsi"/>
        </w:rPr>
        <w:t>Mental Health First Aid training.</w:t>
      </w:r>
    </w:p>
    <w:p w14:paraId="3C41F2E4" w14:textId="3B9B80CD" w:rsidR="005053FA" w:rsidRPr="008741C7" w:rsidRDefault="005053FA" w:rsidP="008741C7">
      <w:pPr>
        <w:spacing w:after="0" w:line="276" w:lineRule="auto"/>
        <w:jc w:val="both"/>
        <w:rPr>
          <w:rFonts w:cstheme="minorHAnsi"/>
        </w:rPr>
      </w:pPr>
    </w:p>
    <w:p w14:paraId="054159D6" w14:textId="45519305" w:rsidR="005053FA" w:rsidRPr="008741C7" w:rsidRDefault="005053FA" w:rsidP="008741C7">
      <w:pPr>
        <w:spacing w:after="0" w:line="276" w:lineRule="auto"/>
        <w:jc w:val="both"/>
        <w:rPr>
          <w:rFonts w:cstheme="minorHAnsi"/>
          <w:i/>
        </w:rPr>
      </w:pPr>
      <w:r w:rsidRPr="008741C7">
        <w:rPr>
          <w:rFonts w:cstheme="minorHAnsi"/>
          <w:i/>
        </w:rPr>
        <w:t>Case study</w:t>
      </w:r>
      <w:r w:rsidR="00BE0951">
        <w:rPr>
          <w:rFonts w:cstheme="minorHAnsi"/>
          <w:i/>
        </w:rPr>
        <w:t xml:space="preserve"> </w:t>
      </w:r>
      <w:r w:rsidR="00D870E6">
        <w:rPr>
          <w:rFonts w:cstheme="minorHAnsi"/>
          <w:i/>
        </w:rPr>
        <w:t>one</w:t>
      </w:r>
    </w:p>
    <w:p w14:paraId="1050865D" w14:textId="2CA77724" w:rsidR="00BE0081" w:rsidRPr="008741C7" w:rsidRDefault="00BE0081" w:rsidP="00BE0081">
      <w:pPr>
        <w:spacing w:after="0" w:line="276" w:lineRule="auto"/>
        <w:jc w:val="both"/>
        <w:rPr>
          <w:rFonts w:cstheme="minorHAnsi"/>
        </w:rPr>
      </w:pPr>
      <w:r w:rsidRPr="008741C7">
        <w:rPr>
          <w:rFonts w:cstheme="minorHAnsi"/>
        </w:rPr>
        <w:t xml:space="preserve">Connect Health </w:t>
      </w:r>
      <w:r>
        <w:rPr>
          <w:rFonts w:cstheme="minorHAnsi"/>
        </w:rPr>
        <w:t>&amp;</w:t>
      </w:r>
      <w:r w:rsidRPr="008741C7">
        <w:rPr>
          <w:rFonts w:cstheme="minorHAnsi"/>
        </w:rPr>
        <w:t xml:space="preserve"> Community is </w:t>
      </w:r>
      <w:r w:rsidR="0041341E">
        <w:rPr>
          <w:rFonts w:cstheme="minorHAnsi"/>
        </w:rPr>
        <w:t xml:space="preserve">currently </w:t>
      </w:r>
      <w:r w:rsidRPr="008741C7">
        <w:rPr>
          <w:rFonts w:cstheme="minorHAnsi"/>
        </w:rPr>
        <w:t>supporting a mother whose son</w:t>
      </w:r>
      <w:r w:rsidR="0041341E">
        <w:rPr>
          <w:rFonts w:cstheme="minorHAnsi"/>
        </w:rPr>
        <w:t>, experiencing</w:t>
      </w:r>
      <w:r w:rsidRPr="008741C7">
        <w:rPr>
          <w:rFonts w:cstheme="minorHAnsi"/>
        </w:rPr>
        <w:t xml:space="preserve"> </w:t>
      </w:r>
      <w:r w:rsidR="0041341E" w:rsidRPr="008741C7">
        <w:rPr>
          <w:rFonts w:cstheme="minorHAnsi"/>
        </w:rPr>
        <w:t>schizophrenia and drug use</w:t>
      </w:r>
      <w:r w:rsidR="0041341E">
        <w:rPr>
          <w:rFonts w:cstheme="minorHAnsi"/>
        </w:rPr>
        <w:t>,</w:t>
      </w:r>
      <w:r w:rsidR="0041341E" w:rsidRPr="008741C7">
        <w:rPr>
          <w:rFonts w:cstheme="minorHAnsi"/>
        </w:rPr>
        <w:t xml:space="preserve"> </w:t>
      </w:r>
      <w:r w:rsidRPr="008741C7">
        <w:rPr>
          <w:rFonts w:cstheme="minorHAnsi"/>
        </w:rPr>
        <w:t>ha</w:t>
      </w:r>
      <w:r w:rsidR="0041341E">
        <w:rPr>
          <w:rFonts w:cstheme="minorHAnsi"/>
        </w:rPr>
        <w:t>s</w:t>
      </w:r>
      <w:r w:rsidRPr="008741C7">
        <w:rPr>
          <w:rFonts w:cstheme="minorHAnsi"/>
        </w:rPr>
        <w:t xml:space="preserve"> been in and out of hospital for a long period of time. This mother shared with us her experience of being an informal carer. </w:t>
      </w:r>
    </w:p>
    <w:p w14:paraId="1C01E8E6" w14:textId="77777777" w:rsidR="00BE0081" w:rsidRDefault="00BE0081" w:rsidP="008741C7">
      <w:pPr>
        <w:spacing w:after="0" w:line="276" w:lineRule="auto"/>
        <w:jc w:val="both"/>
        <w:rPr>
          <w:rFonts w:cstheme="minorHAnsi"/>
        </w:rPr>
      </w:pPr>
    </w:p>
    <w:p w14:paraId="2C68981B" w14:textId="691C6090" w:rsidR="00667F79" w:rsidRDefault="0041341E" w:rsidP="008741C7">
      <w:pPr>
        <w:spacing w:after="0" w:line="276" w:lineRule="auto"/>
        <w:jc w:val="both"/>
        <w:rPr>
          <w:rFonts w:cstheme="minorHAnsi"/>
        </w:rPr>
      </w:pPr>
      <w:r>
        <w:rPr>
          <w:rFonts w:cstheme="minorHAnsi"/>
        </w:rPr>
        <w:lastRenderedPageBreak/>
        <w:t>“</w:t>
      </w:r>
      <w:r w:rsidR="005053FA" w:rsidRPr="008741C7">
        <w:rPr>
          <w:rFonts w:cstheme="minorHAnsi"/>
        </w:rPr>
        <w:t xml:space="preserve">When I went to a </w:t>
      </w:r>
      <w:r>
        <w:rPr>
          <w:rFonts w:cstheme="minorHAnsi"/>
        </w:rPr>
        <w:t>h</w:t>
      </w:r>
      <w:r w:rsidR="005053FA" w:rsidRPr="008741C7">
        <w:rPr>
          <w:rFonts w:cstheme="minorHAnsi"/>
        </w:rPr>
        <w:t xml:space="preserve">ospital it was a terrible experience. My son was in white clothes, a wrap-around gown with his </w:t>
      </w:r>
      <w:r w:rsidR="009C11EF" w:rsidRPr="008741C7">
        <w:rPr>
          <w:rFonts w:cstheme="minorHAnsi"/>
        </w:rPr>
        <w:t>butto</w:t>
      </w:r>
      <w:r w:rsidR="009C11EF">
        <w:rPr>
          <w:rFonts w:cstheme="minorHAnsi"/>
        </w:rPr>
        <w:t>ck</w:t>
      </w:r>
      <w:r w:rsidR="005053FA" w:rsidRPr="008741C7">
        <w:rPr>
          <w:rFonts w:cstheme="minorHAnsi"/>
        </w:rPr>
        <w:t xml:space="preserve"> exposed</w:t>
      </w:r>
      <w:r>
        <w:rPr>
          <w:rFonts w:cstheme="minorHAnsi"/>
        </w:rPr>
        <w:t>.</w:t>
      </w:r>
      <w:r w:rsidR="005053FA" w:rsidRPr="008741C7">
        <w:rPr>
          <w:rFonts w:cstheme="minorHAnsi"/>
        </w:rPr>
        <w:t xml:space="preserve"> </w:t>
      </w:r>
      <w:r>
        <w:rPr>
          <w:rFonts w:cstheme="minorHAnsi"/>
        </w:rPr>
        <w:t>N</w:t>
      </w:r>
      <w:r w:rsidR="005053FA" w:rsidRPr="008741C7">
        <w:rPr>
          <w:rFonts w:cstheme="minorHAnsi"/>
        </w:rPr>
        <w:t xml:space="preserve">o shoes and his face was bruised. The unexplained bruising, was from too much legal drugs being administered and he fell and hit himself.  I wasn’t prepared for what I saw. It was so shocking and traumatic to see my son in this way. I wish someone could have taken the time to explain to me about my son, to have educated me and to have given me information. I needed someone to communicate with me. </w:t>
      </w:r>
    </w:p>
    <w:p w14:paraId="0F68EC43" w14:textId="77777777" w:rsidR="001D6932" w:rsidRPr="008741C7" w:rsidRDefault="001D6932" w:rsidP="008741C7">
      <w:pPr>
        <w:spacing w:after="0" w:line="276" w:lineRule="auto"/>
        <w:jc w:val="both"/>
        <w:rPr>
          <w:rFonts w:cstheme="minorHAnsi"/>
        </w:rPr>
      </w:pPr>
    </w:p>
    <w:p w14:paraId="5401E5AD" w14:textId="4FC86D5E" w:rsidR="00667F79" w:rsidRDefault="00667F79" w:rsidP="008741C7">
      <w:pPr>
        <w:spacing w:after="0" w:line="276" w:lineRule="auto"/>
        <w:jc w:val="both"/>
        <w:rPr>
          <w:rFonts w:cstheme="minorHAnsi"/>
        </w:rPr>
      </w:pPr>
      <w:r w:rsidRPr="008741C7">
        <w:rPr>
          <w:rFonts w:cstheme="minorHAnsi"/>
        </w:rPr>
        <w:t>My son absconded from the ho</w:t>
      </w:r>
      <w:r w:rsidR="0041341E">
        <w:rPr>
          <w:rFonts w:cstheme="minorHAnsi"/>
        </w:rPr>
        <w:t>spital on a number of occasions.</w:t>
      </w:r>
      <w:r w:rsidRPr="008741C7">
        <w:rPr>
          <w:rFonts w:cstheme="minorHAnsi"/>
        </w:rPr>
        <w:t xml:space="preserve"> </w:t>
      </w:r>
      <w:r w:rsidR="0041341E">
        <w:rPr>
          <w:rFonts w:cstheme="minorHAnsi"/>
        </w:rPr>
        <w:t>T</w:t>
      </w:r>
      <w:r w:rsidRPr="008741C7">
        <w:rPr>
          <w:rFonts w:cstheme="minorHAnsi"/>
        </w:rPr>
        <w:t>here needs to be better security and supervision of patients, and</w:t>
      </w:r>
      <w:r w:rsidR="0041341E">
        <w:rPr>
          <w:rFonts w:cstheme="minorHAnsi"/>
        </w:rPr>
        <w:t xml:space="preserve"> they were under-staffed. While</w:t>
      </w:r>
      <w:r w:rsidRPr="008741C7">
        <w:rPr>
          <w:rFonts w:cstheme="minorHAnsi"/>
        </w:rPr>
        <w:t xml:space="preserve"> in hospital my son had access to illegal drugs and to alcohol and was having sex with other patients in the hospital. A nurse told me this information and my son also told me this information. Being in a hospital, I thought my son was in a safe and protected place. </w:t>
      </w:r>
    </w:p>
    <w:p w14:paraId="77C0A595" w14:textId="77777777" w:rsidR="001D6932" w:rsidRPr="008741C7" w:rsidRDefault="001D6932" w:rsidP="008741C7">
      <w:pPr>
        <w:spacing w:after="0" w:line="276" w:lineRule="auto"/>
        <w:jc w:val="both"/>
        <w:rPr>
          <w:rFonts w:cstheme="minorHAnsi"/>
        </w:rPr>
      </w:pPr>
    </w:p>
    <w:p w14:paraId="10F7E1DD" w14:textId="3773A587" w:rsidR="00F4340E" w:rsidRDefault="005053FA" w:rsidP="008741C7">
      <w:pPr>
        <w:spacing w:after="0" w:line="276" w:lineRule="auto"/>
        <w:jc w:val="both"/>
        <w:rPr>
          <w:rFonts w:cstheme="minorHAnsi"/>
        </w:rPr>
      </w:pPr>
      <w:r w:rsidRPr="008741C7">
        <w:rPr>
          <w:rFonts w:cstheme="minorHAnsi"/>
        </w:rPr>
        <w:t>When my son was released from hospital, nobody told me anything. My son was discharged into my care without them having ask</w:t>
      </w:r>
      <w:r w:rsidR="0041341E">
        <w:rPr>
          <w:rFonts w:cstheme="minorHAnsi"/>
        </w:rPr>
        <w:t>ed me or providing</w:t>
      </w:r>
      <w:r w:rsidRPr="008741C7">
        <w:rPr>
          <w:rFonts w:cstheme="minorHAnsi"/>
        </w:rPr>
        <w:t xml:space="preserve"> me with any formal support</w:t>
      </w:r>
      <w:r w:rsidR="0041341E">
        <w:rPr>
          <w:rFonts w:cstheme="minorHAnsi"/>
        </w:rPr>
        <w:t xml:space="preserve"> -</w:t>
      </w:r>
      <w:r w:rsidRPr="008741C7">
        <w:rPr>
          <w:rFonts w:cstheme="minorHAnsi"/>
        </w:rPr>
        <w:t xml:space="preserve"> and I had no information on how to protect myself. I would have liked to have been part of discussions and case conferences with doctors involved while my son was in hospital and I would also </w:t>
      </w:r>
      <w:r w:rsidR="00667F79" w:rsidRPr="008741C7">
        <w:rPr>
          <w:rFonts w:cstheme="minorHAnsi"/>
        </w:rPr>
        <w:t xml:space="preserve">have </w:t>
      </w:r>
      <w:r w:rsidRPr="008741C7">
        <w:rPr>
          <w:rFonts w:cstheme="minorHAnsi"/>
        </w:rPr>
        <w:t>liked to be part of the discharge plan. Help and support was never offered. There was no consistency with psychiatrists</w:t>
      </w:r>
      <w:r w:rsidR="00667F79" w:rsidRPr="008741C7">
        <w:rPr>
          <w:rFonts w:cstheme="minorHAnsi"/>
        </w:rPr>
        <w:t>.</w:t>
      </w:r>
      <w:r w:rsidRPr="008741C7">
        <w:rPr>
          <w:rFonts w:cstheme="minorHAnsi"/>
        </w:rPr>
        <w:t xml:space="preserve"> </w:t>
      </w:r>
      <w:r w:rsidR="00667F79" w:rsidRPr="008741C7">
        <w:rPr>
          <w:rFonts w:cstheme="minorHAnsi"/>
        </w:rPr>
        <w:t xml:space="preserve">Once, </w:t>
      </w:r>
      <w:r w:rsidRPr="008741C7">
        <w:rPr>
          <w:rFonts w:cstheme="minorHAnsi"/>
        </w:rPr>
        <w:t xml:space="preserve">I overheard a psychiatric nurse say that they were wasting their time with my family. </w:t>
      </w:r>
    </w:p>
    <w:p w14:paraId="2994A2BE" w14:textId="77777777" w:rsidR="001D6932" w:rsidRPr="008741C7" w:rsidRDefault="001D6932" w:rsidP="008741C7">
      <w:pPr>
        <w:spacing w:after="0" w:line="276" w:lineRule="auto"/>
        <w:jc w:val="both"/>
        <w:rPr>
          <w:rFonts w:cstheme="minorHAnsi"/>
        </w:rPr>
      </w:pPr>
    </w:p>
    <w:p w14:paraId="3A091D7D" w14:textId="39222530" w:rsidR="00974361" w:rsidRDefault="005053FA" w:rsidP="008741C7">
      <w:pPr>
        <w:spacing w:after="0" w:line="276" w:lineRule="auto"/>
        <w:jc w:val="both"/>
        <w:rPr>
          <w:rFonts w:cstheme="minorHAnsi"/>
        </w:rPr>
      </w:pPr>
      <w:r w:rsidRPr="008741C7">
        <w:rPr>
          <w:rFonts w:cstheme="minorHAnsi"/>
        </w:rPr>
        <w:t xml:space="preserve">At the time </w:t>
      </w:r>
      <w:r w:rsidR="00F4340E" w:rsidRPr="008741C7">
        <w:rPr>
          <w:rFonts w:cstheme="minorHAnsi"/>
        </w:rPr>
        <w:t>my</w:t>
      </w:r>
      <w:r w:rsidRPr="008741C7">
        <w:rPr>
          <w:rFonts w:cstheme="minorHAnsi"/>
        </w:rPr>
        <w:t xml:space="preserve"> son was </w:t>
      </w:r>
      <w:r w:rsidR="0041341E">
        <w:rPr>
          <w:rFonts w:cstheme="minorHAnsi"/>
        </w:rPr>
        <w:t>at h</w:t>
      </w:r>
      <w:r w:rsidRPr="008741C7">
        <w:rPr>
          <w:rFonts w:cstheme="minorHAnsi"/>
        </w:rPr>
        <w:t xml:space="preserve">ospital, </w:t>
      </w:r>
      <w:r w:rsidR="00F4340E" w:rsidRPr="008741C7">
        <w:rPr>
          <w:rFonts w:cstheme="minorHAnsi"/>
        </w:rPr>
        <w:t xml:space="preserve">I </w:t>
      </w:r>
      <w:r w:rsidRPr="008741C7">
        <w:rPr>
          <w:rFonts w:cstheme="minorHAnsi"/>
        </w:rPr>
        <w:t xml:space="preserve">was coming in to Connect Health </w:t>
      </w:r>
      <w:r w:rsidR="004661F1">
        <w:rPr>
          <w:rFonts w:cstheme="minorHAnsi"/>
        </w:rPr>
        <w:t>&amp;</w:t>
      </w:r>
      <w:r w:rsidRPr="008741C7">
        <w:rPr>
          <w:rFonts w:cstheme="minorHAnsi"/>
        </w:rPr>
        <w:t xml:space="preserve"> Community for dental </w:t>
      </w:r>
      <w:r w:rsidR="00F4340E" w:rsidRPr="008741C7">
        <w:rPr>
          <w:rFonts w:cstheme="minorHAnsi"/>
        </w:rPr>
        <w:t xml:space="preserve">services </w:t>
      </w:r>
      <w:r w:rsidRPr="008741C7">
        <w:rPr>
          <w:rFonts w:cstheme="minorHAnsi"/>
        </w:rPr>
        <w:t>and asked if there was counselling service offered. At this time, I felt like I was inside a dark tunnel and I felt claustrophobic, stuck, like I was in a dark hole.</w:t>
      </w:r>
      <w:r w:rsidR="00974361" w:rsidRPr="008741C7">
        <w:rPr>
          <w:rFonts w:cstheme="minorHAnsi"/>
        </w:rPr>
        <w:t xml:space="preserve"> I</w:t>
      </w:r>
      <w:r w:rsidRPr="008741C7">
        <w:rPr>
          <w:rFonts w:cstheme="minorHAnsi"/>
        </w:rPr>
        <w:t xml:space="preserve"> </w:t>
      </w:r>
      <w:r w:rsidR="00974361" w:rsidRPr="008741C7">
        <w:rPr>
          <w:rFonts w:cstheme="minorHAnsi"/>
        </w:rPr>
        <w:t xml:space="preserve">found the experience here very helpful; mainly the consistency in staff. </w:t>
      </w:r>
    </w:p>
    <w:p w14:paraId="119BF27E" w14:textId="77777777" w:rsidR="001D6932" w:rsidRPr="008741C7" w:rsidRDefault="001D6932" w:rsidP="008741C7">
      <w:pPr>
        <w:spacing w:after="0" w:line="276" w:lineRule="auto"/>
        <w:jc w:val="both"/>
        <w:rPr>
          <w:rFonts w:cstheme="minorHAnsi"/>
        </w:rPr>
      </w:pPr>
    </w:p>
    <w:p w14:paraId="62DD2E56" w14:textId="5E7A61CA" w:rsidR="005053FA" w:rsidRPr="008741C7" w:rsidRDefault="00974361" w:rsidP="008741C7">
      <w:pPr>
        <w:spacing w:after="0" w:line="276" w:lineRule="auto"/>
        <w:jc w:val="both"/>
        <w:rPr>
          <w:rFonts w:cstheme="minorHAnsi"/>
        </w:rPr>
      </w:pPr>
      <w:r w:rsidRPr="008741C7">
        <w:rPr>
          <w:rFonts w:cstheme="minorHAnsi"/>
        </w:rPr>
        <w:t>I felt very ashame</w:t>
      </w:r>
      <w:r w:rsidR="0041341E">
        <w:rPr>
          <w:rFonts w:cstheme="minorHAnsi"/>
        </w:rPr>
        <w:t>d, embarrassed and not accepted –</w:t>
      </w:r>
      <w:r w:rsidRPr="008741C7">
        <w:rPr>
          <w:rFonts w:cstheme="minorHAnsi"/>
        </w:rPr>
        <w:t xml:space="preserve"> </w:t>
      </w:r>
      <w:r w:rsidR="0041341E">
        <w:rPr>
          <w:rFonts w:cstheme="minorHAnsi"/>
        </w:rPr>
        <w:t xml:space="preserve">but </w:t>
      </w:r>
      <w:r w:rsidRPr="008741C7">
        <w:rPr>
          <w:rFonts w:cstheme="minorHAnsi"/>
        </w:rPr>
        <w:t>Connect Health gave me a safe place to heal. Since receiving support I feel more accepting of reality and of my son’s reality. This was the place where I opened up about my own big secrets, bulimia and sexual abuse.  It was the one place where I did trust and I was consistently accepted and not judged. I</w:t>
      </w:r>
      <w:r w:rsidR="0041341E">
        <w:rPr>
          <w:rFonts w:cstheme="minorHAnsi"/>
        </w:rPr>
        <w:t xml:space="preserve"> was</w:t>
      </w:r>
      <w:r w:rsidRPr="008741C7">
        <w:rPr>
          <w:rFonts w:cstheme="minorHAnsi"/>
        </w:rPr>
        <w:t xml:space="preserve"> also able to access the support I needed as I did not have to pay for the service, I am financially stretched.</w:t>
      </w:r>
      <w:r w:rsidR="0041341E">
        <w:rPr>
          <w:rFonts w:cstheme="minorHAnsi"/>
        </w:rPr>
        <w:t>”</w:t>
      </w:r>
      <w:r w:rsidRPr="008741C7">
        <w:rPr>
          <w:rFonts w:cstheme="minorHAnsi"/>
        </w:rPr>
        <w:t xml:space="preserve"> </w:t>
      </w:r>
    </w:p>
    <w:p w14:paraId="1D6E8590" w14:textId="77777777" w:rsidR="00340DDB" w:rsidRPr="008741C7" w:rsidRDefault="00340DDB" w:rsidP="008741C7">
      <w:pPr>
        <w:spacing w:after="0" w:line="276" w:lineRule="auto"/>
        <w:jc w:val="both"/>
        <w:rPr>
          <w:rFonts w:cstheme="minorHAnsi"/>
        </w:rPr>
      </w:pPr>
    </w:p>
    <w:p w14:paraId="10D38C05" w14:textId="52C3C813" w:rsidR="00340DDB" w:rsidRPr="008741C7" w:rsidRDefault="005A6770" w:rsidP="008741C7">
      <w:pPr>
        <w:spacing w:after="0" w:line="276" w:lineRule="auto"/>
        <w:jc w:val="both"/>
        <w:rPr>
          <w:rFonts w:cstheme="minorHAnsi"/>
        </w:rPr>
      </w:pPr>
      <w:r w:rsidRPr="00BE0081">
        <w:rPr>
          <w:rFonts w:cstheme="minorHAnsi"/>
          <w:i/>
        </w:rPr>
        <w:t>Case study</w:t>
      </w:r>
      <w:r w:rsidR="00BE0951">
        <w:rPr>
          <w:rFonts w:cstheme="minorHAnsi"/>
          <w:i/>
        </w:rPr>
        <w:t xml:space="preserve"> </w:t>
      </w:r>
      <w:r w:rsidR="00D870E6">
        <w:rPr>
          <w:rFonts w:cstheme="minorHAnsi"/>
          <w:i/>
        </w:rPr>
        <w:t>two</w:t>
      </w:r>
    </w:p>
    <w:p w14:paraId="34344959" w14:textId="1014ED5A" w:rsidR="005A6770" w:rsidRDefault="005A6770" w:rsidP="005A6770">
      <w:pPr>
        <w:spacing w:after="0" w:line="276" w:lineRule="auto"/>
        <w:jc w:val="both"/>
      </w:pPr>
      <w:r>
        <w:t xml:space="preserve">Looking at where to start to look for mental health services is overwhelming. I would do a google search on my mobile phone to source support. Navigating the system to try and find the right thing for yourself is difficult.  When I was having trouble with my son, I found it difficult to help him because of his age. I rang Task Force, Drug and Alcohol counselling services, Lifeline and each service indicated that they couldn’t help </w:t>
      </w:r>
      <w:r w:rsidR="00BE0081">
        <w:t xml:space="preserve">my </w:t>
      </w:r>
      <w:r>
        <w:t xml:space="preserve">son because of his age. My son was depressed and suicidal. One service recommended the other services.  I rang the CAT team and I was advised that my son had to ring the services himself to organise the care required. I wasn’t able to assist my son to access services.  Anyone over 18 is considered an adult, and are encouraged to use their own initiative to get the help they require.  Many barriers were presented due to his age.  I am my son’s legal guardian and carer but because he was past 18 years of age, </w:t>
      </w:r>
      <w:r w:rsidR="00BE0081">
        <w:t>my</w:t>
      </w:r>
      <w:r>
        <w:t xml:space="preserve"> son had to contact the mental health services himself to obtain support. </w:t>
      </w:r>
      <w:r w:rsidR="00BE0081">
        <w:t xml:space="preserve">My </w:t>
      </w:r>
      <w:r>
        <w:t xml:space="preserve">son visited a GP, but the GP informed me to leave him as he was so angry with the world. </w:t>
      </w:r>
    </w:p>
    <w:p w14:paraId="54EEB9BE" w14:textId="77777777" w:rsidR="005A6770" w:rsidRDefault="005A6770" w:rsidP="005A6770">
      <w:pPr>
        <w:spacing w:after="0" w:line="276" w:lineRule="auto"/>
        <w:jc w:val="both"/>
      </w:pPr>
    </w:p>
    <w:p w14:paraId="655882C4" w14:textId="797508A1" w:rsidR="005A6770" w:rsidRDefault="005A6770" w:rsidP="005A6770">
      <w:pPr>
        <w:spacing w:after="0" w:line="276" w:lineRule="auto"/>
        <w:jc w:val="both"/>
      </w:pPr>
      <w:r>
        <w:t xml:space="preserve">Being a busy single mum prevented me from pursuing alternative mental health services to support my son.  The only service my son accessed was counselling at Connect Health </w:t>
      </w:r>
      <w:r w:rsidR="0041341E">
        <w:t>&amp;</w:t>
      </w:r>
      <w:r>
        <w:t xml:space="preserve"> Community when he was </w:t>
      </w:r>
      <w:r>
        <w:lastRenderedPageBreak/>
        <w:t xml:space="preserve">aged 9-10 years. Counselling has helped me in the past with </w:t>
      </w:r>
      <w:r w:rsidR="00BE0081">
        <w:t xml:space="preserve">my </w:t>
      </w:r>
      <w:r>
        <w:t xml:space="preserve">mental health symptoms. I commenced counselling when </w:t>
      </w:r>
      <w:r w:rsidR="00BE0081">
        <w:t xml:space="preserve">my </w:t>
      </w:r>
      <w:r>
        <w:t xml:space="preserve">son was young and after </w:t>
      </w:r>
      <w:r w:rsidR="00BE0081">
        <w:t xml:space="preserve">my </w:t>
      </w:r>
      <w:r>
        <w:t xml:space="preserve">divorce.  </w:t>
      </w:r>
    </w:p>
    <w:p w14:paraId="0F9D83C1" w14:textId="77777777" w:rsidR="005A6770" w:rsidRDefault="005A6770" w:rsidP="005A6770">
      <w:pPr>
        <w:spacing w:after="0" w:line="276" w:lineRule="auto"/>
        <w:jc w:val="both"/>
        <w:rPr>
          <w:i/>
          <w:iCs/>
        </w:rPr>
      </w:pPr>
    </w:p>
    <w:p w14:paraId="28D441D4" w14:textId="50D4F8DD" w:rsidR="005A6770" w:rsidRDefault="005A6770" w:rsidP="005A6770">
      <w:pPr>
        <w:spacing w:after="0" w:line="276" w:lineRule="auto"/>
        <w:jc w:val="both"/>
      </w:pPr>
      <w:r>
        <w:t>My son has a job, but he is not receiving regular work by his employer.  This prevents him from paying rent and bills and he regularly relies on me to pay for them. I have had to stop paying for his bills as it was causing me financial and mental stress. Centrel</w:t>
      </w:r>
      <w:r w:rsidR="0041341E">
        <w:t>ink doesn</w:t>
      </w:r>
      <w:r>
        <w:t xml:space="preserve">’t provide enough services to support my son with finding a secure job.  Sourcing secure employment would prevent some mental health symptoms my son is experiencing. </w:t>
      </w:r>
    </w:p>
    <w:p w14:paraId="7E2A4F25" w14:textId="77777777" w:rsidR="00BE0081" w:rsidRDefault="00BE0081" w:rsidP="005A6770">
      <w:pPr>
        <w:spacing w:after="0" w:line="276" w:lineRule="auto"/>
        <w:jc w:val="both"/>
      </w:pPr>
    </w:p>
    <w:p w14:paraId="5BABF008" w14:textId="21C8D5F0" w:rsidR="005A6770" w:rsidRDefault="005A6770" w:rsidP="005A6770">
      <w:pPr>
        <w:spacing w:after="0" w:line="276" w:lineRule="auto"/>
        <w:jc w:val="both"/>
      </w:pPr>
      <w:r>
        <w:t>As a child, I was bullied by my parents. I was the older daughter.  My mum and dad were very strict and I was required to help more with the chores in the home. I left school around age 17 and obtained an office job which I was quite good at.</w:t>
      </w:r>
      <w:r w:rsidR="00BE0081">
        <w:t xml:space="preserve"> </w:t>
      </w:r>
      <w:r>
        <w:t xml:space="preserve">When </w:t>
      </w:r>
      <w:r w:rsidR="00BE0081">
        <w:t xml:space="preserve">I </w:t>
      </w:r>
      <w:r>
        <w:t xml:space="preserve">was young, my parents prevented me from interacting with anyone that wasn’t Jewish. When my father was angry, he used to hit out on me all the time.  My mum directed a knife at me because I wasn’t helping in the kitchen. </w:t>
      </w:r>
    </w:p>
    <w:p w14:paraId="46C3FAC7" w14:textId="77777777" w:rsidR="005A6770" w:rsidRDefault="005A6770" w:rsidP="005A6770">
      <w:pPr>
        <w:spacing w:after="0" w:line="276" w:lineRule="auto"/>
        <w:jc w:val="both"/>
      </w:pPr>
    </w:p>
    <w:p w14:paraId="002CB233" w14:textId="4FEBBF97" w:rsidR="005A6770" w:rsidRDefault="005A6770" w:rsidP="005A6770">
      <w:pPr>
        <w:spacing w:after="0" w:line="276" w:lineRule="auto"/>
        <w:jc w:val="both"/>
      </w:pPr>
      <w:r>
        <w:t xml:space="preserve">My mother told me a story of her and her sister escaping Poland. My mother’s sister asked her to escape with her, but my mother said they can’t leave their other little sister. Her sister then said I can only take you or her. So my mother chose to escape with her sister and they left their little sister behind. When </w:t>
      </w:r>
      <w:r w:rsidR="00BE0081">
        <w:t xml:space="preserve">my </w:t>
      </w:r>
      <w:r>
        <w:t xml:space="preserve">parents migrated to Australia from Poland, I was responsible for teaching my parents English. It was a very hard time and my family have been through a lot. </w:t>
      </w:r>
    </w:p>
    <w:p w14:paraId="2221E198" w14:textId="77777777" w:rsidR="00BE0081" w:rsidRDefault="00BE0081" w:rsidP="005A6770">
      <w:pPr>
        <w:spacing w:after="0" w:line="276" w:lineRule="auto"/>
        <w:jc w:val="both"/>
      </w:pPr>
    </w:p>
    <w:p w14:paraId="4DBD00CE" w14:textId="495F4FF2" w:rsidR="005A6770" w:rsidRDefault="005A6770" w:rsidP="005A6770">
      <w:pPr>
        <w:spacing w:after="0" w:line="276" w:lineRule="auto"/>
        <w:jc w:val="both"/>
      </w:pPr>
      <w:r>
        <w:t>I also look after a friend in my home.  He has mental health issues but can</w:t>
      </w:r>
      <w:r w:rsidR="00BE0081">
        <w:t>’t</w:t>
      </w:r>
      <w:r>
        <w:t xml:space="preserve"> identify them. He forgets a lot too.  He doesn’t want</w:t>
      </w:r>
      <w:r w:rsidR="00BE0081">
        <w:t xml:space="preserve"> </w:t>
      </w:r>
      <w:r>
        <w:t>t</w:t>
      </w:r>
      <w:r w:rsidR="00BE0081">
        <w:t>o</w:t>
      </w:r>
      <w:r>
        <w:t xml:space="preserve"> access health services as he doesn’t see anything wrong with him.  I’m very tired and I just want to do to something for me. I currently don’t work but volunteer in my community. </w:t>
      </w:r>
    </w:p>
    <w:p w14:paraId="7B6F7895" w14:textId="77777777" w:rsidR="005A6770" w:rsidRDefault="005A6770" w:rsidP="005A6770">
      <w:pPr>
        <w:spacing w:after="0" w:line="276" w:lineRule="auto"/>
        <w:jc w:val="both"/>
      </w:pPr>
    </w:p>
    <w:p w14:paraId="66D4B41B" w14:textId="77777777" w:rsidR="005A6770" w:rsidRDefault="005A6770" w:rsidP="005A6770">
      <w:pPr>
        <w:spacing w:after="0" w:line="276" w:lineRule="auto"/>
        <w:jc w:val="both"/>
      </w:pPr>
      <w:r>
        <w:t>I would like to see current mental health services to have no barriers in particular to age of a person and to have an easier pathways to access public mental health services.  All mental health provisions need to allow carers who are caring for a friend or family member who is experiencing mental health illness to navigate and mediate the mental health system on their behalf to advocate, mediate and provide care and access to prevention services.</w:t>
      </w:r>
    </w:p>
    <w:p w14:paraId="05055AD2" w14:textId="77777777" w:rsidR="006B41AE" w:rsidRPr="008741C7" w:rsidRDefault="006B41AE" w:rsidP="008741C7">
      <w:pPr>
        <w:spacing w:after="0" w:line="276" w:lineRule="auto"/>
        <w:jc w:val="both"/>
        <w:rPr>
          <w:rFonts w:cstheme="minorHAnsi"/>
        </w:rPr>
      </w:pPr>
    </w:p>
    <w:p w14:paraId="790FF0BE" w14:textId="77777777" w:rsidR="001F09D4" w:rsidRPr="008741C7" w:rsidRDefault="001F09D4" w:rsidP="008741C7">
      <w:pPr>
        <w:spacing w:after="0" w:line="276" w:lineRule="auto"/>
        <w:jc w:val="both"/>
        <w:rPr>
          <w:rFonts w:cstheme="minorHAnsi"/>
          <w:b/>
          <w:sz w:val="28"/>
        </w:rPr>
      </w:pPr>
      <w:r w:rsidRPr="008741C7">
        <w:rPr>
          <w:rFonts w:cstheme="minorHAnsi"/>
          <w:b/>
          <w:sz w:val="28"/>
        </w:rPr>
        <w:t>Social Participation and Inclusion</w:t>
      </w:r>
    </w:p>
    <w:p w14:paraId="7082D2E8" w14:textId="65E20797" w:rsidR="00045F12" w:rsidRPr="00DB17EB" w:rsidRDefault="00B17827" w:rsidP="00045F12">
      <w:pPr>
        <w:spacing w:after="0" w:line="276" w:lineRule="auto"/>
        <w:jc w:val="both"/>
        <w:rPr>
          <w:rFonts w:cstheme="minorHAnsi"/>
          <w:b/>
          <w:i/>
        </w:rPr>
      </w:pPr>
      <w:r w:rsidRPr="00081366">
        <w:rPr>
          <w:rFonts w:cstheme="minorHAnsi"/>
          <w:b/>
          <w:i/>
        </w:rPr>
        <w:t>In what ways are governments (at any level) seeking to improve mental health by encouraging social participation and inclusion? What evidence is there that public investments in social participation and inclusion are delivering benefits that outweigh the costs?</w:t>
      </w:r>
      <w:r w:rsidR="00045F12" w:rsidRPr="00081366">
        <w:rPr>
          <w:rFonts w:cstheme="minorHAnsi"/>
          <w:b/>
          <w:i/>
        </w:rPr>
        <w:t xml:space="preserve"> What role do non-government organisations play in supporting mental health through social inclusion and participation, and what more should they do? Are there particular population sub-groups that are more at risk of mental ill-health due to inadequate social participation and inclusion? What, if anything, should be done to specifically target those groups? What indicators are most useful to monitor progress in improving</w:t>
      </w:r>
      <w:r w:rsidR="00045F12" w:rsidRPr="00DB17EB">
        <w:rPr>
          <w:rFonts w:cstheme="minorHAnsi"/>
          <w:b/>
          <w:i/>
        </w:rPr>
        <w:t xml:space="preserve"> mental health outcomes through improved social participation and inclusion?</w:t>
      </w:r>
    </w:p>
    <w:p w14:paraId="255F73A6" w14:textId="59E45EE6" w:rsidR="00045F12" w:rsidRPr="00DB17EB" w:rsidRDefault="00045F12" w:rsidP="00045F12">
      <w:pPr>
        <w:pStyle w:val="InformationRequestBullet"/>
        <w:numPr>
          <w:ilvl w:val="0"/>
          <w:numId w:val="0"/>
        </w:numPr>
        <w:spacing w:before="0" w:line="276" w:lineRule="auto"/>
        <w:rPr>
          <w:rFonts w:asciiTheme="minorHAnsi" w:hAnsiTheme="minorHAnsi" w:cstheme="minorHAnsi"/>
          <w:b/>
        </w:rPr>
      </w:pPr>
    </w:p>
    <w:p w14:paraId="3BCCFDF4" w14:textId="71AE754E" w:rsidR="009C2787" w:rsidRDefault="00D60CF0" w:rsidP="005D6DDB">
      <w:pPr>
        <w:pStyle w:val="InformationRequestBullet"/>
        <w:numPr>
          <w:ilvl w:val="0"/>
          <w:numId w:val="0"/>
        </w:numPr>
        <w:spacing w:before="0" w:line="276" w:lineRule="auto"/>
        <w:rPr>
          <w:rFonts w:asciiTheme="minorHAnsi" w:hAnsiTheme="minorHAnsi" w:cstheme="minorHAnsi"/>
          <w:i w:val="0"/>
        </w:rPr>
      </w:pPr>
      <w:r>
        <w:rPr>
          <w:rFonts w:asciiTheme="minorHAnsi" w:hAnsiTheme="minorHAnsi" w:cstheme="minorHAnsi"/>
          <w:i w:val="0"/>
        </w:rPr>
        <w:t xml:space="preserve">Isolation is an increasing concern for Victorians. </w:t>
      </w:r>
      <w:r w:rsidR="00A72EBC">
        <w:rPr>
          <w:rFonts w:asciiTheme="minorHAnsi" w:hAnsiTheme="minorHAnsi" w:cstheme="minorHAnsi"/>
          <w:i w:val="0"/>
        </w:rPr>
        <w:t>There is an increase in lone-</w:t>
      </w:r>
      <w:r w:rsidR="009C2787">
        <w:rPr>
          <w:rFonts w:asciiTheme="minorHAnsi" w:hAnsiTheme="minorHAnsi" w:cstheme="minorHAnsi"/>
          <w:i w:val="0"/>
        </w:rPr>
        <w:t>living</w:t>
      </w:r>
      <w:r w:rsidR="00A72EBC">
        <w:rPr>
          <w:rFonts w:asciiTheme="minorHAnsi" w:hAnsiTheme="minorHAnsi" w:cstheme="minorHAnsi"/>
          <w:i w:val="0"/>
        </w:rPr>
        <w:t>,</w:t>
      </w:r>
      <w:r w:rsidR="009C2787">
        <w:rPr>
          <w:rFonts w:asciiTheme="minorHAnsi" w:hAnsiTheme="minorHAnsi" w:cstheme="minorHAnsi"/>
          <w:i w:val="0"/>
        </w:rPr>
        <w:t xml:space="preserve"> single bedroom dwellings</w:t>
      </w:r>
      <w:r w:rsidR="00006CE6">
        <w:rPr>
          <w:rFonts w:asciiTheme="minorHAnsi" w:hAnsiTheme="minorHAnsi" w:cstheme="minorHAnsi"/>
          <w:i w:val="0"/>
        </w:rPr>
        <w:t xml:space="preserve"> and people working from home</w:t>
      </w:r>
      <w:r w:rsidR="009C2787">
        <w:rPr>
          <w:rFonts w:asciiTheme="minorHAnsi" w:hAnsiTheme="minorHAnsi" w:cstheme="minorHAnsi"/>
          <w:i w:val="0"/>
        </w:rPr>
        <w:t xml:space="preserve">. </w:t>
      </w:r>
      <w:r>
        <w:rPr>
          <w:rFonts w:asciiTheme="minorHAnsi" w:hAnsiTheme="minorHAnsi" w:cstheme="minorHAnsi"/>
          <w:i w:val="0"/>
        </w:rPr>
        <w:t xml:space="preserve">There </w:t>
      </w:r>
      <w:r w:rsidR="005D6DDB">
        <w:rPr>
          <w:rFonts w:asciiTheme="minorHAnsi" w:hAnsiTheme="minorHAnsi" w:cstheme="minorHAnsi"/>
          <w:i w:val="0"/>
        </w:rPr>
        <w:t xml:space="preserve">are </w:t>
      </w:r>
      <w:r>
        <w:rPr>
          <w:rFonts w:asciiTheme="minorHAnsi" w:hAnsiTheme="minorHAnsi" w:cstheme="minorHAnsi"/>
          <w:i w:val="0"/>
        </w:rPr>
        <w:t xml:space="preserve">less incidental </w:t>
      </w:r>
      <w:r w:rsidR="005D6DDB">
        <w:rPr>
          <w:rFonts w:asciiTheme="minorHAnsi" w:hAnsiTheme="minorHAnsi" w:cstheme="minorHAnsi"/>
          <w:i w:val="0"/>
        </w:rPr>
        <w:t xml:space="preserve">human </w:t>
      </w:r>
      <w:r>
        <w:rPr>
          <w:rFonts w:asciiTheme="minorHAnsi" w:hAnsiTheme="minorHAnsi" w:cstheme="minorHAnsi"/>
          <w:i w:val="0"/>
        </w:rPr>
        <w:t>interaction</w:t>
      </w:r>
      <w:r w:rsidR="005D6DDB">
        <w:rPr>
          <w:rFonts w:asciiTheme="minorHAnsi" w:hAnsiTheme="minorHAnsi" w:cstheme="minorHAnsi"/>
          <w:i w:val="0"/>
        </w:rPr>
        <w:t>s</w:t>
      </w:r>
      <w:r>
        <w:rPr>
          <w:rFonts w:asciiTheme="minorHAnsi" w:hAnsiTheme="minorHAnsi" w:cstheme="minorHAnsi"/>
          <w:i w:val="0"/>
        </w:rPr>
        <w:t xml:space="preserve"> with the introduction of technology; self-service at supermarkets, online banking, </w:t>
      </w:r>
      <w:r w:rsidR="009C2787">
        <w:rPr>
          <w:rFonts w:asciiTheme="minorHAnsi" w:hAnsiTheme="minorHAnsi" w:cstheme="minorHAnsi"/>
          <w:i w:val="0"/>
        </w:rPr>
        <w:t xml:space="preserve">online shopping, </w:t>
      </w:r>
      <w:r w:rsidR="005D6DDB">
        <w:rPr>
          <w:rFonts w:asciiTheme="minorHAnsi" w:hAnsiTheme="minorHAnsi" w:cstheme="minorHAnsi"/>
          <w:i w:val="0"/>
        </w:rPr>
        <w:t>and pre</w:t>
      </w:r>
      <w:r w:rsidR="009C2787">
        <w:rPr>
          <w:rFonts w:asciiTheme="minorHAnsi" w:hAnsiTheme="minorHAnsi" w:cstheme="minorHAnsi"/>
          <w:i w:val="0"/>
        </w:rPr>
        <w:t>-recorded phone message services and so on. Opportunities to meet like-minded people is challenging and usually requires financial resources, with increased living expenses social occasions are restricted</w:t>
      </w:r>
      <w:r w:rsidR="009C11EF">
        <w:rPr>
          <w:rFonts w:asciiTheme="minorHAnsi" w:hAnsiTheme="minorHAnsi" w:cstheme="minorHAnsi"/>
          <w:i w:val="0"/>
        </w:rPr>
        <w:t xml:space="preserve"> for </w:t>
      </w:r>
      <w:r w:rsidR="009C11EF">
        <w:rPr>
          <w:rFonts w:asciiTheme="minorHAnsi" w:hAnsiTheme="minorHAnsi" w:cstheme="minorHAnsi"/>
          <w:i w:val="0"/>
        </w:rPr>
        <w:lastRenderedPageBreak/>
        <w:t>many</w:t>
      </w:r>
      <w:r w:rsidR="009C2787">
        <w:rPr>
          <w:rFonts w:asciiTheme="minorHAnsi" w:hAnsiTheme="minorHAnsi" w:cstheme="minorHAnsi"/>
          <w:i w:val="0"/>
        </w:rPr>
        <w:t>, making it incredibly difficult for low</w:t>
      </w:r>
      <w:r w:rsidR="00A72EBC">
        <w:rPr>
          <w:rFonts w:asciiTheme="minorHAnsi" w:hAnsiTheme="minorHAnsi" w:cstheme="minorHAnsi"/>
          <w:i w:val="0"/>
        </w:rPr>
        <w:t>-</w:t>
      </w:r>
      <w:r w:rsidR="009C2787">
        <w:rPr>
          <w:rFonts w:asciiTheme="minorHAnsi" w:hAnsiTheme="minorHAnsi" w:cstheme="minorHAnsi"/>
          <w:i w:val="0"/>
        </w:rPr>
        <w:t>income and unemployed individuals. For particular sub</w:t>
      </w:r>
      <w:r w:rsidR="00A72EBC">
        <w:rPr>
          <w:rFonts w:asciiTheme="minorHAnsi" w:hAnsiTheme="minorHAnsi" w:cstheme="minorHAnsi"/>
          <w:i w:val="0"/>
        </w:rPr>
        <w:t>-</w:t>
      </w:r>
      <w:r w:rsidR="009C2787">
        <w:rPr>
          <w:rFonts w:asciiTheme="minorHAnsi" w:hAnsiTheme="minorHAnsi" w:cstheme="minorHAnsi"/>
          <w:i w:val="0"/>
        </w:rPr>
        <w:t>population groups</w:t>
      </w:r>
      <w:r w:rsidR="00A72EBC">
        <w:rPr>
          <w:rFonts w:asciiTheme="minorHAnsi" w:hAnsiTheme="minorHAnsi" w:cstheme="minorHAnsi"/>
          <w:i w:val="0"/>
        </w:rPr>
        <w:t>,</w:t>
      </w:r>
      <w:r w:rsidR="009C2787">
        <w:rPr>
          <w:rFonts w:asciiTheme="minorHAnsi" w:hAnsiTheme="minorHAnsi" w:cstheme="minorHAnsi"/>
          <w:i w:val="0"/>
        </w:rPr>
        <w:t xml:space="preserve"> different forms of discrimin</w:t>
      </w:r>
      <w:r w:rsidR="00A72EBC">
        <w:rPr>
          <w:rFonts w:asciiTheme="minorHAnsi" w:hAnsiTheme="minorHAnsi" w:cstheme="minorHAnsi"/>
          <w:i w:val="0"/>
        </w:rPr>
        <w:t>ation are key barriers to engaging</w:t>
      </w:r>
      <w:r w:rsidR="009C2787">
        <w:rPr>
          <w:rFonts w:asciiTheme="minorHAnsi" w:hAnsiTheme="minorHAnsi" w:cstheme="minorHAnsi"/>
          <w:i w:val="0"/>
        </w:rPr>
        <w:t xml:space="preserve"> in social groups and social settings, for example (but not limited to) whee</w:t>
      </w:r>
      <w:r w:rsidR="00A72EBC">
        <w:rPr>
          <w:rFonts w:asciiTheme="minorHAnsi" w:hAnsiTheme="minorHAnsi" w:cstheme="minorHAnsi"/>
          <w:i w:val="0"/>
        </w:rPr>
        <w:t>lchair accessible venues, noise-</w:t>
      </w:r>
      <w:r w:rsidR="009C2787">
        <w:rPr>
          <w:rFonts w:asciiTheme="minorHAnsi" w:hAnsiTheme="minorHAnsi" w:cstheme="minorHAnsi"/>
          <w:i w:val="0"/>
        </w:rPr>
        <w:t>restricted venues, welcoming and safe venues for Aboriginal and Torres Strait Islander people, people from refugee or asylum seeker backgrounds and people who are sexual and gender diverse.</w:t>
      </w:r>
    </w:p>
    <w:p w14:paraId="0F26A71D" w14:textId="3AB7FA87" w:rsidR="00121656" w:rsidRDefault="00121656" w:rsidP="005D6DDB">
      <w:pPr>
        <w:pStyle w:val="BodyText"/>
        <w:spacing w:after="0" w:line="276" w:lineRule="auto"/>
        <w:jc w:val="both"/>
        <w:rPr>
          <w:lang w:eastAsia="en-AU"/>
        </w:rPr>
      </w:pPr>
    </w:p>
    <w:p w14:paraId="7A32E9F7" w14:textId="379696B7" w:rsidR="00121656" w:rsidRPr="005D6DDB" w:rsidRDefault="00004594" w:rsidP="00EF27A0">
      <w:pPr>
        <w:pStyle w:val="BodyText"/>
        <w:spacing w:after="0" w:line="276" w:lineRule="auto"/>
        <w:jc w:val="both"/>
        <w:rPr>
          <w:lang w:eastAsia="en-AU"/>
        </w:rPr>
      </w:pPr>
      <w:r>
        <w:rPr>
          <w:lang w:eastAsia="en-AU"/>
        </w:rPr>
        <w:t>Cross-cultural training is effective in increasing knowledge, changing the narrative and community attitudes, empowering those who have not traditionally had a voice, nurtures empathy and understanding and can lead to behaviour and systemic changes. A</w:t>
      </w:r>
      <w:r w:rsidR="00F0534B">
        <w:rPr>
          <w:lang w:eastAsia="en-AU"/>
        </w:rPr>
        <w:t>boriginal and Torres Strait Islander</w:t>
      </w:r>
      <w:r w:rsidR="00F0534B" w:rsidRPr="005D6DDB">
        <w:rPr>
          <w:lang w:eastAsia="en-AU"/>
        </w:rPr>
        <w:t xml:space="preserve"> </w:t>
      </w:r>
      <w:r w:rsidR="00F0534B">
        <w:rPr>
          <w:lang w:eastAsia="en-AU"/>
        </w:rPr>
        <w:t>c</w:t>
      </w:r>
      <w:r w:rsidR="00121656" w:rsidRPr="005D6DDB">
        <w:rPr>
          <w:lang w:eastAsia="en-AU"/>
        </w:rPr>
        <w:t>ultural awareness training is delivered in many work places but not all</w:t>
      </w:r>
      <w:r w:rsidR="006B702D">
        <w:rPr>
          <w:lang w:eastAsia="en-AU"/>
        </w:rPr>
        <w:t>,</w:t>
      </w:r>
      <w:r w:rsidR="00121656" w:rsidRPr="005D6DDB">
        <w:rPr>
          <w:lang w:eastAsia="en-AU"/>
        </w:rPr>
        <w:t xml:space="preserve"> and in some organisations it is not mandated. Increasing knowledge and celebrating Aboriginal and Torres Strait Islander people and their culture as </w:t>
      </w:r>
      <w:r w:rsidR="00FB71A2">
        <w:rPr>
          <w:lang w:eastAsia="en-AU"/>
        </w:rPr>
        <w:t xml:space="preserve">our </w:t>
      </w:r>
      <w:r w:rsidR="00121656" w:rsidRPr="005D6DDB">
        <w:rPr>
          <w:lang w:eastAsia="en-AU"/>
        </w:rPr>
        <w:t xml:space="preserve">First </w:t>
      </w:r>
      <w:r w:rsidR="00FB71A2">
        <w:rPr>
          <w:lang w:eastAsia="en-AU"/>
        </w:rPr>
        <w:t xml:space="preserve">Nations </w:t>
      </w:r>
      <w:r w:rsidR="00121656" w:rsidRPr="005D6DDB">
        <w:rPr>
          <w:lang w:eastAsia="en-AU"/>
        </w:rPr>
        <w:t xml:space="preserve">People is important to building a foundation of </w:t>
      </w:r>
      <w:r w:rsidR="006B702D">
        <w:rPr>
          <w:lang w:eastAsia="en-AU"/>
        </w:rPr>
        <w:t>social responsibility and tolerance</w:t>
      </w:r>
      <w:r w:rsidR="00A72EBC">
        <w:rPr>
          <w:lang w:eastAsia="en-AU"/>
        </w:rPr>
        <w:t>,</w:t>
      </w:r>
      <w:r w:rsidR="00F0534B">
        <w:rPr>
          <w:lang w:eastAsia="en-AU"/>
        </w:rPr>
        <w:t xml:space="preserve"> and critical to clos</w:t>
      </w:r>
      <w:r w:rsidR="00BE0951">
        <w:rPr>
          <w:lang w:eastAsia="en-AU"/>
        </w:rPr>
        <w:t>ing</w:t>
      </w:r>
      <w:r w:rsidR="00F0534B">
        <w:rPr>
          <w:lang w:eastAsia="en-AU"/>
        </w:rPr>
        <w:t xml:space="preserve"> the gap between First Australians and other Australians.</w:t>
      </w:r>
      <w:r w:rsidR="00F62DDE">
        <w:rPr>
          <w:lang w:eastAsia="en-AU"/>
        </w:rPr>
        <w:t xml:space="preserve"> </w:t>
      </w:r>
      <w:r w:rsidR="00EF27A0">
        <w:rPr>
          <w:lang w:eastAsia="en-AU"/>
        </w:rPr>
        <w:t xml:space="preserve">Better recognition of First Australians and their culture within Victoria can be achieved. For example, changing road </w:t>
      </w:r>
      <w:r w:rsidR="00930086">
        <w:rPr>
          <w:lang w:eastAsia="en-AU"/>
        </w:rPr>
        <w:t xml:space="preserve">and public </w:t>
      </w:r>
      <w:r w:rsidR="00EF27A0">
        <w:rPr>
          <w:lang w:eastAsia="en-AU"/>
        </w:rPr>
        <w:t>signs to include the traditional name in local Aboriginal language</w:t>
      </w:r>
      <w:r w:rsidR="00930086">
        <w:rPr>
          <w:lang w:eastAsia="en-AU"/>
        </w:rPr>
        <w:t xml:space="preserve"> alongside the English name. Unless the culture is overtly visible </w:t>
      </w:r>
      <w:r w:rsidR="00E54C3B">
        <w:rPr>
          <w:lang w:eastAsia="en-AU"/>
        </w:rPr>
        <w:t xml:space="preserve">in everyday living </w:t>
      </w:r>
      <w:r w:rsidR="00930086">
        <w:rPr>
          <w:lang w:eastAsia="en-AU"/>
        </w:rPr>
        <w:t xml:space="preserve">and appropriate recognition and value is shown </w:t>
      </w:r>
      <w:r w:rsidR="00E54C3B">
        <w:rPr>
          <w:lang w:eastAsia="en-AU"/>
        </w:rPr>
        <w:t>the gap will remain.</w:t>
      </w:r>
    </w:p>
    <w:p w14:paraId="4419F532" w14:textId="70864D48" w:rsidR="00121656" w:rsidRPr="005D6DDB" w:rsidRDefault="00121656" w:rsidP="005D6DDB">
      <w:pPr>
        <w:pStyle w:val="BodyText"/>
        <w:spacing w:after="0" w:line="276" w:lineRule="auto"/>
        <w:jc w:val="both"/>
        <w:rPr>
          <w:lang w:eastAsia="en-AU"/>
        </w:rPr>
      </w:pPr>
    </w:p>
    <w:p w14:paraId="0A806B8A" w14:textId="69ACFF3A" w:rsidR="0016039B" w:rsidRDefault="0016039B" w:rsidP="005D6DDB">
      <w:pPr>
        <w:pStyle w:val="BodyText"/>
        <w:spacing w:after="0" w:line="276" w:lineRule="auto"/>
        <w:jc w:val="both"/>
        <w:rPr>
          <w:lang w:eastAsia="en-AU"/>
        </w:rPr>
      </w:pPr>
      <w:r>
        <w:rPr>
          <w:lang w:eastAsia="en-AU"/>
        </w:rPr>
        <w:t xml:space="preserve">Opportunities to participate in extra-curricular activities is a privilege that </w:t>
      </w:r>
      <w:r w:rsidR="000070A5">
        <w:rPr>
          <w:lang w:eastAsia="en-AU"/>
        </w:rPr>
        <w:t>some</w:t>
      </w:r>
      <w:r>
        <w:rPr>
          <w:lang w:eastAsia="en-AU"/>
        </w:rPr>
        <w:t xml:space="preserve"> but not all can access. </w:t>
      </w:r>
      <w:r w:rsidR="000070A5">
        <w:rPr>
          <w:lang w:eastAsia="en-AU"/>
        </w:rPr>
        <w:t>This problem in itself is complex, and affects people differently, until we understand these complexities we are unable to collectively solve and reduce the barriers that exist.</w:t>
      </w:r>
    </w:p>
    <w:p w14:paraId="29ED3360" w14:textId="77777777" w:rsidR="006B36B2" w:rsidRDefault="006B36B2" w:rsidP="005D6DDB">
      <w:pPr>
        <w:pStyle w:val="BodyText"/>
        <w:spacing w:after="0" w:line="276" w:lineRule="auto"/>
        <w:jc w:val="both"/>
        <w:rPr>
          <w:lang w:eastAsia="en-AU"/>
        </w:rPr>
      </w:pPr>
    </w:p>
    <w:p w14:paraId="7692933E" w14:textId="7DEF3DFE" w:rsidR="009C2787" w:rsidRPr="009C2787" w:rsidRDefault="009C2787" w:rsidP="005D6DDB">
      <w:pPr>
        <w:pStyle w:val="BodyText"/>
        <w:spacing w:after="0" w:line="276" w:lineRule="auto"/>
        <w:jc w:val="both"/>
        <w:rPr>
          <w:lang w:eastAsia="en-AU"/>
        </w:rPr>
      </w:pPr>
      <w:r>
        <w:rPr>
          <w:lang w:eastAsia="en-AU"/>
        </w:rPr>
        <w:t xml:space="preserve">Monitoring </w:t>
      </w:r>
      <w:r w:rsidR="006E7D7A">
        <w:rPr>
          <w:lang w:eastAsia="en-AU"/>
        </w:rPr>
        <w:t>improvements in</w:t>
      </w:r>
      <w:r>
        <w:rPr>
          <w:lang w:eastAsia="en-AU"/>
        </w:rPr>
        <w:t xml:space="preserve"> mental health outcomes</w:t>
      </w:r>
      <w:r w:rsidR="006E7D7A">
        <w:rPr>
          <w:lang w:eastAsia="en-AU"/>
        </w:rPr>
        <w:t xml:space="preserve"> for the community</w:t>
      </w:r>
      <w:r w:rsidR="00006CE6">
        <w:rPr>
          <w:lang w:eastAsia="en-AU"/>
        </w:rPr>
        <w:t xml:space="preserve"> requires identifying what is important </w:t>
      </w:r>
      <w:r w:rsidR="006E7D7A">
        <w:rPr>
          <w:lang w:eastAsia="en-AU"/>
        </w:rPr>
        <w:t>to the community, what do they identify as measures of success and what improves their social participation and inclusion. For many feeling like a human is key, access to housing, sanitation, food, education, employment and transport. Having pride and self-worth, the resources to participate in the community and feeling valued sustains individuals to function and engage in social interactions.</w:t>
      </w:r>
    </w:p>
    <w:p w14:paraId="10446187" w14:textId="77777777" w:rsidR="00D60CF0" w:rsidRDefault="00D60CF0" w:rsidP="005D6DDB">
      <w:pPr>
        <w:pStyle w:val="InformationRequestBullet"/>
        <w:numPr>
          <w:ilvl w:val="0"/>
          <w:numId w:val="0"/>
        </w:numPr>
        <w:spacing w:before="0" w:line="276" w:lineRule="auto"/>
        <w:rPr>
          <w:rFonts w:asciiTheme="minorHAnsi" w:hAnsiTheme="minorHAnsi" w:cstheme="minorHAnsi"/>
          <w:i w:val="0"/>
        </w:rPr>
      </w:pPr>
    </w:p>
    <w:p w14:paraId="313BC1A7" w14:textId="777958AD" w:rsidR="000E3333" w:rsidRDefault="000E3333" w:rsidP="005D6DDB">
      <w:pPr>
        <w:pStyle w:val="InformationRequestBullet"/>
        <w:numPr>
          <w:ilvl w:val="0"/>
          <w:numId w:val="0"/>
        </w:numPr>
        <w:spacing w:before="0" w:line="276" w:lineRule="auto"/>
        <w:rPr>
          <w:rFonts w:asciiTheme="minorHAnsi" w:hAnsiTheme="minorHAnsi" w:cstheme="minorHAnsi"/>
          <w:i w:val="0"/>
        </w:rPr>
      </w:pPr>
      <w:r>
        <w:rPr>
          <w:rFonts w:asciiTheme="minorHAnsi" w:hAnsiTheme="minorHAnsi" w:cstheme="minorHAnsi"/>
          <w:i w:val="0"/>
        </w:rPr>
        <w:t xml:space="preserve">Connect Health </w:t>
      </w:r>
      <w:r w:rsidR="00C8320B">
        <w:rPr>
          <w:rFonts w:asciiTheme="minorHAnsi" w:hAnsiTheme="minorHAnsi" w:cstheme="minorHAnsi"/>
          <w:i w:val="0"/>
        </w:rPr>
        <w:t xml:space="preserve">&amp; Community </w:t>
      </w:r>
      <w:r>
        <w:rPr>
          <w:rFonts w:asciiTheme="minorHAnsi" w:hAnsiTheme="minorHAnsi" w:cstheme="minorHAnsi"/>
          <w:i w:val="0"/>
        </w:rPr>
        <w:t xml:space="preserve">provide </w:t>
      </w:r>
      <w:r w:rsidR="00A52804">
        <w:rPr>
          <w:rFonts w:asciiTheme="minorHAnsi" w:hAnsiTheme="minorHAnsi" w:cstheme="minorHAnsi"/>
          <w:i w:val="0"/>
        </w:rPr>
        <w:t>a number of social programs to the community</w:t>
      </w:r>
      <w:r w:rsidR="002C393B">
        <w:rPr>
          <w:rFonts w:asciiTheme="minorHAnsi" w:hAnsiTheme="minorHAnsi" w:cstheme="minorHAnsi"/>
          <w:i w:val="0"/>
        </w:rPr>
        <w:t xml:space="preserve"> to support those older adults in need of social connection and younger people with a disability. Support, in a similar way, for those people needing to maintain social connections due to their mental wellbeing vulnerabilities is sorely needed. Accessing such groups within a community organisation like Connect Health </w:t>
      </w:r>
      <w:r w:rsidR="00C8320B">
        <w:rPr>
          <w:rFonts w:asciiTheme="minorHAnsi" w:hAnsiTheme="minorHAnsi" w:cstheme="minorHAnsi"/>
          <w:i w:val="0"/>
        </w:rPr>
        <w:t xml:space="preserve">&amp; Community </w:t>
      </w:r>
      <w:r w:rsidR="002C393B">
        <w:rPr>
          <w:rFonts w:asciiTheme="minorHAnsi" w:hAnsiTheme="minorHAnsi" w:cstheme="minorHAnsi"/>
          <w:i w:val="0"/>
        </w:rPr>
        <w:t xml:space="preserve">offers convenience for the client, as it means that there services are all in one place. We also host a specialised playgroup for families of whose connections to their young children are compromised in some way. Specialised playgroups, such as these, where one on one support can also be offered to carers and </w:t>
      </w:r>
      <w:r w:rsidR="001A0F0B">
        <w:rPr>
          <w:rFonts w:asciiTheme="minorHAnsi" w:hAnsiTheme="minorHAnsi" w:cstheme="minorHAnsi"/>
          <w:i w:val="0"/>
        </w:rPr>
        <w:t>family’s</w:t>
      </w:r>
      <w:r w:rsidR="002C393B">
        <w:rPr>
          <w:rFonts w:asciiTheme="minorHAnsi" w:hAnsiTheme="minorHAnsi" w:cstheme="minorHAnsi"/>
          <w:i w:val="0"/>
        </w:rPr>
        <w:t xml:space="preserve"> means that individual mental health recovery is supported in the context of one’s family and community systems.</w:t>
      </w:r>
    </w:p>
    <w:p w14:paraId="576E253B" w14:textId="43CB609A" w:rsidR="000E3333" w:rsidRDefault="000E3333" w:rsidP="005D6DDB">
      <w:pPr>
        <w:pStyle w:val="InformationRequestBullet"/>
        <w:numPr>
          <w:ilvl w:val="0"/>
          <w:numId w:val="0"/>
        </w:numPr>
        <w:spacing w:before="0" w:line="276" w:lineRule="auto"/>
        <w:rPr>
          <w:rFonts w:asciiTheme="minorHAnsi" w:hAnsiTheme="minorHAnsi" w:cstheme="minorHAnsi"/>
          <w:i w:val="0"/>
        </w:rPr>
      </w:pPr>
    </w:p>
    <w:p w14:paraId="6C45DAAB" w14:textId="696EC224" w:rsidR="00004594" w:rsidRPr="00004594" w:rsidRDefault="00004594" w:rsidP="00004594">
      <w:pPr>
        <w:pStyle w:val="BodyText"/>
        <w:spacing w:after="0" w:line="276" w:lineRule="auto"/>
        <w:rPr>
          <w:i/>
          <w:lang w:eastAsia="en-AU"/>
        </w:rPr>
      </w:pPr>
      <w:r w:rsidRPr="00004594">
        <w:rPr>
          <w:i/>
          <w:lang w:eastAsia="en-AU"/>
        </w:rPr>
        <w:t>Case study</w:t>
      </w:r>
      <w:r w:rsidR="00BE0951">
        <w:rPr>
          <w:i/>
          <w:lang w:eastAsia="en-AU"/>
        </w:rPr>
        <w:t xml:space="preserve"> </w:t>
      </w:r>
      <w:r w:rsidR="00D870E6">
        <w:rPr>
          <w:i/>
          <w:lang w:eastAsia="en-AU"/>
        </w:rPr>
        <w:t>three</w:t>
      </w:r>
    </w:p>
    <w:p w14:paraId="64A48BCC" w14:textId="3F694787" w:rsidR="00045F12" w:rsidRPr="00CB0531" w:rsidRDefault="00CB0531" w:rsidP="005D6DDB">
      <w:pPr>
        <w:pStyle w:val="InformationRequestBullet"/>
        <w:numPr>
          <w:ilvl w:val="0"/>
          <w:numId w:val="0"/>
        </w:numPr>
        <w:spacing w:before="0" w:line="276" w:lineRule="auto"/>
        <w:rPr>
          <w:rFonts w:asciiTheme="minorHAnsi" w:hAnsiTheme="minorHAnsi" w:cstheme="minorHAnsi"/>
          <w:i w:val="0"/>
        </w:rPr>
      </w:pPr>
      <w:r w:rsidRPr="00CB0531">
        <w:rPr>
          <w:rFonts w:asciiTheme="minorHAnsi" w:hAnsiTheme="minorHAnsi" w:cstheme="minorHAnsi"/>
          <w:i w:val="0"/>
        </w:rPr>
        <w:t>Connec</w:t>
      </w:r>
      <w:r>
        <w:rPr>
          <w:rFonts w:asciiTheme="minorHAnsi" w:hAnsiTheme="minorHAnsi" w:cstheme="minorHAnsi"/>
          <w:i w:val="0"/>
        </w:rPr>
        <w:t>t Health</w:t>
      </w:r>
      <w:r w:rsidR="001A0F0B">
        <w:rPr>
          <w:rFonts w:asciiTheme="minorHAnsi" w:hAnsiTheme="minorHAnsi" w:cstheme="minorHAnsi"/>
          <w:i w:val="0"/>
        </w:rPr>
        <w:t xml:space="preserve"> &amp; Community has</w:t>
      </w:r>
      <w:r>
        <w:rPr>
          <w:rFonts w:asciiTheme="minorHAnsi" w:hAnsiTheme="minorHAnsi" w:cstheme="minorHAnsi"/>
          <w:i w:val="0"/>
        </w:rPr>
        <w:t xml:space="preserve"> been delivering </w:t>
      </w:r>
      <w:r w:rsidR="001A0F0B">
        <w:rPr>
          <w:rFonts w:asciiTheme="minorHAnsi" w:hAnsiTheme="minorHAnsi" w:cstheme="minorHAnsi"/>
          <w:i w:val="0"/>
        </w:rPr>
        <w:t xml:space="preserve">a walking group for the past ten years, </w:t>
      </w:r>
      <w:r>
        <w:rPr>
          <w:rFonts w:asciiTheme="minorHAnsi" w:hAnsiTheme="minorHAnsi" w:cstheme="minorHAnsi"/>
          <w:i w:val="0"/>
        </w:rPr>
        <w:t>in partnership with Kingston City Council, Westfield, Kingston Active and Central Bayside Community Health</w:t>
      </w:r>
      <w:r w:rsidR="00C8320B">
        <w:rPr>
          <w:rFonts w:asciiTheme="minorHAnsi" w:hAnsiTheme="minorHAnsi" w:cstheme="minorHAnsi"/>
          <w:i w:val="0"/>
        </w:rPr>
        <w:t xml:space="preserve"> Services</w:t>
      </w:r>
      <w:r>
        <w:rPr>
          <w:rFonts w:asciiTheme="minorHAnsi" w:hAnsiTheme="minorHAnsi" w:cstheme="minorHAnsi"/>
          <w:i w:val="0"/>
        </w:rPr>
        <w:t xml:space="preserve">. The participants are older adults who have reported </w:t>
      </w:r>
      <w:r w:rsidR="001A0F0B">
        <w:rPr>
          <w:rFonts w:asciiTheme="minorHAnsi" w:hAnsiTheme="minorHAnsi" w:cstheme="minorHAnsi"/>
          <w:i w:val="0"/>
        </w:rPr>
        <w:t xml:space="preserve">that </w:t>
      </w:r>
      <w:r>
        <w:rPr>
          <w:rFonts w:asciiTheme="minorHAnsi" w:hAnsiTheme="minorHAnsi" w:cstheme="minorHAnsi"/>
          <w:i w:val="0"/>
        </w:rPr>
        <w:t>social connections are the main benefit they receive from the activity. Sustainability of this group is challenging, the fiscal environment has hindered the ability of Westfield to continue to fund the activity for the past two years.</w:t>
      </w:r>
      <w:r w:rsidR="00A52804">
        <w:rPr>
          <w:rFonts w:asciiTheme="minorHAnsi" w:hAnsiTheme="minorHAnsi" w:cstheme="minorHAnsi"/>
          <w:i w:val="0"/>
        </w:rPr>
        <w:t xml:space="preserve"> There are approximately </w:t>
      </w:r>
      <w:r w:rsidR="00004594">
        <w:rPr>
          <w:rFonts w:asciiTheme="minorHAnsi" w:hAnsiTheme="minorHAnsi" w:cstheme="minorHAnsi"/>
          <w:i w:val="0"/>
        </w:rPr>
        <w:t xml:space="preserve">30-40 </w:t>
      </w:r>
      <w:r>
        <w:rPr>
          <w:rFonts w:asciiTheme="minorHAnsi" w:hAnsiTheme="minorHAnsi" w:cstheme="minorHAnsi"/>
          <w:i w:val="0"/>
        </w:rPr>
        <w:t xml:space="preserve">people </w:t>
      </w:r>
      <w:r w:rsidR="00004594">
        <w:rPr>
          <w:rFonts w:asciiTheme="minorHAnsi" w:hAnsiTheme="minorHAnsi" w:cstheme="minorHAnsi"/>
          <w:i w:val="0"/>
        </w:rPr>
        <w:t xml:space="preserve">in each walking group, </w:t>
      </w:r>
      <w:r>
        <w:rPr>
          <w:rFonts w:asciiTheme="minorHAnsi" w:hAnsiTheme="minorHAnsi" w:cstheme="minorHAnsi"/>
          <w:i w:val="0"/>
        </w:rPr>
        <w:t xml:space="preserve">who regularly benefit from this </w:t>
      </w:r>
      <w:r w:rsidR="00A52804">
        <w:rPr>
          <w:rFonts w:asciiTheme="minorHAnsi" w:hAnsiTheme="minorHAnsi" w:cstheme="minorHAnsi"/>
          <w:i w:val="0"/>
        </w:rPr>
        <w:t>week</w:t>
      </w:r>
      <w:r w:rsidR="00004594">
        <w:rPr>
          <w:rFonts w:asciiTheme="minorHAnsi" w:hAnsiTheme="minorHAnsi" w:cstheme="minorHAnsi"/>
          <w:i w:val="0"/>
        </w:rPr>
        <w:t>ly walk</w:t>
      </w:r>
      <w:r>
        <w:rPr>
          <w:rFonts w:asciiTheme="minorHAnsi" w:hAnsiTheme="minorHAnsi" w:cstheme="minorHAnsi"/>
          <w:i w:val="0"/>
        </w:rPr>
        <w:t xml:space="preserve">. In a recent survey of 41 participants, 88% reported social connection and making friends was the main benefit, 24% reported that the walking group is the only organised group they participate in and 93% reported that in the past 12 </w:t>
      </w:r>
      <w:r>
        <w:rPr>
          <w:rFonts w:asciiTheme="minorHAnsi" w:hAnsiTheme="minorHAnsi" w:cstheme="minorHAnsi"/>
          <w:i w:val="0"/>
        </w:rPr>
        <w:lastRenderedPageBreak/>
        <w:t>months they have had no falls</w:t>
      </w:r>
      <w:r w:rsidR="001A0F0B">
        <w:rPr>
          <w:rFonts w:asciiTheme="minorHAnsi" w:hAnsiTheme="minorHAnsi" w:cstheme="minorHAnsi"/>
          <w:i w:val="0"/>
        </w:rPr>
        <w:t xml:space="preserve"> as a result of participating in the activity</w:t>
      </w:r>
      <w:r>
        <w:rPr>
          <w:rFonts w:asciiTheme="minorHAnsi" w:hAnsiTheme="minorHAnsi" w:cstheme="minorHAnsi"/>
          <w:i w:val="0"/>
        </w:rPr>
        <w:t>.</w:t>
      </w:r>
      <w:r w:rsidR="00A52804">
        <w:rPr>
          <w:rFonts w:asciiTheme="minorHAnsi" w:hAnsiTheme="minorHAnsi" w:cstheme="minorHAnsi"/>
          <w:i w:val="0"/>
        </w:rPr>
        <w:t xml:space="preserve"> The program costs approximately $5.00 per person per walk,</w:t>
      </w:r>
      <w:r w:rsidR="00004594">
        <w:rPr>
          <w:rFonts w:asciiTheme="minorHAnsi" w:hAnsiTheme="minorHAnsi" w:cstheme="minorHAnsi"/>
          <w:i w:val="0"/>
        </w:rPr>
        <w:t xml:space="preserve"> </w:t>
      </w:r>
      <w:r w:rsidR="00A52804">
        <w:rPr>
          <w:rFonts w:asciiTheme="minorHAnsi" w:hAnsiTheme="minorHAnsi" w:cstheme="minorHAnsi"/>
          <w:i w:val="0"/>
        </w:rPr>
        <w:t>there will be 88 walks delivered this year by a trained and experienced fitness instructor</w:t>
      </w:r>
      <w:r w:rsidR="00004594">
        <w:rPr>
          <w:rFonts w:asciiTheme="minorHAnsi" w:hAnsiTheme="minorHAnsi" w:cstheme="minorHAnsi"/>
          <w:i w:val="0"/>
        </w:rPr>
        <w:t xml:space="preserve"> who also provides stretches and exercises along the walk</w:t>
      </w:r>
      <w:r w:rsidR="00A52804">
        <w:rPr>
          <w:rFonts w:asciiTheme="minorHAnsi" w:hAnsiTheme="minorHAnsi" w:cstheme="minorHAnsi"/>
          <w:i w:val="0"/>
        </w:rPr>
        <w:t>.</w:t>
      </w:r>
    </w:p>
    <w:p w14:paraId="1CD3A0AE" w14:textId="77777777" w:rsidR="00B17827" w:rsidRPr="008741C7" w:rsidRDefault="00B17827" w:rsidP="005D6DDB">
      <w:pPr>
        <w:spacing w:after="0" w:line="276" w:lineRule="auto"/>
        <w:jc w:val="both"/>
        <w:rPr>
          <w:rFonts w:cstheme="minorHAnsi"/>
          <w:b/>
        </w:rPr>
      </w:pPr>
    </w:p>
    <w:p w14:paraId="523429A9" w14:textId="77777777" w:rsidR="001F09D4" w:rsidRPr="008741C7" w:rsidRDefault="001F09D4" w:rsidP="008741C7">
      <w:pPr>
        <w:spacing w:after="0" w:line="276" w:lineRule="auto"/>
        <w:jc w:val="both"/>
        <w:rPr>
          <w:rFonts w:cstheme="minorHAnsi"/>
          <w:b/>
          <w:sz w:val="28"/>
        </w:rPr>
      </w:pPr>
      <w:r w:rsidRPr="008741C7">
        <w:rPr>
          <w:rFonts w:cstheme="minorHAnsi"/>
          <w:b/>
          <w:sz w:val="28"/>
        </w:rPr>
        <w:t>Child Safety</w:t>
      </w:r>
    </w:p>
    <w:p w14:paraId="362F2365" w14:textId="77777777" w:rsidR="00EA24E6" w:rsidRPr="00DB17EB" w:rsidRDefault="00EA24E6" w:rsidP="008741C7">
      <w:pPr>
        <w:pStyle w:val="InformationRequestBullet"/>
        <w:numPr>
          <w:ilvl w:val="0"/>
          <w:numId w:val="0"/>
        </w:numPr>
        <w:spacing w:before="0" w:line="276" w:lineRule="auto"/>
        <w:rPr>
          <w:rFonts w:asciiTheme="minorHAnsi" w:hAnsiTheme="minorHAnsi" w:cstheme="minorHAnsi"/>
          <w:b/>
        </w:rPr>
      </w:pPr>
      <w:r w:rsidRPr="00DB17EB">
        <w:rPr>
          <w:rFonts w:asciiTheme="minorHAnsi" w:hAnsiTheme="minorHAnsi" w:cstheme="minorHAnsi"/>
          <w:b/>
        </w:rPr>
        <w:t>What aspects of the child protection programs administered by the Australian, State and Territory Governments are the most effective in improving the mental health of people in contact with the child protection system?</w:t>
      </w:r>
    </w:p>
    <w:p w14:paraId="496D9BDA" w14:textId="250BEFA2" w:rsidR="001F09D4" w:rsidRPr="00DB17EB" w:rsidRDefault="00EA24E6" w:rsidP="008741C7">
      <w:pPr>
        <w:spacing w:after="0" w:line="276" w:lineRule="auto"/>
        <w:jc w:val="both"/>
        <w:rPr>
          <w:rFonts w:cstheme="minorHAnsi"/>
          <w:b/>
          <w:i/>
        </w:rPr>
      </w:pPr>
      <w:r w:rsidRPr="00DB17EB">
        <w:rPr>
          <w:rFonts w:cstheme="minorHAnsi"/>
          <w:b/>
          <w:i/>
        </w:rPr>
        <w:t>What, if any, alternative approaches to child protection would achieve better mental health outcomes?</w:t>
      </w:r>
    </w:p>
    <w:p w14:paraId="6DDF6CD8" w14:textId="77777777" w:rsidR="0074261F" w:rsidRDefault="0074261F" w:rsidP="001B5C0D">
      <w:pPr>
        <w:spacing w:after="0" w:line="276" w:lineRule="auto"/>
        <w:jc w:val="both"/>
        <w:rPr>
          <w:rFonts w:cstheme="minorHAnsi"/>
        </w:rPr>
      </w:pPr>
    </w:p>
    <w:p w14:paraId="7963D501" w14:textId="6594B42D" w:rsidR="00941071" w:rsidRPr="001B5C0D" w:rsidRDefault="00941071" w:rsidP="001B5C0D">
      <w:pPr>
        <w:spacing w:after="0" w:line="276" w:lineRule="auto"/>
        <w:jc w:val="both"/>
        <w:rPr>
          <w:rFonts w:cstheme="minorHAnsi"/>
        </w:rPr>
      </w:pPr>
      <w:r w:rsidRPr="001B5C0D">
        <w:rPr>
          <w:rFonts w:cstheme="minorHAnsi"/>
        </w:rPr>
        <w:t>Interface between mental health services and child protection and those services directly referred to by Child Protection need to be designed with flexibility and adaptability in mind, to cater for differing client needs. For example</w:t>
      </w:r>
      <w:r w:rsidR="001B5C0D">
        <w:rPr>
          <w:rFonts w:cstheme="minorHAnsi"/>
        </w:rPr>
        <w:t>,</w:t>
      </w:r>
      <w:r w:rsidRPr="001B5C0D">
        <w:rPr>
          <w:rFonts w:cstheme="minorHAnsi"/>
        </w:rPr>
        <w:t xml:space="preserve"> those services striving for targets under short to mid-term funding close cases prematurely to attain funding targets rather than support client goals. </w:t>
      </w:r>
      <w:r w:rsidR="00946433">
        <w:rPr>
          <w:rFonts w:cstheme="minorHAnsi"/>
        </w:rPr>
        <w:t>The i</w:t>
      </w:r>
      <w:r w:rsidR="00946433" w:rsidRPr="001B5C0D">
        <w:rPr>
          <w:rFonts w:cstheme="minorHAnsi"/>
        </w:rPr>
        <w:t xml:space="preserve">ntegrated family </w:t>
      </w:r>
      <w:r w:rsidR="00946433">
        <w:rPr>
          <w:rFonts w:cstheme="minorHAnsi"/>
        </w:rPr>
        <w:t>s</w:t>
      </w:r>
      <w:r w:rsidR="00946433" w:rsidRPr="001B5C0D">
        <w:rPr>
          <w:rFonts w:cstheme="minorHAnsi"/>
        </w:rPr>
        <w:t xml:space="preserve">ervices </w:t>
      </w:r>
      <w:r w:rsidR="00946433">
        <w:rPr>
          <w:rFonts w:cstheme="minorHAnsi"/>
        </w:rPr>
        <w:t xml:space="preserve">at </w:t>
      </w:r>
      <w:r w:rsidR="001B5C0D">
        <w:rPr>
          <w:rFonts w:cstheme="minorHAnsi"/>
        </w:rPr>
        <w:t>Connect Health</w:t>
      </w:r>
      <w:r w:rsidR="001A0F0B">
        <w:rPr>
          <w:rFonts w:cstheme="minorHAnsi"/>
        </w:rPr>
        <w:t xml:space="preserve"> &amp; Community</w:t>
      </w:r>
      <w:r w:rsidR="001B5C0D">
        <w:rPr>
          <w:rFonts w:cstheme="minorHAnsi"/>
        </w:rPr>
        <w:t xml:space="preserve"> </w:t>
      </w:r>
      <w:r w:rsidRPr="001B5C0D">
        <w:rPr>
          <w:rFonts w:cstheme="minorHAnsi"/>
        </w:rPr>
        <w:t xml:space="preserve">are funded to complete short term intervention but complexities </w:t>
      </w:r>
      <w:r w:rsidR="00946433">
        <w:rPr>
          <w:rFonts w:cstheme="minorHAnsi"/>
        </w:rPr>
        <w:t xml:space="preserve">of the </w:t>
      </w:r>
      <w:r w:rsidRPr="001B5C0D">
        <w:rPr>
          <w:rFonts w:cstheme="minorHAnsi"/>
        </w:rPr>
        <w:t>referrals are not supportable in that time frame</w:t>
      </w:r>
      <w:r w:rsidR="00A93974">
        <w:rPr>
          <w:rFonts w:cstheme="minorHAnsi"/>
        </w:rPr>
        <w:t xml:space="preserve">, </w:t>
      </w:r>
      <w:r w:rsidR="00A93974" w:rsidRPr="002861EF">
        <w:rPr>
          <w:rFonts w:cstheme="minorHAnsi"/>
        </w:rPr>
        <w:t>resulting in us extending our service provision and ultimately impacting on our capacity to meet funding targets.</w:t>
      </w:r>
      <w:r w:rsidR="002861EF">
        <w:rPr>
          <w:rFonts w:cstheme="minorHAnsi"/>
        </w:rPr>
        <w:t xml:space="preserve"> Our service is (and has</w:t>
      </w:r>
      <w:r w:rsidR="00434D41">
        <w:rPr>
          <w:rFonts w:cstheme="minorHAnsi"/>
        </w:rPr>
        <w:t xml:space="preserve"> been</w:t>
      </w:r>
      <w:r w:rsidR="002861EF">
        <w:rPr>
          <w:rFonts w:cstheme="minorHAnsi"/>
        </w:rPr>
        <w:t xml:space="preserve">) working </w:t>
      </w:r>
      <w:r w:rsidR="00946433">
        <w:rPr>
          <w:rFonts w:cstheme="minorHAnsi"/>
        </w:rPr>
        <w:t xml:space="preserve">with </w:t>
      </w:r>
      <w:r w:rsidR="002861EF">
        <w:rPr>
          <w:rFonts w:cstheme="minorHAnsi"/>
        </w:rPr>
        <w:t xml:space="preserve">numerous families (in need of family support) who report that they were </w:t>
      </w:r>
      <w:r w:rsidR="00F809A2">
        <w:rPr>
          <w:rFonts w:cstheme="minorHAnsi"/>
        </w:rPr>
        <w:t xml:space="preserve">receiving </w:t>
      </w:r>
      <w:r w:rsidR="00434D41">
        <w:rPr>
          <w:rFonts w:cstheme="minorHAnsi"/>
        </w:rPr>
        <w:t>service</w:t>
      </w:r>
      <w:r w:rsidR="00A94545">
        <w:rPr>
          <w:rFonts w:cstheme="minorHAnsi"/>
        </w:rPr>
        <w:t>s</w:t>
      </w:r>
      <w:r w:rsidR="00434D41">
        <w:rPr>
          <w:rFonts w:cstheme="minorHAnsi"/>
        </w:rPr>
        <w:t xml:space="preserve"> elsewhere previously</w:t>
      </w:r>
      <w:r w:rsidR="002861EF">
        <w:rPr>
          <w:rFonts w:cstheme="minorHAnsi"/>
        </w:rPr>
        <w:t xml:space="preserve"> but the service/s had to close because </w:t>
      </w:r>
      <w:r w:rsidR="00434D41">
        <w:rPr>
          <w:rFonts w:cstheme="minorHAnsi"/>
        </w:rPr>
        <w:t>of their funding model of short term intervention</w:t>
      </w:r>
      <w:r w:rsidR="002861EF">
        <w:rPr>
          <w:rFonts w:cstheme="minorHAnsi"/>
        </w:rPr>
        <w:t>. Ultimately, this puts strain on our services in the system to reconnect such families to support or provide similar support ourselves. Obviously this engagement and disengagement pattern for families is not conducive to optimal family functioning.</w:t>
      </w:r>
    </w:p>
    <w:p w14:paraId="05EF88FE" w14:textId="77777777" w:rsidR="00941071" w:rsidRDefault="00941071" w:rsidP="00941071">
      <w:pPr>
        <w:pStyle w:val="ListParagraph"/>
        <w:spacing w:after="0" w:line="276" w:lineRule="auto"/>
        <w:jc w:val="both"/>
        <w:rPr>
          <w:rFonts w:cstheme="minorHAnsi"/>
        </w:rPr>
      </w:pPr>
    </w:p>
    <w:p w14:paraId="5167350A" w14:textId="6B55BA1A" w:rsidR="00941071" w:rsidRDefault="001A0F0B" w:rsidP="00941071">
      <w:pPr>
        <w:spacing w:after="0" w:line="276" w:lineRule="auto"/>
        <w:jc w:val="both"/>
        <w:rPr>
          <w:rFonts w:cstheme="minorHAnsi"/>
        </w:rPr>
      </w:pPr>
      <w:r>
        <w:rPr>
          <w:rFonts w:cstheme="minorHAnsi"/>
        </w:rPr>
        <w:t>We need to r</w:t>
      </w:r>
      <w:r w:rsidR="00941071" w:rsidRPr="00675D4A">
        <w:rPr>
          <w:rFonts w:cstheme="minorHAnsi"/>
        </w:rPr>
        <w:t xml:space="preserve">esearch </w:t>
      </w:r>
      <w:r w:rsidR="002861EF">
        <w:rPr>
          <w:rFonts w:cstheme="minorHAnsi"/>
        </w:rPr>
        <w:t xml:space="preserve">into </w:t>
      </w:r>
      <w:r w:rsidR="00941071" w:rsidRPr="00675D4A">
        <w:rPr>
          <w:rFonts w:cstheme="minorHAnsi"/>
        </w:rPr>
        <w:t xml:space="preserve">alternative forms of mental health support to better suit the child/adolescent developmental phase. For example more mentor program type options, options via online modalities, outreach in different settings and times. Our services still largely present in an office, within business </w:t>
      </w:r>
      <w:r>
        <w:rPr>
          <w:rFonts w:cstheme="minorHAnsi"/>
        </w:rPr>
        <w:t>h</w:t>
      </w:r>
      <w:r w:rsidR="00941071" w:rsidRPr="00675D4A">
        <w:rPr>
          <w:rFonts w:cstheme="minorHAnsi"/>
        </w:rPr>
        <w:t>ours</w:t>
      </w:r>
      <w:r>
        <w:rPr>
          <w:rFonts w:cstheme="minorHAnsi"/>
        </w:rPr>
        <w:t>,</w:t>
      </w:r>
      <w:r w:rsidR="00941071" w:rsidRPr="00675D4A">
        <w:rPr>
          <w:rFonts w:cstheme="minorHAnsi"/>
        </w:rPr>
        <w:t xml:space="preserve"> for young people.</w:t>
      </w:r>
      <w:r w:rsidR="002861EF">
        <w:rPr>
          <w:rFonts w:cstheme="minorHAnsi"/>
        </w:rPr>
        <w:t xml:space="preserve"> Co-design such services with young people to ensure a system is built in line with their needs and stage of development.</w:t>
      </w:r>
    </w:p>
    <w:p w14:paraId="7F6AA662" w14:textId="77777777" w:rsidR="00941071" w:rsidRDefault="00941071" w:rsidP="00941071">
      <w:pPr>
        <w:spacing w:after="0" w:line="276" w:lineRule="auto"/>
        <w:jc w:val="both"/>
        <w:rPr>
          <w:rFonts w:cstheme="minorHAnsi"/>
        </w:rPr>
      </w:pPr>
    </w:p>
    <w:p w14:paraId="397DF111" w14:textId="716F2295" w:rsidR="00941071" w:rsidRDefault="00941071" w:rsidP="001B5C0D">
      <w:pPr>
        <w:spacing w:after="0" w:line="276" w:lineRule="auto"/>
        <w:jc w:val="both"/>
        <w:rPr>
          <w:rFonts w:cstheme="minorHAnsi"/>
        </w:rPr>
      </w:pPr>
      <w:r w:rsidRPr="00C747C3">
        <w:rPr>
          <w:rFonts w:cstheme="minorHAnsi"/>
        </w:rPr>
        <w:t>A system where those children identified as most vulnerable are given</w:t>
      </w:r>
      <w:r>
        <w:rPr>
          <w:rFonts w:cstheme="minorHAnsi"/>
        </w:rPr>
        <w:t xml:space="preserve"> a</w:t>
      </w:r>
      <w:r w:rsidRPr="00C747C3">
        <w:rPr>
          <w:rFonts w:cstheme="minorHAnsi"/>
        </w:rPr>
        <w:t xml:space="preserve"> more permanent support team. </w:t>
      </w:r>
      <w:r>
        <w:rPr>
          <w:rFonts w:cstheme="minorHAnsi"/>
        </w:rPr>
        <w:t xml:space="preserve">For example Connect Health </w:t>
      </w:r>
      <w:r w:rsidR="001A0F0B">
        <w:rPr>
          <w:rFonts w:cstheme="minorHAnsi"/>
        </w:rPr>
        <w:t>&amp; Community has</w:t>
      </w:r>
      <w:r>
        <w:rPr>
          <w:rFonts w:cstheme="minorHAnsi"/>
        </w:rPr>
        <w:t xml:space="preserve"> found, </w:t>
      </w:r>
      <w:r w:rsidR="002861EF">
        <w:rPr>
          <w:rFonts w:cstheme="minorHAnsi"/>
        </w:rPr>
        <w:t xml:space="preserve">the </w:t>
      </w:r>
      <w:r w:rsidR="00946433">
        <w:rPr>
          <w:rFonts w:cstheme="minorHAnsi"/>
        </w:rPr>
        <w:t xml:space="preserve">six monthly </w:t>
      </w:r>
      <w:r w:rsidRPr="00C747C3">
        <w:rPr>
          <w:rFonts w:cstheme="minorHAnsi"/>
        </w:rPr>
        <w:t>rotation</w:t>
      </w:r>
      <w:r w:rsidR="002861EF">
        <w:rPr>
          <w:rFonts w:cstheme="minorHAnsi"/>
        </w:rPr>
        <w:t xml:space="preserve"> cycle</w:t>
      </w:r>
      <w:r w:rsidRPr="00C747C3">
        <w:rPr>
          <w:rFonts w:cstheme="minorHAnsi"/>
        </w:rPr>
        <w:t xml:space="preserve"> of psychiatrist </w:t>
      </w:r>
      <w:r>
        <w:rPr>
          <w:rFonts w:cstheme="minorHAnsi"/>
        </w:rPr>
        <w:t>registra</w:t>
      </w:r>
      <w:r w:rsidRPr="00C747C3">
        <w:rPr>
          <w:rFonts w:cstheme="minorHAnsi"/>
        </w:rPr>
        <w:t xml:space="preserve">rs in </w:t>
      </w:r>
      <w:r>
        <w:rPr>
          <w:rFonts w:cstheme="minorHAnsi"/>
        </w:rPr>
        <w:t xml:space="preserve">the local </w:t>
      </w:r>
      <w:r w:rsidRPr="00C747C3">
        <w:rPr>
          <w:rFonts w:cstheme="minorHAnsi"/>
        </w:rPr>
        <w:t xml:space="preserve">adolescent </w:t>
      </w:r>
      <w:r>
        <w:rPr>
          <w:rFonts w:cstheme="minorHAnsi"/>
        </w:rPr>
        <w:t xml:space="preserve">sub-acute </w:t>
      </w:r>
      <w:r w:rsidRPr="00C747C3">
        <w:rPr>
          <w:rFonts w:cstheme="minorHAnsi"/>
        </w:rPr>
        <w:t xml:space="preserve">services </w:t>
      </w:r>
      <w:r>
        <w:rPr>
          <w:rFonts w:cstheme="minorHAnsi"/>
        </w:rPr>
        <w:t>rotation has contributed</w:t>
      </w:r>
      <w:r w:rsidRPr="00C747C3">
        <w:rPr>
          <w:rFonts w:cstheme="minorHAnsi"/>
        </w:rPr>
        <w:t xml:space="preserve"> to disengagement</w:t>
      </w:r>
      <w:r>
        <w:rPr>
          <w:rFonts w:cstheme="minorHAnsi"/>
        </w:rPr>
        <w:t xml:space="preserve"> of some very vulnerable young people and families. While we are aware</w:t>
      </w:r>
      <w:r w:rsidR="001A0F0B">
        <w:rPr>
          <w:rFonts w:cstheme="minorHAnsi"/>
        </w:rPr>
        <w:t xml:space="preserve"> of</w:t>
      </w:r>
      <w:r>
        <w:rPr>
          <w:rFonts w:cstheme="minorHAnsi"/>
        </w:rPr>
        <w:t xml:space="preserve"> and totally support training our future workforce members, this should not be done at the expense of those clients most at risk of disengagement.</w:t>
      </w:r>
    </w:p>
    <w:p w14:paraId="2F95EF92" w14:textId="77777777" w:rsidR="00941071" w:rsidRDefault="00941071" w:rsidP="00941071">
      <w:pPr>
        <w:spacing w:after="0" w:line="276" w:lineRule="auto"/>
        <w:ind w:left="360"/>
        <w:jc w:val="both"/>
        <w:rPr>
          <w:rFonts w:cstheme="minorHAnsi"/>
        </w:rPr>
      </w:pPr>
    </w:p>
    <w:p w14:paraId="26147813" w14:textId="4AE7DBC1" w:rsidR="00941071" w:rsidRDefault="00941071" w:rsidP="001B5C0D">
      <w:pPr>
        <w:spacing w:after="0" w:line="276" w:lineRule="auto"/>
        <w:jc w:val="both"/>
        <w:rPr>
          <w:rFonts w:cstheme="minorHAnsi"/>
        </w:rPr>
      </w:pPr>
      <w:r>
        <w:rPr>
          <w:rFonts w:cstheme="minorHAnsi"/>
        </w:rPr>
        <w:t xml:space="preserve">In situations of high risk to family members, particularly children, a model where all involved services use a shared care approach in the best interest of all the families. At the moment, such a shared care approach is mostly used once families reach the pointy end of the system, rather than </w:t>
      </w:r>
      <w:r w:rsidR="00742285">
        <w:rPr>
          <w:rFonts w:cstheme="minorHAnsi"/>
        </w:rPr>
        <w:t>a model</w:t>
      </w:r>
      <w:r>
        <w:rPr>
          <w:rFonts w:cstheme="minorHAnsi"/>
        </w:rPr>
        <w:t xml:space="preserve"> of care that is used to intervene early and plan collaborative, future care.</w:t>
      </w:r>
    </w:p>
    <w:p w14:paraId="27210F59" w14:textId="5B22184C" w:rsidR="00941071" w:rsidRDefault="00941071" w:rsidP="008741C7">
      <w:pPr>
        <w:spacing w:after="0" w:line="276" w:lineRule="auto"/>
        <w:jc w:val="both"/>
        <w:rPr>
          <w:rFonts w:cstheme="minorHAnsi"/>
        </w:rPr>
      </w:pPr>
    </w:p>
    <w:p w14:paraId="460B0C3A" w14:textId="2F13D243" w:rsidR="00654CDD" w:rsidRDefault="00654CDD" w:rsidP="008741C7">
      <w:pPr>
        <w:spacing w:after="0" w:line="276" w:lineRule="auto"/>
        <w:jc w:val="both"/>
        <w:rPr>
          <w:rFonts w:cstheme="minorHAnsi"/>
        </w:rPr>
      </w:pPr>
    </w:p>
    <w:p w14:paraId="26762005" w14:textId="66FF7606" w:rsidR="00654CDD" w:rsidRDefault="00654CDD" w:rsidP="008741C7">
      <w:pPr>
        <w:spacing w:after="0" w:line="276" w:lineRule="auto"/>
        <w:jc w:val="both"/>
        <w:rPr>
          <w:rFonts w:cstheme="minorHAnsi"/>
        </w:rPr>
      </w:pPr>
    </w:p>
    <w:p w14:paraId="715FA56F" w14:textId="17AD5B00" w:rsidR="00654CDD" w:rsidRDefault="00654CDD" w:rsidP="008741C7">
      <w:pPr>
        <w:spacing w:after="0" w:line="276" w:lineRule="auto"/>
        <w:jc w:val="both"/>
        <w:rPr>
          <w:rFonts w:cstheme="minorHAnsi"/>
        </w:rPr>
      </w:pPr>
    </w:p>
    <w:p w14:paraId="7088C46C" w14:textId="4D7BC006" w:rsidR="00654CDD" w:rsidRDefault="00654CDD" w:rsidP="008741C7">
      <w:pPr>
        <w:spacing w:after="0" w:line="276" w:lineRule="auto"/>
        <w:jc w:val="both"/>
        <w:rPr>
          <w:rFonts w:cstheme="minorHAnsi"/>
        </w:rPr>
      </w:pPr>
    </w:p>
    <w:p w14:paraId="1F8276E1" w14:textId="77777777" w:rsidR="00654CDD" w:rsidRDefault="00654CDD" w:rsidP="008741C7">
      <w:pPr>
        <w:spacing w:after="0" w:line="276" w:lineRule="auto"/>
        <w:jc w:val="both"/>
        <w:rPr>
          <w:rFonts w:cstheme="minorHAnsi"/>
        </w:rPr>
      </w:pPr>
    </w:p>
    <w:p w14:paraId="70160D39" w14:textId="77777777" w:rsidR="001F09D4" w:rsidRPr="008741C7" w:rsidRDefault="001F09D4" w:rsidP="008741C7">
      <w:pPr>
        <w:spacing w:after="0" w:line="276" w:lineRule="auto"/>
        <w:jc w:val="both"/>
        <w:rPr>
          <w:rFonts w:cstheme="minorHAnsi"/>
          <w:b/>
          <w:sz w:val="28"/>
        </w:rPr>
      </w:pPr>
      <w:r w:rsidRPr="008741C7">
        <w:rPr>
          <w:rFonts w:cstheme="minorHAnsi"/>
          <w:b/>
          <w:sz w:val="28"/>
        </w:rPr>
        <w:lastRenderedPageBreak/>
        <w:t>Mentally Healthy Workplaces</w:t>
      </w:r>
    </w:p>
    <w:p w14:paraId="4259EBA1" w14:textId="77777777" w:rsidR="005403D5" w:rsidRDefault="005403D5" w:rsidP="005403D5">
      <w:pPr>
        <w:pStyle w:val="NormalWeb"/>
        <w:spacing w:line="276" w:lineRule="auto"/>
        <w:jc w:val="both"/>
        <w:rPr>
          <w:rFonts w:ascii="Calibri" w:hAnsi="Calibri" w:cs="Calibri"/>
          <w:sz w:val="22"/>
          <w:szCs w:val="22"/>
        </w:rPr>
      </w:pPr>
      <w:r>
        <w:rPr>
          <w:rFonts w:ascii="Calibri" w:hAnsi="Calibri" w:cs="Calibri"/>
          <w:sz w:val="22"/>
          <w:szCs w:val="22"/>
        </w:rPr>
        <w:t xml:space="preserve">Structural inequity that occurs between different subpopulation groups is a leading contributor to poor mental health. </w:t>
      </w:r>
    </w:p>
    <w:p w14:paraId="0EB14A58" w14:textId="77777777" w:rsidR="005403D5" w:rsidRDefault="005403D5" w:rsidP="005403D5">
      <w:pPr>
        <w:pStyle w:val="NormalWeb"/>
        <w:spacing w:line="276" w:lineRule="auto"/>
        <w:jc w:val="both"/>
        <w:rPr>
          <w:rFonts w:ascii="Calibri" w:hAnsi="Calibri" w:cs="Calibri"/>
          <w:sz w:val="22"/>
          <w:szCs w:val="22"/>
        </w:rPr>
      </w:pPr>
    </w:p>
    <w:p w14:paraId="427DD70E" w14:textId="2EF297AB" w:rsidR="005403D5" w:rsidRDefault="005403D5" w:rsidP="005403D5">
      <w:pPr>
        <w:pStyle w:val="NormalWeb"/>
        <w:spacing w:line="276" w:lineRule="auto"/>
        <w:jc w:val="both"/>
        <w:rPr>
          <w:rFonts w:ascii="Calibri" w:hAnsi="Calibri" w:cs="Calibri"/>
          <w:color w:val="000000"/>
          <w:sz w:val="22"/>
          <w:szCs w:val="22"/>
          <w:lang w:val="en"/>
        </w:rPr>
      </w:pPr>
      <w:r>
        <w:rPr>
          <w:rFonts w:ascii="Calibri" w:hAnsi="Calibri" w:cs="Calibri"/>
          <w:sz w:val="22"/>
          <w:szCs w:val="22"/>
        </w:rPr>
        <w:t xml:space="preserve">Australian women continue to receive unequal pay to their male counterparts for performing the same work. The national gender pay gap in Australia is at 14% currently. </w:t>
      </w:r>
      <w:r>
        <w:rPr>
          <w:rFonts w:ascii="Calibri" w:hAnsi="Calibri" w:cs="Calibri"/>
          <w:color w:val="000000"/>
          <w:sz w:val="22"/>
          <w:szCs w:val="22"/>
          <w:lang w:val="en"/>
        </w:rPr>
        <w:t>Based on the 2017-2018 Workplace Gender Equality Agency (WGEA) data, men working full time (total remuneration) earn on average $25,717 more than women working ful</w:t>
      </w:r>
      <w:r w:rsidR="001A0F0B">
        <w:rPr>
          <w:rFonts w:ascii="Calibri" w:hAnsi="Calibri" w:cs="Calibri"/>
          <w:color w:val="000000"/>
          <w:sz w:val="22"/>
          <w:szCs w:val="22"/>
          <w:lang w:val="en"/>
        </w:rPr>
        <w:t>l time, a gap of 21%.  The full-</w:t>
      </w:r>
      <w:r>
        <w:rPr>
          <w:rFonts w:ascii="Calibri" w:hAnsi="Calibri" w:cs="Calibri"/>
          <w:color w:val="000000"/>
          <w:sz w:val="22"/>
          <w:szCs w:val="22"/>
          <w:lang w:val="en"/>
        </w:rPr>
        <w:t xml:space="preserve">time base salary gender pay gap for 2017-2018 </w:t>
      </w:r>
      <w:r w:rsidR="00717ED9">
        <w:rPr>
          <w:rFonts w:ascii="Calibri" w:hAnsi="Calibri" w:cs="Calibri"/>
          <w:color w:val="000000"/>
          <w:sz w:val="22"/>
          <w:szCs w:val="22"/>
          <w:lang w:val="en"/>
        </w:rPr>
        <w:t>wa</w:t>
      </w:r>
      <w:r>
        <w:rPr>
          <w:rFonts w:ascii="Calibri" w:hAnsi="Calibri" w:cs="Calibri"/>
          <w:color w:val="000000"/>
          <w:sz w:val="22"/>
          <w:szCs w:val="22"/>
          <w:lang w:val="en"/>
        </w:rPr>
        <w:t>s 16%, resulting in women earning on average $15,457 less than men working full</w:t>
      </w:r>
      <w:r w:rsidR="001A0F0B">
        <w:rPr>
          <w:rFonts w:ascii="Calibri" w:hAnsi="Calibri" w:cs="Calibri"/>
          <w:color w:val="000000"/>
          <w:sz w:val="22"/>
          <w:szCs w:val="22"/>
          <w:lang w:val="en"/>
        </w:rPr>
        <w:t>-</w:t>
      </w:r>
      <w:r>
        <w:rPr>
          <w:rFonts w:ascii="Calibri" w:hAnsi="Calibri" w:cs="Calibri"/>
          <w:color w:val="000000"/>
          <w:sz w:val="22"/>
          <w:szCs w:val="22"/>
          <w:lang w:val="en"/>
        </w:rPr>
        <w:t>time. The data illuminates a gender pay gap favoring full time working men over women in every industry and occupational category across Australia (WGEA</w:t>
      </w:r>
      <w:r w:rsidR="00B80047">
        <w:rPr>
          <w:rFonts w:ascii="Calibri" w:hAnsi="Calibri" w:cs="Calibri"/>
          <w:color w:val="000000"/>
          <w:sz w:val="22"/>
          <w:szCs w:val="22"/>
          <w:lang w:val="en"/>
        </w:rPr>
        <w:t>,</w:t>
      </w:r>
      <w:r>
        <w:rPr>
          <w:rFonts w:ascii="Calibri" w:hAnsi="Calibri" w:cs="Calibri"/>
          <w:color w:val="000000"/>
          <w:sz w:val="22"/>
          <w:szCs w:val="22"/>
          <w:lang w:val="en"/>
        </w:rPr>
        <w:t xml:space="preserve"> 2018).  </w:t>
      </w:r>
    </w:p>
    <w:p w14:paraId="70AFF9B1" w14:textId="77777777" w:rsidR="005403D5" w:rsidRDefault="005403D5" w:rsidP="005403D5">
      <w:pPr>
        <w:pStyle w:val="NormalWeb"/>
        <w:spacing w:line="276" w:lineRule="auto"/>
        <w:jc w:val="both"/>
        <w:rPr>
          <w:rFonts w:ascii="Calibri" w:hAnsi="Calibri" w:cs="Calibri"/>
          <w:color w:val="000000"/>
          <w:sz w:val="22"/>
          <w:szCs w:val="22"/>
          <w:lang w:val="en"/>
        </w:rPr>
      </w:pPr>
    </w:p>
    <w:p w14:paraId="2A0AF1B0" w14:textId="0D9F7EDE" w:rsidR="005403D5" w:rsidRDefault="005403D5" w:rsidP="005403D5">
      <w:pPr>
        <w:pStyle w:val="NormalWeb"/>
        <w:spacing w:line="276" w:lineRule="auto"/>
        <w:jc w:val="both"/>
        <w:rPr>
          <w:rFonts w:ascii="Calibri" w:hAnsi="Calibri" w:cs="Calibri"/>
          <w:color w:val="000000"/>
          <w:sz w:val="22"/>
          <w:szCs w:val="22"/>
          <w:lang w:val="en"/>
        </w:rPr>
      </w:pPr>
      <w:r>
        <w:rPr>
          <w:rFonts w:ascii="Calibri" w:hAnsi="Calibri" w:cs="Calibri"/>
          <w:color w:val="000000"/>
          <w:sz w:val="22"/>
          <w:szCs w:val="22"/>
          <w:lang w:val="en"/>
        </w:rPr>
        <w:t>On</w:t>
      </w:r>
      <w:r w:rsidR="001A0F0B">
        <w:rPr>
          <w:rFonts w:ascii="Calibri" w:hAnsi="Calibri" w:cs="Calibri"/>
          <w:color w:val="000000"/>
          <w:sz w:val="22"/>
          <w:szCs w:val="22"/>
          <w:lang w:val="en"/>
        </w:rPr>
        <w:t xml:space="preserve"> 1</w:t>
      </w:r>
      <w:r>
        <w:rPr>
          <w:rFonts w:ascii="Calibri" w:hAnsi="Calibri" w:cs="Calibri"/>
          <w:color w:val="000000"/>
          <w:sz w:val="22"/>
          <w:szCs w:val="22"/>
          <w:lang w:val="en"/>
        </w:rPr>
        <w:t xml:space="preserve"> January 2018, Iceland became the first country to officially codify equal pay for both men and women, taking a major step forward to closing the gender pay gaps. The new law stipulates that </w:t>
      </w:r>
      <w:r w:rsidR="00717ED9">
        <w:rPr>
          <w:rFonts w:ascii="Calibri" w:hAnsi="Calibri" w:cs="Calibri"/>
          <w:color w:val="000000"/>
          <w:sz w:val="22"/>
          <w:szCs w:val="22"/>
          <w:lang w:val="en"/>
        </w:rPr>
        <w:t xml:space="preserve">employers with </w:t>
      </w:r>
      <w:r>
        <w:rPr>
          <w:rFonts w:ascii="Calibri" w:hAnsi="Calibri" w:cs="Calibri"/>
          <w:color w:val="000000"/>
          <w:sz w:val="22"/>
          <w:szCs w:val="22"/>
          <w:lang w:val="en"/>
        </w:rPr>
        <w:t xml:space="preserve">25 or more </w:t>
      </w:r>
      <w:r w:rsidR="00717ED9">
        <w:rPr>
          <w:rFonts w:ascii="Calibri" w:hAnsi="Calibri" w:cs="Calibri"/>
          <w:color w:val="000000"/>
          <w:sz w:val="22"/>
          <w:szCs w:val="22"/>
          <w:lang w:val="en"/>
        </w:rPr>
        <w:t xml:space="preserve">employees are </w:t>
      </w:r>
      <w:r>
        <w:rPr>
          <w:rFonts w:ascii="Calibri" w:hAnsi="Calibri" w:cs="Calibri"/>
          <w:color w:val="000000"/>
          <w:sz w:val="22"/>
          <w:szCs w:val="22"/>
          <w:lang w:val="en"/>
        </w:rPr>
        <w:t>required to obtain a government certificate stating that they convey equal pay polices to all individuals regardless of race, religion, disability and occupation disability, age and sexual orientation or are at risk of being audited and fined (United Nations Human Rights – Office of the High Commissioner 2019). Iceland has been named in the top ten country’s for gender equality for the past nine years running by the Work Economic Forum’s Global Gender gap Index (Statistics Iceland, 2017).</w:t>
      </w:r>
    </w:p>
    <w:p w14:paraId="00E6C67B" w14:textId="77777777" w:rsidR="005403D5" w:rsidRDefault="005403D5" w:rsidP="005403D5">
      <w:pPr>
        <w:pStyle w:val="NormalWeb"/>
        <w:spacing w:line="276" w:lineRule="auto"/>
        <w:jc w:val="both"/>
        <w:rPr>
          <w:rFonts w:ascii="Calibri" w:hAnsi="Calibri" w:cs="Calibri"/>
          <w:color w:val="000000"/>
          <w:sz w:val="22"/>
          <w:szCs w:val="22"/>
          <w:lang w:val="en"/>
        </w:rPr>
      </w:pPr>
    </w:p>
    <w:p w14:paraId="3059127C" w14:textId="4FEB920F" w:rsidR="005403D5" w:rsidRDefault="005403D5" w:rsidP="005403D5">
      <w:pPr>
        <w:pStyle w:val="NormalWeb"/>
        <w:spacing w:line="276" w:lineRule="auto"/>
        <w:jc w:val="both"/>
        <w:rPr>
          <w:rFonts w:ascii="Calibri" w:hAnsi="Calibri" w:cs="Calibri"/>
          <w:color w:val="000000"/>
          <w:sz w:val="22"/>
          <w:szCs w:val="22"/>
          <w:lang w:val="en"/>
        </w:rPr>
      </w:pPr>
      <w:r>
        <w:rPr>
          <w:rFonts w:ascii="Calibri" w:hAnsi="Calibri" w:cs="Calibri"/>
          <w:color w:val="000000"/>
          <w:sz w:val="22"/>
          <w:szCs w:val="22"/>
          <w:lang w:val="en"/>
        </w:rPr>
        <w:t>Sweden, Austria, Denmark and Portugal are required to report gender identified pay data to the government each year. France and Sweden are following and businesses are required to review their pay practices each year (European Commission</w:t>
      </w:r>
      <w:r w:rsidR="00B80047">
        <w:rPr>
          <w:rFonts w:ascii="Calibri" w:hAnsi="Calibri" w:cs="Calibri"/>
          <w:color w:val="000000"/>
          <w:sz w:val="22"/>
          <w:szCs w:val="22"/>
          <w:lang w:val="en"/>
        </w:rPr>
        <w:t>,</w:t>
      </w:r>
      <w:r>
        <w:rPr>
          <w:rFonts w:ascii="Calibri" w:hAnsi="Calibri" w:cs="Calibri"/>
          <w:color w:val="000000"/>
          <w:sz w:val="22"/>
          <w:szCs w:val="22"/>
          <w:lang w:val="en"/>
        </w:rPr>
        <w:t xml:space="preserve"> 2014).</w:t>
      </w:r>
    </w:p>
    <w:p w14:paraId="6426E28E" w14:textId="77777777" w:rsidR="005403D5" w:rsidRDefault="005403D5" w:rsidP="005403D5">
      <w:pPr>
        <w:pStyle w:val="NormalWeb"/>
        <w:spacing w:line="276" w:lineRule="auto"/>
        <w:jc w:val="both"/>
        <w:rPr>
          <w:rFonts w:ascii="Calibri" w:hAnsi="Calibri" w:cs="Calibri"/>
          <w:color w:val="000000"/>
          <w:sz w:val="22"/>
          <w:szCs w:val="22"/>
          <w:lang w:val="en"/>
        </w:rPr>
      </w:pPr>
    </w:p>
    <w:p w14:paraId="42CE602D" w14:textId="110BC222" w:rsidR="005403D5" w:rsidRDefault="005403D5" w:rsidP="005403D5">
      <w:pPr>
        <w:pStyle w:val="NormalWeb"/>
        <w:spacing w:line="276" w:lineRule="auto"/>
        <w:jc w:val="both"/>
        <w:rPr>
          <w:rFonts w:ascii="Calibri" w:hAnsi="Calibri" w:cs="Calibri"/>
          <w:color w:val="000000"/>
          <w:sz w:val="22"/>
          <w:szCs w:val="22"/>
          <w:lang w:val="en"/>
        </w:rPr>
      </w:pPr>
      <w:r>
        <w:rPr>
          <w:rFonts w:ascii="Calibri" w:hAnsi="Calibri" w:cs="Calibri"/>
          <w:color w:val="000000"/>
          <w:sz w:val="22"/>
          <w:szCs w:val="22"/>
          <w:lang w:val="en"/>
        </w:rPr>
        <w:t>Women who continue to face discrimination within their workplace will face a lifetime of income inequality. Closing the gap requires strengthening antidiscrimination efforts by political leaders and adopting a suite of work</w:t>
      </w:r>
      <w:r w:rsidR="001A0F0B">
        <w:rPr>
          <w:rFonts w:ascii="Calibri" w:hAnsi="Calibri" w:cs="Calibri"/>
          <w:color w:val="000000"/>
          <w:sz w:val="22"/>
          <w:szCs w:val="22"/>
          <w:lang w:val="en"/>
        </w:rPr>
        <w:t>-</w:t>
      </w:r>
      <w:r>
        <w:rPr>
          <w:rFonts w:ascii="Calibri" w:hAnsi="Calibri" w:cs="Calibri"/>
          <w:color w:val="000000"/>
          <w:sz w:val="22"/>
          <w:szCs w:val="22"/>
          <w:lang w:val="en"/>
        </w:rPr>
        <w:t>life polices, including extending paid family and medical leave to match the practices of Scandinavian countries</w:t>
      </w:r>
      <w:r w:rsidR="00716F40">
        <w:rPr>
          <w:rFonts w:ascii="Calibri" w:hAnsi="Calibri" w:cs="Calibri"/>
          <w:color w:val="000000"/>
          <w:sz w:val="22"/>
          <w:szCs w:val="22"/>
          <w:lang w:val="en"/>
        </w:rPr>
        <w:t>;</w:t>
      </w:r>
      <w:r>
        <w:rPr>
          <w:rFonts w:ascii="Calibri" w:hAnsi="Calibri" w:cs="Calibri"/>
          <w:color w:val="000000"/>
          <w:sz w:val="22"/>
          <w:szCs w:val="22"/>
          <w:lang w:val="en"/>
        </w:rPr>
        <w:t xml:space="preserve"> paid sick days, affordable child care and paid parental leave  (European Commission</w:t>
      </w:r>
      <w:r w:rsidR="00B80047">
        <w:rPr>
          <w:rFonts w:ascii="Calibri" w:hAnsi="Calibri" w:cs="Calibri"/>
          <w:color w:val="000000"/>
          <w:sz w:val="22"/>
          <w:szCs w:val="22"/>
          <w:lang w:val="en"/>
        </w:rPr>
        <w:t>,</w:t>
      </w:r>
      <w:r>
        <w:rPr>
          <w:rFonts w:ascii="Calibri" w:hAnsi="Calibri" w:cs="Calibri"/>
          <w:color w:val="000000"/>
          <w:sz w:val="22"/>
          <w:szCs w:val="22"/>
          <w:lang w:val="en"/>
        </w:rPr>
        <w:t xml:space="preserve"> 2014). </w:t>
      </w:r>
    </w:p>
    <w:p w14:paraId="024C86CD" w14:textId="77777777" w:rsidR="005403D5" w:rsidRDefault="005403D5" w:rsidP="005403D5">
      <w:pPr>
        <w:pStyle w:val="NormalWeb"/>
        <w:spacing w:line="276" w:lineRule="auto"/>
        <w:jc w:val="both"/>
        <w:rPr>
          <w:rFonts w:ascii="Calibri" w:hAnsi="Calibri" w:cs="Calibri"/>
          <w:color w:val="000000"/>
          <w:sz w:val="22"/>
          <w:szCs w:val="22"/>
          <w:lang w:val="en"/>
        </w:rPr>
      </w:pPr>
    </w:p>
    <w:p w14:paraId="4CDC21E4" w14:textId="77777777" w:rsidR="005403D5" w:rsidRDefault="005403D5" w:rsidP="005403D5">
      <w:pPr>
        <w:pStyle w:val="NormalWeb"/>
        <w:spacing w:line="276" w:lineRule="auto"/>
        <w:jc w:val="both"/>
        <w:rPr>
          <w:rFonts w:ascii="Calibri" w:hAnsi="Calibri" w:cs="Calibri"/>
          <w:color w:val="000000"/>
          <w:sz w:val="22"/>
          <w:szCs w:val="22"/>
          <w:lang w:val="en"/>
        </w:rPr>
      </w:pPr>
      <w:r>
        <w:rPr>
          <w:rFonts w:ascii="Calibri" w:hAnsi="Calibri" w:cs="Calibri"/>
          <w:color w:val="000000"/>
          <w:sz w:val="22"/>
          <w:szCs w:val="22"/>
          <w:lang w:val="en"/>
        </w:rPr>
        <w:t>These antidiscrimination policies and structures need to be applied to all subpopulation groups who face unfair treatment in the workplace. Reports identifying other identifiers other than gender could be used to assess pay equity for all, responding to the intersectionality of race, sexuality and gender, disability, religion and age.</w:t>
      </w:r>
    </w:p>
    <w:p w14:paraId="340D033E" w14:textId="77777777" w:rsidR="005403D5" w:rsidRDefault="005403D5" w:rsidP="005403D5">
      <w:pPr>
        <w:pStyle w:val="NormalWeb"/>
        <w:spacing w:line="276" w:lineRule="auto"/>
        <w:jc w:val="both"/>
        <w:rPr>
          <w:rFonts w:ascii="Calibri" w:hAnsi="Calibri" w:cs="Calibri"/>
          <w:color w:val="000000"/>
          <w:sz w:val="22"/>
          <w:szCs w:val="22"/>
          <w:lang w:val="en"/>
        </w:rPr>
      </w:pPr>
    </w:p>
    <w:p w14:paraId="72424314" w14:textId="4E8EDABA" w:rsidR="005403D5" w:rsidRDefault="005403D5" w:rsidP="005403D5">
      <w:pPr>
        <w:pStyle w:val="NormalWeb"/>
        <w:spacing w:line="276" w:lineRule="auto"/>
        <w:jc w:val="both"/>
        <w:rPr>
          <w:rFonts w:ascii="Calibri" w:hAnsi="Calibri" w:cs="Calibri"/>
          <w:color w:val="000000"/>
          <w:sz w:val="22"/>
          <w:szCs w:val="22"/>
          <w:lang w:val="en"/>
        </w:rPr>
      </w:pPr>
      <w:r>
        <w:rPr>
          <w:rFonts w:ascii="Calibri" w:hAnsi="Calibri" w:cs="Calibri"/>
          <w:color w:val="000000"/>
          <w:sz w:val="22"/>
          <w:szCs w:val="22"/>
          <w:lang w:val="en"/>
        </w:rPr>
        <w:t>International trends in paid parental leave entitlements indicates parental payment rates tend to be lower in English speaking countries. Positive attachment and early bonding, positive parent-child interactions, early cognitive stimulation and good parenting are all protective factors for mental disorders and directly impacted by paid parental leave entitlements</w:t>
      </w:r>
      <w:r w:rsidR="00716F40">
        <w:rPr>
          <w:rFonts w:ascii="Calibri" w:hAnsi="Calibri" w:cs="Calibri"/>
          <w:color w:val="000000"/>
          <w:sz w:val="22"/>
          <w:szCs w:val="22"/>
          <w:lang w:val="en"/>
        </w:rPr>
        <w:t xml:space="preserve"> (WHO, 2005)</w:t>
      </w:r>
      <w:r>
        <w:rPr>
          <w:rFonts w:ascii="Calibri" w:hAnsi="Calibri" w:cs="Calibri"/>
          <w:color w:val="000000"/>
          <w:sz w:val="22"/>
          <w:szCs w:val="22"/>
          <w:lang w:val="en"/>
        </w:rPr>
        <w:t xml:space="preserve">. Australia is the one of lowest in the </w:t>
      </w:r>
      <w:r>
        <w:rPr>
          <w:rFonts w:ascii="Calibri" w:hAnsi="Calibri" w:cs="Calibri"/>
          <w:sz w:val="22"/>
          <w:szCs w:val="22"/>
          <w:lang w:val="en"/>
        </w:rPr>
        <w:t>Organisation for Economic Co-operation and Development</w:t>
      </w:r>
      <w:r>
        <w:rPr>
          <w:rFonts w:ascii="Calibri" w:hAnsi="Calibri" w:cs="Calibri"/>
          <w:color w:val="000000"/>
          <w:lang w:val="en"/>
        </w:rPr>
        <w:t xml:space="preserve"> </w:t>
      </w:r>
      <w:r>
        <w:rPr>
          <w:rFonts w:ascii="Calibri" w:hAnsi="Calibri" w:cs="Calibri"/>
          <w:color w:val="000000"/>
          <w:sz w:val="22"/>
          <w:szCs w:val="22"/>
          <w:lang w:val="en"/>
        </w:rPr>
        <w:t>(OECD) for full time equivalent weekly parental leave payments (</w:t>
      </w:r>
      <w:r w:rsidR="0033209D">
        <w:rPr>
          <w:rFonts w:ascii="Calibri" w:hAnsi="Calibri" w:cs="Calibri"/>
          <w:color w:val="000000"/>
          <w:sz w:val="22"/>
          <w:szCs w:val="22"/>
          <w:lang w:val="en"/>
        </w:rPr>
        <w:t>Organisation for Economic Cooperation and Development 2017, Australian Government, Workplace Gender Equality Agency</w:t>
      </w:r>
      <w:r w:rsidR="00B80047">
        <w:rPr>
          <w:rFonts w:ascii="Calibri" w:hAnsi="Calibri" w:cs="Calibri"/>
          <w:color w:val="000000"/>
          <w:sz w:val="22"/>
          <w:szCs w:val="22"/>
          <w:lang w:val="en"/>
        </w:rPr>
        <w:t>,</w:t>
      </w:r>
      <w:r w:rsidR="0033209D">
        <w:rPr>
          <w:rFonts w:ascii="Calibri" w:hAnsi="Calibri" w:cs="Calibri"/>
          <w:color w:val="000000"/>
          <w:sz w:val="22"/>
          <w:szCs w:val="22"/>
          <w:lang w:val="en"/>
        </w:rPr>
        <w:t xml:space="preserve"> n.d)</w:t>
      </w:r>
      <w:r>
        <w:rPr>
          <w:rFonts w:ascii="Calibri" w:hAnsi="Calibri" w:cs="Calibri"/>
          <w:color w:val="000000"/>
          <w:sz w:val="22"/>
          <w:szCs w:val="22"/>
          <w:lang w:val="en"/>
        </w:rPr>
        <w:t xml:space="preserve">. Australia’s length of maternity leave entitlements is 18 weeks, compared to 39 weeks in the United Kingdom.  Sweden lead the way in offering 60 weeks of paid leave, whilst Germany and Denmark follow with 59 and 50 weeks respectively and the OECD average is 54.1 weeks paid leave per year </w:t>
      </w:r>
      <w:r w:rsidR="0033209D">
        <w:rPr>
          <w:rFonts w:ascii="Calibri" w:hAnsi="Calibri" w:cs="Calibri"/>
          <w:color w:val="000000"/>
          <w:sz w:val="22"/>
          <w:szCs w:val="22"/>
          <w:lang w:val="en"/>
        </w:rPr>
        <w:t>(Organisation for Economic</w:t>
      </w:r>
      <w:r w:rsidR="00B80047">
        <w:rPr>
          <w:rFonts w:ascii="Calibri" w:hAnsi="Calibri" w:cs="Calibri"/>
          <w:color w:val="000000"/>
          <w:sz w:val="22"/>
          <w:szCs w:val="22"/>
          <w:lang w:val="en"/>
        </w:rPr>
        <w:t>,</w:t>
      </w:r>
      <w:r w:rsidR="0033209D">
        <w:rPr>
          <w:rFonts w:ascii="Calibri" w:hAnsi="Calibri" w:cs="Calibri"/>
          <w:color w:val="000000"/>
          <w:sz w:val="22"/>
          <w:szCs w:val="22"/>
          <w:lang w:val="en"/>
        </w:rPr>
        <w:t xml:space="preserve"> Cooperation and Development 2017, </w:t>
      </w:r>
      <w:r w:rsidR="0033209D">
        <w:rPr>
          <w:rFonts w:ascii="Calibri" w:hAnsi="Calibri" w:cs="Calibri"/>
          <w:color w:val="000000"/>
          <w:sz w:val="22"/>
          <w:szCs w:val="22"/>
          <w:lang w:val="en"/>
        </w:rPr>
        <w:lastRenderedPageBreak/>
        <w:t xml:space="preserve">Australian Government, Workplace Gender Equality Agency n.d). </w:t>
      </w:r>
      <w:r>
        <w:rPr>
          <w:rFonts w:ascii="Calibri" w:hAnsi="Calibri" w:cs="Calibri"/>
          <w:color w:val="000000"/>
          <w:sz w:val="22"/>
          <w:szCs w:val="22"/>
          <w:lang w:val="en"/>
        </w:rPr>
        <w:t>Paid parental leave entitlements for men or partners in Germany is 8.7 weeks at 65% of their average pay rate compared with Australia who offers 2 weeks</w:t>
      </w:r>
      <w:r w:rsidR="00CE12CB">
        <w:rPr>
          <w:rFonts w:ascii="Calibri" w:hAnsi="Calibri" w:cs="Calibri"/>
          <w:color w:val="000000"/>
          <w:sz w:val="22"/>
          <w:szCs w:val="22"/>
          <w:lang w:val="en"/>
        </w:rPr>
        <w:t xml:space="preserve"> at a minimum average pay rate a</w:t>
      </w:r>
      <w:r>
        <w:rPr>
          <w:rFonts w:ascii="Calibri" w:hAnsi="Calibri" w:cs="Calibri"/>
          <w:color w:val="000000"/>
          <w:sz w:val="22"/>
          <w:szCs w:val="22"/>
          <w:lang w:val="en"/>
        </w:rPr>
        <w:t xml:space="preserve">nd excludes same sex marriage partners </w:t>
      </w:r>
      <w:r w:rsidR="0033209D">
        <w:rPr>
          <w:rFonts w:ascii="Calibri" w:hAnsi="Calibri" w:cs="Calibri"/>
          <w:color w:val="000000"/>
          <w:sz w:val="22"/>
          <w:szCs w:val="22"/>
          <w:lang w:val="en"/>
        </w:rPr>
        <w:t>(Australian Government, Workplace Gender Equality Agency</w:t>
      </w:r>
      <w:r w:rsidR="00B80047">
        <w:rPr>
          <w:rFonts w:ascii="Calibri" w:hAnsi="Calibri" w:cs="Calibri"/>
          <w:color w:val="000000"/>
          <w:sz w:val="22"/>
          <w:szCs w:val="22"/>
          <w:lang w:val="en"/>
        </w:rPr>
        <w:t>,</w:t>
      </w:r>
      <w:r w:rsidR="0033209D">
        <w:rPr>
          <w:rFonts w:ascii="Calibri" w:hAnsi="Calibri" w:cs="Calibri"/>
          <w:color w:val="000000"/>
          <w:sz w:val="22"/>
          <w:szCs w:val="22"/>
          <w:lang w:val="en"/>
        </w:rPr>
        <w:t xml:space="preserve"> n.d.).</w:t>
      </w:r>
      <w:r>
        <w:rPr>
          <w:rFonts w:ascii="Calibri" w:hAnsi="Calibri" w:cs="Calibri"/>
          <w:color w:val="000000"/>
          <w:sz w:val="22"/>
          <w:szCs w:val="22"/>
          <w:lang w:val="en"/>
        </w:rPr>
        <w:t xml:space="preserve">  </w:t>
      </w:r>
    </w:p>
    <w:p w14:paraId="73144322" w14:textId="77777777" w:rsidR="005403D5" w:rsidRDefault="005403D5" w:rsidP="005403D5">
      <w:pPr>
        <w:pStyle w:val="NormalWeb"/>
        <w:spacing w:line="276" w:lineRule="auto"/>
        <w:jc w:val="both"/>
        <w:rPr>
          <w:rFonts w:ascii="Calibri" w:hAnsi="Calibri" w:cs="Calibri"/>
          <w:color w:val="000000"/>
          <w:sz w:val="22"/>
          <w:szCs w:val="22"/>
          <w:lang w:val="en"/>
        </w:rPr>
      </w:pPr>
    </w:p>
    <w:p w14:paraId="6B606CB4" w14:textId="5D2A6B8E" w:rsidR="005403D5" w:rsidRDefault="005403D5" w:rsidP="005403D5">
      <w:pPr>
        <w:pStyle w:val="NormalWeb"/>
        <w:spacing w:line="276" w:lineRule="auto"/>
        <w:jc w:val="both"/>
        <w:rPr>
          <w:rFonts w:ascii="Calibri" w:hAnsi="Calibri" w:cs="Calibri"/>
          <w:color w:val="000000"/>
          <w:sz w:val="22"/>
          <w:szCs w:val="22"/>
          <w:lang w:val="en"/>
        </w:rPr>
      </w:pPr>
      <w:r>
        <w:rPr>
          <w:rFonts w:ascii="Calibri" w:hAnsi="Calibri" w:cs="Calibri"/>
          <w:color w:val="000000"/>
          <w:sz w:val="22"/>
          <w:szCs w:val="22"/>
          <w:lang w:val="en"/>
        </w:rPr>
        <w:t>Other countries that employ gender anti-discrimination interventions are Finland, Norway and Sweden who have introduced Cash for Care benefit</w:t>
      </w:r>
      <w:r w:rsidR="00B01834">
        <w:rPr>
          <w:rFonts w:ascii="Calibri" w:hAnsi="Calibri" w:cs="Calibri"/>
          <w:color w:val="000000"/>
          <w:sz w:val="22"/>
          <w:szCs w:val="22"/>
          <w:lang w:val="en"/>
        </w:rPr>
        <w:t>s</w:t>
      </w:r>
      <w:r>
        <w:rPr>
          <w:rFonts w:ascii="Calibri" w:hAnsi="Calibri" w:cs="Calibri"/>
          <w:color w:val="000000"/>
          <w:sz w:val="22"/>
          <w:szCs w:val="22"/>
          <w:lang w:val="en"/>
        </w:rPr>
        <w:t>. A family policy that provides financial payments to a parent with a child under the age of 3, who does not use publicly financed childcare services. In Sweden, the allowance is not paid to parents who receive unemployment or sickness benefits. The Finland supplement also consist of a sibling allowance for any other child in the family under school age (6 years or under) who is cared for in the same way. This incentive supports parents to have the choice of re-entering the workforce or staying at home to care for their child. Whilst the policy is gender neutral, the allowance is predominantly used by mothers, and inadvertently, population growth has occurred in these countries as parents are feel supported to have more children (</w:t>
      </w:r>
      <w:r>
        <w:rPr>
          <w:rFonts w:ascii="Calibri" w:hAnsi="Calibri" w:cs="Calibri"/>
          <w:sz w:val="22"/>
          <w:szCs w:val="22"/>
        </w:rPr>
        <w:t>Ellingsaeter 2012).</w:t>
      </w:r>
      <w:r>
        <w:rPr>
          <w:rFonts w:ascii="Calibri" w:hAnsi="Calibri" w:cs="Calibri"/>
          <w:color w:val="000000"/>
          <w:sz w:val="22"/>
          <w:szCs w:val="22"/>
          <w:lang w:val="en"/>
        </w:rPr>
        <w:t xml:space="preserve">  </w:t>
      </w:r>
    </w:p>
    <w:p w14:paraId="6D37313F" w14:textId="77777777" w:rsidR="005403D5" w:rsidRDefault="005403D5" w:rsidP="005403D5">
      <w:pPr>
        <w:pStyle w:val="NormalWeb"/>
        <w:spacing w:line="276" w:lineRule="auto"/>
        <w:jc w:val="both"/>
        <w:rPr>
          <w:rFonts w:ascii="Calibri" w:hAnsi="Calibri" w:cs="Calibri"/>
          <w:color w:val="000000"/>
          <w:sz w:val="22"/>
          <w:szCs w:val="22"/>
          <w:lang w:val="en"/>
        </w:rPr>
      </w:pPr>
    </w:p>
    <w:p w14:paraId="79692177" w14:textId="3F4C941A" w:rsidR="005403D5" w:rsidRDefault="005403D5" w:rsidP="005403D5">
      <w:pPr>
        <w:pStyle w:val="NormalWeb"/>
        <w:spacing w:line="276" w:lineRule="auto"/>
        <w:rPr>
          <w:rFonts w:ascii="Calibri" w:hAnsi="Calibri" w:cs="Calibri"/>
          <w:color w:val="000000"/>
          <w:sz w:val="22"/>
          <w:szCs w:val="22"/>
          <w:lang w:val="en"/>
        </w:rPr>
      </w:pPr>
      <w:r>
        <w:rPr>
          <w:rFonts w:ascii="Calibri" w:hAnsi="Calibri" w:cs="Calibri"/>
          <w:color w:val="000000"/>
          <w:sz w:val="22"/>
          <w:szCs w:val="22"/>
          <w:lang w:val="en"/>
        </w:rPr>
        <w:t xml:space="preserve">The Victorian </w:t>
      </w:r>
      <w:r w:rsidR="001A0F0B">
        <w:rPr>
          <w:rFonts w:ascii="Calibri" w:hAnsi="Calibri" w:cs="Calibri"/>
          <w:color w:val="000000"/>
          <w:sz w:val="22"/>
          <w:szCs w:val="22"/>
          <w:lang w:val="en"/>
        </w:rPr>
        <w:t>G</w:t>
      </w:r>
      <w:r>
        <w:rPr>
          <w:rFonts w:ascii="Calibri" w:hAnsi="Calibri" w:cs="Calibri"/>
          <w:color w:val="000000"/>
          <w:sz w:val="22"/>
          <w:szCs w:val="22"/>
          <w:lang w:val="en"/>
        </w:rPr>
        <w:t>overnment could lead the way in adopting international legislation and policies to advance inclusion of all and reduce the unfairness that exists in workplaces and employment practices. Incentivizi</w:t>
      </w:r>
      <w:r w:rsidR="00B01834">
        <w:rPr>
          <w:rFonts w:ascii="Calibri" w:hAnsi="Calibri" w:cs="Calibri"/>
          <w:color w:val="000000"/>
          <w:sz w:val="22"/>
          <w:szCs w:val="22"/>
          <w:lang w:val="en"/>
        </w:rPr>
        <w:t>ng or subsidizing the delivery</w:t>
      </w:r>
      <w:r>
        <w:rPr>
          <w:rFonts w:ascii="Calibri" w:hAnsi="Calibri" w:cs="Calibri"/>
          <w:color w:val="000000"/>
          <w:sz w:val="22"/>
          <w:szCs w:val="22"/>
          <w:lang w:val="en"/>
        </w:rPr>
        <w:t xml:space="preserve"> of unconscious bias training and unconscious bias employment practices including recruitment, can reduce discrimination in the workplace and build mentally healthier workplaces and communities. Governments must model and adopt innovative ways to ensure all businesses respect the human rights of their employees, volunteers, customers and fellow citizens.</w:t>
      </w:r>
    </w:p>
    <w:p w14:paraId="13DA2C8C" w14:textId="76690F3A" w:rsidR="005A458F" w:rsidRPr="006F29D6" w:rsidRDefault="005A458F" w:rsidP="005A458F">
      <w:pPr>
        <w:spacing w:after="0" w:line="276" w:lineRule="auto"/>
        <w:jc w:val="both"/>
        <w:rPr>
          <w:rFonts w:cstheme="minorHAnsi"/>
        </w:rPr>
      </w:pPr>
    </w:p>
    <w:p w14:paraId="58248905" w14:textId="77777777" w:rsidR="00AE6A4B" w:rsidRPr="008741C7" w:rsidRDefault="00AE6A4B" w:rsidP="00AE6A4B">
      <w:pPr>
        <w:spacing w:after="0" w:line="276" w:lineRule="auto"/>
        <w:jc w:val="both"/>
        <w:rPr>
          <w:rFonts w:cstheme="minorHAnsi"/>
          <w:sz w:val="28"/>
        </w:rPr>
      </w:pPr>
      <w:r w:rsidRPr="008741C7">
        <w:rPr>
          <w:rFonts w:cstheme="minorHAnsi"/>
          <w:b/>
          <w:sz w:val="28"/>
        </w:rPr>
        <w:t>Regulation of Workplace Health and Safety</w:t>
      </w:r>
    </w:p>
    <w:p w14:paraId="15E0B6CB" w14:textId="504BD2CF" w:rsidR="00D8610D" w:rsidRDefault="00D8610D" w:rsidP="00D8610D">
      <w:pPr>
        <w:spacing w:after="0" w:line="276" w:lineRule="auto"/>
        <w:jc w:val="both"/>
        <w:rPr>
          <w:rFonts w:cstheme="minorHAnsi"/>
        </w:rPr>
      </w:pPr>
      <w:r w:rsidRPr="006F29D6">
        <w:rPr>
          <w:rFonts w:cstheme="minorHAnsi"/>
        </w:rPr>
        <w:t xml:space="preserve">Workplace </w:t>
      </w:r>
      <w:r>
        <w:rPr>
          <w:rFonts w:cstheme="minorHAnsi"/>
        </w:rPr>
        <w:t>h</w:t>
      </w:r>
      <w:r w:rsidRPr="006F29D6">
        <w:rPr>
          <w:rFonts w:cstheme="minorHAnsi"/>
        </w:rPr>
        <w:t xml:space="preserve">ealth </w:t>
      </w:r>
      <w:r>
        <w:rPr>
          <w:rFonts w:cstheme="minorHAnsi"/>
        </w:rPr>
        <w:t>p</w:t>
      </w:r>
      <w:r w:rsidRPr="006F29D6">
        <w:rPr>
          <w:rFonts w:cstheme="minorHAnsi"/>
        </w:rPr>
        <w:t xml:space="preserve">revention considers the physical work environment, personal health resources, the enterprise community involvement and the psychosocial work environment (WHO 2016). Without the investment of leadership engagement and worker involvement in health promotion and disease prevention initiatives and practices, </w:t>
      </w:r>
      <w:r>
        <w:rPr>
          <w:rFonts w:cstheme="minorHAnsi"/>
        </w:rPr>
        <w:t xml:space="preserve">this can lead to </w:t>
      </w:r>
      <w:r w:rsidRPr="006F29D6">
        <w:rPr>
          <w:rFonts w:cstheme="minorHAnsi"/>
        </w:rPr>
        <w:t xml:space="preserve">individual’s in the workplace </w:t>
      </w:r>
      <w:r>
        <w:rPr>
          <w:rFonts w:cstheme="minorHAnsi"/>
        </w:rPr>
        <w:t>feeling undervalued, experiencing</w:t>
      </w:r>
      <w:r w:rsidRPr="006F29D6">
        <w:rPr>
          <w:rFonts w:cstheme="minorHAnsi"/>
        </w:rPr>
        <w:t xml:space="preserve"> workload stress from unreasonable time frames, unable to cope with vicarious trauma that results from empathetic engagement with traumatised clients </w:t>
      </w:r>
      <w:r w:rsidRPr="0037546F">
        <w:rPr>
          <w:rFonts w:cstheme="minorHAnsi"/>
        </w:rPr>
        <w:t>(LaMontagne et al 2014</w:t>
      </w:r>
      <w:r w:rsidR="00897134">
        <w:rPr>
          <w:rFonts w:cstheme="minorHAnsi"/>
        </w:rPr>
        <w:t>, HeadsUp n.d.)</w:t>
      </w:r>
      <w:r w:rsidRPr="0037546F">
        <w:rPr>
          <w:rFonts w:cstheme="minorHAnsi"/>
        </w:rPr>
        <w:t>.</w:t>
      </w:r>
      <w:r w:rsidRPr="006F29D6">
        <w:rPr>
          <w:rFonts w:cstheme="minorHAnsi"/>
        </w:rPr>
        <w:t xml:space="preserve">  </w:t>
      </w:r>
    </w:p>
    <w:p w14:paraId="68D1465C" w14:textId="3D5C289F" w:rsidR="00D8610D" w:rsidRDefault="00D8610D" w:rsidP="00D8610D">
      <w:pPr>
        <w:spacing w:after="0" w:line="276" w:lineRule="auto"/>
        <w:jc w:val="both"/>
        <w:rPr>
          <w:rFonts w:cstheme="minorHAnsi"/>
        </w:rPr>
      </w:pPr>
    </w:p>
    <w:p w14:paraId="74662A49" w14:textId="7CDF32F5" w:rsidR="00D8610D" w:rsidRPr="00AE6A4B" w:rsidRDefault="003070DE" w:rsidP="00B01834">
      <w:pPr>
        <w:spacing w:after="0" w:line="276" w:lineRule="auto"/>
        <w:jc w:val="both"/>
      </w:pPr>
      <w:r>
        <w:rPr>
          <w:rFonts w:cstheme="minorHAnsi"/>
        </w:rPr>
        <w:t xml:space="preserve">Organisations have greater evidence of the individual staff benefits gained from participation in workplace health programs and activities rather than organisational strategies such as policies, this is due to a lack of capacity and capability to undertake the research </w:t>
      </w:r>
      <w:r w:rsidR="00D8610D">
        <w:t>(WHO 2010)</w:t>
      </w:r>
      <w:r w:rsidR="00C14794">
        <w:t xml:space="preserve">. </w:t>
      </w:r>
      <w:r w:rsidR="00D8610D" w:rsidRPr="00AE6A4B">
        <w:t xml:space="preserve">Connect Health </w:t>
      </w:r>
      <w:r w:rsidR="00946433">
        <w:t>&amp;</w:t>
      </w:r>
      <w:r w:rsidR="00D8610D" w:rsidRPr="00AE6A4B">
        <w:t xml:space="preserve"> Community offer </w:t>
      </w:r>
      <w:r>
        <w:t>staff and volunteers</w:t>
      </w:r>
      <w:r w:rsidRPr="00AE6A4B">
        <w:t xml:space="preserve"> </w:t>
      </w:r>
      <w:r w:rsidR="00D8610D" w:rsidRPr="00AE6A4B">
        <w:t>a suite of individual interventions</w:t>
      </w:r>
      <w:r>
        <w:t xml:space="preserve"> that contribute to mental wellbeing,</w:t>
      </w:r>
      <w:r w:rsidR="00D8610D" w:rsidRPr="00AE6A4B">
        <w:t xml:space="preserve"> includ</w:t>
      </w:r>
      <w:r>
        <w:t>ing</w:t>
      </w:r>
      <w:r w:rsidR="00D8610D" w:rsidRPr="00AE6A4B">
        <w:t xml:space="preserve">: </w:t>
      </w:r>
    </w:p>
    <w:p w14:paraId="0E712E74" w14:textId="6C05CFE4" w:rsidR="00D8610D" w:rsidRPr="00AE6A4B" w:rsidRDefault="00D8610D" w:rsidP="00B01834">
      <w:pPr>
        <w:pStyle w:val="ListParagraph"/>
        <w:numPr>
          <w:ilvl w:val="0"/>
          <w:numId w:val="21"/>
        </w:numPr>
        <w:spacing w:after="0" w:line="276" w:lineRule="auto"/>
        <w:jc w:val="both"/>
      </w:pPr>
      <w:r w:rsidRPr="00AE6A4B">
        <w:t xml:space="preserve">The Family Violence Protection Act (Vic 2008) provides the workforce with an extra 20 annual leave days per calendar year </w:t>
      </w:r>
    </w:p>
    <w:p w14:paraId="270FDC67" w14:textId="77777777" w:rsidR="00D8610D" w:rsidRPr="00AE6A4B" w:rsidRDefault="00D8610D" w:rsidP="00B01834">
      <w:pPr>
        <w:pStyle w:val="ListParagraph"/>
        <w:numPr>
          <w:ilvl w:val="0"/>
          <w:numId w:val="21"/>
        </w:numPr>
        <w:spacing w:after="0" w:line="276" w:lineRule="auto"/>
        <w:jc w:val="both"/>
      </w:pPr>
      <w:r w:rsidRPr="00AE6A4B">
        <w:t>Provision of an Employee Assistance Program</w:t>
      </w:r>
    </w:p>
    <w:p w14:paraId="2687211A" w14:textId="6C2F0E21" w:rsidR="00D8610D" w:rsidRPr="00AE6A4B" w:rsidRDefault="00D8610D" w:rsidP="00B01834">
      <w:pPr>
        <w:pStyle w:val="ListParagraph"/>
        <w:numPr>
          <w:ilvl w:val="0"/>
          <w:numId w:val="21"/>
        </w:numPr>
        <w:spacing w:after="0" w:line="276" w:lineRule="auto"/>
        <w:jc w:val="both"/>
      </w:pPr>
      <w:r w:rsidRPr="00AE6A4B">
        <w:t xml:space="preserve">Clinical supervision and operational supervision </w:t>
      </w:r>
    </w:p>
    <w:p w14:paraId="290DB970" w14:textId="349F1538" w:rsidR="00D8610D" w:rsidRPr="00AE6A4B" w:rsidRDefault="00DD210C" w:rsidP="00B01834">
      <w:pPr>
        <w:pStyle w:val="ListParagraph"/>
        <w:numPr>
          <w:ilvl w:val="0"/>
          <w:numId w:val="21"/>
        </w:numPr>
        <w:spacing w:after="0" w:line="276" w:lineRule="auto"/>
        <w:jc w:val="both"/>
      </w:pPr>
      <w:r>
        <w:t>15 minute walk</w:t>
      </w:r>
      <w:r w:rsidR="00D8610D" w:rsidRPr="00AE6A4B">
        <w:t xml:space="preserve"> break</w:t>
      </w:r>
      <w:r>
        <w:t>,</w:t>
      </w:r>
      <w:r w:rsidR="00D8610D" w:rsidRPr="00AE6A4B">
        <w:t xml:space="preserve"> twice a week </w:t>
      </w:r>
    </w:p>
    <w:p w14:paraId="0E8FD31C" w14:textId="3CF8AAD2" w:rsidR="00D8610D" w:rsidRPr="00AE6A4B" w:rsidRDefault="00DD210C" w:rsidP="00B01834">
      <w:pPr>
        <w:pStyle w:val="ListParagraph"/>
        <w:numPr>
          <w:ilvl w:val="0"/>
          <w:numId w:val="21"/>
        </w:numPr>
        <w:spacing w:after="0" w:line="276" w:lineRule="auto"/>
        <w:jc w:val="both"/>
      </w:pPr>
      <w:r>
        <w:t>F</w:t>
      </w:r>
      <w:r w:rsidR="00D8610D" w:rsidRPr="00AE6A4B">
        <w:t>ortnightly mindful meditation session</w:t>
      </w:r>
      <w:r>
        <w:t>s</w:t>
      </w:r>
      <w:r w:rsidR="00D8610D" w:rsidRPr="00AE6A4B">
        <w:t xml:space="preserve"> conducted by an onsite Psychologist voluntarily</w:t>
      </w:r>
    </w:p>
    <w:p w14:paraId="3EA28F58" w14:textId="4456696C" w:rsidR="00D8610D" w:rsidRPr="00AE6A4B" w:rsidRDefault="00DD210C" w:rsidP="00B01834">
      <w:pPr>
        <w:pStyle w:val="ListParagraph"/>
        <w:numPr>
          <w:ilvl w:val="0"/>
          <w:numId w:val="21"/>
        </w:numPr>
        <w:spacing w:after="0" w:line="276" w:lineRule="auto"/>
        <w:jc w:val="both"/>
      </w:pPr>
      <w:r>
        <w:t>Quarterly h</w:t>
      </w:r>
      <w:r w:rsidR="00D8610D" w:rsidRPr="00AE6A4B">
        <w:t xml:space="preserve">ealthy </w:t>
      </w:r>
      <w:r>
        <w:t xml:space="preserve">shared </w:t>
      </w:r>
      <w:r w:rsidR="00D8610D" w:rsidRPr="00AE6A4B">
        <w:t>lunch</w:t>
      </w:r>
      <w:r>
        <w:t>es</w:t>
      </w:r>
      <w:r w:rsidR="00D8610D" w:rsidRPr="00AE6A4B">
        <w:t xml:space="preserve"> </w:t>
      </w:r>
    </w:p>
    <w:p w14:paraId="7D620951" w14:textId="1DEBA207" w:rsidR="00D8610D" w:rsidRPr="00AE6A4B" w:rsidRDefault="00DD210C" w:rsidP="00B01834">
      <w:pPr>
        <w:pStyle w:val="ListParagraph"/>
        <w:numPr>
          <w:ilvl w:val="0"/>
          <w:numId w:val="21"/>
        </w:numPr>
        <w:spacing w:after="0" w:line="276" w:lineRule="auto"/>
        <w:jc w:val="both"/>
      </w:pPr>
      <w:r>
        <w:t>T</w:t>
      </w:r>
      <w:r w:rsidR="00D8610D" w:rsidRPr="00AE6A4B">
        <w:t xml:space="preserve">raining for staff, volunteers, consumer reps and students to manage symptoms of vicarious trauma and workplace stress, workplace conflict, mental health first aid training. </w:t>
      </w:r>
    </w:p>
    <w:p w14:paraId="350C6D46" w14:textId="2E3E02C1" w:rsidR="00D8610D" w:rsidRPr="00AE6A4B" w:rsidRDefault="00DD210C" w:rsidP="00B01834">
      <w:pPr>
        <w:pStyle w:val="ListParagraph"/>
        <w:numPr>
          <w:ilvl w:val="0"/>
          <w:numId w:val="21"/>
        </w:numPr>
        <w:spacing w:after="0" w:line="276" w:lineRule="auto"/>
        <w:jc w:val="both"/>
      </w:pPr>
      <w:r>
        <w:t xml:space="preserve">A </w:t>
      </w:r>
      <w:r w:rsidR="00D8610D" w:rsidRPr="00AE6A4B">
        <w:t>time out room for individuals to engage in listening to relaxation music, read inspirational metaphors and participate in strengthening and gentle exercise.</w:t>
      </w:r>
    </w:p>
    <w:p w14:paraId="38C8F238" w14:textId="77777777" w:rsidR="00D8610D" w:rsidRPr="00AE6A4B" w:rsidRDefault="00D8610D" w:rsidP="00B01834">
      <w:pPr>
        <w:pStyle w:val="ListParagraph"/>
        <w:numPr>
          <w:ilvl w:val="0"/>
          <w:numId w:val="21"/>
        </w:numPr>
        <w:spacing w:after="0" w:line="276" w:lineRule="auto"/>
        <w:jc w:val="both"/>
      </w:pPr>
      <w:r w:rsidRPr="00AE6A4B">
        <w:lastRenderedPageBreak/>
        <w:t>Weekly yoga (whilst provides many physical benefits, this has assisted with managing stress and anxiety amongst staff who have participated)</w:t>
      </w:r>
    </w:p>
    <w:p w14:paraId="10011561" w14:textId="6F229D95" w:rsidR="00D8610D" w:rsidRPr="00AE6A4B" w:rsidRDefault="00DD210C" w:rsidP="00B01834">
      <w:pPr>
        <w:pStyle w:val="ListParagraph"/>
        <w:numPr>
          <w:ilvl w:val="0"/>
          <w:numId w:val="21"/>
        </w:numPr>
        <w:spacing w:after="0" w:line="276" w:lineRule="auto"/>
        <w:jc w:val="both"/>
      </w:pPr>
      <w:r>
        <w:t>C</w:t>
      </w:r>
      <w:r w:rsidR="00D8610D" w:rsidRPr="00AE6A4B">
        <w:t>reative art therapy opportunities</w:t>
      </w:r>
    </w:p>
    <w:p w14:paraId="149DE536" w14:textId="77777777" w:rsidR="00D8610D" w:rsidRPr="00AE6A4B" w:rsidRDefault="00D8610D" w:rsidP="00B01834">
      <w:pPr>
        <w:spacing w:after="0" w:line="276" w:lineRule="auto"/>
        <w:jc w:val="both"/>
      </w:pPr>
    </w:p>
    <w:p w14:paraId="086EFA39" w14:textId="75EF9433" w:rsidR="00D8610D" w:rsidRPr="00AE6A4B" w:rsidRDefault="00D8610D" w:rsidP="00B01834">
      <w:pPr>
        <w:spacing w:after="0" w:line="276" w:lineRule="auto"/>
        <w:jc w:val="both"/>
      </w:pPr>
      <w:r w:rsidRPr="00AE6A4B">
        <w:t>Connect Health</w:t>
      </w:r>
      <w:r w:rsidR="001A0F0B">
        <w:t xml:space="preserve"> &amp; Community has</w:t>
      </w:r>
      <w:r w:rsidRPr="00AE6A4B">
        <w:t xml:space="preserve"> </w:t>
      </w:r>
      <w:r w:rsidR="003070DE" w:rsidRPr="00AE6A4B">
        <w:t>implemented</w:t>
      </w:r>
      <w:r w:rsidRPr="00AE6A4B">
        <w:t xml:space="preserve"> organisational policies and interventions</w:t>
      </w:r>
      <w:r w:rsidR="003070DE">
        <w:t>,</w:t>
      </w:r>
      <w:r w:rsidRPr="00AE6A4B">
        <w:t xml:space="preserve"> including:  </w:t>
      </w:r>
    </w:p>
    <w:p w14:paraId="248219A0" w14:textId="412BB0C8" w:rsidR="00D8610D" w:rsidRPr="00AE6A4B" w:rsidRDefault="00D8610D" w:rsidP="00B01834">
      <w:pPr>
        <w:pStyle w:val="ListParagraph"/>
        <w:numPr>
          <w:ilvl w:val="0"/>
          <w:numId w:val="24"/>
        </w:numPr>
        <w:spacing w:after="0" w:line="276" w:lineRule="auto"/>
        <w:jc w:val="both"/>
      </w:pPr>
      <w:r w:rsidRPr="00AE6A4B">
        <w:t>Responding to vic</w:t>
      </w:r>
      <w:r w:rsidR="007E0F2F">
        <w:t>arious trauma in the workplace</w:t>
      </w:r>
    </w:p>
    <w:p w14:paraId="2E1DDC74" w14:textId="77777777" w:rsidR="00D8610D" w:rsidRPr="00AE6A4B" w:rsidRDefault="00D8610D" w:rsidP="00B01834">
      <w:pPr>
        <w:pStyle w:val="ListParagraph"/>
        <w:numPr>
          <w:ilvl w:val="0"/>
          <w:numId w:val="24"/>
        </w:numPr>
        <w:spacing w:after="0" w:line="276" w:lineRule="auto"/>
        <w:jc w:val="both"/>
      </w:pPr>
      <w:r w:rsidRPr="00AE6A4B">
        <w:t>Serious injury or illness of a staff member</w:t>
      </w:r>
    </w:p>
    <w:p w14:paraId="4A9F1300" w14:textId="48599E9D" w:rsidR="00D8610D" w:rsidRPr="00AE6A4B" w:rsidRDefault="00D8610D" w:rsidP="00B01834">
      <w:pPr>
        <w:pStyle w:val="ListParagraph"/>
        <w:numPr>
          <w:ilvl w:val="0"/>
          <w:numId w:val="24"/>
        </w:numPr>
        <w:spacing w:after="0" w:line="276" w:lineRule="auto"/>
        <w:jc w:val="both"/>
      </w:pPr>
      <w:r w:rsidRPr="00AE6A4B">
        <w:t>Access</w:t>
      </w:r>
      <w:r w:rsidR="007E0F2F">
        <w:t>,</w:t>
      </w:r>
      <w:r w:rsidRPr="00AE6A4B">
        <w:t xml:space="preserve"> equity and diversity, prevention and unlawful bullying harassment and violence policy</w:t>
      </w:r>
    </w:p>
    <w:p w14:paraId="53A8BE11" w14:textId="22ED0F8C" w:rsidR="00D8610D" w:rsidRPr="00AE6A4B" w:rsidRDefault="00D8610D" w:rsidP="00B01834">
      <w:pPr>
        <w:pStyle w:val="ListParagraph"/>
        <w:numPr>
          <w:ilvl w:val="0"/>
          <w:numId w:val="24"/>
        </w:numPr>
        <w:spacing w:after="0" w:line="276" w:lineRule="auto"/>
        <w:jc w:val="both"/>
      </w:pPr>
      <w:r w:rsidRPr="00AE6A4B">
        <w:t>Workplace gambling</w:t>
      </w:r>
      <w:r w:rsidR="007E0F2F">
        <w:t>;</w:t>
      </w:r>
      <w:r w:rsidRPr="00AE6A4B">
        <w:t xml:space="preserve"> and </w:t>
      </w:r>
    </w:p>
    <w:p w14:paraId="0B906E91" w14:textId="4D09DE38" w:rsidR="00D8610D" w:rsidRPr="00AE6A4B" w:rsidRDefault="00946433" w:rsidP="00B01834">
      <w:pPr>
        <w:pStyle w:val="ListParagraph"/>
        <w:numPr>
          <w:ilvl w:val="0"/>
          <w:numId w:val="24"/>
        </w:numPr>
        <w:spacing w:after="0" w:line="276" w:lineRule="auto"/>
        <w:jc w:val="both"/>
      </w:pPr>
      <w:r>
        <w:t>R</w:t>
      </w:r>
      <w:r w:rsidR="00D8610D" w:rsidRPr="00AE6A4B">
        <w:t>ecognition programs</w:t>
      </w:r>
    </w:p>
    <w:p w14:paraId="3EEE62BA" w14:textId="77777777" w:rsidR="00D8610D" w:rsidRPr="00AE6A4B" w:rsidRDefault="00D8610D" w:rsidP="00B01834">
      <w:pPr>
        <w:spacing w:after="0" w:line="276" w:lineRule="auto"/>
        <w:ind w:left="360"/>
        <w:jc w:val="both"/>
      </w:pPr>
    </w:p>
    <w:p w14:paraId="5A4E604C" w14:textId="05ED1E93" w:rsidR="00D8610D" w:rsidRPr="00AE6A4B" w:rsidRDefault="00D8610D" w:rsidP="00B01834">
      <w:pPr>
        <w:pStyle w:val="BodyText"/>
        <w:spacing w:after="0" w:line="276" w:lineRule="auto"/>
        <w:jc w:val="both"/>
        <w:rPr>
          <w:lang w:eastAsia="en-AU"/>
        </w:rPr>
      </w:pPr>
      <w:r w:rsidRPr="00AE6A4B">
        <w:t xml:space="preserve">Further work needs to be considered </w:t>
      </w:r>
      <w:r w:rsidR="004A1CE1">
        <w:t xml:space="preserve">in Victoria, </w:t>
      </w:r>
      <w:r w:rsidRPr="00AE6A4B">
        <w:t>to adopt a whole</w:t>
      </w:r>
      <w:r w:rsidR="007E0F2F">
        <w:t xml:space="preserve"> of</w:t>
      </w:r>
      <w:r w:rsidRPr="00AE6A4B">
        <w:t xml:space="preserve"> organisational approach to addressing and preventing mental health symptoms amongst the workforce. Inclusion of the following interventions could </w:t>
      </w:r>
      <w:r w:rsidRPr="00AE6A4B">
        <w:rPr>
          <w:lang w:eastAsia="en-AU"/>
        </w:rPr>
        <w:t xml:space="preserve">greatly improve recovery, productivity and enhance mental wellbeing of </w:t>
      </w:r>
      <w:r>
        <w:rPr>
          <w:lang w:eastAsia="en-AU"/>
        </w:rPr>
        <w:t xml:space="preserve">employees, volunteers and indirectly the </w:t>
      </w:r>
      <w:r w:rsidRPr="00AE6A4B">
        <w:rPr>
          <w:lang w:eastAsia="en-AU"/>
        </w:rPr>
        <w:t xml:space="preserve">communities. These include: </w:t>
      </w:r>
    </w:p>
    <w:p w14:paraId="0BD11E93" w14:textId="6928D711" w:rsidR="00D8610D" w:rsidRPr="00AE6A4B" w:rsidRDefault="004A1CE1" w:rsidP="00B01834">
      <w:pPr>
        <w:pStyle w:val="ListParagraph"/>
        <w:numPr>
          <w:ilvl w:val="0"/>
          <w:numId w:val="25"/>
        </w:numPr>
        <w:spacing w:after="0" w:line="276" w:lineRule="auto"/>
        <w:jc w:val="both"/>
      </w:pPr>
      <w:r>
        <w:t>E</w:t>
      </w:r>
      <w:r w:rsidR="00D8610D" w:rsidRPr="00AE6A4B">
        <w:t>mploying a mental health workplace policy</w:t>
      </w:r>
      <w:r w:rsidR="004A3238">
        <w:t xml:space="preserve"> (Wo</w:t>
      </w:r>
      <w:r w:rsidR="00294F82">
        <w:t>rkSafe</w:t>
      </w:r>
      <w:r w:rsidR="004A3238">
        <w:t xml:space="preserve"> Australia 2019)</w:t>
      </w:r>
    </w:p>
    <w:p w14:paraId="708EB482" w14:textId="194668F6" w:rsidR="00D8610D" w:rsidRPr="00AE6A4B" w:rsidRDefault="004A1CE1" w:rsidP="00B01834">
      <w:pPr>
        <w:pStyle w:val="ListParagraph"/>
        <w:numPr>
          <w:ilvl w:val="0"/>
          <w:numId w:val="25"/>
        </w:numPr>
        <w:spacing w:after="0" w:line="276" w:lineRule="auto"/>
        <w:jc w:val="both"/>
      </w:pPr>
      <w:r>
        <w:t>I</w:t>
      </w:r>
      <w:r w:rsidR="00D8610D" w:rsidRPr="00AE6A4B">
        <w:t>ncreasing the number of sick days per calendar year to also include mental health leave for employees</w:t>
      </w:r>
    </w:p>
    <w:p w14:paraId="2DAFC787" w14:textId="04F19BC7" w:rsidR="00D8610D" w:rsidRPr="00AE6A4B" w:rsidRDefault="004A1CE1" w:rsidP="00B01834">
      <w:pPr>
        <w:pStyle w:val="ListParagraph"/>
        <w:numPr>
          <w:ilvl w:val="0"/>
          <w:numId w:val="25"/>
        </w:numPr>
        <w:spacing w:after="0" w:line="276" w:lineRule="auto"/>
        <w:jc w:val="both"/>
      </w:pPr>
      <w:r>
        <w:t>E</w:t>
      </w:r>
      <w:r w:rsidR="00D8610D" w:rsidRPr="00AE6A4B">
        <w:t>mploying working from home policies</w:t>
      </w:r>
    </w:p>
    <w:p w14:paraId="4B8659E3" w14:textId="4BC66C2A" w:rsidR="00D8610D" w:rsidRPr="00AE6A4B" w:rsidRDefault="004A1CE1" w:rsidP="00B01834">
      <w:pPr>
        <w:pStyle w:val="ListParagraph"/>
        <w:numPr>
          <w:ilvl w:val="0"/>
          <w:numId w:val="25"/>
        </w:numPr>
        <w:spacing w:after="0" w:line="276" w:lineRule="auto"/>
        <w:jc w:val="both"/>
      </w:pPr>
      <w:r>
        <w:t>F</w:t>
      </w:r>
      <w:r w:rsidR="00D8610D" w:rsidRPr="00AE6A4B">
        <w:t>lexible working conditions</w:t>
      </w:r>
    </w:p>
    <w:p w14:paraId="7C333D1E" w14:textId="390CEB44" w:rsidR="00D8610D" w:rsidRPr="00AE6A4B" w:rsidRDefault="004A1CE1" w:rsidP="00B01834">
      <w:pPr>
        <w:pStyle w:val="ListParagraph"/>
        <w:numPr>
          <w:ilvl w:val="0"/>
          <w:numId w:val="25"/>
        </w:numPr>
        <w:spacing w:after="0" w:line="276" w:lineRule="auto"/>
        <w:jc w:val="both"/>
      </w:pPr>
      <w:r>
        <w:t>M</w:t>
      </w:r>
      <w:r w:rsidR="00D8610D" w:rsidRPr="00AE6A4B">
        <w:t>anagement training in mental health to act as a first responder to support their staff and community members</w:t>
      </w:r>
    </w:p>
    <w:p w14:paraId="54BC9811" w14:textId="18F52E4F" w:rsidR="00D8610D" w:rsidRPr="00AE6A4B" w:rsidRDefault="004A1CE1" w:rsidP="00B01834">
      <w:pPr>
        <w:pStyle w:val="ListParagraph"/>
        <w:numPr>
          <w:ilvl w:val="0"/>
          <w:numId w:val="25"/>
        </w:numPr>
        <w:spacing w:after="0" w:line="276" w:lineRule="auto"/>
        <w:jc w:val="both"/>
      </w:pPr>
      <w:r>
        <w:t>U</w:t>
      </w:r>
      <w:r w:rsidR="00D8610D" w:rsidRPr="00AE6A4B">
        <w:t>ndertaking a mental health and wellbeing audit of staff which is incorporated as part of organisations accreditation process</w:t>
      </w:r>
    </w:p>
    <w:p w14:paraId="62229ADE" w14:textId="4545948B" w:rsidR="00D8610D" w:rsidRPr="00AE6A4B" w:rsidRDefault="00D8610D" w:rsidP="00B01834">
      <w:pPr>
        <w:pStyle w:val="ListParagraph"/>
        <w:numPr>
          <w:ilvl w:val="0"/>
          <w:numId w:val="25"/>
        </w:numPr>
        <w:spacing w:after="0" w:line="276" w:lineRule="auto"/>
        <w:jc w:val="both"/>
      </w:pPr>
      <w:r w:rsidRPr="00AE6A4B">
        <w:t>Integrated anti bullying training and programs (</w:t>
      </w:r>
      <w:r w:rsidR="00434D41">
        <w:t>that is provided in a  face to face, interactive training model</w:t>
      </w:r>
      <w:r w:rsidRPr="00AE6A4B">
        <w:t xml:space="preserve">) </w:t>
      </w:r>
    </w:p>
    <w:p w14:paraId="649C168E" w14:textId="0036B5E6" w:rsidR="00D8610D" w:rsidRPr="00AE6A4B" w:rsidRDefault="00D8610D" w:rsidP="00B01834">
      <w:pPr>
        <w:pStyle w:val="ListParagraph"/>
        <w:numPr>
          <w:ilvl w:val="0"/>
          <w:numId w:val="25"/>
        </w:numPr>
        <w:spacing w:after="0" w:line="276" w:lineRule="auto"/>
        <w:jc w:val="both"/>
      </w:pPr>
      <w:r w:rsidRPr="00AE6A4B">
        <w:t xml:space="preserve">Peer </w:t>
      </w:r>
      <w:r w:rsidR="001A0F0B">
        <w:t>educator</w:t>
      </w:r>
      <w:r w:rsidRPr="00AE6A4B">
        <w:t xml:space="preserve"> schemes</w:t>
      </w:r>
      <w:r w:rsidR="001A0F0B">
        <w:t>, provide</w:t>
      </w:r>
      <w:r w:rsidRPr="00AE6A4B">
        <w:t xml:space="preserve"> additional mental health training to key champions (not trained in mental health screening and response)</w:t>
      </w:r>
      <w:r w:rsidR="001A0F0B">
        <w:t xml:space="preserve"> within a workplace.</w:t>
      </w:r>
      <w:r w:rsidRPr="00AE6A4B">
        <w:t xml:space="preserve"> </w:t>
      </w:r>
      <w:r w:rsidR="001A0F0B">
        <w:t xml:space="preserve">This </w:t>
      </w:r>
      <w:r w:rsidRPr="00AE6A4B">
        <w:t xml:space="preserve">small group of employees provide support to </w:t>
      </w:r>
      <w:r w:rsidR="001A0F0B">
        <w:t xml:space="preserve">fellow </w:t>
      </w:r>
      <w:r w:rsidRPr="00AE6A4B">
        <w:t xml:space="preserve">employees and direct </w:t>
      </w:r>
      <w:r w:rsidR="001A0F0B">
        <w:t xml:space="preserve">colleagues </w:t>
      </w:r>
      <w:r w:rsidRPr="00AE6A4B">
        <w:t xml:space="preserve">to professional mental health services. </w:t>
      </w:r>
    </w:p>
    <w:p w14:paraId="531A329B" w14:textId="7099A6F2" w:rsidR="00D8610D" w:rsidRDefault="00D8610D" w:rsidP="00B01834">
      <w:pPr>
        <w:pStyle w:val="ListParagraph"/>
        <w:spacing w:after="0" w:line="276" w:lineRule="auto"/>
        <w:jc w:val="both"/>
      </w:pPr>
      <w:r w:rsidRPr="00AE6A4B">
        <w:t>(Glozier, N, WorkSafe NSW, 2017</w:t>
      </w:r>
      <w:r>
        <w:t>, HeadsUp 2015).</w:t>
      </w:r>
    </w:p>
    <w:p w14:paraId="51A6786A" w14:textId="75BD95CA" w:rsidR="002861EF" w:rsidRDefault="002861EF" w:rsidP="002861EF">
      <w:pPr>
        <w:pStyle w:val="ListParagraph"/>
        <w:numPr>
          <w:ilvl w:val="0"/>
          <w:numId w:val="25"/>
        </w:numPr>
        <w:spacing w:after="0" w:line="276" w:lineRule="auto"/>
        <w:jc w:val="both"/>
      </w:pPr>
      <w:r>
        <w:t>Ensuring services have a clear scope of practice and clear referral pathways when a client presents with issues that are outside a service’s scope of practice.</w:t>
      </w:r>
    </w:p>
    <w:p w14:paraId="03A5A777" w14:textId="77777777" w:rsidR="00093FD3" w:rsidRDefault="00093FD3" w:rsidP="005A458F">
      <w:pPr>
        <w:spacing w:after="0" w:line="276" w:lineRule="auto"/>
        <w:jc w:val="both"/>
        <w:rPr>
          <w:rFonts w:cstheme="minorHAnsi"/>
        </w:rPr>
      </w:pPr>
    </w:p>
    <w:p w14:paraId="2A50F8BA" w14:textId="77777777" w:rsidR="001F09D4" w:rsidRPr="008741C7" w:rsidRDefault="001F09D4" w:rsidP="008741C7">
      <w:pPr>
        <w:spacing w:after="0" w:line="276" w:lineRule="auto"/>
        <w:jc w:val="both"/>
        <w:rPr>
          <w:rFonts w:cstheme="minorHAnsi"/>
          <w:sz w:val="28"/>
        </w:rPr>
      </w:pPr>
      <w:r w:rsidRPr="008741C7">
        <w:rPr>
          <w:rFonts w:cstheme="minorHAnsi"/>
          <w:b/>
          <w:sz w:val="28"/>
        </w:rPr>
        <w:t>Funding Arrangements</w:t>
      </w:r>
    </w:p>
    <w:p w14:paraId="26FA940F" w14:textId="77777777" w:rsidR="00A822B2" w:rsidRPr="00DB17EB" w:rsidRDefault="00BE60F3" w:rsidP="00A822B2">
      <w:pPr>
        <w:pStyle w:val="InformationRequestBullet"/>
        <w:numPr>
          <w:ilvl w:val="0"/>
          <w:numId w:val="0"/>
        </w:numPr>
        <w:spacing w:before="0" w:line="276" w:lineRule="auto"/>
        <w:rPr>
          <w:rFonts w:asciiTheme="minorHAnsi" w:hAnsiTheme="minorHAnsi" w:cstheme="minorHAnsi"/>
          <w:b/>
          <w:i w:val="0"/>
        </w:rPr>
      </w:pPr>
      <w:r w:rsidRPr="00DB17EB">
        <w:rPr>
          <w:rFonts w:asciiTheme="minorHAnsi" w:hAnsiTheme="minorHAnsi" w:cstheme="minorHAnsi"/>
          <w:b/>
        </w:rPr>
        <w:t>What have been the drivers of the growth in mental health expenditure in Australia? Are these same forces likely to continue driving expenditure growth in the future? What new drivers are likely to emerge in the future?</w:t>
      </w:r>
      <w:r w:rsidR="00A822B2">
        <w:rPr>
          <w:rFonts w:asciiTheme="minorHAnsi" w:hAnsiTheme="minorHAnsi" w:cstheme="minorHAnsi"/>
          <w:b/>
        </w:rPr>
        <w:t xml:space="preserve"> </w:t>
      </w:r>
      <w:r w:rsidR="00A822B2" w:rsidRPr="00DB17EB">
        <w:rPr>
          <w:rFonts w:asciiTheme="minorHAnsi" w:hAnsiTheme="minorHAnsi" w:cstheme="minorHAnsi"/>
          <w:b/>
        </w:rPr>
        <w:t>Can you provide specific examples of sub-optimal policy outcomes that result from any problems with existing funding arrangements?</w:t>
      </w:r>
      <w:r w:rsidR="00A822B2">
        <w:rPr>
          <w:rFonts w:asciiTheme="minorHAnsi" w:hAnsiTheme="minorHAnsi" w:cstheme="minorHAnsi"/>
          <w:b/>
        </w:rPr>
        <w:t xml:space="preserve"> </w:t>
      </w:r>
      <w:r w:rsidR="00A822B2" w:rsidRPr="00DB17EB">
        <w:rPr>
          <w:rFonts w:asciiTheme="minorHAnsi" w:hAnsiTheme="minorHAnsi" w:cstheme="minorHAnsi"/>
          <w:b/>
        </w:rPr>
        <w:t>How could funding arrangements be reformed to better incentivise service providers to deliver good outcomes, and facilitate coordination between government agencies and across tiers of government? Are the current arrangements for commissioning and funding mental health services — such as through government departments, PHNs or non-government bodies — delivering the best outcomes for consumers? If not, how can they be improved?</w:t>
      </w:r>
    </w:p>
    <w:p w14:paraId="0C9B3FBC" w14:textId="77777777" w:rsidR="007C68C6" w:rsidRPr="008741C7" w:rsidRDefault="007C68C6" w:rsidP="008741C7">
      <w:pPr>
        <w:pStyle w:val="ListParagraph"/>
        <w:spacing w:after="0" w:line="276" w:lineRule="auto"/>
        <w:jc w:val="both"/>
        <w:rPr>
          <w:rFonts w:cstheme="minorHAnsi"/>
        </w:rPr>
      </w:pPr>
    </w:p>
    <w:p w14:paraId="6265A67B" w14:textId="42DD69C1" w:rsidR="00A77CCC" w:rsidRPr="008C56BB" w:rsidRDefault="005919D4" w:rsidP="00A77CCC">
      <w:pPr>
        <w:pStyle w:val="BodyText"/>
        <w:spacing w:after="0" w:line="276" w:lineRule="auto"/>
        <w:jc w:val="both"/>
      </w:pPr>
      <w:r>
        <w:rPr>
          <w:rFonts w:cstheme="minorHAnsi"/>
          <w:lang w:eastAsia="en-AU"/>
        </w:rPr>
        <w:t>Cumulative factors are driving growth in mental health expenditure in Australia; poverty, isolation, urbanisation, discrimination,</w:t>
      </w:r>
      <w:r w:rsidR="00396458">
        <w:rPr>
          <w:rFonts w:cstheme="minorHAnsi"/>
          <w:lang w:eastAsia="en-AU"/>
        </w:rPr>
        <w:t xml:space="preserve"> social media,</w:t>
      </w:r>
      <w:r>
        <w:rPr>
          <w:rFonts w:cstheme="minorHAnsi"/>
          <w:lang w:eastAsia="en-AU"/>
        </w:rPr>
        <w:t xml:space="preserve"> poor nutrition, climate change, </w:t>
      </w:r>
      <w:r w:rsidR="00A77CCC">
        <w:rPr>
          <w:rFonts w:cstheme="minorHAnsi"/>
          <w:lang w:eastAsia="en-AU"/>
        </w:rPr>
        <w:t xml:space="preserve">displacement and war. These </w:t>
      </w:r>
      <w:r w:rsidR="00A77CCC">
        <w:rPr>
          <w:rFonts w:cstheme="minorHAnsi"/>
          <w:lang w:eastAsia="en-AU"/>
        </w:rPr>
        <w:lastRenderedPageBreak/>
        <w:t xml:space="preserve">are issues entrenched in </w:t>
      </w:r>
      <w:r w:rsidR="00A77CCC">
        <w:t>the unequal distribution of power, money and resources.</w:t>
      </w:r>
      <w:r w:rsidR="008C56BB" w:rsidRPr="008C56BB">
        <w:rPr>
          <w:rFonts w:cstheme="minorHAnsi"/>
          <w:lang w:eastAsia="en-AU"/>
        </w:rPr>
        <w:t xml:space="preserve"> </w:t>
      </w:r>
      <w:r w:rsidR="008C56BB">
        <w:rPr>
          <w:rFonts w:cstheme="minorHAnsi"/>
          <w:lang w:eastAsia="en-AU"/>
        </w:rPr>
        <w:t>Global issues have a local impact.</w:t>
      </w:r>
      <w:r w:rsidR="008C56BB">
        <w:t xml:space="preserve"> For example, the way in which the media report on population groups and key issues can directly influence stigma, hate and self-esteem</w:t>
      </w:r>
      <w:r w:rsidR="00F524D6">
        <w:t>, through prominence and validation of discrimination</w:t>
      </w:r>
      <w:r w:rsidR="008C56BB">
        <w:t>.</w:t>
      </w:r>
    </w:p>
    <w:p w14:paraId="2833926A" w14:textId="77777777" w:rsidR="005919D4" w:rsidRDefault="005919D4" w:rsidP="008741C7">
      <w:pPr>
        <w:pStyle w:val="BodyText"/>
        <w:spacing w:after="0" w:line="276" w:lineRule="auto"/>
        <w:jc w:val="both"/>
        <w:rPr>
          <w:rFonts w:cstheme="minorHAnsi"/>
          <w:lang w:eastAsia="en-AU"/>
        </w:rPr>
      </w:pPr>
    </w:p>
    <w:p w14:paraId="76FEBA20" w14:textId="0A6866E5" w:rsidR="00D314CB" w:rsidRDefault="00D314CB" w:rsidP="008741C7">
      <w:pPr>
        <w:pStyle w:val="BodyText"/>
        <w:spacing w:after="0" w:line="276" w:lineRule="auto"/>
        <w:jc w:val="both"/>
        <w:rPr>
          <w:rFonts w:cstheme="minorHAnsi"/>
          <w:lang w:eastAsia="en-AU"/>
        </w:rPr>
      </w:pPr>
      <w:r w:rsidRPr="00396458">
        <w:rPr>
          <w:rFonts w:cstheme="minorHAnsi"/>
          <w:lang w:eastAsia="en-AU"/>
        </w:rPr>
        <w:t xml:space="preserve">Climate change is an emerging driver for shifts in mental health </w:t>
      </w:r>
      <w:r w:rsidR="00501A64" w:rsidRPr="00396458">
        <w:rPr>
          <w:rFonts w:cstheme="minorHAnsi"/>
          <w:lang w:eastAsia="en-AU"/>
        </w:rPr>
        <w:t xml:space="preserve">service </w:t>
      </w:r>
      <w:r w:rsidRPr="00396458">
        <w:rPr>
          <w:rFonts w:cstheme="minorHAnsi"/>
          <w:lang w:eastAsia="en-AU"/>
        </w:rPr>
        <w:t>demand. Changes in weather</w:t>
      </w:r>
      <w:r>
        <w:rPr>
          <w:rFonts w:cstheme="minorHAnsi"/>
          <w:lang w:eastAsia="en-AU"/>
        </w:rPr>
        <w:t xml:space="preserve"> dramatically influence individual and community wellbeing. Natural disasters greatly impact productivity</w:t>
      </w:r>
      <w:r w:rsidR="00501A64">
        <w:rPr>
          <w:rFonts w:cstheme="minorHAnsi"/>
          <w:lang w:eastAsia="en-AU"/>
        </w:rPr>
        <w:t xml:space="preserve"> and employment</w:t>
      </w:r>
      <w:r>
        <w:rPr>
          <w:rFonts w:cstheme="minorHAnsi"/>
          <w:lang w:eastAsia="en-AU"/>
        </w:rPr>
        <w:t xml:space="preserve">, </w:t>
      </w:r>
      <w:r w:rsidR="00501A64">
        <w:rPr>
          <w:rFonts w:cstheme="minorHAnsi"/>
          <w:lang w:eastAsia="en-AU"/>
        </w:rPr>
        <w:t>i</w:t>
      </w:r>
      <w:r>
        <w:rPr>
          <w:rFonts w:cstheme="minorHAnsi"/>
          <w:lang w:eastAsia="en-AU"/>
        </w:rPr>
        <w:t>ncreas</w:t>
      </w:r>
      <w:r w:rsidR="00501A64">
        <w:rPr>
          <w:rFonts w:cstheme="minorHAnsi"/>
          <w:lang w:eastAsia="en-AU"/>
        </w:rPr>
        <w:t>e</w:t>
      </w:r>
      <w:r>
        <w:rPr>
          <w:rFonts w:cstheme="minorHAnsi"/>
          <w:lang w:eastAsia="en-AU"/>
        </w:rPr>
        <w:t xml:space="preserve"> living expenses</w:t>
      </w:r>
      <w:r w:rsidR="00501A64">
        <w:rPr>
          <w:rFonts w:cstheme="minorHAnsi"/>
          <w:lang w:eastAsia="en-AU"/>
        </w:rPr>
        <w:t>,</w:t>
      </w:r>
      <w:r>
        <w:rPr>
          <w:rFonts w:cstheme="minorHAnsi"/>
          <w:lang w:eastAsia="en-AU"/>
        </w:rPr>
        <w:t xml:space="preserve"> </w:t>
      </w:r>
      <w:r w:rsidR="00501A64">
        <w:rPr>
          <w:rFonts w:cstheme="minorHAnsi"/>
          <w:lang w:eastAsia="en-AU"/>
        </w:rPr>
        <w:t xml:space="preserve">restrict access to </w:t>
      </w:r>
      <w:r>
        <w:rPr>
          <w:rFonts w:cstheme="minorHAnsi"/>
          <w:lang w:eastAsia="en-AU"/>
        </w:rPr>
        <w:t>afford</w:t>
      </w:r>
      <w:r w:rsidR="00501A64">
        <w:rPr>
          <w:rFonts w:cstheme="minorHAnsi"/>
          <w:lang w:eastAsia="en-AU"/>
        </w:rPr>
        <w:t xml:space="preserve">able and </w:t>
      </w:r>
      <w:r>
        <w:rPr>
          <w:rFonts w:cstheme="minorHAnsi"/>
          <w:lang w:eastAsia="en-AU"/>
        </w:rPr>
        <w:t>nutritious food</w:t>
      </w:r>
      <w:r w:rsidR="001A0F0B">
        <w:rPr>
          <w:rFonts w:cstheme="minorHAnsi"/>
          <w:lang w:eastAsia="en-AU"/>
        </w:rPr>
        <w:t>,</w:t>
      </w:r>
      <w:r w:rsidR="003E5660">
        <w:rPr>
          <w:rFonts w:cstheme="minorHAnsi"/>
          <w:lang w:eastAsia="en-AU"/>
        </w:rPr>
        <w:t xml:space="preserve"> and impinge on people’s basic human rights. These pressures and stress can have negative influences on the mental wellbeing of a person, for example the loss of a home due to fire can trigger the onset of depression. </w:t>
      </w:r>
    </w:p>
    <w:p w14:paraId="2C7E8796" w14:textId="74C6A510" w:rsidR="003313B4" w:rsidRDefault="003313B4" w:rsidP="008741C7">
      <w:pPr>
        <w:pStyle w:val="BodyText"/>
        <w:spacing w:after="0" w:line="276" w:lineRule="auto"/>
        <w:jc w:val="both"/>
        <w:rPr>
          <w:rFonts w:cstheme="minorHAnsi"/>
          <w:lang w:eastAsia="en-AU"/>
        </w:rPr>
      </w:pPr>
    </w:p>
    <w:p w14:paraId="13814E03" w14:textId="00CA848F" w:rsidR="00E62472" w:rsidRDefault="00F00414" w:rsidP="00E62472">
      <w:pPr>
        <w:pStyle w:val="BodyText"/>
        <w:spacing w:after="0" w:line="276" w:lineRule="auto"/>
        <w:jc w:val="both"/>
        <w:rPr>
          <w:rFonts w:cstheme="minorHAnsi"/>
          <w:lang w:eastAsia="en-AU"/>
        </w:rPr>
      </w:pPr>
      <w:r>
        <w:rPr>
          <w:rFonts w:cstheme="minorHAnsi"/>
          <w:lang w:eastAsia="en-AU"/>
        </w:rPr>
        <w:t xml:space="preserve">Shifting the proportion of mental health expenditure from </w:t>
      </w:r>
      <w:r w:rsidR="00396458">
        <w:rPr>
          <w:rFonts w:cstheme="minorHAnsi"/>
          <w:lang w:eastAsia="en-AU"/>
        </w:rPr>
        <w:t xml:space="preserve">treatment </w:t>
      </w:r>
      <w:r>
        <w:rPr>
          <w:rFonts w:cstheme="minorHAnsi"/>
          <w:lang w:eastAsia="en-AU"/>
        </w:rPr>
        <w:t xml:space="preserve">to </w:t>
      </w:r>
      <w:r w:rsidR="00396458">
        <w:rPr>
          <w:rFonts w:cstheme="minorHAnsi"/>
          <w:lang w:eastAsia="en-AU"/>
        </w:rPr>
        <w:t>prevention</w:t>
      </w:r>
      <w:r>
        <w:rPr>
          <w:rFonts w:cstheme="minorHAnsi"/>
          <w:lang w:eastAsia="en-AU"/>
        </w:rPr>
        <w:t xml:space="preserve"> </w:t>
      </w:r>
      <w:r w:rsidR="001D3EB2">
        <w:rPr>
          <w:rFonts w:cstheme="minorHAnsi"/>
          <w:lang w:eastAsia="en-AU"/>
        </w:rPr>
        <w:t>can only be achieved with funding changes</w:t>
      </w:r>
      <w:r>
        <w:rPr>
          <w:rFonts w:cstheme="minorHAnsi"/>
          <w:lang w:eastAsia="en-AU"/>
        </w:rPr>
        <w:t>. For example, increasing</w:t>
      </w:r>
      <w:r w:rsidR="001D3EB2">
        <w:rPr>
          <w:rFonts w:cstheme="minorHAnsi"/>
          <w:lang w:eastAsia="en-AU"/>
        </w:rPr>
        <w:t xml:space="preserve"> health promotion funding</w:t>
      </w:r>
      <w:r>
        <w:rPr>
          <w:rFonts w:cstheme="minorHAnsi"/>
          <w:lang w:eastAsia="en-AU"/>
        </w:rPr>
        <w:t>,</w:t>
      </w:r>
      <w:r w:rsidR="001D3EB2">
        <w:rPr>
          <w:rFonts w:cstheme="minorHAnsi"/>
          <w:lang w:eastAsia="en-AU"/>
        </w:rPr>
        <w:t xml:space="preserve"> </w:t>
      </w:r>
      <w:r>
        <w:rPr>
          <w:rFonts w:cstheme="minorHAnsi"/>
          <w:lang w:eastAsia="en-AU"/>
        </w:rPr>
        <w:t xml:space="preserve">introducing </w:t>
      </w:r>
      <w:r w:rsidR="0074261F">
        <w:rPr>
          <w:rFonts w:cstheme="minorHAnsi"/>
          <w:lang w:eastAsia="en-AU"/>
        </w:rPr>
        <w:t xml:space="preserve">diverse and </w:t>
      </w:r>
      <w:r w:rsidR="001D3EB2">
        <w:rPr>
          <w:rFonts w:cstheme="minorHAnsi"/>
          <w:lang w:eastAsia="en-AU"/>
        </w:rPr>
        <w:t xml:space="preserve">flexible funding to </w:t>
      </w:r>
      <w:r>
        <w:rPr>
          <w:rFonts w:cstheme="minorHAnsi"/>
          <w:lang w:eastAsia="en-AU"/>
        </w:rPr>
        <w:t>facilitate</w:t>
      </w:r>
      <w:r w:rsidR="001D3EB2">
        <w:rPr>
          <w:rFonts w:cstheme="minorHAnsi"/>
          <w:lang w:eastAsia="en-AU"/>
        </w:rPr>
        <w:t xml:space="preserve"> service providers in delivering prevention and early intervention based strategies</w:t>
      </w:r>
      <w:r>
        <w:rPr>
          <w:rFonts w:cstheme="minorHAnsi"/>
          <w:lang w:eastAsia="en-AU"/>
        </w:rPr>
        <w:t>, outcome based funding for acute, sub-acute and community services and incentive based funding models</w:t>
      </w:r>
      <w:r w:rsidR="001D3EB2">
        <w:rPr>
          <w:rFonts w:cstheme="minorHAnsi"/>
          <w:lang w:eastAsia="en-AU"/>
        </w:rPr>
        <w:t>.</w:t>
      </w:r>
      <w:r>
        <w:rPr>
          <w:rFonts w:cstheme="minorHAnsi"/>
          <w:lang w:eastAsia="en-AU"/>
        </w:rPr>
        <w:t xml:space="preserve"> </w:t>
      </w:r>
      <w:r w:rsidR="001D3EB2">
        <w:rPr>
          <w:rFonts w:cstheme="minorHAnsi"/>
          <w:lang w:eastAsia="en-AU"/>
        </w:rPr>
        <w:t xml:space="preserve"> </w:t>
      </w:r>
    </w:p>
    <w:p w14:paraId="251ED13F" w14:textId="77777777" w:rsidR="00F00414" w:rsidRDefault="00F00414" w:rsidP="00F00414">
      <w:pPr>
        <w:pStyle w:val="BodyText"/>
        <w:spacing w:after="0" w:line="276" w:lineRule="auto"/>
        <w:jc w:val="both"/>
        <w:rPr>
          <w:rFonts w:cstheme="minorHAnsi"/>
          <w:lang w:eastAsia="en-AU"/>
        </w:rPr>
      </w:pPr>
    </w:p>
    <w:p w14:paraId="21A87ABE" w14:textId="5B1698C1" w:rsidR="003344CF" w:rsidRDefault="0002530E" w:rsidP="008741C7">
      <w:pPr>
        <w:pStyle w:val="BodyText"/>
        <w:spacing w:after="0" w:line="276" w:lineRule="auto"/>
        <w:jc w:val="both"/>
        <w:rPr>
          <w:rFonts w:cstheme="minorHAnsi"/>
          <w:lang w:eastAsia="en-AU"/>
        </w:rPr>
      </w:pPr>
      <w:r>
        <w:rPr>
          <w:rFonts w:cstheme="minorHAnsi"/>
          <w:lang w:eastAsia="en-AU"/>
        </w:rPr>
        <w:t>Service funding arrangements differ according to the service or sector</w:t>
      </w:r>
      <w:r w:rsidR="00387593">
        <w:rPr>
          <w:rFonts w:cstheme="minorHAnsi"/>
          <w:lang w:eastAsia="en-AU"/>
        </w:rPr>
        <w:t xml:space="preserve">. The challenge faced is </w:t>
      </w:r>
      <w:r w:rsidR="00946433">
        <w:rPr>
          <w:rFonts w:cstheme="minorHAnsi"/>
          <w:lang w:eastAsia="en-AU"/>
        </w:rPr>
        <w:t xml:space="preserve">that </w:t>
      </w:r>
      <w:r w:rsidR="00387593">
        <w:rPr>
          <w:rFonts w:cstheme="minorHAnsi"/>
          <w:lang w:eastAsia="en-AU"/>
        </w:rPr>
        <w:t>the funding incentive is often based on episodic care rather than client outcomes and sustained client wellbeing. Achieving optimal wellbeing and sustained functioning for a client needs to be valued over seeing a client for five visits or ten visits. Episodic service models that exist in alcohol and other drug services provide capped sessions with case management, which provides the wrap</w:t>
      </w:r>
      <w:r w:rsidR="001A0F0B">
        <w:rPr>
          <w:rFonts w:cstheme="minorHAnsi"/>
          <w:lang w:eastAsia="en-AU"/>
        </w:rPr>
        <w:t>-</w:t>
      </w:r>
      <w:r w:rsidR="00387593">
        <w:rPr>
          <w:rFonts w:cstheme="minorHAnsi"/>
          <w:lang w:eastAsia="en-AU"/>
        </w:rPr>
        <w:t>around support to address underlying determinants. Although</w:t>
      </w:r>
      <w:r w:rsidR="0074261F">
        <w:rPr>
          <w:rFonts w:cstheme="minorHAnsi"/>
          <w:lang w:eastAsia="en-AU"/>
        </w:rPr>
        <w:t>,</w:t>
      </w:r>
      <w:r w:rsidR="00387593">
        <w:rPr>
          <w:rFonts w:cstheme="minorHAnsi"/>
          <w:lang w:eastAsia="en-AU"/>
        </w:rPr>
        <w:t xml:space="preserve"> gambling se</w:t>
      </w:r>
      <w:r w:rsidR="0074261F">
        <w:rPr>
          <w:rFonts w:cstheme="minorHAnsi"/>
          <w:lang w:eastAsia="en-AU"/>
        </w:rPr>
        <w:t>rvices have a counselling model that allows</w:t>
      </w:r>
      <w:r w:rsidR="00387593">
        <w:rPr>
          <w:rFonts w:cstheme="minorHAnsi"/>
          <w:lang w:eastAsia="en-AU"/>
        </w:rPr>
        <w:t xml:space="preserve"> clients to be seen over a longer period but </w:t>
      </w:r>
      <w:r w:rsidR="0074261F">
        <w:rPr>
          <w:rFonts w:cstheme="minorHAnsi"/>
          <w:lang w:eastAsia="en-AU"/>
        </w:rPr>
        <w:t xml:space="preserve">are unable to provide </w:t>
      </w:r>
      <w:r w:rsidR="00387593">
        <w:rPr>
          <w:rFonts w:cstheme="minorHAnsi"/>
          <w:lang w:eastAsia="en-AU"/>
        </w:rPr>
        <w:t>case management support</w:t>
      </w:r>
      <w:r w:rsidR="0074261F">
        <w:rPr>
          <w:rFonts w:cstheme="minorHAnsi"/>
          <w:lang w:eastAsia="en-AU"/>
        </w:rPr>
        <w:t xml:space="preserve"> due to funding limitations</w:t>
      </w:r>
      <w:r w:rsidR="00387593">
        <w:rPr>
          <w:rFonts w:cstheme="minorHAnsi"/>
          <w:lang w:eastAsia="en-AU"/>
        </w:rPr>
        <w:t>. The majority of gambling clients who present have a co-occurring issue with (but not limited to) family violence, drug and alcohol misuse, housing stress and</w:t>
      </w:r>
      <w:r w:rsidR="0074261F">
        <w:rPr>
          <w:rFonts w:cstheme="minorHAnsi"/>
          <w:lang w:eastAsia="en-AU"/>
        </w:rPr>
        <w:t>/or</w:t>
      </w:r>
      <w:r w:rsidR="00387593">
        <w:rPr>
          <w:rFonts w:cstheme="minorHAnsi"/>
          <w:lang w:eastAsia="en-AU"/>
        </w:rPr>
        <w:t xml:space="preserve"> employment concerns. </w:t>
      </w:r>
    </w:p>
    <w:p w14:paraId="4922F4A5" w14:textId="5D103635" w:rsidR="00387593" w:rsidRDefault="00387593" w:rsidP="008741C7">
      <w:pPr>
        <w:pStyle w:val="BodyText"/>
        <w:spacing w:after="0" w:line="276" w:lineRule="auto"/>
        <w:jc w:val="both"/>
        <w:rPr>
          <w:rFonts w:cstheme="minorHAnsi"/>
          <w:lang w:eastAsia="en-AU"/>
        </w:rPr>
      </w:pPr>
    </w:p>
    <w:p w14:paraId="51FC680B" w14:textId="201C657F" w:rsidR="00387593" w:rsidRDefault="00387593" w:rsidP="008741C7">
      <w:pPr>
        <w:pStyle w:val="BodyText"/>
        <w:spacing w:after="0" w:line="276" w:lineRule="auto"/>
        <w:jc w:val="both"/>
        <w:rPr>
          <w:rFonts w:cstheme="minorHAnsi"/>
          <w:lang w:eastAsia="en-AU"/>
        </w:rPr>
      </w:pPr>
      <w:r>
        <w:rPr>
          <w:rFonts w:cstheme="minorHAnsi"/>
          <w:lang w:eastAsia="en-AU"/>
        </w:rPr>
        <w:t xml:space="preserve">Inconsistency </w:t>
      </w:r>
      <w:r w:rsidR="00521A3B">
        <w:rPr>
          <w:rFonts w:cstheme="minorHAnsi"/>
          <w:lang w:eastAsia="en-AU"/>
        </w:rPr>
        <w:t>in</w:t>
      </w:r>
      <w:r>
        <w:rPr>
          <w:rFonts w:cstheme="minorHAnsi"/>
          <w:lang w:eastAsia="en-AU"/>
        </w:rPr>
        <w:t xml:space="preserve"> care provided </w:t>
      </w:r>
      <w:r w:rsidR="00521A3B">
        <w:rPr>
          <w:rFonts w:cstheme="minorHAnsi"/>
          <w:lang w:eastAsia="en-AU"/>
        </w:rPr>
        <w:t>depends on where a person enters the health system, and this can alter the outcomes achieved short and long term for the individual and their respective dependents and/or carer/s.</w:t>
      </w:r>
    </w:p>
    <w:p w14:paraId="7C6E887B" w14:textId="3776E499" w:rsidR="009D560E" w:rsidRDefault="009D560E" w:rsidP="008741C7">
      <w:pPr>
        <w:pStyle w:val="BodyText"/>
        <w:spacing w:after="0" w:line="276" w:lineRule="auto"/>
        <w:jc w:val="both"/>
        <w:rPr>
          <w:rFonts w:cstheme="minorHAnsi"/>
          <w:lang w:eastAsia="en-AU"/>
        </w:rPr>
      </w:pPr>
    </w:p>
    <w:p w14:paraId="672C9C9E" w14:textId="23ADFC13" w:rsidR="009D560E" w:rsidRDefault="009D560E" w:rsidP="008741C7">
      <w:pPr>
        <w:pStyle w:val="BodyText"/>
        <w:spacing w:after="0" w:line="276" w:lineRule="auto"/>
        <w:jc w:val="both"/>
        <w:rPr>
          <w:rFonts w:cstheme="minorHAnsi"/>
          <w:lang w:eastAsia="en-AU"/>
        </w:rPr>
      </w:pPr>
      <w:r>
        <w:rPr>
          <w:rFonts w:cstheme="minorHAnsi"/>
          <w:lang w:eastAsia="en-AU"/>
        </w:rPr>
        <w:t>Episodic funding models constrain service provider capacity, restricting their work to providing intervention and treatment services to clients. Mental health practitioners have insights and expertise to inform</w:t>
      </w:r>
      <w:r w:rsidR="003C4486">
        <w:rPr>
          <w:rFonts w:cstheme="minorHAnsi"/>
          <w:lang w:eastAsia="en-AU"/>
        </w:rPr>
        <w:t xml:space="preserve"> prevention work</w:t>
      </w:r>
      <w:r>
        <w:rPr>
          <w:rFonts w:cstheme="minorHAnsi"/>
          <w:lang w:eastAsia="en-AU"/>
        </w:rPr>
        <w:t xml:space="preserve"> and relevant skills to deliver prevention initiatives</w:t>
      </w:r>
      <w:r w:rsidR="00737374">
        <w:rPr>
          <w:rFonts w:cstheme="minorHAnsi"/>
          <w:lang w:eastAsia="en-AU"/>
        </w:rPr>
        <w:t xml:space="preserve"> in collaboration with health promotion and public health practitioners</w:t>
      </w:r>
      <w:r>
        <w:rPr>
          <w:rFonts w:cstheme="minorHAnsi"/>
          <w:lang w:eastAsia="en-AU"/>
        </w:rPr>
        <w:t>. Where funding models are output</w:t>
      </w:r>
      <w:r w:rsidR="001A0F0B">
        <w:rPr>
          <w:rFonts w:cstheme="minorHAnsi"/>
          <w:lang w:eastAsia="en-AU"/>
        </w:rPr>
        <w:t>-</w:t>
      </w:r>
      <w:r>
        <w:rPr>
          <w:rFonts w:cstheme="minorHAnsi"/>
          <w:lang w:eastAsia="en-AU"/>
        </w:rPr>
        <w:t>based</w:t>
      </w:r>
      <w:r w:rsidR="00737374">
        <w:rPr>
          <w:rFonts w:cstheme="minorHAnsi"/>
          <w:lang w:eastAsia="en-AU"/>
        </w:rPr>
        <w:t>,</w:t>
      </w:r>
      <w:r>
        <w:rPr>
          <w:rFonts w:cstheme="minorHAnsi"/>
          <w:lang w:eastAsia="en-AU"/>
        </w:rPr>
        <w:t xml:space="preserve"> </w:t>
      </w:r>
      <w:r w:rsidR="00737374">
        <w:rPr>
          <w:rFonts w:cstheme="minorHAnsi"/>
          <w:lang w:eastAsia="en-AU"/>
        </w:rPr>
        <w:t>incorporating</w:t>
      </w:r>
      <w:r>
        <w:rPr>
          <w:rFonts w:cstheme="minorHAnsi"/>
          <w:lang w:eastAsia="en-AU"/>
        </w:rPr>
        <w:t xml:space="preserve"> financial incentives for client outcomes could </w:t>
      </w:r>
      <w:r w:rsidR="00737374">
        <w:rPr>
          <w:rFonts w:cstheme="minorHAnsi"/>
          <w:lang w:eastAsia="en-AU"/>
        </w:rPr>
        <w:t>increase capacity for upstream prevention efforts and innovative solutions to this complex and wicked problem.</w:t>
      </w:r>
    </w:p>
    <w:p w14:paraId="6D7AA933" w14:textId="77777777" w:rsidR="003344CF" w:rsidRPr="008741C7" w:rsidRDefault="003344CF" w:rsidP="008741C7">
      <w:pPr>
        <w:pStyle w:val="BodyText"/>
        <w:spacing w:after="0" w:line="276" w:lineRule="auto"/>
        <w:jc w:val="both"/>
        <w:rPr>
          <w:rFonts w:cstheme="minorHAnsi"/>
          <w:lang w:eastAsia="en-AU"/>
        </w:rPr>
      </w:pPr>
    </w:p>
    <w:p w14:paraId="3F90120E" w14:textId="2C4F4CCB" w:rsidR="005500CD" w:rsidRDefault="003C4486" w:rsidP="003C4486">
      <w:pPr>
        <w:pStyle w:val="BodyText"/>
        <w:spacing w:after="0" w:line="276" w:lineRule="auto"/>
        <w:jc w:val="both"/>
        <w:rPr>
          <w:rFonts w:cstheme="minorHAnsi"/>
          <w:lang w:eastAsia="en-AU"/>
        </w:rPr>
      </w:pPr>
      <w:r>
        <w:rPr>
          <w:rFonts w:cstheme="minorHAnsi"/>
          <w:lang w:eastAsia="en-AU"/>
        </w:rPr>
        <w:t xml:space="preserve">Despite population growth and strong economic evidence that prevention is effective </w:t>
      </w:r>
      <w:r w:rsidR="003070DE">
        <w:rPr>
          <w:rFonts w:cstheme="minorHAnsi"/>
          <w:lang w:eastAsia="en-AU"/>
        </w:rPr>
        <w:t>S</w:t>
      </w:r>
      <w:r w:rsidR="00946433">
        <w:rPr>
          <w:rFonts w:cstheme="minorHAnsi"/>
          <w:lang w:eastAsia="en-AU"/>
        </w:rPr>
        <w:t>tate</w:t>
      </w:r>
      <w:r w:rsidR="003070DE">
        <w:rPr>
          <w:rFonts w:cstheme="minorHAnsi"/>
          <w:lang w:eastAsia="en-AU"/>
        </w:rPr>
        <w:t>-</w:t>
      </w:r>
      <w:r w:rsidR="00946433">
        <w:rPr>
          <w:rFonts w:cstheme="minorHAnsi"/>
          <w:lang w:eastAsia="en-AU"/>
        </w:rPr>
        <w:t xml:space="preserve">funded </w:t>
      </w:r>
      <w:r>
        <w:rPr>
          <w:rFonts w:cstheme="minorHAnsi"/>
          <w:lang w:eastAsia="en-AU"/>
        </w:rPr>
        <w:t xml:space="preserve">Integrated Health Promotion funding </w:t>
      </w:r>
      <w:r w:rsidR="00946433">
        <w:rPr>
          <w:rFonts w:cstheme="minorHAnsi"/>
          <w:lang w:eastAsia="en-AU"/>
        </w:rPr>
        <w:t xml:space="preserve">to Community Health Services </w:t>
      </w:r>
      <w:r>
        <w:rPr>
          <w:rFonts w:cstheme="minorHAnsi"/>
          <w:lang w:eastAsia="en-AU"/>
        </w:rPr>
        <w:t>has not increased</w:t>
      </w:r>
      <w:r w:rsidR="0074261F">
        <w:rPr>
          <w:rFonts w:cstheme="minorHAnsi"/>
          <w:lang w:eastAsia="en-AU"/>
        </w:rPr>
        <w:t xml:space="preserve"> </w:t>
      </w:r>
      <w:r w:rsidR="00396458">
        <w:rPr>
          <w:rFonts w:cstheme="minorHAnsi"/>
          <w:lang w:eastAsia="en-AU"/>
        </w:rPr>
        <w:t xml:space="preserve">since the funding cuts that were experienced in 2011 </w:t>
      </w:r>
      <w:r w:rsidR="0074261F">
        <w:rPr>
          <w:rFonts w:cstheme="minorHAnsi"/>
          <w:lang w:eastAsia="en-AU"/>
        </w:rPr>
        <w:t>and the introduction of prevention based funding has not been included in service delivery funding models</w:t>
      </w:r>
      <w:r>
        <w:rPr>
          <w:rFonts w:cstheme="minorHAnsi"/>
          <w:lang w:eastAsia="en-AU"/>
        </w:rPr>
        <w:t xml:space="preserve">. </w:t>
      </w:r>
    </w:p>
    <w:p w14:paraId="5862FF41" w14:textId="5B4F32D5" w:rsidR="005500CD" w:rsidRDefault="005500CD" w:rsidP="003C4486">
      <w:pPr>
        <w:pStyle w:val="BodyText"/>
        <w:spacing w:after="0" w:line="276" w:lineRule="auto"/>
        <w:jc w:val="both"/>
        <w:rPr>
          <w:rFonts w:cstheme="minorHAnsi"/>
          <w:lang w:eastAsia="en-AU"/>
        </w:rPr>
      </w:pPr>
    </w:p>
    <w:p w14:paraId="617EFF68" w14:textId="6AFC81DD" w:rsidR="009D0D0C" w:rsidRPr="00CB4774" w:rsidRDefault="0074261F" w:rsidP="009D0D0C">
      <w:pPr>
        <w:autoSpaceDE w:val="0"/>
        <w:autoSpaceDN w:val="0"/>
        <w:adjustRightInd w:val="0"/>
        <w:spacing w:after="0" w:line="276" w:lineRule="auto"/>
        <w:jc w:val="both"/>
        <w:rPr>
          <w:rFonts w:cstheme="minorHAnsi"/>
          <w:bCs/>
        </w:rPr>
      </w:pPr>
      <w:r>
        <w:rPr>
          <w:rFonts w:cstheme="minorHAnsi"/>
          <w:bCs/>
        </w:rPr>
        <w:t>Community m</w:t>
      </w:r>
      <w:r w:rsidR="009D0D0C" w:rsidRPr="00CB4774">
        <w:rPr>
          <w:rFonts w:cstheme="minorHAnsi"/>
          <w:bCs/>
        </w:rPr>
        <w:t xml:space="preserve">ental health promotion </w:t>
      </w:r>
      <w:r w:rsidR="009D0D0C">
        <w:rPr>
          <w:rFonts w:cstheme="minorHAnsi"/>
          <w:bCs/>
        </w:rPr>
        <w:t xml:space="preserve">and prevention </w:t>
      </w:r>
      <w:r w:rsidR="009D0D0C" w:rsidRPr="00CB4774">
        <w:rPr>
          <w:rFonts w:cstheme="minorHAnsi"/>
          <w:bCs/>
        </w:rPr>
        <w:t xml:space="preserve">programs lack </w:t>
      </w:r>
      <w:r w:rsidR="00035EB4">
        <w:rPr>
          <w:rFonts w:cstheme="minorHAnsi"/>
          <w:bCs/>
        </w:rPr>
        <w:t xml:space="preserve">financial </w:t>
      </w:r>
      <w:r w:rsidR="009D0D0C" w:rsidRPr="00CB4774">
        <w:rPr>
          <w:rFonts w:cstheme="minorHAnsi"/>
          <w:bCs/>
        </w:rPr>
        <w:t xml:space="preserve">resources and </w:t>
      </w:r>
      <w:r w:rsidR="00035EB4">
        <w:rPr>
          <w:rFonts w:cstheme="minorHAnsi"/>
          <w:bCs/>
        </w:rPr>
        <w:t>specialised expertise</w:t>
      </w:r>
      <w:r w:rsidR="009D0D0C" w:rsidRPr="00CB4774">
        <w:rPr>
          <w:rFonts w:cstheme="minorHAnsi"/>
          <w:bCs/>
        </w:rPr>
        <w:t xml:space="preserve"> to undertake comprehensive evaluation</w:t>
      </w:r>
      <w:r w:rsidR="009D0D0C">
        <w:rPr>
          <w:rFonts w:cstheme="minorHAnsi"/>
          <w:bCs/>
        </w:rPr>
        <w:t>s</w:t>
      </w:r>
      <w:r w:rsidR="009D0D0C" w:rsidRPr="00CB4774">
        <w:rPr>
          <w:rFonts w:cstheme="minorHAnsi"/>
          <w:bCs/>
        </w:rPr>
        <w:t xml:space="preserve"> of </w:t>
      </w:r>
      <w:r w:rsidR="009D0D0C">
        <w:rPr>
          <w:rFonts w:cstheme="minorHAnsi"/>
          <w:bCs/>
        </w:rPr>
        <w:t>actions, and for the sustainability of effective initiatives</w:t>
      </w:r>
      <w:r w:rsidR="009D0D0C" w:rsidRPr="00CB4774">
        <w:rPr>
          <w:rFonts w:cstheme="minorHAnsi"/>
          <w:bCs/>
        </w:rPr>
        <w:t>.</w:t>
      </w:r>
      <w:r w:rsidR="009D0D0C">
        <w:rPr>
          <w:rFonts w:cstheme="minorHAnsi"/>
          <w:bCs/>
        </w:rPr>
        <w:t xml:space="preserve"> </w:t>
      </w:r>
      <w:r w:rsidR="009D0D0C" w:rsidRPr="00CB4774">
        <w:rPr>
          <w:rFonts w:cstheme="minorHAnsi"/>
          <w:bCs/>
        </w:rPr>
        <w:t xml:space="preserve">The sustainability of interventions </w:t>
      </w:r>
      <w:r w:rsidR="009D0D0C">
        <w:rPr>
          <w:rFonts w:cstheme="minorHAnsi"/>
          <w:bCs/>
        </w:rPr>
        <w:t xml:space="preserve">is challenged with the lack of prevention funding growth. Organisations are pushed to close effective and well established work due to emerging issues or new funding opportunities. Sustaining effective program delivery and evaluation that continues to meet a </w:t>
      </w:r>
      <w:r w:rsidR="009D0D0C">
        <w:rPr>
          <w:rFonts w:cstheme="minorHAnsi"/>
          <w:bCs/>
        </w:rPr>
        <w:lastRenderedPageBreak/>
        <w:t>need, requires growth funding in prevention. Grant funds from G</w:t>
      </w:r>
      <w:r w:rsidR="009D0D0C" w:rsidRPr="00CB4774">
        <w:rPr>
          <w:rFonts w:cstheme="minorHAnsi"/>
          <w:bCs/>
        </w:rPr>
        <w:t>overnment</w:t>
      </w:r>
      <w:r w:rsidR="009D0D0C">
        <w:rPr>
          <w:rFonts w:cstheme="minorHAnsi"/>
          <w:bCs/>
        </w:rPr>
        <w:t>s, philanthropic organisations</w:t>
      </w:r>
      <w:r w:rsidR="009D0D0C" w:rsidRPr="00CB4774">
        <w:rPr>
          <w:rFonts w:cstheme="minorHAnsi"/>
          <w:bCs/>
        </w:rPr>
        <w:t xml:space="preserve"> </w:t>
      </w:r>
      <w:r w:rsidR="009D0D0C">
        <w:rPr>
          <w:rFonts w:cstheme="minorHAnsi"/>
          <w:bCs/>
        </w:rPr>
        <w:t>and not-for-profit bodies are limiting their funds to innovative and new work, not sustaining or evolving existing work. Funders are no</w:t>
      </w:r>
      <w:r w:rsidR="00EE6A62">
        <w:rPr>
          <w:rFonts w:cstheme="minorHAnsi"/>
          <w:bCs/>
        </w:rPr>
        <w:t>t</w:t>
      </w:r>
      <w:r w:rsidR="009D0D0C">
        <w:rPr>
          <w:rFonts w:cstheme="minorHAnsi"/>
          <w:bCs/>
        </w:rPr>
        <w:t xml:space="preserve"> </w:t>
      </w:r>
      <w:r w:rsidR="00EE6A62">
        <w:rPr>
          <w:rFonts w:cstheme="minorHAnsi"/>
          <w:bCs/>
        </w:rPr>
        <w:t>funding salaries or wages</w:t>
      </w:r>
      <w:r w:rsidR="00303D6C">
        <w:rPr>
          <w:rFonts w:cstheme="minorHAnsi"/>
          <w:bCs/>
        </w:rPr>
        <w:t xml:space="preserve">, </w:t>
      </w:r>
      <w:r w:rsidR="00396458">
        <w:rPr>
          <w:rFonts w:cstheme="minorHAnsi"/>
          <w:bCs/>
        </w:rPr>
        <w:t xml:space="preserve">causing </w:t>
      </w:r>
      <w:r w:rsidR="00303D6C">
        <w:rPr>
          <w:rFonts w:cstheme="minorHAnsi"/>
          <w:bCs/>
        </w:rPr>
        <w:t xml:space="preserve">organisations </w:t>
      </w:r>
      <w:r w:rsidR="00396458">
        <w:rPr>
          <w:rFonts w:cstheme="minorHAnsi"/>
          <w:bCs/>
        </w:rPr>
        <w:t>to choose between sustainability of existing work and new work</w:t>
      </w:r>
      <w:r w:rsidR="00303D6C">
        <w:rPr>
          <w:rFonts w:cstheme="minorHAnsi"/>
          <w:bCs/>
        </w:rPr>
        <w:t>. In some cases these strict guidelines can</w:t>
      </w:r>
      <w:r w:rsidR="00EE6A62">
        <w:rPr>
          <w:rFonts w:cstheme="minorHAnsi"/>
          <w:bCs/>
        </w:rPr>
        <w:t xml:space="preserve"> </w:t>
      </w:r>
      <w:r w:rsidR="00303D6C">
        <w:rPr>
          <w:rFonts w:cstheme="minorHAnsi"/>
          <w:bCs/>
        </w:rPr>
        <w:t>directly hinder</w:t>
      </w:r>
      <w:r w:rsidR="009D0D0C">
        <w:rPr>
          <w:rFonts w:cstheme="minorHAnsi"/>
          <w:bCs/>
        </w:rPr>
        <w:t xml:space="preserve"> the implementation of </w:t>
      </w:r>
      <w:r w:rsidR="00303D6C">
        <w:rPr>
          <w:rFonts w:cstheme="minorHAnsi"/>
          <w:bCs/>
        </w:rPr>
        <w:t xml:space="preserve">self-determination principles for example, </w:t>
      </w:r>
      <w:r w:rsidR="00EE6A62">
        <w:rPr>
          <w:rFonts w:cstheme="minorHAnsi"/>
          <w:bCs/>
        </w:rPr>
        <w:t>employing</w:t>
      </w:r>
      <w:r w:rsidR="009D0D0C">
        <w:rPr>
          <w:rFonts w:cstheme="minorHAnsi"/>
          <w:bCs/>
        </w:rPr>
        <w:t xml:space="preserve"> </w:t>
      </w:r>
      <w:r w:rsidR="00F5132F">
        <w:rPr>
          <w:rFonts w:cstheme="minorHAnsi"/>
          <w:bCs/>
        </w:rPr>
        <w:t xml:space="preserve">people with a lived experience or </w:t>
      </w:r>
      <w:r w:rsidR="009D0D0C">
        <w:rPr>
          <w:rFonts w:cstheme="minorHAnsi"/>
          <w:bCs/>
        </w:rPr>
        <w:t>peer</w:t>
      </w:r>
      <w:r w:rsidR="00F5132F">
        <w:rPr>
          <w:rFonts w:cstheme="minorHAnsi"/>
          <w:bCs/>
        </w:rPr>
        <w:t>s</w:t>
      </w:r>
      <w:r w:rsidR="009D0D0C">
        <w:rPr>
          <w:rFonts w:cstheme="minorHAnsi"/>
          <w:bCs/>
        </w:rPr>
        <w:t xml:space="preserve"> </w:t>
      </w:r>
      <w:r w:rsidR="00303D6C">
        <w:rPr>
          <w:rFonts w:cstheme="minorHAnsi"/>
          <w:bCs/>
        </w:rPr>
        <w:t>or mentors</w:t>
      </w:r>
      <w:r w:rsidR="00F5132F">
        <w:rPr>
          <w:rFonts w:cstheme="minorHAnsi"/>
          <w:bCs/>
        </w:rPr>
        <w:t xml:space="preserve"> to co-deliver initiatives</w:t>
      </w:r>
      <w:r w:rsidR="009D0D0C">
        <w:rPr>
          <w:rFonts w:cstheme="minorHAnsi"/>
          <w:bCs/>
        </w:rPr>
        <w:t xml:space="preserve">. Growth funding in Integrated Health Promotion and new funding rounds that </w:t>
      </w:r>
      <w:r w:rsidR="009D0D0C" w:rsidRPr="00CB4774">
        <w:rPr>
          <w:rFonts w:cstheme="minorHAnsi"/>
          <w:bCs/>
        </w:rPr>
        <w:t xml:space="preserve">sustain </w:t>
      </w:r>
      <w:r w:rsidR="009D0D0C">
        <w:rPr>
          <w:rFonts w:cstheme="minorHAnsi"/>
          <w:bCs/>
        </w:rPr>
        <w:t xml:space="preserve">effective, </w:t>
      </w:r>
      <w:r w:rsidR="009D0D0C" w:rsidRPr="00CB4774">
        <w:rPr>
          <w:rFonts w:cstheme="minorHAnsi"/>
          <w:bCs/>
        </w:rPr>
        <w:t>established and successful interventions in the community</w:t>
      </w:r>
      <w:r w:rsidR="009D0D0C">
        <w:rPr>
          <w:rFonts w:cstheme="minorHAnsi"/>
          <w:bCs/>
        </w:rPr>
        <w:t xml:space="preserve"> </w:t>
      </w:r>
      <w:r w:rsidR="00F5132F">
        <w:rPr>
          <w:rFonts w:cstheme="minorHAnsi"/>
          <w:bCs/>
        </w:rPr>
        <w:t xml:space="preserve">are </w:t>
      </w:r>
      <w:r w:rsidR="009D0D0C">
        <w:rPr>
          <w:rFonts w:cstheme="minorHAnsi"/>
          <w:bCs/>
        </w:rPr>
        <w:t>needed</w:t>
      </w:r>
      <w:r w:rsidR="00F5132F">
        <w:rPr>
          <w:rFonts w:cstheme="minorHAnsi"/>
          <w:bCs/>
        </w:rPr>
        <w:t>, alongside new funding streams for innovative solutions and new work</w:t>
      </w:r>
      <w:r w:rsidR="009D0D0C" w:rsidRPr="00CB4774">
        <w:rPr>
          <w:rFonts w:cstheme="minorHAnsi"/>
          <w:bCs/>
        </w:rPr>
        <w:t xml:space="preserve">. </w:t>
      </w:r>
    </w:p>
    <w:p w14:paraId="4797769B" w14:textId="77777777" w:rsidR="009D0D0C" w:rsidRDefault="009D0D0C" w:rsidP="003C4486">
      <w:pPr>
        <w:pStyle w:val="BodyText"/>
        <w:spacing w:after="0" w:line="276" w:lineRule="auto"/>
        <w:jc w:val="both"/>
        <w:rPr>
          <w:rFonts w:cstheme="minorHAnsi"/>
          <w:lang w:eastAsia="en-AU"/>
        </w:rPr>
      </w:pPr>
    </w:p>
    <w:p w14:paraId="40111756" w14:textId="18C4D51E" w:rsidR="009D560E" w:rsidRDefault="003C4486" w:rsidP="003C4486">
      <w:pPr>
        <w:pStyle w:val="BodyText"/>
        <w:spacing w:after="0" w:line="276" w:lineRule="auto"/>
        <w:jc w:val="both"/>
        <w:rPr>
          <w:rFonts w:cstheme="minorHAnsi"/>
          <w:lang w:eastAsia="en-AU"/>
        </w:rPr>
      </w:pPr>
      <w:r>
        <w:rPr>
          <w:rFonts w:cstheme="minorHAnsi"/>
          <w:lang w:eastAsia="en-AU"/>
        </w:rPr>
        <w:t xml:space="preserve">Providing incentives to corporate and public organisations to </w:t>
      </w:r>
      <w:r w:rsidR="005D03E0">
        <w:rPr>
          <w:rFonts w:cstheme="minorHAnsi"/>
          <w:lang w:eastAsia="en-AU"/>
        </w:rPr>
        <w:t xml:space="preserve">embed inclusive environments and non-discriminatory practices </w:t>
      </w:r>
      <w:r w:rsidR="00396458">
        <w:rPr>
          <w:rFonts w:cstheme="minorHAnsi"/>
          <w:lang w:eastAsia="en-AU"/>
        </w:rPr>
        <w:t>could</w:t>
      </w:r>
      <w:r w:rsidR="005D03E0">
        <w:rPr>
          <w:rFonts w:cstheme="minorHAnsi"/>
          <w:lang w:eastAsia="en-AU"/>
        </w:rPr>
        <w:t xml:space="preserve"> support clients who are experiencing mental health issues. For example, </w:t>
      </w:r>
      <w:r w:rsidR="00254908">
        <w:rPr>
          <w:rFonts w:cstheme="minorHAnsi"/>
          <w:lang w:eastAsia="en-AU"/>
        </w:rPr>
        <w:t xml:space="preserve">unconscious bias training and practices, </w:t>
      </w:r>
      <w:r>
        <w:rPr>
          <w:rFonts w:cstheme="minorHAnsi"/>
          <w:lang w:eastAsia="en-AU"/>
        </w:rPr>
        <w:t xml:space="preserve">flexible work arrangements, </w:t>
      </w:r>
      <w:r w:rsidR="00254908">
        <w:rPr>
          <w:rFonts w:cstheme="minorHAnsi"/>
          <w:lang w:eastAsia="en-AU"/>
        </w:rPr>
        <w:t xml:space="preserve">cross-cultural training, rainbow tick accreditation </w:t>
      </w:r>
      <w:r w:rsidR="005D03E0">
        <w:rPr>
          <w:rFonts w:cstheme="minorHAnsi"/>
          <w:lang w:eastAsia="en-AU"/>
        </w:rPr>
        <w:t>and</w:t>
      </w:r>
      <w:r>
        <w:rPr>
          <w:rFonts w:cstheme="minorHAnsi"/>
          <w:lang w:eastAsia="en-AU"/>
        </w:rPr>
        <w:t xml:space="preserve"> achievement</w:t>
      </w:r>
      <w:r w:rsidR="005D03E0">
        <w:rPr>
          <w:rFonts w:cstheme="minorHAnsi"/>
          <w:lang w:eastAsia="en-AU"/>
        </w:rPr>
        <w:t xml:space="preserve"> of equal pay for all staff working in the same role. </w:t>
      </w:r>
      <w:r w:rsidR="00396458">
        <w:rPr>
          <w:rFonts w:cstheme="minorHAnsi"/>
          <w:lang w:eastAsia="en-AU"/>
        </w:rPr>
        <w:t>Funding for training employees outside the health sector is required to effect population change.</w:t>
      </w:r>
    </w:p>
    <w:p w14:paraId="14AEA82D" w14:textId="37B1C87D" w:rsidR="005500CD" w:rsidRDefault="005500CD" w:rsidP="008741C7">
      <w:pPr>
        <w:pStyle w:val="BodyText"/>
        <w:spacing w:after="0" w:line="276" w:lineRule="auto"/>
        <w:jc w:val="both"/>
        <w:rPr>
          <w:rFonts w:cstheme="minorHAnsi"/>
          <w:lang w:eastAsia="en-AU"/>
        </w:rPr>
      </w:pPr>
    </w:p>
    <w:p w14:paraId="1066F792" w14:textId="57319BD0" w:rsidR="009320D4" w:rsidRDefault="00894ECE" w:rsidP="009320D4">
      <w:pPr>
        <w:pStyle w:val="BodyText"/>
        <w:spacing w:after="0" w:line="276" w:lineRule="auto"/>
        <w:jc w:val="both"/>
        <w:rPr>
          <w:rFonts w:cstheme="minorHAnsi"/>
          <w:lang w:eastAsia="en-AU"/>
        </w:rPr>
      </w:pPr>
      <w:r>
        <w:rPr>
          <w:rFonts w:cstheme="minorHAnsi"/>
          <w:lang w:eastAsia="en-AU"/>
        </w:rPr>
        <w:t>Implementing funding incentives to non-health sectors to respond to the protective factors for mental health could enable collaborative efforts between non-health and health sectors to improve population mental health. For</w:t>
      </w:r>
      <w:r w:rsidR="00B61624">
        <w:rPr>
          <w:rFonts w:cstheme="minorHAnsi"/>
          <w:lang w:eastAsia="en-AU"/>
        </w:rPr>
        <w:t xml:space="preserve"> example, </w:t>
      </w:r>
      <w:r>
        <w:rPr>
          <w:rFonts w:cstheme="minorHAnsi"/>
          <w:lang w:eastAsia="en-AU"/>
        </w:rPr>
        <w:t xml:space="preserve">financial incentives could enable </w:t>
      </w:r>
      <w:r w:rsidR="00B61624">
        <w:rPr>
          <w:rFonts w:cstheme="minorHAnsi"/>
          <w:lang w:eastAsia="en-AU"/>
        </w:rPr>
        <w:t>VicRoads to produce road signs that include native Aboriginal names on town signs</w:t>
      </w:r>
      <w:r w:rsidR="00D37EBC">
        <w:rPr>
          <w:rFonts w:cstheme="minorHAnsi"/>
          <w:lang w:eastAsia="en-AU"/>
        </w:rPr>
        <w:t xml:space="preserve"> and the Department of Education to embed cross-cultural training and mental health training in </w:t>
      </w:r>
      <w:r w:rsidR="00254908">
        <w:rPr>
          <w:rFonts w:cstheme="minorHAnsi"/>
          <w:lang w:eastAsia="en-AU"/>
        </w:rPr>
        <w:t xml:space="preserve">education </w:t>
      </w:r>
      <w:r w:rsidR="00D37EBC">
        <w:rPr>
          <w:rFonts w:cstheme="minorHAnsi"/>
          <w:lang w:eastAsia="en-AU"/>
        </w:rPr>
        <w:t>curriculum</w:t>
      </w:r>
      <w:r w:rsidR="00B61624">
        <w:rPr>
          <w:rFonts w:cstheme="minorHAnsi"/>
          <w:lang w:eastAsia="en-AU"/>
        </w:rPr>
        <w:t>.</w:t>
      </w:r>
      <w:r w:rsidR="009320D4">
        <w:rPr>
          <w:rFonts w:cstheme="minorHAnsi"/>
          <w:lang w:eastAsia="en-AU"/>
        </w:rPr>
        <w:t xml:space="preserve"> Making health everybody’s business and employing a </w:t>
      </w:r>
      <w:r w:rsidR="001A0F0B">
        <w:rPr>
          <w:rFonts w:cstheme="minorHAnsi"/>
          <w:lang w:eastAsia="en-AU"/>
        </w:rPr>
        <w:t>‘</w:t>
      </w:r>
      <w:r w:rsidR="009320D4">
        <w:rPr>
          <w:rFonts w:cstheme="minorHAnsi"/>
          <w:lang w:eastAsia="en-AU"/>
        </w:rPr>
        <w:t>Health In All</w:t>
      </w:r>
      <w:r w:rsidR="001A0F0B">
        <w:rPr>
          <w:rFonts w:cstheme="minorHAnsi"/>
          <w:lang w:eastAsia="en-AU"/>
        </w:rPr>
        <w:t>’</w:t>
      </w:r>
      <w:r w:rsidR="009320D4">
        <w:rPr>
          <w:rFonts w:cstheme="minorHAnsi"/>
          <w:lang w:eastAsia="en-AU"/>
        </w:rPr>
        <w:t xml:space="preserve"> policies</w:t>
      </w:r>
      <w:r w:rsidR="00D37EBC">
        <w:rPr>
          <w:rFonts w:cstheme="minorHAnsi"/>
          <w:lang w:eastAsia="en-AU"/>
        </w:rPr>
        <w:t xml:space="preserve"> framework at a State and Local Government level</w:t>
      </w:r>
      <w:r w:rsidR="009320D4">
        <w:rPr>
          <w:rFonts w:cstheme="minorHAnsi"/>
          <w:lang w:eastAsia="en-AU"/>
        </w:rPr>
        <w:t xml:space="preserve"> </w:t>
      </w:r>
      <w:r w:rsidR="00D37EBC">
        <w:rPr>
          <w:rFonts w:cstheme="minorHAnsi"/>
          <w:lang w:eastAsia="en-AU"/>
        </w:rPr>
        <w:t>could allow incentive based funding to</w:t>
      </w:r>
      <w:r w:rsidR="009320D4">
        <w:rPr>
          <w:rFonts w:cstheme="minorHAnsi"/>
          <w:lang w:eastAsia="en-AU"/>
        </w:rPr>
        <w:t xml:space="preserve"> better support grass root </w:t>
      </w:r>
      <w:r w:rsidR="00192855">
        <w:rPr>
          <w:rFonts w:cstheme="minorHAnsi"/>
          <w:lang w:eastAsia="en-AU"/>
        </w:rPr>
        <w:t xml:space="preserve">and bottom-up </w:t>
      </w:r>
      <w:r w:rsidR="009320D4">
        <w:rPr>
          <w:rFonts w:cstheme="minorHAnsi"/>
          <w:lang w:eastAsia="en-AU"/>
        </w:rPr>
        <w:t>action.</w:t>
      </w:r>
      <w:r w:rsidR="00B61624">
        <w:rPr>
          <w:rFonts w:cstheme="minorHAnsi"/>
          <w:lang w:eastAsia="en-AU"/>
        </w:rPr>
        <w:t xml:space="preserve"> </w:t>
      </w:r>
    </w:p>
    <w:p w14:paraId="6EA58027" w14:textId="5E3257D8" w:rsidR="00D37EBC" w:rsidRDefault="00D37EBC" w:rsidP="009320D4">
      <w:pPr>
        <w:pStyle w:val="BodyText"/>
        <w:spacing w:after="0" w:line="276" w:lineRule="auto"/>
        <w:jc w:val="both"/>
        <w:rPr>
          <w:rFonts w:cstheme="minorHAnsi"/>
          <w:lang w:eastAsia="en-AU"/>
        </w:rPr>
      </w:pPr>
    </w:p>
    <w:p w14:paraId="1067AFBF" w14:textId="77777777" w:rsidR="004E3F26" w:rsidRPr="002D612C" w:rsidRDefault="004E3F26" w:rsidP="008741C7">
      <w:pPr>
        <w:spacing w:after="0" w:line="276" w:lineRule="auto"/>
        <w:jc w:val="both"/>
        <w:rPr>
          <w:rFonts w:cstheme="minorHAnsi"/>
          <w:sz w:val="28"/>
        </w:rPr>
      </w:pPr>
      <w:r w:rsidRPr="000D1D51">
        <w:rPr>
          <w:rFonts w:cstheme="minorHAnsi"/>
          <w:b/>
          <w:sz w:val="28"/>
        </w:rPr>
        <w:t>Monitoring and Reporting</w:t>
      </w:r>
    </w:p>
    <w:p w14:paraId="31F93222" w14:textId="266D7338" w:rsidR="00D56476" w:rsidRDefault="00D56476" w:rsidP="00156185">
      <w:pPr>
        <w:pStyle w:val="BodyText"/>
        <w:spacing w:after="0" w:line="276" w:lineRule="auto"/>
        <w:jc w:val="both"/>
        <w:rPr>
          <w:rFonts w:cstheme="minorHAnsi"/>
          <w:lang w:eastAsia="en-AU"/>
        </w:rPr>
      </w:pPr>
      <w:r>
        <w:rPr>
          <w:rFonts w:cstheme="minorHAnsi"/>
          <w:lang w:eastAsia="en-AU"/>
        </w:rPr>
        <w:t xml:space="preserve">If </w:t>
      </w:r>
      <w:r w:rsidR="00156185">
        <w:rPr>
          <w:rFonts w:cstheme="minorHAnsi"/>
          <w:lang w:eastAsia="en-AU"/>
        </w:rPr>
        <w:t xml:space="preserve">multi-disciplinary mental health teams </w:t>
      </w:r>
      <w:r>
        <w:rPr>
          <w:rFonts w:cstheme="minorHAnsi"/>
          <w:lang w:eastAsia="en-AU"/>
        </w:rPr>
        <w:t xml:space="preserve">were implemented </w:t>
      </w:r>
      <w:r w:rsidR="00156185">
        <w:rPr>
          <w:rFonts w:cstheme="minorHAnsi"/>
          <w:lang w:eastAsia="en-AU"/>
        </w:rPr>
        <w:t>across Victoria that utilise</w:t>
      </w:r>
      <w:r>
        <w:rPr>
          <w:rFonts w:cstheme="minorHAnsi"/>
          <w:lang w:eastAsia="en-AU"/>
        </w:rPr>
        <w:t>d</w:t>
      </w:r>
      <w:r w:rsidR="00156185">
        <w:rPr>
          <w:rFonts w:cstheme="minorHAnsi"/>
          <w:lang w:eastAsia="en-AU"/>
        </w:rPr>
        <w:t xml:space="preserve"> one shared data management system </w:t>
      </w:r>
      <w:r>
        <w:rPr>
          <w:rFonts w:cstheme="minorHAnsi"/>
          <w:lang w:eastAsia="en-AU"/>
        </w:rPr>
        <w:t xml:space="preserve">this </w:t>
      </w:r>
      <w:r w:rsidR="00156185">
        <w:rPr>
          <w:rFonts w:cstheme="minorHAnsi"/>
          <w:lang w:eastAsia="en-AU"/>
        </w:rPr>
        <w:t xml:space="preserve">could </w:t>
      </w:r>
      <w:r>
        <w:rPr>
          <w:rFonts w:cstheme="minorHAnsi"/>
          <w:lang w:eastAsia="en-AU"/>
        </w:rPr>
        <w:t xml:space="preserve">increase the ability to track short, mid and long term outcomes for clients, identify social and economic outcomes as well as mental health outcomes achieved, </w:t>
      </w:r>
      <w:r w:rsidR="00156185">
        <w:rPr>
          <w:rFonts w:cstheme="minorHAnsi"/>
          <w:lang w:eastAsia="en-AU"/>
        </w:rPr>
        <w:t xml:space="preserve">reduce duplication in effort, limit clients presenting to multiple services for treatment, and </w:t>
      </w:r>
      <w:r>
        <w:rPr>
          <w:rFonts w:cstheme="minorHAnsi"/>
          <w:lang w:eastAsia="en-AU"/>
        </w:rPr>
        <w:t xml:space="preserve">track </w:t>
      </w:r>
      <w:r w:rsidR="00156185">
        <w:rPr>
          <w:rFonts w:cstheme="minorHAnsi"/>
          <w:lang w:eastAsia="en-AU"/>
        </w:rPr>
        <w:t>if clients are re-entering the service</w:t>
      </w:r>
      <w:r>
        <w:rPr>
          <w:rFonts w:cstheme="minorHAnsi"/>
          <w:lang w:eastAsia="en-AU"/>
        </w:rPr>
        <w:t xml:space="preserve"> and at what point</w:t>
      </w:r>
      <w:r w:rsidR="00156185">
        <w:rPr>
          <w:rFonts w:cstheme="minorHAnsi"/>
          <w:lang w:eastAsia="en-AU"/>
        </w:rPr>
        <w:t>.</w:t>
      </w:r>
      <w:r>
        <w:rPr>
          <w:rFonts w:cstheme="minorHAnsi"/>
          <w:lang w:eastAsia="en-AU"/>
        </w:rPr>
        <w:t xml:space="preserve"> A data monitoring system such as this would req</w:t>
      </w:r>
      <w:r w:rsidR="00B05933">
        <w:rPr>
          <w:rFonts w:cstheme="minorHAnsi"/>
          <w:lang w:eastAsia="en-AU"/>
        </w:rPr>
        <w:t>uire considerable funding, auto</w:t>
      </w:r>
      <w:r w:rsidR="001A0F0B">
        <w:rPr>
          <w:rFonts w:cstheme="minorHAnsi"/>
          <w:lang w:eastAsia="en-AU"/>
        </w:rPr>
        <w:t>-</w:t>
      </w:r>
      <w:r>
        <w:rPr>
          <w:rFonts w:cstheme="minorHAnsi"/>
          <w:lang w:eastAsia="en-AU"/>
        </w:rPr>
        <w:t>mated collation and analysis features</w:t>
      </w:r>
      <w:r w:rsidR="00352552">
        <w:rPr>
          <w:rFonts w:cstheme="minorHAnsi"/>
          <w:lang w:eastAsia="en-AU"/>
        </w:rPr>
        <w:t>, alarms for emerging trends</w:t>
      </w:r>
      <w:r>
        <w:rPr>
          <w:rFonts w:cstheme="minorHAnsi"/>
          <w:lang w:eastAsia="en-AU"/>
        </w:rPr>
        <w:t xml:space="preserve"> and capacity for new inclusions as the mental health service and health service systems evolve.</w:t>
      </w:r>
    </w:p>
    <w:p w14:paraId="5C5D149F" w14:textId="79ECF1AC" w:rsidR="00D56476" w:rsidRDefault="00D56476" w:rsidP="00156185">
      <w:pPr>
        <w:pStyle w:val="BodyText"/>
        <w:spacing w:after="0" w:line="276" w:lineRule="auto"/>
        <w:jc w:val="both"/>
        <w:rPr>
          <w:rFonts w:cstheme="minorHAnsi"/>
          <w:lang w:eastAsia="en-AU"/>
        </w:rPr>
      </w:pPr>
    </w:p>
    <w:p w14:paraId="5CF69A39" w14:textId="5B973268" w:rsidR="00B8605A" w:rsidRDefault="00D56476" w:rsidP="009320D4">
      <w:pPr>
        <w:pStyle w:val="BodyText"/>
        <w:spacing w:after="0" w:line="276" w:lineRule="auto"/>
        <w:jc w:val="both"/>
        <w:rPr>
          <w:rFonts w:cstheme="minorHAnsi"/>
          <w:lang w:eastAsia="en-AU"/>
        </w:rPr>
      </w:pPr>
      <w:r>
        <w:rPr>
          <w:rFonts w:cstheme="minorHAnsi"/>
          <w:lang w:eastAsia="en-AU"/>
        </w:rPr>
        <w:t>The inclusion of client service reviews built in</w:t>
      </w:r>
      <w:r w:rsidR="00B8605A">
        <w:rPr>
          <w:rFonts w:cstheme="minorHAnsi"/>
          <w:lang w:eastAsia="en-AU"/>
        </w:rPr>
        <w:t xml:space="preserve"> to the service model c</w:t>
      </w:r>
      <w:r>
        <w:rPr>
          <w:rFonts w:cstheme="minorHAnsi"/>
          <w:lang w:eastAsia="en-AU"/>
        </w:rPr>
        <w:t xml:space="preserve">ould improve understanding the significant outcomes received by the client, where enhancements or changes to the system could occur and trigger client oriented innovation. </w:t>
      </w:r>
      <w:r w:rsidR="009320D4">
        <w:rPr>
          <w:rFonts w:cstheme="minorHAnsi"/>
          <w:lang w:eastAsia="en-AU"/>
        </w:rPr>
        <w:t xml:space="preserve">To identify targets, measures and incentives all stakeholders including those directly impacted by the system need to participate. </w:t>
      </w:r>
    </w:p>
    <w:p w14:paraId="5275A8AE" w14:textId="7F5A6B56" w:rsidR="00B05933" w:rsidRDefault="00B05933" w:rsidP="009320D4">
      <w:pPr>
        <w:pStyle w:val="BodyText"/>
        <w:spacing w:after="0" w:line="276" w:lineRule="auto"/>
        <w:jc w:val="both"/>
        <w:rPr>
          <w:rFonts w:cstheme="minorHAnsi"/>
          <w:lang w:eastAsia="en-AU"/>
        </w:rPr>
      </w:pPr>
    </w:p>
    <w:p w14:paraId="4AD4C9B6" w14:textId="4BF411B1" w:rsidR="00B05933" w:rsidRDefault="00B05933" w:rsidP="009320D4">
      <w:pPr>
        <w:pStyle w:val="BodyText"/>
        <w:spacing w:after="0" w:line="276" w:lineRule="auto"/>
        <w:jc w:val="both"/>
        <w:rPr>
          <w:rFonts w:cstheme="minorHAnsi"/>
          <w:lang w:eastAsia="en-AU"/>
        </w:rPr>
      </w:pPr>
      <w:r>
        <w:rPr>
          <w:rFonts w:cstheme="minorHAnsi"/>
          <w:lang w:eastAsia="en-AU"/>
        </w:rPr>
        <w:t xml:space="preserve">Currently most reporting mechanisms rely on quantitative data only, meaning that a lot of the narrative around what is and what is not working in the system is omitted. For example, those services who close cases to attain targets are recorded and disseminated to funding bodies, but not necessarily matched to the families they leave unsupported. </w:t>
      </w:r>
    </w:p>
    <w:p w14:paraId="12CDC200" w14:textId="77777777" w:rsidR="00B8605A" w:rsidRDefault="00B8605A" w:rsidP="009320D4">
      <w:pPr>
        <w:pStyle w:val="BodyText"/>
        <w:spacing w:after="0" w:line="276" w:lineRule="auto"/>
        <w:jc w:val="both"/>
        <w:rPr>
          <w:rFonts w:cstheme="minorHAnsi"/>
          <w:lang w:eastAsia="en-AU"/>
        </w:rPr>
      </w:pPr>
    </w:p>
    <w:p w14:paraId="664B79DF" w14:textId="47D36F89" w:rsidR="009320D4" w:rsidRDefault="00D56476" w:rsidP="009320D4">
      <w:pPr>
        <w:pStyle w:val="BodyText"/>
        <w:spacing w:after="0" w:line="276" w:lineRule="auto"/>
        <w:jc w:val="both"/>
        <w:rPr>
          <w:rFonts w:cstheme="minorHAnsi"/>
          <w:lang w:eastAsia="en-AU"/>
        </w:rPr>
      </w:pPr>
      <w:r>
        <w:rPr>
          <w:rFonts w:cstheme="minorHAnsi"/>
          <w:lang w:eastAsia="en-AU"/>
        </w:rPr>
        <w:t xml:space="preserve">Integration between acute, sub-acute and community data management system could </w:t>
      </w:r>
      <w:r w:rsidR="00B8605A">
        <w:rPr>
          <w:rFonts w:cstheme="minorHAnsi"/>
          <w:lang w:eastAsia="en-AU"/>
        </w:rPr>
        <w:t>enrich the evidence, identify systemic barriers</w:t>
      </w:r>
      <w:r w:rsidR="00B05933">
        <w:rPr>
          <w:rFonts w:cstheme="minorHAnsi"/>
          <w:lang w:eastAsia="en-AU"/>
        </w:rPr>
        <w:t>, enhance the transition from one service tier to another, enable full monitoring of client risks</w:t>
      </w:r>
      <w:r w:rsidR="00B8605A">
        <w:rPr>
          <w:rFonts w:cstheme="minorHAnsi"/>
          <w:lang w:eastAsia="en-AU"/>
        </w:rPr>
        <w:t xml:space="preserve"> and assist with real-time monitoring of trial interventions.</w:t>
      </w:r>
      <w:r w:rsidR="00B05933">
        <w:rPr>
          <w:rFonts w:cstheme="minorHAnsi"/>
          <w:lang w:eastAsia="en-AU"/>
        </w:rPr>
        <w:t xml:space="preserve"> </w:t>
      </w:r>
    </w:p>
    <w:p w14:paraId="469561B2" w14:textId="17671302" w:rsidR="00561810" w:rsidRDefault="00561810" w:rsidP="008741C7">
      <w:pPr>
        <w:spacing w:after="0" w:line="276" w:lineRule="auto"/>
        <w:jc w:val="both"/>
        <w:rPr>
          <w:rFonts w:cstheme="minorHAnsi"/>
        </w:rPr>
      </w:pPr>
    </w:p>
    <w:p w14:paraId="1753556B" w14:textId="4EEC1BF9" w:rsidR="00A94545" w:rsidRDefault="00946433" w:rsidP="008741C7">
      <w:pPr>
        <w:spacing w:after="0" w:line="276" w:lineRule="auto"/>
        <w:jc w:val="both"/>
        <w:rPr>
          <w:rFonts w:cstheme="minorHAnsi"/>
        </w:rPr>
      </w:pPr>
      <w:r>
        <w:rPr>
          <w:rFonts w:cstheme="minorHAnsi"/>
        </w:rPr>
        <w:lastRenderedPageBreak/>
        <w:t xml:space="preserve">More recent tenders of </w:t>
      </w:r>
      <w:r w:rsidR="00FE5611">
        <w:rPr>
          <w:rFonts w:cstheme="minorHAnsi"/>
        </w:rPr>
        <w:t xml:space="preserve">mental health support </w:t>
      </w:r>
      <w:r>
        <w:rPr>
          <w:rFonts w:cstheme="minorHAnsi"/>
        </w:rPr>
        <w:t xml:space="preserve">models </w:t>
      </w:r>
      <w:r w:rsidR="00FE5611">
        <w:rPr>
          <w:rFonts w:cstheme="minorHAnsi"/>
        </w:rPr>
        <w:t xml:space="preserve">appear to be rolling out </w:t>
      </w:r>
      <w:r w:rsidR="000D0036">
        <w:rPr>
          <w:rFonts w:cstheme="minorHAnsi"/>
        </w:rPr>
        <w:t xml:space="preserve">with newer data </w:t>
      </w:r>
      <w:r w:rsidR="00A94545">
        <w:rPr>
          <w:rFonts w:cstheme="minorHAnsi"/>
        </w:rPr>
        <w:t>supports that</w:t>
      </w:r>
      <w:r w:rsidR="000D0036">
        <w:rPr>
          <w:rFonts w:cstheme="minorHAnsi"/>
        </w:rPr>
        <w:t xml:space="preserve"> do not integrate </w:t>
      </w:r>
      <w:r w:rsidR="007364C8">
        <w:rPr>
          <w:rFonts w:cstheme="minorHAnsi"/>
        </w:rPr>
        <w:t>with</w:t>
      </w:r>
      <w:r w:rsidR="00FE5611">
        <w:rPr>
          <w:rFonts w:cstheme="minorHAnsi"/>
        </w:rPr>
        <w:t xml:space="preserve"> </w:t>
      </w:r>
      <w:r w:rsidR="000D0036">
        <w:rPr>
          <w:rFonts w:cstheme="minorHAnsi"/>
        </w:rPr>
        <w:t xml:space="preserve">existing </w:t>
      </w:r>
      <w:r w:rsidR="00FE5611">
        <w:rPr>
          <w:rFonts w:cstheme="minorHAnsi"/>
        </w:rPr>
        <w:t>systems. These new tender opportunities bring</w:t>
      </w:r>
      <w:r w:rsidR="007364C8">
        <w:rPr>
          <w:rFonts w:cstheme="minorHAnsi"/>
        </w:rPr>
        <w:t xml:space="preserve"> with them data reporting, </w:t>
      </w:r>
      <w:r w:rsidR="00FE5611">
        <w:rPr>
          <w:rFonts w:cstheme="minorHAnsi"/>
        </w:rPr>
        <w:t xml:space="preserve">administration </w:t>
      </w:r>
      <w:r w:rsidR="007364C8">
        <w:rPr>
          <w:rFonts w:cstheme="minorHAnsi"/>
        </w:rPr>
        <w:t xml:space="preserve">and client management </w:t>
      </w:r>
      <w:r w:rsidR="00FE5611">
        <w:rPr>
          <w:rFonts w:cstheme="minorHAnsi"/>
        </w:rPr>
        <w:t>system</w:t>
      </w:r>
      <w:r w:rsidR="007364C8">
        <w:rPr>
          <w:rFonts w:cstheme="minorHAnsi"/>
        </w:rPr>
        <w:t>s</w:t>
      </w:r>
      <w:r w:rsidR="00FE5611">
        <w:rPr>
          <w:rFonts w:cstheme="minorHAnsi"/>
        </w:rPr>
        <w:t xml:space="preserve"> that </w:t>
      </w:r>
      <w:r w:rsidR="007364C8">
        <w:rPr>
          <w:rFonts w:cstheme="minorHAnsi"/>
        </w:rPr>
        <w:t>are</w:t>
      </w:r>
      <w:r w:rsidR="00FE5611">
        <w:rPr>
          <w:rFonts w:cstheme="minorHAnsi"/>
        </w:rPr>
        <w:t xml:space="preserve"> new and not at all able to integrate into systems already in place for services. </w:t>
      </w:r>
      <w:r w:rsidR="00A94545">
        <w:rPr>
          <w:rFonts w:cstheme="minorHAnsi"/>
        </w:rPr>
        <w:t>Newer funding models need to ensure that their supporting client management and data reporting systems integrate into a service’s current systems.</w:t>
      </w:r>
    </w:p>
    <w:p w14:paraId="363A146D" w14:textId="77777777" w:rsidR="00A94545" w:rsidRDefault="00A94545" w:rsidP="008741C7">
      <w:pPr>
        <w:spacing w:after="0" w:line="276" w:lineRule="auto"/>
        <w:jc w:val="both"/>
        <w:rPr>
          <w:rFonts w:cstheme="minorHAnsi"/>
        </w:rPr>
      </w:pPr>
    </w:p>
    <w:p w14:paraId="6C11BD55" w14:textId="7F994901" w:rsidR="00561810" w:rsidRPr="008741C7" w:rsidRDefault="00561810" w:rsidP="008741C7">
      <w:pPr>
        <w:spacing w:after="0" w:line="276" w:lineRule="auto"/>
        <w:jc w:val="both"/>
        <w:rPr>
          <w:rFonts w:cstheme="minorHAnsi"/>
        </w:rPr>
      </w:pPr>
    </w:p>
    <w:p w14:paraId="3692B78E" w14:textId="2008DFC5" w:rsidR="00561810" w:rsidRDefault="00561810" w:rsidP="008741C7">
      <w:pPr>
        <w:spacing w:after="0" w:line="276" w:lineRule="auto"/>
        <w:jc w:val="both"/>
        <w:rPr>
          <w:rFonts w:cstheme="minorHAnsi"/>
        </w:rPr>
      </w:pPr>
    </w:p>
    <w:p w14:paraId="267961F3" w14:textId="77777777" w:rsidR="001028D4" w:rsidRDefault="001028D4" w:rsidP="008741C7">
      <w:pPr>
        <w:spacing w:after="0" w:line="276" w:lineRule="auto"/>
        <w:jc w:val="both"/>
        <w:rPr>
          <w:rFonts w:cstheme="minorHAnsi"/>
          <w:b/>
          <w:sz w:val="32"/>
        </w:rPr>
      </w:pPr>
    </w:p>
    <w:p w14:paraId="30CF42EE" w14:textId="77777777" w:rsidR="001028D4" w:rsidRDefault="001028D4" w:rsidP="008741C7">
      <w:pPr>
        <w:spacing w:after="0" w:line="276" w:lineRule="auto"/>
        <w:jc w:val="both"/>
        <w:rPr>
          <w:rFonts w:cstheme="minorHAnsi"/>
          <w:b/>
          <w:sz w:val="32"/>
        </w:rPr>
      </w:pPr>
    </w:p>
    <w:p w14:paraId="4E34700A" w14:textId="77777777" w:rsidR="001028D4" w:rsidRDefault="001028D4" w:rsidP="008741C7">
      <w:pPr>
        <w:spacing w:after="0" w:line="276" w:lineRule="auto"/>
        <w:jc w:val="both"/>
        <w:rPr>
          <w:rFonts w:cstheme="minorHAnsi"/>
          <w:b/>
          <w:sz w:val="32"/>
        </w:rPr>
      </w:pPr>
    </w:p>
    <w:p w14:paraId="1E1AF234" w14:textId="77777777" w:rsidR="001028D4" w:rsidRDefault="001028D4" w:rsidP="008741C7">
      <w:pPr>
        <w:spacing w:after="0" w:line="276" w:lineRule="auto"/>
        <w:jc w:val="both"/>
        <w:rPr>
          <w:rFonts w:cstheme="minorHAnsi"/>
          <w:b/>
          <w:sz w:val="32"/>
        </w:rPr>
      </w:pPr>
    </w:p>
    <w:p w14:paraId="775BDFFB" w14:textId="77777777" w:rsidR="001028D4" w:rsidRDefault="001028D4" w:rsidP="008741C7">
      <w:pPr>
        <w:spacing w:after="0" w:line="276" w:lineRule="auto"/>
        <w:jc w:val="both"/>
        <w:rPr>
          <w:rFonts w:cstheme="minorHAnsi"/>
          <w:b/>
          <w:sz w:val="32"/>
        </w:rPr>
      </w:pPr>
    </w:p>
    <w:p w14:paraId="140F5E3E" w14:textId="77777777" w:rsidR="001028D4" w:rsidRDefault="001028D4" w:rsidP="008741C7">
      <w:pPr>
        <w:spacing w:after="0" w:line="276" w:lineRule="auto"/>
        <w:jc w:val="both"/>
        <w:rPr>
          <w:rFonts w:cstheme="minorHAnsi"/>
          <w:b/>
          <w:sz w:val="32"/>
        </w:rPr>
      </w:pPr>
    </w:p>
    <w:p w14:paraId="68D93CBA" w14:textId="77777777" w:rsidR="001028D4" w:rsidRDefault="001028D4" w:rsidP="008741C7">
      <w:pPr>
        <w:spacing w:after="0" w:line="276" w:lineRule="auto"/>
        <w:jc w:val="both"/>
        <w:rPr>
          <w:rFonts w:cstheme="minorHAnsi"/>
          <w:b/>
          <w:sz w:val="32"/>
        </w:rPr>
      </w:pPr>
    </w:p>
    <w:p w14:paraId="396F673D" w14:textId="64FA82C3" w:rsidR="001028D4" w:rsidRDefault="001028D4" w:rsidP="008741C7">
      <w:pPr>
        <w:spacing w:after="0" w:line="276" w:lineRule="auto"/>
        <w:jc w:val="both"/>
        <w:rPr>
          <w:rFonts w:cstheme="minorHAnsi"/>
          <w:b/>
          <w:sz w:val="32"/>
        </w:rPr>
      </w:pPr>
    </w:p>
    <w:p w14:paraId="79776A59" w14:textId="6969D3A9" w:rsidR="00654CDD" w:rsidRDefault="00654CDD" w:rsidP="008741C7">
      <w:pPr>
        <w:spacing w:after="0" w:line="276" w:lineRule="auto"/>
        <w:jc w:val="both"/>
        <w:rPr>
          <w:rFonts w:cstheme="minorHAnsi"/>
          <w:b/>
          <w:sz w:val="32"/>
        </w:rPr>
      </w:pPr>
    </w:p>
    <w:p w14:paraId="1BE9E2EC" w14:textId="717B5C01" w:rsidR="00654CDD" w:rsidRDefault="00654CDD" w:rsidP="008741C7">
      <w:pPr>
        <w:spacing w:after="0" w:line="276" w:lineRule="auto"/>
        <w:jc w:val="both"/>
        <w:rPr>
          <w:rFonts w:cstheme="minorHAnsi"/>
          <w:b/>
          <w:sz w:val="32"/>
        </w:rPr>
      </w:pPr>
    </w:p>
    <w:p w14:paraId="248576D8" w14:textId="4059B3D9" w:rsidR="00654CDD" w:rsidRDefault="00654CDD" w:rsidP="008741C7">
      <w:pPr>
        <w:spacing w:after="0" w:line="276" w:lineRule="auto"/>
        <w:jc w:val="both"/>
        <w:rPr>
          <w:rFonts w:cstheme="minorHAnsi"/>
          <w:b/>
          <w:sz w:val="32"/>
        </w:rPr>
      </w:pPr>
    </w:p>
    <w:p w14:paraId="4C5565AC" w14:textId="26446DD6" w:rsidR="00654CDD" w:rsidRDefault="00654CDD" w:rsidP="008741C7">
      <w:pPr>
        <w:spacing w:after="0" w:line="276" w:lineRule="auto"/>
        <w:jc w:val="both"/>
        <w:rPr>
          <w:rFonts w:cstheme="minorHAnsi"/>
          <w:b/>
          <w:sz w:val="32"/>
        </w:rPr>
      </w:pPr>
    </w:p>
    <w:p w14:paraId="2A368448" w14:textId="522236EC" w:rsidR="00654CDD" w:rsidRDefault="00654CDD" w:rsidP="008741C7">
      <w:pPr>
        <w:spacing w:after="0" w:line="276" w:lineRule="auto"/>
        <w:jc w:val="both"/>
        <w:rPr>
          <w:rFonts w:cstheme="minorHAnsi"/>
          <w:b/>
          <w:sz w:val="32"/>
        </w:rPr>
      </w:pPr>
    </w:p>
    <w:p w14:paraId="05A1CDB6" w14:textId="26DE50BF" w:rsidR="00654CDD" w:rsidRDefault="00654CDD" w:rsidP="008741C7">
      <w:pPr>
        <w:spacing w:after="0" w:line="276" w:lineRule="auto"/>
        <w:jc w:val="both"/>
        <w:rPr>
          <w:rFonts w:cstheme="minorHAnsi"/>
          <w:b/>
          <w:sz w:val="32"/>
        </w:rPr>
      </w:pPr>
    </w:p>
    <w:p w14:paraId="39CC6496" w14:textId="62BFC296" w:rsidR="00654CDD" w:rsidRDefault="00654CDD" w:rsidP="008741C7">
      <w:pPr>
        <w:spacing w:after="0" w:line="276" w:lineRule="auto"/>
        <w:jc w:val="both"/>
        <w:rPr>
          <w:rFonts w:cstheme="minorHAnsi"/>
          <w:b/>
          <w:sz w:val="32"/>
        </w:rPr>
      </w:pPr>
    </w:p>
    <w:p w14:paraId="7198EEEC" w14:textId="79824DD3" w:rsidR="00654CDD" w:rsidRDefault="00654CDD" w:rsidP="008741C7">
      <w:pPr>
        <w:spacing w:after="0" w:line="276" w:lineRule="auto"/>
        <w:jc w:val="both"/>
        <w:rPr>
          <w:rFonts w:cstheme="minorHAnsi"/>
          <w:b/>
          <w:sz w:val="32"/>
        </w:rPr>
      </w:pPr>
    </w:p>
    <w:p w14:paraId="16F08833" w14:textId="77D165B4" w:rsidR="00654CDD" w:rsidRDefault="00654CDD" w:rsidP="008741C7">
      <w:pPr>
        <w:spacing w:after="0" w:line="276" w:lineRule="auto"/>
        <w:jc w:val="both"/>
        <w:rPr>
          <w:rFonts w:cstheme="minorHAnsi"/>
          <w:b/>
          <w:sz w:val="32"/>
        </w:rPr>
      </w:pPr>
    </w:p>
    <w:p w14:paraId="3737A294" w14:textId="6EE82D23" w:rsidR="00654CDD" w:rsidRDefault="00654CDD" w:rsidP="008741C7">
      <w:pPr>
        <w:spacing w:after="0" w:line="276" w:lineRule="auto"/>
        <w:jc w:val="both"/>
        <w:rPr>
          <w:rFonts w:cstheme="minorHAnsi"/>
          <w:b/>
          <w:sz w:val="32"/>
        </w:rPr>
      </w:pPr>
    </w:p>
    <w:p w14:paraId="5C188F73" w14:textId="2CD0167A" w:rsidR="00654CDD" w:rsidRDefault="00654CDD" w:rsidP="008741C7">
      <w:pPr>
        <w:spacing w:after="0" w:line="276" w:lineRule="auto"/>
        <w:jc w:val="both"/>
        <w:rPr>
          <w:rFonts w:cstheme="minorHAnsi"/>
          <w:b/>
          <w:sz w:val="32"/>
        </w:rPr>
      </w:pPr>
    </w:p>
    <w:p w14:paraId="45FB1F56" w14:textId="0EFC70FE" w:rsidR="00654CDD" w:rsidRDefault="00654CDD" w:rsidP="008741C7">
      <w:pPr>
        <w:spacing w:after="0" w:line="276" w:lineRule="auto"/>
        <w:jc w:val="both"/>
        <w:rPr>
          <w:rFonts w:cstheme="minorHAnsi"/>
          <w:b/>
          <w:sz w:val="32"/>
        </w:rPr>
      </w:pPr>
    </w:p>
    <w:p w14:paraId="058783B6" w14:textId="6AA9F995" w:rsidR="00654CDD" w:rsidRDefault="00654CDD" w:rsidP="008741C7">
      <w:pPr>
        <w:spacing w:after="0" w:line="276" w:lineRule="auto"/>
        <w:jc w:val="both"/>
        <w:rPr>
          <w:rFonts w:cstheme="minorHAnsi"/>
          <w:b/>
          <w:sz w:val="32"/>
        </w:rPr>
      </w:pPr>
    </w:p>
    <w:p w14:paraId="15D8C2E4" w14:textId="59382AB5" w:rsidR="00654CDD" w:rsidRDefault="00654CDD" w:rsidP="008741C7">
      <w:pPr>
        <w:spacing w:after="0" w:line="276" w:lineRule="auto"/>
        <w:jc w:val="both"/>
        <w:rPr>
          <w:rFonts w:cstheme="minorHAnsi"/>
          <w:b/>
          <w:sz w:val="32"/>
        </w:rPr>
      </w:pPr>
    </w:p>
    <w:p w14:paraId="5ACB44E2" w14:textId="5CDF1AA7" w:rsidR="00654CDD" w:rsidRDefault="00654CDD" w:rsidP="008741C7">
      <w:pPr>
        <w:spacing w:after="0" w:line="276" w:lineRule="auto"/>
        <w:jc w:val="both"/>
        <w:rPr>
          <w:rFonts w:cstheme="minorHAnsi"/>
          <w:b/>
          <w:sz w:val="32"/>
        </w:rPr>
      </w:pPr>
    </w:p>
    <w:p w14:paraId="760E6756" w14:textId="600DFCC3" w:rsidR="00654CDD" w:rsidRDefault="00654CDD" w:rsidP="008741C7">
      <w:pPr>
        <w:spacing w:after="0" w:line="276" w:lineRule="auto"/>
        <w:jc w:val="both"/>
        <w:rPr>
          <w:rFonts w:cstheme="minorHAnsi"/>
          <w:b/>
          <w:sz w:val="32"/>
        </w:rPr>
      </w:pPr>
    </w:p>
    <w:p w14:paraId="13A69BAF" w14:textId="7667931B" w:rsidR="00654CDD" w:rsidRDefault="00654CDD" w:rsidP="008741C7">
      <w:pPr>
        <w:spacing w:after="0" w:line="276" w:lineRule="auto"/>
        <w:jc w:val="both"/>
        <w:rPr>
          <w:rFonts w:cstheme="minorHAnsi"/>
          <w:b/>
          <w:sz w:val="32"/>
        </w:rPr>
      </w:pPr>
    </w:p>
    <w:p w14:paraId="7E836FEF" w14:textId="77777777" w:rsidR="00654CDD" w:rsidRDefault="00654CDD" w:rsidP="008741C7">
      <w:pPr>
        <w:spacing w:after="0" w:line="276" w:lineRule="auto"/>
        <w:jc w:val="both"/>
        <w:rPr>
          <w:rFonts w:cstheme="minorHAnsi"/>
          <w:b/>
          <w:sz w:val="32"/>
        </w:rPr>
      </w:pPr>
    </w:p>
    <w:p w14:paraId="10D9A5C0" w14:textId="327297FF" w:rsidR="00CB4B76" w:rsidRDefault="00CB4B76" w:rsidP="008741C7">
      <w:pPr>
        <w:spacing w:after="0" w:line="276" w:lineRule="auto"/>
        <w:jc w:val="both"/>
        <w:rPr>
          <w:rFonts w:cstheme="minorHAnsi"/>
          <w:b/>
          <w:sz w:val="32"/>
        </w:rPr>
      </w:pPr>
      <w:r>
        <w:rPr>
          <w:rFonts w:cstheme="minorHAnsi"/>
          <w:b/>
          <w:sz w:val="32"/>
        </w:rPr>
        <w:lastRenderedPageBreak/>
        <w:t>References</w:t>
      </w:r>
    </w:p>
    <w:p w14:paraId="3033B478" w14:textId="23A2C8B1" w:rsidR="00CB4B76" w:rsidRDefault="00CB4B76" w:rsidP="007B4671">
      <w:pPr>
        <w:spacing w:after="0" w:line="276" w:lineRule="auto"/>
        <w:jc w:val="both"/>
        <w:rPr>
          <w:rFonts w:cstheme="minorHAnsi"/>
        </w:rPr>
      </w:pPr>
    </w:p>
    <w:p w14:paraId="4FA47450" w14:textId="090C5A3A" w:rsidR="00CC5F35" w:rsidRDefault="00CC5F35" w:rsidP="00E66352">
      <w:pPr>
        <w:spacing w:after="0" w:line="276" w:lineRule="auto"/>
        <w:ind w:left="360"/>
      </w:pPr>
      <w:r>
        <w:t>Ashfield, Dr J, Macdonald, Prof J, Francis, A Prof A, Smith, A Prof A</w:t>
      </w:r>
      <w:r w:rsidR="009F5F94">
        <w:t>.</w:t>
      </w:r>
      <w:r>
        <w:t xml:space="preserve"> (2017). A Situational Approach to Mental Health Literacy in Australia; Redefining Mental Health Literacy to Empower Communities for Preventative Mental Health. Retrieved from:</w:t>
      </w:r>
      <w:r w:rsidR="00E66352">
        <w:t xml:space="preserve"> </w:t>
      </w:r>
      <w:hyperlink r:id="rId17" w:history="1">
        <w:r>
          <w:rPr>
            <w:rStyle w:val="Hyperlink"/>
          </w:rPr>
          <w:t>https://www.westernsydney.edu.au/__data/assets/pdf_file/0019/1308223/Mental_Health_Literacy_Paper_web.pdf</w:t>
        </w:r>
      </w:hyperlink>
      <w:r>
        <w:t xml:space="preserve"> </w:t>
      </w:r>
    </w:p>
    <w:p w14:paraId="5745B0FF" w14:textId="77777777" w:rsidR="002D612C" w:rsidRDefault="002D612C" w:rsidP="00E66352">
      <w:pPr>
        <w:pStyle w:val="ListParagraph"/>
        <w:spacing w:after="0" w:line="276" w:lineRule="auto"/>
      </w:pPr>
    </w:p>
    <w:p w14:paraId="0D2CDE3E" w14:textId="173FC798" w:rsidR="002D612C" w:rsidRDefault="007B4671" w:rsidP="00E66352">
      <w:pPr>
        <w:spacing w:after="0" w:line="276" w:lineRule="auto"/>
        <w:ind w:left="360"/>
        <w:rPr>
          <w:rStyle w:val="Hyperlink"/>
          <w:rFonts w:cstheme="minorHAnsi"/>
          <w:iCs/>
          <w:color w:val="000000" w:themeColor="text1"/>
          <w:u w:val="none"/>
        </w:rPr>
      </w:pPr>
      <w:r w:rsidRPr="007B4671">
        <w:t xml:space="preserve">Beyond Blue. (2018). Be You Evidence Summary. Retrieved </w:t>
      </w:r>
      <w:r w:rsidRPr="00E66352">
        <w:rPr>
          <w:rFonts w:cstheme="minorHAnsi"/>
          <w:color w:val="000000" w:themeColor="text1"/>
        </w:rPr>
        <w:t>from</w:t>
      </w:r>
      <w:r w:rsidR="002D612C" w:rsidRPr="00E66352">
        <w:rPr>
          <w:rFonts w:cstheme="minorHAnsi"/>
          <w:color w:val="000000" w:themeColor="text1"/>
        </w:rPr>
        <w:t>:</w:t>
      </w:r>
      <w:r w:rsidRPr="00E66352">
        <w:rPr>
          <w:rFonts w:cstheme="minorHAnsi"/>
          <w:color w:val="000000" w:themeColor="text1"/>
        </w:rPr>
        <w:t xml:space="preserve"> </w:t>
      </w:r>
      <w:hyperlink r:id="rId18" w:history="1">
        <w:r w:rsidRPr="00E66352">
          <w:rPr>
            <w:rStyle w:val="Hyperlink"/>
            <w:rFonts w:cstheme="minorHAnsi"/>
          </w:rPr>
          <w:t>https://beyou.edu.au</w:t>
        </w:r>
      </w:hyperlink>
    </w:p>
    <w:p w14:paraId="04D8C7A6" w14:textId="77777777" w:rsidR="00E66352" w:rsidRPr="00E66352" w:rsidRDefault="00E66352" w:rsidP="00E66352">
      <w:pPr>
        <w:spacing w:after="0" w:line="276" w:lineRule="auto"/>
        <w:ind w:left="360"/>
        <w:rPr>
          <w:rStyle w:val="HTMLCite"/>
          <w:rFonts w:cstheme="minorHAnsi"/>
          <w:i w:val="0"/>
          <w:color w:val="000000" w:themeColor="text1"/>
        </w:rPr>
      </w:pPr>
    </w:p>
    <w:p w14:paraId="4E0A07ED" w14:textId="0A2BBF6B" w:rsidR="007B4671" w:rsidRPr="00E66352" w:rsidRDefault="007B4671" w:rsidP="00E66352">
      <w:pPr>
        <w:spacing w:after="0" w:line="276" w:lineRule="auto"/>
        <w:ind w:left="360"/>
        <w:rPr>
          <w:rFonts w:eastAsia="Times New Roman" w:cstheme="minorHAnsi"/>
          <w:color w:val="000000"/>
          <w:lang w:val="en" w:eastAsia="en-AU"/>
        </w:rPr>
      </w:pPr>
      <w:r w:rsidRPr="00E66352">
        <w:rPr>
          <w:rFonts w:eastAsia="Times New Roman" w:cstheme="minorHAnsi"/>
          <w:color w:val="000000"/>
          <w:lang w:val="en" w:eastAsia="en-AU"/>
        </w:rPr>
        <w:t>Beyond Blue. (2019). Factors affecting LGBTI people. Retrieved from</w:t>
      </w:r>
      <w:r w:rsidR="002D612C" w:rsidRPr="00E66352">
        <w:rPr>
          <w:rFonts w:eastAsia="Times New Roman" w:cstheme="minorHAnsi"/>
          <w:color w:val="000000"/>
          <w:lang w:val="en" w:eastAsia="en-AU"/>
        </w:rPr>
        <w:t>:</w:t>
      </w:r>
      <w:r w:rsidRPr="00E66352">
        <w:rPr>
          <w:rFonts w:eastAsia="Times New Roman" w:cstheme="minorHAnsi"/>
          <w:color w:val="000000"/>
          <w:lang w:val="en" w:eastAsia="en-AU"/>
        </w:rPr>
        <w:t xml:space="preserve"> </w:t>
      </w:r>
      <w:hyperlink r:id="rId19" w:history="1">
        <w:r w:rsidRPr="00E66352">
          <w:rPr>
            <w:rFonts w:eastAsia="Times New Roman" w:cstheme="minorHAnsi"/>
            <w:color w:val="0563C1" w:themeColor="hyperlink"/>
            <w:u w:val="single"/>
            <w:lang w:val="en" w:eastAsia="en-AU"/>
          </w:rPr>
          <w:t>https://www.beyondblue.org.au/who-does-it-affect/lesbian-gay-bi-trans-and-intersex-lgbti-people/factors-affecting-lgbti-people</w:t>
        </w:r>
      </w:hyperlink>
    </w:p>
    <w:p w14:paraId="71DEFA2B" w14:textId="77777777" w:rsidR="007B4671" w:rsidRPr="007B4671" w:rsidRDefault="007B4671" w:rsidP="00E66352">
      <w:pPr>
        <w:spacing w:after="0" w:line="276" w:lineRule="auto"/>
        <w:rPr>
          <w:rFonts w:eastAsia="Times New Roman" w:cstheme="minorHAnsi"/>
          <w:color w:val="000000"/>
          <w:lang w:val="en" w:eastAsia="en-AU"/>
        </w:rPr>
      </w:pPr>
    </w:p>
    <w:p w14:paraId="1230331E" w14:textId="46F274E2" w:rsidR="007B4671" w:rsidRPr="00E66352" w:rsidRDefault="007B4671" w:rsidP="00E66352">
      <w:pPr>
        <w:spacing w:after="0" w:line="276" w:lineRule="auto"/>
        <w:ind w:left="360"/>
        <w:rPr>
          <w:rFonts w:eastAsia="Times New Roman" w:cstheme="minorHAnsi"/>
          <w:color w:val="000000"/>
          <w:lang w:val="en" w:eastAsia="en-AU"/>
        </w:rPr>
      </w:pPr>
      <w:r w:rsidRPr="00E66352">
        <w:rPr>
          <w:rFonts w:eastAsia="Times New Roman" w:cstheme="minorHAnsi"/>
          <w:color w:val="000000"/>
          <w:lang w:val="en" w:eastAsia="en-AU"/>
        </w:rPr>
        <w:t>Blackdog Institute. (2017). Facts &amp; figures about mental health. Retrieved from</w:t>
      </w:r>
      <w:r w:rsidR="002D612C" w:rsidRPr="00E66352">
        <w:rPr>
          <w:rFonts w:eastAsia="Times New Roman" w:cstheme="minorHAnsi"/>
          <w:color w:val="000000"/>
          <w:lang w:val="en" w:eastAsia="en-AU"/>
        </w:rPr>
        <w:t xml:space="preserve">: </w:t>
      </w:r>
      <w:hyperlink r:id="rId20" w:history="1">
        <w:r w:rsidR="002D612C" w:rsidRPr="00E66352">
          <w:rPr>
            <w:rStyle w:val="Hyperlink"/>
            <w:rFonts w:eastAsia="Times New Roman" w:cstheme="minorHAnsi"/>
            <w:lang w:val="en" w:eastAsia="en-AU"/>
          </w:rPr>
          <w:t>https://www.blackdoginstitute.org.au/docs/default-source/factsheets/facts_figures.pdf?sfvrsn=8</w:t>
        </w:r>
      </w:hyperlink>
    </w:p>
    <w:p w14:paraId="5E25C42A" w14:textId="77777777" w:rsidR="007B4671" w:rsidRPr="007B4671" w:rsidRDefault="007B4671" w:rsidP="00E66352">
      <w:pPr>
        <w:spacing w:after="0" w:line="276" w:lineRule="auto"/>
        <w:rPr>
          <w:rFonts w:eastAsia="Times New Roman" w:cstheme="minorHAnsi"/>
          <w:color w:val="000000"/>
          <w:lang w:val="en" w:eastAsia="en-AU"/>
        </w:rPr>
      </w:pPr>
    </w:p>
    <w:p w14:paraId="518A8981" w14:textId="2FD1BE00" w:rsidR="007B4671" w:rsidRPr="00E66352" w:rsidRDefault="007B4671" w:rsidP="00E66352">
      <w:pPr>
        <w:spacing w:after="0" w:line="276" w:lineRule="auto"/>
        <w:ind w:left="360"/>
        <w:rPr>
          <w:rFonts w:eastAsia="Times New Roman" w:cstheme="minorHAnsi"/>
          <w:color w:val="000000"/>
          <w:lang w:val="en" w:eastAsia="en-AU"/>
        </w:rPr>
      </w:pPr>
      <w:r w:rsidRPr="00E66352">
        <w:rPr>
          <w:rFonts w:eastAsia="Times New Roman" w:cstheme="minorHAnsi"/>
          <w:color w:val="000000"/>
          <w:lang w:val="en" w:eastAsia="en-AU"/>
        </w:rPr>
        <w:t xml:space="preserve">Commonwealth Government of Australia. (2018). Gender pay gap. Retrieved from:  </w:t>
      </w:r>
      <w:hyperlink r:id="rId21" w:history="1">
        <w:r w:rsidRPr="00E66352">
          <w:rPr>
            <w:rFonts w:eastAsia="Times New Roman" w:cstheme="minorHAnsi"/>
            <w:color w:val="0563C1" w:themeColor="hyperlink"/>
            <w:u w:val="single"/>
            <w:lang w:val="en" w:eastAsia="en-AU"/>
          </w:rPr>
          <w:t>https://www.wgea.gov.au/topics/gender-pay-gap</w:t>
        </w:r>
      </w:hyperlink>
    </w:p>
    <w:p w14:paraId="5B3E08ED" w14:textId="6D9896ED" w:rsidR="005A5964" w:rsidRDefault="005A5964" w:rsidP="00E66352">
      <w:pPr>
        <w:spacing w:after="0" w:line="276" w:lineRule="auto"/>
        <w:rPr>
          <w:rFonts w:eastAsia="Times New Roman" w:cstheme="minorHAnsi"/>
          <w:color w:val="0563C1" w:themeColor="hyperlink"/>
          <w:u w:val="single"/>
          <w:lang w:val="en" w:eastAsia="en-AU"/>
        </w:rPr>
      </w:pPr>
    </w:p>
    <w:p w14:paraId="412F6B35" w14:textId="6933D6E6" w:rsidR="007B4671" w:rsidRPr="00E66352" w:rsidRDefault="007B4671" w:rsidP="00E66352">
      <w:pPr>
        <w:spacing w:after="0" w:line="276" w:lineRule="auto"/>
        <w:ind w:left="360"/>
        <w:rPr>
          <w:rFonts w:eastAsia="Times New Roman" w:cstheme="minorHAnsi"/>
          <w:color w:val="000000"/>
          <w:lang w:val="en" w:eastAsia="en-AU"/>
        </w:rPr>
      </w:pPr>
      <w:r w:rsidRPr="00E66352">
        <w:rPr>
          <w:rFonts w:eastAsia="Times New Roman" w:cstheme="minorHAnsi"/>
          <w:color w:val="000000"/>
          <w:lang w:val="en" w:eastAsia="en-AU"/>
        </w:rPr>
        <w:t xml:space="preserve">Connect Health and Community. (2017). Emotion Wellbeing Group Evaluation Report. </w:t>
      </w:r>
    </w:p>
    <w:p w14:paraId="33773907" w14:textId="77777777" w:rsidR="002D612C" w:rsidRPr="002D612C" w:rsidRDefault="002D612C" w:rsidP="00E66352">
      <w:pPr>
        <w:pStyle w:val="ListParagraph"/>
        <w:spacing w:after="0" w:line="276" w:lineRule="auto"/>
        <w:rPr>
          <w:rFonts w:cstheme="minorHAnsi"/>
          <w:color w:val="0563C1" w:themeColor="hyperlink"/>
          <w:u w:val="single"/>
        </w:rPr>
      </w:pPr>
    </w:p>
    <w:p w14:paraId="5330B568" w14:textId="6EBAF3C5" w:rsidR="007B4671" w:rsidRPr="00E66352" w:rsidRDefault="007B4671" w:rsidP="00E66352">
      <w:pPr>
        <w:spacing w:after="0" w:line="276" w:lineRule="auto"/>
        <w:ind w:left="360"/>
        <w:rPr>
          <w:rFonts w:cstheme="minorHAnsi"/>
          <w:color w:val="0563C1" w:themeColor="hyperlink"/>
          <w:u w:val="single"/>
        </w:rPr>
      </w:pPr>
      <w:r w:rsidRPr="00E66352">
        <w:rPr>
          <w:rFonts w:cstheme="minorHAnsi"/>
        </w:rPr>
        <w:t xml:space="preserve">Department of Health. (2013). Improving men’s health and wellbeing- Resource: data and evidence. Retrieved from: </w:t>
      </w:r>
      <w:hyperlink r:id="rId22" w:history="1">
        <w:r w:rsidR="002D612C" w:rsidRPr="00E66352">
          <w:rPr>
            <w:rStyle w:val="Hyperlink"/>
            <w:rFonts w:cstheme="minorHAnsi"/>
          </w:rPr>
          <w:t>https://www2.health.vic.gov.au</w:t>
        </w:r>
      </w:hyperlink>
    </w:p>
    <w:p w14:paraId="1526B1B9" w14:textId="77777777" w:rsidR="002D612C" w:rsidRPr="002D612C" w:rsidRDefault="002D612C" w:rsidP="00E66352">
      <w:pPr>
        <w:pStyle w:val="ListParagraph"/>
        <w:spacing w:after="0" w:line="276" w:lineRule="auto"/>
        <w:rPr>
          <w:rFonts w:cstheme="minorHAnsi"/>
          <w:color w:val="0563C1" w:themeColor="hyperlink"/>
          <w:u w:val="single"/>
        </w:rPr>
      </w:pPr>
    </w:p>
    <w:p w14:paraId="0EAC38DE" w14:textId="6A0E1E0D" w:rsidR="007B4671" w:rsidRPr="00E66352" w:rsidRDefault="007B4671" w:rsidP="00E66352">
      <w:pPr>
        <w:spacing w:after="0" w:line="276" w:lineRule="auto"/>
        <w:ind w:left="360"/>
        <w:rPr>
          <w:rFonts w:cstheme="minorHAnsi"/>
        </w:rPr>
      </w:pPr>
      <w:r w:rsidRPr="00E66352">
        <w:rPr>
          <w:rFonts w:cstheme="minorHAnsi"/>
        </w:rPr>
        <w:t xml:space="preserve">Early Action-Queensland Mental health Promotion prevention and Early Intervention Action Plan 2015-17 </w:t>
      </w:r>
    </w:p>
    <w:p w14:paraId="20B3D610" w14:textId="77777777" w:rsidR="002D612C" w:rsidRPr="002D612C" w:rsidRDefault="002D612C" w:rsidP="00E66352">
      <w:pPr>
        <w:pStyle w:val="ListParagraph"/>
        <w:spacing w:after="0" w:line="276" w:lineRule="auto"/>
        <w:rPr>
          <w:rFonts w:cstheme="minorHAnsi"/>
        </w:rPr>
      </w:pPr>
    </w:p>
    <w:p w14:paraId="000E4736" w14:textId="2EF45516" w:rsidR="007B4671" w:rsidRPr="00E66352" w:rsidRDefault="007B4671" w:rsidP="00E66352">
      <w:pPr>
        <w:spacing w:after="0" w:line="276" w:lineRule="auto"/>
        <w:ind w:left="360"/>
        <w:rPr>
          <w:rStyle w:val="Hyperlink"/>
          <w:rFonts w:cstheme="minorHAnsi"/>
          <w:color w:val="auto"/>
          <w:u w:val="none"/>
        </w:rPr>
      </w:pPr>
      <w:r w:rsidRPr="00E66352">
        <w:rPr>
          <w:rFonts w:cstheme="minorHAnsi"/>
        </w:rPr>
        <w:t>Ellingsaeter, Dr. A</w:t>
      </w:r>
      <w:r w:rsidR="009F5F94" w:rsidRPr="00E66352">
        <w:rPr>
          <w:rFonts w:cstheme="minorHAnsi"/>
        </w:rPr>
        <w:t>.</w:t>
      </w:r>
      <w:r w:rsidRPr="00E66352">
        <w:rPr>
          <w:rFonts w:cstheme="minorHAnsi"/>
        </w:rPr>
        <w:t xml:space="preserve"> (2012). Cash for Childcare – Experiences form Finland, Norway and Sweden. Retrieved from: </w:t>
      </w:r>
      <w:hyperlink r:id="rId23" w:history="1">
        <w:r w:rsidR="005A5964" w:rsidRPr="00E66352">
          <w:rPr>
            <w:rStyle w:val="Hyperlink"/>
            <w:rFonts w:cstheme="minorHAnsi"/>
          </w:rPr>
          <w:t>http://library.fes.de/pdf-files/id/09079.pdf</w:t>
        </w:r>
      </w:hyperlink>
    </w:p>
    <w:p w14:paraId="28B1817C" w14:textId="77777777" w:rsidR="002D612C" w:rsidRPr="002D612C" w:rsidRDefault="002D612C" w:rsidP="00E66352">
      <w:pPr>
        <w:pStyle w:val="ListParagraph"/>
        <w:spacing w:after="0" w:line="276" w:lineRule="auto"/>
        <w:rPr>
          <w:rFonts w:cstheme="minorHAnsi"/>
        </w:rPr>
      </w:pPr>
    </w:p>
    <w:p w14:paraId="3ECE9CB0" w14:textId="50FAFD58" w:rsidR="007B4671" w:rsidRPr="00E66352" w:rsidRDefault="007B4671" w:rsidP="00E66352">
      <w:pPr>
        <w:spacing w:after="0" w:line="276" w:lineRule="auto"/>
        <w:ind w:left="360"/>
        <w:rPr>
          <w:rFonts w:cstheme="minorHAnsi"/>
          <w:color w:val="0563C1" w:themeColor="hyperlink"/>
          <w:u w:val="single"/>
        </w:rPr>
      </w:pPr>
      <w:r w:rsidRPr="00E66352">
        <w:rPr>
          <w:rFonts w:cstheme="minorHAnsi"/>
        </w:rPr>
        <w:t>Everymind</w:t>
      </w:r>
      <w:r w:rsidR="009F5F94" w:rsidRPr="00E66352">
        <w:rPr>
          <w:rFonts w:cstheme="minorHAnsi"/>
        </w:rPr>
        <w:t>.</w:t>
      </w:r>
      <w:r w:rsidR="00E66352">
        <w:rPr>
          <w:rFonts w:cstheme="minorHAnsi"/>
        </w:rPr>
        <w:t xml:space="preserve"> (2017). </w:t>
      </w:r>
      <w:r w:rsidRPr="00E66352">
        <w:rPr>
          <w:rFonts w:cstheme="minorHAnsi"/>
        </w:rPr>
        <w:t xml:space="preserve">Prevention First Framework: A Prevention and Promotion Framework for Mental Health. Retrieved: </w:t>
      </w:r>
      <w:hyperlink r:id="rId24" w:history="1">
        <w:r w:rsidRPr="00E66352">
          <w:rPr>
            <w:rFonts w:cstheme="minorHAnsi"/>
            <w:color w:val="0563C1" w:themeColor="hyperlink"/>
            <w:u w:val="single"/>
          </w:rPr>
          <w:t>http://s3-ap-southeast-2.amazonaws.com/everymind/assets/Uploads/EM-0026-Prevention-First-Framework.pdf</w:t>
        </w:r>
      </w:hyperlink>
    </w:p>
    <w:p w14:paraId="5DD47C7B" w14:textId="77777777" w:rsidR="002D612C" w:rsidRPr="002D612C" w:rsidRDefault="002D612C" w:rsidP="00E66352">
      <w:pPr>
        <w:pStyle w:val="ListParagraph"/>
        <w:spacing w:after="0" w:line="276" w:lineRule="auto"/>
        <w:rPr>
          <w:rFonts w:cstheme="minorHAnsi"/>
          <w:color w:val="000000" w:themeColor="text1"/>
          <w:lang w:val="en-US"/>
        </w:rPr>
      </w:pPr>
    </w:p>
    <w:p w14:paraId="6C0F3AA2" w14:textId="77777777" w:rsidR="003D5F0E" w:rsidRDefault="002D612C" w:rsidP="003D5F0E">
      <w:pPr>
        <w:spacing w:after="0" w:line="276" w:lineRule="auto"/>
        <w:ind w:left="360"/>
        <w:rPr>
          <w:rStyle w:val="Hyperlink"/>
          <w:rFonts w:cstheme="minorHAnsi"/>
          <w:color w:val="000000" w:themeColor="text1"/>
          <w:u w:val="none"/>
          <w:lang w:val="en-US"/>
        </w:rPr>
      </w:pPr>
      <w:r w:rsidRPr="00E66352">
        <w:rPr>
          <w:rFonts w:cstheme="minorHAnsi"/>
          <w:color w:val="000000" w:themeColor="text1"/>
        </w:rPr>
        <w:t>E</w:t>
      </w:r>
      <w:r w:rsidR="007B4671" w:rsidRPr="00E66352">
        <w:rPr>
          <w:rFonts w:cstheme="minorHAnsi"/>
          <w:color w:val="000000" w:themeColor="text1"/>
        </w:rPr>
        <w:t>uropean Commission</w:t>
      </w:r>
      <w:r w:rsidR="009F5F94" w:rsidRPr="00E66352">
        <w:rPr>
          <w:rFonts w:cstheme="minorHAnsi"/>
          <w:color w:val="000000" w:themeColor="text1"/>
        </w:rPr>
        <w:t>.</w:t>
      </w:r>
      <w:r w:rsidR="007B4671" w:rsidRPr="00E66352">
        <w:rPr>
          <w:rFonts w:cstheme="minorHAnsi"/>
          <w:color w:val="000000" w:themeColor="text1"/>
        </w:rPr>
        <w:t xml:space="preserve"> (2014). Tackling the gender pay gap in the European Union. Retrieved from: </w:t>
      </w:r>
      <w:hyperlink r:id="rId25" w:history="1">
        <w:r w:rsidRPr="00E66352">
          <w:rPr>
            <w:rStyle w:val="Hyperlink"/>
            <w:rFonts w:cstheme="minorHAnsi"/>
            <w:lang w:val="en-US"/>
          </w:rPr>
          <w:t>http://ec.europa.eu/justice/gender-equality/files/gender_pay_gap/140319_gpg_en.pdf</w:t>
        </w:r>
      </w:hyperlink>
    </w:p>
    <w:p w14:paraId="341F7D98" w14:textId="77777777" w:rsidR="003D5F0E" w:rsidRDefault="003D5F0E" w:rsidP="003D5F0E">
      <w:pPr>
        <w:spacing w:after="0" w:line="276" w:lineRule="auto"/>
        <w:ind w:left="360"/>
        <w:rPr>
          <w:rStyle w:val="Hyperlink"/>
          <w:rFonts w:cstheme="minorHAnsi"/>
          <w:color w:val="000000" w:themeColor="text1"/>
          <w:u w:val="none"/>
          <w:lang w:val="en-US"/>
        </w:rPr>
      </w:pPr>
    </w:p>
    <w:p w14:paraId="3DEE7B1E" w14:textId="6CF9542F" w:rsidR="002D612C" w:rsidRPr="003D5F0E" w:rsidRDefault="007B4671" w:rsidP="003D5F0E">
      <w:pPr>
        <w:spacing w:after="0" w:line="276" w:lineRule="auto"/>
        <w:ind w:left="360"/>
        <w:rPr>
          <w:rFonts w:cstheme="minorHAnsi"/>
          <w:color w:val="000000" w:themeColor="text1"/>
          <w:lang w:val="en-US"/>
        </w:rPr>
      </w:pPr>
      <w:r w:rsidRPr="007B4671">
        <w:t>HeadsUp</w:t>
      </w:r>
      <w:r w:rsidR="009F5F94">
        <w:t>.</w:t>
      </w:r>
      <w:r w:rsidRPr="007B4671">
        <w:t xml:space="preserve"> (n.d). Nine attributes of a healthy workplace. Retrieved from: </w:t>
      </w:r>
      <w:hyperlink r:id="rId26" w:history="1">
        <w:r w:rsidRPr="003D5F0E">
          <w:rPr>
            <w:color w:val="0563C1" w:themeColor="hyperlink"/>
            <w:u w:val="single"/>
          </w:rPr>
          <w:t>https://www.headsup.org.au/healthy-workplaces/what-is-a-mentally-workplace/9-attributes-of-a-healthy-workplace?&amp;gclid=EAIaIQobChMI8J-0wLua4QIVgoRwCh1iQQNYEAAYASAAEgLXdPD_BwE</w:t>
        </w:r>
      </w:hyperlink>
    </w:p>
    <w:p w14:paraId="229444D0" w14:textId="77777777" w:rsidR="003D5F0E" w:rsidRDefault="003D5F0E" w:rsidP="00E66352">
      <w:pPr>
        <w:spacing w:after="0" w:line="276" w:lineRule="auto"/>
        <w:ind w:left="360"/>
      </w:pPr>
    </w:p>
    <w:p w14:paraId="6F87A45F" w14:textId="6CF8DF1D" w:rsidR="007B4671" w:rsidRPr="007B4671" w:rsidRDefault="007B4671" w:rsidP="00E66352">
      <w:pPr>
        <w:spacing w:after="0" w:line="276" w:lineRule="auto"/>
        <w:ind w:left="360"/>
      </w:pPr>
      <w:r w:rsidRPr="007B4671">
        <w:t xml:space="preserve">HeadsUp (n.d). Good Practice framework for mental health and wellbeing in first responder organisations. Retrieved from:  </w:t>
      </w:r>
      <w:hyperlink r:id="rId27" w:history="1">
        <w:r w:rsidRPr="00E66352">
          <w:rPr>
            <w:color w:val="0000FF"/>
            <w:u w:val="single"/>
          </w:rPr>
          <w:t>https://www.headsup.org.au/docs/default-source/resources/good-practice-guide-first-responders_bl1675_acc_std.pdf?sfvrsn=e4b02c4d_8</w:t>
        </w:r>
      </w:hyperlink>
    </w:p>
    <w:p w14:paraId="4FD0C71B" w14:textId="77777777" w:rsidR="002D612C" w:rsidRDefault="002D612C" w:rsidP="00E66352">
      <w:pPr>
        <w:pStyle w:val="ListParagraph"/>
        <w:spacing w:after="0" w:line="276" w:lineRule="auto"/>
      </w:pPr>
    </w:p>
    <w:p w14:paraId="41B9D0DD" w14:textId="705153BC" w:rsidR="007B4671" w:rsidRPr="007B4671" w:rsidRDefault="007B4671" w:rsidP="00E66352">
      <w:pPr>
        <w:spacing w:after="0" w:line="276" w:lineRule="auto"/>
        <w:ind w:left="360"/>
      </w:pPr>
      <w:r w:rsidRPr="007B4671">
        <w:lastRenderedPageBreak/>
        <w:t>HeadsUp</w:t>
      </w:r>
      <w:r w:rsidR="009F5F94">
        <w:t>.</w:t>
      </w:r>
      <w:r w:rsidRPr="007B4671">
        <w:t xml:space="preserve"> (2014). Developing a mentally healthy workplace: A review of the literature. Retrieved from: </w:t>
      </w:r>
      <w:hyperlink r:id="rId28" w:history="1">
        <w:r w:rsidRPr="00E66352">
          <w:rPr>
            <w:color w:val="0563C1" w:themeColor="hyperlink"/>
            <w:u w:val="single"/>
          </w:rPr>
          <w:t>https://www.headsup.org.au/docs/default-source/resources/developing-a-mentally-healthy-workplace_final-november-2014.pdf?sfvrsn=8</w:t>
        </w:r>
      </w:hyperlink>
    </w:p>
    <w:p w14:paraId="37EC7161" w14:textId="77777777" w:rsidR="002D612C" w:rsidRDefault="002D612C" w:rsidP="00E66352">
      <w:pPr>
        <w:pStyle w:val="ListParagraph"/>
        <w:spacing w:after="0" w:line="276" w:lineRule="auto"/>
        <w:rPr>
          <w:rFonts w:cstheme="minorHAnsi"/>
        </w:rPr>
      </w:pPr>
    </w:p>
    <w:p w14:paraId="108E8DF9" w14:textId="1C80FE11" w:rsidR="007B4671" w:rsidRPr="00E66352" w:rsidRDefault="007B4671" w:rsidP="00E66352">
      <w:pPr>
        <w:spacing w:after="0" w:line="276" w:lineRule="auto"/>
        <w:ind w:left="360"/>
        <w:rPr>
          <w:rFonts w:cstheme="minorHAnsi"/>
        </w:rPr>
      </w:pPr>
      <w:r w:rsidRPr="00E66352">
        <w:rPr>
          <w:rFonts w:cstheme="minorHAnsi"/>
        </w:rPr>
        <w:t>Hidaka, B. (2012). Depression as a disease of modernity: explanations for increasing prevalence. Retrieved from</w:t>
      </w:r>
      <w:r w:rsidR="002D612C" w:rsidRPr="00E66352">
        <w:rPr>
          <w:rFonts w:cstheme="minorHAnsi"/>
        </w:rPr>
        <w:t>:</w:t>
      </w:r>
      <w:r w:rsidRPr="00E66352">
        <w:rPr>
          <w:rFonts w:cstheme="minorHAnsi"/>
        </w:rPr>
        <w:t xml:space="preserve"> </w:t>
      </w:r>
      <w:hyperlink r:id="rId29" w:history="1">
        <w:r w:rsidRPr="00E66352">
          <w:rPr>
            <w:rFonts w:cstheme="minorHAnsi"/>
            <w:color w:val="0563C1" w:themeColor="hyperlink"/>
            <w:u w:val="single"/>
          </w:rPr>
          <w:t>https://www.ncbi.nlm.nih.gov/pmc/articles/PMC3330161/</w:t>
        </w:r>
      </w:hyperlink>
    </w:p>
    <w:p w14:paraId="62962060" w14:textId="77777777" w:rsidR="002D612C" w:rsidRDefault="002D612C" w:rsidP="00E66352">
      <w:pPr>
        <w:pStyle w:val="ListParagraph"/>
        <w:spacing w:after="0" w:line="276" w:lineRule="auto"/>
      </w:pPr>
    </w:p>
    <w:p w14:paraId="7DA5B724" w14:textId="25F787FB" w:rsidR="005A5964" w:rsidRPr="002D612C" w:rsidRDefault="007B4671" w:rsidP="00E66352">
      <w:pPr>
        <w:spacing w:after="0" w:line="276" w:lineRule="auto"/>
        <w:ind w:left="360"/>
      </w:pPr>
      <w:r w:rsidRPr="007B4671">
        <w:t>Glozier, Professor, N. (2017). Review of Evidence of Interventions to reduce mental ill-health in the workplace. WorkSafe NSW.</w:t>
      </w:r>
      <w:r w:rsidR="00B67244">
        <w:t xml:space="preserve"> Retrieved from</w:t>
      </w:r>
      <w:r w:rsidR="002D612C">
        <w:t>:</w:t>
      </w:r>
      <w:r w:rsidR="00B67244">
        <w:t xml:space="preserve"> </w:t>
      </w:r>
      <w:hyperlink r:id="rId30" w:history="1">
        <w:r w:rsidRPr="00E66352">
          <w:rPr>
            <w:color w:val="0563C1" w:themeColor="hyperlink"/>
            <w:u w:val="single"/>
          </w:rPr>
          <w:t>https://www.safework.nsw.gov.au/__data/assets/pdf_file/0008/360449/SW09006-0518-418530-Review-of-Evidence-of-Interventions-to-Reduce-Mental....pdf</w:t>
        </w:r>
      </w:hyperlink>
    </w:p>
    <w:p w14:paraId="55F41840" w14:textId="77777777" w:rsidR="002D612C" w:rsidRDefault="002D612C" w:rsidP="00E66352">
      <w:pPr>
        <w:pStyle w:val="ListParagraph"/>
        <w:spacing w:after="0" w:line="276" w:lineRule="auto"/>
      </w:pPr>
    </w:p>
    <w:p w14:paraId="122FDD56" w14:textId="0EB4A2D5" w:rsidR="007B4671" w:rsidRPr="002D612C" w:rsidRDefault="007B4671" w:rsidP="00E66352">
      <w:pPr>
        <w:spacing w:after="0" w:line="276" w:lineRule="auto"/>
        <w:ind w:left="360"/>
      </w:pPr>
      <w:r w:rsidRPr="00E66352">
        <w:rPr>
          <w:rFonts w:cstheme="minorHAnsi"/>
        </w:rPr>
        <w:t xml:space="preserve">LaMontagne, A., Martin, A., Page, K., Reavlet, N., Noblet, A., Milner, A., Keegal, T., Smith, P. (2014). Workplace mental health: developing an integrated intervention approach. Journal of </w:t>
      </w:r>
      <w:r w:rsidRPr="00E66352">
        <w:rPr>
          <w:rFonts w:cstheme="minorHAnsi"/>
          <w:i/>
        </w:rPr>
        <w:t xml:space="preserve">BMC Psychiatry, </w:t>
      </w:r>
      <w:r w:rsidR="002D612C" w:rsidRPr="00E66352">
        <w:rPr>
          <w:rFonts w:cstheme="minorHAnsi"/>
        </w:rPr>
        <w:t xml:space="preserve">14, 131. Retrieved from: </w:t>
      </w:r>
      <w:hyperlink r:id="rId31" w:history="1">
        <w:r w:rsidRPr="00E66352">
          <w:rPr>
            <w:rFonts w:cstheme="minorHAnsi"/>
            <w:color w:val="0563C1" w:themeColor="hyperlink"/>
            <w:u w:val="single"/>
          </w:rPr>
          <w:t>https://www.ncbi.nlm.nih.gov/pmc/articles/PMC4024273/</w:t>
        </w:r>
      </w:hyperlink>
    </w:p>
    <w:p w14:paraId="1F58E5BD" w14:textId="77777777" w:rsidR="002D612C" w:rsidRDefault="002D612C" w:rsidP="00E66352">
      <w:pPr>
        <w:pStyle w:val="ListParagraph"/>
        <w:spacing w:after="0" w:line="276" w:lineRule="auto"/>
      </w:pPr>
    </w:p>
    <w:p w14:paraId="514ADF6B" w14:textId="36164C79" w:rsidR="007B4671" w:rsidRPr="00E66352" w:rsidRDefault="007B4671" w:rsidP="00E66352">
      <w:pPr>
        <w:spacing w:after="0" w:line="276" w:lineRule="auto"/>
        <w:ind w:left="360"/>
        <w:rPr>
          <w:rStyle w:val="Hyperlink"/>
          <w:rFonts w:cstheme="minorHAnsi"/>
          <w:color w:val="auto"/>
          <w:u w:val="none"/>
        </w:rPr>
      </w:pPr>
      <w:r w:rsidRPr="00E66352">
        <w:rPr>
          <w:rFonts w:cstheme="minorHAnsi"/>
        </w:rPr>
        <w:t xml:space="preserve">Miller, S. (2016). Evaluation of the Australian </w:t>
      </w:r>
      <w:r w:rsidR="009F5F94" w:rsidRPr="00E66352">
        <w:rPr>
          <w:rFonts w:cstheme="minorHAnsi"/>
        </w:rPr>
        <w:t>M</w:t>
      </w:r>
      <w:r w:rsidRPr="00E66352">
        <w:rPr>
          <w:rFonts w:cstheme="minorHAnsi"/>
        </w:rPr>
        <w:t xml:space="preserve">en’s </w:t>
      </w:r>
      <w:r w:rsidR="009F5F94" w:rsidRPr="00E66352">
        <w:rPr>
          <w:rFonts w:cstheme="minorHAnsi"/>
        </w:rPr>
        <w:t>S</w:t>
      </w:r>
      <w:r w:rsidRPr="00E66352">
        <w:rPr>
          <w:rFonts w:cstheme="minorHAnsi"/>
        </w:rPr>
        <w:t>hed Association – Summary Report</w:t>
      </w:r>
      <w:r w:rsidR="005A5964" w:rsidRPr="00E66352">
        <w:rPr>
          <w:rFonts w:cstheme="minorHAnsi"/>
        </w:rPr>
        <w:t>. Retrieved from</w:t>
      </w:r>
      <w:r w:rsidR="002D612C" w:rsidRPr="00E66352">
        <w:rPr>
          <w:rFonts w:cstheme="minorHAnsi"/>
        </w:rPr>
        <w:t>:</w:t>
      </w:r>
      <w:r w:rsidR="005A5964" w:rsidRPr="00E66352">
        <w:rPr>
          <w:rFonts w:cstheme="minorHAnsi"/>
        </w:rPr>
        <w:t xml:space="preserve"> </w:t>
      </w:r>
      <w:hyperlink r:id="rId32" w:history="1">
        <w:r w:rsidR="005A5964" w:rsidRPr="00E66352">
          <w:rPr>
            <w:rStyle w:val="Hyperlink"/>
            <w:rFonts w:cstheme="minorHAnsi"/>
          </w:rPr>
          <w:t>https://mensshed.org/about-amsa/reports/amsa-evaluation/</w:t>
        </w:r>
      </w:hyperlink>
    </w:p>
    <w:p w14:paraId="1510496D" w14:textId="77777777" w:rsidR="002D612C" w:rsidRPr="002D612C" w:rsidRDefault="002D612C" w:rsidP="00E66352">
      <w:pPr>
        <w:pStyle w:val="ListParagraph"/>
        <w:spacing w:after="0" w:line="276" w:lineRule="auto"/>
        <w:rPr>
          <w:rFonts w:cstheme="minorHAnsi"/>
        </w:rPr>
      </w:pPr>
    </w:p>
    <w:p w14:paraId="4069E808" w14:textId="1811FA15" w:rsidR="007B4671" w:rsidRPr="00E66352" w:rsidRDefault="007B4671" w:rsidP="00E66352">
      <w:pPr>
        <w:spacing w:after="0" w:line="276" w:lineRule="auto"/>
        <w:ind w:left="360"/>
        <w:rPr>
          <w:rFonts w:eastAsia="Times New Roman" w:cstheme="minorHAnsi"/>
          <w:lang w:eastAsia="en-AU"/>
        </w:rPr>
      </w:pPr>
      <w:r w:rsidRPr="00E66352">
        <w:rPr>
          <w:rFonts w:eastAsia="Times New Roman" w:cstheme="minorHAnsi"/>
          <w:lang w:eastAsia="en-AU"/>
        </w:rPr>
        <w:t xml:space="preserve">Min, J, Uk, C, Lee, Chul. </w:t>
      </w:r>
      <w:r w:rsidR="009F5F94" w:rsidRPr="00E66352">
        <w:rPr>
          <w:rFonts w:eastAsia="Times New Roman" w:cstheme="minorHAnsi"/>
          <w:lang w:eastAsia="en-AU"/>
        </w:rPr>
        <w:t xml:space="preserve">(2013). </w:t>
      </w:r>
      <w:r w:rsidRPr="00E66352">
        <w:rPr>
          <w:rFonts w:eastAsia="Times New Roman" w:cstheme="minorHAnsi"/>
          <w:lang w:eastAsia="en-AU"/>
        </w:rPr>
        <w:t>Mental health Promotion and Illness prevention:  A Challenge for Psychiatrists</w:t>
      </w:r>
      <w:r w:rsidR="009F5F94" w:rsidRPr="00E66352">
        <w:rPr>
          <w:rFonts w:eastAsia="Times New Roman" w:cstheme="minorHAnsi"/>
          <w:lang w:eastAsia="en-AU"/>
        </w:rPr>
        <w:t xml:space="preserve">. </w:t>
      </w:r>
      <w:r w:rsidRPr="00E66352">
        <w:rPr>
          <w:rFonts w:eastAsia="Times New Roman" w:cstheme="minorHAnsi"/>
          <w:i/>
          <w:lang w:eastAsia="en-AU"/>
        </w:rPr>
        <w:t>Department of Psychiatry</w:t>
      </w:r>
      <w:r w:rsidR="008B38A6" w:rsidRPr="00E66352">
        <w:rPr>
          <w:rFonts w:eastAsia="Times New Roman" w:cstheme="minorHAnsi"/>
          <w:i/>
          <w:lang w:eastAsia="en-AU"/>
        </w:rPr>
        <w:t xml:space="preserve">, </w:t>
      </w:r>
      <w:r w:rsidR="008B38A6" w:rsidRPr="00E66352">
        <w:rPr>
          <w:rFonts w:eastAsia="Times New Roman" w:cstheme="minorHAnsi"/>
          <w:lang w:eastAsia="en-AU"/>
        </w:rPr>
        <w:t xml:space="preserve">Journal of Psychology of Investigation, 10 (4), 307-316. Retrieved from </w:t>
      </w:r>
      <w:hyperlink r:id="rId33" w:history="1">
        <w:r w:rsidR="008B38A6" w:rsidRPr="00E66352">
          <w:rPr>
            <w:rStyle w:val="Hyperlink"/>
            <w:rFonts w:eastAsia="Times New Roman" w:cstheme="minorHAnsi"/>
            <w:lang w:eastAsia="en-AU"/>
          </w:rPr>
          <w:t>https://www.ncbi.nlm.nih.gov/pmc/articles/PMC3902147/</w:t>
        </w:r>
      </w:hyperlink>
    </w:p>
    <w:p w14:paraId="2C1CB214" w14:textId="77777777" w:rsidR="008B38A6" w:rsidRPr="007B4671" w:rsidRDefault="008B38A6" w:rsidP="00E66352">
      <w:pPr>
        <w:spacing w:after="0" w:line="276" w:lineRule="auto"/>
        <w:rPr>
          <w:rFonts w:eastAsia="Times New Roman" w:cstheme="minorHAnsi"/>
          <w:lang w:eastAsia="en-AU"/>
        </w:rPr>
      </w:pPr>
    </w:p>
    <w:p w14:paraId="382B15BD" w14:textId="37005EEA" w:rsidR="00B81C09" w:rsidRPr="00B81C09" w:rsidRDefault="00B81C09" w:rsidP="00E66352">
      <w:pPr>
        <w:spacing w:after="0" w:line="276" w:lineRule="auto"/>
        <w:ind w:left="360"/>
      </w:pPr>
      <w:r w:rsidRPr="00E66352">
        <w:rPr>
          <w:rFonts w:ascii="Calibri" w:eastAsia="Times New Roman" w:hAnsi="Calibri" w:cs="Calibri"/>
          <w:color w:val="000000"/>
          <w:lang w:val="en" w:eastAsia="en-AU"/>
        </w:rPr>
        <w:t xml:space="preserve">Mir, E; Novas C. </w:t>
      </w:r>
      <w:r w:rsidR="007A1FA9" w:rsidRPr="00E66352">
        <w:rPr>
          <w:rFonts w:ascii="Calibri" w:eastAsia="Times New Roman" w:hAnsi="Calibri" w:cs="Calibri"/>
          <w:color w:val="000000"/>
          <w:lang w:val="en" w:eastAsia="en-AU"/>
        </w:rPr>
        <w:t xml:space="preserve">(2019). </w:t>
      </w:r>
      <w:r w:rsidRPr="00E66352">
        <w:rPr>
          <w:rFonts w:ascii="Calibri" w:eastAsia="Times New Roman" w:hAnsi="Calibri" w:cs="Calibri"/>
          <w:color w:val="000000"/>
          <w:lang w:val="en" w:eastAsia="en-AU"/>
        </w:rPr>
        <w:t>Social Media and Adolescents’ and Young Adults’ Mental Health. Retrieved from:</w:t>
      </w:r>
      <w:r w:rsidR="002D612C" w:rsidRPr="00E66352">
        <w:rPr>
          <w:rFonts w:ascii="Calibri" w:eastAsia="Times New Roman" w:hAnsi="Calibri" w:cs="Calibri"/>
          <w:color w:val="000000"/>
          <w:lang w:val="en" w:eastAsia="en-AU"/>
        </w:rPr>
        <w:t xml:space="preserve"> </w:t>
      </w:r>
      <w:hyperlink r:id="rId34" w:history="1">
        <w:r>
          <w:rPr>
            <w:rStyle w:val="Hyperlink"/>
          </w:rPr>
          <w:t>http://www.center4research.org/social-media-affects-mental-health/</w:t>
        </w:r>
      </w:hyperlink>
    </w:p>
    <w:p w14:paraId="16AA488A" w14:textId="77777777" w:rsidR="00B81C09" w:rsidRDefault="00B81C09" w:rsidP="00E66352">
      <w:pPr>
        <w:spacing w:after="0" w:line="276" w:lineRule="auto"/>
        <w:rPr>
          <w:rFonts w:ascii="Calibri" w:eastAsia="Times New Roman" w:hAnsi="Calibri" w:cs="Calibri"/>
          <w:color w:val="000000"/>
          <w:lang w:val="en" w:eastAsia="en-AU"/>
        </w:rPr>
      </w:pPr>
    </w:p>
    <w:p w14:paraId="62E21962" w14:textId="4ABBCCDB" w:rsidR="007B4671" w:rsidRPr="00E66352" w:rsidRDefault="007B4671" w:rsidP="00E66352">
      <w:pPr>
        <w:spacing w:after="0" w:line="276" w:lineRule="auto"/>
        <w:ind w:left="360"/>
        <w:rPr>
          <w:rFonts w:ascii="Calibri" w:eastAsia="Times New Roman" w:hAnsi="Calibri" w:cs="Calibri"/>
          <w:color w:val="000000"/>
          <w:lang w:val="en" w:eastAsia="en-AU"/>
        </w:rPr>
      </w:pPr>
      <w:r w:rsidRPr="00E66352">
        <w:rPr>
          <w:rFonts w:ascii="Calibri" w:eastAsia="Times New Roman" w:hAnsi="Calibri" w:cs="Calibri"/>
          <w:color w:val="000000"/>
          <w:lang w:val="en" w:eastAsia="en-AU"/>
        </w:rPr>
        <w:t>Organisation for Economic Cooperation and Development. (2017). Parental Leave. Retrieved from</w:t>
      </w:r>
      <w:r w:rsidR="002D612C" w:rsidRPr="00E66352">
        <w:rPr>
          <w:rFonts w:ascii="Calibri" w:eastAsia="Times New Roman" w:hAnsi="Calibri" w:cs="Calibri"/>
          <w:color w:val="000000"/>
          <w:lang w:val="en" w:eastAsia="en-AU"/>
        </w:rPr>
        <w:t>:</w:t>
      </w:r>
      <w:r w:rsidRPr="00E66352">
        <w:rPr>
          <w:rFonts w:ascii="Calibri" w:eastAsia="Times New Roman" w:hAnsi="Calibri" w:cs="Calibri"/>
          <w:color w:val="000000"/>
          <w:lang w:val="en" w:eastAsia="en-AU"/>
        </w:rPr>
        <w:t xml:space="preserve"> </w:t>
      </w:r>
      <w:hyperlink r:id="rId35" w:history="1">
        <w:r w:rsidRPr="00E66352">
          <w:rPr>
            <w:rFonts w:ascii="Calibri" w:eastAsia="Times New Roman" w:hAnsi="Calibri" w:cs="Calibri"/>
            <w:color w:val="0563C1" w:themeColor="hyperlink"/>
            <w:u w:val="single"/>
            <w:lang w:val="en" w:eastAsia="en-AU"/>
          </w:rPr>
          <w:t>https://www.oecd.org/els/soc/PF2_1_Parental_leave_systems.pdf</w:t>
        </w:r>
      </w:hyperlink>
    </w:p>
    <w:p w14:paraId="16F49E72" w14:textId="77777777" w:rsidR="007B4671" w:rsidRPr="007B4671" w:rsidRDefault="007B4671" w:rsidP="00E66352">
      <w:pPr>
        <w:spacing w:after="0" w:line="276" w:lineRule="auto"/>
        <w:rPr>
          <w:rFonts w:eastAsia="Times New Roman" w:cstheme="minorHAnsi"/>
          <w:color w:val="000000"/>
          <w:lang w:val="en" w:eastAsia="en-AU"/>
        </w:rPr>
      </w:pPr>
    </w:p>
    <w:p w14:paraId="416F26B9" w14:textId="15212857" w:rsidR="007B4671" w:rsidRPr="00E66352" w:rsidRDefault="007B4671" w:rsidP="00E66352">
      <w:pPr>
        <w:spacing w:after="0" w:line="276" w:lineRule="auto"/>
        <w:ind w:left="360"/>
        <w:rPr>
          <w:rFonts w:eastAsia="Times New Roman" w:cstheme="minorHAnsi"/>
          <w:color w:val="000000"/>
          <w:lang w:val="en" w:eastAsia="en-AU"/>
        </w:rPr>
      </w:pPr>
      <w:r w:rsidRPr="00E66352">
        <w:rPr>
          <w:rFonts w:eastAsia="Times New Roman" w:cstheme="minorHAnsi"/>
          <w:color w:val="000000"/>
          <w:lang w:val="en" w:eastAsia="en-AU"/>
        </w:rPr>
        <w:t>Parliament of Victoria</w:t>
      </w:r>
      <w:r w:rsidR="007A1FA9" w:rsidRPr="00E66352">
        <w:rPr>
          <w:rFonts w:eastAsia="Times New Roman" w:cstheme="minorHAnsi"/>
          <w:color w:val="000000"/>
          <w:lang w:val="en" w:eastAsia="en-AU"/>
        </w:rPr>
        <w:t>.</w:t>
      </w:r>
      <w:r w:rsidRPr="00E66352">
        <w:rPr>
          <w:rFonts w:eastAsia="Times New Roman" w:cstheme="minorHAnsi"/>
          <w:color w:val="000000"/>
          <w:lang w:val="en" w:eastAsia="en-AU"/>
        </w:rPr>
        <w:t xml:space="preserve"> (2018). The Cost of Living: An Explainer. Retrieved from: </w:t>
      </w:r>
      <w:hyperlink r:id="rId36" w:history="1">
        <w:r w:rsidRPr="00E66352">
          <w:rPr>
            <w:rFonts w:eastAsia="Times New Roman" w:cstheme="minorHAnsi"/>
            <w:color w:val="0563C1" w:themeColor="hyperlink"/>
            <w:u w:val="single"/>
            <w:lang w:val="en" w:eastAsia="en-AU"/>
          </w:rPr>
          <w:t>https://www.parliament.vic.gov.au/publications/research-papers/send/36-research-papers/13860-the-cost-of-living-an-explainer</w:t>
        </w:r>
      </w:hyperlink>
    </w:p>
    <w:p w14:paraId="602D6098" w14:textId="77777777" w:rsidR="007B4671" w:rsidRPr="007B4671" w:rsidRDefault="007B4671" w:rsidP="00E66352">
      <w:pPr>
        <w:spacing w:after="0" w:line="276" w:lineRule="auto"/>
        <w:rPr>
          <w:rFonts w:eastAsia="Times New Roman" w:cstheme="minorHAnsi"/>
          <w:color w:val="000000"/>
          <w:lang w:val="en" w:eastAsia="en-AU"/>
        </w:rPr>
      </w:pPr>
    </w:p>
    <w:p w14:paraId="47DF9BCF" w14:textId="720FA8A0" w:rsidR="007B4671" w:rsidRPr="00E66352" w:rsidRDefault="007B4671" w:rsidP="00E66352">
      <w:pPr>
        <w:spacing w:after="0" w:line="276" w:lineRule="auto"/>
        <w:ind w:left="360"/>
        <w:rPr>
          <w:rFonts w:cstheme="minorHAnsi"/>
        </w:rPr>
      </w:pPr>
      <w:r w:rsidRPr="00E66352">
        <w:rPr>
          <w:rFonts w:cstheme="minorHAnsi"/>
        </w:rPr>
        <w:t>Queensland Government and the Queensland Mental Health Commission. (2015). Early Action, Queensland Mental Health Promotion, Prevention and Early Intervention Action Plan 2015-17. Retrieved from</w:t>
      </w:r>
      <w:r w:rsidR="002D612C" w:rsidRPr="00E66352">
        <w:rPr>
          <w:rFonts w:cstheme="minorHAnsi"/>
        </w:rPr>
        <w:t>:</w:t>
      </w:r>
      <w:r w:rsidRPr="00E66352">
        <w:rPr>
          <w:rFonts w:cstheme="minorHAnsi"/>
        </w:rPr>
        <w:t xml:space="preserve"> </w:t>
      </w:r>
      <w:hyperlink r:id="rId37" w:history="1">
        <w:r w:rsidRPr="00E66352">
          <w:rPr>
            <w:rFonts w:cstheme="minorHAnsi"/>
            <w:color w:val="0563C1" w:themeColor="hyperlink"/>
            <w:u w:val="single"/>
          </w:rPr>
          <w:t>https://www.qmhc.qld.gov.au/sites/default/files/wp-content/uploads/2015/10/QMHC-PPEI-ACTION-PLAN_WEB.pdf</w:t>
        </w:r>
      </w:hyperlink>
    </w:p>
    <w:p w14:paraId="3224088E" w14:textId="77777777" w:rsidR="002D612C" w:rsidRPr="002D612C" w:rsidRDefault="002D612C" w:rsidP="00E66352">
      <w:pPr>
        <w:pStyle w:val="ListParagraph"/>
        <w:spacing w:after="0" w:line="276" w:lineRule="auto"/>
        <w:rPr>
          <w:rFonts w:cstheme="minorHAnsi"/>
        </w:rPr>
      </w:pPr>
    </w:p>
    <w:p w14:paraId="68691FF3" w14:textId="746BD883" w:rsidR="007B4671" w:rsidRPr="00E66352" w:rsidRDefault="007B4671" w:rsidP="00E66352">
      <w:pPr>
        <w:spacing w:after="0" w:line="276" w:lineRule="auto"/>
        <w:ind w:left="360"/>
        <w:rPr>
          <w:rFonts w:cstheme="minorHAnsi"/>
        </w:rPr>
      </w:pPr>
      <w:r w:rsidRPr="00E66352">
        <w:rPr>
          <w:rFonts w:cstheme="minorHAnsi"/>
        </w:rPr>
        <w:t>Roberston, S, White, A. Gough, B. Robinson, M. Seims, A. Raine, G. Hanna, E. (2015). Promoting Mental Health in Men and Boys: What Works? Centre of men’s Health, Leeds Beckett University, Leeds. Retrieved from</w:t>
      </w:r>
      <w:r w:rsidR="002D612C" w:rsidRPr="00E66352">
        <w:rPr>
          <w:rFonts w:cstheme="minorHAnsi"/>
        </w:rPr>
        <w:t>:</w:t>
      </w:r>
      <w:r w:rsidRPr="00E66352">
        <w:rPr>
          <w:rFonts w:cstheme="minorHAnsi"/>
        </w:rPr>
        <w:t xml:space="preserve"> </w:t>
      </w:r>
      <w:hyperlink r:id="rId38" w:history="1">
        <w:r w:rsidRPr="00E66352">
          <w:rPr>
            <w:rFonts w:cstheme="minorHAnsi"/>
            <w:color w:val="0563C1" w:themeColor="hyperlink"/>
            <w:u w:val="single"/>
          </w:rPr>
          <w:t>http://eprints.leedsbeckett.ac.uk/1508/1/Promoting_MentalHealth__Wellbeing_FINAL.pdf</w:t>
        </w:r>
      </w:hyperlink>
    </w:p>
    <w:p w14:paraId="0AEC758B" w14:textId="77777777" w:rsidR="002D612C" w:rsidRPr="00307958" w:rsidRDefault="002D612C" w:rsidP="00E66352">
      <w:pPr>
        <w:pStyle w:val="ListParagraph"/>
        <w:spacing w:after="0" w:line="276" w:lineRule="auto"/>
        <w:rPr>
          <w:rFonts w:cstheme="minorHAnsi"/>
        </w:rPr>
      </w:pPr>
    </w:p>
    <w:p w14:paraId="3703446E" w14:textId="77777777" w:rsidR="00E66352" w:rsidRDefault="00E66352" w:rsidP="00E66352">
      <w:pPr>
        <w:spacing w:after="0" w:line="276" w:lineRule="auto"/>
        <w:ind w:left="360"/>
        <w:rPr>
          <w:rFonts w:cstheme="minorHAnsi"/>
        </w:rPr>
      </w:pPr>
    </w:p>
    <w:p w14:paraId="23FB9F9F" w14:textId="499A1422" w:rsidR="007B4671" w:rsidRPr="00E66352" w:rsidRDefault="007B4671" w:rsidP="00E66352">
      <w:pPr>
        <w:spacing w:after="0" w:line="276" w:lineRule="auto"/>
        <w:ind w:left="360"/>
        <w:rPr>
          <w:rFonts w:cstheme="minorHAnsi"/>
        </w:rPr>
      </w:pPr>
      <w:r w:rsidRPr="00E66352">
        <w:rPr>
          <w:rFonts w:cstheme="minorHAnsi"/>
        </w:rPr>
        <w:t>Taylor, E, Moxham, L, Perlman, D, Patterson, C, Brighton, R. (2016). Self-</w:t>
      </w:r>
      <w:r w:rsidR="007A1FA9" w:rsidRPr="00E66352">
        <w:rPr>
          <w:rFonts w:cstheme="minorHAnsi"/>
        </w:rPr>
        <w:t>determination</w:t>
      </w:r>
      <w:r w:rsidRPr="00E66352">
        <w:rPr>
          <w:rFonts w:cstheme="minorHAnsi"/>
        </w:rPr>
        <w:t xml:space="preserve"> in the context of mental health recovery. </w:t>
      </w:r>
      <w:r w:rsidRPr="00E66352">
        <w:rPr>
          <w:rFonts w:cstheme="minorHAnsi"/>
          <w:i/>
        </w:rPr>
        <w:t xml:space="preserve">Australian Nursing and Midwifery Journal, 23 (10), 41-4. </w:t>
      </w:r>
      <w:r w:rsidRPr="00E66352">
        <w:rPr>
          <w:rFonts w:cstheme="minorHAnsi"/>
        </w:rPr>
        <w:lastRenderedPageBreak/>
        <w:t>Retrieved from</w:t>
      </w:r>
      <w:r w:rsidR="002D612C" w:rsidRPr="00E66352">
        <w:rPr>
          <w:rFonts w:cstheme="minorHAnsi"/>
        </w:rPr>
        <w:t xml:space="preserve">: </w:t>
      </w:r>
      <w:hyperlink r:id="rId39" w:history="1">
        <w:r w:rsidRPr="00E66352">
          <w:rPr>
            <w:rFonts w:cstheme="minorHAnsi"/>
            <w:color w:val="0563C1" w:themeColor="hyperlink"/>
            <w:u w:val="single"/>
          </w:rPr>
          <w:t>https://pdfs.semanticscholar.org/714a/4f0f06595e78f0116969860adbf8532b1abb.pdf</w:t>
        </w:r>
      </w:hyperlink>
    </w:p>
    <w:p w14:paraId="5BD54CF8" w14:textId="77777777" w:rsidR="002D612C" w:rsidRPr="00307958" w:rsidRDefault="002D612C" w:rsidP="00E66352">
      <w:pPr>
        <w:pStyle w:val="ListParagraph"/>
        <w:spacing w:after="0" w:line="276" w:lineRule="auto"/>
        <w:rPr>
          <w:rFonts w:cstheme="minorHAnsi"/>
        </w:rPr>
      </w:pPr>
    </w:p>
    <w:p w14:paraId="3479AB2E" w14:textId="7F635A28" w:rsidR="00ED4D3D" w:rsidRPr="00E66352" w:rsidRDefault="00ED4D3D" w:rsidP="00E66352">
      <w:pPr>
        <w:spacing w:after="0" w:line="276" w:lineRule="auto"/>
        <w:ind w:left="360"/>
        <w:rPr>
          <w:rStyle w:val="Hyperlink"/>
          <w:rFonts w:cstheme="minorHAnsi"/>
          <w:color w:val="auto"/>
          <w:u w:val="none"/>
        </w:rPr>
      </w:pPr>
      <w:r w:rsidRPr="00E66352">
        <w:rPr>
          <w:rFonts w:cstheme="minorHAnsi"/>
        </w:rPr>
        <w:t>VicHealth</w:t>
      </w:r>
      <w:r w:rsidR="007A1FA9" w:rsidRPr="00E66352">
        <w:rPr>
          <w:rFonts w:cstheme="minorHAnsi"/>
        </w:rPr>
        <w:t>.</w:t>
      </w:r>
      <w:r w:rsidRPr="00E66352">
        <w:rPr>
          <w:rFonts w:cstheme="minorHAnsi"/>
        </w:rPr>
        <w:t xml:space="preserve"> (2017)</w:t>
      </w:r>
      <w:r w:rsidR="007A1FA9" w:rsidRPr="00E66352">
        <w:rPr>
          <w:rFonts w:cstheme="minorHAnsi"/>
        </w:rPr>
        <w:t>.</w:t>
      </w:r>
      <w:r w:rsidRPr="00E66352">
        <w:rPr>
          <w:rFonts w:cstheme="minorHAnsi"/>
        </w:rPr>
        <w:t xml:space="preserve"> Evidence review: Addressing the social determinants of inequities in mental wellbeing of children and adolescents. Retrieved from:</w:t>
      </w:r>
      <w:r w:rsidR="00E66352">
        <w:rPr>
          <w:rFonts w:cstheme="minorHAnsi"/>
        </w:rPr>
        <w:t xml:space="preserve"> </w:t>
      </w:r>
      <w:hyperlink r:id="rId40" w:history="1">
        <w:r w:rsidRPr="000668B4">
          <w:rPr>
            <w:rStyle w:val="Hyperlink"/>
          </w:rPr>
          <w:t>https://www.vichealth.vic.gov.au/~/media/resourcecentre/publicationsandresources/health%20inequalities/fair%20foundations/full%20reviews/healthequity_mental-wellbeing-evidence-review.pdf?la=en</w:t>
        </w:r>
      </w:hyperlink>
    </w:p>
    <w:p w14:paraId="084A1CA8" w14:textId="77777777" w:rsidR="002D612C" w:rsidRPr="00307958" w:rsidRDefault="002D612C" w:rsidP="00E66352">
      <w:pPr>
        <w:pStyle w:val="ListParagraph"/>
        <w:spacing w:after="0" w:line="276" w:lineRule="auto"/>
        <w:rPr>
          <w:rFonts w:cstheme="minorHAnsi"/>
        </w:rPr>
      </w:pPr>
    </w:p>
    <w:p w14:paraId="07275149" w14:textId="69C2C751" w:rsidR="007B4671" w:rsidRPr="00E66352" w:rsidRDefault="007B4671" w:rsidP="00E66352">
      <w:pPr>
        <w:spacing w:after="0" w:line="276" w:lineRule="auto"/>
        <w:ind w:left="360"/>
        <w:rPr>
          <w:rFonts w:cstheme="minorHAnsi"/>
        </w:rPr>
      </w:pPr>
      <w:r w:rsidRPr="00E66352">
        <w:rPr>
          <w:rFonts w:cstheme="minorHAnsi"/>
        </w:rPr>
        <w:t xml:space="preserve">Wilson, Nathan J; Cordier, Reinie. </w:t>
      </w:r>
      <w:r w:rsidR="007A1FA9" w:rsidRPr="00E66352">
        <w:rPr>
          <w:rFonts w:cstheme="minorHAnsi"/>
        </w:rPr>
        <w:t xml:space="preserve">(2013). </w:t>
      </w:r>
      <w:r w:rsidRPr="00E66352">
        <w:rPr>
          <w:rFonts w:cstheme="minorHAnsi"/>
        </w:rPr>
        <w:t xml:space="preserve">A narrative review of Men’s Sheds literature: reducing social isolation and promoting men’s health and wellbeing. Retrieved from:  </w:t>
      </w:r>
      <w:hyperlink r:id="rId41" w:history="1">
        <w:r w:rsidRPr="00E66352">
          <w:rPr>
            <w:rFonts w:cstheme="minorHAnsi"/>
            <w:color w:val="0563C1" w:themeColor="hyperlink"/>
            <w:u w:val="single"/>
          </w:rPr>
          <w:t>https://www.ncbi.nlm.nih.gov/pubmed/23343146</w:t>
        </w:r>
      </w:hyperlink>
    </w:p>
    <w:p w14:paraId="44319213" w14:textId="77777777" w:rsidR="002D612C" w:rsidRPr="00307958" w:rsidRDefault="002D612C" w:rsidP="00E66352">
      <w:pPr>
        <w:pStyle w:val="ListParagraph"/>
        <w:spacing w:after="0" w:line="276" w:lineRule="auto"/>
        <w:rPr>
          <w:rFonts w:cstheme="minorHAnsi"/>
        </w:rPr>
      </w:pPr>
    </w:p>
    <w:p w14:paraId="0A660BAE" w14:textId="5BECC565" w:rsidR="007B4671" w:rsidRPr="002D612C" w:rsidRDefault="007B4671" w:rsidP="00E66352">
      <w:pPr>
        <w:spacing w:after="0" w:line="276" w:lineRule="auto"/>
        <w:ind w:left="360"/>
      </w:pPr>
      <w:r w:rsidRPr="007B4671">
        <w:t>WHO</w:t>
      </w:r>
      <w:r w:rsidR="007A1FA9">
        <w:t>.</w:t>
      </w:r>
      <w:r w:rsidRPr="007B4671">
        <w:t xml:space="preserve"> (2010). WHO Healthy Workplace Framework and Model: Background and Supporting Literature and Practice. Retrieved from: </w:t>
      </w:r>
      <w:hyperlink r:id="rId42" w:history="1">
        <w:r w:rsidRPr="00E66352">
          <w:rPr>
            <w:color w:val="0563C1" w:themeColor="hyperlink"/>
            <w:u w:val="single"/>
          </w:rPr>
          <w:t>https://www.who.int/occupational_health/healthy_workplace_framework.pdf</w:t>
        </w:r>
      </w:hyperlink>
    </w:p>
    <w:p w14:paraId="21EAFDDA" w14:textId="77777777" w:rsidR="002D612C" w:rsidRPr="007B4671" w:rsidRDefault="002D612C" w:rsidP="00E66352">
      <w:pPr>
        <w:pStyle w:val="ListParagraph"/>
        <w:spacing w:after="0" w:line="276" w:lineRule="auto"/>
      </w:pPr>
    </w:p>
    <w:p w14:paraId="2B0AC4F5" w14:textId="0E7E24E0" w:rsidR="003B771E" w:rsidRPr="00E66352" w:rsidRDefault="003B771E" w:rsidP="00E66352">
      <w:pPr>
        <w:spacing w:after="0" w:line="276" w:lineRule="auto"/>
        <w:ind w:left="360"/>
        <w:rPr>
          <w:rFonts w:eastAsia="Times New Roman" w:cstheme="minorHAnsi"/>
          <w:color w:val="000000"/>
          <w:lang w:val="en" w:eastAsia="en-AU"/>
        </w:rPr>
      </w:pPr>
      <w:r w:rsidRPr="00E66352">
        <w:rPr>
          <w:rFonts w:eastAsia="Times New Roman" w:cstheme="minorHAnsi"/>
          <w:color w:val="000000"/>
          <w:lang w:val="en" w:eastAsia="en-AU"/>
        </w:rPr>
        <w:t>WHO</w:t>
      </w:r>
      <w:r w:rsidR="007A1FA9" w:rsidRPr="00E66352">
        <w:rPr>
          <w:rFonts w:eastAsia="Times New Roman" w:cstheme="minorHAnsi"/>
          <w:color w:val="000000"/>
          <w:lang w:val="en" w:eastAsia="en-AU"/>
        </w:rPr>
        <w:t>.</w:t>
      </w:r>
      <w:r w:rsidRPr="00E66352">
        <w:rPr>
          <w:rFonts w:eastAsia="Times New Roman" w:cstheme="minorHAnsi"/>
          <w:color w:val="000000"/>
          <w:lang w:val="en" w:eastAsia="en-AU"/>
        </w:rPr>
        <w:t xml:space="preserve"> (2005). Prevention of Mental Disorders: Effective Interventions and Policy Options. Retrieved from:</w:t>
      </w:r>
      <w:r w:rsidR="00E66352">
        <w:rPr>
          <w:rFonts w:eastAsia="Times New Roman" w:cstheme="minorHAnsi"/>
          <w:color w:val="000000"/>
          <w:lang w:val="en" w:eastAsia="en-AU"/>
        </w:rPr>
        <w:t xml:space="preserve"> </w:t>
      </w:r>
      <w:hyperlink r:id="rId43" w:history="1">
        <w:r w:rsidRPr="00E66352">
          <w:rPr>
            <w:rStyle w:val="Hyperlink"/>
            <w:rFonts w:eastAsia="Times New Roman" w:cstheme="minorHAnsi"/>
            <w:lang w:val="en" w:eastAsia="en-AU"/>
          </w:rPr>
          <w:t>https://www.who.int/mental_health/evidence/en/prevention_of_mental_disorders_sr.pdf</w:t>
        </w:r>
      </w:hyperlink>
    </w:p>
    <w:p w14:paraId="1604278B" w14:textId="77777777" w:rsidR="003B771E" w:rsidRDefault="003B771E" w:rsidP="00E66352">
      <w:pPr>
        <w:spacing w:after="0" w:line="276" w:lineRule="auto"/>
        <w:rPr>
          <w:rFonts w:eastAsia="Times New Roman" w:cstheme="minorHAnsi"/>
          <w:color w:val="000000"/>
          <w:lang w:val="en" w:eastAsia="en-AU"/>
        </w:rPr>
      </w:pPr>
    </w:p>
    <w:p w14:paraId="6E3DC9D9" w14:textId="02D258AE" w:rsidR="007B4671" w:rsidRPr="00E66352" w:rsidRDefault="007B4671" w:rsidP="00E66352">
      <w:pPr>
        <w:spacing w:after="0" w:line="276" w:lineRule="auto"/>
        <w:ind w:left="360"/>
        <w:rPr>
          <w:rFonts w:eastAsia="Times New Roman" w:cstheme="minorHAnsi"/>
          <w:color w:val="000000"/>
          <w:lang w:val="en" w:eastAsia="en-AU"/>
        </w:rPr>
      </w:pPr>
      <w:r w:rsidRPr="00E66352">
        <w:rPr>
          <w:rFonts w:eastAsia="Times New Roman" w:cstheme="minorHAnsi"/>
          <w:color w:val="000000"/>
          <w:lang w:val="en" w:eastAsia="en-AU"/>
        </w:rPr>
        <w:t>Statistics Iceland</w:t>
      </w:r>
      <w:r w:rsidR="007A1FA9" w:rsidRPr="00E66352">
        <w:rPr>
          <w:rFonts w:eastAsia="Times New Roman" w:cstheme="minorHAnsi"/>
          <w:color w:val="000000"/>
          <w:lang w:val="en" w:eastAsia="en-AU"/>
        </w:rPr>
        <w:t xml:space="preserve">. </w:t>
      </w:r>
      <w:r w:rsidRPr="00E66352">
        <w:rPr>
          <w:rFonts w:eastAsia="Times New Roman" w:cstheme="minorHAnsi"/>
          <w:color w:val="000000"/>
          <w:lang w:val="en" w:eastAsia="en-AU"/>
        </w:rPr>
        <w:t xml:space="preserve">(2017). The adjusted gender pay gap around 16%. Retrieved from: </w:t>
      </w:r>
      <w:hyperlink r:id="rId44" w:history="1">
        <w:r w:rsidRPr="00E66352">
          <w:rPr>
            <w:rFonts w:eastAsia="Times New Roman" w:cstheme="minorHAnsi"/>
            <w:color w:val="0563C1" w:themeColor="hyperlink"/>
            <w:u w:val="single"/>
            <w:lang w:eastAsia="en-AU"/>
          </w:rPr>
          <w:t>https://www.statice.is/publications/news-archive/wages-and-income/unadjusted-gender-pay-gap-2016/</w:t>
        </w:r>
      </w:hyperlink>
    </w:p>
    <w:p w14:paraId="575183E3" w14:textId="77777777" w:rsidR="005A5964" w:rsidRPr="007B4671" w:rsidRDefault="005A5964" w:rsidP="00E66352">
      <w:pPr>
        <w:spacing w:after="0" w:line="276" w:lineRule="auto"/>
        <w:rPr>
          <w:rFonts w:eastAsia="Times New Roman" w:cstheme="minorHAnsi"/>
          <w:color w:val="000000"/>
          <w:lang w:val="en" w:eastAsia="en-AU"/>
        </w:rPr>
      </w:pPr>
    </w:p>
    <w:p w14:paraId="5F430CC2" w14:textId="2AC37D02" w:rsidR="007B4671" w:rsidRPr="007B4671" w:rsidRDefault="007B4671" w:rsidP="00E66352">
      <w:pPr>
        <w:spacing w:after="0" w:line="276" w:lineRule="auto"/>
        <w:ind w:left="360"/>
      </w:pPr>
      <w:r w:rsidRPr="00E66352">
        <w:rPr>
          <w:rFonts w:cstheme="minorHAnsi"/>
          <w:color w:val="000000"/>
          <w:lang w:val="en"/>
        </w:rPr>
        <w:t>United Nations Human Rights, Office of the High Commission</w:t>
      </w:r>
      <w:r w:rsidR="009F5F94" w:rsidRPr="00E66352">
        <w:rPr>
          <w:rFonts w:cstheme="minorHAnsi"/>
          <w:color w:val="000000"/>
          <w:lang w:val="en"/>
        </w:rPr>
        <w:t>.</w:t>
      </w:r>
      <w:r w:rsidRPr="00E66352">
        <w:rPr>
          <w:rFonts w:cstheme="minorHAnsi"/>
          <w:color w:val="000000"/>
          <w:lang w:val="en"/>
        </w:rPr>
        <w:t xml:space="preserve"> (2019). Iceland leads the way on closing the gender pay gap, UN experts say. Retrieved from: </w:t>
      </w:r>
      <w:hyperlink r:id="rId45" w:history="1">
        <w:r w:rsidRPr="00E66352">
          <w:rPr>
            <w:rFonts w:cstheme="minorHAnsi"/>
            <w:color w:val="0563C1" w:themeColor="hyperlink"/>
            <w:u w:val="single"/>
            <w:lang w:val="en"/>
          </w:rPr>
          <w:t>https://www.ohchr.org/en/NewsEvents/Pages/DisplayNews.aspx?NewsID=22594&amp;LangID=E</w:t>
        </w:r>
      </w:hyperlink>
    </w:p>
    <w:p w14:paraId="36F9F4F6" w14:textId="77777777" w:rsidR="007B4671" w:rsidRPr="007B4671" w:rsidRDefault="007B4671" w:rsidP="00E66352">
      <w:pPr>
        <w:spacing w:after="0" w:line="276" w:lineRule="auto"/>
        <w:jc w:val="both"/>
        <w:rPr>
          <w:rFonts w:cstheme="minorHAnsi"/>
        </w:rPr>
      </w:pPr>
    </w:p>
    <w:p w14:paraId="563ACDB9" w14:textId="28F31F14" w:rsidR="00CB4B76" w:rsidRDefault="00CB4B76" w:rsidP="00CB4B76">
      <w:pPr>
        <w:spacing w:after="0" w:line="276" w:lineRule="auto"/>
        <w:jc w:val="both"/>
        <w:rPr>
          <w:rFonts w:cstheme="minorHAnsi"/>
        </w:rPr>
      </w:pPr>
    </w:p>
    <w:p w14:paraId="19F19D1B" w14:textId="77777777" w:rsidR="0019500C" w:rsidRDefault="0019500C" w:rsidP="008741C7">
      <w:pPr>
        <w:spacing w:after="0" w:line="276" w:lineRule="auto"/>
        <w:jc w:val="both"/>
        <w:rPr>
          <w:rFonts w:cstheme="minorHAnsi"/>
          <w:b/>
          <w:sz w:val="32"/>
        </w:rPr>
      </w:pPr>
    </w:p>
    <w:p w14:paraId="1BF087F3" w14:textId="77777777" w:rsidR="0019500C" w:rsidRDefault="0019500C" w:rsidP="008741C7">
      <w:pPr>
        <w:spacing w:after="0" w:line="276" w:lineRule="auto"/>
        <w:jc w:val="both"/>
        <w:rPr>
          <w:rFonts w:cstheme="minorHAnsi"/>
          <w:b/>
          <w:sz w:val="32"/>
        </w:rPr>
      </w:pPr>
    </w:p>
    <w:p w14:paraId="5C4E2ECF" w14:textId="77777777" w:rsidR="0019500C" w:rsidRDefault="0019500C" w:rsidP="008741C7">
      <w:pPr>
        <w:spacing w:after="0" w:line="276" w:lineRule="auto"/>
        <w:jc w:val="both"/>
        <w:rPr>
          <w:rFonts w:cstheme="minorHAnsi"/>
          <w:b/>
          <w:sz w:val="32"/>
        </w:rPr>
      </w:pPr>
    </w:p>
    <w:p w14:paraId="1FD0BBA2" w14:textId="77777777" w:rsidR="0019500C" w:rsidRDefault="0019500C" w:rsidP="008741C7">
      <w:pPr>
        <w:spacing w:after="0" w:line="276" w:lineRule="auto"/>
        <w:jc w:val="both"/>
        <w:rPr>
          <w:rFonts w:cstheme="minorHAnsi"/>
          <w:b/>
          <w:sz w:val="32"/>
        </w:rPr>
      </w:pPr>
    </w:p>
    <w:p w14:paraId="06672501" w14:textId="77777777" w:rsidR="0019500C" w:rsidRDefault="0019500C" w:rsidP="008741C7">
      <w:pPr>
        <w:spacing w:after="0" w:line="276" w:lineRule="auto"/>
        <w:jc w:val="both"/>
        <w:rPr>
          <w:rFonts w:cstheme="minorHAnsi"/>
          <w:b/>
          <w:sz w:val="32"/>
        </w:rPr>
      </w:pPr>
    </w:p>
    <w:p w14:paraId="4A57B6FE" w14:textId="77777777" w:rsidR="0019500C" w:rsidRDefault="0019500C" w:rsidP="008741C7">
      <w:pPr>
        <w:spacing w:after="0" w:line="276" w:lineRule="auto"/>
        <w:jc w:val="both"/>
        <w:rPr>
          <w:rFonts w:cstheme="minorHAnsi"/>
          <w:b/>
          <w:sz w:val="32"/>
        </w:rPr>
      </w:pPr>
    </w:p>
    <w:p w14:paraId="54374EB6" w14:textId="68D02671" w:rsidR="0019500C" w:rsidRDefault="0019500C" w:rsidP="008741C7">
      <w:pPr>
        <w:spacing w:after="0" w:line="276" w:lineRule="auto"/>
        <w:jc w:val="both"/>
        <w:rPr>
          <w:rFonts w:cstheme="minorHAnsi"/>
          <w:b/>
          <w:sz w:val="32"/>
        </w:rPr>
      </w:pPr>
    </w:p>
    <w:p w14:paraId="51FED8F4" w14:textId="77777777" w:rsidR="00E66352" w:rsidRDefault="00E66352" w:rsidP="008741C7">
      <w:pPr>
        <w:spacing w:after="0" w:line="276" w:lineRule="auto"/>
        <w:jc w:val="both"/>
        <w:rPr>
          <w:rFonts w:cstheme="minorHAnsi"/>
          <w:b/>
          <w:sz w:val="32"/>
        </w:rPr>
      </w:pPr>
    </w:p>
    <w:p w14:paraId="3589B1D0" w14:textId="77777777" w:rsidR="00E66352" w:rsidRDefault="00E66352" w:rsidP="008741C7">
      <w:pPr>
        <w:spacing w:after="0" w:line="276" w:lineRule="auto"/>
        <w:jc w:val="both"/>
        <w:rPr>
          <w:rFonts w:cstheme="minorHAnsi"/>
          <w:b/>
          <w:sz w:val="32"/>
        </w:rPr>
      </w:pPr>
    </w:p>
    <w:p w14:paraId="1178A270" w14:textId="4BD4416D" w:rsidR="00E66352" w:rsidRDefault="00E66352" w:rsidP="008741C7">
      <w:pPr>
        <w:spacing w:after="0" w:line="276" w:lineRule="auto"/>
        <w:jc w:val="both"/>
        <w:rPr>
          <w:rFonts w:cstheme="minorHAnsi"/>
          <w:b/>
          <w:sz w:val="32"/>
        </w:rPr>
      </w:pPr>
    </w:p>
    <w:p w14:paraId="28DEC83E" w14:textId="7DB31C6E" w:rsidR="00654CDD" w:rsidRDefault="00654CDD" w:rsidP="008741C7">
      <w:pPr>
        <w:spacing w:after="0" w:line="276" w:lineRule="auto"/>
        <w:jc w:val="both"/>
        <w:rPr>
          <w:rFonts w:cstheme="minorHAnsi"/>
          <w:b/>
          <w:sz w:val="32"/>
        </w:rPr>
      </w:pPr>
    </w:p>
    <w:p w14:paraId="5B56A397" w14:textId="77777777" w:rsidR="00654CDD" w:rsidRDefault="00654CDD" w:rsidP="008741C7">
      <w:pPr>
        <w:spacing w:after="0" w:line="276" w:lineRule="auto"/>
        <w:jc w:val="both"/>
        <w:rPr>
          <w:rFonts w:cstheme="minorHAnsi"/>
          <w:b/>
          <w:sz w:val="32"/>
        </w:rPr>
      </w:pPr>
    </w:p>
    <w:p w14:paraId="66BF90BE" w14:textId="5A873E94" w:rsidR="00561810" w:rsidRPr="008741C7" w:rsidRDefault="00561810" w:rsidP="008741C7">
      <w:pPr>
        <w:spacing w:after="0" w:line="276" w:lineRule="auto"/>
        <w:jc w:val="both"/>
        <w:rPr>
          <w:rFonts w:cstheme="minorHAnsi"/>
          <w:b/>
          <w:sz w:val="32"/>
        </w:rPr>
      </w:pPr>
      <w:r w:rsidRPr="008741C7">
        <w:rPr>
          <w:rFonts w:cstheme="minorHAnsi"/>
          <w:b/>
          <w:sz w:val="32"/>
        </w:rPr>
        <w:lastRenderedPageBreak/>
        <w:t>Appendix</w:t>
      </w:r>
      <w:r w:rsidR="003E7E91" w:rsidRPr="008741C7">
        <w:rPr>
          <w:rFonts w:cstheme="minorHAnsi"/>
          <w:b/>
          <w:sz w:val="32"/>
        </w:rPr>
        <w:t xml:space="preserve"> </w:t>
      </w:r>
    </w:p>
    <w:p w14:paraId="60DBF220" w14:textId="77777777" w:rsidR="00561810" w:rsidRPr="008741C7" w:rsidRDefault="00561810" w:rsidP="008741C7">
      <w:pPr>
        <w:spacing w:after="0" w:line="276" w:lineRule="auto"/>
        <w:jc w:val="both"/>
        <w:rPr>
          <w:rFonts w:cstheme="minorHAnsi"/>
        </w:rPr>
      </w:pPr>
    </w:p>
    <w:p w14:paraId="1E0C1C8C" w14:textId="3F9DFC52" w:rsidR="00A572DC" w:rsidRPr="008741C7" w:rsidRDefault="00A572DC" w:rsidP="008741C7">
      <w:pPr>
        <w:spacing w:after="0" w:line="276" w:lineRule="auto"/>
        <w:jc w:val="both"/>
        <w:rPr>
          <w:rFonts w:cstheme="minorHAnsi"/>
          <w:sz w:val="28"/>
        </w:rPr>
      </w:pPr>
      <w:r w:rsidRPr="008741C7">
        <w:rPr>
          <w:rFonts w:cstheme="minorHAnsi"/>
          <w:b/>
          <w:sz w:val="28"/>
        </w:rPr>
        <w:t>Consumer interviews</w:t>
      </w:r>
    </w:p>
    <w:p w14:paraId="1575E7E1" w14:textId="14798030" w:rsidR="00A572DC" w:rsidRPr="008741C7" w:rsidRDefault="00A572DC" w:rsidP="008741C7">
      <w:pPr>
        <w:spacing w:after="0" w:line="276" w:lineRule="auto"/>
        <w:jc w:val="both"/>
        <w:rPr>
          <w:rFonts w:cstheme="minorHAnsi"/>
        </w:rPr>
      </w:pPr>
      <w:r w:rsidRPr="008741C7">
        <w:rPr>
          <w:rFonts w:cstheme="minorHAnsi"/>
        </w:rPr>
        <w:t xml:space="preserve">Connect Health </w:t>
      </w:r>
      <w:r w:rsidR="004661F1">
        <w:rPr>
          <w:rFonts w:cstheme="minorHAnsi"/>
        </w:rPr>
        <w:t>&amp;</w:t>
      </w:r>
      <w:r w:rsidRPr="008741C7">
        <w:rPr>
          <w:rFonts w:cstheme="minorHAnsi"/>
        </w:rPr>
        <w:t xml:space="preserve"> Community conducted interviews with current clients, carers and consumers. </w:t>
      </w:r>
      <w:r w:rsidR="00A93974">
        <w:rPr>
          <w:rFonts w:cstheme="minorHAnsi"/>
        </w:rPr>
        <w:t>A couple have been documented in detail below, if you wish to learn more we have voice recordings and detailed notes from additional consultations.</w:t>
      </w:r>
    </w:p>
    <w:p w14:paraId="210D5E52" w14:textId="77777777" w:rsidR="00A572DC" w:rsidRPr="008741C7" w:rsidRDefault="00A572DC" w:rsidP="008741C7">
      <w:pPr>
        <w:spacing w:after="0" w:line="276" w:lineRule="auto"/>
        <w:jc w:val="both"/>
        <w:rPr>
          <w:rFonts w:cstheme="minorHAnsi"/>
        </w:rPr>
      </w:pPr>
    </w:p>
    <w:p w14:paraId="2AE5AA9C" w14:textId="59913404" w:rsidR="00A572DC" w:rsidRPr="008741C7" w:rsidRDefault="00561810" w:rsidP="008741C7">
      <w:pPr>
        <w:spacing w:after="0" w:line="276" w:lineRule="auto"/>
        <w:jc w:val="both"/>
        <w:rPr>
          <w:rFonts w:cstheme="minorHAnsi"/>
        </w:rPr>
      </w:pPr>
      <w:r w:rsidRPr="008741C7">
        <w:rPr>
          <w:rFonts w:cstheme="minorHAnsi"/>
        </w:rPr>
        <w:t xml:space="preserve">A focus group conducted with </w:t>
      </w:r>
      <w:r w:rsidR="00A572DC" w:rsidRPr="008741C7">
        <w:rPr>
          <w:rFonts w:cstheme="minorHAnsi"/>
        </w:rPr>
        <w:t xml:space="preserve">older female </w:t>
      </w:r>
      <w:r w:rsidRPr="008741C7">
        <w:rPr>
          <w:rFonts w:cstheme="minorHAnsi"/>
        </w:rPr>
        <w:t xml:space="preserve">clients, </w:t>
      </w:r>
      <w:r w:rsidR="00A572DC" w:rsidRPr="008741C7">
        <w:rPr>
          <w:rFonts w:cstheme="minorHAnsi"/>
        </w:rPr>
        <w:t>the key issues were:</w:t>
      </w:r>
    </w:p>
    <w:p w14:paraId="508EDD9D" w14:textId="77777777" w:rsidR="001078C4" w:rsidRPr="008741C7" w:rsidRDefault="005E7FA9" w:rsidP="008741C7">
      <w:pPr>
        <w:pStyle w:val="ListParagraph"/>
        <w:numPr>
          <w:ilvl w:val="0"/>
          <w:numId w:val="18"/>
        </w:numPr>
        <w:spacing w:after="0" w:line="276" w:lineRule="auto"/>
        <w:jc w:val="both"/>
        <w:rPr>
          <w:rFonts w:cstheme="minorHAnsi"/>
        </w:rPr>
      </w:pPr>
      <w:r w:rsidRPr="008741C7">
        <w:rPr>
          <w:rFonts w:cstheme="minorHAnsi"/>
        </w:rPr>
        <w:t>Challenges in n</w:t>
      </w:r>
      <w:r w:rsidR="00A572DC" w:rsidRPr="008741C7">
        <w:rPr>
          <w:rFonts w:cstheme="minorHAnsi"/>
        </w:rPr>
        <w:t xml:space="preserve">avigating the health system and </w:t>
      </w:r>
      <w:r w:rsidRPr="008741C7">
        <w:rPr>
          <w:rFonts w:cstheme="minorHAnsi"/>
        </w:rPr>
        <w:t xml:space="preserve">a lack of </w:t>
      </w:r>
      <w:r w:rsidR="00A572DC" w:rsidRPr="008741C7">
        <w:rPr>
          <w:rFonts w:cstheme="minorHAnsi"/>
        </w:rPr>
        <w:t>knowledge of appropriate services</w:t>
      </w:r>
      <w:r w:rsidR="001078C4" w:rsidRPr="008741C7">
        <w:rPr>
          <w:rFonts w:cstheme="minorHAnsi"/>
        </w:rPr>
        <w:t xml:space="preserve"> is a significant issue</w:t>
      </w:r>
      <w:r w:rsidRPr="008741C7">
        <w:rPr>
          <w:rFonts w:cstheme="minorHAnsi"/>
        </w:rPr>
        <w:t xml:space="preserve">. </w:t>
      </w:r>
    </w:p>
    <w:p w14:paraId="784A9B71" w14:textId="77777777" w:rsidR="001078C4" w:rsidRPr="008741C7" w:rsidRDefault="001078C4" w:rsidP="008741C7">
      <w:pPr>
        <w:pStyle w:val="ListParagraph"/>
        <w:spacing w:after="0" w:line="276" w:lineRule="auto"/>
        <w:jc w:val="both"/>
        <w:rPr>
          <w:rFonts w:cstheme="minorHAnsi"/>
        </w:rPr>
      </w:pPr>
    </w:p>
    <w:p w14:paraId="2B77894E" w14:textId="1CC1C258" w:rsidR="00A572DC" w:rsidRPr="008741C7" w:rsidRDefault="005E7FA9" w:rsidP="008741C7">
      <w:pPr>
        <w:pStyle w:val="ListParagraph"/>
        <w:spacing w:after="0" w:line="276" w:lineRule="auto"/>
        <w:jc w:val="both"/>
        <w:rPr>
          <w:rFonts w:cstheme="minorHAnsi"/>
        </w:rPr>
      </w:pPr>
      <w:r w:rsidRPr="008741C7">
        <w:rPr>
          <w:rFonts w:cstheme="minorHAnsi"/>
        </w:rPr>
        <w:t xml:space="preserve">Not knowing what services provide directly impacts </w:t>
      </w:r>
      <w:r w:rsidR="001078C4" w:rsidRPr="008741C7">
        <w:rPr>
          <w:rFonts w:cstheme="minorHAnsi"/>
        </w:rPr>
        <w:t xml:space="preserve">levels of </w:t>
      </w:r>
      <w:r w:rsidRPr="008741C7">
        <w:rPr>
          <w:rFonts w:cstheme="minorHAnsi"/>
        </w:rPr>
        <w:t>confidence to access services. There is no central directory that has search functions to assist</w:t>
      </w:r>
      <w:r w:rsidR="001078C4" w:rsidRPr="008741C7">
        <w:rPr>
          <w:rFonts w:cstheme="minorHAnsi"/>
        </w:rPr>
        <w:t xml:space="preserve"> with navigating and some services ask you to contact them yet provide no details to call. Confusion surrounding the difference between services, charities and not-for-profit organisations and who to go too was raised, along with sometimes conflicting messaging and misinformation.</w:t>
      </w:r>
    </w:p>
    <w:p w14:paraId="50497439" w14:textId="2CFC88C6" w:rsidR="001078C4" w:rsidRPr="008741C7" w:rsidRDefault="001078C4" w:rsidP="008741C7">
      <w:pPr>
        <w:pStyle w:val="ListParagraph"/>
        <w:spacing w:after="0" w:line="276" w:lineRule="auto"/>
        <w:jc w:val="both"/>
        <w:rPr>
          <w:rFonts w:cstheme="minorHAnsi"/>
        </w:rPr>
      </w:pPr>
    </w:p>
    <w:p w14:paraId="6F17D424" w14:textId="73869238" w:rsidR="001078C4" w:rsidRPr="008741C7" w:rsidRDefault="001078C4" w:rsidP="008741C7">
      <w:pPr>
        <w:pStyle w:val="ListParagraph"/>
        <w:spacing w:after="0" w:line="276" w:lineRule="auto"/>
        <w:jc w:val="both"/>
        <w:rPr>
          <w:rFonts w:cstheme="minorHAnsi"/>
        </w:rPr>
      </w:pPr>
      <w:r w:rsidRPr="008741C7">
        <w:rPr>
          <w:rFonts w:cstheme="minorHAnsi"/>
        </w:rPr>
        <w:t>Those interviewed reported better community support to help service navigation and an improved easy to use services directory</w:t>
      </w:r>
      <w:r w:rsidR="00DB01C5" w:rsidRPr="008741C7">
        <w:rPr>
          <w:rFonts w:cstheme="minorHAnsi"/>
        </w:rPr>
        <w:t xml:space="preserve"> would assist them in accessing services for themselves and others</w:t>
      </w:r>
      <w:r w:rsidRPr="008741C7">
        <w:rPr>
          <w:rFonts w:cstheme="minorHAnsi"/>
        </w:rPr>
        <w:t xml:space="preserve">. </w:t>
      </w:r>
    </w:p>
    <w:p w14:paraId="0CA46ACE" w14:textId="1AA20913" w:rsidR="00DB01C5" w:rsidRPr="008741C7" w:rsidRDefault="00DB01C5" w:rsidP="008741C7">
      <w:pPr>
        <w:pStyle w:val="ListParagraph"/>
        <w:spacing w:after="0" w:line="276" w:lineRule="auto"/>
        <w:jc w:val="both"/>
        <w:rPr>
          <w:rFonts w:cstheme="minorHAnsi"/>
        </w:rPr>
      </w:pPr>
    </w:p>
    <w:p w14:paraId="5542E622" w14:textId="4A8C7A46" w:rsidR="00DB01C5" w:rsidRPr="008741C7" w:rsidRDefault="00DB01C5" w:rsidP="008741C7">
      <w:pPr>
        <w:pStyle w:val="ListParagraph"/>
        <w:spacing w:after="0" w:line="276" w:lineRule="auto"/>
        <w:jc w:val="both"/>
        <w:rPr>
          <w:rFonts w:cstheme="minorHAnsi"/>
        </w:rPr>
      </w:pPr>
      <w:r w:rsidRPr="008741C7">
        <w:rPr>
          <w:rFonts w:cstheme="minorHAnsi"/>
        </w:rPr>
        <w:t xml:space="preserve">There was a case study provided by one respondent who had sadly lot their granddaughter (27 y.o) to suicide </w:t>
      </w:r>
      <w:r w:rsidR="00353020" w:rsidRPr="008741C7">
        <w:rPr>
          <w:rFonts w:cstheme="minorHAnsi"/>
        </w:rPr>
        <w:t>in October 2018</w:t>
      </w:r>
      <w:r w:rsidRPr="008741C7">
        <w:rPr>
          <w:rFonts w:cstheme="minorHAnsi"/>
        </w:rPr>
        <w:t xml:space="preserve">. The granddaughter had attempted suicide in early 2018 and was hospitalised, then received ongoing support via home outreach visits. The grandmother and the mother wanted to seek support for themselves and were unable to access anything despite speaking with the service providing the granddaughter with counselling. </w:t>
      </w:r>
      <w:r w:rsidR="00580573" w:rsidRPr="008741C7">
        <w:rPr>
          <w:rFonts w:cstheme="minorHAnsi"/>
        </w:rPr>
        <w:t>Further to this the mother was unable to identify an alternate service for t</w:t>
      </w:r>
      <w:r w:rsidRPr="008741C7">
        <w:rPr>
          <w:rFonts w:cstheme="minorHAnsi"/>
        </w:rPr>
        <w:t xml:space="preserve">he granddaughter </w:t>
      </w:r>
      <w:r w:rsidR="00580573" w:rsidRPr="008741C7">
        <w:rPr>
          <w:rFonts w:cstheme="minorHAnsi"/>
        </w:rPr>
        <w:t xml:space="preserve">who had </w:t>
      </w:r>
      <w:r w:rsidRPr="008741C7">
        <w:rPr>
          <w:rFonts w:cstheme="minorHAnsi"/>
        </w:rPr>
        <w:t xml:space="preserve">reported that the service </w:t>
      </w:r>
      <w:r w:rsidR="00580573" w:rsidRPr="008741C7">
        <w:rPr>
          <w:rFonts w:cstheme="minorHAnsi"/>
        </w:rPr>
        <w:t xml:space="preserve">was not engaging and there were issues regarding privacy as she could hear other conversations occurring with workers. </w:t>
      </w:r>
    </w:p>
    <w:p w14:paraId="6428C504" w14:textId="77777777" w:rsidR="005E7FA9" w:rsidRPr="008741C7" w:rsidRDefault="005E7FA9" w:rsidP="008741C7">
      <w:pPr>
        <w:pStyle w:val="ListParagraph"/>
        <w:spacing w:after="0" w:line="276" w:lineRule="auto"/>
        <w:jc w:val="both"/>
        <w:rPr>
          <w:rFonts w:cstheme="minorHAnsi"/>
        </w:rPr>
      </w:pPr>
    </w:p>
    <w:p w14:paraId="3F754782" w14:textId="77644F02" w:rsidR="00580573" w:rsidRPr="008741C7" w:rsidRDefault="00A572DC" w:rsidP="008741C7">
      <w:pPr>
        <w:pStyle w:val="ListParagraph"/>
        <w:numPr>
          <w:ilvl w:val="0"/>
          <w:numId w:val="18"/>
        </w:numPr>
        <w:spacing w:after="0" w:line="276" w:lineRule="auto"/>
        <w:jc w:val="both"/>
        <w:rPr>
          <w:rFonts w:cstheme="minorHAnsi"/>
        </w:rPr>
      </w:pPr>
      <w:r w:rsidRPr="008741C7">
        <w:rPr>
          <w:rFonts w:cstheme="minorHAnsi"/>
        </w:rPr>
        <w:t xml:space="preserve">Stigma around mental ill-health </w:t>
      </w:r>
      <w:r w:rsidR="00580573" w:rsidRPr="008741C7">
        <w:rPr>
          <w:rFonts w:cstheme="minorHAnsi"/>
        </w:rPr>
        <w:t>was raised and the impact was p</w:t>
      </w:r>
      <w:r w:rsidR="001078C4" w:rsidRPr="008741C7">
        <w:rPr>
          <w:rFonts w:cstheme="minorHAnsi"/>
        </w:rPr>
        <w:t xml:space="preserve">eople </w:t>
      </w:r>
      <w:r w:rsidR="00580573" w:rsidRPr="008741C7">
        <w:rPr>
          <w:rFonts w:cstheme="minorHAnsi"/>
        </w:rPr>
        <w:t xml:space="preserve">felt unable to access services or were not </w:t>
      </w:r>
      <w:r w:rsidR="001078C4" w:rsidRPr="008741C7">
        <w:rPr>
          <w:rFonts w:cstheme="minorHAnsi"/>
        </w:rPr>
        <w:t>wanting to acknowledge problem</w:t>
      </w:r>
      <w:r w:rsidR="00580573" w:rsidRPr="008741C7">
        <w:rPr>
          <w:rFonts w:cstheme="minorHAnsi"/>
        </w:rPr>
        <w:t xml:space="preserve">s. </w:t>
      </w:r>
    </w:p>
    <w:p w14:paraId="0E30BB4D" w14:textId="7E8E221B" w:rsidR="00580573" w:rsidRPr="008741C7" w:rsidRDefault="00580573" w:rsidP="008741C7">
      <w:pPr>
        <w:spacing w:after="0" w:line="276" w:lineRule="auto"/>
        <w:ind w:left="720"/>
        <w:jc w:val="both"/>
        <w:rPr>
          <w:rFonts w:cstheme="minorHAnsi"/>
        </w:rPr>
      </w:pPr>
    </w:p>
    <w:p w14:paraId="2DBF5B4C" w14:textId="11F5FB4C" w:rsidR="00580573" w:rsidRPr="008741C7" w:rsidRDefault="00580573" w:rsidP="008741C7">
      <w:pPr>
        <w:spacing w:after="0" w:line="276" w:lineRule="auto"/>
        <w:ind w:left="720"/>
        <w:jc w:val="both"/>
        <w:rPr>
          <w:rFonts w:cstheme="minorHAnsi"/>
        </w:rPr>
      </w:pPr>
      <w:r w:rsidRPr="008741C7">
        <w:rPr>
          <w:rFonts w:cstheme="minorHAnsi"/>
        </w:rPr>
        <w:t xml:space="preserve">Beliefs in society that people can pull themselves out of their mental health issues results in the perception of blame and guilt brought on yourself and hinders your ability to access services. Action to destigmatise mental health and </w:t>
      </w:r>
      <w:r w:rsidR="00651C62" w:rsidRPr="008741C7">
        <w:rPr>
          <w:rFonts w:cstheme="minorHAnsi"/>
        </w:rPr>
        <w:t>changing</w:t>
      </w:r>
      <w:r w:rsidRPr="008741C7">
        <w:rPr>
          <w:rFonts w:cstheme="minorHAnsi"/>
        </w:rPr>
        <w:t xml:space="preserve"> community attitudes and beliefs regarding </w:t>
      </w:r>
      <w:r w:rsidR="00651C62" w:rsidRPr="008741C7">
        <w:rPr>
          <w:rFonts w:cstheme="minorHAnsi"/>
        </w:rPr>
        <w:t>seeking help for mental ill-health</w:t>
      </w:r>
      <w:r w:rsidRPr="008741C7">
        <w:rPr>
          <w:rFonts w:cstheme="minorHAnsi"/>
        </w:rPr>
        <w:t xml:space="preserve"> </w:t>
      </w:r>
      <w:r w:rsidR="00651C62" w:rsidRPr="008741C7">
        <w:rPr>
          <w:rFonts w:cstheme="minorHAnsi"/>
        </w:rPr>
        <w:t>earlier was suggested as a solution.</w:t>
      </w:r>
    </w:p>
    <w:p w14:paraId="4BC19E64" w14:textId="24B653B9" w:rsidR="005E7FA9" w:rsidRPr="008741C7" w:rsidRDefault="00580573" w:rsidP="008741C7">
      <w:pPr>
        <w:spacing w:after="0" w:line="276" w:lineRule="auto"/>
        <w:jc w:val="both"/>
        <w:rPr>
          <w:rFonts w:cstheme="minorHAnsi"/>
        </w:rPr>
      </w:pPr>
      <w:r w:rsidRPr="008741C7">
        <w:rPr>
          <w:rFonts w:cstheme="minorHAnsi"/>
        </w:rPr>
        <w:t xml:space="preserve"> </w:t>
      </w:r>
    </w:p>
    <w:p w14:paraId="1918C466" w14:textId="3E9D3712" w:rsidR="00A572DC" w:rsidRPr="008741C7" w:rsidRDefault="005E7FA9" w:rsidP="008741C7">
      <w:pPr>
        <w:pStyle w:val="ListParagraph"/>
        <w:numPr>
          <w:ilvl w:val="0"/>
          <w:numId w:val="18"/>
        </w:numPr>
        <w:spacing w:after="0" w:line="276" w:lineRule="auto"/>
        <w:jc w:val="both"/>
        <w:rPr>
          <w:rFonts w:cstheme="minorHAnsi"/>
        </w:rPr>
      </w:pPr>
      <w:r w:rsidRPr="008741C7">
        <w:rPr>
          <w:rFonts w:cstheme="minorHAnsi"/>
        </w:rPr>
        <w:t>A lack of alternative mental health support, that is client centered</w:t>
      </w:r>
      <w:r w:rsidR="00E0036F" w:rsidRPr="008741C7">
        <w:rPr>
          <w:rFonts w:cstheme="minorHAnsi"/>
        </w:rPr>
        <w:t xml:space="preserve">, was identified as an issue. It was raised that counselling was not the type of support these respondents would like to access and in some cases they would not access help. Alternative approaches such as art therapy and activity based support would better engage and support these clients. They reported issues with the funding model in that organisations had capped number of visits, which was not always conducive to their wellbeing. They also described issues with having to tell their story multiple times and the fatigue felt when they ended up at the wrong service and had to change service providers. </w:t>
      </w:r>
    </w:p>
    <w:p w14:paraId="130B6834" w14:textId="3A5CD778" w:rsidR="00561810" w:rsidRPr="008741C7" w:rsidRDefault="00561810" w:rsidP="008741C7">
      <w:pPr>
        <w:spacing w:after="0" w:line="276" w:lineRule="auto"/>
        <w:jc w:val="both"/>
        <w:rPr>
          <w:rFonts w:cstheme="minorHAnsi"/>
        </w:rPr>
      </w:pPr>
      <w:r w:rsidRPr="008741C7">
        <w:rPr>
          <w:rFonts w:cstheme="minorHAnsi"/>
        </w:rPr>
        <w:lastRenderedPageBreak/>
        <w:t>Interview with an adult mother, of a son with a mental health illness.</w:t>
      </w:r>
    </w:p>
    <w:p w14:paraId="16C2E858" w14:textId="4E5831F6" w:rsidR="00561810" w:rsidRPr="008741C7" w:rsidRDefault="00561810" w:rsidP="008741C7">
      <w:pPr>
        <w:spacing w:after="0" w:line="276" w:lineRule="auto"/>
        <w:jc w:val="both"/>
        <w:rPr>
          <w:rFonts w:cstheme="minorHAnsi"/>
        </w:rPr>
      </w:pPr>
    </w:p>
    <w:p w14:paraId="0F1DCFDF" w14:textId="3603590E" w:rsidR="00561810" w:rsidRDefault="00561810" w:rsidP="008741C7">
      <w:pPr>
        <w:spacing w:after="0" w:line="276" w:lineRule="auto"/>
        <w:jc w:val="both"/>
        <w:rPr>
          <w:rFonts w:cstheme="minorHAnsi"/>
        </w:rPr>
      </w:pPr>
      <w:r w:rsidRPr="008741C7">
        <w:rPr>
          <w:rFonts w:cstheme="minorHAnsi"/>
        </w:rPr>
        <w:t xml:space="preserve">The most important thing would have been education. I wish I was educated about my son, around schizophrenia and drug use and what to expect would be normal for a boy like this and how to protect myself. What is of confusion and turmoil about what to do with my son. </w:t>
      </w:r>
    </w:p>
    <w:p w14:paraId="397C3292" w14:textId="77777777" w:rsidR="0076113B" w:rsidRPr="008741C7" w:rsidRDefault="0076113B" w:rsidP="008741C7">
      <w:pPr>
        <w:spacing w:after="0" w:line="276" w:lineRule="auto"/>
        <w:jc w:val="both"/>
        <w:rPr>
          <w:rFonts w:cstheme="minorHAnsi"/>
        </w:rPr>
      </w:pPr>
    </w:p>
    <w:p w14:paraId="05BC6679" w14:textId="02D7A127" w:rsidR="00561810" w:rsidRPr="008741C7" w:rsidRDefault="00561810" w:rsidP="008741C7">
      <w:pPr>
        <w:spacing w:after="0" w:line="276" w:lineRule="auto"/>
        <w:jc w:val="both"/>
        <w:rPr>
          <w:rFonts w:cstheme="minorHAnsi"/>
          <w:b/>
        </w:rPr>
      </w:pPr>
      <w:r w:rsidRPr="008741C7">
        <w:rPr>
          <w:rFonts w:cstheme="minorHAnsi"/>
          <w:b/>
        </w:rPr>
        <w:t xml:space="preserve">Context: Son was in and out of hospital for a long period of time. </w:t>
      </w:r>
    </w:p>
    <w:p w14:paraId="27B3D5DF" w14:textId="1C07F13A" w:rsidR="00561810" w:rsidRPr="008741C7" w:rsidRDefault="00561810" w:rsidP="008741C7">
      <w:pPr>
        <w:spacing w:after="0" w:line="276" w:lineRule="auto"/>
        <w:jc w:val="both"/>
        <w:rPr>
          <w:rFonts w:cstheme="minorHAnsi"/>
        </w:rPr>
      </w:pPr>
      <w:r w:rsidRPr="008741C7">
        <w:rPr>
          <w:rFonts w:cstheme="minorHAnsi"/>
        </w:rPr>
        <w:t>When I went to a Hospital it was a terrible experience. Son was in white clothes (wrap around shirt) with his butto</w:t>
      </w:r>
      <w:r w:rsidR="00BA7C99">
        <w:rPr>
          <w:rFonts w:cstheme="minorHAnsi"/>
        </w:rPr>
        <w:t>ck</w:t>
      </w:r>
      <w:r w:rsidRPr="008741C7">
        <w:rPr>
          <w:rFonts w:cstheme="minorHAnsi"/>
        </w:rPr>
        <w:t xml:space="preserve"> exposed with no shoes and his face was bruised – unexplained bruising, which were from too much legal drugs given and he fell and hit himself.  I wasn’t prepared for what I saw. It was so shocking and traumatic to see my son in this way. I wish someone could have taken the time to explain to me about my son and educate me and give me information and for someone to communicate with me.  When my son was released from hospital, nobody told me anything. My son was discharged into my care without them having ask me or provide me with any formal support and I had no information on how to protect myself.  I would have liked to have been part of discussions and case conferences with doctors involved while my son was in hospital and I would also liked to be part of the discharge plan. Help and support was never offered. There was no consistency with psychiatrists and I overheard a psychiatric nurse say that they were wasting their time with my family. My son absconded from the hospital on a number of occasions – there needs to be better security and supervision and they were under-staffed.  My son had access to illegal drugs and to alcohol while in the hospital and was having sex with other patients in the hospital.  A nurse told me this information and my son also told me this information.  Being in a hospital, I thought my son was in a safe and protected place. </w:t>
      </w:r>
    </w:p>
    <w:p w14:paraId="3920A268" w14:textId="77777777" w:rsidR="00561810" w:rsidRPr="008741C7" w:rsidRDefault="00561810" w:rsidP="008741C7">
      <w:pPr>
        <w:spacing w:after="0" w:line="276" w:lineRule="auto"/>
        <w:jc w:val="both"/>
        <w:rPr>
          <w:rFonts w:cstheme="minorHAnsi"/>
        </w:rPr>
      </w:pPr>
    </w:p>
    <w:p w14:paraId="340333D1" w14:textId="6454C0B9" w:rsidR="00561810" w:rsidRPr="008741C7" w:rsidRDefault="00561810" w:rsidP="008741C7">
      <w:pPr>
        <w:spacing w:after="0" w:line="276" w:lineRule="auto"/>
        <w:jc w:val="both"/>
        <w:rPr>
          <w:rFonts w:cstheme="minorHAnsi"/>
        </w:rPr>
      </w:pPr>
      <w:r w:rsidRPr="008741C7">
        <w:rPr>
          <w:rFonts w:cstheme="minorHAnsi"/>
        </w:rPr>
        <w:t xml:space="preserve">At the time the son was at Hospital, the client (interviewee) was coming in to Connect Health </w:t>
      </w:r>
      <w:r w:rsidR="004661F1">
        <w:rPr>
          <w:rFonts w:cstheme="minorHAnsi"/>
        </w:rPr>
        <w:t>&amp;</w:t>
      </w:r>
      <w:r w:rsidRPr="008741C7">
        <w:rPr>
          <w:rFonts w:cstheme="minorHAnsi"/>
        </w:rPr>
        <w:t xml:space="preserve"> Community for dental and client asked if there was counselling service offered.  At this time, I felt like I was inside a dark tunnel and I felt claustrophobic, stuck, like I was in a dark hole. </w:t>
      </w:r>
    </w:p>
    <w:p w14:paraId="79E7B010" w14:textId="77777777" w:rsidR="00561810" w:rsidRPr="008741C7" w:rsidRDefault="00561810" w:rsidP="008741C7">
      <w:pPr>
        <w:spacing w:after="0" w:line="276" w:lineRule="auto"/>
        <w:jc w:val="both"/>
        <w:rPr>
          <w:rFonts w:cstheme="minorHAnsi"/>
        </w:rPr>
      </w:pPr>
    </w:p>
    <w:p w14:paraId="485A5F88" w14:textId="77777777" w:rsidR="00561810" w:rsidRPr="008741C7" w:rsidRDefault="00561810" w:rsidP="008741C7">
      <w:pPr>
        <w:spacing w:after="0" w:line="276" w:lineRule="auto"/>
        <w:jc w:val="both"/>
        <w:rPr>
          <w:rFonts w:cstheme="minorHAnsi"/>
          <w:b/>
        </w:rPr>
      </w:pPr>
      <w:r w:rsidRPr="008741C7">
        <w:rPr>
          <w:rFonts w:cstheme="minorHAnsi"/>
          <w:b/>
        </w:rPr>
        <w:t xml:space="preserve">Experience at Connect Health:  </w:t>
      </w:r>
    </w:p>
    <w:p w14:paraId="4E0FB8DA" w14:textId="01050677" w:rsidR="00561810" w:rsidRPr="008741C7" w:rsidRDefault="00561810" w:rsidP="008741C7">
      <w:pPr>
        <w:spacing w:after="0" w:line="276" w:lineRule="auto"/>
        <w:jc w:val="both"/>
        <w:rPr>
          <w:rFonts w:cstheme="minorHAnsi"/>
        </w:rPr>
      </w:pPr>
      <w:r w:rsidRPr="008741C7">
        <w:rPr>
          <w:rFonts w:cstheme="minorHAnsi"/>
        </w:rPr>
        <w:t xml:space="preserve">Client has found the experience here very helpful; mainly the consistency from counselling and dietician. Client said that she felt very ashamed, embarrassed and not accepted, and that Connect Health gave her a safe place to heal. Client said she is feeling more accepting of reality and of her son’s reality. This was the place where I opened up about my own big secrets about bulimia and sexual abuse.  It was the one place where I did trust and I was consistently accepted and not judged.  As client did not have to pay for service, she was able to access the support she needed as she was financially stretched. </w:t>
      </w:r>
    </w:p>
    <w:p w14:paraId="28819AD6" w14:textId="77777777" w:rsidR="00561810" w:rsidRPr="008741C7" w:rsidRDefault="00561810" w:rsidP="008741C7">
      <w:pPr>
        <w:spacing w:after="0" w:line="276" w:lineRule="auto"/>
        <w:jc w:val="both"/>
        <w:rPr>
          <w:rFonts w:cstheme="minorHAnsi"/>
        </w:rPr>
      </w:pPr>
    </w:p>
    <w:sectPr w:rsidR="00561810" w:rsidRPr="008741C7" w:rsidSect="006B41AE">
      <w:footerReference w:type="default" r:id="rId46"/>
      <w:pgSz w:w="11906" w:h="16838"/>
      <w:pgMar w:top="1135" w:right="1274" w:bottom="993"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21918" w14:textId="77777777" w:rsidR="00434D41" w:rsidRDefault="00434D41" w:rsidP="00EE79BD">
      <w:pPr>
        <w:spacing w:after="0" w:line="240" w:lineRule="auto"/>
      </w:pPr>
      <w:r>
        <w:separator/>
      </w:r>
    </w:p>
  </w:endnote>
  <w:endnote w:type="continuationSeparator" w:id="0">
    <w:p w14:paraId="2C822E7B" w14:textId="77777777" w:rsidR="00434D41" w:rsidRDefault="00434D41" w:rsidP="00EE7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F DinDisplay Pro">
    <w:altName w:val="PF DinDisplay Pro"/>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9528904"/>
      <w:docPartObj>
        <w:docPartGallery w:val="Page Numbers (Bottom of Page)"/>
        <w:docPartUnique/>
      </w:docPartObj>
    </w:sdtPr>
    <w:sdtEndPr>
      <w:rPr>
        <w:color w:val="7F7F7F" w:themeColor="background1" w:themeShade="7F"/>
        <w:spacing w:val="60"/>
      </w:rPr>
    </w:sdtEndPr>
    <w:sdtContent>
      <w:p w14:paraId="7B59510F" w14:textId="1D030873" w:rsidR="00434D41" w:rsidRDefault="00434D4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16532" w:rsidRPr="00716532">
          <w:rPr>
            <w:b/>
            <w:bCs/>
            <w:noProof/>
          </w:rPr>
          <w:t>1</w:t>
        </w:r>
        <w:r>
          <w:rPr>
            <w:b/>
            <w:bCs/>
            <w:noProof/>
          </w:rPr>
          <w:fldChar w:fldCharType="end"/>
        </w:r>
        <w:r>
          <w:rPr>
            <w:b/>
            <w:bCs/>
          </w:rPr>
          <w:t xml:space="preserve"> | </w:t>
        </w:r>
        <w:r>
          <w:rPr>
            <w:color w:val="7F7F7F" w:themeColor="background1" w:themeShade="7F"/>
            <w:spacing w:val="60"/>
          </w:rPr>
          <w:t>Page</w:t>
        </w:r>
      </w:p>
    </w:sdtContent>
  </w:sdt>
  <w:p w14:paraId="33E6D841" w14:textId="77777777" w:rsidR="00434D41" w:rsidRDefault="00434D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DF308" w14:textId="77777777" w:rsidR="00434D41" w:rsidRDefault="00434D41" w:rsidP="00EE79BD">
      <w:pPr>
        <w:spacing w:after="0" w:line="240" w:lineRule="auto"/>
      </w:pPr>
      <w:r>
        <w:separator/>
      </w:r>
    </w:p>
  </w:footnote>
  <w:footnote w:type="continuationSeparator" w:id="0">
    <w:p w14:paraId="77C49F11" w14:textId="77777777" w:rsidR="00434D41" w:rsidRDefault="00434D41" w:rsidP="00EE79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05768"/>
    <w:multiLevelType w:val="hybridMultilevel"/>
    <w:tmpl w:val="F6E0A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2A194C"/>
    <w:multiLevelType w:val="hybridMultilevel"/>
    <w:tmpl w:val="A4028B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8C1644"/>
    <w:multiLevelType w:val="hybridMultilevel"/>
    <w:tmpl w:val="BF9C3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ED3443"/>
    <w:multiLevelType w:val="hybridMultilevel"/>
    <w:tmpl w:val="2C32C0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527CC5"/>
    <w:multiLevelType w:val="hybridMultilevel"/>
    <w:tmpl w:val="B9441C8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EF375B6"/>
    <w:multiLevelType w:val="hybridMultilevel"/>
    <w:tmpl w:val="88D61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857A62"/>
    <w:multiLevelType w:val="hybridMultilevel"/>
    <w:tmpl w:val="D714C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7A2791"/>
    <w:multiLevelType w:val="hybridMultilevel"/>
    <w:tmpl w:val="4BF437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086D55"/>
    <w:multiLevelType w:val="hybridMultilevel"/>
    <w:tmpl w:val="63426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4E03FC"/>
    <w:multiLevelType w:val="hybridMultilevel"/>
    <w:tmpl w:val="DF9E38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8C10E8"/>
    <w:multiLevelType w:val="hybridMultilevel"/>
    <w:tmpl w:val="B9B4A64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B85499B"/>
    <w:multiLevelType w:val="hybridMultilevel"/>
    <w:tmpl w:val="0F6C2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9E3102"/>
    <w:multiLevelType w:val="hybridMultilevel"/>
    <w:tmpl w:val="A858A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D112FA"/>
    <w:multiLevelType w:val="hybridMultilevel"/>
    <w:tmpl w:val="5DF88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BF46EE"/>
    <w:multiLevelType w:val="hybridMultilevel"/>
    <w:tmpl w:val="AB7A0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AE7472"/>
    <w:multiLevelType w:val="hybridMultilevel"/>
    <w:tmpl w:val="F76EB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72D591E"/>
    <w:multiLevelType w:val="hybridMultilevel"/>
    <w:tmpl w:val="4B22B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19097C"/>
    <w:multiLevelType w:val="hybridMultilevel"/>
    <w:tmpl w:val="390E1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464C13"/>
    <w:multiLevelType w:val="hybridMultilevel"/>
    <w:tmpl w:val="8856F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494C0D"/>
    <w:multiLevelType w:val="hybridMultilevel"/>
    <w:tmpl w:val="AF9C6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1" w15:restartNumberingAfterBreak="0">
    <w:nsid w:val="5DCE7F46"/>
    <w:multiLevelType w:val="hybridMultilevel"/>
    <w:tmpl w:val="ECF62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13C184F"/>
    <w:multiLevelType w:val="hybridMultilevel"/>
    <w:tmpl w:val="7EA4D7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74455B9"/>
    <w:multiLevelType w:val="hybridMultilevel"/>
    <w:tmpl w:val="C1207C9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8A725A4"/>
    <w:multiLevelType w:val="hybridMultilevel"/>
    <w:tmpl w:val="61405D4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C677B89"/>
    <w:multiLevelType w:val="hybridMultilevel"/>
    <w:tmpl w:val="F1AAC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EEB0DF8"/>
    <w:multiLevelType w:val="hybridMultilevel"/>
    <w:tmpl w:val="27E262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0234F00"/>
    <w:multiLevelType w:val="hybridMultilevel"/>
    <w:tmpl w:val="DC7400D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8" w15:restartNumberingAfterBreak="0">
    <w:nsid w:val="719F34F2"/>
    <w:multiLevelType w:val="hybridMultilevel"/>
    <w:tmpl w:val="AAEEF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7F71ABF"/>
    <w:multiLevelType w:val="hybridMultilevel"/>
    <w:tmpl w:val="737CE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D0F01C2"/>
    <w:multiLevelType w:val="hybridMultilevel"/>
    <w:tmpl w:val="52304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16"/>
  </w:num>
  <w:num w:numId="4">
    <w:abstractNumId w:val="8"/>
  </w:num>
  <w:num w:numId="5">
    <w:abstractNumId w:val="14"/>
  </w:num>
  <w:num w:numId="6">
    <w:abstractNumId w:val="20"/>
  </w:num>
  <w:num w:numId="7">
    <w:abstractNumId w:val="7"/>
  </w:num>
  <w:num w:numId="8">
    <w:abstractNumId w:val="2"/>
  </w:num>
  <w:num w:numId="9">
    <w:abstractNumId w:val="18"/>
  </w:num>
  <w:num w:numId="10">
    <w:abstractNumId w:val="10"/>
  </w:num>
  <w:num w:numId="11">
    <w:abstractNumId w:val="28"/>
  </w:num>
  <w:num w:numId="12">
    <w:abstractNumId w:val="17"/>
  </w:num>
  <w:num w:numId="13">
    <w:abstractNumId w:val="9"/>
  </w:num>
  <w:num w:numId="14">
    <w:abstractNumId w:val="0"/>
  </w:num>
  <w:num w:numId="15">
    <w:abstractNumId w:val="11"/>
  </w:num>
  <w:num w:numId="16">
    <w:abstractNumId w:val="6"/>
  </w:num>
  <w:num w:numId="17">
    <w:abstractNumId w:val="25"/>
  </w:num>
  <w:num w:numId="18">
    <w:abstractNumId w:val="26"/>
  </w:num>
  <w:num w:numId="19">
    <w:abstractNumId w:val="24"/>
  </w:num>
  <w:num w:numId="20">
    <w:abstractNumId w:val="12"/>
  </w:num>
  <w:num w:numId="21">
    <w:abstractNumId w:val="27"/>
  </w:num>
  <w:num w:numId="22">
    <w:abstractNumId w:val="19"/>
  </w:num>
  <w:num w:numId="23">
    <w:abstractNumId w:val="3"/>
  </w:num>
  <w:num w:numId="24">
    <w:abstractNumId w:val="13"/>
  </w:num>
  <w:num w:numId="25">
    <w:abstractNumId w:val="5"/>
  </w:num>
  <w:num w:numId="26">
    <w:abstractNumId w:val="30"/>
  </w:num>
  <w:num w:numId="27">
    <w:abstractNumId w:val="22"/>
  </w:num>
  <w:num w:numId="28">
    <w:abstractNumId w:val="21"/>
  </w:num>
  <w:num w:numId="29">
    <w:abstractNumId w:val="29"/>
  </w:num>
  <w:num w:numId="30">
    <w:abstractNumId w:val="4"/>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FB5"/>
    <w:rsid w:val="00004594"/>
    <w:rsid w:val="00006CE6"/>
    <w:rsid w:val="000070A5"/>
    <w:rsid w:val="0002530E"/>
    <w:rsid w:val="00032B59"/>
    <w:rsid w:val="0003414C"/>
    <w:rsid w:val="00035EB4"/>
    <w:rsid w:val="00037D7D"/>
    <w:rsid w:val="00045F12"/>
    <w:rsid w:val="00053443"/>
    <w:rsid w:val="000642EC"/>
    <w:rsid w:val="00081366"/>
    <w:rsid w:val="000828B3"/>
    <w:rsid w:val="00082E38"/>
    <w:rsid w:val="00093FD3"/>
    <w:rsid w:val="00094BFE"/>
    <w:rsid w:val="00095815"/>
    <w:rsid w:val="000A0149"/>
    <w:rsid w:val="000A0C44"/>
    <w:rsid w:val="000A3A5B"/>
    <w:rsid w:val="000B0B0F"/>
    <w:rsid w:val="000C58ED"/>
    <w:rsid w:val="000D0036"/>
    <w:rsid w:val="000D1D51"/>
    <w:rsid w:val="000D7CC7"/>
    <w:rsid w:val="000E0D2D"/>
    <w:rsid w:val="000E3333"/>
    <w:rsid w:val="000E5FD4"/>
    <w:rsid w:val="000E7ECF"/>
    <w:rsid w:val="000F38B9"/>
    <w:rsid w:val="00100924"/>
    <w:rsid w:val="001028D4"/>
    <w:rsid w:val="00105DAB"/>
    <w:rsid w:val="001078C4"/>
    <w:rsid w:val="00121656"/>
    <w:rsid w:val="00123E1F"/>
    <w:rsid w:val="0012551D"/>
    <w:rsid w:val="00130349"/>
    <w:rsid w:val="00140C90"/>
    <w:rsid w:val="00146A45"/>
    <w:rsid w:val="00156185"/>
    <w:rsid w:val="0016039B"/>
    <w:rsid w:val="00161A72"/>
    <w:rsid w:val="00176ACD"/>
    <w:rsid w:val="001827B6"/>
    <w:rsid w:val="001864C1"/>
    <w:rsid w:val="001922B9"/>
    <w:rsid w:val="00192855"/>
    <w:rsid w:val="0019500C"/>
    <w:rsid w:val="001A0F0B"/>
    <w:rsid w:val="001A311F"/>
    <w:rsid w:val="001B0104"/>
    <w:rsid w:val="001B0470"/>
    <w:rsid w:val="001B5C0D"/>
    <w:rsid w:val="001B5D42"/>
    <w:rsid w:val="001B5DB0"/>
    <w:rsid w:val="001B5EBF"/>
    <w:rsid w:val="001C3198"/>
    <w:rsid w:val="001C4BFC"/>
    <w:rsid w:val="001D3EB2"/>
    <w:rsid w:val="001D5802"/>
    <w:rsid w:val="001D6932"/>
    <w:rsid w:val="001F09D4"/>
    <w:rsid w:val="001F3365"/>
    <w:rsid w:val="001F3638"/>
    <w:rsid w:val="00211FBD"/>
    <w:rsid w:val="002158EF"/>
    <w:rsid w:val="00223B67"/>
    <w:rsid w:val="002371C9"/>
    <w:rsid w:val="00241920"/>
    <w:rsid w:val="0024405B"/>
    <w:rsid w:val="00247CB1"/>
    <w:rsid w:val="002531EA"/>
    <w:rsid w:val="00254908"/>
    <w:rsid w:val="00255F3E"/>
    <w:rsid w:val="00276424"/>
    <w:rsid w:val="002861EF"/>
    <w:rsid w:val="0029173A"/>
    <w:rsid w:val="00293E02"/>
    <w:rsid w:val="00293E26"/>
    <w:rsid w:val="00294F82"/>
    <w:rsid w:val="002961B1"/>
    <w:rsid w:val="002A0941"/>
    <w:rsid w:val="002A3B43"/>
    <w:rsid w:val="002A5161"/>
    <w:rsid w:val="002B0FC4"/>
    <w:rsid w:val="002B3223"/>
    <w:rsid w:val="002B54E8"/>
    <w:rsid w:val="002C2F67"/>
    <w:rsid w:val="002C393B"/>
    <w:rsid w:val="002C4F5D"/>
    <w:rsid w:val="002C5ACA"/>
    <w:rsid w:val="002C7D84"/>
    <w:rsid w:val="002D03ED"/>
    <w:rsid w:val="002D3840"/>
    <w:rsid w:val="002D4829"/>
    <w:rsid w:val="002D612C"/>
    <w:rsid w:val="002D76B6"/>
    <w:rsid w:val="002E1F7F"/>
    <w:rsid w:val="002F08E7"/>
    <w:rsid w:val="00301C31"/>
    <w:rsid w:val="003038CD"/>
    <w:rsid w:val="00303D6C"/>
    <w:rsid w:val="00304657"/>
    <w:rsid w:val="00306E2B"/>
    <w:rsid w:val="003070DE"/>
    <w:rsid w:val="00307958"/>
    <w:rsid w:val="0031224F"/>
    <w:rsid w:val="003155B4"/>
    <w:rsid w:val="00330106"/>
    <w:rsid w:val="00330B84"/>
    <w:rsid w:val="003313B4"/>
    <w:rsid w:val="0033209D"/>
    <w:rsid w:val="00334312"/>
    <w:rsid w:val="003344CF"/>
    <w:rsid w:val="00337C57"/>
    <w:rsid w:val="00340DDB"/>
    <w:rsid w:val="00342628"/>
    <w:rsid w:val="00343328"/>
    <w:rsid w:val="00345B33"/>
    <w:rsid w:val="00352552"/>
    <w:rsid w:val="00353020"/>
    <w:rsid w:val="00356A7F"/>
    <w:rsid w:val="00370D51"/>
    <w:rsid w:val="00371F38"/>
    <w:rsid w:val="0037413E"/>
    <w:rsid w:val="0037546F"/>
    <w:rsid w:val="00381CE8"/>
    <w:rsid w:val="00383926"/>
    <w:rsid w:val="00387593"/>
    <w:rsid w:val="00391D52"/>
    <w:rsid w:val="00396062"/>
    <w:rsid w:val="00396458"/>
    <w:rsid w:val="003A19FF"/>
    <w:rsid w:val="003B771E"/>
    <w:rsid w:val="003C4486"/>
    <w:rsid w:val="003D5F0E"/>
    <w:rsid w:val="003E229D"/>
    <w:rsid w:val="003E5660"/>
    <w:rsid w:val="003E7E91"/>
    <w:rsid w:val="003F7931"/>
    <w:rsid w:val="0040432B"/>
    <w:rsid w:val="004045E0"/>
    <w:rsid w:val="00406416"/>
    <w:rsid w:val="0041341E"/>
    <w:rsid w:val="00413F66"/>
    <w:rsid w:val="0041586E"/>
    <w:rsid w:val="00421E9E"/>
    <w:rsid w:val="0042451F"/>
    <w:rsid w:val="00434D41"/>
    <w:rsid w:val="00436E6F"/>
    <w:rsid w:val="004661F1"/>
    <w:rsid w:val="004729F7"/>
    <w:rsid w:val="00473512"/>
    <w:rsid w:val="004809D0"/>
    <w:rsid w:val="00480B59"/>
    <w:rsid w:val="00484F76"/>
    <w:rsid w:val="00490F39"/>
    <w:rsid w:val="004A1CE1"/>
    <w:rsid w:val="004A2AFA"/>
    <w:rsid w:val="004A3238"/>
    <w:rsid w:val="004A5BAE"/>
    <w:rsid w:val="004B03AA"/>
    <w:rsid w:val="004B766F"/>
    <w:rsid w:val="004E3F26"/>
    <w:rsid w:val="004E6631"/>
    <w:rsid w:val="004F73C6"/>
    <w:rsid w:val="00500AA7"/>
    <w:rsid w:val="00501A64"/>
    <w:rsid w:val="005053FA"/>
    <w:rsid w:val="005076BF"/>
    <w:rsid w:val="00510E30"/>
    <w:rsid w:val="00513171"/>
    <w:rsid w:val="00515AB9"/>
    <w:rsid w:val="00521A3B"/>
    <w:rsid w:val="00532B65"/>
    <w:rsid w:val="0054009B"/>
    <w:rsid w:val="005403D5"/>
    <w:rsid w:val="00543782"/>
    <w:rsid w:val="005500CD"/>
    <w:rsid w:val="00550E44"/>
    <w:rsid w:val="00551C18"/>
    <w:rsid w:val="00554210"/>
    <w:rsid w:val="00561810"/>
    <w:rsid w:val="00580573"/>
    <w:rsid w:val="005919D4"/>
    <w:rsid w:val="005941E7"/>
    <w:rsid w:val="005A2FDD"/>
    <w:rsid w:val="005A3054"/>
    <w:rsid w:val="005A458F"/>
    <w:rsid w:val="005A5964"/>
    <w:rsid w:val="005A6770"/>
    <w:rsid w:val="005B105F"/>
    <w:rsid w:val="005C250C"/>
    <w:rsid w:val="005C3D11"/>
    <w:rsid w:val="005D03E0"/>
    <w:rsid w:val="005D61DC"/>
    <w:rsid w:val="005D6DDB"/>
    <w:rsid w:val="005E3261"/>
    <w:rsid w:val="005E7FA9"/>
    <w:rsid w:val="005F231A"/>
    <w:rsid w:val="00600165"/>
    <w:rsid w:val="006006DD"/>
    <w:rsid w:val="00605E27"/>
    <w:rsid w:val="006112A8"/>
    <w:rsid w:val="00611970"/>
    <w:rsid w:val="00624027"/>
    <w:rsid w:val="00634133"/>
    <w:rsid w:val="006367F9"/>
    <w:rsid w:val="00636B67"/>
    <w:rsid w:val="00637E2D"/>
    <w:rsid w:val="00641EBE"/>
    <w:rsid w:val="00651C62"/>
    <w:rsid w:val="00654CDD"/>
    <w:rsid w:val="00660992"/>
    <w:rsid w:val="006650B3"/>
    <w:rsid w:val="00667F79"/>
    <w:rsid w:val="00675D4A"/>
    <w:rsid w:val="00692D53"/>
    <w:rsid w:val="006A6769"/>
    <w:rsid w:val="006B21D2"/>
    <w:rsid w:val="006B2812"/>
    <w:rsid w:val="006B2D41"/>
    <w:rsid w:val="006B3577"/>
    <w:rsid w:val="006B36B2"/>
    <w:rsid w:val="006B41AE"/>
    <w:rsid w:val="006B702D"/>
    <w:rsid w:val="006D5301"/>
    <w:rsid w:val="006D574D"/>
    <w:rsid w:val="006D691E"/>
    <w:rsid w:val="006E1B7F"/>
    <w:rsid w:val="006E31CC"/>
    <w:rsid w:val="006E7C4F"/>
    <w:rsid w:val="006E7D7A"/>
    <w:rsid w:val="006E7F93"/>
    <w:rsid w:val="006F1C87"/>
    <w:rsid w:val="0070224C"/>
    <w:rsid w:val="00716532"/>
    <w:rsid w:val="00716F40"/>
    <w:rsid w:val="00717ED9"/>
    <w:rsid w:val="00720AAF"/>
    <w:rsid w:val="0072554B"/>
    <w:rsid w:val="007256DE"/>
    <w:rsid w:val="00725B8A"/>
    <w:rsid w:val="00733BED"/>
    <w:rsid w:val="007364C8"/>
    <w:rsid w:val="00737374"/>
    <w:rsid w:val="00740D7B"/>
    <w:rsid w:val="0074104D"/>
    <w:rsid w:val="00742285"/>
    <w:rsid w:val="0074261F"/>
    <w:rsid w:val="00744FB5"/>
    <w:rsid w:val="0076113B"/>
    <w:rsid w:val="00772F2E"/>
    <w:rsid w:val="00776E76"/>
    <w:rsid w:val="0078165E"/>
    <w:rsid w:val="00781B7A"/>
    <w:rsid w:val="00793813"/>
    <w:rsid w:val="00797340"/>
    <w:rsid w:val="007A1FA9"/>
    <w:rsid w:val="007B18FA"/>
    <w:rsid w:val="007B2D67"/>
    <w:rsid w:val="007B4671"/>
    <w:rsid w:val="007B5047"/>
    <w:rsid w:val="007C68C6"/>
    <w:rsid w:val="007D3D09"/>
    <w:rsid w:val="007E0F2F"/>
    <w:rsid w:val="007E1087"/>
    <w:rsid w:val="007F18F0"/>
    <w:rsid w:val="00801291"/>
    <w:rsid w:val="008138C5"/>
    <w:rsid w:val="0082023B"/>
    <w:rsid w:val="00826D33"/>
    <w:rsid w:val="00830DA6"/>
    <w:rsid w:val="0083259E"/>
    <w:rsid w:val="00835C29"/>
    <w:rsid w:val="00837B5B"/>
    <w:rsid w:val="008454F8"/>
    <w:rsid w:val="00845CE2"/>
    <w:rsid w:val="008510E6"/>
    <w:rsid w:val="00851289"/>
    <w:rsid w:val="008741C7"/>
    <w:rsid w:val="00877203"/>
    <w:rsid w:val="0088427D"/>
    <w:rsid w:val="008902DD"/>
    <w:rsid w:val="00894ECE"/>
    <w:rsid w:val="00897134"/>
    <w:rsid w:val="008A0C2B"/>
    <w:rsid w:val="008B38A6"/>
    <w:rsid w:val="008C010A"/>
    <w:rsid w:val="008C56BB"/>
    <w:rsid w:val="008E5EEF"/>
    <w:rsid w:val="008F3876"/>
    <w:rsid w:val="008F55CF"/>
    <w:rsid w:val="00905492"/>
    <w:rsid w:val="009062CC"/>
    <w:rsid w:val="00906D5A"/>
    <w:rsid w:val="00930086"/>
    <w:rsid w:val="00930E26"/>
    <w:rsid w:val="009320D4"/>
    <w:rsid w:val="00941071"/>
    <w:rsid w:val="009439DD"/>
    <w:rsid w:val="00946433"/>
    <w:rsid w:val="00960785"/>
    <w:rsid w:val="00960DCF"/>
    <w:rsid w:val="009708C8"/>
    <w:rsid w:val="00970D85"/>
    <w:rsid w:val="00971BA5"/>
    <w:rsid w:val="00973B80"/>
    <w:rsid w:val="00974361"/>
    <w:rsid w:val="00975E3E"/>
    <w:rsid w:val="00976F3B"/>
    <w:rsid w:val="00980433"/>
    <w:rsid w:val="0098274F"/>
    <w:rsid w:val="00984BE9"/>
    <w:rsid w:val="00992C20"/>
    <w:rsid w:val="009956FF"/>
    <w:rsid w:val="009962CE"/>
    <w:rsid w:val="009B3CEB"/>
    <w:rsid w:val="009C11EF"/>
    <w:rsid w:val="009C2787"/>
    <w:rsid w:val="009D0D0C"/>
    <w:rsid w:val="009D2C2F"/>
    <w:rsid w:val="009D560E"/>
    <w:rsid w:val="009E06BA"/>
    <w:rsid w:val="009F5F94"/>
    <w:rsid w:val="00A05711"/>
    <w:rsid w:val="00A14555"/>
    <w:rsid w:val="00A24E50"/>
    <w:rsid w:val="00A339FB"/>
    <w:rsid w:val="00A3617F"/>
    <w:rsid w:val="00A45B6C"/>
    <w:rsid w:val="00A46AEE"/>
    <w:rsid w:val="00A52804"/>
    <w:rsid w:val="00A572DC"/>
    <w:rsid w:val="00A72EBC"/>
    <w:rsid w:val="00A75166"/>
    <w:rsid w:val="00A77CCC"/>
    <w:rsid w:val="00A822B2"/>
    <w:rsid w:val="00A84CBB"/>
    <w:rsid w:val="00A9121D"/>
    <w:rsid w:val="00A93302"/>
    <w:rsid w:val="00A93974"/>
    <w:rsid w:val="00A94545"/>
    <w:rsid w:val="00AA0917"/>
    <w:rsid w:val="00AB7727"/>
    <w:rsid w:val="00AC04BB"/>
    <w:rsid w:val="00AC08D7"/>
    <w:rsid w:val="00AE5296"/>
    <w:rsid w:val="00AE621F"/>
    <w:rsid w:val="00AE6A4B"/>
    <w:rsid w:val="00AF0A4F"/>
    <w:rsid w:val="00AF5EE8"/>
    <w:rsid w:val="00B01834"/>
    <w:rsid w:val="00B05933"/>
    <w:rsid w:val="00B17827"/>
    <w:rsid w:val="00B25EC7"/>
    <w:rsid w:val="00B26FEF"/>
    <w:rsid w:val="00B526FC"/>
    <w:rsid w:val="00B61624"/>
    <w:rsid w:val="00B67244"/>
    <w:rsid w:val="00B73B6C"/>
    <w:rsid w:val="00B80047"/>
    <w:rsid w:val="00B81C09"/>
    <w:rsid w:val="00B8605A"/>
    <w:rsid w:val="00BA48AE"/>
    <w:rsid w:val="00BA7C99"/>
    <w:rsid w:val="00BC1411"/>
    <w:rsid w:val="00BD2FAA"/>
    <w:rsid w:val="00BD3B66"/>
    <w:rsid w:val="00BE0081"/>
    <w:rsid w:val="00BE0951"/>
    <w:rsid w:val="00BE4302"/>
    <w:rsid w:val="00BE60F3"/>
    <w:rsid w:val="00BF5E14"/>
    <w:rsid w:val="00C021A3"/>
    <w:rsid w:val="00C03983"/>
    <w:rsid w:val="00C054EC"/>
    <w:rsid w:val="00C10D92"/>
    <w:rsid w:val="00C14794"/>
    <w:rsid w:val="00C170AB"/>
    <w:rsid w:val="00C20962"/>
    <w:rsid w:val="00C20EDD"/>
    <w:rsid w:val="00C2147E"/>
    <w:rsid w:val="00C2612F"/>
    <w:rsid w:val="00C301C0"/>
    <w:rsid w:val="00C371F0"/>
    <w:rsid w:val="00C44382"/>
    <w:rsid w:val="00C53AF3"/>
    <w:rsid w:val="00C54510"/>
    <w:rsid w:val="00C5604F"/>
    <w:rsid w:val="00C6067A"/>
    <w:rsid w:val="00C6424E"/>
    <w:rsid w:val="00C658CF"/>
    <w:rsid w:val="00C710B1"/>
    <w:rsid w:val="00C7426D"/>
    <w:rsid w:val="00C77BBA"/>
    <w:rsid w:val="00C8320B"/>
    <w:rsid w:val="00C908A8"/>
    <w:rsid w:val="00C91597"/>
    <w:rsid w:val="00CA0005"/>
    <w:rsid w:val="00CB0531"/>
    <w:rsid w:val="00CB4774"/>
    <w:rsid w:val="00CB4B76"/>
    <w:rsid w:val="00CC22BA"/>
    <w:rsid w:val="00CC589D"/>
    <w:rsid w:val="00CC5F35"/>
    <w:rsid w:val="00CD27D1"/>
    <w:rsid w:val="00CD3597"/>
    <w:rsid w:val="00CD734D"/>
    <w:rsid w:val="00CD7B60"/>
    <w:rsid w:val="00CE12CB"/>
    <w:rsid w:val="00CE5891"/>
    <w:rsid w:val="00CE58C0"/>
    <w:rsid w:val="00CF2080"/>
    <w:rsid w:val="00CF283C"/>
    <w:rsid w:val="00CF69B9"/>
    <w:rsid w:val="00D138A6"/>
    <w:rsid w:val="00D1490E"/>
    <w:rsid w:val="00D15386"/>
    <w:rsid w:val="00D15BA1"/>
    <w:rsid w:val="00D204BB"/>
    <w:rsid w:val="00D26D45"/>
    <w:rsid w:val="00D314CB"/>
    <w:rsid w:val="00D3604D"/>
    <w:rsid w:val="00D37EBC"/>
    <w:rsid w:val="00D500FC"/>
    <w:rsid w:val="00D56476"/>
    <w:rsid w:val="00D60CF0"/>
    <w:rsid w:val="00D7145F"/>
    <w:rsid w:val="00D80423"/>
    <w:rsid w:val="00D82D35"/>
    <w:rsid w:val="00D8610D"/>
    <w:rsid w:val="00D86F1B"/>
    <w:rsid w:val="00D870E6"/>
    <w:rsid w:val="00D92520"/>
    <w:rsid w:val="00D9347C"/>
    <w:rsid w:val="00D96E63"/>
    <w:rsid w:val="00D9723E"/>
    <w:rsid w:val="00DA7005"/>
    <w:rsid w:val="00DB01C5"/>
    <w:rsid w:val="00DB03AD"/>
    <w:rsid w:val="00DB17EB"/>
    <w:rsid w:val="00DB4908"/>
    <w:rsid w:val="00DC4F48"/>
    <w:rsid w:val="00DD019E"/>
    <w:rsid w:val="00DD210C"/>
    <w:rsid w:val="00DD4075"/>
    <w:rsid w:val="00DF3FFB"/>
    <w:rsid w:val="00E0036F"/>
    <w:rsid w:val="00E01BBB"/>
    <w:rsid w:val="00E26D69"/>
    <w:rsid w:val="00E309FE"/>
    <w:rsid w:val="00E43842"/>
    <w:rsid w:val="00E54C3B"/>
    <w:rsid w:val="00E62472"/>
    <w:rsid w:val="00E66352"/>
    <w:rsid w:val="00E6797B"/>
    <w:rsid w:val="00E71F58"/>
    <w:rsid w:val="00E72629"/>
    <w:rsid w:val="00E81BF4"/>
    <w:rsid w:val="00E864C0"/>
    <w:rsid w:val="00E9397C"/>
    <w:rsid w:val="00E95E0E"/>
    <w:rsid w:val="00E96AEA"/>
    <w:rsid w:val="00EA1A87"/>
    <w:rsid w:val="00EA1EFB"/>
    <w:rsid w:val="00EA24E6"/>
    <w:rsid w:val="00EA4DE2"/>
    <w:rsid w:val="00EA7886"/>
    <w:rsid w:val="00ED4D3D"/>
    <w:rsid w:val="00ED56F5"/>
    <w:rsid w:val="00EE526D"/>
    <w:rsid w:val="00EE6A62"/>
    <w:rsid w:val="00EE79BD"/>
    <w:rsid w:val="00EF27A0"/>
    <w:rsid w:val="00EF2CD7"/>
    <w:rsid w:val="00EF6648"/>
    <w:rsid w:val="00EF6AEE"/>
    <w:rsid w:val="00F00414"/>
    <w:rsid w:val="00F0534B"/>
    <w:rsid w:val="00F32920"/>
    <w:rsid w:val="00F4340E"/>
    <w:rsid w:val="00F4509C"/>
    <w:rsid w:val="00F45A88"/>
    <w:rsid w:val="00F5132F"/>
    <w:rsid w:val="00F524D6"/>
    <w:rsid w:val="00F56E19"/>
    <w:rsid w:val="00F619E5"/>
    <w:rsid w:val="00F62DDE"/>
    <w:rsid w:val="00F67971"/>
    <w:rsid w:val="00F809A2"/>
    <w:rsid w:val="00F86DD0"/>
    <w:rsid w:val="00F9035D"/>
    <w:rsid w:val="00F9052F"/>
    <w:rsid w:val="00F976E8"/>
    <w:rsid w:val="00FA6940"/>
    <w:rsid w:val="00FB49AA"/>
    <w:rsid w:val="00FB71A2"/>
    <w:rsid w:val="00FC6AB5"/>
    <w:rsid w:val="00FD11E7"/>
    <w:rsid w:val="00FE2F64"/>
    <w:rsid w:val="00FE56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BD180"/>
  <w15:chartTrackingRefBased/>
  <w15:docId w15:val="{1485E271-8AAF-486B-A9F6-BB8876A4C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9D4"/>
    <w:pPr>
      <w:ind w:left="720"/>
      <w:contextualSpacing/>
    </w:pPr>
  </w:style>
  <w:style w:type="paragraph" w:styleId="ListBullet">
    <w:name w:val="List Bullet"/>
    <w:basedOn w:val="BodyText"/>
    <w:rsid w:val="00E72629"/>
    <w:pPr>
      <w:numPr>
        <w:numId w:val="6"/>
      </w:numPr>
      <w:tabs>
        <w:tab w:val="clear" w:pos="340"/>
        <w:tab w:val="num" w:pos="360"/>
      </w:tabs>
      <w:spacing w:before="120" w:after="0" w:line="300" w:lineRule="atLeast"/>
      <w:ind w:left="0" w:firstLine="0"/>
      <w:jc w:val="both"/>
    </w:pPr>
    <w:rPr>
      <w:rFonts w:ascii="Times New Roman" w:eastAsia="Times New Roman" w:hAnsi="Times New Roman" w:cs="Times New Roman"/>
      <w:sz w:val="24"/>
      <w:szCs w:val="20"/>
      <w:lang w:eastAsia="en-AU"/>
    </w:rPr>
  </w:style>
  <w:style w:type="paragraph" w:customStyle="1" w:styleId="InformationRequestBullet">
    <w:name w:val="Information Request Bullet"/>
    <w:basedOn w:val="ListBullet"/>
    <w:next w:val="BodyText"/>
    <w:rsid w:val="00E72629"/>
    <w:pPr>
      <w:spacing w:before="80" w:line="280" w:lineRule="atLeast"/>
    </w:pPr>
    <w:rPr>
      <w:rFonts w:ascii="Arial" w:hAnsi="Arial"/>
      <w:i/>
      <w:sz w:val="22"/>
    </w:rPr>
  </w:style>
  <w:style w:type="paragraph" w:customStyle="1" w:styleId="InformationRequest">
    <w:name w:val="Information Request"/>
    <w:basedOn w:val="Normal"/>
    <w:next w:val="BodyText"/>
    <w:rsid w:val="00E72629"/>
    <w:pPr>
      <w:keepLines/>
      <w:spacing w:before="120" w:after="0" w:line="280" w:lineRule="atLeast"/>
      <w:jc w:val="both"/>
    </w:pPr>
    <w:rPr>
      <w:rFonts w:ascii="Arial" w:eastAsia="Times New Roman" w:hAnsi="Arial" w:cs="Times New Roman"/>
      <w:i/>
      <w:szCs w:val="20"/>
      <w:lang w:eastAsia="en-AU"/>
    </w:rPr>
  </w:style>
  <w:style w:type="paragraph" w:styleId="BodyText">
    <w:name w:val="Body Text"/>
    <w:basedOn w:val="Normal"/>
    <w:link w:val="BodyTextChar"/>
    <w:uiPriority w:val="99"/>
    <w:unhideWhenUsed/>
    <w:rsid w:val="00E72629"/>
    <w:pPr>
      <w:spacing w:after="120"/>
    </w:pPr>
  </w:style>
  <w:style w:type="character" w:customStyle="1" w:styleId="BodyTextChar">
    <w:name w:val="Body Text Char"/>
    <w:basedOn w:val="DefaultParagraphFont"/>
    <w:link w:val="BodyText"/>
    <w:uiPriority w:val="99"/>
    <w:rsid w:val="00E72629"/>
  </w:style>
  <w:style w:type="paragraph" w:customStyle="1" w:styleId="Default">
    <w:name w:val="Default"/>
    <w:rsid w:val="00930E26"/>
    <w:pPr>
      <w:autoSpaceDE w:val="0"/>
      <w:autoSpaceDN w:val="0"/>
      <w:adjustRightInd w:val="0"/>
      <w:spacing w:after="0" w:line="240" w:lineRule="auto"/>
    </w:pPr>
    <w:rPr>
      <w:rFonts w:ascii="PF DinDisplay Pro" w:hAnsi="PF DinDisplay Pro" w:cs="PF DinDisplay Pro"/>
      <w:color w:val="000000"/>
      <w:sz w:val="24"/>
      <w:szCs w:val="24"/>
    </w:rPr>
  </w:style>
  <w:style w:type="character" w:styleId="CommentReference">
    <w:name w:val="annotation reference"/>
    <w:basedOn w:val="DefaultParagraphFont"/>
    <w:uiPriority w:val="99"/>
    <w:semiHidden/>
    <w:unhideWhenUsed/>
    <w:rsid w:val="00D9347C"/>
    <w:rPr>
      <w:sz w:val="16"/>
      <w:szCs w:val="16"/>
    </w:rPr>
  </w:style>
  <w:style w:type="paragraph" w:styleId="CommentText">
    <w:name w:val="annotation text"/>
    <w:basedOn w:val="Normal"/>
    <w:link w:val="CommentTextChar"/>
    <w:uiPriority w:val="99"/>
    <w:semiHidden/>
    <w:unhideWhenUsed/>
    <w:rsid w:val="00D9347C"/>
    <w:pPr>
      <w:spacing w:line="240" w:lineRule="auto"/>
    </w:pPr>
    <w:rPr>
      <w:sz w:val="20"/>
      <w:szCs w:val="20"/>
    </w:rPr>
  </w:style>
  <w:style w:type="character" w:customStyle="1" w:styleId="CommentTextChar">
    <w:name w:val="Comment Text Char"/>
    <w:basedOn w:val="DefaultParagraphFont"/>
    <w:link w:val="CommentText"/>
    <w:uiPriority w:val="99"/>
    <w:semiHidden/>
    <w:rsid w:val="00D9347C"/>
    <w:rPr>
      <w:sz w:val="20"/>
      <w:szCs w:val="20"/>
    </w:rPr>
  </w:style>
  <w:style w:type="paragraph" w:styleId="CommentSubject">
    <w:name w:val="annotation subject"/>
    <w:basedOn w:val="CommentText"/>
    <w:next w:val="CommentText"/>
    <w:link w:val="CommentSubjectChar"/>
    <w:uiPriority w:val="99"/>
    <w:semiHidden/>
    <w:unhideWhenUsed/>
    <w:rsid w:val="00D9347C"/>
    <w:rPr>
      <w:b/>
      <w:bCs/>
    </w:rPr>
  </w:style>
  <w:style w:type="character" w:customStyle="1" w:styleId="CommentSubjectChar">
    <w:name w:val="Comment Subject Char"/>
    <w:basedOn w:val="CommentTextChar"/>
    <w:link w:val="CommentSubject"/>
    <w:uiPriority w:val="99"/>
    <w:semiHidden/>
    <w:rsid w:val="00D9347C"/>
    <w:rPr>
      <w:b/>
      <w:bCs/>
      <w:sz w:val="20"/>
      <w:szCs w:val="20"/>
    </w:rPr>
  </w:style>
  <w:style w:type="paragraph" w:styleId="BalloonText">
    <w:name w:val="Balloon Text"/>
    <w:basedOn w:val="Normal"/>
    <w:link w:val="BalloonTextChar"/>
    <w:uiPriority w:val="99"/>
    <w:semiHidden/>
    <w:unhideWhenUsed/>
    <w:rsid w:val="00D934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47C"/>
    <w:rPr>
      <w:rFonts w:ascii="Segoe UI" w:hAnsi="Segoe UI" w:cs="Segoe UI"/>
      <w:sz w:val="18"/>
      <w:szCs w:val="18"/>
    </w:rPr>
  </w:style>
  <w:style w:type="paragraph" w:customStyle="1" w:styleId="HOW2Normal">
    <w:name w:val="HOW2 Normal"/>
    <w:basedOn w:val="Normal"/>
    <w:link w:val="HOW2NormalChar"/>
    <w:qFormat/>
    <w:rsid w:val="00381CE8"/>
    <w:pPr>
      <w:tabs>
        <w:tab w:val="center" w:pos="4513"/>
        <w:tab w:val="right" w:pos="9026"/>
      </w:tabs>
      <w:spacing w:after="120" w:line="240" w:lineRule="auto"/>
    </w:pPr>
    <w:rPr>
      <w:rFonts w:ascii="Verdana" w:hAnsi="Verdana"/>
      <w:noProof/>
      <w:szCs w:val="24"/>
      <w:lang w:val="en-US" w:eastAsia="en-AU"/>
    </w:rPr>
  </w:style>
  <w:style w:type="character" w:customStyle="1" w:styleId="HOW2NormalChar">
    <w:name w:val="HOW2 Normal Char"/>
    <w:basedOn w:val="DefaultParagraphFont"/>
    <w:link w:val="HOW2Normal"/>
    <w:rsid w:val="00381CE8"/>
    <w:rPr>
      <w:rFonts w:ascii="Verdana" w:hAnsi="Verdana"/>
      <w:noProof/>
      <w:szCs w:val="24"/>
      <w:lang w:val="en-US" w:eastAsia="en-AU"/>
    </w:rPr>
  </w:style>
  <w:style w:type="paragraph" w:styleId="Title">
    <w:name w:val="Title"/>
    <w:basedOn w:val="Normal"/>
    <w:next w:val="Normal"/>
    <w:link w:val="TitleChar"/>
    <w:uiPriority w:val="10"/>
    <w:qFormat/>
    <w:rsid w:val="00381C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CE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C20EDD"/>
    <w:rPr>
      <w:color w:val="0000FF"/>
      <w:u w:val="single"/>
    </w:rPr>
  </w:style>
  <w:style w:type="paragraph" w:styleId="NormalWeb">
    <w:name w:val="Normal (Web)"/>
    <w:basedOn w:val="Normal"/>
    <w:uiPriority w:val="99"/>
    <w:semiHidden/>
    <w:unhideWhenUsed/>
    <w:rsid w:val="006367F9"/>
    <w:pPr>
      <w:spacing w:after="0"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D82D35"/>
    <w:rPr>
      <w:color w:val="954F72" w:themeColor="followedHyperlink"/>
      <w:u w:val="single"/>
    </w:rPr>
  </w:style>
  <w:style w:type="paragraph" w:styleId="Header">
    <w:name w:val="header"/>
    <w:basedOn w:val="Normal"/>
    <w:link w:val="HeaderChar"/>
    <w:uiPriority w:val="99"/>
    <w:unhideWhenUsed/>
    <w:rsid w:val="00EE79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9BD"/>
  </w:style>
  <w:style w:type="paragraph" w:styleId="Footer">
    <w:name w:val="footer"/>
    <w:basedOn w:val="Normal"/>
    <w:link w:val="FooterChar"/>
    <w:uiPriority w:val="99"/>
    <w:unhideWhenUsed/>
    <w:rsid w:val="00EE79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9BD"/>
  </w:style>
  <w:style w:type="character" w:styleId="HTMLCite">
    <w:name w:val="HTML Cite"/>
    <w:basedOn w:val="DefaultParagraphFont"/>
    <w:uiPriority w:val="99"/>
    <w:semiHidden/>
    <w:unhideWhenUsed/>
    <w:rsid w:val="007B46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199112">
      <w:bodyDiv w:val="1"/>
      <w:marLeft w:val="0"/>
      <w:marRight w:val="0"/>
      <w:marTop w:val="0"/>
      <w:marBottom w:val="0"/>
      <w:divBdr>
        <w:top w:val="none" w:sz="0" w:space="0" w:color="auto"/>
        <w:left w:val="none" w:sz="0" w:space="0" w:color="auto"/>
        <w:bottom w:val="none" w:sz="0" w:space="0" w:color="auto"/>
        <w:right w:val="none" w:sz="0" w:space="0" w:color="auto"/>
      </w:divBdr>
    </w:div>
    <w:div w:id="165275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beyou.edu.au" TargetMode="External"/><Relationship Id="rId26" Type="http://schemas.openxmlformats.org/officeDocument/2006/relationships/hyperlink" Target="https://www.headsup.org.au/healthy-workplaces/what-is-a-mentally-workplace/9-attributes-of-a-healthy-workplace?&amp;gclid=EAIaIQobChMI8J-0wLua4QIVgoRwCh1iQQNYEAAYASAAEgLXdPD_BwE" TargetMode="External"/><Relationship Id="rId39" Type="http://schemas.openxmlformats.org/officeDocument/2006/relationships/hyperlink" Target="https://pdfs.semanticscholar.org/714a/4f0f06595e78f0116969860adbf8532b1abb.pdf" TargetMode="External"/><Relationship Id="rId3" Type="http://schemas.openxmlformats.org/officeDocument/2006/relationships/customXml" Target="../customXml/item3.xml"/><Relationship Id="rId21" Type="http://schemas.openxmlformats.org/officeDocument/2006/relationships/hyperlink" Target="https://www.wgea.gov.au/topics/gender-pay-gap" TargetMode="External"/><Relationship Id="rId34" Type="http://schemas.openxmlformats.org/officeDocument/2006/relationships/hyperlink" Target="http://www.center4research.org/social-media-affects-mental-health/" TargetMode="External"/><Relationship Id="rId42" Type="http://schemas.openxmlformats.org/officeDocument/2006/relationships/hyperlink" Target="https://www.who.int/occupational_health/healthy_workplace_framework.pdf" TargetMode="External"/><Relationship Id="rId47"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westernsydney.edu.au/__data/assets/pdf_file/0019/1308223/Mental_Health_Literacy_Paper_web.pdf" TargetMode="External"/><Relationship Id="rId25" Type="http://schemas.openxmlformats.org/officeDocument/2006/relationships/hyperlink" Target="http://ec.europa.eu/justice/gender-equality/files/gender_pay_gap/140319_gpg_en.pdf" TargetMode="External"/><Relationship Id="rId33" Type="http://schemas.openxmlformats.org/officeDocument/2006/relationships/hyperlink" Target="https://www.ncbi.nlm.nih.gov/pmc/articles/PMC3902147/" TargetMode="External"/><Relationship Id="rId38" Type="http://schemas.openxmlformats.org/officeDocument/2006/relationships/hyperlink" Target="http://eprints.leedsbeckett.ac.uk/1508/1/Promoting_MentalHealth__Wellbeing_FINAL.pdf"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www.blackdoginstitute.org.au/docs/default-source/factsheets/facts_figures.pdf?sfvrsn=8" TargetMode="External"/><Relationship Id="rId29" Type="http://schemas.openxmlformats.org/officeDocument/2006/relationships/hyperlink" Target="https://www.ncbi.nlm.nih.gov/pmc/articles/PMC3330161/" TargetMode="External"/><Relationship Id="rId41" Type="http://schemas.openxmlformats.org/officeDocument/2006/relationships/hyperlink" Target="https://www.ncbi.nlm.nih.gov/pubmed/23343146"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3-ap-southeast-2.amazonaws.com/everymind/assets/Uploads/EM-0026-Prevention-First-Framework.pdf" TargetMode="External"/><Relationship Id="rId32" Type="http://schemas.openxmlformats.org/officeDocument/2006/relationships/hyperlink" Target="https://mensshed.org/about-amsa/reports/amsa-evaluation/" TargetMode="External"/><Relationship Id="rId37" Type="http://schemas.openxmlformats.org/officeDocument/2006/relationships/hyperlink" Target="https://www.qmhc.qld.gov.au/sites/default/files/wp-content/uploads/2015/10/QMHC-PPEI-ACTION-PLAN_WEB.pdf" TargetMode="External"/><Relationship Id="rId40" Type="http://schemas.openxmlformats.org/officeDocument/2006/relationships/hyperlink" Target="https://www.vichealth.vic.gov.au/~/media/resourcecentre/publicationsandresources/health%20inequalities/fair%20foundations/full%20reviews/healthequity_mental-wellbeing-evidence-review.pdf?la=en" TargetMode="External"/><Relationship Id="rId45" Type="http://schemas.openxmlformats.org/officeDocument/2006/relationships/hyperlink" Target="https://www.ohchr.org/en/NewsEvents/Pages/DisplayNews.aspx?NewsID=22594&amp;LangID=E" TargetMode="External"/><Relationship Id="rId5" Type="http://schemas.openxmlformats.org/officeDocument/2006/relationships/customXml" Target="../customXml/item5.xml"/><Relationship Id="rId15" Type="http://schemas.openxmlformats.org/officeDocument/2006/relationships/image" Target="cid:image006.jpg@01D26CBE.2CAD0BD0" TargetMode="External"/><Relationship Id="rId23" Type="http://schemas.openxmlformats.org/officeDocument/2006/relationships/hyperlink" Target="http://library.fes.de/pdf-files/id/09079.pdf" TargetMode="External"/><Relationship Id="rId28" Type="http://schemas.openxmlformats.org/officeDocument/2006/relationships/hyperlink" Target="https://www.headsup.org.au/docs/default-source/resources/developing-a-mentally-healthy-workplace_final-november-2014.pdf?sfvrsn=8" TargetMode="External"/><Relationship Id="rId36" Type="http://schemas.openxmlformats.org/officeDocument/2006/relationships/hyperlink" Target="https://www.parliament.vic.gov.au/publications/research-papers/send/36-research-papers/13860-the-cost-of-living-an-explainer" TargetMode="External"/><Relationship Id="rId10" Type="http://schemas.openxmlformats.org/officeDocument/2006/relationships/settings" Target="settings.xml"/><Relationship Id="rId19" Type="http://schemas.openxmlformats.org/officeDocument/2006/relationships/hyperlink" Target="https://www.beyondblue.org.au/who-does-it-affect/lesbian-gay-bi-trans-and-intersex-lgbti-people/factors-affecting-lgbti-people" TargetMode="External"/><Relationship Id="rId31" Type="http://schemas.openxmlformats.org/officeDocument/2006/relationships/hyperlink" Target="https://www.ncbi.nlm.nih.gov/pmc/articles/PMC4024273/" TargetMode="External"/><Relationship Id="rId44" Type="http://schemas.openxmlformats.org/officeDocument/2006/relationships/hyperlink" Target="https://www.statice.is/publications/news-archive/wages-and-income/unadjusted-gender-pay-gap-2016/"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yperlink" Target="https://www2.health.vic.gov.au" TargetMode="External"/><Relationship Id="rId27" Type="http://schemas.openxmlformats.org/officeDocument/2006/relationships/hyperlink" Target="https://www.headsup.org.au/docs/default-source/resources/good-practice-guide-first-responders_bl1675_acc_std.pdf?sfvrsn=e4b02c4d_8" TargetMode="External"/><Relationship Id="rId30" Type="http://schemas.openxmlformats.org/officeDocument/2006/relationships/hyperlink" Target="https://www.safework.nsw.gov.au/__data/assets/pdf_file/0008/360449/SW09006-0518-418530-Review-of-Evidence-of-Interventions-to-Reduce-Mental....pdf" TargetMode="External"/><Relationship Id="rId35" Type="http://schemas.openxmlformats.org/officeDocument/2006/relationships/hyperlink" Target="https://www.oecd.org/els/soc/PF2_1_Parental_leave_systems.pdf" TargetMode="External"/><Relationship Id="rId43" Type="http://schemas.openxmlformats.org/officeDocument/2006/relationships/hyperlink" Target="https://www.who.int/mental_health/evidence/en/prevention_of_mental_disorders_sr.pdf"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51ABB-6A07-4F01-8873-2395D0791716}">
  <ds:schemaRefs>
    <ds:schemaRef ds:uri="http://schemas.microsoft.com/sharepoint/events"/>
  </ds:schemaRefs>
</ds:datastoreItem>
</file>

<file path=customXml/itemProps2.xml><?xml version="1.0" encoding="utf-8"?>
<ds:datastoreItem xmlns:ds="http://schemas.openxmlformats.org/officeDocument/2006/customXml" ds:itemID="{69365926-589C-4EE6-ACC5-00833B57257F}">
  <ds:schemaRefs>
    <ds:schemaRef ds:uri="Microsoft.SharePoint.Taxonomy.ContentTypeSync"/>
  </ds:schemaRefs>
</ds:datastoreItem>
</file>

<file path=customXml/itemProps3.xml><?xml version="1.0" encoding="utf-8"?>
<ds:datastoreItem xmlns:ds="http://schemas.openxmlformats.org/officeDocument/2006/customXml" ds:itemID="{2EA57E42-FB1B-4AC5-959C-9C57F496AB16}">
  <ds:schemaRefs>
    <ds:schemaRef ds:uri="http://schemas.microsoft.com/office/2006/metadata/customXsn"/>
  </ds:schemaRefs>
</ds:datastoreItem>
</file>

<file path=customXml/itemProps4.xml><?xml version="1.0" encoding="utf-8"?>
<ds:datastoreItem xmlns:ds="http://schemas.openxmlformats.org/officeDocument/2006/customXml" ds:itemID="{589CB37D-E2EF-42A5-AC7A-BC54C8BC3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86587E8-49BB-4867-A703-483339BF4138}">
  <ds:schemaRefs>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3f4bcce7-ac1a-4c9d-aa3e-7e77695652db"/>
    <ds:schemaRef ds:uri="http://www.w3.org/XML/1998/namespace"/>
    <ds:schemaRef ds:uri="http://purl.org/dc/terms/"/>
  </ds:schemaRefs>
</ds:datastoreItem>
</file>

<file path=customXml/itemProps6.xml><?xml version="1.0" encoding="utf-8"?>
<ds:datastoreItem xmlns:ds="http://schemas.openxmlformats.org/officeDocument/2006/customXml" ds:itemID="{60E67279-CC5C-4775-A74D-B357117E5355}">
  <ds:schemaRefs>
    <ds:schemaRef ds:uri="http://schemas.microsoft.com/sharepoint/v3/contenttype/forms"/>
  </ds:schemaRefs>
</ds:datastoreItem>
</file>

<file path=customXml/itemProps7.xml><?xml version="1.0" encoding="utf-8"?>
<ds:datastoreItem xmlns:ds="http://schemas.openxmlformats.org/officeDocument/2006/customXml" ds:itemID="{43DC9E68-4FAE-48CF-9577-53F4EA543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14766</Words>
  <Characters>84169</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Submission 94 - Connect Health and Community - Mental Health - Public inquiry</vt:lpstr>
    </vt:vector>
  </TitlesOfParts>
  <Company>Connect Health and Community</Company>
  <LinksUpToDate>false</LinksUpToDate>
  <CharactersWithSpaces>98738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94 - Connect Health and Community - Mental Health - Public inquiry</dc:title>
  <dc:subject/>
  <dc:creator>Connect Health and Community</dc:creator>
  <cp:keywords/>
  <dc:description/>
  <cp:lastModifiedBy>Productivity Commission</cp:lastModifiedBy>
  <cp:revision>3</cp:revision>
  <cp:lastPrinted>2019-03-25T23:11:00Z</cp:lastPrinted>
  <dcterms:created xsi:type="dcterms:W3CDTF">2019-04-05T03:23:00Z</dcterms:created>
  <dcterms:modified xsi:type="dcterms:W3CDTF">2019-04-08T02:25:00Z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