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C4C" w:rsidRDefault="00ED7C4C" w:rsidP="004E1806">
      <w:pPr>
        <w:spacing w:after="0" w:line="240" w:lineRule="auto"/>
        <w:jc w:val="center"/>
        <w:rPr>
          <w:b/>
          <w:sz w:val="30"/>
          <w:szCs w:val="30"/>
        </w:rPr>
      </w:pPr>
    </w:p>
    <w:p w:rsidR="00ED7C4C" w:rsidRPr="00471D67" w:rsidRDefault="00ED7C4C" w:rsidP="004E1806">
      <w:pPr>
        <w:spacing w:after="0" w:line="240" w:lineRule="auto"/>
        <w:jc w:val="center"/>
        <w:rPr>
          <w:b/>
          <w:sz w:val="30"/>
          <w:szCs w:val="30"/>
        </w:rPr>
      </w:pPr>
      <w:r w:rsidRPr="00471D67">
        <w:rPr>
          <w:b/>
          <w:sz w:val="30"/>
          <w:szCs w:val="30"/>
        </w:rPr>
        <w:t>Centre for Mental Health Research</w:t>
      </w:r>
    </w:p>
    <w:p w:rsidR="00ED7C4C" w:rsidRPr="00471D67" w:rsidRDefault="00ED7C4C" w:rsidP="004E1806">
      <w:pPr>
        <w:spacing w:after="0" w:line="240" w:lineRule="auto"/>
        <w:jc w:val="center"/>
        <w:rPr>
          <w:b/>
          <w:sz w:val="30"/>
          <w:szCs w:val="30"/>
        </w:rPr>
      </w:pPr>
      <w:r w:rsidRPr="00471D67">
        <w:rPr>
          <w:b/>
          <w:sz w:val="30"/>
          <w:szCs w:val="30"/>
        </w:rPr>
        <w:t>The Australian National University</w:t>
      </w:r>
    </w:p>
    <w:p w:rsidR="00ED7C4C" w:rsidRPr="00471D67" w:rsidRDefault="00ED7C4C" w:rsidP="004E1806">
      <w:pPr>
        <w:spacing w:after="0" w:line="240" w:lineRule="auto"/>
        <w:jc w:val="center"/>
        <w:rPr>
          <w:b/>
          <w:sz w:val="30"/>
          <w:szCs w:val="30"/>
        </w:rPr>
      </w:pPr>
    </w:p>
    <w:p w:rsidR="00ED7C4C" w:rsidRDefault="00ED7C4C" w:rsidP="004E1806">
      <w:pPr>
        <w:spacing w:after="0" w:line="240" w:lineRule="auto"/>
        <w:jc w:val="center"/>
        <w:rPr>
          <w:b/>
          <w:sz w:val="30"/>
          <w:szCs w:val="30"/>
        </w:rPr>
      </w:pPr>
      <w:r w:rsidRPr="00471D67">
        <w:rPr>
          <w:b/>
          <w:sz w:val="30"/>
          <w:szCs w:val="30"/>
        </w:rPr>
        <w:t>Submission to the Mental Health Inquiry Productivity Commission</w:t>
      </w:r>
    </w:p>
    <w:p w:rsidR="00ED7C4C" w:rsidRPr="00471D67" w:rsidRDefault="00ED7C4C" w:rsidP="004E1806">
      <w:pPr>
        <w:spacing w:after="0" w:line="240" w:lineRule="auto"/>
        <w:jc w:val="center"/>
        <w:rPr>
          <w:b/>
          <w:sz w:val="30"/>
          <w:szCs w:val="30"/>
        </w:rPr>
      </w:pPr>
    </w:p>
    <w:p w:rsidR="00ED7C4C" w:rsidRDefault="00ED7C4C" w:rsidP="004E1806">
      <w:pPr>
        <w:spacing w:after="0" w:line="240" w:lineRule="auto"/>
      </w:pPr>
    </w:p>
    <w:p w:rsidR="00ED7C4C" w:rsidRPr="00471D67" w:rsidRDefault="00ED7C4C" w:rsidP="00471D67">
      <w:pPr>
        <w:pStyle w:val="Heading1"/>
      </w:pPr>
      <w:r w:rsidRPr="00471D67">
        <w:t>About this submission</w:t>
      </w:r>
    </w:p>
    <w:p w:rsidR="00ED7C4C" w:rsidRDefault="00ED7C4C" w:rsidP="00AA4EBD">
      <w:pPr>
        <w:spacing w:after="0" w:line="240" w:lineRule="auto"/>
      </w:pPr>
      <w:r>
        <w:t>The main aim of this submission is to acquaint the Commission with the work of the Centre, and how our expertise might assist the Commission fulfil its terms of reference for this Inquiry. On this basis, we provide a short introduction to our Centre, followed by more detailed explanation of how our work addresses the individual areas of interest highlighted by the Commission in your discussion paper.</w:t>
      </w:r>
    </w:p>
    <w:p w:rsidR="00ED7C4C" w:rsidRDefault="00ED7C4C" w:rsidP="00AA4EBD">
      <w:pPr>
        <w:spacing w:after="0" w:line="240" w:lineRule="auto"/>
      </w:pPr>
    </w:p>
    <w:p w:rsidR="00ED7C4C" w:rsidRDefault="00ED7C4C" w:rsidP="00AA4EBD">
      <w:pPr>
        <w:spacing w:after="0" w:line="240" w:lineRule="auto"/>
      </w:pPr>
      <w:r>
        <w:t>Overall, it should be noted that mental health research remains critically underfunded, particularly in comparison to the burden of illness it represents (</w:t>
      </w:r>
      <w:hyperlink r:id="rId13" w:history="1">
        <w:r w:rsidRPr="00097141">
          <w:rPr>
            <w:rStyle w:val="Hyperlink"/>
          </w:rPr>
          <w:t>https://www.mja.com.au/journal/2011/195/11/funding-mental-health-research-gap-remains</w:t>
        </w:r>
      </w:hyperlink>
      <w:r>
        <w:t xml:space="preserve">). This is clearly one rationale underpinning the recent Million Minds research initiative.  Despite this welcome recent interest, we recommend the Productivity Commission pay particular attention to the matter of mental health research and its capacity to lead the development of new and better approaches to </w:t>
      </w:r>
      <w:bookmarkStart w:id="0" w:name="_GoBack"/>
      <w:bookmarkEnd w:id="0"/>
      <w:r>
        <w:t>managing mental illness and suicide prevention in Australia.</w:t>
      </w:r>
    </w:p>
    <w:p w:rsidR="00ED7C4C" w:rsidRPr="00C97EA8" w:rsidRDefault="00ED7C4C" w:rsidP="004E1806">
      <w:pPr>
        <w:spacing w:after="0" w:line="240" w:lineRule="auto"/>
      </w:pPr>
    </w:p>
    <w:p w:rsidR="00ED7C4C" w:rsidRPr="00471D67" w:rsidRDefault="00ED7C4C" w:rsidP="00471D67">
      <w:pPr>
        <w:pStyle w:val="Heading1"/>
      </w:pPr>
      <w:r w:rsidRPr="00471D67">
        <w:t>About the Centre</w:t>
      </w:r>
    </w:p>
    <w:p w:rsidR="00ED7C4C" w:rsidRPr="00C97EA8" w:rsidRDefault="00ED7C4C" w:rsidP="00C97EA8">
      <w:pPr>
        <w:spacing w:after="0" w:line="240" w:lineRule="auto"/>
        <w:rPr>
          <w:i/>
        </w:rPr>
      </w:pPr>
      <w:r w:rsidRPr="00C97EA8">
        <w:rPr>
          <w:i/>
        </w:rPr>
        <w:t>Our Vision</w:t>
      </w:r>
    </w:p>
    <w:p w:rsidR="00ED7C4C" w:rsidRDefault="00ED7C4C" w:rsidP="00AA4EBD">
      <w:pPr>
        <w:spacing w:after="0" w:line="240" w:lineRule="auto"/>
      </w:pPr>
      <w:r>
        <w:t>The vision of the Centre for Mental Health Research (CMHR) is to be recognised as a leader in excellent, innovative, population-based mental health research that is relevant to policy and practice.</w:t>
      </w:r>
    </w:p>
    <w:p w:rsidR="00ED7C4C" w:rsidRDefault="00ED7C4C" w:rsidP="00C97EA8">
      <w:pPr>
        <w:spacing w:after="0" w:line="240" w:lineRule="auto"/>
      </w:pPr>
    </w:p>
    <w:p w:rsidR="00ED7C4C" w:rsidRPr="00C97EA8" w:rsidRDefault="00ED7C4C" w:rsidP="00C97EA8">
      <w:pPr>
        <w:spacing w:after="0" w:line="240" w:lineRule="auto"/>
        <w:rPr>
          <w:i/>
        </w:rPr>
      </w:pPr>
      <w:r w:rsidRPr="00C97EA8">
        <w:rPr>
          <w:i/>
        </w:rPr>
        <w:t>Our Goals</w:t>
      </w:r>
    </w:p>
    <w:p w:rsidR="00ED7C4C" w:rsidRDefault="00ED7C4C" w:rsidP="00C97EA8">
      <w:pPr>
        <w:pStyle w:val="ListParagraph"/>
        <w:numPr>
          <w:ilvl w:val="0"/>
          <w:numId w:val="13"/>
        </w:numPr>
        <w:spacing w:after="0" w:line="240" w:lineRule="auto"/>
        <w:ind w:left="360"/>
      </w:pPr>
      <w:r>
        <w:t>Excellence in research</w:t>
      </w:r>
    </w:p>
    <w:p w:rsidR="00ED7C4C" w:rsidRDefault="00ED7C4C" w:rsidP="00C97EA8">
      <w:pPr>
        <w:pStyle w:val="ListParagraph"/>
        <w:numPr>
          <w:ilvl w:val="0"/>
          <w:numId w:val="13"/>
        </w:numPr>
        <w:spacing w:after="0" w:line="240" w:lineRule="auto"/>
        <w:ind w:left="360"/>
      </w:pPr>
      <w:r>
        <w:t>Dissemination of high-quality research through translation into policy and practice</w:t>
      </w:r>
    </w:p>
    <w:p w:rsidR="00ED7C4C" w:rsidRDefault="00ED7C4C" w:rsidP="00C97EA8">
      <w:pPr>
        <w:pStyle w:val="ListParagraph"/>
        <w:numPr>
          <w:ilvl w:val="0"/>
          <w:numId w:val="13"/>
        </w:numPr>
        <w:spacing w:after="0" w:line="240" w:lineRule="auto"/>
        <w:ind w:left="360"/>
      </w:pPr>
      <w:r>
        <w:t>Training future leaders through research supervision and teaching</w:t>
      </w:r>
    </w:p>
    <w:p w:rsidR="00ED7C4C" w:rsidRDefault="00ED7C4C" w:rsidP="00C97EA8">
      <w:pPr>
        <w:pStyle w:val="ListParagraph"/>
        <w:numPr>
          <w:ilvl w:val="0"/>
          <w:numId w:val="13"/>
        </w:numPr>
        <w:spacing w:after="0" w:line="240" w:lineRule="auto"/>
        <w:ind w:left="360"/>
      </w:pPr>
      <w:r>
        <w:t>A focus on research that is designed to be highly relevant to the mental health sector and to the broader population</w:t>
      </w:r>
    </w:p>
    <w:p w:rsidR="00ED7C4C" w:rsidRDefault="00ED7C4C" w:rsidP="00C97EA8">
      <w:pPr>
        <w:pStyle w:val="ListParagraph"/>
        <w:numPr>
          <w:ilvl w:val="0"/>
          <w:numId w:val="13"/>
        </w:numPr>
        <w:spacing w:after="0" w:line="240" w:lineRule="auto"/>
        <w:ind w:left="360"/>
      </w:pPr>
      <w:r>
        <w:t>Incorporating the crucial lived experience perspective that consumers and carers bring, contributing to research directions, informing research design and in conducting research</w:t>
      </w:r>
    </w:p>
    <w:p w:rsidR="00ED7C4C" w:rsidRDefault="00ED7C4C" w:rsidP="00C97EA8">
      <w:pPr>
        <w:pStyle w:val="ListParagraph"/>
        <w:numPr>
          <w:ilvl w:val="0"/>
          <w:numId w:val="13"/>
        </w:numPr>
        <w:spacing w:after="0" w:line="240" w:lineRule="auto"/>
        <w:ind w:left="360"/>
      </w:pPr>
      <w:r>
        <w:t>Collaboration with the mental health sector to reach common goals, including collaboration with academics from across disciplines, policymakers, service providers, consumers and carers</w:t>
      </w:r>
    </w:p>
    <w:p w:rsidR="00531110" w:rsidRPr="00531110" w:rsidRDefault="00ED7C4C" w:rsidP="00531110">
      <w:pPr>
        <w:pStyle w:val="ListParagraph"/>
        <w:numPr>
          <w:ilvl w:val="0"/>
          <w:numId w:val="13"/>
        </w:numPr>
        <w:spacing w:after="0" w:line="240" w:lineRule="auto"/>
        <w:ind w:left="360"/>
      </w:pPr>
      <w:r>
        <w:t>Building capacity and sustainability in population mental health research</w:t>
      </w:r>
    </w:p>
    <w:p w:rsidR="00531110" w:rsidRDefault="00531110">
      <w:pPr>
        <w:rPr>
          <w:rFonts w:eastAsiaTheme="majorEastAsia" w:cstheme="majorBidi"/>
          <w:b/>
          <w:sz w:val="28"/>
          <w:szCs w:val="32"/>
        </w:rPr>
      </w:pPr>
      <w:r>
        <w:br w:type="page"/>
      </w:r>
    </w:p>
    <w:p w:rsidR="00ED7C4C" w:rsidRPr="00471D67" w:rsidRDefault="00ED7C4C" w:rsidP="00471D67">
      <w:pPr>
        <w:pStyle w:val="Heading1"/>
      </w:pPr>
      <w:r w:rsidRPr="00471D67">
        <w:lastRenderedPageBreak/>
        <w:t>Expertise of the Centre</w:t>
      </w:r>
    </w:p>
    <w:p w:rsidR="00ED7C4C" w:rsidRDefault="00ED7C4C" w:rsidP="00471D67">
      <w:pPr>
        <w:spacing w:after="0" w:line="240" w:lineRule="auto"/>
        <w:rPr>
          <w:rFonts w:eastAsia="Times New Roman"/>
        </w:rPr>
      </w:pPr>
      <w:r>
        <w:rPr>
          <w:rFonts w:eastAsia="Times New Roman"/>
        </w:rPr>
        <w:t xml:space="preserve">Expertise within the Centre covers broad areas of mental health, with a focus on prevention of common mental disorders, suicide, prevention, lived experience research, mental health policy research, better measurement of mental health in the community and improvement to services and treatments for better outcomes for people who experience mental disorders.  We are involved in the design, implementation, management, </w:t>
      </w:r>
      <w:proofErr w:type="gramStart"/>
      <w:r>
        <w:rPr>
          <w:rFonts w:eastAsia="Times New Roman"/>
        </w:rPr>
        <w:t>analysis</w:t>
      </w:r>
      <w:proofErr w:type="gramEnd"/>
      <w:r>
        <w:rPr>
          <w:rFonts w:eastAsia="Times New Roman"/>
        </w:rPr>
        <w:t xml:space="preserve"> and reporting on a range of population health research data, including cross-sectional surveys, longitudinal cohort studies, randomised controlled trials, qualitative interviews, focus groups, and geospatial data on prevalence and service delivery.  Our implementation studies examine barriers and facilitators of health service delivery, including specific expertise in e-health and school-based programs. To support our research and dissemination, we have developed strong collaborations with organisations and policy makers in Australia and internationally.</w:t>
      </w:r>
    </w:p>
    <w:p w:rsidR="00ED7C4C" w:rsidRDefault="00ED7C4C" w:rsidP="00471D67">
      <w:pPr>
        <w:spacing w:after="0" w:line="240" w:lineRule="auto"/>
        <w:rPr>
          <w:rFonts w:eastAsia="Times New Roman"/>
        </w:rPr>
      </w:pPr>
    </w:p>
    <w:p w:rsidR="00ED7C4C" w:rsidRDefault="00ED7C4C" w:rsidP="00471D67">
      <w:pPr>
        <w:spacing w:after="0" w:line="240" w:lineRule="auto"/>
        <w:rPr>
          <w:rFonts w:eastAsia="Times New Roman"/>
        </w:rPr>
      </w:pPr>
      <w:r>
        <w:rPr>
          <w:rFonts w:eastAsia="Times New Roman"/>
        </w:rPr>
        <w:t>The Centre provides high quality teaching for students across several courses and programs in addition to supervising Honours, Masters and PhD candidates.  We also offer an</w:t>
      </w:r>
      <w:r w:rsidRPr="00E528D9">
        <w:rPr>
          <w:rFonts w:eastAsia="Times New Roman"/>
        </w:rPr>
        <w:t xml:space="preserve"> </w:t>
      </w:r>
      <w:r>
        <w:rPr>
          <w:rFonts w:eastAsia="Times New Roman"/>
        </w:rPr>
        <w:t>Expert Career Pathway PhD Program, designed specifically to engage senior leaders in the mental health and related areas in structured academic research.  The aim here is to ensure rare mental health leadership skills and experience can have a more lasting influence on systemic quality improvement.</w:t>
      </w:r>
    </w:p>
    <w:p w:rsidR="00ED7C4C" w:rsidRDefault="00ED7C4C" w:rsidP="00471D67">
      <w:pPr>
        <w:spacing w:after="0" w:line="240" w:lineRule="auto"/>
        <w:rPr>
          <w:rFonts w:eastAsia="Times New Roman"/>
        </w:rPr>
      </w:pPr>
    </w:p>
    <w:p w:rsidR="00ED7C4C" w:rsidRDefault="00ED7C4C" w:rsidP="00471D67">
      <w:pPr>
        <w:spacing w:after="0" w:line="240" w:lineRule="auto"/>
        <w:rPr>
          <w:rFonts w:eastAsia="Times New Roman"/>
        </w:rPr>
      </w:pPr>
      <w:r>
        <w:rPr>
          <w:rFonts w:eastAsia="Times New Roman"/>
        </w:rPr>
        <w:t>To engage the broader ACT and national community in areas of mental health research and interest, we run various seminar series.  To publicise these more widely, we have developed close partnership arrangements with the Australian Health and Hospitals Association.</w:t>
      </w:r>
    </w:p>
    <w:p w:rsidR="00ED7C4C" w:rsidRDefault="00ED7C4C" w:rsidP="00E528D9">
      <w:pPr>
        <w:spacing w:after="0" w:line="240" w:lineRule="auto"/>
        <w:ind w:firstLine="360"/>
        <w:rPr>
          <w:rFonts w:eastAsia="Times New Roman"/>
        </w:rPr>
      </w:pPr>
    </w:p>
    <w:p w:rsidR="00ED7C4C" w:rsidRPr="00471D67" w:rsidRDefault="00ED7C4C" w:rsidP="00471D67">
      <w:pPr>
        <w:pStyle w:val="Heading1"/>
      </w:pPr>
      <w:r w:rsidRPr="00471D67">
        <w:t>Costs of Mental ill-health</w:t>
      </w:r>
    </w:p>
    <w:p w:rsidR="00ED7C4C" w:rsidRDefault="00ED7C4C" w:rsidP="00471D67">
      <w:pPr>
        <w:spacing w:after="0" w:line="240" w:lineRule="auto"/>
      </w:pPr>
      <w:r>
        <w:t xml:space="preserve">One of the most contentious areas of mental health research is to understand the cost of illness. In a recent publication </w:t>
      </w:r>
      <w:r>
        <w:rPr>
          <w:noProof/>
        </w:rPr>
        <w:t>(McCallum, Batterham</w:t>
      </w:r>
      <w:r w:rsidRPr="00202BD5">
        <w:rPr>
          <w:i/>
          <w:noProof/>
        </w:rPr>
        <w:t xml:space="preserve"> et al.</w:t>
      </w:r>
      <w:r>
        <w:rPr>
          <w:noProof/>
        </w:rPr>
        <w:t xml:space="preserve"> 2018)</w:t>
      </w:r>
      <w:r>
        <w:t xml:space="preserve">, we determined the economic burden of mental disorders for individuals and the wider community based on the national prevalence of mental disorders. Our first approach considered </w:t>
      </w:r>
      <w:r w:rsidRPr="00C375DD">
        <w:rPr>
          <w:b/>
        </w:rPr>
        <w:t xml:space="preserve">intangible costs of ill-health </w:t>
      </w:r>
      <w:r>
        <w:t>measured through a Health Related Quality of Life (</w:t>
      </w:r>
      <w:proofErr w:type="spellStart"/>
      <w:r>
        <w:t>HRQoL</w:t>
      </w:r>
      <w:proofErr w:type="spellEnd"/>
      <w:r>
        <w:t>) instrument developed in Australia, the Assessment of Quality of Life (</w:t>
      </w:r>
      <w:proofErr w:type="spellStart"/>
      <w:r>
        <w:t>AQoL</w:t>
      </w:r>
      <w:proofErr w:type="spellEnd"/>
      <w:r>
        <w:t xml:space="preserve">)-4D. This multifactorial construct assesses health quality and key aspects of functioning from the perspective of the individual. We assumed a healthy life year was valued at A$50 000 based on the estimated gross domestic product per capita. Results using this estimate suggested that the annual value lost per person due to poor </w:t>
      </w:r>
      <w:proofErr w:type="spellStart"/>
      <w:r>
        <w:t>HRQoL</w:t>
      </w:r>
      <w:proofErr w:type="spellEnd"/>
      <w:r>
        <w:t xml:space="preserve"> was dependent on the mental disorder and ranged from A$1850 to A$15 700 </w:t>
      </w:r>
      <w:r>
        <w:rPr>
          <w:noProof/>
        </w:rPr>
        <w:t>(McCallum, Batterham</w:t>
      </w:r>
      <w:r w:rsidRPr="003B010A">
        <w:rPr>
          <w:i/>
          <w:noProof/>
        </w:rPr>
        <w:t xml:space="preserve"> et al.</w:t>
      </w:r>
      <w:r>
        <w:rPr>
          <w:noProof/>
        </w:rPr>
        <w:t xml:space="preserve"> 2018)</w:t>
      </w:r>
      <w:r>
        <w:t xml:space="preserve">. When national prevalence of each mental disorder was considered, estimates ranged from </w:t>
      </w:r>
      <w:proofErr w:type="gramStart"/>
      <w:r>
        <w:t>A$</w:t>
      </w:r>
      <w:proofErr w:type="gramEnd"/>
      <w:r>
        <w:t>870 million to A$15 billion.</w:t>
      </w:r>
    </w:p>
    <w:p w:rsidR="00ED7C4C" w:rsidRDefault="00ED7C4C" w:rsidP="00471D67">
      <w:pPr>
        <w:spacing w:after="0" w:line="240" w:lineRule="auto"/>
      </w:pPr>
    </w:p>
    <w:p w:rsidR="00ED7C4C" w:rsidRDefault="00ED7C4C" w:rsidP="00471D67">
      <w:pPr>
        <w:spacing w:after="0" w:line="240" w:lineRule="auto"/>
      </w:pPr>
      <w:r>
        <w:t xml:space="preserve">The second approach used to determine the economic burden of mental disorders was by </w:t>
      </w:r>
      <w:r w:rsidRPr="00C375DD">
        <w:rPr>
          <w:b/>
        </w:rPr>
        <w:t>lost productivity through absenteeism</w:t>
      </w:r>
      <w:r>
        <w:t xml:space="preserve">. This was calculated through the number of days a person was unable to perform their daily role due to poor mental health in the past month. Calculation of lost productivity was made using average weekly earnings from the Australian Bureau of Statistics of A$1136.60. The annual cost of lost productivity due to a mental disorder for an individual ranged from A$5000 to A$19 000. When national prevalence of each mental disorder was considered, estimates for the loss in average earnings ranged from $1 billion to </w:t>
      </w:r>
      <w:proofErr w:type="gramStart"/>
      <w:r>
        <w:t>A$</w:t>
      </w:r>
      <w:proofErr w:type="gramEnd"/>
      <w:r>
        <w:t xml:space="preserve">17 billion. Using these two approaches, similar estimates were obtained. For the economic costs of each disorder, see Table 1 </w:t>
      </w:r>
      <w:r>
        <w:rPr>
          <w:noProof/>
        </w:rPr>
        <w:t>(McCallum, Batterham</w:t>
      </w:r>
      <w:r w:rsidRPr="003B010A">
        <w:rPr>
          <w:i/>
          <w:noProof/>
        </w:rPr>
        <w:t xml:space="preserve"> et al.</w:t>
      </w:r>
      <w:r>
        <w:rPr>
          <w:noProof/>
        </w:rPr>
        <w:t xml:space="preserve"> 2018)</w:t>
      </w:r>
      <w:r>
        <w:t>.</w:t>
      </w:r>
    </w:p>
    <w:p w:rsidR="00ED7C4C" w:rsidRDefault="00ED7C4C" w:rsidP="0012516B">
      <w:pPr>
        <w:spacing w:after="0" w:line="240" w:lineRule="auto"/>
        <w:ind w:firstLine="720"/>
      </w:pPr>
    </w:p>
    <w:p w:rsidR="00ED7C4C" w:rsidRDefault="00ED7C4C">
      <w:pPr>
        <w:rPr>
          <w:b/>
        </w:rPr>
      </w:pPr>
      <w:r>
        <w:rPr>
          <w:b/>
        </w:rPr>
        <w:br w:type="page"/>
      </w:r>
    </w:p>
    <w:p w:rsidR="00ED7C4C" w:rsidRPr="00D07541" w:rsidRDefault="00ED7C4C" w:rsidP="004E1806">
      <w:pPr>
        <w:spacing w:after="0" w:line="240" w:lineRule="auto"/>
        <w:rPr>
          <w:b/>
        </w:rPr>
      </w:pPr>
      <w:r w:rsidRPr="00D07541">
        <w:rPr>
          <w:b/>
        </w:rPr>
        <w:lastRenderedPageBreak/>
        <w:t>TABLE 1:  Economic burden of mental disorders in Australia</w:t>
      </w:r>
    </w:p>
    <w:tbl>
      <w:tblPr>
        <w:tblStyle w:val="GridTable5Dark-Accent5"/>
        <w:tblW w:w="9060" w:type="dxa"/>
        <w:tblLook w:val="0420" w:firstRow="1" w:lastRow="0" w:firstColumn="0" w:lastColumn="0" w:noHBand="0" w:noVBand="1"/>
      </w:tblPr>
      <w:tblGrid>
        <w:gridCol w:w="3441"/>
        <w:gridCol w:w="2809"/>
        <w:gridCol w:w="2810"/>
      </w:tblGrid>
      <w:tr w:rsidR="00ED7C4C" w:rsidRPr="00D07541" w:rsidTr="00F358E2">
        <w:trPr>
          <w:cnfStyle w:val="100000000000" w:firstRow="1" w:lastRow="0" w:firstColumn="0" w:lastColumn="0" w:oddVBand="0" w:evenVBand="0" w:oddHBand="0" w:evenHBand="0" w:firstRowFirstColumn="0" w:firstRowLastColumn="0" w:lastRowFirstColumn="0" w:lastRowLastColumn="0"/>
          <w:trHeight w:val="517"/>
        </w:trPr>
        <w:tc>
          <w:tcPr>
            <w:tcW w:w="3441" w:type="dxa"/>
            <w:tcBorders>
              <w:top w:val="single" w:sz="4" w:space="0" w:color="auto"/>
              <w:bottom w:val="single" w:sz="4" w:space="0" w:color="auto"/>
              <w:right w:val="single" w:sz="4" w:space="0" w:color="FFFFFF" w:themeColor="background1"/>
            </w:tcBorders>
            <w:shd w:val="clear" w:color="auto" w:fill="D9D9D9" w:themeFill="background1" w:themeFillShade="D9"/>
          </w:tcPr>
          <w:p w:rsidR="00ED7C4C" w:rsidRPr="00D07541" w:rsidRDefault="00ED7C4C" w:rsidP="004E1806">
            <w:pPr>
              <w:rPr>
                <w:color w:val="auto"/>
              </w:rPr>
            </w:pPr>
            <w:r w:rsidRPr="00D07541">
              <w:rPr>
                <w:color w:val="auto"/>
              </w:rPr>
              <w:t>Mental health condition</w:t>
            </w:r>
          </w:p>
        </w:tc>
        <w:tc>
          <w:tcPr>
            <w:tcW w:w="280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tcPr>
          <w:p w:rsidR="00ED7C4C" w:rsidRPr="00D07541" w:rsidRDefault="00ED7C4C" w:rsidP="004E1806">
            <w:pPr>
              <w:rPr>
                <w:color w:val="auto"/>
              </w:rPr>
            </w:pPr>
            <w:r w:rsidRPr="00D07541">
              <w:rPr>
                <w:color w:val="auto"/>
              </w:rPr>
              <w:t>Estimated intangible costs of ill health (A$ million)</w:t>
            </w:r>
          </w:p>
        </w:tc>
        <w:tc>
          <w:tcPr>
            <w:tcW w:w="2810" w:type="dxa"/>
            <w:tcBorders>
              <w:top w:val="single" w:sz="4" w:space="0" w:color="auto"/>
              <w:left w:val="single" w:sz="4" w:space="0" w:color="FFFFFF" w:themeColor="background1"/>
              <w:bottom w:val="single" w:sz="4" w:space="0" w:color="auto"/>
            </w:tcBorders>
            <w:shd w:val="clear" w:color="auto" w:fill="D9D9D9" w:themeFill="background1" w:themeFillShade="D9"/>
          </w:tcPr>
          <w:p w:rsidR="00ED7C4C" w:rsidRPr="00D07541" w:rsidRDefault="00ED7C4C" w:rsidP="004E1806">
            <w:pPr>
              <w:rPr>
                <w:color w:val="auto"/>
              </w:rPr>
            </w:pPr>
            <w:r w:rsidRPr="00D07541">
              <w:rPr>
                <w:color w:val="auto"/>
              </w:rPr>
              <w:t>Estimated annual lost productivity (A$ million)</w:t>
            </w:r>
          </w:p>
        </w:tc>
      </w:tr>
      <w:tr w:rsidR="00ED7C4C" w:rsidRPr="00043706" w:rsidTr="00793646">
        <w:trPr>
          <w:cnfStyle w:val="000000100000" w:firstRow="0" w:lastRow="0" w:firstColumn="0" w:lastColumn="0" w:oddVBand="0" w:evenVBand="0" w:oddHBand="1" w:evenHBand="0" w:firstRowFirstColumn="0" w:firstRowLastColumn="0" w:lastRowFirstColumn="0" w:lastRowLastColumn="0"/>
          <w:trHeight w:val="266"/>
        </w:trPr>
        <w:tc>
          <w:tcPr>
            <w:tcW w:w="3441" w:type="dxa"/>
            <w:tcBorders>
              <w:top w:val="single" w:sz="4" w:space="0" w:color="auto"/>
            </w:tcBorders>
            <w:shd w:val="clear" w:color="auto" w:fill="auto"/>
          </w:tcPr>
          <w:p w:rsidR="00ED7C4C" w:rsidRPr="00043706" w:rsidRDefault="00ED7C4C" w:rsidP="004E1806">
            <w:r w:rsidRPr="00043706">
              <w:t>Major Depressive Disorder</w:t>
            </w:r>
          </w:p>
        </w:tc>
        <w:tc>
          <w:tcPr>
            <w:tcW w:w="2809" w:type="dxa"/>
            <w:tcBorders>
              <w:top w:val="single" w:sz="4" w:space="0" w:color="auto"/>
            </w:tcBorders>
            <w:shd w:val="clear" w:color="auto" w:fill="auto"/>
          </w:tcPr>
          <w:p w:rsidR="00ED7C4C" w:rsidRPr="00043706" w:rsidRDefault="00ED7C4C" w:rsidP="004E1806">
            <w:r>
              <w:t>10 243</w:t>
            </w:r>
          </w:p>
        </w:tc>
        <w:tc>
          <w:tcPr>
            <w:tcW w:w="2810" w:type="dxa"/>
            <w:tcBorders>
              <w:top w:val="single" w:sz="4" w:space="0" w:color="auto"/>
            </w:tcBorders>
            <w:shd w:val="clear" w:color="auto" w:fill="auto"/>
          </w:tcPr>
          <w:p w:rsidR="00ED7C4C" w:rsidRPr="00043706" w:rsidRDefault="00ED7C4C" w:rsidP="004E1806">
            <w:r>
              <w:t>12 457</w:t>
            </w:r>
          </w:p>
        </w:tc>
      </w:tr>
      <w:tr w:rsidR="00ED7C4C" w:rsidRPr="00043706" w:rsidTr="00F358E2">
        <w:trPr>
          <w:trHeight w:val="266"/>
        </w:trPr>
        <w:tc>
          <w:tcPr>
            <w:tcW w:w="3441" w:type="dxa"/>
            <w:shd w:val="clear" w:color="auto" w:fill="F2F2F2" w:themeFill="background1" w:themeFillShade="F2"/>
          </w:tcPr>
          <w:p w:rsidR="00ED7C4C" w:rsidRPr="00043706" w:rsidRDefault="00ED7C4C" w:rsidP="004E1806">
            <w:r w:rsidRPr="00043706">
              <w:t>Social Anxiety Disorder</w:t>
            </w:r>
          </w:p>
        </w:tc>
        <w:tc>
          <w:tcPr>
            <w:tcW w:w="2809" w:type="dxa"/>
            <w:shd w:val="clear" w:color="auto" w:fill="F2F2F2" w:themeFill="background1" w:themeFillShade="F2"/>
          </w:tcPr>
          <w:p w:rsidR="00ED7C4C" w:rsidRPr="00043706" w:rsidRDefault="00ED7C4C" w:rsidP="004E1806">
            <w:r>
              <w:t>10 145</w:t>
            </w:r>
          </w:p>
        </w:tc>
        <w:tc>
          <w:tcPr>
            <w:tcW w:w="2810" w:type="dxa"/>
            <w:shd w:val="clear" w:color="auto" w:fill="F2F2F2" w:themeFill="background1" w:themeFillShade="F2"/>
          </w:tcPr>
          <w:p w:rsidR="00ED7C4C" w:rsidRPr="00043706" w:rsidRDefault="00ED7C4C" w:rsidP="004E1806">
            <w:r>
              <w:t>10 364</w:t>
            </w:r>
          </w:p>
        </w:tc>
      </w:tr>
      <w:tr w:rsidR="00ED7C4C" w:rsidRPr="00043706" w:rsidTr="00793646">
        <w:trPr>
          <w:cnfStyle w:val="000000100000" w:firstRow="0" w:lastRow="0" w:firstColumn="0" w:lastColumn="0" w:oddVBand="0" w:evenVBand="0" w:oddHBand="1" w:evenHBand="0" w:firstRowFirstColumn="0" w:firstRowLastColumn="0" w:lastRowFirstColumn="0" w:lastRowLastColumn="0"/>
          <w:trHeight w:val="251"/>
        </w:trPr>
        <w:tc>
          <w:tcPr>
            <w:tcW w:w="3441" w:type="dxa"/>
            <w:shd w:val="clear" w:color="auto" w:fill="auto"/>
          </w:tcPr>
          <w:p w:rsidR="00ED7C4C" w:rsidRPr="00043706" w:rsidRDefault="00ED7C4C" w:rsidP="004E1806">
            <w:r w:rsidRPr="00043706">
              <w:t>Panic Disorder</w:t>
            </w:r>
          </w:p>
        </w:tc>
        <w:tc>
          <w:tcPr>
            <w:tcW w:w="2809" w:type="dxa"/>
            <w:shd w:val="clear" w:color="auto" w:fill="auto"/>
          </w:tcPr>
          <w:p w:rsidR="00ED7C4C" w:rsidRPr="00043706" w:rsidRDefault="00ED7C4C" w:rsidP="004E1806">
            <w:r>
              <w:t>3529</w:t>
            </w:r>
          </w:p>
        </w:tc>
        <w:tc>
          <w:tcPr>
            <w:tcW w:w="2810" w:type="dxa"/>
            <w:shd w:val="clear" w:color="auto" w:fill="auto"/>
          </w:tcPr>
          <w:p w:rsidR="00ED7C4C" w:rsidRPr="00043706" w:rsidRDefault="00ED7C4C" w:rsidP="004E1806">
            <w:r>
              <w:t>5596</w:t>
            </w:r>
          </w:p>
        </w:tc>
      </w:tr>
      <w:tr w:rsidR="00ED7C4C" w:rsidRPr="00043706" w:rsidTr="00F358E2">
        <w:trPr>
          <w:trHeight w:val="266"/>
        </w:trPr>
        <w:tc>
          <w:tcPr>
            <w:tcW w:w="3441" w:type="dxa"/>
            <w:shd w:val="clear" w:color="auto" w:fill="F2F2F2" w:themeFill="background1" w:themeFillShade="F2"/>
          </w:tcPr>
          <w:p w:rsidR="00ED7C4C" w:rsidRPr="00043706" w:rsidRDefault="00ED7C4C" w:rsidP="004E1806">
            <w:r w:rsidRPr="00043706">
              <w:t>Generalized Anxiety Disorder</w:t>
            </w:r>
          </w:p>
        </w:tc>
        <w:tc>
          <w:tcPr>
            <w:tcW w:w="2809" w:type="dxa"/>
            <w:shd w:val="clear" w:color="auto" w:fill="F2F2F2" w:themeFill="background1" w:themeFillShade="F2"/>
          </w:tcPr>
          <w:p w:rsidR="00ED7C4C" w:rsidRPr="00043706" w:rsidRDefault="00ED7C4C" w:rsidP="004E1806">
            <w:r>
              <w:t>5168</w:t>
            </w:r>
          </w:p>
        </w:tc>
        <w:tc>
          <w:tcPr>
            <w:tcW w:w="2810" w:type="dxa"/>
            <w:shd w:val="clear" w:color="auto" w:fill="F2F2F2" w:themeFill="background1" w:themeFillShade="F2"/>
          </w:tcPr>
          <w:p w:rsidR="00ED7C4C" w:rsidRPr="00043706" w:rsidRDefault="00ED7C4C" w:rsidP="004E1806">
            <w:r>
              <w:t>4758</w:t>
            </w:r>
          </w:p>
        </w:tc>
      </w:tr>
      <w:tr w:rsidR="00ED7C4C" w:rsidRPr="00043706" w:rsidTr="00793646">
        <w:trPr>
          <w:cnfStyle w:val="000000100000" w:firstRow="0" w:lastRow="0" w:firstColumn="0" w:lastColumn="0" w:oddVBand="0" w:evenVBand="0" w:oddHBand="1" w:evenHBand="0" w:firstRowFirstColumn="0" w:firstRowLastColumn="0" w:lastRowFirstColumn="0" w:lastRowLastColumn="0"/>
          <w:trHeight w:val="251"/>
        </w:trPr>
        <w:tc>
          <w:tcPr>
            <w:tcW w:w="3441" w:type="dxa"/>
            <w:shd w:val="clear" w:color="auto" w:fill="auto"/>
          </w:tcPr>
          <w:p w:rsidR="00ED7C4C" w:rsidRPr="00043706" w:rsidRDefault="00ED7C4C" w:rsidP="004E1806">
            <w:r w:rsidRPr="00043706">
              <w:t>Obsessive-Compulsive Disorder</w:t>
            </w:r>
          </w:p>
        </w:tc>
        <w:tc>
          <w:tcPr>
            <w:tcW w:w="2809" w:type="dxa"/>
            <w:shd w:val="clear" w:color="auto" w:fill="auto"/>
          </w:tcPr>
          <w:p w:rsidR="00ED7C4C" w:rsidRPr="00043706" w:rsidRDefault="00ED7C4C" w:rsidP="004E1806">
            <w:r>
              <w:t>3438</w:t>
            </w:r>
          </w:p>
        </w:tc>
        <w:tc>
          <w:tcPr>
            <w:tcW w:w="2810" w:type="dxa"/>
            <w:shd w:val="clear" w:color="auto" w:fill="auto"/>
          </w:tcPr>
          <w:p w:rsidR="00ED7C4C" w:rsidRPr="00043706" w:rsidRDefault="00ED7C4C" w:rsidP="004E1806">
            <w:r>
              <w:t>4168</w:t>
            </w:r>
          </w:p>
        </w:tc>
      </w:tr>
      <w:tr w:rsidR="00ED7C4C" w:rsidRPr="00043706" w:rsidTr="00F358E2">
        <w:trPr>
          <w:trHeight w:val="266"/>
        </w:trPr>
        <w:tc>
          <w:tcPr>
            <w:tcW w:w="3441" w:type="dxa"/>
            <w:shd w:val="clear" w:color="auto" w:fill="F2F2F2" w:themeFill="background1" w:themeFillShade="F2"/>
          </w:tcPr>
          <w:p w:rsidR="00ED7C4C" w:rsidRPr="00043706" w:rsidRDefault="00ED7C4C" w:rsidP="004E1806">
            <w:r w:rsidRPr="00043706">
              <w:t>Post-Traumatic Stress Disorder</w:t>
            </w:r>
          </w:p>
        </w:tc>
        <w:tc>
          <w:tcPr>
            <w:tcW w:w="2809" w:type="dxa"/>
            <w:shd w:val="clear" w:color="auto" w:fill="F2F2F2" w:themeFill="background1" w:themeFillShade="F2"/>
          </w:tcPr>
          <w:p w:rsidR="00ED7C4C" w:rsidRPr="00043706" w:rsidRDefault="00ED7C4C" w:rsidP="004E1806">
            <w:r>
              <w:t>14 963</w:t>
            </w:r>
          </w:p>
        </w:tc>
        <w:tc>
          <w:tcPr>
            <w:tcW w:w="2810" w:type="dxa"/>
            <w:shd w:val="clear" w:color="auto" w:fill="F2F2F2" w:themeFill="background1" w:themeFillShade="F2"/>
          </w:tcPr>
          <w:p w:rsidR="00ED7C4C" w:rsidRPr="00043706" w:rsidRDefault="00ED7C4C" w:rsidP="004E1806">
            <w:r>
              <w:t>16 889</w:t>
            </w:r>
          </w:p>
        </w:tc>
      </w:tr>
      <w:tr w:rsidR="00ED7C4C" w:rsidRPr="00043706" w:rsidTr="00793646">
        <w:trPr>
          <w:cnfStyle w:val="000000100000" w:firstRow="0" w:lastRow="0" w:firstColumn="0" w:lastColumn="0" w:oddVBand="0" w:evenVBand="0" w:oddHBand="1" w:evenHBand="0" w:firstRowFirstColumn="0" w:firstRowLastColumn="0" w:lastRowFirstColumn="0" w:lastRowLastColumn="0"/>
          <w:trHeight w:val="251"/>
        </w:trPr>
        <w:tc>
          <w:tcPr>
            <w:tcW w:w="3441" w:type="dxa"/>
            <w:shd w:val="clear" w:color="auto" w:fill="auto"/>
          </w:tcPr>
          <w:p w:rsidR="00ED7C4C" w:rsidRPr="00043706" w:rsidRDefault="00ED7C4C" w:rsidP="004E1806">
            <w:r w:rsidRPr="00043706">
              <w:t>Alcohol Use Disorder</w:t>
            </w:r>
          </w:p>
        </w:tc>
        <w:tc>
          <w:tcPr>
            <w:tcW w:w="2809" w:type="dxa"/>
            <w:shd w:val="clear" w:color="auto" w:fill="auto"/>
          </w:tcPr>
          <w:p w:rsidR="00ED7C4C" w:rsidRPr="00043706" w:rsidRDefault="00ED7C4C" w:rsidP="004E1806">
            <w:r>
              <w:t>870</w:t>
            </w:r>
          </w:p>
        </w:tc>
        <w:tc>
          <w:tcPr>
            <w:tcW w:w="2810" w:type="dxa"/>
            <w:shd w:val="clear" w:color="auto" w:fill="auto"/>
          </w:tcPr>
          <w:p w:rsidR="00ED7C4C" w:rsidRPr="00043706" w:rsidRDefault="00ED7C4C" w:rsidP="004E1806">
            <w:r>
              <w:t>1262</w:t>
            </w:r>
          </w:p>
        </w:tc>
      </w:tr>
      <w:tr w:rsidR="00ED7C4C" w:rsidRPr="00043706" w:rsidTr="00F358E2">
        <w:trPr>
          <w:trHeight w:val="266"/>
        </w:trPr>
        <w:tc>
          <w:tcPr>
            <w:tcW w:w="3441" w:type="dxa"/>
            <w:shd w:val="clear" w:color="auto" w:fill="F2F2F2" w:themeFill="background1" w:themeFillShade="F2"/>
          </w:tcPr>
          <w:p w:rsidR="00ED7C4C" w:rsidRPr="00043706" w:rsidRDefault="00ED7C4C" w:rsidP="004E1806">
            <w:r w:rsidRPr="00043706">
              <w:t>Substance Use Disorder</w:t>
            </w:r>
          </w:p>
        </w:tc>
        <w:tc>
          <w:tcPr>
            <w:tcW w:w="2809" w:type="dxa"/>
            <w:shd w:val="clear" w:color="auto" w:fill="F2F2F2" w:themeFill="background1" w:themeFillShade="F2"/>
          </w:tcPr>
          <w:p w:rsidR="00ED7C4C" w:rsidRPr="00043706" w:rsidRDefault="00ED7C4C" w:rsidP="004E1806">
            <w:r>
              <w:t>1863</w:t>
            </w:r>
          </w:p>
        </w:tc>
        <w:tc>
          <w:tcPr>
            <w:tcW w:w="2810" w:type="dxa"/>
            <w:shd w:val="clear" w:color="auto" w:fill="F2F2F2" w:themeFill="background1" w:themeFillShade="F2"/>
          </w:tcPr>
          <w:p w:rsidR="00ED7C4C" w:rsidRPr="00043706" w:rsidRDefault="00ED7C4C" w:rsidP="004E1806">
            <w:r>
              <w:t>8723</w:t>
            </w:r>
          </w:p>
        </w:tc>
      </w:tr>
      <w:tr w:rsidR="00ED7C4C" w:rsidRPr="00043706" w:rsidTr="00793646">
        <w:trPr>
          <w:cnfStyle w:val="000000100000" w:firstRow="0" w:lastRow="0" w:firstColumn="0" w:lastColumn="0" w:oddVBand="0" w:evenVBand="0" w:oddHBand="1" w:evenHBand="0" w:firstRowFirstColumn="0" w:firstRowLastColumn="0" w:lastRowFirstColumn="0" w:lastRowLastColumn="0"/>
          <w:trHeight w:val="266"/>
        </w:trPr>
        <w:tc>
          <w:tcPr>
            <w:tcW w:w="3441" w:type="dxa"/>
            <w:tcBorders>
              <w:bottom w:val="single" w:sz="4" w:space="0" w:color="FFFFFF" w:themeColor="background1"/>
            </w:tcBorders>
            <w:shd w:val="clear" w:color="auto" w:fill="auto"/>
          </w:tcPr>
          <w:p w:rsidR="00ED7C4C" w:rsidRPr="00043706" w:rsidRDefault="00ED7C4C" w:rsidP="004E1806">
            <w:r w:rsidRPr="00043706">
              <w:t>Suicidal Ideation</w:t>
            </w:r>
          </w:p>
        </w:tc>
        <w:tc>
          <w:tcPr>
            <w:tcW w:w="2809" w:type="dxa"/>
            <w:tcBorders>
              <w:bottom w:val="single" w:sz="4" w:space="0" w:color="FFFFFF" w:themeColor="background1"/>
            </w:tcBorders>
            <w:shd w:val="clear" w:color="auto" w:fill="auto"/>
          </w:tcPr>
          <w:p w:rsidR="00ED7C4C" w:rsidRPr="00043706" w:rsidRDefault="00ED7C4C" w:rsidP="004E1806">
            <w:r>
              <w:t>5098</w:t>
            </w:r>
          </w:p>
        </w:tc>
        <w:tc>
          <w:tcPr>
            <w:tcW w:w="2810" w:type="dxa"/>
            <w:tcBorders>
              <w:bottom w:val="single" w:sz="4" w:space="0" w:color="FFFFFF" w:themeColor="background1"/>
            </w:tcBorders>
            <w:shd w:val="clear" w:color="auto" w:fill="auto"/>
          </w:tcPr>
          <w:p w:rsidR="00ED7C4C" w:rsidRPr="00043706" w:rsidRDefault="00ED7C4C" w:rsidP="004E1806">
            <w:r>
              <w:t>5020</w:t>
            </w:r>
          </w:p>
        </w:tc>
      </w:tr>
      <w:tr w:rsidR="00ED7C4C" w:rsidRPr="00043706" w:rsidTr="00F358E2">
        <w:trPr>
          <w:trHeight w:val="251"/>
        </w:trPr>
        <w:tc>
          <w:tcPr>
            <w:tcW w:w="3441" w:type="dxa"/>
            <w:tcBorders>
              <w:bottom w:val="single" w:sz="4" w:space="0" w:color="auto"/>
            </w:tcBorders>
            <w:shd w:val="clear" w:color="auto" w:fill="F2F2F2" w:themeFill="background1" w:themeFillShade="F2"/>
          </w:tcPr>
          <w:p w:rsidR="00ED7C4C" w:rsidRPr="00043706" w:rsidRDefault="00ED7C4C" w:rsidP="004E1806">
            <w:r w:rsidRPr="00043706">
              <w:t>Suicide Attempt</w:t>
            </w:r>
          </w:p>
        </w:tc>
        <w:tc>
          <w:tcPr>
            <w:tcW w:w="2809" w:type="dxa"/>
            <w:tcBorders>
              <w:bottom w:val="single" w:sz="4" w:space="0" w:color="auto"/>
            </w:tcBorders>
            <w:shd w:val="clear" w:color="auto" w:fill="F2F2F2" w:themeFill="background1" w:themeFillShade="F2"/>
          </w:tcPr>
          <w:p w:rsidR="00ED7C4C" w:rsidRPr="00043706" w:rsidRDefault="00ED7C4C" w:rsidP="004E1806">
            <w:r>
              <w:t>976</w:t>
            </w:r>
          </w:p>
        </w:tc>
        <w:tc>
          <w:tcPr>
            <w:tcW w:w="2810" w:type="dxa"/>
            <w:tcBorders>
              <w:bottom w:val="single" w:sz="4" w:space="0" w:color="auto"/>
            </w:tcBorders>
            <w:shd w:val="clear" w:color="auto" w:fill="F2F2F2" w:themeFill="background1" w:themeFillShade="F2"/>
          </w:tcPr>
          <w:p w:rsidR="00ED7C4C" w:rsidRPr="00043706" w:rsidRDefault="00ED7C4C" w:rsidP="004E1806">
            <w:r>
              <w:t>1781</w:t>
            </w:r>
          </w:p>
        </w:tc>
      </w:tr>
    </w:tbl>
    <w:p w:rsidR="00ED7C4C" w:rsidRDefault="00ED7C4C" w:rsidP="004E1806">
      <w:pPr>
        <w:spacing w:after="0" w:line="240" w:lineRule="auto"/>
      </w:pPr>
      <w:r>
        <w:t xml:space="preserve">Source: </w:t>
      </w:r>
      <w:r w:rsidRPr="00043706">
        <w:t xml:space="preserve">McCallum, S. M., </w:t>
      </w:r>
      <w:proofErr w:type="spellStart"/>
      <w:r w:rsidRPr="00043706">
        <w:t>Batterham</w:t>
      </w:r>
      <w:proofErr w:type="spellEnd"/>
      <w:r w:rsidRPr="00043706">
        <w:t xml:space="preserve">, P. J., </w:t>
      </w:r>
      <w:proofErr w:type="spellStart"/>
      <w:r w:rsidRPr="00043706">
        <w:t>Calear</w:t>
      </w:r>
      <w:proofErr w:type="spellEnd"/>
      <w:r w:rsidRPr="00043706">
        <w:t xml:space="preserve">, A. L., Sunderland, M., &amp; </w:t>
      </w:r>
      <w:proofErr w:type="spellStart"/>
      <w:r w:rsidRPr="00043706">
        <w:t>Carragher</w:t>
      </w:r>
      <w:proofErr w:type="spellEnd"/>
      <w:r w:rsidRPr="00043706">
        <w:t xml:space="preserve">, N. (2018). Reductions in quality of life and increased economic burden associated with mental disorders in an Australian adult sample. </w:t>
      </w:r>
      <w:r w:rsidRPr="00043706">
        <w:rPr>
          <w:i/>
        </w:rPr>
        <w:t>Australian Health Review</w:t>
      </w:r>
      <w:r w:rsidRPr="00043706">
        <w:t>.</w:t>
      </w:r>
    </w:p>
    <w:p w:rsidR="00ED7C4C" w:rsidRDefault="00ED7C4C" w:rsidP="004E1806">
      <w:pPr>
        <w:spacing w:after="0" w:line="240" w:lineRule="auto"/>
      </w:pPr>
    </w:p>
    <w:p w:rsidR="00ED7C4C" w:rsidRPr="0012516B" w:rsidRDefault="00ED7C4C" w:rsidP="00471D67">
      <w:pPr>
        <w:pStyle w:val="Heading1"/>
      </w:pPr>
      <w:r>
        <w:t>I</w:t>
      </w:r>
      <w:r w:rsidRPr="0012516B">
        <w:t>nterventions to improve mental health outcomes</w:t>
      </w:r>
    </w:p>
    <w:p w:rsidR="00ED7C4C" w:rsidRDefault="00ED7C4C" w:rsidP="00471D67">
      <w:pPr>
        <w:spacing w:after="0" w:line="240" w:lineRule="auto"/>
      </w:pPr>
      <w:r>
        <w:t>There is extensive evidence that internet-based interventions can be effective for treating and preventing a range of mental health problems. Our team has considerable experience in conducting rigorous trials of internet interventions for depression, anxiety, insomnia and suicidal ideation. The key barrier to internet interventions having impact in the community is suboptimal implementation of the interventions within clinical services and directly to consumers. Our research group is focusing on how to reduce these implementation barriers for consumers and clinicians, as well as structural and policy barriers.</w:t>
      </w:r>
    </w:p>
    <w:p w:rsidR="00ED7C4C" w:rsidRDefault="00ED7C4C" w:rsidP="00471D67">
      <w:pPr>
        <w:spacing w:after="0" w:line="240" w:lineRule="auto"/>
      </w:pPr>
    </w:p>
    <w:p w:rsidR="00ED7C4C" w:rsidRDefault="00ED7C4C" w:rsidP="008D358D">
      <w:pPr>
        <w:spacing w:after="0" w:line="240" w:lineRule="auto"/>
      </w:pPr>
      <w:r>
        <w:t xml:space="preserve">It is essential that interventions appropriately target mental health outcomes and that they are designed specifically for sub-populations. The approach to working with each sub-population will likely vary. For example, when designing interventions for Aboriginal and Torres Strait Islander peoples, Aboriginal and Torres Strait Islander people should lead the decision making processes to ensure acceptability and feasibility. Research should be conducted in meaningful partnership with communities and services. Ethical guidelines specifically focused on Aboriginal and Torres Strait Islander research must inform the development and conduct of the research and the implementation and dissemination of findings </w:t>
      </w:r>
      <w:r>
        <w:rPr>
          <w:noProof/>
        </w:rPr>
        <w:t>(National Health and Medical Research Council 2003, Australian Institute of Aboriginal and Torres Strait Islander Studies 2010)</w:t>
      </w:r>
      <w:r>
        <w:t xml:space="preserve">. It is also important to consider cultural variations in the definitions of mental health, for example, many Aboriginal and Torres Strait Islander people consider wellbeing holistically, inclusive of social and emotional wellbeing </w:t>
      </w:r>
      <w:r>
        <w:rPr>
          <w:noProof/>
        </w:rPr>
        <w:t>(Australian Government 2017)</w:t>
      </w:r>
      <w:r>
        <w:t xml:space="preserve">. The Centre has emerging expertise in the area of Aboriginal and Torres Strait Islander research </w:t>
      </w:r>
      <w:r>
        <w:rPr>
          <w:noProof/>
        </w:rPr>
        <w:t>(Calabria, Clifford</w:t>
      </w:r>
      <w:r w:rsidRPr="00592842">
        <w:rPr>
          <w:i/>
          <w:noProof/>
        </w:rPr>
        <w:t xml:space="preserve"> et al.</w:t>
      </w:r>
      <w:r>
        <w:rPr>
          <w:noProof/>
        </w:rPr>
        <w:t xml:space="preserve"> 2013, Calabria, Clifford</w:t>
      </w:r>
      <w:r w:rsidRPr="00592842">
        <w:rPr>
          <w:i/>
          <w:noProof/>
        </w:rPr>
        <w:t xml:space="preserve"> et al.</w:t>
      </w:r>
      <w:r>
        <w:rPr>
          <w:noProof/>
        </w:rPr>
        <w:t xml:space="preserve"> 2014, Snijder, Shakeshaft</w:t>
      </w:r>
      <w:r w:rsidRPr="00592842">
        <w:rPr>
          <w:i/>
          <w:noProof/>
        </w:rPr>
        <w:t xml:space="preserve"> et al.</w:t>
      </w:r>
      <w:r>
        <w:rPr>
          <w:noProof/>
        </w:rPr>
        <w:t xml:space="preserve"> 2015, Lokuge, Thurber</w:t>
      </w:r>
      <w:r w:rsidRPr="00592842">
        <w:rPr>
          <w:i/>
          <w:noProof/>
        </w:rPr>
        <w:t xml:space="preserve"> et al.</w:t>
      </w:r>
      <w:r>
        <w:rPr>
          <w:noProof/>
        </w:rPr>
        <w:t xml:space="preserve"> 2017, Thurber, Olsen</w:t>
      </w:r>
      <w:r w:rsidRPr="00592842">
        <w:rPr>
          <w:i/>
          <w:noProof/>
        </w:rPr>
        <w:t xml:space="preserve"> et al.</w:t>
      </w:r>
      <w:r>
        <w:rPr>
          <w:noProof/>
        </w:rPr>
        <w:t xml:space="preserve"> 2018)</w:t>
      </w:r>
      <w:r>
        <w:t>.</w:t>
      </w:r>
    </w:p>
    <w:p w:rsidR="00ED7C4C" w:rsidRDefault="00ED7C4C" w:rsidP="00471D67">
      <w:pPr>
        <w:spacing w:after="0" w:line="240" w:lineRule="auto"/>
      </w:pPr>
    </w:p>
    <w:p w:rsidR="00ED7C4C" w:rsidRDefault="00ED7C4C">
      <w:pPr>
        <w:rPr>
          <w:rFonts w:eastAsiaTheme="majorEastAsia" w:cstheme="majorBidi"/>
          <w:b/>
          <w:sz w:val="28"/>
          <w:szCs w:val="32"/>
        </w:rPr>
      </w:pPr>
      <w:r>
        <w:br w:type="page"/>
      </w:r>
    </w:p>
    <w:p w:rsidR="00ED7C4C" w:rsidRPr="009C5285" w:rsidRDefault="00ED7C4C" w:rsidP="00471D67">
      <w:pPr>
        <w:pStyle w:val="Heading1"/>
      </w:pPr>
      <w:r>
        <w:rPr>
          <w:noProof/>
          <w:lang w:val="en-AU" w:eastAsia="en-AU"/>
        </w:rPr>
        <w:lastRenderedPageBreak/>
        <w:drawing>
          <wp:anchor distT="0" distB="0" distL="114300" distR="114300" simplePos="0" relativeHeight="251659264" behindDoc="0" locked="0" layoutInCell="1" allowOverlap="1" wp14:anchorId="6ADCE687" wp14:editId="250ABBD8">
            <wp:simplePos x="0" y="0"/>
            <wp:positionH relativeFrom="column">
              <wp:posOffset>1038225</wp:posOffset>
            </wp:positionH>
            <wp:positionV relativeFrom="paragraph">
              <wp:posOffset>238125</wp:posOffset>
            </wp:positionV>
            <wp:extent cx="1431985" cy="806257"/>
            <wp:effectExtent l="0" t="0" r="0" b="0"/>
            <wp:wrapSquare wrapText="bothSides"/>
            <wp:docPr id="2" name="Picture 2" descr="https://rsph.anu.edu.au/files/styles/anu_full_920_518/public/VIDEA_logo_800.jpg?itok=l4u0hs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sph.anu.edu.au/files/styles/anu_full_920_518/public/VIDEA_logo_800.jpg?itok=l4u0hsw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1985" cy="806257"/>
                    </a:xfrm>
                    <a:prstGeom prst="rect">
                      <a:avLst/>
                    </a:prstGeom>
                    <a:noFill/>
                    <a:ln>
                      <a:noFill/>
                    </a:ln>
                  </pic:spPr>
                </pic:pic>
              </a:graphicData>
            </a:graphic>
          </wp:anchor>
        </w:drawing>
      </w:r>
      <w:r>
        <w:t>C</w:t>
      </w:r>
      <w:r w:rsidRPr="009C5285">
        <w:t>omponents to improving mental health and wellbeing</w:t>
      </w:r>
    </w:p>
    <w:p w:rsidR="00ED7C4C" w:rsidRPr="00E224F0" w:rsidRDefault="00ED7C4C" w:rsidP="009F15F1">
      <w:pPr>
        <w:spacing w:after="0" w:line="240" w:lineRule="auto"/>
        <w:rPr>
          <w:rFonts w:eastAsia="Times New Roman"/>
          <w:i/>
        </w:rPr>
      </w:pPr>
      <w:r w:rsidRPr="00E224F0">
        <w:rPr>
          <w:rFonts w:eastAsia="Times New Roman"/>
          <w:i/>
        </w:rPr>
        <w:t xml:space="preserve">The </w:t>
      </w:r>
      <w:r>
        <w:rPr>
          <w:rFonts w:eastAsia="Times New Roman"/>
          <w:i/>
        </w:rPr>
        <w:t>VIDEA</w:t>
      </w:r>
      <w:r w:rsidRPr="00E224F0">
        <w:rPr>
          <w:rFonts w:eastAsia="Times New Roman"/>
          <w:i/>
        </w:rPr>
        <w:t xml:space="preserve"> Lab</w:t>
      </w:r>
    </w:p>
    <w:p w:rsidR="00ED7C4C" w:rsidRDefault="00ED7C4C" w:rsidP="009F15F1">
      <w:pPr>
        <w:spacing w:after="0" w:line="240" w:lineRule="auto"/>
        <w:rPr>
          <w:rFonts w:eastAsia="Times New Roman"/>
        </w:rPr>
      </w:pPr>
    </w:p>
    <w:p w:rsidR="00ED7C4C" w:rsidRDefault="00ED7C4C" w:rsidP="009F15F1">
      <w:pPr>
        <w:spacing w:after="0" w:line="240" w:lineRule="auto"/>
        <w:rPr>
          <w:rFonts w:eastAsia="Times New Roman"/>
        </w:rPr>
      </w:pPr>
    </w:p>
    <w:p w:rsidR="00ED7C4C" w:rsidRDefault="00ED7C4C" w:rsidP="009F15F1">
      <w:pPr>
        <w:spacing w:after="0" w:line="240" w:lineRule="auto"/>
        <w:rPr>
          <w:rFonts w:eastAsia="Times New Roman"/>
        </w:rPr>
      </w:pPr>
    </w:p>
    <w:p w:rsidR="00ED7C4C" w:rsidRDefault="00ED7C4C" w:rsidP="009F15F1">
      <w:pPr>
        <w:spacing w:after="0" w:line="240" w:lineRule="auto"/>
        <w:rPr>
          <w:rFonts w:eastAsia="Times New Roman"/>
        </w:rPr>
      </w:pPr>
    </w:p>
    <w:p w:rsidR="00ED7C4C" w:rsidRDefault="00ED7C4C" w:rsidP="009F15F1">
      <w:pPr>
        <w:spacing w:after="0" w:line="240" w:lineRule="auto"/>
        <w:rPr>
          <w:rFonts w:eastAsia="Times New Roman"/>
        </w:rPr>
      </w:pPr>
      <w:r>
        <w:rPr>
          <w:rFonts w:eastAsia="Times New Roman"/>
        </w:rPr>
        <w:t xml:space="preserve">A critical new piece of infrastructure developed at CMHR is the </w:t>
      </w:r>
      <w:r w:rsidRPr="00066146">
        <w:rPr>
          <w:rFonts w:eastAsia="Times New Roman"/>
        </w:rPr>
        <w:t>Visual and Decision Analytics (VIDEA) lab</w:t>
      </w:r>
      <w:r>
        <w:rPr>
          <w:rFonts w:eastAsia="Times New Roman"/>
        </w:rPr>
        <w:t xml:space="preserve">, designed to </w:t>
      </w:r>
      <w:r w:rsidRPr="00066146">
        <w:rPr>
          <w:rFonts w:eastAsia="Times New Roman"/>
        </w:rPr>
        <w:t xml:space="preserve">enable and facilitate decision making in mental health policy using novel visual analysis techniques and is the first lab in Australia that combines and coordinates the expertise in two recent and related areas of knowledge (visual analytics and decision making) in mental health planning.  It provides a unique opportunity to bring together the expertise on visual and decision analysis, modelling, mapping, media and arts from very different groups at ANU and apply them to a new area of collaborative research in mental health policy and practice. </w:t>
      </w:r>
    </w:p>
    <w:p w:rsidR="00ED7C4C" w:rsidRPr="00066146" w:rsidRDefault="00ED7C4C" w:rsidP="009F15F1">
      <w:pPr>
        <w:spacing w:after="0" w:line="240" w:lineRule="auto"/>
        <w:rPr>
          <w:rFonts w:eastAsia="Times New Roman"/>
        </w:rPr>
      </w:pPr>
    </w:p>
    <w:p w:rsidR="00ED7C4C" w:rsidRPr="00066146" w:rsidRDefault="00ED7C4C" w:rsidP="009F15F1">
      <w:pPr>
        <w:spacing w:after="0" w:line="240" w:lineRule="auto"/>
        <w:rPr>
          <w:rFonts w:eastAsia="Times New Roman"/>
        </w:rPr>
      </w:pPr>
      <w:r w:rsidRPr="00066146">
        <w:rPr>
          <w:rFonts w:eastAsia="Times New Roman"/>
        </w:rPr>
        <w:t>VIDEA will facilitate evidence-based decision making at the different levels of the care system (Individual, population, local, state, national, international) and</w:t>
      </w:r>
      <w:r>
        <w:rPr>
          <w:rFonts w:eastAsia="Times New Roman"/>
        </w:rPr>
        <w:t xml:space="preserve"> has great potential to</w:t>
      </w:r>
      <w:r w:rsidRPr="00066146">
        <w:rPr>
          <w:rFonts w:eastAsia="Times New Roman"/>
        </w:rPr>
        <w:t xml:space="preserve"> increase equity and efficiency of care planning and delivery. It will apply the most novel approaches to data visualisation and incorporate on-going research in the field of decision analysis applied to health care and policy.</w:t>
      </w:r>
    </w:p>
    <w:p w:rsidR="00ED7C4C" w:rsidRPr="00066146" w:rsidRDefault="00ED7C4C" w:rsidP="009F15F1">
      <w:pPr>
        <w:spacing w:after="0" w:line="240" w:lineRule="auto"/>
        <w:rPr>
          <w:rFonts w:eastAsia="Times New Roman"/>
        </w:rPr>
      </w:pPr>
    </w:p>
    <w:p w:rsidR="00ED7C4C" w:rsidRDefault="00ED7C4C" w:rsidP="009F15F1">
      <w:pPr>
        <w:spacing w:after="0" w:line="240" w:lineRule="auto"/>
        <w:rPr>
          <w:rFonts w:eastAsia="Times New Roman"/>
        </w:rPr>
      </w:pPr>
      <w:r w:rsidRPr="00066146">
        <w:rPr>
          <w:rFonts w:eastAsia="Times New Roman"/>
        </w:rPr>
        <w:t>VIDEA will be part of a national and international visual analytics hub coordinated from CMHR which will combine virtual nodes that bring together decision-scientists and visual analytics experts from many disciplines and on-site laboratories on specific areas of research in policy and society.</w:t>
      </w:r>
    </w:p>
    <w:p w:rsidR="00ED7C4C" w:rsidRDefault="00ED7C4C" w:rsidP="009F15F1">
      <w:pPr>
        <w:spacing w:after="0" w:line="240" w:lineRule="auto"/>
        <w:rPr>
          <w:rFonts w:eastAsia="Times New Roman"/>
        </w:rPr>
      </w:pPr>
    </w:p>
    <w:p w:rsidR="00ED7C4C" w:rsidRDefault="00ED7C4C" w:rsidP="009F15F1">
      <w:pPr>
        <w:spacing w:after="0" w:line="240" w:lineRule="auto"/>
        <w:rPr>
          <w:rFonts w:eastAsia="Times New Roman"/>
          <w:i/>
        </w:rPr>
      </w:pPr>
      <w:r w:rsidRPr="00173937">
        <w:rPr>
          <w:rFonts w:eastAsia="Times New Roman"/>
          <w:i/>
        </w:rPr>
        <w:t>Health Systems Research</w:t>
      </w:r>
    </w:p>
    <w:p w:rsidR="00ED7C4C" w:rsidRDefault="00ED7C4C" w:rsidP="009F15F1">
      <w:pPr>
        <w:spacing w:after="0" w:line="240" w:lineRule="auto"/>
        <w:rPr>
          <w:rFonts w:eastAsia="Times New Roman"/>
        </w:rPr>
      </w:pPr>
      <w:r>
        <w:rPr>
          <w:rFonts w:eastAsia="Times New Roman"/>
        </w:rPr>
        <w:t>The VIDEA lab is just one component of a broader commitment by CMHR to contribute to health systems research, particularly mental health. Especially in attempting to address the social determinants of health as well as clinical or health-related matters, this kind of systems thinking is vital but, so far in Australia, rare.  Even more sophisticated tools, like the National Mental Health Service Planning Framework struggle to be really useful in addressing the problems faced by local decision-makers, on the ground, every day.</w:t>
      </w:r>
    </w:p>
    <w:p w:rsidR="00ED7C4C" w:rsidRDefault="00ED7C4C" w:rsidP="009F15F1">
      <w:pPr>
        <w:spacing w:after="0" w:line="240" w:lineRule="auto"/>
        <w:rPr>
          <w:rFonts w:eastAsia="Times New Roman"/>
        </w:rPr>
      </w:pPr>
    </w:p>
    <w:p w:rsidR="00ED7C4C" w:rsidRDefault="00ED7C4C" w:rsidP="009F15F1">
      <w:pPr>
        <w:spacing w:after="0" w:line="240" w:lineRule="auto"/>
        <w:rPr>
          <w:rFonts w:eastAsia="Times New Roman"/>
        </w:rPr>
      </w:pPr>
      <w:r>
        <w:rPr>
          <w:rFonts w:eastAsia="Times New Roman"/>
        </w:rPr>
        <w:t>Here, CMHR draws on close partnerships with a range of European researchers and organisations to develop new Australian capacity to map and model complex health systems, aiming to improve the quality of decision-making in vital areas like mental health.  The Integrated Atlases of Mental Health are one example of this kind of technology but there are several others. CMHR is actively developing these for use in Australian conditions and establishing relationships with PHNs and other organisations to see them tested in the field.</w:t>
      </w:r>
    </w:p>
    <w:p w:rsidR="00ED7C4C" w:rsidRDefault="00ED7C4C" w:rsidP="009F15F1">
      <w:pPr>
        <w:spacing w:after="0" w:line="240" w:lineRule="auto"/>
        <w:rPr>
          <w:rFonts w:eastAsia="Times New Roman"/>
        </w:rPr>
      </w:pPr>
    </w:p>
    <w:p w:rsidR="00ED7C4C" w:rsidRDefault="00ED7C4C" w:rsidP="009F15F1">
      <w:pPr>
        <w:spacing w:after="0" w:line="240" w:lineRule="auto"/>
        <w:rPr>
          <w:rFonts w:eastAsia="Times New Roman"/>
        </w:rPr>
      </w:pPr>
      <w:r>
        <w:rPr>
          <w:rFonts w:eastAsia="Times New Roman"/>
        </w:rPr>
        <w:t xml:space="preserve">Our conceptualisation of this systems research environment is below.  This kind of work has already led to new capacity to compare mental health systems in different jurisdictions and drive quality improvement </w:t>
      </w:r>
      <w:r>
        <w:rPr>
          <w:rFonts w:eastAsia="Times New Roman"/>
          <w:noProof/>
        </w:rPr>
        <w:t>(Gutiérrez-Colosía, Salvador-Carulla</w:t>
      </w:r>
      <w:r w:rsidRPr="008D48B8">
        <w:rPr>
          <w:rFonts w:eastAsia="Times New Roman"/>
          <w:i/>
          <w:noProof/>
        </w:rPr>
        <w:t xml:space="preserve"> et al.</w:t>
      </w:r>
      <w:r>
        <w:rPr>
          <w:rFonts w:eastAsia="Times New Roman"/>
          <w:noProof/>
        </w:rPr>
        <w:t xml:space="preserve"> 2017)</w:t>
      </w:r>
      <w:r>
        <w:rPr>
          <w:rFonts w:eastAsia="Times New Roman"/>
        </w:rPr>
        <w:t>.</w:t>
      </w:r>
      <w:r w:rsidRPr="00CD07BD">
        <w:rPr>
          <w:rFonts w:eastAsia="Times New Roman"/>
        </w:rPr>
        <w:t xml:space="preserve"> </w:t>
      </w:r>
      <w:r>
        <w:rPr>
          <w:rFonts w:eastAsia="Times New Roman"/>
        </w:rPr>
        <w:t>This benchmarking and decision-support infrastructure is largely missing in Australia.</w:t>
      </w:r>
    </w:p>
    <w:p w:rsidR="00ED7C4C" w:rsidRDefault="00ED7C4C" w:rsidP="009F15F1">
      <w:pPr>
        <w:spacing w:after="0" w:line="240" w:lineRule="auto"/>
        <w:rPr>
          <w:rFonts w:ascii="Calibri" w:hAnsi="Calibri"/>
        </w:rPr>
      </w:pPr>
    </w:p>
    <w:p w:rsidR="00ED7C4C" w:rsidRDefault="00ED7C4C" w:rsidP="009F15F1">
      <w:pPr>
        <w:spacing w:after="0" w:line="240" w:lineRule="auto"/>
        <w:rPr>
          <w:rFonts w:eastAsia="Times New Roman"/>
        </w:rPr>
      </w:pPr>
      <w:r>
        <w:rPr>
          <w:rFonts w:ascii="Calibri" w:hAnsi="Calibri"/>
        </w:rPr>
        <w:t xml:space="preserve">There needs to be a standard system to allow comparisons of the model of care, the care provision and resource use in Australia with other mental health systems locally and nationally. This should include instruments for the international evaluation of services and interventions already tested in Australia such as the </w:t>
      </w:r>
      <w:proofErr w:type="spellStart"/>
      <w:r>
        <w:rPr>
          <w:rFonts w:ascii="Calibri" w:hAnsi="Calibri"/>
        </w:rPr>
        <w:t>DEscription</w:t>
      </w:r>
      <w:proofErr w:type="spellEnd"/>
      <w:r>
        <w:rPr>
          <w:rFonts w:ascii="Calibri" w:hAnsi="Calibri"/>
        </w:rPr>
        <w:t xml:space="preserve"> of Services and </w:t>
      </w:r>
      <w:proofErr w:type="spellStart"/>
      <w:r>
        <w:rPr>
          <w:rFonts w:ascii="Calibri" w:hAnsi="Calibri"/>
        </w:rPr>
        <w:t>DirectoriES</w:t>
      </w:r>
      <w:proofErr w:type="spellEnd"/>
      <w:r>
        <w:rPr>
          <w:rFonts w:ascii="Calibri" w:hAnsi="Calibri"/>
        </w:rPr>
        <w:t xml:space="preserve"> (DESDE) </w:t>
      </w:r>
      <w:r>
        <w:rPr>
          <w:rFonts w:ascii="Calibri" w:hAnsi="Calibri"/>
          <w:noProof/>
        </w:rPr>
        <w:t>(Fernandez, Gillespie</w:t>
      </w:r>
      <w:r w:rsidRPr="003B010A">
        <w:rPr>
          <w:rFonts w:ascii="Calibri" w:hAnsi="Calibri"/>
          <w:i/>
          <w:noProof/>
        </w:rPr>
        <w:t xml:space="preserve"> et al.</w:t>
      </w:r>
      <w:r>
        <w:rPr>
          <w:rFonts w:ascii="Calibri" w:hAnsi="Calibri"/>
          <w:noProof/>
        </w:rPr>
        <w:t xml:space="preserve"> 2017)</w:t>
      </w:r>
      <w:r>
        <w:rPr>
          <w:rFonts w:ascii="Calibri" w:hAnsi="Calibri"/>
        </w:rPr>
        <w:t xml:space="preserve"> (</w:t>
      </w:r>
      <w:hyperlink r:id="rId15" w:history="1">
        <w:r w:rsidRPr="00A82432">
          <w:rPr>
            <w:rStyle w:val="Hyperlink"/>
            <w:rFonts w:ascii="Calibri" w:hAnsi="Calibri"/>
          </w:rPr>
          <w:t>https://rsph.anu.edu.au/research/projects/atlas-mental-health-care</w:t>
        </w:r>
      </w:hyperlink>
      <w:r>
        <w:rPr>
          <w:rFonts w:ascii="Calibri" w:hAnsi="Calibri"/>
        </w:rPr>
        <w:t xml:space="preserve">), and the International Classification of Health Interventions (ICHI) </w:t>
      </w:r>
      <w:r>
        <w:rPr>
          <w:rFonts w:ascii="Calibri" w:hAnsi="Calibri"/>
          <w:noProof/>
        </w:rPr>
        <w:t>(Castelpietra, Salvador-Carulla</w:t>
      </w:r>
      <w:r w:rsidRPr="003B010A">
        <w:rPr>
          <w:rFonts w:ascii="Calibri" w:hAnsi="Calibri"/>
          <w:i/>
          <w:noProof/>
        </w:rPr>
        <w:t xml:space="preserve"> et al.</w:t>
      </w:r>
      <w:r>
        <w:rPr>
          <w:rFonts w:ascii="Calibri" w:hAnsi="Calibri"/>
          <w:noProof/>
        </w:rPr>
        <w:t xml:space="preserve"> 2017)</w:t>
      </w:r>
      <w:r>
        <w:rPr>
          <w:rFonts w:ascii="Calibri" w:hAnsi="Calibri"/>
        </w:rPr>
        <w:t>.</w:t>
      </w:r>
      <w:r>
        <w:rPr>
          <w:rFonts w:eastAsia="Times New Roman"/>
        </w:rPr>
        <w:br w:type="page"/>
      </w:r>
    </w:p>
    <w:p w:rsidR="00ED7C4C" w:rsidRDefault="00ED7C4C" w:rsidP="00E224F0">
      <w:pPr>
        <w:spacing w:after="0" w:line="240" w:lineRule="auto"/>
        <w:rPr>
          <w:rFonts w:eastAsia="Times New Roman"/>
        </w:rPr>
        <w:sectPr w:rsidR="00ED7C4C" w:rsidSect="009F15F1">
          <w:footerReference w:type="default" r:id="rId16"/>
          <w:headerReference w:type="first" r:id="rId17"/>
          <w:pgSz w:w="12240" w:h="15840"/>
          <w:pgMar w:top="1247" w:right="1440" w:bottom="1247" w:left="1440" w:header="794" w:footer="709" w:gutter="0"/>
          <w:cols w:space="708"/>
          <w:titlePg/>
          <w:docGrid w:linePitch="360"/>
        </w:sectPr>
      </w:pPr>
    </w:p>
    <w:p w:rsidR="00ED7C4C" w:rsidRDefault="00ED7C4C" w:rsidP="00E224F0">
      <w:pPr>
        <w:spacing w:after="0" w:line="240" w:lineRule="auto"/>
        <w:rPr>
          <w:rFonts w:eastAsia="Times New Roman"/>
        </w:rPr>
      </w:pPr>
    </w:p>
    <w:p w:rsidR="00ED7C4C" w:rsidRDefault="00ED7C4C" w:rsidP="00E224F0">
      <w:pPr>
        <w:spacing w:after="0" w:line="240" w:lineRule="auto"/>
        <w:rPr>
          <w:rFonts w:eastAsia="Times New Roman"/>
        </w:rPr>
      </w:pPr>
    </w:p>
    <w:p w:rsidR="00ED7C4C" w:rsidRDefault="00ED7C4C" w:rsidP="00E224F0">
      <w:pPr>
        <w:spacing w:after="0" w:line="240" w:lineRule="auto"/>
        <w:rPr>
          <w:rFonts w:eastAsia="Times New Roman"/>
        </w:rPr>
      </w:pPr>
      <w:r w:rsidRPr="00E224F0">
        <w:rPr>
          <w:rFonts w:eastAsia="Times New Roman"/>
          <w:noProof/>
          <w:lang w:val="en-AU" w:eastAsia="en-AU"/>
        </w:rPr>
        <w:drawing>
          <wp:inline distT="0" distB="0" distL="0" distR="0" wp14:anchorId="451321C4" wp14:editId="5EF0AFEB">
            <wp:extent cx="8870868" cy="497205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7586" cy="4987025"/>
                    </a:xfrm>
                    <a:prstGeom prst="rect">
                      <a:avLst/>
                    </a:prstGeom>
                    <a:noFill/>
                    <a:ln>
                      <a:noFill/>
                    </a:ln>
                  </pic:spPr>
                </pic:pic>
              </a:graphicData>
            </a:graphic>
          </wp:inline>
        </w:drawing>
      </w:r>
    </w:p>
    <w:p w:rsidR="00ED7C4C" w:rsidRDefault="00ED7C4C" w:rsidP="00E224F0">
      <w:pPr>
        <w:pStyle w:val="ListParagraph"/>
        <w:rPr>
          <w:rFonts w:eastAsia="Times New Roman"/>
        </w:rPr>
      </w:pPr>
    </w:p>
    <w:p w:rsidR="00ED7C4C" w:rsidRDefault="00ED7C4C" w:rsidP="004E1806">
      <w:pPr>
        <w:spacing w:after="0" w:line="240" w:lineRule="auto"/>
        <w:sectPr w:rsidR="00ED7C4C" w:rsidSect="00173937">
          <w:pgSz w:w="16838" w:h="11906" w:orient="landscape"/>
          <w:pgMar w:top="1440" w:right="1440" w:bottom="1440" w:left="1440" w:header="708" w:footer="708" w:gutter="0"/>
          <w:cols w:space="708"/>
          <w:docGrid w:linePitch="360"/>
        </w:sectPr>
      </w:pPr>
    </w:p>
    <w:p w:rsidR="00ED7C4C" w:rsidRPr="00471D67" w:rsidRDefault="00ED7C4C" w:rsidP="00471D67">
      <w:pPr>
        <w:pStyle w:val="Heading1"/>
      </w:pPr>
      <w:r>
        <w:lastRenderedPageBreak/>
        <w:t>Specific mental health concerns</w:t>
      </w:r>
    </w:p>
    <w:p w:rsidR="00ED7C4C" w:rsidRDefault="00ED7C4C" w:rsidP="00471D67">
      <w:pPr>
        <w:spacing w:after="0" w:line="240" w:lineRule="auto"/>
      </w:pPr>
      <w:r>
        <w:t xml:space="preserve">The inquiry mentioned in Table 1 that the inclusion of substance use disorders is under consideration. There is significant comorbidity of substance use observed in people with mental illness </w:t>
      </w:r>
      <w:r>
        <w:rPr>
          <w:noProof/>
        </w:rPr>
        <w:t>(Merikangas, Mehta</w:t>
      </w:r>
      <w:r w:rsidRPr="003B010A">
        <w:rPr>
          <w:i/>
          <w:noProof/>
        </w:rPr>
        <w:t xml:space="preserve"> et al.</w:t>
      </w:r>
      <w:r>
        <w:rPr>
          <w:noProof/>
        </w:rPr>
        <w:t xml:space="preserve"> 1998, Gordon 2008)</w:t>
      </w:r>
      <w:r>
        <w:t xml:space="preserve"> which has implications for effective treatment approaches.</w:t>
      </w:r>
      <w:r w:rsidRPr="008D48B8">
        <w:t xml:space="preserve"> </w:t>
      </w:r>
      <w:r>
        <w:t xml:space="preserve">Treatments addressing substance use only, show improved outcomes for those who do not have co-morbid anxiety and/or depression and those that do; however those with co-morbid anxiety and/or depression continue to be more disabled and drink at riskier levels </w:t>
      </w:r>
      <w:r>
        <w:rPr>
          <w:noProof/>
        </w:rPr>
        <w:t>(Burns, Teesson</w:t>
      </w:r>
      <w:r w:rsidRPr="008D48B8">
        <w:rPr>
          <w:i/>
          <w:noProof/>
        </w:rPr>
        <w:t xml:space="preserve"> et al.</w:t>
      </w:r>
      <w:r>
        <w:rPr>
          <w:noProof/>
        </w:rPr>
        <w:t xml:space="preserve"> 2005)</w:t>
      </w:r>
      <w:r>
        <w:t>, highlighting the limitation of addressing substance use independently from anxiety and depression. We believe that in order to address mental health, substance use disorders need to be within the scope of the inquiry. Therefore we highly recommend that the Commission includes substance use disorders to ensure mental health is considered holistically.</w:t>
      </w:r>
    </w:p>
    <w:p w:rsidR="00ED7C4C" w:rsidRPr="00756262" w:rsidRDefault="00ED7C4C" w:rsidP="00471D67">
      <w:pPr>
        <w:spacing w:after="0" w:line="240" w:lineRule="auto"/>
      </w:pPr>
    </w:p>
    <w:p w:rsidR="00ED7C4C" w:rsidRDefault="00ED7C4C" w:rsidP="00471D67">
      <w:pPr>
        <w:spacing w:after="0" w:line="240" w:lineRule="auto"/>
      </w:pPr>
      <w:r>
        <w:t xml:space="preserve">In addition, while the report considers comorbidity of mental disorders with physical disorders, it makes no mention of comorbidity within mental disorders. Comorbidity of mental disorders is common with one in four people with a mental disorder experiencing more than one disorder </w:t>
      </w:r>
      <w:r>
        <w:rPr>
          <w:noProof/>
        </w:rPr>
        <w:t>(Kessler, Chiu</w:t>
      </w:r>
      <w:r w:rsidRPr="003B010A">
        <w:rPr>
          <w:i/>
          <w:noProof/>
        </w:rPr>
        <w:t xml:space="preserve"> et al.</w:t>
      </w:r>
      <w:r>
        <w:rPr>
          <w:noProof/>
        </w:rPr>
        <w:t xml:space="preserve"> 2005, Teesson, Slade</w:t>
      </w:r>
      <w:r w:rsidRPr="003B010A">
        <w:rPr>
          <w:i/>
          <w:noProof/>
        </w:rPr>
        <w:t xml:space="preserve"> et al.</w:t>
      </w:r>
      <w:r>
        <w:rPr>
          <w:noProof/>
        </w:rPr>
        <w:t xml:space="preserve"> 2009)</w:t>
      </w:r>
      <w:r>
        <w:t>. In light of this, it will be important for the Commission to consider mental disorder comorbidity.</w:t>
      </w:r>
    </w:p>
    <w:p w:rsidR="00ED7C4C" w:rsidRPr="002066D0" w:rsidRDefault="00ED7C4C" w:rsidP="004E1806">
      <w:pPr>
        <w:spacing w:after="0" w:line="240" w:lineRule="auto"/>
      </w:pPr>
    </w:p>
    <w:p w:rsidR="00ED7C4C" w:rsidRPr="00471D67" w:rsidRDefault="00ED7C4C" w:rsidP="00471D67">
      <w:pPr>
        <w:pStyle w:val="Heading1"/>
      </w:pPr>
      <w:r w:rsidRPr="00471D67">
        <w:t>Young people</w:t>
      </w:r>
    </w:p>
    <w:p w:rsidR="00ED7C4C" w:rsidRDefault="00ED7C4C" w:rsidP="00471D67">
      <w:pPr>
        <w:spacing w:after="0" w:line="240" w:lineRule="auto"/>
      </w:pPr>
      <w:r>
        <w:t>We are in support of the inquiry’s focus on the mental health of young people. Our experience of delivering research programs in schools has highlighted that more support is required to improve the mental health of students. There is a considerable amount of psychological distress in the high school age, resulting in increased burden for teachers and mental health and wellbeing staff.</w:t>
      </w:r>
    </w:p>
    <w:p w:rsidR="00ED7C4C" w:rsidRDefault="00ED7C4C" w:rsidP="00471D67">
      <w:pPr>
        <w:spacing w:after="0" w:line="240" w:lineRule="auto"/>
      </w:pPr>
    </w:p>
    <w:p w:rsidR="00ED7C4C" w:rsidRDefault="00ED7C4C" w:rsidP="00471D67">
      <w:pPr>
        <w:spacing w:after="0" w:line="240" w:lineRule="auto"/>
      </w:pPr>
      <w:r>
        <w:t xml:space="preserve">We acknowledge that there are a number of mental health and wellbeing programs on offer for schools to select from. However, the evidence-base for these programs is varied and the importance of selecting programs with a strong evidence-based must be emphasised with schools. Several systematic reviews, including those authored by academics at the Centre </w:t>
      </w:r>
      <w:r>
        <w:rPr>
          <w:noProof/>
        </w:rPr>
        <w:t>(Neil and Christensen 2009, Calear and Christensen 2010, Werner-Seidler, Perry</w:t>
      </w:r>
      <w:r w:rsidRPr="003B010A">
        <w:rPr>
          <w:i/>
          <w:noProof/>
        </w:rPr>
        <w:t xml:space="preserve"> et al.</w:t>
      </w:r>
      <w:r>
        <w:rPr>
          <w:noProof/>
        </w:rPr>
        <w:t xml:space="preserve"> 2017)</w:t>
      </w:r>
      <w:r>
        <w:t xml:space="preserve"> are available that collate the evidence for school-based prevention and early intervention programs for depression and anxiety and identify those programs that have evidence of significantly reducing and/or preventing symptoms of anxiety and/or depression. A number of the programs with a strong evidence-base have been developed and evaluated in Australia, including FRIENDS (</w:t>
      </w:r>
      <w:hyperlink r:id="rId19" w:history="1">
        <w:r>
          <w:rPr>
            <w:rStyle w:val="Hyperlink"/>
          </w:rPr>
          <w:t>https://www.friendsresilience.org/about-us/</w:t>
        </w:r>
      </w:hyperlink>
      <w:r>
        <w:t xml:space="preserve">) </w:t>
      </w:r>
      <w:r>
        <w:rPr>
          <w:noProof/>
        </w:rPr>
        <w:t>(Shortt, Barrett</w:t>
      </w:r>
      <w:r w:rsidRPr="003B010A">
        <w:rPr>
          <w:i/>
          <w:noProof/>
        </w:rPr>
        <w:t xml:space="preserve"> et al.</w:t>
      </w:r>
      <w:r>
        <w:rPr>
          <w:noProof/>
        </w:rPr>
        <w:t xml:space="preserve"> 2001)</w:t>
      </w:r>
      <w:r>
        <w:t>, Cool Kids (</w:t>
      </w:r>
      <w:hyperlink r:id="rId20" w:history="1">
        <w:r w:rsidRPr="00F358E2">
          <w:rPr>
            <w:rStyle w:val="Hyperlink"/>
            <w:noProof/>
          </w:rPr>
          <w:t>https://www.mq.edu.au/about/campus-services-and-facilities/hospital-and-clinics/centre-for-emotional-health-clinic/programs-for-children-and-teenagers</w:t>
        </w:r>
      </w:hyperlink>
      <w:r>
        <w:rPr>
          <w:noProof/>
        </w:rPr>
        <w:t xml:space="preserve">), </w:t>
      </w:r>
      <w:proofErr w:type="spellStart"/>
      <w:r>
        <w:t>MoodGYM</w:t>
      </w:r>
      <w:proofErr w:type="spellEnd"/>
      <w:r>
        <w:t xml:space="preserve"> (</w:t>
      </w:r>
      <w:hyperlink r:id="rId21" w:history="1">
        <w:r>
          <w:rPr>
            <w:rStyle w:val="Hyperlink"/>
          </w:rPr>
          <w:t>https://moodgym.com.au/</w:t>
        </w:r>
      </w:hyperlink>
      <w:r>
        <w:t xml:space="preserve">), and SPARX-R </w:t>
      </w:r>
      <w:r>
        <w:rPr>
          <w:noProof/>
        </w:rPr>
        <w:t>(Perry, Werner-Seidler</w:t>
      </w:r>
      <w:r w:rsidRPr="003B010A">
        <w:rPr>
          <w:i/>
          <w:noProof/>
        </w:rPr>
        <w:t xml:space="preserve"> et al.</w:t>
      </w:r>
      <w:r>
        <w:rPr>
          <w:noProof/>
        </w:rPr>
        <w:t xml:space="preserve"> 2017)</w:t>
      </w:r>
      <w:r>
        <w:t xml:space="preserve">.  </w:t>
      </w:r>
      <w:proofErr w:type="spellStart"/>
      <w:r>
        <w:t>MoodGYM</w:t>
      </w:r>
      <w:proofErr w:type="spellEnd"/>
      <w:r>
        <w:t xml:space="preserve"> and SPARX-R are online depression prevention programs that have the added advantage of reducing teacher burden by offering automated programs that don’t require teacher training or expertise in mental health. The active promotion of evidence-based mental health prevention programs in schools is needed in Australia, rather than the provision of an exhaustive list of program with no assessment of their quality or effectiveness.</w:t>
      </w:r>
    </w:p>
    <w:p w:rsidR="00ED7C4C" w:rsidRDefault="00ED7C4C" w:rsidP="00471D67">
      <w:pPr>
        <w:spacing w:after="0" w:line="240" w:lineRule="auto"/>
      </w:pPr>
    </w:p>
    <w:p w:rsidR="00ED7C4C" w:rsidRDefault="00ED7C4C" w:rsidP="00471D67">
      <w:pPr>
        <w:spacing w:after="0" w:line="240" w:lineRule="auto"/>
      </w:pPr>
      <w:r>
        <w:t xml:space="preserve">The delivery of treatment programs for child and adolescent anxiety and depression via the Internet also holds a lot of promise. A recent review </w:t>
      </w:r>
      <w:r>
        <w:rPr>
          <w:noProof/>
        </w:rPr>
        <w:t>(Ebert, Zarski</w:t>
      </w:r>
      <w:r w:rsidRPr="003B010A">
        <w:rPr>
          <w:i/>
          <w:noProof/>
        </w:rPr>
        <w:t xml:space="preserve"> et al.</w:t>
      </w:r>
      <w:r>
        <w:rPr>
          <w:noProof/>
        </w:rPr>
        <w:t xml:space="preserve"> 2015)</w:t>
      </w:r>
      <w:r>
        <w:t xml:space="preserve"> has highlighted a number of effective online interventions to treat anxiety and depression. Programs with strong or growing evidence in Australia include the BRAVE online programs (</w:t>
      </w:r>
      <w:hyperlink r:id="rId22" w:history="1">
        <w:r w:rsidRPr="00472A99">
          <w:rPr>
            <w:rStyle w:val="Hyperlink"/>
          </w:rPr>
          <w:t>http://www.brave-online.com/</w:t>
        </w:r>
      </w:hyperlink>
      <w:r>
        <w:t>), Cool Kids and Chilled Out (</w:t>
      </w:r>
      <w:hyperlink r:id="rId23" w:history="1">
        <w:r w:rsidRPr="0074515B">
          <w:rPr>
            <w:rStyle w:val="Hyperlink"/>
          </w:rPr>
          <w:t>https://www.mq.edu.au/about/campus-services-and-facilities/hospital-and-clinics/centre-for-emotional-health-clinic/programs-for-children-and-teenagers</w:t>
        </w:r>
      </w:hyperlink>
      <w:r>
        <w:t xml:space="preserve"> ). Programs </w:t>
      </w:r>
      <w:r>
        <w:lastRenderedPageBreak/>
        <w:t>targeting parents of younger children (3-6 years) are also available (Cool Little Kids and Brave for Young Children) to assist parents in supporting a child presenting with early symptoms of anxiety. The provision of online treatment programs, as well as face-to-face interventions, is important. Online interventions provide parents and children with an alternative to face-to-face services, which may be necessary due to limited time during the work day to access services, the inaccessibility of services in some regions, long waiting lists and the high costs associated with some services. The active promotion of online programs to the Australian public through general practice, pharmacies and mainstream media may assist in increasing access to psychological treatment in this population.</w:t>
      </w:r>
    </w:p>
    <w:p w:rsidR="00ED7C4C" w:rsidRDefault="00ED7C4C" w:rsidP="00471D67">
      <w:pPr>
        <w:spacing w:after="0" w:line="240" w:lineRule="auto"/>
      </w:pPr>
    </w:p>
    <w:p w:rsidR="00ED7C4C" w:rsidRDefault="00ED7C4C" w:rsidP="00471D67">
      <w:pPr>
        <w:spacing w:after="0" w:line="240" w:lineRule="auto"/>
      </w:pPr>
      <w:r>
        <w:t xml:space="preserve">The promotion of resilience and help-seeking behaviour in young people is also very important. One overseas program shown to be effective in supporting youth mental health in educational settings is Sources of Strength. This program was developed in the United States and uses a social connectedness approach to promote positive coping and help-seeking from trusted adults to reduce psychological distress and suicide </w:t>
      </w:r>
      <w:r>
        <w:rPr>
          <w:noProof/>
        </w:rPr>
        <w:t>(Wyman, Brown</w:t>
      </w:r>
      <w:r w:rsidRPr="003B010A">
        <w:rPr>
          <w:i/>
          <w:noProof/>
        </w:rPr>
        <w:t xml:space="preserve"> et al.</w:t>
      </w:r>
      <w:r>
        <w:rPr>
          <w:noProof/>
        </w:rPr>
        <w:t xml:space="preserve"> 2010)</w:t>
      </w:r>
      <w:r>
        <w:t xml:space="preserve">. Within the general school population, an evaluation of the program through a randomised controlled trial has found that the program increased acceptability of help seeking and improved student perceptions of support from adults for suicidal youth. We are currently trialling this program within an Australian context and aim to have results available at the end of the year </w:t>
      </w:r>
      <w:r>
        <w:rPr>
          <w:noProof/>
        </w:rPr>
        <w:t>(Calear, Brewer</w:t>
      </w:r>
      <w:r w:rsidRPr="003B010A">
        <w:rPr>
          <w:i/>
          <w:noProof/>
        </w:rPr>
        <w:t xml:space="preserve"> et al.</w:t>
      </w:r>
      <w:r>
        <w:rPr>
          <w:noProof/>
        </w:rPr>
        <w:t xml:space="preserve"> 2016)</w:t>
      </w:r>
      <w:r>
        <w:t xml:space="preserve">. Relatedly, it is also essential that parents, teachers and other gatekeepers of care for young people are offered adequate information and training to support the mental health of young people. </w:t>
      </w:r>
    </w:p>
    <w:p w:rsidR="00ED7C4C" w:rsidRDefault="00ED7C4C" w:rsidP="004E1806">
      <w:pPr>
        <w:spacing w:after="0" w:line="240" w:lineRule="auto"/>
        <w:ind w:firstLine="720"/>
      </w:pPr>
    </w:p>
    <w:p w:rsidR="00ED7C4C" w:rsidRPr="00AE47EE" w:rsidRDefault="00ED7C4C" w:rsidP="00471D67">
      <w:pPr>
        <w:spacing w:after="0" w:line="240" w:lineRule="auto"/>
      </w:pPr>
      <w:r>
        <w:t xml:space="preserve">Lastly, the provision of mental health prevention programs is needed at both the primary and secondary school level. Intervening with young people early will likely prevent the progression of early symptoms of anxiety and depression into clinically diagnosable conditions and will teach skills that will protect young people from developing anxiety and depressive disorders in response to traumatic or stressful life events. One primary-school based program that has shown protective effects for mental health over the longer-term is the Good Behaviour Game (GBG).  The GBG is based on the principle of behavioural and emotional regulation through delayed, shared reward (positive reinforcement) and was developed to reduce the life-long risk of mental disorders, improve behavioural problems and improve academic outcomes. </w:t>
      </w:r>
      <w:r w:rsidRPr="00AE47EE">
        <w:t xml:space="preserve">Previous </w:t>
      </w:r>
      <w:r>
        <w:t xml:space="preserve">international </w:t>
      </w:r>
      <w:r w:rsidRPr="00AE47EE">
        <w:t>studies</w:t>
      </w:r>
      <w:r>
        <w:t xml:space="preserve"> of GBG</w:t>
      </w:r>
      <w:r w:rsidRPr="00AE47EE">
        <w:t xml:space="preserve"> have </w:t>
      </w:r>
      <w:r>
        <w:t>shown</w:t>
      </w:r>
      <w:r w:rsidRPr="00AE47EE">
        <w:t xml:space="preserve"> short-term benefits including improved academic skills and reduced disruptive behaviours (e.g., aggression, verbal interruptions and out-of-seat behaviours</w:t>
      </w:r>
      <w:r>
        <w:t xml:space="preserve">), while </w:t>
      </w:r>
      <w:r w:rsidRPr="00AE47EE">
        <w:t xml:space="preserve">longitudinal studies </w:t>
      </w:r>
      <w:r>
        <w:t>have demonstrated reductions in</w:t>
      </w:r>
      <w:r w:rsidRPr="00AE47EE">
        <w:t xml:space="preserve"> smoking, substance abuse, psychological service use and suicidal ideation</w:t>
      </w:r>
      <w:r>
        <w:t xml:space="preserve"> </w:t>
      </w:r>
      <w:r>
        <w:rPr>
          <w:noProof/>
        </w:rPr>
        <w:t>(Wilcox, Kellam</w:t>
      </w:r>
      <w:r w:rsidRPr="003B010A">
        <w:rPr>
          <w:i/>
          <w:noProof/>
        </w:rPr>
        <w:t xml:space="preserve"> et al.</w:t>
      </w:r>
      <w:r>
        <w:rPr>
          <w:noProof/>
        </w:rPr>
        <w:t xml:space="preserve"> 2008, Kellam, Mackenzie</w:t>
      </w:r>
      <w:r w:rsidRPr="003B010A">
        <w:rPr>
          <w:i/>
          <w:noProof/>
        </w:rPr>
        <w:t xml:space="preserve"> et al.</w:t>
      </w:r>
      <w:r>
        <w:rPr>
          <w:noProof/>
        </w:rPr>
        <w:t xml:space="preserve"> 2011, Nolan, Houlihan</w:t>
      </w:r>
      <w:r w:rsidRPr="003B010A">
        <w:rPr>
          <w:i/>
          <w:noProof/>
        </w:rPr>
        <w:t xml:space="preserve"> et al.</w:t>
      </w:r>
      <w:r>
        <w:rPr>
          <w:noProof/>
        </w:rPr>
        <w:t xml:space="preserve"> 2014)</w:t>
      </w:r>
      <w:r>
        <w:t>. A feasibility trial of GBG in Australia was recently undertaken by the Black Dog Institute. GBG demonstrates that early intervention, with Year two students, can have longer-term benefits and effect on mental health and should be strongly considered as a preventative approach to youth mental health problems in Australia.</w:t>
      </w:r>
    </w:p>
    <w:p w:rsidR="00ED7C4C" w:rsidRPr="002066D0" w:rsidRDefault="00ED7C4C" w:rsidP="004E1806">
      <w:pPr>
        <w:spacing w:after="0" w:line="240" w:lineRule="auto"/>
      </w:pPr>
    </w:p>
    <w:p w:rsidR="00ED7C4C" w:rsidRPr="00471D67" w:rsidRDefault="00ED7C4C" w:rsidP="00471D67">
      <w:pPr>
        <w:pStyle w:val="Heading1"/>
      </w:pPr>
      <w:r>
        <w:t>Ensuring s</w:t>
      </w:r>
      <w:r w:rsidRPr="00471D67">
        <w:t>trong policy framework and good governance</w:t>
      </w:r>
    </w:p>
    <w:p w:rsidR="00ED7C4C" w:rsidRDefault="00ED7C4C" w:rsidP="00FC3E3B">
      <w:pPr>
        <w:spacing w:after="0" w:line="240" w:lineRule="auto"/>
      </w:pPr>
      <w:r>
        <w:t xml:space="preserve">CMHR is a regular contributor to national mental health policy debate, participating in state and federal government activities, as well as through Mental Health Australia.  It is our strong belief that this policy development process should be as broad as possible, engaging both professional and lived experience, if mental health outcomes are to be fundamentally improved.  </w:t>
      </w:r>
    </w:p>
    <w:p w:rsidR="00ED7C4C" w:rsidRPr="002066D0" w:rsidRDefault="00ED7C4C" w:rsidP="004E1806">
      <w:pPr>
        <w:spacing w:after="0" w:line="240" w:lineRule="auto"/>
      </w:pPr>
    </w:p>
    <w:p w:rsidR="00ED7C4C" w:rsidRDefault="00ED7C4C">
      <w:pPr>
        <w:rPr>
          <w:rFonts w:eastAsiaTheme="majorEastAsia" w:cstheme="majorBidi"/>
          <w:b/>
          <w:sz w:val="28"/>
          <w:szCs w:val="32"/>
        </w:rPr>
      </w:pPr>
      <w:r>
        <w:br w:type="page"/>
      </w:r>
    </w:p>
    <w:p w:rsidR="00ED7C4C" w:rsidRPr="00471D67" w:rsidRDefault="00ED7C4C" w:rsidP="00471D67">
      <w:pPr>
        <w:pStyle w:val="Heading1"/>
      </w:pPr>
      <w:r w:rsidRPr="00471D67">
        <w:lastRenderedPageBreak/>
        <w:t>Suggestions to develop actionable policy to guide effective practice</w:t>
      </w:r>
    </w:p>
    <w:p w:rsidR="00ED7C4C" w:rsidRDefault="00ED7C4C" w:rsidP="00C668DE">
      <w:pPr>
        <w:spacing w:after="0" w:line="240" w:lineRule="auto"/>
      </w:pPr>
      <w:r>
        <w:t xml:space="preserve">The Learning and Development Unit at CMHR attempts to promote translational research in several ways.  First, we are establishing the </w:t>
      </w:r>
      <w:r w:rsidRPr="00C668DE">
        <w:t>Expert Career Pathway (ECP) Health Systems Doctoral Program</w:t>
      </w:r>
      <w:r>
        <w:t xml:space="preserve">, a new </w:t>
      </w:r>
      <w:r w:rsidRPr="00C668DE">
        <w:t>pathway for structured support for experienced workers to convert workplace expertise into tertiary qualifications</w:t>
      </w:r>
      <w:r>
        <w:t>.  By studying topics of real world concern, the Pathway aims to make the process of PhD qualification mutually benefi</w:t>
      </w:r>
      <w:r w:rsidRPr="00C668DE">
        <w:t>cial to academia and workplaces</w:t>
      </w:r>
      <w:r>
        <w:t xml:space="preserve">.  Our focus is on </w:t>
      </w:r>
      <w:r w:rsidRPr="00C668DE">
        <w:t>health systems translation to policy makers, planners and practitioners in the public sector – including mental health</w:t>
      </w:r>
      <w:r>
        <w:t>.</w:t>
      </w:r>
    </w:p>
    <w:p w:rsidR="00ED7C4C" w:rsidRDefault="00ED7C4C" w:rsidP="00C668DE">
      <w:pPr>
        <w:spacing w:after="0" w:line="240" w:lineRule="auto"/>
      </w:pPr>
    </w:p>
    <w:p w:rsidR="00ED7C4C" w:rsidRDefault="00ED7C4C" w:rsidP="00C668DE">
      <w:pPr>
        <w:spacing w:after="0" w:line="240" w:lineRule="auto"/>
      </w:pPr>
      <w:r>
        <w:t xml:space="preserve">The Unit also runs a seminar series, in partnership with </w:t>
      </w:r>
      <w:r w:rsidRPr="00C668DE">
        <w:t xml:space="preserve">the Australian Health and Hospital Association, </w:t>
      </w:r>
      <w:r>
        <w:t xml:space="preserve">offering </w:t>
      </w:r>
      <w:r w:rsidRPr="00C668DE">
        <w:t>national and international speaker</w:t>
      </w:r>
      <w:r>
        <w:t>s</w:t>
      </w:r>
      <w:r w:rsidRPr="00C668DE">
        <w:t xml:space="preserve"> </w:t>
      </w:r>
      <w:r>
        <w:t>the chance to engage with local and national mental health organisations.  We have very strong relationships with key local organisations, primary health networks, community groups, consumer and carer bodies and others.  Engagement and partnership with these organisations and groups strengthens the research conducted at CMHR by incorporating expert knowledge into the scientific processes and output.</w:t>
      </w:r>
    </w:p>
    <w:p w:rsidR="00ED7C4C" w:rsidRPr="00C668DE" w:rsidRDefault="00ED7C4C" w:rsidP="00C668DE">
      <w:pPr>
        <w:spacing w:after="0" w:line="240" w:lineRule="auto"/>
      </w:pPr>
    </w:p>
    <w:p w:rsidR="00ED7C4C" w:rsidRPr="00471D67" w:rsidRDefault="00ED7C4C" w:rsidP="00471D67">
      <w:pPr>
        <w:pStyle w:val="Heading1"/>
      </w:pPr>
      <w:r w:rsidRPr="00471D67">
        <w:t>Measurement and reporting of outcomes</w:t>
      </w:r>
    </w:p>
    <w:p w:rsidR="00ED7C4C" w:rsidRDefault="00ED7C4C" w:rsidP="00471D67">
      <w:pPr>
        <w:spacing w:after="0" w:line="240" w:lineRule="auto"/>
        <w:jc w:val="both"/>
      </w:pPr>
      <w:r>
        <w:t xml:space="preserve">Many population-based measurement tools are used because they are familiar, rather than having optimal measurement properties for assessing clinical outcomes. Our team has developed rigorous new approaches to assessing a range of mental health outcomes in the community </w:t>
      </w:r>
      <w:r>
        <w:rPr>
          <w:noProof/>
        </w:rPr>
        <w:t>(Rosenberg, Hickie</w:t>
      </w:r>
      <w:r w:rsidRPr="002C2037">
        <w:rPr>
          <w:i/>
          <w:noProof/>
        </w:rPr>
        <w:t xml:space="preserve"> et al.</w:t>
      </w:r>
      <w:r>
        <w:rPr>
          <w:noProof/>
        </w:rPr>
        <w:t xml:space="preserve"> 2015)</w:t>
      </w:r>
      <w:r>
        <w:t xml:space="preserve">, resulting in more efficient and precise measurement tools that are freely available for use in clinical, community and research settings. Brief and accurate measures of distress, internalising psychopathology and specific anxiety and mood disorders are now available for use </w:t>
      </w:r>
      <w:r>
        <w:rPr>
          <w:noProof/>
        </w:rPr>
        <w:t>(van Spijker, Batterham</w:t>
      </w:r>
      <w:r w:rsidRPr="003B010A">
        <w:rPr>
          <w:i/>
          <w:noProof/>
        </w:rPr>
        <w:t xml:space="preserve"> et al.</w:t>
      </w:r>
      <w:r>
        <w:rPr>
          <w:noProof/>
        </w:rPr>
        <w:t xml:space="preserve"> 2014, Batterham, Mackinnon</w:t>
      </w:r>
      <w:r w:rsidRPr="003B010A">
        <w:rPr>
          <w:i/>
          <w:noProof/>
        </w:rPr>
        <w:t xml:space="preserve"> et al.</w:t>
      </w:r>
      <w:r>
        <w:rPr>
          <w:noProof/>
        </w:rPr>
        <w:t xml:space="preserve"> 2015, Batterham, Mackinnon</w:t>
      </w:r>
      <w:r w:rsidRPr="003B010A">
        <w:rPr>
          <w:i/>
          <w:noProof/>
        </w:rPr>
        <w:t xml:space="preserve"> et al.</w:t>
      </w:r>
      <w:r>
        <w:rPr>
          <w:noProof/>
        </w:rPr>
        <w:t xml:space="preserve"> 2016, Batterham, Sunderland</w:t>
      </w:r>
      <w:r w:rsidRPr="003B010A">
        <w:rPr>
          <w:i/>
          <w:noProof/>
        </w:rPr>
        <w:t xml:space="preserve"> et al.</w:t>
      </w:r>
      <w:r>
        <w:rPr>
          <w:noProof/>
        </w:rPr>
        <w:t xml:space="preserve"> 2016a, Batterham, Sunderland</w:t>
      </w:r>
      <w:r w:rsidRPr="003B010A">
        <w:rPr>
          <w:i/>
          <w:noProof/>
        </w:rPr>
        <w:t xml:space="preserve"> et al.</w:t>
      </w:r>
      <w:r>
        <w:rPr>
          <w:noProof/>
        </w:rPr>
        <w:t xml:space="preserve"> 2016b)</w:t>
      </w:r>
      <w:r>
        <w:t>. Our tools are being implemented in a range of settings to more accurately screen individuals who may be at risk for mental illness or suicide, tailor treatments to symptom patterns and monitor individual mental health over time.</w:t>
      </w:r>
    </w:p>
    <w:p w:rsidR="00ED7C4C" w:rsidRDefault="00ED7C4C" w:rsidP="004E1806">
      <w:pPr>
        <w:spacing w:after="0" w:line="240" w:lineRule="auto"/>
        <w:ind w:firstLine="709"/>
      </w:pPr>
    </w:p>
    <w:p w:rsidR="00ED7C4C" w:rsidRDefault="00ED7C4C" w:rsidP="004E1806">
      <w:pPr>
        <w:spacing w:after="0" w:line="240" w:lineRule="auto"/>
      </w:pPr>
      <w:r>
        <w:t xml:space="preserve">CMHR has a focus on mental health and accountability – attempting to discern whether the mental health care provided to Australians is working </w:t>
      </w:r>
      <w:r>
        <w:rPr>
          <w:noProof/>
        </w:rPr>
        <w:t>(Rosenberg and Salvador-Carulla 2017)</w:t>
      </w:r>
      <w:r>
        <w:t>. CMHR has also developed close relationships with a range of international organisations interested in better using big data sets to track and report population mental health, including INSERM in France, the University of Loyola in Spain and the University College of London (UK).  CMHR is working with these partners to look for opportunities to test and trial tools already working in Europe designed to monitor outcomes and improve decision-making.</w:t>
      </w:r>
    </w:p>
    <w:p w:rsidR="00ED7C4C" w:rsidRDefault="00ED7C4C">
      <w:pPr>
        <w:rPr>
          <w:b/>
        </w:rPr>
      </w:pPr>
      <w:r>
        <w:rPr>
          <w:b/>
        </w:rPr>
        <w:br w:type="page"/>
      </w:r>
    </w:p>
    <w:p w:rsidR="00ED7C4C" w:rsidRPr="00DB2734" w:rsidRDefault="00ED7C4C" w:rsidP="00471D67">
      <w:pPr>
        <w:pStyle w:val="Heading1"/>
      </w:pPr>
      <w:r>
        <w:lastRenderedPageBreak/>
        <w:t>References</w:t>
      </w:r>
    </w:p>
    <w:p w:rsidR="00ED7C4C" w:rsidRPr="00202BD5" w:rsidRDefault="00ED7C4C" w:rsidP="000A0D2D">
      <w:pPr>
        <w:pStyle w:val="EndNoteBibliography"/>
        <w:spacing w:after="220"/>
      </w:pPr>
      <w:r w:rsidRPr="00202BD5">
        <w:t>Australian Government (2017). National Strategic Framework for Aboriginal and Torres Strait Islander People's Mental Health and Social and Emotional Wellbeing: 2017-2023. Canberra, Commonwealth of Australia.</w:t>
      </w:r>
    </w:p>
    <w:p w:rsidR="00ED7C4C" w:rsidRPr="00202BD5" w:rsidRDefault="00ED7C4C" w:rsidP="000A0D2D">
      <w:pPr>
        <w:pStyle w:val="EndNoteBibliography"/>
        <w:spacing w:after="220"/>
      </w:pPr>
      <w:r w:rsidRPr="00202BD5">
        <w:t>Australian Institute of Aboriginal and Torres Strait Islander Studies (2010). Guidelines for ethical research in Australian Indigenous studies. Canberra, Australian Institute of Aboriginal and Torres Strait Islander Studies.</w:t>
      </w:r>
    </w:p>
    <w:p w:rsidR="00ED7C4C" w:rsidRPr="00202BD5" w:rsidRDefault="00ED7C4C" w:rsidP="000A0D2D">
      <w:pPr>
        <w:pStyle w:val="EndNoteBibliography"/>
        <w:spacing w:after="220"/>
      </w:pPr>
      <w:r w:rsidRPr="00202BD5">
        <w:t xml:space="preserve">Batterham, P. J., A. J. Mackinnon and H. Christensen (2015). "The panic disorder screener (PADIS): Development of an accurate and brief population screening tool." </w:t>
      </w:r>
      <w:r w:rsidRPr="00202BD5">
        <w:rPr>
          <w:u w:val="single"/>
        </w:rPr>
        <w:t>Psychiatry Research</w:t>
      </w:r>
      <w:r w:rsidRPr="00202BD5">
        <w:t xml:space="preserve"> </w:t>
      </w:r>
      <w:r w:rsidRPr="00202BD5">
        <w:rPr>
          <w:b/>
        </w:rPr>
        <w:t>228</w:t>
      </w:r>
      <w:r w:rsidRPr="00202BD5">
        <w:t>(1): 72-76.</w:t>
      </w:r>
    </w:p>
    <w:p w:rsidR="00ED7C4C" w:rsidRPr="00202BD5" w:rsidRDefault="00ED7C4C" w:rsidP="000A0D2D">
      <w:pPr>
        <w:pStyle w:val="EndNoteBibliography"/>
        <w:spacing w:after="220"/>
      </w:pPr>
      <w:r w:rsidRPr="00202BD5">
        <w:t xml:space="preserve">Batterham, P. J., A. J. Mackinnon and H. Christensen (2016). "Community-Based Validation of the Social Phobia Screener (SOPHS)." </w:t>
      </w:r>
      <w:r w:rsidRPr="00202BD5">
        <w:rPr>
          <w:u w:val="single"/>
        </w:rPr>
        <w:t>Assessment</w:t>
      </w:r>
      <w:r w:rsidRPr="00202BD5">
        <w:t xml:space="preserve"> </w:t>
      </w:r>
      <w:r w:rsidRPr="00202BD5">
        <w:rPr>
          <w:b/>
        </w:rPr>
        <w:t>24</w:t>
      </w:r>
      <w:r w:rsidRPr="00202BD5">
        <w:t>(7): 958-969.</w:t>
      </w:r>
    </w:p>
    <w:p w:rsidR="00ED7C4C" w:rsidRPr="00202BD5" w:rsidRDefault="00ED7C4C" w:rsidP="000A0D2D">
      <w:pPr>
        <w:pStyle w:val="EndNoteBibliography"/>
        <w:spacing w:after="220"/>
      </w:pPr>
      <w:r w:rsidRPr="00202BD5">
        <w:t xml:space="preserve">Batterham, P. J., M. Sunderland, N. Carragher and A. L. Calear (2016a). "Development and community-based validation of eight item banks to assess mental health." </w:t>
      </w:r>
      <w:r w:rsidRPr="00202BD5">
        <w:rPr>
          <w:u w:val="single"/>
        </w:rPr>
        <w:t>Psychiatry Research</w:t>
      </w:r>
      <w:r w:rsidRPr="00202BD5">
        <w:t xml:space="preserve"> </w:t>
      </w:r>
      <w:r w:rsidRPr="00202BD5">
        <w:rPr>
          <w:b/>
        </w:rPr>
        <w:t>243</w:t>
      </w:r>
      <w:r w:rsidRPr="00202BD5">
        <w:t>: 453-462.</w:t>
      </w:r>
    </w:p>
    <w:p w:rsidR="00ED7C4C" w:rsidRPr="00202BD5" w:rsidRDefault="00ED7C4C" w:rsidP="000A0D2D">
      <w:pPr>
        <w:pStyle w:val="EndNoteBibliography"/>
        <w:spacing w:after="220"/>
      </w:pPr>
      <w:r w:rsidRPr="00202BD5">
        <w:t xml:space="preserve">Batterham, P. J., M. Sunderland, N. Carragher, A. L. Calear, A. J. Mackinnon and T. Slade (2016b). "The Distress Questionnaire-5: Population screener for psychological distress was more accurate than the K6/K10." </w:t>
      </w:r>
      <w:r w:rsidRPr="00202BD5">
        <w:rPr>
          <w:u w:val="single"/>
        </w:rPr>
        <w:t>Journal of Clinical Epidemiology</w:t>
      </w:r>
      <w:r w:rsidRPr="00202BD5">
        <w:t xml:space="preserve"> </w:t>
      </w:r>
      <w:r w:rsidRPr="00202BD5">
        <w:rPr>
          <w:b/>
        </w:rPr>
        <w:t>71</w:t>
      </w:r>
      <w:r w:rsidRPr="00202BD5">
        <w:t>: 35-42.</w:t>
      </w:r>
    </w:p>
    <w:p w:rsidR="00ED7C4C" w:rsidRPr="00202BD5" w:rsidRDefault="00ED7C4C" w:rsidP="000A0D2D">
      <w:pPr>
        <w:pStyle w:val="EndNoteBibliography"/>
        <w:spacing w:after="220"/>
      </w:pPr>
      <w:r w:rsidRPr="00202BD5">
        <w:t xml:space="preserve">Burns, L., M. Teesson and K. O'Neill (2005). "The impact of comorbid anxiety and depression on alcohol treatment outcomes."  </w:t>
      </w:r>
      <w:r w:rsidRPr="00202BD5">
        <w:rPr>
          <w:b/>
        </w:rPr>
        <w:t>100</w:t>
      </w:r>
      <w:r w:rsidRPr="00202BD5">
        <w:t>(6): 787-796.</w:t>
      </w:r>
    </w:p>
    <w:p w:rsidR="00ED7C4C" w:rsidRPr="00202BD5" w:rsidRDefault="00ED7C4C" w:rsidP="000A0D2D">
      <w:pPr>
        <w:pStyle w:val="EndNoteBibliography"/>
        <w:spacing w:after="220"/>
      </w:pPr>
      <w:r w:rsidRPr="00202BD5">
        <w:t xml:space="preserve">Calabria, B., A. Clifford, M. Rose and A. P. Shakeshaft (2014). "Tailoring a family-based alcohol intervention for Aboriginal Australians, and the experiences and perceptions of health care providers trained in its delivery." </w:t>
      </w:r>
      <w:r w:rsidRPr="00202BD5">
        <w:rPr>
          <w:u w:val="single"/>
        </w:rPr>
        <w:t>BMC Public Health</w:t>
      </w:r>
      <w:r w:rsidRPr="00202BD5">
        <w:t xml:space="preserve"> </w:t>
      </w:r>
      <w:r w:rsidRPr="00202BD5">
        <w:rPr>
          <w:b/>
        </w:rPr>
        <w:t>14</w:t>
      </w:r>
      <w:r w:rsidRPr="00202BD5">
        <w:t>(1): 322.</w:t>
      </w:r>
    </w:p>
    <w:p w:rsidR="00ED7C4C" w:rsidRPr="00202BD5" w:rsidRDefault="00ED7C4C" w:rsidP="000A0D2D">
      <w:pPr>
        <w:pStyle w:val="EndNoteBibliography"/>
        <w:spacing w:after="220"/>
      </w:pPr>
      <w:r w:rsidRPr="00202BD5">
        <w:t xml:space="preserve">Calabria, B., A. Clifford, A. Shakeshaft, J. Allan, D. Bliss and C. Doran (2013). "The acceptability to Aboriginal Australians of a family-based intervention to reduce alcohol-related harms." </w:t>
      </w:r>
      <w:r w:rsidRPr="00202BD5">
        <w:rPr>
          <w:u w:val="single"/>
        </w:rPr>
        <w:t>Drug and Alcohol Review</w:t>
      </w:r>
      <w:r w:rsidRPr="00202BD5">
        <w:t xml:space="preserve"> </w:t>
      </w:r>
      <w:r w:rsidRPr="00202BD5">
        <w:rPr>
          <w:b/>
        </w:rPr>
        <w:t>32</w:t>
      </w:r>
      <w:r w:rsidRPr="00202BD5">
        <w:t>(3): 328-332.</w:t>
      </w:r>
    </w:p>
    <w:p w:rsidR="00ED7C4C" w:rsidRPr="00202BD5" w:rsidRDefault="00ED7C4C" w:rsidP="000A0D2D">
      <w:pPr>
        <w:pStyle w:val="EndNoteBibliography"/>
        <w:spacing w:after="220"/>
      </w:pPr>
      <w:r w:rsidRPr="00202BD5">
        <w:t xml:space="preserve">Calear, A. L., J. L. Brewer, P. J. Batterham, A. Mackinnon, P. A. Wyman, M. LoMurray, F. Shand, D. Kazan and H. Christensen (2016). "The Sources of Strength Australia Project: study protocol for a cluster randomised controlled trial." </w:t>
      </w:r>
      <w:r w:rsidRPr="00202BD5">
        <w:rPr>
          <w:u w:val="single"/>
        </w:rPr>
        <w:t>Trials</w:t>
      </w:r>
      <w:r w:rsidRPr="00202BD5">
        <w:t xml:space="preserve"> </w:t>
      </w:r>
      <w:r w:rsidRPr="00202BD5">
        <w:rPr>
          <w:b/>
        </w:rPr>
        <w:t>17</w:t>
      </w:r>
      <w:r w:rsidRPr="00202BD5">
        <w:t>(1): 349.</w:t>
      </w:r>
    </w:p>
    <w:p w:rsidR="00ED7C4C" w:rsidRPr="00202BD5" w:rsidRDefault="00ED7C4C" w:rsidP="000A0D2D">
      <w:pPr>
        <w:pStyle w:val="EndNoteBibliography"/>
        <w:spacing w:after="220"/>
      </w:pPr>
      <w:r w:rsidRPr="00202BD5">
        <w:t xml:space="preserve">Calear, A. L. and H. Christensen (2010). "Systematic review of school-based prevention and early intervention programs for depression." </w:t>
      </w:r>
      <w:r w:rsidRPr="00202BD5">
        <w:rPr>
          <w:u w:val="single"/>
        </w:rPr>
        <w:t>J Adolesc</w:t>
      </w:r>
      <w:r w:rsidRPr="00202BD5">
        <w:t xml:space="preserve"> </w:t>
      </w:r>
      <w:r w:rsidRPr="00202BD5">
        <w:rPr>
          <w:b/>
        </w:rPr>
        <w:t>33</w:t>
      </w:r>
      <w:r w:rsidRPr="00202BD5">
        <w:t>(3): 429-438.</w:t>
      </w:r>
    </w:p>
    <w:p w:rsidR="00ED7C4C" w:rsidRPr="00202BD5" w:rsidRDefault="00ED7C4C" w:rsidP="000A0D2D">
      <w:pPr>
        <w:pStyle w:val="EndNoteBibliography"/>
        <w:spacing w:after="220"/>
      </w:pPr>
      <w:r w:rsidRPr="00202BD5">
        <w:t xml:space="preserve">Castelpietra, G., L. Salvador-Carulla, A. H. Almborg, A. Fernandez and R. Madden (2017). "Working draft: Classifications of interventions in mental health care. An expert review." </w:t>
      </w:r>
      <w:r w:rsidRPr="00202BD5">
        <w:rPr>
          <w:u w:val="single"/>
        </w:rPr>
        <w:t>The European Journal of Psychiatry</w:t>
      </w:r>
      <w:r w:rsidRPr="00202BD5">
        <w:t xml:space="preserve"> </w:t>
      </w:r>
      <w:r w:rsidRPr="00202BD5">
        <w:rPr>
          <w:b/>
        </w:rPr>
        <w:t>31</w:t>
      </w:r>
      <w:r w:rsidRPr="00202BD5">
        <w:t>(4): 127-144.</w:t>
      </w:r>
    </w:p>
    <w:p w:rsidR="00ED7C4C" w:rsidRPr="00202BD5" w:rsidRDefault="00ED7C4C" w:rsidP="000A0D2D">
      <w:pPr>
        <w:pStyle w:val="EndNoteBibliography"/>
        <w:spacing w:after="220"/>
      </w:pPr>
      <w:r w:rsidRPr="00202BD5">
        <w:t xml:space="preserve">Ebert, D. D., A.-C. Zarski, H. Christensen, Y. Stikkelbroek, P. Cuijpers, M. Berking and H. Riper (2015). "Internet and Computer-Based Cognitive Behavioral Therapy for Anxiety and Depression in Youth: A Meta-Analysis of Randomized Controlled Outcome Trials." </w:t>
      </w:r>
      <w:r w:rsidRPr="00202BD5">
        <w:rPr>
          <w:u w:val="single"/>
        </w:rPr>
        <w:t>PLOS ONE</w:t>
      </w:r>
      <w:r w:rsidRPr="00202BD5">
        <w:t xml:space="preserve"> </w:t>
      </w:r>
      <w:r w:rsidRPr="00202BD5">
        <w:rPr>
          <w:b/>
        </w:rPr>
        <w:t>10</w:t>
      </w:r>
      <w:r w:rsidRPr="00202BD5">
        <w:t>(3): e0119895.</w:t>
      </w:r>
    </w:p>
    <w:p w:rsidR="00ED7C4C" w:rsidRPr="00202BD5" w:rsidRDefault="00ED7C4C" w:rsidP="000A0D2D">
      <w:pPr>
        <w:pStyle w:val="EndNoteBibliography"/>
        <w:spacing w:after="220"/>
      </w:pPr>
      <w:r w:rsidRPr="00202BD5">
        <w:t xml:space="preserve">Fernandez, A., J. A. Gillespie, J. Smith-Merry, X. Feng, T. Astell-Burt, C. Maas and L. Salvador-Carulla (2017). "Integrated mental health atlas of the Western Sydney Local Health District: gaps and recommendations." </w:t>
      </w:r>
      <w:r w:rsidRPr="00202BD5">
        <w:rPr>
          <w:u w:val="single"/>
        </w:rPr>
        <w:t>Australian Health Review</w:t>
      </w:r>
      <w:r w:rsidRPr="00202BD5">
        <w:t xml:space="preserve"> </w:t>
      </w:r>
      <w:r w:rsidRPr="00202BD5">
        <w:rPr>
          <w:b/>
        </w:rPr>
        <w:t>41</w:t>
      </w:r>
      <w:r w:rsidRPr="00202BD5">
        <w:t>(1): 38-44.</w:t>
      </w:r>
    </w:p>
    <w:p w:rsidR="00ED7C4C" w:rsidRPr="00202BD5" w:rsidRDefault="00ED7C4C" w:rsidP="000A0D2D">
      <w:pPr>
        <w:pStyle w:val="EndNoteBibliography"/>
        <w:spacing w:after="220"/>
      </w:pPr>
      <w:r w:rsidRPr="00202BD5">
        <w:lastRenderedPageBreak/>
        <w:t>Gordon, A. (2008). Comorbidity of mental disorders and substance use: A brief guide for the primary care clinician. Australian Capital Territory, Drug and Alcohol Services South Australia.</w:t>
      </w:r>
    </w:p>
    <w:p w:rsidR="00ED7C4C" w:rsidRPr="00202BD5" w:rsidRDefault="00ED7C4C" w:rsidP="000A0D2D">
      <w:pPr>
        <w:pStyle w:val="EndNoteBibliography"/>
        <w:spacing w:after="220"/>
      </w:pPr>
      <w:r w:rsidRPr="00202BD5">
        <w:t xml:space="preserve">Gutiérrez-Colosía, M. R., L. Salvador-Carulla, J. A. Salinas-Pérez, C. R. García-Alonso, J. Cid, D. Salazzari, I. Montagni, F. Tedeschi, G. Cetrano, K. Chevreul, J. Kalseth, G. Hagmair, C. Straßmayr, A. L. Park, R. Sfectu, T. Ala-Nikkola, J. L. González-Caballero, L. Rabbi, B. Kalseth and F. Amaddeo (2017). "Standard comparison of local mental health care systems in eight European countries." </w:t>
      </w:r>
      <w:r w:rsidRPr="00202BD5">
        <w:rPr>
          <w:u w:val="single"/>
        </w:rPr>
        <w:t>Epidemiology and Psychiatric Sciences</w:t>
      </w:r>
      <w:r w:rsidRPr="00202BD5">
        <w:t xml:space="preserve"> </w:t>
      </w:r>
      <w:r w:rsidRPr="00202BD5">
        <w:rPr>
          <w:b/>
        </w:rPr>
        <w:t>28</w:t>
      </w:r>
      <w:r w:rsidRPr="00202BD5">
        <w:t>(2): 210-223.</w:t>
      </w:r>
    </w:p>
    <w:p w:rsidR="00ED7C4C" w:rsidRPr="00202BD5" w:rsidRDefault="00ED7C4C" w:rsidP="000A0D2D">
      <w:pPr>
        <w:pStyle w:val="EndNoteBibliography"/>
        <w:spacing w:after="220"/>
      </w:pPr>
      <w:r w:rsidRPr="00202BD5">
        <w:t xml:space="preserve">Kellam, S. G., A. C. L. Mackenzie, C. H. Brown, J. M. Poduska, W. Wang, H. Petras and H. C. Wilcox (2011). "The good behavior game and the future of prevention and treatment." </w:t>
      </w:r>
      <w:r w:rsidRPr="00202BD5">
        <w:rPr>
          <w:u w:val="single"/>
        </w:rPr>
        <w:t>Addiction science &amp; clinical practice</w:t>
      </w:r>
      <w:r w:rsidRPr="00202BD5">
        <w:t xml:space="preserve"> </w:t>
      </w:r>
      <w:r w:rsidRPr="00202BD5">
        <w:rPr>
          <w:b/>
        </w:rPr>
        <w:t>6</w:t>
      </w:r>
      <w:r w:rsidRPr="00202BD5">
        <w:t>(1): 73-84.</w:t>
      </w:r>
    </w:p>
    <w:p w:rsidR="00ED7C4C" w:rsidRPr="00202BD5" w:rsidRDefault="00ED7C4C" w:rsidP="000A0D2D">
      <w:pPr>
        <w:pStyle w:val="EndNoteBibliography"/>
        <w:spacing w:after="220"/>
      </w:pPr>
      <w:r w:rsidRPr="00202BD5">
        <w:t xml:space="preserve">Kessler, R. C., W. T. Chiu, O. Demler, K. R. Merikangas and E. E. Walters (2005). "Prevalence, severity, and comorbidity of 12-month DSM-IV disorders in the National Comorbidity Survey Replication." </w:t>
      </w:r>
      <w:r w:rsidRPr="00202BD5">
        <w:rPr>
          <w:u w:val="single"/>
        </w:rPr>
        <w:t>Arch Gen Psychiatry</w:t>
      </w:r>
      <w:r w:rsidRPr="00202BD5">
        <w:t xml:space="preserve"> </w:t>
      </w:r>
      <w:r w:rsidRPr="00202BD5">
        <w:rPr>
          <w:b/>
        </w:rPr>
        <w:t>62</w:t>
      </w:r>
      <w:r w:rsidRPr="00202BD5">
        <w:t>(6): 617-627.</w:t>
      </w:r>
    </w:p>
    <w:p w:rsidR="00ED7C4C" w:rsidRPr="00202BD5" w:rsidRDefault="00ED7C4C" w:rsidP="000A0D2D">
      <w:pPr>
        <w:pStyle w:val="EndNoteBibliography"/>
        <w:spacing w:after="220"/>
      </w:pPr>
      <w:r w:rsidRPr="00202BD5">
        <w:t xml:space="preserve">Lokuge, K., K. Thurber, B. Calabria, M. Davis, K. McMahon, L. Sartor, R. Lovett, J. Guthrie and E. Banks (2017). "Indigenous health program evaluation design and methods in Australia: a systematic review of the evidence." </w:t>
      </w:r>
      <w:r w:rsidRPr="00202BD5">
        <w:rPr>
          <w:u w:val="single"/>
        </w:rPr>
        <w:t>Australian and New Zealand Journal of Public Health</w:t>
      </w:r>
      <w:r w:rsidRPr="00202BD5">
        <w:t xml:space="preserve"> </w:t>
      </w:r>
      <w:r w:rsidRPr="00202BD5">
        <w:rPr>
          <w:b/>
        </w:rPr>
        <w:t>41</w:t>
      </w:r>
      <w:r w:rsidRPr="00202BD5">
        <w:t>(5): 480-482.</w:t>
      </w:r>
    </w:p>
    <w:p w:rsidR="00ED7C4C" w:rsidRPr="00202BD5" w:rsidRDefault="00ED7C4C" w:rsidP="000A0D2D">
      <w:pPr>
        <w:pStyle w:val="EndNoteBibliography"/>
        <w:spacing w:after="220"/>
      </w:pPr>
      <w:r w:rsidRPr="00202BD5">
        <w:t xml:space="preserve">McCallum, S. M., P. J. Batterham, A. L. Calear, M. Sunderland and N. Carragher (2018). "Reductions in quality of life and increased economic burden associated with mental disorders in an Australian adult sample." </w:t>
      </w:r>
      <w:r w:rsidRPr="00202BD5">
        <w:rPr>
          <w:u w:val="single"/>
        </w:rPr>
        <w:t>Aust Health Rev</w:t>
      </w:r>
      <w:r w:rsidRPr="00202BD5">
        <w:t>.</w:t>
      </w:r>
    </w:p>
    <w:p w:rsidR="00ED7C4C" w:rsidRPr="00202BD5" w:rsidRDefault="00ED7C4C" w:rsidP="000A0D2D">
      <w:pPr>
        <w:pStyle w:val="EndNoteBibliography"/>
        <w:spacing w:after="220"/>
      </w:pPr>
      <w:r w:rsidRPr="00202BD5">
        <w:t xml:space="preserve">Merikangas, K. R., R. L. Mehta, B. E. Molnar, E. E. Walters, J. D. Swendsen, S. Aguilar-Gaziola, R. Bijl, G. Borges, J. J. Caraveo-Anduaga, D. J. Dewit, B. Kolody, W. A. Vega, H.-U. Wittchen and R. C. Kessler (1998). "Comorbidity of substance use disorders with mood and anxiety disorders: Results of the international consortium in psychiatric epidemiology." </w:t>
      </w:r>
      <w:r w:rsidRPr="00202BD5">
        <w:rPr>
          <w:u w:val="single"/>
        </w:rPr>
        <w:t>Addictive Behaviors</w:t>
      </w:r>
      <w:r w:rsidRPr="00202BD5">
        <w:t xml:space="preserve"> </w:t>
      </w:r>
      <w:r w:rsidRPr="00202BD5">
        <w:rPr>
          <w:b/>
        </w:rPr>
        <w:t>23</w:t>
      </w:r>
      <w:r w:rsidRPr="00202BD5">
        <w:t>(6): 893-907.</w:t>
      </w:r>
    </w:p>
    <w:p w:rsidR="00ED7C4C" w:rsidRPr="00202BD5" w:rsidRDefault="00ED7C4C" w:rsidP="000A0D2D">
      <w:pPr>
        <w:pStyle w:val="EndNoteBibliography"/>
        <w:spacing w:after="220"/>
      </w:pPr>
      <w:r w:rsidRPr="00202BD5">
        <w:t>National Health and Medical Research Council (2003). Values and ethics: Guidelines for ethical conduct in Aboriginal and Torres Strait Islander health research. Canberra, Commonwealth of Australia.</w:t>
      </w:r>
    </w:p>
    <w:p w:rsidR="00ED7C4C" w:rsidRPr="00202BD5" w:rsidRDefault="00ED7C4C" w:rsidP="000A0D2D">
      <w:pPr>
        <w:pStyle w:val="EndNoteBibliography"/>
        <w:spacing w:after="220"/>
      </w:pPr>
      <w:r w:rsidRPr="00202BD5">
        <w:t xml:space="preserve">Neil, A. L. and H. Christensen (2009). "Efficacy and effectiveness of school-based prevention and early intervention programs for anxiety." </w:t>
      </w:r>
      <w:r w:rsidRPr="00202BD5">
        <w:rPr>
          <w:u w:val="single"/>
        </w:rPr>
        <w:t>Clin Psychol Rev</w:t>
      </w:r>
      <w:r w:rsidRPr="00202BD5">
        <w:t xml:space="preserve"> </w:t>
      </w:r>
      <w:r w:rsidRPr="00202BD5">
        <w:rPr>
          <w:b/>
        </w:rPr>
        <w:t>29</w:t>
      </w:r>
      <w:r w:rsidRPr="00202BD5">
        <w:t>(3): 208-215.</w:t>
      </w:r>
    </w:p>
    <w:p w:rsidR="00ED7C4C" w:rsidRPr="00202BD5" w:rsidRDefault="00ED7C4C" w:rsidP="000A0D2D">
      <w:pPr>
        <w:pStyle w:val="EndNoteBibliography"/>
        <w:spacing w:after="220"/>
      </w:pPr>
      <w:r w:rsidRPr="00202BD5">
        <w:t xml:space="preserve">Nolan, J. D., D. Houlihan, M. Wanzek and W. R. Jenson (2014). "The Good Behavior Game: A classroom-behavior intervention effective across cultures." </w:t>
      </w:r>
      <w:r w:rsidRPr="00202BD5">
        <w:rPr>
          <w:u w:val="single"/>
        </w:rPr>
        <w:t>School Psychology International</w:t>
      </w:r>
      <w:r w:rsidRPr="00202BD5">
        <w:t xml:space="preserve"> </w:t>
      </w:r>
      <w:r w:rsidRPr="00202BD5">
        <w:rPr>
          <w:b/>
        </w:rPr>
        <w:t>35</w:t>
      </w:r>
      <w:r w:rsidRPr="00202BD5">
        <w:t>(2): 191-205.</w:t>
      </w:r>
    </w:p>
    <w:p w:rsidR="00ED7C4C" w:rsidRPr="00202BD5" w:rsidRDefault="00ED7C4C" w:rsidP="000A0D2D">
      <w:pPr>
        <w:pStyle w:val="EndNoteBibliography"/>
        <w:spacing w:after="220"/>
      </w:pPr>
      <w:r w:rsidRPr="00202BD5">
        <w:t xml:space="preserve">Perry, Y., A. Werner-Seidler, A. Calear, A. Mackinnon, C. King, J. Scott, S. Merry, T. Fleming, K. Stasiak, H. Christensen and P. J. Batterham (2017). "Preventing Depression in Final Year Secondary Students: School-Based Randomized Controlled Trial." </w:t>
      </w:r>
      <w:r w:rsidRPr="00202BD5">
        <w:rPr>
          <w:u w:val="single"/>
        </w:rPr>
        <w:t>J Med Internet Res</w:t>
      </w:r>
      <w:r w:rsidRPr="00202BD5">
        <w:t xml:space="preserve"> </w:t>
      </w:r>
      <w:r w:rsidRPr="00202BD5">
        <w:rPr>
          <w:b/>
        </w:rPr>
        <w:t>19</w:t>
      </w:r>
      <w:r w:rsidRPr="00202BD5">
        <w:t>(11): e369.</w:t>
      </w:r>
    </w:p>
    <w:p w:rsidR="00ED7C4C" w:rsidRPr="00202BD5" w:rsidRDefault="00ED7C4C" w:rsidP="000A0D2D">
      <w:pPr>
        <w:pStyle w:val="EndNoteBibliography"/>
        <w:spacing w:after="220"/>
      </w:pPr>
      <w:r w:rsidRPr="00202BD5">
        <w:t xml:space="preserve">Rosenberg, S. and L. Salvador-Carulla (2017). "PERSPECTIVES: Accountability for Mental Health: The Australian Experience." </w:t>
      </w:r>
      <w:r w:rsidRPr="00202BD5">
        <w:rPr>
          <w:u w:val="single"/>
        </w:rPr>
        <w:t>J Ment Health Policy Econ</w:t>
      </w:r>
      <w:r w:rsidRPr="00202BD5">
        <w:t xml:space="preserve"> </w:t>
      </w:r>
      <w:r w:rsidRPr="00202BD5">
        <w:rPr>
          <w:b/>
        </w:rPr>
        <w:t>20</w:t>
      </w:r>
      <w:r w:rsidRPr="00202BD5">
        <w:t>(1): 37-54.</w:t>
      </w:r>
    </w:p>
    <w:p w:rsidR="00ED7C4C" w:rsidRPr="00202BD5" w:rsidRDefault="00ED7C4C" w:rsidP="000A0D2D">
      <w:pPr>
        <w:pStyle w:val="EndNoteBibliography"/>
        <w:spacing w:after="220"/>
      </w:pPr>
      <w:r w:rsidRPr="00202BD5">
        <w:t xml:space="preserve">Rosenberg, S. P., I. B. Hickie, P. D. McGorry, L. Salvador-Carulla, J. Burns, H. Christensen, J. Mendoza, A. Rosen, L. M. Russell and S. Sinclair (2015). "Using accountability for mental health to drive reform." </w:t>
      </w:r>
      <w:r w:rsidRPr="00202BD5">
        <w:rPr>
          <w:u w:val="single"/>
        </w:rPr>
        <w:t>Med J Aust</w:t>
      </w:r>
      <w:r w:rsidRPr="00202BD5">
        <w:t xml:space="preserve"> </w:t>
      </w:r>
      <w:r w:rsidRPr="00202BD5">
        <w:rPr>
          <w:b/>
        </w:rPr>
        <w:t>203</w:t>
      </w:r>
      <w:r w:rsidRPr="00202BD5">
        <w:t>(8): 328-330.</w:t>
      </w:r>
    </w:p>
    <w:p w:rsidR="00ED7C4C" w:rsidRPr="00202BD5" w:rsidRDefault="00ED7C4C" w:rsidP="000A0D2D">
      <w:pPr>
        <w:pStyle w:val="EndNoteBibliography"/>
        <w:spacing w:after="220"/>
      </w:pPr>
      <w:r w:rsidRPr="00202BD5">
        <w:lastRenderedPageBreak/>
        <w:t xml:space="preserve">Shortt, A. L., P. M. Barrett and T. L. Fox (2001). "Evaluating the FRIENDS Program: A Cognitive-Behavioral Group Treatment for Anxious Children and Their Parents." </w:t>
      </w:r>
      <w:r w:rsidRPr="00202BD5">
        <w:rPr>
          <w:u w:val="single"/>
        </w:rPr>
        <w:t>Journal of Clinical Child &amp; Adolescent Psychology</w:t>
      </w:r>
      <w:r w:rsidRPr="00202BD5">
        <w:t xml:space="preserve"> </w:t>
      </w:r>
      <w:r w:rsidRPr="00202BD5">
        <w:rPr>
          <w:b/>
        </w:rPr>
        <w:t>30</w:t>
      </w:r>
      <w:r w:rsidRPr="00202BD5">
        <w:t>(4): 525-535.</w:t>
      </w:r>
    </w:p>
    <w:p w:rsidR="00ED7C4C" w:rsidRPr="00202BD5" w:rsidRDefault="00ED7C4C" w:rsidP="000A0D2D">
      <w:pPr>
        <w:pStyle w:val="EndNoteBibliography"/>
        <w:spacing w:after="220"/>
      </w:pPr>
      <w:r w:rsidRPr="00202BD5">
        <w:t xml:space="preserve">Snijder, M., A. Shakeshaft, A. Wagemakers, A. Stephens and B. Calabria (2015). "A systematic review of studies evaluating Australian indigenous community development projects: the extent of community participation, their methodological quality and their outcomes." </w:t>
      </w:r>
      <w:r w:rsidRPr="00202BD5">
        <w:rPr>
          <w:u w:val="single"/>
        </w:rPr>
        <w:t>BMC public health</w:t>
      </w:r>
      <w:r w:rsidRPr="00202BD5">
        <w:t xml:space="preserve"> </w:t>
      </w:r>
      <w:r w:rsidRPr="00202BD5">
        <w:rPr>
          <w:b/>
        </w:rPr>
        <w:t>15</w:t>
      </w:r>
      <w:r w:rsidRPr="00202BD5">
        <w:t>: 1154-1154.</w:t>
      </w:r>
    </w:p>
    <w:p w:rsidR="00ED7C4C" w:rsidRPr="00202BD5" w:rsidRDefault="00ED7C4C" w:rsidP="000A0D2D">
      <w:pPr>
        <w:pStyle w:val="EndNoteBibliography"/>
        <w:spacing w:after="220"/>
      </w:pPr>
      <w:r w:rsidRPr="00202BD5">
        <w:t xml:space="preserve">Teesson, M., T. Slade and K. Mills (2009). "Comorbidity in Australia: findings of the 2007 National Survey of Mental Health and Wellbeing." </w:t>
      </w:r>
      <w:r w:rsidRPr="00202BD5">
        <w:rPr>
          <w:u w:val="single"/>
        </w:rPr>
        <w:t>Australian and New Zealand Journal of Psychiatry</w:t>
      </w:r>
      <w:r w:rsidRPr="00202BD5">
        <w:t xml:space="preserve"> </w:t>
      </w:r>
      <w:r w:rsidRPr="00202BD5">
        <w:rPr>
          <w:b/>
        </w:rPr>
        <w:t>43</w:t>
      </w:r>
      <w:r w:rsidRPr="00202BD5">
        <w:t>(7): 606-614.</w:t>
      </w:r>
    </w:p>
    <w:p w:rsidR="00ED7C4C" w:rsidRPr="00202BD5" w:rsidRDefault="00ED7C4C" w:rsidP="000A0D2D">
      <w:pPr>
        <w:pStyle w:val="EndNoteBibliography"/>
        <w:spacing w:after="220"/>
      </w:pPr>
      <w:r w:rsidRPr="00202BD5">
        <w:t xml:space="preserve">Thurber, K. A., A. Olsen, J. Guthrie, R. McCormick, A. Hunter, R. Jones, B. Maher, C. Banwell, R. Jones, B. Calabria and R. Lovett (2018). "'Telling our story... Creating our own history': caregivers' reasons for participating in an Australian longitudinal study of Indigenous children." </w:t>
      </w:r>
      <w:r w:rsidRPr="00202BD5">
        <w:rPr>
          <w:u w:val="single"/>
        </w:rPr>
        <w:t>International journal for equity in health</w:t>
      </w:r>
      <w:r w:rsidRPr="00202BD5">
        <w:t xml:space="preserve"> </w:t>
      </w:r>
      <w:r w:rsidRPr="00202BD5">
        <w:rPr>
          <w:b/>
        </w:rPr>
        <w:t>17</w:t>
      </w:r>
      <w:r w:rsidRPr="00202BD5">
        <w:t>(1): 143-143.</w:t>
      </w:r>
    </w:p>
    <w:p w:rsidR="00ED7C4C" w:rsidRPr="00202BD5" w:rsidRDefault="00ED7C4C" w:rsidP="000A0D2D">
      <w:pPr>
        <w:pStyle w:val="EndNoteBibliography"/>
        <w:spacing w:after="220"/>
      </w:pPr>
      <w:r w:rsidRPr="00202BD5">
        <w:t xml:space="preserve">van Spijker, B. A. J., P. J. Batterham, A. L. Calear, L. Farrer, H. Christensen, J. Reynolds and A. J. F. M. Kerkhof (2014). "The Suicidal Ideation Attributes Scale (SIDAS): Community-Based Validation Study of a New Scale for the Measurement of Suicidal Ideation." </w:t>
      </w:r>
      <w:r w:rsidRPr="00202BD5">
        <w:rPr>
          <w:u w:val="single"/>
        </w:rPr>
        <w:t>Suicide and Life-Threatening Behavior</w:t>
      </w:r>
      <w:r w:rsidRPr="00202BD5">
        <w:t xml:space="preserve"> </w:t>
      </w:r>
      <w:r w:rsidRPr="00202BD5">
        <w:rPr>
          <w:b/>
        </w:rPr>
        <w:t>44</w:t>
      </w:r>
      <w:r w:rsidRPr="00202BD5">
        <w:t>(4): 408-419.</w:t>
      </w:r>
    </w:p>
    <w:p w:rsidR="00ED7C4C" w:rsidRPr="00202BD5" w:rsidRDefault="00ED7C4C" w:rsidP="000A0D2D">
      <w:pPr>
        <w:pStyle w:val="EndNoteBibliography"/>
        <w:spacing w:after="220"/>
      </w:pPr>
      <w:r w:rsidRPr="00202BD5">
        <w:t xml:space="preserve">Werner-Seidler, A., Y. Perry, A. L. Calear, J. M. Newby and H. Christensen (2017). "School-based depression and anxiety prevention programs for young people: A systematic review and meta-analysis." </w:t>
      </w:r>
      <w:r w:rsidRPr="00202BD5">
        <w:rPr>
          <w:u w:val="single"/>
        </w:rPr>
        <w:t>Clin Psychol Rev</w:t>
      </w:r>
      <w:r w:rsidRPr="00202BD5">
        <w:t xml:space="preserve"> </w:t>
      </w:r>
      <w:r w:rsidRPr="00202BD5">
        <w:rPr>
          <w:b/>
        </w:rPr>
        <w:t>51</w:t>
      </w:r>
      <w:r w:rsidRPr="00202BD5">
        <w:t>: 30-47.</w:t>
      </w:r>
    </w:p>
    <w:p w:rsidR="00ED7C4C" w:rsidRPr="00202BD5" w:rsidRDefault="00ED7C4C" w:rsidP="000A0D2D">
      <w:pPr>
        <w:pStyle w:val="EndNoteBibliography"/>
        <w:spacing w:after="220"/>
      </w:pPr>
      <w:r w:rsidRPr="00202BD5">
        <w:t xml:space="preserve">Wilcox, H. C., S. G. Kellam, C. H. Brown, J. M. Poduska, N. S. Ialongo, W. Wang and J. C. Anthony (2008). "The impact of two universal randomized first- and second-grade classroom interventions on young adult suicide ideation and attempts." </w:t>
      </w:r>
      <w:r w:rsidRPr="00202BD5">
        <w:rPr>
          <w:u w:val="single"/>
        </w:rPr>
        <w:t>Drug and Alcohol Dependence</w:t>
      </w:r>
      <w:r w:rsidRPr="00202BD5">
        <w:t xml:space="preserve"> </w:t>
      </w:r>
      <w:r w:rsidRPr="00202BD5">
        <w:rPr>
          <w:b/>
        </w:rPr>
        <w:t>95</w:t>
      </w:r>
      <w:r w:rsidRPr="00202BD5">
        <w:t>: S60-S73.</w:t>
      </w:r>
    </w:p>
    <w:p w:rsidR="001350B5" w:rsidRDefault="00ED7C4C" w:rsidP="000A0D2D">
      <w:pPr>
        <w:pStyle w:val="EndNoteBibliography"/>
        <w:spacing w:after="220"/>
      </w:pPr>
      <w:r w:rsidRPr="00202BD5">
        <w:t xml:space="preserve">Wyman, P. A., C. H. Brown, M. LoMurray, K. Schmeelk-Cone, M. Petrova, Q. Yu, E. Walsh, X. Tu and W. Wang (2010). "An outcome evaluation of the Sources of Strength suicide prevention program delivered by adolescent peer leaders in high schools." </w:t>
      </w:r>
      <w:r w:rsidRPr="00202BD5">
        <w:rPr>
          <w:u w:val="single"/>
        </w:rPr>
        <w:t>Am J Public Health</w:t>
      </w:r>
      <w:r w:rsidRPr="00202BD5">
        <w:t xml:space="preserve"> </w:t>
      </w:r>
      <w:r w:rsidRPr="00202BD5">
        <w:rPr>
          <w:b/>
        </w:rPr>
        <w:t>100</w:t>
      </w:r>
      <w:r w:rsidR="000A0D2D">
        <w:t>(9): 1653-1661.</w:t>
      </w:r>
    </w:p>
    <w:sectPr w:rsidR="001350B5" w:rsidSect="001739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5E7" w:rsidRDefault="009D45E7" w:rsidP="009D45E7">
      <w:pPr>
        <w:spacing w:after="0" w:line="240" w:lineRule="auto"/>
      </w:pPr>
      <w:r>
        <w:separator/>
      </w:r>
    </w:p>
  </w:endnote>
  <w:endnote w:type="continuationSeparator" w:id="0">
    <w:p w:rsidR="009D45E7" w:rsidRDefault="009D45E7" w:rsidP="009D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940632"/>
      <w:docPartObj>
        <w:docPartGallery w:val="Page Numbers (Bottom of Page)"/>
        <w:docPartUnique/>
      </w:docPartObj>
    </w:sdtPr>
    <w:sdtEndPr>
      <w:rPr>
        <w:noProof/>
      </w:rPr>
    </w:sdtEndPr>
    <w:sdtContent>
      <w:p w:rsidR="00531110" w:rsidRDefault="009F15F1" w:rsidP="00531110">
        <w:pPr>
          <w:pStyle w:val="Footer"/>
          <w:jc w:val="right"/>
          <w:rPr>
            <w:noProof/>
          </w:rPr>
        </w:pPr>
        <w:r>
          <w:fldChar w:fldCharType="begin"/>
        </w:r>
        <w:r>
          <w:instrText xml:space="preserve"> PAGE   \* MERGEFORMAT </w:instrText>
        </w:r>
        <w:r>
          <w:fldChar w:fldCharType="separate"/>
        </w:r>
        <w:r w:rsidR="00474560">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5E7" w:rsidRDefault="009D45E7" w:rsidP="009D45E7">
      <w:pPr>
        <w:spacing w:after="0" w:line="240" w:lineRule="auto"/>
      </w:pPr>
      <w:r>
        <w:separator/>
      </w:r>
    </w:p>
  </w:footnote>
  <w:footnote w:type="continuationSeparator" w:id="0">
    <w:p w:rsidR="009D45E7" w:rsidRDefault="009D45E7" w:rsidP="009D4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93" w:rsidRDefault="009F15F1" w:rsidP="00531110">
    <w:pPr>
      <w:pStyle w:val="Header"/>
      <w:tabs>
        <w:tab w:val="clear" w:pos="4513"/>
        <w:tab w:val="clear" w:pos="9026"/>
        <w:tab w:val="center" w:pos="3313"/>
      </w:tabs>
    </w:pPr>
    <w:r>
      <w:rPr>
        <w:b/>
        <w:noProof/>
        <w:sz w:val="30"/>
        <w:szCs w:val="30"/>
        <w:lang w:val="en-AU" w:eastAsia="en-AU"/>
      </w:rPr>
      <w:drawing>
        <wp:anchor distT="0" distB="0" distL="114300" distR="114300" simplePos="0" relativeHeight="251659264" behindDoc="0" locked="0" layoutInCell="1" allowOverlap="1" wp14:anchorId="5820242F" wp14:editId="3CB12085">
          <wp:simplePos x="0" y="0"/>
          <wp:positionH relativeFrom="column">
            <wp:posOffset>0</wp:posOffset>
          </wp:positionH>
          <wp:positionV relativeFrom="paragraph">
            <wp:posOffset>-275601</wp:posOffset>
          </wp:positionV>
          <wp:extent cx="1621790" cy="5607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56070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288E47C"/>
    <w:lvl w:ilvl="0">
      <w:numFmt w:val="decimal"/>
      <w:pStyle w:val="Achievement"/>
      <w:lvlText w:val="*"/>
      <w:lvlJc w:val="left"/>
      <w:pPr>
        <w:ind w:left="0" w:firstLine="0"/>
      </w:pPr>
    </w:lvl>
  </w:abstractNum>
  <w:abstractNum w:abstractNumId="1" w15:restartNumberingAfterBreak="0">
    <w:nsid w:val="001E1FF6"/>
    <w:multiLevelType w:val="hybridMultilevel"/>
    <w:tmpl w:val="CCA0C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B5EAC"/>
    <w:multiLevelType w:val="hybridMultilevel"/>
    <w:tmpl w:val="DA081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2D6940"/>
    <w:multiLevelType w:val="hybridMultilevel"/>
    <w:tmpl w:val="93E89E3A"/>
    <w:lvl w:ilvl="0" w:tplc="65585058">
      <w:start w:val="1"/>
      <w:numFmt w:val="decimal"/>
      <w:lvlText w:val="%1."/>
      <w:lvlJc w:val="left"/>
      <w:pPr>
        <w:ind w:left="720" w:hanging="360"/>
      </w:pPr>
      <w:rPr>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C7D2F23"/>
    <w:multiLevelType w:val="hybridMultilevel"/>
    <w:tmpl w:val="1F7E7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020E26"/>
    <w:multiLevelType w:val="hybridMultilevel"/>
    <w:tmpl w:val="D86088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695C94"/>
    <w:multiLevelType w:val="hybridMultilevel"/>
    <w:tmpl w:val="AFFE1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C63FDD"/>
    <w:multiLevelType w:val="hybridMultilevel"/>
    <w:tmpl w:val="5A2CD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B268A2"/>
    <w:multiLevelType w:val="hybridMultilevel"/>
    <w:tmpl w:val="511037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9334BEB"/>
    <w:multiLevelType w:val="hybridMultilevel"/>
    <w:tmpl w:val="8BD0299C"/>
    <w:lvl w:ilvl="0" w:tplc="FFFFFFFF">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AE71463"/>
    <w:multiLevelType w:val="hybridMultilevel"/>
    <w:tmpl w:val="84147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A52C13"/>
    <w:multiLevelType w:val="hybridMultilevel"/>
    <w:tmpl w:val="87D2FB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9D6B7C"/>
    <w:multiLevelType w:val="hybridMultilevel"/>
    <w:tmpl w:val="84009B50"/>
    <w:lvl w:ilvl="0" w:tplc="C50283E8">
      <w:start w:val="1"/>
      <w:numFmt w:val="bullet"/>
      <w:lvlText w:val="•"/>
      <w:lvlJc w:val="left"/>
      <w:pPr>
        <w:tabs>
          <w:tab w:val="num" w:pos="720"/>
        </w:tabs>
        <w:ind w:left="720" w:hanging="360"/>
      </w:pPr>
      <w:rPr>
        <w:rFonts w:ascii="Times New Roman" w:hAnsi="Times New Roman" w:hint="default"/>
      </w:rPr>
    </w:lvl>
    <w:lvl w:ilvl="1" w:tplc="D2A23B44" w:tentative="1">
      <w:start w:val="1"/>
      <w:numFmt w:val="bullet"/>
      <w:lvlText w:val="•"/>
      <w:lvlJc w:val="left"/>
      <w:pPr>
        <w:tabs>
          <w:tab w:val="num" w:pos="1440"/>
        </w:tabs>
        <w:ind w:left="1440" w:hanging="360"/>
      </w:pPr>
      <w:rPr>
        <w:rFonts w:ascii="Times New Roman" w:hAnsi="Times New Roman" w:hint="default"/>
      </w:rPr>
    </w:lvl>
    <w:lvl w:ilvl="2" w:tplc="047C4E12" w:tentative="1">
      <w:start w:val="1"/>
      <w:numFmt w:val="bullet"/>
      <w:lvlText w:val="•"/>
      <w:lvlJc w:val="left"/>
      <w:pPr>
        <w:tabs>
          <w:tab w:val="num" w:pos="2160"/>
        </w:tabs>
        <w:ind w:left="2160" w:hanging="360"/>
      </w:pPr>
      <w:rPr>
        <w:rFonts w:ascii="Times New Roman" w:hAnsi="Times New Roman" w:hint="default"/>
      </w:rPr>
    </w:lvl>
    <w:lvl w:ilvl="3" w:tplc="57F81944" w:tentative="1">
      <w:start w:val="1"/>
      <w:numFmt w:val="bullet"/>
      <w:lvlText w:val="•"/>
      <w:lvlJc w:val="left"/>
      <w:pPr>
        <w:tabs>
          <w:tab w:val="num" w:pos="2880"/>
        </w:tabs>
        <w:ind w:left="2880" w:hanging="360"/>
      </w:pPr>
      <w:rPr>
        <w:rFonts w:ascii="Times New Roman" w:hAnsi="Times New Roman" w:hint="default"/>
      </w:rPr>
    </w:lvl>
    <w:lvl w:ilvl="4" w:tplc="C68EB496" w:tentative="1">
      <w:start w:val="1"/>
      <w:numFmt w:val="bullet"/>
      <w:lvlText w:val="•"/>
      <w:lvlJc w:val="left"/>
      <w:pPr>
        <w:tabs>
          <w:tab w:val="num" w:pos="3600"/>
        </w:tabs>
        <w:ind w:left="3600" w:hanging="360"/>
      </w:pPr>
      <w:rPr>
        <w:rFonts w:ascii="Times New Roman" w:hAnsi="Times New Roman" w:hint="default"/>
      </w:rPr>
    </w:lvl>
    <w:lvl w:ilvl="5" w:tplc="6CCC29E8" w:tentative="1">
      <w:start w:val="1"/>
      <w:numFmt w:val="bullet"/>
      <w:lvlText w:val="•"/>
      <w:lvlJc w:val="left"/>
      <w:pPr>
        <w:tabs>
          <w:tab w:val="num" w:pos="4320"/>
        </w:tabs>
        <w:ind w:left="4320" w:hanging="360"/>
      </w:pPr>
      <w:rPr>
        <w:rFonts w:ascii="Times New Roman" w:hAnsi="Times New Roman" w:hint="default"/>
      </w:rPr>
    </w:lvl>
    <w:lvl w:ilvl="6" w:tplc="07DE3798" w:tentative="1">
      <w:start w:val="1"/>
      <w:numFmt w:val="bullet"/>
      <w:lvlText w:val="•"/>
      <w:lvlJc w:val="left"/>
      <w:pPr>
        <w:tabs>
          <w:tab w:val="num" w:pos="5040"/>
        </w:tabs>
        <w:ind w:left="5040" w:hanging="360"/>
      </w:pPr>
      <w:rPr>
        <w:rFonts w:ascii="Times New Roman" w:hAnsi="Times New Roman" w:hint="default"/>
      </w:rPr>
    </w:lvl>
    <w:lvl w:ilvl="7" w:tplc="15C46DF2" w:tentative="1">
      <w:start w:val="1"/>
      <w:numFmt w:val="bullet"/>
      <w:lvlText w:val="•"/>
      <w:lvlJc w:val="left"/>
      <w:pPr>
        <w:tabs>
          <w:tab w:val="num" w:pos="5760"/>
        </w:tabs>
        <w:ind w:left="5760" w:hanging="360"/>
      </w:pPr>
      <w:rPr>
        <w:rFonts w:ascii="Times New Roman" w:hAnsi="Times New Roman" w:hint="default"/>
      </w:rPr>
    </w:lvl>
    <w:lvl w:ilvl="8" w:tplc="530EC38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E4B587D"/>
    <w:multiLevelType w:val="hybridMultilevel"/>
    <w:tmpl w:val="F806B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3"/>
  </w:num>
  <w:num w:numId="5">
    <w:abstractNumId w:val="0"/>
    <w:lvlOverride w:ilvl="0">
      <w:lvl w:ilvl="0">
        <w:numFmt w:val="bullet"/>
        <w:pStyle w:val="Achievement"/>
        <w:lvlText w:val=""/>
        <w:legacy w:legacy="1" w:legacySpace="0" w:legacyIndent="240"/>
        <w:lvlJc w:val="left"/>
        <w:pPr>
          <w:ind w:left="240" w:hanging="240"/>
        </w:pPr>
        <w:rPr>
          <w:rFonts w:ascii="Wingdings" w:hAnsi="Wingdings" w:hint="default"/>
          <w:sz w:val="12"/>
        </w:rPr>
      </w:lvl>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0"/>
  </w:num>
  <w:num w:numId="10">
    <w:abstractNumId w:val="9"/>
  </w:num>
  <w:num w:numId="11">
    <w:abstractNumId w:val="5"/>
  </w:num>
  <w:num w:numId="12">
    <w:abstractNumId w:val="3"/>
  </w:num>
  <w:num w:numId="13">
    <w:abstractNumId w:val="6"/>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D7C4C"/>
    <w:rsid w:val="000A0D2D"/>
    <w:rsid w:val="00474560"/>
    <w:rsid w:val="00531110"/>
    <w:rsid w:val="009D45E7"/>
    <w:rsid w:val="009F15F1"/>
    <w:rsid w:val="00B51D9C"/>
    <w:rsid w:val="00ED7C4C"/>
    <w:rsid w:val="00FA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3F844F-67E0-4A04-8F5C-F9953B9C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C4C"/>
    <w:rPr>
      <w:lang w:val="en-GB"/>
    </w:rPr>
  </w:style>
  <w:style w:type="paragraph" w:styleId="Heading1">
    <w:name w:val="heading 1"/>
    <w:basedOn w:val="Normal"/>
    <w:next w:val="Normal"/>
    <w:link w:val="Heading1Char"/>
    <w:uiPriority w:val="9"/>
    <w:qFormat/>
    <w:rsid w:val="00ED7C4C"/>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C4C"/>
    <w:rPr>
      <w:rFonts w:eastAsiaTheme="majorEastAsia" w:cstheme="majorBidi"/>
      <w:b/>
      <w:sz w:val="28"/>
      <w:szCs w:val="32"/>
      <w:lang w:val="en-GB"/>
    </w:rPr>
  </w:style>
  <w:style w:type="paragraph" w:styleId="ListParagraph">
    <w:name w:val="List Paragraph"/>
    <w:basedOn w:val="Normal"/>
    <w:uiPriority w:val="34"/>
    <w:qFormat/>
    <w:rsid w:val="00ED7C4C"/>
    <w:pPr>
      <w:ind w:left="720"/>
      <w:contextualSpacing/>
    </w:pPr>
  </w:style>
  <w:style w:type="paragraph" w:styleId="BalloonText">
    <w:name w:val="Balloon Text"/>
    <w:basedOn w:val="Normal"/>
    <w:link w:val="BalloonTextChar"/>
    <w:uiPriority w:val="99"/>
    <w:semiHidden/>
    <w:unhideWhenUsed/>
    <w:rsid w:val="00ED7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C4C"/>
    <w:rPr>
      <w:rFonts w:ascii="Segoe UI" w:hAnsi="Segoe UI" w:cs="Segoe UI"/>
      <w:sz w:val="18"/>
      <w:szCs w:val="18"/>
      <w:lang w:val="en-GB"/>
    </w:rPr>
  </w:style>
  <w:style w:type="paragraph" w:customStyle="1" w:styleId="Achievement">
    <w:name w:val="Achievement"/>
    <w:basedOn w:val="Normal"/>
    <w:rsid w:val="00ED7C4C"/>
    <w:pPr>
      <w:numPr>
        <w:numId w:val="5"/>
      </w:numPr>
      <w:snapToGrid w:val="0"/>
      <w:spacing w:after="20" w:line="220" w:lineRule="atLeast"/>
      <w:jc w:val="both"/>
    </w:pPr>
    <w:rPr>
      <w:rFonts w:ascii="Garamond" w:hAnsi="Garamond" w:cs="Times New Roman"/>
      <w:sz w:val="21"/>
      <w:szCs w:val="21"/>
      <w:lang w:val="en-US"/>
    </w:rPr>
  </w:style>
  <w:style w:type="character" w:styleId="CommentReference">
    <w:name w:val="annotation reference"/>
    <w:basedOn w:val="DefaultParagraphFont"/>
    <w:uiPriority w:val="99"/>
    <w:semiHidden/>
    <w:unhideWhenUsed/>
    <w:rsid w:val="00ED7C4C"/>
    <w:rPr>
      <w:sz w:val="16"/>
      <w:szCs w:val="16"/>
    </w:rPr>
  </w:style>
  <w:style w:type="paragraph" w:styleId="CommentText">
    <w:name w:val="annotation text"/>
    <w:basedOn w:val="Normal"/>
    <w:link w:val="CommentTextChar"/>
    <w:uiPriority w:val="99"/>
    <w:semiHidden/>
    <w:unhideWhenUsed/>
    <w:rsid w:val="00ED7C4C"/>
    <w:pPr>
      <w:spacing w:line="240" w:lineRule="auto"/>
    </w:pPr>
    <w:rPr>
      <w:sz w:val="20"/>
      <w:szCs w:val="20"/>
    </w:rPr>
  </w:style>
  <w:style w:type="character" w:customStyle="1" w:styleId="CommentTextChar">
    <w:name w:val="Comment Text Char"/>
    <w:basedOn w:val="DefaultParagraphFont"/>
    <w:link w:val="CommentText"/>
    <w:uiPriority w:val="99"/>
    <w:semiHidden/>
    <w:rsid w:val="00ED7C4C"/>
    <w:rPr>
      <w:sz w:val="20"/>
      <w:szCs w:val="20"/>
      <w:lang w:val="en-GB"/>
    </w:rPr>
  </w:style>
  <w:style w:type="paragraph" w:styleId="CommentSubject">
    <w:name w:val="annotation subject"/>
    <w:basedOn w:val="CommentText"/>
    <w:next w:val="CommentText"/>
    <w:link w:val="CommentSubjectChar"/>
    <w:uiPriority w:val="99"/>
    <w:semiHidden/>
    <w:unhideWhenUsed/>
    <w:rsid w:val="00ED7C4C"/>
    <w:rPr>
      <w:b/>
      <w:bCs/>
    </w:rPr>
  </w:style>
  <w:style w:type="character" w:customStyle="1" w:styleId="CommentSubjectChar">
    <w:name w:val="Comment Subject Char"/>
    <w:basedOn w:val="CommentTextChar"/>
    <w:link w:val="CommentSubject"/>
    <w:uiPriority w:val="99"/>
    <w:semiHidden/>
    <w:rsid w:val="00ED7C4C"/>
    <w:rPr>
      <w:b/>
      <w:bCs/>
      <w:sz w:val="20"/>
      <w:szCs w:val="20"/>
      <w:lang w:val="en-GB"/>
    </w:rPr>
  </w:style>
  <w:style w:type="paragraph" w:customStyle="1" w:styleId="EndNoteBibliographyTitle">
    <w:name w:val="EndNote Bibliography Title"/>
    <w:basedOn w:val="Normal"/>
    <w:link w:val="EndNoteBibliographyTitleChar"/>
    <w:rsid w:val="00ED7C4C"/>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D7C4C"/>
    <w:rPr>
      <w:rFonts w:ascii="Calibri" w:hAnsi="Calibri"/>
      <w:noProof/>
    </w:rPr>
  </w:style>
  <w:style w:type="paragraph" w:customStyle="1" w:styleId="EndNoteBibliography">
    <w:name w:val="EndNote Bibliography"/>
    <w:basedOn w:val="Normal"/>
    <w:link w:val="EndNoteBibliographyChar"/>
    <w:rsid w:val="00ED7C4C"/>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D7C4C"/>
    <w:rPr>
      <w:rFonts w:ascii="Calibri" w:hAnsi="Calibri"/>
      <w:noProof/>
    </w:rPr>
  </w:style>
  <w:style w:type="table" w:styleId="TableGrid">
    <w:name w:val="Table Grid"/>
    <w:basedOn w:val="TableNormal"/>
    <w:uiPriority w:val="39"/>
    <w:rsid w:val="00ED7C4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ED7C4C"/>
    <w:pPr>
      <w:spacing w:after="0" w:line="240" w:lineRule="auto"/>
    </w:pPr>
    <w:rPr>
      <w:lang w:val="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D7C4C"/>
    <w:pPr>
      <w:spacing w:after="0" w:line="240" w:lineRule="auto"/>
    </w:pPr>
    <w:rPr>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5">
    <w:name w:val="Grid Table 5 Dark Accent 5"/>
    <w:basedOn w:val="TableNormal"/>
    <w:uiPriority w:val="50"/>
    <w:rsid w:val="00ED7C4C"/>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GridLight">
    <w:name w:val="Grid Table Light"/>
    <w:basedOn w:val="TableNormal"/>
    <w:uiPriority w:val="40"/>
    <w:rsid w:val="00ED7C4C"/>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ED7C4C"/>
    <w:rPr>
      <w:color w:val="0563C1" w:themeColor="hyperlink"/>
      <w:u w:val="single"/>
    </w:rPr>
  </w:style>
  <w:style w:type="character" w:customStyle="1" w:styleId="UnresolvedMention1">
    <w:name w:val="Unresolved Mention1"/>
    <w:basedOn w:val="DefaultParagraphFont"/>
    <w:uiPriority w:val="99"/>
    <w:semiHidden/>
    <w:unhideWhenUsed/>
    <w:rsid w:val="00ED7C4C"/>
    <w:rPr>
      <w:color w:val="605E5C"/>
      <w:shd w:val="clear" w:color="auto" w:fill="E1DFDD"/>
    </w:rPr>
  </w:style>
  <w:style w:type="paragraph" w:styleId="Revision">
    <w:name w:val="Revision"/>
    <w:hidden/>
    <w:uiPriority w:val="99"/>
    <w:semiHidden/>
    <w:rsid w:val="00ED7C4C"/>
    <w:pPr>
      <w:spacing w:after="0" w:line="240" w:lineRule="auto"/>
    </w:pPr>
    <w:rPr>
      <w:lang w:val="en-GB"/>
    </w:rPr>
  </w:style>
  <w:style w:type="character" w:styleId="FollowedHyperlink">
    <w:name w:val="FollowedHyperlink"/>
    <w:basedOn w:val="DefaultParagraphFont"/>
    <w:uiPriority w:val="99"/>
    <w:semiHidden/>
    <w:unhideWhenUsed/>
    <w:rsid w:val="00ED7C4C"/>
    <w:rPr>
      <w:color w:val="954F72" w:themeColor="followedHyperlink"/>
      <w:u w:val="single"/>
    </w:rPr>
  </w:style>
  <w:style w:type="paragraph" w:customStyle="1" w:styleId="xmsonormal">
    <w:name w:val="x_msonormal"/>
    <w:basedOn w:val="Normal"/>
    <w:rsid w:val="00ED7C4C"/>
    <w:pPr>
      <w:spacing w:after="0"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ED7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C4C"/>
    <w:rPr>
      <w:lang w:val="en-GB"/>
    </w:rPr>
  </w:style>
  <w:style w:type="paragraph" w:styleId="Footer">
    <w:name w:val="footer"/>
    <w:basedOn w:val="Normal"/>
    <w:link w:val="FooterChar"/>
    <w:uiPriority w:val="99"/>
    <w:unhideWhenUsed/>
    <w:rsid w:val="00ED7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C4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ja.com.au/journal/2011/195/11/funding-mental-health-research-gap-remains"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moodgym.com.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q.edu.au/about/campus-services-and-facilities/hospital-and-clinics/centre-for-emotional-health-clinic/programs-for-children-and-teenage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sph.anu.edu.au/research/projects/atlas-mental-health-care" TargetMode="External"/><Relationship Id="rId23" Type="http://schemas.openxmlformats.org/officeDocument/2006/relationships/hyperlink" Target="https://www.mq.edu.au/about/campus-services-and-facilities/hospital-and-clinics/centre-for-emotional-health-clinic/programs-for-children-and-teenagers" TargetMode="External"/><Relationship Id="rId10" Type="http://schemas.openxmlformats.org/officeDocument/2006/relationships/webSettings" Target="webSettings.xml"/><Relationship Id="rId19" Type="http://schemas.openxmlformats.org/officeDocument/2006/relationships/hyperlink" Target="https://www.friendsresilience.org/about-u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http://www.brave-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F99C5A19-14E7-434D-BE81-C865390A9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C323F-28D9-43A8-803A-61E753026B78}">
  <ds:schemaRefs>
    <ds:schemaRef ds:uri="http://schemas.microsoft.com/sharepoint/v3/contenttype/forms"/>
  </ds:schemaRefs>
</ds:datastoreItem>
</file>

<file path=customXml/itemProps3.xml><?xml version="1.0" encoding="utf-8"?>
<ds:datastoreItem xmlns:ds="http://schemas.openxmlformats.org/officeDocument/2006/customXml" ds:itemID="{CD7C1430-FDAA-4911-9E77-F2F71B3E54FF}">
  <ds:schemaRefs>
    <ds:schemaRef ds:uri="http://schemas.microsoft.com/sharepoint/events"/>
  </ds:schemaRefs>
</ds:datastoreItem>
</file>

<file path=customXml/itemProps4.xml><?xml version="1.0" encoding="utf-8"?>
<ds:datastoreItem xmlns:ds="http://schemas.openxmlformats.org/officeDocument/2006/customXml" ds:itemID="{88102511-5737-4DFB-80E2-CA52FDACED95}">
  <ds:schemaRefs>
    <ds:schemaRef ds:uri="Microsoft.SharePoint.Taxonomy.ContentTypeSync"/>
  </ds:schemaRefs>
</ds:datastoreItem>
</file>

<file path=customXml/itemProps5.xml><?xml version="1.0" encoding="utf-8"?>
<ds:datastoreItem xmlns:ds="http://schemas.openxmlformats.org/officeDocument/2006/customXml" ds:itemID="{9AEC04C8-FB56-4195-84D5-87857ECF3C7B}">
  <ds:schemaRefs>
    <ds:schemaRef ds:uri="http://schemas.microsoft.com/office/2006/metadata/customXsn"/>
  </ds:schemaRefs>
</ds:datastoreItem>
</file>

<file path=customXml/itemProps6.xml><?xml version="1.0" encoding="utf-8"?>
<ds:datastoreItem xmlns:ds="http://schemas.openxmlformats.org/officeDocument/2006/customXml" ds:itemID="{A622B2B7-58E5-4A84-8ED7-96FF78DE4236}">
  <ds:schemaRefs>
    <ds:schemaRef ds:uri="http://purl.org/dc/elements/1.1/"/>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3f4bcce7-ac1a-4c9d-aa3e-7e77695652d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Submission 48 - Centre for Mental Health Research (CMHR) Australian National University (ANU) - Mental Health - Public inquiry</vt:lpstr>
    </vt:vector>
  </TitlesOfParts>
  <Company>Centre for Mental Health Research (CMHR) Australian National University (ANU)</Company>
  <LinksUpToDate>false</LinksUpToDate>
  <CharactersWithSpaces>31936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48 - Centre for Mental Health Research (CMHR) Australian National University (ANU) - Mental Health - Public inquiry</dc:title>
  <dc:subject/>
  <dc:creator>Centre for Mental Health Research (CMHR) Australian National University (ANU)</dc:creator>
  <cp:keywords/>
  <dc:description/>
  <cp:lastModifiedBy>Productivity Commission</cp:lastModifiedBy>
  <cp:revision>5</cp:revision>
  <cp:lastPrinted>2019-04-04T05:03:00Z</cp:lastPrinted>
  <dcterms:created xsi:type="dcterms:W3CDTF">2019-04-04T04:57:00Z</dcterms:created>
  <dcterms:modified xsi:type="dcterms:W3CDTF">2019-04-10T01:20:00Z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