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C6F2998" w14:textId="4CE32D0E" w:rsidR="009745EF" w:rsidRPr="00157004" w:rsidRDefault="001F42C0" w:rsidP="00C76B14">
      <w:pPr>
        <w:spacing w:line="276" w:lineRule="auto"/>
        <w:rPr>
          <w:rFonts w:ascii="Bookman Old Style" w:hAnsi="Bookman Old Style" w:cstheme="minorHAnsi"/>
        </w:rPr>
      </w:pPr>
      <w:r w:rsidRPr="00157004">
        <w:rPr>
          <w:rFonts w:ascii="Bookman Old Style" w:hAnsi="Bookman Old Style" w:cstheme="minorHAnsi"/>
        </w:rPr>
        <w:fldChar w:fldCharType="begin"/>
      </w:r>
      <w:r w:rsidRPr="00157004">
        <w:rPr>
          <w:rFonts w:ascii="Bookman Old Style" w:hAnsi="Bookman Old Style" w:cstheme="minorHAnsi"/>
        </w:rPr>
        <w:instrText xml:space="preserve"> INCLUDEPICTURE "https://www.cbpatsisp.com.au/wp-content/uploads/2020/01/Best-Practise-LogoLarge300dpi-002-e1580177260720.png" \* MERGEFORMATINET </w:instrText>
      </w:r>
      <w:r w:rsidRPr="00157004">
        <w:rPr>
          <w:rFonts w:ascii="Bookman Old Style" w:hAnsi="Bookman Old Style" w:cstheme="minorHAnsi"/>
        </w:rPr>
        <w:fldChar w:fldCharType="separate"/>
      </w:r>
      <w:r w:rsidRPr="00157004">
        <w:rPr>
          <w:rFonts w:ascii="Bookman Old Style" w:hAnsi="Bookman Old Style" w:cstheme="minorHAnsi"/>
          <w:noProof/>
          <w:lang w:eastAsia="en-AU"/>
        </w:rPr>
        <w:drawing>
          <wp:inline distT="0" distB="0" distL="0" distR="0" wp14:anchorId="7EACA82E" wp14:editId="33429383">
            <wp:extent cx="4005943" cy="18127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8321" cy="1863555"/>
                    </a:xfrm>
                    <a:prstGeom prst="rect">
                      <a:avLst/>
                    </a:prstGeom>
                    <a:noFill/>
                    <a:ln>
                      <a:noFill/>
                    </a:ln>
                  </pic:spPr>
                </pic:pic>
              </a:graphicData>
            </a:graphic>
          </wp:inline>
        </w:drawing>
      </w:r>
      <w:r w:rsidRPr="00157004">
        <w:rPr>
          <w:rFonts w:ascii="Bookman Old Style" w:hAnsi="Bookman Old Style" w:cstheme="minorHAnsi"/>
        </w:rPr>
        <w:fldChar w:fldCharType="end"/>
      </w:r>
      <w:r w:rsidR="008D1923" w:rsidRPr="00157004">
        <w:rPr>
          <w:rFonts w:ascii="Bookman Old Style" w:hAnsi="Bookman Old Style" w:cstheme="minorHAnsi"/>
        </w:rPr>
        <w:fldChar w:fldCharType="begin"/>
      </w:r>
      <w:r w:rsidR="008D1923" w:rsidRPr="00157004">
        <w:rPr>
          <w:rFonts w:ascii="Bookman Old Style" w:hAnsi="Bookman Old Style" w:cstheme="minorHAnsi"/>
        </w:rPr>
        <w:instrText xml:space="preserve"> INCLUDEPICTURE "https://nswmentalhealthcommission.com.au/sites/default/files/styles/medium/public/logo-natsilmh.jpg" \* MERGEFORMATINET </w:instrText>
      </w:r>
      <w:r w:rsidR="008D1923" w:rsidRPr="00157004">
        <w:rPr>
          <w:rFonts w:ascii="Bookman Old Style" w:hAnsi="Bookman Old Style" w:cstheme="minorHAnsi"/>
        </w:rPr>
        <w:fldChar w:fldCharType="separate"/>
      </w:r>
      <w:r w:rsidR="008D1923" w:rsidRPr="00157004">
        <w:rPr>
          <w:rFonts w:ascii="Bookman Old Style" w:hAnsi="Bookman Old Style" w:cstheme="minorHAnsi"/>
          <w:noProof/>
          <w:lang w:eastAsia="en-AU"/>
        </w:rPr>
        <w:drawing>
          <wp:inline distT="0" distB="0" distL="0" distR="0" wp14:anchorId="42444867" wp14:editId="509A7AD9">
            <wp:extent cx="1640659" cy="1216817"/>
            <wp:effectExtent l="0" t="0" r="0" b="2540"/>
            <wp:docPr id="8" name="Picture 8" descr="Image result for natsilm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natsilm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1749" cy="1232459"/>
                    </a:xfrm>
                    <a:prstGeom prst="rect">
                      <a:avLst/>
                    </a:prstGeom>
                    <a:noFill/>
                    <a:ln>
                      <a:noFill/>
                    </a:ln>
                  </pic:spPr>
                </pic:pic>
              </a:graphicData>
            </a:graphic>
          </wp:inline>
        </w:drawing>
      </w:r>
      <w:r w:rsidR="008D1923" w:rsidRPr="00157004">
        <w:rPr>
          <w:rFonts w:ascii="Bookman Old Style" w:hAnsi="Bookman Old Style" w:cstheme="minorHAnsi"/>
        </w:rPr>
        <w:fldChar w:fldCharType="end"/>
      </w:r>
    </w:p>
    <w:p w14:paraId="5F9B82E9" w14:textId="77777777" w:rsidR="009745EF" w:rsidRPr="00157004" w:rsidRDefault="009745EF" w:rsidP="00C76B14">
      <w:pPr>
        <w:spacing w:line="276" w:lineRule="auto"/>
        <w:rPr>
          <w:rFonts w:ascii="Bookman Old Style" w:hAnsi="Bookman Old Style" w:cstheme="minorHAnsi"/>
        </w:rPr>
      </w:pPr>
    </w:p>
    <w:p w14:paraId="6BFA1004" w14:textId="77777777" w:rsidR="009745EF" w:rsidRPr="00157004" w:rsidRDefault="009745EF" w:rsidP="00C76B14">
      <w:pPr>
        <w:spacing w:line="276" w:lineRule="auto"/>
        <w:rPr>
          <w:rFonts w:ascii="Bookman Old Style" w:hAnsi="Bookman Old Style" w:cstheme="minorHAnsi"/>
        </w:rPr>
      </w:pPr>
    </w:p>
    <w:p w14:paraId="44DFB2A6" w14:textId="77777777" w:rsidR="002E6657" w:rsidRPr="00157004" w:rsidRDefault="002E6657" w:rsidP="00C76B14">
      <w:pPr>
        <w:spacing w:line="276" w:lineRule="auto"/>
        <w:rPr>
          <w:rFonts w:ascii="Bookman Old Style" w:hAnsi="Bookman Old Style" w:cstheme="minorHAnsi"/>
          <w:b/>
          <w:bCs/>
        </w:rPr>
      </w:pPr>
      <w:r w:rsidRPr="00157004">
        <w:rPr>
          <w:rFonts w:ascii="Bookman Old Style" w:hAnsi="Bookman Old Style" w:cstheme="minorHAnsi"/>
          <w:b/>
          <w:bCs/>
        </w:rPr>
        <w:t xml:space="preserve">Comments on the </w:t>
      </w:r>
      <w:r w:rsidR="000828FB" w:rsidRPr="00157004">
        <w:rPr>
          <w:rFonts w:ascii="Bookman Old Style" w:hAnsi="Bookman Old Style" w:cstheme="minorHAnsi"/>
          <w:b/>
          <w:bCs/>
        </w:rPr>
        <w:t xml:space="preserve">Productivity Commission </w:t>
      </w:r>
      <w:r w:rsidRPr="00157004">
        <w:rPr>
          <w:rFonts w:ascii="Bookman Old Style" w:hAnsi="Bookman Old Style" w:cstheme="minorHAnsi"/>
          <w:b/>
          <w:bCs/>
        </w:rPr>
        <w:t xml:space="preserve">draft </w:t>
      </w:r>
      <w:r w:rsidR="000828FB" w:rsidRPr="00157004">
        <w:rPr>
          <w:rFonts w:ascii="Bookman Old Style" w:hAnsi="Bookman Old Style" w:cstheme="minorHAnsi"/>
          <w:b/>
          <w:bCs/>
        </w:rPr>
        <w:t>report</w:t>
      </w:r>
      <w:r w:rsidRPr="00157004">
        <w:rPr>
          <w:rFonts w:ascii="Bookman Old Style" w:hAnsi="Bookman Old Style" w:cstheme="minorHAnsi"/>
          <w:b/>
          <w:bCs/>
        </w:rPr>
        <w:t xml:space="preserve"> on mental health </w:t>
      </w:r>
    </w:p>
    <w:p w14:paraId="54D5638B" w14:textId="77777777" w:rsidR="002E6657" w:rsidRPr="00157004" w:rsidRDefault="002E6657" w:rsidP="00C76B14">
      <w:pPr>
        <w:spacing w:line="276" w:lineRule="auto"/>
        <w:rPr>
          <w:rFonts w:ascii="Bookman Old Style" w:hAnsi="Bookman Old Style" w:cstheme="minorHAnsi"/>
          <w:b/>
          <w:bCs/>
        </w:rPr>
      </w:pPr>
    </w:p>
    <w:p w14:paraId="1958B227" w14:textId="1724B81F" w:rsidR="002E6657" w:rsidRDefault="001F42C0" w:rsidP="00C76B14">
      <w:pPr>
        <w:spacing w:line="276" w:lineRule="auto"/>
        <w:rPr>
          <w:rFonts w:ascii="Bookman Old Style" w:hAnsi="Bookman Old Style" w:cstheme="minorHAnsi"/>
        </w:rPr>
      </w:pPr>
      <w:r w:rsidRPr="00157004">
        <w:rPr>
          <w:rFonts w:ascii="Bookman Old Style" w:hAnsi="Bookman Old Style" w:cstheme="minorHAnsi"/>
        </w:rPr>
        <w:t>Febr</w:t>
      </w:r>
      <w:r w:rsidR="002E6657" w:rsidRPr="00157004">
        <w:rPr>
          <w:rFonts w:ascii="Bookman Old Style" w:hAnsi="Bookman Old Style" w:cstheme="minorHAnsi"/>
        </w:rPr>
        <w:t>uary 20</w:t>
      </w:r>
      <w:r w:rsidR="002B44F5">
        <w:rPr>
          <w:rFonts w:ascii="Bookman Old Style" w:hAnsi="Bookman Old Style" w:cstheme="minorHAnsi"/>
        </w:rPr>
        <w:t>20</w:t>
      </w:r>
    </w:p>
    <w:p w14:paraId="7AB72FCC" w14:textId="77777777" w:rsidR="00404615" w:rsidRPr="00157004" w:rsidRDefault="00404615" w:rsidP="00C76B14">
      <w:pPr>
        <w:spacing w:line="276" w:lineRule="auto"/>
        <w:rPr>
          <w:rFonts w:ascii="Bookman Old Style" w:hAnsi="Bookman Old Style" w:cstheme="minorHAnsi"/>
        </w:rPr>
      </w:pPr>
    </w:p>
    <w:p w14:paraId="2EF18C78" w14:textId="7F2502B5" w:rsidR="00157004" w:rsidRDefault="00CD4FCD" w:rsidP="00C76B14">
      <w:pPr>
        <w:pStyle w:val="Bullets1"/>
        <w:numPr>
          <w:ilvl w:val="0"/>
          <w:numId w:val="0"/>
        </w:numPr>
        <w:spacing w:line="276" w:lineRule="auto"/>
        <w:rPr>
          <w:rFonts w:ascii="Bookman Old Style" w:hAnsi="Bookman Old Style" w:cstheme="minorHAnsi"/>
          <w:sz w:val="24"/>
          <w:szCs w:val="24"/>
        </w:rPr>
      </w:pPr>
      <w:r w:rsidRPr="00157004">
        <w:rPr>
          <w:rFonts w:ascii="Bookman Old Style" w:hAnsi="Bookman Old Style" w:cstheme="minorHAnsi"/>
          <w:sz w:val="24"/>
          <w:szCs w:val="24"/>
        </w:rPr>
        <w:t>The Centre of Best Practice in Aboriginal and Torres Strait Islander Suicide Prevention (CBPATSISP) and National Aboriginal and Torres Strait Islander Leadership in Mental Health (NATSILMH) t</w:t>
      </w:r>
      <w:r w:rsidR="00404615" w:rsidRPr="00157004">
        <w:rPr>
          <w:rFonts w:ascii="Bookman Old Style" w:hAnsi="Bookman Old Style" w:cstheme="minorHAnsi"/>
          <w:sz w:val="24"/>
          <w:szCs w:val="24"/>
        </w:rPr>
        <w:t xml:space="preserve">hank </w:t>
      </w:r>
      <w:r w:rsidR="004D09F5" w:rsidRPr="00157004">
        <w:rPr>
          <w:rFonts w:ascii="Bookman Old Style" w:hAnsi="Bookman Old Style" w:cstheme="minorHAnsi"/>
          <w:sz w:val="24"/>
          <w:szCs w:val="24"/>
        </w:rPr>
        <w:t xml:space="preserve">the Commission </w:t>
      </w:r>
      <w:r w:rsidR="00404615" w:rsidRPr="00157004">
        <w:rPr>
          <w:rFonts w:ascii="Bookman Old Style" w:hAnsi="Bookman Old Style" w:cstheme="minorHAnsi"/>
          <w:sz w:val="24"/>
          <w:szCs w:val="24"/>
        </w:rPr>
        <w:t xml:space="preserve">for the opportunity to </w:t>
      </w:r>
      <w:r w:rsidR="006D6937" w:rsidRPr="00157004">
        <w:rPr>
          <w:rFonts w:ascii="Bookman Old Style" w:hAnsi="Bookman Old Style" w:cstheme="minorHAnsi"/>
          <w:sz w:val="24"/>
          <w:szCs w:val="24"/>
        </w:rPr>
        <w:t>comment on</w:t>
      </w:r>
      <w:r w:rsidRPr="00157004">
        <w:rPr>
          <w:rFonts w:ascii="Bookman Old Style" w:hAnsi="Bookman Old Style" w:cstheme="minorHAnsi"/>
          <w:sz w:val="24"/>
          <w:szCs w:val="24"/>
        </w:rPr>
        <w:t xml:space="preserve"> the </w:t>
      </w:r>
      <w:r w:rsidR="00404615" w:rsidRPr="00157004">
        <w:rPr>
          <w:rFonts w:ascii="Bookman Old Style" w:hAnsi="Bookman Old Style" w:cstheme="minorHAnsi"/>
          <w:sz w:val="24"/>
          <w:szCs w:val="24"/>
        </w:rPr>
        <w:t>draft report.</w:t>
      </w:r>
      <w:r w:rsidR="00D340F2" w:rsidRPr="00157004">
        <w:rPr>
          <w:rFonts w:ascii="Bookman Old Style" w:hAnsi="Bookman Old Style" w:cstheme="minorHAnsi"/>
          <w:sz w:val="24"/>
          <w:szCs w:val="24"/>
        </w:rPr>
        <w:t xml:space="preserve"> </w:t>
      </w:r>
    </w:p>
    <w:p w14:paraId="5178D440" w14:textId="77777777" w:rsidR="00157004" w:rsidRDefault="00157004" w:rsidP="00C76B14">
      <w:pPr>
        <w:pStyle w:val="Bullets1"/>
        <w:numPr>
          <w:ilvl w:val="0"/>
          <w:numId w:val="0"/>
        </w:numPr>
        <w:spacing w:line="276" w:lineRule="auto"/>
        <w:rPr>
          <w:rFonts w:ascii="Bookman Old Style" w:hAnsi="Bookman Old Style" w:cstheme="minorHAnsi"/>
          <w:sz w:val="24"/>
          <w:szCs w:val="24"/>
        </w:rPr>
      </w:pPr>
    </w:p>
    <w:p w14:paraId="103AB031" w14:textId="67EB85CC" w:rsidR="00125854" w:rsidRPr="00157004" w:rsidRDefault="00125854" w:rsidP="00C76B14">
      <w:pPr>
        <w:pStyle w:val="Bullets1"/>
        <w:numPr>
          <w:ilvl w:val="0"/>
          <w:numId w:val="0"/>
        </w:numPr>
        <w:spacing w:line="276" w:lineRule="auto"/>
        <w:rPr>
          <w:rStyle w:val="Emphasis"/>
          <w:rFonts w:ascii="Bookman Old Style" w:hAnsi="Bookman Old Style" w:cstheme="minorHAnsi"/>
          <w:i w:val="0"/>
          <w:iCs w:val="0"/>
          <w:sz w:val="24"/>
          <w:szCs w:val="24"/>
        </w:rPr>
      </w:pPr>
      <w:r w:rsidRPr="00157004">
        <w:rPr>
          <w:rFonts w:ascii="Bookman Old Style" w:hAnsi="Bookman Old Style"/>
          <w:color w:val="000000"/>
          <w:sz w:val="24"/>
          <w:szCs w:val="24"/>
        </w:rPr>
        <w:t>The CBPATSISP aims to reduce the causes, prevalence and impact of suicide on Indigenous individuals, families and communities. It achieves this by identifying, translating and promoting the adoption of best practice in Indigenous-specific suicide prevention activity, building on the substantial w</w:t>
      </w:r>
      <w:r w:rsidRPr="00157004">
        <w:rPr>
          <w:rFonts w:ascii="Bookman Old Style" w:hAnsi="Bookman Old Style"/>
          <w:sz w:val="24"/>
          <w:szCs w:val="24"/>
        </w:rPr>
        <w:t>ork of the national </w:t>
      </w:r>
      <w:r w:rsidRPr="00157004">
        <w:rPr>
          <w:rStyle w:val="Emphasis"/>
          <w:rFonts w:ascii="Bookman Old Style" w:hAnsi="Bookman Old Style"/>
          <w:sz w:val="24"/>
          <w:szCs w:val="24"/>
        </w:rPr>
        <w:t>Aboriginal and Torres Strait Islander Suicide Prevention Evaluation Project (ATSISPEP).</w:t>
      </w:r>
    </w:p>
    <w:p w14:paraId="44C30B7D" w14:textId="2AE81C3D" w:rsidR="00125854" w:rsidRPr="00157004" w:rsidRDefault="00125854" w:rsidP="00C76B14">
      <w:pPr>
        <w:pStyle w:val="NormalWeb"/>
        <w:shd w:val="clear" w:color="auto" w:fill="FFFFFF"/>
        <w:spacing w:before="336" w:beforeAutospacing="0" w:after="336" w:afterAutospacing="0" w:line="276" w:lineRule="auto"/>
        <w:rPr>
          <w:rFonts w:ascii="Bookman Old Style" w:hAnsi="Bookman Old Style"/>
          <w:color w:val="000000" w:themeColor="text1"/>
        </w:rPr>
      </w:pPr>
      <w:r w:rsidRPr="00157004">
        <w:rPr>
          <w:rFonts w:ascii="Bookman Old Style" w:hAnsi="Bookman Old Style"/>
          <w:color w:val="000000" w:themeColor="text1"/>
        </w:rPr>
        <w:t>NATSILMH is a group of senior Aboriginal and Torres Strait Islander people working in social and emotional wellbeing, mental health and suicide prevention. It aims to help restore, maintain and promote the social and emotional wellbeing and mental health of Aboriginal and Torres Strait Islander peoples, and reduce suicides, by advocating and providing advice and leadership.</w:t>
      </w:r>
    </w:p>
    <w:p w14:paraId="0DE619EC" w14:textId="25E305D6" w:rsidR="00157004" w:rsidRPr="00157004" w:rsidRDefault="00CD4FCD" w:rsidP="00C76B14">
      <w:pPr>
        <w:pStyle w:val="Bullets1"/>
        <w:numPr>
          <w:ilvl w:val="0"/>
          <w:numId w:val="0"/>
        </w:numPr>
        <w:spacing w:line="276" w:lineRule="auto"/>
        <w:rPr>
          <w:rFonts w:ascii="Bookman Old Style" w:hAnsi="Bookman Old Style" w:cstheme="minorHAnsi"/>
          <w:sz w:val="24"/>
          <w:szCs w:val="24"/>
        </w:rPr>
      </w:pPr>
      <w:r w:rsidRPr="00157004">
        <w:rPr>
          <w:rFonts w:ascii="Bookman Old Style" w:hAnsi="Bookman Old Style" w:cstheme="minorHAnsi"/>
          <w:sz w:val="24"/>
          <w:szCs w:val="24"/>
        </w:rPr>
        <w:t>We make this submission</w:t>
      </w:r>
      <w:r w:rsidR="00A1791A" w:rsidRPr="00157004">
        <w:rPr>
          <w:rFonts w:ascii="Bookman Old Style" w:hAnsi="Bookman Old Style" w:cstheme="minorHAnsi"/>
          <w:sz w:val="24"/>
          <w:szCs w:val="24"/>
        </w:rPr>
        <w:t xml:space="preserve"> jointly</w:t>
      </w:r>
      <w:r w:rsidR="000B7814" w:rsidRPr="00157004">
        <w:rPr>
          <w:rFonts w:ascii="Bookman Old Style" w:hAnsi="Bookman Old Style" w:cstheme="minorHAnsi"/>
          <w:sz w:val="24"/>
          <w:szCs w:val="24"/>
        </w:rPr>
        <w:t xml:space="preserve">, reflecting </w:t>
      </w:r>
      <w:r w:rsidR="00A1791A" w:rsidRPr="00157004">
        <w:rPr>
          <w:rFonts w:ascii="Bookman Old Style" w:hAnsi="Bookman Old Style" w:cstheme="minorHAnsi"/>
          <w:sz w:val="24"/>
          <w:szCs w:val="24"/>
        </w:rPr>
        <w:t xml:space="preserve">our shared </w:t>
      </w:r>
      <w:r w:rsidR="000B7814" w:rsidRPr="00157004">
        <w:rPr>
          <w:rFonts w:ascii="Bookman Old Style" w:hAnsi="Bookman Old Style" w:cstheme="minorHAnsi"/>
          <w:sz w:val="24"/>
          <w:szCs w:val="24"/>
        </w:rPr>
        <w:t xml:space="preserve">interests in the mental health and </w:t>
      </w:r>
      <w:hyperlink r:id="rId15" w:history="1">
        <w:r w:rsidR="00157004" w:rsidRPr="00157004">
          <w:rPr>
            <w:rStyle w:val="Hyperlink"/>
            <w:rFonts w:ascii="Bookman Old Style" w:hAnsi="Bookman Old Style" w:cstheme="minorHAnsi"/>
            <w:sz w:val="24"/>
            <w:szCs w:val="24"/>
          </w:rPr>
          <w:t>social and emotional wellbeing</w:t>
        </w:r>
      </w:hyperlink>
      <w:r w:rsidR="00157004" w:rsidRPr="00157004">
        <w:rPr>
          <w:rFonts w:ascii="Bookman Old Style" w:hAnsi="Bookman Old Style" w:cstheme="minorHAnsi"/>
          <w:sz w:val="24"/>
          <w:szCs w:val="24"/>
        </w:rPr>
        <w:t xml:space="preserve"> </w:t>
      </w:r>
      <w:r w:rsidR="000B7814" w:rsidRPr="00157004">
        <w:rPr>
          <w:rFonts w:ascii="Bookman Old Style" w:hAnsi="Bookman Old Style" w:cstheme="minorHAnsi"/>
          <w:sz w:val="24"/>
          <w:szCs w:val="24"/>
        </w:rPr>
        <w:t>of Indigenous people and communities, and in particular our shared objectives</w:t>
      </w:r>
      <w:r w:rsidR="00A1791A" w:rsidRPr="00157004">
        <w:rPr>
          <w:rFonts w:ascii="Bookman Old Style" w:hAnsi="Bookman Old Style" w:cstheme="minorHAnsi"/>
          <w:sz w:val="24"/>
          <w:szCs w:val="24"/>
        </w:rPr>
        <w:t xml:space="preserve"> of advancing </w:t>
      </w:r>
      <w:r w:rsidRPr="00157004">
        <w:rPr>
          <w:rFonts w:ascii="Bookman Old Style" w:hAnsi="Bookman Old Style" w:cstheme="minorHAnsi"/>
          <w:sz w:val="24"/>
          <w:szCs w:val="24"/>
        </w:rPr>
        <w:t>the implementation of</w:t>
      </w:r>
      <w:r w:rsidR="00157004" w:rsidRPr="00157004">
        <w:rPr>
          <w:rFonts w:ascii="Bookman Old Style" w:hAnsi="Bookman Old Style" w:cstheme="minorHAnsi"/>
          <w:sz w:val="24"/>
          <w:szCs w:val="24"/>
        </w:rPr>
        <w:t xml:space="preserve">: </w:t>
      </w:r>
    </w:p>
    <w:p w14:paraId="66E08763" w14:textId="37C15FE1" w:rsidR="00157004" w:rsidRPr="00157004" w:rsidRDefault="00A1791A" w:rsidP="00C76B14">
      <w:pPr>
        <w:pStyle w:val="Bullets1"/>
        <w:numPr>
          <w:ilvl w:val="0"/>
          <w:numId w:val="13"/>
        </w:numPr>
        <w:spacing w:line="276" w:lineRule="auto"/>
        <w:rPr>
          <w:rFonts w:ascii="Bookman Old Style" w:hAnsi="Bookman Old Style" w:cstheme="minorHAnsi"/>
          <w:sz w:val="24"/>
          <w:szCs w:val="24"/>
        </w:rPr>
      </w:pPr>
      <w:r w:rsidRPr="00157004">
        <w:rPr>
          <w:rFonts w:ascii="Bookman Old Style" w:hAnsi="Bookman Old Style" w:cstheme="minorHAnsi"/>
          <w:sz w:val="24"/>
          <w:szCs w:val="24"/>
        </w:rPr>
        <w:t xml:space="preserve">the </w:t>
      </w:r>
      <w:r w:rsidR="00C063AD" w:rsidRPr="00157004">
        <w:rPr>
          <w:rFonts w:ascii="Bookman Old Style" w:hAnsi="Bookman Old Style" w:cstheme="minorHAnsi"/>
          <w:sz w:val="24"/>
          <w:szCs w:val="24"/>
        </w:rPr>
        <w:t xml:space="preserve">CBPATSISP’s </w:t>
      </w:r>
      <w:hyperlink r:id="rId16" w:history="1">
        <w:r w:rsidR="00C063AD" w:rsidRPr="00157004">
          <w:rPr>
            <w:rStyle w:val="Hyperlink"/>
            <w:rFonts w:ascii="Bookman Old Style" w:hAnsi="Bookman Old Style" w:cstheme="minorHAnsi"/>
            <w:i/>
            <w:iCs/>
            <w:sz w:val="24"/>
            <w:szCs w:val="24"/>
          </w:rPr>
          <w:t xml:space="preserve">Indigenous Governance </w:t>
        </w:r>
        <w:r w:rsidR="001F42C0" w:rsidRPr="00157004">
          <w:rPr>
            <w:rStyle w:val="Hyperlink"/>
            <w:rFonts w:ascii="Bookman Old Style" w:hAnsi="Bookman Old Style" w:cstheme="minorHAnsi"/>
            <w:i/>
            <w:iCs/>
            <w:sz w:val="24"/>
            <w:szCs w:val="24"/>
          </w:rPr>
          <w:t>For Suicide Prevention in Aboriginal and Torres Strait Islander Communities</w:t>
        </w:r>
      </w:hyperlink>
      <w:r w:rsidR="00157004" w:rsidRPr="00157004">
        <w:rPr>
          <w:rFonts w:ascii="Bookman Old Style" w:hAnsi="Bookman Old Style" w:cstheme="minorHAnsi"/>
          <w:i/>
          <w:iCs/>
          <w:sz w:val="24"/>
          <w:szCs w:val="24"/>
        </w:rPr>
        <w:t xml:space="preserve">, </w:t>
      </w:r>
      <w:r w:rsidR="00157004" w:rsidRPr="00157004">
        <w:rPr>
          <w:rFonts w:ascii="Bookman Old Style" w:hAnsi="Bookman Old Style" w:cstheme="minorHAnsi"/>
          <w:sz w:val="24"/>
          <w:szCs w:val="24"/>
        </w:rPr>
        <w:t xml:space="preserve">which calls for </w:t>
      </w:r>
      <w:r w:rsidR="00157004" w:rsidRPr="00157004">
        <w:rPr>
          <w:rFonts w:ascii="Bookman Old Style" w:hAnsi="Bookman Old Style" w:cstheme="minorHAnsi"/>
          <w:sz w:val="24"/>
          <w:szCs w:val="24"/>
        </w:rPr>
        <w:lastRenderedPageBreak/>
        <w:t xml:space="preserve">Indigenous leadership in mental health policy development and service co-design and implementation; </w:t>
      </w:r>
      <w:r w:rsidR="00125854" w:rsidRPr="00157004">
        <w:rPr>
          <w:rFonts w:ascii="Bookman Old Style" w:hAnsi="Bookman Old Style" w:cstheme="minorHAnsi"/>
          <w:sz w:val="24"/>
          <w:szCs w:val="24"/>
        </w:rPr>
        <w:t xml:space="preserve">and </w:t>
      </w:r>
    </w:p>
    <w:p w14:paraId="09916A0E" w14:textId="3C2A5602" w:rsidR="00125854" w:rsidRPr="00157004" w:rsidRDefault="00125854" w:rsidP="00C76B14">
      <w:pPr>
        <w:pStyle w:val="Bullets1"/>
        <w:numPr>
          <w:ilvl w:val="0"/>
          <w:numId w:val="13"/>
        </w:numPr>
        <w:spacing w:line="276" w:lineRule="auto"/>
        <w:rPr>
          <w:rFonts w:ascii="Bookman Old Style" w:hAnsi="Bookman Old Style" w:cstheme="minorHAnsi"/>
          <w:sz w:val="24"/>
          <w:szCs w:val="24"/>
        </w:rPr>
      </w:pPr>
      <w:r w:rsidRPr="00157004">
        <w:rPr>
          <w:rFonts w:ascii="Bookman Old Style" w:hAnsi="Bookman Old Style" w:cstheme="minorHAnsi"/>
          <w:sz w:val="24"/>
          <w:szCs w:val="24"/>
        </w:rPr>
        <w:t xml:space="preserve">NATSILMH’s </w:t>
      </w:r>
      <w:hyperlink r:id="rId17" w:history="1">
        <w:r w:rsidRPr="00157004">
          <w:rPr>
            <w:rStyle w:val="Hyperlink"/>
            <w:rFonts w:ascii="Bookman Old Style" w:hAnsi="Bookman Old Style" w:cstheme="minorHAnsi"/>
            <w:i/>
            <w:iCs/>
            <w:sz w:val="24"/>
            <w:szCs w:val="24"/>
          </w:rPr>
          <w:t>Gayaa Dhuwi (Proud Spirit) Declaration</w:t>
        </w:r>
      </w:hyperlink>
      <w:r w:rsidRPr="00157004">
        <w:rPr>
          <w:rFonts w:ascii="Bookman Old Style" w:hAnsi="Bookman Old Style" w:cstheme="minorHAnsi"/>
          <w:sz w:val="24"/>
          <w:szCs w:val="24"/>
        </w:rPr>
        <w:t xml:space="preserve">, which advocates </w:t>
      </w:r>
      <w:r w:rsidR="00157004" w:rsidRPr="00157004">
        <w:rPr>
          <w:rFonts w:ascii="Bookman Old Style" w:hAnsi="Bookman Old Style" w:cstheme="minorHAnsi"/>
          <w:sz w:val="24"/>
          <w:szCs w:val="24"/>
        </w:rPr>
        <w:t xml:space="preserve">an approach based on </w:t>
      </w:r>
      <w:r w:rsidR="004B7E34" w:rsidRPr="00157004">
        <w:rPr>
          <w:rFonts w:ascii="Bookman Old Style" w:hAnsi="Bookman Old Style" w:cstheme="minorHAnsi"/>
          <w:sz w:val="24"/>
          <w:szCs w:val="24"/>
        </w:rPr>
        <w:t>concept</w:t>
      </w:r>
      <w:r w:rsidR="00157004" w:rsidRPr="00157004">
        <w:rPr>
          <w:rFonts w:ascii="Bookman Old Style" w:hAnsi="Bookman Old Style" w:cstheme="minorHAnsi"/>
          <w:sz w:val="24"/>
          <w:szCs w:val="24"/>
        </w:rPr>
        <w:t>s</w:t>
      </w:r>
      <w:r w:rsidR="004B7E34" w:rsidRPr="00157004">
        <w:rPr>
          <w:rFonts w:ascii="Bookman Old Style" w:hAnsi="Bookman Old Style" w:cstheme="minorHAnsi"/>
          <w:sz w:val="24"/>
          <w:szCs w:val="24"/>
        </w:rPr>
        <w:t xml:space="preserve"> of</w:t>
      </w:r>
      <w:r w:rsidR="008079A4" w:rsidRPr="00157004">
        <w:rPr>
          <w:rFonts w:ascii="Bookman Old Style" w:hAnsi="Bookman Old Style" w:cstheme="minorHAnsi"/>
          <w:sz w:val="24"/>
          <w:szCs w:val="24"/>
        </w:rPr>
        <w:t xml:space="preserve"> </w:t>
      </w:r>
      <w:r w:rsidR="00157004" w:rsidRPr="00157004">
        <w:rPr>
          <w:rFonts w:ascii="Bookman Old Style" w:hAnsi="Bookman Old Style" w:cstheme="minorHAnsi"/>
          <w:sz w:val="24"/>
          <w:szCs w:val="24"/>
        </w:rPr>
        <w:t xml:space="preserve">social and emotional wellbeing </w:t>
      </w:r>
      <w:r w:rsidR="006D6937" w:rsidRPr="00157004">
        <w:rPr>
          <w:rFonts w:ascii="Bookman Old Style" w:hAnsi="Bookman Old Style" w:cstheme="minorHAnsi"/>
          <w:sz w:val="24"/>
          <w:szCs w:val="24"/>
        </w:rPr>
        <w:t xml:space="preserve">and cultural </w:t>
      </w:r>
      <w:r w:rsidR="00157004" w:rsidRPr="00157004">
        <w:rPr>
          <w:rFonts w:ascii="Bookman Old Style" w:hAnsi="Bookman Old Style" w:cstheme="minorHAnsi"/>
          <w:sz w:val="24"/>
          <w:szCs w:val="24"/>
        </w:rPr>
        <w:t xml:space="preserve">connection and </w:t>
      </w:r>
      <w:r w:rsidR="006D6937" w:rsidRPr="00157004">
        <w:rPr>
          <w:rFonts w:ascii="Bookman Old Style" w:hAnsi="Bookman Old Style" w:cstheme="minorHAnsi"/>
          <w:sz w:val="24"/>
          <w:szCs w:val="24"/>
        </w:rPr>
        <w:t>healing</w:t>
      </w:r>
      <w:r w:rsidR="00157004" w:rsidRPr="00157004">
        <w:rPr>
          <w:rFonts w:ascii="Bookman Old Style" w:hAnsi="Bookman Old Style" w:cstheme="minorHAnsi"/>
          <w:sz w:val="24"/>
          <w:szCs w:val="24"/>
        </w:rPr>
        <w:t xml:space="preserve">, while </w:t>
      </w:r>
      <w:r w:rsidR="004B7E34" w:rsidRPr="00157004">
        <w:rPr>
          <w:rFonts w:ascii="Bookman Old Style" w:hAnsi="Bookman Old Style" w:cstheme="minorHAnsi"/>
          <w:sz w:val="24"/>
          <w:szCs w:val="24"/>
        </w:rPr>
        <w:t>working</w:t>
      </w:r>
      <w:r w:rsidR="006D6937" w:rsidRPr="00157004">
        <w:rPr>
          <w:rFonts w:ascii="Bookman Old Style" w:hAnsi="Bookman Old Style" w:cstheme="minorHAnsi"/>
          <w:sz w:val="24"/>
          <w:szCs w:val="24"/>
        </w:rPr>
        <w:t xml:space="preserve"> holistically </w:t>
      </w:r>
      <w:r w:rsidR="00157004" w:rsidRPr="00157004">
        <w:rPr>
          <w:rFonts w:ascii="Bookman Old Style" w:hAnsi="Bookman Old Style" w:cstheme="minorHAnsi"/>
          <w:sz w:val="24"/>
          <w:szCs w:val="24"/>
        </w:rPr>
        <w:t>with</w:t>
      </w:r>
      <w:r w:rsidR="006D6937" w:rsidRPr="00157004">
        <w:rPr>
          <w:rFonts w:ascii="Bookman Old Style" w:hAnsi="Bookman Old Style" w:cstheme="minorHAnsi"/>
          <w:sz w:val="24"/>
          <w:szCs w:val="24"/>
        </w:rPr>
        <w:t xml:space="preserve"> culturally competent clinical services. </w:t>
      </w:r>
    </w:p>
    <w:p w14:paraId="672C946A" w14:textId="77777777" w:rsidR="00157004" w:rsidRDefault="00157004" w:rsidP="00C76B14">
      <w:pPr>
        <w:pStyle w:val="Bullets1"/>
        <w:numPr>
          <w:ilvl w:val="0"/>
          <w:numId w:val="0"/>
        </w:numPr>
        <w:spacing w:line="276" w:lineRule="auto"/>
        <w:rPr>
          <w:rFonts w:ascii="Bookman Old Style" w:hAnsi="Bookman Old Style" w:cstheme="minorHAnsi"/>
          <w:sz w:val="24"/>
          <w:szCs w:val="24"/>
        </w:rPr>
      </w:pPr>
    </w:p>
    <w:p w14:paraId="2CA058F3" w14:textId="25F9472F" w:rsidR="00BE2D80" w:rsidRPr="00157004" w:rsidRDefault="008079A4" w:rsidP="00C76B14">
      <w:pPr>
        <w:pStyle w:val="Bullets1"/>
        <w:numPr>
          <w:ilvl w:val="0"/>
          <w:numId w:val="0"/>
        </w:numPr>
        <w:spacing w:line="276" w:lineRule="auto"/>
        <w:rPr>
          <w:rFonts w:ascii="Bookman Old Style" w:hAnsi="Bookman Old Style" w:cstheme="minorHAnsi"/>
          <w:sz w:val="24"/>
          <w:szCs w:val="24"/>
        </w:rPr>
      </w:pPr>
      <w:r w:rsidRPr="00157004">
        <w:rPr>
          <w:rFonts w:ascii="Bookman Old Style" w:hAnsi="Bookman Old Style" w:cstheme="minorHAnsi"/>
          <w:sz w:val="24"/>
          <w:szCs w:val="24"/>
        </w:rPr>
        <w:t>These themes are reflected in the responses and comments below</w:t>
      </w:r>
      <w:r w:rsidR="00BE2D80" w:rsidRPr="00157004">
        <w:rPr>
          <w:rFonts w:ascii="Bookman Old Style" w:hAnsi="Bookman Old Style" w:cstheme="minorHAnsi"/>
          <w:sz w:val="24"/>
          <w:szCs w:val="24"/>
        </w:rPr>
        <w:t>, which we have grouped in three sections:</w:t>
      </w:r>
    </w:p>
    <w:p w14:paraId="7CC4481E" w14:textId="77777777" w:rsidR="00BE2D80" w:rsidRPr="00157004" w:rsidRDefault="00BE2D80" w:rsidP="00C76B14">
      <w:pPr>
        <w:pStyle w:val="Bullets1"/>
        <w:numPr>
          <w:ilvl w:val="0"/>
          <w:numId w:val="12"/>
        </w:numPr>
        <w:spacing w:line="276" w:lineRule="auto"/>
        <w:rPr>
          <w:rFonts w:ascii="Bookman Old Style" w:hAnsi="Bookman Old Style" w:cstheme="minorHAnsi"/>
          <w:sz w:val="24"/>
          <w:szCs w:val="24"/>
        </w:rPr>
      </w:pPr>
      <w:r w:rsidRPr="00157004">
        <w:rPr>
          <w:rFonts w:ascii="Bookman Old Style" w:hAnsi="Bookman Old Style" w:cstheme="minorHAnsi"/>
          <w:sz w:val="24"/>
          <w:szCs w:val="24"/>
        </w:rPr>
        <w:t>Additional priorities for the Commission’s consideration in its final report</w:t>
      </w:r>
    </w:p>
    <w:p w14:paraId="5CD6587E" w14:textId="77777777" w:rsidR="00BE2D80" w:rsidRPr="00157004" w:rsidRDefault="00BE2D80" w:rsidP="00C76B14">
      <w:pPr>
        <w:pStyle w:val="Bullets1"/>
        <w:numPr>
          <w:ilvl w:val="0"/>
          <w:numId w:val="12"/>
        </w:numPr>
        <w:spacing w:line="276" w:lineRule="auto"/>
        <w:rPr>
          <w:rFonts w:ascii="Bookman Old Style" w:hAnsi="Bookman Old Style" w:cstheme="minorHAnsi"/>
          <w:sz w:val="24"/>
          <w:szCs w:val="24"/>
        </w:rPr>
      </w:pPr>
      <w:r w:rsidRPr="00157004">
        <w:rPr>
          <w:rFonts w:ascii="Bookman Old Style" w:hAnsi="Bookman Old Style" w:cstheme="minorHAnsi"/>
          <w:sz w:val="24"/>
          <w:szCs w:val="24"/>
        </w:rPr>
        <w:t>General comments</w:t>
      </w:r>
    </w:p>
    <w:p w14:paraId="1B542862" w14:textId="77777777" w:rsidR="004D09F5" w:rsidRPr="00157004" w:rsidRDefault="00BE2D80" w:rsidP="00C76B14">
      <w:pPr>
        <w:pStyle w:val="Bullets1"/>
        <w:numPr>
          <w:ilvl w:val="0"/>
          <w:numId w:val="12"/>
        </w:numPr>
        <w:spacing w:line="276" w:lineRule="auto"/>
        <w:rPr>
          <w:rFonts w:ascii="Bookman Old Style" w:hAnsi="Bookman Old Style" w:cstheme="minorHAnsi"/>
          <w:b/>
          <w:bCs/>
          <w:sz w:val="24"/>
          <w:szCs w:val="24"/>
        </w:rPr>
      </w:pPr>
      <w:r w:rsidRPr="00157004">
        <w:rPr>
          <w:rFonts w:ascii="Bookman Old Style" w:hAnsi="Bookman Old Style" w:cstheme="minorHAnsi"/>
          <w:sz w:val="24"/>
          <w:szCs w:val="24"/>
        </w:rPr>
        <w:t xml:space="preserve">Responses to draft recommendations </w:t>
      </w:r>
    </w:p>
    <w:p w14:paraId="74BA5FA4" w14:textId="77777777" w:rsidR="004D09F5" w:rsidRPr="00157004" w:rsidRDefault="004D09F5" w:rsidP="00C76B14">
      <w:pPr>
        <w:pStyle w:val="Bullets1"/>
        <w:numPr>
          <w:ilvl w:val="0"/>
          <w:numId w:val="0"/>
        </w:numPr>
        <w:spacing w:line="276" w:lineRule="auto"/>
        <w:rPr>
          <w:rFonts w:ascii="Bookman Old Style" w:hAnsi="Bookman Old Style" w:cstheme="minorHAnsi"/>
          <w:sz w:val="24"/>
          <w:szCs w:val="24"/>
        </w:rPr>
      </w:pPr>
    </w:p>
    <w:p w14:paraId="4FB4B7F3" w14:textId="615847AA" w:rsidR="00BE2D80" w:rsidRPr="00157004" w:rsidRDefault="004D09F5" w:rsidP="00C76B14">
      <w:pPr>
        <w:pStyle w:val="Bullets1"/>
        <w:numPr>
          <w:ilvl w:val="0"/>
          <w:numId w:val="0"/>
        </w:numPr>
        <w:spacing w:line="276" w:lineRule="auto"/>
        <w:rPr>
          <w:rFonts w:ascii="Bookman Old Style" w:hAnsi="Bookman Old Style" w:cstheme="minorHAnsi"/>
          <w:b/>
          <w:bCs/>
          <w:sz w:val="24"/>
          <w:szCs w:val="24"/>
        </w:rPr>
      </w:pPr>
      <w:r w:rsidRPr="00157004">
        <w:rPr>
          <w:rFonts w:ascii="Bookman Old Style" w:hAnsi="Bookman Old Style" w:cstheme="minorHAnsi"/>
          <w:b/>
          <w:bCs/>
          <w:sz w:val="24"/>
          <w:szCs w:val="24"/>
        </w:rPr>
        <w:t>ADDITIONAL PRIORITIES</w:t>
      </w:r>
    </w:p>
    <w:p w14:paraId="505B680E" w14:textId="77777777" w:rsidR="006D6937" w:rsidRPr="00157004" w:rsidRDefault="006D6937" w:rsidP="00C76B14">
      <w:pPr>
        <w:pStyle w:val="Bullets1"/>
        <w:numPr>
          <w:ilvl w:val="0"/>
          <w:numId w:val="0"/>
        </w:numPr>
        <w:spacing w:after="0" w:line="276" w:lineRule="auto"/>
        <w:rPr>
          <w:rFonts w:ascii="Bookman Old Style" w:hAnsi="Bookman Old Style" w:cstheme="minorHAnsi"/>
          <w:sz w:val="24"/>
          <w:szCs w:val="24"/>
        </w:rPr>
      </w:pPr>
    </w:p>
    <w:p w14:paraId="5DB3C950" w14:textId="514A2A1B" w:rsidR="004F2C02" w:rsidRPr="00157004" w:rsidRDefault="004F2C02" w:rsidP="00C76B14">
      <w:pPr>
        <w:pStyle w:val="Bullets1"/>
        <w:numPr>
          <w:ilvl w:val="0"/>
          <w:numId w:val="11"/>
        </w:numPr>
        <w:spacing w:after="0" w:line="276" w:lineRule="auto"/>
        <w:rPr>
          <w:rFonts w:ascii="Bookman Old Style" w:hAnsi="Bookman Old Style" w:cstheme="minorHAnsi"/>
          <w:b/>
          <w:bCs/>
          <w:sz w:val="24"/>
          <w:szCs w:val="24"/>
        </w:rPr>
      </w:pPr>
      <w:r w:rsidRPr="00157004">
        <w:rPr>
          <w:rFonts w:ascii="Bookman Old Style" w:hAnsi="Bookman Old Style" w:cstheme="minorHAnsi"/>
          <w:b/>
          <w:bCs/>
          <w:sz w:val="24"/>
          <w:szCs w:val="24"/>
        </w:rPr>
        <w:t xml:space="preserve">The </w:t>
      </w:r>
      <w:r w:rsidR="004B7E34" w:rsidRPr="00157004">
        <w:rPr>
          <w:rFonts w:ascii="Bookman Old Style" w:hAnsi="Bookman Old Style" w:cstheme="minorHAnsi"/>
          <w:b/>
          <w:bCs/>
          <w:sz w:val="24"/>
          <w:szCs w:val="24"/>
        </w:rPr>
        <w:t>Commission’</w:t>
      </w:r>
      <w:r w:rsidR="00BC7B2E" w:rsidRPr="00157004">
        <w:rPr>
          <w:rFonts w:ascii="Bookman Old Style" w:hAnsi="Bookman Old Style" w:cstheme="minorHAnsi"/>
          <w:b/>
          <w:bCs/>
          <w:sz w:val="24"/>
          <w:szCs w:val="24"/>
        </w:rPr>
        <w:t xml:space="preserve">s </w:t>
      </w:r>
      <w:r w:rsidRPr="00157004">
        <w:rPr>
          <w:rFonts w:ascii="Bookman Old Style" w:hAnsi="Bookman Old Style" w:cstheme="minorHAnsi"/>
          <w:b/>
          <w:bCs/>
          <w:sz w:val="24"/>
          <w:szCs w:val="24"/>
        </w:rPr>
        <w:t xml:space="preserve">final report should acknowledge and support the </w:t>
      </w:r>
      <w:r w:rsidR="00BC7B2E" w:rsidRPr="00157004">
        <w:rPr>
          <w:rFonts w:ascii="Bookman Old Style" w:hAnsi="Bookman Old Style" w:cstheme="minorHAnsi"/>
          <w:b/>
          <w:bCs/>
          <w:sz w:val="24"/>
          <w:szCs w:val="24"/>
        </w:rPr>
        <w:t>n</w:t>
      </w:r>
      <w:r w:rsidRPr="00157004">
        <w:rPr>
          <w:rFonts w:ascii="Bookman Old Style" w:hAnsi="Bookman Old Style" w:cstheme="minorHAnsi"/>
          <w:b/>
          <w:bCs/>
          <w:sz w:val="24"/>
          <w:szCs w:val="24"/>
        </w:rPr>
        <w:t>ational Indigenous social and emotional wellbeing, mental health and suicide prevention leadership role</w:t>
      </w:r>
      <w:r w:rsidR="00C32B0B">
        <w:rPr>
          <w:rFonts w:ascii="Bookman Old Style" w:hAnsi="Bookman Old Style" w:cstheme="minorHAnsi"/>
          <w:b/>
          <w:bCs/>
          <w:sz w:val="24"/>
          <w:szCs w:val="24"/>
        </w:rPr>
        <w:t>s</w:t>
      </w:r>
      <w:r w:rsidRPr="00157004">
        <w:rPr>
          <w:rFonts w:ascii="Bookman Old Style" w:hAnsi="Bookman Old Style" w:cstheme="minorHAnsi"/>
          <w:b/>
          <w:bCs/>
          <w:sz w:val="24"/>
          <w:szCs w:val="24"/>
        </w:rPr>
        <w:t xml:space="preserve"> of </w:t>
      </w:r>
      <w:r w:rsidR="00C32B0B">
        <w:rPr>
          <w:rFonts w:ascii="Bookman Old Style" w:hAnsi="Bookman Old Style" w:cstheme="minorHAnsi"/>
          <w:b/>
          <w:bCs/>
          <w:sz w:val="24"/>
          <w:szCs w:val="24"/>
        </w:rPr>
        <w:t xml:space="preserve">the CBPATSISP and </w:t>
      </w:r>
      <w:r w:rsidRPr="00157004">
        <w:rPr>
          <w:rFonts w:ascii="Bookman Old Style" w:hAnsi="Bookman Old Style" w:cstheme="minorHAnsi"/>
          <w:b/>
          <w:bCs/>
          <w:sz w:val="24"/>
          <w:szCs w:val="24"/>
        </w:rPr>
        <w:t>Gayaa Dhuwi (Proud Spirit) Australia</w:t>
      </w:r>
    </w:p>
    <w:p w14:paraId="553EDA67" w14:textId="77777777" w:rsidR="006D6937" w:rsidRPr="00157004" w:rsidRDefault="006D6937" w:rsidP="00C76B14">
      <w:pPr>
        <w:pStyle w:val="Bullets1"/>
        <w:numPr>
          <w:ilvl w:val="0"/>
          <w:numId w:val="0"/>
        </w:numPr>
        <w:spacing w:after="0" w:line="276" w:lineRule="auto"/>
        <w:ind w:left="360"/>
        <w:rPr>
          <w:rFonts w:ascii="Bookman Old Style" w:hAnsi="Bookman Old Style" w:cstheme="minorHAnsi"/>
          <w:b/>
          <w:bCs/>
          <w:sz w:val="24"/>
          <w:szCs w:val="24"/>
        </w:rPr>
      </w:pPr>
    </w:p>
    <w:p w14:paraId="674D812D" w14:textId="6FFD342C" w:rsidR="006D6937" w:rsidRPr="00157004" w:rsidRDefault="00BE2D80" w:rsidP="00C76B14">
      <w:pPr>
        <w:pStyle w:val="BodyText"/>
        <w:spacing w:before="0" w:line="276" w:lineRule="auto"/>
        <w:jc w:val="left"/>
        <w:rPr>
          <w:rFonts w:ascii="Bookman Old Style" w:hAnsi="Bookman Old Style" w:cstheme="minorHAnsi"/>
          <w:szCs w:val="24"/>
        </w:rPr>
      </w:pPr>
      <w:r w:rsidRPr="00157004">
        <w:rPr>
          <w:rFonts w:ascii="Bookman Old Style" w:hAnsi="Bookman Old Style" w:cstheme="minorHAnsi"/>
          <w:szCs w:val="24"/>
        </w:rPr>
        <w:t>We</w:t>
      </w:r>
      <w:r w:rsidR="00CD4FCD" w:rsidRPr="00157004">
        <w:rPr>
          <w:rFonts w:ascii="Bookman Old Style" w:hAnsi="Bookman Old Style" w:cstheme="minorHAnsi"/>
          <w:szCs w:val="24"/>
        </w:rPr>
        <w:t xml:space="preserve"> welcome the draft report’s emphasis on ensuring Indigenous people are at the forefront of making decisions about their own social and emotional wellbeing</w:t>
      </w:r>
      <w:r w:rsidR="006D6937" w:rsidRPr="00157004">
        <w:rPr>
          <w:rFonts w:ascii="Bookman Old Style" w:hAnsi="Bookman Old Style" w:cstheme="minorHAnsi"/>
          <w:szCs w:val="24"/>
        </w:rPr>
        <w:t xml:space="preserve"> and mental health</w:t>
      </w:r>
      <w:r w:rsidR="00C32B0B">
        <w:rPr>
          <w:rFonts w:ascii="Bookman Old Style" w:hAnsi="Bookman Old Style" w:cstheme="minorHAnsi"/>
          <w:szCs w:val="24"/>
        </w:rPr>
        <w:t>. We</w:t>
      </w:r>
      <w:r w:rsidRPr="00157004">
        <w:rPr>
          <w:rFonts w:ascii="Bookman Old Style" w:hAnsi="Bookman Old Style" w:cstheme="minorHAnsi"/>
          <w:szCs w:val="24"/>
        </w:rPr>
        <w:t xml:space="preserve"> urge the Commission to connect this in its </w:t>
      </w:r>
      <w:r w:rsidR="004F2C02" w:rsidRPr="00157004">
        <w:rPr>
          <w:rFonts w:ascii="Bookman Old Style" w:hAnsi="Bookman Old Style" w:cstheme="minorHAnsi"/>
          <w:szCs w:val="24"/>
        </w:rPr>
        <w:t xml:space="preserve">final report </w:t>
      </w:r>
      <w:r w:rsidRPr="00157004">
        <w:rPr>
          <w:rFonts w:ascii="Bookman Old Style" w:hAnsi="Bookman Old Style" w:cstheme="minorHAnsi"/>
          <w:szCs w:val="24"/>
        </w:rPr>
        <w:t>to</w:t>
      </w:r>
      <w:r w:rsidR="004F2C02" w:rsidRPr="00157004">
        <w:rPr>
          <w:rFonts w:ascii="Bookman Old Style" w:hAnsi="Bookman Old Style" w:cstheme="minorHAnsi"/>
          <w:szCs w:val="24"/>
        </w:rPr>
        <w:t xml:space="preserve"> </w:t>
      </w:r>
      <w:r w:rsidR="00C32B0B">
        <w:rPr>
          <w:rFonts w:ascii="Bookman Old Style" w:hAnsi="Bookman Old Style" w:cstheme="minorHAnsi"/>
          <w:szCs w:val="24"/>
        </w:rPr>
        <w:t xml:space="preserve">the work of the CBPATSISP in promoting Indigenous governance in suicide prevention and social and emotional wellbeing programs, and to </w:t>
      </w:r>
      <w:r w:rsidR="004F2C02" w:rsidRPr="00157004">
        <w:rPr>
          <w:rFonts w:ascii="Bookman Old Style" w:hAnsi="Bookman Old Style" w:cstheme="minorHAnsi"/>
          <w:szCs w:val="24"/>
        </w:rPr>
        <w:t xml:space="preserve">Minister Hunt’s </w:t>
      </w:r>
      <w:r w:rsidR="00C063AD" w:rsidRPr="00157004">
        <w:rPr>
          <w:rFonts w:ascii="Bookman Old Style" w:hAnsi="Bookman Old Style" w:cstheme="minorHAnsi"/>
          <w:szCs w:val="24"/>
        </w:rPr>
        <w:t xml:space="preserve">9 September 2019, </w:t>
      </w:r>
      <w:r w:rsidR="00CD4FCD" w:rsidRPr="00157004">
        <w:rPr>
          <w:rFonts w:ascii="Bookman Old Style" w:hAnsi="Bookman Old Style" w:cstheme="minorHAnsi"/>
          <w:szCs w:val="24"/>
        </w:rPr>
        <w:t>$4.5</w:t>
      </w:r>
      <w:r w:rsidR="00010A13">
        <w:rPr>
          <w:rFonts w:ascii="Bookman Old Style" w:hAnsi="Bookman Old Style" w:cstheme="minorHAnsi"/>
          <w:szCs w:val="24"/>
        </w:rPr>
        <w:t xml:space="preserve"> </w:t>
      </w:r>
      <w:r w:rsidR="00CD4FCD" w:rsidRPr="00157004">
        <w:rPr>
          <w:rFonts w:ascii="Bookman Old Style" w:hAnsi="Bookman Old Style" w:cstheme="minorHAnsi"/>
          <w:szCs w:val="24"/>
        </w:rPr>
        <w:t>millio</w:t>
      </w:r>
      <w:r w:rsidRPr="00157004">
        <w:rPr>
          <w:rFonts w:ascii="Bookman Old Style" w:hAnsi="Bookman Old Style" w:cstheme="minorHAnsi"/>
          <w:szCs w:val="24"/>
        </w:rPr>
        <w:t xml:space="preserve">n </w:t>
      </w:r>
      <w:r w:rsidR="004F2C02" w:rsidRPr="00157004">
        <w:rPr>
          <w:rFonts w:ascii="Bookman Old Style" w:hAnsi="Bookman Old Style" w:cstheme="minorHAnsi"/>
          <w:szCs w:val="24"/>
        </w:rPr>
        <w:t>announcement of a</w:t>
      </w:r>
      <w:r w:rsidR="00C063AD" w:rsidRPr="00157004">
        <w:rPr>
          <w:rFonts w:ascii="Bookman Old Style" w:hAnsi="Bookman Old Style" w:cstheme="minorHAnsi"/>
          <w:szCs w:val="24"/>
        </w:rPr>
        <w:t xml:space="preserve"> new national Indigenous social and emotional wellbeing, mental health and suicide prevention </w:t>
      </w:r>
      <w:r w:rsidR="00CD4FCD" w:rsidRPr="00157004">
        <w:rPr>
          <w:rFonts w:ascii="Bookman Old Style" w:hAnsi="Bookman Old Style" w:cstheme="minorHAnsi"/>
          <w:szCs w:val="24"/>
        </w:rPr>
        <w:t xml:space="preserve">leadership </w:t>
      </w:r>
      <w:r w:rsidR="00C063AD" w:rsidRPr="00157004">
        <w:rPr>
          <w:rFonts w:ascii="Bookman Old Style" w:hAnsi="Bookman Old Style" w:cstheme="minorHAnsi"/>
          <w:szCs w:val="24"/>
        </w:rPr>
        <w:t xml:space="preserve">body </w:t>
      </w:r>
      <w:hyperlink r:id="rId18" w:history="1">
        <w:r w:rsidR="00C063AD" w:rsidRPr="00157004">
          <w:rPr>
            <w:rStyle w:val="Hyperlink"/>
            <w:rFonts w:ascii="Bookman Old Style" w:hAnsi="Bookman Old Style" w:cstheme="minorHAnsi"/>
            <w:szCs w:val="24"/>
          </w:rPr>
          <w:t>Gayaa Dhuwi (Proud Spirit) Australia</w:t>
        </w:r>
      </w:hyperlink>
      <w:r w:rsidRPr="00157004">
        <w:rPr>
          <w:rFonts w:ascii="Bookman Old Style" w:hAnsi="Bookman Old Style" w:cstheme="minorHAnsi"/>
          <w:szCs w:val="24"/>
        </w:rPr>
        <w:t xml:space="preserve">, </w:t>
      </w:r>
      <w:r w:rsidR="00C063AD" w:rsidRPr="00157004">
        <w:rPr>
          <w:rFonts w:ascii="Bookman Old Style" w:hAnsi="Bookman Old Style" w:cstheme="minorHAnsi"/>
          <w:szCs w:val="24"/>
        </w:rPr>
        <w:t>charged with developing a new National Aboriginal and Torres Strait Islander Suicide Prevention Plan</w:t>
      </w:r>
      <w:r w:rsidR="00CD4FCD" w:rsidRPr="00157004">
        <w:rPr>
          <w:rFonts w:ascii="Bookman Old Style" w:hAnsi="Bookman Old Style" w:cstheme="minorHAnsi"/>
          <w:szCs w:val="24"/>
        </w:rPr>
        <w:t xml:space="preserve">. </w:t>
      </w:r>
      <w:r w:rsidR="00BC7B2E" w:rsidRPr="00157004">
        <w:rPr>
          <w:rFonts w:ascii="Bookman Old Style" w:hAnsi="Bookman Old Style" w:cstheme="minorHAnsi"/>
          <w:szCs w:val="24"/>
        </w:rPr>
        <w:t>Th</w:t>
      </w:r>
      <w:r w:rsidRPr="00157004">
        <w:rPr>
          <w:rFonts w:ascii="Bookman Old Style" w:hAnsi="Bookman Old Style" w:cstheme="minorHAnsi"/>
          <w:szCs w:val="24"/>
        </w:rPr>
        <w:t xml:space="preserve">is </w:t>
      </w:r>
      <w:r w:rsidR="00BC7B2E" w:rsidRPr="00157004">
        <w:rPr>
          <w:rFonts w:ascii="Bookman Old Style" w:hAnsi="Bookman Old Style" w:cstheme="minorHAnsi"/>
          <w:szCs w:val="24"/>
        </w:rPr>
        <w:t xml:space="preserve">body </w:t>
      </w:r>
      <w:r w:rsidRPr="00157004">
        <w:rPr>
          <w:rFonts w:ascii="Bookman Old Style" w:hAnsi="Bookman Old Style" w:cstheme="minorHAnsi"/>
          <w:szCs w:val="24"/>
        </w:rPr>
        <w:t xml:space="preserve">is expected to </w:t>
      </w:r>
      <w:r w:rsidR="00BC7B2E" w:rsidRPr="00157004">
        <w:rPr>
          <w:rFonts w:ascii="Bookman Old Style" w:hAnsi="Bookman Old Style" w:cstheme="minorHAnsi"/>
          <w:szCs w:val="24"/>
        </w:rPr>
        <w:t>be</w:t>
      </w:r>
      <w:r w:rsidRPr="00157004">
        <w:rPr>
          <w:rFonts w:ascii="Bookman Old Style" w:hAnsi="Bookman Old Style" w:cstheme="minorHAnsi"/>
          <w:szCs w:val="24"/>
        </w:rPr>
        <w:t>come</w:t>
      </w:r>
      <w:r w:rsidR="00BC7B2E" w:rsidRPr="00157004">
        <w:rPr>
          <w:rFonts w:ascii="Bookman Old Style" w:hAnsi="Bookman Old Style" w:cstheme="minorHAnsi"/>
          <w:szCs w:val="24"/>
        </w:rPr>
        <w:t xml:space="preserve"> operational </w:t>
      </w:r>
      <w:r w:rsidRPr="00157004">
        <w:rPr>
          <w:rFonts w:ascii="Bookman Old Style" w:hAnsi="Bookman Old Style" w:cstheme="minorHAnsi"/>
          <w:szCs w:val="24"/>
        </w:rPr>
        <w:t xml:space="preserve">in </w:t>
      </w:r>
      <w:r w:rsidR="00BC7B2E" w:rsidRPr="00157004">
        <w:rPr>
          <w:rFonts w:ascii="Bookman Old Style" w:hAnsi="Bookman Old Style" w:cstheme="minorHAnsi"/>
          <w:szCs w:val="24"/>
        </w:rPr>
        <w:t>March 2020.</w:t>
      </w:r>
    </w:p>
    <w:p w14:paraId="23617A6F" w14:textId="77777777" w:rsidR="00BC7B2E" w:rsidRPr="00157004" w:rsidRDefault="00BC7B2E" w:rsidP="00C76B14">
      <w:pPr>
        <w:pStyle w:val="BodyText"/>
        <w:spacing w:before="0" w:line="276" w:lineRule="auto"/>
        <w:jc w:val="left"/>
        <w:rPr>
          <w:rFonts w:ascii="Bookman Old Style" w:hAnsi="Bookman Old Style" w:cstheme="minorHAnsi"/>
          <w:szCs w:val="24"/>
        </w:rPr>
      </w:pPr>
    </w:p>
    <w:p w14:paraId="6DA2BB0E" w14:textId="625DADBC" w:rsidR="004F2C02" w:rsidRPr="00157004" w:rsidRDefault="00C063AD" w:rsidP="00C76B14">
      <w:pPr>
        <w:pStyle w:val="BodyText"/>
        <w:spacing w:before="0" w:line="276" w:lineRule="auto"/>
        <w:jc w:val="left"/>
        <w:rPr>
          <w:rFonts w:ascii="Bookman Old Style" w:hAnsi="Bookman Old Style" w:cstheme="minorHAnsi"/>
          <w:szCs w:val="24"/>
        </w:rPr>
      </w:pPr>
      <w:r w:rsidRPr="00157004">
        <w:rPr>
          <w:rFonts w:ascii="Bookman Old Style" w:hAnsi="Bookman Old Style" w:cstheme="minorHAnsi"/>
          <w:szCs w:val="24"/>
        </w:rPr>
        <w:t xml:space="preserve">The following </w:t>
      </w:r>
      <w:r w:rsidR="00BE2D80" w:rsidRPr="00157004">
        <w:rPr>
          <w:rFonts w:ascii="Bookman Old Style" w:hAnsi="Bookman Old Style" w:cstheme="minorHAnsi"/>
          <w:szCs w:val="24"/>
        </w:rPr>
        <w:t xml:space="preserve">organisations </w:t>
      </w:r>
      <w:r w:rsidRPr="00157004">
        <w:rPr>
          <w:rFonts w:ascii="Bookman Old Style" w:hAnsi="Bookman Old Style" w:cstheme="minorHAnsi"/>
          <w:szCs w:val="24"/>
        </w:rPr>
        <w:t xml:space="preserve">are members of Gayaa Dhuwi (Proud Spirit) Australia, or have the right to appoint directors to the inaugural Board: </w:t>
      </w:r>
    </w:p>
    <w:p w14:paraId="16EEF3E9" w14:textId="77777777" w:rsidR="004F2C02" w:rsidRPr="00157004" w:rsidRDefault="004F2C02" w:rsidP="00C76B14">
      <w:pPr>
        <w:pStyle w:val="BodyText"/>
        <w:spacing w:before="0" w:line="276" w:lineRule="auto"/>
        <w:jc w:val="left"/>
        <w:rPr>
          <w:rFonts w:ascii="Bookman Old Style" w:hAnsi="Bookman Old Style" w:cstheme="minorHAnsi"/>
          <w:szCs w:val="24"/>
        </w:rPr>
      </w:pPr>
    </w:p>
    <w:p w14:paraId="680FF3CE" w14:textId="77777777" w:rsidR="00C063AD" w:rsidRPr="00157004" w:rsidRDefault="004F2C02" w:rsidP="00C76B14">
      <w:pPr>
        <w:pStyle w:val="BodyText"/>
        <w:numPr>
          <w:ilvl w:val="0"/>
          <w:numId w:val="10"/>
        </w:numPr>
        <w:spacing w:before="0" w:line="276" w:lineRule="auto"/>
        <w:jc w:val="left"/>
        <w:rPr>
          <w:rFonts w:ascii="Bookman Old Style" w:hAnsi="Bookman Old Style" w:cstheme="minorHAnsi"/>
          <w:szCs w:val="24"/>
        </w:rPr>
      </w:pPr>
      <w:r w:rsidRPr="00157004">
        <w:rPr>
          <w:rFonts w:ascii="Bookman Old Style" w:hAnsi="Bookman Old Style" w:cstheme="minorHAnsi"/>
          <w:szCs w:val="24"/>
        </w:rPr>
        <w:t>NATSILMH</w:t>
      </w:r>
    </w:p>
    <w:p w14:paraId="47090E96" w14:textId="77777777" w:rsidR="00C063AD" w:rsidRPr="00157004" w:rsidRDefault="00C063AD" w:rsidP="00C76B14">
      <w:pPr>
        <w:pStyle w:val="BodyText"/>
        <w:numPr>
          <w:ilvl w:val="0"/>
          <w:numId w:val="10"/>
        </w:numPr>
        <w:spacing w:before="0" w:line="276" w:lineRule="auto"/>
        <w:jc w:val="left"/>
        <w:rPr>
          <w:rFonts w:ascii="Bookman Old Style" w:hAnsi="Bookman Old Style" w:cstheme="minorHAnsi"/>
          <w:szCs w:val="24"/>
        </w:rPr>
      </w:pPr>
      <w:r w:rsidRPr="00157004">
        <w:rPr>
          <w:rFonts w:ascii="Bookman Old Style" w:hAnsi="Bookman Old Style" w:cstheme="minorHAnsi"/>
          <w:szCs w:val="24"/>
        </w:rPr>
        <w:t>Australian Indigenous Psychologists Association</w:t>
      </w:r>
    </w:p>
    <w:p w14:paraId="418167C9" w14:textId="77777777" w:rsidR="00C063AD" w:rsidRPr="00157004" w:rsidRDefault="00C063AD" w:rsidP="00C76B14">
      <w:pPr>
        <w:pStyle w:val="BodyText"/>
        <w:numPr>
          <w:ilvl w:val="0"/>
          <w:numId w:val="10"/>
        </w:numPr>
        <w:spacing w:before="0" w:line="276" w:lineRule="auto"/>
        <w:jc w:val="left"/>
        <w:rPr>
          <w:rFonts w:ascii="Bookman Old Style" w:hAnsi="Bookman Old Style" w:cstheme="minorHAnsi"/>
          <w:szCs w:val="24"/>
        </w:rPr>
      </w:pPr>
      <w:r w:rsidRPr="00157004">
        <w:rPr>
          <w:rFonts w:ascii="Bookman Old Style" w:hAnsi="Bookman Old Style" w:cstheme="minorHAnsi"/>
          <w:szCs w:val="24"/>
        </w:rPr>
        <w:t>Australian Indigenous Doctors Association</w:t>
      </w:r>
    </w:p>
    <w:p w14:paraId="1C7754F3" w14:textId="77777777" w:rsidR="00C063AD" w:rsidRPr="00157004" w:rsidRDefault="004F2C02" w:rsidP="00C76B14">
      <w:pPr>
        <w:pStyle w:val="BodyText"/>
        <w:numPr>
          <w:ilvl w:val="0"/>
          <w:numId w:val="10"/>
        </w:numPr>
        <w:spacing w:before="0" w:line="276" w:lineRule="auto"/>
        <w:jc w:val="left"/>
        <w:rPr>
          <w:rFonts w:ascii="Bookman Old Style" w:hAnsi="Bookman Old Style" w:cstheme="minorHAnsi"/>
          <w:szCs w:val="24"/>
        </w:rPr>
      </w:pPr>
      <w:r w:rsidRPr="00157004">
        <w:rPr>
          <w:rFonts w:ascii="Bookman Old Style" w:hAnsi="Bookman Old Style" w:cstheme="minorHAnsi"/>
          <w:szCs w:val="24"/>
        </w:rPr>
        <w:lastRenderedPageBreak/>
        <w:t>CBPATSISP</w:t>
      </w:r>
    </w:p>
    <w:p w14:paraId="2902BA55" w14:textId="77777777" w:rsidR="00C063AD" w:rsidRPr="00157004" w:rsidRDefault="00C063AD" w:rsidP="00C76B14">
      <w:pPr>
        <w:pStyle w:val="BodyText"/>
        <w:numPr>
          <w:ilvl w:val="0"/>
          <w:numId w:val="10"/>
        </w:numPr>
        <w:spacing w:before="0" w:line="276" w:lineRule="auto"/>
        <w:jc w:val="left"/>
        <w:rPr>
          <w:rFonts w:ascii="Bookman Old Style" w:hAnsi="Bookman Old Style" w:cstheme="minorHAnsi"/>
          <w:szCs w:val="24"/>
        </w:rPr>
      </w:pPr>
      <w:r w:rsidRPr="00157004">
        <w:rPr>
          <w:rFonts w:ascii="Bookman Old Style" w:hAnsi="Bookman Old Style" w:cstheme="minorHAnsi"/>
          <w:szCs w:val="24"/>
        </w:rPr>
        <w:t xml:space="preserve">National Aboriginal Community Controlled Health Organisation (NACCHO) </w:t>
      </w:r>
    </w:p>
    <w:p w14:paraId="68B3105D" w14:textId="77777777" w:rsidR="00C063AD" w:rsidRPr="00157004" w:rsidRDefault="00C063AD" w:rsidP="00C76B14">
      <w:pPr>
        <w:pStyle w:val="BodyText"/>
        <w:numPr>
          <w:ilvl w:val="0"/>
          <w:numId w:val="10"/>
        </w:numPr>
        <w:spacing w:before="0" w:line="276" w:lineRule="auto"/>
        <w:jc w:val="left"/>
        <w:rPr>
          <w:rFonts w:ascii="Bookman Old Style" w:hAnsi="Bookman Old Style" w:cstheme="minorHAnsi"/>
          <w:szCs w:val="24"/>
        </w:rPr>
      </w:pPr>
      <w:r w:rsidRPr="00157004">
        <w:rPr>
          <w:rFonts w:ascii="Bookman Old Style" w:hAnsi="Bookman Old Style" w:cstheme="minorHAnsi"/>
          <w:szCs w:val="24"/>
        </w:rPr>
        <w:t>Indigenous Allied Health Australia</w:t>
      </w:r>
    </w:p>
    <w:p w14:paraId="3887B68C" w14:textId="77777777" w:rsidR="00C063AD" w:rsidRPr="00157004" w:rsidRDefault="00C063AD" w:rsidP="00C76B14">
      <w:pPr>
        <w:pStyle w:val="BodyText"/>
        <w:numPr>
          <w:ilvl w:val="0"/>
          <w:numId w:val="10"/>
        </w:numPr>
        <w:spacing w:before="0" w:line="276" w:lineRule="auto"/>
        <w:jc w:val="left"/>
        <w:rPr>
          <w:rFonts w:ascii="Bookman Old Style" w:hAnsi="Bookman Old Style" w:cstheme="minorHAnsi"/>
          <w:szCs w:val="24"/>
        </w:rPr>
      </w:pPr>
      <w:r w:rsidRPr="00157004">
        <w:rPr>
          <w:rFonts w:ascii="Bookman Old Style" w:hAnsi="Bookman Old Style" w:cstheme="minorHAnsi"/>
          <w:szCs w:val="24"/>
        </w:rPr>
        <w:t>National Indigenous Crisis Response Service.</w:t>
      </w:r>
    </w:p>
    <w:p w14:paraId="1424C278" w14:textId="77777777" w:rsidR="00BE2D80" w:rsidRPr="00157004" w:rsidRDefault="00BE2D80" w:rsidP="00C76B14">
      <w:pPr>
        <w:pStyle w:val="BodyText"/>
        <w:spacing w:before="0" w:line="276" w:lineRule="auto"/>
        <w:jc w:val="left"/>
        <w:rPr>
          <w:rFonts w:ascii="Bookman Old Style" w:hAnsi="Bookman Old Style" w:cstheme="minorHAnsi"/>
          <w:szCs w:val="24"/>
        </w:rPr>
      </w:pPr>
    </w:p>
    <w:p w14:paraId="434FA45D" w14:textId="7F343133" w:rsidR="00BC7B2E" w:rsidRPr="00157004" w:rsidRDefault="00BE2D80" w:rsidP="00C76B14">
      <w:pPr>
        <w:pStyle w:val="Bullets1"/>
        <w:numPr>
          <w:ilvl w:val="0"/>
          <w:numId w:val="0"/>
        </w:numPr>
        <w:spacing w:line="276" w:lineRule="auto"/>
        <w:rPr>
          <w:rFonts w:ascii="Bookman Old Style" w:hAnsi="Bookman Old Style" w:cstheme="minorHAnsi"/>
          <w:sz w:val="24"/>
          <w:szCs w:val="24"/>
        </w:rPr>
      </w:pPr>
      <w:r w:rsidRPr="00157004">
        <w:rPr>
          <w:rFonts w:ascii="Bookman Old Style" w:hAnsi="Bookman Old Style" w:cstheme="minorHAnsi"/>
          <w:sz w:val="24"/>
          <w:szCs w:val="24"/>
        </w:rPr>
        <w:t xml:space="preserve">We also recommend the Productivity Commission works with and is guided by </w:t>
      </w:r>
      <w:r w:rsidR="00C32B0B">
        <w:rPr>
          <w:rFonts w:ascii="Bookman Old Style" w:hAnsi="Bookman Old Style" w:cstheme="minorHAnsi"/>
          <w:sz w:val="24"/>
          <w:szCs w:val="24"/>
        </w:rPr>
        <w:t xml:space="preserve">the CBPATSISP and </w:t>
      </w:r>
      <w:r w:rsidRPr="00157004">
        <w:rPr>
          <w:rFonts w:ascii="Bookman Old Style" w:hAnsi="Bookman Old Style" w:cstheme="minorHAnsi"/>
          <w:sz w:val="24"/>
          <w:szCs w:val="24"/>
        </w:rPr>
        <w:t xml:space="preserve">Gayaa Dhuwi (Proud Spirit) Australia to develop more detailed </w:t>
      </w:r>
      <w:r w:rsidR="00FC7914" w:rsidRPr="00157004">
        <w:rPr>
          <w:rFonts w:ascii="Bookman Old Style" w:hAnsi="Bookman Old Style" w:cstheme="minorHAnsi"/>
          <w:sz w:val="24"/>
          <w:szCs w:val="24"/>
        </w:rPr>
        <w:t xml:space="preserve">practical </w:t>
      </w:r>
      <w:r w:rsidRPr="00157004">
        <w:rPr>
          <w:rFonts w:ascii="Bookman Old Style" w:hAnsi="Bookman Old Style" w:cstheme="minorHAnsi"/>
          <w:sz w:val="24"/>
          <w:szCs w:val="24"/>
        </w:rPr>
        <w:t xml:space="preserve">recommendations in its final report </w:t>
      </w:r>
      <w:r w:rsidR="00BC7B2E" w:rsidRPr="00157004">
        <w:rPr>
          <w:rFonts w:ascii="Bookman Old Style" w:hAnsi="Bookman Old Style" w:cstheme="minorHAnsi"/>
          <w:sz w:val="24"/>
          <w:szCs w:val="24"/>
        </w:rPr>
        <w:t xml:space="preserve">about how to </w:t>
      </w:r>
      <w:r w:rsidR="00FC7914" w:rsidRPr="00157004">
        <w:rPr>
          <w:rFonts w:ascii="Bookman Old Style" w:hAnsi="Bookman Old Style" w:cstheme="minorHAnsi"/>
          <w:sz w:val="24"/>
          <w:szCs w:val="24"/>
        </w:rPr>
        <w:t xml:space="preserve">embed </w:t>
      </w:r>
      <w:r w:rsidR="00BC7B2E" w:rsidRPr="00157004">
        <w:rPr>
          <w:rFonts w:ascii="Bookman Old Style" w:hAnsi="Bookman Old Style" w:cstheme="minorHAnsi"/>
          <w:sz w:val="24"/>
          <w:szCs w:val="24"/>
        </w:rPr>
        <w:t xml:space="preserve">the five </w:t>
      </w:r>
      <w:r w:rsidR="00BC7B2E" w:rsidRPr="00157004">
        <w:rPr>
          <w:rFonts w:ascii="Bookman Old Style" w:hAnsi="Bookman Old Style" w:cstheme="minorHAnsi"/>
          <w:i/>
          <w:iCs/>
          <w:sz w:val="24"/>
          <w:szCs w:val="24"/>
        </w:rPr>
        <w:t>Gayaa Dhuwi (Proud Spirit) Declaration</w:t>
      </w:r>
      <w:r w:rsidR="00BC7B2E" w:rsidRPr="00157004">
        <w:rPr>
          <w:rFonts w:ascii="Bookman Old Style" w:hAnsi="Bookman Old Style" w:cstheme="minorHAnsi"/>
          <w:sz w:val="24"/>
          <w:szCs w:val="24"/>
        </w:rPr>
        <w:t xml:space="preserve"> themes </w:t>
      </w:r>
      <w:r w:rsidR="00FC7914" w:rsidRPr="00157004">
        <w:rPr>
          <w:rFonts w:ascii="Bookman Old Style" w:hAnsi="Bookman Old Style" w:cstheme="minorHAnsi"/>
          <w:sz w:val="24"/>
          <w:szCs w:val="24"/>
        </w:rPr>
        <w:t xml:space="preserve">within the mental health system </w:t>
      </w:r>
      <w:r w:rsidR="00BA3A4D" w:rsidRPr="00157004">
        <w:rPr>
          <w:rFonts w:ascii="Bookman Old Style" w:hAnsi="Bookman Old Style" w:cstheme="minorHAnsi"/>
          <w:sz w:val="24"/>
          <w:szCs w:val="24"/>
        </w:rPr>
        <w:t>to</w:t>
      </w:r>
      <w:r w:rsidR="00BC7B2E" w:rsidRPr="00157004">
        <w:rPr>
          <w:rFonts w:ascii="Bookman Old Style" w:hAnsi="Bookman Old Style" w:cstheme="minorHAnsi"/>
          <w:bCs/>
          <w:iCs/>
          <w:sz w:val="24"/>
          <w:szCs w:val="24"/>
        </w:rPr>
        <w:t xml:space="preserve"> ensure a </w:t>
      </w:r>
      <w:r w:rsidR="00C32B0B">
        <w:rPr>
          <w:rFonts w:ascii="Bookman Old Style" w:hAnsi="Bookman Old Style" w:cstheme="minorHAnsi"/>
          <w:bCs/>
          <w:iCs/>
          <w:sz w:val="24"/>
          <w:szCs w:val="24"/>
        </w:rPr>
        <w:t>‘</w:t>
      </w:r>
      <w:r w:rsidR="00BC7B2E" w:rsidRPr="00157004">
        <w:rPr>
          <w:rFonts w:ascii="Bookman Old Style" w:hAnsi="Bookman Old Style" w:cstheme="minorHAnsi"/>
          <w:bCs/>
          <w:iCs/>
          <w:sz w:val="24"/>
          <w:szCs w:val="24"/>
        </w:rPr>
        <w:t>best of both worlds approach</w:t>
      </w:r>
      <w:r w:rsidR="00C32B0B">
        <w:rPr>
          <w:rFonts w:ascii="Bookman Old Style" w:hAnsi="Bookman Old Style" w:cstheme="minorHAnsi"/>
          <w:bCs/>
          <w:iCs/>
          <w:sz w:val="24"/>
          <w:szCs w:val="24"/>
        </w:rPr>
        <w:t>’ – a commitment of the Fifth National Mental Health and Suicide Prevention Plan</w:t>
      </w:r>
      <w:r w:rsidR="00BC7B2E" w:rsidRPr="00157004">
        <w:rPr>
          <w:rFonts w:ascii="Bookman Old Style" w:hAnsi="Bookman Old Style" w:cstheme="minorHAnsi"/>
          <w:bCs/>
          <w:iCs/>
          <w:sz w:val="24"/>
          <w:szCs w:val="24"/>
        </w:rPr>
        <w:t xml:space="preserve">. </w:t>
      </w:r>
    </w:p>
    <w:p w14:paraId="35200AE5" w14:textId="77777777" w:rsidR="00BE2D80" w:rsidRPr="00157004" w:rsidRDefault="00BE2D80" w:rsidP="00C76B14">
      <w:pPr>
        <w:pStyle w:val="Bullets1"/>
        <w:numPr>
          <w:ilvl w:val="0"/>
          <w:numId w:val="0"/>
        </w:numPr>
        <w:spacing w:line="276" w:lineRule="auto"/>
        <w:rPr>
          <w:rFonts w:ascii="Bookman Old Style" w:hAnsi="Bookman Old Style" w:cstheme="minorHAnsi"/>
          <w:sz w:val="24"/>
          <w:szCs w:val="24"/>
        </w:rPr>
      </w:pPr>
    </w:p>
    <w:p w14:paraId="61614DBD" w14:textId="77777777" w:rsidR="00B90447" w:rsidRPr="00157004" w:rsidRDefault="00BA3A4D" w:rsidP="00C76B14">
      <w:pPr>
        <w:pStyle w:val="ListParagraph"/>
        <w:numPr>
          <w:ilvl w:val="0"/>
          <w:numId w:val="11"/>
        </w:numPr>
        <w:spacing w:line="276" w:lineRule="auto"/>
        <w:rPr>
          <w:rFonts w:ascii="Bookman Old Style" w:hAnsi="Bookman Old Style" w:cstheme="minorHAnsi"/>
          <w:b/>
          <w:bCs/>
        </w:rPr>
      </w:pPr>
      <w:r w:rsidRPr="00157004">
        <w:rPr>
          <w:rFonts w:ascii="Bookman Old Style" w:hAnsi="Bookman Old Style" w:cstheme="minorHAnsi"/>
          <w:b/>
          <w:bCs/>
        </w:rPr>
        <w:t>Gayaa Dhuwi (Proud Spirit) Australia should lead the implementation of the</w:t>
      </w:r>
      <w:r w:rsidR="00B90447" w:rsidRPr="00157004">
        <w:rPr>
          <w:rFonts w:ascii="Bookman Old Style" w:hAnsi="Bookman Old Style" w:cstheme="minorHAnsi"/>
          <w:b/>
          <w:bCs/>
        </w:rPr>
        <w:t xml:space="preserve"> </w:t>
      </w:r>
      <w:r w:rsidR="00B90447" w:rsidRPr="00157004">
        <w:rPr>
          <w:rFonts w:ascii="Bookman Old Style" w:hAnsi="Bookman Old Style" w:cstheme="minorHAnsi"/>
          <w:b/>
          <w:bCs/>
          <w:i/>
          <w:iCs/>
        </w:rPr>
        <w:t>National Strategic Framework for Aboriginal and Torres Strait Islander Peoples’ Mental Health and Social and Emotional Wellbeing 2017-2023</w:t>
      </w:r>
      <w:r w:rsidR="003B3D1D" w:rsidRPr="00157004">
        <w:rPr>
          <w:rFonts w:ascii="Bookman Old Style" w:hAnsi="Bookman Old Style" w:cstheme="minorHAnsi"/>
          <w:b/>
          <w:bCs/>
          <w:i/>
          <w:iCs/>
        </w:rPr>
        <w:t xml:space="preserve">, </w:t>
      </w:r>
      <w:r w:rsidR="003B3D1D" w:rsidRPr="00157004">
        <w:rPr>
          <w:rFonts w:ascii="Bookman Old Style" w:hAnsi="Bookman Old Style" w:cstheme="minorHAnsi"/>
          <w:b/>
          <w:bCs/>
        </w:rPr>
        <w:t>and a</w:t>
      </w:r>
      <w:r w:rsidR="003B3D1D" w:rsidRPr="00157004">
        <w:rPr>
          <w:rFonts w:ascii="Bookman Old Style" w:hAnsi="Bookman Old Style" w:cstheme="minorHAnsi"/>
          <w:b/>
          <w:bCs/>
          <w:i/>
          <w:iCs/>
        </w:rPr>
        <w:t xml:space="preserve"> </w:t>
      </w:r>
      <w:r w:rsidR="003B3D1D" w:rsidRPr="00157004">
        <w:rPr>
          <w:rFonts w:ascii="Bookman Old Style" w:hAnsi="Bookman Old Style" w:cstheme="minorHAnsi"/>
          <w:b/>
          <w:bCs/>
        </w:rPr>
        <w:t xml:space="preserve">renewed </w:t>
      </w:r>
      <w:r w:rsidR="003B3D1D" w:rsidRPr="00157004">
        <w:rPr>
          <w:rFonts w:ascii="Bookman Old Style" w:hAnsi="Bookman Old Style" w:cstheme="minorHAnsi"/>
          <w:b/>
          <w:bCs/>
          <w:i/>
          <w:iCs/>
        </w:rPr>
        <w:t>National Aboriginal and Torres Strait Islander Suicide Prevention Strategy</w:t>
      </w:r>
    </w:p>
    <w:p w14:paraId="6CF03036" w14:textId="77777777" w:rsidR="00B90447" w:rsidRPr="00157004" w:rsidRDefault="00B90447" w:rsidP="00C76B14">
      <w:pPr>
        <w:spacing w:line="276" w:lineRule="auto"/>
        <w:rPr>
          <w:rFonts w:ascii="Bookman Old Style" w:hAnsi="Bookman Old Style" w:cstheme="minorHAnsi"/>
        </w:rPr>
      </w:pPr>
    </w:p>
    <w:p w14:paraId="55767EAD" w14:textId="77777777" w:rsidR="00B763EA" w:rsidRPr="00157004" w:rsidRDefault="00AE4393" w:rsidP="00C76B14">
      <w:pPr>
        <w:spacing w:line="276" w:lineRule="auto"/>
        <w:rPr>
          <w:rFonts w:ascii="Bookman Old Style" w:hAnsi="Bookman Old Style" w:cstheme="minorHAnsi"/>
        </w:rPr>
      </w:pPr>
      <w:r w:rsidRPr="00157004">
        <w:rPr>
          <w:rFonts w:ascii="Bookman Old Style" w:hAnsi="Bookman Old Style" w:cstheme="minorHAnsi"/>
        </w:rPr>
        <w:t xml:space="preserve">The Commission’s support for the development of an implementation plan for the </w:t>
      </w:r>
      <w:r w:rsidRPr="00157004">
        <w:rPr>
          <w:rFonts w:ascii="Bookman Old Style" w:hAnsi="Bookman Old Style" w:cstheme="minorHAnsi"/>
          <w:i/>
          <w:iCs/>
        </w:rPr>
        <w:t>National Strategic Framework for Aboriginal and Torres Strait Islander Peoples’ Mental Health and Social and Emotional Wellbeing 2017-2023</w:t>
      </w:r>
      <w:r w:rsidRPr="00157004">
        <w:rPr>
          <w:rFonts w:ascii="Bookman Old Style" w:hAnsi="Bookman Old Style" w:cstheme="minorHAnsi"/>
        </w:rPr>
        <w:t xml:space="preserve"> </w:t>
      </w:r>
      <w:r w:rsidR="00B90447" w:rsidRPr="00157004">
        <w:rPr>
          <w:rFonts w:ascii="Bookman Old Style" w:hAnsi="Bookman Old Style" w:cstheme="minorHAnsi"/>
        </w:rPr>
        <w:t>(draft recommendation 22.2)</w:t>
      </w:r>
      <w:r w:rsidR="008D08ED" w:rsidRPr="00157004">
        <w:rPr>
          <w:rFonts w:ascii="Bookman Old Style" w:hAnsi="Bookman Old Style" w:cstheme="minorHAnsi"/>
        </w:rPr>
        <w:t xml:space="preserve">, and for </w:t>
      </w:r>
      <w:r w:rsidR="00B763EA" w:rsidRPr="00157004">
        <w:rPr>
          <w:rFonts w:ascii="Bookman Old Style" w:hAnsi="Bookman Old Style" w:cstheme="minorHAnsi"/>
        </w:rPr>
        <w:t xml:space="preserve">a renewed </w:t>
      </w:r>
      <w:r w:rsidR="00B763EA" w:rsidRPr="00157004">
        <w:rPr>
          <w:rFonts w:ascii="Bookman Old Style" w:hAnsi="Bookman Old Style" w:cstheme="minorHAnsi"/>
          <w:i/>
          <w:iCs/>
        </w:rPr>
        <w:t>National Aboriginal and Torres Strait Islander Suicide Prevention Strategy</w:t>
      </w:r>
      <w:r w:rsidR="00B763EA" w:rsidRPr="00157004">
        <w:rPr>
          <w:rFonts w:ascii="Bookman Old Style" w:hAnsi="Bookman Old Style" w:cstheme="minorHAnsi"/>
        </w:rPr>
        <w:t xml:space="preserve"> and associated Implementation Plan (draft recommendation 21.2) are</w:t>
      </w:r>
      <w:r w:rsidRPr="00157004">
        <w:rPr>
          <w:rFonts w:ascii="Bookman Old Style" w:hAnsi="Bookman Old Style" w:cstheme="minorHAnsi"/>
        </w:rPr>
        <w:t xml:space="preserve"> </w:t>
      </w:r>
      <w:r w:rsidR="008D790A" w:rsidRPr="00157004">
        <w:rPr>
          <w:rFonts w:ascii="Bookman Old Style" w:hAnsi="Bookman Old Style" w:cstheme="minorHAnsi"/>
        </w:rPr>
        <w:t xml:space="preserve">particularly </w:t>
      </w:r>
      <w:r w:rsidRPr="00157004">
        <w:rPr>
          <w:rFonts w:ascii="Bookman Old Style" w:hAnsi="Bookman Old Style" w:cstheme="minorHAnsi"/>
        </w:rPr>
        <w:t xml:space="preserve">welcome. </w:t>
      </w:r>
    </w:p>
    <w:p w14:paraId="3DE6A4D0" w14:textId="77777777" w:rsidR="00D340F2" w:rsidRPr="00157004" w:rsidRDefault="00D340F2" w:rsidP="00C76B14">
      <w:pPr>
        <w:spacing w:line="276" w:lineRule="auto"/>
        <w:rPr>
          <w:rFonts w:ascii="Bookman Old Style" w:hAnsi="Bookman Old Style" w:cstheme="minorHAnsi"/>
        </w:rPr>
      </w:pPr>
    </w:p>
    <w:p w14:paraId="23B8DB67" w14:textId="53821CA8" w:rsidR="003F6CD5" w:rsidRPr="00157004" w:rsidRDefault="003F6CD5" w:rsidP="00C76B14">
      <w:pPr>
        <w:spacing w:line="276" w:lineRule="auto"/>
        <w:rPr>
          <w:rFonts w:ascii="Bookman Old Style" w:eastAsiaTheme="minorHAnsi" w:hAnsi="Bookman Old Style" w:cstheme="minorHAnsi"/>
          <w:lang w:eastAsia="en-US"/>
        </w:rPr>
      </w:pPr>
      <w:r w:rsidRPr="00157004">
        <w:rPr>
          <w:rFonts w:ascii="Bookman Old Style" w:eastAsiaTheme="minorHAnsi" w:hAnsi="Bookman Old Style" w:cstheme="minorHAnsi"/>
          <w:color w:val="000000" w:themeColor="text1"/>
          <w:lang w:eastAsia="en-US"/>
        </w:rPr>
        <w:t>T</w:t>
      </w:r>
      <w:r w:rsidR="00061958" w:rsidRPr="00157004">
        <w:rPr>
          <w:rFonts w:ascii="Bookman Old Style" w:eastAsiaTheme="minorHAnsi" w:hAnsi="Bookman Old Style" w:cstheme="minorHAnsi"/>
          <w:color w:val="000000" w:themeColor="text1"/>
          <w:lang w:eastAsia="en-US"/>
        </w:rPr>
        <w:t>he</w:t>
      </w:r>
      <w:r w:rsidR="00794FD1" w:rsidRPr="00157004">
        <w:rPr>
          <w:rFonts w:ascii="Bookman Old Style" w:eastAsiaTheme="minorHAnsi" w:hAnsi="Bookman Old Style" w:cstheme="minorHAnsi"/>
          <w:color w:val="000000" w:themeColor="text1"/>
          <w:lang w:eastAsia="en-US"/>
        </w:rPr>
        <w:t xml:space="preserve"> Commission’s</w:t>
      </w:r>
      <w:r w:rsidR="00061958" w:rsidRPr="00157004">
        <w:rPr>
          <w:rFonts w:ascii="Bookman Old Style" w:eastAsiaTheme="minorHAnsi" w:hAnsi="Bookman Old Style" w:cstheme="minorHAnsi"/>
          <w:color w:val="000000" w:themeColor="text1"/>
          <w:lang w:eastAsia="en-US"/>
        </w:rPr>
        <w:t xml:space="preserve"> final report should clarify that </w:t>
      </w:r>
      <w:r w:rsidR="00B763EA" w:rsidRPr="00157004">
        <w:rPr>
          <w:rFonts w:ascii="Bookman Old Style" w:eastAsiaTheme="minorHAnsi" w:hAnsi="Bookman Old Style" w:cstheme="minorHAnsi"/>
          <w:color w:val="000000" w:themeColor="text1"/>
          <w:lang w:eastAsia="en-US"/>
        </w:rPr>
        <w:t>these processes</w:t>
      </w:r>
      <w:r w:rsidR="00061958" w:rsidRPr="00157004">
        <w:rPr>
          <w:rFonts w:ascii="Bookman Old Style" w:eastAsiaTheme="minorHAnsi" w:hAnsi="Bookman Old Style" w:cstheme="minorHAnsi"/>
          <w:color w:val="000000" w:themeColor="text1"/>
          <w:lang w:eastAsia="en-US"/>
        </w:rPr>
        <w:t xml:space="preserve"> must be led by Indigenous people. </w:t>
      </w:r>
      <w:r w:rsidRPr="00157004">
        <w:rPr>
          <w:rFonts w:ascii="Bookman Old Style" w:hAnsi="Bookman Old Style" w:cstheme="minorHAnsi"/>
          <w:color w:val="000000" w:themeColor="text1"/>
        </w:rPr>
        <w:t>For the reasons outlined in our first point</w:t>
      </w:r>
      <w:r w:rsidR="00BA3A4D" w:rsidRPr="00157004">
        <w:rPr>
          <w:rFonts w:ascii="Bookman Old Style" w:hAnsi="Bookman Old Style" w:cstheme="minorHAnsi"/>
        </w:rPr>
        <w:t xml:space="preserve">, the final report </w:t>
      </w:r>
      <w:r w:rsidRPr="00157004">
        <w:rPr>
          <w:rFonts w:ascii="Bookman Old Style" w:hAnsi="Bookman Old Style" w:cstheme="minorHAnsi"/>
        </w:rPr>
        <w:t xml:space="preserve">should explicitly recommend </w:t>
      </w:r>
      <w:r w:rsidR="00BA3A4D" w:rsidRPr="00157004">
        <w:rPr>
          <w:rFonts w:ascii="Bookman Old Style" w:hAnsi="Bookman Old Style" w:cstheme="minorHAnsi"/>
        </w:rPr>
        <w:t xml:space="preserve">Gayaa Dhuwi (Proud Spirit) Australia </w:t>
      </w:r>
      <w:r w:rsidRPr="00157004">
        <w:rPr>
          <w:rFonts w:ascii="Bookman Old Style" w:hAnsi="Bookman Old Style" w:cstheme="minorHAnsi"/>
        </w:rPr>
        <w:t xml:space="preserve">to co-lead the development of </w:t>
      </w:r>
      <w:r w:rsidR="00BA3A4D" w:rsidRPr="00157004">
        <w:rPr>
          <w:rFonts w:ascii="Bookman Old Style" w:hAnsi="Bookman Old Style" w:cstheme="minorHAnsi"/>
        </w:rPr>
        <w:t xml:space="preserve">the implementation </w:t>
      </w:r>
      <w:r w:rsidRPr="00157004">
        <w:rPr>
          <w:rFonts w:ascii="Bookman Old Style" w:hAnsi="Bookman Old Style" w:cstheme="minorHAnsi"/>
        </w:rPr>
        <w:t xml:space="preserve">plan for </w:t>
      </w:r>
      <w:r w:rsidR="00BA3A4D" w:rsidRPr="00157004">
        <w:rPr>
          <w:rFonts w:ascii="Bookman Old Style" w:hAnsi="Bookman Old Style" w:cstheme="minorHAnsi"/>
        </w:rPr>
        <w:t xml:space="preserve">the </w:t>
      </w:r>
      <w:r w:rsidR="00BA3A4D" w:rsidRPr="00157004">
        <w:rPr>
          <w:rFonts w:ascii="Bookman Old Style" w:hAnsi="Bookman Old Style" w:cstheme="minorHAnsi"/>
          <w:i/>
        </w:rPr>
        <w:t>National Strategic Framework for Aboriginal and Torres Strait Islander Peoples’ Mental Health and Social and Emotional Wellbeing 2017-2023</w:t>
      </w:r>
      <w:r w:rsidRPr="00157004">
        <w:rPr>
          <w:rFonts w:ascii="Bookman Old Style" w:hAnsi="Bookman Old Style" w:cstheme="minorHAnsi"/>
        </w:rPr>
        <w:t xml:space="preserve">, along with the </w:t>
      </w:r>
      <w:r w:rsidRPr="00157004">
        <w:rPr>
          <w:rFonts w:ascii="Bookman Old Style" w:eastAsiaTheme="minorHAnsi" w:hAnsi="Bookman Old Style" w:cstheme="minorHAnsi"/>
          <w:color w:val="000000" w:themeColor="text1"/>
          <w:shd w:val="clear" w:color="auto" w:fill="FFFFFF"/>
          <w:lang w:eastAsia="en-US"/>
        </w:rPr>
        <w:t xml:space="preserve">Aboriginal and Torres Strait Islander Mental Health and Suicide Prevention Advisory Group (ATSIMHSPAG), </w:t>
      </w:r>
      <w:r w:rsidRPr="00157004">
        <w:rPr>
          <w:rFonts w:ascii="Bookman Old Style" w:hAnsi="Bookman Old Style" w:cstheme="minorHAnsi"/>
          <w:color w:val="000000" w:themeColor="text1"/>
          <w:shd w:val="clear" w:color="auto" w:fill="FFFFFF"/>
        </w:rPr>
        <w:t>which developed the Framework.</w:t>
      </w:r>
    </w:p>
    <w:p w14:paraId="544DA3F7" w14:textId="2DF4CF13" w:rsidR="00BA3A4D" w:rsidRPr="00157004" w:rsidRDefault="00BA3A4D" w:rsidP="00C76B14">
      <w:pPr>
        <w:spacing w:line="276" w:lineRule="auto"/>
        <w:rPr>
          <w:rFonts w:ascii="Bookman Old Style" w:eastAsiaTheme="minorHAnsi" w:hAnsi="Bookman Old Style" w:cstheme="minorHAnsi"/>
          <w:lang w:eastAsia="en-US"/>
        </w:rPr>
      </w:pPr>
      <w:r w:rsidRPr="00157004">
        <w:rPr>
          <w:rFonts w:ascii="Bookman Old Style" w:hAnsi="Bookman Old Style" w:cstheme="minorHAnsi"/>
        </w:rPr>
        <w:t>Gayaa Dhuwi (Proud Spirit) Australia ha</w:t>
      </w:r>
      <w:r w:rsidR="003F6CD5" w:rsidRPr="00157004">
        <w:rPr>
          <w:rFonts w:ascii="Bookman Old Style" w:hAnsi="Bookman Old Style" w:cstheme="minorHAnsi"/>
        </w:rPr>
        <w:t xml:space="preserve">s </w:t>
      </w:r>
      <w:r w:rsidRPr="00157004">
        <w:rPr>
          <w:rFonts w:ascii="Bookman Old Style" w:hAnsi="Bookman Old Style" w:cstheme="minorHAnsi"/>
        </w:rPr>
        <w:t xml:space="preserve">already been charged with developing the </w:t>
      </w:r>
      <w:r w:rsidRPr="00157004">
        <w:rPr>
          <w:rFonts w:ascii="Bookman Old Style" w:eastAsiaTheme="minorHAnsi" w:hAnsi="Bookman Old Style" w:cstheme="minorHAnsi"/>
          <w:lang w:eastAsia="en-US"/>
        </w:rPr>
        <w:t xml:space="preserve">renewed </w:t>
      </w:r>
      <w:r w:rsidRPr="00157004">
        <w:rPr>
          <w:rFonts w:ascii="Bookman Old Style" w:eastAsiaTheme="minorHAnsi" w:hAnsi="Bookman Old Style" w:cstheme="minorHAnsi"/>
          <w:i/>
          <w:iCs/>
          <w:lang w:eastAsia="en-US"/>
        </w:rPr>
        <w:t>National Aboriginal and Torres Strait Islander Suicide Prevention Strategy</w:t>
      </w:r>
      <w:r w:rsidRPr="00157004">
        <w:rPr>
          <w:rFonts w:ascii="Bookman Old Style" w:hAnsi="Bookman Old Style" w:cstheme="minorHAnsi"/>
        </w:rPr>
        <w:t xml:space="preserve">. </w:t>
      </w:r>
    </w:p>
    <w:p w14:paraId="419823DB" w14:textId="77777777" w:rsidR="00061958" w:rsidRPr="00157004" w:rsidRDefault="00061958" w:rsidP="00C76B14">
      <w:pPr>
        <w:spacing w:line="276" w:lineRule="auto"/>
        <w:rPr>
          <w:rFonts w:ascii="Bookman Old Style" w:hAnsi="Bookman Old Style" w:cstheme="minorHAnsi"/>
          <w:color w:val="000000" w:themeColor="text1"/>
        </w:rPr>
      </w:pPr>
    </w:p>
    <w:p w14:paraId="04A45C55" w14:textId="77777777" w:rsidR="00C611C3" w:rsidRDefault="00C611C3" w:rsidP="00C76B14">
      <w:pPr>
        <w:spacing w:line="276" w:lineRule="auto"/>
        <w:rPr>
          <w:rFonts w:ascii="Bookman Old Style" w:hAnsi="Bookman Old Style" w:cstheme="minorHAnsi"/>
        </w:rPr>
      </w:pPr>
    </w:p>
    <w:p w14:paraId="35E180E4" w14:textId="77777777" w:rsidR="008E2DE5" w:rsidRPr="00157004" w:rsidRDefault="008E2DE5" w:rsidP="00C76B14">
      <w:pPr>
        <w:spacing w:line="276" w:lineRule="auto"/>
        <w:rPr>
          <w:rFonts w:ascii="Bookman Old Style" w:hAnsi="Bookman Old Style" w:cstheme="minorHAnsi"/>
        </w:rPr>
      </w:pPr>
    </w:p>
    <w:p w14:paraId="60770EF8" w14:textId="40CF757B" w:rsidR="003F6CD5" w:rsidRPr="00157004" w:rsidRDefault="003F6CD5" w:rsidP="00C76B14">
      <w:pPr>
        <w:pStyle w:val="ListParagraph"/>
        <w:numPr>
          <w:ilvl w:val="0"/>
          <w:numId w:val="11"/>
        </w:numPr>
        <w:spacing w:line="276" w:lineRule="auto"/>
        <w:rPr>
          <w:rFonts w:ascii="Bookman Old Style" w:hAnsi="Bookman Old Style" w:cstheme="minorHAnsi"/>
          <w:b/>
          <w:bCs/>
        </w:rPr>
      </w:pPr>
      <w:r w:rsidRPr="00157004">
        <w:rPr>
          <w:rFonts w:ascii="Bookman Old Style" w:hAnsi="Bookman Old Style" w:cstheme="minorHAnsi"/>
          <w:b/>
          <w:bCs/>
        </w:rPr>
        <w:lastRenderedPageBreak/>
        <w:t xml:space="preserve">Recognising the challenges in appropriately accommodating the needs of Aboriginal and Torres Strait Islander people through mainstream recommendations, the Commission should consider a specific section in its final report devoted to </w:t>
      </w:r>
      <w:r w:rsidR="00235E6C" w:rsidRPr="00157004">
        <w:rPr>
          <w:rFonts w:ascii="Bookman Old Style" w:hAnsi="Bookman Old Style" w:cstheme="minorHAnsi"/>
          <w:b/>
          <w:bCs/>
        </w:rPr>
        <w:t>Indigenous</w:t>
      </w:r>
      <w:r w:rsidRPr="00157004">
        <w:rPr>
          <w:rFonts w:ascii="Bookman Old Style" w:hAnsi="Bookman Old Style" w:cstheme="minorHAnsi"/>
          <w:b/>
          <w:bCs/>
        </w:rPr>
        <w:t xml:space="preserve"> people and issues.</w:t>
      </w:r>
    </w:p>
    <w:p w14:paraId="5B5D9BD1" w14:textId="77777777" w:rsidR="00AE4393" w:rsidRPr="00157004" w:rsidRDefault="00AE4393" w:rsidP="00C76B14">
      <w:pPr>
        <w:spacing w:line="276" w:lineRule="auto"/>
        <w:rPr>
          <w:rFonts w:ascii="Bookman Old Style" w:hAnsi="Bookman Old Style" w:cstheme="minorHAnsi"/>
        </w:rPr>
      </w:pPr>
    </w:p>
    <w:p w14:paraId="312F772B" w14:textId="11348A73" w:rsidR="004D74C7" w:rsidRPr="00157004" w:rsidRDefault="004B7E34" w:rsidP="00C76B14">
      <w:pPr>
        <w:pStyle w:val="CommentText"/>
        <w:spacing w:line="276" w:lineRule="auto"/>
        <w:rPr>
          <w:rFonts w:ascii="Bookman Old Style" w:hAnsi="Bookman Old Style" w:cstheme="minorHAnsi"/>
          <w:sz w:val="24"/>
          <w:szCs w:val="24"/>
        </w:rPr>
      </w:pPr>
      <w:r w:rsidRPr="00157004">
        <w:rPr>
          <w:rFonts w:ascii="Bookman Old Style" w:hAnsi="Bookman Old Style" w:cstheme="minorHAnsi"/>
          <w:sz w:val="24"/>
          <w:szCs w:val="24"/>
        </w:rPr>
        <w:t>We</w:t>
      </w:r>
      <w:r w:rsidR="00404615" w:rsidRPr="00157004">
        <w:rPr>
          <w:rFonts w:ascii="Bookman Old Style" w:hAnsi="Bookman Old Style" w:cstheme="minorHAnsi"/>
          <w:sz w:val="24"/>
          <w:szCs w:val="24"/>
        </w:rPr>
        <w:t xml:space="preserve"> note that – unusually for a government report into mental health – there is no distinct section</w:t>
      </w:r>
      <w:r w:rsidR="00AE4393" w:rsidRPr="00157004">
        <w:rPr>
          <w:rFonts w:ascii="Bookman Old Style" w:hAnsi="Bookman Old Style" w:cstheme="minorHAnsi"/>
          <w:sz w:val="24"/>
          <w:szCs w:val="24"/>
        </w:rPr>
        <w:t xml:space="preserve"> in the Commission’s draft report</w:t>
      </w:r>
      <w:r w:rsidR="00404615" w:rsidRPr="00157004">
        <w:rPr>
          <w:rFonts w:ascii="Bookman Old Style" w:hAnsi="Bookman Old Style" w:cstheme="minorHAnsi"/>
          <w:sz w:val="24"/>
          <w:szCs w:val="24"/>
        </w:rPr>
        <w:t xml:space="preserve"> regarding the needs of Indigenous people. This may result from a laudable commitment not to </w:t>
      </w:r>
      <w:r w:rsidR="008D1923" w:rsidRPr="00157004">
        <w:rPr>
          <w:rFonts w:ascii="Bookman Old Style" w:hAnsi="Bookman Old Style" w:cstheme="minorHAnsi"/>
          <w:sz w:val="24"/>
          <w:szCs w:val="24"/>
        </w:rPr>
        <w:t xml:space="preserve">disconnect </w:t>
      </w:r>
      <w:r w:rsidR="009C402F" w:rsidRPr="00157004">
        <w:rPr>
          <w:rFonts w:ascii="Bookman Old Style" w:hAnsi="Bookman Old Style" w:cstheme="minorHAnsi"/>
          <w:sz w:val="24"/>
          <w:szCs w:val="24"/>
        </w:rPr>
        <w:t>Indigenous people</w:t>
      </w:r>
      <w:r w:rsidR="008D1923" w:rsidRPr="00157004">
        <w:rPr>
          <w:rFonts w:ascii="Bookman Old Style" w:hAnsi="Bookman Old Style" w:cstheme="minorHAnsi"/>
          <w:sz w:val="24"/>
          <w:szCs w:val="24"/>
        </w:rPr>
        <w:t xml:space="preserve"> from important decisions that affect all Australians</w:t>
      </w:r>
      <w:r w:rsidR="00404615" w:rsidRPr="00157004">
        <w:rPr>
          <w:rFonts w:ascii="Bookman Old Style" w:hAnsi="Bookman Old Style" w:cstheme="minorHAnsi"/>
          <w:sz w:val="24"/>
          <w:szCs w:val="24"/>
        </w:rPr>
        <w:t>; however</w:t>
      </w:r>
      <w:r w:rsidR="00754167" w:rsidRPr="00157004">
        <w:rPr>
          <w:rFonts w:ascii="Bookman Old Style" w:hAnsi="Bookman Old Style" w:cstheme="minorHAnsi"/>
          <w:sz w:val="24"/>
          <w:szCs w:val="24"/>
        </w:rPr>
        <w:t>,</w:t>
      </w:r>
      <w:r w:rsidR="009C402F" w:rsidRPr="00157004">
        <w:rPr>
          <w:rFonts w:ascii="Bookman Old Style" w:hAnsi="Bookman Old Style" w:cstheme="minorHAnsi"/>
          <w:sz w:val="24"/>
          <w:szCs w:val="24"/>
        </w:rPr>
        <w:t xml:space="preserve"> it </w:t>
      </w:r>
      <w:r w:rsidR="00404615" w:rsidRPr="00157004">
        <w:rPr>
          <w:rFonts w:ascii="Bookman Old Style" w:hAnsi="Bookman Old Style" w:cstheme="minorHAnsi"/>
          <w:sz w:val="24"/>
          <w:szCs w:val="24"/>
        </w:rPr>
        <w:t xml:space="preserve">has the consequence of </w:t>
      </w:r>
      <w:r w:rsidR="004D74C7" w:rsidRPr="00157004">
        <w:rPr>
          <w:rFonts w:ascii="Bookman Old Style" w:hAnsi="Bookman Old Style" w:cstheme="minorHAnsi"/>
          <w:sz w:val="24"/>
          <w:szCs w:val="24"/>
        </w:rPr>
        <w:t xml:space="preserve">leaving </w:t>
      </w:r>
      <w:r w:rsidR="00AE4393" w:rsidRPr="00157004">
        <w:rPr>
          <w:rFonts w:ascii="Bookman Old Style" w:hAnsi="Bookman Old Style" w:cstheme="minorHAnsi"/>
          <w:sz w:val="24"/>
          <w:szCs w:val="24"/>
        </w:rPr>
        <w:t>our</w:t>
      </w:r>
      <w:r w:rsidR="009C402F" w:rsidRPr="00157004">
        <w:rPr>
          <w:rFonts w:ascii="Bookman Old Style" w:hAnsi="Bookman Old Style" w:cstheme="minorHAnsi"/>
          <w:sz w:val="24"/>
          <w:szCs w:val="24"/>
        </w:rPr>
        <w:t xml:space="preserve"> distinctive issues less visible</w:t>
      </w:r>
      <w:r w:rsidR="00754167" w:rsidRPr="00157004">
        <w:rPr>
          <w:rFonts w:ascii="Bookman Old Style" w:hAnsi="Bookman Old Style" w:cstheme="minorHAnsi"/>
          <w:sz w:val="24"/>
          <w:szCs w:val="24"/>
        </w:rPr>
        <w:t xml:space="preserve"> and potential</w:t>
      </w:r>
      <w:r w:rsidR="004D74C7" w:rsidRPr="00157004">
        <w:rPr>
          <w:rFonts w:ascii="Bookman Old Style" w:hAnsi="Bookman Old Style" w:cstheme="minorHAnsi"/>
          <w:sz w:val="24"/>
          <w:szCs w:val="24"/>
        </w:rPr>
        <w:t xml:space="preserve">ly </w:t>
      </w:r>
      <w:r w:rsidR="00754167" w:rsidRPr="00157004">
        <w:rPr>
          <w:rFonts w:ascii="Bookman Old Style" w:hAnsi="Bookman Old Style" w:cstheme="minorHAnsi"/>
          <w:sz w:val="24"/>
          <w:szCs w:val="24"/>
        </w:rPr>
        <w:t xml:space="preserve">unaddressed. </w:t>
      </w:r>
      <w:r w:rsidR="00B90447" w:rsidRPr="00157004">
        <w:rPr>
          <w:rFonts w:ascii="Bookman Old Style" w:hAnsi="Bookman Old Style" w:cstheme="minorHAnsi"/>
          <w:sz w:val="24"/>
          <w:szCs w:val="24"/>
        </w:rPr>
        <w:t xml:space="preserve">Indigenous and non-Indigenous experiences of psychological distress and suicide have different patterns of causation, and successful prevention and support depend significantly on cultural safety and competence in service delivery. </w:t>
      </w:r>
    </w:p>
    <w:p w14:paraId="04FB8916" w14:textId="77777777" w:rsidR="00B90447" w:rsidRPr="00157004" w:rsidRDefault="00B90447" w:rsidP="00C76B14">
      <w:pPr>
        <w:pStyle w:val="CommentText"/>
        <w:spacing w:line="276" w:lineRule="auto"/>
        <w:rPr>
          <w:rFonts w:ascii="Bookman Old Style" w:hAnsi="Bookman Old Style" w:cstheme="minorHAnsi"/>
          <w:sz w:val="24"/>
          <w:szCs w:val="24"/>
        </w:rPr>
      </w:pPr>
    </w:p>
    <w:p w14:paraId="40C6CA03" w14:textId="77777777" w:rsidR="007E5D03" w:rsidRPr="00157004" w:rsidRDefault="00754167" w:rsidP="00C76B14">
      <w:pPr>
        <w:spacing w:line="276" w:lineRule="auto"/>
        <w:rPr>
          <w:rFonts w:ascii="Bookman Old Style" w:hAnsi="Bookman Old Style" w:cstheme="minorHAnsi"/>
        </w:rPr>
      </w:pPr>
      <w:r w:rsidRPr="00157004">
        <w:rPr>
          <w:rFonts w:ascii="Bookman Old Style" w:hAnsi="Bookman Old Style" w:cstheme="minorHAnsi"/>
        </w:rPr>
        <w:t xml:space="preserve">Further, </w:t>
      </w:r>
      <w:r w:rsidR="00AE4393" w:rsidRPr="00157004">
        <w:rPr>
          <w:rFonts w:ascii="Bookman Old Style" w:hAnsi="Bookman Old Style" w:cstheme="minorHAnsi"/>
        </w:rPr>
        <w:t>it is unclear</w:t>
      </w:r>
      <w:r w:rsidR="00404615" w:rsidRPr="00157004">
        <w:rPr>
          <w:rFonts w:ascii="Bookman Old Style" w:hAnsi="Bookman Old Style" w:cstheme="minorHAnsi"/>
        </w:rPr>
        <w:t xml:space="preserve"> how some of the major reform proposals </w:t>
      </w:r>
      <w:r w:rsidR="00AE4393" w:rsidRPr="00157004">
        <w:rPr>
          <w:rFonts w:ascii="Bookman Old Style" w:hAnsi="Bookman Old Style" w:cstheme="minorHAnsi"/>
        </w:rPr>
        <w:t xml:space="preserve">– notably those relating to service planning and commissioning; research and data; and </w:t>
      </w:r>
      <w:r w:rsidR="00D11C4B" w:rsidRPr="00157004">
        <w:rPr>
          <w:rFonts w:ascii="Bookman Old Style" w:hAnsi="Bookman Old Style" w:cstheme="minorHAnsi"/>
        </w:rPr>
        <w:t>social determinants/comorbidities</w:t>
      </w:r>
      <w:r w:rsidR="00AE4393" w:rsidRPr="00157004">
        <w:rPr>
          <w:rFonts w:ascii="Bookman Old Style" w:hAnsi="Bookman Old Style" w:cstheme="minorHAnsi"/>
        </w:rPr>
        <w:t xml:space="preserve"> – would</w:t>
      </w:r>
      <w:r w:rsidR="008D790A" w:rsidRPr="00157004">
        <w:rPr>
          <w:rFonts w:ascii="Bookman Old Style" w:hAnsi="Bookman Old Style" w:cstheme="minorHAnsi"/>
        </w:rPr>
        <w:t xml:space="preserve"> be likely to</w:t>
      </w:r>
      <w:r w:rsidR="00AE4393" w:rsidRPr="00157004">
        <w:rPr>
          <w:rFonts w:ascii="Bookman Old Style" w:hAnsi="Bookman Old Style" w:cstheme="minorHAnsi"/>
        </w:rPr>
        <w:t xml:space="preserve"> play out for Aboriginal and Torres Strait Islander people.</w:t>
      </w:r>
      <w:r w:rsidRPr="00157004">
        <w:rPr>
          <w:rFonts w:ascii="Bookman Old Style" w:hAnsi="Bookman Old Style" w:cstheme="minorHAnsi"/>
        </w:rPr>
        <w:t xml:space="preserve"> </w:t>
      </w:r>
    </w:p>
    <w:p w14:paraId="45354365" w14:textId="418AEC24" w:rsidR="007E5D03" w:rsidRPr="00157004" w:rsidRDefault="007E5D03" w:rsidP="00C76B14">
      <w:pPr>
        <w:spacing w:line="276" w:lineRule="auto"/>
        <w:rPr>
          <w:rFonts w:ascii="Bookman Old Style" w:hAnsi="Bookman Old Style" w:cstheme="minorHAnsi"/>
        </w:rPr>
      </w:pPr>
    </w:p>
    <w:p w14:paraId="0991FE25" w14:textId="77777777" w:rsidR="00235E6C" w:rsidRPr="00157004" w:rsidRDefault="00235E6C" w:rsidP="00C76B14">
      <w:pPr>
        <w:spacing w:line="276" w:lineRule="auto"/>
        <w:rPr>
          <w:rFonts w:ascii="Bookman Old Style" w:hAnsi="Bookman Old Style" w:cstheme="minorHAnsi"/>
          <w:b/>
          <w:bCs/>
        </w:rPr>
      </w:pPr>
    </w:p>
    <w:p w14:paraId="76317000" w14:textId="77777777" w:rsidR="00062DE8" w:rsidRPr="00157004" w:rsidRDefault="00062DE8" w:rsidP="00C76B14">
      <w:pPr>
        <w:spacing w:line="276" w:lineRule="auto"/>
        <w:rPr>
          <w:rFonts w:ascii="Bookman Old Style" w:hAnsi="Bookman Old Style" w:cstheme="minorHAnsi"/>
          <w:b/>
          <w:bCs/>
        </w:rPr>
      </w:pPr>
      <w:r w:rsidRPr="00157004">
        <w:rPr>
          <w:rFonts w:ascii="Bookman Old Style" w:hAnsi="Bookman Old Style" w:cstheme="minorHAnsi"/>
          <w:b/>
          <w:bCs/>
        </w:rPr>
        <w:br w:type="page"/>
      </w:r>
    </w:p>
    <w:p w14:paraId="27674F90" w14:textId="26647035" w:rsidR="007E5D03" w:rsidRPr="00157004" w:rsidRDefault="007E5D03" w:rsidP="00C76B14">
      <w:pPr>
        <w:spacing w:line="276" w:lineRule="auto"/>
        <w:rPr>
          <w:rFonts w:ascii="Bookman Old Style" w:hAnsi="Bookman Old Style" w:cstheme="minorHAnsi"/>
          <w:b/>
          <w:bCs/>
        </w:rPr>
      </w:pPr>
      <w:r w:rsidRPr="00157004">
        <w:rPr>
          <w:rFonts w:ascii="Bookman Old Style" w:hAnsi="Bookman Old Style" w:cstheme="minorHAnsi"/>
          <w:b/>
          <w:bCs/>
        </w:rPr>
        <w:lastRenderedPageBreak/>
        <w:t>GENERAL COMMENTS</w:t>
      </w:r>
    </w:p>
    <w:p w14:paraId="416400EF" w14:textId="77777777" w:rsidR="007E5D03" w:rsidRPr="00157004" w:rsidRDefault="007E5D03" w:rsidP="00C76B14">
      <w:pPr>
        <w:spacing w:line="276" w:lineRule="auto"/>
        <w:rPr>
          <w:rFonts w:ascii="Bookman Old Style" w:hAnsi="Bookman Old Style" w:cstheme="minorHAnsi"/>
        </w:rPr>
      </w:pPr>
    </w:p>
    <w:p w14:paraId="34849E73" w14:textId="77777777" w:rsidR="008D790A" w:rsidRPr="00157004" w:rsidRDefault="008D790A" w:rsidP="00C76B14">
      <w:pPr>
        <w:spacing w:line="276" w:lineRule="auto"/>
        <w:rPr>
          <w:rFonts w:ascii="Bookman Old Style" w:hAnsi="Bookman Old Style" w:cstheme="minorHAnsi"/>
        </w:rPr>
      </w:pPr>
      <w:r w:rsidRPr="00157004">
        <w:rPr>
          <w:rFonts w:ascii="Bookman Old Style" w:hAnsi="Bookman Old Style" w:cstheme="minorHAnsi"/>
        </w:rPr>
        <w:t xml:space="preserve">The draft report is </w:t>
      </w:r>
      <w:r w:rsidR="000501A6" w:rsidRPr="00157004">
        <w:rPr>
          <w:rFonts w:ascii="Bookman Old Style" w:hAnsi="Bookman Old Style" w:cstheme="minorHAnsi"/>
        </w:rPr>
        <w:t xml:space="preserve">complex, </w:t>
      </w:r>
      <w:r w:rsidRPr="00157004">
        <w:rPr>
          <w:rFonts w:ascii="Bookman Old Style" w:hAnsi="Bookman Old Style" w:cstheme="minorHAnsi"/>
        </w:rPr>
        <w:t xml:space="preserve">detailed, and </w:t>
      </w:r>
      <w:r w:rsidR="000501A6" w:rsidRPr="00157004">
        <w:rPr>
          <w:rFonts w:ascii="Bookman Old Style" w:hAnsi="Bookman Old Style" w:cstheme="minorHAnsi"/>
        </w:rPr>
        <w:t xml:space="preserve">sometimes </w:t>
      </w:r>
      <w:r w:rsidRPr="00157004">
        <w:rPr>
          <w:rFonts w:ascii="Bookman Old Style" w:hAnsi="Bookman Old Style" w:cstheme="minorHAnsi"/>
        </w:rPr>
        <w:t>challenging to navigate as the content of individual chapters inevitably overlaps with other thematic areas. Therefore</w:t>
      </w:r>
      <w:r w:rsidR="00754167" w:rsidRPr="00157004">
        <w:rPr>
          <w:rFonts w:ascii="Bookman Old Style" w:hAnsi="Bookman Old Style" w:cstheme="minorHAnsi"/>
        </w:rPr>
        <w:t>,</w:t>
      </w:r>
      <w:r w:rsidRPr="00157004">
        <w:rPr>
          <w:rFonts w:ascii="Bookman Old Style" w:hAnsi="Bookman Old Style" w:cstheme="minorHAnsi"/>
        </w:rPr>
        <w:t xml:space="preserve"> the</w:t>
      </w:r>
      <w:r w:rsidR="000176DC" w:rsidRPr="00157004">
        <w:rPr>
          <w:rFonts w:ascii="Bookman Old Style" w:hAnsi="Bookman Old Style" w:cstheme="minorHAnsi"/>
        </w:rPr>
        <w:t xml:space="preserve"> following</w:t>
      </w:r>
      <w:r w:rsidRPr="00157004">
        <w:rPr>
          <w:rFonts w:ascii="Bookman Old Style" w:hAnsi="Bookman Old Style" w:cstheme="minorHAnsi"/>
        </w:rPr>
        <w:t xml:space="preserve"> general observations</w:t>
      </w:r>
      <w:r w:rsidR="00E90863" w:rsidRPr="00157004">
        <w:rPr>
          <w:rFonts w:ascii="Bookman Old Style" w:hAnsi="Bookman Old Style" w:cstheme="minorHAnsi"/>
        </w:rPr>
        <w:t xml:space="preserve"> seek to assist the Commission</w:t>
      </w:r>
      <w:r w:rsidR="003C5D56" w:rsidRPr="00157004">
        <w:rPr>
          <w:rFonts w:ascii="Bookman Old Style" w:hAnsi="Bookman Old Style" w:cstheme="minorHAnsi"/>
        </w:rPr>
        <w:t xml:space="preserve"> to keep </w:t>
      </w:r>
      <w:r w:rsidR="00004114" w:rsidRPr="00157004">
        <w:rPr>
          <w:rFonts w:ascii="Bookman Old Style" w:hAnsi="Bookman Old Style" w:cstheme="minorHAnsi"/>
        </w:rPr>
        <w:t>some important</w:t>
      </w:r>
      <w:r w:rsidR="003C5D56" w:rsidRPr="00157004">
        <w:rPr>
          <w:rFonts w:ascii="Bookman Old Style" w:hAnsi="Bookman Old Style" w:cstheme="minorHAnsi"/>
        </w:rPr>
        <w:t xml:space="preserve"> concerns of Aboriginal and Torres Strait Islander people in mind during the preparation of the final report.</w:t>
      </w:r>
    </w:p>
    <w:p w14:paraId="5EBF8282" w14:textId="77777777" w:rsidR="00004114" w:rsidRPr="00157004" w:rsidRDefault="00004114" w:rsidP="00C76B14">
      <w:pPr>
        <w:spacing w:line="276" w:lineRule="auto"/>
        <w:rPr>
          <w:rFonts w:ascii="Bookman Old Style" w:hAnsi="Bookman Old Style" w:cstheme="minorHAnsi"/>
        </w:rPr>
      </w:pPr>
    </w:p>
    <w:p w14:paraId="73FEA22B" w14:textId="77777777" w:rsidR="00404615" w:rsidRPr="00157004" w:rsidRDefault="00404615" w:rsidP="00C76B14">
      <w:pPr>
        <w:spacing w:line="276" w:lineRule="auto"/>
        <w:rPr>
          <w:rFonts w:ascii="Bookman Old Style" w:hAnsi="Bookman Old Style" w:cstheme="minorHAnsi"/>
        </w:rPr>
      </w:pPr>
    </w:p>
    <w:p w14:paraId="0AA04FE0" w14:textId="77777777" w:rsidR="009A0B63" w:rsidRPr="00157004" w:rsidRDefault="009A0B63" w:rsidP="00C76B14">
      <w:pPr>
        <w:shd w:val="clear" w:color="auto" w:fill="FFFFFF"/>
        <w:spacing w:line="276" w:lineRule="auto"/>
        <w:rPr>
          <w:rFonts w:ascii="Bookman Old Style" w:hAnsi="Bookman Old Style" w:cstheme="minorHAnsi"/>
          <w:b/>
          <w:bCs/>
          <w:color w:val="1D2228"/>
        </w:rPr>
      </w:pPr>
      <w:r w:rsidRPr="00157004">
        <w:rPr>
          <w:rFonts w:ascii="Bookman Old Style" w:hAnsi="Bookman Old Style" w:cstheme="minorHAnsi"/>
          <w:b/>
          <w:bCs/>
          <w:color w:val="1D2228"/>
        </w:rPr>
        <w:t>Social determinants</w:t>
      </w:r>
    </w:p>
    <w:p w14:paraId="4324E86A" w14:textId="77777777" w:rsidR="009A0B63" w:rsidRPr="00157004" w:rsidRDefault="009A0B63" w:rsidP="00C76B14">
      <w:pPr>
        <w:shd w:val="clear" w:color="auto" w:fill="FFFFFF"/>
        <w:spacing w:line="276" w:lineRule="auto"/>
        <w:rPr>
          <w:rFonts w:ascii="Bookman Old Style" w:hAnsi="Bookman Old Style" w:cstheme="minorHAnsi"/>
          <w:b/>
          <w:bCs/>
          <w:color w:val="1D2228"/>
        </w:rPr>
      </w:pPr>
    </w:p>
    <w:p w14:paraId="79F51281" w14:textId="77777777" w:rsidR="009A0B63" w:rsidRPr="00157004" w:rsidRDefault="009A0B63" w:rsidP="00C76B14">
      <w:pPr>
        <w:spacing w:line="276" w:lineRule="auto"/>
        <w:rPr>
          <w:rFonts w:ascii="Bookman Old Style" w:eastAsiaTheme="minorHAnsi" w:hAnsi="Bookman Old Style" w:cstheme="minorHAnsi"/>
          <w:lang w:eastAsia="en-US"/>
        </w:rPr>
      </w:pPr>
      <w:r w:rsidRPr="00157004">
        <w:rPr>
          <w:rFonts w:ascii="Bookman Old Style" w:hAnsi="Bookman Old Style" w:cstheme="minorHAnsi"/>
          <w:color w:val="1D2228"/>
        </w:rPr>
        <w:t xml:space="preserve">The report is clear that social determinants of mental health, including housing, education and income, are </w:t>
      </w:r>
      <w:hyperlink r:id="rId19" w:history="1">
        <w:r w:rsidRPr="00157004">
          <w:rPr>
            <w:rStyle w:val="Hyperlink"/>
            <w:rFonts w:ascii="Bookman Old Style" w:hAnsi="Bookman Old Style" w:cstheme="minorHAnsi"/>
          </w:rPr>
          <w:t>beyond the scope of the inquiry</w:t>
        </w:r>
      </w:hyperlink>
      <w:r w:rsidRPr="00157004">
        <w:rPr>
          <w:rFonts w:ascii="Bookman Old Style" w:hAnsi="Bookman Old Style" w:cstheme="minorHAnsi"/>
          <w:color w:val="1D2228"/>
        </w:rPr>
        <w:t xml:space="preserve"> except as they relate to specific programs targeted at people who already experience or are at risk of mental ill health (p123). </w:t>
      </w:r>
    </w:p>
    <w:p w14:paraId="49D3E390" w14:textId="77777777" w:rsidR="009A0B63" w:rsidRPr="00157004" w:rsidRDefault="009A0B63" w:rsidP="00C76B14">
      <w:pPr>
        <w:shd w:val="clear" w:color="auto" w:fill="FFFFFF"/>
        <w:spacing w:line="276" w:lineRule="auto"/>
        <w:rPr>
          <w:rFonts w:ascii="Bookman Old Style" w:hAnsi="Bookman Old Style" w:cstheme="minorHAnsi"/>
          <w:color w:val="1D2228"/>
        </w:rPr>
      </w:pPr>
    </w:p>
    <w:p w14:paraId="60CDD929" w14:textId="77777777" w:rsidR="00B763EA" w:rsidRPr="00157004" w:rsidRDefault="00351EAE" w:rsidP="00C76B14">
      <w:pPr>
        <w:spacing w:line="276" w:lineRule="auto"/>
        <w:rPr>
          <w:rFonts w:ascii="Bookman Old Style" w:hAnsi="Bookman Old Style" w:cstheme="minorHAnsi"/>
        </w:rPr>
      </w:pPr>
      <w:r w:rsidRPr="00157004">
        <w:rPr>
          <w:rFonts w:ascii="Bookman Old Style" w:hAnsi="Bookman Old Style" w:cstheme="minorHAnsi"/>
          <w:color w:val="1D2228"/>
        </w:rPr>
        <w:t xml:space="preserve">In practice it is impossible in practice to separate health determinants – historical, political and social – from Indigenous mental health. These determinants include racial discrimination, unemployment, exposure to adverse childhood events, housing stresses, family violence, alcohol and drug comorbidities and lower access to health and mental health services. Their effects are powerfully described in the </w:t>
      </w:r>
      <w:hyperlink r:id="rId20" w:history="1">
        <w:r w:rsidRPr="00157004">
          <w:rPr>
            <w:rStyle w:val="Hyperlink"/>
            <w:rFonts w:ascii="Bookman Old Style" w:hAnsi="Bookman Old Style" w:cstheme="minorHAnsi"/>
          </w:rPr>
          <w:t>report by the WA Coroner</w:t>
        </w:r>
      </w:hyperlink>
      <w:r w:rsidRPr="00157004">
        <w:rPr>
          <w:rFonts w:ascii="Bookman Old Style" w:hAnsi="Bookman Old Style" w:cstheme="minorHAnsi"/>
          <w:color w:val="1D2228"/>
        </w:rPr>
        <w:t xml:space="preserve"> into the suicide deaths of 12 Indigenous children.</w:t>
      </w:r>
      <w:r w:rsidR="000176DC" w:rsidRPr="00157004">
        <w:rPr>
          <w:rFonts w:ascii="Bookman Old Style" w:hAnsi="Bookman Old Style" w:cstheme="minorHAnsi"/>
          <w:color w:val="1D2228"/>
        </w:rPr>
        <w:t xml:space="preserve"> </w:t>
      </w:r>
    </w:p>
    <w:p w14:paraId="5410EF88" w14:textId="77777777" w:rsidR="00351EAE" w:rsidRPr="00157004" w:rsidRDefault="00351EAE" w:rsidP="00C76B14">
      <w:pPr>
        <w:shd w:val="clear" w:color="auto" w:fill="FFFFFF"/>
        <w:spacing w:line="276" w:lineRule="auto"/>
        <w:rPr>
          <w:rFonts w:ascii="Bookman Old Style" w:hAnsi="Bookman Old Style" w:cstheme="minorHAnsi"/>
          <w:color w:val="1D2228"/>
        </w:rPr>
      </w:pPr>
    </w:p>
    <w:p w14:paraId="28C214FE" w14:textId="77777777" w:rsidR="00351EAE" w:rsidRPr="00157004" w:rsidRDefault="000176DC" w:rsidP="00C76B14">
      <w:pPr>
        <w:spacing w:line="276" w:lineRule="auto"/>
        <w:rPr>
          <w:rFonts w:ascii="Bookman Old Style" w:hAnsi="Bookman Old Style" w:cstheme="minorHAnsi"/>
        </w:rPr>
      </w:pPr>
      <w:r w:rsidRPr="00157004">
        <w:rPr>
          <w:rFonts w:ascii="Bookman Old Style" w:hAnsi="Bookman Old Style" w:cstheme="minorHAnsi"/>
          <w:color w:val="1D2228"/>
        </w:rPr>
        <w:t>The Coroner</w:t>
      </w:r>
      <w:r w:rsidR="00351EAE" w:rsidRPr="00157004">
        <w:rPr>
          <w:rFonts w:ascii="Bookman Old Style" w:hAnsi="Bookman Old Style" w:cstheme="minorHAnsi"/>
          <w:color w:val="1D2228"/>
        </w:rPr>
        <w:t xml:space="preserve"> wrote: </w:t>
      </w:r>
      <w:r w:rsidR="00351EAE" w:rsidRPr="00157004">
        <w:rPr>
          <w:rFonts w:ascii="Bookman Old Style" w:hAnsi="Bookman Old Style" w:cstheme="minorHAnsi"/>
          <w:i/>
          <w:iCs/>
          <w:color w:val="1D2228"/>
        </w:rPr>
        <w:t>“</w:t>
      </w:r>
      <w:r w:rsidR="00351EAE" w:rsidRPr="00157004">
        <w:rPr>
          <w:rFonts w:ascii="Bookman Old Style" w:hAnsi="Bookman Old Style" w:cstheme="minorHAnsi"/>
          <w:i/>
          <w:iCs/>
        </w:rPr>
        <w:t>To focus only upon the individual events that occurred shortly before their deaths would not adequately address the circumstances attending the deaths. The tragic individual events were shaped by the crushing effects of intergenerational trauma and poverty upon entire communities. That community-wide trauma, generated multiple and prolonged exposures to individual traumatic events for these children and young persons.”</w:t>
      </w:r>
      <w:r w:rsidR="00351EAE" w:rsidRPr="00157004">
        <w:rPr>
          <w:rFonts w:ascii="Bookman Old Style" w:hAnsi="Bookman Old Style" w:cstheme="minorHAnsi"/>
        </w:rPr>
        <w:t xml:space="preserve"> </w:t>
      </w:r>
    </w:p>
    <w:p w14:paraId="38AC0CEC" w14:textId="77777777" w:rsidR="000501A6" w:rsidRPr="00157004" w:rsidRDefault="000501A6" w:rsidP="00C76B14">
      <w:pPr>
        <w:spacing w:line="276" w:lineRule="auto"/>
        <w:rPr>
          <w:rFonts w:ascii="Bookman Old Style" w:hAnsi="Bookman Old Style" w:cstheme="minorHAnsi"/>
        </w:rPr>
      </w:pPr>
    </w:p>
    <w:p w14:paraId="3B787980" w14:textId="77777777" w:rsidR="00CA52A3" w:rsidRPr="00157004" w:rsidRDefault="00CA52A3" w:rsidP="00C76B14">
      <w:pPr>
        <w:spacing w:line="276" w:lineRule="auto"/>
        <w:rPr>
          <w:rFonts w:ascii="Bookman Old Style" w:hAnsi="Bookman Old Style" w:cstheme="minorHAnsi"/>
        </w:rPr>
      </w:pPr>
      <w:r w:rsidRPr="00157004">
        <w:rPr>
          <w:rFonts w:ascii="Bookman Old Style" w:hAnsi="Bookman Old Style" w:cstheme="minorHAnsi"/>
        </w:rPr>
        <w:t xml:space="preserve">The </w:t>
      </w:r>
      <w:hyperlink r:id="rId21" w:history="1">
        <w:r w:rsidRPr="00157004">
          <w:rPr>
            <w:rStyle w:val="Hyperlink"/>
            <w:rFonts w:ascii="Bookman Old Style" w:hAnsi="Bookman Old Style" w:cstheme="minorHAnsi"/>
          </w:rPr>
          <w:t>Aboriginal and Torres Strait Islander Health Performance Framework 2017 Report</w:t>
        </w:r>
      </w:hyperlink>
      <w:r w:rsidRPr="00157004">
        <w:rPr>
          <w:rFonts w:ascii="Bookman Old Style" w:hAnsi="Bookman Old Style" w:cstheme="minorHAnsi"/>
        </w:rPr>
        <w:t xml:space="preserve"> details the associations</w:t>
      </w:r>
      <w:r w:rsidR="000501A6" w:rsidRPr="00157004">
        <w:rPr>
          <w:rFonts w:ascii="Bookman Old Style" w:hAnsi="Bookman Old Style" w:cstheme="minorHAnsi"/>
        </w:rPr>
        <w:t xml:space="preserve"> between psychological distress in Indigenous people and their experiences of insecure housing, racism</w:t>
      </w:r>
      <w:r w:rsidRPr="00157004">
        <w:rPr>
          <w:rFonts w:ascii="Bookman Old Style" w:hAnsi="Bookman Old Style" w:cstheme="minorHAnsi"/>
        </w:rPr>
        <w:t xml:space="preserve"> and discrimination, child removal, unemployment and household poverty.</w:t>
      </w:r>
    </w:p>
    <w:p w14:paraId="17D9ED15" w14:textId="77777777" w:rsidR="00351EAE" w:rsidRPr="00157004" w:rsidRDefault="00351EAE" w:rsidP="00C76B14">
      <w:pPr>
        <w:shd w:val="clear" w:color="auto" w:fill="FFFFFF"/>
        <w:spacing w:line="276" w:lineRule="auto"/>
        <w:rPr>
          <w:rFonts w:ascii="Bookman Old Style" w:hAnsi="Bookman Old Style" w:cstheme="minorHAnsi"/>
          <w:color w:val="1D2228"/>
        </w:rPr>
      </w:pPr>
    </w:p>
    <w:p w14:paraId="1E690058" w14:textId="0161F4D5" w:rsidR="00B763EA" w:rsidRPr="00157004" w:rsidRDefault="00B763EA" w:rsidP="00C76B14">
      <w:pPr>
        <w:spacing w:line="276" w:lineRule="auto"/>
        <w:rPr>
          <w:rFonts w:ascii="Bookman Old Style" w:hAnsi="Bookman Old Style" w:cstheme="minorHAnsi"/>
        </w:rPr>
      </w:pPr>
      <w:r w:rsidRPr="00157004">
        <w:rPr>
          <w:rFonts w:ascii="Bookman Old Style" w:hAnsi="Bookman Old Style" w:cstheme="minorHAnsi"/>
          <w:color w:val="1D2228"/>
        </w:rPr>
        <w:t>As the Commission itself acknowledges in supporting the development of an Implementation Plan for</w:t>
      </w:r>
      <w:r w:rsidRPr="00157004">
        <w:rPr>
          <w:rFonts w:ascii="Bookman Old Style" w:hAnsi="Bookman Old Style" w:cstheme="minorHAnsi"/>
        </w:rPr>
        <w:t xml:space="preserve"> the </w:t>
      </w:r>
      <w:r w:rsidRPr="00157004">
        <w:rPr>
          <w:rFonts w:ascii="Bookman Old Style" w:hAnsi="Bookman Old Style" w:cstheme="minorHAnsi"/>
          <w:i/>
          <w:iCs/>
        </w:rPr>
        <w:t>National Strategic Framework for Aboriginal and Torres Strait Islander Peoples’ Mental Health and Social and Emotional Wellbeing 2017–2023</w:t>
      </w:r>
      <w:r w:rsidRPr="00157004">
        <w:rPr>
          <w:rFonts w:ascii="Bookman Old Style" w:hAnsi="Bookman Old Style" w:cstheme="minorHAnsi"/>
        </w:rPr>
        <w:t xml:space="preserve">: “the rationale for this strategy as a complement to the Fifth Plan lies in the disproportionately high rates of psychological distress, </w:t>
      </w:r>
      <w:r w:rsidRPr="00157004">
        <w:rPr>
          <w:rFonts w:ascii="Bookman Old Style" w:hAnsi="Bookman Old Style" w:cstheme="minorHAnsi"/>
        </w:rPr>
        <w:lastRenderedPageBreak/>
        <w:t>mental illness and suicides and social determinants” experienced by Aboriginal people.</w:t>
      </w:r>
    </w:p>
    <w:p w14:paraId="3D3EEEE9" w14:textId="77777777" w:rsidR="00B763EA" w:rsidRPr="00157004" w:rsidRDefault="00B763EA" w:rsidP="00C76B14">
      <w:pPr>
        <w:shd w:val="clear" w:color="auto" w:fill="FFFFFF"/>
        <w:spacing w:line="276" w:lineRule="auto"/>
        <w:rPr>
          <w:rFonts w:ascii="Bookman Old Style" w:hAnsi="Bookman Old Style" w:cstheme="minorHAnsi"/>
          <w:color w:val="1D2228"/>
        </w:rPr>
      </w:pPr>
    </w:p>
    <w:p w14:paraId="32602A4D" w14:textId="77777777" w:rsidR="009A0B63" w:rsidRPr="00157004" w:rsidRDefault="009A0B63" w:rsidP="00C76B14">
      <w:pPr>
        <w:shd w:val="clear" w:color="auto" w:fill="FFFFFF"/>
        <w:spacing w:line="276" w:lineRule="auto"/>
        <w:rPr>
          <w:rFonts w:ascii="Bookman Old Style" w:hAnsi="Bookman Old Style" w:cstheme="minorHAnsi"/>
          <w:color w:val="1D2228"/>
        </w:rPr>
      </w:pPr>
      <w:r w:rsidRPr="00157004">
        <w:rPr>
          <w:rFonts w:ascii="Bookman Old Style" w:hAnsi="Bookman Old Style" w:cstheme="minorHAnsi"/>
          <w:color w:val="1D2228"/>
        </w:rPr>
        <w:t>Some</w:t>
      </w:r>
      <w:r w:rsidR="008D790A" w:rsidRPr="00157004">
        <w:rPr>
          <w:rFonts w:ascii="Bookman Old Style" w:hAnsi="Bookman Old Style" w:cstheme="minorHAnsi"/>
          <w:color w:val="1D2228"/>
        </w:rPr>
        <w:t xml:space="preserve"> intersectional</w:t>
      </w:r>
      <w:r w:rsidRPr="00157004">
        <w:rPr>
          <w:rFonts w:ascii="Bookman Old Style" w:hAnsi="Bookman Old Style" w:cstheme="minorHAnsi"/>
          <w:color w:val="1D2228"/>
        </w:rPr>
        <w:t xml:space="preserve"> issues – for example the mental health of Aboriginal people who are incarcerated – are considered in detail in the </w:t>
      </w:r>
      <w:r w:rsidR="00351EAE" w:rsidRPr="00157004">
        <w:rPr>
          <w:rFonts w:ascii="Bookman Old Style" w:hAnsi="Bookman Old Style" w:cstheme="minorHAnsi"/>
          <w:color w:val="1D2228"/>
        </w:rPr>
        <w:t xml:space="preserve">Commission’s draft </w:t>
      </w:r>
      <w:r w:rsidRPr="00157004">
        <w:rPr>
          <w:rFonts w:ascii="Bookman Old Style" w:hAnsi="Bookman Old Style" w:cstheme="minorHAnsi"/>
          <w:color w:val="1D2228"/>
        </w:rPr>
        <w:t>report, and innovative responses proposed.</w:t>
      </w:r>
      <w:r w:rsidR="008D790A" w:rsidRPr="00157004">
        <w:rPr>
          <w:rFonts w:ascii="Bookman Old Style" w:hAnsi="Bookman Old Style" w:cstheme="minorHAnsi"/>
          <w:color w:val="1D2228"/>
        </w:rPr>
        <w:t xml:space="preserve"> This is valuable.</w:t>
      </w:r>
    </w:p>
    <w:p w14:paraId="2E4394A8" w14:textId="77777777" w:rsidR="009A0B63" w:rsidRPr="00157004" w:rsidRDefault="009A0B63" w:rsidP="00C76B14">
      <w:pPr>
        <w:shd w:val="clear" w:color="auto" w:fill="FFFFFF"/>
        <w:spacing w:line="276" w:lineRule="auto"/>
        <w:rPr>
          <w:rFonts w:ascii="Bookman Old Style" w:hAnsi="Bookman Old Style" w:cstheme="minorHAnsi"/>
          <w:color w:val="1D2228"/>
        </w:rPr>
      </w:pPr>
    </w:p>
    <w:p w14:paraId="71AAABD9" w14:textId="77777777" w:rsidR="009A0B63" w:rsidRPr="00157004" w:rsidRDefault="009A0B63" w:rsidP="00C76B14">
      <w:pPr>
        <w:shd w:val="clear" w:color="auto" w:fill="FFFFFF"/>
        <w:spacing w:line="276" w:lineRule="auto"/>
        <w:rPr>
          <w:rFonts w:ascii="Bookman Old Style" w:hAnsi="Bookman Old Style" w:cstheme="minorHAnsi"/>
          <w:color w:val="1D2228"/>
        </w:rPr>
      </w:pPr>
      <w:r w:rsidRPr="00157004">
        <w:rPr>
          <w:rFonts w:ascii="Bookman Old Style" w:hAnsi="Bookman Old Style" w:cstheme="minorHAnsi"/>
          <w:color w:val="1D2228"/>
        </w:rPr>
        <w:t>However, drawing the boundary of this inquiry to exclude the wider social context of people’s lives misses an opportunity to address key issues for Aboriginal people, whose poorer mental wellbeing and higher rate of suicide are deeply linked to social disadvantage.</w:t>
      </w:r>
    </w:p>
    <w:p w14:paraId="3B8F943A" w14:textId="77777777" w:rsidR="009A0B63" w:rsidRPr="00157004" w:rsidRDefault="009A0B63" w:rsidP="00C76B14">
      <w:pPr>
        <w:shd w:val="clear" w:color="auto" w:fill="FFFFFF"/>
        <w:spacing w:line="276" w:lineRule="auto"/>
        <w:rPr>
          <w:rFonts w:ascii="Bookman Old Style" w:hAnsi="Bookman Old Style" w:cstheme="minorHAnsi"/>
          <w:color w:val="1D2228"/>
        </w:rPr>
      </w:pPr>
      <w:r w:rsidRPr="00157004">
        <w:rPr>
          <w:rFonts w:ascii="Bookman Old Style" w:hAnsi="Bookman Old Style" w:cstheme="minorHAnsi"/>
          <w:b/>
          <w:bCs/>
          <w:color w:val="1D2228"/>
        </w:rPr>
        <w:br/>
      </w:r>
      <w:r w:rsidRPr="00157004">
        <w:rPr>
          <w:rFonts w:ascii="Bookman Old Style" w:hAnsi="Bookman Old Style" w:cstheme="minorHAnsi"/>
          <w:color w:val="1D2228"/>
        </w:rPr>
        <w:t xml:space="preserve">Across the whole population, </w:t>
      </w:r>
      <w:r w:rsidR="00862ED0" w:rsidRPr="00157004">
        <w:rPr>
          <w:rFonts w:ascii="Bookman Old Style" w:hAnsi="Bookman Old Style" w:cstheme="minorHAnsi"/>
          <w:color w:val="1D2228"/>
        </w:rPr>
        <w:t xml:space="preserve">The </w:t>
      </w:r>
      <w:hyperlink r:id="rId22" w:history="1">
        <w:r w:rsidR="00862ED0" w:rsidRPr="00157004">
          <w:rPr>
            <w:rStyle w:val="Hyperlink"/>
            <w:rFonts w:ascii="Bookman Old Style" w:hAnsi="Bookman Old Style" w:cstheme="minorHAnsi"/>
          </w:rPr>
          <w:t>Australian Institute of Health and Welfare has found</w:t>
        </w:r>
      </w:hyperlink>
      <w:r w:rsidR="00862ED0" w:rsidRPr="00157004">
        <w:rPr>
          <w:rFonts w:ascii="Bookman Old Style" w:hAnsi="Bookman Old Style" w:cstheme="minorHAnsi"/>
          <w:color w:val="1D2228"/>
        </w:rPr>
        <w:t xml:space="preserve"> that </w:t>
      </w:r>
      <w:r w:rsidRPr="00157004">
        <w:rPr>
          <w:rFonts w:ascii="Bookman Old Style" w:hAnsi="Bookman Old Style" w:cstheme="minorHAnsi"/>
          <w:color w:val="1D2228"/>
        </w:rPr>
        <w:t>if all Australians had the same suicide death rates as the 20% of Australians living in the areas with the highest SES, in 2009–2011 there would have been 1,323 fewer deaths due to suicide (18.8% fewer).</w:t>
      </w:r>
      <w:r w:rsidR="00862ED0" w:rsidRPr="00157004">
        <w:rPr>
          <w:rFonts w:ascii="Bookman Old Style" w:hAnsi="Bookman Old Style" w:cstheme="minorHAnsi"/>
          <w:color w:val="1D2228"/>
        </w:rPr>
        <w:t xml:space="preserve"> </w:t>
      </w:r>
      <w:r w:rsidRPr="00157004">
        <w:rPr>
          <w:rFonts w:ascii="Bookman Old Style" w:hAnsi="Bookman Old Style" w:cstheme="minorHAnsi"/>
          <w:color w:val="1D2228"/>
        </w:rPr>
        <w:t>This is one of the strongest associations between disadvantage and any cause of death (The connection is stronger only in the case of lung cancer, chronic obstructive pulmonary disease, liver cirrhosis and diabetes). Since those figures were released – the most recent to track all causes of death by socioeconomic inequality – there has been </w:t>
      </w:r>
      <w:hyperlink r:id="rId23" w:history="1">
        <w:r w:rsidRPr="00157004">
          <w:rPr>
            <w:rStyle w:val="Hyperlink"/>
            <w:rFonts w:ascii="Bookman Old Style" w:hAnsi="Bookman Old Style" w:cstheme="minorHAnsi"/>
          </w:rPr>
          <w:t>a further increase in excess suicides</w:t>
        </w:r>
      </w:hyperlink>
      <w:r w:rsidRPr="00157004">
        <w:rPr>
          <w:rFonts w:ascii="Bookman Old Style" w:hAnsi="Bookman Old Style" w:cstheme="minorHAnsi"/>
          <w:color w:val="1D2228"/>
        </w:rPr>
        <w:t xml:space="preserve"> among people who are in the most disadvantaged quintile, by 3.5% a year (compared to 0.2% in the highest quintile). The suicide death rate among the most disadvantaged men is nearly double that of the least disadvantaged. The effect is most pronounced among those aged 25 to 44.</w:t>
      </w:r>
    </w:p>
    <w:p w14:paraId="0E363A3C" w14:textId="77777777" w:rsidR="009A0B63" w:rsidRPr="00157004" w:rsidRDefault="009A0B63" w:rsidP="00C76B14">
      <w:pPr>
        <w:shd w:val="clear" w:color="auto" w:fill="FFFFFF"/>
        <w:spacing w:line="276" w:lineRule="auto"/>
        <w:rPr>
          <w:rFonts w:ascii="Bookman Old Style" w:hAnsi="Bookman Old Style" w:cstheme="minorHAnsi"/>
          <w:color w:val="1D2228"/>
        </w:rPr>
      </w:pPr>
      <w:r w:rsidRPr="00157004">
        <w:rPr>
          <w:rFonts w:ascii="Bookman Old Style" w:hAnsi="Bookman Old Style" w:cstheme="minorHAnsi"/>
          <w:color w:val="1D2228"/>
        </w:rPr>
        <w:t>AIHW: </w:t>
      </w:r>
      <w:r w:rsidR="00862ED0" w:rsidRPr="00157004">
        <w:rPr>
          <w:rFonts w:ascii="Bookman Old Style" w:hAnsi="Bookman Old Style" w:cstheme="minorHAnsi"/>
          <w:color w:val="1D2228"/>
        </w:rPr>
        <w:t xml:space="preserve"> </w:t>
      </w:r>
    </w:p>
    <w:p w14:paraId="5164B602" w14:textId="77777777" w:rsidR="009A0B63" w:rsidRPr="00157004" w:rsidRDefault="009A0B63" w:rsidP="00C76B14">
      <w:pPr>
        <w:shd w:val="clear" w:color="auto" w:fill="FFFFFF"/>
        <w:spacing w:line="276" w:lineRule="auto"/>
        <w:rPr>
          <w:rFonts w:ascii="Bookman Old Style" w:hAnsi="Bookman Old Style" w:cstheme="minorHAnsi"/>
          <w:color w:val="1D2228"/>
        </w:rPr>
      </w:pPr>
    </w:p>
    <w:p w14:paraId="1FA75CFF" w14:textId="77777777" w:rsidR="009A0B63" w:rsidRPr="00157004" w:rsidRDefault="009A0B63" w:rsidP="00C76B14">
      <w:pPr>
        <w:shd w:val="clear" w:color="auto" w:fill="FFFFFF"/>
        <w:spacing w:line="276" w:lineRule="auto"/>
        <w:rPr>
          <w:rFonts w:ascii="Bookman Old Style" w:hAnsi="Bookman Old Style" w:cstheme="minorHAnsi"/>
          <w:color w:val="1D2228"/>
        </w:rPr>
      </w:pPr>
      <w:r w:rsidRPr="00157004">
        <w:rPr>
          <w:rFonts w:ascii="Bookman Old Style" w:hAnsi="Bookman Old Style" w:cstheme="minorHAnsi"/>
          <w:color w:val="1D2228"/>
        </w:rPr>
        <w:t>Aboriginal and Torres Strait Islander people are twice as likely to die by suicide as other Australians, and the excess deaths are concentrated among people aged 15 to 44</w:t>
      </w:r>
      <w:r w:rsidR="00862ED0" w:rsidRPr="00157004">
        <w:rPr>
          <w:rFonts w:ascii="Bookman Old Style" w:hAnsi="Bookman Old Style" w:cstheme="minorHAnsi"/>
          <w:color w:val="1D2228"/>
        </w:rPr>
        <w:t xml:space="preserve">, </w:t>
      </w:r>
      <w:hyperlink r:id="rId24" w:history="1">
        <w:r w:rsidR="00862ED0" w:rsidRPr="00157004">
          <w:rPr>
            <w:rStyle w:val="Hyperlink"/>
            <w:rFonts w:ascii="Bookman Old Style" w:hAnsi="Bookman Old Style" w:cstheme="minorHAnsi"/>
          </w:rPr>
          <w:t>according to the Australian Bureau of Statistics.</w:t>
        </w:r>
      </w:hyperlink>
      <w:r w:rsidR="00862ED0" w:rsidRPr="00157004">
        <w:rPr>
          <w:rFonts w:ascii="Bookman Old Style" w:hAnsi="Bookman Old Style" w:cstheme="minorHAnsi"/>
          <w:color w:val="1D2228"/>
        </w:rPr>
        <w:t xml:space="preserve"> </w:t>
      </w:r>
    </w:p>
    <w:p w14:paraId="72A7562F" w14:textId="77777777" w:rsidR="009A0B63" w:rsidRPr="00157004" w:rsidRDefault="009A0B63" w:rsidP="00C76B14">
      <w:pPr>
        <w:shd w:val="clear" w:color="auto" w:fill="FFFFFF"/>
        <w:spacing w:line="276" w:lineRule="auto"/>
        <w:rPr>
          <w:rFonts w:ascii="Bookman Old Style" w:hAnsi="Bookman Old Style" w:cstheme="minorHAnsi"/>
          <w:color w:val="1D2228"/>
        </w:rPr>
      </w:pPr>
      <w:r w:rsidRPr="00157004">
        <w:rPr>
          <w:rFonts w:ascii="Bookman Old Style" w:hAnsi="Bookman Old Style" w:cstheme="minorHAnsi"/>
          <w:color w:val="1D2228"/>
        </w:rPr>
        <w:t xml:space="preserve">Meanwhile </w:t>
      </w:r>
      <w:r w:rsidR="00862ED0" w:rsidRPr="00157004">
        <w:rPr>
          <w:rFonts w:ascii="Bookman Old Style" w:hAnsi="Bookman Old Style" w:cstheme="minorHAnsi"/>
          <w:color w:val="1D2228"/>
        </w:rPr>
        <w:t xml:space="preserve">the </w:t>
      </w:r>
      <w:hyperlink w:history="1">
        <w:r w:rsidR="00862ED0" w:rsidRPr="00157004">
          <w:rPr>
            <w:rStyle w:val="Hyperlink"/>
            <w:rFonts w:ascii="Bookman Old Style" w:hAnsi="Bookman Old Style" w:cstheme="minorHAnsi"/>
          </w:rPr>
          <w:t>ABS also found</w:t>
        </w:r>
      </w:hyperlink>
      <w:r w:rsidR="00862ED0" w:rsidRPr="00157004">
        <w:rPr>
          <w:rFonts w:ascii="Bookman Old Style" w:hAnsi="Bookman Old Style" w:cstheme="minorHAnsi"/>
          <w:color w:val="1D2228"/>
        </w:rPr>
        <w:t xml:space="preserve"> </w:t>
      </w:r>
      <w:r w:rsidRPr="00157004">
        <w:rPr>
          <w:rFonts w:ascii="Bookman Old Style" w:hAnsi="Bookman Old Style" w:cstheme="minorHAnsi"/>
          <w:color w:val="1D2228"/>
        </w:rPr>
        <w:t>Aboriginal people are three times as likely as other Australians to be in the most disadvantaged population quintile, and a quarter as likely to be in the highest quintile</w:t>
      </w:r>
      <w:r w:rsidR="00862ED0" w:rsidRPr="00157004">
        <w:rPr>
          <w:rFonts w:ascii="Bookman Old Style" w:hAnsi="Bookman Old Style" w:cstheme="minorHAnsi"/>
          <w:color w:val="1D2228"/>
        </w:rPr>
        <w:t>.</w:t>
      </w:r>
    </w:p>
    <w:p w14:paraId="18A24815" w14:textId="77777777" w:rsidR="00CA52A3" w:rsidRPr="00157004" w:rsidRDefault="008D790A" w:rsidP="00C76B14">
      <w:pPr>
        <w:shd w:val="clear" w:color="auto" w:fill="FFFFFF"/>
        <w:spacing w:before="100" w:beforeAutospacing="1" w:after="100" w:afterAutospacing="1" w:line="276" w:lineRule="auto"/>
        <w:rPr>
          <w:rFonts w:ascii="Bookman Old Style" w:hAnsi="Bookman Old Style" w:cstheme="minorHAnsi"/>
          <w:color w:val="000000" w:themeColor="text1"/>
        </w:rPr>
      </w:pPr>
      <w:r w:rsidRPr="00157004">
        <w:rPr>
          <w:rFonts w:ascii="Bookman Old Style" w:hAnsi="Bookman Old Style" w:cstheme="minorHAnsi"/>
          <w:color w:val="000000" w:themeColor="text1"/>
        </w:rPr>
        <w:t xml:space="preserve">This means </w:t>
      </w:r>
      <w:r w:rsidR="009A0B63" w:rsidRPr="00157004">
        <w:rPr>
          <w:rFonts w:ascii="Bookman Old Style" w:hAnsi="Bookman Old Style" w:cstheme="minorHAnsi"/>
          <w:color w:val="000000" w:themeColor="text1"/>
        </w:rPr>
        <w:t>Aboriginal people are disproportionately likely to experience levels of disadvantage that are strongly associated in national datasets with poorer mental health and suicide</w:t>
      </w:r>
      <w:r w:rsidR="00CA52A3" w:rsidRPr="00157004">
        <w:rPr>
          <w:rFonts w:ascii="Bookman Old Style" w:hAnsi="Bookman Old Style" w:cstheme="minorHAnsi"/>
          <w:color w:val="000000" w:themeColor="text1"/>
        </w:rPr>
        <w:t xml:space="preserve">. </w:t>
      </w:r>
    </w:p>
    <w:p w14:paraId="24B3FC9C" w14:textId="77777777" w:rsidR="009A0B63" w:rsidRPr="00157004" w:rsidRDefault="00CA52A3" w:rsidP="00C76B14">
      <w:pPr>
        <w:shd w:val="clear" w:color="auto" w:fill="FFFFFF"/>
        <w:spacing w:before="100" w:beforeAutospacing="1" w:after="100" w:afterAutospacing="1" w:line="276" w:lineRule="auto"/>
        <w:rPr>
          <w:rFonts w:ascii="Bookman Old Style" w:hAnsi="Bookman Old Style" w:cstheme="minorHAnsi"/>
          <w:color w:val="1D2228"/>
        </w:rPr>
      </w:pPr>
      <w:r w:rsidRPr="00157004">
        <w:rPr>
          <w:rFonts w:ascii="Bookman Old Style" w:hAnsi="Bookman Old Style" w:cstheme="minorHAnsi"/>
          <w:color w:val="000000" w:themeColor="text1"/>
        </w:rPr>
        <w:t>Meanwhile</w:t>
      </w:r>
      <w:r w:rsidR="009A0B63" w:rsidRPr="00157004">
        <w:rPr>
          <w:rFonts w:ascii="Bookman Old Style" w:hAnsi="Bookman Old Style" w:cstheme="minorHAnsi"/>
          <w:color w:val="1D2228"/>
        </w:rPr>
        <w:t xml:space="preserve"> new evidence from </w:t>
      </w:r>
      <w:r w:rsidRPr="00157004">
        <w:rPr>
          <w:rFonts w:ascii="Bookman Old Style" w:hAnsi="Bookman Old Style" w:cstheme="minorHAnsi"/>
          <w:color w:val="1D2228"/>
        </w:rPr>
        <w:t>overseas strongly suggests that suicide can be prevented through interventions that address poverty directly.</w:t>
      </w:r>
      <w:r w:rsidR="008D790A" w:rsidRPr="00157004">
        <w:rPr>
          <w:rFonts w:ascii="Bookman Old Style" w:hAnsi="Bookman Old Style" w:cstheme="minorHAnsi"/>
          <w:color w:val="1D2228"/>
        </w:rPr>
        <w:t xml:space="preserve"> </w:t>
      </w:r>
      <w:r w:rsidR="009A0B63" w:rsidRPr="00157004">
        <w:rPr>
          <w:rFonts w:ascii="Bookman Old Style" w:hAnsi="Bookman Old Style" w:cstheme="minorHAnsi"/>
          <w:color w:val="1D2228"/>
        </w:rPr>
        <w:t xml:space="preserve">A </w:t>
      </w:r>
      <w:hyperlink r:id="rId25" w:history="1">
        <w:r w:rsidR="009A0B63" w:rsidRPr="00157004">
          <w:rPr>
            <w:rStyle w:val="Hyperlink"/>
            <w:rFonts w:ascii="Bookman Old Style" w:hAnsi="Bookman Old Style" w:cstheme="minorHAnsi"/>
          </w:rPr>
          <w:t>decade-long study of all US states</w:t>
        </w:r>
      </w:hyperlink>
      <w:r w:rsidR="009A0B63" w:rsidRPr="00157004">
        <w:rPr>
          <w:rFonts w:ascii="Bookman Old Style" w:hAnsi="Bookman Old Style" w:cstheme="minorHAnsi"/>
          <w:color w:val="1D2228"/>
        </w:rPr>
        <w:t xml:space="preserve"> found that raising the minimum wage by $1/hr </w:t>
      </w:r>
      <w:r w:rsidR="00754167" w:rsidRPr="00157004">
        <w:rPr>
          <w:rFonts w:ascii="Bookman Old Style" w:hAnsi="Bookman Old Style" w:cstheme="minorHAnsi"/>
          <w:color w:val="1D2228"/>
        </w:rPr>
        <w:t>decreased</w:t>
      </w:r>
      <w:r w:rsidR="009A0B63" w:rsidRPr="00157004">
        <w:rPr>
          <w:rFonts w:ascii="Bookman Old Style" w:hAnsi="Bookman Old Style" w:cstheme="minorHAnsi"/>
          <w:color w:val="1D2228"/>
        </w:rPr>
        <w:t xml:space="preserve"> the suicide rate by 1.9%, and that if that wage rise had been </w:t>
      </w:r>
      <w:r w:rsidR="009A0B63" w:rsidRPr="00157004">
        <w:rPr>
          <w:rFonts w:ascii="Bookman Old Style" w:hAnsi="Bookman Old Style" w:cstheme="minorHAnsi"/>
          <w:color w:val="1D2228"/>
        </w:rPr>
        <w:lastRenderedPageBreak/>
        <w:t>applied consistently across the whole country, 8000 lives could have been saved. </w:t>
      </w:r>
    </w:p>
    <w:p w14:paraId="15EC8CF7" w14:textId="5EAFA835" w:rsidR="009A0B63" w:rsidRPr="00157004" w:rsidRDefault="009A0B63" w:rsidP="00C76B14">
      <w:pPr>
        <w:spacing w:line="276" w:lineRule="auto"/>
        <w:rPr>
          <w:rFonts w:ascii="Bookman Old Style" w:hAnsi="Bookman Old Style" w:cstheme="minorHAnsi"/>
          <w:color w:val="1D2228"/>
        </w:rPr>
      </w:pPr>
      <w:r w:rsidRPr="00157004">
        <w:rPr>
          <w:rFonts w:ascii="Bookman Old Style" w:hAnsi="Bookman Old Style" w:cstheme="minorHAnsi"/>
          <w:color w:val="1D2228"/>
        </w:rPr>
        <w:t xml:space="preserve">This </w:t>
      </w:r>
      <w:r w:rsidR="00CA52A3" w:rsidRPr="00157004">
        <w:rPr>
          <w:rFonts w:ascii="Bookman Old Style" w:hAnsi="Bookman Old Style" w:cstheme="minorHAnsi"/>
          <w:color w:val="1D2228"/>
        </w:rPr>
        <w:t xml:space="preserve">emerging </w:t>
      </w:r>
      <w:r w:rsidRPr="00157004">
        <w:rPr>
          <w:rFonts w:ascii="Bookman Old Style" w:hAnsi="Bookman Old Style" w:cstheme="minorHAnsi"/>
          <w:color w:val="1D2228"/>
        </w:rPr>
        <w:t>evidence suggests that t</w:t>
      </w:r>
      <w:r w:rsidR="0001407C" w:rsidRPr="00157004">
        <w:rPr>
          <w:rFonts w:ascii="Bookman Old Style" w:hAnsi="Bookman Old Style" w:cstheme="minorHAnsi"/>
          <w:color w:val="1D2228"/>
        </w:rPr>
        <w:t>he</w:t>
      </w:r>
      <w:r w:rsidRPr="00157004">
        <w:rPr>
          <w:rFonts w:ascii="Bookman Old Style" w:hAnsi="Bookman Old Style" w:cstheme="minorHAnsi"/>
          <w:color w:val="1D2228"/>
        </w:rPr>
        <w:t xml:space="preserve"> exclusion of social determinants</w:t>
      </w:r>
      <w:r w:rsidR="0001407C" w:rsidRPr="00157004">
        <w:rPr>
          <w:rFonts w:ascii="Bookman Old Style" w:hAnsi="Bookman Old Style" w:cstheme="minorHAnsi"/>
          <w:color w:val="1D2228"/>
        </w:rPr>
        <w:t xml:space="preserve"> from the Commission’s report </w:t>
      </w:r>
      <w:r w:rsidRPr="00157004">
        <w:rPr>
          <w:rFonts w:ascii="Bookman Old Style" w:hAnsi="Bookman Old Style" w:cstheme="minorHAnsi"/>
          <w:color w:val="1D2228"/>
        </w:rPr>
        <w:t>will limit the potential of its recommendations to improv</w:t>
      </w:r>
      <w:r w:rsidR="008D790A" w:rsidRPr="00157004">
        <w:rPr>
          <w:rFonts w:ascii="Bookman Old Style" w:hAnsi="Bookman Old Style" w:cstheme="minorHAnsi"/>
          <w:color w:val="1D2228"/>
        </w:rPr>
        <w:t>e</w:t>
      </w:r>
      <w:r w:rsidRPr="00157004">
        <w:rPr>
          <w:rFonts w:ascii="Bookman Old Style" w:hAnsi="Bookman Old Style" w:cstheme="minorHAnsi"/>
          <w:color w:val="1D2228"/>
        </w:rPr>
        <w:t xml:space="preserve"> mental wellbeing </w:t>
      </w:r>
      <w:r w:rsidR="008D790A" w:rsidRPr="00157004">
        <w:rPr>
          <w:rFonts w:ascii="Bookman Old Style" w:hAnsi="Bookman Old Style" w:cstheme="minorHAnsi"/>
          <w:color w:val="1D2228"/>
        </w:rPr>
        <w:t>and prevent suicide deaths in</w:t>
      </w:r>
      <w:r w:rsidRPr="00157004">
        <w:rPr>
          <w:rFonts w:ascii="Bookman Old Style" w:hAnsi="Bookman Old Style" w:cstheme="minorHAnsi"/>
          <w:color w:val="1D2228"/>
        </w:rPr>
        <w:t xml:space="preserve"> all Australians – and particularly Indigenous Australians.</w:t>
      </w:r>
    </w:p>
    <w:p w14:paraId="2EE8989A" w14:textId="77777777" w:rsidR="00093B34" w:rsidRPr="00157004" w:rsidRDefault="00093B34" w:rsidP="00C76B14">
      <w:pPr>
        <w:spacing w:line="276" w:lineRule="auto"/>
        <w:rPr>
          <w:rFonts w:ascii="Bookman Old Style" w:hAnsi="Bookman Old Style" w:cstheme="minorHAnsi"/>
          <w:color w:val="1D2228"/>
        </w:rPr>
      </w:pPr>
    </w:p>
    <w:p w14:paraId="2C33209E" w14:textId="77777777" w:rsidR="00093B34" w:rsidRPr="00157004" w:rsidRDefault="00093B34" w:rsidP="00C76B14">
      <w:pPr>
        <w:spacing w:line="276" w:lineRule="auto"/>
        <w:rPr>
          <w:rFonts w:ascii="Bookman Old Style" w:hAnsi="Bookman Old Style" w:cstheme="minorHAnsi"/>
          <w:b/>
          <w:bCs/>
          <w:color w:val="1D2228"/>
        </w:rPr>
      </w:pPr>
      <w:r w:rsidRPr="00157004">
        <w:rPr>
          <w:rFonts w:ascii="Bookman Old Style" w:hAnsi="Bookman Old Style" w:cstheme="minorHAnsi"/>
          <w:b/>
          <w:bCs/>
          <w:color w:val="1D2228"/>
        </w:rPr>
        <w:t>Alcohol and other drug services</w:t>
      </w:r>
    </w:p>
    <w:p w14:paraId="40770A9D" w14:textId="77777777" w:rsidR="00093B34" w:rsidRPr="00157004" w:rsidRDefault="00093B34" w:rsidP="00C76B14">
      <w:pPr>
        <w:spacing w:line="276" w:lineRule="auto"/>
        <w:rPr>
          <w:rFonts w:ascii="Bookman Old Style" w:hAnsi="Bookman Old Style" w:cstheme="minorHAnsi"/>
          <w:color w:val="1D2228"/>
        </w:rPr>
      </w:pPr>
    </w:p>
    <w:p w14:paraId="31DF123C" w14:textId="2B2DE3D3" w:rsidR="00093B34" w:rsidRPr="00157004" w:rsidRDefault="00D55F9B" w:rsidP="00C76B14">
      <w:pPr>
        <w:spacing w:line="276" w:lineRule="auto"/>
        <w:rPr>
          <w:rFonts w:ascii="Bookman Old Style" w:hAnsi="Bookman Old Style" w:cstheme="minorHAnsi"/>
          <w:b/>
          <w:bCs/>
          <w:color w:val="1D2228"/>
        </w:rPr>
      </w:pPr>
      <w:r w:rsidRPr="00157004">
        <w:rPr>
          <w:rFonts w:ascii="Bookman Old Style" w:hAnsi="Bookman Old Style" w:cstheme="minorHAnsi"/>
          <w:b/>
          <w:bCs/>
          <w:color w:val="1D2228"/>
        </w:rPr>
        <w:t>INFORMATION REQUEST</w:t>
      </w:r>
      <w:r w:rsidR="00093B34" w:rsidRPr="00157004">
        <w:rPr>
          <w:rFonts w:ascii="Bookman Old Style" w:hAnsi="Bookman Old Style" w:cstheme="minorHAnsi"/>
          <w:b/>
          <w:bCs/>
          <w:color w:val="1D2228"/>
        </w:rPr>
        <w:t xml:space="preserve"> 23.1 </w:t>
      </w:r>
      <w:r w:rsidR="00093B34" w:rsidRPr="00157004">
        <w:rPr>
          <w:rFonts w:ascii="Bookman Old Style" w:hAnsi="Bookman Old Style" w:cstheme="minorHAnsi"/>
          <w:color w:val="1D2228"/>
        </w:rPr>
        <w:t xml:space="preserve">(p104) asks whether alcohol and other drugs should be included in the remit of Regional Commissioning Authorities under the Rebuild model. </w:t>
      </w:r>
    </w:p>
    <w:p w14:paraId="55CB6289" w14:textId="77777777" w:rsidR="008D790A" w:rsidRPr="00157004" w:rsidRDefault="008D790A" w:rsidP="00C76B14">
      <w:pPr>
        <w:spacing w:line="276" w:lineRule="auto"/>
        <w:rPr>
          <w:rFonts w:ascii="Bookman Old Style" w:hAnsi="Bookman Old Style" w:cstheme="minorHAnsi"/>
          <w:color w:val="1D2228"/>
        </w:rPr>
      </w:pPr>
    </w:p>
    <w:p w14:paraId="768FFA55" w14:textId="77777777" w:rsidR="008D790A" w:rsidRPr="00157004" w:rsidRDefault="00093B34" w:rsidP="00C76B14">
      <w:pPr>
        <w:spacing w:line="276" w:lineRule="auto"/>
        <w:rPr>
          <w:rFonts w:ascii="Bookman Old Style" w:hAnsi="Bookman Old Style" w:cstheme="minorHAnsi"/>
          <w:color w:val="1D2228"/>
        </w:rPr>
      </w:pPr>
      <w:r w:rsidRPr="00157004">
        <w:rPr>
          <w:rFonts w:ascii="Bookman Old Style" w:hAnsi="Bookman Old Style" w:cstheme="minorHAnsi"/>
          <w:color w:val="1D2228"/>
        </w:rPr>
        <w:t>As described above</w:t>
      </w:r>
      <w:r w:rsidR="008D790A" w:rsidRPr="00157004">
        <w:rPr>
          <w:rFonts w:ascii="Bookman Old Style" w:hAnsi="Bookman Old Style" w:cstheme="minorHAnsi"/>
          <w:color w:val="1D2228"/>
        </w:rPr>
        <w:t xml:space="preserve"> (social determinants)</w:t>
      </w:r>
      <w:r w:rsidRPr="00157004">
        <w:rPr>
          <w:rFonts w:ascii="Bookman Old Style" w:hAnsi="Bookman Old Style" w:cstheme="minorHAnsi"/>
          <w:color w:val="1D2228"/>
        </w:rPr>
        <w:t xml:space="preserve">, Indigenous people are disproportionately </w:t>
      </w:r>
      <w:r w:rsidR="008D790A" w:rsidRPr="00157004">
        <w:rPr>
          <w:rFonts w:ascii="Bookman Old Style" w:hAnsi="Bookman Old Style" w:cstheme="minorHAnsi"/>
          <w:color w:val="1D2228"/>
        </w:rPr>
        <w:t>affected by disadvantage and</w:t>
      </w:r>
      <w:r w:rsidRPr="00157004">
        <w:rPr>
          <w:rFonts w:ascii="Bookman Old Style" w:hAnsi="Bookman Old Style" w:cstheme="minorHAnsi"/>
          <w:color w:val="1D2228"/>
        </w:rPr>
        <w:t xml:space="preserve"> health and mental health</w:t>
      </w:r>
      <w:r w:rsidR="008D790A" w:rsidRPr="00157004">
        <w:rPr>
          <w:rFonts w:ascii="Bookman Old Style" w:hAnsi="Bookman Old Style" w:cstheme="minorHAnsi"/>
          <w:color w:val="1D2228"/>
        </w:rPr>
        <w:t xml:space="preserve"> challenges linked to disadvantage. </w:t>
      </w:r>
      <w:r w:rsidRPr="00157004">
        <w:rPr>
          <w:rFonts w:ascii="Bookman Old Style" w:hAnsi="Bookman Old Style" w:cstheme="minorHAnsi"/>
          <w:color w:val="1D2228"/>
        </w:rPr>
        <w:t>Aboriginal and Torres Strait Islander people are less likely to use alcohol and drugs in ways that are harmful, compared to other Australians. However</w:t>
      </w:r>
      <w:r w:rsidR="00754167" w:rsidRPr="00157004">
        <w:rPr>
          <w:rFonts w:ascii="Bookman Old Style" w:hAnsi="Bookman Old Style" w:cstheme="minorHAnsi"/>
          <w:color w:val="1D2228"/>
        </w:rPr>
        <w:t>,</w:t>
      </w:r>
      <w:r w:rsidRPr="00157004">
        <w:rPr>
          <w:rFonts w:ascii="Bookman Old Style" w:hAnsi="Bookman Old Style" w:cstheme="minorHAnsi"/>
          <w:color w:val="1D2228"/>
        </w:rPr>
        <w:t xml:space="preserve"> they are more impacted by the consequences of harmful use</w:t>
      </w:r>
      <w:r w:rsidR="008D790A" w:rsidRPr="00157004">
        <w:rPr>
          <w:rFonts w:ascii="Bookman Old Style" w:hAnsi="Bookman Old Style" w:cstheme="minorHAnsi"/>
          <w:color w:val="1D2228"/>
        </w:rPr>
        <w:t>.</w:t>
      </w:r>
      <w:r w:rsidRPr="00157004">
        <w:rPr>
          <w:rFonts w:ascii="Bookman Old Style" w:hAnsi="Bookman Old Style" w:cstheme="minorHAnsi"/>
          <w:color w:val="1D2228"/>
        </w:rPr>
        <w:t xml:space="preserve"> </w:t>
      </w:r>
    </w:p>
    <w:p w14:paraId="0C83838C" w14:textId="77777777" w:rsidR="008D790A" w:rsidRPr="00157004" w:rsidRDefault="008D790A" w:rsidP="00C76B14">
      <w:pPr>
        <w:spacing w:line="276" w:lineRule="auto"/>
        <w:rPr>
          <w:rFonts w:ascii="Bookman Old Style" w:hAnsi="Bookman Old Style" w:cstheme="minorHAnsi"/>
          <w:color w:val="1D2228"/>
        </w:rPr>
      </w:pPr>
    </w:p>
    <w:p w14:paraId="2C5A3E4B" w14:textId="6B979DE3" w:rsidR="00093B34" w:rsidRPr="00157004" w:rsidRDefault="00093B34" w:rsidP="00C76B14">
      <w:pPr>
        <w:spacing w:line="276" w:lineRule="auto"/>
        <w:rPr>
          <w:rFonts w:ascii="Bookman Old Style" w:hAnsi="Bookman Old Style" w:cstheme="minorHAnsi"/>
        </w:rPr>
      </w:pPr>
      <w:r w:rsidRPr="00157004">
        <w:rPr>
          <w:rFonts w:ascii="Bookman Old Style" w:hAnsi="Bookman Old Style" w:cstheme="minorHAnsi"/>
        </w:rPr>
        <w:t>There is strong evidence linking alcohol and other drug (AOD) use and poor mental health among Aboriginal and Torres Strait Islander people. For the period 2011–2015, the rate of deaths from mental health and behavioural disorders linked to alcohol was five times as high among Indigenous people compared to Australians overall. 40% of Indigenous male suicides and 30% of female suicides were attributable to alcohol use. (</w:t>
      </w:r>
      <w:hyperlink r:id="rId26" w:history="1">
        <w:r w:rsidRPr="00157004">
          <w:rPr>
            <w:rStyle w:val="Hyperlink"/>
            <w:rFonts w:ascii="Bookman Old Style" w:hAnsi="Bookman Old Style" w:cstheme="minorHAnsi"/>
          </w:rPr>
          <w:t>Australian Indigenous Health</w:t>
        </w:r>
        <w:r w:rsidR="003B288D" w:rsidRPr="00157004">
          <w:rPr>
            <w:rStyle w:val="Hyperlink"/>
            <w:rFonts w:ascii="Bookman Old Style" w:hAnsi="Bookman Old Style" w:cstheme="minorHAnsi"/>
          </w:rPr>
          <w:t xml:space="preserve"> </w:t>
        </w:r>
        <w:r w:rsidRPr="00157004">
          <w:rPr>
            <w:rStyle w:val="Hyperlink"/>
            <w:rFonts w:ascii="Bookman Old Style" w:hAnsi="Bookman Old Style" w:cstheme="minorHAnsi"/>
          </w:rPr>
          <w:t>Bulletin Vol 18 No 1, January – March 2018</w:t>
        </w:r>
      </w:hyperlink>
      <w:r w:rsidRPr="00157004">
        <w:rPr>
          <w:rFonts w:ascii="Bookman Old Style" w:hAnsi="Bookman Old Style" w:cstheme="minorHAnsi"/>
        </w:rPr>
        <w:t xml:space="preserve">) </w:t>
      </w:r>
    </w:p>
    <w:p w14:paraId="1D149213" w14:textId="77777777" w:rsidR="008D790A" w:rsidRPr="00157004" w:rsidRDefault="008D790A" w:rsidP="00C76B14">
      <w:pPr>
        <w:spacing w:line="276" w:lineRule="auto"/>
        <w:rPr>
          <w:rFonts w:ascii="Bookman Old Style" w:hAnsi="Bookman Old Style" w:cstheme="minorHAnsi"/>
          <w:color w:val="1D2228"/>
        </w:rPr>
      </w:pPr>
    </w:p>
    <w:p w14:paraId="393499AD" w14:textId="77777777" w:rsidR="00093B34" w:rsidRPr="00157004" w:rsidRDefault="00093B34" w:rsidP="00C76B14">
      <w:pPr>
        <w:spacing w:line="276" w:lineRule="auto"/>
        <w:rPr>
          <w:rFonts w:ascii="Bookman Old Style" w:hAnsi="Bookman Old Style" w:cstheme="minorHAnsi"/>
        </w:rPr>
      </w:pPr>
      <w:r w:rsidRPr="00157004">
        <w:rPr>
          <w:rFonts w:ascii="Bookman Old Style" w:hAnsi="Bookman Old Style" w:cstheme="minorHAnsi"/>
        </w:rPr>
        <w:t>It is clear that harmful alcohol and other drug use is closely related to mental health and social and emotional wellbeing in Indigenous people. The holistic concept of social and emotional wellbeing, which includes the body as well as the mind and extends to family and community, means these issues should be considered together in an Aboriginal context, and the CBPATSISP therefore supports the inclusion of AOD in</w:t>
      </w:r>
      <w:r w:rsidR="008D790A" w:rsidRPr="00157004">
        <w:rPr>
          <w:rFonts w:ascii="Bookman Old Style" w:hAnsi="Bookman Old Style" w:cstheme="minorHAnsi"/>
        </w:rPr>
        <w:t xml:space="preserve"> the event that</w:t>
      </w:r>
      <w:r w:rsidRPr="00157004">
        <w:rPr>
          <w:rFonts w:ascii="Bookman Old Style" w:hAnsi="Bookman Old Style" w:cstheme="minorHAnsi"/>
        </w:rPr>
        <w:t xml:space="preserve"> the Rebuild model</w:t>
      </w:r>
      <w:r w:rsidR="008D790A" w:rsidRPr="00157004">
        <w:rPr>
          <w:rFonts w:ascii="Bookman Old Style" w:hAnsi="Bookman Old Style" w:cstheme="minorHAnsi"/>
        </w:rPr>
        <w:t xml:space="preserve"> is </w:t>
      </w:r>
      <w:r w:rsidR="000176DC" w:rsidRPr="00157004">
        <w:rPr>
          <w:rFonts w:ascii="Bookman Old Style" w:hAnsi="Bookman Old Style" w:cstheme="minorHAnsi"/>
        </w:rPr>
        <w:t>select</w:t>
      </w:r>
      <w:r w:rsidR="00E14140" w:rsidRPr="00157004">
        <w:rPr>
          <w:rFonts w:ascii="Bookman Old Style" w:hAnsi="Bookman Old Style" w:cstheme="minorHAnsi"/>
        </w:rPr>
        <w:t>ed</w:t>
      </w:r>
      <w:r w:rsidRPr="00157004">
        <w:rPr>
          <w:rFonts w:ascii="Bookman Old Style" w:hAnsi="Bookman Old Style" w:cstheme="minorHAnsi"/>
        </w:rPr>
        <w:t>.</w:t>
      </w:r>
    </w:p>
    <w:p w14:paraId="31F85339" w14:textId="77777777" w:rsidR="008D790A" w:rsidRPr="00157004" w:rsidRDefault="008D790A" w:rsidP="00C76B14">
      <w:pPr>
        <w:spacing w:line="276" w:lineRule="auto"/>
        <w:rPr>
          <w:rFonts w:ascii="Bookman Old Style" w:hAnsi="Bookman Old Style" w:cstheme="minorHAnsi"/>
        </w:rPr>
      </w:pPr>
    </w:p>
    <w:p w14:paraId="1E9D6F3A" w14:textId="77777777" w:rsidR="009C402F" w:rsidRPr="00157004" w:rsidRDefault="009C402F" w:rsidP="00C76B14">
      <w:pPr>
        <w:spacing w:line="276" w:lineRule="auto"/>
        <w:rPr>
          <w:rFonts w:ascii="Bookman Old Style" w:hAnsi="Bookman Old Style" w:cstheme="minorHAnsi"/>
        </w:rPr>
      </w:pPr>
    </w:p>
    <w:p w14:paraId="18C0BC6B" w14:textId="77777777" w:rsidR="00960359" w:rsidRPr="00157004" w:rsidRDefault="00960359" w:rsidP="00C76B14">
      <w:pPr>
        <w:spacing w:line="276" w:lineRule="auto"/>
        <w:rPr>
          <w:rFonts w:ascii="Bookman Old Style" w:hAnsi="Bookman Old Style" w:cstheme="minorHAnsi"/>
          <w:b/>
          <w:bCs/>
        </w:rPr>
      </w:pPr>
      <w:r w:rsidRPr="00157004">
        <w:rPr>
          <w:rFonts w:ascii="Bookman Old Style" w:hAnsi="Bookman Old Style" w:cstheme="minorHAnsi"/>
          <w:b/>
          <w:bCs/>
        </w:rPr>
        <w:t>System architecture and commissioning</w:t>
      </w:r>
    </w:p>
    <w:p w14:paraId="35091F20" w14:textId="77777777" w:rsidR="00960359" w:rsidRPr="00157004" w:rsidRDefault="00960359" w:rsidP="00C76B14">
      <w:pPr>
        <w:spacing w:line="276" w:lineRule="auto"/>
        <w:rPr>
          <w:rFonts w:ascii="Bookman Old Style" w:hAnsi="Bookman Old Style" w:cstheme="minorHAnsi"/>
        </w:rPr>
      </w:pPr>
    </w:p>
    <w:p w14:paraId="39FBE8B1" w14:textId="77777777" w:rsidR="00960359" w:rsidRPr="00157004" w:rsidRDefault="00960359" w:rsidP="00C76B14">
      <w:pPr>
        <w:spacing w:line="276" w:lineRule="auto"/>
        <w:rPr>
          <w:rFonts w:ascii="Bookman Old Style" w:hAnsi="Bookman Old Style" w:cstheme="minorHAnsi"/>
        </w:rPr>
      </w:pPr>
      <w:r w:rsidRPr="00157004">
        <w:rPr>
          <w:rFonts w:ascii="Bookman Old Style" w:hAnsi="Bookman Old Style" w:cstheme="minorHAnsi"/>
        </w:rPr>
        <w:t xml:space="preserve">The CBPATSISP welcomes the Commission’s explicit support for Indigenous leadership of suicide prevention programs for Indigenous people and communities (draft rec 21.2 p868) and particularly the recommendation that </w:t>
      </w:r>
      <w:r w:rsidRPr="00157004">
        <w:rPr>
          <w:rFonts w:ascii="Bookman Old Style" w:hAnsi="Bookman Old Style" w:cstheme="minorHAnsi"/>
        </w:rPr>
        <w:lastRenderedPageBreak/>
        <w:t>evaluations of such programs need to recognise cultural factors. This follows the earlier recommendations of the ATSISPEP project and of the National Mental Health Commission (2019).</w:t>
      </w:r>
    </w:p>
    <w:p w14:paraId="101A8E85" w14:textId="77777777" w:rsidR="00960359" w:rsidRPr="00157004" w:rsidRDefault="00960359" w:rsidP="00C76B14">
      <w:pPr>
        <w:spacing w:line="276" w:lineRule="auto"/>
        <w:rPr>
          <w:rFonts w:ascii="Bookman Old Style" w:hAnsi="Bookman Old Style" w:cstheme="minorHAnsi"/>
        </w:rPr>
      </w:pPr>
    </w:p>
    <w:p w14:paraId="65DA2AFA" w14:textId="77777777" w:rsidR="00960359" w:rsidRPr="00157004" w:rsidRDefault="00960359" w:rsidP="00C76B14">
      <w:pPr>
        <w:spacing w:line="276" w:lineRule="auto"/>
        <w:rPr>
          <w:rFonts w:ascii="Bookman Old Style" w:hAnsi="Bookman Old Style" w:cstheme="minorHAnsi"/>
        </w:rPr>
      </w:pPr>
      <w:r w:rsidRPr="00157004">
        <w:rPr>
          <w:rFonts w:ascii="Bookman Old Style" w:hAnsi="Bookman Old Style" w:cstheme="minorHAnsi"/>
        </w:rPr>
        <w:t>However</w:t>
      </w:r>
      <w:r w:rsidR="00E14140" w:rsidRPr="00157004">
        <w:rPr>
          <w:rFonts w:ascii="Bookman Old Style" w:hAnsi="Bookman Old Style" w:cstheme="minorHAnsi"/>
        </w:rPr>
        <w:t>,</w:t>
      </w:r>
      <w:r w:rsidRPr="00157004">
        <w:rPr>
          <w:rFonts w:ascii="Bookman Old Style" w:hAnsi="Bookman Old Style" w:cstheme="minorHAnsi"/>
        </w:rPr>
        <w:t xml:space="preserve"> the context in which Aboriginal mental health, social and emotional wellbeing and suicide prevention programs would be commissioned, and how this autonomy would be enabled, is not clear from the Commission’s descriptions of a future mental health system (the Renovate and Rebuild options). Nor does the report engage with </w:t>
      </w:r>
      <w:r w:rsidR="008D790A" w:rsidRPr="00157004">
        <w:rPr>
          <w:rFonts w:ascii="Bookman Old Style" w:hAnsi="Bookman Old Style" w:cstheme="minorHAnsi"/>
        </w:rPr>
        <w:t>a</w:t>
      </w:r>
      <w:r w:rsidRPr="00157004">
        <w:rPr>
          <w:rFonts w:ascii="Bookman Old Style" w:hAnsi="Bookman Old Style" w:cstheme="minorHAnsi"/>
        </w:rPr>
        <w:t xml:space="preserve"> key recommendation of the </w:t>
      </w:r>
      <w:hyperlink r:id="rId27" w:history="1">
        <w:r w:rsidRPr="00157004">
          <w:rPr>
            <w:rStyle w:val="Hyperlink"/>
            <w:rFonts w:ascii="Bookman Old Style" w:hAnsi="Bookman Old Style" w:cstheme="minorHAnsi"/>
          </w:rPr>
          <w:t>submission by NACCHO</w:t>
        </w:r>
      </w:hyperlink>
      <w:r w:rsidRPr="00157004">
        <w:rPr>
          <w:rFonts w:ascii="Bookman Old Style" w:hAnsi="Bookman Old Style" w:cstheme="minorHAnsi"/>
        </w:rPr>
        <w:t xml:space="preserve"> </w:t>
      </w:r>
      <w:r w:rsidR="008D790A" w:rsidRPr="00157004">
        <w:rPr>
          <w:rFonts w:ascii="Bookman Old Style" w:hAnsi="Bookman Old Style" w:cstheme="minorHAnsi"/>
        </w:rPr>
        <w:t>t</w:t>
      </w:r>
      <w:r w:rsidRPr="00157004">
        <w:rPr>
          <w:rFonts w:ascii="Bookman Old Style" w:hAnsi="Bookman Old Style" w:cstheme="minorHAnsi"/>
        </w:rPr>
        <w:t xml:space="preserve">hat funding for social and emotional wellbeing services for Aboriginal and Torres Strait Islander people should be delivered directly to the community-led ACCHO sector rather than via PHNs, LHNs (or the proposed RCAs). Considering the important status of ACCHOs, which deliver about half of primary health services to Indigenous people, the CBPATSISP is disappointed that this recommendation was </w:t>
      </w:r>
      <w:r w:rsidR="008D790A" w:rsidRPr="00157004">
        <w:rPr>
          <w:rFonts w:ascii="Bookman Old Style" w:hAnsi="Bookman Old Style" w:cstheme="minorHAnsi"/>
        </w:rPr>
        <w:t>not discussed</w:t>
      </w:r>
      <w:r w:rsidRPr="00157004">
        <w:rPr>
          <w:rFonts w:ascii="Bookman Old Style" w:hAnsi="Bookman Old Style" w:cstheme="minorHAnsi"/>
        </w:rPr>
        <w:t xml:space="preserve"> in the draft report.</w:t>
      </w:r>
    </w:p>
    <w:p w14:paraId="7DAFAE87" w14:textId="77777777" w:rsidR="00960359" w:rsidRPr="00157004" w:rsidRDefault="00960359" w:rsidP="00C76B14">
      <w:pPr>
        <w:spacing w:line="276" w:lineRule="auto"/>
        <w:rPr>
          <w:rFonts w:ascii="Bookman Old Style" w:hAnsi="Bookman Old Style" w:cstheme="minorHAnsi"/>
        </w:rPr>
      </w:pPr>
    </w:p>
    <w:p w14:paraId="57C77EF5" w14:textId="01CD08F1" w:rsidR="00960359" w:rsidRPr="00157004" w:rsidRDefault="00AF4A43" w:rsidP="00C76B14">
      <w:pPr>
        <w:spacing w:line="276" w:lineRule="auto"/>
        <w:rPr>
          <w:rFonts w:ascii="Bookman Old Style" w:hAnsi="Bookman Old Style" w:cstheme="minorHAnsi"/>
        </w:rPr>
      </w:pPr>
      <w:r w:rsidRPr="00157004">
        <w:rPr>
          <w:rFonts w:ascii="Bookman Old Style" w:hAnsi="Bookman Old Style" w:cstheme="minorHAnsi"/>
        </w:rPr>
        <w:t xml:space="preserve">In relation to </w:t>
      </w:r>
      <w:r w:rsidR="00062DE8" w:rsidRPr="00157004">
        <w:rPr>
          <w:rFonts w:ascii="Bookman Old Style" w:hAnsi="Bookman Old Style" w:cstheme="minorHAnsi"/>
          <w:b/>
          <w:bCs/>
        </w:rPr>
        <w:t>INFORMATION REQUEST</w:t>
      </w:r>
      <w:r w:rsidRPr="00157004">
        <w:rPr>
          <w:rFonts w:ascii="Bookman Old Style" w:hAnsi="Bookman Old Style" w:cstheme="minorHAnsi"/>
          <w:b/>
          <w:bCs/>
        </w:rPr>
        <w:t xml:space="preserve"> 23.1</w:t>
      </w:r>
      <w:r w:rsidRPr="00157004">
        <w:rPr>
          <w:rFonts w:ascii="Bookman Old Style" w:hAnsi="Bookman Old Style" w:cstheme="minorHAnsi"/>
        </w:rPr>
        <w:t xml:space="preserve"> (Architecture of the future mental health system) and 24.1 (Regional funding pools)</w:t>
      </w:r>
      <w:r w:rsidR="00960359" w:rsidRPr="00157004">
        <w:rPr>
          <w:rFonts w:ascii="Bookman Old Style" w:hAnsi="Bookman Old Style" w:cstheme="minorHAnsi"/>
        </w:rPr>
        <w:t>, the CBPATSISP makes the following comments</w:t>
      </w:r>
      <w:r w:rsidRPr="00157004">
        <w:rPr>
          <w:rFonts w:ascii="Bookman Old Style" w:hAnsi="Bookman Old Style" w:cstheme="minorHAnsi"/>
        </w:rPr>
        <w:t xml:space="preserve"> – which apply to any model in which PHNs or RCAs continue to be fund-holders and gatekeepers for Aboriginal and Torres Strait Islander services</w:t>
      </w:r>
      <w:r w:rsidR="00960359" w:rsidRPr="00157004">
        <w:rPr>
          <w:rFonts w:ascii="Bookman Old Style" w:hAnsi="Bookman Old Style" w:cstheme="minorHAnsi"/>
        </w:rPr>
        <w:t>:</w:t>
      </w:r>
    </w:p>
    <w:p w14:paraId="1B5E580B" w14:textId="77777777" w:rsidR="00960359" w:rsidRPr="00157004" w:rsidRDefault="00960359" w:rsidP="00C76B14">
      <w:pPr>
        <w:spacing w:line="276" w:lineRule="auto"/>
        <w:rPr>
          <w:rFonts w:ascii="Bookman Old Style" w:hAnsi="Bookman Old Style" w:cstheme="minorHAnsi"/>
        </w:rPr>
      </w:pPr>
    </w:p>
    <w:p w14:paraId="0D646C13" w14:textId="77777777" w:rsidR="00960359" w:rsidRPr="00157004" w:rsidRDefault="00960359" w:rsidP="00C76B14">
      <w:pPr>
        <w:pStyle w:val="ListParagraph"/>
        <w:numPr>
          <w:ilvl w:val="0"/>
          <w:numId w:val="6"/>
        </w:numPr>
        <w:spacing w:line="276" w:lineRule="auto"/>
        <w:rPr>
          <w:rFonts w:ascii="Bookman Old Style" w:hAnsi="Bookman Old Style" w:cstheme="minorHAnsi"/>
        </w:rPr>
      </w:pPr>
      <w:r w:rsidRPr="00157004">
        <w:rPr>
          <w:rFonts w:ascii="Bookman Old Style" w:hAnsi="Bookman Old Style" w:cstheme="minorHAnsi"/>
        </w:rPr>
        <w:t>ACCHOs are diverse organisations and deeply attuned to the needs of their communities, but they are often small with limited financial and human resources. To support their success, commissioning agencies need to establish realistic, culturally-appropriate performance and evaluation measures and reporting obligations that recognise the scale and capacity of ACCHO partners. The Commission has not suggested what the scale of RCAs might be, or whether they would be smaller or larger (in terms of geographic boundaries) than the current 31 PHNs. However</w:t>
      </w:r>
      <w:r w:rsidR="00E14140" w:rsidRPr="00157004">
        <w:rPr>
          <w:rFonts w:ascii="Bookman Old Style" w:hAnsi="Bookman Old Style" w:cstheme="minorHAnsi"/>
        </w:rPr>
        <w:t>,</w:t>
      </w:r>
      <w:r w:rsidRPr="00157004">
        <w:rPr>
          <w:rFonts w:ascii="Bookman Old Style" w:hAnsi="Bookman Old Style" w:cstheme="minorHAnsi"/>
        </w:rPr>
        <w:t xml:space="preserve"> it is clear (Table 23.4) that the $1 billion in combined annual funding drawn from current budgets for PHN primary mental health support, carer support and psychosocial services would be dwarfed by the $5 billion notionally allocated from state hospital and community mental health services</w:t>
      </w:r>
      <w:r w:rsidR="008D790A" w:rsidRPr="00157004">
        <w:rPr>
          <w:rFonts w:ascii="Bookman Old Style" w:hAnsi="Bookman Old Style" w:cstheme="minorHAnsi"/>
        </w:rPr>
        <w:t>, which are focused on acute conditions</w:t>
      </w:r>
      <w:r w:rsidRPr="00157004">
        <w:rPr>
          <w:rFonts w:ascii="Bookman Old Style" w:hAnsi="Bookman Old Style" w:cstheme="minorHAnsi"/>
        </w:rPr>
        <w:t xml:space="preserve">. The risk here is that primary care and prevention could be overwhelmed and marginalised within a much larger clinical system, which </w:t>
      </w:r>
      <w:r w:rsidR="008D790A" w:rsidRPr="00157004">
        <w:rPr>
          <w:rFonts w:ascii="Bookman Old Style" w:hAnsi="Bookman Old Style" w:cstheme="minorHAnsi"/>
        </w:rPr>
        <w:t xml:space="preserve">might </w:t>
      </w:r>
      <w:r w:rsidRPr="00157004">
        <w:rPr>
          <w:rFonts w:ascii="Bookman Old Style" w:hAnsi="Bookman Old Style" w:cstheme="minorHAnsi"/>
        </w:rPr>
        <w:t>have negative implications for small, specialist commissioned service organisations – including ACCHOs.</w:t>
      </w:r>
    </w:p>
    <w:p w14:paraId="6092D2B7" w14:textId="77777777" w:rsidR="008D790A" w:rsidRPr="00157004" w:rsidRDefault="008D790A" w:rsidP="00C76B14">
      <w:pPr>
        <w:pStyle w:val="ListParagraph"/>
        <w:spacing w:line="276" w:lineRule="auto"/>
        <w:rPr>
          <w:rFonts w:ascii="Bookman Old Style" w:hAnsi="Bookman Old Style" w:cstheme="minorHAnsi"/>
        </w:rPr>
      </w:pPr>
    </w:p>
    <w:p w14:paraId="7BAAB10F" w14:textId="77777777" w:rsidR="002B73CB" w:rsidRPr="00157004" w:rsidRDefault="008D790A" w:rsidP="00C76B14">
      <w:pPr>
        <w:pStyle w:val="ListParagraph"/>
        <w:numPr>
          <w:ilvl w:val="0"/>
          <w:numId w:val="6"/>
        </w:numPr>
        <w:spacing w:line="276" w:lineRule="auto"/>
        <w:rPr>
          <w:rFonts w:ascii="Bookman Old Style" w:hAnsi="Bookman Old Style" w:cstheme="minorHAnsi"/>
        </w:rPr>
      </w:pPr>
      <w:r w:rsidRPr="00157004">
        <w:rPr>
          <w:rFonts w:ascii="Bookman Old Style" w:hAnsi="Bookman Old Style" w:cstheme="minorHAnsi"/>
        </w:rPr>
        <w:t>Because of their smaller scale and specialised expertise</w:t>
      </w:r>
      <w:r w:rsidR="002B73CB" w:rsidRPr="00157004">
        <w:rPr>
          <w:rFonts w:ascii="Bookman Old Style" w:hAnsi="Bookman Old Style" w:cstheme="minorHAnsi"/>
        </w:rPr>
        <w:t xml:space="preserve">, ACCHOs </w:t>
      </w:r>
      <w:r w:rsidRPr="00157004">
        <w:rPr>
          <w:rFonts w:ascii="Bookman Old Style" w:hAnsi="Bookman Old Style" w:cstheme="minorHAnsi"/>
        </w:rPr>
        <w:t>often find it challenging t</w:t>
      </w:r>
      <w:r w:rsidR="002B73CB" w:rsidRPr="00157004">
        <w:rPr>
          <w:rFonts w:ascii="Bookman Old Style" w:hAnsi="Bookman Old Style" w:cstheme="minorHAnsi"/>
        </w:rPr>
        <w:t xml:space="preserve">o meet the varying and sometimes misaligned </w:t>
      </w:r>
      <w:r w:rsidR="002B73CB" w:rsidRPr="00157004">
        <w:rPr>
          <w:rFonts w:ascii="Bookman Old Style" w:hAnsi="Bookman Old Style" w:cstheme="minorHAnsi"/>
        </w:rPr>
        <w:lastRenderedPageBreak/>
        <w:t xml:space="preserve">reporting requirements of multiple commissioning agencies – </w:t>
      </w:r>
      <w:r w:rsidRPr="00157004">
        <w:rPr>
          <w:rFonts w:ascii="Bookman Old Style" w:hAnsi="Bookman Old Style" w:cstheme="minorHAnsi"/>
        </w:rPr>
        <w:t>including</w:t>
      </w:r>
      <w:r w:rsidR="002B73CB" w:rsidRPr="00157004">
        <w:rPr>
          <w:rFonts w:ascii="Bookman Old Style" w:hAnsi="Bookman Old Style" w:cstheme="minorHAnsi"/>
        </w:rPr>
        <w:t xml:space="preserve"> PHNs, LHNs, family and social support agencies, and non-government services (CBPATSISP PHN Engagement Project). In principle, a move to RCAs </w:t>
      </w:r>
      <w:r w:rsidRPr="00157004">
        <w:rPr>
          <w:rFonts w:ascii="Bookman Old Style" w:hAnsi="Bookman Old Style" w:cstheme="minorHAnsi"/>
        </w:rPr>
        <w:t>has</w:t>
      </w:r>
      <w:r w:rsidR="002B73CB" w:rsidRPr="00157004">
        <w:rPr>
          <w:rFonts w:ascii="Bookman Old Style" w:hAnsi="Bookman Old Style" w:cstheme="minorHAnsi"/>
        </w:rPr>
        <w:t xml:space="preserve"> the potential to streamline these requirements into a unified set of KPIs</w:t>
      </w:r>
      <w:r w:rsidRPr="00157004">
        <w:rPr>
          <w:rFonts w:ascii="Bookman Old Style" w:hAnsi="Bookman Old Style" w:cstheme="minorHAnsi"/>
        </w:rPr>
        <w:t xml:space="preserve"> through centralised commissioning</w:t>
      </w:r>
      <w:r w:rsidR="002B73CB" w:rsidRPr="00157004">
        <w:rPr>
          <w:rFonts w:ascii="Bookman Old Style" w:hAnsi="Bookman Old Style" w:cstheme="minorHAnsi"/>
        </w:rPr>
        <w:t xml:space="preserve">, </w:t>
      </w:r>
      <w:r w:rsidRPr="00157004">
        <w:rPr>
          <w:rFonts w:ascii="Bookman Old Style" w:hAnsi="Bookman Old Style" w:cstheme="minorHAnsi"/>
        </w:rPr>
        <w:t xml:space="preserve">which could </w:t>
      </w:r>
      <w:r w:rsidR="002B73CB" w:rsidRPr="00157004">
        <w:rPr>
          <w:rFonts w:ascii="Bookman Old Style" w:hAnsi="Bookman Old Style" w:cstheme="minorHAnsi"/>
        </w:rPr>
        <w:t>helpfully reduce their reporting burden</w:t>
      </w:r>
      <w:r w:rsidRPr="00157004">
        <w:rPr>
          <w:rFonts w:ascii="Bookman Old Style" w:hAnsi="Bookman Old Style" w:cstheme="minorHAnsi"/>
        </w:rPr>
        <w:t xml:space="preserve">. </w:t>
      </w:r>
      <w:r w:rsidR="00770EF3" w:rsidRPr="00157004">
        <w:rPr>
          <w:rFonts w:ascii="Bookman Old Style" w:hAnsi="Bookman Old Style" w:cstheme="minorHAnsi"/>
        </w:rPr>
        <w:t>In the draft report t</w:t>
      </w:r>
      <w:r w:rsidRPr="00157004">
        <w:rPr>
          <w:rFonts w:ascii="Bookman Old Style" w:hAnsi="Bookman Old Style" w:cstheme="minorHAnsi"/>
        </w:rPr>
        <w:t>he Commission appears pessimistic about the prospect of effective co-commissioning between PHNs, LHNs and other agencies under current arrangements</w:t>
      </w:r>
      <w:r w:rsidR="00770EF3" w:rsidRPr="00157004">
        <w:rPr>
          <w:rFonts w:ascii="Bookman Old Style" w:hAnsi="Bookman Old Style" w:cstheme="minorHAnsi"/>
        </w:rPr>
        <w:t xml:space="preserve"> (pp 941-945)</w:t>
      </w:r>
      <w:r w:rsidRPr="00157004">
        <w:rPr>
          <w:rFonts w:ascii="Bookman Old Style" w:hAnsi="Bookman Old Style" w:cstheme="minorHAnsi"/>
        </w:rPr>
        <w:t xml:space="preserve">, but this has not yet been properly trialled or incentivised. Streamlined commissioning, which has the potential to benefit ACCHO providers and Aboriginal people, is not guaranteed under either model and may be more dependent on organisational cultures than on </w:t>
      </w:r>
      <w:r w:rsidR="00770EF3" w:rsidRPr="00157004">
        <w:rPr>
          <w:rFonts w:ascii="Bookman Old Style" w:hAnsi="Bookman Old Style" w:cstheme="minorHAnsi"/>
        </w:rPr>
        <w:t>the sources of funding contributions.</w:t>
      </w:r>
    </w:p>
    <w:p w14:paraId="5E5792F2" w14:textId="77777777" w:rsidR="008D790A" w:rsidRPr="00157004" w:rsidRDefault="008D790A" w:rsidP="00C76B14">
      <w:pPr>
        <w:spacing w:line="276" w:lineRule="auto"/>
        <w:rPr>
          <w:rFonts w:ascii="Bookman Old Style" w:hAnsi="Bookman Old Style" w:cstheme="minorHAnsi"/>
        </w:rPr>
      </w:pPr>
    </w:p>
    <w:p w14:paraId="60AD298D" w14:textId="2C415AE4" w:rsidR="00960359" w:rsidRPr="00157004" w:rsidRDefault="00960359" w:rsidP="00C76B14">
      <w:pPr>
        <w:pStyle w:val="ListParagraph"/>
        <w:numPr>
          <w:ilvl w:val="0"/>
          <w:numId w:val="6"/>
        </w:numPr>
        <w:spacing w:line="276" w:lineRule="auto"/>
        <w:rPr>
          <w:rFonts w:ascii="Bookman Old Style" w:hAnsi="Bookman Old Style" w:cstheme="minorHAnsi"/>
        </w:rPr>
      </w:pPr>
      <w:r w:rsidRPr="00157004">
        <w:rPr>
          <w:rFonts w:ascii="Bookman Old Style" w:hAnsi="Bookman Old Style" w:cstheme="minorHAnsi"/>
        </w:rPr>
        <w:t xml:space="preserve">In the five years since the establishment of PHNs, some (though not all) have </w:t>
      </w:r>
      <w:r w:rsidR="008D08ED" w:rsidRPr="00157004">
        <w:rPr>
          <w:rFonts w:ascii="Bookman Old Style" w:hAnsi="Bookman Old Style" w:cstheme="minorHAnsi"/>
        </w:rPr>
        <w:t>developed</w:t>
      </w:r>
      <w:r w:rsidRPr="00157004">
        <w:rPr>
          <w:rFonts w:ascii="Bookman Old Style" w:hAnsi="Bookman Old Style" w:cstheme="minorHAnsi"/>
        </w:rPr>
        <w:t xml:space="preserve"> respectful and supportive relationships with ACCHOs and local Aboriginal communitie</w:t>
      </w:r>
      <w:r w:rsidR="008D790A" w:rsidRPr="00157004">
        <w:rPr>
          <w:rFonts w:ascii="Bookman Old Style" w:hAnsi="Bookman Old Style" w:cstheme="minorHAnsi"/>
        </w:rPr>
        <w:t>s</w:t>
      </w:r>
      <w:r w:rsidRPr="00157004">
        <w:rPr>
          <w:rFonts w:ascii="Bookman Old Style" w:hAnsi="Bookman Old Style" w:cstheme="minorHAnsi"/>
        </w:rPr>
        <w:t xml:space="preserve">. The Commission’s report states: </w:t>
      </w:r>
      <w:r w:rsidRPr="00157004">
        <w:rPr>
          <w:rFonts w:ascii="Bookman Old Style" w:eastAsia="Times New Roman" w:hAnsi="Bookman Old Style" w:cstheme="minorHAnsi"/>
          <w:i/>
          <w:iCs/>
          <w:lang w:eastAsia="en-GB"/>
        </w:rPr>
        <w:t>While RCAs would take on some of the roles currently performed by PHNs and State and Territory Government departments, these bodies have developed expertise in regional planning and commissioning mental health services that RCAs should harvest. To some extent this would likely happen quite organically, as some staff could transfer from existing bodies to the RCAs.</w:t>
      </w:r>
      <w:r w:rsidRPr="00157004">
        <w:rPr>
          <w:rFonts w:ascii="Bookman Old Style" w:eastAsia="Times New Roman" w:hAnsi="Bookman Old Style" w:cstheme="minorHAnsi"/>
          <w:lang w:eastAsia="en-GB"/>
        </w:rPr>
        <w:t xml:space="preserve"> (p961). This understates the nature of the </w:t>
      </w:r>
      <w:r w:rsidR="008D790A" w:rsidRPr="00157004">
        <w:rPr>
          <w:rFonts w:ascii="Bookman Old Style" w:eastAsia="Times New Roman" w:hAnsi="Bookman Old Style" w:cstheme="minorHAnsi"/>
          <w:lang w:eastAsia="en-GB"/>
        </w:rPr>
        <w:t xml:space="preserve">culturally appropriate commissioning </w:t>
      </w:r>
      <w:r w:rsidRPr="00157004">
        <w:rPr>
          <w:rFonts w:ascii="Bookman Old Style" w:eastAsia="Times New Roman" w:hAnsi="Bookman Old Style" w:cstheme="minorHAnsi"/>
          <w:lang w:eastAsia="en-GB"/>
        </w:rPr>
        <w:t>expertise that has been developed in current funding structures; a transition to RCAs could not simply harvest relationships through staff transfers but would require organisational trust to be redeveloped with the new structures under new governance. Disruption to relationships, with the potential to disrupt delivery of services, is to be expected with any major change to funding and governance structures</w:t>
      </w:r>
      <w:r w:rsidR="008D790A" w:rsidRPr="00157004">
        <w:rPr>
          <w:rFonts w:ascii="Bookman Old Style" w:eastAsia="Times New Roman" w:hAnsi="Bookman Old Style" w:cstheme="minorHAnsi"/>
          <w:lang w:eastAsia="en-GB"/>
        </w:rPr>
        <w:t>, and should be considered a disadvantage of the Rebuild model as it relates to Indigenous people.</w:t>
      </w:r>
    </w:p>
    <w:p w14:paraId="6E1FE5AE" w14:textId="77777777" w:rsidR="008D790A" w:rsidRPr="00157004" w:rsidRDefault="008D790A" w:rsidP="00C76B14">
      <w:pPr>
        <w:spacing w:line="276" w:lineRule="auto"/>
        <w:rPr>
          <w:rFonts w:ascii="Bookman Old Style" w:hAnsi="Bookman Old Style" w:cstheme="minorHAnsi"/>
        </w:rPr>
      </w:pPr>
    </w:p>
    <w:p w14:paraId="58BB2DC9" w14:textId="77777777" w:rsidR="00960359" w:rsidRPr="00157004" w:rsidRDefault="00960359" w:rsidP="00C76B14">
      <w:pPr>
        <w:pStyle w:val="ListParagraph"/>
        <w:numPr>
          <w:ilvl w:val="0"/>
          <w:numId w:val="6"/>
        </w:numPr>
        <w:spacing w:line="276" w:lineRule="auto"/>
        <w:rPr>
          <w:rFonts w:ascii="Bookman Old Style" w:hAnsi="Bookman Old Style" w:cstheme="minorHAnsi"/>
        </w:rPr>
      </w:pPr>
      <w:r w:rsidRPr="00157004">
        <w:rPr>
          <w:rFonts w:ascii="Bookman Old Style" w:hAnsi="Bookman Old Style" w:cstheme="minorHAnsi"/>
        </w:rPr>
        <w:t>The Commission’s recommendation that boards of RCAs should be “skill-based, not representational” (Box 23.11, p962) should be amended to include a requirement for at least one Indigenous person at board level. Drawing on the ATSISPEP report, the CBPATSISP considers high-level representation by Indigenous people essential to good governance in agencies that commission services for Indigenous people</w:t>
      </w:r>
      <w:r w:rsidR="002F2902" w:rsidRPr="00157004">
        <w:rPr>
          <w:rFonts w:ascii="Bookman Old Style" w:hAnsi="Bookman Old Style" w:cstheme="minorHAnsi"/>
        </w:rPr>
        <w:t>, honouring the key principle of self-determination</w:t>
      </w:r>
      <w:r w:rsidRPr="00157004">
        <w:rPr>
          <w:rFonts w:ascii="Bookman Old Style" w:hAnsi="Bookman Old Style" w:cstheme="minorHAnsi"/>
        </w:rPr>
        <w:t xml:space="preserve">. This is not at odds with notions of “skill”. </w:t>
      </w:r>
      <w:r w:rsidR="008D790A" w:rsidRPr="00157004">
        <w:rPr>
          <w:rFonts w:ascii="Bookman Old Style" w:hAnsi="Bookman Old Style" w:cstheme="minorHAnsi"/>
        </w:rPr>
        <w:t xml:space="preserve">Many </w:t>
      </w:r>
      <w:r w:rsidRPr="00157004">
        <w:rPr>
          <w:rFonts w:ascii="Bookman Old Style" w:hAnsi="Bookman Old Style" w:cstheme="minorHAnsi"/>
        </w:rPr>
        <w:t xml:space="preserve">Aboriginal and Torres Strait Islander people </w:t>
      </w:r>
      <w:r w:rsidR="008D790A" w:rsidRPr="00157004">
        <w:rPr>
          <w:rFonts w:ascii="Bookman Old Style" w:hAnsi="Bookman Old Style" w:cstheme="minorHAnsi"/>
        </w:rPr>
        <w:t xml:space="preserve">are highly skilled and can </w:t>
      </w:r>
      <w:r w:rsidRPr="00157004">
        <w:rPr>
          <w:rFonts w:ascii="Bookman Old Style" w:hAnsi="Bookman Old Style" w:cstheme="minorHAnsi"/>
        </w:rPr>
        <w:t xml:space="preserve">bring business, clinical or </w:t>
      </w:r>
      <w:r w:rsidRPr="00157004">
        <w:rPr>
          <w:rFonts w:ascii="Bookman Old Style" w:hAnsi="Bookman Old Style" w:cstheme="minorHAnsi"/>
        </w:rPr>
        <w:lastRenderedPageBreak/>
        <w:t xml:space="preserve">other </w:t>
      </w:r>
      <w:r w:rsidR="008D790A" w:rsidRPr="00157004">
        <w:rPr>
          <w:rFonts w:ascii="Bookman Old Style" w:hAnsi="Bookman Old Style" w:cstheme="minorHAnsi"/>
        </w:rPr>
        <w:t>backgrounds</w:t>
      </w:r>
      <w:r w:rsidRPr="00157004">
        <w:rPr>
          <w:rFonts w:ascii="Bookman Old Style" w:hAnsi="Bookman Old Style" w:cstheme="minorHAnsi"/>
        </w:rPr>
        <w:t xml:space="preserve"> to boards, in addition to their essential cultural </w:t>
      </w:r>
      <w:r w:rsidR="008D790A" w:rsidRPr="00157004">
        <w:rPr>
          <w:rFonts w:ascii="Bookman Old Style" w:hAnsi="Bookman Old Style" w:cstheme="minorHAnsi"/>
        </w:rPr>
        <w:t>knowledge</w:t>
      </w:r>
      <w:r w:rsidRPr="00157004">
        <w:rPr>
          <w:rFonts w:ascii="Bookman Old Style" w:hAnsi="Bookman Old Style" w:cstheme="minorHAnsi"/>
        </w:rPr>
        <w:t>.</w:t>
      </w:r>
      <w:r w:rsidR="00862ED0" w:rsidRPr="00157004">
        <w:rPr>
          <w:rFonts w:ascii="Bookman Old Style" w:hAnsi="Bookman Old Style" w:cstheme="minorHAnsi"/>
        </w:rPr>
        <w:t xml:space="preserve"> </w:t>
      </w:r>
      <w:hyperlink r:id="rId28" w:history="1">
        <w:r w:rsidR="00862ED0" w:rsidRPr="00157004">
          <w:rPr>
            <w:rStyle w:val="Hyperlink"/>
            <w:rFonts w:ascii="Bookman Old Style" w:hAnsi="Bookman Old Style" w:cstheme="minorHAnsi"/>
          </w:rPr>
          <w:t>Gayaa Dhuwi</w:t>
        </w:r>
        <w:r w:rsidR="00D340F2" w:rsidRPr="00157004">
          <w:rPr>
            <w:rStyle w:val="Hyperlink"/>
            <w:rFonts w:ascii="Bookman Old Style" w:hAnsi="Bookman Old Style" w:cstheme="minorHAnsi"/>
          </w:rPr>
          <w:t xml:space="preserve"> (Proud Spirit)</w:t>
        </w:r>
        <w:r w:rsidR="00862ED0" w:rsidRPr="00157004">
          <w:rPr>
            <w:rStyle w:val="Hyperlink"/>
            <w:rFonts w:ascii="Bookman Old Style" w:hAnsi="Bookman Old Style" w:cstheme="minorHAnsi"/>
          </w:rPr>
          <w:t xml:space="preserve"> Australia</w:t>
        </w:r>
      </w:hyperlink>
      <w:r w:rsidR="00862ED0" w:rsidRPr="00157004">
        <w:rPr>
          <w:rFonts w:ascii="Bookman Old Style" w:hAnsi="Bookman Old Style" w:cstheme="minorHAnsi"/>
        </w:rPr>
        <w:t xml:space="preserve"> will be well placed to advise on these matters.</w:t>
      </w:r>
    </w:p>
    <w:p w14:paraId="1FD84F50" w14:textId="77777777" w:rsidR="008D790A" w:rsidRPr="00157004" w:rsidRDefault="008D790A" w:rsidP="00C76B14">
      <w:pPr>
        <w:spacing w:line="276" w:lineRule="auto"/>
        <w:rPr>
          <w:rFonts w:ascii="Bookman Old Style" w:hAnsi="Bookman Old Style" w:cstheme="minorHAnsi"/>
        </w:rPr>
      </w:pPr>
    </w:p>
    <w:p w14:paraId="48677AFE" w14:textId="77777777" w:rsidR="00960359" w:rsidRPr="00157004" w:rsidRDefault="00960359" w:rsidP="00C76B14">
      <w:pPr>
        <w:pStyle w:val="ListParagraph"/>
        <w:numPr>
          <w:ilvl w:val="0"/>
          <w:numId w:val="6"/>
        </w:numPr>
        <w:spacing w:line="276" w:lineRule="auto"/>
        <w:rPr>
          <w:rFonts w:ascii="Bookman Old Style" w:hAnsi="Bookman Old Style" w:cstheme="minorHAnsi"/>
        </w:rPr>
      </w:pPr>
      <w:r w:rsidRPr="00157004">
        <w:rPr>
          <w:rFonts w:ascii="Bookman Old Style" w:hAnsi="Bookman Old Style" w:cstheme="minorHAnsi"/>
        </w:rPr>
        <w:t xml:space="preserve">Box 24.3 – PHNs are currently required to quarantine funding for </w:t>
      </w:r>
      <w:r w:rsidR="003E4465" w:rsidRPr="00157004">
        <w:rPr>
          <w:rFonts w:ascii="Bookman Old Style" w:hAnsi="Bookman Old Style" w:cstheme="minorHAnsi"/>
        </w:rPr>
        <w:t xml:space="preserve">some </w:t>
      </w:r>
      <w:r w:rsidRPr="00157004">
        <w:rPr>
          <w:rFonts w:ascii="Bookman Old Style" w:hAnsi="Bookman Old Style" w:cstheme="minorHAnsi"/>
        </w:rPr>
        <w:t>services for Indigenous people. The proposal to deduct MBS-funded services from an RCA’s flexible budget is intended to incentivise RCAs to contain MBS expenditure</w:t>
      </w:r>
      <w:r w:rsidR="004B5368" w:rsidRPr="00157004">
        <w:rPr>
          <w:rFonts w:ascii="Bookman Old Style" w:hAnsi="Bookman Old Style" w:cstheme="minorHAnsi"/>
        </w:rPr>
        <w:t>. However,</w:t>
      </w:r>
      <w:r w:rsidRPr="00157004">
        <w:rPr>
          <w:rFonts w:ascii="Bookman Old Style" w:hAnsi="Bookman Old Style" w:cstheme="minorHAnsi"/>
        </w:rPr>
        <w:t xml:space="preserve"> in practice this may be challenging and result in a reduced flexible pool and further funding constraints on Indigenous services</w:t>
      </w:r>
      <w:r w:rsidR="00093B34" w:rsidRPr="00157004">
        <w:rPr>
          <w:rFonts w:ascii="Bookman Old Style" w:hAnsi="Bookman Old Style" w:cstheme="minorHAnsi"/>
        </w:rPr>
        <w:t>. T</w:t>
      </w:r>
      <w:r w:rsidRPr="00157004">
        <w:rPr>
          <w:rFonts w:ascii="Bookman Old Style" w:hAnsi="Bookman Old Style" w:cstheme="minorHAnsi"/>
        </w:rPr>
        <w:t xml:space="preserve">his funding model may </w:t>
      </w:r>
      <w:r w:rsidR="008D790A" w:rsidRPr="00157004">
        <w:rPr>
          <w:rFonts w:ascii="Bookman Old Style" w:hAnsi="Bookman Old Style" w:cstheme="minorHAnsi"/>
        </w:rPr>
        <w:t xml:space="preserve">therefore </w:t>
      </w:r>
      <w:r w:rsidRPr="00157004">
        <w:rPr>
          <w:rFonts w:ascii="Bookman Old Style" w:hAnsi="Bookman Old Style" w:cstheme="minorHAnsi"/>
        </w:rPr>
        <w:t xml:space="preserve">disproportionately </w:t>
      </w:r>
      <w:r w:rsidR="00093B34" w:rsidRPr="00157004">
        <w:rPr>
          <w:rFonts w:ascii="Bookman Old Style" w:hAnsi="Bookman Old Style" w:cstheme="minorHAnsi"/>
        </w:rPr>
        <w:t>impact</w:t>
      </w:r>
      <w:r w:rsidRPr="00157004">
        <w:rPr>
          <w:rFonts w:ascii="Bookman Old Style" w:hAnsi="Bookman Old Style" w:cstheme="minorHAnsi"/>
        </w:rPr>
        <w:t xml:space="preserve"> Indigenous </w:t>
      </w:r>
      <w:r w:rsidR="00093B34" w:rsidRPr="00157004">
        <w:rPr>
          <w:rFonts w:ascii="Bookman Old Style" w:hAnsi="Bookman Old Style" w:cstheme="minorHAnsi"/>
        </w:rPr>
        <w:t xml:space="preserve">and other disadvantaged </w:t>
      </w:r>
      <w:r w:rsidRPr="00157004">
        <w:rPr>
          <w:rFonts w:ascii="Bookman Old Style" w:hAnsi="Bookman Old Style" w:cstheme="minorHAnsi"/>
        </w:rPr>
        <w:t>people</w:t>
      </w:r>
      <w:r w:rsidR="00093B34" w:rsidRPr="00157004">
        <w:rPr>
          <w:rFonts w:ascii="Bookman Old Style" w:hAnsi="Bookman Old Style" w:cstheme="minorHAnsi"/>
        </w:rPr>
        <w:t xml:space="preserve">, who are </w:t>
      </w:r>
      <w:r w:rsidRPr="00157004">
        <w:rPr>
          <w:rFonts w:ascii="Bookman Old Style" w:hAnsi="Bookman Old Style" w:cstheme="minorHAnsi"/>
        </w:rPr>
        <w:t>less likely to use private-practice fee-for-service mental health services from GPs and psychologists.</w:t>
      </w:r>
    </w:p>
    <w:p w14:paraId="44E62E53" w14:textId="77777777" w:rsidR="008D790A" w:rsidRPr="00157004" w:rsidRDefault="008D790A" w:rsidP="00C76B14">
      <w:pPr>
        <w:spacing w:line="276" w:lineRule="auto"/>
        <w:rPr>
          <w:rFonts w:ascii="Bookman Old Style" w:hAnsi="Bookman Old Style" w:cstheme="minorHAnsi"/>
        </w:rPr>
      </w:pPr>
    </w:p>
    <w:p w14:paraId="11020CC4" w14:textId="77777777" w:rsidR="002B73CB" w:rsidRPr="00157004" w:rsidRDefault="002B73CB" w:rsidP="00C76B14">
      <w:pPr>
        <w:spacing w:line="276" w:lineRule="auto"/>
        <w:rPr>
          <w:rFonts w:ascii="Bookman Old Style" w:hAnsi="Bookman Old Style" w:cstheme="minorHAnsi"/>
          <w:b/>
          <w:bCs/>
        </w:rPr>
      </w:pPr>
      <w:r w:rsidRPr="00157004">
        <w:rPr>
          <w:rFonts w:ascii="Bookman Old Style" w:hAnsi="Bookman Old Style" w:cstheme="minorHAnsi"/>
          <w:b/>
          <w:bCs/>
        </w:rPr>
        <w:t xml:space="preserve">Data and evaluation </w:t>
      </w:r>
    </w:p>
    <w:p w14:paraId="16B06ADC" w14:textId="77777777" w:rsidR="002B73CB" w:rsidRPr="00157004" w:rsidRDefault="002B73CB" w:rsidP="00C76B14">
      <w:pPr>
        <w:spacing w:line="276" w:lineRule="auto"/>
        <w:rPr>
          <w:rFonts w:ascii="Bookman Old Style" w:hAnsi="Bookman Old Style" w:cstheme="minorHAnsi"/>
        </w:rPr>
      </w:pPr>
    </w:p>
    <w:p w14:paraId="0900417B" w14:textId="77777777" w:rsidR="002B73CB" w:rsidRPr="00157004" w:rsidRDefault="002B73CB" w:rsidP="00C76B14">
      <w:pPr>
        <w:spacing w:line="276" w:lineRule="auto"/>
        <w:rPr>
          <w:rFonts w:ascii="Bookman Old Style" w:hAnsi="Bookman Old Style" w:cstheme="minorHAnsi"/>
        </w:rPr>
      </w:pPr>
      <w:r w:rsidRPr="00157004">
        <w:rPr>
          <w:rFonts w:ascii="Bookman Old Style" w:hAnsi="Bookman Old Style" w:cstheme="minorHAnsi"/>
        </w:rPr>
        <w:t>The Commission proposes increased mining and linkage of client data to better understand the effectiveness of services (pp</w:t>
      </w:r>
      <w:r w:rsidR="003C5D56" w:rsidRPr="00157004">
        <w:rPr>
          <w:rFonts w:ascii="Bookman Old Style" w:hAnsi="Bookman Old Style" w:cstheme="minorHAnsi"/>
        </w:rPr>
        <w:t xml:space="preserve"> 991-1037, draft recommendations 25.1, 25.2, 25.3, 25.4, 25.5, 25.6, 25.7, 25.8, 25.9)</w:t>
      </w:r>
      <w:r w:rsidRPr="00157004">
        <w:rPr>
          <w:rFonts w:ascii="Bookman Old Style" w:hAnsi="Bookman Old Style" w:cstheme="minorHAnsi"/>
        </w:rPr>
        <w:t>, as part of a general move towards more rigorous use of evidence and evaluation.</w:t>
      </w:r>
      <w:r w:rsidR="009A039E" w:rsidRPr="00157004">
        <w:rPr>
          <w:rFonts w:ascii="Bookman Old Style" w:hAnsi="Bookman Old Style" w:cstheme="minorHAnsi"/>
        </w:rPr>
        <w:t xml:space="preserve"> The CBPATSISP agrees</w:t>
      </w:r>
      <w:r w:rsidR="004B5368" w:rsidRPr="00157004">
        <w:rPr>
          <w:rFonts w:ascii="Bookman Old Style" w:hAnsi="Bookman Old Style" w:cstheme="minorHAnsi"/>
        </w:rPr>
        <w:t xml:space="preserve"> that</w:t>
      </w:r>
      <w:r w:rsidR="009A039E" w:rsidRPr="00157004">
        <w:rPr>
          <w:rFonts w:ascii="Bookman Old Style" w:hAnsi="Bookman Old Style" w:cstheme="minorHAnsi"/>
        </w:rPr>
        <w:t xml:space="preserve"> i</w:t>
      </w:r>
      <w:r w:rsidRPr="00157004">
        <w:rPr>
          <w:rFonts w:ascii="Bookman Old Style" w:hAnsi="Bookman Old Style" w:cstheme="minorHAnsi"/>
        </w:rPr>
        <w:t>t is critical that government funds are spent in ways most likely to be effective in improving people’s lives. However</w:t>
      </w:r>
      <w:r w:rsidR="004B5368" w:rsidRPr="00157004">
        <w:rPr>
          <w:rFonts w:ascii="Bookman Old Style" w:hAnsi="Bookman Old Style" w:cstheme="minorHAnsi"/>
        </w:rPr>
        <w:t>,</w:t>
      </w:r>
      <w:r w:rsidRPr="00157004">
        <w:rPr>
          <w:rFonts w:ascii="Bookman Old Style" w:hAnsi="Bookman Old Style" w:cstheme="minorHAnsi"/>
        </w:rPr>
        <w:t xml:space="preserve"> in the context of Aboriginal people and communities it is important to:</w:t>
      </w:r>
    </w:p>
    <w:p w14:paraId="69DCD111" w14:textId="77777777" w:rsidR="009A039E" w:rsidRPr="00157004" w:rsidRDefault="009A039E" w:rsidP="00C76B14">
      <w:pPr>
        <w:spacing w:line="276" w:lineRule="auto"/>
        <w:rPr>
          <w:rFonts w:ascii="Bookman Old Style" w:hAnsi="Bookman Old Style" w:cstheme="minorHAnsi"/>
        </w:rPr>
      </w:pPr>
    </w:p>
    <w:p w14:paraId="574D5AA8" w14:textId="77777777" w:rsidR="002B73CB" w:rsidRPr="00157004" w:rsidRDefault="002B73CB" w:rsidP="00C76B14">
      <w:pPr>
        <w:pStyle w:val="ListParagraph"/>
        <w:numPr>
          <w:ilvl w:val="0"/>
          <w:numId w:val="6"/>
        </w:numPr>
        <w:spacing w:line="276" w:lineRule="auto"/>
        <w:rPr>
          <w:rFonts w:ascii="Bookman Old Style" w:hAnsi="Bookman Old Style" w:cstheme="minorHAnsi"/>
        </w:rPr>
      </w:pPr>
      <w:r w:rsidRPr="00157004">
        <w:rPr>
          <w:rFonts w:ascii="Bookman Old Style" w:hAnsi="Bookman Old Style" w:cstheme="minorHAnsi"/>
        </w:rPr>
        <w:t>Ensure there is community support for the stated objective of any program</w:t>
      </w:r>
      <w:r w:rsidR="006C0079" w:rsidRPr="00157004">
        <w:rPr>
          <w:rFonts w:ascii="Bookman Old Style" w:hAnsi="Bookman Old Style" w:cstheme="minorHAnsi"/>
        </w:rPr>
        <w:t>, through co-design with communities of projects and their implementation</w:t>
      </w:r>
      <w:r w:rsidR="008D790A" w:rsidRPr="00157004">
        <w:rPr>
          <w:rFonts w:ascii="Bookman Old Style" w:hAnsi="Bookman Old Style" w:cstheme="minorHAnsi"/>
        </w:rPr>
        <w:t xml:space="preserve"> and monitoring</w:t>
      </w:r>
      <w:r w:rsidR="009A039E" w:rsidRPr="00157004">
        <w:rPr>
          <w:rFonts w:ascii="Bookman Old Style" w:hAnsi="Bookman Old Style" w:cstheme="minorHAnsi"/>
        </w:rPr>
        <w:t>.</w:t>
      </w:r>
    </w:p>
    <w:p w14:paraId="4D9BC4EF" w14:textId="77777777" w:rsidR="009A039E" w:rsidRPr="00157004" w:rsidRDefault="009A039E" w:rsidP="00C76B14">
      <w:pPr>
        <w:pStyle w:val="ListParagraph"/>
        <w:spacing w:line="276" w:lineRule="auto"/>
        <w:rPr>
          <w:rFonts w:ascii="Bookman Old Style" w:hAnsi="Bookman Old Style" w:cstheme="minorHAnsi"/>
        </w:rPr>
      </w:pPr>
    </w:p>
    <w:p w14:paraId="6BDEDFDC" w14:textId="77777777" w:rsidR="008D790A" w:rsidRPr="00157004" w:rsidRDefault="002B73CB" w:rsidP="00C76B14">
      <w:pPr>
        <w:pStyle w:val="ListParagraph"/>
        <w:numPr>
          <w:ilvl w:val="0"/>
          <w:numId w:val="6"/>
        </w:numPr>
        <w:spacing w:line="276" w:lineRule="auto"/>
        <w:rPr>
          <w:rFonts w:ascii="Bookman Old Style" w:hAnsi="Bookman Old Style" w:cstheme="minorHAnsi"/>
        </w:rPr>
      </w:pPr>
      <w:r w:rsidRPr="00157004">
        <w:rPr>
          <w:rFonts w:ascii="Bookman Old Style" w:hAnsi="Bookman Old Style" w:cstheme="minorHAnsi"/>
        </w:rPr>
        <w:t xml:space="preserve">Recognise that epidemiological </w:t>
      </w:r>
      <w:r w:rsidR="006C0079" w:rsidRPr="00157004">
        <w:rPr>
          <w:rFonts w:ascii="Bookman Old Style" w:hAnsi="Bookman Old Style" w:cstheme="minorHAnsi"/>
        </w:rPr>
        <w:t xml:space="preserve">and other quantitative </w:t>
      </w:r>
      <w:r w:rsidRPr="00157004">
        <w:rPr>
          <w:rFonts w:ascii="Bookman Old Style" w:hAnsi="Bookman Old Style" w:cstheme="minorHAnsi"/>
        </w:rPr>
        <w:t>methods developed for the mainstream community may have limitations in evaluating outcomes for Aboriginal people</w:t>
      </w:r>
      <w:r w:rsidR="006C0079" w:rsidRPr="00157004">
        <w:rPr>
          <w:rFonts w:ascii="Bookman Old Style" w:hAnsi="Bookman Old Style" w:cstheme="minorHAnsi"/>
        </w:rPr>
        <w:t>, for whom more holistic indicators may be more appropriate</w:t>
      </w:r>
      <w:r w:rsidR="008D790A" w:rsidRPr="00157004">
        <w:rPr>
          <w:rFonts w:ascii="Bookman Old Style" w:hAnsi="Bookman Old Style" w:cstheme="minorHAnsi"/>
        </w:rPr>
        <w:t>. Inclusive and narrative methods, that emphasise the views of communities and Elders rather than relying only on the collection of empirical numbers, should be considered.</w:t>
      </w:r>
    </w:p>
    <w:p w14:paraId="603EEF5C" w14:textId="77777777" w:rsidR="009A039E" w:rsidRPr="00157004" w:rsidRDefault="009A039E" w:rsidP="00C76B14">
      <w:pPr>
        <w:spacing w:line="276" w:lineRule="auto"/>
        <w:rPr>
          <w:rFonts w:ascii="Bookman Old Style" w:hAnsi="Bookman Old Style" w:cstheme="minorHAnsi"/>
        </w:rPr>
      </w:pPr>
    </w:p>
    <w:p w14:paraId="697180C0" w14:textId="77777777" w:rsidR="009A039E" w:rsidRPr="00157004" w:rsidRDefault="002B73CB" w:rsidP="00C76B14">
      <w:pPr>
        <w:pStyle w:val="ListParagraph"/>
        <w:numPr>
          <w:ilvl w:val="0"/>
          <w:numId w:val="6"/>
        </w:numPr>
        <w:spacing w:line="276" w:lineRule="auto"/>
        <w:rPr>
          <w:rFonts w:ascii="Bookman Old Style" w:hAnsi="Bookman Old Style" w:cstheme="minorHAnsi"/>
        </w:rPr>
      </w:pPr>
      <w:r w:rsidRPr="00157004">
        <w:rPr>
          <w:rFonts w:ascii="Bookman Old Style" w:hAnsi="Bookman Old Style" w:cstheme="minorHAnsi"/>
        </w:rPr>
        <w:t>Respect Aboriginal people’s concerns about the use of personal data</w:t>
      </w:r>
      <w:r w:rsidR="006C0079" w:rsidRPr="00157004">
        <w:rPr>
          <w:rFonts w:ascii="Bookman Old Style" w:hAnsi="Bookman Old Style" w:cstheme="minorHAnsi"/>
        </w:rPr>
        <w:t xml:space="preserve">, which historically has been used in punitive ways against them. In particular the notion of “shared outcome indicators” - across </w:t>
      </w:r>
      <w:r w:rsidR="006C0079" w:rsidRPr="00157004">
        <w:rPr>
          <w:rFonts w:ascii="Bookman Old Style" w:eastAsia="Times New Roman" w:hAnsi="Bookman Old Style" w:cstheme="minorHAnsi"/>
          <w:lang w:eastAsia="en-GB"/>
        </w:rPr>
        <w:t xml:space="preserve">health, housing, human and social services, education and training, employment and justice – is likely to alarm some Aboriginal people and may have the effect of discouraging them from seeking health </w:t>
      </w:r>
      <w:r w:rsidR="006C0079" w:rsidRPr="00157004">
        <w:rPr>
          <w:rFonts w:ascii="Bookman Old Style" w:eastAsia="Times New Roman" w:hAnsi="Bookman Old Style" w:cstheme="minorHAnsi"/>
          <w:lang w:eastAsia="en-GB"/>
        </w:rPr>
        <w:lastRenderedPageBreak/>
        <w:t xml:space="preserve">care for – for example – alcohol use, if they feared this information would be accessible to </w:t>
      </w:r>
      <w:r w:rsidR="009A039E" w:rsidRPr="00157004">
        <w:rPr>
          <w:rFonts w:ascii="Bookman Old Style" w:eastAsia="Times New Roman" w:hAnsi="Bookman Old Style" w:cstheme="minorHAnsi"/>
          <w:lang w:eastAsia="en-GB"/>
        </w:rPr>
        <w:t>other parts of the human services system</w:t>
      </w:r>
      <w:r w:rsidR="006C0079" w:rsidRPr="00157004">
        <w:rPr>
          <w:rFonts w:ascii="Bookman Old Style" w:eastAsia="Times New Roman" w:hAnsi="Bookman Old Style" w:cstheme="minorHAnsi"/>
          <w:lang w:eastAsia="en-GB"/>
        </w:rPr>
        <w:t>.</w:t>
      </w:r>
      <w:r w:rsidR="008D790A" w:rsidRPr="00157004">
        <w:rPr>
          <w:rFonts w:ascii="Bookman Old Style" w:eastAsia="Times New Roman" w:hAnsi="Bookman Old Style" w:cstheme="minorHAnsi"/>
          <w:lang w:eastAsia="en-GB"/>
        </w:rPr>
        <w:t xml:space="preserve"> In its submission to the Commission’s inquiry, </w:t>
      </w:r>
      <w:hyperlink r:id="rId29" w:history="1">
        <w:r w:rsidR="008D790A" w:rsidRPr="00157004">
          <w:rPr>
            <w:rStyle w:val="Hyperlink"/>
            <w:rFonts w:ascii="Bookman Old Style" w:eastAsia="Times New Roman" w:hAnsi="Bookman Old Style" w:cstheme="minorHAnsi"/>
            <w:lang w:eastAsia="en-GB"/>
          </w:rPr>
          <w:t>NACCHO has detailed the concerns of the Winnunga Nimmityjah ACCHO</w:t>
        </w:r>
      </w:hyperlink>
      <w:r w:rsidR="00862ED0" w:rsidRPr="00157004">
        <w:rPr>
          <w:rFonts w:ascii="Bookman Old Style" w:eastAsia="Times New Roman" w:hAnsi="Bookman Old Style" w:cstheme="minorHAnsi"/>
          <w:lang w:eastAsia="en-GB"/>
        </w:rPr>
        <w:t xml:space="preserve"> (p6)</w:t>
      </w:r>
      <w:r w:rsidR="008D790A" w:rsidRPr="00157004">
        <w:rPr>
          <w:rFonts w:ascii="Bookman Old Style" w:eastAsia="Times New Roman" w:hAnsi="Bookman Old Style" w:cstheme="minorHAnsi"/>
          <w:lang w:eastAsia="en-GB"/>
        </w:rPr>
        <w:t xml:space="preserve"> about the possibility of re-identifying personal data in the context of sensitive mental health consultations, which has led it to decline funding. These concerns should be addressed directly in the Commission’s final report, with consideration given to the balance between the privacy and personal risk of Indigenous individuals, and potential benefits to communities from improved understanding of services. </w:t>
      </w:r>
    </w:p>
    <w:p w14:paraId="426527E8" w14:textId="77777777" w:rsidR="009A039E" w:rsidRPr="00157004" w:rsidRDefault="009A039E" w:rsidP="00C76B14">
      <w:pPr>
        <w:pStyle w:val="ListParagraph"/>
        <w:spacing w:line="276" w:lineRule="auto"/>
        <w:rPr>
          <w:rFonts w:ascii="Bookman Old Style" w:hAnsi="Bookman Old Style" w:cstheme="minorHAnsi"/>
        </w:rPr>
      </w:pPr>
    </w:p>
    <w:p w14:paraId="3DB8C72C" w14:textId="77777777" w:rsidR="006C0079" w:rsidRPr="00157004" w:rsidRDefault="006C0079" w:rsidP="00C76B14">
      <w:pPr>
        <w:pStyle w:val="ListParagraph"/>
        <w:numPr>
          <w:ilvl w:val="0"/>
          <w:numId w:val="6"/>
        </w:numPr>
        <w:spacing w:line="276" w:lineRule="auto"/>
        <w:rPr>
          <w:rFonts w:ascii="Bookman Old Style" w:hAnsi="Bookman Old Style" w:cstheme="minorHAnsi"/>
        </w:rPr>
      </w:pPr>
      <w:r w:rsidRPr="00157004">
        <w:rPr>
          <w:rFonts w:ascii="Bookman Old Style" w:hAnsi="Bookman Old Style" w:cstheme="minorHAnsi"/>
        </w:rPr>
        <w:t xml:space="preserve">The Productivity Commission’s </w:t>
      </w:r>
      <w:hyperlink r:id="rId30" w:history="1">
        <w:r w:rsidRPr="00157004">
          <w:rPr>
            <w:rStyle w:val="Hyperlink"/>
            <w:rFonts w:ascii="Bookman Old Style" w:hAnsi="Bookman Old Style" w:cstheme="minorHAnsi"/>
          </w:rPr>
          <w:t>Indigenous Evaluation Strategy</w:t>
        </w:r>
      </w:hyperlink>
      <w:r w:rsidRPr="00157004">
        <w:rPr>
          <w:rFonts w:ascii="Bookman Old Style" w:hAnsi="Bookman Old Style" w:cstheme="minorHAnsi"/>
        </w:rPr>
        <w:t xml:space="preserve">, currently under </w:t>
      </w:r>
      <w:r w:rsidR="009A039E" w:rsidRPr="00157004">
        <w:rPr>
          <w:rFonts w:ascii="Bookman Old Style" w:hAnsi="Bookman Old Style" w:cstheme="minorHAnsi"/>
        </w:rPr>
        <w:t>development</w:t>
      </w:r>
      <w:r w:rsidRPr="00157004">
        <w:rPr>
          <w:rFonts w:ascii="Bookman Old Style" w:hAnsi="Bookman Old Style" w:cstheme="minorHAnsi"/>
        </w:rPr>
        <w:t xml:space="preserve">, will be essential in this regard. As the two pieces of work progress in parallel they will need to take account of each other: </w:t>
      </w:r>
    </w:p>
    <w:p w14:paraId="74BDBF4B" w14:textId="77777777" w:rsidR="003C5D56" w:rsidRPr="00157004" w:rsidRDefault="003C5D56" w:rsidP="00C76B14">
      <w:pPr>
        <w:pStyle w:val="ListParagraph"/>
        <w:spacing w:line="276" w:lineRule="auto"/>
        <w:rPr>
          <w:rFonts w:ascii="Bookman Old Style" w:hAnsi="Bookman Old Style" w:cstheme="minorHAnsi"/>
        </w:rPr>
      </w:pPr>
    </w:p>
    <w:p w14:paraId="2E60980F" w14:textId="2DEF5B44" w:rsidR="0060005F" w:rsidRPr="00157004" w:rsidRDefault="003C5D56" w:rsidP="00C76B14">
      <w:pPr>
        <w:spacing w:line="276" w:lineRule="auto"/>
        <w:rPr>
          <w:rFonts w:ascii="Bookman Old Style" w:hAnsi="Bookman Old Style" w:cstheme="minorHAnsi"/>
          <w:i/>
          <w:iCs/>
        </w:rPr>
      </w:pPr>
      <w:r w:rsidRPr="00157004">
        <w:rPr>
          <w:rFonts w:ascii="Bookman Old Style" w:hAnsi="Bookman Old Style" w:cstheme="minorHAnsi"/>
        </w:rPr>
        <w:t xml:space="preserve">Elsewhere in the report </w:t>
      </w:r>
      <w:r w:rsidR="00067BF8" w:rsidRPr="00157004">
        <w:rPr>
          <w:rFonts w:ascii="Bookman Old Style" w:hAnsi="Bookman Old Style" w:cstheme="minorHAnsi"/>
        </w:rPr>
        <w:t>(Draft recommendation 21.2), the Commission acknowledges in the context of suicide prevention that</w:t>
      </w:r>
      <w:r w:rsidR="008D1923" w:rsidRPr="00157004">
        <w:rPr>
          <w:rFonts w:ascii="Bookman Old Style" w:hAnsi="Bookman Old Style" w:cstheme="minorHAnsi"/>
        </w:rPr>
        <w:t xml:space="preserve">: </w:t>
      </w:r>
      <w:r w:rsidR="00067BF8" w:rsidRPr="00157004">
        <w:rPr>
          <w:rFonts w:ascii="Bookman Old Style" w:hAnsi="Bookman Old Style" w:cstheme="minorHAnsi"/>
          <w:i/>
          <w:iCs/>
        </w:rPr>
        <w:t>For all organisations providing programs or activities into Indigenous communities, the requirement of performance monitoring, reporting and evaluation should be adapted to ensure they are appropriate and reflective of the cultural context.</w:t>
      </w:r>
    </w:p>
    <w:p w14:paraId="4AB63C02" w14:textId="77777777" w:rsidR="003C5D56" w:rsidRPr="00157004" w:rsidRDefault="00067BF8" w:rsidP="00C76B14">
      <w:pPr>
        <w:spacing w:line="276" w:lineRule="auto"/>
        <w:rPr>
          <w:rFonts w:ascii="Bookman Old Style" w:hAnsi="Bookman Old Style" w:cstheme="minorHAnsi"/>
        </w:rPr>
      </w:pPr>
      <w:r w:rsidRPr="00157004">
        <w:rPr>
          <w:rFonts w:ascii="Bookman Old Style" w:hAnsi="Bookman Old Style" w:cstheme="minorHAnsi"/>
        </w:rPr>
        <w:t>These same principles</w:t>
      </w:r>
      <w:r w:rsidR="00810508" w:rsidRPr="00157004">
        <w:rPr>
          <w:rFonts w:ascii="Bookman Old Style" w:hAnsi="Bookman Old Style" w:cstheme="minorHAnsi"/>
        </w:rPr>
        <w:t xml:space="preserve">, framed </w:t>
      </w:r>
      <w:r w:rsidR="0060005F" w:rsidRPr="00157004">
        <w:rPr>
          <w:rFonts w:ascii="Bookman Old Style" w:hAnsi="Bookman Old Style" w:cstheme="minorHAnsi"/>
        </w:rPr>
        <w:t>powerfully</w:t>
      </w:r>
      <w:r w:rsidR="00810508" w:rsidRPr="00157004">
        <w:rPr>
          <w:rFonts w:ascii="Bookman Old Style" w:hAnsi="Bookman Old Style" w:cstheme="minorHAnsi"/>
        </w:rPr>
        <w:t xml:space="preserve"> here,</w:t>
      </w:r>
      <w:r w:rsidRPr="00157004">
        <w:rPr>
          <w:rFonts w:ascii="Bookman Old Style" w:hAnsi="Bookman Old Style" w:cstheme="minorHAnsi"/>
        </w:rPr>
        <w:t xml:space="preserve"> should be adopted across the whole spectrum of mental health and social and emotional wellbeing services for Indigenous people and communities. This will assist in ensuring services are acceptable to their intended users and are judged and funded according to legitimate measures of their value. </w:t>
      </w:r>
    </w:p>
    <w:p w14:paraId="4C28FA48" w14:textId="77777777" w:rsidR="002B73CB" w:rsidRPr="00157004" w:rsidRDefault="002B73CB" w:rsidP="00C76B14">
      <w:pPr>
        <w:spacing w:line="276" w:lineRule="auto"/>
        <w:rPr>
          <w:rFonts w:ascii="Bookman Old Style" w:hAnsi="Bookman Old Style" w:cstheme="minorHAnsi"/>
        </w:rPr>
      </w:pPr>
    </w:p>
    <w:p w14:paraId="0A93A877" w14:textId="77777777" w:rsidR="0060005F" w:rsidRPr="00157004" w:rsidRDefault="0060005F" w:rsidP="00C76B14">
      <w:pPr>
        <w:spacing w:line="276" w:lineRule="auto"/>
        <w:rPr>
          <w:rFonts w:ascii="Bookman Old Style" w:hAnsi="Bookman Old Style" w:cstheme="minorHAnsi"/>
          <w:b/>
          <w:bCs/>
        </w:rPr>
      </w:pPr>
      <w:r w:rsidRPr="00157004">
        <w:rPr>
          <w:rFonts w:ascii="Bookman Old Style" w:hAnsi="Bookman Old Style" w:cstheme="minorHAnsi"/>
          <w:b/>
          <w:bCs/>
        </w:rPr>
        <w:t>Workforce</w:t>
      </w:r>
    </w:p>
    <w:p w14:paraId="5DB28551" w14:textId="77777777" w:rsidR="00315708" w:rsidRPr="00157004" w:rsidRDefault="00315708" w:rsidP="00C76B14">
      <w:pPr>
        <w:spacing w:line="276" w:lineRule="auto"/>
        <w:rPr>
          <w:rFonts w:ascii="Bookman Old Style" w:hAnsi="Bookman Old Style" w:cstheme="minorHAnsi"/>
        </w:rPr>
      </w:pPr>
    </w:p>
    <w:p w14:paraId="24B15516" w14:textId="77777777" w:rsidR="00A06C66" w:rsidRPr="00157004" w:rsidRDefault="00597618" w:rsidP="00C76B14">
      <w:pPr>
        <w:spacing w:line="276" w:lineRule="auto"/>
        <w:rPr>
          <w:rFonts w:ascii="Bookman Old Style" w:hAnsi="Bookman Old Style" w:cstheme="minorHAnsi"/>
          <w:b/>
          <w:bCs/>
        </w:rPr>
      </w:pPr>
      <w:r w:rsidRPr="00157004">
        <w:rPr>
          <w:rFonts w:ascii="Bookman Old Style" w:hAnsi="Bookman Old Style" w:cstheme="minorHAnsi"/>
        </w:rPr>
        <w:t xml:space="preserve">Cultural understanding, especially of Indigenous concepts of mental health and social and emotional wellbeing, is essential to providing high quality support to Aboriginal and Torres Strait Islander people. </w:t>
      </w:r>
      <w:r w:rsidR="00612222" w:rsidRPr="00157004">
        <w:rPr>
          <w:rFonts w:ascii="Bookman Old Style" w:hAnsi="Bookman Old Style" w:cstheme="minorHAnsi"/>
        </w:rPr>
        <w:t>All workforces that support Aboriginal people’s mental health and social and emotional wellbeing should be required to undertake cultural competency training relevant to their geographic region and professional practice domain, and to maintain this focus through regular continuing professional development. The professional colleges and other representative organisations vary in their levels of commitment to this objective, and few of them (the RACGP is an exception) model shared governance with Aboriginal and Torres Strait Islander people in their own organisational structures.</w:t>
      </w:r>
      <w:r w:rsidR="00A06C66" w:rsidRPr="00157004">
        <w:rPr>
          <w:rFonts w:ascii="Bookman Old Style" w:hAnsi="Bookman Old Style" w:cstheme="minorHAnsi"/>
        </w:rPr>
        <w:t xml:space="preserve"> We provide an internal working paper that describes the colleges’ and peaks’ policies (not for publication): </w:t>
      </w:r>
      <w:r w:rsidR="00A06C66" w:rsidRPr="00157004">
        <w:rPr>
          <w:rFonts w:ascii="Bookman Old Style" w:hAnsi="Bookman Old Style" w:cstheme="minorHAnsi"/>
          <w:i/>
          <w:iCs/>
        </w:rPr>
        <w:t xml:space="preserve">Mainstream clinical peak groups’ policies and positions on </w:t>
      </w:r>
      <w:r w:rsidR="00A06C66" w:rsidRPr="00157004">
        <w:rPr>
          <w:rFonts w:ascii="Bookman Old Style" w:hAnsi="Bookman Old Style" w:cstheme="minorHAnsi"/>
          <w:i/>
          <w:iCs/>
        </w:rPr>
        <w:lastRenderedPageBreak/>
        <w:t>Aboriginal and Torres Strait Islander people’s mental health and social and emotional wellbeing</w:t>
      </w:r>
    </w:p>
    <w:p w14:paraId="4219EC9B" w14:textId="77777777" w:rsidR="00612222" w:rsidRPr="00157004" w:rsidRDefault="00612222" w:rsidP="00C76B14">
      <w:pPr>
        <w:spacing w:line="276" w:lineRule="auto"/>
        <w:rPr>
          <w:rFonts w:ascii="Bookman Old Style" w:hAnsi="Bookman Old Style" w:cstheme="minorHAnsi"/>
        </w:rPr>
      </w:pPr>
    </w:p>
    <w:p w14:paraId="7796D850" w14:textId="77777777" w:rsidR="00597618" w:rsidRPr="00157004" w:rsidRDefault="002E6B39" w:rsidP="00C76B14">
      <w:pPr>
        <w:spacing w:line="276" w:lineRule="auto"/>
        <w:rPr>
          <w:rFonts w:ascii="Bookman Old Style" w:hAnsi="Bookman Old Style" w:cstheme="minorHAnsi"/>
          <w:color w:val="000000"/>
        </w:rPr>
      </w:pPr>
      <w:r w:rsidRPr="00157004">
        <w:rPr>
          <w:rFonts w:ascii="Bookman Old Style" w:hAnsi="Bookman Old Style" w:cstheme="minorHAnsi"/>
          <w:color w:val="000000"/>
        </w:rPr>
        <w:t xml:space="preserve">In 2016-17, </w:t>
      </w:r>
      <w:r w:rsidR="00597618" w:rsidRPr="00157004">
        <w:rPr>
          <w:rFonts w:ascii="Bookman Old Style" w:hAnsi="Bookman Old Style" w:cstheme="minorHAnsi"/>
          <w:color w:val="000000"/>
        </w:rPr>
        <w:t>Aboriginal Community Controlled Health Organisation</w:t>
      </w:r>
      <w:r w:rsidRPr="00157004">
        <w:rPr>
          <w:rFonts w:ascii="Bookman Old Style" w:hAnsi="Bookman Old Style" w:cstheme="minorHAnsi"/>
          <w:color w:val="000000"/>
        </w:rPr>
        <w:t xml:space="preserve">s delivered primary health care services to </w:t>
      </w:r>
      <w:r w:rsidRPr="00157004">
        <w:rPr>
          <w:rFonts w:ascii="Bookman Old Style" w:hAnsi="Bookman Old Style" w:cstheme="minorHAnsi"/>
        </w:rPr>
        <w:t>about half of the Aboriginal and Torres Strait Islander population. The remainder of Aboriginal and Torres Strait Islander people</w:t>
      </w:r>
      <w:r w:rsidRPr="00157004">
        <w:rPr>
          <w:rFonts w:ascii="Bookman Old Style" w:hAnsi="Bookman Old Style" w:cstheme="minorHAnsi"/>
          <w:color w:val="000000"/>
        </w:rPr>
        <w:t xml:space="preserve"> do not appear to use an ACCHO for their health care</w:t>
      </w:r>
      <w:r w:rsidR="00A06C66" w:rsidRPr="00157004">
        <w:rPr>
          <w:rFonts w:ascii="Bookman Old Style" w:hAnsi="Bookman Old Style" w:cstheme="minorHAnsi"/>
          <w:color w:val="000000"/>
        </w:rPr>
        <w:t xml:space="preserve">, according to </w:t>
      </w:r>
      <w:hyperlink r:id="rId31" w:history="1">
        <w:r w:rsidR="00A06C66" w:rsidRPr="00157004">
          <w:rPr>
            <w:rStyle w:val="Hyperlink"/>
            <w:rFonts w:ascii="Bookman Old Style" w:hAnsi="Bookman Old Style" w:cstheme="minorHAnsi"/>
          </w:rPr>
          <w:t>Australian Institute of Health and Welfare statistics</w:t>
        </w:r>
      </w:hyperlink>
      <w:r w:rsidRPr="00157004">
        <w:rPr>
          <w:rFonts w:ascii="Bookman Old Style" w:hAnsi="Bookman Old Style" w:cstheme="minorHAnsi"/>
          <w:color w:val="000000"/>
        </w:rPr>
        <w:t>. This may be attributable to issues including accessibility, concerns about confidentiality, or preference. In remote areas, ACCHOs provide the bulk of all primary health services to Indigenous people</w:t>
      </w:r>
      <w:r w:rsidR="00597618" w:rsidRPr="00157004">
        <w:rPr>
          <w:rFonts w:ascii="Bookman Old Style" w:hAnsi="Bookman Old Style" w:cstheme="minorHAnsi"/>
          <w:color w:val="000000"/>
        </w:rPr>
        <w:t>, but e</w:t>
      </w:r>
      <w:r w:rsidRPr="00157004">
        <w:rPr>
          <w:rFonts w:ascii="Bookman Old Style" w:hAnsi="Bookman Old Style" w:cstheme="minorHAnsi"/>
          <w:color w:val="000000"/>
        </w:rPr>
        <w:t xml:space="preserve">ven when there are ACCHOs present, mainstream services may have an important role for Aboriginal people. </w:t>
      </w:r>
      <w:r w:rsidR="00597618" w:rsidRPr="00157004">
        <w:rPr>
          <w:rFonts w:ascii="Bookman Old Style" w:hAnsi="Bookman Old Style" w:cstheme="minorHAnsi"/>
          <w:color w:val="000000"/>
        </w:rPr>
        <w:t>The Commission’s chapter on the mental health workforce (pp 367-4</w:t>
      </w:r>
      <w:r w:rsidR="00B15C8C" w:rsidRPr="00157004">
        <w:rPr>
          <w:rFonts w:ascii="Bookman Old Style" w:hAnsi="Bookman Old Style" w:cstheme="minorHAnsi"/>
          <w:color w:val="000000"/>
        </w:rPr>
        <w:t>12</w:t>
      </w:r>
      <w:r w:rsidR="00597618" w:rsidRPr="00157004">
        <w:rPr>
          <w:rFonts w:ascii="Bookman Old Style" w:hAnsi="Bookman Old Style" w:cstheme="minorHAnsi"/>
          <w:color w:val="000000"/>
        </w:rPr>
        <w:t>) should include cultural competency as a core skill across all professional disciplines.</w:t>
      </w:r>
    </w:p>
    <w:p w14:paraId="70F56561" w14:textId="77777777" w:rsidR="005354A5" w:rsidRPr="00157004" w:rsidRDefault="005354A5" w:rsidP="00C76B14">
      <w:pPr>
        <w:spacing w:line="276" w:lineRule="auto"/>
        <w:rPr>
          <w:rFonts w:ascii="Bookman Old Style" w:hAnsi="Bookman Old Style" w:cstheme="minorHAnsi"/>
          <w:color w:val="000000"/>
        </w:rPr>
      </w:pPr>
    </w:p>
    <w:p w14:paraId="113F1EDF" w14:textId="77777777" w:rsidR="00A50443" w:rsidRPr="00157004" w:rsidRDefault="00A50443" w:rsidP="00C76B14">
      <w:pPr>
        <w:spacing w:line="276" w:lineRule="auto"/>
        <w:rPr>
          <w:rFonts w:ascii="Bookman Old Style" w:hAnsi="Bookman Old Style" w:cstheme="minorHAnsi"/>
        </w:rPr>
      </w:pPr>
      <w:r w:rsidRPr="00157004">
        <w:rPr>
          <w:rFonts w:ascii="Bookman Old Style" w:hAnsi="Bookman Old Style" w:cstheme="minorHAnsi"/>
          <w:color w:val="000000"/>
        </w:rPr>
        <w:t xml:space="preserve">In addition, </w:t>
      </w:r>
      <w:r w:rsidR="005354A5" w:rsidRPr="00157004">
        <w:rPr>
          <w:rFonts w:ascii="Bookman Old Style" w:hAnsi="Bookman Old Style" w:cstheme="minorHAnsi"/>
          <w:color w:val="000000"/>
        </w:rPr>
        <w:t xml:space="preserve">Indigenous people are </w:t>
      </w:r>
      <w:r w:rsidRPr="00157004">
        <w:rPr>
          <w:rFonts w:ascii="Bookman Old Style" w:hAnsi="Bookman Old Style" w:cstheme="minorHAnsi"/>
          <w:color w:val="000000"/>
        </w:rPr>
        <w:t xml:space="preserve">likely to be disproportionately impacted by the workforce shortages the Commission has described in rural and remote areas, as </w:t>
      </w:r>
      <w:hyperlink r:id="rId32" w:history="1">
        <w:r w:rsidRPr="00157004">
          <w:rPr>
            <w:rStyle w:val="Hyperlink"/>
            <w:rFonts w:ascii="Bookman Old Style" w:hAnsi="Bookman Old Style" w:cstheme="minorHAnsi"/>
          </w:rPr>
          <w:t>22% of Indigenous people live in remote and very remote locations</w:t>
        </w:r>
      </w:hyperlink>
      <w:r w:rsidRPr="00157004">
        <w:rPr>
          <w:rFonts w:ascii="Bookman Old Style" w:hAnsi="Bookman Old Style" w:cstheme="minorHAnsi"/>
          <w:color w:val="000000"/>
        </w:rPr>
        <w:t xml:space="preserve">, compared to 2% of non-Indigenous people. </w:t>
      </w:r>
    </w:p>
    <w:p w14:paraId="3D900264" w14:textId="77777777" w:rsidR="002E6B39" w:rsidRPr="00157004" w:rsidRDefault="002E6B39" w:rsidP="00C76B14">
      <w:pPr>
        <w:spacing w:line="276" w:lineRule="auto"/>
        <w:rPr>
          <w:rFonts w:ascii="Bookman Old Style" w:hAnsi="Bookman Old Style" w:cstheme="minorHAnsi"/>
        </w:rPr>
      </w:pPr>
    </w:p>
    <w:p w14:paraId="58B884B4" w14:textId="77777777" w:rsidR="00597618" w:rsidRPr="00157004" w:rsidRDefault="00A50443" w:rsidP="00C76B14">
      <w:pPr>
        <w:spacing w:line="276" w:lineRule="auto"/>
        <w:rPr>
          <w:rFonts w:ascii="Bookman Old Style" w:hAnsi="Bookman Old Style" w:cstheme="minorHAnsi"/>
        </w:rPr>
      </w:pPr>
      <w:r w:rsidRPr="00157004">
        <w:rPr>
          <w:rFonts w:ascii="Bookman Old Style" w:hAnsi="Bookman Old Style" w:cstheme="minorHAnsi"/>
        </w:rPr>
        <w:t>In its consideration of the needs of Indigenous people in this chapter, t</w:t>
      </w:r>
      <w:r w:rsidR="00597618" w:rsidRPr="00157004">
        <w:rPr>
          <w:rFonts w:ascii="Bookman Old Style" w:hAnsi="Bookman Old Style" w:cstheme="minorHAnsi"/>
        </w:rPr>
        <w:t>he Commission focuses</w:t>
      </w:r>
      <w:r w:rsidR="00C9022C" w:rsidRPr="00157004">
        <w:rPr>
          <w:rFonts w:ascii="Bookman Old Style" w:hAnsi="Bookman Old Style" w:cstheme="minorHAnsi"/>
        </w:rPr>
        <w:t xml:space="preserve"> </w:t>
      </w:r>
      <w:r w:rsidR="00597618" w:rsidRPr="00157004">
        <w:rPr>
          <w:rFonts w:ascii="Bookman Old Style" w:hAnsi="Bookman Old Style" w:cstheme="minorHAnsi"/>
        </w:rPr>
        <w:t>on the professional development of Indigenous workers in supporting the mental health and social and emotional wellbeing of Aboriginal and Torres Strait Islander people</w:t>
      </w:r>
      <w:r w:rsidRPr="00157004">
        <w:rPr>
          <w:rFonts w:ascii="Bookman Old Style" w:hAnsi="Bookman Old Style" w:cstheme="minorHAnsi"/>
        </w:rPr>
        <w:t xml:space="preserve">. </w:t>
      </w:r>
      <w:r w:rsidR="00C9022C" w:rsidRPr="00157004">
        <w:rPr>
          <w:rFonts w:ascii="Bookman Old Style" w:hAnsi="Bookman Old Style" w:cstheme="minorHAnsi"/>
        </w:rPr>
        <w:t>We support this emphasis, and make the following observations:</w:t>
      </w:r>
    </w:p>
    <w:p w14:paraId="39C7C715" w14:textId="77777777" w:rsidR="00C9022C" w:rsidRPr="00157004" w:rsidRDefault="00C9022C" w:rsidP="00C76B14">
      <w:pPr>
        <w:spacing w:line="276" w:lineRule="auto"/>
        <w:rPr>
          <w:rFonts w:ascii="Bookman Old Style" w:hAnsi="Bookman Old Style" w:cstheme="minorHAnsi"/>
        </w:rPr>
      </w:pPr>
    </w:p>
    <w:p w14:paraId="402D345D" w14:textId="77777777" w:rsidR="005354A5" w:rsidRPr="00157004" w:rsidRDefault="00564E00" w:rsidP="00C76B14">
      <w:pPr>
        <w:pStyle w:val="ListParagraph"/>
        <w:numPr>
          <w:ilvl w:val="0"/>
          <w:numId w:val="7"/>
        </w:numPr>
        <w:spacing w:line="276" w:lineRule="auto"/>
        <w:rPr>
          <w:rFonts w:ascii="Bookman Old Style" w:hAnsi="Bookman Old Style" w:cstheme="minorHAnsi"/>
        </w:rPr>
      </w:pPr>
      <w:r w:rsidRPr="00157004">
        <w:rPr>
          <w:rFonts w:ascii="Bookman Old Style" w:hAnsi="Bookman Old Style" w:cstheme="minorHAnsi"/>
        </w:rPr>
        <w:t>It will require decades of commitment to develop significant numbers of highly skilled, respected Indigenous mental health workers across multiple professions.</w:t>
      </w:r>
      <w:r w:rsidR="00C70A36" w:rsidRPr="00157004">
        <w:rPr>
          <w:rFonts w:ascii="Bookman Old Style" w:hAnsi="Bookman Old Style" w:cstheme="minorHAnsi"/>
        </w:rPr>
        <w:t xml:space="preserve"> </w:t>
      </w:r>
      <w:r w:rsidRPr="00157004">
        <w:rPr>
          <w:rFonts w:ascii="Bookman Old Style" w:hAnsi="Bookman Old Style" w:cstheme="minorHAnsi"/>
        </w:rPr>
        <w:t>T</w:t>
      </w:r>
      <w:r w:rsidR="00315708" w:rsidRPr="00157004">
        <w:rPr>
          <w:rFonts w:ascii="Bookman Old Style" w:hAnsi="Bookman Old Style" w:cstheme="minorHAnsi"/>
          <w:color w:val="1D2228"/>
        </w:rPr>
        <w:t xml:space="preserve">here needs to be strong commitment to the multiple needs of Aboriginal and Torres Strait Islander </w:t>
      </w:r>
      <w:r w:rsidR="00A50443" w:rsidRPr="00157004">
        <w:rPr>
          <w:rFonts w:ascii="Bookman Old Style" w:hAnsi="Bookman Old Style" w:cstheme="minorHAnsi"/>
          <w:color w:val="1D2228"/>
        </w:rPr>
        <w:t>p</w:t>
      </w:r>
      <w:r w:rsidR="00315708" w:rsidRPr="00157004">
        <w:rPr>
          <w:rFonts w:ascii="Bookman Old Style" w:hAnsi="Bookman Old Style" w:cstheme="minorHAnsi"/>
          <w:color w:val="1D2228"/>
        </w:rPr>
        <w:t>eople</w:t>
      </w:r>
      <w:r w:rsidR="005354A5" w:rsidRPr="00157004">
        <w:rPr>
          <w:rFonts w:ascii="Bookman Old Style" w:hAnsi="Bookman Old Style" w:cstheme="minorHAnsi"/>
          <w:color w:val="1D2228"/>
        </w:rPr>
        <w:t xml:space="preserve"> in the development of:</w:t>
      </w:r>
      <w:r w:rsidR="00315708" w:rsidRPr="00157004">
        <w:rPr>
          <w:rFonts w:ascii="Bookman Old Style" w:hAnsi="Bookman Old Style" w:cstheme="minorHAnsi"/>
          <w:color w:val="1D2228"/>
        </w:rPr>
        <w:t xml:space="preserve"> </w:t>
      </w:r>
    </w:p>
    <w:p w14:paraId="213EB56B" w14:textId="77777777" w:rsidR="005354A5" w:rsidRPr="00157004" w:rsidRDefault="00315708" w:rsidP="00C76B14">
      <w:pPr>
        <w:pStyle w:val="ListParagraph"/>
        <w:numPr>
          <w:ilvl w:val="1"/>
          <w:numId w:val="7"/>
        </w:numPr>
        <w:shd w:val="clear" w:color="auto" w:fill="FFFFFF"/>
        <w:spacing w:line="276" w:lineRule="auto"/>
        <w:rPr>
          <w:rFonts w:ascii="Bookman Old Style" w:hAnsi="Bookman Old Style" w:cstheme="minorHAnsi"/>
          <w:color w:val="1D2228"/>
        </w:rPr>
      </w:pPr>
      <w:r w:rsidRPr="00157004">
        <w:rPr>
          <w:rFonts w:ascii="Bookman Old Style" w:hAnsi="Bookman Old Style" w:cstheme="minorHAnsi"/>
          <w:color w:val="1D2228"/>
        </w:rPr>
        <w:t>the </w:t>
      </w:r>
      <w:r w:rsidRPr="00157004">
        <w:rPr>
          <w:rFonts w:ascii="Bookman Old Style" w:hAnsi="Bookman Old Style" w:cstheme="minorHAnsi"/>
          <w:i/>
          <w:iCs/>
          <w:color w:val="1D2228"/>
        </w:rPr>
        <w:t>National Mental Health Workforce Strategy</w:t>
      </w:r>
    </w:p>
    <w:p w14:paraId="7DC29758" w14:textId="77777777" w:rsidR="005354A5" w:rsidRPr="00157004" w:rsidRDefault="00564E00" w:rsidP="00C76B14">
      <w:pPr>
        <w:pStyle w:val="ListParagraph"/>
        <w:numPr>
          <w:ilvl w:val="1"/>
          <w:numId w:val="7"/>
        </w:numPr>
        <w:shd w:val="clear" w:color="auto" w:fill="FFFFFF"/>
        <w:spacing w:line="276" w:lineRule="auto"/>
        <w:rPr>
          <w:rFonts w:ascii="Bookman Old Style" w:hAnsi="Bookman Old Style" w:cstheme="minorHAnsi"/>
          <w:color w:val="1D2228"/>
        </w:rPr>
      </w:pPr>
      <w:r w:rsidRPr="00157004">
        <w:rPr>
          <w:rFonts w:ascii="Bookman Old Style" w:hAnsi="Bookman Old Style" w:cstheme="minorHAnsi"/>
          <w:color w:val="1D2228"/>
        </w:rPr>
        <w:t xml:space="preserve">the </w:t>
      </w:r>
      <w:r w:rsidR="00315708" w:rsidRPr="00157004">
        <w:rPr>
          <w:rFonts w:ascii="Bookman Old Style" w:hAnsi="Bookman Old Style" w:cstheme="minorHAnsi"/>
          <w:i/>
          <w:iCs/>
          <w:color w:val="1D2228"/>
        </w:rPr>
        <w:t>National Aboriginal and Torres Strait Islander Health Workforce Plan</w:t>
      </w:r>
    </w:p>
    <w:p w14:paraId="65EC34E3" w14:textId="77777777" w:rsidR="005354A5" w:rsidRPr="00157004" w:rsidRDefault="005354A5" w:rsidP="00C76B14">
      <w:pPr>
        <w:pStyle w:val="ListParagraph"/>
        <w:numPr>
          <w:ilvl w:val="1"/>
          <w:numId w:val="7"/>
        </w:numPr>
        <w:shd w:val="clear" w:color="auto" w:fill="FFFFFF"/>
        <w:spacing w:line="276" w:lineRule="auto"/>
        <w:rPr>
          <w:rFonts w:ascii="Bookman Old Style" w:hAnsi="Bookman Old Style" w:cstheme="minorHAnsi"/>
          <w:color w:val="1D2228"/>
        </w:rPr>
      </w:pPr>
      <w:r w:rsidRPr="00157004">
        <w:rPr>
          <w:rFonts w:ascii="Bookman Old Style" w:hAnsi="Bookman Old Style" w:cstheme="minorHAnsi"/>
          <w:color w:val="1D2228"/>
        </w:rPr>
        <w:t xml:space="preserve">additions to </w:t>
      </w:r>
      <w:r w:rsidR="00315708" w:rsidRPr="00157004">
        <w:rPr>
          <w:rFonts w:ascii="Bookman Old Style" w:hAnsi="Bookman Old Style" w:cstheme="minorHAnsi"/>
          <w:color w:val="1D2228"/>
        </w:rPr>
        <w:t>the </w:t>
      </w:r>
      <w:r w:rsidR="00315708" w:rsidRPr="00157004">
        <w:rPr>
          <w:rFonts w:ascii="Bookman Old Style" w:hAnsi="Bookman Old Style" w:cstheme="minorHAnsi"/>
          <w:i/>
          <w:iCs/>
          <w:color w:val="1D2228"/>
        </w:rPr>
        <w:t>National</w:t>
      </w:r>
      <w:r w:rsidR="005F1546" w:rsidRPr="00157004">
        <w:rPr>
          <w:rFonts w:ascii="Bookman Old Style" w:hAnsi="Bookman Old Style" w:cstheme="minorHAnsi"/>
          <w:i/>
          <w:iCs/>
          <w:color w:val="1D2228"/>
        </w:rPr>
        <w:t xml:space="preserve"> Mental Health</w:t>
      </w:r>
      <w:r w:rsidR="00315708" w:rsidRPr="00157004">
        <w:rPr>
          <w:rFonts w:ascii="Bookman Old Style" w:hAnsi="Bookman Old Style" w:cstheme="minorHAnsi"/>
          <w:i/>
          <w:iCs/>
          <w:color w:val="1D2228"/>
        </w:rPr>
        <w:t xml:space="preserve"> Service Planning Framework</w:t>
      </w:r>
      <w:r w:rsidR="00315708" w:rsidRPr="00157004">
        <w:rPr>
          <w:rFonts w:ascii="Bookman Old Style" w:hAnsi="Bookman Old Style" w:cstheme="minorHAnsi"/>
          <w:color w:val="1D2228"/>
        </w:rPr>
        <w:t xml:space="preserve"> relating to the workforce needs of Aboriginal and Torres Strait Islander People</w:t>
      </w:r>
      <w:r w:rsidRPr="00157004">
        <w:rPr>
          <w:rFonts w:ascii="Bookman Old Style" w:hAnsi="Bookman Old Style" w:cstheme="minorHAnsi"/>
          <w:color w:val="1D2228"/>
        </w:rPr>
        <w:t>s</w:t>
      </w:r>
    </w:p>
    <w:p w14:paraId="31B5CC92" w14:textId="77777777" w:rsidR="00C70A36" w:rsidRPr="00157004" w:rsidRDefault="00315708" w:rsidP="00C76B14">
      <w:pPr>
        <w:pStyle w:val="ListParagraph"/>
        <w:numPr>
          <w:ilvl w:val="1"/>
          <w:numId w:val="7"/>
        </w:numPr>
        <w:shd w:val="clear" w:color="auto" w:fill="FFFFFF"/>
        <w:spacing w:line="276" w:lineRule="auto"/>
        <w:rPr>
          <w:rFonts w:ascii="Bookman Old Style" w:hAnsi="Bookman Old Style" w:cstheme="minorHAnsi"/>
        </w:rPr>
      </w:pPr>
      <w:r w:rsidRPr="00157004">
        <w:rPr>
          <w:rFonts w:ascii="Bookman Old Style" w:hAnsi="Bookman Old Style" w:cstheme="minorHAnsi"/>
          <w:color w:val="1D2228"/>
        </w:rPr>
        <w:t xml:space="preserve">The </w:t>
      </w:r>
      <w:r w:rsidRPr="00157004">
        <w:rPr>
          <w:rFonts w:ascii="Bookman Old Style" w:hAnsi="Bookman Old Style" w:cstheme="minorHAnsi"/>
          <w:i/>
          <w:iCs/>
          <w:color w:val="1D2228"/>
        </w:rPr>
        <w:t>National Suicide Prevention Strategy</w:t>
      </w:r>
      <w:r w:rsidRPr="00157004">
        <w:rPr>
          <w:rFonts w:ascii="Bookman Old Style" w:hAnsi="Bookman Old Style" w:cstheme="minorHAnsi"/>
          <w:color w:val="1D2228"/>
        </w:rPr>
        <w:t xml:space="preserve"> (NSPS)</w:t>
      </w:r>
      <w:r w:rsidR="005354A5" w:rsidRPr="00157004">
        <w:rPr>
          <w:rFonts w:ascii="Bookman Old Style" w:hAnsi="Bookman Old Style" w:cstheme="minorHAnsi"/>
          <w:color w:val="1D2228"/>
        </w:rPr>
        <w:t xml:space="preserve">, which </w:t>
      </w:r>
      <w:r w:rsidRPr="00157004">
        <w:rPr>
          <w:rFonts w:ascii="Bookman Old Style" w:hAnsi="Bookman Old Style" w:cstheme="minorHAnsi"/>
          <w:color w:val="1D2228"/>
        </w:rPr>
        <w:t>requires a dedicated Aboriginal and Torres Strait Islander Peoples’ Suicide Prevention Plan</w:t>
      </w:r>
      <w:r w:rsidR="005354A5" w:rsidRPr="00157004">
        <w:rPr>
          <w:rFonts w:ascii="Bookman Old Style" w:hAnsi="Bookman Old Style" w:cstheme="minorHAnsi"/>
          <w:color w:val="1D2228"/>
        </w:rPr>
        <w:t>, addressing workforce needs alongside other issues.</w:t>
      </w:r>
    </w:p>
    <w:p w14:paraId="2675CA4B" w14:textId="77777777" w:rsidR="00C70A36" w:rsidRPr="00157004" w:rsidRDefault="00C70A36" w:rsidP="00C76B14">
      <w:pPr>
        <w:shd w:val="clear" w:color="auto" w:fill="FFFFFF"/>
        <w:spacing w:line="276" w:lineRule="auto"/>
        <w:rPr>
          <w:rFonts w:ascii="Bookman Old Style" w:hAnsi="Bookman Old Style" w:cstheme="minorHAnsi"/>
        </w:rPr>
      </w:pPr>
    </w:p>
    <w:p w14:paraId="0FDE5D24" w14:textId="77777777" w:rsidR="00C70A36" w:rsidRPr="00157004" w:rsidRDefault="00C70A36" w:rsidP="00C76B14">
      <w:pPr>
        <w:pStyle w:val="ListParagraph"/>
        <w:numPr>
          <w:ilvl w:val="0"/>
          <w:numId w:val="7"/>
        </w:numPr>
        <w:shd w:val="clear" w:color="auto" w:fill="FFFFFF"/>
        <w:spacing w:line="276" w:lineRule="auto"/>
        <w:rPr>
          <w:rFonts w:ascii="Bookman Old Style" w:hAnsi="Bookman Old Style" w:cstheme="minorHAnsi"/>
        </w:rPr>
      </w:pPr>
      <w:r w:rsidRPr="00157004">
        <w:rPr>
          <w:rFonts w:ascii="Bookman Old Style" w:hAnsi="Bookman Old Style" w:cstheme="minorHAnsi"/>
        </w:rPr>
        <w:lastRenderedPageBreak/>
        <w:t xml:space="preserve">The </w:t>
      </w:r>
      <w:hyperlink r:id="rId33" w:history="1">
        <w:r w:rsidRPr="00157004">
          <w:rPr>
            <w:rStyle w:val="Hyperlink"/>
            <w:rFonts w:ascii="Bookman Old Style" w:hAnsi="Bookman Old Style" w:cstheme="minorHAnsi"/>
          </w:rPr>
          <w:t>Djirruwang Program</w:t>
        </w:r>
      </w:hyperlink>
      <w:r w:rsidRPr="00157004">
        <w:rPr>
          <w:rFonts w:ascii="Bookman Old Style" w:hAnsi="Bookman Old Style" w:cstheme="minorHAnsi"/>
        </w:rPr>
        <w:t xml:space="preserve">, which runs the Bachelor of Health Science (Mental Health) degree at Charles Sturt University, offers a model for how Aboriginal or Torres Strait Islander can benefit from education programs that are tailored to Indigenous people’s needs – both for students and for community members seeking support. </w:t>
      </w:r>
      <w:r w:rsidR="0080718D" w:rsidRPr="00157004">
        <w:rPr>
          <w:rFonts w:ascii="Bookman Old Style" w:hAnsi="Bookman Old Style" w:cstheme="minorHAnsi"/>
        </w:rPr>
        <w:t xml:space="preserve">The essence of the Program is to grow a mental health workforce locally within the community in which people live. Other models </w:t>
      </w:r>
      <w:r w:rsidR="005F1546" w:rsidRPr="00157004">
        <w:rPr>
          <w:rFonts w:ascii="Bookman Old Style" w:hAnsi="Bookman Old Style" w:cstheme="minorHAnsi"/>
        </w:rPr>
        <w:t xml:space="preserve">that depend on </w:t>
      </w:r>
      <w:r w:rsidR="0080718D" w:rsidRPr="00157004">
        <w:rPr>
          <w:rFonts w:ascii="Bookman Old Style" w:hAnsi="Bookman Old Style" w:cstheme="minorHAnsi"/>
        </w:rPr>
        <w:t>importing a workforce are not sustainable</w:t>
      </w:r>
      <w:r w:rsidR="005F1546" w:rsidRPr="00157004">
        <w:rPr>
          <w:rFonts w:ascii="Bookman Old Style" w:hAnsi="Bookman Old Style" w:cstheme="minorHAnsi"/>
        </w:rPr>
        <w:t xml:space="preserve">. </w:t>
      </w:r>
      <w:r w:rsidR="00315708" w:rsidRPr="00157004">
        <w:rPr>
          <w:rFonts w:ascii="Bookman Old Style" w:hAnsi="Bookman Old Style" w:cstheme="minorHAnsi"/>
        </w:rPr>
        <w:t xml:space="preserve">The NSW Aboriginal Mental Health Workforce Program (AMHWP) utilises the Djirruwang Program as the education provider across all Local Health Districts and </w:t>
      </w:r>
      <w:r w:rsidRPr="00157004">
        <w:rPr>
          <w:rFonts w:ascii="Bookman Old Style" w:hAnsi="Bookman Old Style" w:cstheme="minorHAnsi"/>
        </w:rPr>
        <w:t xml:space="preserve">the </w:t>
      </w:r>
      <w:r w:rsidR="00315708" w:rsidRPr="00157004">
        <w:rPr>
          <w:rFonts w:ascii="Bookman Old Style" w:hAnsi="Bookman Old Style" w:cstheme="minorHAnsi"/>
        </w:rPr>
        <w:t xml:space="preserve">Justice Health &amp; Forensic Mental Health </w:t>
      </w:r>
      <w:r w:rsidRPr="00157004">
        <w:rPr>
          <w:rFonts w:ascii="Bookman Old Style" w:hAnsi="Bookman Old Style" w:cstheme="minorHAnsi"/>
        </w:rPr>
        <w:t>Network</w:t>
      </w:r>
      <w:r w:rsidR="00315708" w:rsidRPr="00157004">
        <w:rPr>
          <w:rFonts w:ascii="Bookman Old Style" w:hAnsi="Bookman Old Style" w:cstheme="minorHAnsi"/>
        </w:rPr>
        <w:t xml:space="preserve">. </w:t>
      </w:r>
    </w:p>
    <w:p w14:paraId="60A7E2E7" w14:textId="77777777" w:rsidR="00315708" w:rsidRPr="00157004" w:rsidRDefault="00315708" w:rsidP="00C76B14">
      <w:pPr>
        <w:shd w:val="clear" w:color="auto" w:fill="FFFFFF"/>
        <w:spacing w:line="276" w:lineRule="auto"/>
        <w:ind w:left="720"/>
        <w:rPr>
          <w:rFonts w:ascii="Bookman Old Style" w:hAnsi="Bookman Old Style" w:cstheme="minorHAnsi"/>
        </w:rPr>
      </w:pPr>
      <w:r w:rsidRPr="00157004">
        <w:rPr>
          <w:rFonts w:ascii="Bookman Old Style" w:hAnsi="Bookman Old Style" w:cstheme="minorHAnsi"/>
        </w:rPr>
        <w:t xml:space="preserve">The degree is </w:t>
      </w:r>
      <w:r w:rsidR="00C70A36" w:rsidRPr="00157004">
        <w:rPr>
          <w:rFonts w:ascii="Bookman Old Style" w:hAnsi="Bookman Old Style" w:cstheme="minorHAnsi"/>
        </w:rPr>
        <w:t>e</w:t>
      </w:r>
      <w:r w:rsidRPr="00157004">
        <w:rPr>
          <w:rFonts w:ascii="Bookman Old Style" w:hAnsi="Bookman Old Style" w:cstheme="minorHAnsi"/>
        </w:rPr>
        <w:t xml:space="preserve">ndorsed by the </w:t>
      </w:r>
      <w:r w:rsidR="00B15C8C" w:rsidRPr="00157004">
        <w:rPr>
          <w:rFonts w:ascii="Bookman Old Style" w:hAnsi="Bookman Old Style" w:cstheme="minorHAnsi"/>
        </w:rPr>
        <w:t xml:space="preserve">NSW </w:t>
      </w:r>
      <w:r w:rsidRPr="00157004">
        <w:rPr>
          <w:rFonts w:ascii="Bookman Old Style" w:hAnsi="Bookman Old Style" w:cstheme="minorHAnsi"/>
        </w:rPr>
        <w:t xml:space="preserve">Ministry of Health for reasons including </w:t>
      </w:r>
      <w:r w:rsidR="00C70A36" w:rsidRPr="00157004">
        <w:rPr>
          <w:rFonts w:ascii="Bookman Old Style" w:hAnsi="Bookman Old Style" w:cstheme="minorHAnsi"/>
        </w:rPr>
        <w:t>its</w:t>
      </w:r>
      <w:r w:rsidRPr="00157004">
        <w:rPr>
          <w:rFonts w:ascii="Bookman Old Style" w:hAnsi="Bookman Old Style" w:cstheme="minorHAnsi"/>
        </w:rPr>
        <w:t xml:space="preserve"> cultural relevance, the </w:t>
      </w:r>
      <w:r w:rsidR="00C70A36" w:rsidRPr="00157004">
        <w:rPr>
          <w:rFonts w:ascii="Bookman Old Style" w:hAnsi="Bookman Old Style" w:cstheme="minorHAnsi"/>
        </w:rPr>
        <w:t xml:space="preserve">mapping of the </w:t>
      </w:r>
      <w:r w:rsidRPr="00157004">
        <w:rPr>
          <w:rFonts w:ascii="Bookman Old Style" w:hAnsi="Bookman Old Style" w:cstheme="minorHAnsi"/>
        </w:rPr>
        <w:t xml:space="preserve">curriculum against the National Practice Standards for the Mental Health Workforce (revised 2013) and </w:t>
      </w:r>
      <w:r w:rsidR="00A82BAB" w:rsidRPr="00157004">
        <w:rPr>
          <w:rFonts w:ascii="Bookman Old Style" w:hAnsi="Bookman Old Style" w:cstheme="minorHAnsi"/>
        </w:rPr>
        <w:t xml:space="preserve">relevance to sector </w:t>
      </w:r>
      <w:r w:rsidRPr="00157004">
        <w:rPr>
          <w:rFonts w:ascii="Bookman Old Style" w:hAnsi="Bookman Old Style" w:cstheme="minorHAnsi"/>
        </w:rPr>
        <w:t xml:space="preserve">needs. </w:t>
      </w:r>
      <w:r w:rsidR="00A82BAB" w:rsidRPr="00157004">
        <w:rPr>
          <w:rFonts w:ascii="Bookman Old Style" w:hAnsi="Bookman Old Style" w:cstheme="minorHAnsi"/>
        </w:rPr>
        <w:t>It</w:t>
      </w:r>
      <w:r w:rsidRPr="00157004">
        <w:rPr>
          <w:rFonts w:ascii="Bookman Old Style" w:hAnsi="Bookman Old Style" w:cstheme="minorHAnsi"/>
        </w:rPr>
        <w:t xml:space="preserve"> is deemed equivalent to a degree in counselling</w:t>
      </w:r>
      <w:r w:rsidR="00A82BAB" w:rsidRPr="00157004">
        <w:rPr>
          <w:rFonts w:ascii="Bookman Old Style" w:hAnsi="Bookman Old Style" w:cstheme="minorHAnsi"/>
        </w:rPr>
        <w:t xml:space="preserve"> (in terms of</w:t>
      </w:r>
      <w:r w:rsidRPr="00157004">
        <w:rPr>
          <w:rFonts w:ascii="Bookman Old Style" w:hAnsi="Bookman Old Style" w:cstheme="minorHAnsi"/>
        </w:rPr>
        <w:t xml:space="preserve"> determining an appropriate Award</w:t>
      </w:r>
      <w:r w:rsidR="00A82BAB" w:rsidRPr="00157004">
        <w:rPr>
          <w:rFonts w:ascii="Bookman Old Style" w:hAnsi="Bookman Old Style" w:cstheme="minorHAnsi"/>
        </w:rPr>
        <w:t xml:space="preserve"> for graduates’ employment), and graduates are </w:t>
      </w:r>
      <w:r w:rsidRPr="00157004">
        <w:rPr>
          <w:rFonts w:ascii="Bookman Old Style" w:hAnsi="Bookman Old Style" w:cstheme="minorHAnsi"/>
        </w:rPr>
        <w:t>able to perform clinical professional roles as mental health workers</w:t>
      </w:r>
      <w:r w:rsidR="00A82BAB" w:rsidRPr="00157004">
        <w:rPr>
          <w:rFonts w:ascii="Bookman Old Style" w:hAnsi="Bookman Old Style" w:cstheme="minorHAnsi"/>
        </w:rPr>
        <w:t>.</w:t>
      </w:r>
    </w:p>
    <w:p w14:paraId="23B893EF" w14:textId="77777777" w:rsidR="002C6CD3" w:rsidRPr="00157004" w:rsidRDefault="002C6CD3" w:rsidP="00C76B14">
      <w:pPr>
        <w:shd w:val="clear" w:color="auto" w:fill="FFFFFF"/>
        <w:spacing w:line="276" w:lineRule="auto"/>
        <w:rPr>
          <w:rFonts w:ascii="Bookman Old Style" w:hAnsi="Bookman Old Style" w:cstheme="minorHAnsi"/>
          <w:color w:val="1D2228"/>
        </w:rPr>
      </w:pPr>
    </w:p>
    <w:p w14:paraId="7B0FED65" w14:textId="77777777" w:rsidR="00315708" w:rsidRPr="00157004" w:rsidRDefault="00315708" w:rsidP="00C76B14">
      <w:pPr>
        <w:shd w:val="clear" w:color="auto" w:fill="FFFFFF"/>
        <w:spacing w:line="276" w:lineRule="auto"/>
        <w:rPr>
          <w:rFonts w:ascii="Bookman Old Style" w:hAnsi="Bookman Old Style" w:cstheme="minorHAnsi"/>
          <w:color w:val="1D2228"/>
        </w:rPr>
      </w:pPr>
      <w:r w:rsidRPr="00157004">
        <w:rPr>
          <w:rFonts w:ascii="Bookman Old Style" w:hAnsi="Bookman Old Style" w:cstheme="minorHAnsi"/>
          <w:b/>
          <w:bCs/>
          <w:color w:val="1D2228"/>
        </w:rPr>
        <w:t>INFORMATION REQUEST 11.1</w:t>
      </w:r>
      <w:r w:rsidRPr="00157004">
        <w:rPr>
          <w:rFonts w:ascii="Bookman Old Style" w:hAnsi="Bookman Old Style" w:cstheme="minorHAnsi"/>
          <w:color w:val="1D2228"/>
        </w:rPr>
        <w:t xml:space="preserve"> - ABORIGINAL AND TORRES STRAIT ISLANDER</w:t>
      </w:r>
      <w:r w:rsidR="00A82BAB" w:rsidRPr="00157004">
        <w:rPr>
          <w:rFonts w:ascii="Bookman Old Style" w:hAnsi="Bookman Old Style" w:cstheme="minorHAnsi"/>
          <w:color w:val="1D2228"/>
        </w:rPr>
        <w:t xml:space="preserve"> </w:t>
      </w:r>
      <w:r w:rsidRPr="00157004">
        <w:rPr>
          <w:rFonts w:ascii="Bookman Old Style" w:hAnsi="Bookman Old Style" w:cstheme="minorHAnsi"/>
          <w:color w:val="1D2228"/>
        </w:rPr>
        <w:t>HEALTH WORKERS</w:t>
      </w:r>
    </w:p>
    <w:p w14:paraId="2D133706" w14:textId="77777777" w:rsidR="00A82BAB" w:rsidRPr="00157004" w:rsidRDefault="00A82BAB" w:rsidP="00C76B14">
      <w:pPr>
        <w:shd w:val="clear" w:color="auto" w:fill="FFFFFF"/>
        <w:spacing w:line="276" w:lineRule="auto"/>
        <w:rPr>
          <w:rFonts w:ascii="Bookman Old Style" w:hAnsi="Bookman Old Style" w:cstheme="minorHAnsi"/>
          <w:color w:val="1D2228"/>
        </w:rPr>
      </w:pPr>
    </w:p>
    <w:p w14:paraId="5532BA6B" w14:textId="77777777" w:rsidR="005F1546" w:rsidRPr="00157004" w:rsidRDefault="00A82BAB" w:rsidP="00C76B14">
      <w:pPr>
        <w:shd w:val="clear" w:color="auto" w:fill="FFFFFF"/>
        <w:spacing w:line="276" w:lineRule="auto"/>
        <w:rPr>
          <w:rFonts w:ascii="Bookman Old Style" w:hAnsi="Bookman Old Style" w:cstheme="minorHAnsi"/>
          <w:color w:val="000000" w:themeColor="text1"/>
        </w:rPr>
      </w:pPr>
      <w:r w:rsidRPr="00157004">
        <w:rPr>
          <w:rFonts w:ascii="Bookman Old Style" w:hAnsi="Bookman Old Style" w:cstheme="minorHAnsi"/>
          <w:color w:val="1D2228"/>
        </w:rPr>
        <w:t xml:space="preserve">The information provided above </w:t>
      </w:r>
      <w:r w:rsidR="002B1D22" w:rsidRPr="00157004">
        <w:rPr>
          <w:rFonts w:ascii="Bookman Old Style" w:hAnsi="Bookman Old Style" w:cstheme="minorHAnsi"/>
          <w:color w:val="1D2228"/>
        </w:rPr>
        <w:t xml:space="preserve">as one example </w:t>
      </w:r>
      <w:r w:rsidRPr="00157004">
        <w:rPr>
          <w:rFonts w:ascii="Bookman Old Style" w:hAnsi="Bookman Old Style" w:cstheme="minorHAnsi"/>
          <w:color w:val="1D2228"/>
        </w:rPr>
        <w:t xml:space="preserve">shows how Aboriginal mental health workers may be </w:t>
      </w:r>
      <w:r w:rsidRPr="00157004">
        <w:rPr>
          <w:rFonts w:ascii="Bookman Old Style" w:hAnsi="Bookman Old Style" w:cstheme="minorHAnsi"/>
          <w:color w:val="000000" w:themeColor="text1"/>
        </w:rPr>
        <w:t>comparably qualified and credentialled in relation to other mental health workforces. Therefore the assumption that they might routinely prefer to move to a mainstream workforce in order to progress their careers may not be valid. Appropriate recognition by employers of Aboriginal mental health worker training and skills</w:t>
      </w:r>
      <w:r w:rsidR="00D70248" w:rsidRPr="00157004">
        <w:rPr>
          <w:rFonts w:ascii="Bookman Old Style" w:hAnsi="Bookman Old Style" w:cstheme="minorHAnsi"/>
          <w:color w:val="000000" w:themeColor="text1"/>
        </w:rPr>
        <w:t xml:space="preserve">, and deep integration of these skills into service provision, </w:t>
      </w:r>
      <w:r w:rsidR="002C6CD3" w:rsidRPr="00157004">
        <w:rPr>
          <w:rFonts w:ascii="Bookman Old Style" w:hAnsi="Bookman Old Style" w:cstheme="minorHAnsi"/>
          <w:color w:val="000000" w:themeColor="text1"/>
        </w:rPr>
        <w:t xml:space="preserve">also </w:t>
      </w:r>
      <w:r w:rsidRPr="00157004">
        <w:rPr>
          <w:rFonts w:ascii="Bookman Old Style" w:hAnsi="Bookman Old Style" w:cstheme="minorHAnsi"/>
          <w:color w:val="000000" w:themeColor="text1"/>
        </w:rPr>
        <w:t xml:space="preserve">has </w:t>
      </w:r>
      <w:r w:rsidR="002C6CD3" w:rsidRPr="00157004">
        <w:rPr>
          <w:rFonts w:ascii="Bookman Old Style" w:hAnsi="Bookman Old Style" w:cstheme="minorHAnsi"/>
          <w:color w:val="000000" w:themeColor="text1"/>
        </w:rPr>
        <w:t xml:space="preserve">strong </w:t>
      </w:r>
      <w:r w:rsidRPr="00157004">
        <w:rPr>
          <w:rFonts w:ascii="Bookman Old Style" w:hAnsi="Bookman Old Style" w:cstheme="minorHAnsi"/>
          <w:color w:val="000000" w:themeColor="text1"/>
        </w:rPr>
        <w:t xml:space="preserve">potential to enhance career progression for </w:t>
      </w:r>
      <w:r w:rsidR="002C6CD3" w:rsidRPr="00157004">
        <w:rPr>
          <w:rFonts w:ascii="Bookman Old Style" w:hAnsi="Bookman Old Style" w:cstheme="minorHAnsi"/>
          <w:color w:val="000000" w:themeColor="text1"/>
        </w:rPr>
        <w:t>this workforce.</w:t>
      </w:r>
      <w:r w:rsidR="002B1D22" w:rsidRPr="00157004">
        <w:rPr>
          <w:rFonts w:ascii="Bookman Old Style" w:hAnsi="Bookman Old Style" w:cstheme="minorHAnsi"/>
          <w:color w:val="000000" w:themeColor="text1"/>
        </w:rPr>
        <w:t xml:space="preserve"> </w:t>
      </w:r>
    </w:p>
    <w:p w14:paraId="16268187" w14:textId="77777777" w:rsidR="00A82BAB" w:rsidRPr="00157004" w:rsidRDefault="005F1546" w:rsidP="00C76B14">
      <w:pPr>
        <w:shd w:val="clear" w:color="auto" w:fill="FFFFFF"/>
        <w:spacing w:line="276" w:lineRule="auto"/>
        <w:rPr>
          <w:rFonts w:ascii="Bookman Old Style" w:hAnsi="Bookman Old Style" w:cstheme="minorHAnsi"/>
          <w:color w:val="000000" w:themeColor="text1"/>
        </w:rPr>
      </w:pPr>
      <w:r w:rsidRPr="00157004">
        <w:rPr>
          <w:rFonts w:ascii="Bookman Old Style" w:hAnsi="Bookman Old Style" w:cstheme="minorHAnsi"/>
          <w:color w:val="000000" w:themeColor="text1"/>
        </w:rPr>
        <w:t xml:space="preserve">The Djirruwang model could be scaled up and replicated </w:t>
      </w:r>
      <w:r w:rsidR="003E36CF" w:rsidRPr="00157004">
        <w:rPr>
          <w:rFonts w:ascii="Bookman Old Style" w:hAnsi="Bookman Old Style" w:cstheme="minorHAnsi"/>
          <w:color w:val="000000" w:themeColor="text1"/>
        </w:rPr>
        <w:t xml:space="preserve">through national support for </w:t>
      </w:r>
      <w:r w:rsidR="002B1D22" w:rsidRPr="00157004">
        <w:rPr>
          <w:rFonts w:ascii="Bookman Old Style" w:hAnsi="Bookman Old Style" w:cstheme="minorHAnsi"/>
          <w:color w:val="000000" w:themeColor="text1"/>
        </w:rPr>
        <w:t>emerging workforces</w:t>
      </w:r>
      <w:r w:rsidRPr="00157004">
        <w:rPr>
          <w:rFonts w:ascii="Bookman Old Style" w:hAnsi="Bookman Old Style" w:cstheme="minorHAnsi"/>
          <w:color w:val="000000" w:themeColor="text1"/>
        </w:rPr>
        <w:t xml:space="preserve">, while </w:t>
      </w:r>
      <w:r w:rsidR="002B1D22" w:rsidRPr="00157004">
        <w:rPr>
          <w:rFonts w:ascii="Bookman Old Style" w:hAnsi="Bookman Old Style" w:cstheme="minorHAnsi"/>
          <w:color w:val="000000" w:themeColor="text1"/>
        </w:rPr>
        <w:t>ensur</w:t>
      </w:r>
      <w:r w:rsidRPr="00157004">
        <w:rPr>
          <w:rFonts w:ascii="Bookman Old Style" w:hAnsi="Bookman Old Style" w:cstheme="minorHAnsi"/>
          <w:color w:val="000000" w:themeColor="text1"/>
        </w:rPr>
        <w:t>ing</w:t>
      </w:r>
      <w:r w:rsidR="002B1D22" w:rsidRPr="00157004">
        <w:rPr>
          <w:rFonts w:ascii="Bookman Old Style" w:hAnsi="Bookman Old Style" w:cstheme="minorHAnsi"/>
          <w:color w:val="000000" w:themeColor="text1"/>
        </w:rPr>
        <w:t xml:space="preserve"> that all appropriate professional standards are applied. </w:t>
      </w:r>
    </w:p>
    <w:p w14:paraId="5E43C5AC" w14:textId="77777777" w:rsidR="005F1546" w:rsidRPr="00157004" w:rsidRDefault="00D70248" w:rsidP="00C76B14">
      <w:pPr>
        <w:shd w:val="clear" w:color="auto" w:fill="FFFFFF"/>
        <w:spacing w:line="276" w:lineRule="auto"/>
        <w:rPr>
          <w:rFonts w:ascii="Bookman Old Style" w:hAnsi="Bookman Old Style" w:cstheme="minorHAnsi"/>
          <w:color w:val="000000" w:themeColor="text1"/>
        </w:rPr>
      </w:pPr>
      <w:r w:rsidRPr="00157004">
        <w:rPr>
          <w:rFonts w:ascii="Bookman Old Style" w:hAnsi="Bookman Old Style" w:cstheme="minorHAnsi"/>
          <w:color w:val="000000" w:themeColor="text1"/>
        </w:rPr>
        <w:t>At the same time, individuals and the community stand to benefit from higher rates of entry by Aboriginal and Torres Strait Islander people into mainstream mental health professions. Work undertaken by the Indigenous Australian Doctor’s Association (AIDA) highlights the potential to develop workforces that are Aboriginal or Torres Strait Islander. AIDA along with the Australian Medical Association and the Deans of Faculties of Medicine of Australia and New Zealand is the only collective group across health and human services that has achieved parity for people who are Aboriginal or Torres Strait Islander entering medical degrees.</w:t>
      </w:r>
      <w:r w:rsidR="00B92C4A" w:rsidRPr="00157004">
        <w:rPr>
          <w:rFonts w:ascii="Bookman Old Style" w:hAnsi="Bookman Old Style" w:cstheme="minorHAnsi"/>
          <w:color w:val="000000" w:themeColor="text1"/>
        </w:rPr>
        <w:t xml:space="preserve"> </w:t>
      </w:r>
    </w:p>
    <w:p w14:paraId="69034913" w14:textId="77777777" w:rsidR="00D70248" w:rsidRPr="00157004" w:rsidRDefault="00B92C4A" w:rsidP="00C76B14">
      <w:pPr>
        <w:shd w:val="clear" w:color="auto" w:fill="FFFFFF"/>
        <w:spacing w:line="276" w:lineRule="auto"/>
        <w:rPr>
          <w:rFonts w:ascii="Bookman Old Style" w:hAnsi="Bookman Old Style" w:cstheme="minorHAnsi"/>
          <w:color w:val="000000" w:themeColor="text1"/>
        </w:rPr>
      </w:pPr>
      <w:r w:rsidRPr="00157004">
        <w:rPr>
          <w:rFonts w:ascii="Bookman Old Style" w:hAnsi="Bookman Old Style" w:cstheme="minorHAnsi"/>
          <w:color w:val="000000" w:themeColor="text1"/>
        </w:rPr>
        <w:lastRenderedPageBreak/>
        <w:t xml:space="preserve">Workforce parity should become the minimum target </w:t>
      </w:r>
      <w:r w:rsidR="005F1546" w:rsidRPr="00157004">
        <w:rPr>
          <w:rFonts w:ascii="Bookman Old Style" w:hAnsi="Bookman Old Style" w:cstheme="minorHAnsi"/>
          <w:color w:val="000000" w:themeColor="text1"/>
        </w:rPr>
        <w:t>for</w:t>
      </w:r>
      <w:r w:rsidRPr="00157004">
        <w:rPr>
          <w:rFonts w:ascii="Bookman Old Style" w:hAnsi="Bookman Old Style" w:cstheme="minorHAnsi"/>
          <w:color w:val="000000" w:themeColor="text1"/>
        </w:rPr>
        <w:t xml:space="preserve"> all helping professions across health and human services, including mental health. More effort and responsibility need</w:t>
      </w:r>
      <w:r w:rsidR="005F1546" w:rsidRPr="00157004">
        <w:rPr>
          <w:rFonts w:ascii="Bookman Old Style" w:hAnsi="Bookman Old Style" w:cstheme="minorHAnsi"/>
          <w:color w:val="000000" w:themeColor="text1"/>
        </w:rPr>
        <w:t xml:space="preserve"> </w:t>
      </w:r>
      <w:r w:rsidRPr="00157004">
        <w:rPr>
          <w:rFonts w:ascii="Bookman Old Style" w:hAnsi="Bookman Old Style" w:cstheme="minorHAnsi"/>
          <w:color w:val="000000" w:themeColor="text1"/>
        </w:rPr>
        <w:t xml:space="preserve">to be applied across the professions that have </w:t>
      </w:r>
      <w:r w:rsidR="005F1546" w:rsidRPr="00157004">
        <w:rPr>
          <w:rFonts w:ascii="Bookman Old Style" w:hAnsi="Bookman Old Style" w:cstheme="minorHAnsi"/>
          <w:color w:val="000000" w:themeColor="text1"/>
        </w:rPr>
        <w:t>less</w:t>
      </w:r>
      <w:r w:rsidRPr="00157004">
        <w:rPr>
          <w:rFonts w:ascii="Bookman Old Style" w:hAnsi="Bookman Old Style" w:cstheme="minorHAnsi"/>
          <w:color w:val="000000" w:themeColor="text1"/>
        </w:rPr>
        <w:t xml:space="preserve"> than population parity of Aboriginal and Torres Strait Islander workforce.</w:t>
      </w:r>
    </w:p>
    <w:p w14:paraId="3E1745D4" w14:textId="77777777" w:rsidR="002C6CD3" w:rsidRPr="00157004" w:rsidRDefault="002C6CD3" w:rsidP="00C76B14">
      <w:pPr>
        <w:shd w:val="clear" w:color="auto" w:fill="FFFFFF"/>
        <w:spacing w:line="276" w:lineRule="auto"/>
        <w:rPr>
          <w:rFonts w:ascii="Bookman Old Style" w:hAnsi="Bookman Old Style" w:cstheme="minorHAnsi"/>
          <w:color w:val="1D2228"/>
        </w:rPr>
      </w:pPr>
    </w:p>
    <w:p w14:paraId="1DDEAD62" w14:textId="77777777" w:rsidR="003B3D1D" w:rsidRPr="00157004" w:rsidRDefault="003B3D1D" w:rsidP="00C76B14">
      <w:pPr>
        <w:shd w:val="clear" w:color="auto" w:fill="FFFFFF"/>
        <w:spacing w:line="276" w:lineRule="auto"/>
        <w:rPr>
          <w:rFonts w:ascii="Bookman Old Style" w:hAnsi="Bookman Old Style" w:cstheme="minorHAnsi"/>
          <w:color w:val="1D2228"/>
        </w:rPr>
      </w:pPr>
    </w:p>
    <w:p w14:paraId="38C1B30D" w14:textId="77777777" w:rsidR="00062DE8" w:rsidRPr="00157004" w:rsidRDefault="00062DE8" w:rsidP="00C76B14">
      <w:pPr>
        <w:spacing w:line="276" w:lineRule="auto"/>
        <w:rPr>
          <w:rFonts w:ascii="Bookman Old Style" w:hAnsi="Bookman Old Style" w:cstheme="minorHAnsi"/>
          <w:b/>
          <w:bCs/>
        </w:rPr>
      </w:pPr>
      <w:r w:rsidRPr="00157004">
        <w:rPr>
          <w:rFonts w:ascii="Bookman Old Style" w:hAnsi="Bookman Old Style" w:cstheme="minorHAnsi"/>
          <w:b/>
          <w:bCs/>
        </w:rPr>
        <w:br w:type="page"/>
      </w:r>
    </w:p>
    <w:p w14:paraId="02AE5A81" w14:textId="6D289C8F" w:rsidR="003B3D1D" w:rsidRPr="00157004" w:rsidRDefault="003B3D1D" w:rsidP="00C76B14">
      <w:pPr>
        <w:spacing w:line="276" w:lineRule="auto"/>
        <w:rPr>
          <w:rFonts w:ascii="Bookman Old Style" w:hAnsi="Bookman Old Style" w:cstheme="minorHAnsi"/>
          <w:b/>
          <w:bCs/>
        </w:rPr>
      </w:pPr>
      <w:r w:rsidRPr="00157004">
        <w:rPr>
          <w:rFonts w:ascii="Bookman Old Style" w:hAnsi="Bookman Old Style" w:cstheme="minorHAnsi"/>
          <w:b/>
          <w:bCs/>
        </w:rPr>
        <w:lastRenderedPageBreak/>
        <w:t xml:space="preserve">RESPONSES TO </w:t>
      </w:r>
      <w:r w:rsidR="004D09F5" w:rsidRPr="00157004">
        <w:rPr>
          <w:rFonts w:ascii="Bookman Old Style" w:hAnsi="Bookman Old Style" w:cstheme="minorHAnsi"/>
          <w:b/>
          <w:bCs/>
        </w:rPr>
        <w:t xml:space="preserve">DRAFT </w:t>
      </w:r>
      <w:r w:rsidRPr="00157004">
        <w:rPr>
          <w:rFonts w:ascii="Bookman Old Style" w:hAnsi="Bookman Old Style" w:cstheme="minorHAnsi"/>
          <w:b/>
          <w:bCs/>
        </w:rPr>
        <w:t>RECOMMENDATIONS</w:t>
      </w:r>
    </w:p>
    <w:p w14:paraId="75D2A86E" w14:textId="77777777" w:rsidR="003B3D1D" w:rsidRPr="00157004" w:rsidRDefault="003B3D1D" w:rsidP="00C76B14">
      <w:pPr>
        <w:spacing w:line="276" w:lineRule="auto"/>
        <w:rPr>
          <w:rFonts w:ascii="Bookman Old Style" w:hAnsi="Bookman Old Style" w:cstheme="minorHAnsi"/>
        </w:rPr>
      </w:pPr>
    </w:p>
    <w:p w14:paraId="2D946C31" w14:textId="77777777" w:rsidR="003B3D1D" w:rsidRPr="00157004" w:rsidRDefault="003B3D1D" w:rsidP="00C76B14">
      <w:pPr>
        <w:spacing w:line="276" w:lineRule="auto"/>
        <w:rPr>
          <w:rFonts w:ascii="Bookman Old Style" w:hAnsi="Bookman Old Style" w:cstheme="minorHAnsi"/>
        </w:rPr>
      </w:pPr>
      <w:r w:rsidRPr="00157004">
        <w:rPr>
          <w:rFonts w:ascii="Bookman Old Style" w:hAnsi="Bookman Old Style" w:cstheme="minorHAnsi"/>
        </w:rPr>
        <w:t>We note the following recommendations of the Commission are particularly significant for Indigenous people, and suggest that these are modified or expanded to include specific references to Aboriginal and Torres Strait Islander people. This is especially important where the Commission recommends trials or pilots of new approaches – in order to ensure that Indigenous people benefit at least equally from any subsequent widespread adoption of these approaches, and are not inadvertently disadvantaged by them.</w:t>
      </w:r>
    </w:p>
    <w:p w14:paraId="32075151" w14:textId="77777777" w:rsidR="003B3D1D" w:rsidRPr="00157004" w:rsidRDefault="003B3D1D" w:rsidP="00C76B14">
      <w:pPr>
        <w:spacing w:line="276" w:lineRule="auto"/>
        <w:rPr>
          <w:rFonts w:ascii="Bookman Old Style" w:hAnsi="Bookman Old Style" w:cstheme="minorHAnsi"/>
        </w:rPr>
      </w:pPr>
    </w:p>
    <w:p w14:paraId="5DC76F22"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 xml:space="preserve">DRAFT RECOMMENDATION 5.2 – assessment and referral practices </w:t>
      </w:r>
    </w:p>
    <w:p w14:paraId="46FF5BF8" w14:textId="77777777"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 xml:space="preserve">Aboriginal and Torres Strait Islander people may present with higher acuity and require a different service mix from the mainstream stepped care model, and their needs should be reflected in this recommendation. </w:t>
      </w:r>
    </w:p>
    <w:p w14:paraId="4D781328" w14:textId="77777777" w:rsidR="003B3D1D" w:rsidRPr="00157004" w:rsidRDefault="003B3D1D" w:rsidP="00C76B14">
      <w:pPr>
        <w:pStyle w:val="ListParagraph"/>
        <w:spacing w:line="276" w:lineRule="auto"/>
        <w:ind w:left="1440"/>
        <w:rPr>
          <w:rFonts w:ascii="Bookman Old Style" w:hAnsi="Bookman Old Style" w:cstheme="minorHAnsi"/>
        </w:rPr>
      </w:pPr>
    </w:p>
    <w:p w14:paraId="1283CC1C"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 xml:space="preserve">DRAFT RECOMMENDATION 5.6 – practitioner online referral treatment service </w:t>
      </w:r>
    </w:p>
    <w:p w14:paraId="653A1B32" w14:textId="77777777"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We support the Commission’s advocacy for the PORTS model developed in Western Australia, which is appropriately inclusive of Indigenous concerns.</w:t>
      </w:r>
    </w:p>
    <w:p w14:paraId="013242E1" w14:textId="77777777" w:rsidR="003B3D1D" w:rsidRPr="00157004" w:rsidRDefault="003B3D1D" w:rsidP="00C76B14">
      <w:pPr>
        <w:pStyle w:val="ListParagraph"/>
        <w:spacing w:line="276" w:lineRule="auto"/>
        <w:ind w:left="1440"/>
        <w:rPr>
          <w:rFonts w:ascii="Bookman Old Style" w:hAnsi="Bookman Old Style" w:cstheme="minorHAnsi"/>
        </w:rPr>
      </w:pPr>
    </w:p>
    <w:p w14:paraId="003C72EE"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DRAFT RECOMMENDATION 6.1 – supported online treatment options should be integrated and expanded</w:t>
      </w:r>
    </w:p>
    <w:p w14:paraId="2A11C8FD" w14:textId="77777777"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Indigenous people are more likely to experience technical access and literacy challenges that may inhibit online service use, and these issues should be explicitly considered.</w:t>
      </w:r>
      <w:r w:rsidR="00602C2C" w:rsidRPr="00157004">
        <w:rPr>
          <w:rFonts w:ascii="Bookman Old Style" w:hAnsi="Bookman Old Style" w:cstheme="minorHAnsi"/>
        </w:rPr>
        <w:t xml:space="preserve"> These services should complement existing services and not replace them</w:t>
      </w:r>
    </w:p>
    <w:p w14:paraId="07585D8D" w14:textId="77777777" w:rsidR="003B3D1D" w:rsidRPr="00157004" w:rsidRDefault="003B3D1D" w:rsidP="00C76B14">
      <w:pPr>
        <w:pStyle w:val="ListParagraph"/>
        <w:spacing w:line="276" w:lineRule="auto"/>
        <w:ind w:left="1440"/>
        <w:rPr>
          <w:rFonts w:ascii="Bookman Old Style" w:hAnsi="Bookman Old Style" w:cstheme="minorHAnsi"/>
        </w:rPr>
      </w:pPr>
    </w:p>
    <w:p w14:paraId="6409AACF"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 xml:space="preserve">DRAFT RECOMMENDATION 5.5 – encourage more group psychological therapy </w:t>
      </w:r>
    </w:p>
    <w:p w14:paraId="61EAB711" w14:textId="77777777"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Any new Medicare item should be designed to take into account the cultural requirements of Indigenous people in group therapy, or there should be a separate item to meet our needs.</w:t>
      </w:r>
    </w:p>
    <w:p w14:paraId="047DE849" w14:textId="77777777" w:rsidR="003B3D1D" w:rsidRPr="00157004" w:rsidRDefault="003B3D1D" w:rsidP="008E2DE5">
      <w:pPr>
        <w:pStyle w:val="ListParagraph"/>
        <w:spacing w:line="276" w:lineRule="auto"/>
        <w:ind w:left="426"/>
        <w:rPr>
          <w:rFonts w:ascii="Bookman Old Style" w:hAnsi="Bookman Old Style" w:cstheme="minorHAnsi"/>
        </w:rPr>
      </w:pPr>
    </w:p>
    <w:p w14:paraId="6D44FB94"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 xml:space="preserve">DRAFT RECOMMENDATION 5.4 – MBS-rebated psychological therapy </w:t>
      </w:r>
    </w:p>
    <w:p w14:paraId="0A744C6A" w14:textId="77777777"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 xml:space="preserve">The Commission should recognise Indigenous people’s access to MBS-funded psychological services is likely to be relatively low, as these services are concentrated among </w:t>
      </w:r>
      <w:hyperlink r:id="rId34" w:history="1">
        <w:r w:rsidRPr="00157004">
          <w:rPr>
            <w:rStyle w:val="Hyperlink"/>
            <w:rFonts w:ascii="Bookman Old Style" w:hAnsi="Bookman Old Style" w:cstheme="minorHAnsi"/>
          </w:rPr>
          <w:t>more advantaged geographic areas</w:t>
        </w:r>
      </w:hyperlink>
      <w:r w:rsidRPr="00157004">
        <w:rPr>
          <w:rFonts w:ascii="Bookman Old Style" w:hAnsi="Bookman Old Style" w:cstheme="minorHAnsi"/>
        </w:rPr>
        <w:t xml:space="preserve">, and ensure any expansion does not create further disadvantage. </w:t>
      </w:r>
    </w:p>
    <w:p w14:paraId="2AA42480" w14:textId="77777777" w:rsidR="003B3D1D" w:rsidRPr="00157004" w:rsidRDefault="003B3D1D" w:rsidP="00C76B14">
      <w:pPr>
        <w:pStyle w:val="ListParagraph"/>
        <w:spacing w:line="276" w:lineRule="auto"/>
        <w:ind w:left="1440"/>
        <w:rPr>
          <w:rFonts w:ascii="Bookman Old Style" w:hAnsi="Bookman Old Style" w:cstheme="minorHAnsi"/>
        </w:rPr>
      </w:pPr>
    </w:p>
    <w:p w14:paraId="7618F97F"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DRAFT RECOMMENDATIONS 5.7, 7.2 Psychiatry consultations by videoconference</w:t>
      </w:r>
    </w:p>
    <w:p w14:paraId="3728636A" w14:textId="77777777"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This has the potential to expand services for Indigenous people in rural and remote areas, but there needs to be flexibility in the MBS items rules to respond to individual situations.</w:t>
      </w:r>
      <w:r w:rsidR="003E36CF" w:rsidRPr="00157004">
        <w:rPr>
          <w:rFonts w:ascii="Bookman Old Style" w:hAnsi="Bookman Old Style" w:cstheme="minorHAnsi"/>
        </w:rPr>
        <w:t xml:space="preserve"> Telepsychiatry should be offered where appropriate within a comprehensive service model which includes face to face consultations, complementing existing services and not replacing them.</w:t>
      </w:r>
    </w:p>
    <w:p w14:paraId="237AB11A" w14:textId="77777777" w:rsidR="003B3D1D" w:rsidRPr="00157004" w:rsidRDefault="003B3D1D" w:rsidP="00C76B14">
      <w:pPr>
        <w:pStyle w:val="ListParagraph"/>
        <w:spacing w:line="276" w:lineRule="auto"/>
        <w:ind w:left="1440"/>
        <w:rPr>
          <w:rFonts w:ascii="Bookman Old Style" w:hAnsi="Bookman Old Style" w:cstheme="minorHAnsi"/>
        </w:rPr>
      </w:pPr>
    </w:p>
    <w:p w14:paraId="34E8F2E2"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 xml:space="preserve">DRAFT RECOMMENDATIONS 10.3, 10.4 Single care plans, care coordination services </w:t>
      </w:r>
    </w:p>
    <w:p w14:paraId="67BAAA08" w14:textId="77777777"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A requirement to meet the needs of Aboriginal and Torres Strait Islander people should be included in both recommendations.</w:t>
      </w:r>
    </w:p>
    <w:p w14:paraId="7F19DE40" w14:textId="77777777" w:rsidR="003B3D1D" w:rsidRPr="00157004" w:rsidRDefault="003B3D1D" w:rsidP="00C76B14">
      <w:pPr>
        <w:pStyle w:val="ListParagraph"/>
        <w:spacing w:line="276" w:lineRule="auto"/>
        <w:ind w:left="1440"/>
        <w:rPr>
          <w:rFonts w:ascii="Bookman Old Style" w:hAnsi="Bookman Old Style" w:cstheme="minorHAnsi"/>
        </w:rPr>
      </w:pPr>
    </w:p>
    <w:p w14:paraId="1E704C4A"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 xml:space="preserve">DRAFT RECOMMENDATION 13.3 Family focused and carer-inclusive practice </w:t>
      </w:r>
    </w:p>
    <w:p w14:paraId="552B8348" w14:textId="77777777"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This is very important for Indigenous people and families, and there needs to be flexibility in the MBS items rules to respond to individual situations.</w:t>
      </w:r>
    </w:p>
    <w:p w14:paraId="0158372E" w14:textId="77777777" w:rsidR="003B3D1D" w:rsidRPr="00157004" w:rsidRDefault="003B3D1D" w:rsidP="00C76B14">
      <w:pPr>
        <w:pStyle w:val="ListParagraph"/>
        <w:spacing w:line="276" w:lineRule="auto"/>
        <w:ind w:left="1440"/>
        <w:rPr>
          <w:rFonts w:ascii="Bookman Old Style" w:hAnsi="Bookman Old Style" w:cstheme="minorHAnsi"/>
        </w:rPr>
      </w:pPr>
    </w:p>
    <w:p w14:paraId="304980E8"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 xml:space="preserve">DRAFT RECOMMENDATION 15.1 Housing security for people with mental illness </w:t>
      </w:r>
    </w:p>
    <w:p w14:paraId="0EE309AB" w14:textId="77777777"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 xml:space="preserve">Indigenous people are </w:t>
      </w:r>
      <w:hyperlink r:id="rId35" w:history="1">
        <w:r w:rsidRPr="00157004">
          <w:rPr>
            <w:rStyle w:val="Hyperlink"/>
            <w:rFonts w:ascii="Bookman Old Style" w:hAnsi="Bookman Old Style" w:cstheme="minorHAnsi"/>
          </w:rPr>
          <w:t>more likely to experience housing insecurity</w:t>
        </w:r>
      </w:hyperlink>
      <w:r w:rsidRPr="00157004">
        <w:rPr>
          <w:rFonts w:ascii="Bookman Old Style" w:hAnsi="Bookman Old Style" w:cstheme="minorHAnsi"/>
        </w:rPr>
        <w:t xml:space="preserve"> and their needs should be specifically considered in this recommendation.</w:t>
      </w:r>
    </w:p>
    <w:p w14:paraId="36F6ABBE" w14:textId="77777777" w:rsidR="003B3D1D" w:rsidRPr="00157004" w:rsidRDefault="003B3D1D" w:rsidP="00C76B14">
      <w:pPr>
        <w:pStyle w:val="ListParagraph"/>
        <w:spacing w:line="276" w:lineRule="auto"/>
        <w:ind w:left="1440"/>
        <w:rPr>
          <w:rFonts w:ascii="Bookman Old Style" w:hAnsi="Bookman Old Style" w:cstheme="minorHAnsi"/>
        </w:rPr>
      </w:pPr>
    </w:p>
    <w:p w14:paraId="30276636"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 xml:space="preserve">DRAFT RECOMMENDATION 16.4 Incarcerated Aboriginal and Torres Strait Islander people </w:t>
      </w:r>
      <w:r w:rsidRPr="00157004">
        <w:rPr>
          <w:rFonts w:ascii="Bookman Old Style" w:hAnsi="Bookman Old Style" w:cstheme="minorHAnsi"/>
        </w:rPr>
        <w:tab/>
      </w:r>
    </w:p>
    <w:p w14:paraId="72890107" w14:textId="77777777"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 xml:space="preserve">This recommendation is supported, but we recommend it is expanded to explicitly acknowledge the </w:t>
      </w:r>
      <w:hyperlink r:id="rId36" w:history="1">
        <w:r w:rsidRPr="00157004">
          <w:rPr>
            <w:rStyle w:val="Hyperlink"/>
            <w:rFonts w:ascii="Bookman Old Style" w:hAnsi="Bookman Old Style" w:cstheme="minorHAnsi"/>
          </w:rPr>
          <w:t>disproportionate and discriminatory levels of incarceration of Indigenous people</w:t>
        </w:r>
      </w:hyperlink>
      <w:r w:rsidRPr="00157004">
        <w:rPr>
          <w:rFonts w:ascii="Bookman Old Style" w:hAnsi="Bookman Old Style" w:cstheme="minorHAnsi"/>
        </w:rPr>
        <w:t>, and call for a fair justice system.</w:t>
      </w:r>
    </w:p>
    <w:p w14:paraId="0CF95A77" w14:textId="77777777" w:rsidR="003B3D1D" w:rsidRPr="00157004" w:rsidRDefault="003B3D1D" w:rsidP="00C76B14">
      <w:pPr>
        <w:pStyle w:val="ListParagraph"/>
        <w:spacing w:line="276" w:lineRule="auto"/>
        <w:ind w:left="1440"/>
        <w:rPr>
          <w:rFonts w:ascii="Bookman Old Style" w:hAnsi="Bookman Old Style" w:cstheme="minorHAnsi"/>
        </w:rPr>
      </w:pPr>
    </w:p>
    <w:p w14:paraId="55103084"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DRAFT RECOMMENDATION 16.5 Disability justice strategies</w:t>
      </w:r>
    </w:p>
    <w:p w14:paraId="69221503" w14:textId="77777777"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 xml:space="preserve">Aboriginal people with a disability – especially psychosocial disability and cognitive impairment – are </w:t>
      </w:r>
      <w:hyperlink r:id="rId37" w:history="1">
        <w:r w:rsidRPr="00157004">
          <w:rPr>
            <w:rStyle w:val="Hyperlink"/>
            <w:rFonts w:ascii="Bookman Old Style" w:hAnsi="Bookman Old Style" w:cstheme="minorHAnsi"/>
          </w:rPr>
          <w:t>greatly over-represented in the justice system</w:t>
        </w:r>
      </w:hyperlink>
      <w:r w:rsidRPr="00157004">
        <w:rPr>
          <w:rFonts w:ascii="Bookman Old Style" w:hAnsi="Bookman Old Style" w:cstheme="minorHAnsi"/>
        </w:rPr>
        <w:t>, and their particular needs should be recognised in this recommendation.</w:t>
      </w:r>
    </w:p>
    <w:p w14:paraId="5B8D04DB" w14:textId="77777777" w:rsidR="003B3D1D" w:rsidRPr="00157004" w:rsidRDefault="003B3D1D" w:rsidP="00C76B14">
      <w:pPr>
        <w:pStyle w:val="ListParagraph"/>
        <w:spacing w:line="276" w:lineRule="auto"/>
        <w:ind w:left="1440"/>
        <w:rPr>
          <w:rFonts w:ascii="Bookman Old Style" w:hAnsi="Bookman Old Style" w:cstheme="minorHAnsi"/>
        </w:rPr>
      </w:pPr>
    </w:p>
    <w:p w14:paraId="4C002D8F"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DRAFT RECOMMENDATIONS 17.1, 17.2, 17.3, 17.4, 17.5, 17.6 regarding social and emotional wellbeing in the early years</w:t>
      </w:r>
    </w:p>
    <w:p w14:paraId="3DE0A549" w14:textId="77777777"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lastRenderedPageBreak/>
        <w:t>Each of these recommendations should recognise the diversity of the population, including the different values and priorities inherent in Indigenous people’s understanding of social and emotional wellbeing. This is especially important when defining screening practices, teacher development and data collection.</w:t>
      </w:r>
    </w:p>
    <w:p w14:paraId="6E31AF4B" w14:textId="77777777" w:rsidR="003B3D1D" w:rsidRPr="00157004" w:rsidRDefault="003B3D1D" w:rsidP="00C76B14">
      <w:pPr>
        <w:pStyle w:val="ListParagraph"/>
        <w:spacing w:line="276" w:lineRule="auto"/>
        <w:ind w:left="1440"/>
        <w:rPr>
          <w:rFonts w:ascii="Bookman Old Style" w:hAnsi="Bookman Old Style" w:cstheme="minorHAnsi"/>
        </w:rPr>
      </w:pPr>
    </w:p>
    <w:p w14:paraId="031EBEEB"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DRAFT RECOMMENDATION 20.1 – Stigma campaign</w:t>
      </w:r>
    </w:p>
    <w:p w14:paraId="4D8EFBC9" w14:textId="77777777"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 xml:space="preserve">This recommendation should recognise that stigma and shame </w:t>
      </w:r>
      <w:r w:rsidR="002B1D22" w:rsidRPr="00157004">
        <w:rPr>
          <w:rFonts w:ascii="Bookman Old Style" w:hAnsi="Bookman Old Style" w:cstheme="minorHAnsi"/>
        </w:rPr>
        <w:t xml:space="preserve">may also operate as discrimination </w:t>
      </w:r>
      <w:r w:rsidRPr="00157004">
        <w:rPr>
          <w:rFonts w:ascii="Bookman Old Style" w:hAnsi="Bookman Old Style" w:cstheme="minorHAnsi"/>
        </w:rPr>
        <w:t>in Indigenous communities. Any work to prevent mental health stigma will need to be co-designed with Aboriginal and Torres Strait Islander people, and require investment at community level.</w:t>
      </w:r>
      <w:r w:rsidRPr="00157004">
        <w:rPr>
          <w:rFonts w:ascii="Bookman Old Style" w:hAnsi="Bookman Old Style" w:cstheme="minorHAnsi"/>
        </w:rPr>
        <w:br/>
      </w:r>
    </w:p>
    <w:p w14:paraId="015E33A1"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DRAFT RECOMMENDATION 20.3 Traditional healers</w:t>
      </w:r>
    </w:p>
    <w:p w14:paraId="19F4ADBE" w14:textId="43B3F0C2"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The Commission’s acknowledgement of intergenerational trauma and the need for Indigenous empowerment is welcomed, along with its support for traditional healing. However this recommendation should recognise that in many circumstances healing can properly be offered as the primary mode of support, and not necessarily in partnership with mainstream mental health care.</w:t>
      </w:r>
      <w:r w:rsidR="00277FD2" w:rsidRPr="00157004">
        <w:rPr>
          <w:rFonts w:ascii="Bookman Old Style" w:hAnsi="Bookman Old Style" w:cstheme="minorHAnsi"/>
        </w:rPr>
        <w:t xml:space="preserve"> The </w:t>
      </w:r>
      <w:hyperlink r:id="rId38" w:history="1">
        <w:r w:rsidR="00277FD2" w:rsidRPr="00157004">
          <w:rPr>
            <w:rStyle w:val="Hyperlink"/>
            <w:rFonts w:ascii="Bookman Old Style" w:hAnsi="Bookman Old Style" w:cstheme="minorHAnsi"/>
          </w:rPr>
          <w:t>WA Mental Health Act 2014</w:t>
        </w:r>
      </w:hyperlink>
      <w:r w:rsidR="00277FD2" w:rsidRPr="00157004">
        <w:rPr>
          <w:rFonts w:ascii="Bookman Old Style" w:hAnsi="Bookman Old Style" w:cstheme="minorHAnsi"/>
        </w:rPr>
        <w:t xml:space="preserve"> offers sound guidance for how traditional healing can be included in the mental health system, and could serve as a model for other states.</w:t>
      </w:r>
    </w:p>
    <w:p w14:paraId="44060464" w14:textId="77777777" w:rsidR="00277FD2" w:rsidRPr="00157004" w:rsidRDefault="00277FD2" w:rsidP="00C76B14">
      <w:pPr>
        <w:pStyle w:val="ListParagraph"/>
        <w:spacing w:line="276" w:lineRule="auto"/>
        <w:ind w:left="1440"/>
        <w:rPr>
          <w:rFonts w:ascii="Bookman Old Style" w:hAnsi="Bookman Old Style" w:cstheme="minorHAnsi"/>
        </w:rPr>
      </w:pPr>
    </w:p>
    <w:p w14:paraId="5ABA1AAA"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DRAFT RECOMMENDATION 21.1 – Universal access to aftercare</w:t>
      </w:r>
    </w:p>
    <w:p w14:paraId="309DDCA3" w14:textId="77777777"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 xml:space="preserve">The needs of Indigenous people after a suicide attempt differ in some key respects – including how families and communities should be engaged and how the potential for stigma and shame can be managed. These issues are explored in projects under the </w:t>
      </w:r>
      <w:hyperlink r:id="rId39" w:history="1">
        <w:r w:rsidRPr="00157004">
          <w:rPr>
            <w:rStyle w:val="Hyperlink"/>
            <w:rFonts w:ascii="Bookman Old Style" w:hAnsi="Bookman Old Style" w:cstheme="minorHAnsi"/>
          </w:rPr>
          <w:t>National Suicide Prevention Trial</w:t>
        </w:r>
      </w:hyperlink>
      <w:r w:rsidRPr="00157004">
        <w:rPr>
          <w:rFonts w:ascii="Bookman Old Style" w:hAnsi="Bookman Old Style" w:cstheme="minorHAnsi"/>
        </w:rPr>
        <w:t xml:space="preserve"> and should be referenced in this recommendation.</w:t>
      </w:r>
    </w:p>
    <w:p w14:paraId="33263886" w14:textId="77777777" w:rsidR="003B3D1D" w:rsidRPr="00157004" w:rsidRDefault="003B3D1D" w:rsidP="00C76B14">
      <w:pPr>
        <w:pStyle w:val="ListParagraph"/>
        <w:spacing w:line="276" w:lineRule="auto"/>
        <w:ind w:left="1440"/>
        <w:rPr>
          <w:rFonts w:ascii="Bookman Old Style" w:hAnsi="Bookman Old Style" w:cstheme="minorHAnsi"/>
        </w:rPr>
      </w:pPr>
    </w:p>
    <w:p w14:paraId="5C534851" w14:textId="77777777" w:rsidR="003B3D1D" w:rsidRPr="00157004" w:rsidRDefault="003B3D1D" w:rsidP="008E2DE5">
      <w:pPr>
        <w:pStyle w:val="ListParagraph"/>
        <w:numPr>
          <w:ilvl w:val="0"/>
          <w:numId w:val="7"/>
        </w:numPr>
        <w:spacing w:line="276" w:lineRule="auto"/>
        <w:ind w:left="426"/>
        <w:rPr>
          <w:rFonts w:ascii="Bookman Old Style" w:hAnsi="Bookman Old Style" w:cstheme="minorHAnsi"/>
        </w:rPr>
      </w:pPr>
      <w:r w:rsidRPr="00157004">
        <w:rPr>
          <w:rFonts w:ascii="Bookman Old Style" w:hAnsi="Bookman Old Style" w:cstheme="minorHAnsi"/>
        </w:rPr>
        <w:t>DRAFT RECOMMENDATION 21.2 Empower Indigenous communities to prevent suicide</w:t>
      </w:r>
    </w:p>
    <w:p w14:paraId="020A2AE3" w14:textId="36BA0C1C" w:rsidR="003B3D1D" w:rsidRPr="00157004" w:rsidRDefault="003B3D1D" w:rsidP="008E2DE5">
      <w:pPr>
        <w:pStyle w:val="ListParagraph"/>
        <w:numPr>
          <w:ilvl w:val="1"/>
          <w:numId w:val="7"/>
        </w:numPr>
        <w:spacing w:line="276" w:lineRule="auto"/>
        <w:ind w:left="851"/>
        <w:rPr>
          <w:rFonts w:ascii="Bookman Old Style" w:hAnsi="Bookman Old Style" w:cstheme="minorHAnsi"/>
        </w:rPr>
      </w:pPr>
      <w:r w:rsidRPr="00157004">
        <w:rPr>
          <w:rFonts w:ascii="Bookman Old Style" w:hAnsi="Bookman Old Style" w:cstheme="minorHAnsi"/>
        </w:rPr>
        <w:t>This recommendation is warmly supported and we thank the Commission for listening to the views of Aboriginal and Torres Strait Islander people in this critical issue.</w:t>
      </w:r>
      <w:r w:rsidR="003110A1" w:rsidRPr="00157004">
        <w:rPr>
          <w:rFonts w:ascii="Bookman Old Style" w:hAnsi="Bookman Old Style" w:cstheme="minorHAnsi"/>
        </w:rPr>
        <w:t xml:space="preserve"> We have offered further advice in relation to this recommendation elsewhere in this response.</w:t>
      </w:r>
    </w:p>
    <w:p w14:paraId="5B1C09AD" w14:textId="77777777" w:rsidR="00D13D79" w:rsidRPr="00157004" w:rsidRDefault="00D13D79" w:rsidP="00C76B14">
      <w:pPr>
        <w:spacing w:line="276" w:lineRule="auto"/>
        <w:rPr>
          <w:rFonts w:ascii="Bookman Old Style" w:hAnsi="Bookman Old Style" w:cstheme="minorHAnsi"/>
        </w:rPr>
      </w:pPr>
    </w:p>
    <w:p w14:paraId="2BE4AC24" w14:textId="098584DC" w:rsidR="00A06C66" w:rsidRPr="00157004" w:rsidRDefault="00193946" w:rsidP="00C76B14">
      <w:pPr>
        <w:spacing w:line="276" w:lineRule="auto"/>
        <w:rPr>
          <w:rFonts w:ascii="Bookman Old Style" w:hAnsi="Bookman Old Style" w:cstheme="minorHAnsi"/>
          <w:b/>
          <w:bCs/>
        </w:rPr>
      </w:pPr>
      <w:r w:rsidRPr="00157004">
        <w:rPr>
          <w:rFonts w:ascii="Bookman Old Style" w:hAnsi="Bookman Old Style" w:cstheme="minorHAnsi"/>
          <w:b/>
          <w:bCs/>
        </w:rPr>
        <w:t>CONTACTS</w:t>
      </w:r>
    </w:p>
    <w:p w14:paraId="5656BF4C" w14:textId="58F5B31B" w:rsidR="00193946" w:rsidRPr="00157004" w:rsidRDefault="00193946" w:rsidP="00C76B14">
      <w:pPr>
        <w:spacing w:line="276" w:lineRule="auto"/>
        <w:rPr>
          <w:rFonts w:ascii="Bookman Old Style" w:hAnsi="Bookman Old Style" w:cstheme="minorHAnsi"/>
          <w:b/>
          <w:bCs/>
        </w:rPr>
      </w:pPr>
    </w:p>
    <w:p w14:paraId="754994CD" w14:textId="0C6DD15C" w:rsidR="00193946" w:rsidRPr="00157004" w:rsidRDefault="00193946" w:rsidP="00C76B14">
      <w:pPr>
        <w:spacing w:line="276" w:lineRule="auto"/>
        <w:rPr>
          <w:rFonts w:ascii="Bookman Old Style" w:hAnsi="Bookman Old Style" w:cstheme="minorHAnsi"/>
          <w:b/>
          <w:bCs/>
          <w:color w:val="000000" w:themeColor="text1"/>
        </w:rPr>
      </w:pPr>
      <w:r w:rsidRPr="00157004">
        <w:rPr>
          <w:rFonts w:ascii="Bookman Old Style" w:hAnsi="Bookman Old Style" w:cstheme="minorHAnsi"/>
          <w:b/>
          <w:bCs/>
        </w:rPr>
        <w:t xml:space="preserve">Julie Robotham </w:t>
      </w:r>
      <w:r w:rsidR="004152AB" w:rsidRPr="00157004">
        <w:rPr>
          <w:rFonts w:ascii="Bookman Old Style" w:hAnsi="Bookman Old Style" w:cstheme="minorHAnsi"/>
          <w:b/>
          <w:bCs/>
        </w:rPr>
        <w:t xml:space="preserve">– </w:t>
      </w:r>
      <w:r w:rsidRPr="00157004">
        <w:rPr>
          <w:rFonts w:ascii="Bookman Old Style" w:hAnsi="Bookman Old Style" w:cstheme="minorHAnsi"/>
          <w:b/>
          <w:bCs/>
        </w:rPr>
        <w:t>CBPATSISP</w:t>
      </w:r>
      <w:r w:rsidR="008E2DE5">
        <w:rPr>
          <w:rFonts w:ascii="Bookman Old Style" w:hAnsi="Bookman Old Style" w:cstheme="minorHAnsi"/>
          <w:b/>
          <w:bCs/>
        </w:rPr>
        <w:t xml:space="preserve"> or </w:t>
      </w:r>
      <w:r w:rsidRPr="00157004">
        <w:rPr>
          <w:rFonts w:ascii="Bookman Old Style" w:hAnsi="Bookman Old Style" w:cstheme="minorHAnsi"/>
          <w:b/>
          <w:bCs/>
          <w:color w:val="000000" w:themeColor="text1"/>
        </w:rPr>
        <w:t xml:space="preserve">Chris Holland </w:t>
      </w:r>
      <w:r w:rsidR="004152AB" w:rsidRPr="00157004">
        <w:rPr>
          <w:rFonts w:ascii="Bookman Old Style" w:hAnsi="Bookman Old Style" w:cstheme="minorHAnsi"/>
          <w:b/>
          <w:bCs/>
          <w:color w:val="000000" w:themeColor="text1"/>
        </w:rPr>
        <w:t>– NATSILMH</w:t>
      </w:r>
    </w:p>
    <w:sectPr w:rsidR="00193946" w:rsidRPr="00157004" w:rsidSect="00F411F0">
      <w:footerReference w:type="even" r:id="rId40"/>
      <w:footerReference w:type="default" r:id="rId4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6E913" w14:textId="77777777" w:rsidR="002606BC" w:rsidRDefault="002606BC" w:rsidP="00D340F2">
      <w:r>
        <w:separator/>
      </w:r>
    </w:p>
  </w:endnote>
  <w:endnote w:type="continuationSeparator" w:id="0">
    <w:p w14:paraId="39655BDE" w14:textId="77777777" w:rsidR="002606BC" w:rsidRDefault="002606BC" w:rsidP="00D3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Museo Sans 300">
    <w:altName w:val="Arial"/>
    <w:panose1 w:val="00000000000000000000"/>
    <w:charset w:val="00"/>
    <w:family w:val="modern"/>
    <w:notTrueType/>
    <w:pitch w:val="variable"/>
    <w:sig w:usb0="A00000AF" w:usb1="40000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07695351"/>
      <w:docPartObj>
        <w:docPartGallery w:val="Page Numbers (Bottom of Page)"/>
        <w:docPartUnique/>
      </w:docPartObj>
    </w:sdtPr>
    <w:sdtEndPr>
      <w:rPr>
        <w:rStyle w:val="PageNumber"/>
      </w:rPr>
    </w:sdtEndPr>
    <w:sdtContent>
      <w:p w14:paraId="0F9C40C7" w14:textId="290EE84C" w:rsidR="00235E6C" w:rsidRDefault="00235E6C" w:rsidP="008E2D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7BE210" w14:textId="77777777" w:rsidR="00235E6C" w:rsidRDefault="00235E6C" w:rsidP="00235E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01256617"/>
      <w:docPartObj>
        <w:docPartGallery w:val="Page Numbers (Bottom of Page)"/>
        <w:docPartUnique/>
      </w:docPartObj>
    </w:sdtPr>
    <w:sdtEndPr>
      <w:rPr>
        <w:rStyle w:val="PageNumber"/>
      </w:rPr>
    </w:sdtEndPr>
    <w:sdtContent>
      <w:p w14:paraId="443DCC9D" w14:textId="184F03DB" w:rsidR="00235E6C" w:rsidRDefault="00235E6C" w:rsidP="008E2D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83275">
          <w:rPr>
            <w:rStyle w:val="PageNumber"/>
            <w:noProof/>
          </w:rPr>
          <w:t>1</w:t>
        </w:r>
        <w:r>
          <w:rPr>
            <w:rStyle w:val="PageNumber"/>
          </w:rPr>
          <w:fldChar w:fldCharType="end"/>
        </w:r>
      </w:p>
    </w:sdtContent>
  </w:sdt>
  <w:p w14:paraId="694CD96B" w14:textId="77777777" w:rsidR="00235E6C" w:rsidRDefault="00235E6C" w:rsidP="00235E6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78C7D" w14:textId="77777777" w:rsidR="002606BC" w:rsidRDefault="002606BC" w:rsidP="00D340F2">
      <w:r>
        <w:separator/>
      </w:r>
    </w:p>
  </w:footnote>
  <w:footnote w:type="continuationSeparator" w:id="0">
    <w:p w14:paraId="16D822E0" w14:textId="77777777" w:rsidR="002606BC" w:rsidRDefault="002606BC" w:rsidP="00D34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 w15:restartNumberingAfterBreak="0">
    <w:nsid w:val="1DB14075"/>
    <w:multiLevelType w:val="hybridMultilevel"/>
    <w:tmpl w:val="007E53F8"/>
    <w:lvl w:ilvl="0" w:tplc="1E68C4B6">
      <w:start w:val="1"/>
      <w:numFmt w:val="bullet"/>
      <w:lvlText w:val=""/>
      <w:lvlJc w:val="left"/>
      <w:pPr>
        <w:ind w:left="720" w:hanging="360"/>
      </w:pPr>
      <w:rPr>
        <w:rFonts w:ascii="Symbol" w:eastAsiaTheme="minorHAnsi"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77D6E"/>
    <w:multiLevelType w:val="multilevel"/>
    <w:tmpl w:val="43347DC0"/>
    <w:styleLink w:val="Bullets"/>
    <w:lvl w:ilvl="0">
      <w:start w:val="1"/>
      <w:numFmt w:val="bullet"/>
      <w:pStyle w:val="Bullets1"/>
      <w:lvlText w:val="•"/>
      <w:lvlJc w:val="left"/>
      <w:pPr>
        <w:ind w:left="680" w:hanging="283"/>
      </w:pPr>
      <w:rPr>
        <w:rFonts w:ascii="Museo 300" w:hAnsi="Museo 300" w:hint="default"/>
        <w:color w:val="E7E6E6" w:themeColor="background2"/>
      </w:rPr>
    </w:lvl>
    <w:lvl w:ilvl="1">
      <w:start w:val="1"/>
      <w:numFmt w:val="bullet"/>
      <w:pStyle w:val="Bullets2"/>
      <w:lvlText w:val="»"/>
      <w:lvlJc w:val="left"/>
      <w:pPr>
        <w:ind w:left="992" w:hanging="311"/>
      </w:pPr>
      <w:rPr>
        <w:rFonts w:ascii="Arial" w:hAnsi="Arial" w:hint="default"/>
        <w:color w:val="E7E6E6" w:themeColor="background2"/>
      </w:rPr>
    </w:lvl>
    <w:lvl w:ilvl="2">
      <w:start w:val="1"/>
      <w:numFmt w:val="bullet"/>
      <w:lvlText w:val="•"/>
      <w:lvlJc w:val="left"/>
      <w:pPr>
        <w:ind w:left="1276" w:hanging="284"/>
      </w:pPr>
      <w:rPr>
        <w:rFonts w:ascii="Museo 300" w:hAnsi="Museo 300" w:hint="default"/>
        <w:color w:val="E7E6E6" w:themeColor="background2"/>
      </w:rPr>
    </w:lvl>
    <w:lvl w:ilvl="3">
      <w:start w:val="1"/>
      <w:numFmt w:val="bullet"/>
      <w:lvlText w:val="»"/>
      <w:lvlJc w:val="left"/>
      <w:pPr>
        <w:ind w:left="1588" w:hanging="312"/>
      </w:pPr>
      <w:rPr>
        <w:rFonts w:ascii="Arial" w:hAnsi="Arial" w:hint="default"/>
        <w:color w:val="E7E6E6" w:themeColor="background2"/>
      </w:rPr>
    </w:lvl>
    <w:lvl w:ilvl="4">
      <w:start w:val="1"/>
      <w:numFmt w:val="bullet"/>
      <w:lvlText w:val="•"/>
      <w:lvlJc w:val="left"/>
      <w:pPr>
        <w:ind w:left="1871" w:hanging="283"/>
      </w:pPr>
      <w:rPr>
        <w:rFonts w:ascii="Museo 300" w:hAnsi="Museo 300" w:hint="default"/>
        <w:color w:val="E7E6E6" w:themeColor="background2"/>
      </w:rPr>
    </w:lvl>
    <w:lvl w:ilvl="5">
      <w:start w:val="1"/>
      <w:numFmt w:val="bullet"/>
      <w:lvlText w:val="»"/>
      <w:lvlJc w:val="left"/>
      <w:pPr>
        <w:ind w:left="2183" w:hanging="312"/>
      </w:pPr>
      <w:rPr>
        <w:rFonts w:ascii="Arial" w:hAnsi="Arial" w:hint="default"/>
        <w:color w:val="E7E6E6" w:themeColor="background2"/>
      </w:rPr>
    </w:lvl>
    <w:lvl w:ilvl="6">
      <w:start w:val="1"/>
      <w:numFmt w:val="bullet"/>
      <w:lvlText w:val="•"/>
      <w:lvlJc w:val="left"/>
      <w:pPr>
        <w:ind w:left="2466" w:hanging="283"/>
      </w:pPr>
      <w:rPr>
        <w:rFonts w:ascii="Museo 300" w:hAnsi="Museo 300" w:hint="default"/>
        <w:color w:val="E7E6E6" w:themeColor="background2"/>
      </w:rPr>
    </w:lvl>
    <w:lvl w:ilvl="7">
      <w:start w:val="1"/>
      <w:numFmt w:val="bullet"/>
      <w:lvlText w:val="»"/>
      <w:lvlJc w:val="left"/>
      <w:pPr>
        <w:ind w:left="2778" w:hanging="312"/>
      </w:pPr>
      <w:rPr>
        <w:rFonts w:ascii="Arial" w:hAnsi="Arial" w:hint="default"/>
        <w:color w:val="E7E6E6" w:themeColor="background2"/>
      </w:rPr>
    </w:lvl>
    <w:lvl w:ilvl="8">
      <w:start w:val="1"/>
      <w:numFmt w:val="bullet"/>
      <w:lvlText w:val="•"/>
      <w:lvlJc w:val="left"/>
      <w:pPr>
        <w:ind w:left="3062" w:hanging="284"/>
      </w:pPr>
      <w:rPr>
        <w:rFonts w:ascii="Museo 300" w:hAnsi="Museo 300" w:hint="default"/>
        <w:color w:val="E7E6E6" w:themeColor="background2"/>
      </w:rPr>
    </w:lvl>
  </w:abstractNum>
  <w:abstractNum w:abstractNumId="3" w15:restartNumberingAfterBreak="0">
    <w:nsid w:val="2FC5665B"/>
    <w:multiLevelType w:val="hybridMultilevel"/>
    <w:tmpl w:val="4A60C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5" w15:restartNumberingAfterBreak="0">
    <w:nsid w:val="3F3F1CD7"/>
    <w:multiLevelType w:val="hybridMultilevel"/>
    <w:tmpl w:val="282A4F60"/>
    <w:lvl w:ilvl="0" w:tplc="11D6A0FA">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4A5280"/>
    <w:multiLevelType w:val="hybridMultilevel"/>
    <w:tmpl w:val="0E18FBA6"/>
    <w:lvl w:ilvl="0" w:tplc="8AD44E44">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0268B4"/>
    <w:multiLevelType w:val="hybridMultilevel"/>
    <w:tmpl w:val="2BCA5416"/>
    <w:lvl w:ilvl="0" w:tplc="B6B25FF8">
      <w:start w:val="4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F299F"/>
    <w:multiLevelType w:val="hybridMultilevel"/>
    <w:tmpl w:val="01A2D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055F25"/>
    <w:multiLevelType w:val="hybridMultilevel"/>
    <w:tmpl w:val="BF26A2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15E67EF"/>
    <w:multiLevelType w:val="hybridMultilevel"/>
    <w:tmpl w:val="795897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8140D1"/>
    <w:multiLevelType w:val="hybridMultilevel"/>
    <w:tmpl w:val="B264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3"/>
  </w:num>
  <w:num w:numId="2">
    <w:abstractNumId w:val="8"/>
  </w:num>
  <w:num w:numId="3">
    <w:abstractNumId w:val="0"/>
  </w:num>
  <w:num w:numId="4">
    <w:abstractNumId w:val="12"/>
  </w:num>
  <w:num w:numId="5">
    <w:abstractNumId w:val="4"/>
  </w:num>
  <w:num w:numId="6">
    <w:abstractNumId w:val="5"/>
  </w:num>
  <w:num w:numId="7">
    <w:abstractNumId w:val="1"/>
  </w:num>
  <w:num w:numId="8">
    <w:abstractNumId w:val="10"/>
  </w:num>
  <w:num w:numId="9">
    <w:abstractNumId w:val="2"/>
  </w:num>
  <w:num w:numId="10">
    <w:abstractNumId w:val="11"/>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FB"/>
    <w:rsid w:val="00004114"/>
    <w:rsid w:val="00010A13"/>
    <w:rsid w:val="0001407C"/>
    <w:rsid w:val="000145FF"/>
    <w:rsid w:val="000176DC"/>
    <w:rsid w:val="000501A6"/>
    <w:rsid w:val="00061958"/>
    <w:rsid w:val="00062DE8"/>
    <w:rsid w:val="00067BF8"/>
    <w:rsid w:val="000828FB"/>
    <w:rsid w:val="00093B34"/>
    <w:rsid w:val="000B7814"/>
    <w:rsid w:val="00104483"/>
    <w:rsid w:val="00125854"/>
    <w:rsid w:val="0013267C"/>
    <w:rsid w:val="001472B2"/>
    <w:rsid w:val="00157004"/>
    <w:rsid w:val="00193946"/>
    <w:rsid w:val="001F42C0"/>
    <w:rsid w:val="00235E6C"/>
    <w:rsid w:val="002606BC"/>
    <w:rsid w:val="00277FD2"/>
    <w:rsid w:val="002B1D22"/>
    <w:rsid w:val="002B44F5"/>
    <w:rsid w:val="002B73CB"/>
    <w:rsid w:val="002C6CD3"/>
    <w:rsid w:val="002E018A"/>
    <w:rsid w:val="002E6657"/>
    <w:rsid w:val="002E6B39"/>
    <w:rsid w:val="002F2902"/>
    <w:rsid w:val="003110A1"/>
    <w:rsid w:val="00315708"/>
    <w:rsid w:val="00336A33"/>
    <w:rsid w:val="00351EAE"/>
    <w:rsid w:val="00383275"/>
    <w:rsid w:val="003B0720"/>
    <w:rsid w:val="003B288D"/>
    <w:rsid w:val="003B3D1D"/>
    <w:rsid w:val="003C57BE"/>
    <w:rsid w:val="003C5D56"/>
    <w:rsid w:val="003E36CF"/>
    <w:rsid w:val="003E4465"/>
    <w:rsid w:val="003F283B"/>
    <w:rsid w:val="003F6CD5"/>
    <w:rsid w:val="00404615"/>
    <w:rsid w:val="004152AB"/>
    <w:rsid w:val="00462D6E"/>
    <w:rsid w:val="004B5368"/>
    <w:rsid w:val="004B7E34"/>
    <w:rsid w:val="004C015C"/>
    <w:rsid w:val="004D09F5"/>
    <w:rsid w:val="004D74C7"/>
    <w:rsid w:val="004E6943"/>
    <w:rsid w:val="004F2C02"/>
    <w:rsid w:val="005354A5"/>
    <w:rsid w:val="00564E00"/>
    <w:rsid w:val="0056764D"/>
    <w:rsid w:val="00597618"/>
    <w:rsid w:val="005F1546"/>
    <w:rsid w:val="0060005F"/>
    <w:rsid w:val="00602C2C"/>
    <w:rsid w:val="00612222"/>
    <w:rsid w:val="00641257"/>
    <w:rsid w:val="006C0079"/>
    <w:rsid w:val="006D6937"/>
    <w:rsid w:val="006F42F2"/>
    <w:rsid w:val="00700B16"/>
    <w:rsid w:val="00707D7F"/>
    <w:rsid w:val="00754167"/>
    <w:rsid w:val="00770EF3"/>
    <w:rsid w:val="00794FD1"/>
    <w:rsid w:val="007E5D03"/>
    <w:rsid w:val="0080718D"/>
    <w:rsid w:val="008079A4"/>
    <w:rsid w:val="00810508"/>
    <w:rsid w:val="00813F39"/>
    <w:rsid w:val="008272E5"/>
    <w:rsid w:val="00861DA5"/>
    <w:rsid w:val="00862ED0"/>
    <w:rsid w:val="008A5647"/>
    <w:rsid w:val="008C7B0D"/>
    <w:rsid w:val="008D08ED"/>
    <w:rsid w:val="008D1923"/>
    <w:rsid w:val="008D790A"/>
    <w:rsid w:val="008E2DE5"/>
    <w:rsid w:val="00960359"/>
    <w:rsid w:val="009745EF"/>
    <w:rsid w:val="009A039E"/>
    <w:rsid w:val="009A0B63"/>
    <w:rsid w:val="009C402F"/>
    <w:rsid w:val="00A06C66"/>
    <w:rsid w:val="00A1791A"/>
    <w:rsid w:val="00A233C7"/>
    <w:rsid w:val="00A50443"/>
    <w:rsid w:val="00A82BAB"/>
    <w:rsid w:val="00A83566"/>
    <w:rsid w:val="00AC36B1"/>
    <w:rsid w:val="00AE4393"/>
    <w:rsid w:val="00AF4A43"/>
    <w:rsid w:val="00B03BE6"/>
    <w:rsid w:val="00B15C8C"/>
    <w:rsid w:val="00B5042D"/>
    <w:rsid w:val="00B7227A"/>
    <w:rsid w:val="00B763EA"/>
    <w:rsid w:val="00B852EA"/>
    <w:rsid w:val="00B90447"/>
    <w:rsid w:val="00B92C4A"/>
    <w:rsid w:val="00BA3A4D"/>
    <w:rsid w:val="00BC7B2E"/>
    <w:rsid w:val="00BE2D80"/>
    <w:rsid w:val="00C063AD"/>
    <w:rsid w:val="00C32B0B"/>
    <w:rsid w:val="00C611C3"/>
    <w:rsid w:val="00C70A36"/>
    <w:rsid w:val="00C76B14"/>
    <w:rsid w:val="00C9022C"/>
    <w:rsid w:val="00CA52A3"/>
    <w:rsid w:val="00CD4FCD"/>
    <w:rsid w:val="00D023AC"/>
    <w:rsid w:val="00D11C4B"/>
    <w:rsid w:val="00D12BCB"/>
    <w:rsid w:val="00D13D79"/>
    <w:rsid w:val="00D340F2"/>
    <w:rsid w:val="00D55F9B"/>
    <w:rsid w:val="00D70248"/>
    <w:rsid w:val="00DA172A"/>
    <w:rsid w:val="00E14140"/>
    <w:rsid w:val="00E6053D"/>
    <w:rsid w:val="00E90863"/>
    <w:rsid w:val="00EE3616"/>
    <w:rsid w:val="00F33A63"/>
    <w:rsid w:val="00F411F0"/>
    <w:rsid w:val="00FC7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A087"/>
  <w15:chartTrackingRefBased/>
  <w15:docId w15:val="{59F4ABC0-06E6-204C-83E9-F1CB8346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E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02F"/>
    <w:pPr>
      <w:ind w:left="720"/>
      <w:contextualSpacing/>
    </w:pPr>
    <w:rPr>
      <w:rFonts w:asciiTheme="minorHAnsi" w:eastAsiaTheme="minorHAnsi" w:hAnsiTheme="minorHAnsi" w:cstheme="minorBidi"/>
      <w:lang w:eastAsia="en-US"/>
    </w:rPr>
  </w:style>
  <w:style w:type="paragraph" w:styleId="BodyText">
    <w:name w:val="Body Text"/>
    <w:link w:val="BodyTextChar"/>
    <w:qFormat/>
    <w:rsid w:val="00B03BE6"/>
    <w:pPr>
      <w:spacing w:before="240" w:line="300" w:lineRule="atLeast"/>
      <w:jc w:val="both"/>
    </w:pPr>
    <w:rPr>
      <w:rFonts w:ascii="Times New Roman" w:eastAsia="Times New Roman" w:hAnsi="Times New Roman" w:cs="Times New Roman"/>
      <w:szCs w:val="20"/>
      <w:lang w:eastAsia="en-AU"/>
    </w:rPr>
  </w:style>
  <w:style w:type="character" w:customStyle="1" w:styleId="BodyTextChar">
    <w:name w:val="Body Text Char"/>
    <w:basedOn w:val="DefaultParagraphFont"/>
    <w:link w:val="BodyText"/>
    <w:rsid w:val="00B03BE6"/>
    <w:rPr>
      <w:rFonts w:ascii="Times New Roman" w:eastAsia="Times New Roman" w:hAnsi="Times New Roman" w:cs="Times New Roman"/>
      <w:szCs w:val="20"/>
      <w:lang w:eastAsia="en-AU"/>
    </w:rPr>
  </w:style>
  <w:style w:type="paragraph" w:customStyle="1" w:styleId="InformationRequest">
    <w:name w:val="Information Request"/>
    <w:basedOn w:val="Normal"/>
    <w:next w:val="BodyText"/>
    <w:rsid w:val="008A5647"/>
    <w:pPr>
      <w:keepLines/>
      <w:spacing w:before="120" w:line="280" w:lineRule="atLeast"/>
      <w:jc w:val="both"/>
    </w:pPr>
    <w:rPr>
      <w:rFonts w:ascii="Arial" w:hAnsi="Arial"/>
      <w:i/>
      <w:sz w:val="22"/>
      <w:szCs w:val="20"/>
      <w:lang w:eastAsia="en-AU"/>
    </w:rPr>
  </w:style>
  <w:style w:type="paragraph" w:customStyle="1" w:styleId="InformationRequestTitle">
    <w:name w:val="Information Request Title"/>
    <w:basedOn w:val="Normal"/>
    <w:next w:val="InformationRequest"/>
    <w:rsid w:val="008A5647"/>
    <w:pPr>
      <w:keepNext/>
      <w:keepLines/>
      <w:spacing w:before="240" w:line="280" w:lineRule="atLeast"/>
      <w:jc w:val="both"/>
    </w:pPr>
    <w:rPr>
      <w:rFonts w:ascii="Arial" w:hAnsi="Arial"/>
      <w:i/>
      <w:caps/>
      <w:sz w:val="18"/>
      <w:szCs w:val="20"/>
      <w:lang w:eastAsia="en-AU"/>
    </w:rPr>
  </w:style>
  <w:style w:type="paragraph" w:customStyle="1" w:styleId="BoxListBullet2">
    <w:name w:val="Box List Bullet 2"/>
    <w:basedOn w:val="Normal"/>
    <w:rsid w:val="002E6657"/>
    <w:pPr>
      <w:keepNext/>
      <w:numPr>
        <w:numId w:val="3"/>
      </w:numPr>
      <w:spacing w:before="100" w:line="260" w:lineRule="atLeast"/>
      <w:jc w:val="both"/>
    </w:pPr>
    <w:rPr>
      <w:rFonts w:ascii="Arial" w:hAnsi="Arial"/>
      <w:sz w:val="20"/>
      <w:szCs w:val="20"/>
      <w:lang w:eastAsia="en-AU"/>
    </w:rPr>
  </w:style>
  <w:style w:type="paragraph" w:customStyle="1" w:styleId="RecTitle">
    <w:name w:val="Rec Title"/>
    <w:basedOn w:val="BodyText"/>
    <w:next w:val="Rec"/>
    <w:qFormat/>
    <w:rsid w:val="002E6657"/>
    <w:pPr>
      <w:keepNext/>
      <w:keepLines/>
      <w:spacing w:line="280" w:lineRule="atLeast"/>
    </w:pPr>
    <w:rPr>
      <w:rFonts w:ascii="Arial" w:hAnsi="Arial"/>
      <w:caps/>
      <w:sz w:val="18"/>
    </w:rPr>
  </w:style>
  <w:style w:type="paragraph" w:customStyle="1" w:styleId="Rec">
    <w:name w:val="Rec"/>
    <w:basedOn w:val="BodyText"/>
    <w:qFormat/>
    <w:rsid w:val="002E6657"/>
    <w:pPr>
      <w:keepLines/>
      <w:spacing w:before="120" w:line="280" w:lineRule="atLeast"/>
    </w:pPr>
    <w:rPr>
      <w:rFonts w:ascii="Arial" w:hAnsi="Arial"/>
      <w:sz w:val="22"/>
    </w:rPr>
  </w:style>
  <w:style w:type="paragraph" w:customStyle="1" w:styleId="RecBullet">
    <w:name w:val="Rec Bullet"/>
    <w:basedOn w:val="Rec"/>
    <w:rsid w:val="002E6657"/>
    <w:pPr>
      <w:numPr>
        <w:numId w:val="4"/>
      </w:numPr>
      <w:spacing w:before="80"/>
    </w:pPr>
  </w:style>
  <w:style w:type="paragraph" w:customStyle="1" w:styleId="Finding">
    <w:name w:val="Finding"/>
    <w:basedOn w:val="BodyText"/>
    <w:rsid w:val="002E6657"/>
    <w:pPr>
      <w:keepLines/>
      <w:spacing w:before="120" w:line="280" w:lineRule="atLeast"/>
    </w:pPr>
    <w:rPr>
      <w:rFonts w:ascii="Arial" w:hAnsi="Arial"/>
      <w:sz w:val="22"/>
    </w:rPr>
  </w:style>
  <w:style w:type="paragraph" w:customStyle="1" w:styleId="FindingTitle">
    <w:name w:val="Finding Title"/>
    <w:basedOn w:val="RecTitle"/>
    <w:next w:val="Finding"/>
    <w:rsid w:val="002E6657"/>
  </w:style>
  <w:style w:type="paragraph" w:customStyle="1" w:styleId="Box">
    <w:name w:val="Box"/>
    <w:basedOn w:val="BodyText"/>
    <w:link w:val="BoxChar"/>
    <w:qFormat/>
    <w:rsid w:val="002E6657"/>
    <w:pPr>
      <w:keepNext/>
      <w:spacing w:before="120" w:line="260" w:lineRule="atLeast"/>
    </w:pPr>
    <w:rPr>
      <w:rFonts w:ascii="Arial" w:hAnsi="Arial"/>
      <w:sz w:val="20"/>
    </w:rPr>
  </w:style>
  <w:style w:type="paragraph" w:customStyle="1" w:styleId="BoxListBullet">
    <w:name w:val="Box List Bullet"/>
    <w:basedOn w:val="BodyText"/>
    <w:link w:val="BoxListBulletChar"/>
    <w:rsid w:val="002E6657"/>
    <w:pPr>
      <w:keepNext/>
      <w:numPr>
        <w:numId w:val="5"/>
      </w:numPr>
      <w:spacing w:before="100" w:line="260" w:lineRule="atLeast"/>
    </w:pPr>
    <w:rPr>
      <w:rFonts w:ascii="Arial" w:hAnsi="Arial"/>
      <w:sz w:val="20"/>
    </w:rPr>
  </w:style>
  <w:style w:type="paragraph" w:customStyle="1" w:styleId="BoxTitle">
    <w:name w:val="Box Title"/>
    <w:basedOn w:val="Caption"/>
    <w:next w:val="Normal"/>
    <w:rsid w:val="002E6657"/>
    <w:pPr>
      <w:keepNext/>
      <w:keepLines/>
      <w:spacing w:before="120" w:after="0" w:line="280" w:lineRule="exact"/>
      <w:ind w:left="1474" w:hanging="1474"/>
    </w:pPr>
    <w:rPr>
      <w:rFonts w:ascii="Arial" w:eastAsia="Times New Roman" w:hAnsi="Arial" w:cs="Times New Roman"/>
      <w:b/>
      <w:i w:val="0"/>
      <w:iCs w:val="0"/>
      <w:color w:val="auto"/>
      <w:sz w:val="24"/>
      <w:szCs w:val="24"/>
      <w:lang w:eastAsia="en-AU"/>
    </w:rPr>
  </w:style>
  <w:style w:type="character" w:customStyle="1" w:styleId="DraftingNote">
    <w:name w:val="Drafting Note"/>
    <w:basedOn w:val="DefaultParagraphFont"/>
    <w:rsid w:val="002E6657"/>
    <w:rPr>
      <w:b/>
      <w:color w:val="FF0000"/>
      <w:sz w:val="24"/>
      <w:u w:val="dotted"/>
    </w:rPr>
  </w:style>
  <w:style w:type="character" w:customStyle="1" w:styleId="BoxListBulletChar">
    <w:name w:val="Box List Bullet Char"/>
    <w:basedOn w:val="DefaultParagraphFont"/>
    <w:link w:val="BoxListBullet"/>
    <w:locked/>
    <w:rsid w:val="002E6657"/>
    <w:rPr>
      <w:rFonts w:ascii="Arial" w:eastAsia="Times New Roman" w:hAnsi="Arial" w:cs="Times New Roman"/>
      <w:sz w:val="20"/>
      <w:szCs w:val="20"/>
      <w:lang w:eastAsia="en-AU"/>
    </w:rPr>
  </w:style>
  <w:style w:type="character" w:customStyle="1" w:styleId="BoxChar">
    <w:name w:val="Box Char"/>
    <w:basedOn w:val="DefaultParagraphFont"/>
    <w:link w:val="Box"/>
    <w:locked/>
    <w:rsid w:val="002E6657"/>
    <w:rPr>
      <w:rFonts w:ascii="Arial" w:eastAsia="Times New Roman" w:hAnsi="Arial" w:cs="Times New Roman"/>
      <w:sz w:val="20"/>
      <w:szCs w:val="20"/>
      <w:lang w:eastAsia="en-AU"/>
    </w:rPr>
  </w:style>
  <w:style w:type="paragraph" w:styleId="Caption">
    <w:name w:val="caption"/>
    <w:basedOn w:val="Normal"/>
    <w:next w:val="Normal"/>
    <w:uiPriority w:val="35"/>
    <w:semiHidden/>
    <w:unhideWhenUsed/>
    <w:qFormat/>
    <w:rsid w:val="002E6657"/>
    <w:pPr>
      <w:spacing w:after="200"/>
    </w:pPr>
    <w:rPr>
      <w:rFonts w:asciiTheme="minorHAnsi" w:eastAsiaTheme="minorHAnsi" w:hAnsiTheme="minorHAnsi" w:cstheme="minorBidi"/>
      <w:i/>
      <w:iCs/>
      <w:color w:val="44546A" w:themeColor="text2"/>
      <w:sz w:val="18"/>
      <w:szCs w:val="18"/>
      <w:lang w:eastAsia="en-US"/>
    </w:rPr>
  </w:style>
  <w:style w:type="character" w:styleId="Hyperlink">
    <w:name w:val="Hyperlink"/>
    <w:basedOn w:val="DefaultParagraphFont"/>
    <w:uiPriority w:val="99"/>
    <w:unhideWhenUsed/>
    <w:rsid w:val="009A0B63"/>
    <w:rPr>
      <w:color w:val="0000FF"/>
      <w:u w:val="single"/>
    </w:rPr>
  </w:style>
  <w:style w:type="paragraph" w:customStyle="1" w:styleId="yiv8753962838ydp46d128dyiv4898502122ydp921d1a76yiv0843946293ydp11f265acmsonormal">
    <w:name w:val="yiv8753962838ydp46d128dyiv4898502122ydp921d1a76yiv0843946293ydp11f265acmsonormal"/>
    <w:basedOn w:val="Normal"/>
    <w:rsid w:val="009A0B63"/>
    <w:pPr>
      <w:spacing w:before="100" w:beforeAutospacing="1" w:after="100" w:afterAutospacing="1"/>
    </w:pPr>
  </w:style>
  <w:style w:type="paragraph" w:styleId="BalloonText">
    <w:name w:val="Balloon Text"/>
    <w:basedOn w:val="Normal"/>
    <w:link w:val="BalloonTextChar"/>
    <w:uiPriority w:val="99"/>
    <w:semiHidden/>
    <w:unhideWhenUsed/>
    <w:rsid w:val="00754167"/>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754167"/>
    <w:rPr>
      <w:rFonts w:ascii="Times New Roman" w:hAnsi="Times New Roman" w:cs="Times New Roman"/>
      <w:sz w:val="18"/>
      <w:szCs w:val="18"/>
    </w:rPr>
  </w:style>
  <w:style w:type="paragraph" w:customStyle="1" w:styleId="yiv2232381288msonormal">
    <w:name w:val="yiv2232381288msonormal"/>
    <w:basedOn w:val="Normal"/>
    <w:rsid w:val="00315708"/>
    <w:pPr>
      <w:spacing w:before="100" w:beforeAutospacing="1" w:after="100" w:afterAutospacing="1"/>
    </w:pPr>
  </w:style>
  <w:style w:type="paragraph" w:customStyle="1" w:styleId="yiv2232381288msolistparagraph">
    <w:name w:val="yiv2232381288msolistparagraph"/>
    <w:basedOn w:val="Normal"/>
    <w:rsid w:val="00315708"/>
    <w:pPr>
      <w:spacing w:before="100" w:beforeAutospacing="1" w:after="100" w:afterAutospacing="1"/>
    </w:pPr>
  </w:style>
  <w:style w:type="character" w:styleId="CommentReference">
    <w:name w:val="annotation reference"/>
    <w:basedOn w:val="DefaultParagraphFont"/>
    <w:uiPriority w:val="99"/>
    <w:semiHidden/>
    <w:unhideWhenUsed/>
    <w:rsid w:val="00612222"/>
    <w:rPr>
      <w:sz w:val="16"/>
      <w:szCs w:val="16"/>
    </w:rPr>
  </w:style>
  <w:style w:type="paragraph" w:styleId="CommentText">
    <w:name w:val="annotation text"/>
    <w:basedOn w:val="Normal"/>
    <w:link w:val="CommentTextChar"/>
    <w:uiPriority w:val="99"/>
    <w:unhideWhenUsed/>
    <w:rsid w:val="00612222"/>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12222"/>
    <w:rPr>
      <w:sz w:val="20"/>
      <w:szCs w:val="20"/>
    </w:rPr>
  </w:style>
  <w:style w:type="paragraph" w:styleId="CommentSubject">
    <w:name w:val="annotation subject"/>
    <w:basedOn w:val="CommentText"/>
    <w:next w:val="CommentText"/>
    <w:link w:val="CommentSubjectChar"/>
    <w:uiPriority w:val="99"/>
    <w:semiHidden/>
    <w:unhideWhenUsed/>
    <w:rsid w:val="00612222"/>
    <w:rPr>
      <w:b/>
      <w:bCs/>
    </w:rPr>
  </w:style>
  <w:style w:type="character" w:customStyle="1" w:styleId="CommentSubjectChar">
    <w:name w:val="Comment Subject Char"/>
    <w:basedOn w:val="CommentTextChar"/>
    <w:link w:val="CommentSubject"/>
    <w:uiPriority w:val="99"/>
    <w:semiHidden/>
    <w:rsid w:val="00612222"/>
    <w:rPr>
      <w:b/>
      <w:bCs/>
      <w:sz w:val="20"/>
      <w:szCs w:val="20"/>
    </w:rPr>
  </w:style>
  <w:style w:type="character" w:styleId="FollowedHyperlink">
    <w:name w:val="FollowedHyperlink"/>
    <w:basedOn w:val="DefaultParagraphFont"/>
    <w:uiPriority w:val="99"/>
    <w:semiHidden/>
    <w:unhideWhenUsed/>
    <w:rsid w:val="00A50443"/>
    <w:rPr>
      <w:color w:val="954F72" w:themeColor="followedHyperlink"/>
      <w:u w:val="single"/>
    </w:rPr>
  </w:style>
  <w:style w:type="character" w:customStyle="1" w:styleId="UnresolvedMention1">
    <w:name w:val="Unresolved Mention1"/>
    <w:basedOn w:val="DefaultParagraphFont"/>
    <w:uiPriority w:val="99"/>
    <w:semiHidden/>
    <w:unhideWhenUsed/>
    <w:rsid w:val="00A50443"/>
    <w:rPr>
      <w:color w:val="605E5C"/>
      <w:shd w:val="clear" w:color="auto" w:fill="E1DFDD"/>
    </w:rPr>
  </w:style>
  <w:style w:type="character" w:styleId="Emphasis">
    <w:name w:val="Emphasis"/>
    <w:basedOn w:val="DefaultParagraphFont"/>
    <w:uiPriority w:val="20"/>
    <w:qFormat/>
    <w:rsid w:val="00061958"/>
    <w:rPr>
      <w:i/>
      <w:iCs/>
    </w:rPr>
  </w:style>
  <w:style w:type="paragraph" w:styleId="Revision">
    <w:name w:val="Revision"/>
    <w:hidden/>
    <w:uiPriority w:val="99"/>
    <w:semiHidden/>
    <w:rsid w:val="00D340F2"/>
    <w:rPr>
      <w:rFonts w:ascii="Times New Roman" w:eastAsia="Times New Roman" w:hAnsi="Times New Roman" w:cs="Times New Roman"/>
      <w:lang w:eastAsia="en-GB"/>
    </w:rPr>
  </w:style>
  <w:style w:type="paragraph" w:styleId="FootnoteText">
    <w:name w:val="footnote text"/>
    <w:link w:val="FootnoteTextChar"/>
    <w:uiPriority w:val="99"/>
    <w:semiHidden/>
    <w:rsid w:val="00D340F2"/>
    <w:pPr>
      <w:spacing w:line="200" w:lineRule="exact"/>
    </w:pPr>
    <w:rPr>
      <w:rFonts w:cs="Times New Roman"/>
      <w:color w:val="000000" w:themeColor="text1"/>
      <w:sz w:val="14"/>
      <w:szCs w:val="20"/>
    </w:rPr>
  </w:style>
  <w:style w:type="character" w:customStyle="1" w:styleId="FootnoteTextChar">
    <w:name w:val="Footnote Text Char"/>
    <w:basedOn w:val="DefaultParagraphFont"/>
    <w:link w:val="FootnoteText"/>
    <w:uiPriority w:val="99"/>
    <w:semiHidden/>
    <w:rsid w:val="00D340F2"/>
    <w:rPr>
      <w:rFonts w:cs="Times New Roman"/>
      <w:color w:val="000000" w:themeColor="text1"/>
      <w:sz w:val="14"/>
      <w:szCs w:val="20"/>
    </w:rPr>
  </w:style>
  <w:style w:type="numbering" w:customStyle="1" w:styleId="Bullets">
    <w:name w:val="Bullets"/>
    <w:basedOn w:val="NoList"/>
    <w:uiPriority w:val="99"/>
    <w:rsid w:val="00D340F2"/>
    <w:pPr>
      <w:numPr>
        <w:numId w:val="9"/>
      </w:numPr>
    </w:pPr>
  </w:style>
  <w:style w:type="character" w:styleId="FootnoteReference">
    <w:name w:val="footnote reference"/>
    <w:basedOn w:val="DefaultParagraphFont"/>
    <w:uiPriority w:val="99"/>
    <w:semiHidden/>
    <w:rsid w:val="00D340F2"/>
    <w:rPr>
      <w:vertAlign w:val="superscript"/>
    </w:rPr>
  </w:style>
  <w:style w:type="paragraph" w:customStyle="1" w:styleId="Bullets1">
    <w:name w:val="Bullets 1"/>
    <w:basedOn w:val="BodyText"/>
    <w:uiPriority w:val="1"/>
    <w:qFormat/>
    <w:rsid w:val="00D340F2"/>
    <w:pPr>
      <w:numPr>
        <w:numId w:val="9"/>
      </w:numPr>
      <w:spacing w:before="0" w:after="120" w:line="270" w:lineRule="atLeast"/>
      <w:jc w:val="left"/>
    </w:pPr>
    <w:rPr>
      <w:rFonts w:ascii="Museo Sans 300" w:eastAsiaTheme="minorHAnsi" w:hAnsi="Museo Sans 300"/>
      <w:color w:val="000000" w:themeColor="text1"/>
      <w:sz w:val="21"/>
      <w:lang w:eastAsia="en-US"/>
    </w:rPr>
  </w:style>
  <w:style w:type="paragraph" w:customStyle="1" w:styleId="Bullets2">
    <w:name w:val="Bullets 2"/>
    <w:basedOn w:val="BodyText"/>
    <w:uiPriority w:val="1"/>
    <w:qFormat/>
    <w:rsid w:val="00D340F2"/>
    <w:pPr>
      <w:numPr>
        <w:ilvl w:val="1"/>
        <w:numId w:val="9"/>
      </w:numPr>
      <w:spacing w:before="0" w:after="120" w:line="270" w:lineRule="atLeast"/>
      <w:jc w:val="left"/>
    </w:pPr>
    <w:rPr>
      <w:rFonts w:ascii="Museo Sans 300" w:eastAsiaTheme="minorHAnsi" w:hAnsi="Museo Sans 300"/>
      <w:color w:val="000000" w:themeColor="text1"/>
      <w:sz w:val="21"/>
      <w:lang w:eastAsia="en-US"/>
    </w:rPr>
  </w:style>
  <w:style w:type="character" w:styleId="IntenseEmphasis">
    <w:name w:val="Intense Emphasis"/>
    <w:basedOn w:val="DefaultParagraphFont"/>
    <w:uiPriority w:val="99"/>
    <w:qFormat/>
    <w:rsid w:val="00D340F2"/>
    <w:rPr>
      <w:i/>
      <w:iCs/>
      <w:color w:val="4472C4" w:themeColor="accent1"/>
    </w:rPr>
  </w:style>
  <w:style w:type="character" w:customStyle="1" w:styleId="UnresolvedMention">
    <w:name w:val="Unresolved Mention"/>
    <w:basedOn w:val="DefaultParagraphFont"/>
    <w:uiPriority w:val="99"/>
    <w:semiHidden/>
    <w:unhideWhenUsed/>
    <w:rsid w:val="009745EF"/>
    <w:rPr>
      <w:color w:val="605E5C"/>
      <w:shd w:val="clear" w:color="auto" w:fill="E1DFDD"/>
    </w:rPr>
  </w:style>
  <w:style w:type="paragraph" w:styleId="Footer">
    <w:name w:val="footer"/>
    <w:basedOn w:val="Normal"/>
    <w:link w:val="FooterChar"/>
    <w:uiPriority w:val="99"/>
    <w:unhideWhenUsed/>
    <w:rsid w:val="00235E6C"/>
    <w:pPr>
      <w:tabs>
        <w:tab w:val="center" w:pos="4513"/>
        <w:tab w:val="right" w:pos="9026"/>
      </w:tabs>
    </w:pPr>
  </w:style>
  <w:style w:type="character" w:customStyle="1" w:styleId="FooterChar">
    <w:name w:val="Footer Char"/>
    <w:basedOn w:val="DefaultParagraphFont"/>
    <w:link w:val="Footer"/>
    <w:uiPriority w:val="99"/>
    <w:rsid w:val="00235E6C"/>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235E6C"/>
  </w:style>
  <w:style w:type="paragraph" w:styleId="Header">
    <w:name w:val="header"/>
    <w:basedOn w:val="Normal"/>
    <w:link w:val="HeaderChar"/>
    <w:uiPriority w:val="99"/>
    <w:unhideWhenUsed/>
    <w:rsid w:val="008D1923"/>
    <w:pPr>
      <w:tabs>
        <w:tab w:val="center" w:pos="4513"/>
        <w:tab w:val="right" w:pos="9026"/>
      </w:tabs>
    </w:pPr>
  </w:style>
  <w:style w:type="character" w:customStyle="1" w:styleId="HeaderChar">
    <w:name w:val="Header Char"/>
    <w:basedOn w:val="DefaultParagraphFont"/>
    <w:link w:val="Header"/>
    <w:uiPriority w:val="99"/>
    <w:rsid w:val="008D1923"/>
    <w:rPr>
      <w:rFonts w:ascii="Times New Roman" w:eastAsia="Times New Roman" w:hAnsi="Times New Roman" w:cs="Times New Roman"/>
      <w:lang w:eastAsia="en-GB"/>
    </w:rPr>
  </w:style>
  <w:style w:type="paragraph" w:styleId="NormalWeb">
    <w:name w:val="Normal (Web)"/>
    <w:basedOn w:val="Normal"/>
    <w:uiPriority w:val="99"/>
    <w:unhideWhenUsed/>
    <w:rsid w:val="001258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0309">
      <w:bodyDiv w:val="1"/>
      <w:marLeft w:val="0"/>
      <w:marRight w:val="0"/>
      <w:marTop w:val="0"/>
      <w:marBottom w:val="0"/>
      <w:divBdr>
        <w:top w:val="none" w:sz="0" w:space="0" w:color="auto"/>
        <w:left w:val="none" w:sz="0" w:space="0" w:color="auto"/>
        <w:bottom w:val="none" w:sz="0" w:space="0" w:color="auto"/>
        <w:right w:val="none" w:sz="0" w:space="0" w:color="auto"/>
      </w:divBdr>
    </w:div>
    <w:div w:id="111095670">
      <w:bodyDiv w:val="1"/>
      <w:marLeft w:val="0"/>
      <w:marRight w:val="0"/>
      <w:marTop w:val="0"/>
      <w:marBottom w:val="0"/>
      <w:divBdr>
        <w:top w:val="none" w:sz="0" w:space="0" w:color="auto"/>
        <w:left w:val="none" w:sz="0" w:space="0" w:color="auto"/>
        <w:bottom w:val="none" w:sz="0" w:space="0" w:color="auto"/>
        <w:right w:val="none" w:sz="0" w:space="0" w:color="auto"/>
      </w:divBdr>
    </w:div>
    <w:div w:id="166752751">
      <w:bodyDiv w:val="1"/>
      <w:marLeft w:val="0"/>
      <w:marRight w:val="0"/>
      <w:marTop w:val="0"/>
      <w:marBottom w:val="0"/>
      <w:divBdr>
        <w:top w:val="none" w:sz="0" w:space="0" w:color="auto"/>
        <w:left w:val="none" w:sz="0" w:space="0" w:color="auto"/>
        <w:bottom w:val="none" w:sz="0" w:space="0" w:color="auto"/>
        <w:right w:val="none" w:sz="0" w:space="0" w:color="auto"/>
      </w:divBdr>
    </w:div>
    <w:div w:id="282464348">
      <w:bodyDiv w:val="1"/>
      <w:marLeft w:val="0"/>
      <w:marRight w:val="0"/>
      <w:marTop w:val="0"/>
      <w:marBottom w:val="0"/>
      <w:divBdr>
        <w:top w:val="none" w:sz="0" w:space="0" w:color="auto"/>
        <w:left w:val="none" w:sz="0" w:space="0" w:color="auto"/>
        <w:bottom w:val="none" w:sz="0" w:space="0" w:color="auto"/>
        <w:right w:val="none" w:sz="0" w:space="0" w:color="auto"/>
      </w:divBdr>
    </w:div>
    <w:div w:id="344282557">
      <w:bodyDiv w:val="1"/>
      <w:marLeft w:val="0"/>
      <w:marRight w:val="0"/>
      <w:marTop w:val="0"/>
      <w:marBottom w:val="0"/>
      <w:divBdr>
        <w:top w:val="none" w:sz="0" w:space="0" w:color="auto"/>
        <w:left w:val="none" w:sz="0" w:space="0" w:color="auto"/>
        <w:bottom w:val="none" w:sz="0" w:space="0" w:color="auto"/>
        <w:right w:val="none" w:sz="0" w:space="0" w:color="auto"/>
      </w:divBdr>
    </w:div>
    <w:div w:id="358089632">
      <w:bodyDiv w:val="1"/>
      <w:marLeft w:val="0"/>
      <w:marRight w:val="0"/>
      <w:marTop w:val="0"/>
      <w:marBottom w:val="0"/>
      <w:divBdr>
        <w:top w:val="none" w:sz="0" w:space="0" w:color="auto"/>
        <w:left w:val="none" w:sz="0" w:space="0" w:color="auto"/>
        <w:bottom w:val="none" w:sz="0" w:space="0" w:color="auto"/>
        <w:right w:val="none" w:sz="0" w:space="0" w:color="auto"/>
      </w:divBdr>
      <w:divsChild>
        <w:div w:id="274293515">
          <w:marLeft w:val="0"/>
          <w:marRight w:val="0"/>
          <w:marTop w:val="0"/>
          <w:marBottom w:val="0"/>
          <w:divBdr>
            <w:top w:val="none" w:sz="0" w:space="0" w:color="auto"/>
            <w:left w:val="none" w:sz="0" w:space="0" w:color="auto"/>
            <w:bottom w:val="none" w:sz="0" w:space="0" w:color="auto"/>
            <w:right w:val="none" w:sz="0" w:space="0" w:color="auto"/>
          </w:divBdr>
        </w:div>
        <w:div w:id="863707320">
          <w:marLeft w:val="0"/>
          <w:marRight w:val="0"/>
          <w:marTop w:val="0"/>
          <w:marBottom w:val="0"/>
          <w:divBdr>
            <w:top w:val="none" w:sz="0" w:space="0" w:color="auto"/>
            <w:left w:val="none" w:sz="0" w:space="0" w:color="auto"/>
            <w:bottom w:val="none" w:sz="0" w:space="0" w:color="auto"/>
            <w:right w:val="none" w:sz="0" w:space="0" w:color="auto"/>
          </w:divBdr>
        </w:div>
        <w:div w:id="1118447013">
          <w:marLeft w:val="0"/>
          <w:marRight w:val="0"/>
          <w:marTop w:val="0"/>
          <w:marBottom w:val="0"/>
          <w:divBdr>
            <w:top w:val="none" w:sz="0" w:space="0" w:color="auto"/>
            <w:left w:val="none" w:sz="0" w:space="0" w:color="auto"/>
            <w:bottom w:val="none" w:sz="0" w:space="0" w:color="auto"/>
            <w:right w:val="none" w:sz="0" w:space="0" w:color="auto"/>
          </w:divBdr>
        </w:div>
        <w:div w:id="979265613">
          <w:marLeft w:val="0"/>
          <w:marRight w:val="0"/>
          <w:marTop w:val="0"/>
          <w:marBottom w:val="0"/>
          <w:divBdr>
            <w:top w:val="none" w:sz="0" w:space="0" w:color="auto"/>
            <w:left w:val="none" w:sz="0" w:space="0" w:color="auto"/>
            <w:bottom w:val="none" w:sz="0" w:space="0" w:color="auto"/>
            <w:right w:val="none" w:sz="0" w:space="0" w:color="auto"/>
          </w:divBdr>
        </w:div>
        <w:div w:id="1913157282">
          <w:marLeft w:val="0"/>
          <w:marRight w:val="0"/>
          <w:marTop w:val="0"/>
          <w:marBottom w:val="0"/>
          <w:divBdr>
            <w:top w:val="none" w:sz="0" w:space="0" w:color="auto"/>
            <w:left w:val="none" w:sz="0" w:space="0" w:color="auto"/>
            <w:bottom w:val="none" w:sz="0" w:space="0" w:color="auto"/>
            <w:right w:val="none" w:sz="0" w:space="0" w:color="auto"/>
          </w:divBdr>
        </w:div>
        <w:div w:id="1356536216">
          <w:marLeft w:val="0"/>
          <w:marRight w:val="0"/>
          <w:marTop w:val="0"/>
          <w:marBottom w:val="0"/>
          <w:divBdr>
            <w:top w:val="none" w:sz="0" w:space="0" w:color="auto"/>
            <w:left w:val="none" w:sz="0" w:space="0" w:color="auto"/>
            <w:bottom w:val="none" w:sz="0" w:space="0" w:color="auto"/>
            <w:right w:val="none" w:sz="0" w:space="0" w:color="auto"/>
          </w:divBdr>
        </w:div>
        <w:div w:id="1672443432">
          <w:marLeft w:val="0"/>
          <w:marRight w:val="0"/>
          <w:marTop w:val="0"/>
          <w:marBottom w:val="0"/>
          <w:divBdr>
            <w:top w:val="none" w:sz="0" w:space="0" w:color="auto"/>
            <w:left w:val="none" w:sz="0" w:space="0" w:color="auto"/>
            <w:bottom w:val="none" w:sz="0" w:space="0" w:color="auto"/>
            <w:right w:val="none" w:sz="0" w:space="0" w:color="auto"/>
          </w:divBdr>
        </w:div>
        <w:div w:id="1983578583">
          <w:marLeft w:val="0"/>
          <w:marRight w:val="0"/>
          <w:marTop w:val="0"/>
          <w:marBottom w:val="0"/>
          <w:divBdr>
            <w:top w:val="none" w:sz="0" w:space="0" w:color="auto"/>
            <w:left w:val="none" w:sz="0" w:space="0" w:color="auto"/>
            <w:bottom w:val="none" w:sz="0" w:space="0" w:color="auto"/>
            <w:right w:val="none" w:sz="0" w:space="0" w:color="auto"/>
          </w:divBdr>
        </w:div>
        <w:div w:id="461536245">
          <w:marLeft w:val="0"/>
          <w:marRight w:val="0"/>
          <w:marTop w:val="0"/>
          <w:marBottom w:val="0"/>
          <w:divBdr>
            <w:top w:val="none" w:sz="0" w:space="0" w:color="auto"/>
            <w:left w:val="none" w:sz="0" w:space="0" w:color="auto"/>
            <w:bottom w:val="none" w:sz="0" w:space="0" w:color="auto"/>
            <w:right w:val="none" w:sz="0" w:space="0" w:color="auto"/>
          </w:divBdr>
        </w:div>
        <w:div w:id="470558207">
          <w:marLeft w:val="0"/>
          <w:marRight w:val="0"/>
          <w:marTop w:val="0"/>
          <w:marBottom w:val="0"/>
          <w:divBdr>
            <w:top w:val="none" w:sz="0" w:space="0" w:color="auto"/>
            <w:left w:val="none" w:sz="0" w:space="0" w:color="auto"/>
            <w:bottom w:val="none" w:sz="0" w:space="0" w:color="auto"/>
            <w:right w:val="none" w:sz="0" w:space="0" w:color="auto"/>
          </w:divBdr>
        </w:div>
        <w:div w:id="1134255534">
          <w:marLeft w:val="0"/>
          <w:marRight w:val="0"/>
          <w:marTop w:val="0"/>
          <w:marBottom w:val="0"/>
          <w:divBdr>
            <w:top w:val="none" w:sz="0" w:space="0" w:color="auto"/>
            <w:left w:val="none" w:sz="0" w:space="0" w:color="auto"/>
            <w:bottom w:val="none" w:sz="0" w:space="0" w:color="auto"/>
            <w:right w:val="none" w:sz="0" w:space="0" w:color="auto"/>
          </w:divBdr>
        </w:div>
        <w:div w:id="117259292">
          <w:marLeft w:val="0"/>
          <w:marRight w:val="0"/>
          <w:marTop w:val="0"/>
          <w:marBottom w:val="0"/>
          <w:divBdr>
            <w:top w:val="none" w:sz="0" w:space="0" w:color="auto"/>
            <w:left w:val="none" w:sz="0" w:space="0" w:color="auto"/>
            <w:bottom w:val="none" w:sz="0" w:space="0" w:color="auto"/>
            <w:right w:val="none" w:sz="0" w:space="0" w:color="auto"/>
          </w:divBdr>
        </w:div>
        <w:div w:id="242448632">
          <w:marLeft w:val="0"/>
          <w:marRight w:val="0"/>
          <w:marTop w:val="0"/>
          <w:marBottom w:val="0"/>
          <w:divBdr>
            <w:top w:val="none" w:sz="0" w:space="0" w:color="auto"/>
            <w:left w:val="none" w:sz="0" w:space="0" w:color="auto"/>
            <w:bottom w:val="none" w:sz="0" w:space="0" w:color="auto"/>
            <w:right w:val="none" w:sz="0" w:space="0" w:color="auto"/>
          </w:divBdr>
        </w:div>
        <w:div w:id="1875849667">
          <w:marLeft w:val="0"/>
          <w:marRight w:val="0"/>
          <w:marTop w:val="0"/>
          <w:marBottom w:val="0"/>
          <w:divBdr>
            <w:top w:val="none" w:sz="0" w:space="0" w:color="auto"/>
            <w:left w:val="none" w:sz="0" w:space="0" w:color="auto"/>
            <w:bottom w:val="none" w:sz="0" w:space="0" w:color="auto"/>
            <w:right w:val="none" w:sz="0" w:space="0" w:color="auto"/>
          </w:divBdr>
        </w:div>
        <w:div w:id="468014958">
          <w:marLeft w:val="0"/>
          <w:marRight w:val="0"/>
          <w:marTop w:val="0"/>
          <w:marBottom w:val="0"/>
          <w:divBdr>
            <w:top w:val="none" w:sz="0" w:space="0" w:color="auto"/>
            <w:left w:val="none" w:sz="0" w:space="0" w:color="auto"/>
            <w:bottom w:val="none" w:sz="0" w:space="0" w:color="auto"/>
            <w:right w:val="none" w:sz="0" w:space="0" w:color="auto"/>
          </w:divBdr>
        </w:div>
        <w:div w:id="1091705758">
          <w:marLeft w:val="0"/>
          <w:marRight w:val="0"/>
          <w:marTop w:val="0"/>
          <w:marBottom w:val="0"/>
          <w:divBdr>
            <w:top w:val="none" w:sz="0" w:space="0" w:color="auto"/>
            <w:left w:val="none" w:sz="0" w:space="0" w:color="auto"/>
            <w:bottom w:val="none" w:sz="0" w:space="0" w:color="auto"/>
            <w:right w:val="none" w:sz="0" w:space="0" w:color="auto"/>
          </w:divBdr>
        </w:div>
      </w:divsChild>
    </w:div>
    <w:div w:id="385640424">
      <w:bodyDiv w:val="1"/>
      <w:marLeft w:val="0"/>
      <w:marRight w:val="0"/>
      <w:marTop w:val="0"/>
      <w:marBottom w:val="0"/>
      <w:divBdr>
        <w:top w:val="none" w:sz="0" w:space="0" w:color="auto"/>
        <w:left w:val="none" w:sz="0" w:space="0" w:color="auto"/>
        <w:bottom w:val="none" w:sz="0" w:space="0" w:color="auto"/>
        <w:right w:val="none" w:sz="0" w:space="0" w:color="auto"/>
      </w:divBdr>
    </w:div>
    <w:div w:id="409548011">
      <w:bodyDiv w:val="1"/>
      <w:marLeft w:val="0"/>
      <w:marRight w:val="0"/>
      <w:marTop w:val="0"/>
      <w:marBottom w:val="0"/>
      <w:divBdr>
        <w:top w:val="none" w:sz="0" w:space="0" w:color="auto"/>
        <w:left w:val="none" w:sz="0" w:space="0" w:color="auto"/>
        <w:bottom w:val="none" w:sz="0" w:space="0" w:color="auto"/>
        <w:right w:val="none" w:sz="0" w:space="0" w:color="auto"/>
      </w:divBdr>
    </w:div>
    <w:div w:id="438914162">
      <w:bodyDiv w:val="1"/>
      <w:marLeft w:val="0"/>
      <w:marRight w:val="0"/>
      <w:marTop w:val="0"/>
      <w:marBottom w:val="0"/>
      <w:divBdr>
        <w:top w:val="none" w:sz="0" w:space="0" w:color="auto"/>
        <w:left w:val="none" w:sz="0" w:space="0" w:color="auto"/>
        <w:bottom w:val="none" w:sz="0" w:space="0" w:color="auto"/>
        <w:right w:val="none" w:sz="0" w:space="0" w:color="auto"/>
      </w:divBdr>
    </w:div>
    <w:div w:id="592594445">
      <w:bodyDiv w:val="1"/>
      <w:marLeft w:val="0"/>
      <w:marRight w:val="0"/>
      <w:marTop w:val="0"/>
      <w:marBottom w:val="0"/>
      <w:divBdr>
        <w:top w:val="none" w:sz="0" w:space="0" w:color="auto"/>
        <w:left w:val="none" w:sz="0" w:space="0" w:color="auto"/>
        <w:bottom w:val="none" w:sz="0" w:space="0" w:color="auto"/>
        <w:right w:val="none" w:sz="0" w:space="0" w:color="auto"/>
      </w:divBdr>
    </w:div>
    <w:div w:id="716978250">
      <w:bodyDiv w:val="1"/>
      <w:marLeft w:val="0"/>
      <w:marRight w:val="0"/>
      <w:marTop w:val="0"/>
      <w:marBottom w:val="0"/>
      <w:divBdr>
        <w:top w:val="none" w:sz="0" w:space="0" w:color="auto"/>
        <w:left w:val="none" w:sz="0" w:space="0" w:color="auto"/>
        <w:bottom w:val="none" w:sz="0" w:space="0" w:color="auto"/>
        <w:right w:val="none" w:sz="0" w:space="0" w:color="auto"/>
      </w:divBdr>
    </w:div>
    <w:div w:id="916204317">
      <w:bodyDiv w:val="1"/>
      <w:marLeft w:val="0"/>
      <w:marRight w:val="0"/>
      <w:marTop w:val="0"/>
      <w:marBottom w:val="0"/>
      <w:divBdr>
        <w:top w:val="none" w:sz="0" w:space="0" w:color="auto"/>
        <w:left w:val="none" w:sz="0" w:space="0" w:color="auto"/>
        <w:bottom w:val="none" w:sz="0" w:space="0" w:color="auto"/>
        <w:right w:val="none" w:sz="0" w:space="0" w:color="auto"/>
      </w:divBdr>
    </w:div>
    <w:div w:id="924219411">
      <w:bodyDiv w:val="1"/>
      <w:marLeft w:val="0"/>
      <w:marRight w:val="0"/>
      <w:marTop w:val="0"/>
      <w:marBottom w:val="0"/>
      <w:divBdr>
        <w:top w:val="none" w:sz="0" w:space="0" w:color="auto"/>
        <w:left w:val="none" w:sz="0" w:space="0" w:color="auto"/>
        <w:bottom w:val="none" w:sz="0" w:space="0" w:color="auto"/>
        <w:right w:val="none" w:sz="0" w:space="0" w:color="auto"/>
      </w:divBdr>
    </w:div>
    <w:div w:id="1040938327">
      <w:bodyDiv w:val="1"/>
      <w:marLeft w:val="0"/>
      <w:marRight w:val="0"/>
      <w:marTop w:val="0"/>
      <w:marBottom w:val="0"/>
      <w:divBdr>
        <w:top w:val="none" w:sz="0" w:space="0" w:color="auto"/>
        <w:left w:val="none" w:sz="0" w:space="0" w:color="auto"/>
        <w:bottom w:val="none" w:sz="0" w:space="0" w:color="auto"/>
        <w:right w:val="none" w:sz="0" w:space="0" w:color="auto"/>
      </w:divBdr>
    </w:div>
    <w:div w:id="1045562951">
      <w:bodyDiv w:val="1"/>
      <w:marLeft w:val="0"/>
      <w:marRight w:val="0"/>
      <w:marTop w:val="0"/>
      <w:marBottom w:val="0"/>
      <w:divBdr>
        <w:top w:val="none" w:sz="0" w:space="0" w:color="auto"/>
        <w:left w:val="none" w:sz="0" w:space="0" w:color="auto"/>
        <w:bottom w:val="none" w:sz="0" w:space="0" w:color="auto"/>
        <w:right w:val="none" w:sz="0" w:space="0" w:color="auto"/>
      </w:divBdr>
    </w:div>
    <w:div w:id="1094089876">
      <w:bodyDiv w:val="1"/>
      <w:marLeft w:val="0"/>
      <w:marRight w:val="0"/>
      <w:marTop w:val="0"/>
      <w:marBottom w:val="0"/>
      <w:divBdr>
        <w:top w:val="none" w:sz="0" w:space="0" w:color="auto"/>
        <w:left w:val="none" w:sz="0" w:space="0" w:color="auto"/>
        <w:bottom w:val="none" w:sz="0" w:space="0" w:color="auto"/>
        <w:right w:val="none" w:sz="0" w:space="0" w:color="auto"/>
      </w:divBdr>
    </w:div>
    <w:div w:id="1144732731">
      <w:bodyDiv w:val="1"/>
      <w:marLeft w:val="0"/>
      <w:marRight w:val="0"/>
      <w:marTop w:val="0"/>
      <w:marBottom w:val="0"/>
      <w:divBdr>
        <w:top w:val="none" w:sz="0" w:space="0" w:color="auto"/>
        <w:left w:val="none" w:sz="0" w:space="0" w:color="auto"/>
        <w:bottom w:val="none" w:sz="0" w:space="0" w:color="auto"/>
        <w:right w:val="none" w:sz="0" w:space="0" w:color="auto"/>
      </w:divBdr>
    </w:div>
    <w:div w:id="1189418444">
      <w:bodyDiv w:val="1"/>
      <w:marLeft w:val="0"/>
      <w:marRight w:val="0"/>
      <w:marTop w:val="0"/>
      <w:marBottom w:val="0"/>
      <w:divBdr>
        <w:top w:val="none" w:sz="0" w:space="0" w:color="auto"/>
        <w:left w:val="none" w:sz="0" w:space="0" w:color="auto"/>
        <w:bottom w:val="none" w:sz="0" w:space="0" w:color="auto"/>
        <w:right w:val="none" w:sz="0" w:space="0" w:color="auto"/>
      </w:divBdr>
    </w:div>
    <w:div w:id="1231843505">
      <w:bodyDiv w:val="1"/>
      <w:marLeft w:val="0"/>
      <w:marRight w:val="0"/>
      <w:marTop w:val="0"/>
      <w:marBottom w:val="0"/>
      <w:divBdr>
        <w:top w:val="none" w:sz="0" w:space="0" w:color="auto"/>
        <w:left w:val="none" w:sz="0" w:space="0" w:color="auto"/>
        <w:bottom w:val="none" w:sz="0" w:space="0" w:color="auto"/>
        <w:right w:val="none" w:sz="0" w:space="0" w:color="auto"/>
      </w:divBdr>
    </w:div>
    <w:div w:id="1317732868">
      <w:bodyDiv w:val="1"/>
      <w:marLeft w:val="0"/>
      <w:marRight w:val="0"/>
      <w:marTop w:val="0"/>
      <w:marBottom w:val="0"/>
      <w:divBdr>
        <w:top w:val="none" w:sz="0" w:space="0" w:color="auto"/>
        <w:left w:val="none" w:sz="0" w:space="0" w:color="auto"/>
        <w:bottom w:val="none" w:sz="0" w:space="0" w:color="auto"/>
        <w:right w:val="none" w:sz="0" w:space="0" w:color="auto"/>
      </w:divBdr>
    </w:div>
    <w:div w:id="1318412454">
      <w:bodyDiv w:val="1"/>
      <w:marLeft w:val="0"/>
      <w:marRight w:val="0"/>
      <w:marTop w:val="0"/>
      <w:marBottom w:val="0"/>
      <w:divBdr>
        <w:top w:val="none" w:sz="0" w:space="0" w:color="auto"/>
        <w:left w:val="none" w:sz="0" w:space="0" w:color="auto"/>
        <w:bottom w:val="none" w:sz="0" w:space="0" w:color="auto"/>
        <w:right w:val="none" w:sz="0" w:space="0" w:color="auto"/>
      </w:divBdr>
    </w:div>
    <w:div w:id="1323502976">
      <w:bodyDiv w:val="1"/>
      <w:marLeft w:val="0"/>
      <w:marRight w:val="0"/>
      <w:marTop w:val="0"/>
      <w:marBottom w:val="0"/>
      <w:divBdr>
        <w:top w:val="none" w:sz="0" w:space="0" w:color="auto"/>
        <w:left w:val="none" w:sz="0" w:space="0" w:color="auto"/>
        <w:bottom w:val="none" w:sz="0" w:space="0" w:color="auto"/>
        <w:right w:val="none" w:sz="0" w:space="0" w:color="auto"/>
      </w:divBdr>
    </w:div>
    <w:div w:id="1389038685">
      <w:bodyDiv w:val="1"/>
      <w:marLeft w:val="0"/>
      <w:marRight w:val="0"/>
      <w:marTop w:val="0"/>
      <w:marBottom w:val="0"/>
      <w:divBdr>
        <w:top w:val="none" w:sz="0" w:space="0" w:color="auto"/>
        <w:left w:val="none" w:sz="0" w:space="0" w:color="auto"/>
        <w:bottom w:val="none" w:sz="0" w:space="0" w:color="auto"/>
        <w:right w:val="none" w:sz="0" w:space="0" w:color="auto"/>
      </w:divBdr>
    </w:div>
    <w:div w:id="1520048237">
      <w:bodyDiv w:val="1"/>
      <w:marLeft w:val="0"/>
      <w:marRight w:val="0"/>
      <w:marTop w:val="0"/>
      <w:marBottom w:val="0"/>
      <w:divBdr>
        <w:top w:val="none" w:sz="0" w:space="0" w:color="auto"/>
        <w:left w:val="none" w:sz="0" w:space="0" w:color="auto"/>
        <w:bottom w:val="none" w:sz="0" w:space="0" w:color="auto"/>
        <w:right w:val="none" w:sz="0" w:space="0" w:color="auto"/>
      </w:divBdr>
    </w:div>
    <w:div w:id="1534075354">
      <w:bodyDiv w:val="1"/>
      <w:marLeft w:val="0"/>
      <w:marRight w:val="0"/>
      <w:marTop w:val="0"/>
      <w:marBottom w:val="0"/>
      <w:divBdr>
        <w:top w:val="none" w:sz="0" w:space="0" w:color="auto"/>
        <w:left w:val="none" w:sz="0" w:space="0" w:color="auto"/>
        <w:bottom w:val="none" w:sz="0" w:space="0" w:color="auto"/>
        <w:right w:val="none" w:sz="0" w:space="0" w:color="auto"/>
      </w:divBdr>
    </w:div>
    <w:div w:id="1539777851">
      <w:bodyDiv w:val="1"/>
      <w:marLeft w:val="0"/>
      <w:marRight w:val="0"/>
      <w:marTop w:val="0"/>
      <w:marBottom w:val="0"/>
      <w:divBdr>
        <w:top w:val="none" w:sz="0" w:space="0" w:color="auto"/>
        <w:left w:val="none" w:sz="0" w:space="0" w:color="auto"/>
        <w:bottom w:val="none" w:sz="0" w:space="0" w:color="auto"/>
        <w:right w:val="none" w:sz="0" w:space="0" w:color="auto"/>
      </w:divBdr>
    </w:div>
    <w:div w:id="1564366913">
      <w:bodyDiv w:val="1"/>
      <w:marLeft w:val="0"/>
      <w:marRight w:val="0"/>
      <w:marTop w:val="0"/>
      <w:marBottom w:val="0"/>
      <w:divBdr>
        <w:top w:val="none" w:sz="0" w:space="0" w:color="auto"/>
        <w:left w:val="none" w:sz="0" w:space="0" w:color="auto"/>
        <w:bottom w:val="none" w:sz="0" w:space="0" w:color="auto"/>
        <w:right w:val="none" w:sz="0" w:space="0" w:color="auto"/>
      </w:divBdr>
    </w:div>
    <w:div w:id="1571575430">
      <w:bodyDiv w:val="1"/>
      <w:marLeft w:val="0"/>
      <w:marRight w:val="0"/>
      <w:marTop w:val="0"/>
      <w:marBottom w:val="0"/>
      <w:divBdr>
        <w:top w:val="none" w:sz="0" w:space="0" w:color="auto"/>
        <w:left w:val="none" w:sz="0" w:space="0" w:color="auto"/>
        <w:bottom w:val="none" w:sz="0" w:space="0" w:color="auto"/>
        <w:right w:val="none" w:sz="0" w:space="0" w:color="auto"/>
      </w:divBdr>
    </w:div>
    <w:div w:id="1744059489">
      <w:bodyDiv w:val="1"/>
      <w:marLeft w:val="0"/>
      <w:marRight w:val="0"/>
      <w:marTop w:val="0"/>
      <w:marBottom w:val="0"/>
      <w:divBdr>
        <w:top w:val="none" w:sz="0" w:space="0" w:color="auto"/>
        <w:left w:val="none" w:sz="0" w:space="0" w:color="auto"/>
        <w:bottom w:val="none" w:sz="0" w:space="0" w:color="auto"/>
        <w:right w:val="none" w:sz="0" w:space="0" w:color="auto"/>
      </w:divBdr>
    </w:div>
    <w:div w:id="1752390773">
      <w:bodyDiv w:val="1"/>
      <w:marLeft w:val="0"/>
      <w:marRight w:val="0"/>
      <w:marTop w:val="0"/>
      <w:marBottom w:val="0"/>
      <w:divBdr>
        <w:top w:val="none" w:sz="0" w:space="0" w:color="auto"/>
        <w:left w:val="none" w:sz="0" w:space="0" w:color="auto"/>
        <w:bottom w:val="none" w:sz="0" w:space="0" w:color="auto"/>
        <w:right w:val="none" w:sz="0" w:space="0" w:color="auto"/>
      </w:divBdr>
    </w:div>
    <w:div w:id="1825508282">
      <w:bodyDiv w:val="1"/>
      <w:marLeft w:val="0"/>
      <w:marRight w:val="0"/>
      <w:marTop w:val="0"/>
      <w:marBottom w:val="0"/>
      <w:divBdr>
        <w:top w:val="none" w:sz="0" w:space="0" w:color="auto"/>
        <w:left w:val="none" w:sz="0" w:space="0" w:color="auto"/>
        <w:bottom w:val="none" w:sz="0" w:space="0" w:color="auto"/>
        <w:right w:val="none" w:sz="0" w:space="0" w:color="auto"/>
      </w:divBdr>
    </w:div>
    <w:div w:id="1869685002">
      <w:bodyDiv w:val="1"/>
      <w:marLeft w:val="0"/>
      <w:marRight w:val="0"/>
      <w:marTop w:val="0"/>
      <w:marBottom w:val="0"/>
      <w:divBdr>
        <w:top w:val="none" w:sz="0" w:space="0" w:color="auto"/>
        <w:left w:val="none" w:sz="0" w:space="0" w:color="auto"/>
        <w:bottom w:val="none" w:sz="0" w:space="0" w:color="auto"/>
        <w:right w:val="none" w:sz="0" w:space="0" w:color="auto"/>
      </w:divBdr>
    </w:div>
    <w:div w:id="1908683082">
      <w:bodyDiv w:val="1"/>
      <w:marLeft w:val="0"/>
      <w:marRight w:val="0"/>
      <w:marTop w:val="0"/>
      <w:marBottom w:val="0"/>
      <w:divBdr>
        <w:top w:val="none" w:sz="0" w:space="0" w:color="auto"/>
        <w:left w:val="none" w:sz="0" w:space="0" w:color="auto"/>
        <w:bottom w:val="none" w:sz="0" w:space="0" w:color="auto"/>
        <w:right w:val="none" w:sz="0" w:space="0" w:color="auto"/>
      </w:divBdr>
    </w:div>
    <w:div w:id="1958289415">
      <w:bodyDiv w:val="1"/>
      <w:marLeft w:val="0"/>
      <w:marRight w:val="0"/>
      <w:marTop w:val="0"/>
      <w:marBottom w:val="0"/>
      <w:divBdr>
        <w:top w:val="none" w:sz="0" w:space="0" w:color="auto"/>
        <w:left w:val="none" w:sz="0" w:space="0" w:color="auto"/>
        <w:bottom w:val="none" w:sz="0" w:space="0" w:color="auto"/>
        <w:right w:val="none" w:sz="0" w:space="0" w:color="auto"/>
      </w:divBdr>
    </w:div>
    <w:div w:id="2095588499">
      <w:bodyDiv w:val="1"/>
      <w:marLeft w:val="0"/>
      <w:marRight w:val="0"/>
      <w:marTop w:val="0"/>
      <w:marBottom w:val="0"/>
      <w:divBdr>
        <w:top w:val="none" w:sz="0" w:space="0" w:color="auto"/>
        <w:left w:val="none" w:sz="0" w:space="0" w:color="auto"/>
        <w:bottom w:val="none" w:sz="0" w:space="0" w:color="auto"/>
        <w:right w:val="none" w:sz="0" w:space="0" w:color="auto"/>
      </w:divBdr>
    </w:div>
    <w:div w:id="2098598610">
      <w:bodyDiv w:val="1"/>
      <w:marLeft w:val="0"/>
      <w:marRight w:val="0"/>
      <w:marTop w:val="0"/>
      <w:marBottom w:val="0"/>
      <w:divBdr>
        <w:top w:val="none" w:sz="0" w:space="0" w:color="auto"/>
        <w:left w:val="none" w:sz="0" w:space="0" w:color="auto"/>
        <w:bottom w:val="none" w:sz="0" w:space="0" w:color="auto"/>
        <w:right w:val="none" w:sz="0" w:space="0" w:color="auto"/>
      </w:divBdr>
    </w:div>
    <w:div w:id="210692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reghunt.com.au/national-action-on-indigenous-mental-illness-and-suicide-prevention/" TargetMode="External"/><Relationship Id="rId26" Type="http://schemas.openxmlformats.org/officeDocument/2006/relationships/hyperlink" Target="https://aodknowledgecentre.ecu.edu.au/healthinfonet/getContent.php?linkid=590984&amp;title=Review+of+the+harmful+use+of+alcohol+among+Aboriginal+and+Torres+Strait+Islander+people" TargetMode="External"/><Relationship Id="rId39" Type="http://schemas.openxmlformats.org/officeDocument/2006/relationships/hyperlink" Target="https://www.lifeinmindaustralia.com.au/programs-resources/regional-approaches/phn" TargetMode="External"/><Relationship Id="rId3" Type="http://schemas.openxmlformats.org/officeDocument/2006/relationships/customXml" Target="../customXml/item3.xml"/><Relationship Id="rId21" Type="http://schemas.openxmlformats.org/officeDocument/2006/relationships/hyperlink" Target="https://www.niaa.gov.au/sites/default/files/publications/2017-health-performance-framework-report_1.pdf" TargetMode="External"/><Relationship Id="rId34" Type="http://schemas.openxmlformats.org/officeDocument/2006/relationships/hyperlink" Target="https://www.mja.com.au/journal/2015/202/4/better-access-mental-health-care-and-failure-medicare-principle-universality"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atsilmh.org.au/sites/default/files/WEB_gayaa_dhuwi_declaration_A4-2.pdf" TargetMode="External"/><Relationship Id="rId25" Type="http://schemas.openxmlformats.org/officeDocument/2006/relationships/hyperlink" Target="https://www.ajpmonline.org/article/S0749-3797(19)30028-5/pdf" TargetMode="External"/><Relationship Id="rId33" Type="http://schemas.openxmlformats.org/officeDocument/2006/relationships/hyperlink" Target="https://science.csu.edu.au/schools/nurse/workplace-learning/mental-health" TargetMode="External"/><Relationship Id="rId38" Type="http://schemas.openxmlformats.org/officeDocument/2006/relationships/hyperlink" Target="https://www.legislation.wa.gov.au/legislation/prod/filestore.nsf/FileURL/mrdoc_41550.pdf/$FILE/Mental%20Health%20Act%202014%20-%20%5B01-g0-01%5D.pdf?OpenElement" TargetMode="External"/><Relationship Id="rId2" Type="http://schemas.openxmlformats.org/officeDocument/2006/relationships/customXml" Target="../customXml/item2.xml"/><Relationship Id="rId16" Type="http://schemas.openxmlformats.org/officeDocument/2006/relationships/hyperlink" Target="https://www.cbpatsisp.com.au/wp-content/uploads/2019/09/FINAL-WEB-COPY-IGF-v8.pdf" TargetMode="External"/><Relationship Id="rId20" Type="http://schemas.openxmlformats.org/officeDocument/2006/relationships/hyperlink" Target="https://www.coronerscourt.wa.gov.au/_files/inquest-2019/13-Children-and-Young-Persons-in-the-Kimberley-Region-Finding.pdf" TargetMode="External"/><Relationship Id="rId29" Type="http://schemas.openxmlformats.org/officeDocument/2006/relationships/hyperlink" Target="https://www.pc.gov.au/__data/assets/pdf_file/0020/241661/sub507-mental-health.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bs.gov.au/ausstats/abs@.nsf/Lookup/by%20Subject/3303.0~2018~Main%20Features~Intentional%20self-harm%20in%20Aboriginal%20and%20Torres%20Strait%20Islander%20people~4" TargetMode="External"/><Relationship Id="rId32" Type="http://schemas.openxmlformats.org/officeDocument/2006/relationships/hyperlink" Target="https://www.aihw.gov.au/getmedia/0c0bc98b-5e4d-4826-af7f-b300731fb447/aihw-aus-221-chapter-5-2.pdf.aspx" TargetMode="External"/><Relationship Id="rId37" Type="http://schemas.openxmlformats.org/officeDocument/2006/relationships/hyperlink" Target="https://nswmentalhealthcommission.com.au/sites/default/files/documents/justice_paper_final_web.pdf"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healthinfonet.ecu.edu.au/learn/health-topics/social-and-emotional-wellbeing/" TargetMode="External"/><Relationship Id="rId23" Type="http://schemas.openxmlformats.org/officeDocument/2006/relationships/hyperlink" Target="https://www.aihw.gov.au/getmedia/1e03d183-8b8f-4037-b4a4-e576bb22a9b0/aihw-injcat-208.pdf.aspx?inline=true" TargetMode="External"/><Relationship Id="rId28" Type="http://schemas.openxmlformats.org/officeDocument/2006/relationships/hyperlink" Target="https://www.greghunt.com.au/national-action-on-indigenous-mental-illness-and-suicide-prevention/" TargetMode="External"/><Relationship Id="rId36" Type="http://schemas.openxmlformats.org/officeDocument/2006/relationships/hyperlink" Target="https://www.aph.gov.au/Parliamentary_Business/Committees/Senate/Finance_and_Public_Administration/Legalassistanceservices/Report/c05" TargetMode="External"/><Relationship Id="rId10" Type="http://schemas.openxmlformats.org/officeDocument/2006/relationships/webSettings" Target="webSettings.xml"/><Relationship Id="rId19" Type="http://schemas.openxmlformats.org/officeDocument/2006/relationships/hyperlink" Target="https://www.pc.gov.au/inquiries/current/mental-health/terms-of-reference" TargetMode="External"/><Relationship Id="rId31" Type="http://schemas.openxmlformats.org/officeDocument/2006/relationships/hyperlink" Target="https://www.aihw.gov.au/reports/indigenous-health-welfare-services/health-organisations-osr-key-results-2016-17/contents/table-of-content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aihw.gov.au/getmedia/5683dc4b-796f-49bd-87eb-5a11135956f5/16934.pdf.aspx?inline=true" TargetMode="External"/><Relationship Id="rId27" Type="http://schemas.openxmlformats.org/officeDocument/2006/relationships/hyperlink" Target="https://www.pc.gov.au/__data/assets/pdf_file/0020/241661/sub507-mental-health.pdf" TargetMode="External"/><Relationship Id="rId30" Type="http://schemas.openxmlformats.org/officeDocument/2006/relationships/hyperlink" Target="https://www.pc.gov.au/inquiries/current/indigenous-evaluation/issues/indigenous-evaluation-issues.pdf" TargetMode="External"/><Relationship Id="rId35" Type="http://schemas.openxmlformats.org/officeDocument/2006/relationships/hyperlink" Target="https://www.aihw.gov.au/getmedia/1654e011-dccb-49d4-bf5b-09c4607eecc8/aihw-hou-301.pdf.asp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PCDOC-1378080517-1517</_dlc_DocId>
    <_dlc_DocIdUrl xmlns="3f4bcce7-ac1a-4c9d-aa3e-7e77695652db">
      <Url>http://inet.pc.gov.au/pmo/inq/mentalhealth/_layouts/15/DocIdRedir.aspx?ID=PCDOC-1378080517-1517</Url>
      <Description>PCDOC-1378080517-1517</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746558B-4DA4-4F98-9729-80BC8BB6EEAD}">
  <ds:schemaRefs>
    <ds:schemaRef ds:uri="http://schemas.microsoft.com/sharepoint/v3/contenttype/forms"/>
  </ds:schemaRefs>
</ds:datastoreItem>
</file>

<file path=customXml/itemProps2.xml><?xml version="1.0" encoding="utf-8"?>
<ds:datastoreItem xmlns:ds="http://schemas.openxmlformats.org/officeDocument/2006/customXml" ds:itemID="{6E764B65-BC90-42D7-9836-AB51B459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A3EC3-7D38-4688-AE1C-063D52B0C73F}">
  <ds:schemaRefs>
    <ds:schemaRef ds:uri="http://schemas.microsoft.com/sharepoint/events"/>
  </ds:schemaRefs>
</ds:datastoreItem>
</file>

<file path=customXml/itemProps4.xml><?xml version="1.0" encoding="utf-8"?>
<ds:datastoreItem xmlns:ds="http://schemas.openxmlformats.org/officeDocument/2006/customXml" ds:itemID="{90ACF1CF-2CD2-4BAE-AC32-F78C7AB57661}">
  <ds:schemaRefs>
    <ds:schemaRef ds:uri="Microsoft.SharePoint.Taxonomy.ContentTypeSync"/>
  </ds:schemaRefs>
</ds:datastoreItem>
</file>

<file path=customXml/itemProps5.xml><?xml version="1.0" encoding="utf-8"?>
<ds:datastoreItem xmlns:ds="http://schemas.openxmlformats.org/officeDocument/2006/customXml" ds:itemID="{BC0CFB48-3DE0-4BA9-8342-14BB90948468}">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3f4bcce7-ac1a-4c9d-aa3e-7e77695652db"/>
    <ds:schemaRef ds:uri="http://www.w3.org/XML/1998/namespace"/>
  </ds:schemaRefs>
</ds:datastoreItem>
</file>

<file path=customXml/itemProps6.xml><?xml version="1.0" encoding="utf-8"?>
<ds:datastoreItem xmlns:ds="http://schemas.openxmlformats.org/officeDocument/2006/customXml" ds:itemID="{8AB49CAC-295C-46DF-A641-FAC930299F2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99B98267.dotm</Template>
  <TotalTime>0</TotalTime>
  <Pages>17</Pages>
  <Words>5644</Words>
  <Characters>32171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Submission 1217 - Centre of Best Practice in Aboriginal and Torres Strait Islander Suicide Prevention (CBPATSISP) and National Aboriginal and Torres Strait Islander Leadership in Mental Health (NATSILMH) - Mental Health - Public inquiry</vt:lpstr>
    </vt:vector>
  </TitlesOfParts>
  <Company>Centre of Best Practice in Aboriginal and Torres Strait Islander Suicide Prevention (CBPATSISP) and National Aboriginal and Torres Strait Islander Leadership in Mental Health (NATSILMH)</Company>
  <LinksUpToDate>false</LinksUpToDate>
  <CharactersWithSpaces>37740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1217 - Centre of Best Practice in Aboriginal and Torres Strait Islander Suicide Prevention (CBPATSISP) and National Aboriginal and Torres Strait Islander Leadership in Mental Health (NATSILMH) - Mental Health - Public inquiry</dc:title>
  <dc:subject/>
  <dc:creator>Centre of Best Practice in Aboriginal and Torres Strait Islander Suicide Prevention (CBPATSISP) and National Aboriginal and Torres Strait Islander Leadership in Mental Health (NATSILMH)</dc:creator>
  <cp:keywords/>
  <dc:description/>
  <cp:lastModifiedBy>Productivity Commission</cp:lastModifiedBy>
  <cp:revision>3</cp:revision>
  <dcterms:created xsi:type="dcterms:W3CDTF">2020-02-12T02:26:00Z</dcterms:created>
  <dcterms:modified xsi:type="dcterms:W3CDTF">2020-02-20T03:19:00Z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1928bc61-d65e-48e4-91fb-b4994a36f430</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