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E3465" w14:textId="2889220D" w:rsidR="00285315" w:rsidRDefault="00285315" w:rsidP="00285315">
      <w:pPr>
        <w:spacing w:after="0"/>
        <w:jc w:val="right"/>
        <w:rPr>
          <w:rFonts w:ascii="Century Gothic" w:hAnsi="Century Gothic"/>
          <w:sz w:val="32"/>
          <w:szCs w:val="32"/>
          <w:lang w:val="en-US"/>
        </w:rPr>
      </w:pPr>
      <w:r w:rsidRPr="003A65FC">
        <w:rPr>
          <w:rFonts w:ascii="Century Gothic" w:hAnsi="Century Gothic"/>
          <w:sz w:val="32"/>
          <w:szCs w:val="32"/>
          <w:lang w:val="en-US"/>
        </w:rPr>
        <w:t>Brett Buckingham</w:t>
      </w:r>
    </w:p>
    <w:p w14:paraId="2FEC1927" w14:textId="198E996C" w:rsidR="00981BEE" w:rsidRPr="00981BEE" w:rsidRDefault="00981BEE" w:rsidP="00285315">
      <w:pPr>
        <w:spacing w:after="0"/>
        <w:jc w:val="right"/>
        <w:rPr>
          <w:rFonts w:ascii="Century Gothic" w:hAnsi="Century Gothic"/>
          <w:sz w:val="18"/>
          <w:szCs w:val="18"/>
          <w:lang w:val="en-US"/>
        </w:rPr>
      </w:pPr>
      <w:r>
        <w:rPr>
          <w:rFonts w:ascii="Century Gothic" w:hAnsi="Century Gothic"/>
          <w:sz w:val="18"/>
          <w:szCs w:val="18"/>
          <w:lang w:val="en-US"/>
        </w:rPr>
        <w:t>Service and Technology Professional</w:t>
      </w:r>
    </w:p>
    <w:p w14:paraId="37A4B9C6" w14:textId="77777777" w:rsidR="00285315" w:rsidRPr="00FF1E6D" w:rsidRDefault="00285315" w:rsidP="00285315">
      <w:pPr>
        <w:spacing w:after="0"/>
        <w:jc w:val="right"/>
        <w:rPr>
          <w:rFonts w:ascii="Century Gothic" w:hAnsi="Century Gothic"/>
          <w:sz w:val="18"/>
          <w:szCs w:val="18"/>
          <w:lang w:val="en-US"/>
        </w:rPr>
      </w:pPr>
    </w:p>
    <w:p w14:paraId="5861C457" w14:textId="3E9B0039" w:rsidR="003A65FC" w:rsidRDefault="003A65FC" w:rsidP="00FF1E6D">
      <w:pPr>
        <w:spacing w:after="0"/>
        <w:rPr>
          <w:rFonts w:ascii="Century Gothic" w:hAnsi="Century Gothic"/>
          <w:sz w:val="18"/>
          <w:szCs w:val="18"/>
          <w:lang w:val="en-US"/>
        </w:rPr>
      </w:pPr>
      <w:r>
        <w:rPr>
          <w:rFonts w:ascii="Century Gothic" w:hAnsi="Century Gothic"/>
          <w:sz w:val="18"/>
          <w:szCs w:val="18"/>
          <w:lang w:val="en-US"/>
        </w:rPr>
        <w:t>29</w:t>
      </w:r>
      <w:r w:rsidRPr="003A65FC">
        <w:rPr>
          <w:rFonts w:ascii="Century Gothic" w:hAnsi="Century Gothic"/>
          <w:sz w:val="18"/>
          <w:szCs w:val="18"/>
          <w:vertAlign w:val="superscript"/>
          <w:lang w:val="en-US"/>
        </w:rPr>
        <w:t>th</w:t>
      </w:r>
      <w:r>
        <w:rPr>
          <w:rFonts w:ascii="Century Gothic" w:hAnsi="Century Gothic"/>
          <w:sz w:val="18"/>
          <w:szCs w:val="18"/>
          <w:lang w:val="en-US"/>
        </w:rPr>
        <w:t xml:space="preserve"> January 2021</w:t>
      </w:r>
    </w:p>
    <w:p w14:paraId="5B64642C" w14:textId="77777777" w:rsidR="00981BEE" w:rsidRDefault="00981BEE" w:rsidP="00FF1E6D">
      <w:pPr>
        <w:spacing w:after="0"/>
        <w:rPr>
          <w:rFonts w:ascii="Century Gothic" w:hAnsi="Century Gothic"/>
          <w:sz w:val="18"/>
          <w:szCs w:val="18"/>
          <w:lang w:val="en-US"/>
        </w:rPr>
      </w:pPr>
    </w:p>
    <w:p w14:paraId="69D50429" w14:textId="434A53BE" w:rsidR="003A65FC" w:rsidRDefault="003A65FC" w:rsidP="00FF1E6D">
      <w:pPr>
        <w:spacing w:after="0"/>
        <w:rPr>
          <w:rFonts w:ascii="Century Gothic" w:hAnsi="Century Gothic"/>
          <w:sz w:val="18"/>
          <w:szCs w:val="18"/>
          <w:lang w:val="en-US"/>
        </w:rPr>
      </w:pPr>
      <w:r w:rsidRPr="003A65FC">
        <w:rPr>
          <w:rFonts w:ascii="Century Gothic" w:hAnsi="Century Gothic"/>
          <w:sz w:val="18"/>
          <w:szCs w:val="18"/>
          <w:lang w:val="en-US"/>
        </w:rPr>
        <w:t>Productivity Commission</w:t>
      </w:r>
    </w:p>
    <w:p w14:paraId="0D127E5D" w14:textId="7AF92494" w:rsidR="003A65FC" w:rsidRDefault="003A65FC" w:rsidP="00FF1E6D">
      <w:pPr>
        <w:spacing w:after="0"/>
        <w:rPr>
          <w:rFonts w:ascii="Century Gothic" w:hAnsi="Century Gothic"/>
          <w:sz w:val="18"/>
          <w:szCs w:val="18"/>
          <w:lang w:val="en-US"/>
        </w:rPr>
      </w:pPr>
      <w:r>
        <w:rPr>
          <w:rFonts w:ascii="Century Gothic" w:hAnsi="Century Gothic"/>
          <w:sz w:val="18"/>
          <w:szCs w:val="18"/>
          <w:lang w:val="en-US"/>
        </w:rPr>
        <w:t>4 National Circuit</w:t>
      </w:r>
    </w:p>
    <w:p w14:paraId="42FD3ADA" w14:textId="774EBF73" w:rsidR="003A65FC" w:rsidRDefault="003A65FC" w:rsidP="00FF1E6D">
      <w:pPr>
        <w:spacing w:after="0"/>
        <w:rPr>
          <w:rFonts w:ascii="Century Gothic" w:hAnsi="Century Gothic"/>
          <w:sz w:val="18"/>
          <w:szCs w:val="18"/>
          <w:lang w:val="en-US"/>
        </w:rPr>
      </w:pPr>
      <w:r>
        <w:rPr>
          <w:rFonts w:ascii="Century Gothic" w:hAnsi="Century Gothic"/>
          <w:sz w:val="18"/>
          <w:szCs w:val="18"/>
          <w:lang w:val="en-US"/>
        </w:rPr>
        <w:t>Barton ACT 2600</w:t>
      </w:r>
    </w:p>
    <w:p w14:paraId="2313A5E0" w14:textId="2D79C7E6" w:rsidR="003A65FC" w:rsidRPr="003A65FC" w:rsidRDefault="003A65FC" w:rsidP="00FF1E6D">
      <w:pPr>
        <w:spacing w:after="0"/>
        <w:rPr>
          <w:rFonts w:ascii="Century Gothic" w:hAnsi="Century Gothic"/>
          <w:sz w:val="18"/>
          <w:szCs w:val="18"/>
          <w:lang w:val="en-US"/>
        </w:rPr>
      </w:pPr>
      <w:r>
        <w:rPr>
          <w:rFonts w:ascii="Century Gothic" w:hAnsi="Century Gothic"/>
          <w:sz w:val="18"/>
          <w:szCs w:val="18"/>
          <w:lang w:val="en-US"/>
        </w:rPr>
        <w:t>Australia</w:t>
      </w:r>
    </w:p>
    <w:p w14:paraId="1F867377" w14:textId="301C56FA" w:rsidR="003A65FC" w:rsidRDefault="003A65FC" w:rsidP="00FF1E6D">
      <w:pPr>
        <w:spacing w:after="0"/>
        <w:rPr>
          <w:rFonts w:ascii="Century Gothic" w:hAnsi="Century Gothic"/>
          <w:b/>
          <w:bCs/>
          <w:sz w:val="18"/>
          <w:szCs w:val="18"/>
          <w:lang w:val="en-US"/>
        </w:rPr>
      </w:pPr>
    </w:p>
    <w:p w14:paraId="4A417256" w14:textId="77777777" w:rsidR="003A65FC" w:rsidRDefault="003A65FC" w:rsidP="00FF1E6D">
      <w:pPr>
        <w:spacing w:after="0"/>
        <w:rPr>
          <w:rFonts w:ascii="Century Gothic" w:hAnsi="Century Gothic"/>
          <w:b/>
          <w:bCs/>
          <w:sz w:val="18"/>
          <w:szCs w:val="18"/>
          <w:lang w:val="en-US"/>
        </w:rPr>
      </w:pPr>
    </w:p>
    <w:p w14:paraId="150EB50F" w14:textId="6AD78EB9" w:rsidR="003A65FC" w:rsidRPr="00981BEE" w:rsidRDefault="003A65FC" w:rsidP="003A65FC">
      <w:pPr>
        <w:spacing w:after="0"/>
        <w:jc w:val="center"/>
        <w:rPr>
          <w:rFonts w:ascii="Century Gothic" w:hAnsi="Century Gothic"/>
          <w:b/>
          <w:bCs/>
          <w:sz w:val="18"/>
          <w:szCs w:val="18"/>
          <w:lang w:val="en-US"/>
        </w:rPr>
      </w:pPr>
      <w:r w:rsidRPr="00981BEE">
        <w:rPr>
          <w:rFonts w:ascii="Century Gothic" w:hAnsi="Century Gothic"/>
          <w:b/>
          <w:bCs/>
          <w:sz w:val="18"/>
          <w:szCs w:val="18"/>
          <w:lang w:val="en-US"/>
        </w:rPr>
        <w:t xml:space="preserve">Re: </w:t>
      </w:r>
      <w:r w:rsidR="00DB13A5">
        <w:rPr>
          <w:rFonts w:ascii="Century Gothic" w:hAnsi="Century Gothic"/>
          <w:b/>
          <w:bCs/>
          <w:sz w:val="18"/>
          <w:szCs w:val="18"/>
          <w:lang w:val="en-US"/>
        </w:rPr>
        <w:t xml:space="preserve">Initial </w:t>
      </w:r>
      <w:r w:rsidRPr="00981BEE">
        <w:rPr>
          <w:rFonts w:ascii="Century Gothic" w:hAnsi="Century Gothic"/>
          <w:b/>
          <w:bCs/>
          <w:sz w:val="18"/>
          <w:szCs w:val="18"/>
          <w:lang w:val="en-US"/>
        </w:rPr>
        <w:t>Submission regarding Right to Repair</w:t>
      </w:r>
      <w:r w:rsidR="009D7154" w:rsidRPr="00981BEE">
        <w:rPr>
          <w:rFonts w:ascii="Century Gothic" w:hAnsi="Century Gothic"/>
          <w:b/>
          <w:bCs/>
          <w:sz w:val="18"/>
          <w:szCs w:val="18"/>
          <w:lang w:val="en-US"/>
        </w:rPr>
        <w:t xml:space="preserve"> Issues Paper</w:t>
      </w:r>
    </w:p>
    <w:p w14:paraId="500E8B98" w14:textId="77777777" w:rsidR="003A65FC" w:rsidRDefault="003A65FC" w:rsidP="00FF1E6D">
      <w:pPr>
        <w:spacing w:after="0"/>
        <w:rPr>
          <w:rFonts w:ascii="Century Gothic" w:hAnsi="Century Gothic"/>
          <w:b/>
          <w:bCs/>
          <w:sz w:val="18"/>
          <w:szCs w:val="18"/>
          <w:lang w:val="en-US"/>
        </w:rPr>
      </w:pPr>
    </w:p>
    <w:p w14:paraId="688ACE61" w14:textId="77777777" w:rsidR="003A65FC" w:rsidRDefault="003A65FC" w:rsidP="00FF1E6D">
      <w:pPr>
        <w:spacing w:after="0"/>
        <w:rPr>
          <w:rFonts w:ascii="Century Gothic" w:hAnsi="Century Gothic"/>
          <w:b/>
          <w:bCs/>
          <w:sz w:val="18"/>
          <w:szCs w:val="18"/>
          <w:lang w:val="en-US"/>
        </w:rPr>
      </w:pPr>
    </w:p>
    <w:p w14:paraId="51190CDF" w14:textId="573432E7" w:rsidR="00FF1E6D" w:rsidRPr="00FF1E6D" w:rsidRDefault="003D6009" w:rsidP="00FF1E6D">
      <w:pPr>
        <w:spacing w:after="0"/>
        <w:rPr>
          <w:rFonts w:ascii="Century Gothic" w:hAnsi="Century Gothic"/>
          <w:b/>
          <w:bCs/>
          <w:sz w:val="18"/>
          <w:szCs w:val="18"/>
          <w:lang w:val="en-US"/>
        </w:rPr>
      </w:pPr>
      <w:r>
        <w:rPr>
          <w:rFonts w:ascii="Century Gothic" w:hAnsi="Century Gothic"/>
          <w:b/>
          <w:bCs/>
          <w:sz w:val="18"/>
          <w:szCs w:val="18"/>
          <w:lang w:val="en-US"/>
        </w:rPr>
        <w:t>PROFESSIONAL</w:t>
      </w:r>
      <w:r w:rsidR="00981BEE">
        <w:rPr>
          <w:rFonts w:ascii="Century Gothic" w:hAnsi="Century Gothic"/>
          <w:b/>
          <w:bCs/>
          <w:sz w:val="18"/>
          <w:szCs w:val="18"/>
          <w:lang w:val="en-US"/>
        </w:rPr>
        <w:t xml:space="preserve"> </w:t>
      </w:r>
      <w:r w:rsidR="00FF1E6D" w:rsidRPr="00FF1E6D">
        <w:rPr>
          <w:rFonts w:ascii="Century Gothic" w:hAnsi="Century Gothic"/>
          <w:b/>
          <w:bCs/>
          <w:sz w:val="18"/>
          <w:szCs w:val="18"/>
          <w:lang w:val="en-US"/>
        </w:rPr>
        <w:t>EXPERIENCE</w:t>
      </w:r>
      <w:r w:rsidR="00981BEE">
        <w:rPr>
          <w:rFonts w:ascii="Century Gothic" w:hAnsi="Century Gothic"/>
          <w:b/>
          <w:bCs/>
          <w:sz w:val="18"/>
          <w:szCs w:val="18"/>
          <w:lang w:val="en-US"/>
        </w:rPr>
        <w:t xml:space="preserve"> </w:t>
      </w:r>
    </w:p>
    <w:p w14:paraId="06210996" w14:textId="22FA1FEA" w:rsidR="00FF1E6D" w:rsidRDefault="00981BEE" w:rsidP="00FF1E6D">
      <w:pPr>
        <w:spacing w:after="0"/>
        <w:rPr>
          <w:rFonts w:ascii="Century Gothic" w:hAnsi="Century Gothic"/>
          <w:sz w:val="18"/>
          <w:szCs w:val="18"/>
          <w:lang w:val="en-US"/>
        </w:rPr>
      </w:pPr>
      <w:r>
        <w:rPr>
          <w:rFonts w:ascii="Century Gothic" w:hAnsi="Century Gothic"/>
          <w:sz w:val="18"/>
          <w:szCs w:val="18"/>
          <w:lang w:val="en-US"/>
        </w:rPr>
        <w:t>I am</w:t>
      </w:r>
      <w:r w:rsidR="00FF1E6D" w:rsidRPr="00FF1E6D">
        <w:rPr>
          <w:rFonts w:ascii="Century Gothic" w:hAnsi="Century Gothic"/>
          <w:sz w:val="18"/>
          <w:szCs w:val="18"/>
          <w:lang w:val="en-US"/>
        </w:rPr>
        <w:t xml:space="preserve"> a service and technology professional with 30 years experience leading and developing circular economy initiatives for multinational organisations. </w:t>
      </w:r>
    </w:p>
    <w:p w14:paraId="490FB6BB" w14:textId="718E9618" w:rsidR="00FF1E6D" w:rsidRPr="00FF1E6D" w:rsidRDefault="00FF1E6D" w:rsidP="00FF1E6D">
      <w:pPr>
        <w:spacing w:after="0"/>
        <w:rPr>
          <w:rFonts w:ascii="Century Gothic" w:hAnsi="Century Gothic"/>
          <w:sz w:val="18"/>
          <w:szCs w:val="18"/>
          <w:lang w:val="en-US"/>
        </w:rPr>
      </w:pPr>
      <w:r w:rsidRPr="00FF1E6D">
        <w:rPr>
          <w:rFonts w:ascii="Century Gothic" w:hAnsi="Century Gothic"/>
          <w:sz w:val="18"/>
          <w:szCs w:val="18"/>
          <w:lang w:val="en-US"/>
        </w:rPr>
        <w:t xml:space="preserve">My industry experience covers the telecommunications, business equipment, consumer electronics, and air conditioning sectors. </w:t>
      </w:r>
    </w:p>
    <w:p w14:paraId="7AE1F71A" w14:textId="512223F4" w:rsidR="00FF1E6D" w:rsidRPr="00FF1E6D" w:rsidRDefault="00FF1E6D" w:rsidP="00FF1E6D">
      <w:pPr>
        <w:spacing w:after="0"/>
        <w:rPr>
          <w:rFonts w:ascii="Century Gothic" w:hAnsi="Century Gothic"/>
          <w:sz w:val="18"/>
          <w:szCs w:val="18"/>
          <w:lang w:val="en-US"/>
        </w:rPr>
      </w:pPr>
      <w:r w:rsidRPr="00FF1E6D">
        <w:rPr>
          <w:rFonts w:ascii="Century Gothic" w:hAnsi="Century Gothic"/>
          <w:sz w:val="18"/>
          <w:szCs w:val="18"/>
          <w:lang w:val="en-US"/>
        </w:rPr>
        <w:t>I have consistently demonstrated sound executive leadership while managing the introduction of numerous initiatives focused on delivering long term benefits and sustainable outcomes to stakeholders in the follow areas;</w:t>
      </w:r>
    </w:p>
    <w:p w14:paraId="49D1921C" w14:textId="77777777" w:rsidR="00FF1E6D" w:rsidRPr="00FF1E6D" w:rsidRDefault="00FF1E6D" w:rsidP="00FF1E6D">
      <w:pPr>
        <w:spacing w:after="0"/>
        <w:rPr>
          <w:rFonts w:ascii="Century Gothic" w:hAnsi="Century Gothic"/>
          <w:sz w:val="18"/>
          <w:szCs w:val="18"/>
          <w:lang w:val="en-US"/>
        </w:rPr>
      </w:pPr>
    </w:p>
    <w:p w14:paraId="07DF2B25" w14:textId="56DBD3C5"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 xml:space="preserve">Product Life Cycle Management and Product Repair strategies </w:t>
      </w:r>
    </w:p>
    <w:p w14:paraId="1786DE4B" w14:textId="30A0F6EF"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Field Service delivery and Repairer Network Management</w:t>
      </w:r>
    </w:p>
    <w:p w14:paraId="2C0AB166" w14:textId="40F88B7C"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Technical Support and Engineering services</w:t>
      </w:r>
    </w:p>
    <w:p w14:paraId="31445AD7" w14:textId="5683F134"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Spare Parts sales, distribution, harvesting and reclaim</w:t>
      </w:r>
    </w:p>
    <w:p w14:paraId="265DBA35" w14:textId="2B9635CB"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Reverse Logistics, Product Refurbishment, and Second Inventory Sales</w:t>
      </w:r>
    </w:p>
    <w:p w14:paraId="74BD3D65" w14:textId="09FFB5A8" w:rsidR="00FF1E6D" w:rsidRPr="00FF1E6D" w:rsidRDefault="00FF1E6D" w:rsidP="00FF1E6D">
      <w:pPr>
        <w:pStyle w:val="ListParagraph"/>
        <w:numPr>
          <w:ilvl w:val="0"/>
          <w:numId w:val="19"/>
        </w:numPr>
        <w:spacing w:after="0"/>
        <w:rPr>
          <w:rFonts w:ascii="Century Gothic" w:hAnsi="Century Gothic"/>
          <w:sz w:val="18"/>
          <w:szCs w:val="18"/>
          <w:lang w:val="en-US"/>
        </w:rPr>
      </w:pPr>
      <w:r w:rsidRPr="00FF1E6D">
        <w:rPr>
          <w:rFonts w:ascii="Century Gothic" w:hAnsi="Century Gothic"/>
          <w:sz w:val="18"/>
          <w:szCs w:val="18"/>
          <w:lang w:val="en-US"/>
        </w:rPr>
        <w:t>Product Stewardship, end of life recycling, and e-waste management</w:t>
      </w:r>
    </w:p>
    <w:p w14:paraId="1AE94A19" w14:textId="77777777" w:rsidR="00FF1E6D" w:rsidRPr="00FF1E6D" w:rsidRDefault="00FF1E6D" w:rsidP="00FF1E6D">
      <w:pPr>
        <w:spacing w:after="0"/>
        <w:rPr>
          <w:rFonts w:ascii="Century Gothic" w:hAnsi="Century Gothic"/>
          <w:sz w:val="18"/>
          <w:szCs w:val="18"/>
          <w:lang w:val="en-US"/>
        </w:rPr>
      </w:pPr>
    </w:p>
    <w:p w14:paraId="02CC650C" w14:textId="763EDD40" w:rsidR="00FF1E6D" w:rsidRPr="00FF1E6D" w:rsidRDefault="00FF1E6D" w:rsidP="00FF1E6D">
      <w:pPr>
        <w:spacing w:after="0"/>
        <w:rPr>
          <w:rFonts w:ascii="Century Gothic" w:hAnsi="Century Gothic"/>
          <w:sz w:val="18"/>
          <w:szCs w:val="18"/>
          <w:lang w:val="en-US"/>
        </w:rPr>
      </w:pPr>
      <w:r w:rsidRPr="00FF1E6D">
        <w:rPr>
          <w:rFonts w:ascii="Century Gothic" w:hAnsi="Century Gothic"/>
          <w:sz w:val="18"/>
          <w:szCs w:val="18"/>
          <w:lang w:val="en-US"/>
        </w:rPr>
        <w:t xml:space="preserve">My technical skills are grounded in the telecommunications field, specifically data communications and have expanded to other areas including the electro-mechanical, audio visual, and information technology fields.  </w:t>
      </w:r>
    </w:p>
    <w:p w14:paraId="33B00747" w14:textId="77777777" w:rsidR="00981BEE" w:rsidRDefault="00981BEE" w:rsidP="00FF1E6D">
      <w:pPr>
        <w:spacing w:after="0"/>
        <w:rPr>
          <w:rFonts w:ascii="Century Gothic" w:hAnsi="Century Gothic"/>
          <w:b/>
          <w:bCs/>
          <w:sz w:val="18"/>
          <w:szCs w:val="18"/>
          <w:lang w:val="en-US"/>
        </w:rPr>
      </w:pPr>
      <w:r>
        <w:rPr>
          <w:rFonts w:ascii="Century Gothic" w:hAnsi="Century Gothic"/>
          <w:b/>
          <w:bCs/>
          <w:sz w:val="18"/>
          <w:szCs w:val="18"/>
          <w:lang w:val="en-US"/>
        </w:rPr>
        <w:t xml:space="preserve"> </w:t>
      </w:r>
    </w:p>
    <w:p w14:paraId="16366DEC" w14:textId="618E85CD" w:rsidR="00FF1E6D" w:rsidRPr="00FF1E6D" w:rsidRDefault="00FF1E6D" w:rsidP="00FF1E6D">
      <w:pPr>
        <w:spacing w:after="0"/>
        <w:rPr>
          <w:rFonts w:ascii="Century Gothic" w:hAnsi="Century Gothic"/>
          <w:b/>
          <w:bCs/>
          <w:sz w:val="18"/>
          <w:szCs w:val="18"/>
          <w:lang w:val="en-US"/>
        </w:rPr>
      </w:pPr>
      <w:r w:rsidRPr="00FF1E6D">
        <w:rPr>
          <w:rFonts w:ascii="Century Gothic" w:hAnsi="Century Gothic"/>
          <w:b/>
          <w:bCs/>
          <w:sz w:val="18"/>
          <w:szCs w:val="18"/>
          <w:lang w:val="en-US"/>
        </w:rPr>
        <w:t>EMPLOYMENT HISTORY</w:t>
      </w:r>
    </w:p>
    <w:tbl>
      <w:tblPr>
        <w:tblStyle w:val="ABRI"/>
        <w:tblW w:w="4808" w:type="pct"/>
        <w:tblLook w:val="0420" w:firstRow="1" w:lastRow="0" w:firstColumn="0" w:lastColumn="0" w:noHBand="0" w:noVBand="1"/>
      </w:tblPr>
      <w:tblGrid>
        <w:gridCol w:w="1529"/>
        <w:gridCol w:w="5378"/>
        <w:gridCol w:w="2905"/>
      </w:tblGrid>
      <w:tr w:rsidR="00FF1E6D" w:rsidRPr="00FF1E6D" w14:paraId="2160FB68" w14:textId="77777777" w:rsidTr="00FF1E6D">
        <w:trPr>
          <w:cnfStyle w:val="100000000000" w:firstRow="1" w:lastRow="0" w:firstColumn="0" w:lastColumn="0" w:oddVBand="0" w:evenVBand="0" w:oddHBand="0" w:evenHBand="0" w:firstRowFirstColumn="0" w:firstRowLastColumn="0" w:lastRowFirstColumn="0" w:lastRowLastColumn="0"/>
          <w:trHeight w:val="360"/>
        </w:trPr>
        <w:tc>
          <w:tcPr>
            <w:tcW w:w="1529" w:type="dxa"/>
          </w:tcPr>
          <w:p w14:paraId="1B33D598"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Dates</w:t>
            </w:r>
          </w:p>
        </w:tc>
        <w:tc>
          <w:tcPr>
            <w:tcW w:w="5378" w:type="dxa"/>
          </w:tcPr>
          <w:p w14:paraId="2E95E98F"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Position</w:t>
            </w:r>
          </w:p>
        </w:tc>
        <w:tc>
          <w:tcPr>
            <w:tcW w:w="2905" w:type="dxa"/>
          </w:tcPr>
          <w:p w14:paraId="482DD569" w14:textId="28E2635A"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Organi</w:t>
            </w:r>
            <w:r w:rsidR="006047A5">
              <w:rPr>
                <w:rFonts w:eastAsiaTheme="minorEastAsia"/>
                <w:sz w:val="18"/>
                <w:szCs w:val="18"/>
                <w:lang w:eastAsia="en-AU"/>
              </w:rPr>
              <w:t>s</w:t>
            </w:r>
            <w:r w:rsidRPr="00FF1E6D">
              <w:rPr>
                <w:rFonts w:eastAsiaTheme="minorEastAsia"/>
                <w:sz w:val="18"/>
                <w:szCs w:val="18"/>
                <w:lang w:eastAsia="en-AU"/>
              </w:rPr>
              <w:t>ation</w:t>
            </w:r>
          </w:p>
        </w:tc>
      </w:tr>
      <w:tr w:rsidR="00FF1E6D" w:rsidRPr="00FF1E6D" w14:paraId="686EF933" w14:textId="77777777" w:rsidTr="00FF1E6D">
        <w:trPr>
          <w:trHeight w:val="360"/>
        </w:trPr>
        <w:tc>
          <w:tcPr>
            <w:tcW w:w="1529" w:type="dxa"/>
          </w:tcPr>
          <w:p w14:paraId="20998B97"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2020 - present</w:t>
            </w:r>
          </w:p>
        </w:tc>
        <w:tc>
          <w:tcPr>
            <w:tcW w:w="5378" w:type="dxa"/>
          </w:tcPr>
          <w:p w14:paraId="3D8CEC48"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Director – Engagement &amp; Technology</w:t>
            </w:r>
          </w:p>
        </w:tc>
        <w:tc>
          <w:tcPr>
            <w:tcW w:w="2905" w:type="dxa"/>
          </w:tcPr>
          <w:p w14:paraId="62516A7C"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Battery Stewardship Council</w:t>
            </w:r>
          </w:p>
        </w:tc>
      </w:tr>
      <w:tr w:rsidR="00FF1E6D" w:rsidRPr="00FF1E6D" w14:paraId="3B6FAEFB" w14:textId="77777777" w:rsidTr="00FF1E6D">
        <w:trPr>
          <w:cnfStyle w:val="000000010000" w:firstRow="0" w:lastRow="0" w:firstColumn="0" w:lastColumn="0" w:oddVBand="0" w:evenVBand="0" w:oddHBand="0" w:evenHBand="1" w:firstRowFirstColumn="0" w:firstRowLastColumn="0" w:lastRowFirstColumn="0" w:lastRowLastColumn="0"/>
          <w:trHeight w:val="360"/>
        </w:trPr>
        <w:tc>
          <w:tcPr>
            <w:tcW w:w="1529" w:type="dxa"/>
          </w:tcPr>
          <w:p w14:paraId="045B17C9"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2013 - 2020</w:t>
            </w:r>
          </w:p>
        </w:tc>
        <w:tc>
          <w:tcPr>
            <w:tcW w:w="5378" w:type="dxa"/>
          </w:tcPr>
          <w:p w14:paraId="35AC2FF8"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Director – Consumer Service, Technology &amp; Environment</w:t>
            </w:r>
          </w:p>
        </w:tc>
        <w:tc>
          <w:tcPr>
            <w:tcW w:w="2905" w:type="dxa"/>
          </w:tcPr>
          <w:p w14:paraId="29B90E8B"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 xml:space="preserve">Panasonic </w:t>
            </w:r>
          </w:p>
        </w:tc>
      </w:tr>
      <w:tr w:rsidR="00FF1E6D" w:rsidRPr="00FF1E6D" w14:paraId="03426EC0" w14:textId="77777777" w:rsidTr="00FF1E6D">
        <w:trPr>
          <w:trHeight w:val="360"/>
        </w:trPr>
        <w:tc>
          <w:tcPr>
            <w:tcW w:w="1529" w:type="dxa"/>
          </w:tcPr>
          <w:p w14:paraId="4698ADC6"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2006 - 2013</w:t>
            </w:r>
          </w:p>
        </w:tc>
        <w:tc>
          <w:tcPr>
            <w:tcW w:w="5378" w:type="dxa"/>
          </w:tcPr>
          <w:p w14:paraId="6A4F4F8E"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Director – Consumer Services</w:t>
            </w:r>
          </w:p>
        </w:tc>
        <w:tc>
          <w:tcPr>
            <w:tcW w:w="2905" w:type="dxa"/>
          </w:tcPr>
          <w:p w14:paraId="7FABF77D"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Panasonic</w:t>
            </w:r>
          </w:p>
        </w:tc>
      </w:tr>
      <w:tr w:rsidR="00FF1E6D" w:rsidRPr="00FF1E6D" w14:paraId="338312D5" w14:textId="77777777" w:rsidTr="00FF1E6D">
        <w:trPr>
          <w:cnfStyle w:val="000000010000" w:firstRow="0" w:lastRow="0" w:firstColumn="0" w:lastColumn="0" w:oddVBand="0" w:evenVBand="0" w:oddHBand="0" w:evenHBand="1" w:firstRowFirstColumn="0" w:firstRowLastColumn="0" w:lastRowFirstColumn="0" w:lastRowLastColumn="0"/>
          <w:trHeight w:val="360"/>
        </w:trPr>
        <w:tc>
          <w:tcPr>
            <w:tcW w:w="1529" w:type="dxa"/>
          </w:tcPr>
          <w:p w14:paraId="269F6470"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1999 - 2006</w:t>
            </w:r>
          </w:p>
        </w:tc>
        <w:tc>
          <w:tcPr>
            <w:tcW w:w="5378" w:type="dxa"/>
          </w:tcPr>
          <w:p w14:paraId="4BDCE85E"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National Service Manager</w:t>
            </w:r>
          </w:p>
        </w:tc>
        <w:tc>
          <w:tcPr>
            <w:tcW w:w="2905" w:type="dxa"/>
          </w:tcPr>
          <w:p w14:paraId="74CB3A28"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Konica Minolta</w:t>
            </w:r>
          </w:p>
        </w:tc>
      </w:tr>
      <w:tr w:rsidR="00FF1E6D" w:rsidRPr="00FF1E6D" w14:paraId="3C747AB8" w14:textId="77777777" w:rsidTr="00FF1E6D">
        <w:trPr>
          <w:trHeight w:val="360"/>
        </w:trPr>
        <w:tc>
          <w:tcPr>
            <w:tcW w:w="1529" w:type="dxa"/>
          </w:tcPr>
          <w:p w14:paraId="46764A6C"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1996 – 1999</w:t>
            </w:r>
          </w:p>
        </w:tc>
        <w:tc>
          <w:tcPr>
            <w:tcW w:w="5378" w:type="dxa"/>
          </w:tcPr>
          <w:p w14:paraId="4311F14B"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Service Business Development Manager</w:t>
            </w:r>
          </w:p>
        </w:tc>
        <w:tc>
          <w:tcPr>
            <w:tcW w:w="2905" w:type="dxa"/>
          </w:tcPr>
          <w:p w14:paraId="22629ED8"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Canon</w:t>
            </w:r>
          </w:p>
        </w:tc>
      </w:tr>
      <w:tr w:rsidR="00FF1E6D" w:rsidRPr="00FF1E6D" w14:paraId="742BB9FE" w14:textId="77777777" w:rsidTr="00FF1E6D">
        <w:trPr>
          <w:cnfStyle w:val="000000010000" w:firstRow="0" w:lastRow="0" w:firstColumn="0" w:lastColumn="0" w:oddVBand="0" w:evenVBand="0" w:oddHBand="0" w:evenHBand="1" w:firstRowFirstColumn="0" w:firstRowLastColumn="0" w:lastRowFirstColumn="0" w:lastRowLastColumn="0"/>
          <w:trHeight w:val="360"/>
        </w:trPr>
        <w:tc>
          <w:tcPr>
            <w:tcW w:w="1529" w:type="dxa"/>
          </w:tcPr>
          <w:p w14:paraId="5B94ABCD"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1994 - 1996</w:t>
            </w:r>
          </w:p>
        </w:tc>
        <w:tc>
          <w:tcPr>
            <w:tcW w:w="5378" w:type="dxa"/>
          </w:tcPr>
          <w:p w14:paraId="718FB1D5"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Branch Service Manager</w:t>
            </w:r>
          </w:p>
        </w:tc>
        <w:tc>
          <w:tcPr>
            <w:tcW w:w="2905" w:type="dxa"/>
          </w:tcPr>
          <w:p w14:paraId="30A63AD5"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Canon</w:t>
            </w:r>
          </w:p>
        </w:tc>
      </w:tr>
      <w:tr w:rsidR="00FF1E6D" w:rsidRPr="00FF1E6D" w14:paraId="45AE7182" w14:textId="77777777" w:rsidTr="00FF1E6D">
        <w:trPr>
          <w:trHeight w:val="360"/>
        </w:trPr>
        <w:tc>
          <w:tcPr>
            <w:tcW w:w="1529" w:type="dxa"/>
          </w:tcPr>
          <w:p w14:paraId="4C8B4374"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1990 - 1994</w:t>
            </w:r>
          </w:p>
        </w:tc>
        <w:tc>
          <w:tcPr>
            <w:tcW w:w="5378" w:type="dxa"/>
          </w:tcPr>
          <w:p w14:paraId="15A78E7D"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Field Service Supervisor</w:t>
            </w:r>
          </w:p>
        </w:tc>
        <w:tc>
          <w:tcPr>
            <w:tcW w:w="2905" w:type="dxa"/>
          </w:tcPr>
          <w:p w14:paraId="5812009D"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Canon</w:t>
            </w:r>
          </w:p>
        </w:tc>
      </w:tr>
      <w:tr w:rsidR="00FF1E6D" w:rsidRPr="00FF1E6D" w14:paraId="7826497D" w14:textId="77777777" w:rsidTr="00FF1E6D">
        <w:trPr>
          <w:cnfStyle w:val="000000010000" w:firstRow="0" w:lastRow="0" w:firstColumn="0" w:lastColumn="0" w:oddVBand="0" w:evenVBand="0" w:oddHBand="0" w:evenHBand="1" w:firstRowFirstColumn="0" w:firstRowLastColumn="0" w:lastRowFirstColumn="0" w:lastRowLastColumn="0"/>
          <w:trHeight w:val="360"/>
        </w:trPr>
        <w:tc>
          <w:tcPr>
            <w:tcW w:w="1529" w:type="dxa"/>
          </w:tcPr>
          <w:p w14:paraId="50456656"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1986 - 1990</w:t>
            </w:r>
          </w:p>
        </w:tc>
        <w:tc>
          <w:tcPr>
            <w:tcW w:w="5378" w:type="dxa"/>
          </w:tcPr>
          <w:p w14:paraId="1173D07B"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 xml:space="preserve">Field Service Engineer </w:t>
            </w:r>
          </w:p>
        </w:tc>
        <w:tc>
          <w:tcPr>
            <w:tcW w:w="2905" w:type="dxa"/>
          </w:tcPr>
          <w:p w14:paraId="2311ACFE"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Canon</w:t>
            </w:r>
          </w:p>
        </w:tc>
      </w:tr>
      <w:tr w:rsidR="00FF1E6D" w:rsidRPr="00FF1E6D" w14:paraId="50E4D84A" w14:textId="77777777" w:rsidTr="00FF1E6D">
        <w:trPr>
          <w:trHeight w:val="360"/>
        </w:trPr>
        <w:tc>
          <w:tcPr>
            <w:tcW w:w="1529" w:type="dxa"/>
          </w:tcPr>
          <w:p w14:paraId="6FDE299B"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1981 - 1986</w:t>
            </w:r>
          </w:p>
        </w:tc>
        <w:tc>
          <w:tcPr>
            <w:tcW w:w="5378" w:type="dxa"/>
          </w:tcPr>
          <w:p w14:paraId="38EF2069"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Telecommunications Engineer</w:t>
            </w:r>
          </w:p>
        </w:tc>
        <w:tc>
          <w:tcPr>
            <w:tcW w:w="2905" w:type="dxa"/>
          </w:tcPr>
          <w:p w14:paraId="48BB34C9" w14:textId="77777777" w:rsidR="00FF1E6D" w:rsidRPr="00FF1E6D" w:rsidRDefault="00FF1E6D" w:rsidP="00FF1E6D">
            <w:pPr>
              <w:rPr>
                <w:rFonts w:eastAsiaTheme="minorEastAsia"/>
                <w:sz w:val="18"/>
                <w:szCs w:val="18"/>
                <w:lang w:eastAsia="en-AU"/>
              </w:rPr>
            </w:pPr>
            <w:r w:rsidRPr="00FF1E6D">
              <w:rPr>
                <w:rFonts w:eastAsiaTheme="minorEastAsia"/>
                <w:sz w:val="18"/>
                <w:szCs w:val="18"/>
                <w:lang w:eastAsia="en-AU"/>
              </w:rPr>
              <w:t>Telecom (Telstra)</w:t>
            </w:r>
          </w:p>
        </w:tc>
      </w:tr>
    </w:tbl>
    <w:p w14:paraId="7DDA8C6A" w14:textId="77777777" w:rsidR="00FF1E6D" w:rsidRPr="00FF1E6D" w:rsidRDefault="00FF1E6D" w:rsidP="00FF1E6D">
      <w:pPr>
        <w:spacing w:after="0"/>
        <w:rPr>
          <w:rFonts w:ascii="Century Gothic" w:hAnsi="Century Gothic"/>
          <w:sz w:val="18"/>
          <w:szCs w:val="18"/>
          <w:lang w:val="en-US"/>
        </w:rPr>
      </w:pPr>
    </w:p>
    <w:p w14:paraId="4449A7A2" w14:textId="24E1CC99" w:rsidR="00FF1E6D" w:rsidRPr="00FF1E6D" w:rsidRDefault="00FF1E6D" w:rsidP="00FF1E6D">
      <w:pPr>
        <w:spacing w:after="0"/>
        <w:rPr>
          <w:rFonts w:ascii="Century Gothic" w:hAnsi="Century Gothic"/>
          <w:b/>
          <w:bCs/>
          <w:sz w:val="18"/>
          <w:szCs w:val="18"/>
          <w:lang w:val="en-US"/>
        </w:rPr>
      </w:pPr>
      <w:r w:rsidRPr="00FF1E6D">
        <w:rPr>
          <w:rFonts w:ascii="Century Gothic" w:hAnsi="Century Gothic"/>
          <w:b/>
          <w:bCs/>
          <w:sz w:val="18"/>
          <w:szCs w:val="18"/>
          <w:lang w:val="en-US"/>
        </w:rPr>
        <w:t>INDUSTRY ENGAGEMENT AND REPRESENTATION</w:t>
      </w:r>
    </w:p>
    <w:p w14:paraId="58B0C5B2" w14:textId="14374728" w:rsidR="00FF1E6D" w:rsidRPr="00FF1E6D" w:rsidRDefault="00FF1E6D" w:rsidP="00FF1E6D">
      <w:pPr>
        <w:spacing w:after="0"/>
        <w:rPr>
          <w:rFonts w:ascii="Century Gothic" w:hAnsi="Century Gothic"/>
          <w:sz w:val="18"/>
          <w:szCs w:val="18"/>
          <w:lang w:val="en-US"/>
        </w:rPr>
      </w:pPr>
      <w:r w:rsidRPr="00FF1E6D">
        <w:rPr>
          <w:rFonts w:ascii="Century Gothic" w:hAnsi="Century Gothic"/>
          <w:sz w:val="18"/>
          <w:szCs w:val="18"/>
          <w:lang w:val="en-US"/>
        </w:rPr>
        <w:t xml:space="preserve">As a leader </w:t>
      </w:r>
      <w:r w:rsidR="00485AEA">
        <w:rPr>
          <w:rFonts w:ascii="Century Gothic" w:hAnsi="Century Gothic"/>
          <w:sz w:val="18"/>
          <w:szCs w:val="18"/>
          <w:lang w:val="en-US"/>
        </w:rPr>
        <w:t xml:space="preserve">in my </w:t>
      </w:r>
      <w:r w:rsidR="00981BEE">
        <w:rPr>
          <w:rFonts w:ascii="Century Gothic" w:hAnsi="Century Gothic"/>
          <w:sz w:val="18"/>
          <w:szCs w:val="18"/>
          <w:lang w:val="en-US"/>
        </w:rPr>
        <w:t>field,</w:t>
      </w:r>
      <w:r w:rsidR="0036641A">
        <w:rPr>
          <w:rFonts w:ascii="Century Gothic" w:hAnsi="Century Gothic"/>
          <w:sz w:val="18"/>
          <w:szCs w:val="18"/>
          <w:lang w:val="en-US"/>
        </w:rPr>
        <w:t xml:space="preserve"> I have</w:t>
      </w:r>
      <w:r w:rsidRPr="00FF1E6D">
        <w:rPr>
          <w:rFonts w:ascii="Century Gothic" w:hAnsi="Century Gothic"/>
          <w:sz w:val="18"/>
          <w:szCs w:val="18"/>
          <w:lang w:val="en-US"/>
        </w:rPr>
        <w:t xml:space="preserve"> passionately participated in representing both personal and professional interests in the following areas: - </w:t>
      </w:r>
    </w:p>
    <w:p w14:paraId="109D2152" w14:textId="529CCEBC" w:rsidR="00FF1E6D" w:rsidRPr="00FF1E6D" w:rsidRDefault="00FF1E6D" w:rsidP="00FF1E6D">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Member of the International Service Management Committee (ISMC) for Konica Minolta focusing on the development and delivery of global service initiatives. [2000 to 2006]</w:t>
      </w:r>
    </w:p>
    <w:p w14:paraId="77141097" w14:textId="65BD1D9B" w:rsidR="00FF1E6D" w:rsidRPr="00FF1E6D" w:rsidRDefault="00FF1E6D" w:rsidP="00FF1E6D">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 xml:space="preserve">Member of the Board of the Consumer Electronics Suppliers Association (CESA) [2007] </w:t>
      </w:r>
    </w:p>
    <w:p w14:paraId="57CD6DD6" w14:textId="7777708A" w:rsidR="00FF1E6D" w:rsidRPr="00FF1E6D" w:rsidRDefault="00FF1E6D" w:rsidP="00FF1E6D">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Member of the Australian Industry Group (AiG) Consumer Electronics Advocacy Group. Key initiatives: - Digital TV switchover and National TV and Computer Recycling Scheme (2012 to 2020)</w:t>
      </w:r>
    </w:p>
    <w:p w14:paraId="7EFB83AE" w14:textId="7F64A936" w:rsidR="00FF1E6D" w:rsidRPr="00FF1E6D" w:rsidRDefault="00FF1E6D" w:rsidP="00FF1E6D">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 xml:space="preserve">Member of the Battery Working Group (BWG) focusing on battery recycling &amp; stewardship issues (2013 to 2015) </w:t>
      </w:r>
    </w:p>
    <w:p w14:paraId="11F79B5B" w14:textId="00F936DF" w:rsidR="00FF1E6D" w:rsidRPr="00FF1E6D" w:rsidRDefault="00FF1E6D" w:rsidP="00FF1E6D">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 xml:space="preserve">Member of the Industry Working Group (IWG) focusing on Product Stewardship of used batteries (2015 to 2018) </w:t>
      </w:r>
    </w:p>
    <w:p w14:paraId="3E236925" w14:textId="77777777" w:rsidR="0036641A" w:rsidRDefault="00FF1E6D" w:rsidP="00863606">
      <w:pPr>
        <w:pStyle w:val="ListParagraph"/>
        <w:numPr>
          <w:ilvl w:val="0"/>
          <w:numId w:val="18"/>
        </w:numPr>
        <w:spacing w:after="0"/>
        <w:rPr>
          <w:rFonts w:ascii="Century Gothic" w:hAnsi="Century Gothic"/>
          <w:sz w:val="18"/>
          <w:szCs w:val="18"/>
          <w:lang w:val="en-US"/>
        </w:rPr>
      </w:pPr>
      <w:r w:rsidRPr="00FF1E6D">
        <w:rPr>
          <w:rFonts w:ascii="Century Gothic" w:hAnsi="Century Gothic"/>
          <w:sz w:val="18"/>
          <w:szCs w:val="18"/>
          <w:lang w:val="en-US"/>
        </w:rPr>
        <w:t xml:space="preserve">Member of the Battery Stewardship Council (BSC) focusing on the design of an industry-led Battery Stewardship Scheme (2018 to 2020) </w:t>
      </w:r>
    </w:p>
    <w:p w14:paraId="1E34FCF4" w14:textId="77777777" w:rsidR="005B17D9" w:rsidRDefault="005B17D9" w:rsidP="0036641A">
      <w:pPr>
        <w:spacing w:after="0"/>
        <w:rPr>
          <w:rFonts w:ascii="Century Gothic" w:hAnsi="Century Gothic" w:cstheme="minorHAnsi"/>
          <w:b/>
          <w:bCs/>
          <w:sz w:val="18"/>
          <w:szCs w:val="18"/>
          <w:shd w:val="clear" w:color="auto" w:fill="FFFFFF"/>
        </w:rPr>
      </w:pPr>
    </w:p>
    <w:p w14:paraId="0496880E" w14:textId="69E2005E" w:rsidR="00B23CF0" w:rsidRPr="0036641A" w:rsidRDefault="003A65FC" w:rsidP="0036641A">
      <w:pPr>
        <w:spacing w:after="0"/>
        <w:rPr>
          <w:rFonts w:ascii="Century Gothic" w:hAnsi="Century Gothic"/>
          <w:sz w:val="18"/>
          <w:szCs w:val="18"/>
          <w:lang w:val="en-US"/>
        </w:rPr>
      </w:pPr>
      <w:r w:rsidRPr="0036641A">
        <w:rPr>
          <w:rFonts w:ascii="Century Gothic" w:hAnsi="Century Gothic" w:cstheme="minorHAnsi"/>
          <w:b/>
          <w:bCs/>
          <w:sz w:val="18"/>
          <w:szCs w:val="18"/>
          <w:shd w:val="clear" w:color="auto" w:fill="FFFFFF"/>
        </w:rPr>
        <w:lastRenderedPageBreak/>
        <w:t xml:space="preserve">SUBMISSION </w:t>
      </w:r>
      <w:r w:rsidR="00B23CF0" w:rsidRPr="0036641A">
        <w:rPr>
          <w:rFonts w:ascii="Century Gothic" w:hAnsi="Century Gothic" w:cstheme="minorHAnsi"/>
          <w:b/>
          <w:bCs/>
          <w:sz w:val="18"/>
          <w:szCs w:val="18"/>
          <w:shd w:val="clear" w:color="auto" w:fill="FFFFFF"/>
        </w:rPr>
        <w:t>SUMMARY</w:t>
      </w:r>
    </w:p>
    <w:p w14:paraId="5059C029" w14:textId="14C3CBC2" w:rsidR="003B3F0D" w:rsidRPr="00FF1E6D" w:rsidRDefault="001D6BCD"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It is my contention</w:t>
      </w:r>
      <w:r w:rsidR="006B21F3">
        <w:rPr>
          <w:rFonts w:ascii="Century Gothic" w:hAnsi="Century Gothic" w:cstheme="minorHAnsi"/>
          <w:sz w:val="18"/>
          <w:szCs w:val="18"/>
          <w:shd w:val="clear" w:color="auto" w:fill="FFFFFF"/>
        </w:rPr>
        <w:t xml:space="preserve">, based on my professional experience, that a Right to Repair is a critical requirement in establishing a Circular Economy and </w:t>
      </w:r>
      <w:r w:rsidR="00DB13A5">
        <w:rPr>
          <w:rFonts w:ascii="Century Gothic" w:hAnsi="Century Gothic" w:cstheme="minorHAnsi"/>
          <w:sz w:val="18"/>
          <w:szCs w:val="18"/>
          <w:shd w:val="clear" w:color="auto" w:fill="FFFFFF"/>
        </w:rPr>
        <w:t xml:space="preserve">that this </w:t>
      </w:r>
      <w:r w:rsidR="0036641A">
        <w:rPr>
          <w:rFonts w:ascii="Century Gothic" w:hAnsi="Century Gothic" w:cstheme="minorHAnsi"/>
          <w:sz w:val="18"/>
          <w:szCs w:val="18"/>
          <w:shd w:val="clear" w:color="auto" w:fill="FFFFFF"/>
        </w:rPr>
        <w:t xml:space="preserve">is a vital </w:t>
      </w:r>
      <w:r w:rsidR="006B21F3">
        <w:rPr>
          <w:rFonts w:ascii="Century Gothic" w:hAnsi="Century Gothic" w:cstheme="minorHAnsi"/>
          <w:sz w:val="18"/>
          <w:szCs w:val="18"/>
          <w:shd w:val="clear" w:color="auto" w:fill="FFFFFF"/>
        </w:rPr>
        <w:t>contribut</w:t>
      </w:r>
      <w:r w:rsidR="0036641A">
        <w:rPr>
          <w:rFonts w:ascii="Century Gothic" w:hAnsi="Century Gothic" w:cstheme="minorHAnsi"/>
          <w:sz w:val="18"/>
          <w:szCs w:val="18"/>
          <w:shd w:val="clear" w:color="auto" w:fill="FFFFFF"/>
        </w:rPr>
        <w:t>ion</w:t>
      </w:r>
      <w:r w:rsidR="006B21F3">
        <w:rPr>
          <w:rFonts w:ascii="Century Gothic" w:hAnsi="Century Gothic" w:cstheme="minorHAnsi"/>
          <w:sz w:val="18"/>
          <w:szCs w:val="18"/>
          <w:shd w:val="clear" w:color="auto" w:fill="FFFFFF"/>
        </w:rPr>
        <w:t xml:space="preserve"> to addressing the environmental challenges we face today.</w:t>
      </w:r>
    </w:p>
    <w:p w14:paraId="519C2644" w14:textId="77777777" w:rsidR="006B21F3" w:rsidRDefault="006B21F3" w:rsidP="00863606">
      <w:pPr>
        <w:spacing w:after="0"/>
        <w:rPr>
          <w:rFonts w:ascii="Century Gothic" w:hAnsi="Century Gothic" w:cstheme="minorHAnsi"/>
          <w:sz w:val="18"/>
          <w:szCs w:val="18"/>
          <w:shd w:val="clear" w:color="auto" w:fill="FFFFFF"/>
        </w:rPr>
      </w:pPr>
    </w:p>
    <w:p w14:paraId="65C92B1B" w14:textId="7D691659" w:rsidR="006B21F3" w:rsidRDefault="006B21F3" w:rsidP="006B21F3">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Consumers are looking for more than just cheaper and better goods, they are expecting companies to contribute to the common good</w:t>
      </w:r>
      <w:r>
        <w:rPr>
          <w:rFonts w:ascii="Century Gothic" w:hAnsi="Century Gothic" w:cstheme="minorHAnsi"/>
          <w:sz w:val="18"/>
          <w:szCs w:val="18"/>
          <w:shd w:val="clear" w:color="auto" w:fill="FFFFFF"/>
        </w:rPr>
        <w:t xml:space="preserve">. We use to receive information when we purchased a product explaining how </w:t>
      </w:r>
      <w:r w:rsidR="0036641A">
        <w:rPr>
          <w:rFonts w:ascii="Century Gothic" w:hAnsi="Century Gothic" w:cstheme="minorHAnsi"/>
          <w:sz w:val="18"/>
          <w:szCs w:val="18"/>
          <w:shd w:val="clear" w:color="auto" w:fill="FFFFFF"/>
        </w:rPr>
        <w:t>we can</w:t>
      </w:r>
      <w:r>
        <w:rPr>
          <w:rFonts w:ascii="Century Gothic" w:hAnsi="Century Gothic" w:cstheme="minorHAnsi"/>
          <w:sz w:val="18"/>
          <w:szCs w:val="18"/>
          <w:shd w:val="clear" w:color="auto" w:fill="FFFFFF"/>
        </w:rPr>
        <w:t xml:space="preserve"> fix that product. Today, we receive information</w:t>
      </w:r>
      <w:r w:rsidR="0036641A">
        <w:rPr>
          <w:rFonts w:ascii="Century Gothic" w:hAnsi="Century Gothic" w:cstheme="minorHAnsi"/>
          <w:sz w:val="18"/>
          <w:szCs w:val="18"/>
          <w:shd w:val="clear" w:color="auto" w:fill="FFFFFF"/>
        </w:rPr>
        <w:t xml:space="preserve"> </w:t>
      </w:r>
      <w:r w:rsidR="008A6A28">
        <w:rPr>
          <w:rFonts w:ascii="Century Gothic" w:hAnsi="Century Gothic" w:cstheme="minorHAnsi"/>
          <w:sz w:val="18"/>
          <w:szCs w:val="18"/>
          <w:shd w:val="clear" w:color="auto" w:fill="FFFFFF"/>
        </w:rPr>
        <w:t>when we purchase a</w:t>
      </w:r>
      <w:r w:rsidR="0036641A">
        <w:rPr>
          <w:rFonts w:ascii="Century Gothic" w:hAnsi="Century Gothic" w:cstheme="minorHAnsi"/>
          <w:sz w:val="18"/>
          <w:szCs w:val="18"/>
          <w:shd w:val="clear" w:color="auto" w:fill="FFFFFF"/>
        </w:rPr>
        <w:t xml:space="preserve"> product explaining</w:t>
      </w:r>
      <w:r>
        <w:rPr>
          <w:rFonts w:ascii="Century Gothic" w:hAnsi="Century Gothic" w:cstheme="minorHAnsi"/>
          <w:sz w:val="18"/>
          <w:szCs w:val="18"/>
          <w:shd w:val="clear" w:color="auto" w:fill="FFFFFF"/>
        </w:rPr>
        <w:t xml:space="preserve"> that trying to fix that product might void </w:t>
      </w:r>
      <w:r w:rsidR="00DB13A5">
        <w:rPr>
          <w:rFonts w:ascii="Century Gothic" w:hAnsi="Century Gothic" w:cstheme="minorHAnsi"/>
          <w:sz w:val="18"/>
          <w:szCs w:val="18"/>
          <w:shd w:val="clear" w:color="auto" w:fill="FFFFFF"/>
        </w:rPr>
        <w:t>y</w:t>
      </w:r>
      <w:r>
        <w:rPr>
          <w:rFonts w:ascii="Century Gothic" w:hAnsi="Century Gothic" w:cstheme="minorHAnsi"/>
          <w:sz w:val="18"/>
          <w:szCs w:val="18"/>
          <w:shd w:val="clear" w:color="auto" w:fill="FFFFFF"/>
        </w:rPr>
        <w:t>our warranty.</w:t>
      </w:r>
    </w:p>
    <w:p w14:paraId="1E1B55E6" w14:textId="19BB183F" w:rsidR="006B21F3" w:rsidRDefault="006B21F3" w:rsidP="006B21F3">
      <w:pPr>
        <w:spacing w:after="0"/>
        <w:rPr>
          <w:rFonts w:ascii="Century Gothic" w:hAnsi="Century Gothic" w:cstheme="minorHAnsi"/>
          <w:sz w:val="18"/>
          <w:szCs w:val="18"/>
          <w:shd w:val="clear" w:color="auto" w:fill="FFFFFF"/>
        </w:rPr>
      </w:pPr>
    </w:p>
    <w:p w14:paraId="399DEB80" w14:textId="5EB053AA" w:rsidR="006B21F3" w:rsidRDefault="00485AEA" w:rsidP="006B21F3">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 xml:space="preserve">Design for Repair, free and open repair information, financial and policy support to foster a vibrant repair industry, policies and consumer law that promotes repair as a priority, and </w:t>
      </w:r>
      <w:r w:rsidR="0036641A">
        <w:rPr>
          <w:rFonts w:ascii="Century Gothic" w:hAnsi="Century Gothic" w:cstheme="minorHAnsi"/>
          <w:sz w:val="18"/>
          <w:szCs w:val="18"/>
          <w:shd w:val="clear" w:color="auto" w:fill="FFFFFF"/>
        </w:rPr>
        <w:t xml:space="preserve">the </w:t>
      </w:r>
      <w:r w:rsidR="00DB13A5">
        <w:rPr>
          <w:rFonts w:ascii="Century Gothic" w:hAnsi="Century Gothic" w:cstheme="minorHAnsi"/>
          <w:sz w:val="18"/>
          <w:szCs w:val="18"/>
          <w:shd w:val="clear" w:color="auto" w:fill="FFFFFF"/>
        </w:rPr>
        <w:t>introduction</w:t>
      </w:r>
      <w:r>
        <w:rPr>
          <w:rFonts w:ascii="Century Gothic" w:hAnsi="Century Gothic" w:cstheme="minorHAnsi"/>
          <w:sz w:val="18"/>
          <w:szCs w:val="18"/>
          <w:shd w:val="clear" w:color="auto" w:fill="FFFFFF"/>
        </w:rPr>
        <w:t xml:space="preserve"> of a rating system to advise consumers at the time of purchase about repairability are all critical initiatives required to address this imbalance in the repair industry.  </w:t>
      </w:r>
    </w:p>
    <w:p w14:paraId="085FFF13" w14:textId="77777777" w:rsidR="006B21F3" w:rsidRDefault="006B21F3" w:rsidP="00863606">
      <w:pPr>
        <w:spacing w:after="0"/>
        <w:rPr>
          <w:rFonts w:ascii="Century Gothic" w:hAnsi="Century Gothic" w:cstheme="minorHAnsi"/>
          <w:sz w:val="18"/>
          <w:szCs w:val="18"/>
          <w:shd w:val="clear" w:color="auto" w:fill="FFFFFF"/>
        </w:rPr>
      </w:pPr>
    </w:p>
    <w:p w14:paraId="17A50499" w14:textId="764CBE04" w:rsidR="00B23CF0" w:rsidRPr="00FF1E6D" w:rsidRDefault="00B23CF0"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This submission</w:t>
      </w:r>
      <w:r w:rsidR="001D6BCD" w:rsidRPr="00FF1E6D">
        <w:rPr>
          <w:rFonts w:ascii="Century Gothic" w:hAnsi="Century Gothic" w:cstheme="minorHAnsi"/>
          <w:sz w:val="18"/>
          <w:szCs w:val="18"/>
          <w:shd w:val="clear" w:color="auto" w:fill="FFFFFF"/>
        </w:rPr>
        <w:t xml:space="preserve"> </w:t>
      </w:r>
      <w:r w:rsidR="00485AEA">
        <w:rPr>
          <w:rFonts w:ascii="Century Gothic" w:hAnsi="Century Gothic" w:cstheme="minorHAnsi"/>
          <w:sz w:val="18"/>
          <w:szCs w:val="18"/>
          <w:shd w:val="clear" w:color="auto" w:fill="FFFFFF"/>
        </w:rPr>
        <w:t xml:space="preserve">provides a response to the information requests of the Productivity Commission. </w:t>
      </w:r>
      <w:r w:rsidR="001D6BCD" w:rsidRPr="00FF1E6D">
        <w:rPr>
          <w:rFonts w:ascii="Century Gothic" w:hAnsi="Century Gothic" w:cstheme="minorHAnsi"/>
          <w:sz w:val="18"/>
          <w:szCs w:val="18"/>
          <w:shd w:val="clear" w:color="auto" w:fill="FFFFFF"/>
        </w:rPr>
        <w:t xml:space="preserve">I would be please to expand on any of the items I have raised </w:t>
      </w:r>
      <w:r w:rsidR="003B3F0D" w:rsidRPr="00FF1E6D">
        <w:rPr>
          <w:rFonts w:ascii="Century Gothic" w:hAnsi="Century Gothic" w:cstheme="minorHAnsi"/>
          <w:sz w:val="18"/>
          <w:szCs w:val="18"/>
          <w:shd w:val="clear" w:color="auto" w:fill="FFFFFF"/>
        </w:rPr>
        <w:t xml:space="preserve">or to respond to other items not tabled </w:t>
      </w:r>
      <w:r w:rsidR="0036641A">
        <w:rPr>
          <w:rFonts w:ascii="Century Gothic" w:hAnsi="Century Gothic" w:cstheme="minorHAnsi"/>
          <w:sz w:val="18"/>
          <w:szCs w:val="18"/>
          <w:shd w:val="clear" w:color="auto" w:fill="FFFFFF"/>
        </w:rPr>
        <w:t xml:space="preserve">in this submission </w:t>
      </w:r>
      <w:r w:rsidR="003B3F0D" w:rsidRPr="00FF1E6D">
        <w:rPr>
          <w:rFonts w:ascii="Century Gothic" w:hAnsi="Century Gothic" w:cstheme="minorHAnsi"/>
          <w:sz w:val="18"/>
          <w:szCs w:val="18"/>
          <w:shd w:val="clear" w:color="auto" w:fill="FFFFFF"/>
        </w:rPr>
        <w:t xml:space="preserve">either </w:t>
      </w:r>
      <w:r w:rsidR="001D6BCD" w:rsidRPr="00FF1E6D">
        <w:rPr>
          <w:rFonts w:ascii="Century Gothic" w:hAnsi="Century Gothic" w:cstheme="minorHAnsi"/>
          <w:sz w:val="18"/>
          <w:szCs w:val="18"/>
          <w:shd w:val="clear" w:color="auto" w:fill="FFFFFF"/>
        </w:rPr>
        <w:t xml:space="preserve">directly with the Commission or </w:t>
      </w:r>
      <w:r w:rsidR="003B3F0D" w:rsidRPr="00FF1E6D">
        <w:rPr>
          <w:rFonts w:ascii="Century Gothic" w:hAnsi="Century Gothic" w:cstheme="minorHAnsi"/>
          <w:sz w:val="18"/>
          <w:szCs w:val="18"/>
          <w:shd w:val="clear" w:color="auto" w:fill="FFFFFF"/>
        </w:rPr>
        <w:t>by</w:t>
      </w:r>
      <w:r w:rsidR="001D6BCD" w:rsidRPr="00FF1E6D">
        <w:rPr>
          <w:rFonts w:ascii="Century Gothic" w:hAnsi="Century Gothic" w:cstheme="minorHAnsi"/>
          <w:sz w:val="18"/>
          <w:szCs w:val="18"/>
          <w:shd w:val="clear" w:color="auto" w:fill="FFFFFF"/>
        </w:rPr>
        <w:t xml:space="preserve"> appear</w:t>
      </w:r>
      <w:r w:rsidR="003B3F0D" w:rsidRPr="00FF1E6D">
        <w:rPr>
          <w:rFonts w:ascii="Century Gothic" w:hAnsi="Century Gothic" w:cstheme="minorHAnsi"/>
          <w:sz w:val="18"/>
          <w:szCs w:val="18"/>
          <w:shd w:val="clear" w:color="auto" w:fill="FFFFFF"/>
        </w:rPr>
        <w:t>ance</w:t>
      </w:r>
      <w:r w:rsidR="001D6BCD" w:rsidRPr="00FF1E6D">
        <w:rPr>
          <w:rFonts w:ascii="Century Gothic" w:hAnsi="Century Gothic" w:cstheme="minorHAnsi"/>
          <w:sz w:val="18"/>
          <w:szCs w:val="18"/>
          <w:shd w:val="clear" w:color="auto" w:fill="FFFFFF"/>
        </w:rPr>
        <w:t xml:space="preserve"> at a public hearing if requested. </w:t>
      </w:r>
    </w:p>
    <w:p w14:paraId="28E10B68" w14:textId="77777777" w:rsidR="00B23CF0" w:rsidRPr="00FF1E6D" w:rsidRDefault="00B23CF0" w:rsidP="00863606">
      <w:pPr>
        <w:spacing w:after="0"/>
        <w:rPr>
          <w:rFonts w:ascii="Century Gothic" w:hAnsi="Century Gothic" w:cstheme="minorHAnsi"/>
          <w:sz w:val="18"/>
          <w:szCs w:val="18"/>
          <w:shd w:val="clear" w:color="auto" w:fill="FFFFFF"/>
        </w:rPr>
      </w:pPr>
    </w:p>
    <w:p w14:paraId="1943449A" w14:textId="77777777" w:rsidR="00485AEA" w:rsidRDefault="00485AEA" w:rsidP="00863606">
      <w:pPr>
        <w:spacing w:after="0"/>
        <w:rPr>
          <w:rFonts w:ascii="Century Gothic" w:hAnsi="Century Gothic" w:cstheme="minorHAnsi"/>
          <w:b/>
          <w:bCs/>
          <w:sz w:val="18"/>
          <w:szCs w:val="18"/>
          <w:shd w:val="clear" w:color="auto" w:fill="FFFFFF"/>
        </w:rPr>
      </w:pPr>
    </w:p>
    <w:p w14:paraId="6CD4C9C9" w14:textId="0E45D856" w:rsidR="00F7536A" w:rsidRPr="00FF1E6D" w:rsidRDefault="00981BEE" w:rsidP="00863606">
      <w:pPr>
        <w:spacing w:after="0"/>
        <w:rPr>
          <w:rFonts w:ascii="Century Gothic" w:hAnsi="Century Gothic" w:cstheme="minorHAnsi"/>
          <w:b/>
          <w:bCs/>
          <w:sz w:val="18"/>
          <w:szCs w:val="18"/>
          <w:shd w:val="clear" w:color="auto" w:fill="FFFFFF"/>
        </w:rPr>
      </w:pPr>
      <w:r>
        <w:rPr>
          <w:rFonts w:ascii="Century Gothic" w:hAnsi="Century Gothic" w:cstheme="minorHAnsi"/>
          <w:b/>
          <w:bCs/>
          <w:sz w:val="18"/>
          <w:szCs w:val="18"/>
          <w:shd w:val="clear" w:color="auto" w:fill="FFFFFF"/>
        </w:rPr>
        <w:t>RESPONSE TO REQUESTS FOR INFORMATION</w:t>
      </w:r>
    </w:p>
    <w:p w14:paraId="1045E315" w14:textId="3A4E0A26" w:rsidR="0077696F" w:rsidRPr="00B56214" w:rsidRDefault="00863606" w:rsidP="00863606">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t>INFORMATION REQUEST 1</w:t>
      </w:r>
    </w:p>
    <w:p w14:paraId="68E2C756" w14:textId="77777777" w:rsidR="00BC0686" w:rsidRPr="00FF1E6D" w:rsidRDefault="00BC0686" w:rsidP="00863606">
      <w:pPr>
        <w:spacing w:after="0"/>
        <w:rPr>
          <w:rFonts w:ascii="Century Gothic" w:hAnsi="Century Gothic" w:cstheme="minorHAnsi"/>
          <w:sz w:val="18"/>
          <w:szCs w:val="18"/>
          <w:shd w:val="clear" w:color="auto" w:fill="FFFFFF"/>
        </w:rPr>
      </w:pPr>
    </w:p>
    <w:p w14:paraId="2B16DBD0" w14:textId="5CD415D3" w:rsidR="00715DC9" w:rsidRPr="00FF1E6D" w:rsidRDefault="00715DC9" w:rsidP="00863606">
      <w:p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 xml:space="preserve">What would a </w:t>
      </w:r>
      <w:r w:rsidR="00A27FE7" w:rsidRPr="00FF1E6D">
        <w:rPr>
          <w:rFonts w:ascii="Century Gothic" w:hAnsi="Century Gothic" w:cstheme="minorHAnsi"/>
          <w:i/>
          <w:iCs/>
          <w:color w:val="0070C0"/>
          <w:sz w:val="18"/>
          <w:szCs w:val="18"/>
          <w:shd w:val="clear" w:color="auto" w:fill="FFFFFF"/>
        </w:rPr>
        <w:t>‘</w:t>
      </w:r>
      <w:r w:rsidRPr="00FF1E6D">
        <w:rPr>
          <w:rFonts w:ascii="Century Gothic" w:hAnsi="Century Gothic" w:cstheme="minorHAnsi"/>
          <w:i/>
          <w:iCs/>
          <w:color w:val="0070C0"/>
          <w:sz w:val="18"/>
          <w:szCs w:val="18"/>
          <w:shd w:val="clear" w:color="auto" w:fill="FFFFFF"/>
        </w:rPr>
        <w:t>right to repair’ entail in the Australian context? How should it be defined?</w:t>
      </w:r>
    </w:p>
    <w:p w14:paraId="251ECA75" w14:textId="1BA04EE5" w:rsidR="00C435B8" w:rsidRPr="00FF1E6D" w:rsidRDefault="00C435B8"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Most consumer electronics products </w:t>
      </w:r>
      <w:r w:rsidR="00F51498" w:rsidRPr="00FF1E6D">
        <w:rPr>
          <w:rFonts w:ascii="Century Gothic" w:hAnsi="Century Gothic" w:cstheme="minorHAnsi"/>
          <w:sz w:val="18"/>
          <w:szCs w:val="18"/>
          <w:shd w:val="clear" w:color="auto" w:fill="FFFFFF"/>
        </w:rPr>
        <w:t xml:space="preserve">I have been involved with </w:t>
      </w:r>
      <w:r w:rsidR="00715DC9" w:rsidRPr="00FF1E6D">
        <w:rPr>
          <w:rFonts w:ascii="Century Gothic" w:hAnsi="Century Gothic" w:cstheme="minorHAnsi"/>
          <w:sz w:val="18"/>
          <w:szCs w:val="18"/>
          <w:shd w:val="clear" w:color="auto" w:fill="FFFFFF"/>
        </w:rPr>
        <w:t xml:space="preserve">are designed for global or regional distribution. The ability to overtly influence product design is limited </w:t>
      </w:r>
      <w:r w:rsidR="00B23CF0" w:rsidRPr="00FF1E6D">
        <w:rPr>
          <w:rFonts w:ascii="Century Gothic" w:hAnsi="Century Gothic" w:cstheme="minorHAnsi"/>
          <w:sz w:val="18"/>
          <w:szCs w:val="18"/>
          <w:shd w:val="clear" w:color="auto" w:fill="FFFFFF"/>
        </w:rPr>
        <w:t xml:space="preserve">in Australia </w:t>
      </w:r>
      <w:r w:rsidR="00715DC9" w:rsidRPr="00FF1E6D">
        <w:rPr>
          <w:rFonts w:ascii="Century Gothic" w:hAnsi="Century Gothic" w:cstheme="minorHAnsi"/>
          <w:sz w:val="18"/>
          <w:szCs w:val="18"/>
          <w:shd w:val="clear" w:color="auto" w:fill="FFFFFF"/>
        </w:rPr>
        <w:t xml:space="preserve">due to the relatively small size of the Australian marketplace. </w:t>
      </w:r>
      <w:r w:rsidRPr="00FF1E6D">
        <w:rPr>
          <w:rFonts w:ascii="Century Gothic" w:hAnsi="Century Gothic" w:cstheme="minorHAnsi"/>
          <w:sz w:val="18"/>
          <w:szCs w:val="18"/>
          <w:shd w:val="clear" w:color="auto" w:fill="FFFFFF"/>
        </w:rPr>
        <w:t xml:space="preserve">There is some ability to influence design when considering safety or environmental regulation but if design change is significant for the Australian market </w:t>
      </w:r>
      <w:r w:rsidR="006047A5">
        <w:rPr>
          <w:rFonts w:ascii="Century Gothic" w:hAnsi="Century Gothic" w:cstheme="minorHAnsi"/>
          <w:sz w:val="18"/>
          <w:szCs w:val="18"/>
          <w:shd w:val="clear" w:color="auto" w:fill="FFFFFF"/>
        </w:rPr>
        <w:t>alone</w:t>
      </w:r>
      <w:r w:rsidR="009D7154">
        <w:rPr>
          <w:rFonts w:ascii="Century Gothic" w:hAnsi="Century Gothic" w:cstheme="minorHAnsi"/>
          <w:sz w:val="18"/>
          <w:szCs w:val="18"/>
          <w:shd w:val="clear" w:color="auto" w:fill="FFFFFF"/>
        </w:rPr>
        <w:t xml:space="preserve"> </w:t>
      </w:r>
      <w:r w:rsidRPr="00FF1E6D">
        <w:rPr>
          <w:rFonts w:ascii="Century Gothic" w:hAnsi="Century Gothic" w:cstheme="minorHAnsi"/>
          <w:sz w:val="18"/>
          <w:szCs w:val="18"/>
          <w:shd w:val="clear" w:color="auto" w:fill="FFFFFF"/>
        </w:rPr>
        <w:t>then, in most cases, the product is not introduced to the Australian market</w:t>
      </w:r>
      <w:r w:rsidR="00B23CF0" w:rsidRPr="00FF1E6D">
        <w:rPr>
          <w:rFonts w:ascii="Century Gothic" w:hAnsi="Century Gothic" w:cstheme="minorHAnsi"/>
          <w:sz w:val="18"/>
          <w:szCs w:val="18"/>
          <w:shd w:val="clear" w:color="auto" w:fill="FFFFFF"/>
        </w:rPr>
        <w:t>place</w:t>
      </w:r>
      <w:r w:rsidRPr="00FF1E6D">
        <w:rPr>
          <w:rFonts w:ascii="Century Gothic" w:hAnsi="Century Gothic" w:cstheme="minorHAnsi"/>
          <w:sz w:val="18"/>
          <w:szCs w:val="18"/>
          <w:shd w:val="clear" w:color="auto" w:fill="FFFFFF"/>
        </w:rPr>
        <w:t xml:space="preserve">. </w:t>
      </w:r>
    </w:p>
    <w:p w14:paraId="2D34613A" w14:textId="069F357E" w:rsidR="00F51498" w:rsidRPr="00FF1E6D" w:rsidRDefault="00AD04FD"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Focusing on ‘design for repair’ is an important and long-term requirement to achieve a strong circular economy but trying to influence international manufacturers through local distribution arms will yield little success.  A</w:t>
      </w:r>
      <w:r w:rsidR="00F51498" w:rsidRPr="00FF1E6D">
        <w:rPr>
          <w:rFonts w:ascii="Century Gothic" w:hAnsi="Century Gothic" w:cstheme="minorHAnsi"/>
          <w:sz w:val="18"/>
          <w:szCs w:val="18"/>
          <w:shd w:val="clear" w:color="auto" w:fill="FFFFFF"/>
        </w:rPr>
        <w:t xml:space="preserve"> ‘right to repair’ in the Australian context should </w:t>
      </w:r>
      <w:r w:rsidRPr="00FF1E6D">
        <w:rPr>
          <w:rFonts w:ascii="Century Gothic" w:hAnsi="Century Gothic" w:cstheme="minorHAnsi"/>
          <w:sz w:val="18"/>
          <w:szCs w:val="18"/>
          <w:shd w:val="clear" w:color="auto" w:fill="FFFFFF"/>
        </w:rPr>
        <w:t xml:space="preserve">therefore </w:t>
      </w:r>
      <w:r w:rsidR="00F51498" w:rsidRPr="00FF1E6D">
        <w:rPr>
          <w:rFonts w:ascii="Century Gothic" w:hAnsi="Century Gothic" w:cstheme="minorHAnsi"/>
          <w:sz w:val="18"/>
          <w:szCs w:val="18"/>
          <w:shd w:val="clear" w:color="auto" w:fill="FFFFFF"/>
        </w:rPr>
        <w:t>consist of two separate streams:</w:t>
      </w:r>
    </w:p>
    <w:p w14:paraId="3DCDA258" w14:textId="04883352" w:rsidR="00F51498" w:rsidRPr="00FF1E6D" w:rsidRDefault="009D7154" w:rsidP="00F51498">
      <w:pPr>
        <w:pStyle w:val="ListParagraph"/>
        <w:numPr>
          <w:ilvl w:val="0"/>
          <w:numId w:val="6"/>
        </w:num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A</w:t>
      </w:r>
      <w:r w:rsidR="00F51498" w:rsidRPr="00FF1E6D">
        <w:rPr>
          <w:rFonts w:ascii="Century Gothic" w:hAnsi="Century Gothic" w:cstheme="minorHAnsi"/>
          <w:sz w:val="18"/>
          <w:szCs w:val="18"/>
          <w:shd w:val="clear" w:color="auto" w:fill="FFFFFF"/>
        </w:rPr>
        <w:t xml:space="preserve"> focus on regulatory or policy change to enhance the ability to repair or reuse products</w:t>
      </w:r>
      <w:r w:rsidR="00B8153A" w:rsidRPr="00FF1E6D">
        <w:rPr>
          <w:rFonts w:ascii="Century Gothic" w:hAnsi="Century Gothic" w:cstheme="minorHAnsi"/>
          <w:sz w:val="18"/>
          <w:szCs w:val="18"/>
          <w:shd w:val="clear" w:color="auto" w:fill="FFFFFF"/>
        </w:rPr>
        <w:t xml:space="preserve"> currently in </w:t>
      </w:r>
      <w:r w:rsidR="00F51498" w:rsidRPr="00FF1E6D">
        <w:rPr>
          <w:rFonts w:ascii="Century Gothic" w:hAnsi="Century Gothic" w:cstheme="minorHAnsi"/>
          <w:sz w:val="18"/>
          <w:szCs w:val="18"/>
          <w:shd w:val="clear" w:color="auto" w:fill="FFFFFF"/>
        </w:rPr>
        <w:t xml:space="preserve">the marketplace. Specifically, open </w:t>
      </w:r>
      <w:r w:rsidR="006047A5">
        <w:rPr>
          <w:rFonts w:ascii="Century Gothic" w:hAnsi="Century Gothic" w:cstheme="minorHAnsi"/>
          <w:sz w:val="18"/>
          <w:szCs w:val="18"/>
          <w:shd w:val="clear" w:color="auto" w:fill="FFFFFF"/>
        </w:rPr>
        <w:t>an</w:t>
      </w:r>
      <w:r w:rsidR="008A6A28">
        <w:rPr>
          <w:rFonts w:ascii="Century Gothic" w:hAnsi="Century Gothic" w:cstheme="minorHAnsi"/>
          <w:sz w:val="18"/>
          <w:szCs w:val="18"/>
          <w:shd w:val="clear" w:color="auto" w:fill="FFFFFF"/>
        </w:rPr>
        <w:t>d</w:t>
      </w:r>
      <w:r w:rsidR="006047A5">
        <w:rPr>
          <w:rFonts w:ascii="Century Gothic" w:hAnsi="Century Gothic" w:cstheme="minorHAnsi"/>
          <w:sz w:val="18"/>
          <w:szCs w:val="18"/>
          <w:shd w:val="clear" w:color="auto" w:fill="FFFFFF"/>
        </w:rPr>
        <w:t xml:space="preserve"> free </w:t>
      </w:r>
      <w:r w:rsidR="00F51498" w:rsidRPr="00FF1E6D">
        <w:rPr>
          <w:rFonts w:ascii="Century Gothic" w:hAnsi="Century Gothic" w:cstheme="minorHAnsi"/>
          <w:sz w:val="18"/>
          <w:szCs w:val="18"/>
          <w:shd w:val="clear" w:color="auto" w:fill="FFFFFF"/>
        </w:rPr>
        <w:t xml:space="preserve">access to repair information, policy </w:t>
      </w:r>
      <w:r w:rsidR="006047A5">
        <w:rPr>
          <w:rFonts w:ascii="Century Gothic" w:hAnsi="Century Gothic" w:cstheme="minorHAnsi"/>
          <w:sz w:val="18"/>
          <w:szCs w:val="18"/>
          <w:shd w:val="clear" w:color="auto" w:fill="FFFFFF"/>
        </w:rPr>
        <w:t xml:space="preserve">reform to </w:t>
      </w:r>
      <w:r w:rsidR="00F51498" w:rsidRPr="00FF1E6D">
        <w:rPr>
          <w:rFonts w:ascii="Century Gothic" w:hAnsi="Century Gothic" w:cstheme="minorHAnsi"/>
          <w:sz w:val="18"/>
          <w:szCs w:val="18"/>
          <w:shd w:val="clear" w:color="auto" w:fill="FFFFFF"/>
        </w:rPr>
        <w:t xml:space="preserve">support </w:t>
      </w:r>
      <w:r w:rsidR="006047A5">
        <w:rPr>
          <w:rFonts w:ascii="Century Gothic" w:hAnsi="Century Gothic" w:cstheme="minorHAnsi"/>
          <w:sz w:val="18"/>
          <w:szCs w:val="18"/>
          <w:shd w:val="clear" w:color="auto" w:fill="FFFFFF"/>
        </w:rPr>
        <w:t>repairability and</w:t>
      </w:r>
      <w:r w:rsidR="00F51498" w:rsidRPr="00FF1E6D">
        <w:rPr>
          <w:rFonts w:ascii="Century Gothic" w:hAnsi="Century Gothic" w:cstheme="minorHAnsi"/>
          <w:sz w:val="18"/>
          <w:szCs w:val="18"/>
          <w:shd w:val="clear" w:color="auto" w:fill="FFFFFF"/>
        </w:rPr>
        <w:t xml:space="preserve"> Circular Economy initiatives, and </w:t>
      </w:r>
      <w:r w:rsidR="006047A5">
        <w:rPr>
          <w:rFonts w:ascii="Century Gothic" w:hAnsi="Century Gothic" w:cstheme="minorHAnsi"/>
          <w:sz w:val="18"/>
          <w:szCs w:val="18"/>
          <w:shd w:val="clear" w:color="auto" w:fill="FFFFFF"/>
        </w:rPr>
        <w:t xml:space="preserve">shared responsibility in </w:t>
      </w:r>
      <w:r w:rsidR="00F51498" w:rsidRPr="00FF1E6D">
        <w:rPr>
          <w:rFonts w:ascii="Century Gothic" w:hAnsi="Century Gothic" w:cstheme="minorHAnsi"/>
          <w:sz w:val="18"/>
          <w:szCs w:val="18"/>
          <w:shd w:val="clear" w:color="auto" w:fill="FFFFFF"/>
        </w:rPr>
        <w:t xml:space="preserve">Product Stewardship </w:t>
      </w:r>
      <w:r w:rsidR="008A6A28">
        <w:rPr>
          <w:rFonts w:ascii="Century Gothic" w:hAnsi="Century Gothic" w:cstheme="minorHAnsi"/>
          <w:sz w:val="18"/>
          <w:szCs w:val="18"/>
          <w:shd w:val="clear" w:color="auto" w:fill="FFFFFF"/>
        </w:rPr>
        <w:t xml:space="preserve">Schemes sharing the </w:t>
      </w:r>
      <w:r w:rsidR="0069349F">
        <w:rPr>
          <w:rFonts w:ascii="Century Gothic" w:hAnsi="Century Gothic" w:cstheme="minorHAnsi"/>
          <w:sz w:val="18"/>
          <w:szCs w:val="18"/>
          <w:shd w:val="clear" w:color="auto" w:fill="FFFFFF"/>
        </w:rPr>
        <w:t>end-of-life</w:t>
      </w:r>
      <w:r w:rsidR="008A6A28">
        <w:rPr>
          <w:rFonts w:ascii="Century Gothic" w:hAnsi="Century Gothic" w:cstheme="minorHAnsi"/>
          <w:sz w:val="18"/>
          <w:szCs w:val="18"/>
          <w:shd w:val="clear" w:color="auto" w:fill="FFFFFF"/>
        </w:rPr>
        <w:t xml:space="preserve"> cost with all stakeholders.</w:t>
      </w:r>
    </w:p>
    <w:p w14:paraId="3CC3BC07" w14:textId="17A327AA" w:rsidR="00F51498" w:rsidRPr="00FF1E6D" w:rsidRDefault="00F51498" w:rsidP="00F51498">
      <w:pPr>
        <w:pStyle w:val="ListParagraph"/>
        <w:numPr>
          <w:ilvl w:val="0"/>
          <w:numId w:val="6"/>
        </w:num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Secondly,</w:t>
      </w:r>
      <w:r w:rsidR="00B8153A" w:rsidRPr="00FF1E6D">
        <w:rPr>
          <w:rFonts w:ascii="Century Gothic" w:hAnsi="Century Gothic" w:cstheme="minorHAnsi"/>
          <w:sz w:val="18"/>
          <w:szCs w:val="18"/>
          <w:shd w:val="clear" w:color="auto" w:fill="FFFFFF"/>
        </w:rPr>
        <w:t xml:space="preserve"> facilitate consultation across local and global</w:t>
      </w:r>
      <w:r w:rsidRPr="00FF1E6D">
        <w:rPr>
          <w:rFonts w:ascii="Century Gothic" w:hAnsi="Century Gothic" w:cstheme="minorHAnsi"/>
          <w:sz w:val="18"/>
          <w:szCs w:val="18"/>
          <w:shd w:val="clear" w:color="auto" w:fill="FFFFFF"/>
        </w:rPr>
        <w:t xml:space="preserve"> </w:t>
      </w:r>
      <w:r w:rsidR="00B8153A" w:rsidRPr="00FF1E6D">
        <w:rPr>
          <w:rFonts w:ascii="Century Gothic" w:hAnsi="Century Gothic" w:cstheme="minorHAnsi"/>
          <w:sz w:val="18"/>
          <w:szCs w:val="18"/>
          <w:shd w:val="clear" w:color="auto" w:fill="FFFFFF"/>
        </w:rPr>
        <w:t>industry associations and relevant international government entities to influence the introduction of ‘design for repair’ concepts into products</w:t>
      </w:r>
      <w:r w:rsidR="009D7154">
        <w:rPr>
          <w:rFonts w:ascii="Century Gothic" w:hAnsi="Century Gothic" w:cstheme="minorHAnsi"/>
          <w:sz w:val="18"/>
          <w:szCs w:val="18"/>
          <w:shd w:val="clear" w:color="auto" w:fill="FFFFFF"/>
        </w:rPr>
        <w:t xml:space="preserve"> sold in Australia but</w:t>
      </w:r>
      <w:r w:rsidR="00B8153A" w:rsidRPr="00FF1E6D">
        <w:rPr>
          <w:rFonts w:ascii="Century Gothic" w:hAnsi="Century Gothic" w:cstheme="minorHAnsi"/>
          <w:sz w:val="18"/>
          <w:szCs w:val="18"/>
          <w:shd w:val="clear" w:color="auto" w:fill="FFFFFF"/>
        </w:rPr>
        <w:t xml:space="preserve"> that are designed for re</w:t>
      </w:r>
      <w:r w:rsidR="00AD04FD" w:rsidRPr="00FF1E6D">
        <w:rPr>
          <w:rFonts w:ascii="Century Gothic" w:hAnsi="Century Gothic" w:cstheme="minorHAnsi"/>
          <w:sz w:val="18"/>
          <w:szCs w:val="18"/>
          <w:shd w:val="clear" w:color="auto" w:fill="FFFFFF"/>
        </w:rPr>
        <w:t>gional or global distribution.</w:t>
      </w:r>
    </w:p>
    <w:p w14:paraId="779EEF9C" w14:textId="77777777" w:rsidR="00F51498" w:rsidRPr="00FF1E6D" w:rsidRDefault="00F51498" w:rsidP="00863606">
      <w:pPr>
        <w:spacing w:after="0"/>
        <w:rPr>
          <w:rFonts w:ascii="Century Gothic" w:hAnsi="Century Gothic" w:cstheme="minorHAnsi"/>
          <w:sz w:val="18"/>
          <w:szCs w:val="18"/>
          <w:shd w:val="clear" w:color="auto" w:fill="FFFFFF"/>
        </w:rPr>
      </w:pPr>
    </w:p>
    <w:p w14:paraId="2E4CC764" w14:textId="77777777" w:rsidR="00AD04FD" w:rsidRPr="00FF1E6D" w:rsidRDefault="00AD04FD" w:rsidP="00863606">
      <w:pPr>
        <w:spacing w:after="0"/>
        <w:rPr>
          <w:rFonts w:ascii="Century Gothic" w:hAnsi="Century Gothic" w:cstheme="minorHAnsi"/>
          <w:sz w:val="18"/>
          <w:szCs w:val="18"/>
          <w:shd w:val="clear" w:color="auto" w:fill="FFFFFF"/>
        </w:rPr>
      </w:pPr>
    </w:p>
    <w:p w14:paraId="2A518A86" w14:textId="37360439" w:rsidR="00863606" w:rsidRPr="00B56214" w:rsidRDefault="00863606" w:rsidP="00863606">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t>INFORMATION REQUEST 2</w:t>
      </w:r>
    </w:p>
    <w:p w14:paraId="09A10F11" w14:textId="77777777" w:rsidR="00BC0686" w:rsidRPr="00FF1E6D" w:rsidRDefault="00BC0686" w:rsidP="00863606">
      <w:pPr>
        <w:spacing w:after="0"/>
        <w:rPr>
          <w:rFonts w:ascii="Century Gothic" w:hAnsi="Century Gothic" w:cstheme="minorHAnsi"/>
          <w:i/>
          <w:iCs/>
          <w:sz w:val="18"/>
          <w:szCs w:val="18"/>
          <w:shd w:val="clear" w:color="auto" w:fill="FFFFFF"/>
        </w:rPr>
      </w:pPr>
    </w:p>
    <w:p w14:paraId="70A6F289" w14:textId="0F4FC29A" w:rsidR="00BC0686" w:rsidRPr="00FF1E6D" w:rsidRDefault="00863606" w:rsidP="00311515">
      <w:pPr>
        <w:pStyle w:val="ListParagraph"/>
        <w:numPr>
          <w:ilvl w:val="0"/>
          <w:numId w:val="9"/>
        </w:numPr>
        <w:spacing w:after="0"/>
        <w:ind w:left="36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What types of products and repair markets should the Commission focus on?</w:t>
      </w:r>
    </w:p>
    <w:p w14:paraId="617C7FF6" w14:textId="6B6AF44A" w:rsidR="00863606" w:rsidRPr="00FF1E6D" w:rsidRDefault="00863606"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My professional experience is based </w:t>
      </w:r>
      <w:r w:rsidR="009D7154">
        <w:rPr>
          <w:rFonts w:ascii="Century Gothic" w:hAnsi="Century Gothic" w:cstheme="minorHAnsi"/>
          <w:sz w:val="18"/>
          <w:szCs w:val="18"/>
          <w:shd w:val="clear" w:color="auto" w:fill="FFFFFF"/>
        </w:rPr>
        <w:t>on</w:t>
      </w:r>
      <w:r w:rsidRPr="00FF1E6D">
        <w:rPr>
          <w:rFonts w:ascii="Century Gothic" w:hAnsi="Century Gothic" w:cstheme="minorHAnsi"/>
          <w:sz w:val="18"/>
          <w:szCs w:val="18"/>
          <w:shd w:val="clear" w:color="auto" w:fill="FFFFFF"/>
        </w:rPr>
        <w:t xml:space="preserve"> </w:t>
      </w:r>
      <w:r w:rsidR="00D56FA0" w:rsidRPr="00FF1E6D">
        <w:rPr>
          <w:rFonts w:ascii="Century Gothic" w:hAnsi="Century Gothic" w:cstheme="minorHAnsi"/>
          <w:sz w:val="18"/>
          <w:szCs w:val="18"/>
          <w:shd w:val="clear" w:color="auto" w:fill="FFFFFF"/>
        </w:rPr>
        <w:t>service and</w:t>
      </w:r>
      <w:r w:rsidRPr="00FF1E6D">
        <w:rPr>
          <w:rFonts w:ascii="Century Gothic" w:hAnsi="Century Gothic" w:cstheme="minorHAnsi"/>
          <w:sz w:val="18"/>
          <w:szCs w:val="18"/>
          <w:shd w:val="clear" w:color="auto" w:fill="FFFFFF"/>
        </w:rPr>
        <w:t xml:space="preserve"> repairs </w:t>
      </w:r>
      <w:r w:rsidR="008A6A28">
        <w:rPr>
          <w:rFonts w:ascii="Century Gothic" w:hAnsi="Century Gothic" w:cstheme="minorHAnsi"/>
          <w:sz w:val="18"/>
          <w:szCs w:val="18"/>
          <w:shd w:val="clear" w:color="auto" w:fill="FFFFFF"/>
        </w:rPr>
        <w:t>across</w:t>
      </w:r>
      <w:r w:rsidRPr="00FF1E6D">
        <w:rPr>
          <w:rFonts w:ascii="Century Gothic" w:hAnsi="Century Gothic" w:cstheme="minorHAnsi"/>
          <w:sz w:val="18"/>
          <w:szCs w:val="18"/>
          <w:shd w:val="clear" w:color="auto" w:fill="FFFFFF"/>
        </w:rPr>
        <w:t xml:space="preserve"> </w:t>
      </w:r>
      <w:r w:rsidR="008A6A28">
        <w:rPr>
          <w:rFonts w:ascii="Century Gothic" w:hAnsi="Century Gothic" w:cstheme="minorHAnsi"/>
          <w:sz w:val="18"/>
          <w:szCs w:val="18"/>
          <w:shd w:val="clear" w:color="auto" w:fill="FFFFFF"/>
        </w:rPr>
        <w:t>a vast array of</w:t>
      </w:r>
      <w:r w:rsidRPr="00FF1E6D">
        <w:rPr>
          <w:rFonts w:ascii="Century Gothic" w:hAnsi="Century Gothic" w:cstheme="minorHAnsi"/>
          <w:sz w:val="18"/>
          <w:szCs w:val="18"/>
          <w:shd w:val="clear" w:color="auto" w:fill="FFFFFF"/>
        </w:rPr>
        <w:t xml:space="preserve"> electronic</w:t>
      </w:r>
      <w:r w:rsidR="008A6A28">
        <w:rPr>
          <w:rFonts w:ascii="Century Gothic" w:hAnsi="Century Gothic" w:cstheme="minorHAnsi"/>
          <w:sz w:val="18"/>
          <w:szCs w:val="18"/>
          <w:shd w:val="clear" w:color="auto" w:fill="FFFFFF"/>
        </w:rPr>
        <w:t xml:space="preserve"> products, I </w:t>
      </w:r>
      <w:r w:rsidR="00941F5B" w:rsidRPr="00FF1E6D">
        <w:rPr>
          <w:rFonts w:ascii="Century Gothic" w:hAnsi="Century Gothic" w:cstheme="minorHAnsi"/>
          <w:sz w:val="18"/>
          <w:szCs w:val="18"/>
          <w:shd w:val="clear" w:color="auto" w:fill="FFFFFF"/>
        </w:rPr>
        <w:t>support</w:t>
      </w:r>
      <w:r w:rsidRPr="00FF1E6D">
        <w:rPr>
          <w:rFonts w:ascii="Century Gothic" w:hAnsi="Century Gothic" w:cstheme="minorHAnsi"/>
          <w:sz w:val="18"/>
          <w:szCs w:val="18"/>
          <w:shd w:val="clear" w:color="auto" w:fill="FFFFFF"/>
        </w:rPr>
        <w:t xml:space="preserve"> </w:t>
      </w:r>
      <w:r w:rsidR="008A6A28">
        <w:rPr>
          <w:rFonts w:ascii="Century Gothic" w:hAnsi="Century Gothic" w:cstheme="minorHAnsi"/>
          <w:sz w:val="18"/>
          <w:szCs w:val="18"/>
          <w:shd w:val="clear" w:color="auto" w:fill="FFFFFF"/>
        </w:rPr>
        <w:t>the inclusion that all electronic</w:t>
      </w:r>
      <w:r w:rsidRPr="00FF1E6D">
        <w:rPr>
          <w:rFonts w:ascii="Century Gothic" w:hAnsi="Century Gothic" w:cstheme="minorHAnsi"/>
          <w:sz w:val="18"/>
          <w:szCs w:val="18"/>
          <w:shd w:val="clear" w:color="auto" w:fill="FFFFFF"/>
        </w:rPr>
        <w:t xml:space="preserve"> products </w:t>
      </w:r>
      <w:r w:rsidR="008A6A28">
        <w:rPr>
          <w:rFonts w:ascii="Century Gothic" w:hAnsi="Century Gothic" w:cstheme="minorHAnsi"/>
          <w:sz w:val="18"/>
          <w:szCs w:val="18"/>
          <w:shd w:val="clear" w:color="auto" w:fill="FFFFFF"/>
        </w:rPr>
        <w:t xml:space="preserve">should </w:t>
      </w:r>
      <w:r w:rsidR="00941F5B" w:rsidRPr="00FF1E6D">
        <w:rPr>
          <w:rFonts w:ascii="Century Gothic" w:hAnsi="Century Gothic" w:cstheme="minorHAnsi"/>
          <w:sz w:val="18"/>
          <w:szCs w:val="18"/>
          <w:shd w:val="clear" w:color="auto" w:fill="FFFFFF"/>
        </w:rPr>
        <w:t>b</w:t>
      </w:r>
      <w:r w:rsidRPr="00FF1E6D">
        <w:rPr>
          <w:rFonts w:ascii="Century Gothic" w:hAnsi="Century Gothic" w:cstheme="minorHAnsi"/>
          <w:sz w:val="18"/>
          <w:szCs w:val="18"/>
          <w:shd w:val="clear" w:color="auto" w:fill="FFFFFF"/>
        </w:rPr>
        <w:t xml:space="preserve">e considered by the Commission. </w:t>
      </w:r>
    </w:p>
    <w:p w14:paraId="518701AA" w14:textId="4357C979" w:rsidR="00A27FE7" w:rsidRPr="00FF1E6D" w:rsidRDefault="00A27FE7" w:rsidP="00311515">
      <w:pPr>
        <w:spacing w:after="0"/>
        <w:rPr>
          <w:rFonts w:ascii="Century Gothic" w:hAnsi="Century Gothic" w:cstheme="minorHAnsi"/>
          <w:sz w:val="18"/>
          <w:szCs w:val="18"/>
          <w:shd w:val="clear" w:color="auto" w:fill="FFFFFF"/>
        </w:rPr>
      </w:pPr>
    </w:p>
    <w:p w14:paraId="19D90452" w14:textId="0759E8E4" w:rsidR="00A27FE7" w:rsidRPr="00FF1E6D" w:rsidRDefault="00A27FE7" w:rsidP="00311515">
      <w:pPr>
        <w:pStyle w:val="ListParagraph"/>
        <w:numPr>
          <w:ilvl w:val="0"/>
          <w:numId w:val="9"/>
        </w:numPr>
        <w:spacing w:after="0"/>
        <w:ind w:left="36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 xml:space="preserve">Are there common characteristics that these products share?  </w:t>
      </w:r>
    </w:p>
    <w:p w14:paraId="6E6D443F" w14:textId="7C0828C4" w:rsidR="00A27FE7" w:rsidRPr="00FF1E6D" w:rsidRDefault="00A27FE7"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These products all display the following common attributes:</w:t>
      </w:r>
    </w:p>
    <w:p w14:paraId="3C0E63FA" w14:textId="0170C41F" w:rsidR="00A27FE7" w:rsidRPr="00FF1E6D" w:rsidRDefault="00A27FE7" w:rsidP="00311515">
      <w:pPr>
        <w:pStyle w:val="ListParagraph"/>
        <w:numPr>
          <w:ilvl w:val="0"/>
          <w:numId w:val="7"/>
        </w:numPr>
        <w:spacing w:after="0"/>
        <w:ind w:left="36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They contain rare and precious metals and many products contribut</w:t>
      </w:r>
      <w:r w:rsidR="003C3B0F" w:rsidRPr="00FF1E6D">
        <w:rPr>
          <w:rFonts w:ascii="Century Gothic" w:hAnsi="Century Gothic" w:cstheme="minorHAnsi"/>
          <w:sz w:val="18"/>
          <w:szCs w:val="18"/>
          <w:shd w:val="clear" w:color="auto" w:fill="FFFFFF"/>
        </w:rPr>
        <w:t>e to an</w:t>
      </w:r>
      <w:r w:rsidRPr="00FF1E6D">
        <w:rPr>
          <w:rFonts w:ascii="Century Gothic" w:hAnsi="Century Gothic" w:cstheme="minorHAnsi"/>
          <w:sz w:val="18"/>
          <w:szCs w:val="18"/>
          <w:shd w:val="clear" w:color="auto" w:fill="FFFFFF"/>
        </w:rPr>
        <w:t xml:space="preserve"> </w:t>
      </w:r>
      <w:r w:rsidR="009D7154">
        <w:rPr>
          <w:rFonts w:ascii="Century Gothic" w:hAnsi="Century Gothic" w:cstheme="minorHAnsi"/>
          <w:sz w:val="18"/>
          <w:szCs w:val="18"/>
          <w:shd w:val="clear" w:color="auto" w:fill="FFFFFF"/>
        </w:rPr>
        <w:t xml:space="preserve">existing </w:t>
      </w:r>
      <w:r w:rsidRPr="00FF1E6D">
        <w:rPr>
          <w:rFonts w:ascii="Century Gothic" w:hAnsi="Century Gothic" w:cstheme="minorHAnsi"/>
          <w:sz w:val="18"/>
          <w:szCs w:val="18"/>
          <w:shd w:val="clear" w:color="auto" w:fill="FFFFFF"/>
        </w:rPr>
        <w:t>e-waste problem</w:t>
      </w:r>
    </w:p>
    <w:p w14:paraId="70DEAF40" w14:textId="7B0BAEF3" w:rsidR="00A27FE7" w:rsidRPr="00FF1E6D" w:rsidRDefault="00A27FE7" w:rsidP="00311515">
      <w:pPr>
        <w:pStyle w:val="ListParagraph"/>
        <w:numPr>
          <w:ilvl w:val="0"/>
          <w:numId w:val="7"/>
        </w:numPr>
        <w:spacing w:after="0"/>
        <w:ind w:left="36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Declining product durability due to </w:t>
      </w:r>
      <w:r w:rsidR="009D7154">
        <w:rPr>
          <w:rFonts w:ascii="Century Gothic" w:hAnsi="Century Gothic" w:cstheme="minorHAnsi"/>
          <w:sz w:val="18"/>
          <w:szCs w:val="18"/>
          <w:shd w:val="clear" w:color="auto" w:fill="FFFFFF"/>
        </w:rPr>
        <w:t>either natural evolution or planned obsolescence</w:t>
      </w:r>
      <w:r w:rsidR="00CF1F62">
        <w:rPr>
          <w:rFonts w:ascii="Century Gothic" w:hAnsi="Century Gothic" w:cstheme="minorHAnsi"/>
          <w:sz w:val="18"/>
          <w:szCs w:val="18"/>
          <w:shd w:val="clear" w:color="auto" w:fill="FFFFFF"/>
        </w:rPr>
        <w:t>.</w:t>
      </w:r>
      <w:r w:rsidRPr="00FF1E6D">
        <w:rPr>
          <w:rFonts w:ascii="Century Gothic" w:hAnsi="Century Gothic" w:cstheme="minorHAnsi"/>
          <w:sz w:val="18"/>
          <w:szCs w:val="18"/>
          <w:shd w:val="clear" w:color="auto" w:fill="FFFFFF"/>
        </w:rPr>
        <w:t xml:space="preserve"> </w:t>
      </w:r>
    </w:p>
    <w:p w14:paraId="70AB51BD" w14:textId="31667FF3" w:rsidR="003C3B0F" w:rsidRPr="00FF1E6D" w:rsidRDefault="006047A5" w:rsidP="00CF1F62">
      <w:pPr>
        <w:pStyle w:val="ListParagraph"/>
        <w:numPr>
          <w:ilvl w:val="0"/>
          <w:numId w:val="7"/>
        </w:numPr>
        <w:spacing w:after="0"/>
        <w:ind w:left="36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A reducing number of</w:t>
      </w:r>
      <w:r w:rsidR="003C3B0F" w:rsidRPr="00FF1E6D">
        <w:rPr>
          <w:rFonts w:ascii="Century Gothic" w:hAnsi="Century Gothic" w:cstheme="minorHAnsi"/>
          <w:sz w:val="18"/>
          <w:szCs w:val="18"/>
          <w:shd w:val="clear" w:color="auto" w:fill="FFFFFF"/>
        </w:rPr>
        <w:t xml:space="preserve"> repair facilities </w:t>
      </w:r>
      <w:r w:rsidR="00CF1F62">
        <w:rPr>
          <w:rFonts w:ascii="Century Gothic" w:hAnsi="Century Gothic" w:cstheme="minorHAnsi"/>
          <w:sz w:val="18"/>
          <w:szCs w:val="18"/>
          <w:shd w:val="clear" w:color="auto" w:fill="FFFFFF"/>
        </w:rPr>
        <w:t xml:space="preserve">throughout Australia due to </w:t>
      </w:r>
      <w:r>
        <w:rPr>
          <w:rFonts w:ascii="Century Gothic" w:hAnsi="Century Gothic" w:cstheme="minorHAnsi"/>
          <w:sz w:val="18"/>
          <w:szCs w:val="18"/>
          <w:shd w:val="clear" w:color="auto" w:fill="FFFFFF"/>
        </w:rPr>
        <w:t>the</w:t>
      </w:r>
      <w:r w:rsidR="00CF1F62">
        <w:rPr>
          <w:rFonts w:ascii="Century Gothic" w:hAnsi="Century Gothic" w:cstheme="minorHAnsi"/>
          <w:sz w:val="18"/>
          <w:szCs w:val="18"/>
          <w:shd w:val="clear" w:color="auto" w:fill="FFFFFF"/>
        </w:rPr>
        <w:t xml:space="preserve"> declining financial viability of repair.</w:t>
      </w:r>
    </w:p>
    <w:p w14:paraId="48176153" w14:textId="1B9C9996" w:rsidR="00A27FE7" w:rsidRPr="00FF1E6D" w:rsidRDefault="00A27FE7" w:rsidP="00311515">
      <w:pPr>
        <w:spacing w:after="0"/>
        <w:rPr>
          <w:rFonts w:ascii="Century Gothic" w:hAnsi="Century Gothic" w:cstheme="minorHAnsi"/>
          <w:i/>
          <w:iCs/>
          <w:sz w:val="18"/>
          <w:szCs w:val="18"/>
          <w:shd w:val="clear" w:color="auto" w:fill="FFFFFF"/>
        </w:rPr>
      </w:pPr>
    </w:p>
    <w:p w14:paraId="61BCC5E3" w14:textId="57F46D73" w:rsidR="00941F5B" w:rsidRPr="006713B2" w:rsidRDefault="00941F5B" w:rsidP="006713B2">
      <w:pPr>
        <w:pStyle w:val="ListParagraph"/>
        <w:numPr>
          <w:ilvl w:val="0"/>
          <w:numId w:val="9"/>
        </w:numPr>
        <w:spacing w:after="0"/>
        <w:ind w:left="284" w:hanging="284"/>
        <w:rPr>
          <w:rFonts w:ascii="Century Gothic" w:hAnsi="Century Gothic" w:cstheme="minorHAnsi"/>
          <w:i/>
          <w:iCs/>
          <w:color w:val="0070C0"/>
          <w:sz w:val="18"/>
          <w:szCs w:val="18"/>
          <w:shd w:val="clear" w:color="auto" w:fill="FFFFFF"/>
        </w:rPr>
      </w:pPr>
      <w:r w:rsidRPr="006713B2">
        <w:rPr>
          <w:rFonts w:ascii="Century Gothic" w:hAnsi="Century Gothic" w:cstheme="minorHAnsi"/>
          <w:i/>
          <w:iCs/>
          <w:color w:val="0070C0"/>
          <w:sz w:val="18"/>
          <w:szCs w:val="18"/>
          <w:shd w:val="clear" w:color="auto" w:fill="FFFFFF"/>
        </w:rPr>
        <w:t xml:space="preserve">Are there specific product that the Commission should focus on? </w:t>
      </w:r>
    </w:p>
    <w:p w14:paraId="5717BF2D" w14:textId="2A42EC0C" w:rsidR="00941F5B" w:rsidRPr="00FF1E6D" w:rsidRDefault="00D56FA0"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I have no comment to make on this item.</w:t>
      </w:r>
    </w:p>
    <w:p w14:paraId="63952C4B" w14:textId="333E9094" w:rsidR="00490A13" w:rsidRPr="00FF1E6D" w:rsidRDefault="00490A13" w:rsidP="00311515">
      <w:pPr>
        <w:spacing w:after="0"/>
        <w:rPr>
          <w:rFonts w:ascii="Century Gothic" w:hAnsi="Century Gothic" w:cstheme="minorHAnsi"/>
          <w:sz w:val="18"/>
          <w:szCs w:val="18"/>
          <w:shd w:val="clear" w:color="auto" w:fill="FFFFFF"/>
        </w:rPr>
      </w:pPr>
    </w:p>
    <w:p w14:paraId="023D469A" w14:textId="77777777" w:rsidR="00D56FA0" w:rsidRPr="00FF1E6D" w:rsidRDefault="00D56FA0" w:rsidP="00311515">
      <w:pPr>
        <w:spacing w:after="0"/>
        <w:rPr>
          <w:rFonts w:ascii="Century Gothic" w:hAnsi="Century Gothic" w:cstheme="minorHAnsi"/>
          <w:sz w:val="18"/>
          <w:szCs w:val="18"/>
          <w:shd w:val="clear" w:color="auto" w:fill="FFFFFF"/>
        </w:rPr>
      </w:pPr>
    </w:p>
    <w:p w14:paraId="3A0D9C98" w14:textId="78BB5F35" w:rsidR="00863606" w:rsidRPr="00B56214" w:rsidRDefault="00863606" w:rsidP="00311515">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t>INFORMATION REQUEST 3</w:t>
      </w:r>
    </w:p>
    <w:p w14:paraId="47406ED7" w14:textId="77777777" w:rsidR="00AC6F20" w:rsidRPr="00FF1E6D" w:rsidRDefault="00AC6F20" w:rsidP="00311515">
      <w:pPr>
        <w:spacing w:after="0"/>
        <w:rPr>
          <w:rFonts w:ascii="Century Gothic" w:hAnsi="Century Gothic" w:cstheme="minorHAnsi"/>
          <w:sz w:val="18"/>
          <w:szCs w:val="18"/>
          <w:shd w:val="clear" w:color="auto" w:fill="FFFFFF"/>
        </w:rPr>
      </w:pPr>
    </w:p>
    <w:p w14:paraId="5A6BD96C" w14:textId="53067070" w:rsidR="00863606" w:rsidRPr="006713B2" w:rsidRDefault="00BB088B" w:rsidP="006713B2">
      <w:pPr>
        <w:pStyle w:val="ListParagraph"/>
        <w:numPr>
          <w:ilvl w:val="0"/>
          <w:numId w:val="21"/>
        </w:numPr>
        <w:spacing w:after="0"/>
        <w:rPr>
          <w:rFonts w:ascii="Century Gothic" w:hAnsi="Century Gothic" w:cstheme="minorHAnsi"/>
          <w:i/>
          <w:iCs/>
          <w:color w:val="0070C0"/>
          <w:sz w:val="18"/>
          <w:szCs w:val="18"/>
          <w:shd w:val="clear" w:color="auto" w:fill="FFFFFF"/>
        </w:rPr>
      </w:pPr>
      <w:r w:rsidRPr="006713B2">
        <w:rPr>
          <w:rFonts w:ascii="Century Gothic" w:hAnsi="Century Gothic" w:cstheme="minorHAnsi"/>
          <w:i/>
          <w:iCs/>
          <w:color w:val="0070C0"/>
          <w:sz w:val="18"/>
          <w:szCs w:val="18"/>
          <w:shd w:val="clear" w:color="auto" w:fill="FFFFFF"/>
        </w:rPr>
        <w:t>Do consumer guarantees under the ACL provide adequate access to repair for defective goods?</w:t>
      </w:r>
    </w:p>
    <w:p w14:paraId="67D2FCC0" w14:textId="5A9DFEB8" w:rsidR="00BB088B" w:rsidRDefault="00BB088B"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No. </w:t>
      </w:r>
      <w:r w:rsidR="007D3842">
        <w:rPr>
          <w:rFonts w:ascii="Century Gothic" w:hAnsi="Century Gothic" w:cstheme="minorHAnsi"/>
          <w:sz w:val="18"/>
          <w:szCs w:val="18"/>
          <w:shd w:val="clear" w:color="auto" w:fill="FFFFFF"/>
        </w:rPr>
        <w:t>Firstly, t</w:t>
      </w:r>
      <w:r w:rsidRPr="00FF1E6D">
        <w:rPr>
          <w:rFonts w:ascii="Century Gothic" w:hAnsi="Century Gothic" w:cstheme="minorHAnsi"/>
          <w:sz w:val="18"/>
          <w:szCs w:val="18"/>
          <w:shd w:val="clear" w:color="auto" w:fill="FFFFFF"/>
        </w:rPr>
        <w:t xml:space="preserve">he </w:t>
      </w:r>
      <w:r w:rsidR="00C12CD0" w:rsidRPr="00FF1E6D">
        <w:rPr>
          <w:rFonts w:ascii="Century Gothic" w:hAnsi="Century Gothic" w:cstheme="minorHAnsi"/>
          <w:sz w:val="18"/>
          <w:szCs w:val="18"/>
          <w:shd w:val="clear" w:color="auto" w:fill="FFFFFF"/>
        </w:rPr>
        <w:t xml:space="preserve">definition of major and minor fault is generally </w:t>
      </w:r>
      <w:r w:rsidR="00224064" w:rsidRPr="00FF1E6D">
        <w:rPr>
          <w:rFonts w:ascii="Century Gothic" w:hAnsi="Century Gothic" w:cstheme="minorHAnsi"/>
          <w:sz w:val="18"/>
          <w:szCs w:val="18"/>
          <w:shd w:val="clear" w:color="auto" w:fill="FFFFFF"/>
        </w:rPr>
        <w:t xml:space="preserve">not </w:t>
      </w:r>
      <w:r w:rsidR="00C12CD0" w:rsidRPr="00FF1E6D">
        <w:rPr>
          <w:rFonts w:ascii="Century Gothic" w:hAnsi="Century Gothic" w:cstheme="minorHAnsi"/>
          <w:sz w:val="18"/>
          <w:szCs w:val="18"/>
          <w:shd w:val="clear" w:color="auto" w:fill="FFFFFF"/>
        </w:rPr>
        <w:t xml:space="preserve">well understood and the risk of receiving a fine for a breach of the ACL is real. </w:t>
      </w:r>
      <w:r w:rsidR="0021788C" w:rsidRPr="00FF1E6D">
        <w:rPr>
          <w:rFonts w:ascii="Century Gothic" w:hAnsi="Century Gothic" w:cstheme="minorHAnsi"/>
          <w:sz w:val="18"/>
          <w:szCs w:val="18"/>
          <w:shd w:val="clear" w:color="auto" w:fill="FFFFFF"/>
        </w:rPr>
        <w:t>R</w:t>
      </w:r>
      <w:r w:rsidRPr="00FF1E6D">
        <w:rPr>
          <w:rFonts w:ascii="Century Gothic" w:hAnsi="Century Gothic" w:cstheme="minorHAnsi"/>
          <w:sz w:val="18"/>
          <w:szCs w:val="18"/>
          <w:shd w:val="clear" w:color="auto" w:fill="FFFFFF"/>
        </w:rPr>
        <w:t xml:space="preserve">etailers </w:t>
      </w:r>
      <w:r w:rsidR="00CF1F62">
        <w:rPr>
          <w:rFonts w:ascii="Century Gothic" w:hAnsi="Century Gothic" w:cstheme="minorHAnsi"/>
          <w:sz w:val="18"/>
          <w:szCs w:val="18"/>
          <w:shd w:val="clear" w:color="auto" w:fill="FFFFFF"/>
        </w:rPr>
        <w:t>are known to</w:t>
      </w:r>
      <w:r w:rsidRPr="00FF1E6D">
        <w:rPr>
          <w:rFonts w:ascii="Century Gothic" w:hAnsi="Century Gothic" w:cstheme="minorHAnsi"/>
          <w:sz w:val="18"/>
          <w:szCs w:val="18"/>
          <w:shd w:val="clear" w:color="auto" w:fill="FFFFFF"/>
        </w:rPr>
        <w:t xml:space="preserve"> err on the side of caution and consider a </w:t>
      </w:r>
      <w:r w:rsidR="0021788C" w:rsidRPr="00FF1E6D">
        <w:rPr>
          <w:rFonts w:ascii="Century Gothic" w:hAnsi="Century Gothic" w:cstheme="minorHAnsi"/>
          <w:sz w:val="18"/>
          <w:szCs w:val="18"/>
          <w:shd w:val="clear" w:color="auto" w:fill="FFFFFF"/>
        </w:rPr>
        <w:t xml:space="preserve">minor </w:t>
      </w:r>
      <w:r w:rsidRPr="00FF1E6D">
        <w:rPr>
          <w:rFonts w:ascii="Century Gothic" w:hAnsi="Century Gothic" w:cstheme="minorHAnsi"/>
          <w:sz w:val="18"/>
          <w:szCs w:val="18"/>
          <w:shd w:val="clear" w:color="auto" w:fill="FFFFFF"/>
        </w:rPr>
        <w:t>fault to be major</w:t>
      </w:r>
      <w:r w:rsidR="00C12CD0" w:rsidRPr="00FF1E6D">
        <w:rPr>
          <w:rFonts w:ascii="Century Gothic" w:hAnsi="Century Gothic" w:cstheme="minorHAnsi"/>
          <w:sz w:val="18"/>
          <w:szCs w:val="18"/>
          <w:shd w:val="clear" w:color="auto" w:fill="FFFFFF"/>
        </w:rPr>
        <w:t>,</w:t>
      </w:r>
      <w:r w:rsidR="0021788C" w:rsidRPr="00FF1E6D">
        <w:rPr>
          <w:rFonts w:ascii="Century Gothic" w:hAnsi="Century Gothic" w:cstheme="minorHAnsi"/>
          <w:sz w:val="18"/>
          <w:szCs w:val="18"/>
          <w:shd w:val="clear" w:color="auto" w:fill="FFFFFF"/>
        </w:rPr>
        <w:t xml:space="preserve"> </w:t>
      </w:r>
      <w:r w:rsidR="0021788C" w:rsidRPr="00FF1E6D">
        <w:rPr>
          <w:rFonts w:ascii="Century Gothic" w:hAnsi="Century Gothic" w:cstheme="minorHAnsi"/>
          <w:sz w:val="18"/>
          <w:szCs w:val="18"/>
          <w:shd w:val="clear" w:color="auto" w:fill="FFFFFF"/>
        </w:rPr>
        <w:lastRenderedPageBreak/>
        <w:t>ha</w:t>
      </w:r>
      <w:r w:rsidR="00A90FE9" w:rsidRPr="00FF1E6D">
        <w:rPr>
          <w:rFonts w:ascii="Century Gothic" w:hAnsi="Century Gothic" w:cstheme="minorHAnsi"/>
          <w:sz w:val="18"/>
          <w:szCs w:val="18"/>
          <w:shd w:val="clear" w:color="auto" w:fill="FFFFFF"/>
        </w:rPr>
        <w:t>nd</w:t>
      </w:r>
      <w:r w:rsidR="00C12CD0" w:rsidRPr="00FF1E6D">
        <w:rPr>
          <w:rFonts w:ascii="Century Gothic" w:hAnsi="Century Gothic" w:cstheme="minorHAnsi"/>
          <w:sz w:val="18"/>
          <w:szCs w:val="18"/>
          <w:shd w:val="clear" w:color="auto" w:fill="FFFFFF"/>
        </w:rPr>
        <w:t>ing</w:t>
      </w:r>
      <w:r w:rsidR="0021788C" w:rsidRPr="00FF1E6D">
        <w:rPr>
          <w:rFonts w:ascii="Century Gothic" w:hAnsi="Century Gothic" w:cstheme="minorHAnsi"/>
          <w:sz w:val="18"/>
          <w:szCs w:val="18"/>
          <w:shd w:val="clear" w:color="auto" w:fill="FFFFFF"/>
        </w:rPr>
        <w:t xml:space="preserve"> over the determination of the remedy to the consumer rather than risk the potential of infringement. In most cases the consumer will choose replac</w:t>
      </w:r>
      <w:r w:rsidR="00CF1F62">
        <w:rPr>
          <w:rFonts w:ascii="Century Gothic" w:hAnsi="Century Gothic" w:cstheme="minorHAnsi"/>
          <w:sz w:val="18"/>
          <w:szCs w:val="18"/>
          <w:shd w:val="clear" w:color="auto" w:fill="FFFFFF"/>
        </w:rPr>
        <w:t>ement</w:t>
      </w:r>
      <w:r w:rsidR="0021788C" w:rsidRPr="00FF1E6D">
        <w:rPr>
          <w:rFonts w:ascii="Century Gothic" w:hAnsi="Century Gothic" w:cstheme="minorHAnsi"/>
          <w:sz w:val="18"/>
          <w:szCs w:val="18"/>
          <w:shd w:val="clear" w:color="auto" w:fill="FFFFFF"/>
        </w:rPr>
        <w:t xml:space="preserve"> or refund over repair. </w:t>
      </w:r>
    </w:p>
    <w:p w14:paraId="5F2BCF84" w14:textId="610131F1" w:rsidR="00224064" w:rsidRDefault="007D3842" w:rsidP="00311515">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Secondly, r</w:t>
      </w:r>
      <w:r w:rsidR="00224064">
        <w:rPr>
          <w:rFonts w:ascii="Century Gothic" w:hAnsi="Century Gothic" w:cstheme="minorHAnsi"/>
          <w:sz w:val="18"/>
          <w:szCs w:val="18"/>
          <w:shd w:val="clear" w:color="auto" w:fill="FFFFFF"/>
        </w:rPr>
        <w:t>epair delays under the ACL definitio</w:t>
      </w:r>
      <w:r w:rsidR="00EC1790">
        <w:rPr>
          <w:rFonts w:ascii="Century Gothic" w:hAnsi="Century Gothic" w:cstheme="minorHAnsi"/>
          <w:sz w:val="18"/>
          <w:szCs w:val="18"/>
          <w:shd w:val="clear" w:color="auto" w:fill="FFFFFF"/>
        </w:rPr>
        <w:t>n</w:t>
      </w:r>
      <w:r w:rsidR="00224064">
        <w:rPr>
          <w:rFonts w:ascii="Century Gothic" w:hAnsi="Century Gothic" w:cstheme="minorHAnsi"/>
          <w:sz w:val="18"/>
          <w:szCs w:val="18"/>
          <w:shd w:val="clear" w:color="auto" w:fill="FFFFFF"/>
        </w:rPr>
        <w:t xml:space="preserve"> can constitute a major fault giving the consumer the right to replacement or refund. </w:t>
      </w:r>
      <w:r>
        <w:rPr>
          <w:rFonts w:ascii="Century Gothic" w:hAnsi="Century Gothic" w:cstheme="minorHAnsi"/>
          <w:sz w:val="18"/>
          <w:szCs w:val="18"/>
          <w:shd w:val="clear" w:color="auto" w:fill="FFFFFF"/>
        </w:rPr>
        <w:t>From a manufacturers perspective</w:t>
      </w:r>
      <w:r w:rsidR="00EC1790">
        <w:rPr>
          <w:rFonts w:ascii="Century Gothic" w:hAnsi="Century Gothic" w:cstheme="minorHAnsi"/>
          <w:sz w:val="18"/>
          <w:szCs w:val="18"/>
          <w:shd w:val="clear" w:color="auto" w:fill="FFFFFF"/>
        </w:rPr>
        <w:t>,</w:t>
      </w:r>
      <w:r>
        <w:rPr>
          <w:rFonts w:ascii="Century Gothic" w:hAnsi="Century Gothic" w:cstheme="minorHAnsi"/>
          <w:sz w:val="18"/>
          <w:szCs w:val="18"/>
          <w:shd w:val="clear" w:color="auto" w:fill="FFFFFF"/>
        </w:rPr>
        <w:t xml:space="preserve"> effective management of the repairer network is required to deliver speedy repair and avoid unnecessary replacement or refund.</w:t>
      </w:r>
      <w:r w:rsidR="00224064">
        <w:rPr>
          <w:rFonts w:ascii="Century Gothic" w:hAnsi="Century Gothic" w:cstheme="minorHAnsi"/>
          <w:sz w:val="18"/>
          <w:szCs w:val="18"/>
          <w:shd w:val="clear" w:color="auto" w:fill="FFFFFF"/>
        </w:rPr>
        <w:t xml:space="preserve">   </w:t>
      </w:r>
    </w:p>
    <w:p w14:paraId="595B0DAD" w14:textId="0F3C3120" w:rsidR="00224064" w:rsidRPr="00FF1E6D" w:rsidRDefault="00224064" w:rsidP="00311515">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I</w:t>
      </w:r>
      <w:r w:rsidRPr="00FF1E6D">
        <w:rPr>
          <w:rFonts w:ascii="Century Gothic" w:hAnsi="Century Gothic" w:cstheme="minorHAnsi"/>
          <w:sz w:val="18"/>
          <w:szCs w:val="18"/>
          <w:shd w:val="clear" w:color="auto" w:fill="FFFFFF"/>
        </w:rPr>
        <w:t>nvariably</w:t>
      </w:r>
      <w:r w:rsidR="00EC1790">
        <w:rPr>
          <w:rFonts w:ascii="Century Gothic" w:hAnsi="Century Gothic" w:cstheme="minorHAnsi"/>
          <w:sz w:val="18"/>
          <w:szCs w:val="18"/>
          <w:shd w:val="clear" w:color="auto" w:fill="FFFFFF"/>
        </w:rPr>
        <w:t>, in both cases,</w:t>
      </w:r>
      <w:r w:rsidRPr="00FF1E6D">
        <w:rPr>
          <w:rFonts w:ascii="Century Gothic" w:hAnsi="Century Gothic" w:cstheme="minorHAnsi"/>
          <w:sz w:val="18"/>
          <w:szCs w:val="18"/>
          <w:shd w:val="clear" w:color="auto" w:fill="FFFFFF"/>
        </w:rPr>
        <w:t xml:space="preserve"> </w:t>
      </w:r>
      <w:r>
        <w:rPr>
          <w:rFonts w:ascii="Century Gothic" w:hAnsi="Century Gothic" w:cstheme="minorHAnsi"/>
          <w:sz w:val="18"/>
          <w:szCs w:val="18"/>
          <w:shd w:val="clear" w:color="auto" w:fill="FFFFFF"/>
        </w:rPr>
        <w:t>the faulty products</w:t>
      </w:r>
      <w:r w:rsidR="007D3842">
        <w:rPr>
          <w:rFonts w:ascii="Century Gothic" w:hAnsi="Century Gothic" w:cstheme="minorHAnsi"/>
          <w:sz w:val="18"/>
          <w:szCs w:val="18"/>
          <w:shd w:val="clear" w:color="auto" w:fill="FFFFFF"/>
        </w:rPr>
        <w:t xml:space="preserve"> not repaired</w:t>
      </w:r>
      <w:r>
        <w:rPr>
          <w:rFonts w:ascii="Century Gothic" w:hAnsi="Century Gothic" w:cstheme="minorHAnsi"/>
          <w:sz w:val="18"/>
          <w:szCs w:val="18"/>
          <w:shd w:val="clear" w:color="auto" w:fill="FFFFFF"/>
        </w:rPr>
        <w:t xml:space="preserve"> are </w:t>
      </w:r>
      <w:r w:rsidRPr="00FF1E6D">
        <w:rPr>
          <w:rFonts w:ascii="Century Gothic" w:hAnsi="Century Gothic" w:cstheme="minorHAnsi"/>
          <w:sz w:val="18"/>
          <w:szCs w:val="18"/>
          <w:shd w:val="clear" w:color="auto" w:fill="FFFFFF"/>
        </w:rPr>
        <w:t xml:space="preserve">passed back to the manufacturer </w:t>
      </w:r>
      <w:r>
        <w:rPr>
          <w:rFonts w:ascii="Century Gothic" w:hAnsi="Century Gothic" w:cstheme="minorHAnsi"/>
          <w:sz w:val="18"/>
          <w:szCs w:val="18"/>
          <w:shd w:val="clear" w:color="auto" w:fill="FFFFFF"/>
        </w:rPr>
        <w:t>and</w:t>
      </w:r>
      <w:r w:rsidRPr="00FF1E6D">
        <w:rPr>
          <w:rFonts w:ascii="Century Gothic" w:hAnsi="Century Gothic" w:cstheme="minorHAnsi"/>
          <w:sz w:val="18"/>
          <w:szCs w:val="18"/>
          <w:shd w:val="clear" w:color="auto" w:fill="FFFFFF"/>
        </w:rPr>
        <w:t xml:space="preserve"> will </w:t>
      </w:r>
      <w:r>
        <w:rPr>
          <w:rFonts w:ascii="Century Gothic" w:hAnsi="Century Gothic" w:cstheme="minorHAnsi"/>
          <w:sz w:val="18"/>
          <w:szCs w:val="18"/>
          <w:shd w:val="clear" w:color="auto" w:fill="FFFFFF"/>
        </w:rPr>
        <w:t>be sent for destruction adding to the current e-waste problem</w:t>
      </w:r>
      <w:r w:rsidRPr="00FF1E6D">
        <w:rPr>
          <w:rFonts w:ascii="Century Gothic" w:hAnsi="Century Gothic" w:cstheme="minorHAnsi"/>
          <w:sz w:val="18"/>
          <w:szCs w:val="18"/>
          <w:shd w:val="clear" w:color="auto" w:fill="FFFFFF"/>
        </w:rPr>
        <w:t>.</w:t>
      </w:r>
    </w:p>
    <w:p w14:paraId="63E15849" w14:textId="5704C5E1" w:rsidR="0021788C" w:rsidRPr="00FF1E6D" w:rsidRDefault="0021788C" w:rsidP="00311515">
      <w:pPr>
        <w:spacing w:after="0"/>
        <w:rPr>
          <w:rFonts w:ascii="Century Gothic" w:hAnsi="Century Gothic" w:cstheme="minorHAnsi"/>
          <w:sz w:val="18"/>
          <w:szCs w:val="18"/>
          <w:shd w:val="clear" w:color="auto" w:fill="FFFFFF"/>
        </w:rPr>
      </w:pPr>
    </w:p>
    <w:p w14:paraId="6D282F03" w14:textId="2F4F11B1" w:rsidR="0021788C" w:rsidRPr="006713B2" w:rsidRDefault="0021788C" w:rsidP="006713B2">
      <w:pPr>
        <w:pStyle w:val="ListParagraph"/>
        <w:numPr>
          <w:ilvl w:val="0"/>
          <w:numId w:val="21"/>
        </w:numPr>
        <w:spacing w:after="0"/>
        <w:rPr>
          <w:rFonts w:ascii="Century Gothic" w:hAnsi="Century Gothic" w:cstheme="minorHAnsi"/>
          <w:i/>
          <w:iCs/>
          <w:color w:val="0070C0"/>
          <w:sz w:val="18"/>
          <w:szCs w:val="18"/>
          <w:shd w:val="clear" w:color="auto" w:fill="FFFFFF"/>
        </w:rPr>
      </w:pPr>
      <w:r w:rsidRPr="006713B2">
        <w:rPr>
          <w:rFonts w:ascii="Century Gothic" w:hAnsi="Century Gothic" w:cstheme="minorHAnsi"/>
          <w:i/>
          <w:iCs/>
          <w:color w:val="0070C0"/>
          <w:sz w:val="18"/>
          <w:szCs w:val="18"/>
          <w:shd w:val="clear" w:color="auto" w:fill="FFFFFF"/>
        </w:rPr>
        <w:t>Is the guarantee of available repair facilities effective or is the opt-out clause being widely used?</w:t>
      </w:r>
    </w:p>
    <w:p w14:paraId="16596165" w14:textId="3DC7FE3E" w:rsidR="00BC0686" w:rsidRPr="00FF1E6D" w:rsidRDefault="0021788C"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No. </w:t>
      </w:r>
      <w:r w:rsidR="00AC6F20" w:rsidRPr="00FF1E6D">
        <w:rPr>
          <w:rFonts w:ascii="Century Gothic" w:hAnsi="Century Gothic" w:cstheme="minorHAnsi"/>
          <w:sz w:val="18"/>
          <w:szCs w:val="18"/>
          <w:shd w:val="clear" w:color="auto" w:fill="FFFFFF"/>
        </w:rPr>
        <w:t xml:space="preserve">It is important to understand that manufacturers consider repair services as a cost of selling the product and </w:t>
      </w:r>
      <w:r w:rsidR="00CF1F62">
        <w:rPr>
          <w:rFonts w:ascii="Century Gothic" w:hAnsi="Century Gothic" w:cstheme="minorHAnsi"/>
          <w:sz w:val="18"/>
          <w:szCs w:val="18"/>
          <w:shd w:val="clear" w:color="auto" w:fill="FFFFFF"/>
        </w:rPr>
        <w:t xml:space="preserve">do </w:t>
      </w:r>
      <w:r w:rsidR="00AC6F20" w:rsidRPr="00FF1E6D">
        <w:rPr>
          <w:rFonts w:ascii="Century Gothic" w:hAnsi="Century Gothic" w:cstheme="minorHAnsi"/>
          <w:sz w:val="18"/>
          <w:szCs w:val="18"/>
          <w:shd w:val="clear" w:color="auto" w:fill="FFFFFF"/>
        </w:rPr>
        <w:t xml:space="preserve">not </w:t>
      </w:r>
      <w:r w:rsidR="007468ED" w:rsidRPr="00FF1E6D">
        <w:rPr>
          <w:rFonts w:ascii="Century Gothic" w:hAnsi="Century Gothic" w:cstheme="minorHAnsi"/>
          <w:sz w:val="18"/>
          <w:szCs w:val="18"/>
          <w:shd w:val="clear" w:color="auto" w:fill="FFFFFF"/>
        </w:rPr>
        <w:t>view</w:t>
      </w:r>
      <w:r w:rsidR="00CF1F62">
        <w:rPr>
          <w:rFonts w:ascii="Century Gothic" w:hAnsi="Century Gothic" w:cstheme="minorHAnsi"/>
          <w:sz w:val="18"/>
          <w:szCs w:val="18"/>
          <w:shd w:val="clear" w:color="auto" w:fill="FFFFFF"/>
        </w:rPr>
        <w:t xml:space="preserve"> it</w:t>
      </w:r>
      <w:r w:rsidR="007468ED" w:rsidRPr="00FF1E6D">
        <w:rPr>
          <w:rFonts w:ascii="Century Gothic" w:hAnsi="Century Gothic" w:cstheme="minorHAnsi"/>
          <w:sz w:val="18"/>
          <w:szCs w:val="18"/>
          <w:shd w:val="clear" w:color="auto" w:fill="FFFFFF"/>
        </w:rPr>
        <w:t xml:space="preserve"> </w:t>
      </w:r>
      <w:r w:rsidR="00BC0686" w:rsidRPr="00FF1E6D">
        <w:rPr>
          <w:rFonts w:ascii="Century Gothic" w:hAnsi="Century Gothic" w:cstheme="minorHAnsi"/>
          <w:sz w:val="18"/>
          <w:szCs w:val="18"/>
          <w:shd w:val="clear" w:color="auto" w:fill="FFFFFF"/>
        </w:rPr>
        <w:t xml:space="preserve">as </w:t>
      </w:r>
      <w:r w:rsidR="00AC6F20" w:rsidRPr="00FF1E6D">
        <w:rPr>
          <w:rFonts w:ascii="Century Gothic" w:hAnsi="Century Gothic" w:cstheme="minorHAnsi"/>
          <w:sz w:val="18"/>
          <w:szCs w:val="18"/>
          <w:shd w:val="clear" w:color="auto" w:fill="FFFFFF"/>
        </w:rPr>
        <w:t>a revenue opportunity.</w:t>
      </w:r>
      <w:r w:rsidRPr="00FF1E6D">
        <w:rPr>
          <w:rFonts w:ascii="Century Gothic" w:hAnsi="Century Gothic" w:cstheme="minorHAnsi"/>
          <w:sz w:val="18"/>
          <w:szCs w:val="18"/>
          <w:shd w:val="clear" w:color="auto" w:fill="FFFFFF"/>
        </w:rPr>
        <w:t xml:space="preserve"> I have seen a steady and consistent rise in the cost to repair products and a corresponding decline in the FOB price of </w:t>
      </w:r>
      <w:r w:rsidR="00AC6F20" w:rsidRPr="00FF1E6D">
        <w:rPr>
          <w:rFonts w:ascii="Century Gothic" w:hAnsi="Century Gothic" w:cstheme="minorHAnsi"/>
          <w:sz w:val="18"/>
          <w:szCs w:val="18"/>
          <w:shd w:val="clear" w:color="auto" w:fill="FFFFFF"/>
        </w:rPr>
        <w:t>consumer electronics</w:t>
      </w:r>
      <w:r w:rsidRPr="00FF1E6D">
        <w:rPr>
          <w:rFonts w:ascii="Century Gothic" w:hAnsi="Century Gothic" w:cstheme="minorHAnsi"/>
          <w:sz w:val="18"/>
          <w:szCs w:val="18"/>
          <w:shd w:val="clear" w:color="auto" w:fill="FFFFFF"/>
        </w:rPr>
        <w:t>.</w:t>
      </w:r>
      <w:r w:rsidR="00BC0686" w:rsidRPr="00FF1E6D">
        <w:rPr>
          <w:rFonts w:ascii="Century Gothic" w:hAnsi="Century Gothic" w:cstheme="minorHAnsi"/>
          <w:sz w:val="18"/>
          <w:szCs w:val="18"/>
          <w:shd w:val="clear" w:color="auto" w:fill="FFFFFF"/>
        </w:rPr>
        <w:t xml:space="preserve"> </w:t>
      </w:r>
      <w:r w:rsidR="007468ED" w:rsidRPr="00FF1E6D">
        <w:rPr>
          <w:rFonts w:ascii="Century Gothic" w:hAnsi="Century Gothic" w:cstheme="minorHAnsi"/>
          <w:sz w:val="18"/>
          <w:szCs w:val="18"/>
          <w:shd w:val="clear" w:color="auto" w:fill="FFFFFF"/>
        </w:rPr>
        <w:t xml:space="preserve">A </w:t>
      </w:r>
      <w:r w:rsidR="00695D80" w:rsidRPr="00FF1E6D">
        <w:rPr>
          <w:rFonts w:ascii="Century Gothic" w:hAnsi="Century Gothic" w:cstheme="minorHAnsi"/>
          <w:sz w:val="18"/>
          <w:szCs w:val="18"/>
          <w:shd w:val="clear" w:color="auto" w:fill="FFFFFF"/>
        </w:rPr>
        <w:t>viable</w:t>
      </w:r>
      <w:r w:rsidR="00AC6F20" w:rsidRPr="00FF1E6D">
        <w:rPr>
          <w:rFonts w:ascii="Century Gothic" w:hAnsi="Century Gothic" w:cstheme="minorHAnsi"/>
          <w:sz w:val="18"/>
          <w:szCs w:val="18"/>
          <w:shd w:val="clear" w:color="auto" w:fill="FFFFFF"/>
        </w:rPr>
        <w:t xml:space="preserve"> service strategy for manufacturer</w:t>
      </w:r>
      <w:r w:rsidR="00BC0686" w:rsidRPr="00FF1E6D">
        <w:rPr>
          <w:rFonts w:ascii="Century Gothic" w:hAnsi="Century Gothic" w:cstheme="minorHAnsi"/>
          <w:sz w:val="18"/>
          <w:szCs w:val="18"/>
          <w:shd w:val="clear" w:color="auto" w:fill="FFFFFF"/>
        </w:rPr>
        <w:t xml:space="preserve">’s continues to </w:t>
      </w:r>
      <w:r w:rsidR="00695D80" w:rsidRPr="00FF1E6D">
        <w:rPr>
          <w:rFonts w:ascii="Century Gothic" w:hAnsi="Century Gothic" w:cstheme="minorHAnsi"/>
          <w:sz w:val="18"/>
          <w:szCs w:val="18"/>
          <w:shd w:val="clear" w:color="auto" w:fill="FFFFFF"/>
        </w:rPr>
        <w:t xml:space="preserve">be the </w:t>
      </w:r>
      <w:r w:rsidR="00BC0686" w:rsidRPr="00FF1E6D">
        <w:rPr>
          <w:rFonts w:ascii="Century Gothic" w:hAnsi="Century Gothic" w:cstheme="minorHAnsi"/>
          <w:sz w:val="18"/>
          <w:szCs w:val="18"/>
          <w:shd w:val="clear" w:color="auto" w:fill="FFFFFF"/>
        </w:rPr>
        <w:t>shift towards replace</w:t>
      </w:r>
      <w:r w:rsidR="00CF1F62">
        <w:rPr>
          <w:rFonts w:ascii="Century Gothic" w:hAnsi="Century Gothic" w:cstheme="minorHAnsi"/>
          <w:sz w:val="18"/>
          <w:szCs w:val="18"/>
          <w:shd w:val="clear" w:color="auto" w:fill="FFFFFF"/>
        </w:rPr>
        <w:t>ment</w:t>
      </w:r>
      <w:r w:rsidR="00BC0686" w:rsidRPr="00FF1E6D">
        <w:rPr>
          <w:rFonts w:ascii="Century Gothic" w:hAnsi="Century Gothic" w:cstheme="minorHAnsi"/>
          <w:sz w:val="18"/>
          <w:szCs w:val="18"/>
          <w:shd w:val="clear" w:color="auto" w:fill="FFFFFF"/>
        </w:rPr>
        <w:t xml:space="preserve"> rather than repair as the FOB price </w:t>
      </w:r>
      <w:r w:rsidR="007468ED" w:rsidRPr="00FF1E6D">
        <w:rPr>
          <w:rFonts w:ascii="Century Gothic" w:hAnsi="Century Gothic" w:cstheme="minorHAnsi"/>
          <w:sz w:val="18"/>
          <w:szCs w:val="18"/>
          <w:shd w:val="clear" w:color="auto" w:fill="FFFFFF"/>
        </w:rPr>
        <w:t xml:space="preserve">continues to </w:t>
      </w:r>
      <w:r w:rsidR="00BC0686" w:rsidRPr="00FF1E6D">
        <w:rPr>
          <w:rFonts w:ascii="Century Gothic" w:hAnsi="Century Gothic" w:cstheme="minorHAnsi"/>
          <w:sz w:val="18"/>
          <w:szCs w:val="18"/>
          <w:shd w:val="clear" w:color="auto" w:fill="FFFFFF"/>
        </w:rPr>
        <w:t>decline.</w:t>
      </w:r>
    </w:p>
    <w:p w14:paraId="0030CE1B" w14:textId="77777777" w:rsidR="00BC0686" w:rsidRPr="00FF1E6D" w:rsidRDefault="00BC0686" w:rsidP="00311515">
      <w:pPr>
        <w:spacing w:after="0"/>
        <w:rPr>
          <w:rFonts w:ascii="Century Gothic" w:hAnsi="Century Gothic" w:cstheme="minorHAnsi"/>
          <w:sz w:val="18"/>
          <w:szCs w:val="18"/>
          <w:shd w:val="clear" w:color="auto" w:fill="FFFFFF"/>
        </w:rPr>
      </w:pPr>
    </w:p>
    <w:p w14:paraId="13775C0D" w14:textId="23A7D965" w:rsidR="0021788C" w:rsidRPr="006713B2" w:rsidRDefault="00695D80" w:rsidP="006713B2">
      <w:pPr>
        <w:pStyle w:val="ListParagraph"/>
        <w:numPr>
          <w:ilvl w:val="0"/>
          <w:numId w:val="21"/>
        </w:numPr>
        <w:spacing w:after="0"/>
        <w:rPr>
          <w:rFonts w:ascii="Century Gothic" w:hAnsi="Century Gothic" w:cstheme="minorHAnsi"/>
          <w:i/>
          <w:iCs/>
          <w:color w:val="0070C0"/>
          <w:sz w:val="18"/>
          <w:szCs w:val="18"/>
          <w:shd w:val="clear" w:color="auto" w:fill="FFFFFF"/>
        </w:rPr>
      </w:pPr>
      <w:r w:rsidRPr="006713B2">
        <w:rPr>
          <w:rFonts w:ascii="Century Gothic" w:hAnsi="Century Gothic" w:cstheme="minorHAnsi"/>
          <w:i/>
          <w:iCs/>
          <w:color w:val="0070C0"/>
          <w:sz w:val="18"/>
          <w:szCs w:val="18"/>
          <w:shd w:val="clear" w:color="auto" w:fill="FFFFFF"/>
        </w:rPr>
        <w:t>Should consumer guarantee’s seek to balance the broader societal costs of remedy choices?</w:t>
      </w:r>
    </w:p>
    <w:p w14:paraId="5A14B9EB" w14:textId="3C716C76" w:rsidR="00806F6E" w:rsidRPr="00FF1E6D" w:rsidRDefault="00695D80" w:rsidP="00311515">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Yes. Although there are areas of the ACL that require further refinement it has provided both industry and the consumer with far better clarity and understanding of each other’s obligations. As a policy and regulatory mechanism it provides an excellent platform to </w:t>
      </w:r>
      <w:r w:rsidR="007468ED" w:rsidRPr="00FF1E6D">
        <w:rPr>
          <w:rFonts w:ascii="Century Gothic" w:hAnsi="Century Gothic" w:cstheme="minorHAnsi"/>
          <w:sz w:val="18"/>
          <w:szCs w:val="18"/>
          <w:shd w:val="clear" w:color="auto" w:fill="FFFFFF"/>
        </w:rPr>
        <w:t xml:space="preserve">further </w:t>
      </w:r>
      <w:r w:rsidRPr="00FF1E6D">
        <w:rPr>
          <w:rFonts w:ascii="Century Gothic" w:hAnsi="Century Gothic" w:cstheme="minorHAnsi"/>
          <w:sz w:val="18"/>
          <w:szCs w:val="18"/>
          <w:shd w:val="clear" w:color="auto" w:fill="FFFFFF"/>
        </w:rPr>
        <w:t xml:space="preserve">promote the concepts of shared responsibility </w:t>
      </w:r>
      <w:r w:rsidR="00806F6E" w:rsidRPr="00FF1E6D">
        <w:rPr>
          <w:rFonts w:ascii="Century Gothic" w:hAnsi="Century Gothic" w:cstheme="minorHAnsi"/>
          <w:sz w:val="18"/>
          <w:szCs w:val="18"/>
          <w:shd w:val="clear" w:color="auto" w:fill="FFFFFF"/>
        </w:rPr>
        <w:t>and a circular economy within the framework of consumer law.</w:t>
      </w:r>
    </w:p>
    <w:p w14:paraId="3069238F" w14:textId="77777777" w:rsidR="00806F6E" w:rsidRPr="00FF1E6D" w:rsidRDefault="00806F6E" w:rsidP="00311515">
      <w:pPr>
        <w:spacing w:after="0"/>
        <w:rPr>
          <w:rFonts w:ascii="Century Gothic" w:hAnsi="Century Gothic" w:cstheme="minorHAnsi"/>
          <w:sz w:val="18"/>
          <w:szCs w:val="18"/>
          <w:shd w:val="clear" w:color="auto" w:fill="FFFFFF"/>
        </w:rPr>
      </w:pPr>
    </w:p>
    <w:p w14:paraId="1C6F89FB" w14:textId="6A09C991" w:rsidR="00806F6E" w:rsidRPr="006713B2" w:rsidRDefault="00806F6E" w:rsidP="006713B2">
      <w:pPr>
        <w:pStyle w:val="ListParagraph"/>
        <w:numPr>
          <w:ilvl w:val="0"/>
          <w:numId w:val="21"/>
        </w:numPr>
        <w:spacing w:after="0"/>
        <w:rPr>
          <w:rFonts w:ascii="Century Gothic" w:hAnsi="Century Gothic" w:cstheme="minorHAnsi"/>
          <w:i/>
          <w:iCs/>
          <w:color w:val="0070C0"/>
          <w:sz w:val="18"/>
          <w:szCs w:val="18"/>
          <w:shd w:val="clear" w:color="auto" w:fill="FFFFFF"/>
        </w:rPr>
      </w:pPr>
      <w:r w:rsidRPr="006713B2">
        <w:rPr>
          <w:rFonts w:ascii="Century Gothic" w:hAnsi="Century Gothic" w:cstheme="minorHAnsi"/>
          <w:i/>
          <w:iCs/>
          <w:color w:val="0070C0"/>
          <w:sz w:val="18"/>
          <w:szCs w:val="18"/>
          <w:shd w:val="clear" w:color="auto" w:fill="FFFFFF"/>
        </w:rPr>
        <w:t>Are consumer sufficiently aware of the remedies available to them under the ACL?</w:t>
      </w:r>
    </w:p>
    <w:p w14:paraId="4FD34FE8" w14:textId="75084C0B" w:rsidR="007468ED" w:rsidRPr="00FF1E6D" w:rsidRDefault="007468ED"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In many instances consumers are well informed about their rights and remedies. There are instances where their understanding of terms and definitions is insufficient resulting in the consumer having an over-inflated expectation of their rights. </w:t>
      </w:r>
    </w:p>
    <w:p w14:paraId="05786D31" w14:textId="0B1CEE29" w:rsidR="00695D80" w:rsidRPr="00FF1E6D" w:rsidRDefault="007468ED" w:rsidP="0086360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Although better informed than at the introduction of the ACL, consumer education is still an important item to address. </w:t>
      </w:r>
    </w:p>
    <w:p w14:paraId="43DFDF0E" w14:textId="52CDE6D3" w:rsidR="00490A13" w:rsidRPr="00FF1E6D" w:rsidRDefault="00490A13" w:rsidP="00863606">
      <w:pPr>
        <w:spacing w:after="0"/>
        <w:rPr>
          <w:rFonts w:ascii="Century Gothic" w:hAnsi="Century Gothic"/>
          <w:sz w:val="18"/>
          <w:szCs w:val="18"/>
          <w:lang w:val="en-US"/>
        </w:rPr>
      </w:pPr>
    </w:p>
    <w:p w14:paraId="401CFDBA" w14:textId="77777777" w:rsidR="00D56FA0" w:rsidRPr="00FF1E6D" w:rsidRDefault="00D56FA0" w:rsidP="00863606">
      <w:pPr>
        <w:spacing w:after="0"/>
        <w:rPr>
          <w:rFonts w:ascii="Century Gothic" w:hAnsi="Century Gothic"/>
          <w:sz w:val="18"/>
          <w:szCs w:val="18"/>
          <w:lang w:val="en-US"/>
        </w:rPr>
      </w:pPr>
    </w:p>
    <w:p w14:paraId="76EE6C7A" w14:textId="6CE51457" w:rsidR="003B3F0D" w:rsidRPr="00B56214" w:rsidRDefault="00941F5B" w:rsidP="00863606">
      <w:pPr>
        <w:spacing w:after="0"/>
        <w:rPr>
          <w:rFonts w:ascii="Century Gothic" w:hAnsi="Century Gothic"/>
          <w:b/>
          <w:bCs/>
          <w:sz w:val="18"/>
          <w:szCs w:val="18"/>
          <w:lang w:val="en-US"/>
        </w:rPr>
      </w:pPr>
      <w:r w:rsidRPr="00B56214">
        <w:rPr>
          <w:rFonts w:ascii="Century Gothic" w:hAnsi="Century Gothic"/>
          <w:b/>
          <w:bCs/>
          <w:sz w:val="18"/>
          <w:szCs w:val="18"/>
          <w:lang w:val="en-US"/>
        </w:rPr>
        <w:t xml:space="preserve">INFORMATION </w:t>
      </w:r>
      <w:r w:rsidR="00D56FA0" w:rsidRPr="00B56214">
        <w:rPr>
          <w:rFonts w:ascii="Century Gothic" w:hAnsi="Century Gothic"/>
          <w:b/>
          <w:bCs/>
          <w:sz w:val="18"/>
          <w:szCs w:val="18"/>
          <w:lang w:val="en-US"/>
        </w:rPr>
        <w:t xml:space="preserve">REQUEST </w:t>
      </w:r>
      <w:r w:rsidRPr="00B56214">
        <w:rPr>
          <w:rFonts w:ascii="Century Gothic" w:hAnsi="Century Gothic"/>
          <w:b/>
          <w:bCs/>
          <w:sz w:val="18"/>
          <w:szCs w:val="18"/>
          <w:lang w:val="en-US"/>
        </w:rPr>
        <w:t xml:space="preserve"> 4</w:t>
      </w:r>
    </w:p>
    <w:p w14:paraId="4D8E1BB3" w14:textId="5FC98382" w:rsidR="00941F5B" w:rsidRPr="00FF1E6D" w:rsidRDefault="00941F5B" w:rsidP="00863606">
      <w:pPr>
        <w:spacing w:after="0"/>
        <w:rPr>
          <w:rFonts w:ascii="Century Gothic" w:hAnsi="Century Gothic"/>
          <w:sz w:val="18"/>
          <w:szCs w:val="18"/>
          <w:lang w:val="en-US"/>
        </w:rPr>
      </w:pPr>
    </w:p>
    <w:p w14:paraId="50C6F821" w14:textId="1ED42944" w:rsidR="00941F5B" w:rsidRPr="00FF1E6D" w:rsidRDefault="00941F5B" w:rsidP="00941F5B">
      <w:pPr>
        <w:pStyle w:val="ListParagraph"/>
        <w:numPr>
          <w:ilvl w:val="0"/>
          <w:numId w:val="11"/>
        </w:numPr>
        <w:spacing w:after="0"/>
        <w:rPr>
          <w:rFonts w:ascii="Century Gothic" w:hAnsi="Century Gothic"/>
          <w:color w:val="0070C0"/>
          <w:sz w:val="18"/>
          <w:szCs w:val="18"/>
          <w:lang w:val="en-US"/>
        </w:rPr>
      </w:pPr>
      <w:r w:rsidRPr="00FF1E6D">
        <w:rPr>
          <w:rFonts w:ascii="Century Gothic" w:hAnsi="Century Gothic"/>
          <w:color w:val="0070C0"/>
          <w:sz w:val="18"/>
          <w:szCs w:val="18"/>
          <w:lang w:val="en-US"/>
        </w:rPr>
        <w:t>Information request on the nature of repair markets in Australia?</w:t>
      </w:r>
    </w:p>
    <w:p w14:paraId="4C3FE979" w14:textId="5C051F73" w:rsidR="00941F5B" w:rsidRPr="00FF1E6D" w:rsidRDefault="006A2549" w:rsidP="00941F5B">
      <w:pPr>
        <w:spacing w:after="0"/>
        <w:rPr>
          <w:rFonts w:ascii="Century Gothic" w:hAnsi="Century Gothic"/>
          <w:sz w:val="18"/>
          <w:szCs w:val="18"/>
          <w:lang w:val="en-US"/>
        </w:rPr>
      </w:pPr>
      <w:r w:rsidRPr="00FF1E6D">
        <w:rPr>
          <w:rFonts w:ascii="Century Gothic" w:hAnsi="Century Gothic"/>
          <w:sz w:val="18"/>
          <w:szCs w:val="18"/>
          <w:lang w:val="en-US"/>
        </w:rPr>
        <w:t>I have no comment to make on this item</w:t>
      </w:r>
    </w:p>
    <w:p w14:paraId="094B745C" w14:textId="2EBBB115" w:rsidR="00941F5B" w:rsidRPr="00FF1E6D" w:rsidRDefault="00941F5B" w:rsidP="00941F5B">
      <w:pPr>
        <w:spacing w:after="0"/>
        <w:rPr>
          <w:rFonts w:ascii="Century Gothic" w:hAnsi="Century Gothic"/>
          <w:sz w:val="18"/>
          <w:szCs w:val="18"/>
          <w:lang w:val="en-US"/>
        </w:rPr>
      </w:pPr>
    </w:p>
    <w:p w14:paraId="71854D4A" w14:textId="50E1D209" w:rsidR="00941F5B" w:rsidRPr="00FF1E6D" w:rsidRDefault="00640655" w:rsidP="00941F5B">
      <w:pPr>
        <w:pStyle w:val="ListParagraph"/>
        <w:numPr>
          <w:ilvl w:val="0"/>
          <w:numId w:val="11"/>
        </w:numPr>
        <w:spacing w:after="0"/>
        <w:rPr>
          <w:rFonts w:ascii="Century Gothic" w:hAnsi="Century Gothic"/>
          <w:i/>
          <w:iCs/>
          <w:color w:val="0070C0"/>
          <w:sz w:val="18"/>
          <w:szCs w:val="18"/>
          <w:lang w:val="en-US"/>
        </w:rPr>
      </w:pPr>
      <w:r w:rsidRPr="00FF1E6D">
        <w:rPr>
          <w:rFonts w:ascii="Century Gothic" w:hAnsi="Century Gothic"/>
          <w:i/>
          <w:iCs/>
          <w:color w:val="0070C0"/>
          <w:sz w:val="18"/>
          <w:szCs w:val="18"/>
          <w:lang w:val="en-US"/>
        </w:rPr>
        <w:t>Is there any evidence of a difference in quality, safety, or data security between authorized repairers and independent repairers?</w:t>
      </w:r>
    </w:p>
    <w:p w14:paraId="03FD7702" w14:textId="0B74FC9F" w:rsidR="00640655" w:rsidRPr="00FF1E6D" w:rsidRDefault="0063734B" w:rsidP="00640655">
      <w:pPr>
        <w:spacing w:after="0"/>
        <w:rPr>
          <w:rFonts w:ascii="Century Gothic" w:hAnsi="Century Gothic"/>
          <w:sz w:val="18"/>
          <w:szCs w:val="18"/>
          <w:lang w:val="en-US"/>
        </w:rPr>
      </w:pPr>
      <w:r>
        <w:rPr>
          <w:rFonts w:ascii="Century Gothic" w:hAnsi="Century Gothic"/>
          <w:sz w:val="18"/>
          <w:szCs w:val="18"/>
          <w:lang w:val="en-US"/>
        </w:rPr>
        <w:t>During my career</w:t>
      </w:r>
      <w:r w:rsidR="00640655" w:rsidRPr="00FF1E6D">
        <w:rPr>
          <w:rFonts w:ascii="Century Gothic" w:hAnsi="Century Gothic"/>
          <w:sz w:val="18"/>
          <w:szCs w:val="18"/>
          <w:lang w:val="en-US"/>
        </w:rPr>
        <w:t xml:space="preserve"> I have been provided </w:t>
      </w:r>
      <w:r w:rsidR="00AD04FD" w:rsidRPr="00FF1E6D">
        <w:rPr>
          <w:rFonts w:ascii="Century Gothic" w:hAnsi="Century Gothic"/>
          <w:sz w:val="18"/>
          <w:szCs w:val="18"/>
          <w:lang w:val="en-US"/>
        </w:rPr>
        <w:t xml:space="preserve">written and photographic </w:t>
      </w:r>
      <w:r w:rsidR="00640655" w:rsidRPr="00FF1E6D">
        <w:rPr>
          <w:rFonts w:ascii="Century Gothic" w:hAnsi="Century Gothic"/>
          <w:sz w:val="18"/>
          <w:szCs w:val="18"/>
          <w:lang w:val="en-US"/>
        </w:rPr>
        <w:t xml:space="preserve">evidence </w:t>
      </w:r>
      <w:r w:rsidR="00AD04FD" w:rsidRPr="00FF1E6D">
        <w:rPr>
          <w:rFonts w:ascii="Century Gothic" w:hAnsi="Century Gothic"/>
          <w:sz w:val="18"/>
          <w:szCs w:val="18"/>
          <w:lang w:val="en-US"/>
        </w:rPr>
        <w:t xml:space="preserve">on a number of occasions </w:t>
      </w:r>
      <w:r w:rsidR="003A5A1B" w:rsidRPr="00FF1E6D">
        <w:rPr>
          <w:rFonts w:ascii="Century Gothic" w:hAnsi="Century Gothic"/>
          <w:sz w:val="18"/>
          <w:szCs w:val="18"/>
          <w:lang w:val="en-US"/>
        </w:rPr>
        <w:t xml:space="preserve">where </w:t>
      </w:r>
      <w:r w:rsidR="00640655" w:rsidRPr="00FF1E6D">
        <w:rPr>
          <w:rFonts w:ascii="Century Gothic" w:hAnsi="Century Gothic"/>
          <w:sz w:val="18"/>
          <w:szCs w:val="18"/>
          <w:lang w:val="en-US"/>
        </w:rPr>
        <w:t>repair activity</w:t>
      </w:r>
      <w:r w:rsidR="003A5A1B" w:rsidRPr="00FF1E6D">
        <w:rPr>
          <w:rFonts w:ascii="Century Gothic" w:hAnsi="Century Gothic"/>
          <w:sz w:val="18"/>
          <w:szCs w:val="18"/>
          <w:lang w:val="en-US"/>
        </w:rPr>
        <w:t xml:space="preserve"> conducted</w:t>
      </w:r>
      <w:r w:rsidR="00640655" w:rsidRPr="00FF1E6D">
        <w:rPr>
          <w:rFonts w:ascii="Century Gothic" w:hAnsi="Century Gothic"/>
          <w:sz w:val="18"/>
          <w:szCs w:val="18"/>
          <w:lang w:val="en-US"/>
        </w:rPr>
        <w:t xml:space="preserve"> by </w:t>
      </w:r>
      <w:r w:rsidR="006047A5">
        <w:rPr>
          <w:rFonts w:ascii="Century Gothic" w:hAnsi="Century Gothic"/>
          <w:sz w:val="18"/>
          <w:szCs w:val="18"/>
          <w:lang w:val="en-US"/>
        </w:rPr>
        <w:t>independent</w:t>
      </w:r>
      <w:r w:rsidR="00640655" w:rsidRPr="00FF1E6D">
        <w:rPr>
          <w:rFonts w:ascii="Century Gothic" w:hAnsi="Century Gothic"/>
          <w:sz w:val="18"/>
          <w:szCs w:val="18"/>
          <w:lang w:val="en-US"/>
        </w:rPr>
        <w:t xml:space="preserve"> </w:t>
      </w:r>
      <w:r w:rsidR="00AD04FD" w:rsidRPr="00FF1E6D">
        <w:rPr>
          <w:rFonts w:ascii="Century Gothic" w:hAnsi="Century Gothic"/>
          <w:sz w:val="18"/>
          <w:szCs w:val="18"/>
          <w:lang w:val="en-US"/>
        </w:rPr>
        <w:t>and</w:t>
      </w:r>
      <w:r w:rsidR="006047A5">
        <w:rPr>
          <w:rFonts w:ascii="Century Gothic" w:hAnsi="Century Gothic"/>
          <w:sz w:val="18"/>
          <w:szCs w:val="18"/>
          <w:lang w:val="en-US"/>
        </w:rPr>
        <w:t>/or</w:t>
      </w:r>
      <w:r w:rsidR="00AD04FD" w:rsidRPr="00FF1E6D">
        <w:rPr>
          <w:rFonts w:ascii="Century Gothic" w:hAnsi="Century Gothic"/>
          <w:sz w:val="18"/>
          <w:szCs w:val="18"/>
          <w:lang w:val="en-US"/>
        </w:rPr>
        <w:t xml:space="preserve"> unqualified </w:t>
      </w:r>
      <w:r w:rsidR="00640655" w:rsidRPr="00FF1E6D">
        <w:rPr>
          <w:rFonts w:ascii="Century Gothic" w:hAnsi="Century Gothic"/>
          <w:sz w:val="18"/>
          <w:szCs w:val="18"/>
          <w:lang w:val="en-US"/>
        </w:rPr>
        <w:t xml:space="preserve">repairers presented a clear safety risk to the consumer. </w:t>
      </w:r>
    </w:p>
    <w:p w14:paraId="696E82C4" w14:textId="77777777" w:rsidR="00640655" w:rsidRPr="00FF1E6D" w:rsidRDefault="00640655" w:rsidP="00640655">
      <w:pPr>
        <w:spacing w:after="0"/>
        <w:rPr>
          <w:rFonts w:ascii="Century Gothic" w:hAnsi="Century Gothic"/>
          <w:sz w:val="18"/>
          <w:szCs w:val="18"/>
          <w:lang w:val="en-US"/>
        </w:rPr>
      </w:pPr>
    </w:p>
    <w:p w14:paraId="02438B0D" w14:textId="7B7E6B00" w:rsidR="00640655" w:rsidRPr="00FF1E6D" w:rsidRDefault="00640655" w:rsidP="00640655">
      <w:pPr>
        <w:pStyle w:val="ListParagraph"/>
        <w:numPr>
          <w:ilvl w:val="0"/>
          <w:numId w:val="11"/>
        </w:numPr>
        <w:spacing w:after="0"/>
        <w:rPr>
          <w:rFonts w:ascii="Century Gothic" w:hAnsi="Century Gothic"/>
          <w:i/>
          <w:iCs/>
          <w:color w:val="0070C0"/>
          <w:sz w:val="18"/>
          <w:szCs w:val="18"/>
          <w:lang w:val="en-US"/>
        </w:rPr>
      </w:pPr>
      <w:r w:rsidRPr="00FF1E6D">
        <w:rPr>
          <w:rFonts w:ascii="Century Gothic" w:hAnsi="Century Gothic"/>
          <w:i/>
          <w:iCs/>
          <w:color w:val="0070C0"/>
          <w:sz w:val="18"/>
          <w:szCs w:val="18"/>
          <w:lang w:val="en-US"/>
        </w:rPr>
        <w:t xml:space="preserve">  </w:t>
      </w:r>
      <w:r w:rsidR="00AD04FD" w:rsidRPr="00FF1E6D">
        <w:rPr>
          <w:rFonts w:ascii="Century Gothic" w:hAnsi="Century Gothic"/>
          <w:i/>
          <w:iCs/>
          <w:color w:val="0070C0"/>
          <w:sz w:val="18"/>
          <w:szCs w:val="18"/>
          <w:lang w:val="en-US"/>
        </w:rPr>
        <w:t>Are there available contracts between OEM’s and authorised repairers?</w:t>
      </w:r>
    </w:p>
    <w:p w14:paraId="6D6DFB82" w14:textId="35E8266F" w:rsidR="0069349F" w:rsidRDefault="007D3842" w:rsidP="00AD04FD">
      <w:pPr>
        <w:spacing w:after="0"/>
        <w:rPr>
          <w:rFonts w:ascii="Century Gothic" w:hAnsi="Century Gothic"/>
          <w:sz w:val="18"/>
          <w:szCs w:val="18"/>
          <w:lang w:val="en-US"/>
        </w:rPr>
      </w:pPr>
      <w:r>
        <w:rPr>
          <w:rFonts w:ascii="Century Gothic" w:hAnsi="Century Gothic"/>
          <w:sz w:val="18"/>
          <w:szCs w:val="18"/>
          <w:lang w:val="en-US"/>
        </w:rPr>
        <w:t xml:space="preserve">The key driver, </w:t>
      </w:r>
      <w:r w:rsidR="0069349F">
        <w:rPr>
          <w:rFonts w:ascii="Century Gothic" w:hAnsi="Century Gothic"/>
          <w:sz w:val="18"/>
          <w:szCs w:val="18"/>
          <w:lang w:val="en-US"/>
        </w:rPr>
        <w:t>in my experience, for</w:t>
      </w:r>
      <w:r>
        <w:rPr>
          <w:rFonts w:ascii="Century Gothic" w:hAnsi="Century Gothic"/>
          <w:sz w:val="18"/>
          <w:szCs w:val="18"/>
          <w:lang w:val="en-US"/>
        </w:rPr>
        <w:t xml:space="preserve"> repairer</w:t>
      </w:r>
      <w:r w:rsidR="0069349F">
        <w:rPr>
          <w:rFonts w:ascii="Century Gothic" w:hAnsi="Century Gothic"/>
          <w:sz w:val="18"/>
          <w:szCs w:val="18"/>
          <w:lang w:val="en-US"/>
        </w:rPr>
        <w:t xml:space="preserve"> authorisation</w:t>
      </w:r>
      <w:r>
        <w:rPr>
          <w:rFonts w:ascii="Century Gothic" w:hAnsi="Century Gothic"/>
          <w:sz w:val="18"/>
          <w:szCs w:val="18"/>
          <w:lang w:val="en-US"/>
        </w:rPr>
        <w:t xml:space="preserve"> </w:t>
      </w:r>
      <w:r w:rsidR="0069349F">
        <w:rPr>
          <w:rFonts w:ascii="Century Gothic" w:hAnsi="Century Gothic"/>
          <w:sz w:val="18"/>
          <w:szCs w:val="18"/>
          <w:lang w:val="en-US"/>
        </w:rPr>
        <w:t>is</w:t>
      </w:r>
      <w:r>
        <w:rPr>
          <w:rFonts w:ascii="Century Gothic" w:hAnsi="Century Gothic"/>
          <w:sz w:val="18"/>
          <w:szCs w:val="18"/>
          <w:lang w:val="en-US"/>
        </w:rPr>
        <w:t xml:space="preserve"> to ensure mechanisms are in place to control repair speed and deliver repair</w:t>
      </w:r>
      <w:r w:rsidR="0069349F" w:rsidRPr="0069349F">
        <w:rPr>
          <w:rFonts w:ascii="Century Gothic" w:hAnsi="Century Gothic"/>
          <w:sz w:val="18"/>
          <w:szCs w:val="18"/>
          <w:lang w:val="en-US"/>
        </w:rPr>
        <w:t xml:space="preserve"> </w:t>
      </w:r>
      <w:r w:rsidR="0069349F">
        <w:rPr>
          <w:rFonts w:ascii="Century Gothic" w:hAnsi="Century Gothic"/>
          <w:sz w:val="18"/>
          <w:szCs w:val="18"/>
          <w:lang w:val="en-US"/>
        </w:rPr>
        <w:t>quality.</w:t>
      </w:r>
    </w:p>
    <w:p w14:paraId="2EF75BB7" w14:textId="4D4744ED" w:rsidR="006A2549" w:rsidRPr="00FF1E6D" w:rsidRDefault="0069349F" w:rsidP="00AD04FD">
      <w:pPr>
        <w:spacing w:after="0"/>
        <w:rPr>
          <w:rFonts w:ascii="Century Gothic" w:hAnsi="Century Gothic"/>
          <w:sz w:val="18"/>
          <w:szCs w:val="18"/>
          <w:lang w:val="en-US"/>
        </w:rPr>
      </w:pPr>
      <w:r>
        <w:rPr>
          <w:rFonts w:ascii="Century Gothic" w:hAnsi="Century Gothic"/>
          <w:sz w:val="18"/>
          <w:szCs w:val="18"/>
          <w:lang w:val="en-US"/>
        </w:rPr>
        <w:t>R</w:t>
      </w:r>
      <w:r w:rsidR="003A5A1B" w:rsidRPr="00FF1E6D">
        <w:rPr>
          <w:rFonts w:ascii="Century Gothic" w:hAnsi="Century Gothic"/>
          <w:sz w:val="18"/>
          <w:szCs w:val="18"/>
          <w:lang w:val="en-US"/>
        </w:rPr>
        <w:t xml:space="preserve">epairers were openly invited to apply to become an authorised repairer. </w:t>
      </w:r>
      <w:r w:rsidR="007468ED" w:rsidRPr="00FF1E6D">
        <w:rPr>
          <w:rFonts w:ascii="Century Gothic" w:hAnsi="Century Gothic"/>
          <w:sz w:val="18"/>
          <w:szCs w:val="18"/>
          <w:lang w:val="en-US"/>
        </w:rPr>
        <w:t>T</w:t>
      </w:r>
      <w:r w:rsidR="003A5A1B" w:rsidRPr="00FF1E6D">
        <w:rPr>
          <w:rFonts w:ascii="Century Gothic" w:hAnsi="Century Gothic"/>
          <w:sz w:val="18"/>
          <w:szCs w:val="18"/>
          <w:lang w:val="en-US"/>
        </w:rPr>
        <w:t xml:space="preserve">his practice of openly seeking new repairers was actively promoted as there were never enough authorised repairers within certain parts of the network to provide adequate </w:t>
      </w:r>
      <w:r w:rsidR="00CF1F62">
        <w:rPr>
          <w:rFonts w:ascii="Century Gothic" w:hAnsi="Century Gothic"/>
          <w:sz w:val="18"/>
          <w:szCs w:val="18"/>
          <w:lang w:val="en-US"/>
        </w:rPr>
        <w:t xml:space="preserve">service </w:t>
      </w:r>
      <w:r w:rsidR="003A5A1B" w:rsidRPr="00FF1E6D">
        <w:rPr>
          <w:rFonts w:ascii="Century Gothic" w:hAnsi="Century Gothic"/>
          <w:sz w:val="18"/>
          <w:szCs w:val="18"/>
          <w:lang w:val="en-US"/>
        </w:rPr>
        <w:t xml:space="preserve">coverage. </w:t>
      </w:r>
    </w:p>
    <w:p w14:paraId="2FF1FA43" w14:textId="3DC82F8A" w:rsidR="00CF1F62" w:rsidRDefault="006A2549" w:rsidP="00AD04FD">
      <w:pPr>
        <w:spacing w:after="0"/>
        <w:rPr>
          <w:rFonts w:ascii="Century Gothic" w:hAnsi="Century Gothic"/>
          <w:sz w:val="18"/>
          <w:szCs w:val="18"/>
          <w:lang w:val="en-US"/>
        </w:rPr>
      </w:pPr>
      <w:r w:rsidRPr="00FF1E6D">
        <w:rPr>
          <w:rFonts w:ascii="Century Gothic" w:hAnsi="Century Gothic"/>
          <w:sz w:val="18"/>
          <w:szCs w:val="18"/>
          <w:lang w:val="en-US"/>
        </w:rPr>
        <w:t>The process to become an authorised repairer required the repairer to demonstrate evidence of certain service practices and reporting capabilities</w:t>
      </w:r>
      <w:r w:rsidR="0063734B">
        <w:rPr>
          <w:rFonts w:ascii="Century Gothic" w:hAnsi="Century Gothic"/>
          <w:sz w:val="18"/>
          <w:szCs w:val="18"/>
          <w:lang w:val="en-US"/>
        </w:rPr>
        <w:t xml:space="preserve"> that support speedy and high-quality repair</w:t>
      </w:r>
      <w:r w:rsidRPr="00FF1E6D">
        <w:rPr>
          <w:rFonts w:ascii="Century Gothic" w:hAnsi="Century Gothic"/>
          <w:sz w:val="18"/>
          <w:szCs w:val="18"/>
          <w:lang w:val="en-US"/>
        </w:rPr>
        <w:t xml:space="preserve">, </w:t>
      </w:r>
      <w:r w:rsidR="00E877D9">
        <w:rPr>
          <w:rFonts w:ascii="Century Gothic" w:hAnsi="Century Gothic"/>
          <w:sz w:val="18"/>
          <w:szCs w:val="18"/>
          <w:lang w:val="en-US"/>
        </w:rPr>
        <w:t>provide</w:t>
      </w:r>
      <w:r w:rsidRPr="00FF1E6D">
        <w:rPr>
          <w:rFonts w:ascii="Century Gothic" w:hAnsi="Century Gothic"/>
          <w:sz w:val="18"/>
          <w:szCs w:val="18"/>
          <w:lang w:val="en-US"/>
        </w:rPr>
        <w:t xml:space="preserve"> evidence of relevant qualifications and insurances, and provide relevant financial information to establish a credit account. </w:t>
      </w:r>
      <w:r w:rsidR="003A5A1B" w:rsidRPr="00FF1E6D">
        <w:rPr>
          <w:rFonts w:ascii="Century Gothic" w:hAnsi="Century Gothic"/>
          <w:sz w:val="18"/>
          <w:szCs w:val="18"/>
          <w:lang w:val="en-US"/>
        </w:rPr>
        <w:t>All contractual arrangement</w:t>
      </w:r>
      <w:r w:rsidR="00E877D9">
        <w:rPr>
          <w:rFonts w:ascii="Century Gothic" w:hAnsi="Century Gothic"/>
          <w:sz w:val="18"/>
          <w:szCs w:val="18"/>
          <w:lang w:val="en-US"/>
        </w:rPr>
        <w:t>s</w:t>
      </w:r>
      <w:r w:rsidR="003A5A1B" w:rsidRPr="00FF1E6D">
        <w:rPr>
          <w:rFonts w:ascii="Century Gothic" w:hAnsi="Century Gothic"/>
          <w:sz w:val="18"/>
          <w:szCs w:val="18"/>
          <w:lang w:val="en-US"/>
        </w:rPr>
        <w:t xml:space="preserve"> that I was involved with did not limit or restrict </w:t>
      </w:r>
      <w:r w:rsidRPr="00FF1E6D">
        <w:rPr>
          <w:rFonts w:ascii="Century Gothic" w:hAnsi="Century Gothic"/>
          <w:sz w:val="18"/>
          <w:szCs w:val="18"/>
          <w:lang w:val="en-US"/>
        </w:rPr>
        <w:t xml:space="preserve">repair </w:t>
      </w:r>
      <w:r w:rsidR="003A5A1B" w:rsidRPr="00FF1E6D">
        <w:rPr>
          <w:rFonts w:ascii="Century Gothic" w:hAnsi="Century Gothic"/>
          <w:sz w:val="18"/>
          <w:szCs w:val="18"/>
          <w:lang w:val="en-US"/>
        </w:rPr>
        <w:t xml:space="preserve">competition. </w:t>
      </w:r>
    </w:p>
    <w:p w14:paraId="7E53039A" w14:textId="18E68094" w:rsidR="003A5A1B" w:rsidRPr="00FF1E6D" w:rsidRDefault="00CF1F62" w:rsidP="00AD04FD">
      <w:pPr>
        <w:spacing w:after="0"/>
        <w:rPr>
          <w:rFonts w:ascii="Century Gothic" w:hAnsi="Century Gothic"/>
          <w:sz w:val="18"/>
          <w:szCs w:val="18"/>
          <w:lang w:val="en-US"/>
        </w:rPr>
      </w:pPr>
      <w:r>
        <w:rPr>
          <w:rFonts w:ascii="Century Gothic" w:hAnsi="Century Gothic"/>
          <w:sz w:val="18"/>
          <w:szCs w:val="18"/>
          <w:lang w:val="en-US"/>
        </w:rPr>
        <w:t>It was also common practice to use independent repairers when there was no authorised repairer available</w:t>
      </w:r>
      <w:r w:rsidR="00E55B4F">
        <w:rPr>
          <w:rFonts w:ascii="Century Gothic" w:hAnsi="Century Gothic"/>
          <w:sz w:val="18"/>
          <w:szCs w:val="18"/>
          <w:lang w:val="en-US"/>
        </w:rPr>
        <w:t xml:space="preserve">. This was usually a </w:t>
      </w:r>
      <w:r w:rsidR="009555C9">
        <w:rPr>
          <w:rFonts w:ascii="Century Gothic" w:hAnsi="Century Gothic"/>
          <w:sz w:val="18"/>
          <w:szCs w:val="18"/>
          <w:lang w:val="en-US"/>
        </w:rPr>
        <w:t>one-off</w:t>
      </w:r>
      <w:r w:rsidR="00E55B4F">
        <w:rPr>
          <w:rFonts w:ascii="Century Gothic" w:hAnsi="Century Gothic"/>
          <w:sz w:val="18"/>
          <w:szCs w:val="18"/>
          <w:lang w:val="en-US"/>
        </w:rPr>
        <w:t xml:space="preserve"> instance and the work instruction was provided once the independent repairer</w:t>
      </w:r>
      <w:r w:rsidR="00E877D9">
        <w:rPr>
          <w:rFonts w:ascii="Century Gothic" w:hAnsi="Century Gothic"/>
          <w:sz w:val="18"/>
          <w:szCs w:val="18"/>
          <w:lang w:val="en-US"/>
        </w:rPr>
        <w:t xml:space="preserve"> provided evidence of</w:t>
      </w:r>
      <w:r w:rsidR="00E55B4F">
        <w:rPr>
          <w:rFonts w:ascii="Century Gothic" w:hAnsi="Century Gothic"/>
          <w:sz w:val="18"/>
          <w:szCs w:val="18"/>
          <w:lang w:val="en-US"/>
        </w:rPr>
        <w:t xml:space="preserve"> qualifications and insurances </w:t>
      </w:r>
      <w:r w:rsidR="00E877D9">
        <w:rPr>
          <w:rFonts w:ascii="Century Gothic" w:hAnsi="Century Gothic"/>
          <w:sz w:val="18"/>
          <w:szCs w:val="18"/>
          <w:lang w:val="en-US"/>
        </w:rPr>
        <w:t>and this evidence was</w:t>
      </w:r>
      <w:r w:rsidR="00E55B4F">
        <w:rPr>
          <w:rFonts w:ascii="Century Gothic" w:hAnsi="Century Gothic"/>
          <w:sz w:val="18"/>
          <w:szCs w:val="18"/>
          <w:lang w:val="en-US"/>
        </w:rPr>
        <w:t xml:space="preserve"> validated.</w:t>
      </w:r>
      <w:r w:rsidR="003A5A1B" w:rsidRPr="00FF1E6D">
        <w:rPr>
          <w:rFonts w:ascii="Century Gothic" w:hAnsi="Century Gothic"/>
          <w:sz w:val="18"/>
          <w:szCs w:val="18"/>
          <w:lang w:val="en-US"/>
        </w:rPr>
        <w:t xml:space="preserve"> </w:t>
      </w:r>
    </w:p>
    <w:p w14:paraId="073C85F9" w14:textId="77777777" w:rsidR="003A5A1B" w:rsidRPr="00FF1E6D" w:rsidRDefault="003A5A1B" w:rsidP="00AD04FD">
      <w:pPr>
        <w:spacing w:after="0"/>
        <w:rPr>
          <w:rFonts w:ascii="Century Gothic" w:hAnsi="Century Gothic"/>
          <w:sz w:val="18"/>
          <w:szCs w:val="18"/>
          <w:lang w:val="en-US"/>
        </w:rPr>
      </w:pPr>
    </w:p>
    <w:p w14:paraId="3BDBE1C0" w14:textId="471C9444" w:rsidR="00AD04FD" w:rsidRPr="00FF1E6D" w:rsidRDefault="006A2549" w:rsidP="00D56FA0">
      <w:pPr>
        <w:spacing w:after="0"/>
        <w:rPr>
          <w:rFonts w:ascii="Century Gothic" w:hAnsi="Century Gothic"/>
          <w:i/>
          <w:iCs/>
          <w:color w:val="0070C0"/>
          <w:sz w:val="18"/>
          <w:szCs w:val="18"/>
          <w:lang w:val="en-US"/>
        </w:rPr>
      </w:pPr>
      <w:r w:rsidRPr="00FF1E6D">
        <w:rPr>
          <w:rFonts w:ascii="Century Gothic" w:hAnsi="Century Gothic"/>
          <w:i/>
          <w:iCs/>
          <w:color w:val="0070C0"/>
          <w:sz w:val="18"/>
          <w:szCs w:val="18"/>
          <w:lang w:val="en-US"/>
        </w:rPr>
        <w:t>Items d) thought to g)</w:t>
      </w:r>
    </w:p>
    <w:p w14:paraId="6BEF2AF1" w14:textId="7DD67DED" w:rsidR="002E5210" w:rsidRPr="00FF1E6D" w:rsidRDefault="00D56FA0" w:rsidP="00D56FA0">
      <w:pPr>
        <w:spacing w:after="0"/>
        <w:rPr>
          <w:rFonts w:ascii="Century Gothic" w:hAnsi="Century Gothic"/>
          <w:sz w:val="18"/>
          <w:szCs w:val="18"/>
          <w:lang w:val="en-US"/>
        </w:rPr>
      </w:pPr>
      <w:r w:rsidRPr="00FF1E6D">
        <w:rPr>
          <w:rFonts w:ascii="Century Gothic" w:hAnsi="Century Gothic"/>
          <w:sz w:val="18"/>
          <w:szCs w:val="18"/>
          <w:lang w:val="en-US"/>
        </w:rPr>
        <w:t>I have no comment to make on these items.</w:t>
      </w:r>
    </w:p>
    <w:p w14:paraId="28A9E6A2" w14:textId="03CA2457" w:rsidR="00D56FA0" w:rsidRPr="00FF1E6D" w:rsidRDefault="00D56FA0" w:rsidP="00D56FA0">
      <w:pPr>
        <w:spacing w:after="0"/>
        <w:rPr>
          <w:rFonts w:ascii="Century Gothic" w:hAnsi="Century Gothic"/>
          <w:sz w:val="18"/>
          <w:szCs w:val="18"/>
          <w:lang w:val="en-US"/>
        </w:rPr>
      </w:pPr>
    </w:p>
    <w:p w14:paraId="7CE0DF64" w14:textId="77777777" w:rsidR="00D56FA0" w:rsidRPr="00FF1E6D" w:rsidRDefault="00D56FA0" w:rsidP="00D56FA0">
      <w:pPr>
        <w:spacing w:after="0"/>
        <w:rPr>
          <w:rFonts w:ascii="Century Gothic" w:hAnsi="Century Gothic"/>
          <w:sz w:val="18"/>
          <w:szCs w:val="18"/>
          <w:lang w:val="en-US"/>
        </w:rPr>
      </w:pPr>
    </w:p>
    <w:p w14:paraId="6E6FA6CD" w14:textId="57EEE58A" w:rsidR="00D56FA0" w:rsidRPr="00B56214" w:rsidRDefault="00D56FA0" w:rsidP="00D56FA0">
      <w:pPr>
        <w:spacing w:after="0"/>
        <w:rPr>
          <w:rFonts w:ascii="Century Gothic" w:hAnsi="Century Gothic"/>
          <w:b/>
          <w:bCs/>
          <w:sz w:val="18"/>
          <w:szCs w:val="18"/>
          <w:lang w:val="en-US"/>
        </w:rPr>
      </w:pPr>
      <w:r w:rsidRPr="00B56214">
        <w:rPr>
          <w:rFonts w:ascii="Century Gothic" w:hAnsi="Century Gothic"/>
          <w:b/>
          <w:bCs/>
          <w:sz w:val="18"/>
          <w:szCs w:val="18"/>
          <w:lang w:val="en-US"/>
        </w:rPr>
        <w:t>INFORMATION REQUEST 5</w:t>
      </w:r>
    </w:p>
    <w:p w14:paraId="4836B727" w14:textId="77777777" w:rsidR="00D56FA0" w:rsidRPr="00FF1E6D" w:rsidRDefault="00D56FA0" w:rsidP="00D56FA0">
      <w:pPr>
        <w:spacing w:after="0"/>
        <w:rPr>
          <w:rFonts w:ascii="Century Gothic" w:hAnsi="Century Gothic"/>
          <w:sz w:val="18"/>
          <w:szCs w:val="18"/>
          <w:lang w:val="en-US"/>
        </w:rPr>
      </w:pPr>
    </w:p>
    <w:p w14:paraId="1A4C766E" w14:textId="77777777" w:rsidR="00D56FA0" w:rsidRPr="00FF1E6D" w:rsidRDefault="00D56FA0" w:rsidP="00D56FA0">
      <w:pPr>
        <w:spacing w:after="0"/>
        <w:rPr>
          <w:rFonts w:ascii="Century Gothic" w:hAnsi="Century Gothic"/>
          <w:i/>
          <w:iCs/>
          <w:color w:val="0070C0"/>
          <w:sz w:val="18"/>
          <w:szCs w:val="18"/>
          <w:lang w:val="en-US"/>
        </w:rPr>
      </w:pPr>
      <w:r w:rsidRPr="00FF1E6D">
        <w:rPr>
          <w:rFonts w:ascii="Century Gothic" w:hAnsi="Century Gothic"/>
          <w:i/>
          <w:iCs/>
          <w:color w:val="0070C0"/>
          <w:sz w:val="18"/>
          <w:szCs w:val="18"/>
          <w:lang w:val="en-US"/>
        </w:rPr>
        <w:t>Items a) through to d)</w:t>
      </w:r>
    </w:p>
    <w:p w14:paraId="02E8CEC8" w14:textId="6F5E9379" w:rsidR="00D56FA0" w:rsidRPr="00FF1E6D" w:rsidRDefault="00D56FA0" w:rsidP="00D56FA0">
      <w:pPr>
        <w:spacing w:after="0"/>
        <w:rPr>
          <w:rFonts w:ascii="Century Gothic" w:hAnsi="Century Gothic"/>
          <w:sz w:val="18"/>
          <w:szCs w:val="18"/>
          <w:lang w:val="en-US"/>
        </w:rPr>
      </w:pPr>
      <w:r w:rsidRPr="00FF1E6D">
        <w:rPr>
          <w:rFonts w:ascii="Century Gothic" w:hAnsi="Century Gothic"/>
          <w:sz w:val="18"/>
          <w:szCs w:val="18"/>
          <w:lang w:val="en-US"/>
        </w:rPr>
        <w:t>I have no comment to make on these items</w:t>
      </w:r>
    </w:p>
    <w:p w14:paraId="0BE470E5" w14:textId="77777777" w:rsidR="0021600F" w:rsidRPr="00FF1E6D" w:rsidRDefault="0021600F" w:rsidP="00B23CF0">
      <w:pPr>
        <w:spacing w:after="0"/>
        <w:rPr>
          <w:rFonts w:ascii="Century Gothic" w:hAnsi="Century Gothic" w:cstheme="minorHAnsi"/>
          <w:sz w:val="18"/>
          <w:szCs w:val="18"/>
          <w:shd w:val="clear" w:color="auto" w:fill="FFFFFF"/>
        </w:rPr>
      </w:pPr>
    </w:p>
    <w:p w14:paraId="3B27BC28" w14:textId="77777777" w:rsidR="007704A8" w:rsidRDefault="007704A8" w:rsidP="00B23CF0">
      <w:pPr>
        <w:spacing w:after="0"/>
        <w:rPr>
          <w:rFonts w:ascii="Century Gothic" w:hAnsi="Century Gothic" w:cstheme="minorHAnsi"/>
          <w:b/>
          <w:bCs/>
          <w:sz w:val="18"/>
          <w:szCs w:val="18"/>
          <w:shd w:val="clear" w:color="auto" w:fill="FFFFFF"/>
        </w:rPr>
      </w:pPr>
    </w:p>
    <w:p w14:paraId="5A8FCE9A" w14:textId="77777777" w:rsidR="0063734B" w:rsidRDefault="0063734B" w:rsidP="00B23CF0">
      <w:pPr>
        <w:spacing w:after="0"/>
        <w:rPr>
          <w:rFonts w:ascii="Century Gothic" w:hAnsi="Century Gothic" w:cstheme="minorHAnsi"/>
          <w:b/>
          <w:bCs/>
          <w:sz w:val="18"/>
          <w:szCs w:val="18"/>
          <w:shd w:val="clear" w:color="auto" w:fill="FFFFFF"/>
        </w:rPr>
      </w:pPr>
    </w:p>
    <w:p w14:paraId="0E5B54EB" w14:textId="61CEEE10" w:rsidR="00D56FA0" w:rsidRPr="00B56214" w:rsidRDefault="00D56FA0" w:rsidP="00B23CF0">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lastRenderedPageBreak/>
        <w:t>INFORMATION REQUEST 6</w:t>
      </w:r>
    </w:p>
    <w:p w14:paraId="0BAD5678" w14:textId="77777777" w:rsidR="00D56FA0" w:rsidRPr="00FF1E6D" w:rsidRDefault="00D56FA0" w:rsidP="00B23CF0">
      <w:pPr>
        <w:spacing w:after="0"/>
        <w:rPr>
          <w:rFonts w:ascii="Century Gothic" w:hAnsi="Century Gothic" w:cstheme="minorHAnsi"/>
          <w:b/>
          <w:bCs/>
          <w:sz w:val="18"/>
          <w:szCs w:val="18"/>
          <w:shd w:val="clear" w:color="auto" w:fill="FFFFFF"/>
        </w:rPr>
      </w:pPr>
    </w:p>
    <w:p w14:paraId="17190FDF" w14:textId="2D769E3F" w:rsidR="00311515" w:rsidRPr="00FF1E6D" w:rsidRDefault="00311515" w:rsidP="00311515">
      <w:pPr>
        <w:pStyle w:val="ListParagraph"/>
        <w:numPr>
          <w:ilvl w:val="0"/>
          <w:numId w:val="13"/>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What evidence is there of planned obsolescence in Australian product markets?</w:t>
      </w:r>
    </w:p>
    <w:p w14:paraId="3A414B34" w14:textId="33543930" w:rsidR="00DE0A3E" w:rsidRPr="00FF1E6D" w:rsidRDefault="00DE0A3E"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The Commissions definition of planned obsolescence suggests it is an overt strategy to manufacture products that have an early life failure. Based on this definition I have not witnessed any evidence of planned obsolescence throughout my professional career.</w:t>
      </w:r>
    </w:p>
    <w:p w14:paraId="1D42A3D4" w14:textId="56313EC1" w:rsidR="0021600F" w:rsidRPr="00FF1E6D" w:rsidRDefault="00DE0A3E"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 </w:t>
      </w:r>
    </w:p>
    <w:p w14:paraId="5F093C20" w14:textId="5DB3B027" w:rsidR="0021600F" w:rsidRPr="00FF1E6D" w:rsidRDefault="00DE0A3E" w:rsidP="00DE0A3E">
      <w:pPr>
        <w:pStyle w:val="ListParagraph"/>
        <w:numPr>
          <w:ilvl w:val="0"/>
          <w:numId w:val="13"/>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How can the Commission distinguish between planned obsolescence and the natural evolution of products?</w:t>
      </w:r>
    </w:p>
    <w:p w14:paraId="462DDA5D" w14:textId="1521ACAA" w:rsidR="0021600F" w:rsidRPr="00FF1E6D" w:rsidRDefault="00DE0A3E"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The natural evolution of products and the overt strategy to manufacture </w:t>
      </w:r>
      <w:r w:rsidR="00AC76F0" w:rsidRPr="00FF1E6D">
        <w:rPr>
          <w:rFonts w:ascii="Century Gothic" w:hAnsi="Century Gothic" w:cstheme="minorHAnsi"/>
          <w:sz w:val="18"/>
          <w:szCs w:val="18"/>
          <w:shd w:val="clear" w:color="auto" w:fill="FFFFFF"/>
        </w:rPr>
        <w:t>product</w:t>
      </w:r>
      <w:r w:rsidR="006D0020" w:rsidRPr="00FF1E6D">
        <w:rPr>
          <w:rFonts w:ascii="Century Gothic" w:hAnsi="Century Gothic" w:cstheme="minorHAnsi"/>
          <w:sz w:val="18"/>
          <w:szCs w:val="18"/>
          <w:shd w:val="clear" w:color="auto" w:fill="FFFFFF"/>
        </w:rPr>
        <w:t>s</w:t>
      </w:r>
      <w:r w:rsidR="00AC76F0" w:rsidRPr="00FF1E6D">
        <w:rPr>
          <w:rFonts w:ascii="Century Gothic" w:hAnsi="Century Gothic" w:cstheme="minorHAnsi"/>
          <w:sz w:val="18"/>
          <w:szCs w:val="18"/>
          <w:shd w:val="clear" w:color="auto" w:fill="FFFFFF"/>
        </w:rPr>
        <w:t xml:space="preserve"> with early life failure </w:t>
      </w:r>
      <w:r w:rsidR="001F32C2" w:rsidRPr="00FF1E6D">
        <w:rPr>
          <w:rFonts w:ascii="Century Gothic" w:hAnsi="Century Gothic" w:cstheme="minorHAnsi"/>
          <w:sz w:val="18"/>
          <w:szCs w:val="18"/>
          <w:shd w:val="clear" w:color="auto" w:fill="FFFFFF"/>
        </w:rPr>
        <w:t xml:space="preserve">(planned obsolescence) </w:t>
      </w:r>
      <w:r w:rsidR="00AC76F0" w:rsidRPr="00FF1E6D">
        <w:rPr>
          <w:rFonts w:ascii="Century Gothic" w:hAnsi="Century Gothic" w:cstheme="minorHAnsi"/>
          <w:sz w:val="18"/>
          <w:szCs w:val="18"/>
          <w:shd w:val="clear" w:color="auto" w:fill="FFFFFF"/>
        </w:rPr>
        <w:t xml:space="preserve">are two very different </w:t>
      </w:r>
      <w:r w:rsidR="00565FCC" w:rsidRPr="00FF1E6D">
        <w:rPr>
          <w:rFonts w:ascii="Century Gothic" w:hAnsi="Century Gothic" w:cstheme="minorHAnsi"/>
          <w:sz w:val="18"/>
          <w:szCs w:val="18"/>
          <w:shd w:val="clear" w:color="auto" w:fill="FFFFFF"/>
        </w:rPr>
        <w:t>manufactur</w:t>
      </w:r>
      <w:r w:rsidR="009555C9">
        <w:rPr>
          <w:rFonts w:ascii="Century Gothic" w:hAnsi="Century Gothic" w:cstheme="minorHAnsi"/>
          <w:sz w:val="18"/>
          <w:szCs w:val="18"/>
          <w:shd w:val="clear" w:color="auto" w:fill="FFFFFF"/>
        </w:rPr>
        <w:t>ing strategies</w:t>
      </w:r>
      <w:r w:rsidR="00565FCC" w:rsidRPr="00FF1E6D">
        <w:rPr>
          <w:rFonts w:ascii="Century Gothic" w:hAnsi="Century Gothic" w:cstheme="minorHAnsi"/>
          <w:sz w:val="18"/>
          <w:szCs w:val="18"/>
          <w:shd w:val="clear" w:color="auto" w:fill="FFFFFF"/>
        </w:rPr>
        <w:t>. Unfortunately</w:t>
      </w:r>
      <w:r w:rsidR="009555C9">
        <w:rPr>
          <w:rFonts w:ascii="Century Gothic" w:hAnsi="Century Gothic" w:cstheme="minorHAnsi"/>
          <w:sz w:val="18"/>
          <w:szCs w:val="18"/>
          <w:shd w:val="clear" w:color="auto" w:fill="FFFFFF"/>
        </w:rPr>
        <w:t xml:space="preserve"> though,</w:t>
      </w:r>
      <w:r w:rsidR="00565FCC" w:rsidRPr="00FF1E6D">
        <w:rPr>
          <w:rFonts w:ascii="Century Gothic" w:hAnsi="Century Gothic" w:cstheme="minorHAnsi"/>
          <w:sz w:val="18"/>
          <w:szCs w:val="18"/>
          <w:shd w:val="clear" w:color="auto" w:fill="FFFFFF"/>
        </w:rPr>
        <w:t xml:space="preserve"> </w:t>
      </w:r>
      <w:r w:rsidR="00AC76F0" w:rsidRPr="00FF1E6D">
        <w:rPr>
          <w:rFonts w:ascii="Century Gothic" w:hAnsi="Century Gothic" w:cstheme="minorHAnsi"/>
          <w:sz w:val="18"/>
          <w:szCs w:val="18"/>
          <w:shd w:val="clear" w:color="auto" w:fill="FFFFFF"/>
        </w:rPr>
        <w:t xml:space="preserve">they </w:t>
      </w:r>
      <w:r w:rsidR="00565FCC" w:rsidRPr="00FF1E6D">
        <w:rPr>
          <w:rFonts w:ascii="Century Gothic" w:hAnsi="Century Gothic" w:cstheme="minorHAnsi"/>
          <w:sz w:val="18"/>
          <w:szCs w:val="18"/>
          <w:shd w:val="clear" w:color="auto" w:fill="FFFFFF"/>
        </w:rPr>
        <w:t xml:space="preserve">do </w:t>
      </w:r>
      <w:r w:rsidR="00AC76F0" w:rsidRPr="00FF1E6D">
        <w:rPr>
          <w:rFonts w:ascii="Century Gothic" w:hAnsi="Century Gothic" w:cstheme="minorHAnsi"/>
          <w:sz w:val="18"/>
          <w:szCs w:val="18"/>
          <w:shd w:val="clear" w:color="auto" w:fill="FFFFFF"/>
        </w:rPr>
        <w:t>both lead to similar outcomes</w:t>
      </w:r>
      <w:r w:rsidR="006D0020" w:rsidRPr="00FF1E6D">
        <w:rPr>
          <w:rFonts w:ascii="Century Gothic" w:hAnsi="Century Gothic" w:cstheme="minorHAnsi"/>
          <w:sz w:val="18"/>
          <w:szCs w:val="18"/>
          <w:shd w:val="clear" w:color="auto" w:fill="FFFFFF"/>
        </w:rPr>
        <w:t xml:space="preserve"> over the long term</w:t>
      </w:r>
      <w:r w:rsidR="00AC76F0" w:rsidRPr="00FF1E6D">
        <w:rPr>
          <w:rFonts w:ascii="Century Gothic" w:hAnsi="Century Gothic" w:cstheme="minorHAnsi"/>
          <w:sz w:val="18"/>
          <w:szCs w:val="18"/>
          <w:shd w:val="clear" w:color="auto" w:fill="FFFFFF"/>
        </w:rPr>
        <w:t>.</w:t>
      </w:r>
    </w:p>
    <w:p w14:paraId="0F9972FB" w14:textId="32457881" w:rsidR="00565FCC" w:rsidRPr="00FF1E6D" w:rsidRDefault="00AC76F0"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During my career I observed </w:t>
      </w:r>
      <w:r w:rsidR="006D0020" w:rsidRPr="00FF1E6D">
        <w:rPr>
          <w:rFonts w:ascii="Century Gothic" w:hAnsi="Century Gothic" w:cstheme="minorHAnsi"/>
          <w:sz w:val="18"/>
          <w:szCs w:val="18"/>
          <w:shd w:val="clear" w:color="auto" w:fill="FFFFFF"/>
        </w:rPr>
        <w:t xml:space="preserve">the natural evolution of products </w:t>
      </w:r>
      <w:r w:rsidR="004D2298" w:rsidRPr="00FF1E6D">
        <w:rPr>
          <w:rFonts w:ascii="Century Gothic" w:hAnsi="Century Gothic" w:cstheme="minorHAnsi"/>
          <w:sz w:val="18"/>
          <w:szCs w:val="18"/>
          <w:shd w:val="clear" w:color="auto" w:fill="FFFFFF"/>
        </w:rPr>
        <w:t xml:space="preserve">with </w:t>
      </w:r>
      <w:r w:rsidR="00565FCC" w:rsidRPr="00FF1E6D">
        <w:rPr>
          <w:rFonts w:ascii="Century Gothic" w:hAnsi="Century Gothic" w:cstheme="minorHAnsi"/>
          <w:sz w:val="18"/>
          <w:szCs w:val="18"/>
          <w:shd w:val="clear" w:color="auto" w:fill="FFFFFF"/>
        </w:rPr>
        <w:t xml:space="preserve">a </w:t>
      </w:r>
      <w:r w:rsidR="004D2298" w:rsidRPr="00FF1E6D">
        <w:rPr>
          <w:rFonts w:ascii="Century Gothic" w:hAnsi="Century Gothic" w:cstheme="minorHAnsi"/>
          <w:sz w:val="18"/>
          <w:szCs w:val="18"/>
          <w:shd w:val="clear" w:color="auto" w:fill="FFFFFF"/>
        </w:rPr>
        <w:t xml:space="preserve">production </w:t>
      </w:r>
      <w:r w:rsidR="00565FCC" w:rsidRPr="00FF1E6D">
        <w:rPr>
          <w:rFonts w:ascii="Century Gothic" w:hAnsi="Century Gothic" w:cstheme="minorHAnsi"/>
          <w:sz w:val="18"/>
          <w:szCs w:val="18"/>
          <w:shd w:val="clear" w:color="auto" w:fill="FFFFFF"/>
        </w:rPr>
        <w:t xml:space="preserve">strategy </w:t>
      </w:r>
      <w:r w:rsidR="006D0020" w:rsidRPr="00FF1E6D">
        <w:rPr>
          <w:rFonts w:ascii="Century Gothic" w:hAnsi="Century Gothic" w:cstheme="minorHAnsi"/>
          <w:sz w:val="18"/>
          <w:szCs w:val="18"/>
          <w:shd w:val="clear" w:color="auto" w:fill="FFFFFF"/>
        </w:rPr>
        <w:t xml:space="preserve">based on </w:t>
      </w:r>
      <w:r w:rsidR="00565FCC" w:rsidRPr="00FF1E6D">
        <w:rPr>
          <w:rFonts w:ascii="Century Gothic" w:hAnsi="Century Gothic" w:cstheme="minorHAnsi"/>
          <w:sz w:val="18"/>
          <w:szCs w:val="18"/>
          <w:shd w:val="clear" w:color="auto" w:fill="FFFFFF"/>
        </w:rPr>
        <w:t>i</w:t>
      </w:r>
      <w:r w:rsidRPr="00FF1E6D">
        <w:rPr>
          <w:rFonts w:ascii="Century Gothic" w:hAnsi="Century Gothic" w:cstheme="minorHAnsi"/>
          <w:sz w:val="18"/>
          <w:szCs w:val="18"/>
          <w:shd w:val="clear" w:color="auto" w:fill="FFFFFF"/>
        </w:rPr>
        <w:t>ncrea</w:t>
      </w:r>
      <w:r w:rsidR="006D0020" w:rsidRPr="00FF1E6D">
        <w:rPr>
          <w:rFonts w:ascii="Century Gothic" w:hAnsi="Century Gothic" w:cstheme="minorHAnsi"/>
          <w:sz w:val="18"/>
          <w:szCs w:val="18"/>
          <w:shd w:val="clear" w:color="auto" w:fill="FFFFFF"/>
        </w:rPr>
        <w:t>sing</w:t>
      </w:r>
      <w:r w:rsidRPr="00FF1E6D">
        <w:rPr>
          <w:rFonts w:ascii="Century Gothic" w:hAnsi="Century Gothic" w:cstheme="minorHAnsi"/>
          <w:sz w:val="18"/>
          <w:szCs w:val="18"/>
          <w:shd w:val="clear" w:color="auto" w:fill="FFFFFF"/>
        </w:rPr>
        <w:t xml:space="preserve"> features and functions, decreas</w:t>
      </w:r>
      <w:r w:rsidR="006D0020" w:rsidRPr="00FF1E6D">
        <w:rPr>
          <w:rFonts w:ascii="Century Gothic" w:hAnsi="Century Gothic" w:cstheme="minorHAnsi"/>
          <w:sz w:val="18"/>
          <w:szCs w:val="18"/>
          <w:shd w:val="clear" w:color="auto" w:fill="FFFFFF"/>
        </w:rPr>
        <w:t>ing</w:t>
      </w:r>
      <w:r w:rsidRPr="00FF1E6D">
        <w:rPr>
          <w:rFonts w:ascii="Century Gothic" w:hAnsi="Century Gothic" w:cstheme="minorHAnsi"/>
          <w:sz w:val="18"/>
          <w:szCs w:val="18"/>
          <w:shd w:val="clear" w:color="auto" w:fill="FFFFFF"/>
        </w:rPr>
        <w:t xml:space="preserve"> price, and reduc</w:t>
      </w:r>
      <w:r w:rsidR="006D0020" w:rsidRPr="00FF1E6D">
        <w:rPr>
          <w:rFonts w:ascii="Century Gothic" w:hAnsi="Century Gothic" w:cstheme="minorHAnsi"/>
          <w:sz w:val="18"/>
          <w:szCs w:val="18"/>
          <w:shd w:val="clear" w:color="auto" w:fill="FFFFFF"/>
        </w:rPr>
        <w:t>ing</w:t>
      </w:r>
      <w:r w:rsidRPr="00FF1E6D">
        <w:rPr>
          <w:rFonts w:ascii="Century Gothic" w:hAnsi="Century Gothic" w:cstheme="minorHAnsi"/>
          <w:sz w:val="18"/>
          <w:szCs w:val="18"/>
          <w:shd w:val="clear" w:color="auto" w:fill="FFFFFF"/>
        </w:rPr>
        <w:t xml:space="preserve"> early life failure</w:t>
      </w:r>
      <w:r w:rsidR="006D0020" w:rsidRPr="00FF1E6D">
        <w:rPr>
          <w:rFonts w:ascii="Century Gothic" w:hAnsi="Century Gothic" w:cstheme="minorHAnsi"/>
          <w:sz w:val="18"/>
          <w:szCs w:val="18"/>
          <w:shd w:val="clear" w:color="auto" w:fill="FFFFFF"/>
        </w:rPr>
        <w:t>. Over the short term, this approach works well to produc</w:t>
      </w:r>
      <w:r w:rsidR="009555C9">
        <w:rPr>
          <w:rFonts w:ascii="Century Gothic" w:hAnsi="Century Gothic" w:cstheme="minorHAnsi"/>
          <w:sz w:val="18"/>
          <w:szCs w:val="18"/>
          <w:shd w:val="clear" w:color="auto" w:fill="FFFFFF"/>
        </w:rPr>
        <w:t>e</w:t>
      </w:r>
      <w:r w:rsidR="006D0020" w:rsidRPr="00FF1E6D">
        <w:rPr>
          <w:rFonts w:ascii="Century Gothic" w:hAnsi="Century Gothic" w:cstheme="minorHAnsi"/>
          <w:sz w:val="18"/>
          <w:szCs w:val="18"/>
          <w:shd w:val="clear" w:color="auto" w:fill="FFFFFF"/>
        </w:rPr>
        <w:t xml:space="preserve"> consistently affordable</w:t>
      </w:r>
      <w:r w:rsidR="001F32C2" w:rsidRPr="00FF1E6D">
        <w:rPr>
          <w:rFonts w:ascii="Century Gothic" w:hAnsi="Century Gothic" w:cstheme="minorHAnsi"/>
          <w:sz w:val="18"/>
          <w:szCs w:val="18"/>
          <w:shd w:val="clear" w:color="auto" w:fill="FFFFFF"/>
        </w:rPr>
        <w:t xml:space="preserve"> and</w:t>
      </w:r>
      <w:r w:rsidR="00565FCC" w:rsidRPr="00FF1E6D">
        <w:rPr>
          <w:rFonts w:ascii="Century Gothic" w:hAnsi="Century Gothic" w:cstheme="minorHAnsi"/>
          <w:sz w:val="18"/>
          <w:szCs w:val="18"/>
          <w:shd w:val="clear" w:color="auto" w:fill="FFFFFF"/>
        </w:rPr>
        <w:t xml:space="preserve"> </w:t>
      </w:r>
      <w:r w:rsidR="0069349F" w:rsidRPr="00FF1E6D">
        <w:rPr>
          <w:rFonts w:ascii="Century Gothic" w:hAnsi="Century Gothic" w:cstheme="minorHAnsi"/>
          <w:sz w:val="18"/>
          <w:szCs w:val="18"/>
          <w:shd w:val="clear" w:color="auto" w:fill="FFFFFF"/>
        </w:rPr>
        <w:t>high-quality</w:t>
      </w:r>
      <w:r w:rsidR="006D0020" w:rsidRPr="00FF1E6D">
        <w:rPr>
          <w:rFonts w:ascii="Century Gothic" w:hAnsi="Century Gothic" w:cstheme="minorHAnsi"/>
          <w:sz w:val="18"/>
          <w:szCs w:val="18"/>
          <w:shd w:val="clear" w:color="auto" w:fill="FFFFFF"/>
        </w:rPr>
        <w:t xml:space="preserve"> products.</w:t>
      </w:r>
      <w:r w:rsidR="00565FCC" w:rsidRPr="00FF1E6D">
        <w:rPr>
          <w:rFonts w:ascii="Century Gothic" w:hAnsi="Century Gothic" w:cstheme="minorHAnsi"/>
          <w:sz w:val="18"/>
          <w:szCs w:val="18"/>
          <w:shd w:val="clear" w:color="auto" w:fill="FFFFFF"/>
        </w:rPr>
        <w:t xml:space="preserve"> O</w:t>
      </w:r>
      <w:r w:rsidR="006D0020" w:rsidRPr="00FF1E6D">
        <w:rPr>
          <w:rFonts w:ascii="Century Gothic" w:hAnsi="Century Gothic" w:cstheme="minorHAnsi"/>
          <w:sz w:val="18"/>
          <w:szCs w:val="18"/>
          <w:shd w:val="clear" w:color="auto" w:fill="FFFFFF"/>
        </w:rPr>
        <w:t xml:space="preserve">ver the long term this strategy </w:t>
      </w:r>
      <w:r w:rsidR="00A41D0D" w:rsidRPr="00FF1E6D">
        <w:rPr>
          <w:rFonts w:ascii="Century Gothic" w:hAnsi="Century Gothic" w:cstheme="minorHAnsi"/>
          <w:sz w:val="18"/>
          <w:szCs w:val="18"/>
          <w:shd w:val="clear" w:color="auto" w:fill="FFFFFF"/>
        </w:rPr>
        <w:t xml:space="preserve">still </w:t>
      </w:r>
      <w:r w:rsidR="004D2298" w:rsidRPr="00FF1E6D">
        <w:rPr>
          <w:rFonts w:ascii="Century Gothic" w:hAnsi="Century Gothic" w:cstheme="minorHAnsi"/>
          <w:sz w:val="18"/>
          <w:szCs w:val="18"/>
          <w:shd w:val="clear" w:color="auto" w:fill="FFFFFF"/>
        </w:rPr>
        <w:t>results in a reduced life span of the product</w:t>
      </w:r>
      <w:r w:rsidR="00565FCC" w:rsidRPr="00FF1E6D">
        <w:rPr>
          <w:rFonts w:ascii="Century Gothic" w:hAnsi="Century Gothic" w:cstheme="minorHAnsi"/>
          <w:sz w:val="18"/>
          <w:szCs w:val="18"/>
          <w:shd w:val="clear" w:color="auto" w:fill="FFFFFF"/>
        </w:rPr>
        <w:t xml:space="preserve">, but not </w:t>
      </w:r>
      <w:r w:rsidR="001F32C2" w:rsidRPr="00FF1E6D">
        <w:rPr>
          <w:rFonts w:ascii="Century Gothic" w:hAnsi="Century Gothic" w:cstheme="minorHAnsi"/>
          <w:sz w:val="18"/>
          <w:szCs w:val="18"/>
          <w:shd w:val="clear" w:color="auto" w:fill="FFFFFF"/>
        </w:rPr>
        <w:t xml:space="preserve">directly </w:t>
      </w:r>
      <w:r w:rsidR="00565FCC" w:rsidRPr="00FF1E6D">
        <w:rPr>
          <w:rFonts w:ascii="Century Gothic" w:hAnsi="Century Gothic" w:cstheme="minorHAnsi"/>
          <w:sz w:val="18"/>
          <w:szCs w:val="18"/>
          <w:shd w:val="clear" w:color="auto" w:fill="FFFFFF"/>
        </w:rPr>
        <w:t>by design</w:t>
      </w:r>
      <w:r w:rsidR="00A41D0D" w:rsidRPr="00FF1E6D">
        <w:rPr>
          <w:rFonts w:ascii="Century Gothic" w:hAnsi="Century Gothic" w:cstheme="minorHAnsi"/>
          <w:sz w:val="18"/>
          <w:szCs w:val="18"/>
          <w:shd w:val="clear" w:color="auto" w:fill="FFFFFF"/>
        </w:rPr>
        <w:t xml:space="preserve">. </w:t>
      </w:r>
    </w:p>
    <w:p w14:paraId="5C15DA5F" w14:textId="607AE0CA" w:rsidR="006D0020" w:rsidRPr="00FF1E6D" w:rsidRDefault="00A41D0D"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The difference between planned obsolescence and natural evolution is that </w:t>
      </w:r>
      <w:r w:rsidR="00565FCC" w:rsidRPr="00FF1E6D">
        <w:rPr>
          <w:rFonts w:ascii="Century Gothic" w:hAnsi="Century Gothic" w:cstheme="minorHAnsi"/>
          <w:sz w:val="18"/>
          <w:szCs w:val="18"/>
          <w:shd w:val="clear" w:color="auto" w:fill="FFFFFF"/>
        </w:rPr>
        <w:t xml:space="preserve">with natural evolution </w:t>
      </w:r>
      <w:r w:rsidRPr="00FF1E6D">
        <w:rPr>
          <w:rFonts w:ascii="Century Gothic" w:hAnsi="Century Gothic" w:cstheme="minorHAnsi"/>
          <w:sz w:val="18"/>
          <w:szCs w:val="18"/>
          <w:shd w:val="clear" w:color="auto" w:fill="FFFFFF"/>
        </w:rPr>
        <w:t>the value proposition to the consumer</w:t>
      </w:r>
      <w:r w:rsidR="001F32C2" w:rsidRPr="00FF1E6D">
        <w:rPr>
          <w:rFonts w:ascii="Century Gothic" w:hAnsi="Century Gothic" w:cstheme="minorHAnsi"/>
          <w:sz w:val="18"/>
          <w:szCs w:val="18"/>
          <w:shd w:val="clear" w:color="auto" w:fill="FFFFFF"/>
        </w:rPr>
        <w:t xml:space="preserve"> is a core component of the design and manufacturing strategy resulting in the value proposition being</w:t>
      </w:r>
      <w:r w:rsidRPr="00FF1E6D">
        <w:rPr>
          <w:rFonts w:ascii="Century Gothic" w:hAnsi="Century Gothic" w:cstheme="minorHAnsi"/>
          <w:sz w:val="18"/>
          <w:szCs w:val="18"/>
          <w:shd w:val="clear" w:color="auto" w:fill="FFFFFF"/>
        </w:rPr>
        <w:t xml:space="preserve"> maintained over the life of the product. </w:t>
      </w:r>
      <w:r w:rsidR="004D2298" w:rsidRPr="00FF1E6D">
        <w:rPr>
          <w:rFonts w:ascii="Century Gothic" w:hAnsi="Century Gothic" w:cstheme="minorHAnsi"/>
          <w:sz w:val="18"/>
          <w:szCs w:val="18"/>
          <w:shd w:val="clear" w:color="auto" w:fill="FFFFFF"/>
        </w:rPr>
        <w:t xml:space="preserve"> </w:t>
      </w:r>
    </w:p>
    <w:p w14:paraId="61090F58" w14:textId="015F0060" w:rsidR="00AC76F0" w:rsidRPr="00FF1E6D" w:rsidRDefault="006D0020"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The best example I have is the Microwave Oven</w:t>
      </w:r>
      <w:r w:rsidR="004D2298" w:rsidRPr="00FF1E6D">
        <w:rPr>
          <w:rFonts w:ascii="Century Gothic" w:hAnsi="Century Gothic" w:cstheme="minorHAnsi"/>
          <w:sz w:val="18"/>
          <w:szCs w:val="18"/>
          <w:shd w:val="clear" w:color="auto" w:fill="FFFFFF"/>
        </w:rPr>
        <w:t xml:space="preserve"> (MWO)</w:t>
      </w:r>
      <w:r w:rsidRPr="00FF1E6D">
        <w:rPr>
          <w:rFonts w:ascii="Century Gothic" w:hAnsi="Century Gothic" w:cstheme="minorHAnsi"/>
          <w:sz w:val="18"/>
          <w:szCs w:val="18"/>
          <w:shd w:val="clear" w:color="auto" w:fill="FFFFFF"/>
        </w:rPr>
        <w:t>. In the 19</w:t>
      </w:r>
      <w:r w:rsidR="00A41D0D" w:rsidRPr="00FF1E6D">
        <w:rPr>
          <w:rFonts w:ascii="Century Gothic" w:hAnsi="Century Gothic" w:cstheme="minorHAnsi"/>
          <w:sz w:val="18"/>
          <w:szCs w:val="18"/>
          <w:shd w:val="clear" w:color="auto" w:fill="FFFFFF"/>
        </w:rPr>
        <w:t>80</w:t>
      </w:r>
      <w:r w:rsidR="004D2298" w:rsidRPr="00FF1E6D">
        <w:rPr>
          <w:rFonts w:ascii="Century Gothic" w:hAnsi="Century Gothic" w:cstheme="minorHAnsi"/>
          <w:sz w:val="18"/>
          <w:szCs w:val="18"/>
          <w:shd w:val="clear" w:color="auto" w:fill="FFFFFF"/>
        </w:rPr>
        <w:t xml:space="preserve">’s a MWO cost about $500 ($1500 in </w:t>
      </w:r>
      <w:r w:rsidR="002D630E" w:rsidRPr="00FF1E6D">
        <w:rPr>
          <w:rFonts w:ascii="Century Gothic" w:hAnsi="Century Gothic" w:cstheme="minorHAnsi"/>
          <w:sz w:val="18"/>
          <w:szCs w:val="18"/>
          <w:shd w:val="clear" w:color="auto" w:fill="FFFFFF"/>
        </w:rPr>
        <w:t>today’s</w:t>
      </w:r>
      <w:r w:rsidR="004D2298" w:rsidRPr="00FF1E6D">
        <w:rPr>
          <w:rFonts w:ascii="Century Gothic" w:hAnsi="Century Gothic" w:cstheme="minorHAnsi"/>
          <w:sz w:val="18"/>
          <w:szCs w:val="18"/>
          <w:shd w:val="clear" w:color="auto" w:fill="FFFFFF"/>
        </w:rPr>
        <w:t xml:space="preserve"> dollars) </w:t>
      </w:r>
      <w:r w:rsidR="00A41D0D" w:rsidRPr="00FF1E6D">
        <w:rPr>
          <w:rFonts w:ascii="Century Gothic" w:hAnsi="Century Gothic" w:cstheme="minorHAnsi"/>
          <w:sz w:val="18"/>
          <w:szCs w:val="18"/>
          <w:shd w:val="clear" w:color="auto" w:fill="FFFFFF"/>
        </w:rPr>
        <w:t>and would last 25 years</w:t>
      </w:r>
      <w:r w:rsidR="00E877D9">
        <w:rPr>
          <w:rFonts w:ascii="Century Gothic" w:hAnsi="Century Gothic" w:cstheme="minorHAnsi"/>
          <w:sz w:val="18"/>
          <w:szCs w:val="18"/>
          <w:shd w:val="clear" w:color="auto" w:fill="FFFFFF"/>
        </w:rPr>
        <w:t xml:space="preserve">, as attested to by consumers </w:t>
      </w:r>
      <w:r w:rsidR="00777B21">
        <w:rPr>
          <w:rFonts w:ascii="Century Gothic" w:hAnsi="Century Gothic" w:cstheme="minorHAnsi"/>
          <w:sz w:val="18"/>
          <w:szCs w:val="18"/>
          <w:shd w:val="clear" w:color="auto" w:fill="FFFFFF"/>
        </w:rPr>
        <w:t xml:space="preserve">to me </w:t>
      </w:r>
      <w:r w:rsidR="00E877D9">
        <w:rPr>
          <w:rFonts w:ascii="Century Gothic" w:hAnsi="Century Gothic" w:cstheme="minorHAnsi"/>
          <w:sz w:val="18"/>
          <w:szCs w:val="18"/>
          <w:shd w:val="clear" w:color="auto" w:fill="FFFFFF"/>
        </w:rPr>
        <w:t>on numerous occasions</w:t>
      </w:r>
      <w:r w:rsidR="00A41D0D" w:rsidRPr="00FF1E6D">
        <w:rPr>
          <w:rFonts w:ascii="Century Gothic" w:hAnsi="Century Gothic" w:cstheme="minorHAnsi"/>
          <w:sz w:val="18"/>
          <w:szCs w:val="18"/>
          <w:shd w:val="clear" w:color="auto" w:fill="FFFFFF"/>
        </w:rPr>
        <w:t xml:space="preserve">. ($60 per year in </w:t>
      </w:r>
      <w:r w:rsidR="002D630E" w:rsidRPr="00FF1E6D">
        <w:rPr>
          <w:rFonts w:ascii="Century Gothic" w:hAnsi="Century Gothic" w:cstheme="minorHAnsi"/>
          <w:sz w:val="18"/>
          <w:szCs w:val="18"/>
          <w:shd w:val="clear" w:color="auto" w:fill="FFFFFF"/>
        </w:rPr>
        <w:t>today’s</w:t>
      </w:r>
      <w:r w:rsidR="00A41D0D" w:rsidRPr="00FF1E6D">
        <w:rPr>
          <w:rFonts w:ascii="Century Gothic" w:hAnsi="Century Gothic" w:cstheme="minorHAnsi"/>
          <w:sz w:val="18"/>
          <w:szCs w:val="18"/>
          <w:shd w:val="clear" w:color="auto" w:fill="FFFFFF"/>
        </w:rPr>
        <w:t xml:space="preserve"> dollars) In 2020 a similar</w:t>
      </w:r>
      <w:r w:rsidR="009555C9">
        <w:rPr>
          <w:rFonts w:ascii="Century Gothic" w:hAnsi="Century Gothic" w:cstheme="minorHAnsi"/>
          <w:sz w:val="18"/>
          <w:szCs w:val="18"/>
          <w:shd w:val="clear" w:color="auto" w:fill="FFFFFF"/>
        </w:rPr>
        <w:t>ly</w:t>
      </w:r>
      <w:r w:rsidR="00A41D0D" w:rsidRPr="00FF1E6D">
        <w:rPr>
          <w:rFonts w:ascii="Century Gothic" w:hAnsi="Century Gothic" w:cstheme="minorHAnsi"/>
          <w:sz w:val="18"/>
          <w:szCs w:val="18"/>
          <w:shd w:val="clear" w:color="auto" w:fill="FFFFFF"/>
        </w:rPr>
        <w:t xml:space="preserve"> featured MWO would cost</w:t>
      </w:r>
      <w:r w:rsidR="00565FCC" w:rsidRPr="00FF1E6D">
        <w:rPr>
          <w:rFonts w:ascii="Century Gothic" w:hAnsi="Century Gothic" w:cstheme="minorHAnsi"/>
          <w:sz w:val="18"/>
          <w:szCs w:val="18"/>
          <w:shd w:val="clear" w:color="auto" w:fill="FFFFFF"/>
        </w:rPr>
        <w:t xml:space="preserve"> about</w:t>
      </w:r>
      <w:r w:rsidR="00A41D0D" w:rsidRPr="00FF1E6D">
        <w:rPr>
          <w:rFonts w:ascii="Century Gothic" w:hAnsi="Century Gothic" w:cstheme="minorHAnsi"/>
          <w:sz w:val="18"/>
          <w:szCs w:val="18"/>
          <w:shd w:val="clear" w:color="auto" w:fill="FFFFFF"/>
        </w:rPr>
        <w:t xml:space="preserve"> $180 and last 3 - 5 years ($60 - $36 per year) </w:t>
      </w:r>
      <w:r w:rsidRPr="00FF1E6D">
        <w:rPr>
          <w:rFonts w:ascii="Century Gothic" w:hAnsi="Century Gothic" w:cstheme="minorHAnsi"/>
          <w:sz w:val="18"/>
          <w:szCs w:val="18"/>
          <w:shd w:val="clear" w:color="auto" w:fill="FFFFFF"/>
        </w:rPr>
        <w:t xml:space="preserve"> </w:t>
      </w:r>
      <w:r w:rsidR="00AC76F0" w:rsidRPr="00FF1E6D">
        <w:rPr>
          <w:rFonts w:ascii="Century Gothic" w:hAnsi="Century Gothic" w:cstheme="minorHAnsi"/>
          <w:sz w:val="18"/>
          <w:szCs w:val="18"/>
          <w:shd w:val="clear" w:color="auto" w:fill="FFFFFF"/>
        </w:rPr>
        <w:t xml:space="preserve"> </w:t>
      </w:r>
    </w:p>
    <w:p w14:paraId="05076773" w14:textId="2AC0533A" w:rsidR="0021600F" w:rsidRPr="00FF1E6D" w:rsidRDefault="0021600F" w:rsidP="00B23CF0">
      <w:pPr>
        <w:spacing w:after="0"/>
        <w:rPr>
          <w:rFonts w:ascii="Century Gothic" w:hAnsi="Century Gothic" w:cstheme="minorHAnsi"/>
          <w:sz w:val="18"/>
          <w:szCs w:val="18"/>
          <w:shd w:val="clear" w:color="auto" w:fill="FFFFFF"/>
        </w:rPr>
      </w:pPr>
    </w:p>
    <w:p w14:paraId="2F45930A" w14:textId="03471671" w:rsidR="001F32C2" w:rsidRPr="00FF1E6D" w:rsidRDefault="001F32C2" w:rsidP="00B23CF0">
      <w:p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Items c) and d)</w:t>
      </w:r>
    </w:p>
    <w:p w14:paraId="5934A10D" w14:textId="3BD874B6" w:rsidR="001F32C2" w:rsidRPr="00FF1E6D" w:rsidRDefault="001F32C2" w:rsidP="00B23CF0">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I have no comment to make on these items.</w:t>
      </w:r>
    </w:p>
    <w:p w14:paraId="7A023E8F" w14:textId="4326E8FD" w:rsidR="001F32C2" w:rsidRPr="00FF1E6D" w:rsidRDefault="001F32C2" w:rsidP="00B23CF0">
      <w:pPr>
        <w:spacing w:after="0"/>
        <w:rPr>
          <w:rFonts w:ascii="Century Gothic" w:hAnsi="Century Gothic" w:cstheme="minorHAnsi"/>
          <w:sz w:val="18"/>
          <w:szCs w:val="18"/>
          <w:shd w:val="clear" w:color="auto" w:fill="FFFFFF"/>
        </w:rPr>
      </w:pPr>
    </w:p>
    <w:p w14:paraId="46C50142" w14:textId="47BA6CEE" w:rsidR="001F32C2" w:rsidRPr="00FF1E6D" w:rsidRDefault="001F32C2" w:rsidP="001F32C2">
      <w:pPr>
        <w:pStyle w:val="ListParagraph"/>
        <w:numPr>
          <w:ilvl w:val="0"/>
          <w:numId w:val="14"/>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What are the benefits, costs and risks of Australia adopting measures similar to those used overseas, such as design standards and repairability ratings?</w:t>
      </w:r>
    </w:p>
    <w:p w14:paraId="55F1B43C" w14:textId="0ABB6004" w:rsidR="001F32C2" w:rsidRPr="00FF1E6D" w:rsidRDefault="001F32C2"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Establishing design standards to promote repairability </w:t>
      </w:r>
      <w:r w:rsidR="00C65762" w:rsidRPr="00FF1E6D">
        <w:rPr>
          <w:rFonts w:ascii="Century Gothic" w:hAnsi="Century Gothic" w:cstheme="minorHAnsi"/>
          <w:sz w:val="18"/>
          <w:szCs w:val="18"/>
          <w:shd w:val="clear" w:color="auto" w:fill="FFFFFF"/>
        </w:rPr>
        <w:t xml:space="preserve">is </w:t>
      </w:r>
      <w:r w:rsidR="009555C9">
        <w:rPr>
          <w:rFonts w:ascii="Century Gothic" w:hAnsi="Century Gothic" w:cstheme="minorHAnsi"/>
          <w:sz w:val="18"/>
          <w:szCs w:val="18"/>
          <w:shd w:val="clear" w:color="auto" w:fill="FFFFFF"/>
        </w:rPr>
        <w:t xml:space="preserve">a </w:t>
      </w:r>
      <w:r w:rsidR="00C65762" w:rsidRPr="00FF1E6D">
        <w:rPr>
          <w:rFonts w:ascii="Century Gothic" w:hAnsi="Century Gothic" w:cstheme="minorHAnsi"/>
          <w:sz w:val="18"/>
          <w:szCs w:val="18"/>
          <w:shd w:val="clear" w:color="auto" w:fill="FFFFFF"/>
        </w:rPr>
        <w:t>key initiative to foster the ‘right to repair’. However, as I have stated earlier such an initiative undertaken by Australia</w:t>
      </w:r>
      <w:r w:rsidR="00F311B6" w:rsidRPr="00FF1E6D">
        <w:rPr>
          <w:rFonts w:ascii="Century Gothic" w:hAnsi="Century Gothic" w:cstheme="minorHAnsi"/>
          <w:sz w:val="18"/>
          <w:szCs w:val="18"/>
          <w:shd w:val="clear" w:color="auto" w:fill="FFFFFF"/>
        </w:rPr>
        <w:t>,</w:t>
      </w:r>
      <w:r w:rsidR="00C65762" w:rsidRPr="00FF1E6D">
        <w:rPr>
          <w:rFonts w:ascii="Century Gothic" w:hAnsi="Century Gothic" w:cstheme="minorHAnsi"/>
          <w:sz w:val="18"/>
          <w:szCs w:val="18"/>
          <w:shd w:val="clear" w:color="auto" w:fill="FFFFFF"/>
        </w:rPr>
        <w:t xml:space="preserve"> in isolation</w:t>
      </w:r>
      <w:r w:rsidR="00F311B6" w:rsidRPr="00FF1E6D">
        <w:rPr>
          <w:rFonts w:ascii="Century Gothic" w:hAnsi="Century Gothic" w:cstheme="minorHAnsi"/>
          <w:sz w:val="18"/>
          <w:szCs w:val="18"/>
          <w:shd w:val="clear" w:color="auto" w:fill="FFFFFF"/>
        </w:rPr>
        <w:t>,</w:t>
      </w:r>
      <w:r w:rsidR="00C65762" w:rsidRPr="00FF1E6D">
        <w:rPr>
          <w:rFonts w:ascii="Century Gothic" w:hAnsi="Century Gothic" w:cstheme="minorHAnsi"/>
          <w:sz w:val="18"/>
          <w:szCs w:val="18"/>
          <w:shd w:val="clear" w:color="auto" w:fill="FFFFFF"/>
        </w:rPr>
        <w:t xml:space="preserve"> </w:t>
      </w:r>
      <w:r w:rsidR="009555C9">
        <w:rPr>
          <w:rFonts w:ascii="Century Gothic" w:hAnsi="Century Gothic" w:cstheme="minorHAnsi"/>
          <w:sz w:val="18"/>
          <w:szCs w:val="18"/>
          <w:shd w:val="clear" w:color="auto" w:fill="FFFFFF"/>
        </w:rPr>
        <w:t>would most likely</w:t>
      </w:r>
      <w:r w:rsidR="00C65762" w:rsidRPr="00FF1E6D">
        <w:rPr>
          <w:rFonts w:ascii="Century Gothic" w:hAnsi="Century Gothic" w:cstheme="minorHAnsi"/>
          <w:sz w:val="18"/>
          <w:szCs w:val="18"/>
          <w:shd w:val="clear" w:color="auto" w:fill="FFFFFF"/>
        </w:rPr>
        <w:t xml:space="preserve"> result in a reduction of product variety </w:t>
      </w:r>
      <w:r w:rsidR="00F311B6" w:rsidRPr="00FF1E6D">
        <w:rPr>
          <w:rFonts w:ascii="Century Gothic" w:hAnsi="Century Gothic" w:cstheme="minorHAnsi"/>
          <w:sz w:val="18"/>
          <w:szCs w:val="18"/>
          <w:shd w:val="clear" w:color="auto" w:fill="FFFFFF"/>
        </w:rPr>
        <w:t xml:space="preserve">for the </w:t>
      </w:r>
      <w:r w:rsidR="00C65762" w:rsidRPr="00FF1E6D">
        <w:rPr>
          <w:rFonts w:ascii="Century Gothic" w:hAnsi="Century Gothic" w:cstheme="minorHAnsi"/>
          <w:sz w:val="18"/>
          <w:szCs w:val="18"/>
          <w:shd w:val="clear" w:color="auto" w:fill="FFFFFF"/>
        </w:rPr>
        <w:t>Australia</w:t>
      </w:r>
      <w:r w:rsidR="00F311B6" w:rsidRPr="00FF1E6D">
        <w:rPr>
          <w:rFonts w:ascii="Century Gothic" w:hAnsi="Century Gothic" w:cstheme="minorHAnsi"/>
          <w:sz w:val="18"/>
          <w:szCs w:val="18"/>
          <w:shd w:val="clear" w:color="auto" w:fill="FFFFFF"/>
        </w:rPr>
        <w:t>n consumer</w:t>
      </w:r>
      <w:r w:rsidR="00C65762" w:rsidRPr="00FF1E6D">
        <w:rPr>
          <w:rFonts w:ascii="Century Gothic" w:hAnsi="Century Gothic" w:cstheme="minorHAnsi"/>
          <w:sz w:val="18"/>
          <w:szCs w:val="18"/>
          <w:shd w:val="clear" w:color="auto" w:fill="FFFFFF"/>
        </w:rPr>
        <w:t xml:space="preserve">. Design standards </w:t>
      </w:r>
      <w:r w:rsidR="009555C9">
        <w:rPr>
          <w:rFonts w:ascii="Century Gothic" w:hAnsi="Century Gothic" w:cstheme="minorHAnsi"/>
          <w:sz w:val="18"/>
          <w:szCs w:val="18"/>
          <w:shd w:val="clear" w:color="auto" w:fill="FFFFFF"/>
        </w:rPr>
        <w:t>to facilitate repair are essential to make repair a viable option moving forward. However</w:t>
      </w:r>
      <w:r w:rsidR="009B60CC">
        <w:rPr>
          <w:rFonts w:ascii="Century Gothic" w:hAnsi="Century Gothic" w:cstheme="minorHAnsi"/>
          <w:sz w:val="18"/>
          <w:szCs w:val="18"/>
          <w:shd w:val="clear" w:color="auto" w:fill="FFFFFF"/>
        </w:rPr>
        <w:t>,</w:t>
      </w:r>
      <w:r w:rsidR="009555C9">
        <w:rPr>
          <w:rFonts w:ascii="Century Gothic" w:hAnsi="Century Gothic" w:cstheme="minorHAnsi"/>
          <w:sz w:val="18"/>
          <w:szCs w:val="18"/>
          <w:shd w:val="clear" w:color="auto" w:fill="FFFFFF"/>
        </w:rPr>
        <w:t xml:space="preserve"> </w:t>
      </w:r>
      <w:r w:rsidR="009B60CC">
        <w:rPr>
          <w:rFonts w:ascii="Century Gothic" w:hAnsi="Century Gothic" w:cstheme="minorHAnsi"/>
          <w:sz w:val="18"/>
          <w:szCs w:val="18"/>
          <w:shd w:val="clear" w:color="auto" w:fill="FFFFFF"/>
        </w:rPr>
        <w:t xml:space="preserve">it </w:t>
      </w:r>
      <w:r w:rsidR="00C65762" w:rsidRPr="00FF1E6D">
        <w:rPr>
          <w:rFonts w:ascii="Century Gothic" w:hAnsi="Century Gothic" w:cstheme="minorHAnsi"/>
          <w:sz w:val="18"/>
          <w:szCs w:val="18"/>
          <w:shd w:val="clear" w:color="auto" w:fill="FFFFFF"/>
        </w:rPr>
        <w:t>need</w:t>
      </w:r>
      <w:r w:rsidR="00E877D9">
        <w:rPr>
          <w:rFonts w:ascii="Century Gothic" w:hAnsi="Century Gothic" w:cstheme="minorHAnsi"/>
          <w:sz w:val="18"/>
          <w:szCs w:val="18"/>
          <w:shd w:val="clear" w:color="auto" w:fill="FFFFFF"/>
        </w:rPr>
        <w:t>s</w:t>
      </w:r>
      <w:r w:rsidR="00C65762" w:rsidRPr="00FF1E6D">
        <w:rPr>
          <w:rFonts w:ascii="Century Gothic" w:hAnsi="Century Gothic" w:cstheme="minorHAnsi"/>
          <w:sz w:val="18"/>
          <w:szCs w:val="18"/>
          <w:shd w:val="clear" w:color="auto" w:fill="FFFFFF"/>
        </w:rPr>
        <w:t xml:space="preserve"> to be introduced collaboratively on a global or regional basis with industry.</w:t>
      </w:r>
    </w:p>
    <w:p w14:paraId="0FE4361F" w14:textId="4D2151ED" w:rsidR="00C65762" w:rsidRPr="00FF1E6D" w:rsidRDefault="00C65762"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Repairability ratings, in contrast, are something that could be introduced in Australia with minimal risk and cost. Such measures, similar to star rating for energy and water consumption, would provide consumers with information to make</w:t>
      </w:r>
      <w:r w:rsidR="00E877D9">
        <w:rPr>
          <w:rFonts w:ascii="Century Gothic" w:hAnsi="Century Gothic" w:cstheme="minorHAnsi"/>
          <w:sz w:val="18"/>
          <w:szCs w:val="18"/>
          <w:shd w:val="clear" w:color="auto" w:fill="FFFFFF"/>
        </w:rPr>
        <w:t xml:space="preserve"> an</w:t>
      </w:r>
      <w:r w:rsidRPr="00FF1E6D">
        <w:rPr>
          <w:rFonts w:ascii="Century Gothic" w:hAnsi="Century Gothic" w:cstheme="minorHAnsi"/>
          <w:sz w:val="18"/>
          <w:szCs w:val="18"/>
          <w:shd w:val="clear" w:color="auto" w:fill="FFFFFF"/>
        </w:rPr>
        <w:t xml:space="preserve"> informed purchasing decisio</w:t>
      </w:r>
      <w:r w:rsidR="00E877D9">
        <w:rPr>
          <w:rFonts w:ascii="Century Gothic" w:hAnsi="Century Gothic" w:cstheme="minorHAnsi"/>
          <w:sz w:val="18"/>
          <w:szCs w:val="18"/>
          <w:shd w:val="clear" w:color="auto" w:fill="FFFFFF"/>
        </w:rPr>
        <w:t xml:space="preserve">n </w:t>
      </w:r>
      <w:r w:rsidR="0005678E">
        <w:rPr>
          <w:rFonts w:ascii="Century Gothic" w:hAnsi="Century Gothic" w:cstheme="minorHAnsi"/>
          <w:sz w:val="18"/>
          <w:szCs w:val="18"/>
          <w:shd w:val="clear" w:color="auto" w:fill="FFFFFF"/>
        </w:rPr>
        <w:t>regarding repairability</w:t>
      </w:r>
      <w:r w:rsidRPr="00FF1E6D">
        <w:rPr>
          <w:rFonts w:ascii="Century Gothic" w:hAnsi="Century Gothic" w:cstheme="minorHAnsi"/>
          <w:sz w:val="18"/>
          <w:szCs w:val="18"/>
          <w:shd w:val="clear" w:color="auto" w:fill="FFFFFF"/>
        </w:rPr>
        <w:t>.</w:t>
      </w:r>
    </w:p>
    <w:p w14:paraId="43B220E9" w14:textId="77777777" w:rsidR="00C65762" w:rsidRPr="00FF1E6D" w:rsidRDefault="00C65762" w:rsidP="001F32C2">
      <w:pPr>
        <w:spacing w:after="0"/>
        <w:rPr>
          <w:rFonts w:ascii="Century Gothic" w:hAnsi="Century Gothic" w:cstheme="minorHAnsi"/>
          <w:sz w:val="18"/>
          <w:szCs w:val="18"/>
          <w:shd w:val="clear" w:color="auto" w:fill="FFFFFF"/>
        </w:rPr>
      </w:pPr>
    </w:p>
    <w:p w14:paraId="3164A611" w14:textId="4F4FFE60" w:rsidR="00AE6569" w:rsidRPr="00FF1E6D" w:rsidRDefault="00C65762" w:rsidP="00AE6569">
      <w:pPr>
        <w:pStyle w:val="ListParagraph"/>
        <w:numPr>
          <w:ilvl w:val="0"/>
          <w:numId w:val="14"/>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 xml:space="preserve">Do consumers have good information about durability and reparability </w:t>
      </w:r>
      <w:r w:rsidR="00AE6569" w:rsidRPr="00FF1E6D">
        <w:rPr>
          <w:rFonts w:ascii="Century Gothic" w:hAnsi="Century Gothic" w:cstheme="minorHAnsi"/>
          <w:i/>
          <w:iCs/>
          <w:color w:val="0070C0"/>
          <w:sz w:val="18"/>
          <w:szCs w:val="18"/>
          <w:shd w:val="clear" w:color="auto" w:fill="FFFFFF"/>
        </w:rPr>
        <w:t>when making purchases?</w:t>
      </w:r>
    </w:p>
    <w:p w14:paraId="71E9185D" w14:textId="1FA42D56" w:rsidR="00AE6569" w:rsidRPr="00FF1E6D" w:rsidRDefault="00AE6569"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No. Consumers have very little understand of durability and repairability at </w:t>
      </w:r>
      <w:r w:rsidR="009555C9">
        <w:rPr>
          <w:rFonts w:ascii="Century Gothic" w:hAnsi="Century Gothic" w:cstheme="minorHAnsi"/>
          <w:sz w:val="18"/>
          <w:szCs w:val="18"/>
          <w:shd w:val="clear" w:color="auto" w:fill="FFFFFF"/>
        </w:rPr>
        <w:t xml:space="preserve">the </w:t>
      </w:r>
      <w:r w:rsidRPr="00FF1E6D">
        <w:rPr>
          <w:rFonts w:ascii="Century Gothic" w:hAnsi="Century Gothic" w:cstheme="minorHAnsi"/>
          <w:sz w:val="18"/>
          <w:szCs w:val="18"/>
          <w:shd w:val="clear" w:color="auto" w:fill="FFFFFF"/>
        </w:rPr>
        <w:t>time of purchase. In many cases, consumers will rely on the</w:t>
      </w:r>
      <w:r w:rsidR="009B60CC">
        <w:rPr>
          <w:rFonts w:ascii="Century Gothic" w:hAnsi="Century Gothic" w:cstheme="minorHAnsi"/>
          <w:sz w:val="18"/>
          <w:szCs w:val="18"/>
          <w:shd w:val="clear" w:color="auto" w:fill="FFFFFF"/>
        </w:rPr>
        <w:t>ir</w:t>
      </w:r>
      <w:r w:rsidRPr="00FF1E6D">
        <w:rPr>
          <w:rFonts w:ascii="Century Gothic" w:hAnsi="Century Gothic" w:cstheme="minorHAnsi"/>
          <w:sz w:val="18"/>
          <w:szCs w:val="18"/>
          <w:shd w:val="clear" w:color="auto" w:fill="FFFFFF"/>
        </w:rPr>
        <w:t xml:space="preserve"> past experience with a similar product assuming that </w:t>
      </w:r>
      <w:r w:rsidR="003738E0" w:rsidRPr="00FF1E6D">
        <w:rPr>
          <w:rFonts w:ascii="Century Gothic" w:hAnsi="Century Gothic" w:cstheme="minorHAnsi"/>
          <w:sz w:val="18"/>
          <w:szCs w:val="18"/>
          <w:shd w:val="clear" w:color="auto" w:fill="FFFFFF"/>
        </w:rPr>
        <w:t>the new product</w:t>
      </w:r>
      <w:r w:rsidRPr="00FF1E6D">
        <w:rPr>
          <w:rFonts w:ascii="Century Gothic" w:hAnsi="Century Gothic" w:cstheme="minorHAnsi"/>
          <w:sz w:val="18"/>
          <w:szCs w:val="18"/>
          <w:shd w:val="clear" w:color="auto" w:fill="FFFFFF"/>
        </w:rPr>
        <w:t xml:space="preserve"> should last as long as a product they purchased many years ago.</w:t>
      </w:r>
    </w:p>
    <w:p w14:paraId="7C413155" w14:textId="786BF855" w:rsidR="003738E0" w:rsidRPr="00FF1E6D" w:rsidRDefault="003738E0"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As with star rating</w:t>
      </w:r>
      <w:r w:rsidR="009B60CC">
        <w:rPr>
          <w:rFonts w:ascii="Century Gothic" w:hAnsi="Century Gothic" w:cstheme="minorHAnsi"/>
          <w:sz w:val="18"/>
          <w:szCs w:val="18"/>
          <w:shd w:val="clear" w:color="auto" w:fill="FFFFFF"/>
        </w:rPr>
        <w:t>s</w:t>
      </w:r>
      <w:r w:rsidRPr="00FF1E6D">
        <w:rPr>
          <w:rFonts w:ascii="Century Gothic" w:hAnsi="Century Gothic" w:cstheme="minorHAnsi"/>
          <w:sz w:val="18"/>
          <w:szCs w:val="18"/>
          <w:shd w:val="clear" w:color="auto" w:fill="FFFFFF"/>
        </w:rPr>
        <w:t xml:space="preserve"> for energy consumption a similar mechanism could be used to communicate durability and repairability to the consumer. </w:t>
      </w:r>
    </w:p>
    <w:p w14:paraId="52D1A5DA" w14:textId="6122C8A4" w:rsidR="002F1533" w:rsidRPr="00FF1E6D" w:rsidRDefault="002F1533"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I </w:t>
      </w:r>
      <w:r w:rsidR="003738E0" w:rsidRPr="00FF1E6D">
        <w:rPr>
          <w:rFonts w:ascii="Century Gothic" w:hAnsi="Century Gothic" w:cstheme="minorHAnsi"/>
          <w:sz w:val="18"/>
          <w:szCs w:val="18"/>
          <w:shd w:val="clear" w:color="auto" w:fill="FFFFFF"/>
        </w:rPr>
        <w:t xml:space="preserve">recommend that </w:t>
      </w:r>
      <w:r w:rsidRPr="00FF1E6D">
        <w:rPr>
          <w:rFonts w:ascii="Century Gothic" w:hAnsi="Century Gothic" w:cstheme="minorHAnsi"/>
          <w:sz w:val="18"/>
          <w:szCs w:val="18"/>
          <w:shd w:val="clear" w:color="auto" w:fill="FFFFFF"/>
        </w:rPr>
        <w:t>some form of</w:t>
      </w:r>
      <w:r w:rsidR="003738E0" w:rsidRPr="00FF1E6D">
        <w:rPr>
          <w:rFonts w:ascii="Century Gothic" w:hAnsi="Century Gothic" w:cstheme="minorHAnsi"/>
          <w:sz w:val="18"/>
          <w:szCs w:val="18"/>
          <w:shd w:val="clear" w:color="auto" w:fill="FFFFFF"/>
        </w:rPr>
        <w:t xml:space="preserve"> </w:t>
      </w:r>
      <w:r w:rsidRPr="00FF1E6D">
        <w:rPr>
          <w:rFonts w:ascii="Century Gothic" w:hAnsi="Century Gothic" w:cstheme="minorHAnsi"/>
          <w:sz w:val="18"/>
          <w:szCs w:val="18"/>
          <w:shd w:val="clear" w:color="auto" w:fill="FFFFFF"/>
        </w:rPr>
        <w:t>‘</w:t>
      </w:r>
      <w:r w:rsidR="003738E0" w:rsidRPr="00FF1E6D">
        <w:rPr>
          <w:rFonts w:ascii="Century Gothic" w:hAnsi="Century Gothic" w:cstheme="minorHAnsi"/>
          <w:sz w:val="18"/>
          <w:szCs w:val="18"/>
          <w:shd w:val="clear" w:color="auto" w:fill="FFFFFF"/>
        </w:rPr>
        <w:t>Circular Economy Rating System</w:t>
      </w:r>
      <w:r w:rsidRPr="00FF1E6D">
        <w:rPr>
          <w:rFonts w:ascii="Century Gothic" w:hAnsi="Century Gothic" w:cstheme="minorHAnsi"/>
          <w:sz w:val="18"/>
          <w:szCs w:val="18"/>
          <w:shd w:val="clear" w:color="auto" w:fill="FFFFFF"/>
        </w:rPr>
        <w:t>’</w:t>
      </w:r>
      <w:r w:rsidR="003738E0" w:rsidRPr="00FF1E6D">
        <w:rPr>
          <w:rFonts w:ascii="Century Gothic" w:hAnsi="Century Gothic" w:cstheme="minorHAnsi"/>
          <w:sz w:val="18"/>
          <w:szCs w:val="18"/>
          <w:shd w:val="clear" w:color="auto" w:fill="FFFFFF"/>
        </w:rPr>
        <w:t xml:space="preserve"> might be established </w:t>
      </w:r>
      <w:r w:rsidRPr="00FF1E6D">
        <w:rPr>
          <w:rFonts w:ascii="Century Gothic" w:hAnsi="Century Gothic" w:cstheme="minorHAnsi"/>
          <w:sz w:val="18"/>
          <w:szCs w:val="18"/>
          <w:shd w:val="clear" w:color="auto" w:fill="FFFFFF"/>
        </w:rPr>
        <w:t>that aggregates a number of attributes and provides an overarching holistic rating of the product. Attributes that might be consider within this rating system could be Durability, Repairability, Reusability, Recyclability, Material Recovery.</w:t>
      </w:r>
    </w:p>
    <w:p w14:paraId="282AE1A1" w14:textId="77777777" w:rsidR="002F1533" w:rsidRPr="00FF1E6D" w:rsidRDefault="002F1533" w:rsidP="001F32C2">
      <w:pPr>
        <w:spacing w:after="0"/>
        <w:rPr>
          <w:rFonts w:ascii="Century Gothic" w:hAnsi="Century Gothic" w:cstheme="minorHAnsi"/>
          <w:sz w:val="18"/>
          <w:szCs w:val="18"/>
          <w:shd w:val="clear" w:color="auto" w:fill="FFFFFF"/>
        </w:rPr>
      </w:pPr>
    </w:p>
    <w:p w14:paraId="7986F2F9" w14:textId="77777777" w:rsidR="002F1533" w:rsidRPr="00FF1E6D" w:rsidRDefault="002F1533" w:rsidP="001F32C2">
      <w:pPr>
        <w:spacing w:after="0"/>
        <w:rPr>
          <w:rFonts w:ascii="Century Gothic" w:hAnsi="Century Gothic" w:cstheme="minorHAnsi"/>
          <w:sz w:val="18"/>
          <w:szCs w:val="18"/>
          <w:shd w:val="clear" w:color="auto" w:fill="FFFFFF"/>
        </w:rPr>
      </w:pPr>
    </w:p>
    <w:p w14:paraId="414A5915" w14:textId="3D9E35E9" w:rsidR="002F1533" w:rsidRPr="00B56214" w:rsidRDefault="002F1533" w:rsidP="001F32C2">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t>INFORMATION REQUEST 7</w:t>
      </w:r>
    </w:p>
    <w:p w14:paraId="5ECEC667" w14:textId="77777777" w:rsidR="002F1533" w:rsidRPr="00FF1E6D" w:rsidRDefault="002F1533" w:rsidP="001F32C2">
      <w:pPr>
        <w:spacing w:after="0"/>
        <w:rPr>
          <w:rFonts w:ascii="Century Gothic" w:hAnsi="Century Gothic" w:cstheme="minorHAnsi"/>
          <w:sz w:val="18"/>
          <w:szCs w:val="18"/>
          <w:shd w:val="clear" w:color="auto" w:fill="FFFFFF"/>
        </w:rPr>
      </w:pPr>
    </w:p>
    <w:p w14:paraId="64F66AF9" w14:textId="77777777" w:rsidR="002F1533" w:rsidRPr="00FF1E6D" w:rsidRDefault="002F1533" w:rsidP="001F32C2">
      <w:p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Items a) to c)</w:t>
      </w:r>
    </w:p>
    <w:p w14:paraId="2D5DA95A" w14:textId="77777777" w:rsidR="002F1533" w:rsidRPr="00FF1E6D" w:rsidRDefault="002F1533" w:rsidP="001F32C2">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I have no comment to make on these items.  </w:t>
      </w:r>
      <w:r w:rsidR="003738E0" w:rsidRPr="00FF1E6D">
        <w:rPr>
          <w:rFonts w:ascii="Century Gothic" w:hAnsi="Century Gothic" w:cstheme="minorHAnsi"/>
          <w:sz w:val="18"/>
          <w:szCs w:val="18"/>
          <w:shd w:val="clear" w:color="auto" w:fill="FFFFFF"/>
        </w:rPr>
        <w:t xml:space="preserve"> </w:t>
      </w:r>
    </w:p>
    <w:p w14:paraId="34E289AE" w14:textId="77777777" w:rsidR="002F1533" w:rsidRPr="00FF1E6D" w:rsidRDefault="002F1533" w:rsidP="001F32C2">
      <w:pPr>
        <w:spacing w:after="0"/>
        <w:rPr>
          <w:rFonts w:ascii="Century Gothic" w:hAnsi="Century Gothic" w:cstheme="minorHAnsi"/>
          <w:sz w:val="18"/>
          <w:szCs w:val="18"/>
          <w:shd w:val="clear" w:color="auto" w:fill="FFFFFF"/>
        </w:rPr>
      </w:pPr>
    </w:p>
    <w:p w14:paraId="0207FC96" w14:textId="57AC8AB4" w:rsidR="00C65762" w:rsidRPr="00FF1E6D" w:rsidRDefault="002F1533" w:rsidP="002F1533">
      <w:pPr>
        <w:pStyle w:val="ListParagraph"/>
        <w:numPr>
          <w:ilvl w:val="0"/>
          <w:numId w:val="15"/>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 xml:space="preserve">What are Australia’s current policy settings </w:t>
      </w:r>
      <w:r w:rsidR="005B779C" w:rsidRPr="00FF1E6D">
        <w:rPr>
          <w:rFonts w:ascii="Century Gothic" w:hAnsi="Century Gothic" w:cstheme="minorHAnsi"/>
          <w:i/>
          <w:iCs/>
          <w:color w:val="0070C0"/>
          <w:sz w:val="18"/>
          <w:szCs w:val="18"/>
          <w:shd w:val="clear" w:color="auto" w:fill="FFFFFF"/>
        </w:rPr>
        <w:t>for managing the potential environmental and health effect of e-waste? Are these policies broadly right?</w:t>
      </w:r>
    </w:p>
    <w:p w14:paraId="53D45699" w14:textId="2143A441" w:rsidR="005B779C" w:rsidRPr="00FF1E6D" w:rsidRDefault="008E654D" w:rsidP="005B779C">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My</w:t>
      </w:r>
      <w:r w:rsidR="005B779C" w:rsidRPr="00FF1E6D">
        <w:rPr>
          <w:rFonts w:ascii="Century Gothic" w:hAnsi="Century Gothic" w:cstheme="minorHAnsi"/>
          <w:sz w:val="18"/>
          <w:szCs w:val="18"/>
          <w:shd w:val="clear" w:color="auto" w:fill="FFFFFF"/>
        </w:rPr>
        <w:t xml:space="preserve"> involvement </w:t>
      </w:r>
      <w:r>
        <w:rPr>
          <w:rFonts w:ascii="Century Gothic" w:hAnsi="Century Gothic" w:cstheme="minorHAnsi"/>
          <w:sz w:val="18"/>
          <w:szCs w:val="18"/>
          <w:shd w:val="clear" w:color="auto" w:fill="FFFFFF"/>
        </w:rPr>
        <w:t>has been with</w:t>
      </w:r>
      <w:r w:rsidR="005B779C" w:rsidRPr="00FF1E6D">
        <w:rPr>
          <w:rFonts w:ascii="Century Gothic" w:hAnsi="Century Gothic" w:cstheme="minorHAnsi"/>
          <w:sz w:val="18"/>
          <w:szCs w:val="18"/>
          <w:shd w:val="clear" w:color="auto" w:fill="FFFFFF"/>
        </w:rPr>
        <w:t xml:space="preserve"> the National Television and Computer Recycling Scheme (NTCRS) </w:t>
      </w:r>
      <w:r>
        <w:rPr>
          <w:rFonts w:ascii="Century Gothic" w:hAnsi="Century Gothic" w:cstheme="minorHAnsi"/>
          <w:sz w:val="18"/>
          <w:szCs w:val="18"/>
          <w:shd w:val="clear" w:color="auto" w:fill="FFFFFF"/>
        </w:rPr>
        <w:t xml:space="preserve">as a representative of a liable party </w:t>
      </w:r>
      <w:r w:rsidR="005B779C" w:rsidRPr="00FF1E6D">
        <w:rPr>
          <w:rFonts w:ascii="Century Gothic" w:hAnsi="Century Gothic" w:cstheme="minorHAnsi"/>
          <w:sz w:val="18"/>
          <w:szCs w:val="18"/>
          <w:shd w:val="clear" w:color="auto" w:fill="FFFFFF"/>
        </w:rPr>
        <w:t>and involve</w:t>
      </w:r>
      <w:r w:rsidR="009B60CC">
        <w:rPr>
          <w:rFonts w:ascii="Century Gothic" w:hAnsi="Century Gothic" w:cstheme="minorHAnsi"/>
          <w:sz w:val="18"/>
          <w:szCs w:val="18"/>
          <w:shd w:val="clear" w:color="auto" w:fill="FFFFFF"/>
        </w:rPr>
        <w:t>ment</w:t>
      </w:r>
      <w:r w:rsidR="005B779C" w:rsidRPr="00FF1E6D">
        <w:rPr>
          <w:rFonts w:ascii="Century Gothic" w:hAnsi="Century Gothic" w:cstheme="minorHAnsi"/>
          <w:sz w:val="18"/>
          <w:szCs w:val="18"/>
          <w:shd w:val="clear" w:color="auto" w:fill="FFFFFF"/>
        </w:rPr>
        <w:t xml:space="preserve"> in the </w:t>
      </w:r>
      <w:r>
        <w:rPr>
          <w:rFonts w:ascii="Century Gothic" w:hAnsi="Century Gothic" w:cstheme="minorHAnsi"/>
          <w:sz w:val="18"/>
          <w:szCs w:val="18"/>
          <w:shd w:val="clear" w:color="auto" w:fill="FFFFFF"/>
        </w:rPr>
        <w:t xml:space="preserve">design and </w:t>
      </w:r>
      <w:r w:rsidR="005B779C" w:rsidRPr="00FF1E6D">
        <w:rPr>
          <w:rFonts w:ascii="Century Gothic" w:hAnsi="Century Gothic" w:cstheme="minorHAnsi"/>
          <w:sz w:val="18"/>
          <w:szCs w:val="18"/>
          <w:shd w:val="clear" w:color="auto" w:fill="FFFFFF"/>
        </w:rPr>
        <w:t>establishment of the impending Battery Stewardship Scheme (BSS).</w:t>
      </w:r>
    </w:p>
    <w:p w14:paraId="21A2EEEA" w14:textId="0AA1C0BA" w:rsidR="00F776A4" w:rsidRPr="00FF1E6D" w:rsidRDefault="00F311B6" w:rsidP="005B779C">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I would suggest that the NTCRS i</w:t>
      </w:r>
      <w:r w:rsidR="00F776A4" w:rsidRPr="00FF1E6D">
        <w:rPr>
          <w:rFonts w:ascii="Century Gothic" w:hAnsi="Century Gothic" w:cstheme="minorHAnsi"/>
          <w:sz w:val="18"/>
          <w:szCs w:val="18"/>
          <w:shd w:val="clear" w:color="auto" w:fill="FFFFFF"/>
        </w:rPr>
        <w:t>s</w:t>
      </w:r>
      <w:r w:rsidRPr="00FF1E6D">
        <w:rPr>
          <w:rFonts w:ascii="Century Gothic" w:hAnsi="Century Gothic" w:cstheme="minorHAnsi"/>
          <w:sz w:val="18"/>
          <w:szCs w:val="18"/>
          <w:shd w:val="clear" w:color="auto" w:fill="FFFFFF"/>
        </w:rPr>
        <w:t xml:space="preserve"> proportional to the impacts of e-waste on the community.</w:t>
      </w:r>
      <w:r w:rsidR="009249B4" w:rsidRPr="00FF1E6D">
        <w:rPr>
          <w:rFonts w:ascii="Century Gothic" w:hAnsi="Century Gothic" w:cstheme="minorHAnsi"/>
          <w:sz w:val="18"/>
          <w:szCs w:val="18"/>
          <w:shd w:val="clear" w:color="auto" w:fill="FFFFFF"/>
        </w:rPr>
        <w:t xml:space="preserve"> However, by design, the NTCRS has an indirect </w:t>
      </w:r>
      <w:r w:rsidR="00F776A4" w:rsidRPr="00FF1E6D">
        <w:rPr>
          <w:rFonts w:ascii="Century Gothic" w:hAnsi="Century Gothic" w:cstheme="minorHAnsi"/>
          <w:sz w:val="18"/>
          <w:szCs w:val="18"/>
          <w:shd w:val="clear" w:color="auto" w:fill="FFFFFF"/>
        </w:rPr>
        <w:t xml:space="preserve">negative </w:t>
      </w:r>
      <w:r w:rsidR="009249B4" w:rsidRPr="00FF1E6D">
        <w:rPr>
          <w:rFonts w:ascii="Century Gothic" w:hAnsi="Century Gothic" w:cstheme="minorHAnsi"/>
          <w:sz w:val="18"/>
          <w:szCs w:val="18"/>
          <w:shd w:val="clear" w:color="auto" w:fill="FFFFFF"/>
        </w:rPr>
        <w:t xml:space="preserve">impact on </w:t>
      </w:r>
      <w:r w:rsidR="00F776A4" w:rsidRPr="00FF1E6D">
        <w:rPr>
          <w:rFonts w:ascii="Century Gothic" w:hAnsi="Century Gothic" w:cstheme="minorHAnsi"/>
          <w:sz w:val="18"/>
          <w:szCs w:val="18"/>
          <w:shd w:val="clear" w:color="auto" w:fill="FFFFFF"/>
        </w:rPr>
        <w:t>the facilitation of</w:t>
      </w:r>
      <w:r w:rsidR="009249B4" w:rsidRPr="00FF1E6D">
        <w:rPr>
          <w:rFonts w:ascii="Century Gothic" w:hAnsi="Century Gothic" w:cstheme="minorHAnsi"/>
          <w:sz w:val="18"/>
          <w:szCs w:val="18"/>
          <w:shd w:val="clear" w:color="auto" w:fill="FFFFFF"/>
        </w:rPr>
        <w:t xml:space="preserve"> a ‘right to repair’. </w:t>
      </w:r>
    </w:p>
    <w:p w14:paraId="4D6D40D2" w14:textId="5D3CC9F1" w:rsidR="004575E2" w:rsidRDefault="00F776A4" w:rsidP="005B779C">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By design </w:t>
      </w:r>
      <w:r w:rsidR="009249B4" w:rsidRPr="00FF1E6D">
        <w:rPr>
          <w:rFonts w:ascii="Century Gothic" w:hAnsi="Century Gothic" w:cstheme="minorHAnsi"/>
          <w:sz w:val="18"/>
          <w:szCs w:val="18"/>
          <w:shd w:val="clear" w:color="auto" w:fill="FFFFFF"/>
        </w:rPr>
        <w:t>the cost of the Scheme is born by the producer</w:t>
      </w:r>
      <w:r w:rsidR="003A65FC">
        <w:rPr>
          <w:rFonts w:ascii="Century Gothic" w:hAnsi="Century Gothic" w:cstheme="minorHAnsi"/>
          <w:sz w:val="18"/>
          <w:szCs w:val="18"/>
          <w:shd w:val="clear" w:color="auto" w:fill="FFFFFF"/>
        </w:rPr>
        <w:t xml:space="preserve"> and the competitive nature of the TV industry did not allow for this additional cost to be passed on the consumer</w:t>
      </w:r>
      <w:r w:rsidR="009249B4" w:rsidRPr="00FF1E6D">
        <w:rPr>
          <w:rFonts w:ascii="Century Gothic" w:hAnsi="Century Gothic" w:cstheme="minorHAnsi"/>
          <w:sz w:val="18"/>
          <w:szCs w:val="18"/>
          <w:shd w:val="clear" w:color="auto" w:fill="FFFFFF"/>
        </w:rPr>
        <w:t xml:space="preserve">. </w:t>
      </w:r>
      <w:r w:rsidR="006047A5">
        <w:rPr>
          <w:rFonts w:ascii="Century Gothic" w:hAnsi="Century Gothic" w:cstheme="minorHAnsi"/>
          <w:sz w:val="18"/>
          <w:szCs w:val="18"/>
          <w:shd w:val="clear" w:color="auto" w:fill="FFFFFF"/>
        </w:rPr>
        <w:t xml:space="preserve">This </w:t>
      </w:r>
      <w:r w:rsidR="009249B4" w:rsidRPr="00FF1E6D">
        <w:rPr>
          <w:rFonts w:ascii="Century Gothic" w:hAnsi="Century Gothic" w:cstheme="minorHAnsi"/>
          <w:sz w:val="18"/>
          <w:szCs w:val="18"/>
          <w:shd w:val="clear" w:color="auto" w:fill="FFFFFF"/>
        </w:rPr>
        <w:t>Producer Responsib</w:t>
      </w:r>
      <w:r w:rsidR="006047A5">
        <w:rPr>
          <w:rFonts w:ascii="Century Gothic" w:hAnsi="Century Gothic" w:cstheme="minorHAnsi"/>
          <w:sz w:val="18"/>
          <w:szCs w:val="18"/>
          <w:shd w:val="clear" w:color="auto" w:fill="FFFFFF"/>
        </w:rPr>
        <w:t>le</w:t>
      </w:r>
      <w:r w:rsidR="009249B4" w:rsidRPr="00FF1E6D">
        <w:rPr>
          <w:rFonts w:ascii="Century Gothic" w:hAnsi="Century Gothic" w:cstheme="minorHAnsi"/>
          <w:sz w:val="18"/>
          <w:szCs w:val="18"/>
          <w:shd w:val="clear" w:color="auto" w:fill="FFFFFF"/>
        </w:rPr>
        <w:t xml:space="preserve"> </w:t>
      </w:r>
      <w:r w:rsidRPr="00FF1E6D">
        <w:rPr>
          <w:rFonts w:ascii="Century Gothic" w:hAnsi="Century Gothic" w:cstheme="minorHAnsi"/>
          <w:sz w:val="18"/>
          <w:szCs w:val="18"/>
          <w:shd w:val="clear" w:color="auto" w:fill="FFFFFF"/>
        </w:rPr>
        <w:t>s</w:t>
      </w:r>
      <w:r w:rsidR="009249B4" w:rsidRPr="00FF1E6D">
        <w:rPr>
          <w:rFonts w:ascii="Century Gothic" w:hAnsi="Century Gothic" w:cstheme="minorHAnsi"/>
          <w:sz w:val="18"/>
          <w:szCs w:val="18"/>
          <w:shd w:val="clear" w:color="auto" w:fill="FFFFFF"/>
        </w:rPr>
        <w:t>cheme add</w:t>
      </w:r>
      <w:r w:rsidR="004575E2">
        <w:rPr>
          <w:rFonts w:ascii="Century Gothic" w:hAnsi="Century Gothic" w:cstheme="minorHAnsi"/>
          <w:sz w:val="18"/>
          <w:szCs w:val="18"/>
          <w:shd w:val="clear" w:color="auto" w:fill="FFFFFF"/>
        </w:rPr>
        <w:t>ed</w:t>
      </w:r>
      <w:r w:rsidR="009249B4" w:rsidRPr="00FF1E6D">
        <w:rPr>
          <w:rFonts w:ascii="Century Gothic" w:hAnsi="Century Gothic" w:cstheme="minorHAnsi"/>
          <w:sz w:val="18"/>
          <w:szCs w:val="18"/>
          <w:shd w:val="clear" w:color="auto" w:fill="FFFFFF"/>
        </w:rPr>
        <w:t xml:space="preserve"> to the cost of the product causing the producer to </w:t>
      </w:r>
      <w:r w:rsidR="00A61C0B">
        <w:rPr>
          <w:rFonts w:ascii="Century Gothic" w:hAnsi="Century Gothic" w:cstheme="minorHAnsi"/>
          <w:sz w:val="18"/>
          <w:szCs w:val="18"/>
          <w:shd w:val="clear" w:color="auto" w:fill="FFFFFF"/>
        </w:rPr>
        <w:t xml:space="preserve">either </w:t>
      </w:r>
      <w:r w:rsidR="009249B4" w:rsidRPr="00FF1E6D">
        <w:rPr>
          <w:rFonts w:ascii="Century Gothic" w:hAnsi="Century Gothic" w:cstheme="minorHAnsi"/>
          <w:sz w:val="18"/>
          <w:szCs w:val="18"/>
          <w:shd w:val="clear" w:color="auto" w:fill="FFFFFF"/>
        </w:rPr>
        <w:t>seek design and manufacturing changes to reduce produc</w:t>
      </w:r>
      <w:r w:rsidR="009B60CC">
        <w:rPr>
          <w:rFonts w:ascii="Century Gothic" w:hAnsi="Century Gothic" w:cstheme="minorHAnsi"/>
          <w:sz w:val="18"/>
          <w:szCs w:val="18"/>
          <w:shd w:val="clear" w:color="auto" w:fill="FFFFFF"/>
        </w:rPr>
        <w:t>tion</w:t>
      </w:r>
      <w:r w:rsidR="009249B4" w:rsidRPr="00FF1E6D">
        <w:rPr>
          <w:rFonts w:ascii="Century Gothic" w:hAnsi="Century Gothic" w:cstheme="minorHAnsi"/>
          <w:sz w:val="18"/>
          <w:szCs w:val="18"/>
          <w:shd w:val="clear" w:color="auto" w:fill="FFFFFF"/>
        </w:rPr>
        <w:t xml:space="preserve"> cost</w:t>
      </w:r>
      <w:r w:rsidR="00A61C0B">
        <w:rPr>
          <w:rFonts w:ascii="Century Gothic" w:hAnsi="Century Gothic" w:cstheme="minorHAnsi"/>
          <w:sz w:val="18"/>
          <w:szCs w:val="18"/>
          <w:shd w:val="clear" w:color="auto" w:fill="FFFFFF"/>
        </w:rPr>
        <w:t xml:space="preserve"> or to exit the Australia marketplace</w:t>
      </w:r>
      <w:r w:rsidR="004575E2">
        <w:rPr>
          <w:rFonts w:ascii="Century Gothic" w:hAnsi="Century Gothic" w:cstheme="minorHAnsi"/>
          <w:sz w:val="18"/>
          <w:szCs w:val="18"/>
          <w:shd w:val="clear" w:color="auto" w:fill="FFFFFF"/>
        </w:rPr>
        <w:t>.</w:t>
      </w:r>
    </w:p>
    <w:p w14:paraId="36EF0807" w14:textId="7A6B6121" w:rsidR="00485AEA" w:rsidRDefault="00F776A4" w:rsidP="005B779C">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lastRenderedPageBreak/>
        <w:t>Adopting a Shared Responsibility for Product Stewardship shares the cost across the supply chain. Adopting such an approach r</w:t>
      </w:r>
      <w:r w:rsidR="009B60CC">
        <w:rPr>
          <w:rFonts w:ascii="Century Gothic" w:hAnsi="Century Gothic" w:cstheme="minorHAnsi"/>
          <w:sz w:val="18"/>
          <w:szCs w:val="18"/>
          <w:shd w:val="clear" w:color="auto" w:fill="FFFFFF"/>
        </w:rPr>
        <w:t>educes</w:t>
      </w:r>
      <w:r w:rsidRPr="00FF1E6D">
        <w:rPr>
          <w:rFonts w:ascii="Century Gothic" w:hAnsi="Century Gothic" w:cstheme="minorHAnsi"/>
          <w:sz w:val="18"/>
          <w:szCs w:val="18"/>
          <w:shd w:val="clear" w:color="auto" w:fill="FFFFFF"/>
        </w:rPr>
        <w:t xml:space="preserve"> the full impact</w:t>
      </w:r>
      <w:r w:rsidR="003A65FC">
        <w:rPr>
          <w:rFonts w:ascii="Century Gothic" w:hAnsi="Century Gothic" w:cstheme="minorHAnsi"/>
          <w:sz w:val="18"/>
          <w:szCs w:val="18"/>
          <w:shd w:val="clear" w:color="auto" w:fill="FFFFFF"/>
        </w:rPr>
        <w:t xml:space="preserve"> of Product Stewardship</w:t>
      </w:r>
      <w:r w:rsidRPr="00FF1E6D">
        <w:rPr>
          <w:rFonts w:ascii="Century Gothic" w:hAnsi="Century Gothic" w:cstheme="minorHAnsi"/>
          <w:sz w:val="18"/>
          <w:szCs w:val="18"/>
          <w:shd w:val="clear" w:color="auto" w:fill="FFFFFF"/>
        </w:rPr>
        <w:t xml:space="preserve"> </w:t>
      </w:r>
      <w:r w:rsidR="009B60CC">
        <w:rPr>
          <w:rFonts w:ascii="Century Gothic" w:hAnsi="Century Gothic" w:cstheme="minorHAnsi"/>
          <w:sz w:val="18"/>
          <w:szCs w:val="18"/>
          <w:shd w:val="clear" w:color="auto" w:fill="FFFFFF"/>
        </w:rPr>
        <w:t>on</w:t>
      </w:r>
      <w:r w:rsidRPr="00FF1E6D">
        <w:rPr>
          <w:rFonts w:ascii="Century Gothic" w:hAnsi="Century Gothic" w:cstheme="minorHAnsi"/>
          <w:sz w:val="18"/>
          <w:szCs w:val="18"/>
          <w:shd w:val="clear" w:color="auto" w:fill="FFFFFF"/>
        </w:rPr>
        <w:t xml:space="preserve"> the producer</w:t>
      </w:r>
      <w:r w:rsidR="009B60CC">
        <w:rPr>
          <w:rFonts w:ascii="Century Gothic" w:hAnsi="Century Gothic" w:cstheme="minorHAnsi"/>
          <w:sz w:val="18"/>
          <w:szCs w:val="18"/>
          <w:shd w:val="clear" w:color="auto" w:fill="FFFFFF"/>
        </w:rPr>
        <w:t xml:space="preserve"> and </w:t>
      </w:r>
      <w:r w:rsidR="001E2CDA">
        <w:rPr>
          <w:rFonts w:ascii="Century Gothic" w:hAnsi="Century Gothic" w:cstheme="minorHAnsi"/>
          <w:sz w:val="18"/>
          <w:szCs w:val="18"/>
          <w:shd w:val="clear" w:color="auto" w:fill="FFFFFF"/>
        </w:rPr>
        <w:t>has a positive effect on maintaining repairability.</w:t>
      </w:r>
    </w:p>
    <w:p w14:paraId="372089D7" w14:textId="7654C795" w:rsidR="00245109" w:rsidRDefault="00245109" w:rsidP="005B779C">
      <w:pPr>
        <w:spacing w:after="0"/>
        <w:rPr>
          <w:rFonts w:ascii="Century Gothic" w:hAnsi="Century Gothic" w:cstheme="minorHAnsi"/>
          <w:sz w:val="18"/>
          <w:szCs w:val="18"/>
          <w:shd w:val="clear" w:color="auto" w:fill="FFFFFF"/>
        </w:rPr>
      </w:pPr>
    </w:p>
    <w:p w14:paraId="2D798E19" w14:textId="77777777" w:rsidR="00245109" w:rsidRDefault="00245109" w:rsidP="005B779C">
      <w:pPr>
        <w:spacing w:after="0"/>
        <w:rPr>
          <w:rFonts w:ascii="Century Gothic" w:hAnsi="Century Gothic" w:cstheme="minorHAnsi"/>
          <w:sz w:val="18"/>
          <w:szCs w:val="18"/>
          <w:shd w:val="clear" w:color="auto" w:fill="FFFFFF"/>
        </w:rPr>
      </w:pPr>
    </w:p>
    <w:p w14:paraId="14D1BDC0" w14:textId="4844D3ED" w:rsidR="00F311B6" w:rsidRPr="00FF1E6D" w:rsidRDefault="00F311B6" w:rsidP="00F311B6">
      <w:pPr>
        <w:pStyle w:val="ListParagraph"/>
        <w:numPr>
          <w:ilvl w:val="0"/>
          <w:numId w:val="15"/>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How can a right to repair policy further reduce the net costs of e-waste in Australia?</w:t>
      </w:r>
    </w:p>
    <w:p w14:paraId="39C1FC74" w14:textId="45527F0A" w:rsidR="002B144B" w:rsidRPr="00FF1E6D" w:rsidRDefault="00F311B6" w:rsidP="00F311B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A decade ago, under the Trade Practices Act 1974, the right to repair was the predominant remedy offered to consumers</w:t>
      </w:r>
      <w:r w:rsidR="006047A5">
        <w:rPr>
          <w:rFonts w:ascii="Century Gothic" w:hAnsi="Century Gothic" w:cstheme="minorHAnsi"/>
          <w:sz w:val="18"/>
          <w:szCs w:val="18"/>
          <w:shd w:val="clear" w:color="auto" w:fill="FFFFFF"/>
        </w:rPr>
        <w:t>.</w:t>
      </w:r>
      <w:r w:rsidRPr="00FF1E6D">
        <w:rPr>
          <w:rFonts w:ascii="Century Gothic" w:hAnsi="Century Gothic" w:cstheme="minorHAnsi"/>
          <w:sz w:val="18"/>
          <w:szCs w:val="18"/>
          <w:shd w:val="clear" w:color="auto" w:fill="FFFFFF"/>
        </w:rPr>
        <w:t xml:space="preserve"> </w:t>
      </w:r>
      <w:r w:rsidR="006047A5">
        <w:rPr>
          <w:rFonts w:ascii="Century Gothic" w:hAnsi="Century Gothic" w:cstheme="minorHAnsi"/>
          <w:sz w:val="18"/>
          <w:szCs w:val="18"/>
          <w:shd w:val="clear" w:color="auto" w:fill="FFFFFF"/>
        </w:rPr>
        <w:t>T</w:t>
      </w:r>
      <w:r w:rsidR="002B144B" w:rsidRPr="00FF1E6D">
        <w:rPr>
          <w:rFonts w:ascii="Century Gothic" w:hAnsi="Century Gothic" w:cstheme="minorHAnsi"/>
          <w:sz w:val="18"/>
          <w:szCs w:val="18"/>
          <w:shd w:val="clear" w:color="auto" w:fill="FFFFFF"/>
        </w:rPr>
        <w:t xml:space="preserve">hose </w:t>
      </w:r>
      <w:r w:rsidR="006047A5">
        <w:rPr>
          <w:rFonts w:ascii="Century Gothic" w:hAnsi="Century Gothic" w:cstheme="minorHAnsi"/>
          <w:sz w:val="18"/>
          <w:szCs w:val="18"/>
          <w:shd w:val="clear" w:color="auto" w:fill="FFFFFF"/>
        </w:rPr>
        <w:t xml:space="preserve">faulty </w:t>
      </w:r>
      <w:r w:rsidRPr="00FF1E6D">
        <w:rPr>
          <w:rFonts w:ascii="Century Gothic" w:hAnsi="Century Gothic" w:cstheme="minorHAnsi"/>
          <w:sz w:val="18"/>
          <w:szCs w:val="18"/>
          <w:shd w:val="clear" w:color="auto" w:fill="FFFFFF"/>
        </w:rPr>
        <w:t>products</w:t>
      </w:r>
      <w:r w:rsidR="006047A5">
        <w:rPr>
          <w:rFonts w:ascii="Century Gothic" w:hAnsi="Century Gothic" w:cstheme="minorHAnsi"/>
          <w:sz w:val="18"/>
          <w:szCs w:val="18"/>
          <w:shd w:val="clear" w:color="auto" w:fill="FFFFFF"/>
        </w:rPr>
        <w:t xml:space="preserve"> not repaired were</w:t>
      </w:r>
      <w:r w:rsidRPr="00FF1E6D">
        <w:rPr>
          <w:rFonts w:ascii="Century Gothic" w:hAnsi="Century Gothic" w:cstheme="minorHAnsi"/>
          <w:sz w:val="18"/>
          <w:szCs w:val="18"/>
          <w:shd w:val="clear" w:color="auto" w:fill="FFFFFF"/>
        </w:rPr>
        <w:t xml:space="preserve"> returned to the manufacturer w</w:t>
      </w:r>
      <w:r w:rsidR="00894228">
        <w:rPr>
          <w:rFonts w:ascii="Century Gothic" w:hAnsi="Century Gothic" w:cstheme="minorHAnsi"/>
          <w:sz w:val="18"/>
          <w:szCs w:val="18"/>
          <w:shd w:val="clear" w:color="auto" w:fill="FFFFFF"/>
        </w:rPr>
        <w:t>h</w:t>
      </w:r>
      <w:r w:rsidRPr="00FF1E6D">
        <w:rPr>
          <w:rFonts w:ascii="Century Gothic" w:hAnsi="Century Gothic" w:cstheme="minorHAnsi"/>
          <w:sz w:val="18"/>
          <w:szCs w:val="18"/>
          <w:shd w:val="clear" w:color="auto" w:fill="FFFFFF"/>
        </w:rPr>
        <w:t>e</w:t>
      </w:r>
      <w:r w:rsidR="002B144B" w:rsidRPr="00FF1E6D">
        <w:rPr>
          <w:rFonts w:ascii="Century Gothic" w:hAnsi="Century Gothic" w:cstheme="minorHAnsi"/>
          <w:sz w:val="18"/>
          <w:szCs w:val="18"/>
          <w:shd w:val="clear" w:color="auto" w:fill="FFFFFF"/>
        </w:rPr>
        <w:t>re</w:t>
      </w:r>
      <w:r w:rsidRPr="00FF1E6D">
        <w:rPr>
          <w:rFonts w:ascii="Century Gothic" w:hAnsi="Century Gothic" w:cstheme="minorHAnsi"/>
          <w:sz w:val="18"/>
          <w:szCs w:val="18"/>
          <w:shd w:val="clear" w:color="auto" w:fill="FFFFFF"/>
        </w:rPr>
        <w:t xml:space="preserve"> </w:t>
      </w:r>
      <w:r w:rsidR="002B144B" w:rsidRPr="00FF1E6D">
        <w:rPr>
          <w:rFonts w:ascii="Century Gothic" w:hAnsi="Century Gothic" w:cstheme="minorHAnsi"/>
          <w:sz w:val="18"/>
          <w:szCs w:val="18"/>
          <w:shd w:val="clear" w:color="auto" w:fill="FFFFFF"/>
        </w:rPr>
        <w:t>refurbishment and re</w:t>
      </w:r>
      <w:r w:rsidR="006047A5">
        <w:rPr>
          <w:rFonts w:ascii="Century Gothic" w:hAnsi="Century Gothic" w:cstheme="minorHAnsi"/>
          <w:sz w:val="18"/>
          <w:szCs w:val="18"/>
          <w:shd w:val="clear" w:color="auto" w:fill="FFFFFF"/>
        </w:rPr>
        <w:t>sale</w:t>
      </w:r>
      <w:r w:rsidR="002B144B" w:rsidRPr="00FF1E6D">
        <w:rPr>
          <w:rFonts w:ascii="Century Gothic" w:hAnsi="Century Gothic" w:cstheme="minorHAnsi"/>
          <w:sz w:val="18"/>
          <w:szCs w:val="18"/>
          <w:shd w:val="clear" w:color="auto" w:fill="FFFFFF"/>
        </w:rPr>
        <w:t xml:space="preserve"> via seconds retailers</w:t>
      </w:r>
      <w:r w:rsidR="006047A5">
        <w:rPr>
          <w:rFonts w:ascii="Century Gothic" w:hAnsi="Century Gothic" w:cstheme="minorHAnsi"/>
          <w:sz w:val="18"/>
          <w:szCs w:val="18"/>
          <w:shd w:val="clear" w:color="auto" w:fill="FFFFFF"/>
        </w:rPr>
        <w:t xml:space="preserve"> was financially viable</w:t>
      </w:r>
      <w:r w:rsidR="002B144B" w:rsidRPr="00FF1E6D">
        <w:rPr>
          <w:rFonts w:ascii="Century Gothic" w:hAnsi="Century Gothic" w:cstheme="minorHAnsi"/>
          <w:sz w:val="18"/>
          <w:szCs w:val="18"/>
          <w:shd w:val="clear" w:color="auto" w:fill="FFFFFF"/>
        </w:rPr>
        <w:t>.</w:t>
      </w:r>
    </w:p>
    <w:p w14:paraId="5E1260E4" w14:textId="77777777" w:rsidR="008E654D" w:rsidRDefault="002B144B" w:rsidP="00F311B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T</w:t>
      </w:r>
      <w:r w:rsidR="006047A5">
        <w:rPr>
          <w:rFonts w:ascii="Century Gothic" w:hAnsi="Century Gothic" w:cstheme="minorHAnsi"/>
          <w:sz w:val="18"/>
          <w:szCs w:val="18"/>
          <w:shd w:val="clear" w:color="auto" w:fill="FFFFFF"/>
        </w:rPr>
        <w:t xml:space="preserve">oday the </w:t>
      </w:r>
      <w:r w:rsidRPr="00FF1E6D">
        <w:rPr>
          <w:rFonts w:ascii="Century Gothic" w:hAnsi="Century Gothic" w:cstheme="minorHAnsi"/>
          <w:sz w:val="18"/>
          <w:szCs w:val="18"/>
          <w:shd w:val="clear" w:color="auto" w:fill="FFFFFF"/>
        </w:rPr>
        <w:t>ACL give</w:t>
      </w:r>
      <w:r w:rsidR="006047A5">
        <w:rPr>
          <w:rFonts w:ascii="Century Gothic" w:hAnsi="Century Gothic" w:cstheme="minorHAnsi"/>
          <w:sz w:val="18"/>
          <w:szCs w:val="18"/>
          <w:shd w:val="clear" w:color="auto" w:fill="FFFFFF"/>
        </w:rPr>
        <w:t>s</w:t>
      </w:r>
      <w:r w:rsidRPr="00FF1E6D">
        <w:rPr>
          <w:rFonts w:ascii="Century Gothic" w:hAnsi="Century Gothic" w:cstheme="minorHAnsi"/>
          <w:sz w:val="18"/>
          <w:szCs w:val="18"/>
          <w:shd w:val="clear" w:color="auto" w:fill="FFFFFF"/>
        </w:rPr>
        <w:t xml:space="preserve"> the consumer the right</w:t>
      </w:r>
      <w:r w:rsidR="006047A5">
        <w:rPr>
          <w:rFonts w:ascii="Century Gothic" w:hAnsi="Century Gothic" w:cstheme="minorHAnsi"/>
          <w:sz w:val="18"/>
          <w:szCs w:val="18"/>
          <w:shd w:val="clear" w:color="auto" w:fill="FFFFFF"/>
        </w:rPr>
        <w:t>, in many cases,</w:t>
      </w:r>
      <w:r w:rsidRPr="00FF1E6D">
        <w:rPr>
          <w:rFonts w:ascii="Century Gothic" w:hAnsi="Century Gothic" w:cstheme="minorHAnsi"/>
          <w:sz w:val="18"/>
          <w:szCs w:val="18"/>
          <w:shd w:val="clear" w:color="auto" w:fill="FFFFFF"/>
        </w:rPr>
        <w:t xml:space="preserve"> to determine the remedy and repair is the least likely option to be chosen. Secondly, the financial viability of product refurbishment is </w:t>
      </w:r>
      <w:r w:rsidR="009934DF" w:rsidRPr="00FF1E6D">
        <w:rPr>
          <w:rFonts w:ascii="Century Gothic" w:hAnsi="Century Gothic" w:cstheme="minorHAnsi"/>
          <w:sz w:val="18"/>
          <w:szCs w:val="18"/>
          <w:shd w:val="clear" w:color="auto" w:fill="FFFFFF"/>
        </w:rPr>
        <w:t xml:space="preserve">now </w:t>
      </w:r>
      <w:r w:rsidRPr="00FF1E6D">
        <w:rPr>
          <w:rFonts w:ascii="Century Gothic" w:hAnsi="Century Gothic" w:cstheme="minorHAnsi"/>
          <w:sz w:val="18"/>
          <w:szCs w:val="18"/>
          <w:shd w:val="clear" w:color="auto" w:fill="FFFFFF"/>
        </w:rPr>
        <w:t>all but non-existent in my most recent experience.</w:t>
      </w:r>
      <w:r w:rsidR="009934DF" w:rsidRPr="00FF1E6D">
        <w:rPr>
          <w:rFonts w:ascii="Century Gothic" w:hAnsi="Century Gothic" w:cstheme="minorHAnsi"/>
          <w:sz w:val="18"/>
          <w:szCs w:val="18"/>
          <w:shd w:val="clear" w:color="auto" w:fill="FFFFFF"/>
        </w:rPr>
        <w:t xml:space="preserve"> </w:t>
      </w:r>
    </w:p>
    <w:p w14:paraId="6F339CB7" w14:textId="331B608E" w:rsidR="002B144B" w:rsidRPr="00FF1E6D" w:rsidRDefault="009934DF" w:rsidP="00F311B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Over this time I witnessed a consistent decline in the quantity of repairs</w:t>
      </w:r>
      <w:r w:rsidR="001E2CDA">
        <w:rPr>
          <w:rFonts w:ascii="Century Gothic" w:hAnsi="Century Gothic" w:cstheme="minorHAnsi"/>
          <w:sz w:val="18"/>
          <w:szCs w:val="18"/>
          <w:shd w:val="clear" w:color="auto" w:fill="FFFFFF"/>
        </w:rPr>
        <w:t xml:space="preserve"> and </w:t>
      </w:r>
      <w:r w:rsidRPr="00FF1E6D">
        <w:rPr>
          <w:rFonts w:ascii="Century Gothic" w:hAnsi="Century Gothic" w:cstheme="minorHAnsi"/>
          <w:sz w:val="18"/>
          <w:szCs w:val="18"/>
          <w:shd w:val="clear" w:color="auto" w:fill="FFFFFF"/>
        </w:rPr>
        <w:t xml:space="preserve">refurbishment </w:t>
      </w:r>
      <w:r w:rsidR="008E654D">
        <w:rPr>
          <w:rFonts w:ascii="Century Gothic" w:hAnsi="Century Gothic" w:cstheme="minorHAnsi"/>
          <w:sz w:val="18"/>
          <w:szCs w:val="18"/>
          <w:shd w:val="clear" w:color="auto" w:fill="FFFFFF"/>
        </w:rPr>
        <w:t xml:space="preserve">of products </w:t>
      </w:r>
      <w:r w:rsidRPr="00FF1E6D">
        <w:rPr>
          <w:rFonts w:ascii="Century Gothic" w:hAnsi="Century Gothic" w:cstheme="minorHAnsi"/>
          <w:sz w:val="18"/>
          <w:szCs w:val="18"/>
          <w:shd w:val="clear" w:color="auto" w:fill="FFFFFF"/>
        </w:rPr>
        <w:t>and a corresponding increase in the quantity of product sen</w:t>
      </w:r>
      <w:r w:rsidR="003A65FC">
        <w:rPr>
          <w:rFonts w:ascii="Century Gothic" w:hAnsi="Century Gothic" w:cstheme="minorHAnsi"/>
          <w:sz w:val="18"/>
          <w:szCs w:val="18"/>
          <w:shd w:val="clear" w:color="auto" w:fill="FFFFFF"/>
        </w:rPr>
        <w:t>t</w:t>
      </w:r>
      <w:r w:rsidRPr="00FF1E6D">
        <w:rPr>
          <w:rFonts w:ascii="Century Gothic" w:hAnsi="Century Gothic" w:cstheme="minorHAnsi"/>
          <w:sz w:val="18"/>
          <w:szCs w:val="18"/>
          <w:shd w:val="clear" w:color="auto" w:fill="FFFFFF"/>
        </w:rPr>
        <w:t xml:space="preserve"> to destruction and adding to the cost, and environmental impact, of e-waste. </w:t>
      </w:r>
      <w:r w:rsidR="002B144B" w:rsidRPr="00FF1E6D">
        <w:rPr>
          <w:rFonts w:ascii="Century Gothic" w:hAnsi="Century Gothic" w:cstheme="minorHAnsi"/>
          <w:sz w:val="18"/>
          <w:szCs w:val="18"/>
          <w:shd w:val="clear" w:color="auto" w:fill="FFFFFF"/>
        </w:rPr>
        <w:t xml:space="preserve"> </w:t>
      </w:r>
    </w:p>
    <w:p w14:paraId="138302C4" w14:textId="3AB77089" w:rsidR="00F311B6" w:rsidRPr="00FF1E6D" w:rsidRDefault="002B144B" w:rsidP="00F311B6">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Making amendments to the ACL to encourage repair as a preferred option and establishing product design standards</w:t>
      </w:r>
      <w:r w:rsidR="009934DF" w:rsidRPr="00FF1E6D">
        <w:rPr>
          <w:rFonts w:ascii="Century Gothic" w:hAnsi="Century Gothic" w:cstheme="minorHAnsi"/>
          <w:sz w:val="18"/>
          <w:szCs w:val="18"/>
          <w:shd w:val="clear" w:color="auto" w:fill="FFFFFF"/>
        </w:rPr>
        <w:t xml:space="preserve"> aid in the financial viability of repair and refurbishment </w:t>
      </w:r>
      <w:r w:rsidR="003A65FC">
        <w:rPr>
          <w:rFonts w:ascii="Century Gothic" w:hAnsi="Century Gothic" w:cstheme="minorHAnsi"/>
          <w:sz w:val="18"/>
          <w:szCs w:val="18"/>
          <w:shd w:val="clear" w:color="auto" w:fill="FFFFFF"/>
        </w:rPr>
        <w:t xml:space="preserve">and </w:t>
      </w:r>
      <w:r w:rsidR="009934DF" w:rsidRPr="00FF1E6D">
        <w:rPr>
          <w:rFonts w:ascii="Century Gothic" w:hAnsi="Century Gothic" w:cstheme="minorHAnsi"/>
          <w:sz w:val="18"/>
          <w:szCs w:val="18"/>
          <w:shd w:val="clear" w:color="auto" w:fill="FFFFFF"/>
        </w:rPr>
        <w:t xml:space="preserve">will positively reduce e-waste in Australia. </w:t>
      </w:r>
      <w:r w:rsidRPr="00FF1E6D">
        <w:rPr>
          <w:rFonts w:ascii="Century Gothic" w:hAnsi="Century Gothic" w:cstheme="minorHAnsi"/>
          <w:sz w:val="18"/>
          <w:szCs w:val="18"/>
          <w:shd w:val="clear" w:color="auto" w:fill="FFFFFF"/>
        </w:rPr>
        <w:t xml:space="preserve">  </w:t>
      </w:r>
      <w:r w:rsidR="00F311B6" w:rsidRPr="00FF1E6D">
        <w:rPr>
          <w:rFonts w:ascii="Century Gothic" w:hAnsi="Century Gothic" w:cstheme="minorHAnsi"/>
          <w:sz w:val="18"/>
          <w:szCs w:val="18"/>
          <w:shd w:val="clear" w:color="auto" w:fill="FFFFFF"/>
        </w:rPr>
        <w:t xml:space="preserve">  </w:t>
      </w:r>
    </w:p>
    <w:p w14:paraId="77991242" w14:textId="123088CA" w:rsidR="005B779C" w:rsidRPr="00FF1E6D" w:rsidRDefault="005B779C" w:rsidP="005B779C">
      <w:pPr>
        <w:spacing w:after="0"/>
        <w:rPr>
          <w:rFonts w:ascii="Century Gothic" w:hAnsi="Century Gothic" w:cstheme="minorHAnsi"/>
          <w:sz w:val="18"/>
          <w:szCs w:val="18"/>
          <w:shd w:val="clear" w:color="auto" w:fill="FFFFFF"/>
        </w:rPr>
      </w:pPr>
    </w:p>
    <w:p w14:paraId="6AFC77EF" w14:textId="77777777" w:rsidR="00F7536A" w:rsidRPr="00FF1E6D" w:rsidRDefault="00F7536A" w:rsidP="005B779C">
      <w:pPr>
        <w:spacing w:after="0"/>
        <w:rPr>
          <w:rFonts w:ascii="Century Gothic" w:hAnsi="Century Gothic" w:cstheme="minorHAnsi"/>
          <w:sz w:val="18"/>
          <w:szCs w:val="18"/>
          <w:shd w:val="clear" w:color="auto" w:fill="FFFFFF"/>
        </w:rPr>
      </w:pPr>
    </w:p>
    <w:p w14:paraId="5FB54B35" w14:textId="41DCA3CC" w:rsidR="009249B4" w:rsidRPr="00B56214" w:rsidRDefault="009249B4" w:rsidP="005B779C">
      <w:pPr>
        <w:spacing w:after="0"/>
        <w:rPr>
          <w:rFonts w:ascii="Century Gothic" w:hAnsi="Century Gothic" w:cstheme="minorHAnsi"/>
          <w:b/>
          <w:bCs/>
          <w:sz w:val="18"/>
          <w:szCs w:val="18"/>
          <w:shd w:val="clear" w:color="auto" w:fill="FFFFFF"/>
        </w:rPr>
      </w:pPr>
      <w:r w:rsidRPr="00B56214">
        <w:rPr>
          <w:rFonts w:ascii="Century Gothic" w:hAnsi="Century Gothic" w:cstheme="minorHAnsi"/>
          <w:b/>
          <w:bCs/>
          <w:sz w:val="18"/>
          <w:szCs w:val="18"/>
          <w:shd w:val="clear" w:color="auto" w:fill="FFFFFF"/>
        </w:rPr>
        <w:t>INFORMATION REQUEST 8</w:t>
      </w:r>
    </w:p>
    <w:p w14:paraId="48849337" w14:textId="246BB5F9" w:rsidR="009249B4" w:rsidRPr="00FF1E6D" w:rsidRDefault="009249B4" w:rsidP="005B779C">
      <w:pPr>
        <w:spacing w:after="0"/>
        <w:rPr>
          <w:rFonts w:ascii="Century Gothic" w:hAnsi="Century Gothic" w:cstheme="minorHAnsi"/>
          <w:sz w:val="18"/>
          <w:szCs w:val="18"/>
          <w:shd w:val="clear" w:color="auto" w:fill="FFFFFF"/>
        </w:rPr>
      </w:pPr>
    </w:p>
    <w:p w14:paraId="5330CCE0" w14:textId="0204D932" w:rsidR="00F7536A" w:rsidRPr="00FF1E6D" w:rsidRDefault="00F7536A" w:rsidP="00F7536A">
      <w:pPr>
        <w:pStyle w:val="ListParagraph"/>
        <w:numPr>
          <w:ilvl w:val="0"/>
          <w:numId w:val="16"/>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What policy reforms or suites of policies are necessary to facilitate a ‘right of repair’ in Australia?</w:t>
      </w:r>
    </w:p>
    <w:p w14:paraId="1C6F4A0D" w14:textId="25CA2BD2" w:rsidR="00E11009" w:rsidRDefault="00F7536A" w:rsidP="00F7536A">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I believe there is opportunity for policy reform in the following area</w:t>
      </w:r>
      <w:r w:rsidR="00E11009" w:rsidRPr="00FF1E6D">
        <w:rPr>
          <w:rFonts w:ascii="Century Gothic" w:hAnsi="Century Gothic" w:cstheme="minorHAnsi"/>
          <w:sz w:val="18"/>
          <w:szCs w:val="18"/>
          <w:shd w:val="clear" w:color="auto" w:fill="FFFFFF"/>
        </w:rPr>
        <w:t>s:</w:t>
      </w:r>
    </w:p>
    <w:p w14:paraId="57FFEB82" w14:textId="77777777" w:rsidR="0069349F" w:rsidRPr="00FF1E6D" w:rsidRDefault="0069349F" w:rsidP="00F7536A">
      <w:pPr>
        <w:spacing w:after="0"/>
        <w:rPr>
          <w:rFonts w:ascii="Century Gothic" w:hAnsi="Century Gothic" w:cstheme="minorHAnsi"/>
          <w:sz w:val="18"/>
          <w:szCs w:val="18"/>
          <w:shd w:val="clear" w:color="auto" w:fill="FFFFFF"/>
        </w:rPr>
      </w:pPr>
    </w:p>
    <w:p w14:paraId="5C0DB4D6" w14:textId="7BD02824" w:rsidR="00E11009" w:rsidRPr="00FF1E6D" w:rsidRDefault="00E11009" w:rsidP="00E11009">
      <w:pPr>
        <w:pStyle w:val="ListParagraph"/>
        <w:numPr>
          <w:ilvl w:val="0"/>
          <w:numId w:val="17"/>
        </w:num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ACL reform to promote repair as a preferred remedy rather than replace or refund</w:t>
      </w:r>
    </w:p>
    <w:p w14:paraId="3DACC8EB" w14:textId="373B5268" w:rsidR="00E21FDB" w:rsidRDefault="001E2CDA" w:rsidP="00E11009">
      <w:pPr>
        <w:pStyle w:val="ListParagraph"/>
        <w:numPr>
          <w:ilvl w:val="0"/>
          <w:numId w:val="17"/>
        </w:num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 xml:space="preserve">Establish </w:t>
      </w:r>
      <w:r w:rsidR="00894228">
        <w:rPr>
          <w:rFonts w:ascii="Century Gothic" w:hAnsi="Century Gothic" w:cstheme="minorHAnsi"/>
          <w:sz w:val="18"/>
          <w:szCs w:val="18"/>
          <w:shd w:val="clear" w:color="auto" w:fill="FFFFFF"/>
        </w:rPr>
        <w:t>a</w:t>
      </w:r>
      <w:r>
        <w:rPr>
          <w:rFonts w:ascii="Century Gothic" w:hAnsi="Century Gothic" w:cstheme="minorHAnsi"/>
          <w:sz w:val="18"/>
          <w:szCs w:val="18"/>
          <w:shd w:val="clear" w:color="auto" w:fill="FFFFFF"/>
        </w:rPr>
        <w:t xml:space="preserve"> ‘Circular Economy</w:t>
      </w:r>
      <w:r w:rsidR="00E21FDB">
        <w:rPr>
          <w:rFonts w:ascii="Century Gothic" w:hAnsi="Century Gothic" w:cstheme="minorHAnsi"/>
          <w:sz w:val="18"/>
          <w:szCs w:val="18"/>
          <w:shd w:val="clear" w:color="auto" w:fill="FFFFFF"/>
        </w:rPr>
        <w:t xml:space="preserve"> Rating System’ that provides consumers with information at point of sale to make an informed decision with respect to repairability and other Circular Economy </w:t>
      </w:r>
      <w:r w:rsidR="00DE4416">
        <w:rPr>
          <w:rFonts w:ascii="Century Gothic" w:hAnsi="Century Gothic" w:cstheme="minorHAnsi"/>
          <w:sz w:val="18"/>
          <w:szCs w:val="18"/>
          <w:shd w:val="clear" w:color="auto" w:fill="FFFFFF"/>
        </w:rPr>
        <w:t>attributes</w:t>
      </w:r>
      <w:r w:rsidR="00E21FDB">
        <w:rPr>
          <w:rFonts w:ascii="Century Gothic" w:hAnsi="Century Gothic" w:cstheme="minorHAnsi"/>
          <w:sz w:val="18"/>
          <w:szCs w:val="18"/>
          <w:shd w:val="clear" w:color="auto" w:fill="FFFFFF"/>
        </w:rPr>
        <w:t>.</w:t>
      </w:r>
    </w:p>
    <w:p w14:paraId="070B4B39" w14:textId="77777777" w:rsidR="00DE4416" w:rsidRDefault="00DE4416" w:rsidP="00E11009">
      <w:pPr>
        <w:pStyle w:val="ListParagraph"/>
        <w:numPr>
          <w:ilvl w:val="0"/>
          <w:numId w:val="17"/>
        </w:num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Allow for the free and open access to repair information.</w:t>
      </w:r>
    </w:p>
    <w:p w14:paraId="3A5FDFBD" w14:textId="37CF9362" w:rsidR="00DE4416" w:rsidRDefault="00DE4416" w:rsidP="00E11009">
      <w:pPr>
        <w:pStyle w:val="ListParagraph"/>
        <w:numPr>
          <w:ilvl w:val="0"/>
          <w:numId w:val="17"/>
        </w:num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 xml:space="preserve">Provide </w:t>
      </w:r>
      <w:r w:rsidR="0069349F">
        <w:rPr>
          <w:rFonts w:ascii="Century Gothic" w:hAnsi="Century Gothic" w:cstheme="minorHAnsi"/>
          <w:sz w:val="18"/>
          <w:szCs w:val="18"/>
          <w:shd w:val="clear" w:color="auto" w:fill="FFFFFF"/>
        </w:rPr>
        <w:t>support</w:t>
      </w:r>
      <w:r>
        <w:rPr>
          <w:rFonts w:ascii="Century Gothic" w:hAnsi="Century Gothic" w:cstheme="minorHAnsi"/>
          <w:sz w:val="18"/>
          <w:szCs w:val="18"/>
          <w:shd w:val="clear" w:color="auto" w:fill="FFFFFF"/>
        </w:rPr>
        <w:t xml:space="preserve"> to industry </w:t>
      </w:r>
      <w:r w:rsidR="0069349F">
        <w:rPr>
          <w:rFonts w:ascii="Century Gothic" w:hAnsi="Century Gothic" w:cstheme="minorHAnsi"/>
          <w:sz w:val="18"/>
          <w:szCs w:val="18"/>
          <w:shd w:val="clear" w:color="auto" w:fill="FFFFFF"/>
        </w:rPr>
        <w:t xml:space="preserve">(financial or other) </w:t>
      </w:r>
      <w:r>
        <w:rPr>
          <w:rFonts w:ascii="Century Gothic" w:hAnsi="Century Gothic" w:cstheme="minorHAnsi"/>
          <w:sz w:val="18"/>
          <w:szCs w:val="18"/>
          <w:shd w:val="clear" w:color="auto" w:fill="FFFFFF"/>
        </w:rPr>
        <w:t xml:space="preserve">to establish viable </w:t>
      </w:r>
      <w:r w:rsidR="0069349F">
        <w:rPr>
          <w:rFonts w:ascii="Century Gothic" w:hAnsi="Century Gothic" w:cstheme="minorHAnsi"/>
          <w:sz w:val="18"/>
          <w:szCs w:val="18"/>
          <w:shd w:val="clear" w:color="auto" w:fill="FFFFFF"/>
        </w:rPr>
        <w:t xml:space="preserve">new </w:t>
      </w:r>
      <w:r>
        <w:rPr>
          <w:rFonts w:ascii="Century Gothic" w:hAnsi="Century Gothic" w:cstheme="minorHAnsi"/>
          <w:sz w:val="18"/>
          <w:szCs w:val="18"/>
          <w:shd w:val="clear" w:color="auto" w:fill="FFFFFF"/>
        </w:rPr>
        <w:t>business activities</w:t>
      </w:r>
      <w:r w:rsidR="0069349F">
        <w:rPr>
          <w:rFonts w:ascii="Century Gothic" w:hAnsi="Century Gothic" w:cstheme="minorHAnsi"/>
          <w:sz w:val="18"/>
          <w:szCs w:val="18"/>
          <w:shd w:val="clear" w:color="auto" w:fill="FFFFFF"/>
        </w:rPr>
        <w:t xml:space="preserve"> that support the </w:t>
      </w:r>
      <w:r w:rsidR="0063734B">
        <w:rPr>
          <w:rFonts w:ascii="Century Gothic" w:hAnsi="Century Gothic" w:cstheme="minorHAnsi"/>
          <w:sz w:val="18"/>
          <w:szCs w:val="18"/>
          <w:shd w:val="clear" w:color="auto" w:fill="FFFFFF"/>
        </w:rPr>
        <w:t xml:space="preserve">ongoing </w:t>
      </w:r>
      <w:r w:rsidR="0069349F">
        <w:rPr>
          <w:rFonts w:ascii="Century Gothic" w:hAnsi="Century Gothic" w:cstheme="minorHAnsi"/>
          <w:sz w:val="18"/>
          <w:szCs w:val="18"/>
          <w:shd w:val="clear" w:color="auto" w:fill="FFFFFF"/>
        </w:rPr>
        <w:t>viability or the repair economy.</w:t>
      </w:r>
      <w:r>
        <w:rPr>
          <w:rFonts w:ascii="Century Gothic" w:hAnsi="Century Gothic" w:cstheme="minorHAnsi"/>
          <w:sz w:val="18"/>
          <w:szCs w:val="18"/>
          <w:shd w:val="clear" w:color="auto" w:fill="FFFFFF"/>
        </w:rPr>
        <w:t xml:space="preserve"> </w:t>
      </w:r>
      <w:r w:rsidR="0069349F">
        <w:rPr>
          <w:rFonts w:ascii="Century Gothic" w:hAnsi="Century Gothic" w:cstheme="minorHAnsi"/>
          <w:sz w:val="18"/>
          <w:szCs w:val="18"/>
          <w:shd w:val="clear" w:color="auto" w:fill="FFFFFF"/>
        </w:rPr>
        <w:t>(</w:t>
      </w:r>
      <w:r w:rsidR="0063734B">
        <w:rPr>
          <w:rFonts w:ascii="Century Gothic" w:hAnsi="Century Gothic" w:cstheme="minorHAnsi"/>
          <w:sz w:val="18"/>
          <w:szCs w:val="18"/>
          <w:shd w:val="clear" w:color="auto" w:fill="FFFFFF"/>
        </w:rPr>
        <w:t>e.g.</w:t>
      </w:r>
      <w:r w:rsidR="0069349F">
        <w:rPr>
          <w:rFonts w:ascii="Century Gothic" w:hAnsi="Century Gothic" w:cstheme="minorHAnsi"/>
          <w:sz w:val="18"/>
          <w:szCs w:val="18"/>
          <w:shd w:val="clear" w:color="auto" w:fill="FFFFFF"/>
        </w:rPr>
        <w:t xml:space="preserve"> establish business activity </w:t>
      </w:r>
      <w:r>
        <w:rPr>
          <w:rFonts w:ascii="Century Gothic" w:hAnsi="Century Gothic" w:cstheme="minorHAnsi"/>
          <w:sz w:val="18"/>
          <w:szCs w:val="18"/>
          <w:shd w:val="clear" w:color="auto" w:fill="FFFFFF"/>
        </w:rPr>
        <w:t>to harvest, reclaim, test, validate and resell spare parts at affordable prices.</w:t>
      </w:r>
      <w:r w:rsidR="0069349F">
        <w:rPr>
          <w:rFonts w:ascii="Century Gothic" w:hAnsi="Century Gothic" w:cstheme="minorHAnsi"/>
          <w:sz w:val="18"/>
          <w:szCs w:val="18"/>
          <w:shd w:val="clear" w:color="auto" w:fill="FFFFFF"/>
        </w:rPr>
        <w:t>)</w:t>
      </w:r>
    </w:p>
    <w:p w14:paraId="1152008C" w14:textId="3B392B63" w:rsidR="005B779C" w:rsidRPr="00981BEE" w:rsidRDefault="00DE4416" w:rsidP="005B779C">
      <w:pPr>
        <w:pStyle w:val="ListParagraph"/>
        <w:numPr>
          <w:ilvl w:val="0"/>
          <w:numId w:val="17"/>
        </w:numPr>
        <w:spacing w:after="0"/>
        <w:rPr>
          <w:rFonts w:ascii="Century Gothic" w:hAnsi="Century Gothic" w:cstheme="minorHAnsi"/>
          <w:sz w:val="18"/>
          <w:szCs w:val="18"/>
          <w:shd w:val="clear" w:color="auto" w:fill="FFFFFF"/>
        </w:rPr>
      </w:pPr>
      <w:r w:rsidRPr="00981BEE">
        <w:rPr>
          <w:rFonts w:ascii="Century Gothic" w:hAnsi="Century Gothic" w:cstheme="minorHAnsi"/>
          <w:sz w:val="18"/>
          <w:szCs w:val="18"/>
          <w:shd w:val="clear" w:color="auto" w:fill="FFFFFF"/>
        </w:rPr>
        <w:t xml:space="preserve">Provide </w:t>
      </w:r>
      <w:r w:rsidR="0069349F">
        <w:rPr>
          <w:rFonts w:ascii="Century Gothic" w:hAnsi="Century Gothic" w:cstheme="minorHAnsi"/>
          <w:sz w:val="18"/>
          <w:szCs w:val="18"/>
          <w:shd w:val="clear" w:color="auto" w:fill="FFFFFF"/>
        </w:rPr>
        <w:t>support to industry (financial or other)</w:t>
      </w:r>
      <w:r w:rsidRPr="00981BEE">
        <w:rPr>
          <w:rFonts w:ascii="Century Gothic" w:hAnsi="Century Gothic" w:cstheme="minorHAnsi"/>
          <w:sz w:val="18"/>
          <w:szCs w:val="18"/>
          <w:shd w:val="clear" w:color="auto" w:fill="FFFFFF"/>
        </w:rPr>
        <w:t xml:space="preserve"> to facilitate a vibrant resurgence of a flagging repair</w:t>
      </w:r>
      <w:r w:rsidR="00981BEE" w:rsidRPr="00981BEE">
        <w:rPr>
          <w:rFonts w:ascii="Century Gothic" w:hAnsi="Century Gothic" w:cstheme="minorHAnsi"/>
          <w:sz w:val="18"/>
          <w:szCs w:val="18"/>
          <w:shd w:val="clear" w:color="auto" w:fill="FFFFFF"/>
        </w:rPr>
        <w:t xml:space="preserve"> and refurbishment</w:t>
      </w:r>
      <w:r w:rsidRPr="00981BEE">
        <w:rPr>
          <w:rFonts w:ascii="Century Gothic" w:hAnsi="Century Gothic" w:cstheme="minorHAnsi"/>
          <w:sz w:val="18"/>
          <w:szCs w:val="18"/>
          <w:shd w:val="clear" w:color="auto" w:fill="FFFFFF"/>
        </w:rPr>
        <w:t xml:space="preserve"> industry</w:t>
      </w:r>
      <w:r w:rsidR="005B779C" w:rsidRPr="00981BEE">
        <w:rPr>
          <w:rFonts w:ascii="Century Gothic" w:hAnsi="Century Gothic" w:cstheme="minorHAnsi"/>
          <w:sz w:val="18"/>
          <w:szCs w:val="18"/>
          <w:shd w:val="clear" w:color="auto" w:fill="FFFFFF"/>
        </w:rPr>
        <w:t xml:space="preserve">  </w:t>
      </w:r>
    </w:p>
    <w:p w14:paraId="294B4149" w14:textId="77777777" w:rsidR="0021600F" w:rsidRPr="00FF1E6D" w:rsidRDefault="0021600F" w:rsidP="00B23CF0">
      <w:pPr>
        <w:spacing w:after="0"/>
        <w:rPr>
          <w:rFonts w:ascii="Century Gothic" w:hAnsi="Century Gothic" w:cstheme="minorHAnsi"/>
          <w:sz w:val="18"/>
          <w:szCs w:val="18"/>
          <w:shd w:val="clear" w:color="auto" w:fill="FFFFFF"/>
        </w:rPr>
      </w:pPr>
    </w:p>
    <w:p w14:paraId="74BCC6DE" w14:textId="4B1CDBDC" w:rsidR="0021600F" w:rsidRPr="00FF1E6D" w:rsidRDefault="00325E3F" w:rsidP="00325E3F">
      <w:pPr>
        <w:pStyle w:val="ListParagraph"/>
        <w:numPr>
          <w:ilvl w:val="0"/>
          <w:numId w:val="16"/>
        </w:numPr>
        <w:spacing w:after="0"/>
        <w:rPr>
          <w:rFonts w:ascii="Century Gothic" w:hAnsi="Century Gothic" w:cstheme="minorHAnsi"/>
          <w:i/>
          <w:iCs/>
          <w:color w:val="0070C0"/>
          <w:sz w:val="18"/>
          <w:szCs w:val="18"/>
          <w:shd w:val="clear" w:color="auto" w:fill="FFFFFF"/>
        </w:rPr>
      </w:pPr>
      <w:r w:rsidRPr="00FF1E6D">
        <w:rPr>
          <w:rFonts w:ascii="Century Gothic" w:hAnsi="Century Gothic" w:cstheme="minorHAnsi"/>
          <w:i/>
          <w:iCs/>
          <w:color w:val="0070C0"/>
          <w:sz w:val="18"/>
          <w:szCs w:val="18"/>
          <w:shd w:val="clear" w:color="auto" w:fill="FFFFFF"/>
        </w:rPr>
        <w:t>Are there other barriers to repair and/or policy responses that the Commission should consider?</w:t>
      </w:r>
    </w:p>
    <w:p w14:paraId="7E0D8FB8" w14:textId="0CD58347" w:rsidR="00325E3F" w:rsidRPr="00FF1E6D" w:rsidRDefault="00325E3F" w:rsidP="00325E3F">
      <w:pPr>
        <w:spacing w:after="0"/>
        <w:rPr>
          <w:rFonts w:ascii="Century Gothic" w:hAnsi="Century Gothic" w:cstheme="minorHAnsi"/>
          <w:sz w:val="18"/>
          <w:szCs w:val="18"/>
          <w:shd w:val="clear" w:color="auto" w:fill="FFFFFF"/>
        </w:rPr>
      </w:pPr>
      <w:r w:rsidRPr="00FF1E6D">
        <w:rPr>
          <w:rFonts w:ascii="Century Gothic" w:hAnsi="Century Gothic" w:cstheme="minorHAnsi"/>
          <w:sz w:val="18"/>
          <w:szCs w:val="18"/>
          <w:shd w:val="clear" w:color="auto" w:fill="FFFFFF"/>
        </w:rPr>
        <w:t xml:space="preserve">The traditional consumer electronics repairer has been a small business operator accepting consumer goods for repair at his shop or undertaking the odd </w:t>
      </w:r>
      <w:r w:rsidR="009555C9" w:rsidRPr="00FF1E6D">
        <w:rPr>
          <w:rFonts w:ascii="Century Gothic" w:hAnsi="Century Gothic" w:cstheme="minorHAnsi"/>
          <w:sz w:val="18"/>
          <w:szCs w:val="18"/>
          <w:shd w:val="clear" w:color="auto" w:fill="FFFFFF"/>
        </w:rPr>
        <w:t>in-home</w:t>
      </w:r>
      <w:r w:rsidRPr="00FF1E6D">
        <w:rPr>
          <w:rFonts w:ascii="Century Gothic" w:hAnsi="Century Gothic" w:cstheme="minorHAnsi"/>
          <w:sz w:val="18"/>
          <w:szCs w:val="18"/>
          <w:shd w:val="clear" w:color="auto" w:fill="FFFFFF"/>
        </w:rPr>
        <w:t xml:space="preserve"> repair visit.   </w:t>
      </w:r>
    </w:p>
    <w:p w14:paraId="7ED616BA" w14:textId="4A352CE6" w:rsidR="00DE4416" w:rsidRDefault="00DE4416" w:rsidP="00325E3F">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Over the past 2 decades it was not uncommon</w:t>
      </w:r>
      <w:r w:rsidR="006B21F3">
        <w:rPr>
          <w:rFonts w:ascii="Century Gothic" w:hAnsi="Century Gothic" w:cstheme="minorHAnsi"/>
          <w:sz w:val="18"/>
          <w:szCs w:val="18"/>
          <w:shd w:val="clear" w:color="auto" w:fill="FFFFFF"/>
        </w:rPr>
        <w:t xml:space="preserve"> for me</w:t>
      </w:r>
      <w:r>
        <w:rPr>
          <w:rFonts w:ascii="Century Gothic" w:hAnsi="Century Gothic" w:cstheme="minorHAnsi"/>
          <w:sz w:val="18"/>
          <w:szCs w:val="18"/>
          <w:shd w:val="clear" w:color="auto" w:fill="FFFFFF"/>
        </w:rPr>
        <w:t xml:space="preserve"> to receive advise that a repairer was closing their business as it was no longer a viable operation</w:t>
      </w:r>
      <w:r w:rsidR="006B21F3">
        <w:rPr>
          <w:rFonts w:ascii="Century Gothic" w:hAnsi="Century Gothic" w:cstheme="minorHAnsi"/>
          <w:sz w:val="18"/>
          <w:szCs w:val="18"/>
          <w:shd w:val="clear" w:color="auto" w:fill="FFFFFF"/>
        </w:rPr>
        <w:t xml:space="preserve">. They could not continue </w:t>
      </w:r>
      <w:r w:rsidR="0063734B">
        <w:rPr>
          <w:rFonts w:ascii="Century Gothic" w:hAnsi="Century Gothic" w:cstheme="minorHAnsi"/>
          <w:sz w:val="18"/>
          <w:szCs w:val="18"/>
          <w:shd w:val="clear" w:color="auto" w:fill="FFFFFF"/>
        </w:rPr>
        <w:t xml:space="preserve">the business activity and make a profit </w:t>
      </w:r>
      <w:r w:rsidR="006B21F3">
        <w:rPr>
          <w:rFonts w:ascii="Century Gothic" w:hAnsi="Century Gothic" w:cstheme="minorHAnsi"/>
          <w:sz w:val="18"/>
          <w:szCs w:val="18"/>
          <w:shd w:val="clear" w:color="auto" w:fill="FFFFFF"/>
        </w:rPr>
        <w:t xml:space="preserve">and they could not sell their business as an ongoing concern.  </w:t>
      </w:r>
    </w:p>
    <w:p w14:paraId="44717F1F" w14:textId="58A29720" w:rsidR="00DE4416" w:rsidRDefault="006B21F3" w:rsidP="00DE4416">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If we are to adopt a Right to Repair then f</w:t>
      </w:r>
      <w:r w:rsidR="00DE4416" w:rsidRPr="00FF1E6D">
        <w:rPr>
          <w:rFonts w:ascii="Century Gothic" w:hAnsi="Century Gothic" w:cstheme="minorHAnsi"/>
          <w:sz w:val="18"/>
          <w:szCs w:val="18"/>
          <w:shd w:val="clear" w:color="auto" w:fill="FFFFFF"/>
        </w:rPr>
        <w:t>ostering a strong repair industry requires a vibrant culture to repair, but until this time comes many in the repair community needs</w:t>
      </w:r>
      <w:r w:rsidR="00981BEE">
        <w:rPr>
          <w:rFonts w:ascii="Century Gothic" w:hAnsi="Century Gothic" w:cstheme="minorHAnsi"/>
          <w:sz w:val="18"/>
          <w:szCs w:val="18"/>
          <w:shd w:val="clear" w:color="auto" w:fill="FFFFFF"/>
        </w:rPr>
        <w:t xml:space="preserve"> support via policy reform and/or financial </w:t>
      </w:r>
      <w:r w:rsidR="00DE4416" w:rsidRPr="00FF1E6D">
        <w:rPr>
          <w:rFonts w:ascii="Century Gothic" w:hAnsi="Century Gothic" w:cstheme="minorHAnsi"/>
          <w:sz w:val="18"/>
          <w:szCs w:val="18"/>
          <w:shd w:val="clear" w:color="auto" w:fill="FFFFFF"/>
        </w:rPr>
        <w:t>assistance to transition to new</w:t>
      </w:r>
      <w:r w:rsidR="00981BEE">
        <w:rPr>
          <w:rFonts w:ascii="Century Gothic" w:hAnsi="Century Gothic" w:cstheme="minorHAnsi"/>
          <w:sz w:val="18"/>
          <w:szCs w:val="18"/>
          <w:shd w:val="clear" w:color="auto" w:fill="FFFFFF"/>
        </w:rPr>
        <w:t xml:space="preserve">, more </w:t>
      </w:r>
      <w:r w:rsidR="00DE4416" w:rsidRPr="00FF1E6D">
        <w:rPr>
          <w:rFonts w:ascii="Century Gothic" w:hAnsi="Century Gothic" w:cstheme="minorHAnsi"/>
          <w:sz w:val="18"/>
          <w:szCs w:val="18"/>
          <w:shd w:val="clear" w:color="auto" w:fill="FFFFFF"/>
        </w:rPr>
        <w:t xml:space="preserve">viable business models. </w:t>
      </w:r>
    </w:p>
    <w:p w14:paraId="72D2FD3F" w14:textId="234A5479" w:rsidR="00485AEA" w:rsidRDefault="00485AEA" w:rsidP="00DE4416">
      <w:pPr>
        <w:spacing w:after="0"/>
        <w:rPr>
          <w:rFonts w:ascii="Century Gothic" w:hAnsi="Century Gothic" w:cstheme="minorHAnsi"/>
          <w:sz w:val="18"/>
          <w:szCs w:val="18"/>
          <w:shd w:val="clear" w:color="auto" w:fill="FFFFFF"/>
        </w:rPr>
      </w:pPr>
    </w:p>
    <w:p w14:paraId="198F59F3" w14:textId="4C8DE569" w:rsidR="00DE4416" w:rsidRPr="00485AEA" w:rsidRDefault="00485AEA" w:rsidP="00325E3F">
      <w:pPr>
        <w:spacing w:after="0"/>
        <w:rPr>
          <w:rFonts w:ascii="Century Gothic" w:hAnsi="Century Gothic" w:cstheme="minorHAnsi"/>
          <w:i/>
          <w:iCs/>
          <w:color w:val="0070C0"/>
          <w:sz w:val="18"/>
          <w:szCs w:val="18"/>
          <w:shd w:val="clear" w:color="auto" w:fill="FFFFFF"/>
        </w:rPr>
      </w:pPr>
      <w:r w:rsidRPr="00485AEA">
        <w:rPr>
          <w:rFonts w:ascii="Century Gothic" w:hAnsi="Century Gothic" w:cstheme="minorHAnsi"/>
          <w:i/>
          <w:iCs/>
          <w:color w:val="0070C0"/>
          <w:sz w:val="18"/>
          <w:szCs w:val="18"/>
          <w:shd w:val="clear" w:color="auto" w:fill="FFFFFF"/>
        </w:rPr>
        <w:t>Items c) and d)</w:t>
      </w:r>
    </w:p>
    <w:p w14:paraId="7AA6BA3E" w14:textId="025ADA89" w:rsidR="00485AEA" w:rsidRDefault="00485AEA" w:rsidP="00325E3F">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I have no comment to make on these items</w:t>
      </w:r>
    </w:p>
    <w:p w14:paraId="17B2F832" w14:textId="77777777" w:rsidR="00DE4416" w:rsidRDefault="00DE4416" w:rsidP="00325E3F">
      <w:pPr>
        <w:spacing w:after="0"/>
        <w:rPr>
          <w:rFonts w:ascii="Century Gothic" w:hAnsi="Century Gothic" w:cstheme="minorHAnsi"/>
          <w:sz w:val="18"/>
          <w:szCs w:val="18"/>
          <w:shd w:val="clear" w:color="auto" w:fill="FFFFFF"/>
        </w:rPr>
      </w:pPr>
    </w:p>
    <w:p w14:paraId="2332A983" w14:textId="77777777" w:rsidR="00485AEA" w:rsidRDefault="00485AEA" w:rsidP="00325E3F">
      <w:pPr>
        <w:spacing w:after="0"/>
        <w:rPr>
          <w:rFonts w:ascii="Century Gothic" w:hAnsi="Century Gothic" w:cstheme="minorHAnsi"/>
          <w:sz w:val="18"/>
          <w:szCs w:val="18"/>
          <w:shd w:val="clear" w:color="auto" w:fill="FFFFFF"/>
        </w:rPr>
      </w:pPr>
    </w:p>
    <w:p w14:paraId="67A0DA2D" w14:textId="77777777" w:rsidR="00485AEA" w:rsidRDefault="00485AEA" w:rsidP="00325E3F">
      <w:pPr>
        <w:spacing w:after="0"/>
        <w:rPr>
          <w:rFonts w:ascii="Century Gothic" w:hAnsi="Century Gothic" w:cstheme="minorHAnsi"/>
          <w:sz w:val="18"/>
          <w:szCs w:val="18"/>
          <w:shd w:val="clear" w:color="auto" w:fill="FFFFFF"/>
        </w:rPr>
      </w:pPr>
    </w:p>
    <w:p w14:paraId="3421E61C" w14:textId="699DD929" w:rsidR="002A4BCD" w:rsidRDefault="00485AEA" w:rsidP="00325E3F">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Yours Sincerely,</w:t>
      </w:r>
    </w:p>
    <w:p w14:paraId="01624262" w14:textId="31995283" w:rsidR="00485AEA" w:rsidRDefault="00485AEA" w:rsidP="00325E3F">
      <w:pPr>
        <w:spacing w:after="0"/>
        <w:rPr>
          <w:rFonts w:ascii="Century Gothic" w:hAnsi="Century Gothic" w:cstheme="minorHAnsi"/>
          <w:sz w:val="18"/>
          <w:szCs w:val="18"/>
          <w:shd w:val="clear" w:color="auto" w:fill="FFFFFF"/>
        </w:rPr>
      </w:pPr>
    </w:p>
    <w:p w14:paraId="61FF4C2C" w14:textId="77FDD9D4" w:rsidR="00485AEA" w:rsidRPr="00FF1E6D" w:rsidRDefault="00485AEA" w:rsidP="00325E3F">
      <w:pPr>
        <w:spacing w:after="0"/>
        <w:rPr>
          <w:rFonts w:ascii="Century Gothic" w:hAnsi="Century Gothic" w:cstheme="minorHAnsi"/>
          <w:sz w:val="18"/>
          <w:szCs w:val="18"/>
          <w:shd w:val="clear" w:color="auto" w:fill="FFFFFF"/>
        </w:rPr>
      </w:pPr>
      <w:r>
        <w:rPr>
          <w:rFonts w:ascii="Century Gothic" w:hAnsi="Century Gothic" w:cstheme="minorHAnsi"/>
          <w:sz w:val="18"/>
          <w:szCs w:val="18"/>
          <w:shd w:val="clear" w:color="auto" w:fill="FFFFFF"/>
        </w:rPr>
        <w:t>Brett Buckingham</w:t>
      </w:r>
    </w:p>
    <w:sectPr w:rsidR="00485AEA" w:rsidRPr="00FF1E6D" w:rsidSect="0091520A">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F7014" w14:textId="77777777" w:rsidR="005B17D9" w:rsidRDefault="005B17D9" w:rsidP="005B17D9">
      <w:pPr>
        <w:spacing w:after="0" w:line="240" w:lineRule="auto"/>
      </w:pPr>
      <w:r>
        <w:separator/>
      </w:r>
    </w:p>
  </w:endnote>
  <w:endnote w:type="continuationSeparator" w:id="0">
    <w:p w14:paraId="6823C850" w14:textId="77777777" w:rsidR="005B17D9" w:rsidRDefault="005B17D9" w:rsidP="005B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1EEEC" w14:textId="77777777" w:rsidR="005B17D9" w:rsidRDefault="005B17D9" w:rsidP="005B17D9">
      <w:pPr>
        <w:spacing w:after="0" w:line="240" w:lineRule="auto"/>
      </w:pPr>
      <w:r>
        <w:separator/>
      </w:r>
    </w:p>
  </w:footnote>
  <w:footnote w:type="continuationSeparator" w:id="0">
    <w:p w14:paraId="1A33F0F3" w14:textId="77777777" w:rsidR="005B17D9" w:rsidRDefault="005B17D9" w:rsidP="005B17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65D"/>
    <w:multiLevelType w:val="hybridMultilevel"/>
    <w:tmpl w:val="A3A4503C"/>
    <w:lvl w:ilvl="0" w:tplc="0C090011">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9274FB"/>
    <w:multiLevelType w:val="hybridMultilevel"/>
    <w:tmpl w:val="F598703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E96C79"/>
    <w:multiLevelType w:val="hybridMultilevel"/>
    <w:tmpl w:val="847CEC6C"/>
    <w:lvl w:ilvl="0" w:tplc="F432C2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30408"/>
    <w:multiLevelType w:val="hybridMultilevel"/>
    <w:tmpl w:val="9AB82844"/>
    <w:lvl w:ilvl="0" w:tplc="ECE818A0">
      <w:start w:val="5"/>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94684"/>
    <w:multiLevelType w:val="hybridMultilevel"/>
    <w:tmpl w:val="DD0A53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E1867"/>
    <w:multiLevelType w:val="hybridMultilevel"/>
    <w:tmpl w:val="CA66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70655F"/>
    <w:multiLevelType w:val="hybridMultilevel"/>
    <w:tmpl w:val="692424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DF5610"/>
    <w:multiLevelType w:val="hybridMultilevel"/>
    <w:tmpl w:val="C804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B5634"/>
    <w:multiLevelType w:val="hybridMultilevel"/>
    <w:tmpl w:val="7D56B0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E352D"/>
    <w:multiLevelType w:val="hybridMultilevel"/>
    <w:tmpl w:val="B1ACA58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E846D8"/>
    <w:multiLevelType w:val="hybridMultilevel"/>
    <w:tmpl w:val="16BED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301EA0"/>
    <w:multiLevelType w:val="hybridMultilevel"/>
    <w:tmpl w:val="390602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774F6C"/>
    <w:multiLevelType w:val="hybridMultilevel"/>
    <w:tmpl w:val="D170560C"/>
    <w:lvl w:ilvl="0" w:tplc="C53E87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135A18"/>
    <w:multiLevelType w:val="hybridMultilevel"/>
    <w:tmpl w:val="F9D0406C"/>
    <w:lvl w:ilvl="0" w:tplc="0C090017">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EFF7FDF"/>
    <w:multiLevelType w:val="hybridMultilevel"/>
    <w:tmpl w:val="7F101DF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C7202B"/>
    <w:multiLevelType w:val="hybridMultilevel"/>
    <w:tmpl w:val="4BE2A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200F8"/>
    <w:multiLevelType w:val="hybridMultilevel"/>
    <w:tmpl w:val="A1246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DD16B3"/>
    <w:multiLevelType w:val="hybridMultilevel"/>
    <w:tmpl w:val="15D61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406C9"/>
    <w:multiLevelType w:val="hybridMultilevel"/>
    <w:tmpl w:val="D2F22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6D38E2"/>
    <w:multiLevelType w:val="hybridMultilevel"/>
    <w:tmpl w:val="CF98ABBE"/>
    <w:lvl w:ilvl="0" w:tplc="667C1068">
      <w:start w:val="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433395"/>
    <w:multiLevelType w:val="hybridMultilevel"/>
    <w:tmpl w:val="21F2A22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18"/>
  </w:num>
  <w:num w:numId="3">
    <w:abstractNumId w:val="8"/>
  </w:num>
  <w:num w:numId="4">
    <w:abstractNumId w:val="6"/>
  </w:num>
  <w:num w:numId="5">
    <w:abstractNumId w:val="17"/>
  </w:num>
  <w:num w:numId="6">
    <w:abstractNumId w:val="0"/>
  </w:num>
  <w:num w:numId="7">
    <w:abstractNumId w:val="5"/>
  </w:num>
  <w:num w:numId="8">
    <w:abstractNumId w:val="11"/>
  </w:num>
  <w:num w:numId="9">
    <w:abstractNumId w:val="2"/>
  </w:num>
  <w:num w:numId="10">
    <w:abstractNumId w:val="13"/>
  </w:num>
  <w:num w:numId="11">
    <w:abstractNumId w:val="14"/>
  </w:num>
  <w:num w:numId="12">
    <w:abstractNumId w:val="4"/>
  </w:num>
  <w:num w:numId="13">
    <w:abstractNumId w:val="9"/>
  </w:num>
  <w:num w:numId="14">
    <w:abstractNumId w:val="3"/>
  </w:num>
  <w:num w:numId="15">
    <w:abstractNumId w:val="19"/>
  </w:num>
  <w:num w:numId="16">
    <w:abstractNumId w:val="1"/>
  </w:num>
  <w:num w:numId="17">
    <w:abstractNumId w:val="7"/>
  </w:num>
  <w:num w:numId="18">
    <w:abstractNumId w:val="16"/>
  </w:num>
  <w:num w:numId="19">
    <w:abstractNumId w:val="1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10"/>
    <w:rsid w:val="000520CF"/>
    <w:rsid w:val="0005678E"/>
    <w:rsid w:val="00094CF3"/>
    <w:rsid w:val="001D6BCD"/>
    <w:rsid w:val="001E2CDA"/>
    <w:rsid w:val="001F32C2"/>
    <w:rsid w:val="0021600F"/>
    <w:rsid w:val="0021788C"/>
    <w:rsid w:val="00224064"/>
    <w:rsid w:val="00245109"/>
    <w:rsid w:val="00285315"/>
    <w:rsid w:val="0028765A"/>
    <w:rsid w:val="002A4BCD"/>
    <w:rsid w:val="002B144B"/>
    <w:rsid w:val="002D630E"/>
    <w:rsid w:val="002E5210"/>
    <w:rsid w:val="002F1533"/>
    <w:rsid w:val="00311515"/>
    <w:rsid w:val="0032595C"/>
    <w:rsid w:val="00325E3F"/>
    <w:rsid w:val="0036641A"/>
    <w:rsid w:val="003738E0"/>
    <w:rsid w:val="003825C7"/>
    <w:rsid w:val="003A5A1B"/>
    <w:rsid w:val="003A65FC"/>
    <w:rsid w:val="003B3F0D"/>
    <w:rsid w:val="003C3B0F"/>
    <w:rsid w:val="003D6009"/>
    <w:rsid w:val="004575E2"/>
    <w:rsid w:val="00460199"/>
    <w:rsid w:val="00471644"/>
    <w:rsid w:val="00485AEA"/>
    <w:rsid w:val="00490A13"/>
    <w:rsid w:val="004D2298"/>
    <w:rsid w:val="00565FCC"/>
    <w:rsid w:val="005A7BFA"/>
    <w:rsid w:val="005B17D9"/>
    <w:rsid w:val="005B779C"/>
    <w:rsid w:val="006047A5"/>
    <w:rsid w:val="0063734B"/>
    <w:rsid w:val="00640655"/>
    <w:rsid w:val="006713B2"/>
    <w:rsid w:val="0069349F"/>
    <w:rsid w:val="00695D80"/>
    <w:rsid w:val="006A2549"/>
    <w:rsid w:val="006B21F3"/>
    <w:rsid w:val="006D0020"/>
    <w:rsid w:val="00715DC9"/>
    <w:rsid w:val="007468ED"/>
    <w:rsid w:val="007704A8"/>
    <w:rsid w:val="0077696F"/>
    <w:rsid w:val="00777B21"/>
    <w:rsid w:val="007A1D78"/>
    <w:rsid w:val="007D3842"/>
    <w:rsid w:val="00806F6E"/>
    <w:rsid w:val="00840814"/>
    <w:rsid w:val="00863606"/>
    <w:rsid w:val="00894228"/>
    <w:rsid w:val="008A6A28"/>
    <w:rsid w:val="008B18F3"/>
    <w:rsid w:val="008E654D"/>
    <w:rsid w:val="0091520A"/>
    <w:rsid w:val="009249B4"/>
    <w:rsid w:val="00927FE7"/>
    <w:rsid w:val="00941F5B"/>
    <w:rsid w:val="009555C9"/>
    <w:rsid w:val="009658A7"/>
    <w:rsid w:val="00981BEE"/>
    <w:rsid w:val="00986408"/>
    <w:rsid w:val="009934DF"/>
    <w:rsid w:val="009B60CC"/>
    <w:rsid w:val="009C5420"/>
    <w:rsid w:val="009D5BAC"/>
    <w:rsid w:val="009D7154"/>
    <w:rsid w:val="00A27FE7"/>
    <w:rsid w:val="00A41D0D"/>
    <w:rsid w:val="00A61C0B"/>
    <w:rsid w:val="00A90FE9"/>
    <w:rsid w:val="00AC6F20"/>
    <w:rsid w:val="00AC76F0"/>
    <w:rsid w:val="00AD04FD"/>
    <w:rsid w:val="00AE49F3"/>
    <w:rsid w:val="00AE6569"/>
    <w:rsid w:val="00B23CF0"/>
    <w:rsid w:val="00B56214"/>
    <w:rsid w:val="00B8153A"/>
    <w:rsid w:val="00BB088B"/>
    <w:rsid w:val="00BC0686"/>
    <w:rsid w:val="00C12CD0"/>
    <w:rsid w:val="00C435B8"/>
    <w:rsid w:val="00C65762"/>
    <w:rsid w:val="00CF1F62"/>
    <w:rsid w:val="00D56FA0"/>
    <w:rsid w:val="00DB13A5"/>
    <w:rsid w:val="00DE0A3E"/>
    <w:rsid w:val="00DE4416"/>
    <w:rsid w:val="00E11009"/>
    <w:rsid w:val="00E21FDB"/>
    <w:rsid w:val="00E55B4F"/>
    <w:rsid w:val="00E877D9"/>
    <w:rsid w:val="00EA7832"/>
    <w:rsid w:val="00EC1790"/>
    <w:rsid w:val="00F311B6"/>
    <w:rsid w:val="00F51498"/>
    <w:rsid w:val="00F67000"/>
    <w:rsid w:val="00F7536A"/>
    <w:rsid w:val="00F776A4"/>
    <w:rsid w:val="00FD3D9F"/>
    <w:rsid w:val="00FF1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BD20"/>
  <w15:chartTrackingRefBased/>
  <w15:docId w15:val="{657F0019-BD93-4E09-89DD-7562102B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210"/>
    <w:pPr>
      <w:ind w:left="720"/>
      <w:contextualSpacing/>
    </w:pPr>
  </w:style>
  <w:style w:type="character" w:styleId="Hyperlink">
    <w:name w:val="Hyperlink"/>
    <w:basedOn w:val="DefaultParagraphFont"/>
    <w:uiPriority w:val="99"/>
    <w:unhideWhenUsed/>
    <w:rsid w:val="00285315"/>
    <w:rPr>
      <w:color w:val="0563C1" w:themeColor="hyperlink"/>
      <w:u w:val="single"/>
    </w:rPr>
  </w:style>
  <w:style w:type="character" w:styleId="UnresolvedMention">
    <w:name w:val="Unresolved Mention"/>
    <w:basedOn w:val="DefaultParagraphFont"/>
    <w:uiPriority w:val="99"/>
    <w:semiHidden/>
    <w:unhideWhenUsed/>
    <w:rsid w:val="00285315"/>
    <w:rPr>
      <w:color w:val="605E5C"/>
      <w:shd w:val="clear" w:color="auto" w:fill="E1DFDD"/>
    </w:rPr>
  </w:style>
  <w:style w:type="table" w:customStyle="1" w:styleId="ABRI">
    <w:name w:val="ABRI"/>
    <w:basedOn w:val="TableNormal"/>
    <w:uiPriority w:val="99"/>
    <w:rsid w:val="00FF1E6D"/>
    <w:pPr>
      <w:spacing w:after="0" w:line="240" w:lineRule="auto"/>
    </w:pPr>
    <w:rPr>
      <w:rFonts w:ascii="Century Gothic" w:eastAsia="Calibri" w:hAnsi="Century Gothic" w:cs="Times New Roman"/>
      <w:sz w:val="20"/>
      <w:szCs w:val="20"/>
      <w:lang w:val="en-US"/>
    </w:rPr>
    <w:tblPr>
      <w:tblStyleRowBandSize w:val="1"/>
      <w:tblBorders>
        <w:top w:val="single" w:sz="4" w:space="0" w:color="4F586C"/>
        <w:bottom w:val="single" w:sz="4" w:space="0" w:color="4F586C"/>
        <w:insideH w:val="single" w:sz="4" w:space="0" w:color="4F586C"/>
        <w:insideV w:val="single" w:sz="4" w:space="0" w:color="4F586C"/>
      </w:tblBorders>
    </w:tblPr>
    <w:tcPr>
      <w:shd w:val="clear" w:color="auto" w:fill="auto"/>
      <w:vAlign w:val="center"/>
    </w:tcPr>
    <w:tblStylePr w:type="firstRow">
      <w:rPr>
        <w:rFonts w:ascii="Century Gothic" w:hAnsi="Century Gothic"/>
        <w:b/>
        <w:color w:val="FFFFFF" w:themeColor="background1"/>
      </w:rPr>
      <w:tblPr/>
      <w:tcPr>
        <w:shd w:val="clear" w:color="auto" w:fill="4F586C"/>
      </w:tcPr>
    </w:tblStylePr>
    <w:tblStylePr w:type="lastRow">
      <w:tblPr/>
      <w:tcPr>
        <w:tcBorders>
          <w:bottom w:val="single" w:sz="6" w:space="0" w:color="059447"/>
        </w:tcBorders>
      </w:tcPr>
    </w:tblStylePr>
    <w:tblStylePr w:type="firstCol">
      <w:rPr>
        <w:rFonts w:ascii="Century Gothic" w:hAnsi="Century Gothic"/>
        <w:b/>
      </w:rPr>
      <w:tblPr/>
      <w:tcPr>
        <w:shd w:val="clear" w:color="auto" w:fill="FFFFFF" w:themeFill="background1"/>
      </w:tcPr>
    </w:tblStylePr>
    <w:tblStylePr w:type="band2Horz">
      <w:tblPr/>
      <w:tcPr>
        <w:shd w:val="clear" w:color="auto" w:fill="F2F2F2"/>
      </w:tcPr>
    </w:tblStylePr>
  </w:style>
  <w:style w:type="paragraph" w:styleId="Header">
    <w:name w:val="header"/>
    <w:basedOn w:val="Normal"/>
    <w:link w:val="HeaderChar"/>
    <w:uiPriority w:val="99"/>
    <w:unhideWhenUsed/>
    <w:rsid w:val="005B1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7D9"/>
  </w:style>
  <w:style w:type="paragraph" w:styleId="Footer">
    <w:name w:val="footer"/>
    <w:basedOn w:val="Normal"/>
    <w:link w:val="FooterChar"/>
    <w:uiPriority w:val="99"/>
    <w:unhideWhenUsed/>
    <w:rsid w:val="005B1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ef1a8e768fca694706a760c38559f28">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340dab257d8cd4c24b3bf75f480d22e8"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RREP-2110725275-2021</_dlc_DocId>
    <_dlc_DocIdUrl xmlns="ffbe827b-229f-4d45-a454-c5723c898f52">
      <Url>https://pcgov.sharepoint.com/teams/repair/_layouts/15/DocIdRedir.aspx?ID=RREP-2110725275-2021</Url>
      <Description>RREP-2110725275-2021</Description>
    </_dlc_DocIdUrl>
  </documentManagement>
</p:properties>
</file>

<file path=customXml/itemProps1.xml><?xml version="1.0" encoding="utf-8"?>
<ds:datastoreItem xmlns:ds="http://schemas.openxmlformats.org/officeDocument/2006/customXml" ds:itemID="{B7E312D8-6010-4CBE-9673-726E27DCCDB5}">
  <ds:schemaRefs>
    <ds:schemaRef ds:uri="http://schemas.microsoft.com/sharepoint/v3/contenttype/forms"/>
  </ds:schemaRefs>
</ds:datastoreItem>
</file>

<file path=customXml/itemProps2.xml><?xml version="1.0" encoding="utf-8"?>
<ds:datastoreItem xmlns:ds="http://schemas.openxmlformats.org/officeDocument/2006/customXml" ds:itemID="{9477ABCC-9197-4FAC-A827-4549C1E1C036}">
  <ds:schemaRefs>
    <ds:schemaRef ds:uri="http://schemas.microsoft.com/sharepoint/events"/>
  </ds:schemaRefs>
</ds:datastoreItem>
</file>

<file path=customXml/itemProps3.xml><?xml version="1.0" encoding="utf-8"?>
<ds:datastoreItem xmlns:ds="http://schemas.openxmlformats.org/officeDocument/2006/customXml" ds:itemID="{7F787E39-5048-47F2-8AA9-1DF0F9039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F128E-E8C6-4A77-BF94-D1CF092F5C94}">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ffbe827b-229f-4d45-a454-c5723c898f52"/>
    <ds:schemaRef ds:uri="http://schemas.openxmlformats.org/package/2006/metadata/core-properties"/>
    <ds:schemaRef ds:uri="0ad56286-c3bf-404c-927b-63d63b20e0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Submission 22 - Brett Buckingham - Right to Repair - Public inquiry</vt:lpstr>
    </vt:vector>
  </TitlesOfParts>
  <Company>Brett Buckingham</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Brett Buckingham - Right to Repair - Public inquiry</dc:title>
  <dc:subject/>
  <dc:creator>Brett Buckingham</dc:creator>
  <cp:keywords/>
  <dc:description/>
  <cp:lastModifiedBy>Alston, Chris</cp:lastModifiedBy>
  <cp:revision>3</cp:revision>
  <cp:lastPrinted>2021-01-28T22:20:00Z</cp:lastPrinted>
  <dcterms:created xsi:type="dcterms:W3CDTF">2021-02-01T22:24:00Z</dcterms:created>
  <dcterms:modified xsi:type="dcterms:W3CDTF">2021-02-02T02:51:00Z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d45df498-8a6e-44ab-ac23-4731d15f10c9</vt:lpwstr>
  </property>
</Properties>
</file>